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C1779" w:rsidRPr="000C0780" w:rsidRDefault="00CC1779">
      <w:pPr>
        <w:pStyle w:val="Textoindependiente"/>
        <w:rPr>
          <w:rFonts w:ascii="Times New Roman"/>
          <w:sz w:val="20"/>
        </w:rPr>
      </w:pPr>
    </w:p>
    <w:p w:rsidR="00684AE2" w:rsidRPr="000C0780" w:rsidRDefault="00684AE2" w:rsidP="00007F4B">
      <w:pPr>
        <w:pStyle w:val="Textoindependiente"/>
        <w:ind w:left="180" w:right="207"/>
        <w:jc w:val="both"/>
        <w:rPr>
          <w:b/>
          <w:lang w:val="es-MX"/>
        </w:rPr>
      </w:pPr>
      <w:r w:rsidRPr="000C0780">
        <w:rPr>
          <w:b/>
          <w:lang w:val="es-MX"/>
        </w:rPr>
        <w:t xml:space="preserve">DOCUMENTOS TIPO – </w:t>
      </w:r>
      <w:r w:rsidR="0015180D">
        <w:rPr>
          <w:b/>
          <w:lang w:val="es-MX"/>
        </w:rPr>
        <w:t xml:space="preserve">Oferta económica </w:t>
      </w:r>
      <w:r w:rsidR="0015180D" w:rsidRPr="000C0780">
        <w:rPr>
          <w:b/>
          <w:lang w:val="es-MX"/>
        </w:rPr>
        <w:t xml:space="preserve">– </w:t>
      </w:r>
      <w:r w:rsidRPr="000C0780">
        <w:rPr>
          <w:b/>
          <w:lang w:val="es-MX"/>
        </w:rPr>
        <w:t xml:space="preserve">Causales de rechazo </w:t>
      </w:r>
    </w:p>
    <w:p w:rsidR="00684AE2" w:rsidRPr="000C0780" w:rsidRDefault="00684AE2" w:rsidP="00007F4B">
      <w:pPr>
        <w:jc w:val="both"/>
        <w:rPr>
          <w:b/>
          <w:lang w:val="es-MX"/>
        </w:rPr>
      </w:pPr>
    </w:p>
    <w:p w:rsidR="00007F4B" w:rsidRPr="000C0780" w:rsidRDefault="00684AE2" w:rsidP="00007F4B">
      <w:pPr>
        <w:pStyle w:val="Textoindependiente"/>
        <w:ind w:left="180" w:right="207"/>
        <w:jc w:val="both"/>
        <w:rPr>
          <w:sz w:val="20"/>
          <w:szCs w:val="20"/>
        </w:rPr>
      </w:pPr>
      <w:r w:rsidRPr="000C0780">
        <w:rPr>
          <w:sz w:val="20"/>
          <w:szCs w:val="20"/>
        </w:rPr>
        <w:t>Las causales de rechazo que aplican para los procesos de licitación de obra pública de infraestructura de transporte son las establecidas en la Ley y las definidas en el numeral 1.15 del Documento Base de los Documentos Tipo, sin que las entidades estatales puedan establecer otras.</w:t>
      </w:r>
      <w:r w:rsidR="00007F4B" w:rsidRPr="000C0780">
        <w:rPr>
          <w:sz w:val="20"/>
          <w:szCs w:val="20"/>
        </w:rPr>
        <w:t xml:space="preserve"> </w:t>
      </w:r>
    </w:p>
    <w:p w:rsidR="00007F4B" w:rsidRPr="000C0780" w:rsidRDefault="00007F4B" w:rsidP="00007F4B">
      <w:pPr>
        <w:pStyle w:val="Textoindependiente"/>
        <w:ind w:left="180" w:right="207"/>
        <w:jc w:val="both"/>
        <w:rPr>
          <w:sz w:val="20"/>
          <w:szCs w:val="20"/>
        </w:rPr>
      </w:pPr>
    </w:p>
    <w:p w:rsidR="00684AE2" w:rsidRPr="000C0780" w:rsidRDefault="00007F4B" w:rsidP="00007F4B">
      <w:pPr>
        <w:pStyle w:val="Textoindependiente"/>
        <w:ind w:left="180" w:right="207"/>
        <w:jc w:val="both"/>
        <w:rPr>
          <w:sz w:val="20"/>
          <w:szCs w:val="20"/>
        </w:rPr>
      </w:pPr>
      <w:r w:rsidRPr="000C0780">
        <w:rPr>
          <w:sz w:val="20"/>
          <w:szCs w:val="20"/>
        </w:rPr>
        <w:t>L</w:t>
      </w:r>
      <w:r w:rsidR="00684AE2" w:rsidRPr="000C0780">
        <w:rPr>
          <w:sz w:val="20"/>
          <w:szCs w:val="20"/>
        </w:rPr>
        <w:t>as causales de rechazo aplicables a los procesos de contratación que se adelanten a través de Documentos Tipo son únicamente las establecidas directamente en la Ley y las contenidas en el numeral 1.15 del Documento Base, allí la entidad estatal deberá verificar cuál de los supuestos previstos se configura en la evaluación del “Formulario 1- Formulario de Presupuesto Oficial”.</w:t>
      </w:r>
    </w:p>
    <w:p w:rsidR="00684AE2" w:rsidRPr="000C0780" w:rsidRDefault="00684AE2" w:rsidP="00007F4B">
      <w:pPr>
        <w:jc w:val="both"/>
        <w:rPr>
          <w:b/>
          <w:lang w:val="es-MX"/>
        </w:rPr>
      </w:pPr>
      <w:bookmarkStart w:id="0" w:name="_GoBack"/>
      <w:bookmarkEnd w:id="0"/>
    </w:p>
    <w:p w:rsidR="00684AE2" w:rsidRPr="000C0780" w:rsidRDefault="000C0780" w:rsidP="00007F4B">
      <w:pPr>
        <w:pStyle w:val="Textoindependiente"/>
        <w:ind w:left="180" w:right="207"/>
        <w:jc w:val="both"/>
        <w:rPr>
          <w:b/>
          <w:lang w:val="es-MX"/>
        </w:rPr>
      </w:pPr>
      <w:r>
        <w:rPr>
          <w:b/>
          <w:lang w:val="es-MX"/>
        </w:rPr>
        <w:t>CORRECIÓ</w:t>
      </w:r>
      <w:r w:rsidR="000C030C">
        <w:rPr>
          <w:b/>
          <w:lang w:val="es-MX"/>
        </w:rPr>
        <w:t>N ARITMÉ</w:t>
      </w:r>
      <w:r w:rsidR="00684AE2" w:rsidRPr="000C0780">
        <w:rPr>
          <w:b/>
          <w:lang w:val="es-MX"/>
        </w:rPr>
        <w:t>TICA – Procedimie</w:t>
      </w:r>
      <w:r w:rsidR="008416A0">
        <w:rPr>
          <w:b/>
          <w:lang w:val="es-MX"/>
        </w:rPr>
        <w:t xml:space="preserve">nto </w:t>
      </w:r>
      <w:r w:rsidR="008416A0" w:rsidRPr="000C0780">
        <w:rPr>
          <w:b/>
          <w:lang w:val="es-MX"/>
        </w:rPr>
        <w:t xml:space="preserve">– </w:t>
      </w:r>
      <w:r w:rsidR="00684AE2" w:rsidRPr="000C0780">
        <w:rPr>
          <w:b/>
          <w:lang w:val="es-MX"/>
        </w:rPr>
        <w:t xml:space="preserve"> Causal</w:t>
      </w:r>
      <w:r w:rsidR="0015180D">
        <w:rPr>
          <w:b/>
          <w:lang w:val="es-MX"/>
        </w:rPr>
        <w:t>es</w:t>
      </w:r>
      <w:r w:rsidR="00684AE2" w:rsidRPr="000C0780">
        <w:rPr>
          <w:b/>
          <w:lang w:val="es-MX"/>
        </w:rPr>
        <w:t xml:space="preserve"> de rechazo </w:t>
      </w:r>
    </w:p>
    <w:p w:rsidR="00684AE2" w:rsidRPr="000C0780" w:rsidRDefault="00684AE2" w:rsidP="00007F4B">
      <w:pPr>
        <w:jc w:val="both"/>
        <w:rPr>
          <w:sz w:val="21"/>
          <w:szCs w:val="21"/>
          <w:lang w:val="es-MX"/>
        </w:rPr>
      </w:pPr>
    </w:p>
    <w:p w:rsidR="00007F4B" w:rsidRPr="000C0780" w:rsidRDefault="00684AE2" w:rsidP="00007F4B">
      <w:pPr>
        <w:pStyle w:val="Textoindependiente"/>
        <w:ind w:left="180" w:right="207"/>
        <w:jc w:val="both"/>
        <w:rPr>
          <w:sz w:val="20"/>
          <w:szCs w:val="20"/>
        </w:rPr>
      </w:pPr>
      <w:r w:rsidRPr="000C0780">
        <w:rPr>
          <w:sz w:val="20"/>
          <w:szCs w:val="20"/>
        </w:rPr>
        <w:t xml:space="preserve">El “Documento Base o Pliego Tipo” contempla la forma de corregir las operaciones aritméticas y las aproximaciones de las cifras decimales. Por lo tanto, la entidad durante la etapa de evaluación de las ofertas económicas de los proponentes habilitados debe verificar con base en la información registrada en el “Formulario 1 – Formulario de Presupuesto Oficial”, cada una de las operaciones aritméticas que permitan verificar el valor real </w:t>
      </w:r>
      <w:r w:rsidR="00007F4B" w:rsidRPr="000C0780">
        <w:rPr>
          <w:sz w:val="20"/>
          <w:szCs w:val="20"/>
        </w:rPr>
        <w:t xml:space="preserve">ofertado por el proponente. </w:t>
      </w:r>
    </w:p>
    <w:p w:rsidR="00007F4B" w:rsidRPr="000C0780" w:rsidRDefault="00007F4B" w:rsidP="00007F4B">
      <w:pPr>
        <w:pStyle w:val="Textoindependiente"/>
        <w:ind w:left="180" w:right="207"/>
        <w:jc w:val="both"/>
        <w:rPr>
          <w:sz w:val="20"/>
          <w:szCs w:val="20"/>
        </w:rPr>
      </w:pPr>
    </w:p>
    <w:p w:rsidR="00684AE2" w:rsidRPr="000C0780" w:rsidRDefault="00684AE2" w:rsidP="00007F4B">
      <w:pPr>
        <w:pStyle w:val="Textoindependiente"/>
        <w:ind w:left="180" w:right="207"/>
        <w:jc w:val="both"/>
        <w:rPr>
          <w:sz w:val="20"/>
          <w:szCs w:val="20"/>
        </w:rPr>
      </w:pPr>
      <w:r w:rsidRPr="000C0780">
        <w:rPr>
          <w:sz w:val="20"/>
          <w:szCs w:val="20"/>
        </w:rPr>
        <w:t>Una vez realizada la corrección aritmética de la propuesta, la entidad debe verificar que el valor total de la propuesta económica producto de aplicar el procedimiento establecido en el numeral 4.1.2 no presente una diferencia mayor o igual al uno por ciento (1%), por exceso o defecto, con respecto al valor registrado en el “Formulario 1– Formulario de Presupuesto Oficial”, es decir, la entidad debe contrastar el valor total ofertado por el proponente y el valor total resultante de la corrección aritmética y corroborar si existe una diferencia mayor o igual al porcentaje señalado previamente. Cuando esta diferencia por exceso-supere-o por defecto-sea menor-, se configura la causal de rechazo “L” del numeral 1.15 del “Documento Base”.</w:t>
      </w:r>
    </w:p>
    <w:p w:rsidR="00684AE2" w:rsidRPr="000C0780" w:rsidRDefault="00684AE2" w:rsidP="00684AE2">
      <w:pPr>
        <w:pStyle w:val="Textoindependiente"/>
        <w:spacing w:before="1" w:line="276" w:lineRule="auto"/>
        <w:ind w:left="180" w:right="203"/>
        <w:jc w:val="both"/>
      </w:pPr>
    </w:p>
    <w:p w:rsidR="00CC1779" w:rsidRPr="000C0780" w:rsidRDefault="00CC1779">
      <w:pPr>
        <w:pStyle w:val="Textoindependiente"/>
        <w:rPr>
          <w:rFonts w:ascii="Times New Roman"/>
          <w:sz w:val="25"/>
        </w:rPr>
      </w:pPr>
    </w:p>
    <w:p w:rsidR="00CC1779" w:rsidRPr="000C0780" w:rsidRDefault="00CC1779">
      <w:pPr>
        <w:rPr>
          <w:rFonts w:ascii="Times New Roman"/>
          <w:sz w:val="25"/>
        </w:rPr>
        <w:sectPr w:rsidR="00CC1779" w:rsidRPr="000C0780">
          <w:headerReference w:type="default" r:id="rId10"/>
          <w:footerReference w:type="default" r:id="rId11"/>
          <w:type w:val="continuous"/>
          <w:pgSz w:w="12240" w:h="15840"/>
          <w:pgMar w:top="1560" w:right="1400" w:bottom="2140" w:left="1520" w:header="737" w:footer="1958" w:gutter="0"/>
          <w:cols w:space="720"/>
        </w:sectPr>
      </w:pPr>
    </w:p>
    <w:p w:rsidR="00CC1779" w:rsidRPr="000C0780" w:rsidRDefault="00734C8E">
      <w:pPr>
        <w:spacing w:before="94"/>
        <w:ind w:left="180"/>
        <w:rPr>
          <w:b/>
          <w:sz w:val="20"/>
        </w:rPr>
      </w:pPr>
      <w:r w:rsidRPr="000C0780">
        <w:rPr>
          <w:sz w:val="20"/>
        </w:rPr>
        <w:t xml:space="preserve">Bogotá D.C., </w:t>
      </w:r>
      <w:r w:rsidRPr="000C0780">
        <w:rPr>
          <w:b/>
          <w:sz w:val="20"/>
        </w:rPr>
        <w:t>30/09/2019 Hora 16:47:33s</w:t>
      </w:r>
    </w:p>
    <w:p w:rsidR="00CC1779" w:rsidRPr="000C0780" w:rsidRDefault="00CC1779">
      <w:pPr>
        <w:pStyle w:val="Textoindependiente"/>
        <w:rPr>
          <w:b/>
        </w:rPr>
      </w:pPr>
    </w:p>
    <w:p w:rsidR="00CC1779" w:rsidRPr="000C0780" w:rsidRDefault="00CC1779">
      <w:pPr>
        <w:pStyle w:val="Textoindependiente"/>
        <w:spacing w:before="1"/>
        <w:rPr>
          <w:b/>
          <w:sz w:val="18"/>
        </w:rPr>
      </w:pPr>
    </w:p>
    <w:p w:rsidR="00CC1779" w:rsidRPr="000C0780" w:rsidRDefault="00734C8E">
      <w:pPr>
        <w:ind w:left="180" w:right="2231"/>
      </w:pPr>
      <w:r w:rsidRPr="000C0780">
        <w:t xml:space="preserve">Señor (a) </w:t>
      </w:r>
      <w:r w:rsidRPr="000C0780">
        <w:rPr>
          <w:b/>
        </w:rPr>
        <w:t xml:space="preserve">Ciudadano (a) </w:t>
      </w:r>
      <w:r w:rsidRPr="000C0780">
        <w:t>Ciudad</w:t>
      </w:r>
    </w:p>
    <w:p w:rsidR="00CC1779" w:rsidRPr="000C0780" w:rsidRDefault="00734C8E">
      <w:pPr>
        <w:pStyle w:val="Textoindependiente"/>
        <w:spacing w:before="2"/>
        <w:rPr>
          <w:sz w:val="28"/>
        </w:rPr>
      </w:pPr>
      <w:r w:rsidRPr="000C0780">
        <w:br w:type="column"/>
      </w:r>
    </w:p>
    <w:p w:rsidR="00CC1779" w:rsidRPr="000C0780" w:rsidRDefault="00734C8E">
      <w:pPr>
        <w:ind w:left="180"/>
        <w:rPr>
          <w:b/>
          <w:sz w:val="20"/>
        </w:rPr>
      </w:pPr>
      <w:r w:rsidRPr="000C0780">
        <w:rPr>
          <w:b/>
          <w:sz w:val="20"/>
        </w:rPr>
        <w:t>N° Radicado: 2201913000007240</w:t>
      </w:r>
    </w:p>
    <w:p w:rsidR="00CC1779" w:rsidRPr="000C0780" w:rsidRDefault="00CC1779">
      <w:pPr>
        <w:rPr>
          <w:sz w:val="20"/>
        </w:rPr>
        <w:sectPr w:rsidR="00CC1779" w:rsidRPr="000C0780">
          <w:type w:val="continuous"/>
          <w:pgSz w:w="12240" w:h="15840"/>
          <w:pgMar w:top="1560" w:right="1400" w:bottom="2140" w:left="1520" w:header="720" w:footer="720" w:gutter="0"/>
          <w:cols w:num="2" w:space="720" w:equalWidth="0">
            <w:col w:w="3898" w:space="1953"/>
            <w:col w:w="3469"/>
          </w:cols>
        </w:sectPr>
      </w:pPr>
    </w:p>
    <w:p w:rsidR="00CC1779" w:rsidRPr="000C0780" w:rsidRDefault="00CC1779">
      <w:pPr>
        <w:pStyle w:val="Textoindependiente"/>
        <w:rPr>
          <w:b/>
          <w:sz w:val="20"/>
        </w:rPr>
      </w:pPr>
    </w:p>
    <w:p w:rsidR="00CC1779" w:rsidRPr="000C0780" w:rsidRDefault="00CC1779">
      <w:pPr>
        <w:pStyle w:val="Textoindependiente"/>
        <w:rPr>
          <w:b/>
          <w:sz w:val="16"/>
        </w:rPr>
      </w:pPr>
    </w:p>
    <w:p w:rsidR="00CC1779" w:rsidRPr="000C0780" w:rsidRDefault="00734C8E">
      <w:pPr>
        <w:tabs>
          <w:tab w:val="left" w:pos="3720"/>
        </w:tabs>
        <w:spacing w:before="93"/>
        <w:ind w:left="180"/>
      </w:pPr>
      <w:r w:rsidRPr="000C0780">
        <w:rPr>
          <w:b/>
        </w:rPr>
        <w:t>Radicación:</w:t>
      </w:r>
      <w:r w:rsidRPr="000C0780">
        <w:rPr>
          <w:b/>
        </w:rPr>
        <w:tab/>
      </w:r>
      <w:r w:rsidRPr="000C0780">
        <w:t>Respuesta a consulta #</w:t>
      </w:r>
      <w:r w:rsidRPr="000C0780">
        <w:rPr>
          <w:spacing w:val="-7"/>
        </w:rPr>
        <w:t xml:space="preserve"> </w:t>
      </w:r>
      <w:r w:rsidRPr="000C0780">
        <w:t>4201912000006350</w:t>
      </w:r>
    </w:p>
    <w:p w:rsidR="00CC1779" w:rsidRPr="000C0780" w:rsidRDefault="00734C8E">
      <w:pPr>
        <w:tabs>
          <w:tab w:val="left" w:pos="3720"/>
        </w:tabs>
        <w:spacing w:before="2" w:line="253" w:lineRule="exact"/>
        <w:ind w:left="180"/>
      </w:pPr>
      <w:r w:rsidRPr="000C0780">
        <w:rPr>
          <w:b/>
        </w:rPr>
        <w:t>Temas:</w:t>
      </w:r>
      <w:r w:rsidRPr="000C0780">
        <w:rPr>
          <w:b/>
        </w:rPr>
        <w:tab/>
      </w:r>
      <w:r w:rsidRPr="000C0780">
        <w:t>Documentos Tipo,</w:t>
      </w:r>
      <w:r w:rsidRPr="000C0780">
        <w:rPr>
          <w:spacing w:val="-4"/>
        </w:rPr>
        <w:t xml:space="preserve"> </w:t>
      </w:r>
      <w:r w:rsidRPr="000C0780">
        <w:t>otros</w:t>
      </w:r>
    </w:p>
    <w:p w:rsidR="00CC1779" w:rsidRPr="000C0780" w:rsidRDefault="00734C8E">
      <w:pPr>
        <w:tabs>
          <w:tab w:val="left" w:pos="3720"/>
        </w:tabs>
        <w:ind w:left="180"/>
      </w:pPr>
      <w:r w:rsidRPr="000C0780">
        <w:rPr>
          <w:b/>
        </w:rPr>
        <w:t>Tipo de</w:t>
      </w:r>
      <w:r w:rsidRPr="000C0780">
        <w:rPr>
          <w:b/>
          <w:spacing w:val="-4"/>
        </w:rPr>
        <w:t xml:space="preserve"> </w:t>
      </w:r>
      <w:r w:rsidRPr="000C0780">
        <w:rPr>
          <w:b/>
        </w:rPr>
        <w:t>asunto</w:t>
      </w:r>
      <w:r w:rsidRPr="000C0780">
        <w:rPr>
          <w:b/>
          <w:spacing w:val="-2"/>
        </w:rPr>
        <w:t xml:space="preserve"> </w:t>
      </w:r>
      <w:r w:rsidRPr="000C0780">
        <w:rPr>
          <w:b/>
        </w:rPr>
        <w:t>consultado:</w:t>
      </w:r>
      <w:r w:rsidRPr="000C0780">
        <w:rPr>
          <w:b/>
        </w:rPr>
        <w:tab/>
      </w:r>
      <w:r w:rsidRPr="000C0780">
        <w:t>Interpretación causal de</w:t>
      </w:r>
      <w:r w:rsidRPr="000C0780">
        <w:rPr>
          <w:spacing w:val="-3"/>
        </w:rPr>
        <w:t xml:space="preserve"> </w:t>
      </w:r>
      <w:r w:rsidRPr="000C0780">
        <w:t>rechazo</w:t>
      </w:r>
    </w:p>
    <w:p w:rsidR="00CC1779" w:rsidRPr="000C0780" w:rsidRDefault="00CC1779">
      <w:pPr>
        <w:pStyle w:val="Textoindependiente"/>
        <w:rPr>
          <w:sz w:val="24"/>
        </w:rPr>
      </w:pPr>
    </w:p>
    <w:p w:rsidR="00CC1779" w:rsidRPr="000C0780" w:rsidRDefault="00CC1779">
      <w:pPr>
        <w:pStyle w:val="Textoindependiente"/>
        <w:spacing w:before="9"/>
        <w:rPr>
          <w:sz w:val="19"/>
        </w:rPr>
      </w:pPr>
    </w:p>
    <w:p w:rsidR="00CC1779" w:rsidRPr="000C0780" w:rsidRDefault="00734C8E">
      <w:pPr>
        <w:pStyle w:val="Textoindependiente"/>
        <w:ind w:left="180"/>
      </w:pPr>
      <w:r w:rsidRPr="000C0780">
        <w:t>Estimado (a) señor (a) Ciudadano (a),</w:t>
      </w:r>
    </w:p>
    <w:p w:rsidR="00CC1779" w:rsidRPr="000C0780" w:rsidRDefault="00CC1779">
      <w:pPr>
        <w:pStyle w:val="Textoindependiente"/>
        <w:spacing w:before="8"/>
        <w:rPr>
          <w:sz w:val="28"/>
        </w:rPr>
      </w:pPr>
    </w:p>
    <w:p w:rsidR="00CC1779" w:rsidRPr="000C0780" w:rsidRDefault="00734C8E">
      <w:pPr>
        <w:pStyle w:val="Textoindependiente"/>
        <w:spacing w:line="276" w:lineRule="auto"/>
        <w:ind w:left="180" w:right="207"/>
        <w:jc w:val="both"/>
      </w:pPr>
      <w:r w:rsidRPr="000C0780">
        <w:t>La Agencia Nacional de Contratación Pública - Colombia Compra Eficiente responde su consulta del 17 de septiembre de 2019, en ejercicio de la competencia otorgada por el numeral 5 del artículo 3 y numeral 8 del artículo 11 del Decreto 4170 de 2011.</w:t>
      </w:r>
    </w:p>
    <w:p w:rsidR="00CC1779" w:rsidRPr="000C0780" w:rsidRDefault="00CC1779">
      <w:pPr>
        <w:pStyle w:val="Textoindependiente"/>
        <w:spacing w:before="5"/>
        <w:rPr>
          <w:sz w:val="25"/>
        </w:rPr>
      </w:pPr>
    </w:p>
    <w:p w:rsidR="00CC1779" w:rsidRPr="000C0780" w:rsidRDefault="00734C8E">
      <w:pPr>
        <w:pStyle w:val="Ttulo1"/>
        <w:numPr>
          <w:ilvl w:val="0"/>
          <w:numId w:val="3"/>
        </w:numPr>
        <w:tabs>
          <w:tab w:val="left" w:pos="466"/>
        </w:tabs>
        <w:ind w:hanging="286"/>
      </w:pPr>
      <w:r w:rsidRPr="000C0780">
        <w:t>Problema</w:t>
      </w:r>
      <w:r w:rsidRPr="000C0780">
        <w:rPr>
          <w:spacing w:val="-2"/>
        </w:rPr>
        <w:t xml:space="preserve"> </w:t>
      </w:r>
      <w:r w:rsidRPr="000C0780">
        <w:t>planteado</w:t>
      </w:r>
    </w:p>
    <w:p w:rsidR="00CC1779" w:rsidRPr="000C0780" w:rsidRDefault="00CC1779">
      <w:pPr>
        <w:pStyle w:val="Textoindependiente"/>
        <w:spacing w:before="5"/>
        <w:rPr>
          <w:b/>
          <w:sz w:val="28"/>
        </w:rPr>
      </w:pPr>
    </w:p>
    <w:p w:rsidR="00CC1779" w:rsidRPr="000C0780" w:rsidRDefault="00734C8E">
      <w:pPr>
        <w:pStyle w:val="Textoindependiente"/>
        <w:spacing w:line="276" w:lineRule="auto"/>
        <w:ind w:left="180" w:right="206"/>
        <w:jc w:val="both"/>
      </w:pPr>
      <w:r w:rsidRPr="000C0780">
        <w:t>Según las causales de rechazo de los Documentos Tipo: “L. Que la oferta presente una diferencia mayor o igual al uno por ciento (1%) por exceso o por defecto ¿este 1% se aplica sobre los unitarios o sobre el valor total de la</w:t>
      </w:r>
      <w:r w:rsidRPr="000C0780">
        <w:rPr>
          <w:spacing w:val="-11"/>
        </w:rPr>
        <w:t xml:space="preserve"> </w:t>
      </w:r>
      <w:r w:rsidRPr="000C0780">
        <w:t>oferta?”</w:t>
      </w:r>
    </w:p>
    <w:p w:rsidR="00CC1779" w:rsidRPr="000C0780" w:rsidRDefault="00CC1779">
      <w:pPr>
        <w:pStyle w:val="Textoindependiente"/>
        <w:spacing w:before="5"/>
        <w:rPr>
          <w:sz w:val="25"/>
        </w:rPr>
      </w:pPr>
    </w:p>
    <w:p w:rsidR="00CC1779" w:rsidRPr="000C0780" w:rsidRDefault="00734C8E">
      <w:pPr>
        <w:pStyle w:val="Ttulo1"/>
        <w:numPr>
          <w:ilvl w:val="0"/>
          <w:numId w:val="3"/>
        </w:numPr>
        <w:tabs>
          <w:tab w:val="left" w:pos="466"/>
        </w:tabs>
        <w:ind w:hanging="286"/>
      </w:pPr>
      <w:r w:rsidRPr="000C0780">
        <w:t>Consideraciones</w:t>
      </w:r>
    </w:p>
    <w:p w:rsidR="00CC1779" w:rsidRPr="000C0780" w:rsidRDefault="00CC1779">
      <w:pPr>
        <w:pStyle w:val="Textoindependiente"/>
        <w:spacing w:before="5"/>
        <w:rPr>
          <w:b/>
          <w:sz w:val="28"/>
        </w:rPr>
      </w:pPr>
    </w:p>
    <w:p w:rsidR="00CC1779" w:rsidRPr="000C0780" w:rsidRDefault="00734C8E">
      <w:pPr>
        <w:pStyle w:val="Textoindependiente"/>
        <w:spacing w:line="276" w:lineRule="auto"/>
        <w:ind w:left="180" w:right="207"/>
        <w:jc w:val="both"/>
      </w:pPr>
      <w:r w:rsidRPr="000C0780">
        <w:t>Los Documentos Tipo adoptados mediante el Decreto 342 de 2019 e implementados y desarrollados a través de la Resolución 1798 de 2019 expedida por Colombia Compra Eficiente, establecen las condiciones habilitantes, los factores técnicos y económicos de escogencia y los sistemas de ponderación de carácter obligatorio para las entidades estatales sometidas al Estatuto General de la Contratación Pública que adelanten procesos de selección de licitación de obra pública de infraestructura de transporte.</w:t>
      </w:r>
    </w:p>
    <w:p w:rsidR="00CC1779" w:rsidRPr="000C0780" w:rsidRDefault="00CC1779">
      <w:pPr>
        <w:pStyle w:val="Textoindependiente"/>
        <w:spacing w:before="5"/>
        <w:rPr>
          <w:sz w:val="25"/>
        </w:rPr>
      </w:pPr>
    </w:p>
    <w:p w:rsidR="00CC1779" w:rsidRPr="000C0780" w:rsidRDefault="00734C8E">
      <w:pPr>
        <w:pStyle w:val="Textoindependiente"/>
        <w:spacing w:line="276" w:lineRule="auto"/>
        <w:ind w:left="180" w:right="210"/>
        <w:jc w:val="both"/>
      </w:pPr>
      <w:r w:rsidRPr="000C0780">
        <w:t>Las causales de rechazo que aplican para los procesos de licitación de obra pública de infraestructura de transporte son las establecidas en la Ley y las definidas en el numeral</w:t>
      </w:r>
    </w:p>
    <w:p w:rsidR="00CC1779" w:rsidRPr="000C0780" w:rsidRDefault="00734C8E">
      <w:pPr>
        <w:pStyle w:val="Textoindependiente"/>
        <w:spacing w:before="1" w:line="276" w:lineRule="auto"/>
        <w:ind w:left="180"/>
      </w:pPr>
      <w:r w:rsidRPr="000C0780">
        <w:t>1.15 del Documento Base de los Documentos Tipo, sin que las entidades estatales puedan establecer otras.</w:t>
      </w:r>
    </w:p>
    <w:p w:rsidR="00CC1779" w:rsidRPr="000C0780" w:rsidRDefault="00CC1779">
      <w:pPr>
        <w:pStyle w:val="Textoindependiente"/>
        <w:spacing w:before="5"/>
        <w:rPr>
          <w:sz w:val="16"/>
        </w:rPr>
      </w:pPr>
    </w:p>
    <w:p w:rsidR="00CC1779" w:rsidRPr="000C0780" w:rsidRDefault="00734C8E">
      <w:pPr>
        <w:pStyle w:val="Textoindependiente"/>
        <w:spacing w:before="93" w:line="276" w:lineRule="auto"/>
        <w:ind w:left="180" w:right="205"/>
        <w:jc w:val="both"/>
      </w:pPr>
      <w:r w:rsidRPr="000C0780">
        <w:t>Acorde con la jurisprudencia del Consejo de Estado, las causales de rechazo son las establecidas en la Ley y las fijadas por la entidad estatal en los pliegos de condiciones, sin embargo, en ejercicio de dicha facultad no es posible que las entidades establezcan causales de rechazo que soslayen o afecten la selección objetiva en la contratación. Sobre el particular, la Sección Tercera, Sala de lo Contencioso Administrativo del Consejo de Estado, en sentencia del 27 de abril de 2011, radicado No 25000-23-26-000-1997-03924- 01(18293) con ponencia de Ruth Stella Correa Palacio:</w:t>
      </w:r>
    </w:p>
    <w:p w:rsidR="00CC1779" w:rsidRPr="000C0780" w:rsidRDefault="00CC1779">
      <w:pPr>
        <w:pStyle w:val="Textoindependiente"/>
        <w:spacing w:before="5"/>
        <w:rPr>
          <w:sz w:val="25"/>
        </w:rPr>
      </w:pPr>
    </w:p>
    <w:p w:rsidR="00CC1779" w:rsidRPr="000C0780" w:rsidRDefault="00734C8E">
      <w:pPr>
        <w:ind w:left="888" w:right="1201"/>
        <w:jc w:val="both"/>
        <w:rPr>
          <w:sz w:val="20"/>
        </w:rPr>
      </w:pPr>
      <w:r w:rsidRPr="000C0780">
        <w:rPr>
          <w:sz w:val="20"/>
        </w:rPr>
        <w:t xml:space="preserve">Quiere con esto destacar la Sala que las causales de rechazo de las propuestas pueden ser legales y por lo mismo generan el efecto del descarte o exclusión de </w:t>
      </w:r>
      <w:r w:rsidRPr="000C0780">
        <w:rPr>
          <w:sz w:val="20"/>
        </w:rPr>
        <w:lastRenderedPageBreak/>
        <w:t xml:space="preserve">la oferta </w:t>
      </w:r>
      <w:proofErr w:type="spellStart"/>
      <w:r w:rsidRPr="000C0780">
        <w:rPr>
          <w:i/>
          <w:sz w:val="20"/>
        </w:rPr>
        <w:t>ope</w:t>
      </w:r>
      <w:proofErr w:type="spellEnd"/>
      <w:r w:rsidRPr="000C0780">
        <w:rPr>
          <w:i/>
          <w:sz w:val="20"/>
        </w:rPr>
        <w:t xml:space="preserve"> </w:t>
      </w:r>
      <w:proofErr w:type="spellStart"/>
      <w:r w:rsidRPr="000C0780">
        <w:rPr>
          <w:i/>
          <w:sz w:val="20"/>
        </w:rPr>
        <w:t>legis</w:t>
      </w:r>
      <w:proofErr w:type="spellEnd"/>
      <w:r w:rsidRPr="000C0780">
        <w:rPr>
          <w:sz w:val="20"/>
        </w:rPr>
        <w:t>, sin necesidad de que se haga referencia a las mismas en el pliego de condiciones; o también pueden las causales de rechazo de las propuestas ser establecidas expresamente por la entidad en el respectivo pliego de condiciones. Lo cierto es que, sea que las causales de rechazo de la oferta emanen directamente de la ley o del pliego de condiciones, en uno y en otro caso se refieren a defectos, omisiones o circunstancias impeditivas que permiten deducir que la misma no resulta favorable para los intereses de la entidad y los fines de la contratación y que de soslayarse se comprometería el cumplimiento de los principios de transparencia, economía y responsabilidad, así como el deber de selección objetiva en la</w:t>
      </w:r>
      <w:r w:rsidRPr="000C0780">
        <w:rPr>
          <w:spacing w:val="-6"/>
          <w:sz w:val="20"/>
        </w:rPr>
        <w:t xml:space="preserve"> </w:t>
      </w:r>
      <w:r w:rsidRPr="000C0780">
        <w:rPr>
          <w:sz w:val="20"/>
        </w:rPr>
        <w:t>contratación</w:t>
      </w:r>
      <w:r w:rsidRPr="000C0780">
        <w:rPr>
          <w:sz w:val="20"/>
          <w:vertAlign w:val="superscript"/>
        </w:rPr>
        <w:t>1</w:t>
      </w:r>
      <w:r w:rsidRPr="000C0780">
        <w:rPr>
          <w:sz w:val="20"/>
        </w:rPr>
        <w:t>.</w:t>
      </w:r>
    </w:p>
    <w:p w:rsidR="00CC1779" w:rsidRPr="000C0780" w:rsidRDefault="00CC1779">
      <w:pPr>
        <w:pStyle w:val="Textoindependiente"/>
        <w:spacing w:before="4"/>
        <w:rPr>
          <w:sz w:val="25"/>
        </w:rPr>
      </w:pPr>
    </w:p>
    <w:p w:rsidR="00CC1779" w:rsidRPr="000C0780" w:rsidRDefault="00734C8E">
      <w:pPr>
        <w:pStyle w:val="Textoindependiente"/>
        <w:spacing w:before="1" w:line="276" w:lineRule="auto"/>
        <w:ind w:left="180" w:right="209"/>
        <w:jc w:val="both"/>
      </w:pPr>
      <w:r w:rsidRPr="000C0780">
        <w:t>En consecuencia, las causales de rechazo aplicables a los procesos de contratación que se adelanten a través de Documentos Tipo son únicamente las establecidas directamente en la Ley y las contenidas en el numeral 1.15 del Documento Base, allí la entidad estatal deberá verificar cuál de los supuestos previstos se configura en la evaluación del “Formulario 1- Formulario de Presupuesto</w:t>
      </w:r>
      <w:r w:rsidRPr="000C0780">
        <w:rPr>
          <w:spacing w:val="-11"/>
        </w:rPr>
        <w:t xml:space="preserve"> </w:t>
      </w:r>
      <w:r w:rsidRPr="000C0780">
        <w:t>Oficial”.</w:t>
      </w:r>
    </w:p>
    <w:p w:rsidR="00CC1779" w:rsidRPr="000C0780" w:rsidRDefault="00CC1779">
      <w:pPr>
        <w:pStyle w:val="Textoindependiente"/>
        <w:spacing w:before="3"/>
        <w:rPr>
          <w:sz w:val="25"/>
        </w:rPr>
      </w:pPr>
    </w:p>
    <w:p w:rsidR="00CC1779" w:rsidRPr="000C0780" w:rsidRDefault="00734C8E">
      <w:pPr>
        <w:pStyle w:val="Textoindependiente"/>
        <w:spacing w:line="276" w:lineRule="auto"/>
        <w:ind w:left="180" w:right="214"/>
        <w:jc w:val="both"/>
      </w:pPr>
      <w:r w:rsidRPr="000C0780">
        <w:t>El literal “L” del numeral 1.15 del “Documento Base o Pliego Tipo” establece como causal de rechazo:</w:t>
      </w:r>
    </w:p>
    <w:p w:rsidR="00CC1779" w:rsidRPr="000C0780" w:rsidRDefault="00734C8E">
      <w:pPr>
        <w:spacing w:before="200"/>
        <w:ind w:left="888"/>
        <w:jc w:val="both"/>
        <w:rPr>
          <w:b/>
          <w:sz w:val="20"/>
        </w:rPr>
      </w:pPr>
      <w:r w:rsidRPr="000C0780">
        <w:rPr>
          <w:b/>
          <w:sz w:val="20"/>
        </w:rPr>
        <w:t>1.15. CAUSALES DE RECHAZO</w:t>
      </w:r>
    </w:p>
    <w:p w:rsidR="00CC1779" w:rsidRPr="000C0780" w:rsidRDefault="00CC1779">
      <w:pPr>
        <w:pStyle w:val="Textoindependiente"/>
        <w:spacing w:before="2"/>
        <w:rPr>
          <w:b/>
          <w:sz w:val="20"/>
        </w:rPr>
      </w:pPr>
    </w:p>
    <w:p w:rsidR="00CC1779" w:rsidRPr="000C0780" w:rsidRDefault="00734C8E">
      <w:pPr>
        <w:ind w:left="888" w:right="4638"/>
        <w:rPr>
          <w:sz w:val="20"/>
        </w:rPr>
      </w:pPr>
      <w:r w:rsidRPr="000C0780">
        <w:rPr>
          <w:sz w:val="20"/>
        </w:rPr>
        <w:t>Son causales de rechazo las siguientes (...)</w:t>
      </w:r>
    </w:p>
    <w:p w:rsidR="00CC1779" w:rsidRPr="000C0780" w:rsidRDefault="00CC1779">
      <w:pPr>
        <w:pStyle w:val="Textoindependiente"/>
        <w:rPr>
          <w:sz w:val="20"/>
        </w:rPr>
      </w:pPr>
    </w:p>
    <w:p w:rsidR="00CC1779" w:rsidRPr="000C0780" w:rsidRDefault="00734C8E">
      <w:pPr>
        <w:ind w:left="888" w:right="1200"/>
        <w:jc w:val="both"/>
        <w:rPr>
          <w:sz w:val="20"/>
        </w:rPr>
      </w:pPr>
      <w:r w:rsidRPr="000C0780">
        <w:rPr>
          <w:sz w:val="20"/>
        </w:rPr>
        <w:t>L. Que la oferta presente una diferencia mayor o igual al uno por ciento (1%), por exceso o defecto, con respecto al valor registrado en el Formulario 1– Formulario de Presupuesto Oficial luego de realizar la corrección aritmética del ofrecimiento económico en los términos descritos en la sección 4.1 del Pliego de Condiciones.</w:t>
      </w:r>
    </w:p>
    <w:p w:rsidR="00CC1779" w:rsidRPr="000C0780" w:rsidRDefault="00CC1779">
      <w:pPr>
        <w:pStyle w:val="Textoindependiente"/>
        <w:rPr>
          <w:sz w:val="20"/>
        </w:rPr>
      </w:pPr>
    </w:p>
    <w:p w:rsidR="00CC1779" w:rsidRPr="000C0780" w:rsidRDefault="00837003">
      <w:pPr>
        <w:pStyle w:val="Textoindependiente"/>
        <w:spacing w:before="2"/>
        <w:rPr>
          <w:sz w:val="25"/>
        </w:rPr>
      </w:pPr>
      <w:r w:rsidRPr="000C0780">
        <w:rPr>
          <w:noProof/>
          <w:lang w:val="en-US"/>
        </w:rPr>
        <mc:AlternateContent>
          <mc:Choice Requires="wps">
            <w:drawing>
              <wp:anchor distT="0" distB="0" distL="0" distR="0" simplePos="0" relativeHeight="487588352" behindDoc="1" locked="0" layoutInCell="1" allowOverlap="1" wp14:anchorId="25EF6CD3" wp14:editId="6D2EAF65">
                <wp:simplePos x="0" y="0"/>
                <wp:positionH relativeFrom="page">
                  <wp:posOffset>1080135</wp:posOffset>
                </wp:positionH>
                <wp:positionV relativeFrom="paragraph">
                  <wp:posOffset>208915</wp:posOffset>
                </wp:positionV>
                <wp:extent cx="1828800" cy="9525"/>
                <wp:effectExtent l="0" t="0" r="0" b="0"/>
                <wp:wrapTopAndBottom/>
                <wp:docPr id="6"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95297E" id="Rectangle 4" o:spid="_x0000_s1026" style="position:absolute;margin-left:85.05pt;margin-top:16.45pt;width:2in;height:.75pt;z-index:-157281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" fillcolor="black" stroked="f">
                <w10:wrap type="topAndBottom" anchorx="page"/>
              </v:rect>
            </w:pict>
          </mc:Fallback>
        </mc:AlternateContent>
      </w:r>
    </w:p>
    <w:p w:rsidR="00CC1779" w:rsidRPr="000C0780" w:rsidRDefault="00734C8E">
      <w:pPr>
        <w:spacing w:before="83" w:line="244" w:lineRule="auto"/>
        <w:ind w:left="180" w:right="208" w:firstLine="707"/>
        <w:jc w:val="both"/>
        <w:rPr>
          <w:sz w:val="20"/>
        </w:rPr>
      </w:pPr>
      <w:r w:rsidRPr="000C0780">
        <w:rPr>
          <w:rFonts w:ascii="Carlito" w:hAnsi="Carlito"/>
          <w:position w:val="6"/>
          <w:sz w:val="13"/>
        </w:rPr>
        <w:t xml:space="preserve">1 </w:t>
      </w:r>
      <w:r w:rsidRPr="000C0780">
        <w:rPr>
          <w:sz w:val="20"/>
        </w:rPr>
        <w:t>Consejo de Estado, Sala de lo Contencioso Administrativo, Sección Tercera, sentencia del 27 de abril de 2011, radicado No 25000-23-26-000-1997-03924-01(18293), Consejera Ponente Ruth Stella Correa Palacio.</w:t>
      </w:r>
    </w:p>
    <w:p w:rsidR="00CC1779" w:rsidRPr="000C0780" w:rsidRDefault="00CC1779">
      <w:pPr>
        <w:spacing w:line="244" w:lineRule="auto"/>
        <w:jc w:val="both"/>
        <w:rPr>
          <w:sz w:val="20"/>
        </w:rPr>
        <w:sectPr w:rsidR="00CC1779" w:rsidRPr="000C0780">
          <w:pgSz w:w="12240" w:h="15840"/>
          <w:pgMar w:top="1560" w:right="1400" w:bottom="2140" w:left="1520" w:header="737" w:footer="1958" w:gutter="0"/>
          <w:cols w:space="720"/>
        </w:sectPr>
      </w:pPr>
    </w:p>
    <w:p w:rsidR="00CC1779" w:rsidRPr="000C0780" w:rsidRDefault="00CC1779">
      <w:pPr>
        <w:pStyle w:val="Textoindependiente"/>
        <w:rPr>
          <w:sz w:val="20"/>
        </w:rPr>
      </w:pPr>
    </w:p>
    <w:p w:rsidR="00CC1779" w:rsidRPr="000C0780" w:rsidRDefault="00CC1779">
      <w:pPr>
        <w:pStyle w:val="Textoindependiente"/>
        <w:rPr>
          <w:sz w:val="20"/>
        </w:rPr>
      </w:pPr>
    </w:p>
    <w:p w:rsidR="00CC1779" w:rsidRPr="000C0780" w:rsidRDefault="00CC1779">
      <w:pPr>
        <w:pStyle w:val="Textoindependiente"/>
        <w:spacing w:before="11"/>
        <w:rPr>
          <w:sz w:val="21"/>
        </w:rPr>
      </w:pPr>
    </w:p>
    <w:p w:rsidR="00CC1779" w:rsidRPr="000C0780" w:rsidRDefault="00734C8E">
      <w:pPr>
        <w:pStyle w:val="Textoindependiente"/>
        <w:spacing w:before="93" w:line="276" w:lineRule="auto"/>
        <w:ind w:left="180" w:right="202"/>
        <w:jc w:val="both"/>
      </w:pPr>
      <w:r w:rsidRPr="000C0780">
        <w:t>Esta causal de rechazo debe ser analizada en conjunto con el numeral 4.1 del “Documento Base o Pliego Tipo”, especialmente el numeral “4.1.2 CORRECCIONES ARITMÉTICAS” que dispone:</w:t>
      </w:r>
    </w:p>
    <w:p w:rsidR="00CC1779" w:rsidRPr="000C0780" w:rsidRDefault="00CC1779">
      <w:pPr>
        <w:pStyle w:val="Textoindependiente"/>
        <w:spacing w:before="5"/>
        <w:rPr>
          <w:sz w:val="35"/>
        </w:rPr>
      </w:pPr>
    </w:p>
    <w:p w:rsidR="00CC1779" w:rsidRPr="000C0780" w:rsidRDefault="00734C8E">
      <w:pPr>
        <w:ind w:left="888"/>
        <w:jc w:val="both"/>
        <w:rPr>
          <w:b/>
          <w:sz w:val="20"/>
        </w:rPr>
      </w:pPr>
      <w:r w:rsidRPr="000C0780">
        <w:rPr>
          <w:b/>
          <w:sz w:val="20"/>
        </w:rPr>
        <w:t>“4.1.2. CORRECCIONES ARITMÉTICAS</w:t>
      </w:r>
    </w:p>
    <w:p w:rsidR="00CC1779" w:rsidRPr="000C0780" w:rsidRDefault="00CC1779">
      <w:pPr>
        <w:pStyle w:val="Textoindependiente"/>
        <w:spacing w:before="1"/>
        <w:rPr>
          <w:b/>
          <w:sz w:val="21"/>
        </w:rPr>
      </w:pPr>
    </w:p>
    <w:p w:rsidR="00CC1779" w:rsidRPr="000C0780" w:rsidRDefault="00734C8E">
      <w:pPr>
        <w:spacing w:before="1"/>
        <w:ind w:left="888"/>
        <w:jc w:val="both"/>
        <w:rPr>
          <w:sz w:val="20"/>
        </w:rPr>
      </w:pPr>
      <w:r w:rsidRPr="000C0780">
        <w:rPr>
          <w:sz w:val="20"/>
        </w:rPr>
        <w:t>La Entidad sólo efectuará correcciones aritméticas originadas por:</w:t>
      </w:r>
    </w:p>
    <w:p w:rsidR="00CC1779" w:rsidRPr="000C0780" w:rsidRDefault="00CC1779">
      <w:pPr>
        <w:pStyle w:val="Textoindependiente"/>
        <w:spacing w:before="4"/>
        <w:rPr>
          <w:sz w:val="17"/>
        </w:rPr>
      </w:pPr>
    </w:p>
    <w:p w:rsidR="00CC1779" w:rsidRPr="000C0780" w:rsidRDefault="00734C8E">
      <w:pPr>
        <w:pStyle w:val="Prrafodelista"/>
        <w:numPr>
          <w:ilvl w:val="0"/>
          <w:numId w:val="1"/>
        </w:numPr>
        <w:tabs>
          <w:tab w:val="left" w:pos="1608"/>
        </w:tabs>
        <w:ind w:right="915"/>
        <w:jc w:val="both"/>
        <w:rPr>
          <w:sz w:val="20"/>
        </w:rPr>
      </w:pPr>
      <w:r w:rsidRPr="000C0780">
        <w:rPr>
          <w:sz w:val="20"/>
        </w:rPr>
        <w:t>Todas las operaciones aritméticas a que haya lugar en la propuesta económica.</w:t>
      </w:r>
    </w:p>
    <w:p w:rsidR="00CC1779" w:rsidRPr="000C0780" w:rsidRDefault="00734C8E">
      <w:pPr>
        <w:pStyle w:val="Prrafodelista"/>
        <w:numPr>
          <w:ilvl w:val="0"/>
          <w:numId w:val="1"/>
        </w:numPr>
        <w:tabs>
          <w:tab w:val="left" w:pos="1608"/>
        </w:tabs>
        <w:spacing w:before="1"/>
        <w:ind w:right="914"/>
        <w:jc w:val="both"/>
        <w:rPr>
          <w:sz w:val="20"/>
        </w:rPr>
      </w:pPr>
      <w:r w:rsidRPr="000C0780">
        <w:rPr>
          <w:sz w:val="20"/>
        </w:rPr>
        <w:t>El ajuste al peso ya sea por exceso o por defecto de los precios unitarios contenidos en la propuesta económica de las operaciones aritméticas a que haya lugar y del valor del IVA, así: cuando la fracción decimal del peso sea igual o superior a punto cinco (0.5) se aproximará por exceso al número entero siguiente del peso y cuando la fracción decimal del peso sea inferior a punto cinco (0.5) se aproximará por defecto al número</w:t>
      </w:r>
      <w:r w:rsidRPr="000C0780">
        <w:rPr>
          <w:spacing w:val="-12"/>
          <w:sz w:val="20"/>
        </w:rPr>
        <w:t xml:space="preserve"> </w:t>
      </w:r>
      <w:r w:rsidRPr="000C0780">
        <w:rPr>
          <w:sz w:val="20"/>
        </w:rPr>
        <w:t>entero.</w:t>
      </w:r>
    </w:p>
    <w:p w:rsidR="00CC1779" w:rsidRPr="000C0780" w:rsidRDefault="00CC1779">
      <w:pPr>
        <w:pStyle w:val="Textoindependiente"/>
        <w:spacing w:before="4"/>
        <w:rPr>
          <w:sz w:val="30"/>
        </w:rPr>
      </w:pPr>
    </w:p>
    <w:p w:rsidR="00CC1779" w:rsidRPr="000C0780" w:rsidRDefault="00734C8E">
      <w:pPr>
        <w:spacing w:before="1"/>
        <w:ind w:left="888" w:right="918"/>
        <w:jc w:val="both"/>
        <w:rPr>
          <w:sz w:val="20"/>
        </w:rPr>
      </w:pPr>
      <w:r w:rsidRPr="000C0780">
        <w:rPr>
          <w:sz w:val="20"/>
        </w:rPr>
        <w:t>La Entidad a partir del valor total corregido de las propuestas asignará máximo setenta (70) puntos acumulables de conformidad con el procedimiento del numeral 4.1.4.”</w:t>
      </w:r>
    </w:p>
    <w:p w:rsidR="00CC1779" w:rsidRPr="000C0780" w:rsidRDefault="00CC1779">
      <w:pPr>
        <w:pStyle w:val="Textoindependiente"/>
        <w:spacing w:before="8"/>
        <w:rPr>
          <w:sz w:val="20"/>
        </w:rPr>
      </w:pPr>
    </w:p>
    <w:p w:rsidR="00CC1779" w:rsidRPr="000C0780" w:rsidRDefault="00734C8E">
      <w:pPr>
        <w:pStyle w:val="Textoindependiente"/>
        <w:spacing w:before="1" w:line="276" w:lineRule="auto"/>
        <w:ind w:left="180" w:right="203"/>
        <w:jc w:val="both"/>
      </w:pPr>
      <w:r w:rsidRPr="000C0780">
        <w:t>El “Documento Base o Pliego Tipo” contempla la forma de corregir las operaciones aritméticas y las aproximaciones de las cifras decimales. Por lo tanto, la entidad durante la etapa de evaluación de las ofertas económicas de los proponentes habilitados debe verificar con base en la información registrada en el “Formulario 1 – Formulario de Presupuesto Oficial”, cada una de las operaciones aritméticas que permitan verificar el valor real ofertado por el proponente. Ejemplo</w:t>
      </w:r>
      <w:r w:rsidRPr="000C0780">
        <w:rPr>
          <w:vertAlign w:val="superscript"/>
        </w:rPr>
        <w:t>2</w:t>
      </w:r>
      <w:r w:rsidRPr="000C0780">
        <w:t>: el proponente oferta en el “Formulario 1 – Formulario</w:t>
      </w:r>
      <w:r w:rsidRPr="000C0780">
        <w:rPr>
          <w:spacing w:val="40"/>
        </w:rPr>
        <w:t xml:space="preserve"> </w:t>
      </w:r>
      <w:r w:rsidRPr="000C0780">
        <w:t>de</w:t>
      </w:r>
      <w:r w:rsidRPr="000C0780">
        <w:rPr>
          <w:spacing w:val="40"/>
        </w:rPr>
        <w:t xml:space="preserve"> </w:t>
      </w:r>
      <w:r w:rsidRPr="000C0780">
        <w:t>Presupuesto</w:t>
      </w:r>
      <w:r w:rsidRPr="000C0780">
        <w:rPr>
          <w:spacing w:val="43"/>
        </w:rPr>
        <w:t xml:space="preserve"> </w:t>
      </w:r>
      <w:r w:rsidRPr="000C0780">
        <w:t>Oficial”</w:t>
      </w:r>
      <w:r w:rsidRPr="000C0780">
        <w:rPr>
          <w:spacing w:val="42"/>
        </w:rPr>
        <w:t xml:space="preserve"> </w:t>
      </w:r>
      <w:r w:rsidRPr="000C0780">
        <w:t>como</w:t>
      </w:r>
      <w:r w:rsidRPr="000C0780">
        <w:rPr>
          <w:spacing w:val="42"/>
        </w:rPr>
        <w:t xml:space="preserve"> </w:t>
      </w:r>
      <w:r w:rsidRPr="000C0780">
        <w:t>“valor</w:t>
      </w:r>
      <w:r w:rsidRPr="000C0780">
        <w:rPr>
          <w:spacing w:val="42"/>
        </w:rPr>
        <w:t xml:space="preserve"> </w:t>
      </w:r>
      <w:r w:rsidRPr="000C0780">
        <w:t>unitario”</w:t>
      </w:r>
      <w:r w:rsidRPr="000C0780">
        <w:rPr>
          <w:spacing w:val="41"/>
        </w:rPr>
        <w:t xml:space="preserve"> </w:t>
      </w:r>
      <w:r w:rsidRPr="000C0780">
        <w:t>del</w:t>
      </w:r>
      <w:r w:rsidRPr="000C0780">
        <w:rPr>
          <w:spacing w:val="47"/>
        </w:rPr>
        <w:t xml:space="preserve"> </w:t>
      </w:r>
      <w:r w:rsidRPr="000C0780">
        <w:rPr>
          <w:i/>
        </w:rPr>
        <w:t>ítem</w:t>
      </w:r>
      <w:r w:rsidRPr="000C0780">
        <w:rPr>
          <w:i/>
          <w:spacing w:val="37"/>
        </w:rPr>
        <w:t xml:space="preserve"> </w:t>
      </w:r>
      <w:r w:rsidRPr="000C0780">
        <w:t>450.1.2P</w:t>
      </w:r>
      <w:r w:rsidRPr="000C0780">
        <w:rPr>
          <w:spacing w:val="43"/>
        </w:rPr>
        <w:t xml:space="preserve"> </w:t>
      </w:r>
      <w:r w:rsidRPr="000C0780">
        <w:t>la</w:t>
      </w:r>
      <w:r w:rsidRPr="000C0780">
        <w:rPr>
          <w:spacing w:val="40"/>
        </w:rPr>
        <w:t xml:space="preserve"> </w:t>
      </w:r>
      <w:r w:rsidRPr="000C0780">
        <w:t>suma</w:t>
      </w:r>
      <w:r w:rsidRPr="000C0780">
        <w:rPr>
          <w:spacing w:val="43"/>
        </w:rPr>
        <w:t xml:space="preserve"> </w:t>
      </w:r>
      <w:r w:rsidRPr="000C0780">
        <w:t>de</w:t>
      </w:r>
    </w:p>
    <w:p w:rsidR="00CC1779" w:rsidRPr="000C0780" w:rsidRDefault="00734C8E">
      <w:pPr>
        <w:pStyle w:val="Textoindependiente"/>
        <w:spacing w:before="1" w:line="276" w:lineRule="auto"/>
        <w:ind w:left="180" w:right="208"/>
        <w:jc w:val="both"/>
      </w:pPr>
      <w:r w:rsidRPr="000C0780">
        <w:t xml:space="preserve">$618.720,00, por lo cual la entidad debe verificar que dicho valor corresponda al “valor total” ofertado para ese </w:t>
      </w:r>
      <w:r w:rsidRPr="000C0780">
        <w:rPr>
          <w:i/>
        </w:rPr>
        <w:t xml:space="preserve">ítem </w:t>
      </w:r>
      <w:r w:rsidRPr="000C0780">
        <w:t xml:space="preserve">de acuerdo con las cantidades requeridas y que la sumatoria de la totalidad de </w:t>
      </w:r>
      <w:r w:rsidRPr="000C0780">
        <w:rPr>
          <w:i/>
        </w:rPr>
        <w:t xml:space="preserve">ítems </w:t>
      </w:r>
      <w:r w:rsidRPr="000C0780">
        <w:t>incluye la diferencia producto de la</w:t>
      </w:r>
      <w:r w:rsidRPr="000C0780">
        <w:rPr>
          <w:spacing w:val="-19"/>
        </w:rPr>
        <w:t xml:space="preserve"> </w:t>
      </w:r>
      <w:r w:rsidRPr="000C0780">
        <w:t>corrección:</w:t>
      </w:r>
    </w:p>
    <w:p w:rsidR="00CC1779" w:rsidRPr="000C0780" w:rsidRDefault="00CC1779">
      <w:pPr>
        <w:pStyle w:val="Textoindependiente"/>
        <w:spacing w:before="2"/>
        <w:rPr>
          <w:sz w:val="25"/>
        </w:rPr>
      </w:pPr>
    </w:p>
    <w:p w:rsidR="00CC1779" w:rsidRPr="000C0780" w:rsidRDefault="00734C8E">
      <w:pPr>
        <w:pStyle w:val="Prrafodelista"/>
        <w:numPr>
          <w:ilvl w:val="0"/>
          <w:numId w:val="2"/>
        </w:numPr>
        <w:tabs>
          <w:tab w:val="left" w:pos="900"/>
          <w:tab w:val="left" w:pos="901"/>
        </w:tabs>
        <w:ind w:hanging="361"/>
      </w:pPr>
      <w:r w:rsidRPr="000C0780">
        <w:t>Valor ofertado por el</w:t>
      </w:r>
      <w:r w:rsidRPr="000C0780">
        <w:rPr>
          <w:spacing w:val="-7"/>
        </w:rPr>
        <w:t xml:space="preserve"> </w:t>
      </w:r>
      <w:r w:rsidRPr="000C0780">
        <w:t>proponente:</w:t>
      </w:r>
    </w:p>
    <w:p w:rsidR="00CC1779" w:rsidRPr="000C0780" w:rsidRDefault="00CC1779">
      <w:pPr>
        <w:pStyle w:val="Textoindependiente"/>
        <w:spacing w:before="1"/>
        <w:rPr>
          <w:sz w:val="29"/>
        </w:rPr>
      </w:pPr>
    </w:p>
    <w:tbl>
      <w:tblPr>
        <w:tblStyle w:val="TableNormal"/>
        <w:tblW w:w="0" w:type="auto"/>
        <w:tblInd w:w="11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845"/>
        <w:gridCol w:w="968"/>
        <w:gridCol w:w="1051"/>
        <w:gridCol w:w="2531"/>
        <w:gridCol w:w="483"/>
        <w:gridCol w:w="873"/>
        <w:gridCol w:w="916"/>
        <w:gridCol w:w="1408"/>
      </w:tblGrid>
      <w:tr w:rsidR="000C0780" w:rsidRPr="000C0780">
        <w:trPr>
          <w:trHeight w:val="195"/>
        </w:trPr>
        <w:tc>
          <w:tcPr>
            <w:tcW w:w="845" w:type="dxa"/>
            <w:vMerge w:val="restart"/>
            <w:tcBorders>
              <w:left w:val="single" w:sz="4" w:space="0" w:color="000000"/>
              <w:right w:val="single" w:sz="4" w:space="0" w:color="000000"/>
            </w:tcBorders>
          </w:tcPr>
          <w:p w:rsidR="00CC1779" w:rsidRPr="000C0780" w:rsidRDefault="00734C8E">
            <w:pPr>
              <w:pStyle w:val="TableParagraph"/>
              <w:spacing w:before="13" w:line="276" w:lineRule="auto"/>
              <w:ind w:left="215" w:right="110" w:hanging="78"/>
              <w:rPr>
                <w:rFonts w:ascii="Arial"/>
                <w:b/>
                <w:sz w:val="14"/>
              </w:rPr>
            </w:pPr>
            <w:r w:rsidRPr="000C0780">
              <w:rPr>
                <w:rFonts w:ascii="Arial"/>
                <w:b/>
                <w:sz w:val="14"/>
              </w:rPr>
              <w:t>ITEM DE PAGO</w:t>
            </w:r>
          </w:p>
        </w:tc>
        <w:tc>
          <w:tcPr>
            <w:tcW w:w="2019" w:type="dxa"/>
            <w:gridSpan w:val="2"/>
            <w:tcBorders>
              <w:left w:val="single" w:sz="4" w:space="0" w:color="000000"/>
              <w:bottom w:val="single" w:sz="4" w:space="0" w:color="000000"/>
            </w:tcBorders>
          </w:tcPr>
          <w:p w:rsidR="00CC1779" w:rsidRPr="000C0780" w:rsidRDefault="00734C8E">
            <w:pPr>
              <w:pStyle w:val="TableParagraph"/>
              <w:spacing w:before="3"/>
              <w:ind w:left="322"/>
              <w:rPr>
                <w:rFonts w:ascii="Arial"/>
                <w:b/>
                <w:sz w:val="14"/>
              </w:rPr>
            </w:pPr>
            <w:r w:rsidRPr="000C0780">
              <w:rPr>
                <w:rFonts w:ascii="Arial"/>
                <w:b/>
                <w:sz w:val="14"/>
              </w:rPr>
              <w:t>ESPECIFICACIONES</w:t>
            </w:r>
          </w:p>
        </w:tc>
        <w:tc>
          <w:tcPr>
            <w:tcW w:w="2531" w:type="dxa"/>
            <w:vMerge w:val="restart"/>
            <w:tcBorders>
              <w:right w:val="single" w:sz="4" w:space="0" w:color="000000"/>
            </w:tcBorders>
          </w:tcPr>
          <w:p w:rsidR="00CC1779" w:rsidRPr="000C0780" w:rsidRDefault="00734C8E">
            <w:pPr>
              <w:pStyle w:val="TableParagraph"/>
              <w:spacing w:before="106"/>
              <w:ind w:left="773"/>
              <w:rPr>
                <w:rFonts w:ascii="Arial"/>
                <w:b/>
                <w:sz w:val="14"/>
              </w:rPr>
            </w:pPr>
            <w:r w:rsidRPr="000C0780">
              <w:rPr>
                <w:rFonts w:ascii="Arial"/>
                <w:b/>
                <w:sz w:val="14"/>
              </w:rPr>
              <w:t>DESCRIPCION</w:t>
            </w:r>
          </w:p>
        </w:tc>
        <w:tc>
          <w:tcPr>
            <w:tcW w:w="483" w:type="dxa"/>
            <w:vMerge w:val="restart"/>
            <w:tcBorders>
              <w:left w:val="single" w:sz="4" w:space="0" w:color="000000"/>
              <w:right w:val="single" w:sz="4" w:space="0" w:color="000000"/>
            </w:tcBorders>
          </w:tcPr>
          <w:p w:rsidR="00CC1779" w:rsidRPr="000C0780" w:rsidRDefault="00734C8E">
            <w:pPr>
              <w:pStyle w:val="TableParagraph"/>
              <w:spacing w:before="106"/>
              <w:ind w:left="70"/>
              <w:rPr>
                <w:rFonts w:ascii="Arial"/>
                <w:b/>
                <w:sz w:val="14"/>
              </w:rPr>
            </w:pPr>
            <w:r w:rsidRPr="000C0780">
              <w:rPr>
                <w:rFonts w:ascii="Arial"/>
                <w:b/>
                <w:sz w:val="14"/>
              </w:rPr>
              <w:t>UND.</w:t>
            </w:r>
          </w:p>
        </w:tc>
        <w:tc>
          <w:tcPr>
            <w:tcW w:w="873" w:type="dxa"/>
            <w:vMerge w:val="restart"/>
            <w:tcBorders>
              <w:left w:val="single" w:sz="4" w:space="0" w:color="000000"/>
              <w:right w:val="single" w:sz="4" w:space="0" w:color="000000"/>
            </w:tcBorders>
          </w:tcPr>
          <w:p w:rsidR="00CC1779" w:rsidRPr="000C0780" w:rsidRDefault="00734C8E">
            <w:pPr>
              <w:pStyle w:val="TableParagraph"/>
              <w:spacing w:before="106"/>
              <w:ind w:left="70"/>
              <w:rPr>
                <w:rFonts w:ascii="Arial"/>
                <w:b/>
                <w:sz w:val="14"/>
              </w:rPr>
            </w:pPr>
            <w:r w:rsidRPr="000C0780">
              <w:rPr>
                <w:rFonts w:ascii="Arial"/>
                <w:b/>
                <w:sz w:val="14"/>
              </w:rPr>
              <w:t>CANTIDAD</w:t>
            </w:r>
          </w:p>
        </w:tc>
        <w:tc>
          <w:tcPr>
            <w:tcW w:w="916" w:type="dxa"/>
            <w:vMerge w:val="restart"/>
            <w:tcBorders>
              <w:left w:val="single" w:sz="4" w:space="0" w:color="000000"/>
              <w:right w:val="single" w:sz="4" w:space="0" w:color="000000"/>
            </w:tcBorders>
          </w:tcPr>
          <w:p w:rsidR="00CC1779" w:rsidRPr="000C0780" w:rsidRDefault="00734C8E">
            <w:pPr>
              <w:pStyle w:val="TableParagraph"/>
              <w:spacing w:before="13" w:line="276" w:lineRule="auto"/>
              <w:ind w:left="117" w:right="92" w:firstLine="95"/>
              <w:rPr>
                <w:rFonts w:ascii="Arial"/>
                <w:b/>
                <w:sz w:val="14"/>
              </w:rPr>
            </w:pPr>
            <w:r w:rsidRPr="000C0780">
              <w:rPr>
                <w:rFonts w:ascii="Arial"/>
                <w:b/>
                <w:sz w:val="14"/>
              </w:rPr>
              <w:t>VALOR UNITARIO</w:t>
            </w:r>
          </w:p>
        </w:tc>
        <w:tc>
          <w:tcPr>
            <w:tcW w:w="1408" w:type="dxa"/>
            <w:vMerge w:val="restart"/>
            <w:tcBorders>
              <w:left w:val="single" w:sz="4" w:space="0" w:color="000000"/>
            </w:tcBorders>
          </w:tcPr>
          <w:p w:rsidR="00CC1779" w:rsidRPr="000C0780" w:rsidRDefault="00734C8E">
            <w:pPr>
              <w:pStyle w:val="TableParagraph"/>
              <w:spacing w:before="106"/>
              <w:ind w:left="204"/>
              <w:rPr>
                <w:rFonts w:ascii="Arial"/>
                <w:b/>
                <w:sz w:val="14"/>
              </w:rPr>
            </w:pPr>
            <w:r w:rsidRPr="000C0780">
              <w:rPr>
                <w:rFonts w:ascii="Arial"/>
                <w:b/>
                <w:sz w:val="14"/>
              </w:rPr>
              <w:t>VALOR TOTAL</w:t>
            </w:r>
          </w:p>
        </w:tc>
      </w:tr>
      <w:tr w:rsidR="000C0780" w:rsidRPr="000C0780">
        <w:trPr>
          <w:trHeight w:val="190"/>
        </w:trPr>
        <w:tc>
          <w:tcPr>
            <w:tcW w:w="845" w:type="dxa"/>
            <w:vMerge/>
            <w:tcBorders>
              <w:top w:val="nil"/>
              <w:left w:val="single" w:sz="4" w:space="0" w:color="000000"/>
              <w:right w:val="single" w:sz="4" w:space="0" w:color="000000"/>
            </w:tcBorders>
          </w:tcPr>
          <w:p w:rsidR="00CC1779" w:rsidRPr="000C0780" w:rsidRDefault="00CC1779">
            <w:pPr>
              <w:rPr>
                <w:sz w:val="2"/>
                <w:szCs w:val="2"/>
              </w:rPr>
            </w:pPr>
          </w:p>
        </w:tc>
        <w:tc>
          <w:tcPr>
            <w:tcW w:w="968" w:type="dxa"/>
            <w:tcBorders>
              <w:top w:val="single" w:sz="4" w:space="0" w:color="000000"/>
              <w:left w:val="single" w:sz="4" w:space="0" w:color="000000"/>
              <w:right w:val="single" w:sz="4" w:space="0" w:color="000000"/>
            </w:tcBorders>
          </w:tcPr>
          <w:p w:rsidR="00CC1779" w:rsidRPr="000C0780" w:rsidRDefault="00734C8E">
            <w:pPr>
              <w:pStyle w:val="TableParagraph"/>
              <w:spacing w:before="1"/>
              <w:ind w:left="142"/>
              <w:rPr>
                <w:rFonts w:ascii="Arial"/>
                <w:b/>
                <w:sz w:val="14"/>
              </w:rPr>
            </w:pPr>
            <w:r w:rsidRPr="000C0780">
              <w:rPr>
                <w:rFonts w:ascii="Arial"/>
                <w:b/>
                <w:sz w:val="14"/>
              </w:rPr>
              <w:t>GENERAL</w:t>
            </w:r>
          </w:p>
        </w:tc>
        <w:tc>
          <w:tcPr>
            <w:tcW w:w="1051" w:type="dxa"/>
            <w:tcBorders>
              <w:top w:val="single" w:sz="4" w:space="0" w:color="000000"/>
              <w:left w:val="single" w:sz="4" w:space="0" w:color="000000"/>
            </w:tcBorders>
          </w:tcPr>
          <w:p w:rsidR="00CC1779" w:rsidRPr="000C0780" w:rsidRDefault="00734C8E">
            <w:pPr>
              <w:pStyle w:val="TableParagraph"/>
              <w:spacing w:before="1"/>
              <w:ind w:left="71"/>
              <w:rPr>
                <w:rFonts w:ascii="Arial"/>
                <w:b/>
                <w:sz w:val="14"/>
              </w:rPr>
            </w:pPr>
            <w:r w:rsidRPr="000C0780">
              <w:rPr>
                <w:rFonts w:ascii="Arial"/>
                <w:b/>
                <w:sz w:val="14"/>
              </w:rPr>
              <w:t>PARTICULAR</w:t>
            </w:r>
          </w:p>
        </w:tc>
        <w:tc>
          <w:tcPr>
            <w:tcW w:w="2531" w:type="dxa"/>
            <w:vMerge/>
            <w:tcBorders>
              <w:top w:val="nil"/>
              <w:right w:val="single" w:sz="4" w:space="0" w:color="000000"/>
            </w:tcBorders>
          </w:tcPr>
          <w:p w:rsidR="00CC1779" w:rsidRPr="000C0780" w:rsidRDefault="00CC1779">
            <w:pPr>
              <w:rPr>
                <w:sz w:val="2"/>
                <w:szCs w:val="2"/>
              </w:rPr>
            </w:pPr>
          </w:p>
        </w:tc>
        <w:tc>
          <w:tcPr>
            <w:tcW w:w="483" w:type="dxa"/>
            <w:vMerge/>
            <w:tcBorders>
              <w:top w:val="nil"/>
              <w:left w:val="single" w:sz="4" w:space="0" w:color="000000"/>
              <w:right w:val="single" w:sz="4" w:space="0" w:color="000000"/>
            </w:tcBorders>
          </w:tcPr>
          <w:p w:rsidR="00CC1779" w:rsidRPr="000C0780" w:rsidRDefault="00CC1779">
            <w:pPr>
              <w:rPr>
                <w:sz w:val="2"/>
                <w:szCs w:val="2"/>
              </w:rPr>
            </w:pPr>
          </w:p>
        </w:tc>
        <w:tc>
          <w:tcPr>
            <w:tcW w:w="873" w:type="dxa"/>
            <w:vMerge/>
            <w:tcBorders>
              <w:top w:val="nil"/>
              <w:left w:val="single" w:sz="4" w:space="0" w:color="000000"/>
              <w:right w:val="single" w:sz="4" w:space="0" w:color="000000"/>
            </w:tcBorders>
          </w:tcPr>
          <w:p w:rsidR="00CC1779" w:rsidRPr="000C0780" w:rsidRDefault="00CC1779">
            <w:pPr>
              <w:rPr>
                <w:sz w:val="2"/>
                <w:szCs w:val="2"/>
              </w:rPr>
            </w:pPr>
          </w:p>
        </w:tc>
        <w:tc>
          <w:tcPr>
            <w:tcW w:w="916" w:type="dxa"/>
            <w:vMerge/>
            <w:tcBorders>
              <w:top w:val="nil"/>
              <w:left w:val="single" w:sz="4" w:space="0" w:color="000000"/>
              <w:right w:val="single" w:sz="4" w:space="0" w:color="000000"/>
            </w:tcBorders>
          </w:tcPr>
          <w:p w:rsidR="00CC1779" w:rsidRPr="000C0780" w:rsidRDefault="00CC1779">
            <w:pPr>
              <w:rPr>
                <w:sz w:val="2"/>
                <w:szCs w:val="2"/>
              </w:rPr>
            </w:pPr>
          </w:p>
        </w:tc>
        <w:tc>
          <w:tcPr>
            <w:tcW w:w="1408" w:type="dxa"/>
            <w:vMerge/>
            <w:tcBorders>
              <w:top w:val="nil"/>
              <w:left w:val="single" w:sz="4" w:space="0" w:color="000000"/>
            </w:tcBorders>
          </w:tcPr>
          <w:p w:rsidR="00CC1779" w:rsidRPr="000C0780" w:rsidRDefault="00CC1779">
            <w:pPr>
              <w:rPr>
                <w:sz w:val="2"/>
                <w:szCs w:val="2"/>
              </w:rPr>
            </w:pPr>
          </w:p>
        </w:tc>
      </w:tr>
      <w:tr w:rsidR="000C0780" w:rsidRPr="000C0780">
        <w:trPr>
          <w:trHeight w:val="185"/>
        </w:trPr>
        <w:tc>
          <w:tcPr>
            <w:tcW w:w="9075" w:type="dxa"/>
            <w:gridSpan w:val="8"/>
            <w:tcBorders>
              <w:left w:val="nil"/>
            </w:tcBorders>
            <w:shd w:val="clear" w:color="auto" w:fill="808080"/>
          </w:tcPr>
          <w:p w:rsidR="00CC1779" w:rsidRPr="000C0780" w:rsidRDefault="00CC1779">
            <w:pPr>
              <w:pStyle w:val="TableParagraph"/>
              <w:rPr>
                <w:rFonts w:ascii="Times New Roman"/>
                <w:sz w:val="12"/>
              </w:rPr>
            </w:pPr>
          </w:p>
        </w:tc>
      </w:tr>
    </w:tbl>
    <w:p w:rsidR="00CC1779" w:rsidRPr="000C0780" w:rsidRDefault="00837003">
      <w:pPr>
        <w:pStyle w:val="Textoindependiente"/>
        <w:spacing w:before="2"/>
        <w:rPr>
          <w:sz w:val="19"/>
        </w:rPr>
      </w:pPr>
      <w:r w:rsidRPr="000C0780">
        <w:rPr>
          <w:noProof/>
          <w:lang w:val="en-US"/>
        </w:rPr>
        <mc:AlternateContent>
          <mc:Choice Requires="wps">
            <w:drawing>
              <wp:anchor distT="0" distB="0" distL="0" distR="0" simplePos="0" relativeHeight="487588864" behindDoc="1" locked="0" layoutInCell="1" allowOverlap="1" wp14:anchorId="330BA03E" wp14:editId="600F2963">
                <wp:simplePos x="0" y="0"/>
                <wp:positionH relativeFrom="page">
                  <wp:posOffset>1080135</wp:posOffset>
                </wp:positionH>
                <wp:positionV relativeFrom="paragraph">
                  <wp:posOffset>165100</wp:posOffset>
                </wp:positionV>
                <wp:extent cx="1828800" cy="9525"/>
                <wp:effectExtent l="0" t="0" r="0" b="0"/>
                <wp:wrapTopAndBottom/>
                <wp:docPr id="4"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952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126F8B3" id="Rectangle 3" o:spid="_x0000_s1026" style="position:absolute;margin-left:85.05pt;margin-top:13pt;width:2in;height:.75pt;z-index:-15727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" fillcolor="black" stroked="f">
                <w10:wrap type="topAndBottom" anchorx="page"/>
              </v:rect>
            </w:pict>
          </mc:Fallback>
        </mc:AlternateContent>
      </w:r>
    </w:p>
    <w:p w:rsidR="00CC1779" w:rsidRPr="000C0780" w:rsidRDefault="00734C8E">
      <w:pPr>
        <w:spacing w:before="86" w:line="244" w:lineRule="auto"/>
        <w:ind w:left="180" w:right="204" w:firstLine="707"/>
        <w:jc w:val="both"/>
        <w:rPr>
          <w:sz w:val="20"/>
        </w:rPr>
      </w:pPr>
      <w:r w:rsidRPr="000C0780">
        <w:rPr>
          <w:rFonts w:ascii="Carlito" w:hAnsi="Carlito"/>
          <w:position w:val="6"/>
          <w:sz w:val="13"/>
        </w:rPr>
        <w:t xml:space="preserve">2 </w:t>
      </w:r>
      <w:r w:rsidRPr="000C0780">
        <w:rPr>
          <w:sz w:val="20"/>
        </w:rPr>
        <w:t>Tomado del formulario de presupuesto oficial del proceso de Licitación Pública N° LP-DO- 003-2018 que tiene por objeto la “GESTIÓN SOCIAL, PREDIAL, AMBIENTAL Y CONSTRUCCIÓN DE LA VARIANTE DE SAN GIL EN EL DEPARTAMENTO DE SANTANDER” tramitado por el</w:t>
      </w:r>
    </w:p>
    <w:p w:rsidR="00CC1779" w:rsidRPr="000C0780" w:rsidRDefault="00734C8E">
      <w:pPr>
        <w:spacing w:line="224" w:lineRule="exact"/>
        <w:ind w:left="180"/>
        <w:jc w:val="both"/>
        <w:rPr>
          <w:sz w:val="20"/>
        </w:rPr>
      </w:pPr>
      <w:r w:rsidRPr="000C0780">
        <w:rPr>
          <w:sz w:val="20"/>
        </w:rPr>
        <w:t>Instituto Nacional de Vías – INVIAS.</w:t>
      </w:r>
    </w:p>
    <w:p w:rsidR="00CC1779" w:rsidRPr="000C0780" w:rsidRDefault="00CC1779">
      <w:pPr>
        <w:spacing w:line="224" w:lineRule="exact"/>
        <w:jc w:val="both"/>
        <w:rPr>
          <w:sz w:val="20"/>
        </w:rPr>
        <w:sectPr w:rsidR="00CC1779" w:rsidRPr="000C0780">
          <w:pgSz w:w="12240" w:h="15840"/>
          <w:pgMar w:top="1560" w:right="1400" w:bottom="2140" w:left="1520" w:header="737" w:footer="1958" w:gutter="0"/>
          <w:cols w:space="720"/>
        </w:sectPr>
      </w:pPr>
    </w:p>
    <w:p w:rsidR="00CC1779" w:rsidRPr="000C0780" w:rsidRDefault="00CC1779">
      <w:pPr>
        <w:pStyle w:val="Textoindependiente"/>
        <w:rPr>
          <w:sz w:val="20"/>
        </w:rPr>
      </w:pPr>
    </w:p>
    <w:p w:rsidR="00CC1779" w:rsidRPr="000C0780" w:rsidRDefault="00CC1779">
      <w:pPr>
        <w:pStyle w:val="Textoindependiente"/>
        <w:spacing w:before="10"/>
        <w:rPr>
          <w:sz w:val="24"/>
        </w:rPr>
      </w:pPr>
    </w:p>
    <w:tbl>
      <w:tblPr>
        <w:tblStyle w:val="TableNormal"/>
        <w:tblW w:w="0" w:type="auto"/>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45"/>
        <w:gridCol w:w="968"/>
        <w:gridCol w:w="1051"/>
        <w:gridCol w:w="2531"/>
        <w:gridCol w:w="483"/>
        <w:gridCol w:w="873"/>
        <w:gridCol w:w="916"/>
        <w:gridCol w:w="1408"/>
      </w:tblGrid>
      <w:tr w:rsidR="00CC1779" w:rsidRPr="000C0780">
        <w:trPr>
          <w:trHeight w:val="600"/>
        </w:trPr>
        <w:tc>
          <w:tcPr>
            <w:tcW w:w="845" w:type="dxa"/>
          </w:tcPr>
          <w:p w:rsidR="00CC1779" w:rsidRPr="000C0780" w:rsidRDefault="00CC1779">
            <w:pPr>
              <w:pStyle w:val="TableParagraph"/>
              <w:spacing w:before="6"/>
              <w:rPr>
                <w:rFonts w:ascii="Arial"/>
                <w:sz w:val="16"/>
              </w:rPr>
            </w:pPr>
          </w:p>
          <w:p w:rsidR="00CC1779" w:rsidRPr="000C0780" w:rsidRDefault="00734C8E">
            <w:pPr>
              <w:pStyle w:val="TableParagraph"/>
              <w:ind w:left="160"/>
              <w:rPr>
                <w:sz w:val="16"/>
              </w:rPr>
            </w:pPr>
            <w:r w:rsidRPr="000C0780">
              <w:rPr>
                <w:sz w:val="16"/>
              </w:rPr>
              <w:t>450.1.2P</w:t>
            </w:r>
          </w:p>
        </w:tc>
        <w:tc>
          <w:tcPr>
            <w:tcW w:w="968" w:type="dxa"/>
          </w:tcPr>
          <w:p w:rsidR="00CC1779" w:rsidRPr="000C0780" w:rsidRDefault="00CC1779">
            <w:pPr>
              <w:pStyle w:val="TableParagraph"/>
              <w:rPr>
                <w:rFonts w:ascii="Times New Roman"/>
                <w:sz w:val="20"/>
              </w:rPr>
            </w:pPr>
          </w:p>
        </w:tc>
        <w:tc>
          <w:tcPr>
            <w:tcW w:w="1051" w:type="dxa"/>
          </w:tcPr>
          <w:p w:rsidR="00CC1779" w:rsidRPr="000C0780" w:rsidRDefault="00CC1779">
            <w:pPr>
              <w:pStyle w:val="TableParagraph"/>
              <w:spacing w:before="6"/>
              <w:rPr>
                <w:rFonts w:ascii="Arial"/>
                <w:sz w:val="16"/>
              </w:rPr>
            </w:pPr>
          </w:p>
          <w:p w:rsidR="00CC1779" w:rsidRPr="000C0780" w:rsidRDefault="00734C8E">
            <w:pPr>
              <w:pStyle w:val="TableParagraph"/>
              <w:ind w:left="71"/>
              <w:rPr>
                <w:sz w:val="16"/>
              </w:rPr>
            </w:pPr>
            <w:r w:rsidRPr="000C0780">
              <w:rPr>
                <w:sz w:val="16"/>
              </w:rPr>
              <w:t>450.1.2P</w:t>
            </w:r>
          </w:p>
        </w:tc>
        <w:tc>
          <w:tcPr>
            <w:tcW w:w="2531" w:type="dxa"/>
          </w:tcPr>
          <w:p w:rsidR="00CC1779" w:rsidRPr="000C0780" w:rsidRDefault="00734C8E">
            <w:pPr>
              <w:pStyle w:val="TableParagraph"/>
              <w:spacing w:before="85" w:line="273" w:lineRule="auto"/>
              <w:ind w:left="71" w:right="132"/>
              <w:rPr>
                <w:sz w:val="16"/>
              </w:rPr>
            </w:pPr>
            <w:r w:rsidRPr="000C0780">
              <w:rPr>
                <w:sz w:val="16"/>
              </w:rPr>
              <w:t>Mezcla densa en caliente Tipo MDC-25 para capa intermedia</w:t>
            </w:r>
          </w:p>
        </w:tc>
        <w:tc>
          <w:tcPr>
            <w:tcW w:w="483" w:type="dxa"/>
          </w:tcPr>
          <w:p w:rsidR="00CC1779" w:rsidRPr="000C0780" w:rsidRDefault="00CC1779">
            <w:pPr>
              <w:pStyle w:val="TableParagraph"/>
              <w:spacing w:before="6"/>
              <w:rPr>
                <w:rFonts w:ascii="Arial"/>
                <w:sz w:val="16"/>
              </w:rPr>
            </w:pPr>
          </w:p>
          <w:p w:rsidR="00CC1779" w:rsidRPr="000C0780" w:rsidRDefault="00734C8E">
            <w:pPr>
              <w:pStyle w:val="TableParagraph"/>
              <w:ind w:left="151"/>
              <w:rPr>
                <w:sz w:val="16"/>
              </w:rPr>
            </w:pPr>
            <w:r w:rsidRPr="000C0780">
              <w:rPr>
                <w:sz w:val="16"/>
              </w:rPr>
              <w:t>m3</w:t>
            </w:r>
          </w:p>
        </w:tc>
        <w:tc>
          <w:tcPr>
            <w:tcW w:w="873" w:type="dxa"/>
          </w:tcPr>
          <w:p w:rsidR="00CC1779" w:rsidRPr="000C0780" w:rsidRDefault="00CC1779">
            <w:pPr>
              <w:pStyle w:val="TableParagraph"/>
              <w:spacing w:before="6"/>
              <w:rPr>
                <w:rFonts w:ascii="Arial"/>
                <w:sz w:val="16"/>
              </w:rPr>
            </w:pPr>
          </w:p>
          <w:p w:rsidR="00CC1779" w:rsidRPr="000C0780" w:rsidRDefault="00734C8E">
            <w:pPr>
              <w:pStyle w:val="TableParagraph"/>
              <w:ind w:left="293"/>
              <w:rPr>
                <w:sz w:val="16"/>
              </w:rPr>
            </w:pPr>
            <w:r w:rsidRPr="000C0780">
              <w:rPr>
                <w:sz w:val="16"/>
              </w:rPr>
              <w:t>8.458,00</w:t>
            </w:r>
          </w:p>
        </w:tc>
        <w:tc>
          <w:tcPr>
            <w:tcW w:w="916" w:type="dxa"/>
          </w:tcPr>
          <w:p w:rsidR="00CC1779" w:rsidRPr="000C0780" w:rsidRDefault="00CC1779">
            <w:pPr>
              <w:pStyle w:val="TableParagraph"/>
              <w:spacing w:before="6"/>
              <w:rPr>
                <w:rFonts w:ascii="Arial"/>
                <w:sz w:val="16"/>
              </w:rPr>
            </w:pPr>
          </w:p>
          <w:p w:rsidR="00CC1779" w:rsidRPr="000C0780" w:rsidRDefault="00734C8E">
            <w:pPr>
              <w:pStyle w:val="TableParagraph"/>
              <w:ind w:left="80"/>
              <w:rPr>
                <w:sz w:val="16"/>
              </w:rPr>
            </w:pPr>
            <w:r w:rsidRPr="000C0780">
              <w:rPr>
                <w:sz w:val="16"/>
              </w:rPr>
              <w:t>$ 618.720,00</w:t>
            </w:r>
          </w:p>
        </w:tc>
        <w:tc>
          <w:tcPr>
            <w:tcW w:w="1408" w:type="dxa"/>
            <w:tcBorders>
              <w:right w:val="single" w:sz="8" w:space="0" w:color="000000"/>
            </w:tcBorders>
          </w:tcPr>
          <w:p w:rsidR="00CC1779" w:rsidRPr="000C0780" w:rsidRDefault="00CC1779">
            <w:pPr>
              <w:pStyle w:val="TableParagraph"/>
              <w:spacing w:before="6"/>
              <w:rPr>
                <w:rFonts w:ascii="Arial"/>
                <w:sz w:val="16"/>
              </w:rPr>
            </w:pPr>
          </w:p>
          <w:p w:rsidR="00CC1779" w:rsidRPr="000C0780" w:rsidRDefault="00734C8E">
            <w:pPr>
              <w:pStyle w:val="TableParagraph"/>
              <w:ind w:left="206"/>
              <w:rPr>
                <w:sz w:val="16"/>
              </w:rPr>
            </w:pPr>
            <w:r w:rsidRPr="000C0780">
              <w:rPr>
                <w:sz w:val="16"/>
              </w:rPr>
              <w:t>$ 5.232.973.058,00</w:t>
            </w:r>
          </w:p>
        </w:tc>
      </w:tr>
    </w:tbl>
    <w:p w:rsidR="00CC1779" w:rsidRPr="000C0780" w:rsidRDefault="00CC1779">
      <w:pPr>
        <w:pStyle w:val="Textoindependiente"/>
        <w:rPr>
          <w:sz w:val="17"/>
        </w:rPr>
      </w:pPr>
    </w:p>
    <w:p w:rsidR="00CC1779" w:rsidRPr="000C0780" w:rsidRDefault="00734C8E">
      <w:pPr>
        <w:pStyle w:val="Textoindependiente"/>
        <w:spacing w:before="93" w:line="276" w:lineRule="auto"/>
        <w:ind w:left="180" w:right="208"/>
        <w:jc w:val="both"/>
      </w:pPr>
      <w:r w:rsidRPr="000C0780">
        <w:t xml:space="preserve">El valor producto de la multiplicación entre las cantidades requeridas y el “valor unitario” ofertado por el proponente no corresponde al “valor total” registrado por el proponente en el “Formulario 1 – Formulario de Presupuesto Oficial” para dicho </w:t>
      </w:r>
      <w:r w:rsidRPr="000C0780">
        <w:rPr>
          <w:i/>
        </w:rPr>
        <w:t>ítem</w:t>
      </w:r>
      <w:r w:rsidRPr="000C0780">
        <w:t>. En este evento la entidad debe efectuar la corrección aritmética e incluir el valor total que corresponde,</w:t>
      </w:r>
      <w:r w:rsidRPr="000C0780">
        <w:rPr>
          <w:spacing w:val="-44"/>
        </w:rPr>
        <w:t xml:space="preserve"> </w:t>
      </w:r>
      <w:r w:rsidRPr="000C0780">
        <w:t>así:</w:t>
      </w:r>
    </w:p>
    <w:p w:rsidR="00CC1779" w:rsidRPr="000C0780" w:rsidRDefault="00CC1779">
      <w:pPr>
        <w:pStyle w:val="Textoindependiente"/>
        <w:spacing w:before="3"/>
        <w:rPr>
          <w:sz w:val="25"/>
        </w:rPr>
      </w:pPr>
    </w:p>
    <w:p w:rsidR="00CC1779" w:rsidRPr="000C0780" w:rsidRDefault="00734C8E">
      <w:pPr>
        <w:pStyle w:val="Prrafodelista"/>
        <w:numPr>
          <w:ilvl w:val="0"/>
          <w:numId w:val="2"/>
        </w:numPr>
        <w:tabs>
          <w:tab w:val="left" w:pos="900"/>
          <w:tab w:val="left" w:pos="901"/>
        </w:tabs>
        <w:spacing w:before="1"/>
        <w:ind w:hanging="361"/>
      </w:pPr>
      <w:r w:rsidRPr="000C0780">
        <w:t>Valor con corrección</w:t>
      </w:r>
      <w:r w:rsidRPr="000C0780">
        <w:rPr>
          <w:spacing w:val="-5"/>
        </w:rPr>
        <w:t xml:space="preserve"> </w:t>
      </w:r>
      <w:r w:rsidRPr="000C0780">
        <w:t>aritmética</w:t>
      </w:r>
    </w:p>
    <w:p w:rsidR="00CC1779" w:rsidRPr="000C0780" w:rsidRDefault="00CC1779">
      <w:pPr>
        <w:pStyle w:val="Textoindependiente"/>
        <w:spacing w:before="9"/>
        <w:rPr>
          <w:sz w:val="28"/>
        </w:rPr>
      </w:pPr>
    </w:p>
    <w:tbl>
      <w:tblPr>
        <w:tblStyle w:val="TableNormal"/>
        <w:tblW w:w="0" w:type="auto"/>
        <w:tblInd w:w="11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845"/>
        <w:gridCol w:w="968"/>
        <w:gridCol w:w="1051"/>
        <w:gridCol w:w="2531"/>
        <w:gridCol w:w="483"/>
        <w:gridCol w:w="873"/>
        <w:gridCol w:w="916"/>
        <w:gridCol w:w="1408"/>
      </w:tblGrid>
      <w:tr w:rsidR="000C0780" w:rsidRPr="000C0780">
        <w:trPr>
          <w:trHeight w:val="195"/>
        </w:trPr>
        <w:tc>
          <w:tcPr>
            <w:tcW w:w="845" w:type="dxa"/>
            <w:vMerge w:val="restart"/>
            <w:tcBorders>
              <w:left w:val="single" w:sz="4" w:space="0" w:color="000000"/>
              <w:right w:val="single" w:sz="4" w:space="0" w:color="000000"/>
            </w:tcBorders>
          </w:tcPr>
          <w:p w:rsidR="00CC1779" w:rsidRPr="000C0780" w:rsidRDefault="00734C8E">
            <w:pPr>
              <w:pStyle w:val="TableParagraph"/>
              <w:spacing w:before="13" w:line="276" w:lineRule="auto"/>
              <w:ind w:left="215" w:right="110" w:hanging="78"/>
              <w:rPr>
                <w:rFonts w:ascii="Arial"/>
                <w:b/>
                <w:sz w:val="14"/>
              </w:rPr>
            </w:pPr>
            <w:r w:rsidRPr="000C0780">
              <w:rPr>
                <w:rFonts w:ascii="Arial"/>
                <w:b/>
                <w:sz w:val="14"/>
              </w:rPr>
              <w:t>ITEM DE PAGO</w:t>
            </w:r>
          </w:p>
        </w:tc>
        <w:tc>
          <w:tcPr>
            <w:tcW w:w="2019" w:type="dxa"/>
            <w:gridSpan w:val="2"/>
            <w:tcBorders>
              <w:left w:val="single" w:sz="4" w:space="0" w:color="000000"/>
              <w:bottom w:val="single" w:sz="4" w:space="0" w:color="000000"/>
            </w:tcBorders>
          </w:tcPr>
          <w:p w:rsidR="00CC1779" w:rsidRPr="000C0780" w:rsidRDefault="00734C8E">
            <w:pPr>
              <w:pStyle w:val="TableParagraph"/>
              <w:spacing w:before="3"/>
              <w:ind w:left="322"/>
              <w:rPr>
                <w:rFonts w:ascii="Arial"/>
                <w:b/>
                <w:sz w:val="14"/>
              </w:rPr>
            </w:pPr>
            <w:r w:rsidRPr="000C0780">
              <w:rPr>
                <w:rFonts w:ascii="Arial"/>
                <w:b/>
                <w:sz w:val="14"/>
              </w:rPr>
              <w:t>ESPECIFICACIONES</w:t>
            </w:r>
          </w:p>
        </w:tc>
        <w:tc>
          <w:tcPr>
            <w:tcW w:w="2531" w:type="dxa"/>
            <w:vMerge w:val="restart"/>
            <w:tcBorders>
              <w:right w:val="single" w:sz="4" w:space="0" w:color="000000"/>
            </w:tcBorders>
          </w:tcPr>
          <w:p w:rsidR="00CC1779" w:rsidRPr="000C0780" w:rsidRDefault="00734C8E">
            <w:pPr>
              <w:pStyle w:val="TableParagraph"/>
              <w:spacing w:before="106"/>
              <w:ind w:left="773"/>
              <w:rPr>
                <w:rFonts w:ascii="Arial"/>
                <w:b/>
                <w:sz w:val="14"/>
              </w:rPr>
            </w:pPr>
            <w:r w:rsidRPr="000C0780">
              <w:rPr>
                <w:rFonts w:ascii="Arial"/>
                <w:b/>
                <w:sz w:val="14"/>
              </w:rPr>
              <w:t>DESCRIPCION</w:t>
            </w:r>
          </w:p>
        </w:tc>
        <w:tc>
          <w:tcPr>
            <w:tcW w:w="483" w:type="dxa"/>
            <w:vMerge w:val="restart"/>
            <w:tcBorders>
              <w:left w:val="single" w:sz="4" w:space="0" w:color="000000"/>
              <w:right w:val="single" w:sz="4" w:space="0" w:color="000000"/>
            </w:tcBorders>
          </w:tcPr>
          <w:p w:rsidR="00CC1779" w:rsidRPr="000C0780" w:rsidRDefault="00734C8E">
            <w:pPr>
              <w:pStyle w:val="TableParagraph"/>
              <w:spacing w:before="106"/>
              <w:ind w:left="70"/>
              <w:rPr>
                <w:rFonts w:ascii="Arial"/>
                <w:b/>
                <w:sz w:val="14"/>
              </w:rPr>
            </w:pPr>
            <w:r w:rsidRPr="000C0780">
              <w:rPr>
                <w:rFonts w:ascii="Arial"/>
                <w:b/>
                <w:sz w:val="14"/>
              </w:rPr>
              <w:t>UND.</w:t>
            </w:r>
          </w:p>
        </w:tc>
        <w:tc>
          <w:tcPr>
            <w:tcW w:w="873" w:type="dxa"/>
            <w:vMerge w:val="restart"/>
            <w:tcBorders>
              <w:left w:val="single" w:sz="4" w:space="0" w:color="000000"/>
              <w:right w:val="single" w:sz="4" w:space="0" w:color="000000"/>
            </w:tcBorders>
          </w:tcPr>
          <w:p w:rsidR="00CC1779" w:rsidRPr="000C0780" w:rsidRDefault="00734C8E">
            <w:pPr>
              <w:pStyle w:val="TableParagraph"/>
              <w:spacing w:before="106"/>
              <w:ind w:left="70"/>
              <w:rPr>
                <w:rFonts w:ascii="Arial"/>
                <w:b/>
                <w:sz w:val="14"/>
              </w:rPr>
            </w:pPr>
            <w:r w:rsidRPr="000C0780">
              <w:rPr>
                <w:rFonts w:ascii="Arial"/>
                <w:b/>
                <w:sz w:val="14"/>
              </w:rPr>
              <w:t>CANTIDAD</w:t>
            </w:r>
          </w:p>
        </w:tc>
        <w:tc>
          <w:tcPr>
            <w:tcW w:w="916" w:type="dxa"/>
            <w:vMerge w:val="restart"/>
            <w:tcBorders>
              <w:left w:val="single" w:sz="4" w:space="0" w:color="000000"/>
              <w:right w:val="single" w:sz="4" w:space="0" w:color="000000"/>
            </w:tcBorders>
          </w:tcPr>
          <w:p w:rsidR="00CC1779" w:rsidRPr="000C0780" w:rsidRDefault="00734C8E">
            <w:pPr>
              <w:pStyle w:val="TableParagraph"/>
              <w:spacing w:before="13" w:line="276" w:lineRule="auto"/>
              <w:ind w:left="117" w:right="92" w:firstLine="95"/>
              <w:rPr>
                <w:rFonts w:ascii="Arial"/>
                <w:b/>
                <w:sz w:val="14"/>
              </w:rPr>
            </w:pPr>
            <w:r w:rsidRPr="000C0780">
              <w:rPr>
                <w:rFonts w:ascii="Arial"/>
                <w:b/>
                <w:sz w:val="14"/>
              </w:rPr>
              <w:t>VALOR UNITARIO</w:t>
            </w:r>
          </w:p>
        </w:tc>
        <w:tc>
          <w:tcPr>
            <w:tcW w:w="1408" w:type="dxa"/>
            <w:vMerge w:val="restart"/>
            <w:tcBorders>
              <w:left w:val="single" w:sz="4" w:space="0" w:color="000000"/>
            </w:tcBorders>
          </w:tcPr>
          <w:p w:rsidR="00CC1779" w:rsidRPr="000C0780" w:rsidRDefault="00734C8E">
            <w:pPr>
              <w:pStyle w:val="TableParagraph"/>
              <w:spacing w:before="106"/>
              <w:ind w:left="204"/>
              <w:rPr>
                <w:rFonts w:ascii="Arial"/>
                <w:b/>
                <w:sz w:val="14"/>
              </w:rPr>
            </w:pPr>
            <w:r w:rsidRPr="000C0780">
              <w:rPr>
                <w:rFonts w:ascii="Arial"/>
                <w:b/>
                <w:sz w:val="14"/>
              </w:rPr>
              <w:t>VALOR TOTAL</w:t>
            </w:r>
          </w:p>
        </w:tc>
      </w:tr>
      <w:tr w:rsidR="000C0780" w:rsidRPr="000C0780">
        <w:trPr>
          <w:trHeight w:val="190"/>
        </w:trPr>
        <w:tc>
          <w:tcPr>
            <w:tcW w:w="845" w:type="dxa"/>
            <w:vMerge/>
            <w:tcBorders>
              <w:top w:val="nil"/>
              <w:left w:val="single" w:sz="4" w:space="0" w:color="000000"/>
              <w:right w:val="single" w:sz="4" w:space="0" w:color="000000"/>
            </w:tcBorders>
          </w:tcPr>
          <w:p w:rsidR="00CC1779" w:rsidRPr="000C0780" w:rsidRDefault="00CC1779">
            <w:pPr>
              <w:rPr>
                <w:sz w:val="2"/>
                <w:szCs w:val="2"/>
              </w:rPr>
            </w:pPr>
          </w:p>
        </w:tc>
        <w:tc>
          <w:tcPr>
            <w:tcW w:w="968" w:type="dxa"/>
            <w:tcBorders>
              <w:top w:val="single" w:sz="4" w:space="0" w:color="000000"/>
              <w:left w:val="single" w:sz="4" w:space="0" w:color="000000"/>
              <w:right w:val="single" w:sz="4" w:space="0" w:color="000000"/>
            </w:tcBorders>
          </w:tcPr>
          <w:p w:rsidR="00CC1779" w:rsidRPr="000C0780" w:rsidRDefault="00734C8E">
            <w:pPr>
              <w:pStyle w:val="TableParagraph"/>
              <w:spacing w:before="1"/>
              <w:ind w:left="142"/>
              <w:rPr>
                <w:rFonts w:ascii="Arial"/>
                <w:b/>
                <w:sz w:val="14"/>
              </w:rPr>
            </w:pPr>
            <w:r w:rsidRPr="000C0780">
              <w:rPr>
                <w:rFonts w:ascii="Arial"/>
                <w:b/>
                <w:sz w:val="14"/>
              </w:rPr>
              <w:t>GENERAL</w:t>
            </w:r>
          </w:p>
        </w:tc>
        <w:tc>
          <w:tcPr>
            <w:tcW w:w="1051" w:type="dxa"/>
            <w:tcBorders>
              <w:top w:val="single" w:sz="4" w:space="0" w:color="000000"/>
              <w:left w:val="single" w:sz="4" w:space="0" w:color="000000"/>
            </w:tcBorders>
          </w:tcPr>
          <w:p w:rsidR="00CC1779" w:rsidRPr="000C0780" w:rsidRDefault="00734C8E">
            <w:pPr>
              <w:pStyle w:val="TableParagraph"/>
              <w:spacing w:before="1"/>
              <w:ind w:left="71"/>
              <w:rPr>
                <w:rFonts w:ascii="Arial"/>
                <w:b/>
                <w:sz w:val="14"/>
              </w:rPr>
            </w:pPr>
            <w:r w:rsidRPr="000C0780">
              <w:rPr>
                <w:rFonts w:ascii="Arial"/>
                <w:b/>
                <w:sz w:val="14"/>
              </w:rPr>
              <w:t>PARTICULAR</w:t>
            </w:r>
          </w:p>
        </w:tc>
        <w:tc>
          <w:tcPr>
            <w:tcW w:w="2531" w:type="dxa"/>
            <w:vMerge/>
            <w:tcBorders>
              <w:top w:val="nil"/>
              <w:right w:val="single" w:sz="4" w:space="0" w:color="000000"/>
            </w:tcBorders>
          </w:tcPr>
          <w:p w:rsidR="00CC1779" w:rsidRPr="000C0780" w:rsidRDefault="00CC1779">
            <w:pPr>
              <w:rPr>
                <w:sz w:val="2"/>
                <w:szCs w:val="2"/>
              </w:rPr>
            </w:pPr>
          </w:p>
        </w:tc>
        <w:tc>
          <w:tcPr>
            <w:tcW w:w="483" w:type="dxa"/>
            <w:vMerge/>
            <w:tcBorders>
              <w:top w:val="nil"/>
              <w:left w:val="single" w:sz="4" w:space="0" w:color="000000"/>
              <w:right w:val="single" w:sz="4" w:space="0" w:color="000000"/>
            </w:tcBorders>
          </w:tcPr>
          <w:p w:rsidR="00CC1779" w:rsidRPr="000C0780" w:rsidRDefault="00CC1779">
            <w:pPr>
              <w:rPr>
                <w:sz w:val="2"/>
                <w:szCs w:val="2"/>
              </w:rPr>
            </w:pPr>
          </w:p>
        </w:tc>
        <w:tc>
          <w:tcPr>
            <w:tcW w:w="873" w:type="dxa"/>
            <w:vMerge/>
            <w:tcBorders>
              <w:top w:val="nil"/>
              <w:left w:val="single" w:sz="4" w:space="0" w:color="000000"/>
              <w:right w:val="single" w:sz="4" w:space="0" w:color="000000"/>
            </w:tcBorders>
          </w:tcPr>
          <w:p w:rsidR="00CC1779" w:rsidRPr="000C0780" w:rsidRDefault="00CC1779">
            <w:pPr>
              <w:rPr>
                <w:sz w:val="2"/>
                <w:szCs w:val="2"/>
              </w:rPr>
            </w:pPr>
          </w:p>
        </w:tc>
        <w:tc>
          <w:tcPr>
            <w:tcW w:w="916" w:type="dxa"/>
            <w:vMerge/>
            <w:tcBorders>
              <w:top w:val="nil"/>
              <w:left w:val="single" w:sz="4" w:space="0" w:color="000000"/>
              <w:right w:val="single" w:sz="4" w:space="0" w:color="000000"/>
            </w:tcBorders>
          </w:tcPr>
          <w:p w:rsidR="00CC1779" w:rsidRPr="000C0780" w:rsidRDefault="00CC1779">
            <w:pPr>
              <w:rPr>
                <w:sz w:val="2"/>
                <w:szCs w:val="2"/>
              </w:rPr>
            </w:pPr>
          </w:p>
        </w:tc>
        <w:tc>
          <w:tcPr>
            <w:tcW w:w="1408" w:type="dxa"/>
            <w:vMerge/>
            <w:tcBorders>
              <w:top w:val="nil"/>
              <w:left w:val="single" w:sz="4" w:space="0" w:color="000000"/>
            </w:tcBorders>
          </w:tcPr>
          <w:p w:rsidR="00CC1779" w:rsidRPr="000C0780" w:rsidRDefault="00CC1779">
            <w:pPr>
              <w:rPr>
                <w:sz w:val="2"/>
                <w:szCs w:val="2"/>
              </w:rPr>
            </w:pPr>
          </w:p>
        </w:tc>
      </w:tr>
      <w:tr w:rsidR="000C0780" w:rsidRPr="000C0780">
        <w:trPr>
          <w:trHeight w:val="185"/>
        </w:trPr>
        <w:tc>
          <w:tcPr>
            <w:tcW w:w="9075" w:type="dxa"/>
            <w:gridSpan w:val="8"/>
            <w:tcBorders>
              <w:left w:val="nil"/>
            </w:tcBorders>
            <w:shd w:val="clear" w:color="auto" w:fill="808080"/>
          </w:tcPr>
          <w:p w:rsidR="00CC1779" w:rsidRPr="000C0780" w:rsidRDefault="00CC1779">
            <w:pPr>
              <w:pStyle w:val="TableParagraph"/>
              <w:rPr>
                <w:rFonts w:ascii="Times New Roman"/>
                <w:sz w:val="12"/>
              </w:rPr>
            </w:pPr>
          </w:p>
        </w:tc>
      </w:tr>
      <w:tr w:rsidR="00CC1779" w:rsidRPr="000C0780">
        <w:trPr>
          <w:trHeight w:val="600"/>
        </w:trPr>
        <w:tc>
          <w:tcPr>
            <w:tcW w:w="845" w:type="dxa"/>
            <w:tcBorders>
              <w:left w:val="single" w:sz="4" w:space="0" w:color="000000"/>
              <w:bottom w:val="single" w:sz="4" w:space="0" w:color="000000"/>
              <w:right w:val="single" w:sz="4" w:space="0" w:color="000000"/>
            </w:tcBorders>
          </w:tcPr>
          <w:p w:rsidR="00CC1779" w:rsidRPr="000C0780" w:rsidRDefault="00CC1779">
            <w:pPr>
              <w:pStyle w:val="TableParagraph"/>
              <w:spacing w:before="5"/>
              <w:rPr>
                <w:rFonts w:ascii="Arial"/>
                <w:sz w:val="16"/>
              </w:rPr>
            </w:pPr>
          </w:p>
          <w:p w:rsidR="00CC1779" w:rsidRPr="000C0780" w:rsidRDefault="00734C8E">
            <w:pPr>
              <w:pStyle w:val="TableParagraph"/>
              <w:spacing w:before="1"/>
              <w:ind w:left="160"/>
              <w:rPr>
                <w:sz w:val="16"/>
              </w:rPr>
            </w:pPr>
            <w:r w:rsidRPr="000C0780">
              <w:rPr>
                <w:sz w:val="16"/>
              </w:rPr>
              <w:t>450.1.2P</w:t>
            </w:r>
          </w:p>
        </w:tc>
        <w:tc>
          <w:tcPr>
            <w:tcW w:w="968" w:type="dxa"/>
            <w:tcBorders>
              <w:left w:val="single" w:sz="4" w:space="0" w:color="000000"/>
              <w:bottom w:val="single" w:sz="4" w:space="0" w:color="000000"/>
              <w:right w:val="single" w:sz="4" w:space="0" w:color="000000"/>
            </w:tcBorders>
          </w:tcPr>
          <w:p w:rsidR="00CC1779" w:rsidRPr="000C0780" w:rsidRDefault="00CC1779">
            <w:pPr>
              <w:pStyle w:val="TableParagraph"/>
              <w:rPr>
                <w:rFonts w:ascii="Times New Roman"/>
                <w:sz w:val="20"/>
              </w:rPr>
            </w:pPr>
          </w:p>
        </w:tc>
        <w:tc>
          <w:tcPr>
            <w:tcW w:w="1051" w:type="dxa"/>
            <w:tcBorders>
              <w:left w:val="single" w:sz="4" w:space="0" w:color="000000"/>
              <w:bottom w:val="single" w:sz="4" w:space="0" w:color="000000"/>
              <w:right w:val="single" w:sz="4" w:space="0" w:color="000000"/>
            </w:tcBorders>
          </w:tcPr>
          <w:p w:rsidR="00CC1779" w:rsidRPr="000C0780" w:rsidRDefault="00CC1779">
            <w:pPr>
              <w:pStyle w:val="TableParagraph"/>
              <w:spacing w:before="5"/>
              <w:rPr>
                <w:rFonts w:ascii="Arial"/>
                <w:sz w:val="16"/>
              </w:rPr>
            </w:pPr>
          </w:p>
          <w:p w:rsidR="00CC1779" w:rsidRPr="000C0780" w:rsidRDefault="00734C8E">
            <w:pPr>
              <w:pStyle w:val="TableParagraph"/>
              <w:spacing w:before="1"/>
              <w:ind w:left="71"/>
              <w:rPr>
                <w:sz w:val="16"/>
              </w:rPr>
            </w:pPr>
            <w:r w:rsidRPr="000C0780">
              <w:rPr>
                <w:sz w:val="16"/>
              </w:rPr>
              <w:t>450.1.2P</w:t>
            </w:r>
          </w:p>
        </w:tc>
        <w:tc>
          <w:tcPr>
            <w:tcW w:w="2531" w:type="dxa"/>
            <w:tcBorders>
              <w:left w:val="single" w:sz="4" w:space="0" w:color="000000"/>
              <w:bottom w:val="single" w:sz="4" w:space="0" w:color="000000"/>
              <w:right w:val="single" w:sz="4" w:space="0" w:color="000000"/>
            </w:tcBorders>
          </w:tcPr>
          <w:p w:rsidR="00CC1779" w:rsidRPr="000C0780" w:rsidRDefault="00734C8E">
            <w:pPr>
              <w:pStyle w:val="TableParagraph"/>
              <w:spacing w:before="85" w:line="273" w:lineRule="auto"/>
              <w:ind w:left="71" w:right="132"/>
              <w:rPr>
                <w:sz w:val="16"/>
              </w:rPr>
            </w:pPr>
            <w:r w:rsidRPr="000C0780">
              <w:rPr>
                <w:sz w:val="16"/>
              </w:rPr>
              <w:t>Mezcla densa en caliente Tipo MDC-25 para capa intermedia</w:t>
            </w:r>
          </w:p>
        </w:tc>
        <w:tc>
          <w:tcPr>
            <w:tcW w:w="483" w:type="dxa"/>
            <w:tcBorders>
              <w:left w:val="single" w:sz="4" w:space="0" w:color="000000"/>
              <w:bottom w:val="single" w:sz="4" w:space="0" w:color="000000"/>
              <w:right w:val="single" w:sz="4" w:space="0" w:color="000000"/>
            </w:tcBorders>
          </w:tcPr>
          <w:p w:rsidR="00CC1779" w:rsidRPr="000C0780" w:rsidRDefault="00CC1779">
            <w:pPr>
              <w:pStyle w:val="TableParagraph"/>
              <w:spacing w:before="5"/>
              <w:rPr>
                <w:rFonts w:ascii="Arial"/>
                <w:sz w:val="16"/>
              </w:rPr>
            </w:pPr>
          </w:p>
          <w:p w:rsidR="00CC1779" w:rsidRPr="000C0780" w:rsidRDefault="00734C8E">
            <w:pPr>
              <w:pStyle w:val="TableParagraph"/>
              <w:spacing w:before="1"/>
              <w:ind w:left="151"/>
              <w:rPr>
                <w:sz w:val="16"/>
              </w:rPr>
            </w:pPr>
            <w:r w:rsidRPr="000C0780">
              <w:rPr>
                <w:sz w:val="16"/>
              </w:rPr>
              <w:t>m3</w:t>
            </w:r>
          </w:p>
        </w:tc>
        <w:tc>
          <w:tcPr>
            <w:tcW w:w="873" w:type="dxa"/>
            <w:tcBorders>
              <w:left w:val="single" w:sz="4" w:space="0" w:color="000000"/>
              <w:bottom w:val="single" w:sz="4" w:space="0" w:color="000000"/>
              <w:right w:val="single" w:sz="4" w:space="0" w:color="000000"/>
            </w:tcBorders>
          </w:tcPr>
          <w:p w:rsidR="00CC1779" w:rsidRPr="000C0780" w:rsidRDefault="00CC1779">
            <w:pPr>
              <w:pStyle w:val="TableParagraph"/>
              <w:spacing w:before="5"/>
              <w:rPr>
                <w:rFonts w:ascii="Arial"/>
                <w:sz w:val="16"/>
              </w:rPr>
            </w:pPr>
          </w:p>
          <w:p w:rsidR="00CC1779" w:rsidRPr="000C0780" w:rsidRDefault="00734C8E">
            <w:pPr>
              <w:pStyle w:val="TableParagraph"/>
              <w:spacing w:before="1"/>
              <w:ind w:left="293"/>
              <w:rPr>
                <w:sz w:val="16"/>
              </w:rPr>
            </w:pPr>
            <w:r w:rsidRPr="000C0780">
              <w:rPr>
                <w:sz w:val="16"/>
              </w:rPr>
              <w:t>8.458,00</w:t>
            </w:r>
          </w:p>
        </w:tc>
        <w:tc>
          <w:tcPr>
            <w:tcW w:w="916" w:type="dxa"/>
            <w:tcBorders>
              <w:left w:val="single" w:sz="4" w:space="0" w:color="000000"/>
              <w:bottom w:val="single" w:sz="4" w:space="0" w:color="000000"/>
              <w:right w:val="single" w:sz="4" w:space="0" w:color="000000"/>
            </w:tcBorders>
          </w:tcPr>
          <w:p w:rsidR="00CC1779" w:rsidRPr="000C0780" w:rsidRDefault="00CC1779">
            <w:pPr>
              <w:pStyle w:val="TableParagraph"/>
              <w:spacing w:before="5"/>
              <w:rPr>
                <w:rFonts w:ascii="Arial"/>
                <w:sz w:val="16"/>
              </w:rPr>
            </w:pPr>
          </w:p>
          <w:p w:rsidR="00CC1779" w:rsidRPr="000C0780" w:rsidRDefault="00734C8E">
            <w:pPr>
              <w:pStyle w:val="TableParagraph"/>
              <w:spacing w:before="1"/>
              <w:ind w:left="80"/>
              <w:rPr>
                <w:sz w:val="16"/>
              </w:rPr>
            </w:pPr>
            <w:r w:rsidRPr="000C0780">
              <w:rPr>
                <w:sz w:val="16"/>
              </w:rPr>
              <w:t>$ 618.720,00</w:t>
            </w:r>
          </w:p>
        </w:tc>
        <w:tc>
          <w:tcPr>
            <w:tcW w:w="1408" w:type="dxa"/>
            <w:tcBorders>
              <w:left w:val="single" w:sz="4" w:space="0" w:color="000000"/>
              <w:bottom w:val="single" w:sz="4" w:space="0" w:color="000000"/>
            </w:tcBorders>
          </w:tcPr>
          <w:p w:rsidR="00CC1779" w:rsidRPr="000C0780" w:rsidRDefault="00CC1779">
            <w:pPr>
              <w:pStyle w:val="TableParagraph"/>
              <w:spacing w:before="5"/>
              <w:rPr>
                <w:rFonts w:ascii="Arial"/>
                <w:sz w:val="16"/>
              </w:rPr>
            </w:pPr>
          </w:p>
          <w:p w:rsidR="00CC1779" w:rsidRPr="000C0780" w:rsidRDefault="00734C8E">
            <w:pPr>
              <w:pStyle w:val="TableParagraph"/>
              <w:spacing w:before="1"/>
              <w:ind w:left="206"/>
              <w:rPr>
                <w:sz w:val="16"/>
              </w:rPr>
            </w:pPr>
            <w:r w:rsidRPr="000C0780">
              <w:rPr>
                <w:sz w:val="16"/>
              </w:rPr>
              <w:t>$ 5.233.133.760,00</w:t>
            </w:r>
          </w:p>
        </w:tc>
      </w:tr>
    </w:tbl>
    <w:p w:rsidR="00CC1779" w:rsidRPr="000C0780" w:rsidRDefault="00CC1779">
      <w:pPr>
        <w:pStyle w:val="Textoindependiente"/>
        <w:rPr>
          <w:sz w:val="25"/>
        </w:rPr>
      </w:pPr>
    </w:p>
    <w:p w:rsidR="00CC1779" w:rsidRPr="000C0780" w:rsidRDefault="00734C8E">
      <w:pPr>
        <w:pStyle w:val="Textoindependiente"/>
        <w:spacing w:before="1" w:line="276" w:lineRule="auto"/>
        <w:ind w:left="180" w:right="204"/>
        <w:jc w:val="both"/>
      </w:pPr>
      <w:r w:rsidRPr="000C0780">
        <w:t>Ahora bien, en aquellos eventos en los cuales el valor obtenido de la operación aritmética incluya decimales, se debe aproximar al número entero superior o inferior, de acuerdo con la regla fijada en el literal B del numeral 4.1.2., así, en el supuesto que el “valor total” del ejemplo propuesto fuera $5.233.133.760,65 se aproximará por exceso al número entero siguiente $5.233.133.761,00, o si el “valor total” fuera $ 5.233.133.760, 21 se aproximará por defecto al número entero, así: $ 5.233.133.760,00.</w:t>
      </w:r>
    </w:p>
    <w:p w:rsidR="00CC1779" w:rsidRPr="000C0780" w:rsidRDefault="00CC1779">
      <w:pPr>
        <w:pStyle w:val="Textoindependiente"/>
        <w:spacing w:before="2"/>
        <w:rPr>
          <w:sz w:val="25"/>
        </w:rPr>
      </w:pPr>
    </w:p>
    <w:p w:rsidR="00CC1779" w:rsidRPr="000C0780" w:rsidRDefault="00734C8E">
      <w:pPr>
        <w:pStyle w:val="Textoindependiente"/>
        <w:spacing w:line="276" w:lineRule="auto"/>
        <w:ind w:left="180" w:right="203"/>
        <w:jc w:val="both"/>
      </w:pPr>
      <w:r w:rsidRPr="000C0780">
        <w:t>La entidad debe realizar la verificación de los valores ofertados y la corrección aritmética, cuando esta se requiera, para cada una de las cifras registradas en el “Formulario 1 – Formulario de Presupuesto Oficial” que tengan operaciones aritméticas y previo a seleccionar y aplicar el método de ponderación que corresponda de acuerdo con el numeral 4.1.4 del “Documento Base”. Realizado lo anterior, la entidad tomará el valor total de la propuesta económica para asignar el puntaje por este criterio de</w:t>
      </w:r>
      <w:r w:rsidRPr="000C0780">
        <w:rPr>
          <w:spacing w:val="-30"/>
        </w:rPr>
        <w:t xml:space="preserve"> </w:t>
      </w:r>
      <w:r w:rsidRPr="000C0780">
        <w:t>ponderación.</w:t>
      </w:r>
    </w:p>
    <w:p w:rsidR="00CC1779" w:rsidRPr="000C0780" w:rsidRDefault="00CC1779">
      <w:pPr>
        <w:pStyle w:val="Textoindependiente"/>
        <w:spacing w:before="5"/>
        <w:rPr>
          <w:sz w:val="25"/>
        </w:rPr>
      </w:pPr>
    </w:p>
    <w:p w:rsidR="00CC1779" w:rsidRPr="000C0780" w:rsidRDefault="00734C8E">
      <w:pPr>
        <w:pStyle w:val="Textoindependiente"/>
        <w:spacing w:line="276" w:lineRule="auto"/>
        <w:ind w:left="180" w:right="204"/>
        <w:jc w:val="both"/>
      </w:pPr>
      <w:r w:rsidRPr="000C0780">
        <w:t>Una vez realizada la corrección aritmética de la propuesta, la entidad debe verificar que el valor total de la propuesta económica producto de aplicar el procedimiento establecido en el numeral 4.1.2 no presente una diferencia mayor o igual al uno por ciento (1%), por exceso o defecto, con respecto al valor registrado en el “Formulario 1– Formulario de Presupuesto Oficial”, es decir, la entidad debe contrastar el valor total ofertado por el proponente y el valor total resultante de la corrección aritmética y corroborar si existe una diferencia mayor o igual al porcentaje señalado previamente. Cuando esta diferencia por exceso-supere-o por defecto-sea menor-, se configura la causal de rechazo “L” del</w:t>
      </w:r>
      <w:r w:rsidRPr="000C0780">
        <w:rPr>
          <w:spacing w:val="-35"/>
        </w:rPr>
        <w:t xml:space="preserve"> </w:t>
      </w:r>
      <w:r w:rsidRPr="000C0780">
        <w:t>numeral</w:t>
      </w:r>
    </w:p>
    <w:p w:rsidR="00CC1779" w:rsidRPr="000C0780" w:rsidRDefault="00734C8E">
      <w:pPr>
        <w:pStyle w:val="Textoindependiente"/>
        <w:ind w:left="180"/>
        <w:jc w:val="both"/>
      </w:pPr>
      <w:r w:rsidRPr="000C0780">
        <w:t>1.15 del “Documento Base”.</w:t>
      </w:r>
    </w:p>
    <w:p w:rsidR="00CC1779" w:rsidRPr="000C0780" w:rsidRDefault="00CC1779">
      <w:pPr>
        <w:jc w:val="both"/>
        <w:sectPr w:rsidR="00CC1779" w:rsidRPr="000C0780">
          <w:pgSz w:w="12240" w:h="15840"/>
          <w:pgMar w:top="1560" w:right="1400" w:bottom="2140" w:left="1520" w:header="737" w:footer="1958" w:gutter="0"/>
          <w:cols w:space="720"/>
        </w:sectPr>
      </w:pPr>
    </w:p>
    <w:p w:rsidR="00CC1779" w:rsidRPr="000C0780" w:rsidRDefault="00CC1779">
      <w:pPr>
        <w:pStyle w:val="Textoindependiente"/>
        <w:rPr>
          <w:sz w:val="20"/>
        </w:rPr>
      </w:pPr>
    </w:p>
    <w:p w:rsidR="00CC1779" w:rsidRPr="000C0780" w:rsidRDefault="00CC1779">
      <w:pPr>
        <w:pStyle w:val="Textoindependiente"/>
        <w:spacing w:before="5"/>
        <w:rPr>
          <w:sz w:val="16"/>
        </w:rPr>
      </w:pPr>
    </w:p>
    <w:p w:rsidR="00CC1779" w:rsidRPr="000C0780" w:rsidRDefault="00734C8E">
      <w:pPr>
        <w:pStyle w:val="Ttulo1"/>
        <w:numPr>
          <w:ilvl w:val="0"/>
          <w:numId w:val="3"/>
        </w:numPr>
        <w:tabs>
          <w:tab w:val="left" w:pos="466"/>
        </w:tabs>
        <w:spacing w:before="93"/>
        <w:ind w:hanging="286"/>
      </w:pPr>
      <w:r w:rsidRPr="000C0780">
        <w:t>Respuesta</w:t>
      </w:r>
    </w:p>
    <w:p w:rsidR="00CC1779" w:rsidRPr="000C0780" w:rsidRDefault="00CC1779">
      <w:pPr>
        <w:pStyle w:val="Textoindependiente"/>
        <w:spacing w:before="8"/>
        <w:rPr>
          <w:b/>
          <w:sz w:val="28"/>
        </w:rPr>
      </w:pPr>
    </w:p>
    <w:p w:rsidR="00CC1779" w:rsidRPr="000C0780" w:rsidRDefault="00734C8E">
      <w:pPr>
        <w:pStyle w:val="Textoindependiente"/>
        <w:spacing w:line="276" w:lineRule="auto"/>
        <w:ind w:left="180" w:right="202"/>
        <w:jc w:val="both"/>
      </w:pPr>
      <w:r w:rsidRPr="000C0780">
        <w:t xml:space="preserve">La verificación de la diferencia “mayor o igual al uno por ciento (1%), por exceso o defecto” referida en la causal de rechazo “L” del numeral 1.15 del “Documento Base” se aplica al valor total ofertado por el proponente. Esta causal no aplica para el valor unitario de los </w:t>
      </w:r>
      <w:r w:rsidRPr="000C0780">
        <w:rPr>
          <w:i/>
        </w:rPr>
        <w:t xml:space="preserve">ítems, </w:t>
      </w:r>
      <w:r w:rsidRPr="000C0780">
        <w:t>para estos se deben tener en cuenta las otras causales de rechazo previstas en el numeral previamente citado.</w:t>
      </w:r>
    </w:p>
    <w:p w:rsidR="00CC1779" w:rsidRPr="000C0780" w:rsidRDefault="00CC1779">
      <w:pPr>
        <w:pStyle w:val="Textoindependiente"/>
        <w:spacing w:before="3"/>
        <w:rPr>
          <w:sz w:val="25"/>
        </w:rPr>
      </w:pPr>
    </w:p>
    <w:p w:rsidR="00CC1779" w:rsidRPr="000C0780" w:rsidRDefault="00734C8E">
      <w:pPr>
        <w:pStyle w:val="Textoindependiente"/>
        <w:spacing w:line="278" w:lineRule="auto"/>
        <w:ind w:left="180" w:right="212"/>
        <w:jc w:val="both"/>
      </w:pPr>
      <w:r w:rsidRPr="000C0780">
        <w:t>Este concepto tiene el alcance previsto en el artículo 28 del Código de Procedimiento Administrativo y de lo Contencioso Administrativo.</w:t>
      </w:r>
    </w:p>
    <w:p w:rsidR="00CC1779" w:rsidRPr="000C0780" w:rsidRDefault="00837003">
      <w:pPr>
        <w:pStyle w:val="Textoindependiente"/>
        <w:spacing w:before="6"/>
      </w:pPr>
      <w:r w:rsidRPr="000C0780">
        <w:rPr>
          <w:noProof/>
          <w:lang w:val="en-US"/>
        </w:rPr>
        <mc:AlternateContent>
          <mc:Choice Requires="wps">
            <w:drawing>
              <wp:anchor distT="0" distB="0" distL="0" distR="0" simplePos="0" relativeHeight="487589376" behindDoc="1" locked="0" layoutInCell="1" allowOverlap="1" wp14:anchorId="40B3A404" wp14:editId="46A7FA41">
                <wp:simplePos x="0" y="0"/>
                <wp:positionH relativeFrom="page">
                  <wp:posOffset>1514475</wp:posOffset>
                </wp:positionH>
                <wp:positionV relativeFrom="paragraph">
                  <wp:posOffset>194310</wp:posOffset>
                </wp:positionV>
                <wp:extent cx="4686300" cy="1270"/>
                <wp:effectExtent l="0" t="0" r="0" b="0"/>
                <wp:wrapTopAndBottom/>
                <wp:docPr id="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686300" cy="1270"/>
                        </a:xfrm>
                        <a:custGeom>
                          <a:avLst/>
                          <a:gdLst>
                            <a:gd name="T0" fmla="+- 0 2385 2385"/>
                            <a:gd name="T1" fmla="*/ T0 w 7380"/>
                            <a:gd name="T2" fmla="+- 0 9765 2385"/>
                            <a:gd name="T3" fmla="*/ T2 w 7380"/>
                          </a:gdLst>
                          <a:ahLst/>
                          <a:cxnLst>
                            <a:cxn ang="0">
                              <a:pos x="T1" y="0"/>
                            </a:cxn>
                            <a:cxn ang="0">
                              <a:pos x="T3" y="0"/>
                            </a:cxn>
                          </a:cxnLst>
                          <a:rect l="0" t="0" r="r" b="b"/>
                          <a:pathLst>
                            <a:path w="7380">
                              <a:moveTo>
                                <a:pt x="0" y="0"/>
                              </a:moveTo>
                              <a:lnTo>
                                <a:pt x="7380" y="0"/>
                              </a:lnTo>
                            </a:path>
                          </a:pathLst>
                        </a:custGeom>
                        <a:noFill/>
                        <a:ln w="9525">
                          <a:solidFill>
                            <a:srgbClr val="DBDBDB"/>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DEF431" id="Freeform 2" o:spid="_x0000_s1026" style="position:absolute;margin-left:119.25pt;margin-top:15.3pt;width:369pt;height:.1pt;z-index:-157271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73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" path="m,l7380,e" filled="f" strokecolor="#dbdbdb">
                <v:path arrowok="t" o:connecttype="custom" o:connectlocs="0,0;4686300,0" o:connectangles="0,0"/>
                <w10:wrap type="topAndBottom" anchorx="page"/>
              </v:shape>
            </w:pict>
          </mc:Fallback>
        </mc:AlternateContent>
      </w:r>
    </w:p>
    <w:p w:rsidR="00CC1779" w:rsidRPr="000C0780" w:rsidRDefault="00CC1779">
      <w:pPr>
        <w:pStyle w:val="Textoindependiente"/>
        <w:spacing w:before="5"/>
        <w:rPr>
          <w:sz w:val="20"/>
        </w:rPr>
      </w:pPr>
    </w:p>
    <w:p w:rsidR="00CC1779" w:rsidRPr="000C0780" w:rsidRDefault="00734C8E">
      <w:pPr>
        <w:pStyle w:val="Textoindependiente"/>
        <w:ind w:left="180"/>
      </w:pPr>
      <w:r w:rsidRPr="000C0780">
        <w:t>Atentamente,</w:t>
      </w:r>
    </w:p>
    <w:p w:rsidR="00CC1779" w:rsidRPr="000C0780" w:rsidRDefault="00EB28FD" w:rsidP="00EB28FD">
      <w:pPr>
        <w:pStyle w:val="Textoindependiente"/>
        <w:spacing w:before="5"/>
        <w:jc w:val="center"/>
        <w:rPr>
          <w:sz w:val="27"/>
        </w:rPr>
      </w:pPr>
      <w:r>
        <w:rPr>
          <w:noProof/>
          <w:lang w:val="en-US"/>
        </w:rPr>
        <w:drawing>
          <wp:inline distT="0" distB="0" distL="0" distR="0" wp14:anchorId="0281A1F0" wp14:editId="422E29B0">
            <wp:extent cx="2773144" cy="988695"/>
            <wp:effectExtent l="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52236" cy="1016893"/>
                    </a:xfrm>
                    <a:prstGeom prst="rect">
                      <a:avLst/>
                    </a:prstGeom>
                    <a:noFill/>
                  </pic:spPr>
                </pic:pic>
              </a:graphicData>
            </a:graphic>
          </wp:inline>
        </w:drawing>
      </w:r>
    </w:p>
    <w:p w:rsidR="00CC1779" w:rsidRPr="000C0780" w:rsidRDefault="00734C8E">
      <w:pPr>
        <w:pStyle w:val="Textoindependiente"/>
        <w:spacing w:before="77"/>
        <w:ind w:left="180"/>
      </w:pPr>
      <w:r w:rsidRPr="000C0780">
        <w:t>Proyectó: Fredy Alexander Rodríguez Ardila</w:t>
      </w:r>
    </w:p>
    <w:sectPr w:rsidR="00CC1779" w:rsidRPr="000C0780">
      <w:pgSz w:w="12240" w:h="15840"/>
      <w:pgMar w:top="1560" w:right="1400" w:bottom="2140" w:left="1520" w:header="737" w:footer="195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9332F" w:rsidRDefault="00D9332F">
      <w:r>
        <w:separator/>
      </w:r>
    </w:p>
  </w:endnote>
  <w:endnote w:type="continuationSeparator" w:id="0">
    <w:p w:rsidR="00D9332F" w:rsidRDefault="00D933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Liberation Sans Narrow">
    <w:altName w:val="Arial Narrow"/>
    <w:charset w:val="00"/>
    <w:family w:val="swiss"/>
    <w:pitch w:val="variable"/>
    <w:sig w:usb0="00000001" w:usb1="500078FB" w:usb2="00000000" w:usb3="00000000" w:csb0="0000009F" w:csb1="00000000"/>
  </w:font>
  <w:font w:name="Carlito">
    <w:altName w:val="Calibri"/>
    <w:charset w:val="00"/>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1779" w:rsidRDefault="00734C8E">
    <w:pPr>
      <w:pStyle w:val="Textoindependiente"/>
      <w:spacing w:line="14" w:lineRule="auto"/>
      <w:rPr>
        <w:sz w:val="20"/>
      </w:rPr>
    </w:pPr>
    <w:r>
      <w:rPr>
        <w:noProof/>
        <w:lang w:val="en-US"/>
      </w:rPr>
      <w:drawing>
        <wp:anchor distT="0" distB="0" distL="0" distR="0" simplePos="0" relativeHeight="487415808" behindDoc="1" locked="0" layoutInCell="1" allowOverlap="1" wp14:anchorId="7CDBBB55" wp14:editId="14AEB4A0">
          <wp:simplePos x="0" y="0"/>
          <wp:positionH relativeFrom="page">
            <wp:posOffset>1137919</wp:posOffset>
          </wp:positionH>
          <wp:positionV relativeFrom="page">
            <wp:posOffset>8688387</wp:posOffset>
          </wp:positionV>
          <wp:extent cx="5612130" cy="787120"/>
          <wp:effectExtent l="0" t="0" r="0" b="0"/>
          <wp:wrapNone/>
          <wp:docPr id="8"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1" cstate="print"/>
                  <a:stretch>
                    <a:fillRect/>
                  </a:stretch>
                </pic:blipFill>
                <pic:spPr>
                  <a:xfrm>
                    <a:off x="0" y="0"/>
                    <a:ext cx="5612130" cy="787120"/>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9332F" w:rsidRDefault="00D9332F">
      <w:r>
        <w:separator/>
      </w:r>
    </w:p>
  </w:footnote>
  <w:footnote w:type="continuationSeparator" w:id="0">
    <w:p w:rsidR="00D9332F" w:rsidRDefault="00D933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C1779" w:rsidRDefault="00734C8E">
    <w:pPr>
      <w:pStyle w:val="Textoindependiente"/>
      <w:spacing w:line="14" w:lineRule="auto"/>
      <w:rPr>
        <w:sz w:val="20"/>
      </w:rPr>
    </w:pPr>
    <w:r>
      <w:rPr>
        <w:noProof/>
        <w:lang w:val="en-US"/>
      </w:rPr>
      <w:drawing>
        <wp:anchor distT="0" distB="0" distL="0" distR="0" simplePos="0" relativeHeight="487415296" behindDoc="1" locked="0" layoutInCell="1" allowOverlap="1" wp14:anchorId="23D16304" wp14:editId="32D051B8">
          <wp:simplePos x="0" y="0"/>
          <wp:positionH relativeFrom="page">
            <wp:posOffset>5304473</wp:posOffset>
          </wp:positionH>
          <wp:positionV relativeFrom="page">
            <wp:posOffset>468247</wp:posOffset>
          </wp:positionV>
          <wp:extent cx="1346374" cy="521377"/>
          <wp:effectExtent l="0" t="0" r="0" b="0"/>
          <wp:wrapNone/>
          <wp:docPr id="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346374" cy="52137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095CFB"/>
    <w:multiLevelType w:val="hybridMultilevel"/>
    <w:tmpl w:val="960020E0"/>
    <w:lvl w:ilvl="0" w:tplc="8EDC0C74">
      <w:start w:val="1"/>
      <w:numFmt w:val="upperLetter"/>
      <w:lvlText w:val="%1."/>
      <w:lvlJc w:val="left"/>
      <w:pPr>
        <w:ind w:left="1608" w:hanging="360"/>
        <w:jc w:val="left"/>
      </w:pPr>
      <w:rPr>
        <w:rFonts w:ascii="Arial" w:eastAsia="Arial" w:hAnsi="Arial" w:cs="Arial" w:hint="default"/>
        <w:color w:val="3A3838"/>
        <w:spacing w:val="-3"/>
        <w:w w:val="100"/>
        <w:sz w:val="20"/>
        <w:szCs w:val="20"/>
        <w:lang w:val="es-ES" w:eastAsia="en-US" w:bidi="ar-SA"/>
      </w:rPr>
    </w:lvl>
    <w:lvl w:ilvl="1" w:tplc="FD24075E">
      <w:numFmt w:val="bullet"/>
      <w:lvlText w:val="•"/>
      <w:lvlJc w:val="left"/>
      <w:pPr>
        <w:ind w:left="2372" w:hanging="360"/>
      </w:pPr>
      <w:rPr>
        <w:rFonts w:hint="default"/>
        <w:lang w:val="es-ES" w:eastAsia="en-US" w:bidi="ar-SA"/>
      </w:rPr>
    </w:lvl>
    <w:lvl w:ilvl="2" w:tplc="F43EAE84">
      <w:numFmt w:val="bullet"/>
      <w:lvlText w:val="•"/>
      <w:lvlJc w:val="left"/>
      <w:pPr>
        <w:ind w:left="3144" w:hanging="360"/>
      </w:pPr>
      <w:rPr>
        <w:rFonts w:hint="default"/>
        <w:lang w:val="es-ES" w:eastAsia="en-US" w:bidi="ar-SA"/>
      </w:rPr>
    </w:lvl>
    <w:lvl w:ilvl="3" w:tplc="AE347DC6">
      <w:numFmt w:val="bullet"/>
      <w:lvlText w:val="•"/>
      <w:lvlJc w:val="left"/>
      <w:pPr>
        <w:ind w:left="3916" w:hanging="360"/>
      </w:pPr>
      <w:rPr>
        <w:rFonts w:hint="default"/>
        <w:lang w:val="es-ES" w:eastAsia="en-US" w:bidi="ar-SA"/>
      </w:rPr>
    </w:lvl>
    <w:lvl w:ilvl="4" w:tplc="9E2C754A">
      <w:numFmt w:val="bullet"/>
      <w:lvlText w:val="•"/>
      <w:lvlJc w:val="left"/>
      <w:pPr>
        <w:ind w:left="4688" w:hanging="360"/>
      </w:pPr>
      <w:rPr>
        <w:rFonts w:hint="default"/>
        <w:lang w:val="es-ES" w:eastAsia="en-US" w:bidi="ar-SA"/>
      </w:rPr>
    </w:lvl>
    <w:lvl w:ilvl="5" w:tplc="0F7EA648">
      <w:numFmt w:val="bullet"/>
      <w:lvlText w:val="•"/>
      <w:lvlJc w:val="left"/>
      <w:pPr>
        <w:ind w:left="5460" w:hanging="360"/>
      </w:pPr>
      <w:rPr>
        <w:rFonts w:hint="default"/>
        <w:lang w:val="es-ES" w:eastAsia="en-US" w:bidi="ar-SA"/>
      </w:rPr>
    </w:lvl>
    <w:lvl w:ilvl="6" w:tplc="9CEEE6D0">
      <w:numFmt w:val="bullet"/>
      <w:lvlText w:val="•"/>
      <w:lvlJc w:val="left"/>
      <w:pPr>
        <w:ind w:left="6232" w:hanging="360"/>
      </w:pPr>
      <w:rPr>
        <w:rFonts w:hint="default"/>
        <w:lang w:val="es-ES" w:eastAsia="en-US" w:bidi="ar-SA"/>
      </w:rPr>
    </w:lvl>
    <w:lvl w:ilvl="7" w:tplc="40F69D32">
      <w:numFmt w:val="bullet"/>
      <w:lvlText w:val="•"/>
      <w:lvlJc w:val="left"/>
      <w:pPr>
        <w:ind w:left="7004" w:hanging="360"/>
      </w:pPr>
      <w:rPr>
        <w:rFonts w:hint="default"/>
        <w:lang w:val="es-ES" w:eastAsia="en-US" w:bidi="ar-SA"/>
      </w:rPr>
    </w:lvl>
    <w:lvl w:ilvl="8" w:tplc="1CF42BB4">
      <w:numFmt w:val="bullet"/>
      <w:lvlText w:val="•"/>
      <w:lvlJc w:val="left"/>
      <w:pPr>
        <w:ind w:left="7776" w:hanging="360"/>
      </w:pPr>
      <w:rPr>
        <w:rFonts w:hint="default"/>
        <w:lang w:val="es-ES" w:eastAsia="en-US" w:bidi="ar-SA"/>
      </w:rPr>
    </w:lvl>
  </w:abstractNum>
  <w:abstractNum w:abstractNumId="1" w15:restartNumberingAfterBreak="0">
    <w:nsid w:val="55980191"/>
    <w:multiLevelType w:val="hybridMultilevel"/>
    <w:tmpl w:val="78EC8242"/>
    <w:lvl w:ilvl="0" w:tplc="8CB8088A">
      <w:start w:val="1"/>
      <w:numFmt w:val="decimal"/>
      <w:lvlText w:val="%1."/>
      <w:lvlJc w:val="left"/>
      <w:pPr>
        <w:ind w:left="465" w:hanging="285"/>
        <w:jc w:val="left"/>
      </w:pPr>
      <w:rPr>
        <w:rFonts w:ascii="Arial" w:eastAsia="Arial" w:hAnsi="Arial" w:cs="Arial" w:hint="default"/>
        <w:b/>
        <w:bCs/>
        <w:color w:val="0D62A8"/>
        <w:spacing w:val="-21"/>
        <w:w w:val="100"/>
        <w:sz w:val="22"/>
        <w:szCs w:val="22"/>
        <w:lang w:val="es-ES" w:eastAsia="en-US" w:bidi="ar-SA"/>
      </w:rPr>
    </w:lvl>
    <w:lvl w:ilvl="1" w:tplc="082E17FE">
      <w:numFmt w:val="bullet"/>
      <w:lvlText w:val="•"/>
      <w:lvlJc w:val="left"/>
      <w:pPr>
        <w:ind w:left="1346" w:hanging="285"/>
      </w:pPr>
      <w:rPr>
        <w:rFonts w:hint="default"/>
        <w:lang w:val="es-ES" w:eastAsia="en-US" w:bidi="ar-SA"/>
      </w:rPr>
    </w:lvl>
    <w:lvl w:ilvl="2" w:tplc="B0AAE0B8">
      <w:numFmt w:val="bullet"/>
      <w:lvlText w:val="•"/>
      <w:lvlJc w:val="left"/>
      <w:pPr>
        <w:ind w:left="2232" w:hanging="285"/>
      </w:pPr>
      <w:rPr>
        <w:rFonts w:hint="default"/>
        <w:lang w:val="es-ES" w:eastAsia="en-US" w:bidi="ar-SA"/>
      </w:rPr>
    </w:lvl>
    <w:lvl w:ilvl="3" w:tplc="AFA6EC1A">
      <w:numFmt w:val="bullet"/>
      <w:lvlText w:val="•"/>
      <w:lvlJc w:val="left"/>
      <w:pPr>
        <w:ind w:left="3118" w:hanging="285"/>
      </w:pPr>
      <w:rPr>
        <w:rFonts w:hint="default"/>
        <w:lang w:val="es-ES" w:eastAsia="en-US" w:bidi="ar-SA"/>
      </w:rPr>
    </w:lvl>
    <w:lvl w:ilvl="4" w:tplc="54583584">
      <w:numFmt w:val="bullet"/>
      <w:lvlText w:val="•"/>
      <w:lvlJc w:val="left"/>
      <w:pPr>
        <w:ind w:left="4004" w:hanging="285"/>
      </w:pPr>
      <w:rPr>
        <w:rFonts w:hint="default"/>
        <w:lang w:val="es-ES" w:eastAsia="en-US" w:bidi="ar-SA"/>
      </w:rPr>
    </w:lvl>
    <w:lvl w:ilvl="5" w:tplc="64CC8202">
      <w:numFmt w:val="bullet"/>
      <w:lvlText w:val="•"/>
      <w:lvlJc w:val="left"/>
      <w:pPr>
        <w:ind w:left="4890" w:hanging="285"/>
      </w:pPr>
      <w:rPr>
        <w:rFonts w:hint="default"/>
        <w:lang w:val="es-ES" w:eastAsia="en-US" w:bidi="ar-SA"/>
      </w:rPr>
    </w:lvl>
    <w:lvl w:ilvl="6" w:tplc="162A89A6">
      <w:numFmt w:val="bullet"/>
      <w:lvlText w:val="•"/>
      <w:lvlJc w:val="left"/>
      <w:pPr>
        <w:ind w:left="5776" w:hanging="285"/>
      </w:pPr>
      <w:rPr>
        <w:rFonts w:hint="default"/>
        <w:lang w:val="es-ES" w:eastAsia="en-US" w:bidi="ar-SA"/>
      </w:rPr>
    </w:lvl>
    <w:lvl w:ilvl="7" w:tplc="4E78CBDC">
      <w:numFmt w:val="bullet"/>
      <w:lvlText w:val="•"/>
      <w:lvlJc w:val="left"/>
      <w:pPr>
        <w:ind w:left="6662" w:hanging="285"/>
      </w:pPr>
      <w:rPr>
        <w:rFonts w:hint="default"/>
        <w:lang w:val="es-ES" w:eastAsia="en-US" w:bidi="ar-SA"/>
      </w:rPr>
    </w:lvl>
    <w:lvl w:ilvl="8" w:tplc="4C90ABCC">
      <w:numFmt w:val="bullet"/>
      <w:lvlText w:val="•"/>
      <w:lvlJc w:val="left"/>
      <w:pPr>
        <w:ind w:left="7548" w:hanging="285"/>
      </w:pPr>
      <w:rPr>
        <w:rFonts w:hint="default"/>
        <w:lang w:val="es-ES" w:eastAsia="en-US" w:bidi="ar-SA"/>
      </w:rPr>
    </w:lvl>
  </w:abstractNum>
  <w:abstractNum w:abstractNumId="2" w15:restartNumberingAfterBreak="0">
    <w:nsid w:val="791C0850"/>
    <w:multiLevelType w:val="hybridMultilevel"/>
    <w:tmpl w:val="1BAE3BB8"/>
    <w:lvl w:ilvl="0" w:tplc="919A6AE6">
      <w:numFmt w:val="bullet"/>
      <w:lvlText w:val=""/>
      <w:lvlJc w:val="left"/>
      <w:pPr>
        <w:ind w:left="900" w:hanging="360"/>
      </w:pPr>
      <w:rPr>
        <w:rFonts w:ascii="Wingdings" w:eastAsia="Wingdings" w:hAnsi="Wingdings" w:cs="Wingdings" w:hint="default"/>
        <w:color w:val="4E4D4D"/>
        <w:w w:val="100"/>
        <w:sz w:val="22"/>
        <w:szCs w:val="22"/>
        <w:lang w:val="es-ES" w:eastAsia="en-US" w:bidi="ar-SA"/>
      </w:rPr>
    </w:lvl>
    <w:lvl w:ilvl="1" w:tplc="68001F88">
      <w:numFmt w:val="bullet"/>
      <w:lvlText w:val="•"/>
      <w:lvlJc w:val="left"/>
      <w:pPr>
        <w:ind w:left="1742" w:hanging="360"/>
      </w:pPr>
      <w:rPr>
        <w:rFonts w:hint="default"/>
        <w:lang w:val="es-ES" w:eastAsia="en-US" w:bidi="ar-SA"/>
      </w:rPr>
    </w:lvl>
    <w:lvl w:ilvl="2" w:tplc="25E2D28C">
      <w:numFmt w:val="bullet"/>
      <w:lvlText w:val="•"/>
      <w:lvlJc w:val="left"/>
      <w:pPr>
        <w:ind w:left="2584" w:hanging="360"/>
      </w:pPr>
      <w:rPr>
        <w:rFonts w:hint="default"/>
        <w:lang w:val="es-ES" w:eastAsia="en-US" w:bidi="ar-SA"/>
      </w:rPr>
    </w:lvl>
    <w:lvl w:ilvl="3" w:tplc="D88E6AF6">
      <w:numFmt w:val="bullet"/>
      <w:lvlText w:val="•"/>
      <w:lvlJc w:val="left"/>
      <w:pPr>
        <w:ind w:left="3426" w:hanging="360"/>
      </w:pPr>
      <w:rPr>
        <w:rFonts w:hint="default"/>
        <w:lang w:val="es-ES" w:eastAsia="en-US" w:bidi="ar-SA"/>
      </w:rPr>
    </w:lvl>
    <w:lvl w:ilvl="4" w:tplc="E61410CC">
      <w:numFmt w:val="bullet"/>
      <w:lvlText w:val="•"/>
      <w:lvlJc w:val="left"/>
      <w:pPr>
        <w:ind w:left="4268" w:hanging="360"/>
      </w:pPr>
      <w:rPr>
        <w:rFonts w:hint="default"/>
        <w:lang w:val="es-ES" w:eastAsia="en-US" w:bidi="ar-SA"/>
      </w:rPr>
    </w:lvl>
    <w:lvl w:ilvl="5" w:tplc="E8DCC93A">
      <w:numFmt w:val="bullet"/>
      <w:lvlText w:val="•"/>
      <w:lvlJc w:val="left"/>
      <w:pPr>
        <w:ind w:left="5110" w:hanging="360"/>
      </w:pPr>
      <w:rPr>
        <w:rFonts w:hint="default"/>
        <w:lang w:val="es-ES" w:eastAsia="en-US" w:bidi="ar-SA"/>
      </w:rPr>
    </w:lvl>
    <w:lvl w:ilvl="6" w:tplc="28E41102">
      <w:numFmt w:val="bullet"/>
      <w:lvlText w:val="•"/>
      <w:lvlJc w:val="left"/>
      <w:pPr>
        <w:ind w:left="5952" w:hanging="360"/>
      </w:pPr>
      <w:rPr>
        <w:rFonts w:hint="default"/>
        <w:lang w:val="es-ES" w:eastAsia="en-US" w:bidi="ar-SA"/>
      </w:rPr>
    </w:lvl>
    <w:lvl w:ilvl="7" w:tplc="C4F80014">
      <w:numFmt w:val="bullet"/>
      <w:lvlText w:val="•"/>
      <w:lvlJc w:val="left"/>
      <w:pPr>
        <w:ind w:left="6794" w:hanging="360"/>
      </w:pPr>
      <w:rPr>
        <w:rFonts w:hint="default"/>
        <w:lang w:val="es-ES" w:eastAsia="en-US" w:bidi="ar-SA"/>
      </w:rPr>
    </w:lvl>
    <w:lvl w:ilvl="8" w:tplc="537C4202">
      <w:numFmt w:val="bullet"/>
      <w:lvlText w:val="•"/>
      <w:lvlJc w:val="left"/>
      <w:pPr>
        <w:ind w:left="7636" w:hanging="360"/>
      </w:pPr>
      <w:rPr>
        <w:rFonts w:hint="default"/>
        <w:lang w:val="es-ES" w:eastAsia="en-US" w:bidi="ar-SA"/>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1779"/>
    <w:rsid w:val="00007F4B"/>
    <w:rsid w:val="000B6E30"/>
    <w:rsid w:val="000C030C"/>
    <w:rsid w:val="000C0780"/>
    <w:rsid w:val="0015180D"/>
    <w:rsid w:val="002C6A5F"/>
    <w:rsid w:val="004379D5"/>
    <w:rsid w:val="00684AE2"/>
    <w:rsid w:val="00734C8E"/>
    <w:rsid w:val="00837003"/>
    <w:rsid w:val="008416A0"/>
    <w:rsid w:val="00CC1779"/>
    <w:rsid w:val="00D4123C"/>
    <w:rsid w:val="00D9332F"/>
    <w:rsid w:val="00EB28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D7276E"/>
  <w15:docId w15:val="{8D275237-B349-45F6-98BE-99F45FD908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lang w:val="es-ES"/>
    </w:rPr>
  </w:style>
  <w:style w:type="paragraph" w:styleId="Ttulo1">
    <w:name w:val="heading 1"/>
    <w:basedOn w:val="Normal"/>
    <w:uiPriority w:val="1"/>
    <w:qFormat/>
    <w:pPr>
      <w:ind w:left="465" w:hanging="286"/>
      <w:outlineLvl w:val="0"/>
    </w:pPr>
    <w:rPr>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style>
  <w:style w:type="paragraph" w:styleId="Prrafodelista">
    <w:name w:val="List Paragraph"/>
    <w:basedOn w:val="Normal"/>
    <w:uiPriority w:val="1"/>
    <w:qFormat/>
    <w:pPr>
      <w:ind w:left="465" w:hanging="286"/>
    </w:pPr>
  </w:style>
  <w:style w:type="paragraph" w:customStyle="1" w:styleId="TableParagraph">
    <w:name w:val="Table Paragraph"/>
    <w:basedOn w:val="Normal"/>
    <w:uiPriority w:val="1"/>
    <w:qFormat/>
    <w:rPr>
      <w:rFonts w:ascii="Liberation Sans Narrow" w:eastAsia="Liberation Sans Narrow" w:hAnsi="Liberation Sans Narrow" w:cs="Liberation Sans Narro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0943FEB7-27AD-4574-8FFB-B8CBD58F8564}">
  <ds:schemaRefs>
    <ds:schemaRef ds:uri="http://schemas.microsoft.com/sharepoint/v3/contenttype/forms"/>
  </ds:schemaRefs>
</ds:datastoreItem>
</file>

<file path=customXml/itemProps2.xml><?xml version="1.0" encoding="utf-8"?>
<ds:datastoreItem xmlns:ds="http://schemas.openxmlformats.org/officeDocument/2006/customXml" ds:itemID="{C65067E9-A898-4BE4-8E02-F39F7F732F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BADE353-8F6C-40D0-8F3A-D4D4313C932F}">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1736</Words>
  <Characters>9899</Characters>
  <Application>Microsoft Office Word</Application>
  <DocSecurity>0</DocSecurity>
  <Lines>82</Lines>
  <Paragraphs>23</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11612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Nina María Padrón</cp:lastModifiedBy>
  <cp:revision>2</cp:revision>
  <dcterms:created xsi:type="dcterms:W3CDTF">2020-08-04T12:39:00Z</dcterms:created>
  <dcterms:modified xsi:type="dcterms:W3CDTF">2020-08-04T12:39:00Z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2019-09-30T00:00:00Z</vt:filetime>
  </property>
  <property fmtid="{D5CDD505-2E9C-101B-9397-08002B2CF9AE}" pid="3" name="Creator">
    <vt:lpwstr>Microsoft Word</vt:lpwstr>
  </property>
  <property fmtid="{D5CDD505-2E9C-101B-9397-08002B2CF9AE}" pid="4" name="LastSaved">
    <vt:filetime>2020-04-01T00:00:00Z</vt:filetime>
  </property>
  <property fmtid="{D5CDD505-2E9C-101B-9397-08002B2CF9AE}" pid="5" name="ContentTypeId">
    <vt:lpwstr>0x010100F2E0F32964D9B84EA054B84E5D4157A0</vt:lpwstr>
  </property>
</Properties>
</file>