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20D" w:rsidRPr="006811BA" w:rsidRDefault="000F620D" w:rsidP="002363DF">
      <w:pPr>
        <w:pStyle w:val="Textoindependiente"/>
        <w:spacing w:before="4"/>
        <w:ind w:left="120" w:right="106"/>
        <w:jc w:val="both"/>
        <w:rPr>
          <w:b/>
        </w:rPr>
      </w:pPr>
      <w:r w:rsidRPr="006811BA">
        <w:rPr>
          <w:b/>
        </w:rPr>
        <w:t xml:space="preserve">OFERTA – Precio – IVA </w:t>
      </w:r>
    </w:p>
    <w:p w:rsidR="000F620D" w:rsidRPr="006811BA" w:rsidRDefault="000F620D" w:rsidP="002363DF">
      <w:pPr>
        <w:jc w:val="both"/>
        <w:rPr>
          <w:b/>
        </w:rPr>
      </w:pPr>
    </w:p>
    <w:p w:rsidR="002363DF" w:rsidRPr="006811BA" w:rsidRDefault="000F620D" w:rsidP="002363DF">
      <w:pPr>
        <w:pStyle w:val="Textoindependiente"/>
        <w:spacing w:before="4"/>
        <w:ind w:left="120" w:right="106"/>
        <w:jc w:val="both"/>
        <w:rPr>
          <w:sz w:val="20"/>
          <w:szCs w:val="20"/>
        </w:rPr>
      </w:pPr>
      <w:r w:rsidRPr="006811BA">
        <w:rPr>
          <w:sz w:val="20"/>
          <w:szCs w:val="20"/>
        </w:rPr>
        <w:t>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w:t>
      </w:r>
      <w:r w:rsidR="002363DF" w:rsidRPr="006811BA">
        <w:rPr>
          <w:sz w:val="20"/>
          <w:szCs w:val="20"/>
        </w:rPr>
        <w:t xml:space="preserve"> totalidad de lo que vale. </w:t>
      </w:r>
    </w:p>
    <w:p w:rsidR="002363DF" w:rsidRPr="006811BA" w:rsidRDefault="002363DF" w:rsidP="002363DF">
      <w:pPr>
        <w:pStyle w:val="Textoindependiente"/>
        <w:spacing w:before="4"/>
        <w:ind w:left="120" w:right="106"/>
        <w:jc w:val="both"/>
        <w:rPr>
          <w:sz w:val="20"/>
          <w:szCs w:val="20"/>
        </w:rPr>
      </w:pPr>
    </w:p>
    <w:p w:rsidR="000F620D" w:rsidRPr="006811BA" w:rsidRDefault="002363DF" w:rsidP="002363DF">
      <w:pPr>
        <w:pStyle w:val="Textoindependiente"/>
        <w:spacing w:before="4"/>
        <w:ind w:left="120" w:right="106"/>
        <w:jc w:val="both"/>
        <w:rPr>
          <w:sz w:val="20"/>
          <w:szCs w:val="20"/>
        </w:rPr>
      </w:pPr>
      <w:r w:rsidRPr="006811BA">
        <w:rPr>
          <w:sz w:val="20"/>
          <w:szCs w:val="20"/>
        </w:rPr>
        <w:t>S</w:t>
      </w:r>
      <w:r w:rsidR="000F620D" w:rsidRPr="006811BA">
        <w:rPr>
          <w:sz w:val="20"/>
          <w:szCs w:val="20"/>
        </w:rPr>
        <w:t xml:space="preserve">i en los procesos de selección se presentan oferentes </w:t>
      </w:r>
      <w:r w:rsidR="000F620D" w:rsidRPr="006811BA">
        <w:rPr>
          <w:sz w:val="21"/>
          <w:szCs w:val="21"/>
        </w:rPr>
        <w:t>que</w:t>
      </w:r>
      <w:r w:rsidR="000F620D" w:rsidRPr="006811BA">
        <w:rPr>
          <w:sz w:val="20"/>
          <w:szCs w:val="20"/>
        </w:rPr>
        <w:t xml:space="preserv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 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w:t>
      </w:r>
    </w:p>
    <w:p w:rsidR="000F620D" w:rsidRPr="006811BA" w:rsidRDefault="000F620D" w:rsidP="002363DF">
      <w:pPr>
        <w:jc w:val="both"/>
        <w:rPr>
          <w:sz w:val="21"/>
          <w:szCs w:val="21"/>
        </w:rPr>
      </w:pPr>
    </w:p>
    <w:p w:rsidR="000F620D" w:rsidRPr="006811BA" w:rsidRDefault="000F620D" w:rsidP="002363DF">
      <w:pPr>
        <w:pStyle w:val="Textoindependiente"/>
        <w:spacing w:before="4"/>
        <w:ind w:left="120" w:right="106"/>
        <w:jc w:val="both"/>
        <w:rPr>
          <w:b/>
        </w:rPr>
      </w:pPr>
      <w:r w:rsidRPr="006811BA">
        <w:rPr>
          <w:b/>
        </w:rPr>
        <w:t xml:space="preserve">PRINCIPIO DE SELECCIÓN OBJETIVA – Estatuto General de Contratación Pública </w:t>
      </w:r>
    </w:p>
    <w:p w:rsidR="000F620D" w:rsidRPr="006811BA" w:rsidRDefault="000F620D" w:rsidP="002363DF">
      <w:pPr>
        <w:jc w:val="both"/>
        <w:rPr>
          <w:b/>
        </w:rPr>
      </w:pPr>
    </w:p>
    <w:p w:rsidR="001C2331" w:rsidRPr="006811BA" w:rsidRDefault="000F620D" w:rsidP="002363DF">
      <w:pPr>
        <w:pStyle w:val="Textoindependiente"/>
        <w:spacing w:before="4"/>
        <w:ind w:left="120" w:right="106"/>
        <w:jc w:val="both"/>
        <w:rPr>
          <w:sz w:val="20"/>
          <w:szCs w:val="20"/>
        </w:rPr>
      </w:pPr>
      <w:r w:rsidRPr="006811BA">
        <w:rPr>
          <w:sz w:val="20"/>
          <w:szCs w:val="20"/>
        </w:rPr>
        <w:t>El principio de selección objetiva se encontraba regulado, en un primer momento, por el artículo 29 de la Ley 80 de 1993, el cual fue derogado y sustituido por el artícul</w:t>
      </w:r>
      <w:r w:rsidR="001C2331" w:rsidRPr="006811BA">
        <w:rPr>
          <w:sz w:val="20"/>
          <w:szCs w:val="20"/>
        </w:rPr>
        <w:t xml:space="preserve">o 5 de la Ley 1150 de 2007. </w:t>
      </w:r>
    </w:p>
    <w:p w:rsidR="002363DF" w:rsidRPr="006811BA" w:rsidRDefault="000F620D" w:rsidP="002363DF">
      <w:pPr>
        <w:pStyle w:val="Textoindependiente"/>
        <w:spacing w:before="4"/>
        <w:ind w:left="120" w:right="106"/>
        <w:jc w:val="both"/>
        <w:rPr>
          <w:sz w:val="20"/>
          <w:szCs w:val="20"/>
        </w:rPr>
      </w:pPr>
      <w:r w:rsidRPr="006811BA">
        <w:rPr>
          <w:sz w:val="20"/>
          <w:szCs w:val="20"/>
        </w:rPr>
        <w:t>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w:t>
      </w:r>
      <w:r w:rsidR="002363DF" w:rsidRPr="006811BA">
        <w:rPr>
          <w:sz w:val="20"/>
          <w:szCs w:val="20"/>
        </w:rPr>
        <w:t xml:space="preserve"> subjetivos del proponente. </w:t>
      </w:r>
    </w:p>
    <w:p w:rsidR="002363DF" w:rsidRPr="006811BA" w:rsidRDefault="002363DF" w:rsidP="002363DF">
      <w:pPr>
        <w:pStyle w:val="Textoindependiente"/>
        <w:spacing w:before="4"/>
        <w:ind w:left="120" w:right="106"/>
        <w:jc w:val="both"/>
        <w:rPr>
          <w:sz w:val="20"/>
          <w:szCs w:val="20"/>
        </w:rPr>
      </w:pPr>
    </w:p>
    <w:p w:rsidR="000F620D" w:rsidRPr="006811BA" w:rsidRDefault="002363DF" w:rsidP="002363DF">
      <w:pPr>
        <w:pStyle w:val="Textoindependiente"/>
        <w:spacing w:before="4"/>
        <w:ind w:left="120" w:right="106"/>
        <w:jc w:val="both"/>
        <w:rPr>
          <w:sz w:val="20"/>
          <w:szCs w:val="20"/>
        </w:rPr>
      </w:pPr>
      <w:r w:rsidRPr="006811BA">
        <w:rPr>
          <w:sz w:val="20"/>
          <w:szCs w:val="20"/>
        </w:rPr>
        <w:t>C</w:t>
      </w:r>
      <w:r w:rsidR="000F620D" w:rsidRPr="006811BA">
        <w:rPr>
          <w:sz w:val="20"/>
          <w:szCs w:val="20"/>
        </w:rPr>
        <w:t>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 presentada.</w:t>
      </w:r>
    </w:p>
    <w:p w:rsidR="000F620D" w:rsidRPr="006811BA" w:rsidRDefault="000F620D" w:rsidP="002363DF">
      <w:pPr>
        <w:jc w:val="both"/>
        <w:rPr>
          <w:sz w:val="21"/>
          <w:szCs w:val="21"/>
          <w:lang w:val="es-MX"/>
        </w:rPr>
      </w:pPr>
    </w:p>
    <w:p w:rsidR="00440131" w:rsidRPr="006811BA" w:rsidRDefault="000F620D" w:rsidP="002363DF">
      <w:pPr>
        <w:pStyle w:val="Textoindependiente"/>
        <w:spacing w:before="4"/>
        <w:ind w:left="120" w:right="106"/>
        <w:jc w:val="both"/>
        <w:rPr>
          <w:b/>
        </w:rPr>
      </w:pPr>
      <w:r w:rsidRPr="006811BA">
        <w:rPr>
          <w:b/>
        </w:rPr>
        <w:t>PRINCIPIO DE SELECCIÓN OBJETIVA – Presentación de ofe</w:t>
      </w:r>
      <w:r w:rsidR="000D7435">
        <w:rPr>
          <w:b/>
        </w:rPr>
        <w:t xml:space="preserve">rta – Evaluación de oferta </w:t>
      </w:r>
      <w:r w:rsidR="000D7435">
        <w:rPr>
          <w:b/>
        </w:rPr>
        <w:t>–</w:t>
      </w:r>
      <w:r w:rsidR="000D7435">
        <w:rPr>
          <w:b/>
        </w:rPr>
        <w:t xml:space="preserve"> I</w:t>
      </w:r>
      <w:bookmarkStart w:id="0" w:name="_GoBack"/>
      <w:bookmarkEnd w:id="0"/>
      <w:r w:rsidRPr="006811BA">
        <w:rPr>
          <w:b/>
        </w:rPr>
        <w:t xml:space="preserve">nclusión del IVA – Principio de igualdad </w:t>
      </w:r>
    </w:p>
    <w:p w:rsidR="00440131" w:rsidRPr="006811BA" w:rsidRDefault="00440131" w:rsidP="002363DF">
      <w:pPr>
        <w:pStyle w:val="Textoindependiente"/>
        <w:spacing w:before="4"/>
        <w:ind w:left="120" w:right="106"/>
        <w:jc w:val="both"/>
        <w:rPr>
          <w:b/>
        </w:rPr>
      </w:pPr>
    </w:p>
    <w:p w:rsidR="002363DF" w:rsidRPr="006811BA" w:rsidRDefault="000F620D" w:rsidP="002363DF">
      <w:pPr>
        <w:pStyle w:val="Textoindependiente"/>
        <w:spacing w:before="4"/>
        <w:ind w:left="120" w:right="106"/>
        <w:jc w:val="both"/>
        <w:rPr>
          <w:sz w:val="20"/>
          <w:szCs w:val="20"/>
        </w:rPr>
      </w:pPr>
      <w:r w:rsidRPr="006811BA">
        <w:rPr>
          <w:sz w:val="20"/>
          <w:szCs w:val="20"/>
        </w:rPr>
        <w:t>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w:t>
      </w:r>
      <w:r w:rsidR="002363DF" w:rsidRPr="006811BA">
        <w:rPr>
          <w:sz w:val="20"/>
          <w:szCs w:val="20"/>
        </w:rPr>
        <w:t xml:space="preserve">ando adjudique el contrato. </w:t>
      </w:r>
    </w:p>
    <w:p w:rsidR="002363DF" w:rsidRPr="006811BA" w:rsidRDefault="002363DF" w:rsidP="002363DF">
      <w:pPr>
        <w:pStyle w:val="Textoindependiente"/>
        <w:spacing w:before="4"/>
        <w:ind w:left="120" w:right="106"/>
        <w:jc w:val="both"/>
        <w:rPr>
          <w:sz w:val="20"/>
          <w:szCs w:val="20"/>
        </w:rPr>
      </w:pPr>
    </w:p>
    <w:p w:rsidR="000F620D" w:rsidRPr="006811BA" w:rsidRDefault="000F620D" w:rsidP="002363DF">
      <w:pPr>
        <w:pStyle w:val="Textoindependiente"/>
        <w:spacing w:before="4"/>
        <w:ind w:left="120" w:right="106"/>
        <w:jc w:val="both"/>
        <w:rPr>
          <w:sz w:val="20"/>
          <w:szCs w:val="20"/>
        </w:rPr>
      </w:pPr>
      <w:r w:rsidRPr="006811BA">
        <w:rPr>
          <w:sz w:val="20"/>
          <w:szCs w:val="20"/>
        </w:rPr>
        <w:t>La posición que ahora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rsidR="000F620D" w:rsidRPr="006811BA" w:rsidRDefault="000F620D" w:rsidP="00440131">
      <w:pPr>
        <w:jc w:val="both"/>
        <w:rPr>
          <w:sz w:val="21"/>
          <w:szCs w:val="21"/>
        </w:rPr>
      </w:pPr>
    </w:p>
    <w:p w:rsidR="008412BF" w:rsidRPr="006811BA" w:rsidRDefault="008412BF">
      <w:pPr>
        <w:pStyle w:val="Textoindependiente"/>
        <w:rPr>
          <w:rFonts w:ascii="Times New Roman"/>
          <w:sz w:val="20"/>
        </w:rPr>
      </w:pPr>
    </w:p>
    <w:p w:rsidR="008412BF" w:rsidRPr="006811BA" w:rsidRDefault="008412BF">
      <w:pPr>
        <w:pStyle w:val="Textoindependiente"/>
        <w:rPr>
          <w:rFonts w:ascii="Times New Roman"/>
          <w:sz w:val="20"/>
        </w:rPr>
      </w:pPr>
    </w:p>
    <w:p w:rsidR="008412BF" w:rsidRPr="006811BA" w:rsidRDefault="008412BF">
      <w:pPr>
        <w:pStyle w:val="Textoindependiente"/>
        <w:rPr>
          <w:rFonts w:ascii="Times New Roman"/>
          <w:sz w:val="20"/>
        </w:rPr>
      </w:pPr>
    </w:p>
    <w:p w:rsidR="008412BF" w:rsidRPr="006811BA" w:rsidRDefault="008412BF">
      <w:pPr>
        <w:pStyle w:val="Textoindependiente"/>
        <w:rPr>
          <w:rFonts w:ascii="Times New Roman"/>
          <w:sz w:val="20"/>
        </w:rPr>
      </w:pPr>
    </w:p>
    <w:p w:rsidR="008412BF" w:rsidRPr="006811BA" w:rsidRDefault="008412BF">
      <w:pPr>
        <w:pStyle w:val="Textoindependiente"/>
        <w:rPr>
          <w:rFonts w:ascii="Times New Roman"/>
          <w:sz w:val="20"/>
        </w:rPr>
      </w:pPr>
    </w:p>
    <w:p w:rsidR="000F620D" w:rsidRPr="006811BA" w:rsidRDefault="00A934E1" w:rsidP="000F620D">
      <w:pPr>
        <w:pStyle w:val="Ttulo1"/>
        <w:spacing w:before="215" w:line="276" w:lineRule="auto"/>
        <w:ind w:left="120" w:right="4971" w:firstLine="0"/>
        <w:jc w:val="right"/>
      </w:pPr>
      <w:r w:rsidRPr="006811BA">
        <w:rPr>
          <w:b w:val="0"/>
        </w:rPr>
        <w:t xml:space="preserve">Bogotá D.C., </w:t>
      </w:r>
      <w:r w:rsidRPr="006811BA">
        <w:t xml:space="preserve">18/11/2019 Hora 18:49:33s </w:t>
      </w:r>
    </w:p>
    <w:p w:rsidR="000F620D" w:rsidRPr="006811BA" w:rsidRDefault="000F620D" w:rsidP="000F620D">
      <w:pPr>
        <w:pStyle w:val="Textoindependiente"/>
        <w:spacing w:before="4" w:line="276" w:lineRule="auto"/>
        <w:ind w:left="120" w:right="106"/>
        <w:jc w:val="both"/>
      </w:pPr>
    </w:p>
    <w:p w:rsidR="000F620D" w:rsidRPr="006811BA" w:rsidRDefault="000F620D" w:rsidP="000F620D">
      <w:pPr>
        <w:pStyle w:val="Textoindependiente"/>
        <w:spacing w:before="4" w:line="276" w:lineRule="auto"/>
        <w:ind w:left="120" w:right="106"/>
        <w:jc w:val="right"/>
      </w:pPr>
    </w:p>
    <w:p w:rsidR="008412BF" w:rsidRPr="006811BA" w:rsidRDefault="00A934E1" w:rsidP="000F620D">
      <w:pPr>
        <w:pStyle w:val="Textoindependiente"/>
        <w:spacing w:before="4" w:line="276" w:lineRule="auto"/>
        <w:ind w:left="120" w:right="106"/>
        <w:jc w:val="right"/>
      </w:pPr>
      <w:r w:rsidRPr="006811BA">
        <w:t>N° Radicado: 2201913000008566</w:t>
      </w:r>
    </w:p>
    <w:p w:rsidR="008412BF" w:rsidRPr="006811BA" w:rsidRDefault="008412BF">
      <w:pPr>
        <w:pStyle w:val="Textoindependiente"/>
        <w:spacing w:before="3"/>
        <w:rPr>
          <w:b/>
          <w:sz w:val="25"/>
        </w:rPr>
      </w:pPr>
    </w:p>
    <w:p w:rsidR="008412BF" w:rsidRPr="006811BA" w:rsidRDefault="00A934E1">
      <w:pPr>
        <w:pStyle w:val="Textoindependiente"/>
        <w:ind w:left="120"/>
      </w:pPr>
      <w:r w:rsidRPr="006811BA">
        <w:t>Señora</w:t>
      </w:r>
    </w:p>
    <w:p w:rsidR="008412BF" w:rsidRPr="006811BA" w:rsidRDefault="00A934E1">
      <w:pPr>
        <w:pStyle w:val="Textoindependiente"/>
        <w:spacing w:before="37"/>
        <w:ind w:left="120"/>
      </w:pPr>
      <w:r w:rsidRPr="006811BA">
        <w:t>Luz Ángela Montaña Montaña</w:t>
      </w:r>
    </w:p>
    <w:p w:rsidR="008412BF" w:rsidRPr="006811BA" w:rsidRDefault="008412BF">
      <w:pPr>
        <w:pStyle w:val="Textoindependiente"/>
        <w:spacing w:before="8"/>
        <w:rPr>
          <w:sz w:val="28"/>
        </w:rPr>
      </w:pPr>
    </w:p>
    <w:p w:rsidR="008412BF" w:rsidRPr="006811BA" w:rsidRDefault="00A934E1">
      <w:pPr>
        <w:tabs>
          <w:tab w:val="left" w:pos="3195"/>
        </w:tabs>
        <w:ind w:left="120"/>
      </w:pPr>
      <w:r w:rsidRPr="006811BA">
        <w:rPr>
          <w:b/>
        </w:rPr>
        <w:t>Radicación:</w:t>
      </w:r>
      <w:r w:rsidRPr="006811BA">
        <w:rPr>
          <w:b/>
        </w:rPr>
        <w:tab/>
      </w:r>
      <w:r w:rsidRPr="006811BA">
        <w:t>Respuesta a la consulta</w:t>
      </w:r>
      <w:r w:rsidRPr="006811BA">
        <w:rPr>
          <w:spacing w:val="-5"/>
        </w:rPr>
        <w:t xml:space="preserve"> </w:t>
      </w:r>
      <w:r w:rsidRPr="006811BA">
        <w:t>4201912000006665</w:t>
      </w:r>
    </w:p>
    <w:p w:rsidR="008412BF" w:rsidRPr="006811BA" w:rsidRDefault="00A934E1">
      <w:pPr>
        <w:tabs>
          <w:tab w:val="left" w:pos="3195"/>
        </w:tabs>
        <w:spacing w:before="37"/>
        <w:ind w:left="120"/>
      </w:pPr>
      <w:r w:rsidRPr="006811BA">
        <w:rPr>
          <w:b/>
        </w:rPr>
        <w:t>Temas:</w:t>
      </w:r>
      <w:r w:rsidRPr="006811BA">
        <w:rPr>
          <w:b/>
        </w:rPr>
        <w:tab/>
      </w:r>
      <w:r w:rsidRPr="006811BA">
        <w:t>Evaluación de las</w:t>
      </w:r>
      <w:r w:rsidRPr="006811BA">
        <w:rPr>
          <w:spacing w:val="-3"/>
        </w:rPr>
        <w:t xml:space="preserve"> </w:t>
      </w:r>
      <w:r w:rsidRPr="006811BA">
        <w:t>ofertas</w:t>
      </w:r>
    </w:p>
    <w:p w:rsidR="008412BF" w:rsidRPr="006811BA" w:rsidRDefault="00A934E1">
      <w:pPr>
        <w:spacing w:before="40" w:line="549" w:lineRule="auto"/>
        <w:ind w:left="120" w:right="1902"/>
        <w:jc w:val="both"/>
      </w:pPr>
      <w:r w:rsidRPr="006811BA">
        <w:rPr>
          <w:b/>
        </w:rPr>
        <w:t xml:space="preserve">Tipo de asunto consultado: </w:t>
      </w:r>
      <w:r w:rsidRPr="006811BA">
        <w:t>IVA como factor de evaluación de ofertas Cordial saludo,</w:t>
      </w:r>
    </w:p>
    <w:p w:rsidR="008412BF" w:rsidRPr="006811BA" w:rsidRDefault="00A934E1">
      <w:pPr>
        <w:pStyle w:val="Textoindependiente"/>
        <w:spacing w:before="4" w:line="276" w:lineRule="auto"/>
        <w:ind w:left="120" w:right="106"/>
        <w:jc w:val="both"/>
      </w:pPr>
      <w:r w:rsidRPr="006811BA">
        <w:t>La Agencia Nacional de Contratación Pública – Colombia Compra Eficiente – responde su consulta del 27 de septiembre de 2019, en ejercicio de la competencia otorgada por el numeral 5 del artículo 3 y el numeral 8 del artículo 11 del Decreto 4170 de 2011, en los siguientes términos:</w:t>
      </w:r>
    </w:p>
    <w:p w:rsidR="008412BF" w:rsidRPr="006811BA" w:rsidRDefault="008412BF">
      <w:pPr>
        <w:pStyle w:val="Textoindependiente"/>
        <w:spacing w:before="4"/>
        <w:rPr>
          <w:sz w:val="25"/>
        </w:rPr>
      </w:pPr>
    </w:p>
    <w:p w:rsidR="008412BF" w:rsidRPr="006811BA" w:rsidRDefault="00A934E1">
      <w:pPr>
        <w:pStyle w:val="Ttulo1"/>
        <w:numPr>
          <w:ilvl w:val="0"/>
          <w:numId w:val="1"/>
        </w:numPr>
        <w:tabs>
          <w:tab w:val="left" w:pos="481"/>
        </w:tabs>
        <w:ind w:hanging="361"/>
      </w:pPr>
      <w:r w:rsidRPr="006811BA">
        <w:t>Problemas</w:t>
      </w:r>
      <w:r w:rsidRPr="006811BA">
        <w:rPr>
          <w:spacing w:val="-2"/>
        </w:rPr>
        <w:t xml:space="preserve"> </w:t>
      </w:r>
      <w:r w:rsidRPr="006811BA">
        <w:t>planteados</w:t>
      </w:r>
    </w:p>
    <w:p w:rsidR="008412BF" w:rsidRPr="006811BA" w:rsidRDefault="008412BF">
      <w:pPr>
        <w:pStyle w:val="Textoindependiente"/>
        <w:spacing w:before="7"/>
        <w:rPr>
          <w:b/>
          <w:sz w:val="28"/>
        </w:rPr>
      </w:pPr>
    </w:p>
    <w:p w:rsidR="008412BF" w:rsidRPr="006811BA" w:rsidRDefault="00A934E1">
      <w:pPr>
        <w:pStyle w:val="Textoindependiente"/>
        <w:spacing w:line="276" w:lineRule="auto"/>
        <w:ind w:left="120" w:right="106"/>
        <w:jc w:val="both"/>
      </w:pPr>
      <w:r w:rsidRPr="006811BA">
        <w:t>El solicitante plantea lo siguiente: “La entidad tiene claro que cuando hay ofertas de proponentes declarantes de IVA y otros que no declaran IVA, las ofertas deben ser evaluadas sin IVA. La inquietud que surge es en el caso de que todos los proponentes declaran IVA ¿cómo se deben evaluar? ¿con IVA? ¿sin IVA?”.</w:t>
      </w:r>
    </w:p>
    <w:p w:rsidR="008412BF" w:rsidRPr="006811BA" w:rsidRDefault="008412BF">
      <w:pPr>
        <w:pStyle w:val="Textoindependiente"/>
        <w:rPr>
          <w:sz w:val="24"/>
        </w:rPr>
      </w:pPr>
    </w:p>
    <w:p w:rsidR="008412BF" w:rsidRPr="006811BA" w:rsidRDefault="008412BF">
      <w:pPr>
        <w:pStyle w:val="Textoindependiente"/>
        <w:spacing w:before="7"/>
        <w:rPr>
          <w:sz w:val="26"/>
        </w:rPr>
      </w:pPr>
    </w:p>
    <w:p w:rsidR="008412BF" w:rsidRPr="006811BA" w:rsidRDefault="00A934E1">
      <w:pPr>
        <w:pStyle w:val="Ttulo1"/>
        <w:numPr>
          <w:ilvl w:val="0"/>
          <w:numId w:val="1"/>
        </w:numPr>
        <w:tabs>
          <w:tab w:val="left" w:pos="481"/>
        </w:tabs>
        <w:ind w:hanging="361"/>
      </w:pPr>
      <w:r w:rsidRPr="006811BA">
        <w:t>Consideraciones</w:t>
      </w:r>
    </w:p>
    <w:p w:rsidR="008412BF" w:rsidRPr="006811BA" w:rsidRDefault="008412BF">
      <w:pPr>
        <w:pStyle w:val="Textoindependiente"/>
        <w:spacing w:before="7"/>
        <w:rPr>
          <w:b/>
          <w:sz w:val="28"/>
        </w:rPr>
      </w:pPr>
    </w:p>
    <w:p w:rsidR="008412BF" w:rsidRPr="006811BA" w:rsidRDefault="00A934E1">
      <w:pPr>
        <w:pStyle w:val="Textoindependiente"/>
        <w:ind w:left="120"/>
      </w:pPr>
      <w:r w:rsidRPr="006811BA">
        <w:t>Para responder las preguntas formuladas, se harán unas consideraciones en relación</w:t>
      </w:r>
      <w:r w:rsidRPr="006811BA">
        <w:rPr>
          <w:spacing w:val="52"/>
        </w:rPr>
        <w:t xml:space="preserve"> </w:t>
      </w:r>
      <w:r w:rsidRPr="006811BA">
        <w:t>con:</w:t>
      </w:r>
    </w:p>
    <w:p w:rsidR="008412BF" w:rsidRPr="006811BA" w:rsidRDefault="00A934E1">
      <w:pPr>
        <w:pStyle w:val="Textoindependiente"/>
        <w:spacing w:before="38" w:line="278" w:lineRule="auto"/>
        <w:ind w:left="120"/>
      </w:pPr>
      <w:r w:rsidRPr="006811BA">
        <w:t>i) el precio; ii) el IVA en la evaluación de ofertas y iii) los principios de selección objetiva e igualdad de trato en la contratación estatal.</w:t>
      </w:r>
    </w:p>
    <w:p w:rsidR="008412BF" w:rsidRPr="006811BA" w:rsidRDefault="008412BF">
      <w:pPr>
        <w:pStyle w:val="Textoindependiente"/>
        <w:spacing w:before="9"/>
        <w:rPr>
          <w:sz w:val="24"/>
        </w:rPr>
      </w:pPr>
    </w:p>
    <w:p w:rsidR="008412BF" w:rsidRPr="006811BA" w:rsidRDefault="00A934E1">
      <w:pPr>
        <w:pStyle w:val="Ttulo1"/>
        <w:numPr>
          <w:ilvl w:val="1"/>
          <w:numId w:val="1"/>
        </w:numPr>
        <w:tabs>
          <w:tab w:val="left" w:pos="687"/>
          <w:tab w:val="left" w:pos="688"/>
        </w:tabs>
        <w:spacing w:before="1"/>
      </w:pPr>
      <w:r w:rsidRPr="006811BA">
        <w:t>El</w:t>
      </w:r>
      <w:r w:rsidRPr="006811BA">
        <w:rPr>
          <w:spacing w:val="-3"/>
        </w:rPr>
        <w:t xml:space="preserve"> </w:t>
      </w:r>
      <w:r w:rsidRPr="006811BA">
        <w:t>precio</w:t>
      </w:r>
    </w:p>
    <w:p w:rsidR="008412BF" w:rsidRPr="006811BA" w:rsidRDefault="008412BF">
      <w:pPr>
        <w:pStyle w:val="Textoindependiente"/>
        <w:spacing w:before="7"/>
        <w:rPr>
          <w:b/>
          <w:sz w:val="28"/>
        </w:rPr>
      </w:pPr>
    </w:p>
    <w:p w:rsidR="008412BF" w:rsidRPr="006811BA" w:rsidRDefault="00A934E1" w:rsidP="004C47DC">
      <w:pPr>
        <w:pStyle w:val="Textoindependiente"/>
        <w:spacing w:line="276" w:lineRule="auto"/>
        <w:ind w:left="120" w:right="108"/>
        <w:jc w:val="both"/>
      </w:pPr>
      <w:r w:rsidRPr="006811BA">
        <w:t xml:space="preserve">Para el Diccionario de la Real Academia Española el precio es el “valor pecuniario en que se estima algo”. En nuestro ordenamiento jurídico, tenemos una definición de precio en el </w:t>
      </w:r>
      <w:r w:rsidRPr="006811BA">
        <w:lastRenderedPageBreak/>
        <w:t>Código Civil y en el Código de Comercio. Ambas codificaciones, al regular el contrato de compraventa, definen el precio como el dinero que el comprador suministra por la cosa</w:t>
      </w:r>
      <w:r w:rsidR="004C47DC">
        <w:t xml:space="preserve"> </w:t>
      </w:r>
      <w:r w:rsidRPr="006811BA">
        <w:t>vendida:</w:t>
      </w:r>
    </w:p>
    <w:p w:rsidR="008412BF" w:rsidRPr="006811BA" w:rsidRDefault="008412BF">
      <w:pPr>
        <w:pStyle w:val="Textoindependiente"/>
        <w:spacing w:before="8"/>
        <w:rPr>
          <w:sz w:val="28"/>
        </w:rPr>
      </w:pPr>
    </w:p>
    <w:p w:rsidR="008412BF" w:rsidRPr="006811BA" w:rsidRDefault="00A934E1">
      <w:pPr>
        <w:pStyle w:val="Textoindependiente"/>
        <w:ind w:left="828" w:right="111"/>
        <w:jc w:val="both"/>
      </w:pPr>
      <w:r w:rsidRPr="006811BA">
        <w:t>Artículo 1849 del Código Civil: La compraventa es un contrato en que una de las partes se obliga a dar una cosa y la otra a pagarla en dinero. Aquella se dice vender y esta comprar. El dinero que el comprador da por la cosa vendida se llama precio.</w:t>
      </w:r>
    </w:p>
    <w:p w:rsidR="008412BF" w:rsidRPr="006811BA" w:rsidRDefault="008412BF">
      <w:pPr>
        <w:pStyle w:val="Textoindependiente"/>
      </w:pPr>
    </w:p>
    <w:p w:rsidR="008412BF" w:rsidRPr="006811BA" w:rsidRDefault="00A934E1">
      <w:pPr>
        <w:pStyle w:val="Textoindependiente"/>
        <w:spacing w:before="1"/>
        <w:ind w:left="828" w:right="106"/>
        <w:jc w:val="both"/>
      </w:pPr>
      <w:r w:rsidRPr="006811BA">
        <w:t>Artículo 905 del Código de Comercio: La compraventa es un contrato en que una de las partes se obliga a trasmitir la propiedad de una cosa y la otra a pagarla en dinero. El dinero que el comprador da por la cosa vendida se llama precio.</w:t>
      </w:r>
    </w:p>
    <w:p w:rsidR="008412BF" w:rsidRPr="006811BA" w:rsidRDefault="008412BF">
      <w:pPr>
        <w:pStyle w:val="Textoindependiente"/>
        <w:rPr>
          <w:sz w:val="24"/>
        </w:rPr>
      </w:pPr>
    </w:p>
    <w:p w:rsidR="008412BF" w:rsidRPr="006811BA" w:rsidRDefault="00A934E1">
      <w:pPr>
        <w:pStyle w:val="Textoindependiente"/>
        <w:spacing w:line="276" w:lineRule="auto"/>
        <w:ind w:left="120" w:right="105"/>
        <w:jc w:val="both"/>
      </w:pPr>
      <w:r w:rsidRPr="006811BA">
        <w:t>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w:t>
      </w:r>
      <w:r w:rsidRPr="006811BA">
        <w:rPr>
          <w:spacing w:val="-32"/>
        </w:rPr>
        <w:t xml:space="preserve"> </w:t>
      </w:r>
      <w:r w:rsidRPr="006811BA">
        <w:t>recibida.</w:t>
      </w:r>
    </w:p>
    <w:p w:rsidR="008412BF" w:rsidRPr="006811BA" w:rsidRDefault="008412BF">
      <w:pPr>
        <w:pStyle w:val="Textoindependiente"/>
        <w:spacing w:before="4"/>
        <w:rPr>
          <w:sz w:val="25"/>
        </w:rPr>
      </w:pPr>
    </w:p>
    <w:p w:rsidR="008412BF" w:rsidRPr="006811BA" w:rsidRDefault="00A934E1">
      <w:pPr>
        <w:pStyle w:val="Textoindependiente"/>
        <w:spacing w:line="273" w:lineRule="auto"/>
        <w:ind w:left="120" w:right="106"/>
        <w:jc w:val="both"/>
      </w:pPr>
      <w:r w:rsidRPr="006811BA">
        <w:t>El Consejo de Estado ha señalado que en el precio se entienden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sidR="004C47DC">
        <w:rPr>
          <w:rStyle w:val="Refdenotaalpie"/>
        </w:rPr>
        <w:footnoteReference w:id="1"/>
      </w:r>
      <w:r w:rsidRPr="006811BA">
        <w:t>.</w:t>
      </w:r>
    </w:p>
    <w:p w:rsidR="008412BF" w:rsidRPr="006811BA" w:rsidRDefault="008412BF">
      <w:pPr>
        <w:pStyle w:val="Textoindependiente"/>
        <w:spacing w:before="9"/>
        <w:rPr>
          <w:sz w:val="25"/>
        </w:rPr>
      </w:pPr>
    </w:p>
    <w:p w:rsidR="008412BF" w:rsidRPr="006811BA" w:rsidRDefault="00A934E1">
      <w:pPr>
        <w:pStyle w:val="Textoindependiente"/>
        <w:spacing w:line="276" w:lineRule="auto"/>
        <w:ind w:left="120" w:right="110"/>
        <w:jc w:val="both"/>
      </w:pPr>
      <w:r w:rsidRPr="006811BA">
        <w:t>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w:t>
      </w:r>
    </w:p>
    <w:p w:rsidR="008412BF" w:rsidRPr="006811BA" w:rsidRDefault="008412BF">
      <w:pPr>
        <w:pStyle w:val="Textoindependiente"/>
        <w:spacing w:before="2"/>
        <w:rPr>
          <w:sz w:val="25"/>
        </w:rPr>
      </w:pPr>
    </w:p>
    <w:p w:rsidR="008412BF" w:rsidRPr="006811BA" w:rsidRDefault="00A934E1" w:rsidP="004C47DC">
      <w:pPr>
        <w:pStyle w:val="Textoindependiente"/>
        <w:ind w:left="688" w:right="104"/>
        <w:jc w:val="both"/>
      </w:pPr>
      <w:r w:rsidRPr="006811BA">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w:t>
      </w:r>
      <w:r w:rsidRPr="006811BA">
        <w:rPr>
          <w:spacing w:val="26"/>
        </w:rPr>
        <w:t xml:space="preserve"> </w:t>
      </w:r>
      <w:r w:rsidRPr="006811BA">
        <w:t>vender</w:t>
      </w:r>
      <w:r w:rsidR="004C47DC">
        <w:t xml:space="preserve"> </w:t>
      </w:r>
      <w:r w:rsidRPr="006811BA">
        <w:t xml:space="preserve">sus bienes o servicios, so pena de que la entidad entienda que el precio ofrecido los incluye, y </w:t>
      </w:r>
      <w:r w:rsidRPr="006811BA">
        <w:lastRenderedPageBreak/>
        <w:t>luego sólo pagará el precio ofertado, pues allí se debieron incluir -es lo lógico y así debe entenderse- todos los gastos en que incurrirá el proponente”</w:t>
      </w:r>
      <w:r w:rsidR="004C47DC">
        <w:rPr>
          <w:rStyle w:val="Refdenotaalpie"/>
        </w:rPr>
        <w:footnoteReference w:id="2"/>
      </w:r>
      <w:r w:rsidRPr="006811BA">
        <w:t>.</w:t>
      </w:r>
    </w:p>
    <w:p w:rsidR="008412BF" w:rsidRPr="006811BA" w:rsidRDefault="008412BF">
      <w:pPr>
        <w:pStyle w:val="Textoindependiente"/>
        <w:spacing w:before="1"/>
        <w:rPr>
          <w:sz w:val="24"/>
        </w:rPr>
      </w:pPr>
    </w:p>
    <w:p w:rsidR="008412BF" w:rsidRPr="006811BA" w:rsidRDefault="00A934E1">
      <w:pPr>
        <w:pStyle w:val="Textoindependiente"/>
        <w:spacing w:line="276" w:lineRule="auto"/>
        <w:ind w:left="120" w:right="110"/>
        <w:jc w:val="both"/>
      </w:pPr>
      <w:r w:rsidRPr="006811BA">
        <w:t>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p>
    <w:p w:rsidR="008412BF" w:rsidRPr="006811BA" w:rsidRDefault="008412BF">
      <w:pPr>
        <w:pStyle w:val="Textoindependiente"/>
        <w:spacing w:before="5"/>
        <w:rPr>
          <w:sz w:val="25"/>
        </w:rPr>
      </w:pPr>
    </w:p>
    <w:p w:rsidR="008412BF" w:rsidRPr="006811BA" w:rsidRDefault="00A934E1">
      <w:pPr>
        <w:pStyle w:val="Textoindependiente"/>
        <w:spacing w:line="276" w:lineRule="auto"/>
        <w:ind w:left="120" w:right="103"/>
        <w:jc w:val="both"/>
      </w:pPr>
      <w:r w:rsidRPr="006811BA">
        <w:t>Piénsese, por ejemplo, que una persona quiere comprar una camisa cuyo precio es de 100 mil pesos más IVA, ello quiere decir que el precio real de la camisa no es 100 mil pesos, sino 119 mil pesos, pues el comprador tendrá que sufragar la totalidad de ese monto -que incluye el IVA- para poder adquirirla, de lo contrario no podrá hacerlo.</w:t>
      </w:r>
    </w:p>
    <w:p w:rsidR="008412BF" w:rsidRPr="006811BA" w:rsidRDefault="008412BF">
      <w:pPr>
        <w:pStyle w:val="Textoindependiente"/>
        <w:spacing w:before="4"/>
        <w:rPr>
          <w:sz w:val="25"/>
        </w:rPr>
      </w:pPr>
    </w:p>
    <w:p w:rsidR="008412BF" w:rsidRPr="006811BA" w:rsidRDefault="00A934E1">
      <w:pPr>
        <w:pStyle w:val="Ttulo1"/>
        <w:numPr>
          <w:ilvl w:val="1"/>
          <w:numId w:val="1"/>
        </w:numPr>
        <w:tabs>
          <w:tab w:val="left" w:pos="546"/>
        </w:tabs>
        <w:ind w:left="545" w:hanging="381"/>
      </w:pPr>
      <w:r w:rsidRPr="006811BA">
        <w:t>IVA en la evaluación de las</w:t>
      </w:r>
      <w:r w:rsidRPr="006811BA">
        <w:rPr>
          <w:spacing w:val="-4"/>
        </w:rPr>
        <w:t xml:space="preserve"> </w:t>
      </w:r>
      <w:r w:rsidRPr="006811BA">
        <w:t>ofertas</w:t>
      </w:r>
    </w:p>
    <w:p w:rsidR="008412BF" w:rsidRPr="006811BA" w:rsidRDefault="008412BF">
      <w:pPr>
        <w:pStyle w:val="Textoindependiente"/>
        <w:spacing w:before="2"/>
        <w:rPr>
          <w:b/>
          <w:sz w:val="25"/>
        </w:rPr>
      </w:pPr>
    </w:p>
    <w:p w:rsidR="008412BF" w:rsidRPr="006811BA" w:rsidRDefault="00A934E1">
      <w:pPr>
        <w:pStyle w:val="Textoindependiente"/>
        <w:spacing w:line="276" w:lineRule="auto"/>
        <w:ind w:left="120" w:right="108"/>
        <w:jc w:val="both"/>
      </w:pPr>
      <w:r w:rsidRPr="006811BA">
        <w:t>El impuesto al valor agregado -IVA- es un tributo que se deduce a partir de los precios que los consumidores pagan por los bienes y servicios. Este gravamen tiene carácter nacional y naturaleza indirecta. En Colombia, por regla general, el IVA se aplica en todos los momentos del ciclo económico, tales como la producción, distribución, comercialización e importación.</w:t>
      </w:r>
    </w:p>
    <w:p w:rsidR="008412BF" w:rsidRPr="006811BA" w:rsidRDefault="008412BF">
      <w:pPr>
        <w:pStyle w:val="Textoindependiente"/>
      </w:pPr>
    </w:p>
    <w:p w:rsidR="008412BF" w:rsidRPr="006811BA" w:rsidRDefault="00A934E1">
      <w:pPr>
        <w:pStyle w:val="Textoindependiente"/>
        <w:spacing w:line="276" w:lineRule="auto"/>
        <w:ind w:left="120" w:right="104"/>
        <w:jc w:val="both"/>
      </w:pPr>
      <w:r w:rsidRPr="006811BA">
        <w:t>La Subdirección de Gestión Contractual, en anteriores ocasiones, ha tenido la oportunidad de conceptuar en relación con la incidencia del régimen tributario en la evaluación de las propuestas. Así, por ejemplo, en la consulta de radicado No. 2201913000003723 del 30 de mayo de 2019 la Subdirección de Gestión Contractual sostuvo lo siguiente:</w:t>
      </w:r>
    </w:p>
    <w:p w:rsidR="008412BF" w:rsidRPr="006811BA" w:rsidRDefault="008412BF">
      <w:pPr>
        <w:pStyle w:val="Textoindependiente"/>
        <w:spacing w:before="4"/>
        <w:rPr>
          <w:sz w:val="25"/>
        </w:rPr>
      </w:pPr>
    </w:p>
    <w:p w:rsidR="008412BF" w:rsidRPr="006811BA" w:rsidRDefault="00A934E1">
      <w:pPr>
        <w:pStyle w:val="Textoindependiente"/>
        <w:ind w:left="825" w:right="111"/>
        <w:jc w:val="both"/>
      </w:pPr>
      <w:r w:rsidRPr="006811BA">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w:t>
      </w:r>
      <w:r w:rsidRPr="006811BA">
        <w:rPr>
          <w:spacing w:val="-4"/>
        </w:rPr>
        <w:t xml:space="preserve"> </w:t>
      </w:r>
      <w:r w:rsidRPr="006811BA">
        <w:t>ofrecido.</w:t>
      </w:r>
    </w:p>
    <w:p w:rsidR="008412BF" w:rsidRPr="006811BA" w:rsidRDefault="008412BF">
      <w:pPr>
        <w:pStyle w:val="Textoindependiente"/>
        <w:spacing w:before="5"/>
        <w:rPr>
          <w:sz w:val="25"/>
        </w:rPr>
      </w:pPr>
    </w:p>
    <w:p w:rsidR="008412BF" w:rsidRPr="006811BA" w:rsidRDefault="00A934E1" w:rsidP="004C47DC">
      <w:pPr>
        <w:pStyle w:val="Textoindependiente"/>
        <w:spacing w:line="276" w:lineRule="auto"/>
        <w:ind w:left="120" w:right="105"/>
        <w:jc w:val="both"/>
        <w:rPr>
          <w:sz w:val="16"/>
        </w:rPr>
      </w:pPr>
      <w:r w:rsidRPr="006811BA">
        <w:t>Como se observa, según el criterio hasta ahora adoptado, al momento de la ponderación de las ofertas económicas, la entidad debe comparar los ofrecimientos sin tener en cuenta el</w:t>
      </w:r>
      <w:r w:rsidRPr="006811BA">
        <w:rPr>
          <w:spacing w:val="13"/>
        </w:rPr>
        <w:t xml:space="preserve"> </w:t>
      </w:r>
      <w:r w:rsidRPr="006811BA">
        <w:t>IVA,</w:t>
      </w:r>
      <w:r w:rsidRPr="006811BA">
        <w:rPr>
          <w:spacing w:val="11"/>
        </w:rPr>
        <w:t xml:space="preserve"> </w:t>
      </w:r>
      <w:r w:rsidRPr="006811BA">
        <w:t>ello</w:t>
      </w:r>
      <w:r w:rsidRPr="006811BA">
        <w:rPr>
          <w:spacing w:val="9"/>
        </w:rPr>
        <w:t xml:space="preserve"> </w:t>
      </w:r>
      <w:r w:rsidRPr="006811BA">
        <w:t>para</w:t>
      </w:r>
      <w:r w:rsidRPr="006811BA">
        <w:rPr>
          <w:spacing w:val="11"/>
        </w:rPr>
        <w:t xml:space="preserve"> </w:t>
      </w:r>
      <w:r w:rsidRPr="006811BA">
        <w:t>garantizar</w:t>
      </w:r>
      <w:r w:rsidRPr="006811BA">
        <w:rPr>
          <w:spacing w:val="12"/>
        </w:rPr>
        <w:t xml:space="preserve"> </w:t>
      </w:r>
      <w:r w:rsidRPr="006811BA">
        <w:t>que</w:t>
      </w:r>
      <w:r w:rsidRPr="006811BA">
        <w:rPr>
          <w:spacing w:val="12"/>
        </w:rPr>
        <w:t xml:space="preserve"> </w:t>
      </w:r>
      <w:r w:rsidRPr="006811BA">
        <w:t>los</w:t>
      </w:r>
      <w:r w:rsidRPr="006811BA">
        <w:rPr>
          <w:spacing w:val="9"/>
        </w:rPr>
        <w:t xml:space="preserve"> </w:t>
      </w:r>
      <w:r w:rsidRPr="006811BA">
        <w:t>oferentes</w:t>
      </w:r>
      <w:r w:rsidRPr="006811BA">
        <w:rPr>
          <w:spacing w:val="12"/>
        </w:rPr>
        <w:t xml:space="preserve"> </w:t>
      </w:r>
      <w:r w:rsidRPr="006811BA">
        <w:t>sean</w:t>
      </w:r>
      <w:r w:rsidRPr="006811BA">
        <w:rPr>
          <w:spacing w:val="10"/>
        </w:rPr>
        <w:t xml:space="preserve"> </w:t>
      </w:r>
      <w:r w:rsidRPr="006811BA">
        <w:t>evaluados</w:t>
      </w:r>
      <w:r w:rsidRPr="006811BA">
        <w:rPr>
          <w:spacing w:val="13"/>
        </w:rPr>
        <w:t xml:space="preserve"> </w:t>
      </w:r>
      <w:r w:rsidRPr="006811BA">
        <w:rPr>
          <w:spacing w:val="3"/>
        </w:rPr>
        <w:t>en</w:t>
      </w:r>
      <w:r w:rsidRPr="006811BA">
        <w:rPr>
          <w:spacing w:val="9"/>
        </w:rPr>
        <w:t xml:space="preserve"> </w:t>
      </w:r>
      <w:r w:rsidRPr="006811BA">
        <w:t>igualdad</w:t>
      </w:r>
      <w:r w:rsidRPr="006811BA">
        <w:rPr>
          <w:spacing w:val="12"/>
        </w:rPr>
        <w:t xml:space="preserve"> </w:t>
      </w:r>
      <w:r w:rsidRPr="006811BA">
        <w:t>de</w:t>
      </w:r>
      <w:r w:rsidRPr="006811BA">
        <w:rPr>
          <w:spacing w:val="12"/>
        </w:rPr>
        <w:t xml:space="preserve"> </w:t>
      </w:r>
      <w:r w:rsidRPr="006811BA">
        <w:t>condiciones.</w:t>
      </w:r>
    </w:p>
    <w:p w:rsidR="008412BF" w:rsidRPr="006811BA" w:rsidRDefault="00A934E1">
      <w:pPr>
        <w:pStyle w:val="Textoindependiente"/>
        <w:spacing w:before="93" w:line="276" w:lineRule="auto"/>
        <w:ind w:left="120" w:right="107"/>
        <w:jc w:val="both"/>
      </w:pPr>
      <w:r w:rsidRPr="006811BA">
        <w:t xml:space="preserve">Además, se sostuvo que el principio de selección objetiva implica que el contratista seleccionado es aquel que haga un mejor ofrecimiento objetivo a la entidad, sin que se pueda </w:t>
      </w:r>
      <w:r w:rsidRPr="006811BA">
        <w:lastRenderedPageBreak/>
        <w:t>tener en cuenta factores de índole subjetivo, como el régimen tributario al que pertenecen los oferentes:</w:t>
      </w:r>
    </w:p>
    <w:p w:rsidR="008412BF" w:rsidRPr="006811BA" w:rsidRDefault="008412BF">
      <w:pPr>
        <w:pStyle w:val="Textoindependiente"/>
        <w:spacing w:before="4"/>
        <w:rPr>
          <w:sz w:val="25"/>
        </w:rPr>
      </w:pPr>
    </w:p>
    <w:p w:rsidR="008412BF" w:rsidRPr="006811BA" w:rsidRDefault="00A934E1">
      <w:pPr>
        <w:pStyle w:val="Textoindependiente"/>
        <w:ind w:left="825" w:right="108"/>
        <w:jc w:val="both"/>
      </w:pPr>
      <w:r w:rsidRPr="006811BA">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(ii) el referido principio de selección objetiva y, (iii) en el caso de bienes o servicios excluidos de IVA por su origen extranjero, la igualdad de condiciones de participación para proponentes nacionales y extranjeros prevista por los parágrafos 1 y 2 del artículo 20 de la Ley 80 de 1993.</w:t>
      </w:r>
    </w:p>
    <w:p w:rsidR="008412BF" w:rsidRPr="006811BA" w:rsidRDefault="008412BF">
      <w:pPr>
        <w:pStyle w:val="Textoindependiente"/>
        <w:spacing w:before="4"/>
        <w:rPr>
          <w:sz w:val="25"/>
        </w:rPr>
      </w:pPr>
    </w:p>
    <w:p w:rsidR="008412BF" w:rsidRPr="006811BA" w:rsidRDefault="00A934E1">
      <w:pPr>
        <w:pStyle w:val="Textoindependiente"/>
        <w:spacing w:line="276" w:lineRule="auto"/>
        <w:ind w:left="120" w:right="106"/>
        <w:jc w:val="both"/>
      </w:pPr>
      <w:r w:rsidRPr="006811BA">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004C47DC">
        <w:rPr>
          <w:rStyle w:val="Refdenotaalpie"/>
        </w:rPr>
        <w:footnoteReference w:id="3"/>
      </w:r>
      <w:r w:rsidRPr="006811BA">
        <w:t>.</w:t>
      </w:r>
    </w:p>
    <w:p w:rsidR="008412BF" w:rsidRPr="006811BA" w:rsidRDefault="008412BF">
      <w:pPr>
        <w:pStyle w:val="Textoindependiente"/>
        <w:spacing w:before="10"/>
        <w:rPr>
          <w:sz w:val="24"/>
        </w:rPr>
      </w:pPr>
    </w:p>
    <w:p w:rsidR="008412BF" w:rsidRPr="006811BA" w:rsidRDefault="00A934E1">
      <w:pPr>
        <w:pStyle w:val="Textoindependiente"/>
        <w:spacing w:line="276" w:lineRule="auto"/>
        <w:ind w:left="120" w:right="112"/>
        <w:jc w:val="both"/>
      </w:pPr>
      <w:r w:rsidRPr="006811BA">
        <w:t>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w:t>
      </w:r>
    </w:p>
    <w:p w:rsidR="008412BF" w:rsidRPr="006811BA" w:rsidRDefault="008412BF">
      <w:pPr>
        <w:pStyle w:val="Textoindependiente"/>
        <w:spacing w:before="5"/>
        <w:rPr>
          <w:sz w:val="25"/>
        </w:rPr>
      </w:pPr>
    </w:p>
    <w:p w:rsidR="008412BF" w:rsidRPr="006811BA" w:rsidRDefault="00A934E1">
      <w:pPr>
        <w:pStyle w:val="Ttulo1"/>
        <w:numPr>
          <w:ilvl w:val="0"/>
          <w:numId w:val="1"/>
        </w:numPr>
        <w:tabs>
          <w:tab w:val="left" w:pos="481"/>
        </w:tabs>
        <w:ind w:hanging="361"/>
      </w:pPr>
      <w:r w:rsidRPr="006811BA">
        <w:t>Selección objetiva e igualdad de</w:t>
      </w:r>
      <w:r w:rsidRPr="006811BA">
        <w:rPr>
          <w:spacing w:val="-4"/>
        </w:rPr>
        <w:t xml:space="preserve"> </w:t>
      </w:r>
      <w:r w:rsidRPr="006811BA">
        <w:t>trato</w:t>
      </w:r>
    </w:p>
    <w:p w:rsidR="008412BF" w:rsidRPr="006811BA" w:rsidRDefault="008412BF">
      <w:pPr>
        <w:pStyle w:val="Textoindependiente"/>
        <w:spacing w:before="7"/>
        <w:rPr>
          <w:b/>
          <w:sz w:val="28"/>
        </w:rPr>
      </w:pPr>
    </w:p>
    <w:p w:rsidR="008412BF" w:rsidRPr="006811BA" w:rsidRDefault="00A934E1">
      <w:pPr>
        <w:pStyle w:val="Textoindependiente"/>
        <w:spacing w:line="276" w:lineRule="auto"/>
        <w:ind w:left="120" w:right="112"/>
        <w:jc w:val="both"/>
      </w:pPr>
      <w:r w:rsidRPr="006811BA">
        <w:t>El principio de selección objetiva se encontraba regulado, en un primer momento, por el artículo 29 de la Ley 80 de 1993, el cual fue derogado y sustituido por el artículo 5 de la Ley 1150 de 2007, cuyo texto es el</w:t>
      </w:r>
      <w:r w:rsidRPr="006811BA">
        <w:rPr>
          <w:spacing w:val="-8"/>
        </w:rPr>
        <w:t xml:space="preserve"> </w:t>
      </w:r>
      <w:r w:rsidRPr="006811BA">
        <w:t>siguiente:</w:t>
      </w:r>
    </w:p>
    <w:p w:rsidR="008412BF" w:rsidRPr="006811BA" w:rsidRDefault="008412BF">
      <w:pPr>
        <w:pStyle w:val="Textoindependiente"/>
        <w:spacing w:before="3"/>
        <w:rPr>
          <w:sz w:val="25"/>
        </w:rPr>
      </w:pPr>
    </w:p>
    <w:p w:rsidR="008412BF" w:rsidRPr="006811BA" w:rsidRDefault="00A934E1" w:rsidP="004C47DC">
      <w:pPr>
        <w:pStyle w:val="Textoindependiente"/>
        <w:ind w:left="825" w:right="106"/>
        <w:jc w:val="both"/>
      </w:pPr>
      <w:r w:rsidRPr="006811BA">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w:t>
      </w:r>
      <w:r w:rsidRPr="006811BA">
        <w:rPr>
          <w:spacing w:val="43"/>
        </w:rPr>
        <w:t xml:space="preserve"> </w:t>
      </w:r>
      <w:r w:rsidRPr="006811BA">
        <w:t>y</w:t>
      </w:r>
      <w:r w:rsidRPr="006811BA">
        <w:rPr>
          <w:spacing w:val="41"/>
        </w:rPr>
        <w:t xml:space="preserve"> </w:t>
      </w:r>
      <w:r w:rsidRPr="006811BA">
        <w:t>calificación</w:t>
      </w:r>
      <w:r w:rsidRPr="006811BA">
        <w:rPr>
          <w:spacing w:val="43"/>
        </w:rPr>
        <w:t xml:space="preserve"> </w:t>
      </w:r>
      <w:r w:rsidRPr="006811BA">
        <w:t>que</w:t>
      </w:r>
      <w:r w:rsidRPr="006811BA">
        <w:rPr>
          <w:spacing w:val="44"/>
        </w:rPr>
        <w:t xml:space="preserve"> </w:t>
      </w:r>
      <w:r w:rsidRPr="006811BA">
        <w:t>establezcan</w:t>
      </w:r>
      <w:r w:rsidRPr="006811BA">
        <w:rPr>
          <w:spacing w:val="43"/>
        </w:rPr>
        <w:t xml:space="preserve"> </w:t>
      </w:r>
      <w:r w:rsidRPr="006811BA">
        <w:t>las</w:t>
      </w:r>
      <w:r w:rsidRPr="006811BA">
        <w:rPr>
          <w:spacing w:val="45"/>
        </w:rPr>
        <w:t xml:space="preserve"> </w:t>
      </w:r>
      <w:r w:rsidRPr="006811BA">
        <w:t>entidades</w:t>
      </w:r>
      <w:r w:rsidRPr="006811BA">
        <w:rPr>
          <w:spacing w:val="43"/>
        </w:rPr>
        <w:t xml:space="preserve"> </w:t>
      </w:r>
      <w:r w:rsidRPr="006811BA">
        <w:t>en</w:t>
      </w:r>
      <w:r w:rsidRPr="006811BA">
        <w:rPr>
          <w:spacing w:val="44"/>
        </w:rPr>
        <w:t xml:space="preserve"> </w:t>
      </w:r>
      <w:r w:rsidRPr="006811BA">
        <w:t>los</w:t>
      </w:r>
      <w:r w:rsidRPr="006811BA">
        <w:rPr>
          <w:spacing w:val="42"/>
        </w:rPr>
        <w:t xml:space="preserve"> </w:t>
      </w:r>
      <w:r w:rsidRPr="006811BA">
        <w:t>pliegos</w:t>
      </w:r>
      <w:r w:rsidRPr="006811BA">
        <w:rPr>
          <w:spacing w:val="43"/>
        </w:rPr>
        <w:t xml:space="preserve"> </w:t>
      </w:r>
      <w:r w:rsidRPr="006811BA">
        <w:t>de</w:t>
      </w:r>
      <w:r w:rsidR="004C47DC">
        <w:t xml:space="preserve"> </w:t>
      </w:r>
      <w:r w:rsidRPr="006811BA">
        <w:t xml:space="preserve">condiciones o sus equivalentes, tendrán en cuenta los siguientes criterios (…) 2. La oferta más favorable será aquella que, teniendo en cuenta los factores técnicos y económicos de escogencia y la ponderación precisa y detallada de los mismos contenida en los pliegos de </w:t>
      </w:r>
      <w:r w:rsidRPr="006811BA">
        <w:lastRenderedPageBreak/>
        <w:t>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6811BA">
        <w:rPr>
          <w:spacing w:val="-25"/>
        </w:rPr>
        <w:t xml:space="preserve"> </w:t>
      </w:r>
      <w:r w:rsidRPr="006811BA">
        <w:t>(…).</w:t>
      </w:r>
    </w:p>
    <w:p w:rsidR="008412BF" w:rsidRPr="006811BA" w:rsidRDefault="008412BF">
      <w:pPr>
        <w:pStyle w:val="Textoindependiente"/>
        <w:spacing w:before="6"/>
        <w:rPr>
          <w:sz w:val="25"/>
        </w:rPr>
      </w:pPr>
    </w:p>
    <w:p w:rsidR="008412BF" w:rsidRPr="006811BA" w:rsidRDefault="00A934E1">
      <w:pPr>
        <w:pStyle w:val="Textoindependiente"/>
        <w:spacing w:line="276" w:lineRule="auto"/>
        <w:ind w:left="120" w:right="109"/>
        <w:jc w:val="both"/>
      </w:pPr>
      <w:r w:rsidRPr="006811BA">
        <w:t>Como se puede observar, el principio de selección objetiva en el Estatuto General de Contratación es complejo, por cuanto en virtud del mismo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w:t>
      </w:r>
    </w:p>
    <w:p w:rsidR="008412BF" w:rsidRPr="006811BA" w:rsidRDefault="008412BF">
      <w:pPr>
        <w:pStyle w:val="Textoindependiente"/>
        <w:spacing w:before="3"/>
        <w:rPr>
          <w:sz w:val="25"/>
        </w:rPr>
      </w:pPr>
    </w:p>
    <w:p w:rsidR="008412BF" w:rsidRPr="006811BA" w:rsidRDefault="00A934E1">
      <w:pPr>
        <w:pStyle w:val="Textoindependiente"/>
        <w:spacing w:line="276" w:lineRule="auto"/>
        <w:ind w:left="120" w:right="104"/>
        <w:jc w:val="both"/>
      </w:pPr>
      <w:r w:rsidRPr="006811BA">
        <w:t>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w:t>
      </w:r>
      <w:r w:rsidRPr="006811BA">
        <w:rPr>
          <w:spacing w:val="-8"/>
        </w:rPr>
        <w:t xml:space="preserve"> </w:t>
      </w:r>
      <w:r w:rsidRPr="006811BA">
        <w:t>presentada.</w:t>
      </w:r>
    </w:p>
    <w:p w:rsidR="008412BF" w:rsidRPr="006811BA" w:rsidRDefault="008412BF">
      <w:pPr>
        <w:pStyle w:val="Textoindependiente"/>
        <w:spacing w:before="3"/>
        <w:rPr>
          <w:sz w:val="25"/>
        </w:rPr>
      </w:pPr>
    </w:p>
    <w:p w:rsidR="008412BF" w:rsidRPr="006811BA" w:rsidRDefault="00A934E1">
      <w:pPr>
        <w:pStyle w:val="Textoindependiente"/>
        <w:spacing w:before="1" w:line="276" w:lineRule="auto"/>
        <w:ind w:left="120" w:right="109"/>
        <w:jc w:val="both"/>
      </w:pPr>
      <w:r w:rsidRPr="006811BA">
        <w:t>El Consejo de Estado, al interpretar el derogado artículo 29 de la Ley 80 de la Ley 80 de 1993, señaló que el ofrecimiento más favorable es el resultante de la ponderación de los factores contenidos en el pliego de condiciones, tales como experiencia, organización, equipos, plazos, precio, entre</w:t>
      </w:r>
      <w:r w:rsidRPr="006811BA">
        <w:rPr>
          <w:spacing w:val="-8"/>
        </w:rPr>
        <w:t xml:space="preserve"> </w:t>
      </w:r>
      <w:r w:rsidRPr="006811BA">
        <w:t>otros:</w:t>
      </w:r>
    </w:p>
    <w:p w:rsidR="008412BF" w:rsidRPr="006811BA" w:rsidRDefault="008412BF">
      <w:pPr>
        <w:pStyle w:val="Textoindependiente"/>
        <w:spacing w:before="4"/>
        <w:rPr>
          <w:sz w:val="25"/>
        </w:rPr>
      </w:pPr>
    </w:p>
    <w:p w:rsidR="008412BF" w:rsidRPr="006811BA" w:rsidRDefault="00A934E1">
      <w:pPr>
        <w:pStyle w:val="Textoindependiente"/>
        <w:ind w:left="828" w:right="103"/>
        <w:jc w:val="both"/>
      </w:pPr>
      <w:r w:rsidRPr="006811BA">
        <w:t>La misma norma se ocupa de definir que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w:t>
      </w:r>
      <w:r w:rsidRPr="006811BA">
        <w:rPr>
          <w:spacing w:val="34"/>
        </w:rPr>
        <w:t xml:space="preserve"> </w:t>
      </w:r>
      <w:r w:rsidRPr="006811BA">
        <w:t>la</w:t>
      </w:r>
    </w:p>
    <w:p w:rsidR="008412BF" w:rsidRPr="006811BA" w:rsidRDefault="008412BF">
      <w:pPr>
        <w:jc w:val="both"/>
        <w:sectPr w:rsidR="008412BF" w:rsidRPr="006811BA">
          <w:headerReference w:type="default" r:id="rId11"/>
          <w:footerReference w:type="default" r:id="rId12"/>
          <w:pgSz w:w="12240" w:h="15840"/>
          <w:pgMar w:top="1560" w:right="1500" w:bottom="2140" w:left="1580" w:header="737" w:footer="1880" w:gutter="0"/>
          <w:cols w:space="720"/>
        </w:sectPr>
      </w:pPr>
    </w:p>
    <w:p w:rsidR="008412BF" w:rsidRPr="006811BA" w:rsidRDefault="008412BF">
      <w:pPr>
        <w:pStyle w:val="Textoindependiente"/>
        <w:rPr>
          <w:sz w:val="20"/>
        </w:rPr>
      </w:pPr>
    </w:p>
    <w:p w:rsidR="008412BF" w:rsidRPr="006811BA" w:rsidRDefault="008412BF">
      <w:pPr>
        <w:pStyle w:val="Textoindependiente"/>
        <w:spacing w:before="5"/>
        <w:rPr>
          <w:sz w:val="16"/>
        </w:rPr>
      </w:pPr>
    </w:p>
    <w:p w:rsidR="008412BF" w:rsidRPr="006811BA" w:rsidRDefault="00A934E1">
      <w:pPr>
        <w:pStyle w:val="Textoindependiente"/>
        <w:spacing w:before="93" w:line="242" w:lineRule="auto"/>
        <w:ind w:left="828" w:right="110"/>
        <w:jc w:val="both"/>
      </w:pPr>
      <w:r w:rsidRPr="006811BA">
        <w:t>selección se hace mediante el procedimiento de la licitación o el concurso públicos, sino también cuando ésta se adelanta mediante contratación directa.</w:t>
      </w:r>
    </w:p>
    <w:p w:rsidR="008412BF" w:rsidRPr="006811BA" w:rsidRDefault="008412BF">
      <w:pPr>
        <w:pStyle w:val="Textoindependiente"/>
        <w:spacing w:before="8"/>
        <w:rPr>
          <w:sz w:val="21"/>
        </w:rPr>
      </w:pPr>
    </w:p>
    <w:p w:rsidR="008412BF" w:rsidRPr="006811BA" w:rsidRDefault="00A934E1">
      <w:pPr>
        <w:pStyle w:val="Textoindependiente"/>
        <w:ind w:left="828" w:right="105"/>
        <w:jc w:val="both"/>
      </w:pPr>
      <w:r w:rsidRPr="006811BA">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6811BA">
        <w:rPr>
          <w:position w:val="8"/>
          <w:sz w:val="14"/>
        </w:rPr>
        <w:t>4</w:t>
      </w:r>
      <w:r w:rsidRPr="006811BA">
        <w:t>.</w:t>
      </w:r>
    </w:p>
    <w:p w:rsidR="008412BF" w:rsidRPr="006811BA" w:rsidRDefault="008412BF">
      <w:pPr>
        <w:pStyle w:val="Textoindependiente"/>
        <w:spacing w:before="10"/>
        <w:rPr>
          <w:sz w:val="24"/>
        </w:rPr>
      </w:pPr>
    </w:p>
    <w:p w:rsidR="008412BF" w:rsidRPr="006811BA" w:rsidRDefault="00A934E1">
      <w:pPr>
        <w:pStyle w:val="Textoindependiente"/>
        <w:spacing w:line="276" w:lineRule="auto"/>
        <w:ind w:left="120" w:right="104"/>
        <w:jc w:val="both"/>
      </w:pPr>
      <w:r w:rsidRPr="006811BA">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w:t>
      </w:r>
      <w:r w:rsidRPr="006811BA">
        <w:rPr>
          <w:spacing w:val="-10"/>
        </w:rPr>
        <w:t xml:space="preserve"> </w:t>
      </w:r>
      <w:r w:rsidRPr="006811BA">
        <w:t>impuesto.</w:t>
      </w:r>
    </w:p>
    <w:p w:rsidR="008412BF" w:rsidRPr="006811BA" w:rsidRDefault="008412BF">
      <w:pPr>
        <w:pStyle w:val="Textoindependiente"/>
        <w:spacing w:before="5"/>
        <w:rPr>
          <w:sz w:val="25"/>
        </w:rPr>
      </w:pPr>
    </w:p>
    <w:p w:rsidR="008412BF" w:rsidRPr="006811BA" w:rsidRDefault="00A934E1">
      <w:pPr>
        <w:pStyle w:val="Textoindependiente"/>
        <w:spacing w:line="276" w:lineRule="auto"/>
        <w:ind w:left="120" w:right="112"/>
        <w:jc w:val="both"/>
      </w:pPr>
      <w:r w:rsidRPr="006811BA">
        <w:t>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w:t>
      </w:r>
      <w:r w:rsidRPr="006811BA">
        <w:rPr>
          <w:spacing w:val="-8"/>
        </w:rPr>
        <w:t xml:space="preserve"> </w:t>
      </w:r>
      <w:r w:rsidRPr="006811BA">
        <w:t>contrato.</w:t>
      </w:r>
    </w:p>
    <w:p w:rsidR="008412BF" w:rsidRPr="006811BA" w:rsidRDefault="008412BF">
      <w:pPr>
        <w:pStyle w:val="Textoindependiente"/>
        <w:spacing w:before="4"/>
        <w:rPr>
          <w:sz w:val="25"/>
        </w:rPr>
      </w:pPr>
    </w:p>
    <w:p w:rsidR="008412BF" w:rsidRPr="006811BA" w:rsidRDefault="00A934E1">
      <w:pPr>
        <w:pStyle w:val="Textoindependiente"/>
        <w:spacing w:line="273" w:lineRule="auto"/>
        <w:ind w:left="120" w:right="109"/>
        <w:jc w:val="both"/>
      </w:pPr>
      <w:r w:rsidRPr="006811BA">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w:t>
      </w:r>
      <w:r w:rsidRPr="006811BA">
        <w:rPr>
          <w:position w:val="8"/>
          <w:sz w:val="14"/>
        </w:rPr>
        <w:t>5</w:t>
      </w:r>
      <w:r w:rsidRPr="006811BA">
        <w:t>, por</w:t>
      </w:r>
      <w:r w:rsidRPr="006811BA">
        <w:rPr>
          <w:spacing w:val="51"/>
        </w:rPr>
        <w:t xml:space="preserve"> </w:t>
      </w:r>
      <w:r w:rsidRPr="006811BA">
        <w:t>lo</w:t>
      </w:r>
      <w:r w:rsidRPr="006811BA">
        <w:rPr>
          <w:spacing w:val="53"/>
        </w:rPr>
        <w:t xml:space="preserve"> </w:t>
      </w:r>
      <w:r w:rsidRPr="006811BA">
        <w:t>que</w:t>
      </w:r>
      <w:r w:rsidRPr="006811BA">
        <w:rPr>
          <w:spacing w:val="52"/>
        </w:rPr>
        <w:t xml:space="preserve"> </w:t>
      </w:r>
      <w:r w:rsidRPr="006811BA">
        <w:t>representa</w:t>
      </w:r>
      <w:r w:rsidRPr="006811BA">
        <w:rPr>
          <w:spacing w:val="52"/>
        </w:rPr>
        <w:t xml:space="preserve"> </w:t>
      </w:r>
      <w:r w:rsidRPr="006811BA">
        <w:t>un</w:t>
      </w:r>
      <w:r w:rsidRPr="006811BA">
        <w:rPr>
          <w:spacing w:val="53"/>
        </w:rPr>
        <w:t xml:space="preserve"> </w:t>
      </w:r>
      <w:r w:rsidRPr="006811BA">
        <w:t>criterio</w:t>
      </w:r>
      <w:r w:rsidRPr="006811BA">
        <w:rPr>
          <w:spacing w:val="52"/>
        </w:rPr>
        <w:t xml:space="preserve"> </w:t>
      </w:r>
      <w:r w:rsidRPr="006811BA">
        <w:t>de</w:t>
      </w:r>
      <w:r w:rsidRPr="006811BA">
        <w:rPr>
          <w:spacing w:val="52"/>
        </w:rPr>
        <w:t xml:space="preserve"> </w:t>
      </w:r>
      <w:r w:rsidRPr="006811BA">
        <w:t>obligatoria</w:t>
      </w:r>
      <w:r w:rsidRPr="006811BA">
        <w:rPr>
          <w:spacing w:val="52"/>
        </w:rPr>
        <w:t xml:space="preserve"> </w:t>
      </w:r>
      <w:r w:rsidRPr="006811BA">
        <w:t>observancia</w:t>
      </w:r>
      <w:r w:rsidRPr="006811BA">
        <w:rPr>
          <w:spacing w:val="53"/>
        </w:rPr>
        <w:t xml:space="preserve"> </w:t>
      </w:r>
      <w:r w:rsidRPr="006811BA">
        <w:t>tanto</w:t>
      </w:r>
      <w:r w:rsidRPr="006811BA">
        <w:rPr>
          <w:spacing w:val="52"/>
        </w:rPr>
        <w:t xml:space="preserve"> </w:t>
      </w:r>
      <w:r w:rsidRPr="006811BA">
        <w:t>para</w:t>
      </w:r>
      <w:r w:rsidRPr="006811BA">
        <w:rPr>
          <w:spacing w:val="51"/>
        </w:rPr>
        <w:t xml:space="preserve"> </w:t>
      </w:r>
      <w:r w:rsidRPr="006811BA">
        <w:t>la</w:t>
      </w:r>
    </w:p>
    <w:p w:rsidR="008412BF" w:rsidRPr="006811BA" w:rsidRDefault="008F1534">
      <w:pPr>
        <w:pStyle w:val="Textoindependiente"/>
        <w:spacing w:before="7"/>
        <w:rPr>
          <w:sz w:val="16"/>
        </w:rPr>
      </w:pPr>
      <w:r w:rsidRPr="006811BA">
        <w:rPr>
          <w:noProof/>
          <w:lang w:val="en-US" w:eastAsia="en-US" w:bidi="ar-SA"/>
        </w:rPr>
        <mc:AlternateContent>
          <mc:Choice Requires="wps">
            <w:drawing>
              <wp:anchor distT="0" distB="0" distL="0" distR="0" simplePos="0" relativeHeight="251662336" behindDoc="1" locked="0" layoutInCell="1" allowOverlap="1" wp14:anchorId="5FB078F3" wp14:editId="101CEE7A">
                <wp:simplePos x="0" y="0"/>
                <wp:positionH relativeFrom="page">
                  <wp:posOffset>1080135</wp:posOffset>
                </wp:positionH>
                <wp:positionV relativeFrom="paragraph">
                  <wp:posOffset>151130</wp:posOffset>
                </wp:positionV>
                <wp:extent cx="1828800" cy="0"/>
                <wp:effectExtent l="0" t="0" r="0" b="0"/>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8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260D1" id="Line 5"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1.9pt" to="229.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" strokeweight=".27342mm">
                <w10:wrap type="topAndBottom" anchorx="page"/>
              </v:line>
            </w:pict>
          </mc:Fallback>
        </mc:AlternateContent>
      </w:r>
    </w:p>
    <w:p w:rsidR="008412BF" w:rsidRPr="006811BA" w:rsidRDefault="00A934E1">
      <w:pPr>
        <w:spacing w:before="89" w:line="252" w:lineRule="auto"/>
        <w:ind w:left="120" w:firstLine="707"/>
        <w:rPr>
          <w:sz w:val="18"/>
        </w:rPr>
      </w:pPr>
      <w:r w:rsidRPr="006811BA">
        <w:rPr>
          <w:rFonts w:ascii="Calibri" w:hAnsi="Calibri"/>
          <w:position w:val="6"/>
          <w:sz w:val="13"/>
        </w:rPr>
        <w:t xml:space="preserve">4 </w:t>
      </w:r>
      <w:r w:rsidRPr="006811BA">
        <w:rPr>
          <w:sz w:val="18"/>
        </w:rPr>
        <w:t>Consejo de Estado. Sección Tercera, sentencia del 29 de agosto de 2007, C.P. Mauricio Fajardo Gómez, Rad. 1996-00309-01 (15.324).</w:t>
      </w:r>
    </w:p>
    <w:p w:rsidR="008412BF" w:rsidRPr="006811BA" w:rsidRDefault="008412BF">
      <w:pPr>
        <w:pStyle w:val="Textoindependiente"/>
        <w:spacing w:before="4"/>
        <w:rPr>
          <w:sz w:val="21"/>
        </w:rPr>
      </w:pPr>
    </w:p>
    <w:p w:rsidR="008412BF" w:rsidRPr="006811BA" w:rsidRDefault="00A934E1">
      <w:pPr>
        <w:spacing w:line="242" w:lineRule="auto"/>
        <w:ind w:left="120" w:right="105" w:firstLine="707"/>
        <w:jc w:val="both"/>
        <w:rPr>
          <w:sz w:val="18"/>
        </w:rPr>
      </w:pPr>
      <w:r w:rsidRPr="006811BA">
        <w:rPr>
          <w:rFonts w:ascii="Calibri" w:hAnsi="Calibri"/>
          <w:position w:val="6"/>
          <w:sz w:val="13"/>
        </w:rPr>
        <w:t xml:space="preserve">5 </w:t>
      </w:r>
      <w:r w:rsidRPr="006811BA">
        <w:rPr>
          <w:sz w:val="18"/>
        </w:rPr>
        <w:t>“La igualdad tiene un triple rol en el ordenamiento constitucional: el de valor, el de principio y el de derecho.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w:t>
      </w:r>
    </w:p>
    <w:p w:rsidR="008412BF" w:rsidRPr="006811BA" w:rsidRDefault="008412BF">
      <w:pPr>
        <w:spacing w:line="242" w:lineRule="auto"/>
        <w:jc w:val="both"/>
        <w:rPr>
          <w:sz w:val="18"/>
        </w:rPr>
        <w:sectPr w:rsidR="008412BF" w:rsidRPr="006811BA">
          <w:pgSz w:w="12240" w:h="15840"/>
          <w:pgMar w:top="1560" w:right="1500" w:bottom="2060" w:left="1580" w:header="737" w:footer="1880" w:gutter="0"/>
          <w:cols w:space="720"/>
        </w:sectPr>
      </w:pPr>
    </w:p>
    <w:p w:rsidR="008412BF" w:rsidRPr="006811BA" w:rsidRDefault="008412BF">
      <w:pPr>
        <w:pStyle w:val="Textoindependiente"/>
        <w:rPr>
          <w:sz w:val="20"/>
        </w:rPr>
      </w:pPr>
    </w:p>
    <w:p w:rsidR="008412BF" w:rsidRPr="006811BA" w:rsidRDefault="008412BF">
      <w:pPr>
        <w:pStyle w:val="Textoindependiente"/>
        <w:spacing w:before="5"/>
        <w:rPr>
          <w:sz w:val="16"/>
        </w:rPr>
      </w:pPr>
    </w:p>
    <w:p w:rsidR="008412BF" w:rsidRPr="006811BA" w:rsidRDefault="00A934E1">
      <w:pPr>
        <w:pStyle w:val="Textoindependiente"/>
        <w:spacing w:before="93"/>
        <w:ind w:left="120"/>
        <w:jc w:val="both"/>
      </w:pPr>
      <w:r w:rsidRPr="006811BA">
        <w:t>producción, como para la aplicación e interpretación del derecho.</w:t>
      </w:r>
    </w:p>
    <w:p w:rsidR="008412BF" w:rsidRPr="006811BA" w:rsidRDefault="008412BF">
      <w:pPr>
        <w:pStyle w:val="Textoindependiente"/>
        <w:spacing w:before="8"/>
        <w:rPr>
          <w:sz w:val="28"/>
        </w:rPr>
      </w:pPr>
    </w:p>
    <w:p w:rsidR="008412BF" w:rsidRPr="006811BA" w:rsidRDefault="00A934E1">
      <w:pPr>
        <w:pStyle w:val="Textoindependiente"/>
        <w:spacing w:line="276" w:lineRule="auto"/>
        <w:ind w:left="120" w:right="103"/>
        <w:jc w:val="both"/>
      </w:pPr>
      <w:r w:rsidRPr="006811BA">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rsidR="008412BF" w:rsidRPr="006811BA" w:rsidRDefault="008412BF">
      <w:pPr>
        <w:pStyle w:val="Textoindependiente"/>
        <w:spacing w:before="3"/>
        <w:rPr>
          <w:sz w:val="25"/>
        </w:rPr>
      </w:pPr>
    </w:p>
    <w:p w:rsidR="008412BF" w:rsidRPr="006811BA" w:rsidRDefault="00A934E1">
      <w:pPr>
        <w:pStyle w:val="Textoindependiente"/>
        <w:spacing w:line="276" w:lineRule="auto"/>
        <w:ind w:left="120" w:right="109"/>
        <w:jc w:val="both"/>
      </w:pPr>
      <w:r w:rsidRPr="006811BA">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rsidR="008412BF" w:rsidRPr="006811BA" w:rsidRDefault="008412BF">
      <w:pPr>
        <w:pStyle w:val="Textoindependiente"/>
        <w:spacing w:before="5"/>
        <w:rPr>
          <w:sz w:val="25"/>
        </w:rPr>
      </w:pPr>
    </w:p>
    <w:p w:rsidR="008412BF" w:rsidRPr="006811BA" w:rsidRDefault="00A934E1">
      <w:pPr>
        <w:pStyle w:val="Textoindependiente"/>
        <w:spacing w:line="276" w:lineRule="auto"/>
        <w:ind w:left="120" w:right="104"/>
        <w:jc w:val="both"/>
      </w:pPr>
      <w:r w:rsidRPr="006811BA">
        <w:t>Es por ello que el Consejo de Estado ha determinado que la aplicación del principio de igualdad en la contratación pública materializa otros principios de similar importancia como la selección objetiva y la transparencia:</w:t>
      </w:r>
    </w:p>
    <w:p w:rsidR="008412BF" w:rsidRPr="006811BA" w:rsidRDefault="008412BF">
      <w:pPr>
        <w:pStyle w:val="Textoindependiente"/>
        <w:spacing w:before="2"/>
        <w:rPr>
          <w:sz w:val="25"/>
        </w:rPr>
      </w:pPr>
    </w:p>
    <w:p w:rsidR="008412BF" w:rsidRPr="006811BA" w:rsidRDefault="00A934E1">
      <w:pPr>
        <w:pStyle w:val="Textoindependiente"/>
        <w:ind w:left="828" w:right="107"/>
        <w:jc w:val="both"/>
      </w:pPr>
      <w:r w:rsidRPr="006811BA">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w:t>
      </w:r>
      <w:r w:rsidRPr="006811BA">
        <w:rPr>
          <w:spacing w:val="-3"/>
        </w:rPr>
        <w:t xml:space="preserve"> </w:t>
      </w:r>
      <w:r w:rsidRPr="006811BA">
        <w:t>de</w:t>
      </w:r>
      <w:r w:rsidRPr="006811BA">
        <w:rPr>
          <w:spacing w:val="-3"/>
        </w:rPr>
        <w:t xml:space="preserve"> </w:t>
      </w:r>
      <w:r w:rsidRPr="006811BA">
        <w:t>los</w:t>
      </w:r>
      <w:r w:rsidRPr="006811BA">
        <w:rPr>
          <w:spacing w:val="-4"/>
        </w:rPr>
        <w:t xml:space="preserve"> </w:t>
      </w:r>
      <w:r w:rsidRPr="006811BA">
        <w:t>derechos</w:t>
      </w:r>
      <w:r w:rsidRPr="006811BA">
        <w:rPr>
          <w:spacing w:val="-4"/>
        </w:rPr>
        <w:t xml:space="preserve"> </w:t>
      </w:r>
      <w:r w:rsidRPr="006811BA">
        <w:t>y</w:t>
      </w:r>
      <w:r w:rsidRPr="006811BA">
        <w:rPr>
          <w:spacing w:val="-6"/>
        </w:rPr>
        <w:t xml:space="preserve"> </w:t>
      </w:r>
      <w:r w:rsidRPr="006811BA">
        <w:t>obligaciones</w:t>
      </w:r>
      <w:r w:rsidRPr="006811BA">
        <w:rPr>
          <w:spacing w:val="-4"/>
        </w:rPr>
        <w:t xml:space="preserve"> </w:t>
      </w:r>
      <w:r w:rsidRPr="006811BA">
        <w:t>de</w:t>
      </w:r>
      <w:r w:rsidRPr="006811BA">
        <w:rPr>
          <w:spacing w:val="-4"/>
        </w:rPr>
        <w:t xml:space="preserve"> </w:t>
      </w:r>
      <w:r w:rsidRPr="006811BA">
        <w:t>la</w:t>
      </w:r>
      <w:r w:rsidRPr="006811BA">
        <w:rPr>
          <w:spacing w:val="-4"/>
        </w:rPr>
        <w:t xml:space="preserve"> </w:t>
      </w:r>
      <w:r w:rsidRPr="006811BA">
        <w:t>administración</w:t>
      </w:r>
      <w:r w:rsidRPr="006811BA">
        <w:rPr>
          <w:spacing w:val="-3"/>
        </w:rPr>
        <w:t xml:space="preserve"> </w:t>
      </w:r>
      <w:r w:rsidRPr="006811BA">
        <w:t>y</w:t>
      </w:r>
      <w:r w:rsidRPr="006811BA">
        <w:rPr>
          <w:spacing w:val="-5"/>
        </w:rPr>
        <w:t xml:space="preserve"> </w:t>
      </w:r>
      <w:r w:rsidRPr="006811BA">
        <w:t>de</w:t>
      </w:r>
      <w:r w:rsidRPr="006811BA">
        <w:rPr>
          <w:spacing w:val="-3"/>
        </w:rPr>
        <w:t xml:space="preserve"> </w:t>
      </w:r>
      <w:r w:rsidRPr="006811BA">
        <w:t>los</w:t>
      </w:r>
      <w:r w:rsidRPr="006811BA">
        <w:rPr>
          <w:spacing w:val="-3"/>
        </w:rPr>
        <w:t xml:space="preserve"> </w:t>
      </w:r>
      <w:r w:rsidRPr="006811BA">
        <w:t>proponentes</w:t>
      </w:r>
      <w:r w:rsidRPr="006811BA">
        <w:rPr>
          <w:position w:val="8"/>
          <w:sz w:val="14"/>
        </w:rPr>
        <w:t>6</w:t>
      </w:r>
      <w:r w:rsidRPr="006811BA">
        <w:t>.</w:t>
      </w:r>
    </w:p>
    <w:p w:rsidR="008412BF" w:rsidRPr="006811BA" w:rsidRDefault="008412BF">
      <w:pPr>
        <w:pStyle w:val="Textoindependiente"/>
        <w:rPr>
          <w:sz w:val="25"/>
        </w:rPr>
      </w:pPr>
    </w:p>
    <w:p w:rsidR="008412BF" w:rsidRPr="006811BA" w:rsidRDefault="00A934E1">
      <w:pPr>
        <w:pStyle w:val="Textoindependiente"/>
        <w:spacing w:line="276" w:lineRule="auto"/>
        <w:ind w:left="120" w:right="112"/>
        <w:jc w:val="both"/>
      </w:pPr>
      <w:r w:rsidRPr="006811BA">
        <w:t>Ahora bien, en el escenario de un proceso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no.</w:t>
      </w:r>
    </w:p>
    <w:p w:rsidR="008412BF" w:rsidRPr="006811BA" w:rsidRDefault="008412BF">
      <w:pPr>
        <w:pStyle w:val="Textoindependiente"/>
        <w:spacing w:before="3"/>
        <w:rPr>
          <w:sz w:val="25"/>
        </w:rPr>
      </w:pPr>
    </w:p>
    <w:p w:rsidR="008412BF" w:rsidRPr="006811BA" w:rsidRDefault="00A934E1">
      <w:pPr>
        <w:pStyle w:val="Textoindependiente"/>
        <w:spacing w:line="276" w:lineRule="auto"/>
        <w:ind w:left="120" w:right="110"/>
        <w:jc w:val="both"/>
      </w:pPr>
      <w:r w:rsidRPr="006811BA">
        <w:t>La posición que ahora adopta la Subdirección de Gestión Contractual es que el IVA hace parte del precio que ofrece cada proponente, y así debe ser ponderado al momento de la evaluación de las ofertas. Si un proponente está en capacidad de ofrecer un precio menor</w:t>
      </w:r>
    </w:p>
    <w:p w:rsidR="008412BF" w:rsidRPr="006811BA" w:rsidRDefault="008F1534">
      <w:pPr>
        <w:pStyle w:val="Textoindependiente"/>
        <w:spacing w:before="11"/>
        <w:rPr>
          <w:sz w:val="9"/>
        </w:rPr>
      </w:pPr>
      <w:r w:rsidRPr="006811BA">
        <w:rPr>
          <w:noProof/>
          <w:lang w:val="en-US" w:eastAsia="en-US" w:bidi="ar-SA"/>
        </w:rPr>
        <mc:AlternateContent>
          <mc:Choice Requires="wps">
            <w:drawing>
              <wp:anchor distT="0" distB="0" distL="0" distR="0" simplePos="0" relativeHeight="251663360" behindDoc="1" locked="0" layoutInCell="1" allowOverlap="1" wp14:anchorId="40F57CE3" wp14:editId="24C4DDA5">
                <wp:simplePos x="0" y="0"/>
                <wp:positionH relativeFrom="page">
                  <wp:posOffset>1080135</wp:posOffset>
                </wp:positionH>
                <wp:positionV relativeFrom="paragraph">
                  <wp:posOffset>102870</wp:posOffset>
                </wp:positionV>
                <wp:extent cx="5671185"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118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749E7" id="Line 4"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8.1pt" to="531.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16CHAIAAEEEAAAOAAAAZHJzL2Uyb0RvYy54bWysU8GO2jAQvVfqP1i+QxIaWI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">
                <w10:wrap type="topAndBottom" anchorx="page"/>
              </v:line>
            </w:pict>
          </mc:Fallback>
        </mc:AlternateContent>
      </w:r>
    </w:p>
    <w:p w:rsidR="008412BF" w:rsidRPr="006811BA" w:rsidRDefault="00A934E1">
      <w:pPr>
        <w:spacing w:before="76"/>
        <w:ind w:left="120"/>
        <w:rPr>
          <w:sz w:val="18"/>
        </w:rPr>
      </w:pPr>
      <w:r w:rsidRPr="006811BA">
        <w:rPr>
          <w:sz w:val="18"/>
        </w:rPr>
        <w:t>oportunidades y cargas entre los iguales, sino también el tratamiento desigual entre supuestos disímiles”. Corte Constitucional, sentencia C-811 de 2014, M.P. Mauricio González Cuervo.</w:t>
      </w:r>
    </w:p>
    <w:p w:rsidR="008412BF" w:rsidRPr="006811BA" w:rsidRDefault="008412BF">
      <w:pPr>
        <w:pStyle w:val="Textoindependiente"/>
        <w:spacing w:before="1"/>
      </w:pPr>
    </w:p>
    <w:p w:rsidR="008412BF" w:rsidRPr="006811BA" w:rsidRDefault="00A934E1">
      <w:pPr>
        <w:spacing w:line="254" w:lineRule="auto"/>
        <w:ind w:left="120" w:right="114" w:firstLine="707"/>
        <w:rPr>
          <w:sz w:val="18"/>
        </w:rPr>
      </w:pPr>
      <w:r w:rsidRPr="006811BA">
        <w:rPr>
          <w:rFonts w:ascii="Calibri" w:hAnsi="Calibri"/>
          <w:position w:val="6"/>
          <w:sz w:val="13"/>
        </w:rPr>
        <w:t xml:space="preserve">6 </w:t>
      </w:r>
      <w:r w:rsidRPr="006811BA">
        <w:rPr>
          <w:sz w:val="18"/>
        </w:rPr>
        <w:t>Consejo de Estado. Sección Tercera, Sentencia del 19 de julio de 2001, C.P. Alier Eduardo Hernández Enríquez. Rad. 1996-3771-01 (12.037).</w:t>
      </w:r>
    </w:p>
    <w:p w:rsidR="008412BF" w:rsidRPr="006811BA" w:rsidRDefault="008412BF">
      <w:pPr>
        <w:spacing w:line="254" w:lineRule="auto"/>
        <w:rPr>
          <w:sz w:val="18"/>
        </w:rPr>
        <w:sectPr w:rsidR="008412BF" w:rsidRPr="006811BA">
          <w:pgSz w:w="12240" w:h="15840"/>
          <w:pgMar w:top="1560" w:right="1500" w:bottom="2060" w:left="1580" w:header="737" w:footer="1880" w:gutter="0"/>
          <w:cols w:space="720"/>
        </w:sectPr>
      </w:pPr>
    </w:p>
    <w:p w:rsidR="008412BF" w:rsidRPr="006811BA" w:rsidRDefault="008412BF">
      <w:pPr>
        <w:pStyle w:val="Textoindependiente"/>
        <w:rPr>
          <w:sz w:val="20"/>
        </w:rPr>
      </w:pPr>
    </w:p>
    <w:p w:rsidR="008412BF" w:rsidRPr="006811BA" w:rsidRDefault="008412BF">
      <w:pPr>
        <w:pStyle w:val="Textoindependiente"/>
        <w:spacing w:before="5"/>
        <w:rPr>
          <w:sz w:val="16"/>
        </w:rPr>
      </w:pPr>
    </w:p>
    <w:p w:rsidR="008412BF" w:rsidRPr="006811BA" w:rsidRDefault="00A934E1">
      <w:pPr>
        <w:pStyle w:val="Textoindependiente"/>
        <w:spacing w:before="93" w:line="276" w:lineRule="auto"/>
        <w:ind w:left="120" w:right="108"/>
        <w:jc w:val="both"/>
      </w:pPr>
      <w:r w:rsidRPr="006811BA">
        <w:t>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w:t>
      </w:r>
      <w:r w:rsidRPr="006811BA">
        <w:rPr>
          <w:spacing w:val="-4"/>
        </w:rPr>
        <w:t xml:space="preserve"> </w:t>
      </w:r>
      <w:r w:rsidRPr="006811BA">
        <w:t>proponente.</w:t>
      </w:r>
    </w:p>
    <w:p w:rsidR="008412BF" w:rsidRPr="006811BA" w:rsidRDefault="008412BF">
      <w:pPr>
        <w:pStyle w:val="Textoindependiente"/>
        <w:spacing w:before="6"/>
        <w:rPr>
          <w:sz w:val="25"/>
        </w:rPr>
      </w:pPr>
    </w:p>
    <w:p w:rsidR="008412BF" w:rsidRPr="006811BA" w:rsidRDefault="00A934E1">
      <w:pPr>
        <w:pStyle w:val="Textoindependiente"/>
        <w:spacing w:line="276" w:lineRule="auto"/>
        <w:ind w:left="120" w:right="109"/>
        <w:jc w:val="both"/>
      </w:pPr>
      <w:r w:rsidRPr="006811BA">
        <w:t>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w:t>
      </w:r>
      <w:r w:rsidRPr="006811BA">
        <w:rPr>
          <w:spacing w:val="-9"/>
        </w:rPr>
        <w:t xml:space="preserve"> </w:t>
      </w:r>
      <w:r w:rsidRPr="006811BA">
        <w:t>oferta.</w:t>
      </w:r>
    </w:p>
    <w:p w:rsidR="008412BF" w:rsidRPr="006811BA" w:rsidRDefault="008412BF">
      <w:pPr>
        <w:pStyle w:val="Textoindependiente"/>
        <w:spacing w:before="2"/>
        <w:rPr>
          <w:sz w:val="25"/>
        </w:rPr>
      </w:pPr>
    </w:p>
    <w:p w:rsidR="008412BF" w:rsidRPr="006811BA" w:rsidRDefault="00A934E1">
      <w:pPr>
        <w:pStyle w:val="Textoindependiente"/>
        <w:spacing w:line="276" w:lineRule="auto"/>
        <w:ind w:left="120" w:right="104"/>
        <w:jc w:val="both"/>
      </w:pPr>
      <w:r w:rsidRPr="006811BA">
        <w:t>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w:t>
      </w:r>
    </w:p>
    <w:p w:rsidR="008412BF" w:rsidRPr="006811BA" w:rsidRDefault="008412BF">
      <w:pPr>
        <w:pStyle w:val="Textoindependiente"/>
        <w:spacing w:before="3"/>
        <w:rPr>
          <w:sz w:val="25"/>
        </w:rPr>
      </w:pPr>
    </w:p>
    <w:p w:rsidR="008412BF" w:rsidRPr="006811BA" w:rsidRDefault="00A934E1">
      <w:pPr>
        <w:pStyle w:val="Textoindependiente"/>
        <w:spacing w:line="276" w:lineRule="auto"/>
        <w:ind w:left="120" w:right="108"/>
        <w:jc w:val="both"/>
      </w:pPr>
      <w:r w:rsidRPr="006811BA">
        <w:t>La Corte Constitucional ha señalado que un correcto entendimiento del derecho a la igualdad parte de la consideración de tratar igual a quienes estén en situaciones esencialmente similares y desigual a quienes estén en situaciones diferentes:</w:t>
      </w:r>
    </w:p>
    <w:p w:rsidR="008412BF" w:rsidRPr="006811BA" w:rsidRDefault="008412BF">
      <w:pPr>
        <w:pStyle w:val="Textoindependiente"/>
        <w:spacing w:before="7"/>
        <w:rPr>
          <w:sz w:val="25"/>
        </w:rPr>
      </w:pPr>
    </w:p>
    <w:p w:rsidR="008412BF" w:rsidRPr="006811BA" w:rsidRDefault="00A934E1">
      <w:pPr>
        <w:pStyle w:val="Textoindependiente"/>
        <w:spacing w:line="237" w:lineRule="auto"/>
        <w:ind w:left="480" w:right="108"/>
        <w:jc w:val="both"/>
      </w:pPr>
      <w:r w:rsidRPr="006811BA">
        <w:t>La correcta aplicación del derecho a la igualdad no sólo supone la igualdad de trato respecto de los privilegios, oportunidades y cargas entre los iguales, sino también el tratamiento desigual entre supuestos disímiles</w:t>
      </w:r>
      <w:r w:rsidRPr="006811BA">
        <w:rPr>
          <w:position w:val="8"/>
          <w:sz w:val="14"/>
        </w:rPr>
        <w:t>7</w:t>
      </w:r>
      <w:r w:rsidRPr="006811BA">
        <w:t>.</w:t>
      </w:r>
    </w:p>
    <w:p w:rsidR="008412BF" w:rsidRPr="006811BA" w:rsidRDefault="008412BF">
      <w:pPr>
        <w:pStyle w:val="Textoindependiente"/>
        <w:spacing w:before="5"/>
        <w:rPr>
          <w:sz w:val="25"/>
        </w:rPr>
      </w:pPr>
    </w:p>
    <w:p w:rsidR="008412BF" w:rsidRPr="006811BA" w:rsidRDefault="00A934E1">
      <w:pPr>
        <w:pStyle w:val="Textoindependiente"/>
        <w:spacing w:line="276" w:lineRule="auto"/>
        <w:ind w:left="120" w:right="107"/>
        <w:jc w:val="both"/>
      </w:pPr>
      <w:r w:rsidRPr="006811BA">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rsidR="008412BF" w:rsidRPr="006811BA" w:rsidRDefault="008412BF">
      <w:pPr>
        <w:pStyle w:val="Textoindependiente"/>
        <w:spacing w:before="3"/>
        <w:rPr>
          <w:sz w:val="25"/>
        </w:rPr>
      </w:pPr>
    </w:p>
    <w:p w:rsidR="008412BF" w:rsidRPr="006811BA" w:rsidRDefault="00A934E1">
      <w:pPr>
        <w:pStyle w:val="Textoindependiente"/>
        <w:spacing w:line="276" w:lineRule="auto"/>
        <w:ind w:left="120" w:right="106"/>
        <w:jc w:val="both"/>
      </w:pPr>
      <w:r w:rsidRPr="006811BA">
        <w:t>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w:t>
      </w:r>
      <w:r w:rsidRPr="006811BA">
        <w:rPr>
          <w:spacing w:val="-32"/>
        </w:rPr>
        <w:t xml:space="preserve"> </w:t>
      </w:r>
      <w:r w:rsidRPr="006811BA">
        <w:t>tributario.</w:t>
      </w:r>
    </w:p>
    <w:p w:rsidR="008412BF" w:rsidRPr="006811BA" w:rsidRDefault="008F1534">
      <w:pPr>
        <w:pStyle w:val="Textoindependiente"/>
        <w:spacing w:before="3"/>
        <w:rPr>
          <w:sz w:val="21"/>
        </w:rPr>
      </w:pPr>
      <w:r w:rsidRPr="006811BA">
        <w:rPr>
          <w:noProof/>
          <w:lang w:val="en-US" w:eastAsia="en-US" w:bidi="ar-SA"/>
        </w:rPr>
        <mc:AlternateContent>
          <mc:Choice Requires="wps">
            <w:drawing>
              <wp:anchor distT="0" distB="0" distL="0" distR="0" simplePos="0" relativeHeight="251664384" behindDoc="1" locked="0" layoutInCell="1" allowOverlap="1" wp14:anchorId="2F77B9DD" wp14:editId="1F223299">
                <wp:simplePos x="0" y="0"/>
                <wp:positionH relativeFrom="page">
                  <wp:posOffset>1080135</wp:posOffset>
                </wp:positionH>
                <wp:positionV relativeFrom="paragraph">
                  <wp:posOffset>185420</wp:posOffset>
                </wp:positionV>
                <wp:extent cx="18288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52E23" id="Line 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4.6pt" to="229.0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">
                <w10:wrap type="topAndBottom" anchorx="page"/>
              </v:line>
            </w:pict>
          </mc:Fallback>
        </mc:AlternateContent>
      </w:r>
    </w:p>
    <w:p w:rsidR="008412BF" w:rsidRPr="006811BA" w:rsidRDefault="00A934E1">
      <w:pPr>
        <w:spacing w:before="86"/>
        <w:ind w:left="828"/>
        <w:rPr>
          <w:sz w:val="18"/>
        </w:rPr>
      </w:pPr>
      <w:r w:rsidRPr="006811BA">
        <w:rPr>
          <w:rFonts w:ascii="Calibri"/>
          <w:position w:val="6"/>
          <w:sz w:val="13"/>
        </w:rPr>
        <w:t xml:space="preserve">7 </w:t>
      </w:r>
      <w:r w:rsidRPr="006811BA">
        <w:rPr>
          <w:sz w:val="18"/>
        </w:rPr>
        <w:t>Corte Constitucional. Sentencia C-862 de 2008. M.P. Marco Gerardo Monroy Cabra.</w:t>
      </w:r>
    </w:p>
    <w:p w:rsidR="008412BF" w:rsidRPr="006811BA" w:rsidRDefault="008412BF">
      <w:pPr>
        <w:rPr>
          <w:sz w:val="18"/>
        </w:rPr>
        <w:sectPr w:rsidR="008412BF" w:rsidRPr="006811BA">
          <w:pgSz w:w="12240" w:h="15840"/>
          <w:pgMar w:top="1560" w:right="1500" w:bottom="2080" w:left="1580" w:header="737" w:footer="1880" w:gutter="0"/>
          <w:cols w:space="720"/>
        </w:sectPr>
      </w:pPr>
    </w:p>
    <w:p w:rsidR="008412BF" w:rsidRPr="006811BA" w:rsidRDefault="008412BF">
      <w:pPr>
        <w:pStyle w:val="Textoindependiente"/>
        <w:rPr>
          <w:sz w:val="20"/>
        </w:rPr>
      </w:pPr>
    </w:p>
    <w:p w:rsidR="008412BF" w:rsidRPr="006811BA" w:rsidRDefault="008412BF">
      <w:pPr>
        <w:pStyle w:val="Textoindependiente"/>
        <w:rPr>
          <w:sz w:val="20"/>
        </w:rPr>
      </w:pPr>
    </w:p>
    <w:p w:rsidR="008412BF" w:rsidRPr="006811BA" w:rsidRDefault="008412BF">
      <w:pPr>
        <w:pStyle w:val="Textoindependiente"/>
        <w:spacing w:before="11"/>
        <w:rPr>
          <w:sz w:val="21"/>
        </w:rPr>
      </w:pPr>
    </w:p>
    <w:p w:rsidR="008412BF" w:rsidRPr="006811BA" w:rsidRDefault="00A934E1">
      <w:pPr>
        <w:pStyle w:val="Textoindependiente"/>
        <w:spacing w:before="93" w:line="276" w:lineRule="auto"/>
        <w:ind w:left="120" w:right="107"/>
        <w:jc w:val="both"/>
      </w:pPr>
      <w:r w:rsidRPr="006811BA">
        <w:t>Como ya se señaló los impuestos son parte integral del precio, pues es lo que finalmente terminará pagando la entidad cuando adjudique el contrato y es por esto que, en aplicación de los principios de selección objetiva y de igualdad, la entidad contratante debe evaluar las ofertas con base en el precio final o real que ofrezca cada proponente, toda vez que de esa comparación es que surgirá la oferta más favorable o ventajosa para el</w:t>
      </w:r>
      <w:r w:rsidRPr="006811BA">
        <w:rPr>
          <w:spacing w:val="-30"/>
        </w:rPr>
        <w:t xml:space="preserve"> </w:t>
      </w:r>
      <w:r w:rsidRPr="006811BA">
        <w:t>Estado.</w:t>
      </w:r>
    </w:p>
    <w:p w:rsidR="008412BF" w:rsidRPr="006811BA" w:rsidRDefault="008412BF">
      <w:pPr>
        <w:pStyle w:val="Textoindependiente"/>
        <w:spacing w:before="2"/>
        <w:rPr>
          <w:sz w:val="25"/>
        </w:rPr>
      </w:pPr>
    </w:p>
    <w:p w:rsidR="008412BF" w:rsidRPr="006811BA" w:rsidRDefault="00A934E1">
      <w:pPr>
        <w:pStyle w:val="Ttulo1"/>
        <w:numPr>
          <w:ilvl w:val="0"/>
          <w:numId w:val="1"/>
        </w:numPr>
        <w:tabs>
          <w:tab w:val="left" w:pos="481"/>
        </w:tabs>
        <w:ind w:hanging="361"/>
      </w:pPr>
      <w:r w:rsidRPr="006811BA">
        <w:t>Respuesta</w:t>
      </w:r>
    </w:p>
    <w:p w:rsidR="008412BF" w:rsidRPr="006811BA" w:rsidRDefault="008412BF">
      <w:pPr>
        <w:pStyle w:val="Textoindependiente"/>
        <w:spacing w:before="8"/>
        <w:rPr>
          <w:b/>
          <w:sz w:val="28"/>
        </w:rPr>
      </w:pPr>
    </w:p>
    <w:p w:rsidR="008412BF" w:rsidRPr="006811BA" w:rsidRDefault="00A934E1">
      <w:pPr>
        <w:pStyle w:val="Textoindependiente"/>
        <w:spacing w:line="276" w:lineRule="auto"/>
        <w:ind w:left="120" w:right="106"/>
        <w:jc w:val="both"/>
      </w:pPr>
      <w:r w:rsidRPr="006811BA">
        <w:t>Previo a responder la pregunta planteada, la Subdirección de Gestión Contractual se permite recoger los criterios contenidos en el Concepto del 5 de mayo de 2018, Rad. 2201813000004171; Concepto del 19 de agosto de 2016, Rad. 216130004025; Concepto</w:t>
      </w:r>
    </w:p>
    <w:p w:rsidR="008412BF" w:rsidRPr="006811BA" w:rsidRDefault="00A934E1">
      <w:pPr>
        <w:pStyle w:val="Textoindependiente"/>
        <w:spacing w:line="276" w:lineRule="auto"/>
        <w:ind w:left="120" w:right="107"/>
        <w:jc w:val="both"/>
      </w:pPr>
      <w:r w:rsidRPr="006811BA">
        <w:t>del 15 de agosto de 2016, Rad. 216130004597, Concepto del 30 de mayo de 2019, Rad. 2201913000003723 y todos los relacionados, en los que se sostuvo que para la evaluación de las ofertas económicas no se debía tener en cuenta el IVA, para adoptar como posición unificada en este tema, la acogida en la presente consulta, en los términos expuestos.</w:t>
      </w:r>
    </w:p>
    <w:p w:rsidR="008412BF" w:rsidRPr="006811BA" w:rsidRDefault="008412BF">
      <w:pPr>
        <w:pStyle w:val="Textoindependiente"/>
        <w:rPr>
          <w:sz w:val="24"/>
        </w:rPr>
      </w:pPr>
    </w:p>
    <w:p w:rsidR="008412BF" w:rsidRPr="006811BA" w:rsidRDefault="00A934E1">
      <w:pPr>
        <w:pStyle w:val="Textoindependiente"/>
        <w:spacing w:line="276" w:lineRule="auto"/>
        <w:ind w:left="120" w:right="104"/>
        <w:jc w:val="both"/>
      </w:pPr>
      <w:r w:rsidRPr="006811BA">
        <w:t>Por lo tanto, la evaluación de las propuestas económicas debe hacerse sobre el precio real ofrecido por cada proponente, esto es, con la inclusión de los impuestos, que se entienden parte del precio. Así, si un oferente pertenece al régimen común y ello influye en el precio ofertado, la ponderación se debe hacer sobre el precio final, sin importar si en el proceso existen otros oferentes que no son responsables de dicho impuesto, por pertenecer al régimen simplificado.</w:t>
      </w:r>
    </w:p>
    <w:p w:rsidR="008412BF" w:rsidRPr="006811BA" w:rsidRDefault="008412BF">
      <w:pPr>
        <w:pStyle w:val="Textoindependiente"/>
        <w:spacing w:before="3"/>
        <w:rPr>
          <w:sz w:val="25"/>
        </w:rPr>
      </w:pPr>
    </w:p>
    <w:p w:rsidR="008412BF" w:rsidRPr="006811BA" w:rsidRDefault="00A934E1">
      <w:pPr>
        <w:pStyle w:val="Textoindependiente"/>
        <w:spacing w:line="278" w:lineRule="auto"/>
        <w:ind w:left="120" w:right="112"/>
        <w:jc w:val="both"/>
      </w:pPr>
      <w:r w:rsidRPr="006811BA">
        <w:t>Este concepto tiene el alcance previsto en el artículo 28 del Código de Procedimiento Administrativo y de lo Contencioso Administrativo.</w:t>
      </w:r>
    </w:p>
    <w:p w:rsidR="008412BF" w:rsidRPr="006811BA" w:rsidRDefault="008F1534">
      <w:pPr>
        <w:pStyle w:val="Textoindependiente"/>
        <w:spacing w:before="5"/>
      </w:pPr>
      <w:r w:rsidRPr="006811BA">
        <w:rPr>
          <w:noProof/>
          <w:lang w:val="en-US" w:eastAsia="en-US" w:bidi="ar-SA"/>
        </w:rPr>
        <mc:AlternateContent>
          <mc:Choice Requires="wps">
            <w:drawing>
              <wp:anchor distT="0" distB="0" distL="0" distR="0" simplePos="0" relativeHeight="251665408" behindDoc="1" locked="0" layoutInCell="1" allowOverlap="1" wp14:anchorId="7DFBCCDA" wp14:editId="3FEECD05">
                <wp:simplePos x="0" y="0"/>
                <wp:positionH relativeFrom="page">
                  <wp:posOffset>1514475</wp:posOffset>
                </wp:positionH>
                <wp:positionV relativeFrom="paragraph">
                  <wp:posOffset>193675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884CC" id="Line 2"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25pt" to="488.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" strokecolor="#dbdbdb">
                <w10:wrap type="topAndBottom" anchorx="page"/>
              </v:line>
            </w:pict>
          </mc:Fallback>
        </mc:AlternateContent>
      </w:r>
    </w:p>
    <w:p w:rsidR="008412BF" w:rsidRPr="006811BA" w:rsidRDefault="008412BF">
      <w:pPr>
        <w:pStyle w:val="Textoindependiente"/>
        <w:spacing w:before="6"/>
        <w:rPr>
          <w:sz w:val="20"/>
        </w:rPr>
      </w:pPr>
    </w:p>
    <w:p w:rsidR="008412BF" w:rsidRPr="006811BA" w:rsidRDefault="00A934E1">
      <w:pPr>
        <w:pStyle w:val="Textoindependiente"/>
        <w:ind w:left="120"/>
      </w:pPr>
      <w:r w:rsidRPr="006811BA">
        <w:t>Atentamente,</w:t>
      </w:r>
    </w:p>
    <w:p w:rsidR="004C47DC" w:rsidRPr="009D5D6D" w:rsidRDefault="004C47DC" w:rsidP="004C47DC">
      <w:pPr>
        <w:pStyle w:val="Textoindependiente"/>
        <w:jc w:val="center"/>
      </w:pPr>
      <w:r>
        <w:rPr>
          <w:noProof/>
          <w:lang w:val="en-US" w:eastAsia="en-US" w:bidi="ar-SA"/>
        </w:rPr>
        <w:drawing>
          <wp:inline distT="0" distB="0" distL="0" distR="0" wp14:anchorId="07D7D021" wp14:editId="7D5832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8412BF" w:rsidRPr="00112DDD" w:rsidRDefault="00A934E1" w:rsidP="00112DDD">
      <w:pPr>
        <w:pStyle w:val="Textoindependiente"/>
        <w:ind w:left="120"/>
      </w:pPr>
      <w:r w:rsidRPr="00112DDD">
        <w:t>Proyectó: Leider Gómez Caballero</w:t>
      </w:r>
    </w:p>
    <w:sectPr w:rsidR="008412BF" w:rsidRPr="00112DDD">
      <w:pgSz w:w="12240" w:h="15840"/>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70C" w:rsidRDefault="006F570C">
      <w:r>
        <w:separator/>
      </w:r>
    </w:p>
  </w:endnote>
  <w:endnote w:type="continuationSeparator" w:id="0">
    <w:p w:rsidR="006F570C" w:rsidRDefault="006F5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2BF" w:rsidRDefault="00A934E1">
    <w:pPr>
      <w:pStyle w:val="Textoindependiente"/>
      <w:spacing w:line="14" w:lineRule="auto"/>
      <w:rPr>
        <w:sz w:val="20"/>
      </w:rPr>
    </w:pPr>
    <w:r>
      <w:rPr>
        <w:noProof/>
        <w:lang w:val="en-US" w:eastAsia="en-US" w:bidi="ar-SA"/>
      </w:rPr>
      <w:drawing>
        <wp:anchor distT="0" distB="0" distL="0" distR="0" simplePos="0" relativeHeight="251430912" behindDoc="1" locked="0" layoutInCell="1" allowOverlap="1" wp14:anchorId="321DD49B" wp14:editId="3D71FBF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70C" w:rsidRDefault="006F570C">
      <w:r>
        <w:separator/>
      </w:r>
    </w:p>
  </w:footnote>
  <w:footnote w:type="continuationSeparator" w:id="0">
    <w:p w:rsidR="006F570C" w:rsidRDefault="006F570C">
      <w:r>
        <w:continuationSeparator/>
      </w:r>
    </w:p>
  </w:footnote>
  <w:footnote w:id="1">
    <w:p w:rsidR="004C47DC" w:rsidRPr="004C47DC" w:rsidRDefault="004C47DC" w:rsidP="004C47DC">
      <w:pPr>
        <w:pStyle w:val="Textonotapie"/>
        <w:rPr>
          <w:lang w:val="es-MX"/>
        </w:rPr>
      </w:pPr>
      <w:r>
        <w:rPr>
          <w:rStyle w:val="Refdenotaalpie"/>
        </w:rPr>
        <w:footnoteRef/>
      </w:r>
      <w:r>
        <w:t xml:space="preserve"> </w:t>
      </w:r>
      <w:r w:rsidRPr="006811BA">
        <w:rPr>
          <w:sz w:val="18"/>
        </w:rPr>
        <w:t>Consejo de Estado, Sección Cuarta, sentencia del 24 de octubre de 2002, C.P. Ligia López Díaz,</w:t>
      </w:r>
      <w:r>
        <w:rPr>
          <w:sz w:val="18"/>
        </w:rPr>
        <w:t xml:space="preserve"> </w:t>
      </w:r>
      <w:r w:rsidRPr="006811BA">
        <w:rPr>
          <w:sz w:val="18"/>
        </w:rPr>
        <w:t>Rad. 13.408.</w:t>
      </w:r>
    </w:p>
  </w:footnote>
  <w:footnote w:id="2">
    <w:p w:rsidR="004C47DC" w:rsidRPr="006811BA" w:rsidRDefault="004C47DC" w:rsidP="004C47DC">
      <w:pPr>
        <w:spacing w:before="86"/>
        <w:ind w:left="828"/>
        <w:rPr>
          <w:sz w:val="18"/>
        </w:rPr>
      </w:pPr>
      <w:r>
        <w:rPr>
          <w:rStyle w:val="Refdenotaalpie"/>
        </w:rPr>
        <w:footnoteRef/>
      </w:r>
      <w:r>
        <w:t xml:space="preserve"> </w:t>
      </w:r>
      <w:r w:rsidRPr="006811BA">
        <w:rPr>
          <w:rFonts w:ascii="Calibri" w:hAnsi="Calibri"/>
          <w:position w:val="6"/>
          <w:sz w:val="13"/>
        </w:rPr>
        <w:t xml:space="preserve"> </w:t>
      </w:r>
      <w:r w:rsidRPr="006811BA">
        <w:rPr>
          <w:sz w:val="18"/>
        </w:rPr>
        <w:t xml:space="preserve">Marín Cortés, Fabián G. </w:t>
      </w:r>
      <w:r w:rsidRPr="006811BA">
        <w:rPr>
          <w:i/>
          <w:sz w:val="18"/>
        </w:rPr>
        <w:t>El precio</w:t>
      </w:r>
      <w:r w:rsidRPr="006811BA">
        <w:rPr>
          <w:sz w:val="18"/>
        </w:rPr>
        <w:t>. Librería Jurídica Sánchez R. Ltda. Medellín, 2012, p. 60.</w:t>
      </w:r>
    </w:p>
    <w:p w:rsidR="004C47DC" w:rsidRPr="004C47DC" w:rsidRDefault="004C47DC">
      <w:pPr>
        <w:pStyle w:val="Textonotapie"/>
        <w:rPr>
          <w:lang w:val="es-MX"/>
        </w:rPr>
      </w:pPr>
    </w:p>
  </w:footnote>
  <w:footnote w:id="3">
    <w:p w:rsidR="004C47DC" w:rsidRPr="006811BA" w:rsidRDefault="004C47DC" w:rsidP="004C47DC">
      <w:pPr>
        <w:spacing w:before="73"/>
        <w:ind w:left="120" w:right="108" w:firstLine="707"/>
        <w:jc w:val="both"/>
        <w:rPr>
          <w:sz w:val="18"/>
        </w:rPr>
      </w:pPr>
      <w:r>
        <w:rPr>
          <w:rStyle w:val="Refdenotaalpie"/>
        </w:rPr>
        <w:footnoteRef/>
      </w:r>
      <w:r>
        <w:t xml:space="preserve"> </w:t>
      </w:r>
      <w:r w:rsidRPr="006811BA">
        <w:rPr>
          <w:sz w:val="18"/>
        </w:rPr>
        <w:t>Colombia Compra Eficiente, Concepto del 5 de mayo de 2018, Rad. 2201813000004171; Concepto del 19 de agosto de 2016, Rad. 216130004025; Concepto del 15 de agosto de 2016, Rad. 216130004597, entre</w:t>
      </w:r>
      <w:r w:rsidRPr="006811BA">
        <w:rPr>
          <w:spacing w:val="-2"/>
          <w:sz w:val="18"/>
        </w:rPr>
        <w:t xml:space="preserve"> </w:t>
      </w:r>
      <w:r w:rsidRPr="006811BA">
        <w:rPr>
          <w:sz w:val="18"/>
        </w:rPr>
        <w:t>otros.</w:t>
      </w:r>
    </w:p>
    <w:p w:rsidR="004C47DC" w:rsidRPr="004C47DC" w:rsidRDefault="004C47D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2BF" w:rsidRDefault="00A934E1">
    <w:pPr>
      <w:pStyle w:val="Textoindependiente"/>
      <w:spacing w:line="14" w:lineRule="auto"/>
      <w:rPr>
        <w:sz w:val="20"/>
      </w:rPr>
    </w:pPr>
    <w:r>
      <w:rPr>
        <w:noProof/>
        <w:lang w:val="en-US" w:eastAsia="en-US" w:bidi="ar-SA"/>
      </w:rPr>
      <w:drawing>
        <wp:anchor distT="0" distB="0" distL="0" distR="0" simplePos="0" relativeHeight="251429888" behindDoc="1" locked="0" layoutInCell="1" allowOverlap="1" wp14:anchorId="44D02C51" wp14:editId="0140E85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2B7EF3"/>
    <w:multiLevelType w:val="multilevel"/>
    <w:tmpl w:val="E7F424EE"/>
    <w:lvl w:ilvl="0">
      <w:start w:val="1"/>
      <w:numFmt w:val="decimal"/>
      <w:lvlText w:val="%1."/>
      <w:lvlJc w:val="left"/>
      <w:pPr>
        <w:ind w:left="480" w:hanging="360"/>
        <w:jc w:val="left"/>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688" w:hanging="578"/>
        <w:jc w:val="left"/>
      </w:pPr>
      <w:rPr>
        <w:rFonts w:ascii="Arial" w:eastAsia="Arial" w:hAnsi="Arial" w:cs="Arial" w:hint="default"/>
        <w:b/>
        <w:bCs/>
        <w:color w:val="4E4D4D"/>
        <w:spacing w:val="-3"/>
        <w:w w:val="100"/>
        <w:sz w:val="22"/>
        <w:szCs w:val="22"/>
        <w:lang w:val="es-ES" w:eastAsia="es-ES" w:bidi="es-ES"/>
      </w:rPr>
    </w:lvl>
    <w:lvl w:ilvl="2">
      <w:numFmt w:val="bullet"/>
      <w:lvlText w:val="•"/>
      <w:lvlJc w:val="left"/>
      <w:pPr>
        <w:ind w:left="1622" w:hanging="578"/>
      </w:pPr>
      <w:rPr>
        <w:rFonts w:hint="default"/>
        <w:lang w:val="es-ES" w:eastAsia="es-ES" w:bidi="es-ES"/>
      </w:rPr>
    </w:lvl>
    <w:lvl w:ilvl="3">
      <w:numFmt w:val="bullet"/>
      <w:lvlText w:val="•"/>
      <w:lvlJc w:val="left"/>
      <w:pPr>
        <w:ind w:left="2564" w:hanging="578"/>
      </w:pPr>
      <w:rPr>
        <w:rFonts w:hint="default"/>
        <w:lang w:val="es-ES" w:eastAsia="es-ES" w:bidi="es-ES"/>
      </w:rPr>
    </w:lvl>
    <w:lvl w:ilvl="4">
      <w:numFmt w:val="bullet"/>
      <w:lvlText w:val="•"/>
      <w:lvlJc w:val="left"/>
      <w:pPr>
        <w:ind w:left="3506" w:hanging="578"/>
      </w:pPr>
      <w:rPr>
        <w:rFonts w:hint="default"/>
        <w:lang w:val="es-ES" w:eastAsia="es-ES" w:bidi="es-ES"/>
      </w:rPr>
    </w:lvl>
    <w:lvl w:ilvl="5">
      <w:numFmt w:val="bullet"/>
      <w:lvlText w:val="•"/>
      <w:lvlJc w:val="left"/>
      <w:pPr>
        <w:ind w:left="4448" w:hanging="578"/>
      </w:pPr>
      <w:rPr>
        <w:rFonts w:hint="default"/>
        <w:lang w:val="es-ES" w:eastAsia="es-ES" w:bidi="es-ES"/>
      </w:rPr>
    </w:lvl>
    <w:lvl w:ilvl="6">
      <w:numFmt w:val="bullet"/>
      <w:lvlText w:val="•"/>
      <w:lvlJc w:val="left"/>
      <w:pPr>
        <w:ind w:left="5391" w:hanging="578"/>
      </w:pPr>
      <w:rPr>
        <w:rFonts w:hint="default"/>
        <w:lang w:val="es-ES" w:eastAsia="es-ES" w:bidi="es-ES"/>
      </w:rPr>
    </w:lvl>
    <w:lvl w:ilvl="7">
      <w:numFmt w:val="bullet"/>
      <w:lvlText w:val="•"/>
      <w:lvlJc w:val="left"/>
      <w:pPr>
        <w:ind w:left="6333" w:hanging="578"/>
      </w:pPr>
      <w:rPr>
        <w:rFonts w:hint="default"/>
        <w:lang w:val="es-ES" w:eastAsia="es-ES" w:bidi="es-ES"/>
      </w:rPr>
    </w:lvl>
    <w:lvl w:ilvl="8">
      <w:numFmt w:val="bullet"/>
      <w:lvlText w:val="•"/>
      <w:lvlJc w:val="left"/>
      <w:pPr>
        <w:ind w:left="7275" w:hanging="578"/>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2BF"/>
    <w:rsid w:val="000D7435"/>
    <w:rsid w:val="000F620D"/>
    <w:rsid w:val="00112DDD"/>
    <w:rsid w:val="001C2331"/>
    <w:rsid w:val="002363DF"/>
    <w:rsid w:val="00241C33"/>
    <w:rsid w:val="00440131"/>
    <w:rsid w:val="004C47DC"/>
    <w:rsid w:val="006811BA"/>
    <w:rsid w:val="006F570C"/>
    <w:rsid w:val="008412BF"/>
    <w:rsid w:val="008F1534"/>
    <w:rsid w:val="009D262A"/>
    <w:rsid w:val="00A934E1"/>
    <w:rsid w:val="00C7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BC0A8"/>
  <w15:docId w15:val="{BFEAE0B0-2FDF-4E3D-921C-BABE7A56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4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8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4C47DC"/>
    <w:rPr>
      <w:sz w:val="20"/>
      <w:szCs w:val="20"/>
    </w:rPr>
  </w:style>
  <w:style w:type="character" w:customStyle="1" w:styleId="TextonotapieCar">
    <w:name w:val="Texto nota pie Car"/>
    <w:basedOn w:val="Fuentedeprrafopredeter"/>
    <w:link w:val="Textonotapie"/>
    <w:uiPriority w:val="99"/>
    <w:semiHidden/>
    <w:rsid w:val="004C47DC"/>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4C4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54ADE-9C7D-4DC3-A344-3F1D006F67C0}">
  <ds:schemaRefs>
    <ds:schemaRef ds:uri="http://schemas.microsoft.com/sharepoint/v3/contenttype/forms"/>
  </ds:schemaRefs>
</ds:datastoreItem>
</file>

<file path=customXml/itemProps2.xml><?xml version="1.0" encoding="utf-8"?>
<ds:datastoreItem xmlns:ds="http://schemas.openxmlformats.org/officeDocument/2006/customXml" ds:itemID="{907DBCB5-157C-48C6-838C-68EE07638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534AFF-7F88-42FC-8513-D483B92EC21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201DAE2-A762-49FD-BC34-B3AC465F0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3933</Words>
  <Characters>22421</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2020-08-04T14:30:00Z</dcterms:created>
  <dcterms:modified xsi:type="dcterms:W3CDTF">2020-08-04T14:30:00Z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2019-11-18T00:00:00Z</vt:filetime>
  </property>
  <property fmtid="{D5CDD505-2E9C-101B-9397-08002B2CF9AE}" pid="3" name="Creator">
    <vt:lpwstr>Microsoft Word</vt:lpwstr>
  </property>
  <property fmtid="{D5CDD505-2E9C-101B-9397-08002B2CF9AE}" pid="4" name="LastSaved">
    <vt:filetime>2020-04-05T00:00:00Z</vt:filetime>
  </property>
  <property fmtid="{D5CDD505-2E9C-101B-9397-08002B2CF9AE}" pid="5" name="ContentTypeId">
    <vt:lpwstr>0x010100F2E0F32964D9B84EA054B84E5D4157A0</vt:lpwstr>
  </property>
</Properties>
</file>