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6373DD" w:rsidR="0029001A" w:rsidP="00077C32" w:rsidRDefault="0029001A" w14:paraId="0B78ACE1" w14:textId="77777777">
      <w:pPr>
        <w:pStyle w:val="Textoindependiente"/>
        <w:jc w:val="both"/>
        <w:rPr>
          <w:rFonts w:ascii="Times New Roman"/>
          <w:sz w:val="16"/>
          <w:szCs w:val="16"/>
        </w:rPr>
      </w:pPr>
    </w:p>
    <w:p w:rsidRPr="006373DD" w:rsidR="00C7558F" w:rsidP="78E70EB7" w:rsidRDefault="00C160B2" w14:paraId="2F8CDBC0" w14:textId="083ED227">
      <w:pPr>
        <w:ind w:left="300"/>
        <w:jc w:val="both"/>
        <w:rPr>
          <w:b w:val="1"/>
          <w:bCs w:val="1"/>
          <w:lang w:val="es-MX"/>
        </w:rPr>
      </w:pPr>
      <w:r w:rsidRPr="78E70EB7" w:rsidR="00C160B2">
        <w:rPr>
          <w:b w:val="1"/>
          <w:bCs w:val="1"/>
          <w:lang w:val="es-MX"/>
        </w:rPr>
        <w:t>CONTRATO DE PRESTACI</w:t>
      </w:r>
      <w:r w:rsidRPr="78E70EB7" w:rsidR="4BDF4EA3">
        <w:rPr>
          <w:b w:val="1"/>
          <w:bCs w:val="1"/>
          <w:lang w:val="es-MX"/>
        </w:rPr>
        <w:t>Ó</w:t>
      </w:r>
      <w:r w:rsidRPr="78E70EB7" w:rsidR="00C160B2">
        <w:rPr>
          <w:b w:val="1"/>
          <w:bCs w:val="1"/>
          <w:lang w:val="es-MX"/>
        </w:rPr>
        <w:t>N DE SERVICIOS – Noción</w:t>
      </w:r>
    </w:p>
    <w:p w:rsidRPr="006373DD" w:rsidR="00C27EED" w:rsidP="78E70EB7" w:rsidRDefault="00C27EED" w14:paraId="49D72E70" w14:textId="77777777" w14:noSpellErr="1">
      <w:pPr>
        <w:spacing w:line="240" w:lineRule="auto"/>
        <w:ind w:left="300"/>
        <w:jc w:val="both"/>
        <w:rPr>
          <w:b w:val="1"/>
          <w:bCs w:val="1"/>
          <w:lang w:val="es-MX"/>
        </w:rPr>
      </w:pPr>
    </w:p>
    <w:p w:rsidRPr="006373DD" w:rsidR="00C7558F" w:rsidP="78E70EB7" w:rsidRDefault="00C160B2" w14:paraId="5F1D68C9" w14:textId="77777777" w14:noSpellErr="1">
      <w:pPr>
        <w:spacing w:line="240" w:lineRule="auto"/>
        <w:ind w:left="300"/>
        <w:jc w:val="both"/>
        <w:rPr>
          <w:b w:val="1"/>
          <w:bCs w:val="1"/>
          <w:sz w:val="20"/>
          <w:szCs w:val="20"/>
          <w:lang w:val="es-MX"/>
        </w:rPr>
      </w:pPr>
      <w:r w:rsidRPr="78E70EB7" w:rsidR="00C160B2">
        <w:rPr>
          <w:sz w:val="20"/>
          <w:szCs w:val="20"/>
        </w:rPr>
        <w:t>El contrato de prestación de servicios es un negocio jurídico estatal, típico, conmutativo, solemne, que tienen por objeto el apoyo, administración y desarrollo de actividades propias del funcionamiento de la administración pública. Este negocio jurídico se encuentra diferenciado en dos tipologías: i) la prestación de servicios profesionales o que implique el ejercicio de una actividad calificada como profesional y ii) el apoyo a la gestión que no corresponda a actividades de carácter profesional o de conocimiento especializado.</w:t>
      </w:r>
    </w:p>
    <w:p w:rsidRPr="006373DD" w:rsidR="00C7558F" w:rsidP="78E70EB7" w:rsidRDefault="00C7558F" w14:paraId="0649C8A8" w14:textId="77777777" w14:noSpellErr="1">
      <w:pPr>
        <w:spacing w:line="240" w:lineRule="auto"/>
        <w:ind w:left="300"/>
        <w:jc w:val="both"/>
        <w:rPr>
          <w:b w:val="1"/>
          <w:bCs w:val="1"/>
          <w:lang w:val="es-MX"/>
        </w:rPr>
      </w:pPr>
    </w:p>
    <w:p w:rsidRPr="006373DD" w:rsidR="00C7558F" w:rsidP="78E70EB7" w:rsidRDefault="00C160B2" w14:paraId="57A37C25" w14:textId="252AC064">
      <w:pPr>
        <w:pStyle w:val="Normal"/>
        <w:spacing w:line="240" w:lineRule="auto"/>
        <w:ind w:left="300"/>
        <w:jc w:val="both"/>
        <w:rPr>
          <w:b w:val="1"/>
          <w:bCs w:val="1"/>
          <w:lang w:val="es-MX"/>
        </w:rPr>
      </w:pPr>
      <w:r w:rsidRPr="78E70EB7" w:rsidR="00C160B2">
        <w:rPr>
          <w:b w:val="1"/>
          <w:bCs w:val="1"/>
          <w:lang w:val="es-MX"/>
        </w:rPr>
        <w:t>CONTRATO DE PRESTACI</w:t>
      </w:r>
      <w:r w:rsidRPr="78E70EB7" w:rsidR="5C1A29ED">
        <w:rPr>
          <w:b w:val="1"/>
          <w:bCs w:val="1"/>
          <w:lang w:val="es-MX"/>
        </w:rPr>
        <w:t>Ó</w:t>
      </w:r>
      <w:r w:rsidRPr="78E70EB7" w:rsidR="00C160B2">
        <w:rPr>
          <w:b w:val="1"/>
          <w:bCs w:val="1"/>
          <w:lang w:val="es-MX"/>
        </w:rPr>
        <w:t xml:space="preserve">N DE SERVICIOS – Doble erogación presupuestal </w:t>
      </w:r>
      <w:r w:rsidRPr="78E70EB7" w:rsidR="7790364D">
        <w:rPr>
          <w:b w:val="1"/>
          <w:bCs w:val="1"/>
          <w:lang w:val="es-MX"/>
        </w:rPr>
        <w:t xml:space="preserve">– Prohibición – No es aplicable </w:t>
      </w:r>
    </w:p>
    <w:p w:rsidRPr="006373DD" w:rsidR="00C27EED" w:rsidP="78E70EB7" w:rsidRDefault="00C27EED" w14:paraId="35DE6A3D" w14:textId="77777777" w14:noSpellErr="1">
      <w:pPr>
        <w:spacing w:before="93" w:line="240" w:lineRule="auto"/>
        <w:ind w:left="300"/>
        <w:jc w:val="both"/>
        <w:rPr>
          <w:sz w:val="20"/>
          <w:szCs w:val="20"/>
        </w:rPr>
      </w:pPr>
    </w:p>
    <w:p w:rsidRPr="006373DD" w:rsidR="00C27EED" w:rsidP="78E70EB7" w:rsidRDefault="00C7558F" w14:paraId="309E74FC" w14:textId="77777777" w14:noSpellErr="1">
      <w:pPr>
        <w:spacing w:after="120" w:line="240" w:lineRule="auto"/>
        <w:ind w:left="301"/>
        <w:jc w:val="both"/>
        <w:rPr>
          <w:sz w:val="20"/>
          <w:szCs w:val="20"/>
        </w:rPr>
      </w:pPr>
      <w:r w:rsidRPr="78E70EB7" w:rsidR="00C7558F">
        <w:rPr>
          <w:sz w:val="20"/>
          <w:szCs w:val="20"/>
        </w:rPr>
        <w:t>L</w:t>
      </w:r>
      <w:r w:rsidRPr="78E70EB7" w:rsidR="00C160B2">
        <w:rPr>
          <w:sz w:val="20"/>
          <w:szCs w:val="20"/>
        </w:rPr>
        <w:t>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w:t>
      </w:r>
      <w:r w:rsidRPr="78E70EB7" w:rsidR="00C27EED">
        <w:rPr>
          <w:sz w:val="20"/>
          <w:szCs w:val="20"/>
        </w:rPr>
        <w:t xml:space="preserve">o laboral. </w:t>
      </w:r>
    </w:p>
    <w:p w:rsidRPr="006373DD" w:rsidR="00C7558F" w:rsidP="78E70EB7" w:rsidRDefault="00C160B2" w14:paraId="49FAC4AF" w14:textId="77777777" w14:noSpellErr="1">
      <w:pPr>
        <w:spacing w:line="240" w:lineRule="auto"/>
        <w:ind w:left="301"/>
        <w:jc w:val="both"/>
        <w:rPr>
          <w:sz w:val="20"/>
          <w:szCs w:val="20"/>
        </w:rPr>
      </w:pPr>
      <w:r w:rsidRPr="78E70EB7" w:rsidR="00C160B2">
        <w:rPr>
          <w:sz w:val="20"/>
          <w:szCs w:val="20"/>
        </w:rPr>
        <w:t>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w:t>
      </w:r>
    </w:p>
    <w:p w:rsidRPr="006373DD" w:rsidR="00C7558F" w:rsidP="78E70EB7" w:rsidRDefault="00C7558F" w14:paraId="34583EF3" w14:textId="77777777" w14:noSpellErr="1">
      <w:pPr>
        <w:spacing w:line="240" w:lineRule="auto"/>
        <w:ind w:left="300"/>
        <w:jc w:val="both"/>
        <w:rPr>
          <w:sz w:val="20"/>
          <w:szCs w:val="20"/>
        </w:rPr>
      </w:pPr>
    </w:p>
    <w:p w:rsidR="00C160B2" w:rsidP="78E70EB7" w:rsidRDefault="00C160B2" w14:paraId="37753AB0" w14:textId="7F488BCA">
      <w:pPr>
        <w:pStyle w:val="Normal"/>
        <w:bidi w:val="0"/>
        <w:spacing w:before="0" w:beforeAutospacing="off" w:after="0" w:afterAutospacing="off" w:line="240" w:lineRule="auto"/>
        <w:ind w:left="300" w:right="0"/>
        <w:jc w:val="both"/>
        <w:rPr>
          <w:b w:val="1"/>
          <w:bCs w:val="1"/>
          <w:lang w:val="es-MX"/>
        </w:rPr>
      </w:pPr>
      <w:r w:rsidRPr="78E70EB7" w:rsidR="00C160B2">
        <w:rPr>
          <w:b w:val="1"/>
          <w:bCs w:val="1"/>
        </w:rPr>
        <w:t>CONTRATO DE PRESTACI</w:t>
      </w:r>
      <w:r w:rsidRPr="78E70EB7" w:rsidR="15E0E282">
        <w:rPr>
          <w:b w:val="1"/>
          <w:bCs w:val="1"/>
        </w:rPr>
        <w:t>Ó</w:t>
      </w:r>
      <w:r w:rsidRPr="78E70EB7" w:rsidR="00C160B2">
        <w:rPr>
          <w:b w:val="1"/>
          <w:bCs w:val="1"/>
        </w:rPr>
        <w:t xml:space="preserve">N DE SERVICIOS – </w:t>
      </w:r>
      <w:r w:rsidRPr="78E70EB7" w:rsidR="5BCD0E7E">
        <w:rPr>
          <w:b w:val="1"/>
          <w:bCs w:val="1"/>
        </w:rPr>
        <w:t xml:space="preserve">Suscripción </w:t>
      </w:r>
      <w:r w:rsidRPr="78E70EB7" w:rsidR="5BCD0E7E">
        <w:rPr>
          <w:b w:val="1"/>
          <w:bCs w:val="1"/>
          <w:lang w:val="es-MX"/>
        </w:rPr>
        <w:t>–  M</w:t>
      </w:r>
      <w:r w:rsidRPr="78E70EB7" w:rsidR="5BCD0E7E">
        <w:rPr>
          <w:b w:val="1"/>
          <w:bCs w:val="1"/>
        </w:rPr>
        <w:t xml:space="preserve">ás de un contrato </w:t>
      </w:r>
      <w:r w:rsidRPr="78E70EB7" w:rsidR="5BCD0E7E">
        <w:rPr>
          <w:b w:val="1"/>
          <w:bCs w:val="1"/>
          <w:lang w:val="es-MX"/>
        </w:rPr>
        <w:t xml:space="preserve">– </w:t>
      </w:r>
    </w:p>
    <w:p w:rsidR="5BCD0E7E" w:rsidP="78E70EB7" w:rsidRDefault="5BCD0E7E" w14:paraId="2AB96333" w14:textId="7E21BD56">
      <w:pPr>
        <w:pStyle w:val="Normal"/>
        <w:bidi w:val="0"/>
        <w:spacing w:before="0" w:beforeAutospacing="off" w:after="0" w:afterAutospacing="off" w:line="240" w:lineRule="auto"/>
        <w:ind w:left="300" w:right="0"/>
        <w:jc w:val="both"/>
        <w:rPr>
          <w:b w:val="1"/>
          <w:bCs w:val="1"/>
          <w:lang w:val="es-MX"/>
        </w:rPr>
      </w:pPr>
      <w:r w:rsidRPr="78E70EB7" w:rsidR="5BCD0E7E">
        <w:rPr>
          <w:b w:val="1"/>
          <w:bCs w:val="1"/>
          <w:lang w:val="es-MX"/>
        </w:rPr>
        <w:t>Procedencia</w:t>
      </w:r>
    </w:p>
    <w:p w:rsidR="78E70EB7" w:rsidP="78E70EB7" w:rsidRDefault="78E70EB7" w14:paraId="0523C29A" w14:textId="5235A6A9">
      <w:pPr>
        <w:pStyle w:val="Normal"/>
        <w:bidi w:val="0"/>
        <w:spacing w:before="0" w:beforeAutospacing="off" w:after="0" w:afterAutospacing="off" w:line="240" w:lineRule="auto"/>
        <w:ind w:left="300" w:right="0"/>
        <w:jc w:val="both"/>
        <w:rPr>
          <w:b w:val="1"/>
          <w:bCs w:val="1"/>
          <w:lang w:val="es-MX"/>
        </w:rPr>
      </w:pPr>
    </w:p>
    <w:p w:rsidRPr="006373DD" w:rsidR="00C160B2" w:rsidP="78E70EB7" w:rsidRDefault="00C160B2" w14:paraId="336009C2" w14:textId="77777777" w14:noSpellErr="1">
      <w:pPr>
        <w:spacing w:line="240" w:lineRule="auto"/>
        <w:ind w:left="301"/>
        <w:jc w:val="both"/>
        <w:rPr>
          <w:sz w:val="20"/>
          <w:szCs w:val="20"/>
        </w:rPr>
      </w:pPr>
      <w:r w:rsidRPr="78E70EB7" w:rsidR="00C160B2">
        <w:rPr>
          <w:sz w:val="20"/>
          <w:szCs w:val="20"/>
        </w:rPr>
        <w:t>Teniendo en cuenta que el régimen de inhabilidades e incompatibilidades no establece ninguna prohibición para que un contratista celebre más de un contrato con la misma entidad, y que estos contratos no constituyen un vínculo laboral ni le otorgan la calidad de servidor público que permita aplicar la prohibición del artículo 128 de la Constitución Política, una misma entidad puede celebrar más de un contrato con el mismo contratista, siempre y cuando se respeten los principios de transparencia, economía y responsabilidad y los principios que rigen la función administrativa y la gestión fiscal.</w:t>
      </w:r>
    </w:p>
    <w:p w:rsidRPr="006373DD" w:rsidR="00C160B2" w:rsidP="00077C32" w:rsidRDefault="00C160B2" w14:paraId="267061B6" w14:textId="44013535">
      <w:pPr>
        <w:ind w:left="300"/>
        <w:jc w:val="both"/>
      </w:pPr>
    </w:p>
    <w:p w:rsidRPr="006373DD" w:rsidR="00077C32" w:rsidP="00077C32" w:rsidRDefault="00077C32" w14:paraId="7D62F9A8" w14:textId="77777777">
      <w:pPr>
        <w:ind w:left="300"/>
        <w:jc w:val="both"/>
      </w:pPr>
    </w:p>
    <w:p w:rsidRPr="006373DD" w:rsidR="0029001A" w:rsidP="00077C32" w:rsidRDefault="00B07FAB" w14:paraId="40615025" w14:textId="77777777">
      <w:pPr>
        <w:ind w:left="300"/>
        <w:jc w:val="both"/>
        <w:rPr>
          <w:b/>
        </w:rPr>
      </w:pPr>
      <w:r w:rsidRPr="006373DD">
        <w:t xml:space="preserve">Bogotá D.C., </w:t>
      </w:r>
      <w:r w:rsidRPr="006373DD">
        <w:rPr>
          <w:b/>
        </w:rPr>
        <w:t>12/11/2019 Hora 18:7:36s</w:t>
      </w:r>
    </w:p>
    <w:p w:rsidRPr="006373DD" w:rsidR="0029001A" w:rsidP="00077C32" w:rsidRDefault="00B07FAB" w14:paraId="704C6ACA" w14:textId="77777777">
      <w:pPr>
        <w:pStyle w:val="Ttulo1"/>
        <w:ind w:left="5839"/>
        <w:jc w:val="both"/>
      </w:pPr>
      <w:r w:rsidRPr="006373DD">
        <w:t>N° Radicado: 2201913000008409</w:t>
      </w:r>
    </w:p>
    <w:p w:rsidRPr="006373DD" w:rsidR="0029001A" w:rsidP="00077C32" w:rsidRDefault="0029001A" w14:paraId="3EA9AEEF" w14:textId="77777777">
      <w:pPr>
        <w:pStyle w:val="Textoindependiente"/>
        <w:spacing w:before="9"/>
        <w:jc w:val="both"/>
        <w:rPr>
          <w:b/>
          <w:sz w:val="13"/>
        </w:rPr>
      </w:pPr>
    </w:p>
    <w:p w:rsidRPr="006373DD" w:rsidR="0029001A" w:rsidP="00077C32" w:rsidRDefault="00B07FAB" w14:paraId="0EA8E1DE" w14:textId="77777777">
      <w:pPr>
        <w:pStyle w:val="Textoindependiente"/>
        <w:spacing w:before="93" w:line="253" w:lineRule="exact"/>
        <w:ind w:left="300"/>
        <w:jc w:val="both"/>
      </w:pPr>
      <w:r w:rsidRPr="006373DD">
        <w:t>Señor</w:t>
      </w:r>
    </w:p>
    <w:p w:rsidRPr="006373DD" w:rsidR="0029001A" w:rsidP="00077C32" w:rsidRDefault="00B07FAB" w14:paraId="7FEDA95B" w14:textId="77777777">
      <w:pPr>
        <w:pStyle w:val="Ttulo1"/>
        <w:spacing w:line="253" w:lineRule="exact"/>
        <w:jc w:val="both"/>
      </w:pPr>
      <w:r w:rsidRPr="006373DD">
        <w:t>Oscar Fabian López Sierra</w:t>
      </w:r>
    </w:p>
    <w:p w:rsidRPr="006373DD" w:rsidR="0029001A" w:rsidP="00077C32" w:rsidRDefault="00B07FAB" w14:paraId="5B87129A" w14:textId="77777777">
      <w:pPr>
        <w:pStyle w:val="Textoindependiente"/>
        <w:spacing w:line="253" w:lineRule="exact"/>
        <w:ind w:left="300"/>
        <w:jc w:val="both"/>
      </w:pPr>
      <w:r w:rsidRPr="006373DD">
        <w:t>Tunja, Boyacá</w:t>
      </w:r>
    </w:p>
    <w:p w:rsidRPr="006373DD" w:rsidR="0029001A" w:rsidP="00077C32" w:rsidRDefault="0029001A" w14:paraId="67E1723D" w14:textId="77777777">
      <w:pPr>
        <w:pStyle w:val="Textoindependiente"/>
        <w:jc w:val="both"/>
        <w:rPr>
          <w:sz w:val="20"/>
        </w:rPr>
      </w:pPr>
    </w:p>
    <w:p w:rsidRPr="006373DD" w:rsidR="0029001A" w:rsidP="00077C32" w:rsidRDefault="0029001A" w14:paraId="4EE87543" w14:textId="77777777">
      <w:pPr>
        <w:pStyle w:val="Textoindependiente"/>
        <w:spacing w:before="9"/>
        <w:jc w:val="both"/>
        <w:rPr>
          <w:sz w:val="24"/>
        </w:rPr>
      </w:pPr>
    </w:p>
    <w:tbl>
      <w:tblPr>
        <w:tblStyle w:val="TableNormal"/>
        <w:tblW w:w="0" w:type="auto"/>
        <w:tblInd w:w="108" w:type="dxa"/>
        <w:tblLayout w:type="fixed"/>
        <w:tblLook w:val="01E0" w:firstRow="1" w:lastRow="1" w:firstColumn="1" w:lastColumn="1" w:noHBand="0" w:noVBand="0"/>
      </w:tblPr>
      <w:tblGrid>
        <w:gridCol w:w="2328"/>
        <w:gridCol w:w="6471"/>
      </w:tblGrid>
      <w:tr w:rsidRPr="006373DD" w:rsidR="006373DD" w14:paraId="71BAB77D" w14:textId="77777777">
        <w:trPr>
          <w:trHeight w:val="249"/>
        </w:trPr>
        <w:tc>
          <w:tcPr>
            <w:tcW w:w="2328" w:type="dxa"/>
          </w:tcPr>
          <w:p w:rsidRPr="006373DD" w:rsidR="0029001A" w:rsidP="00077C32" w:rsidRDefault="00B07FAB" w14:paraId="46E762C8" w14:textId="77777777">
            <w:pPr>
              <w:pStyle w:val="TableParagraph"/>
              <w:jc w:val="both"/>
              <w:rPr>
                <w:b/>
              </w:rPr>
            </w:pPr>
            <w:r w:rsidRPr="006373DD">
              <w:rPr>
                <w:b/>
              </w:rPr>
              <w:t>Radicación:</w:t>
            </w:r>
          </w:p>
        </w:tc>
        <w:tc>
          <w:tcPr>
            <w:tcW w:w="6471" w:type="dxa"/>
          </w:tcPr>
          <w:p w:rsidRPr="006373DD" w:rsidR="0029001A" w:rsidP="00077C32" w:rsidRDefault="00B07FAB" w14:paraId="35C56B86" w14:textId="77777777">
            <w:pPr>
              <w:pStyle w:val="TableParagraph"/>
              <w:ind w:left="562"/>
              <w:jc w:val="both"/>
            </w:pPr>
            <w:r w:rsidRPr="006373DD">
              <w:t>Respuesta a consulta # 4201912000006692</w:t>
            </w:r>
          </w:p>
        </w:tc>
      </w:tr>
      <w:tr w:rsidRPr="006373DD" w:rsidR="006373DD" w14:paraId="565E0B95" w14:textId="77777777">
        <w:trPr>
          <w:trHeight w:val="252"/>
        </w:trPr>
        <w:tc>
          <w:tcPr>
            <w:tcW w:w="2328" w:type="dxa"/>
          </w:tcPr>
          <w:p w:rsidRPr="006373DD" w:rsidR="0029001A" w:rsidP="00077C32" w:rsidRDefault="00B07FAB" w14:paraId="231E1F03" w14:textId="77777777">
            <w:pPr>
              <w:pStyle w:val="TableParagraph"/>
              <w:spacing w:line="233" w:lineRule="exact"/>
              <w:jc w:val="both"/>
              <w:rPr>
                <w:b/>
              </w:rPr>
            </w:pPr>
            <w:r w:rsidRPr="006373DD">
              <w:rPr>
                <w:b/>
              </w:rPr>
              <w:t>Temas:</w:t>
            </w:r>
          </w:p>
        </w:tc>
        <w:tc>
          <w:tcPr>
            <w:tcW w:w="6471" w:type="dxa"/>
          </w:tcPr>
          <w:p w:rsidRPr="006373DD" w:rsidR="0029001A" w:rsidP="00077C32" w:rsidRDefault="00B07FAB" w14:paraId="55987F72" w14:textId="77777777">
            <w:pPr>
              <w:pStyle w:val="TableParagraph"/>
              <w:spacing w:line="233" w:lineRule="exact"/>
              <w:ind w:left="562"/>
              <w:jc w:val="both"/>
            </w:pPr>
            <w:r w:rsidRPr="006373DD">
              <w:t>Contrato de prestación de servicios</w:t>
            </w:r>
          </w:p>
        </w:tc>
      </w:tr>
      <w:tr w:rsidRPr="006373DD" w:rsidR="006373DD" w14:paraId="76517CD2" w14:textId="77777777">
        <w:trPr>
          <w:trHeight w:val="501"/>
        </w:trPr>
        <w:tc>
          <w:tcPr>
            <w:tcW w:w="2328" w:type="dxa"/>
          </w:tcPr>
          <w:p w:rsidRPr="006373DD" w:rsidR="0029001A" w:rsidP="00077C32" w:rsidRDefault="00B07FAB" w14:paraId="70EF44CB" w14:textId="77777777">
            <w:pPr>
              <w:pStyle w:val="TableParagraph"/>
              <w:spacing w:before="1" w:line="252" w:lineRule="exact"/>
              <w:ind w:right="543"/>
              <w:jc w:val="both"/>
              <w:rPr>
                <w:b/>
              </w:rPr>
            </w:pPr>
            <w:r w:rsidRPr="006373DD">
              <w:rPr>
                <w:b/>
              </w:rPr>
              <w:t>Tipo de asunto consultado:</w:t>
            </w:r>
          </w:p>
        </w:tc>
        <w:tc>
          <w:tcPr>
            <w:tcW w:w="6471" w:type="dxa"/>
          </w:tcPr>
          <w:p w:rsidRPr="006373DD" w:rsidR="0029001A" w:rsidP="00077C32" w:rsidRDefault="00B07FAB" w14:paraId="262F0EA4" w14:textId="77777777">
            <w:pPr>
              <w:pStyle w:val="TableParagraph"/>
              <w:spacing w:line="249" w:lineRule="exact"/>
              <w:ind w:left="562"/>
              <w:jc w:val="both"/>
            </w:pPr>
            <w:r w:rsidRPr="006373DD">
              <w:t>Límite de contratos de prestación de servicios por persona</w:t>
            </w:r>
          </w:p>
        </w:tc>
      </w:tr>
    </w:tbl>
    <w:p w:rsidRPr="006373DD" w:rsidR="0029001A" w:rsidP="00077C32" w:rsidRDefault="0029001A" w14:paraId="2F2E7CED" w14:textId="2B470A11">
      <w:pPr>
        <w:pStyle w:val="Textoindependiente"/>
        <w:spacing w:before="3"/>
        <w:jc w:val="both"/>
        <w:rPr>
          <w:sz w:val="17"/>
        </w:rPr>
      </w:pPr>
    </w:p>
    <w:p w:rsidRPr="006373DD" w:rsidR="00077C32" w:rsidP="00077C32" w:rsidRDefault="00077C32" w14:paraId="5F59E579" w14:textId="16C52EBF">
      <w:pPr>
        <w:pStyle w:val="Textoindependiente"/>
        <w:spacing w:before="3"/>
        <w:jc w:val="both"/>
        <w:rPr>
          <w:sz w:val="17"/>
        </w:rPr>
      </w:pPr>
    </w:p>
    <w:p w:rsidRPr="006373DD" w:rsidR="00077C32" w:rsidP="00077C32" w:rsidRDefault="00077C32" w14:paraId="259F1C6C" w14:textId="64121633">
      <w:pPr>
        <w:pStyle w:val="Textoindependiente"/>
        <w:spacing w:before="3"/>
        <w:jc w:val="both"/>
        <w:rPr>
          <w:sz w:val="17"/>
        </w:rPr>
      </w:pPr>
    </w:p>
    <w:p w:rsidRPr="006373DD" w:rsidR="00077C32" w:rsidP="00077C32" w:rsidRDefault="00077C32" w14:paraId="24EAA0DC" w14:textId="77777777">
      <w:pPr>
        <w:pStyle w:val="Textoindependiente"/>
        <w:spacing w:before="3"/>
        <w:jc w:val="both"/>
        <w:rPr>
          <w:sz w:val="17"/>
        </w:rPr>
      </w:pPr>
    </w:p>
    <w:p w:rsidRPr="006373DD" w:rsidR="0029001A" w:rsidP="00077C32" w:rsidRDefault="00B07FAB" w14:paraId="257B54A9" w14:textId="77777777">
      <w:pPr>
        <w:pStyle w:val="Textoindependiente"/>
        <w:spacing w:before="93"/>
        <w:ind w:left="300"/>
        <w:jc w:val="both"/>
      </w:pPr>
      <w:r w:rsidRPr="006373DD">
        <w:lastRenderedPageBreak/>
        <w:t>Estimado señor López,</w:t>
      </w:r>
    </w:p>
    <w:p w:rsidRPr="006373DD" w:rsidR="0029001A" w:rsidP="00077C32" w:rsidRDefault="0029001A" w14:paraId="076B9297" w14:textId="77777777">
      <w:pPr>
        <w:pStyle w:val="Textoindependiente"/>
        <w:spacing w:before="8"/>
        <w:jc w:val="both"/>
        <w:rPr>
          <w:sz w:val="28"/>
        </w:rPr>
      </w:pPr>
    </w:p>
    <w:p w:rsidRPr="006373DD" w:rsidR="0029001A" w:rsidP="00077C32" w:rsidRDefault="00B07FAB" w14:paraId="44E3715D" w14:textId="77777777">
      <w:pPr>
        <w:pStyle w:val="Textoindependiente"/>
        <w:spacing w:line="276" w:lineRule="auto"/>
        <w:ind w:left="300" w:right="107"/>
        <w:jc w:val="both"/>
      </w:pPr>
      <w:r w:rsidRPr="006373DD">
        <w:t>La Agencia Nacional de Contratación Pública - Colombia Compra Eficiente responde su consulta del 30 de septiembre de 2019, en ejercicio de la competencia otorgada por el numeral 8 del artículo 11 y el numeral 5 del artículo 3 del Decreto Ley 4170 de 2011.</w:t>
      </w:r>
    </w:p>
    <w:p w:rsidRPr="006373DD" w:rsidR="0029001A" w:rsidP="00077C32" w:rsidRDefault="0029001A" w14:paraId="6480D3B3" w14:textId="77777777">
      <w:pPr>
        <w:pStyle w:val="Textoindependiente"/>
        <w:spacing w:before="2"/>
        <w:jc w:val="both"/>
        <w:rPr>
          <w:sz w:val="25"/>
        </w:rPr>
      </w:pPr>
    </w:p>
    <w:p w:rsidRPr="006373DD" w:rsidR="0029001A" w:rsidP="00077C32" w:rsidRDefault="00B07FAB" w14:paraId="3D466ED7" w14:textId="77777777">
      <w:pPr>
        <w:pStyle w:val="Ttulo1"/>
        <w:numPr>
          <w:ilvl w:val="0"/>
          <w:numId w:val="2"/>
        </w:numPr>
        <w:tabs>
          <w:tab w:val="left" w:pos="661"/>
        </w:tabs>
        <w:ind w:hanging="361"/>
        <w:jc w:val="both"/>
      </w:pPr>
      <w:r w:rsidRPr="006373DD">
        <w:t>Problema</w:t>
      </w:r>
      <w:r w:rsidRPr="006373DD">
        <w:rPr>
          <w:spacing w:val="-2"/>
        </w:rPr>
        <w:t xml:space="preserve"> </w:t>
      </w:r>
      <w:r w:rsidRPr="006373DD">
        <w:t>planteado</w:t>
      </w:r>
    </w:p>
    <w:p w:rsidRPr="006373DD" w:rsidR="0029001A" w:rsidP="00077C32" w:rsidRDefault="0029001A" w14:paraId="52170EC3" w14:textId="77777777">
      <w:pPr>
        <w:pStyle w:val="Textoindependiente"/>
        <w:spacing w:before="8"/>
        <w:jc w:val="both"/>
        <w:rPr>
          <w:b/>
          <w:sz w:val="28"/>
        </w:rPr>
      </w:pPr>
    </w:p>
    <w:p w:rsidRPr="006373DD" w:rsidR="0029001A" w:rsidP="00077C32" w:rsidRDefault="00B07FAB" w14:paraId="599E34D1" w14:textId="77777777">
      <w:pPr>
        <w:pStyle w:val="Textoindependiente"/>
        <w:spacing w:line="276" w:lineRule="auto"/>
        <w:ind w:left="300" w:right="109"/>
        <w:jc w:val="both"/>
      </w:pPr>
      <w:r w:rsidRPr="006373DD">
        <w:t>“¿Una entidad Estatal puede suscribir más de un contrato de prestación de servicios profesionales o de apoyo a la gestión con el mismo contratista?”.</w:t>
      </w:r>
    </w:p>
    <w:p w:rsidRPr="006373DD" w:rsidR="0029001A" w:rsidP="00077C32" w:rsidRDefault="0029001A" w14:paraId="255D17EF" w14:textId="77777777">
      <w:pPr>
        <w:pStyle w:val="Textoindependiente"/>
        <w:spacing w:before="3"/>
        <w:jc w:val="both"/>
        <w:rPr>
          <w:sz w:val="25"/>
        </w:rPr>
      </w:pPr>
    </w:p>
    <w:p w:rsidRPr="006373DD" w:rsidR="0029001A" w:rsidP="00077C32" w:rsidRDefault="00B07FAB" w14:paraId="7F6BF5C6" w14:textId="77777777">
      <w:pPr>
        <w:pStyle w:val="Ttulo1"/>
        <w:numPr>
          <w:ilvl w:val="0"/>
          <w:numId w:val="2"/>
        </w:numPr>
        <w:tabs>
          <w:tab w:val="left" w:pos="661"/>
        </w:tabs>
        <w:ind w:hanging="361"/>
        <w:jc w:val="both"/>
      </w:pPr>
      <w:r w:rsidRPr="006373DD">
        <w:t>Consideraciones</w:t>
      </w:r>
    </w:p>
    <w:p w:rsidRPr="006373DD" w:rsidR="0029001A" w:rsidP="00077C32" w:rsidRDefault="0029001A" w14:paraId="6BC0B7D8" w14:textId="77777777">
      <w:pPr>
        <w:pStyle w:val="Textoindependiente"/>
        <w:spacing w:before="8"/>
        <w:jc w:val="both"/>
        <w:rPr>
          <w:b/>
          <w:sz w:val="28"/>
        </w:rPr>
      </w:pPr>
    </w:p>
    <w:p w:rsidRPr="006373DD" w:rsidR="0029001A" w:rsidP="00077C32" w:rsidRDefault="00B07FAB" w14:paraId="5B59D0AE" w14:textId="77777777">
      <w:pPr>
        <w:pStyle w:val="Textoindependiente"/>
        <w:spacing w:line="276" w:lineRule="auto"/>
        <w:ind w:left="300" w:right="104"/>
        <w:jc w:val="both"/>
      </w:pPr>
      <w:r w:rsidRPr="006373DD">
        <w:t>Para determinar la posibilidad de que una persona natural celebre más de un contrato de prestación de servicios con la misma entidad se analizaran los siguientes temas: i) el marco normativo y la naturaleza jurídica del contrato de prestación de servicios; ii) las prohibiciones que establece el Estatuto General de la Contratación Pública para contratar, y que afectan la capacidad de los proponentes para participar en procesos de contratación; y iii) la prohibición de percibir doble asignación</w:t>
      </w:r>
      <w:r w:rsidRPr="006373DD">
        <w:rPr>
          <w:spacing w:val="-15"/>
        </w:rPr>
        <w:t xml:space="preserve"> </w:t>
      </w:r>
      <w:r w:rsidRPr="006373DD">
        <w:t>presupuestal.</w:t>
      </w:r>
    </w:p>
    <w:p w:rsidRPr="006373DD" w:rsidR="0029001A" w:rsidP="00077C32" w:rsidRDefault="0029001A" w14:paraId="1FA77CC1" w14:textId="77777777">
      <w:pPr>
        <w:pStyle w:val="Textoindependiente"/>
        <w:spacing w:before="2"/>
        <w:jc w:val="both"/>
        <w:rPr>
          <w:sz w:val="25"/>
        </w:rPr>
      </w:pPr>
    </w:p>
    <w:p w:rsidRPr="006373DD" w:rsidR="0029001A" w:rsidP="00077C32" w:rsidRDefault="00B07FAB" w14:paraId="7769ADE9" w14:textId="77777777">
      <w:pPr>
        <w:pStyle w:val="Ttulo1"/>
        <w:numPr>
          <w:ilvl w:val="1"/>
          <w:numId w:val="2"/>
        </w:numPr>
        <w:tabs>
          <w:tab w:val="left" w:pos="726"/>
        </w:tabs>
        <w:ind w:hanging="426"/>
        <w:jc w:val="both"/>
      </w:pPr>
      <w:r w:rsidRPr="006373DD">
        <w:t>Marco Normativo y naturaleza jurídica del contrato de prestación de</w:t>
      </w:r>
      <w:r w:rsidRPr="006373DD">
        <w:rPr>
          <w:spacing w:val="-24"/>
        </w:rPr>
        <w:t xml:space="preserve"> </w:t>
      </w:r>
      <w:r w:rsidRPr="006373DD">
        <w:t>servicios</w:t>
      </w:r>
    </w:p>
    <w:p w:rsidRPr="006373DD" w:rsidR="0029001A" w:rsidP="00077C32" w:rsidRDefault="0029001A" w14:paraId="2C41AD85" w14:textId="77777777">
      <w:pPr>
        <w:pStyle w:val="Textoindependiente"/>
        <w:spacing w:before="8"/>
        <w:jc w:val="both"/>
        <w:rPr>
          <w:b/>
          <w:sz w:val="28"/>
        </w:rPr>
      </w:pPr>
    </w:p>
    <w:p w:rsidRPr="006373DD" w:rsidR="0029001A" w:rsidP="00077C32" w:rsidRDefault="00B07FAB" w14:paraId="6EAA941E" w14:textId="77777777">
      <w:pPr>
        <w:pStyle w:val="Textoindependiente"/>
        <w:spacing w:line="276" w:lineRule="auto"/>
        <w:ind w:left="300" w:right="105"/>
        <w:jc w:val="both"/>
        <w:rPr>
          <w:sz w:val="14"/>
        </w:rPr>
      </w:pPr>
      <w:r w:rsidRPr="006373DD">
        <w:t>El contrato de prestación de servicios se encuentra definido en el artículo 32, numeral 3, de la Ley 80 de 1993, como el suscrito por las entidades del Estado con el objeto de apoyar y desarrollar actividades propias del funcionamiento y la administración de las entidades</w:t>
      </w:r>
      <w:r w:rsidRPr="006373DD" w:rsidR="00C7558F">
        <w:rPr>
          <w:sz w:val="14"/>
        </w:rPr>
        <w:t xml:space="preserve"> </w:t>
      </w:r>
      <w:r w:rsidRPr="006373DD">
        <w:t>estatales</w:t>
      </w:r>
      <w:r w:rsidRPr="006373DD" w:rsidR="00C7558F">
        <w:rPr>
          <w:rStyle w:val="Refdenotaalpie"/>
        </w:rPr>
        <w:footnoteReference w:id="1"/>
      </w:r>
      <w:r w:rsidRPr="006373DD">
        <w:t>. Por su parte, el artículo 2 de la Ley 1150 de 2007 establece que estos contratos, se celebran a través de la modalidad de contratación</w:t>
      </w:r>
      <w:r w:rsidRPr="006373DD">
        <w:rPr>
          <w:spacing w:val="-13"/>
        </w:rPr>
        <w:t xml:space="preserve"> </w:t>
      </w:r>
      <w:r w:rsidRPr="006373DD">
        <w:t>directa</w:t>
      </w:r>
      <w:r w:rsidRPr="006373DD" w:rsidR="00C7558F">
        <w:rPr>
          <w:rStyle w:val="Refdenotaalpie"/>
        </w:rPr>
        <w:footnoteReference w:id="2"/>
      </w:r>
      <w:r w:rsidRPr="006373DD">
        <w:t>.</w:t>
      </w:r>
    </w:p>
    <w:p w:rsidRPr="006373DD" w:rsidR="0029001A" w:rsidP="00077C32" w:rsidRDefault="0029001A" w14:paraId="18269627" w14:textId="77777777">
      <w:pPr>
        <w:pStyle w:val="Textoindependiente"/>
        <w:spacing w:before="9"/>
        <w:jc w:val="both"/>
        <w:rPr>
          <w:sz w:val="24"/>
        </w:rPr>
      </w:pPr>
    </w:p>
    <w:p w:rsidRPr="006373DD" w:rsidR="0029001A" w:rsidP="00077C32" w:rsidRDefault="00B07FAB" w14:paraId="1B5B0D51" w14:textId="77777777">
      <w:pPr>
        <w:pStyle w:val="Textoindependiente"/>
        <w:spacing w:line="276" w:lineRule="auto"/>
        <w:ind w:left="300" w:right="107"/>
        <w:jc w:val="both"/>
      </w:pPr>
      <w:r w:rsidRPr="006373DD">
        <w:t>De conformidad con lo anterior, el contrato de prestación de servicios es un negocio jurídico estatal, típico, conmutativo, solemne, que tienen por objeto el apoyo, administración y desarrollo de actividades propias del funcionamiento de la administración pública. Este negocio jurídico se encuentra diferenciado en dos tipologías: i) la prestación de servicios profesionales o que implique el ejercicio de una actividad calificada como profesional y ii) el apoyo a la gestión que no corresponda a actividades de carácter profesional o de conocimiento</w:t>
      </w:r>
      <w:r w:rsidRPr="006373DD">
        <w:rPr>
          <w:spacing w:val="-5"/>
        </w:rPr>
        <w:t xml:space="preserve"> </w:t>
      </w:r>
      <w:r w:rsidRPr="006373DD">
        <w:t>especializado.</w:t>
      </w:r>
    </w:p>
    <w:p w:rsidRPr="006373DD" w:rsidR="0029001A" w:rsidP="00077C32" w:rsidRDefault="0029001A" w14:paraId="0F1AAA48" w14:textId="77777777">
      <w:pPr>
        <w:pStyle w:val="Textoindependiente"/>
        <w:spacing w:before="4"/>
        <w:jc w:val="both"/>
        <w:rPr>
          <w:sz w:val="25"/>
        </w:rPr>
      </w:pPr>
    </w:p>
    <w:p w:rsidRPr="006373DD" w:rsidR="00077C32" w:rsidP="00077C32" w:rsidRDefault="00B07FAB" w14:paraId="38F35390" w14:textId="77777777">
      <w:pPr>
        <w:pStyle w:val="Textoindependiente"/>
        <w:spacing w:before="1" w:line="276" w:lineRule="auto"/>
        <w:ind w:left="300" w:right="111"/>
        <w:jc w:val="both"/>
      </w:pPr>
      <w:r w:rsidRPr="006373DD">
        <w:t>El primero, concierne al desarrollo de actividades de carácter intelectual y cognoscitivo que requiere la entidad estatal. En palabras del Consejo de Estado, es la instrumentalización de actividades que buscan satisfacer las necesidades de las entidades estatales relacionadas con su funcionamiento o gestión administrativa que implican el aporte de conocimientos especializados que realizan personas clasificadas por el ordenamiento jurídico como</w:t>
      </w:r>
      <w:r w:rsidRPr="006373DD">
        <w:rPr>
          <w:spacing w:val="-3"/>
        </w:rPr>
        <w:t xml:space="preserve"> </w:t>
      </w:r>
      <w:r w:rsidRPr="006373DD">
        <w:t>profesionales</w:t>
      </w:r>
      <w:r w:rsidRPr="006373DD" w:rsidR="00C7558F">
        <w:rPr>
          <w:rStyle w:val="Refdenotaalpie"/>
        </w:rPr>
        <w:footnoteReference w:id="3"/>
      </w:r>
      <w:r w:rsidRPr="006373DD">
        <w:t>.</w:t>
      </w:r>
      <w:r w:rsidRPr="006373DD" w:rsidR="00077C32">
        <w:t xml:space="preserve"> </w:t>
      </w:r>
    </w:p>
    <w:p w:rsidRPr="006373DD" w:rsidR="00077C32" w:rsidP="00077C32" w:rsidRDefault="00077C32" w14:paraId="5C1920E1" w14:textId="77777777">
      <w:pPr>
        <w:pStyle w:val="Textoindependiente"/>
        <w:spacing w:before="1" w:line="276" w:lineRule="auto"/>
        <w:ind w:left="300" w:right="111"/>
        <w:jc w:val="both"/>
      </w:pPr>
    </w:p>
    <w:p w:rsidRPr="006373DD" w:rsidR="0029001A" w:rsidP="00077C32" w:rsidRDefault="00B07FAB" w14:paraId="3771112A" w14:textId="69D99AEB">
      <w:pPr>
        <w:pStyle w:val="Textoindependiente"/>
        <w:spacing w:before="1" w:line="276" w:lineRule="auto"/>
        <w:ind w:left="300" w:right="111"/>
        <w:jc w:val="both"/>
      </w:pPr>
      <w:r w:rsidRPr="006373DD">
        <w:t>Por su parte, los de simple apoyo a la gestión corresponden a los que tienen por objeto el apoyo al funcionamiento de las entidades públicas, que no requiere para su ejecución un conocimiento especializado o que las actividades sean realizadas por personas catalogadas como profesionales.</w:t>
      </w:r>
    </w:p>
    <w:p w:rsidRPr="006373DD" w:rsidR="0029001A" w:rsidP="00077C32" w:rsidRDefault="0029001A" w14:paraId="07AC3853" w14:textId="77777777">
      <w:pPr>
        <w:pStyle w:val="Textoindependiente"/>
        <w:spacing w:before="2"/>
        <w:jc w:val="both"/>
        <w:rPr>
          <w:sz w:val="25"/>
        </w:rPr>
      </w:pPr>
    </w:p>
    <w:p w:rsidRPr="006373DD" w:rsidR="0029001A" w:rsidP="00077C32" w:rsidRDefault="00B07FAB" w14:paraId="553C88BF" w14:textId="31E9DA40">
      <w:pPr>
        <w:pStyle w:val="Textoindependiente"/>
        <w:spacing w:line="276" w:lineRule="auto"/>
        <w:ind w:left="300" w:right="103"/>
        <w:jc w:val="both"/>
      </w:pPr>
      <w:r w:rsidRPr="006373DD">
        <w:t xml:space="preserve">En este sentido, en la sentencia del Consejo de Estado, Sala de lo Contencioso Administrativo, Sección Tercera, radicado No. 11001-03-26-000-2003-00014-01(24.715), del </w:t>
      </w:r>
      <w:r w:rsidRPr="006373DD">
        <w:lastRenderedPageBreak/>
        <w:t>3 de diciembre de 2007, Consejera Ponente, Ruth Stella Correa Palacio, se precisó que la finalidad del contrato de prestación de servicios es servir de apoyo a la Administración pública, para el desarrollo y administración de las funciones y actividades asignadas por la Ley a las entidades públicas, razón por la cual se predican las siguientes características: i) pueden celebrarlos cualquier entidad estatal que tenga capacidad para contratar; ii) se pueden suscribir con personas naturales o jurídicas; iii) se pueden celebrar para el apoyo y funcionamiento de la entidad estatal, siempre y cuando las actividades a desarrollar no pueda cumplirlas el personal de planta; iv) la relación que existe entre la entidad y el contratista no tiene la calidad de ser una relación laboral, sino solo contractual; v) deben celebrarse por el plazo necesario; y vi) son facultativas las cláusulas excepcionales al derecho común de terminación, interpretación y modificación unilaterales, de sometimiento a las leyes nacionales y de caducidad</w:t>
      </w:r>
      <w:r w:rsidRPr="006373DD" w:rsidR="00077C32">
        <w:rPr>
          <w:rStyle w:val="Refdenotaalpie"/>
        </w:rPr>
        <w:footnoteReference w:id="4"/>
      </w:r>
      <w:r w:rsidRPr="006373DD">
        <w:t>.</w:t>
      </w:r>
      <w:r w:rsidRPr="006373DD" w:rsidR="00077C32">
        <w:t xml:space="preserve"> </w:t>
      </w:r>
    </w:p>
    <w:p w:rsidRPr="006373DD" w:rsidR="00077C32" w:rsidP="00077C32" w:rsidRDefault="00077C32" w14:paraId="7366AA6E" w14:textId="77777777">
      <w:pPr>
        <w:pStyle w:val="Textoindependiente"/>
        <w:spacing w:line="276" w:lineRule="auto"/>
        <w:ind w:left="300" w:right="103"/>
        <w:jc w:val="both"/>
        <w:rPr>
          <w:sz w:val="14"/>
        </w:rPr>
      </w:pPr>
    </w:p>
    <w:p w:rsidRPr="006373DD" w:rsidR="0029001A" w:rsidP="00077C32" w:rsidRDefault="00B07FAB" w14:paraId="0E56DD55" w14:textId="0FE17888">
      <w:pPr>
        <w:pStyle w:val="Textoindependiente"/>
        <w:spacing w:before="93" w:line="276" w:lineRule="auto"/>
        <w:ind w:left="300" w:right="110"/>
        <w:jc w:val="both"/>
      </w:pPr>
      <w:r w:rsidRPr="006373DD">
        <w:t>Finalmente, la jurisprudencia del Consejo de Estado y de la Corte Constitucional, en diferentes oportunidades, ha precisado que este contrato no debe contener elementos de subordinación o dependencia entre la entidad estatal y el contratista</w:t>
      </w:r>
      <w:r w:rsidRPr="006373DD" w:rsidR="00077C32">
        <w:rPr>
          <w:rStyle w:val="Refdenotaalpie"/>
        </w:rPr>
        <w:footnoteReference w:id="5"/>
      </w:r>
      <w:r w:rsidRPr="006373DD">
        <w:t>.</w:t>
      </w:r>
    </w:p>
    <w:p w:rsidRPr="006373DD" w:rsidR="0029001A" w:rsidP="00077C32" w:rsidRDefault="0029001A" w14:paraId="3575C678" w14:textId="77777777">
      <w:pPr>
        <w:pStyle w:val="Textoindependiente"/>
        <w:spacing w:before="5"/>
        <w:jc w:val="both"/>
        <w:rPr>
          <w:sz w:val="25"/>
        </w:rPr>
      </w:pPr>
    </w:p>
    <w:p w:rsidRPr="006373DD" w:rsidR="0029001A" w:rsidP="00077C32" w:rsidRDefault="00B07FAB" w14:paraId="024BB31A" w14:textId="77777777">
      <w:pPr>
        <w:pStyle w:val="Ttulo1"/>
        <w:numPr>
          <w:ilvl w:val="1"/>
          <w:numId w:val="2"/>
        </w:numPr>
        <w:tabs>
          <w:tab w:val="left" w:pos="726"/>
        </w:tabs>
        <w:spacing w:line="276" w:lineRule="auto"/>
        <w:ind w:left="300" w:right="107" w:firstLine="0"/>
        <w:jc w:val="both"/>
      </w:pPr>
      <w:r w:rsidRPr="006373DD">
        <w:t>Prohibiciones para contratar que afectan la capacidad de los proponentes para participar en procesos de</w:t>
      </w:r>
      <w:r w:rsidRPr="006373DD">
        <w:rPr>
          <w:spacing w:val="-2"/>
        </w:rPr>
        <w:t xml:space="preserve"> </w:t>
      </w:r>
      <w:r w:rsidRPr="006373DD">
        <w:t>contratación</w:t>
      </w:r>
    </w:p>
    <w:p w:rsidRPr="006373DD" w:rsidR="0029001A" w:rsidP="00077C32" w:rsidRDefault="0029001A" w14:paraId="2D22A731" w14:textId="77777777">
      <w:pPr>
        <w:pStyle w:val="Textoindependiente"/>
        <w:spacing w:before="3"/>
        <w:jc w:val="both"/>
        <w:rPr>
          <w:b/>
          <w:sz w:val="25"/>
        </w:rPr>
      </w:pPr>
    </w:p>
    <w:p w:rsidRPr="006373DD" w:rsidR="0029001A" w:rsidP="00077C32" w:rsidRDefault="00B07FAB" w14:paraId="2574C5DE" w14:textId="3C2C24D4">
      <w:pPr>
        <w:pStyle w:val="Textoindependiente"/>
        <w:spacing w:line="276" w:lineRule="auto"/>
        <w:ind w:left="300" w:right="102"/>
        <w:jc w:val="both"/>
      </w:pPr>
      <w:r w:rsidRPr="006373DD">
        <w:t>El ordenamiento jurídico contempla un régimen de inhabilidades para contratar con el Estado integrado por principios y normas dirigidos a proteger la moralidad administrativa, la transparencia de la función administrativa y garantizar la idoneidad, probidad, imparcialidad y eficacia de las actividades estatales. Por lo anterior, ese régimen establece unas circunstancias fácticas que impiden y limitan la capacidad legal de determinadas personas, tanto naturales como jurídicas, para celebrar contratos con el Estado</w:t>
      </w:r>
      <w:r w:rsidRPr="006373DD" w:rsidR="00077C32">
        <w:rPr>
          <w:rStyle w:val="Refdenotaalpie"/>
        </w:rPr>
        <w:footnoteReference w:id="6"/>
      </w:r>
      <w:r w:rsidRPr="006373DD">
        <w:t>.</w:t>
      </w:r>
    </w:p>
    <w:p w:rsidRPr="006373DD" w:rsidR="0029001A" w:rsidP="00077C32" w:rsidRDefault="0029001A" w14:paraId="0BD78F92" w14:textId="77777777">
      <w:pPr>
        <w:pStyle w:val="Textoindependiente"/>
        <w:spacing w:before="2"/>
        <w:jc w:val="both"/>
        <w:rPr>
          <w:sz w:val="25"/>
        </w:rPr>
      </w:pPr>
    </w:p>
    <w:p w:rsidRPr="006373DD" w:rsidR="0029001A" w:rsidP="00077C32" w:rsidRDefault="00B07FAB" w14:paraId="67AB972C" w14:textId="478F0CD7">
      <w:pPr>
        <w:pStyle w:val="Textoindependiente"/>
        <w:spacing w:line="276" w:lineRule="auto"/>
        <w:ind w:left="300" w:right="104"/>
        <w:jc w:val="both"/>
      </w:pPr>
      <w:r w:rsidRPr="006373DD">
        <w:t>La causa de dicha limitación responde, generalmente, a la falta de aptitud o carencia de una cualidad, calidad o requisito de la persona que le impide ser parte en esas relaciones contractuales, y que sin ellas se podría afectar el correcto cumplimiento del contrato, afectando el interés público y las finalidades que demanda la actividad contractual estatal</w:t>
      </w:r>
      <w:r w:rsidRPr="006373DD" w:rsidR="00077C32">
        <w:rPr>
          <w:rStyle w:val="Refdenotaalpie"/>
        </w:rPr>
        <w:footnoteReference w:id="7"/>
      </w:r>
      <w:r w:rsidRPr="006373DD">
        <w:t>.</w:t>
      </w:r>
    </w:p>
    <w:p w:rsidRPr="006373DD" w:rsidR="0029001A" w:rsidP="00077C32" w:rsidRDefault="0029001A" w14:paraId="3CD36999" w14:textId="77777777">
      <w:pPr>
        <w:pStyle w:val="Textoindependiente"/>
        <w:spacing w:before="4"/>
        <w:jc w:val="both"/>
        <w:rPr>
          <w:sz w:val="25"/>
        </w:rPr>
      </w:pPr>
    </w:p>
    <w:p w:rsidRPr="006373DD" w:rsidR="0029001A" w:rsidP="00077C32" w:rsidRDefault="00B07FAB" w14:paraId="22B8BAC5" w14:textId="7B7E2648">
      <w:pPr>
        <w:pStyle w:val="Textoindependiente"/>
        <w:spacing w:line="276" w:lineRule="auto"/>
        <w:ind w:left="300" w:right="104"/>
        <w:jc w:val="both"/>
      </w:pPr>
      <w:r w:rsidRPr="006373DD">
        <w:t xml:space="preserve">Según la naturaleza de los hechos o de las circunstancias que configuran una inhabilidad para contratar con el Estado, las causas generalmente corresponden a aspectos propios del cargo desempeñado, parentesco y sanciones que el Estado ha impuesto en 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 </w:t>
      </w:r>
      <w:r w:rsidRPr="006373DD">
        <w:rPr>
          <w:spacing w:val="2"/>
        </w:rPr>
        <w:t xml:space="preserve"> </w:t>
      </w:r>
      <w:r w:rsidRPr="006373DD">
        <w:t>destitución;</w:t>
      </w:r>
      <w:r w:rsidRPr="006373DD" w:rsidR="00077C32">
        <w:t xml:space="preserve"> </w:t>
      </w:r>
      <w:proofErr w:type="spellStart"/>
      <w:r w:rsidRPr="006373DD">
        <w:t>ii</w:t>
      </w:r>
      <w:proofErr w:type="spellEnd"/>
      <w:r w:rsidRPr="006373DD">
        <w:t>) los servidores públicos; y iii) quienes sean cónyuges o compañeros permanentes y quienes se encuentren dentro del segundo grado de consanguinidad</w:t>
      </w:r>
      <w:r w:rsidRPr="006373DD">
        <w:rPr>
          <w:spacing w:val="-44"/>
        </w:rPr>
        <w:t xml:space="preserve"> </w:t>
      </w:r>
      <w:r w:rsidRPr="006373DD">
        <w:t>o segundo de afinidad</w:t>
      </w:r>
      <w:r w:rsidRPr="006373DD" w:rsidR="00077C32">
        <w:t xml:space="preserve"> c</w:t>
      </w:r>
      <w:r w:rsidRPr="006373DD">
        <w:t>on cualquier otra persona que formalmente haya presentado propuesta para una misma licitación</w:t>
      </w:r>
      <w:r w:rsidRPr="006373DD" w:rsidR="0038064D">
        <w:rPr>
          <w:rStyle w:val="Refdenotaalpie"/>
        </w:rPr>
        <w:footnoteReference w:id="8"/>
      </w:r>
      <w:r w:rsidRPr="006373DD">
        <w:t>.</w:t>
      </w:r>
    </w:p>
    <w:p w:rsidRPr="006373DD" w:rsidR="0029001A" w:rsidP="00077C32" w:rsidRDefault="0029001A" w14:paraId="23E1DCF4" w14:textId="77777777">
      <w:pPr>
        <w:pStyle w:val="Textoindependiente"/>
        <w:spacing w:before="9"/>
        <w:jc w:val="both"/>
        <w:rPr>
          <w:sz w:val="24"/>
        </w:rPr>
      </w:pPr>
    </w:p>
    <w:p w:rsidRPr="006373DD" w:rsidR="0029001A" w:rsidP="00077C32" w:rsidRDefault="00B07FAB" w14:paraId="2AE637C3" w14:textId="77777777">
      <w:pPr>
        <w:pStyle w:val="Textoindependiente"/>
        <w:spacing w:line="276" w:lineRule="auto"/>
        <w:ind w:left="300" w:right="106"/>
        <w:jc w:val="both"/>
      </w:pPr>
      <w:r w:rsidRPr="006373DD">
        <w:t xml:space="preserve">Las inhabilidades e incompatibilidades son aquellas que se encuentran tipificadas en la Ley y son de aplicación restrictiva, es decir que no pueden extenderse a situaciones no prescritas en la norma o aplicarlas de manera analógica. Al respecto, la Corte Constitucional, en la Sentencia C-903 del 17 de septiembre de 2008, expresó: “Ha señalado esta corporación </w:t>
      </w:r>
      <w:proofErr w:type="gramStart"/>
      <w:r w:rsidRPr="006373DD">
        <w:t>que</w:t>
      </w:r>
      <w:proofErr w:type="gramEnd"/>
      <w:r w:rsidRPr="006373DD">
        <w:t xml:space="preserve"> por la índole excepcional de las inhabilidades e incompatibilidades, las normas que las contemplan deben ser interpretadas y aplicadas con un criterio restrictivo y, por ende, con exclusión de un criterio</w:t>
      </w:r>
      <w:r w:rsidRPr="006373DD">
        <w:rPr>
          <w:spacing w:val="-21"/>
        </w:rPr>
        <w:t xml:space="preserve"> </w:t>
      </w:r>
      <w:r w:rsidRPr="006373DD">
        <w:t>extensivo”.</w:t>
      </w:r>
    </w:p>
    <w:p w:rsidRPr="006373DD" w:rsidR="0029001A" w:rsidP="00077C32" w:rsidRDefault="0029001A" w14:paraId="5CF5F361" w14:textId="77777777">
      <w:pPr>
        <w:pStyle w:val="Textoindependiente"/>
        <w:spacing w:before="4"/>
        <w:jc w:val="both"/>
        <w:rPr>
          <w:sz w:val="25"/>
        </w:rPr>
      </w:pPr>
    </w:p>
    <w:p w:rsidRPr="006373DD" w:rsidR="0029001A" w:rsidP="00077C32" w:rsidRDefault="00B07FAB" w14:paraId="6286AB46" w14:textId="77777777">
      <w:pPr>
        <w:pStyle w:val="Ttulo1"/>
        <w:numPr>
          <w:ilvl w:val="1"/>
          <w:numId w:val="2"/>
        </w:numPr>
        <w:tabs>
          <w:tab w:val="left" w:pos="726"/>
        </w:tabs>
        <w:spacing w:before="1" w:line="278" w:lineRule="auto"/>
        <w:ind w:left="300" w:right="113" w:firstLine="0"/>
        <w:jc w:val="both"/>
      </w:pPr>
      <w:r w:rsidRPr="006373DD">
        <w:t>Prohibición de percibir doble asignación presupuestal y alcance a los contratos de prestación de</w:t>
      </w:r>
      <w:r w:rsidRPr="006373DD">
        <w:rPr>
          <w:spacing w:val="-4"/>
        </w:rPr>
        <w:t xml:space="preserve"> </w:t>
      </w:r>
      <w:r w:rsidRPr="006373DD">
        <w:t>servicios</w:t>
      </w:r>
    </w:p>
    <w:p w:rsidRPr="006373DD" w:rsidR="0029001A" w:rsidP="00077C32" w:rsidRDefault="0029001A" w14:paraId="636590DE" w14:textId="77777777">
      <w:pPr>
        <w:pStyle w:val="Textoindependiente"/>
        <w:spacing w:before="9"/>
        <w:jc w:val="both"/>
        <w:rPr>
          <w:b/>
          <w:sz w:val="24"/>
        </w:rPr>
      </w:pPr>
    </w:p>
    <w:p w:rsidRPr="006373DD" w:rsidR="0029001A" w:rsidP="00077C32" w:rsidRDefault="00B07FAB" w14:paraId="4A7378D4" w14:textId="40F8FB53">
      <w:pPr>
        <w:pStyle w:val="Textoindependiente"/>
        <w:spacing w:line="276" w:lineRule="auto"/>
        <w:ind w:left="300" w:right="103"/>
        <w:jc w:val="both"/>
      </w:pPr>
      <w:r w:rsidRPr="006373DD">
        <w:t>Históricamente se ha prohibido que una misma persona reciba doble salario proveniente del tesoro público</w:t>
      </w:r>
      <w:r w:rsidRPr="006373DD" w:rsidR="0038064D">
        <w:rPr>
          <w:rStyle w:val="Refdenotaalpie"/>
        </w:rPr>
        <w:footnoteReference w:id="9"/>
      </w:r>
      <w:r w:rsidRPr="006373DD">
        <w:t>, como lo señaló el artículo 1 de la Ley 78 de 1931</w:t>
      </w:r>
      <w:r w:rsidRPr="006373DD" w:rsidR="0038064D">
        <w:rPr>
          <w:rStyle w:val="Refdenotaalpie"/>
        </w:rPr>
        <w:footnoteReference w:id="10"/>
      </w:r>
      <w:r w:rsidRPr="006373DD">
        <w:t xml:space="preserve"> y el artículo 23 del Acto </w:t>
      </w:r>
      <w:r w:rsidRPr="006373DD">
        <w:lastRenderedPageBreak/>
        <w:t>Legislativo No. 1 de 1936</w:t>
      </w:r>
      <w:r w:rsidRPr="006373DD" w:rsidR="0038064D">
        <w:rPr>
          <w:rStyle w:val="Refdenotaalpie"/>
        </w:rPr>
        <w:footnoteReference w:id="11"/>
      </w:r>
      <w:r w:rsidRPr="006373DD">
        <w:t>, donde se prohibió la acumulación de cargos remunerados en un solo funcionario oficial y se reiteró la prohibición de que una misma persona devenguen simultáneamente dos o más sueldos de la nación, los departamentos y los municipios.</w:t>
      </w:r>
    </w:p>
    <w:p w:rsidRPr="006373DD" w:rsidR="0029001A" w:rsidP="00077C32" w:rsidRDefault="0029001A" w14:paraId="4AEF313C" w14:textId="77777777">
      <w:pPr>
        <w:pStyle w:val="Textoindependiente"/>
        <w:spacing w:before="5"/>
        <w:jc w:val="both"/>
        <w:rPr>
          <w:sz w:val="25"/>
        </w:rPr>
      </w:pPr>
    </w:p>
    <w:p w:rsidRPr="006373DD" w:rsidR="0029001A" w:rsidP="00077C32" w:rsidRDefault="00B07FAB" w14:paraId="5540AAEE" w14:textId="77777777">
      <w:pPr>
        <w:pStyle w:val="Textoindependiente"/>
        <w:spacing w:line="276" w:lineRule="auto"/>
        <w:ind w:left="300" w:right="110"/>
        <w:jc w:val="both"/>
      </w:pPr>
      <w:r w:rsidRPr="006373DD">
        <w:t>La Constitución Política de Colombia de 1991, en el artículo 128, incluye, de igual forma, la prohibición de recibir más de una asignación que provenga del tesoro público. Al respecto señala la Carta:</w:t>
      </w:r>
    </w:p>
    <w:p w:rsidRPr="006373DD" w:rsidR="0029001A" w:rsidP="00077C32" w:rsidRDefault="0029001A" w14:paraId="2CEA4806" w14:textId="77777777">
      <w:pPr>
        <w:pStyle w:val="Textoindependiente"/>
        <w:spacing w:before="2"/>
        <w:jc w:val="both"/>
        <w:rPr>
          <w:sz w:val="25"/>
        </w:rPr>
      </w:pPr>
    </w:p>
    <w:p w:rsidRPr="006373DD" w:rsidR="0029001A" w:rsidP="0038064D" w:rsidRDefault="00B07FAB" w14:paraId="6824E1DD" w14:textId="0760CDE6">
      <w:pPr>
        <w:ind w:left="1008" w:right="413"/>
        <w:jc w:val="both"/>
        <w:rPr>
          <w:sz w:val="21"/>
        </w:rPr>
      </w:pPr>
      <w:r w:rsidRPr="006373DD">
        <w:rPr>
          <w:sz w:val="21"/>
        </w:rPr>
        <w:t>Artículo 128. Nadie podrá desempeñar simultáneamente más de un empleo público ni recibir más de una asignación que provenga del tesoro público, o de empresas o</w:t>
      </w:r>
      <w:r w:rsidRPr="006373DD" w:rsidR="0038064D">
        <w:rPr>
          <w:sz w:val="21"/>
        </w:rPr>
        <w:t xml:space="preserve"> </w:t>
      </w:r>
      <w:r w:rsidRPr="006373DD">
        <w:rPr>
          <w:sz w:val="21"/>
        </w:rPr>
        <w:t>de instituciones en las que tenga parte mayoritaria el Estado, salvo los casos expresamente determinados por la ley.</w:t>
      </w:r>
    </w:p>
    <w:p w:rsidRPr="006373DD" w:rsidR="0029001A" w:rsidP="00077C32" w:rsidRDefault="0029001A" w14:paraId="69F9C4DB" w14:textId="77777777">
      <w:pPr>
        <w:pStyle w:val="Textoindependiente"/>
        <w:spacing w:before="1"/>
        <w:jc w:val="both"/>
        <w:rPr>
          <w:sz w:val="21"/>
        </w:rPr>
      </w:pPr>
    </w:p>
    <w:p w:rsidRPr="006373DD" w:rsidR="0029001A" w:rsidP="00077C32" w:rsidRDefault="00B07FAB" w14:paraId="2E020324" w14:textId="77777777">
      <w:pPr>
        <w:ind w:left="1008" w:right="542"/>
        <w:jc w:val="both"/>
        <w:rPr>
          <w:sz w:val="21"/>
        </w:rPr>
      </w:pPr>
      <w:r w:rsidRPr="006373DD">
        <w:rPr>
          <w:sz w:val="21"/>
        </w:rPr>
        <w:t>Entiéndese por tesoro público el de la Nación, el de las entidades territoriales y el de las descentralizadas</w:t>
      </w:r>
    </w:p>
    <w:p w:rsidRPr="006373DD" w:rsidR="0029001A" w:rsidP="00077C32" w:rsidRDefault="0029001A" w14:paraId="1E3F400A" w14:textId="77777777">
      <w:pPr>
        <w:pStyle w:val="Textoindependiente"/>
        <w:spacing w:before="5"/>
        <w:jc w:val="both"/>
        <w:rPr>
          <w:sz w:val="25"/>
        </w:rPr>
      </w:pPr>
    </w:p>
    <w:p w:rsidRPr="006373DD" w:rsidR="0029001A" w:rsidP="00077C32" w:rsidRDefault="00B07FAB" w14:paraId="7B888FCE" w14:textId="437B8493">
      <w:pPr>
        <w:pStyle w:val="Textoindependiente"/>
        <w:spacing w:line="276" w:lineRule="auto"/>
        <w:ind w:left="300" w:right="104"/>
        <w:jc w:val="both"/>
      </w:pPr>
      <w:r w:rsidRPr="006373DD">
        <w:t>Esta norma se desarrolló a través del artículo 19 de la Ley 4 de 1992</w:t>
      </w:r>
      <w:r w:rsidRPr="006373DD" w:rsidR="0038064D">
        <w:rPr>
          <w:rStyle w:val="Refdenotaalpie"/>
        </w:rPr>
        <w:footnoteReference w:id="12"/>
      </w:r>
      <w:r w:rsidRPr="006373DD">
        <w:t>, precisando la prohibición del artículo 128 y señalando los eventos exceptuados en los que una misma persona puede recibir simultáneamente doble asignación presupuestal. El artículo 19 expresa:</w:t>
      </w:r>
    </w:p>
    <w:p w:rsidRPr="006373DD" w:rsidR="0029001A" w:rsidP="00077C32" w:rsidRDefault="0029001A" w14:paraId="4101B950" w14:textId="77777777">
      <w:pPr>
        <w:pStyle w:val="Textoindependiente"/>
        <w:spacing w:before="1"/>
        <w:jc w:val="both"/>
        <w:rPr>
          <w:sz w:val="25"/>
        </w:rPr>
      </w:pPr>
    </w:p>
    <w:p w:rsidRPr="006373DD" w:rsidR="0029001A" w:rsidP="00077C32" w:rsidRDefault="00B07FAB" w14:paraId="7A2F060E" w14:textId="77777777">
      <w:pPr>
        <w:ind w:left="1008" w:right="534"/>
        <w:jc w:val="both"/>
        <w:rPr>
          <w:sz w:val="21"/>
        </w:rPr>
      </w:pPr>
      <w:r w:rsidRPr="006373DD">
        <w:rPr>
          <w:sz w:val="21"/>
        </w:rPr>
        <w:t>Artículo 19. Nadie podrá desempeñar simultáneamente más de un empleo público, ni recibir más de una asignación que provenga del Tesoro Público, o de empresas o de instituciones en las que tenga parte mayoritaria el Estado. Exceptúense las siguientes</w:t>
      </w:r>
      <w:r w:rsidRPr="006373DD">
        <w:rPr>
          <w:spacing w:val="-2"/>
          <w:sz w:val="21"/>
        </w:rPr>
        <w:t xml:space="preserve"> </w:t>
      </w:r>
      <w:r w:rsidRPr="006373DD">
        <w:rPr>
          <w:sz w:val="21"/>
        </w:rPr>
        <w:t>asignaciones:</w:t>
      </w:r>
    </w:p>
    <w:p w:rsidRPr="006373DD" w:rsidR="0029001A" w:rsidP="00077C32" w:rsidRDefault="0029001A" w14:paraId="790838AD" w14:textId="77777777">
      <w:pPr>
        <w:pStyle w:val="Textoindependiente"/>
        <w:jc w:val="both"/>
        <w:rPr>
          <w:sz w:val="21"/>
        </w:rPr>
      </w:pPr>
    </w:p>
    <w:p w:rsidRPr="006373DD" w:rsidR="0029001A" w:rsidP="00077C32" w:rsidRDefault="00B07FAB" w14:paraId="4B732CC6" w14:textId="77777777">
      <w:pPr>
        <w:pStyle w:val="Prrafodelista"/>
        <w:numPr>
          <w:ilvl w:val="0"/>
          <w:numId w:val="1"/>
        </w:numPr>
        <w:tabs>
          <w:tab w:val="left" w:pos="1338"/>
        </w:tabs>
        <w:ind w:right="531" w:firstLine="0"/>
        <w:jc w:val="both"/>
        <w:rPr>
          <w:sz w:val="21"/>
        </w:rPr>
      </w:pPr>
      <w:r w:rsidRPr="006373DD">
        <w:rPr>
          <w:sz w:val="21"/>
        </w:rPr>
        <w:t>Las que reciban los profesores universitarios que se desempeñen como asesores de la Rama</w:t>
      </w:r>
      <w:r w:rsidRPr="006373DD">
        <w:rPr>
          <w:spacing w:val="-5"/>
          <w:sz w:val="21"/>
        </w:rPr>
        <w:t xml:space="preserve"> </w:t>
      </w:r>
      <w:r w:rsidRPr="006373DD">
        <w:rPr>
          <w:sz w:val="21"/>
        </w:rPr>
        <w:t>Legislativa;</w:t>
      </w:r>
    </w:p>
    <w:p w:rsidRPr="006373DD" w:rsidR="0029001A" w:rsidP="00077C32" w:rsidRDefault="0029001A" w14:paraId="1C897F60" w14:textId="77777777">
      <w:pPr>
        <w:pStyle w:val="Textoindependiente"/>
        <w:spacing w:before="1"/>
        <w:jc w:val="both"/>
        <w:rPr>
          <w:sz w:val="21"/>
        </w:rPr>
      </w:pPr>
    </w:p>
    <w:p w:rsidRPr="006373DD" w:rsidR="0029001A" w:rsidP="00077C32" w:rsidRDefault="00B07FAB" w14:paraId="61E83860" w14:textId="77777777">
      <w:pPr>
        <w:pStyle w:val="Prrafodelista"/>
        <w:numPr>
          <w:ilvl w:val="0"/>
          <w:numId w:val="1"/>
        </w:numPr>
        <w:tabs>
          <w:tab w:val="left" w:pos="1308"/>
        </w:tabs>
        <w:ind w:right="539" w:firstLine="0"/>
        <w:jc w:val="both"/>
        <w:rPr>
          <w:sz w:val="21"/>
        </w:rPr>
      </w:pPr>
      <w:r w:rsidRPr="006373DD">
        <w:rPr>
          <w:sz w:val="21"/>
        </w:rPr>
        <w:t>Las percibidas por el personal con asignación de retiro o pensión militar o policial de la Fuerza</w:t>
      </w:r>
      <w:r w:rsidRPr="006373DD">
        <w:rPr>
          <w:spacing w:val="-5"/>
          <w:sz w:val="21"/>
        </w:rPr>
        <w:t xml:space="preserve"> </w:t>
      </w:r>
      <w:r w:rsidRPr="006373DD">
        <w:rPr>
          <w:sz w:val="21"/>
        </w:rPr>
        <w:t>Pública;</w:t>
      </w:r>
    </w:p>
    <w:p w:rsidRPr="006373DD" w:rsidR="0029001A" w:rsidP="00077C32" w:rsidRDefault="0029001A" w14:paraId="24C7A50D" w14:textId="77777777">
      <w:pPr>
        <w:pStyle w:val="Textoindependiente"/>
        <w:jc w:val="both"/>
        <w:rPr>
          <w:sz w:val="21"/>
        </w:rPr>
      </w:pPr>
    </w:p>
    <w:p w:rsidRPr="006373DD" w:rsidR="0029001A" w:rsidP="00077C32" w:rsidRDefault="00B07FAB" w14:paraId="1A13A5F6" w14:textId="77777777">
      <w:pPr>
        <w:pStyle w:val="Prrafodelista"/>
        <w:numPr>
          <w:ilvl w:val="0"/>
          <w:numId w:val="1"/>
        </w:numPr>
        <w:tabs>
          <w:tab w:val="left" w:pos="1241"/>
        </w:tabs>
        <w:ind w:left="1240" w:hanging="233"/>
        <w:jc w:val="both"/>
        <w:rPr>
          <w:sz w:val="21"/>
        </w:rPr>
      </w:pPr>
      <w:r w:rsidRPr="006373DD">
        <w:rPr>
          <w:sz w:val="21"/>
        </w:rPr>
        <w:t>Las percibidas por concepto de sustitución</w:t>
      </w:r>
      <w:r w:rsidRPr="006373DD">
        <w:rPr>
          <w:spacing w:val="-8"/>
          <w:sz w:val="21"/>
        </w:rPr>
        <w:t xml:space="preserve"> </w:t>
      </w:r>
      <w:r w:rsidRPr="006373DD">
        <w:rPr>
          <w:sz w:val="21"/>
        </w:rPr>
        <w:t>pensional;</w:t>
      </w:r>
    </w:p>
    <w:p w:rsidRPr="006373DD" w:rsidR="0029001A" w:rsidP="00077C32" w:rsidRDefault="0029001A" w14:paraId="7ED297B8" w14:textId="77777777">
      <w:pPr>
        <w:pStyle w:val="Textoindependiente"/>
        <w:jc w:val="both"/>
        <w:rPr>
          <w:sz w:val="21"/>
        </w:rPr>
      </w:pPr>
    </w:p>
    <w:p w:rsidRPr="006373DD" w:rsidR="0029001A" w:rsidP="00077C32" w:rsidRDefault="00B07FAB" w14:paraId="70136760" w14:textId="77777777">
      <w:pPr>
        <w:pStyle w:val="Prrafodelista"/>
        <w:numPr>
          <w:ilvl w:val="0"/>
          <w:numId w:val="1"/>
        </w:numPr>
        <w:tabs>
          <w:tab w:val="left" w:pos="1253"/>
        </w:tabs>
        <w:ind w:left="1252" w:hanging="245"/>
        <w:jc w:val="both"/>
        <w:rPr>
          <w:sz w:val="21"/>
        </w:rPr>
      </w:pPr>
      <w:r w:rsidRPr="006373DD">
        <w:rPr>
          <w:sz w:val="21"/>
        </w:rPr>
        <w:lastRenderedPageBreak/>
        <w:t>Los honorarios percibidos por concepto de</w:t>
      </w:r>
      <w:r w:rsidRPr="006373DD">
        <w:rPr>
          <w:spacing w:val="-8"/>
          <w:sz w:val="21"/>
        </w:rPr>
        <w:t xml:space="preserve"> </w:t>
      </w:r>
      <w:r w:rsidRPr="006373DD">
        <w:rPr>
          <w:sz w:val="21"/>
        </w:rPr>
        <w:t>hora-cátedra;</w:t>
      </w:r>
    </w:p>
    <w:p w:rsidRPr="006373DD" w:rsidR="0029001A" w:rsidP="00077C32" w:rsidRDefault="0029001A" w14:paraId="3371BFB1" w14:textId="77777777">
      <w:pPr>
        <w:pStyle w:val="Textoindependiente"/>
        <w:jc w:val="both"/>
        <w:rPr>
          <w:sz w:val="21"/>
        </w:rPr>
      </w:pPr>
    </w:p>
    <w:p w:rsidRPr="006373DD" w:rsidR="0029001A" w:rsidP="00077C32" w:rsidRDefault="00B07FAB" w14:paraId="2DD3BFD8" w14:textId="77777777">
      <w:pPr>
        <w:pStyle w:val="Prrafodelista"/>
        <w:numPr>
          <w:ilvl w:val="0"/>
          <w:numId w:val="1"/>
        </w:numPr>
        <w:tabs>
          <w:tab w:val="left" w:pos="1253"/>
        </w:tabs>
        <w:ind w:left="1252" w:hanging="245"/>
        <w:jc w:val="both"/>
        <w:rPr>
          <w:sz w:val="21"/>
        </w:rPr>
      </w:pPr>
      <w:r w:rsidRPr="006373DD">
        <w:rPr>
          <w:sz w:val="21"/>
        </w:rPr>
        <w:t>Los honorarios percibidos por concepto de servicios profesionales de</w:t>
      </w:r>
      <w:r w:rsidRPr="006373DD">
        <w:rPr>
          <w:spacing w:val="-19"/>
          <w:sz w:val="21"/>
        </w:rPr>
        <w:t xml:space="preserve"> </w:t>
      </w:r>
      <w:r w:rsidRPr="006373DD">
        <w:rPr>
          <w:sz w:val="21"/>
        </w:rPr>
        <w:t>salud;</w:t>
      </w:r>
    </w:p>
    <w:p w:rsidRPr="006373DD" w:rsidR="0029001A" w:rsidP="00077C32" w:rsidRDefault="0029001A" w14:paraId="2F739371" w14:textId="77777777">
      <w:pPr>
        <w:pStyle w:val="Textoindependiente"/>
        <w:spacing w:before="11"/>
        <w:jc w:val="both"/>
        <w:rPr>
          <w:sz w:val="20"/>
        </w:rPr>
      </w:pPr>
    </w:p>
    <w:p w:rsidRPr="006373DD" w:rsidR="0029001A" w:rsidP="00077C32" w:rsidRDefault="00B07FAB" w14:paraId="7FEC24F2" w14:textId="77777777">
      <w:pPr>
        <w:pStyle w:val="Prrafodelista"/>
        <w:numPr>
          <w:ilvl w:val="0"/>
          <w:numId w:val="1"/>
        </w:numPr>
        <w:tabs>
          <w:tab w:val="left" w:pos="1198"/>
        </w:tabs>
        <w:ind w:right="540" w:firstLine="0"/>
        <w:jc w:val="both"/>
        <w:rPr>
          <w:sz w:val="21"/>
        </w:rPr>
      </w:pPr>
      <w:r w:rsidRPr="006373DD">
        <w:rPr>
          <w:sz w:val="21"/>
        </w:rPr>
        <w:t>Los honorarios percibidos por los miembros de las Juntas Directivas, en razón de su asistencia a las mismas, siempre que no se trate de más de dos</w:t>
      </w:r>
      <w:r w:rsidRPr="006373DD">
        <w:rPr>
          <w:spacing w:val="-18"/>
          <w:sz w:val="21"/>
        </w:rPr>
        <w:t xml:space="preserve"> </w:t>
      </w:r>
      <w:r w:rsidRPr="006373DD">
        <w:rPr>
          <w:sz w:val="21"/>
        </w:rPr>
        <w:t>juntas;</w:t>
      </w:r>
    </w:p>
    <w:p w:rsidRPr="006373DD" w:rsidR="0029001A" w:rsidP="00077C32" w:rsidRDefault="0029001A" w14:paraId="21526262" w14:textId="77777777">
      <w:pPr>
        <w:pStyle w:val="Textoindependiente"/>
        <w:jc w:val="both"/>
        <w:rPr>
          <w:sz w:val="21"/>
        </w:rPr>
      </w:pPr>
    </w:p>
    <w:p w:rsidRPr="006373DD" w:rsidR="0029001A" w:rsidP="00077C32" w:rsidRDefault="00B07FAB" w14:paraId="709516DA" w14:textId="77777777">
      <w:pPr>
        <w:pStyle w:val="Prrafodelista"/>
        <w:numPr>
          <w:ilvl w:val="0"/>
          <w:numId w:val="1"/>
        </w:numPr>
        <w:tabs>
          <w:tab w:val="left" w:pos="1308"/>
        </w:tabs>
        <w:spacing w:before="1"/>
        <w:ind w:right="536" w:firstLine="0"/>
        <w:jc w:val="both"/>
        <w:rPr>
          <w:sz w:val="21"/>
        </w:rPr>
      </w:pPr>
      <w:r w:rsidRPr="006373DD">
        <w:rPr>
          <w:sz w:val="21"/>
        </w:rPr>
        <w:t>Las que a la fecha de entrar en vigencia la presente Ley beneficien a los servidores oficiales docentes</w:t>
      </w:r>
      <w:r w:rsidRPr="006373DD">
        <w:rPr>
          <w:spacing w:val="-4"/>
          <w:sz w:val="21"/>
        </w:rPr>
        <w:t xml:space="preserve"> </w:t>
      </w:r>
      <w:r w:rsidRPr="006373DD">
        <w:rPr>
          <w:sz w:val="21"/>
        </w:rPr>
        <w:t>pensionados.</w:t>
      </w:r>
    </w:p>
    <w:p w:rsidRPr="006373DD" w:rsidR="0029001A" w:rsidP="00077C32" w:rsidRDefault="0029001A" w14:paraId="229A8D74" w14:textId="77777777">
      <w:pPr>
        <w:pStyle w:val="Textoindependiente"/>
        <w:jc w:val="both"/>
        <w:rPr>
          <w:sz w:val="21"/>
        </w:rPr>
      </w:pPr>
    </w:p>
    <w:p w:rsidRPr="006373DD" w:rsidR="0029001A" w:rsidP="00077C32" w:rsidRDefault="00B07FAB" w14:paraId="1E31501E" w14:textId="77777777">
      <w:pPr>
        <w:ind w:left="1008" w:right="536"/>
        <w:jc w:val="both"/>
        <w:rPr>
          <w:sz w:val="21"/>
        </w:rPr>
      </w:pPr>
      <w:r w:rsidRPr="006373DD">
        <w:rPr>
          <w:sz w:val="21"/>
        </w:rPr>
        <w:t>Parágrafo. No se podrán recibir honorarios que sumados correspondan a más de ocho (8) horas diarias de trabajo a varias entidades.</w:t>
      </w:r>
    </w:p>
    <w:p w:rsidRPr="006373DD" w:rsidR="0029001A" w:rsidP="00077C32" w:rsidRDefault="0029001A" w14:paraId="64DB527B" w14:textId="77777777">
      <w:pPr>
        <w:pStyle w:val="Textoindependiente"/>
        <w:spacing w:before="6"/>
        <w:jc w:val="both"/>
        <w:rPr>
          <w:sz w:val="25"/>
        </w:rPr>
      </w:pPr>
    </w:p>
    <w:p w:rsidRPr="006373DD" w:rsidR="0029001A" w:rsidP="0038064D" w:rsidRDefault="00B07FAB" w14:paraId="0577E4D5" w14:textId="2A5DBC37">
      <w:pPr>
        <w:pStyle w:val="Textoindependiente"/>
        <w:spacing w:line="276" w:lineRule="auto"/>
        <w:ind w:left="300" w:right="104"/>
        <w:jc w:val="both"/>
      </w:pPr>
      <w:r w:rsidRPr="006373DD">
        <w:t>De conformidad con el artículo 128 de la Carta y con la Ley 4 de 1992, la prohibición de recibir doble asignación está directamente relacionada con las personas que ejercen empleos públicos. Al respecto, la Sala de Consulta y Servicio Civil del Consejo de Estado, en</w:t>
      </w:r>
      <w:r w:rsidRPr="006373DD">
        <w:rPr>
          <w:spacing w:val="53"/>
        </w:rPr>
        <w:t xml:space="preserve"> </w:t>
      </w:r>
      <w:r w:rsidRPr="006373DD">
        <w:t>concepto</w:t>
      </w:r>
      <w:r w:rsidRPr="006373DD">
        <w:rPr>
          <w:spacing w:val="54"/>
        </w:rPr>
        <w:t xml:space="preserve"> </w:t>
      </w:r>
      <w:r w:rsidRPr="006373DD">
        <w:t>No</w:t>
      </w:r>
      <w:r w:rsidRPr="006373DD">
        <w:rPr>
          <w:spacing w:val="54"/>
        </w:rPr>
        <w:t xml:space="preserve"> </w:t>
      </w:r>
      <w:r w:rsidRPr="006373DD">
        <w:t>1.344,</w:t>
      </w:r>
      <w:r w:rsidRPr="006373DD">
        <w:rPr>
          <w:spacing w:val="54"/>
        </w:rPr>
        <w:t xml:space="preserve"> </w:t>
      </w:r>
      <w:r w:rsidRPr="006373DD">
        <w:t>del</w:t>
      </w:r>
      <w:r w:rsidRPr="006373DD">
        <w:rPr>
          <w:spacing w:val="55"/>
        </w:rPr>
        <w:t xml:space="preserve"> </w:t>
      </w:r>
      <w:r w:rsidRPr="006373DD">
        <w:t>10</w:t>
      </w:r>
      <w:r w:rsidRPr="006373DD">
        <w:rPr>
          <w:spacing w:val="54"/>
        </w:rPr>
        <w:t xml:space="preserve"> </w:t>
      </w:r>
      <w:r w:rsidRPr="006373DD">
        <w:t>de</w:t>
      </w:r>
      <w:r w:rsidRPr="006373DD">
        <w:rPr>
          <w:spacing w:val="53"/>
        </w:rPr>
        <w:t xml:space="preserve"> </w:t>
      </w:r>
      <w:r w:rsidRPr="006373DD">
        <w:t>mayo</w:t>
      </w:r>
      <w:r w:rsidRPr="006373DD">
        <w:rPr>
          <w:spacing w:val="54"/>
        </w:rPr>
        <w:t xml:space="preserve"> </w:t>
      </w:r>
      <w:r w:rsidRPr="006373DD">
        <w:t>de</w:t>
      </w:r>
      <w:r w:rsidRPr="006373DD">
        <w:rPr>
          <w:spacing w:val="54"/>
        </w:rPr>
        <w:t xml:space="preserve"> </w:t>
      </w:r>
      <w:r w:rsidRPr="006373DD">
        <w:t>2001,</w:t>
      </w:r>
      <w:r w:rsidRPr="006373DD">
        <w:rPr>
          <w:spacing w:val="52"/>
        </w:rPr>
        <w:t xml:space="preserve"> </w:t>
      </w:r>
      <w:r w:rsidRPr="006373DD">
        <w:t>con</w:t>
      </w:r>
      <w:r w:rsidRPr="006373DD">
        <w:rPr>
          <w:spacing w:val="53"/>
        </w:rPr>
        <w:t xml:space="preserve"> </w:t>
      </w:r>
      <w:r w:rsidRPr="006373DD">
        <w:t>ponencia</w:t>
      </w:r>
      <w:r w:rsidRPr="006373DD">
        <w:rPr>
          <w:spacing w:val="54"/>
        </w:rPr>
        <w:t xml:space="preserve"> </w:t>
      </w:r>
      <w:r w:rsidRPr="006373DD">
        <w:t>del</w:t>
      </w:r>
      <w:r w:rsidRPr="006373DD">
        <w:rPr>
          <w:spacing w:val="55"/>
        </w:rPr>
        <w:t xml:space="preserve"> </w:t>
      </w:r>
      <w:proofErr w:type="gramStart"/>
      <w:r w:rsidRPr="006373DD">
        <w:t>Consejero</w:t>
      </w:r>
      <w:proofErr w:type="gramEnd"/>
      <w:r w:rsidRPr="006373DD">
        <w:rPr>
          <w:spacing w:val="59"/>
        </w:rPr>
        <w:t xml:space="preserve"> </w:t>
      </w:r>
      <w:r w:rsidRPr="006373DD">
        <w:t>Flavio</w:t>
      </w:r>
      <w:r w:rsidRPr="006373DD" w:rsidR="0038064D">
        <w:t xml:space="preserve"> </w:t>
      </w:r>
      <w:r w:rsidRPr="006373DD">
        <w:t>Augusto Rodríguez Arce, estudió la expresión “asignación” que se encuentra en la norma constitucional, expresando que tiene relación “con el ejercicio de empleos en el sector oficial o con el pago de prestaciones provenientes del ejercicio de 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w:t>
      </w:r>
    </w:p>
    <w:p w:rsidRPr="006373DD" w:rsidR="0029001A" w:rsidP="00077C32" w:rsidRDefault="0029001A" w14:paraId="639279BF" w14:textId="77777777">
      <w:pPr>
        <w:pStyle w:val="Textoindependiente"/>
        <w:spacing w:before="3"/>
        <w:jc w:val="both"/>
        <w:rPr>
          <w:sz w:val="25"/>
        </w:rPr>
      </w:pPr>
    </w:p>
    <w:p w:rsidRPr="006373DD" w:rsidR="0029001A" w:rsidP="00077C32" w:rsidRDefault="00B07FAB" w14:paraId="05558156" w14:textId="77777777">
      <w:pPr>
        <w:pStyle w:val="Textoindependiente"/>
        <w:spacing w:line="276" w:lineRule="auto"/>
        <w:ind w:left="300" w:right="108"/>
        <w:jc w:val="both"/>
      </w:pPr>
      <w:r w:rsidRPr="006373DD">
        <w:t>La Corte Constitucional, en la sentencia C-133 del 1 de abril de 1993, Magistrado Ponente Vladimiro Naranjo Mesa, analizó la demanda de inconstitucionalidad contra el artículo 19 de la Ley 4 de 1992. Señaló que la expresión “asignación” comprende todo tipo de remuneración que proviene del tesoro</w:t>
      </w:r>
      <w:r w:rsidRPr="006373DD">
        <w:rPr>
          <w:spacing w:val="-8"/>
        </w:rPr>
        <w:t xml:space="preserve"> </w:t>
      </w:r>
      <w:r w:rsidRPr="006373DD">
        <w:t>público:</w:t>
      </w:r>
    </w:p>
    <w:p w:rsidRPr="006373DD" w:rsidR="0029001A" w:rsidP="00077C32" w:rsidRDefault="0029001A" w14:paraId="3C4F77C4" w14:textId="77777777">
      <w:pPr>
        <w:pStyle w:val="Textoindependiente"/>
        <w:spacing w:before="4"/>
        <w:jc w:val="both"/>
        <w:rPr>
          <w:sz w:val="25"/>
        </w:rPr>
      </w:pPr>
    </w:p>
    <w:p w:rsidRPr="006373DD" w:rsidR="0029001A" w:rsidP="00077C32" w:rsidRDefault="00B07FAB" w14:paraId="4FB26488" w14:textId="77777777">
      <w:pPr>
        <w:ind w:left="1008" w:right="531"/>
        <w:jc w:val="both"/>
        <w:rPr>
          <w:sz w:val="21"/>
        </w:rPr>
      </w:pPr>
      <w:r w:rsidRPr="006373DD">
        <w:rPr>
          <w:sz w:val="21"/>
        </w:rPr>
        <w:t>Si bien es cierto que en el artículo 128 C.P. se consagra una incompatibilidad, no lo es menos que ésta se encuentra en íntima relación de conexidad con la remuneración de los servidores estatales; basta ver que en ella se prohíbe la concurrencia de dos o más cargos públicos en una misma persona, tanto como recibir más de una asignación que provenga del erario público. El término "asignación” comprende toda clase de remuneración que emane del tesoro público, llámese sueldo, honorario, mesada pensional, etc. Siendo así, bien podía el legislador ordinario establecer dicha incompatibilidad dentro de la citada Ley 4a. de 1992, sin contrariar mandato constitucional alguno. Aún en el remoto caso de que se hubiere concluido que el régimen de inhabilidades e incompatibilidades para los funcionarios públicos debía ser regulado por medio de ley ordinaria, el artículo 19, objeto de acusación, tampoco sería inconstitucional, por cuanto el legislador estaba perfectamente facultado para hacerlo.</w:t>
      </w:r>
    </w:p>
    <w:p w:rsidRPr="006373DD" w:rsidR="0029001A" w:rsidP="00077C32" w:rsidRDefault="0029001A" w14:paraId="09C79671" w14:textId="77777777">
      <w:pPr>
        <w:pStyle w:val="Textoindependiente"/>
        <w:jc w:val="both"/>
        <w:rPr>
          <w:sz w:val="21"/>
        </w:rPr>
      </w:pPr>
    </w:p>
    <w:p w:rsidRPr="006373DD" w:rsidR="0029001A" w:rsidP="00077C32" w:rsidRDefault="00B07FAB" w14:paraId="48E32925" w14:textId="77777777">
      <w:pPr>
        <w:pStyle w:val="Textoindependiente"/>
        <w:spacing w:before="1" w:line="276" w:lineRule="auto"/>
        <w:ind w:left="300" w:right="104"/>
        <w:jc w:val="both"/>
      </w:pPr>
      <w:r w:rsidRPr="006373DD">
        <w:t xml:space="preserve">En el concepto citado anteriormente, la Sala consideró necesario utilizar diferentes criterios de interpretación de estas normas, toda vez que le permitirían concluir que la finalidad de la </w:t>
      </w:r>
      <w:r w:rsidRPr="006373DD">
        <w:lastRenderedPageBreak/>
        <w:t>norma está dirigida a: i) prevenir que existan en una misma persona más de un empleo público remunerado, con la acumulación de funciones públicas y ii) evitar que un funcionario público reciba otra asignación proveniente del tesoro público, además de su salario, y por consiguiente la necesidad de prohibir constitucionalmente la doble asignación que emane del tesoro</w:t>
      </w:r>
      <w:r w:rsidRPr="006373DD">
        <w:rPr>
          <w:spacing w:val="-6"/>
        </w:rPr>
        <w:t xml:space="preserve"> </w:t>
      </w:r>
      <w:r w:rsidRPr="006373DD">
        <w:t>público.</w:t>
      </w:r>
    </w:p>
    <w:p w:rsidRPr="006373DD" w:rsidR="0029001A" w:rsidP="00077C32" w:rsidRDefault="0029001A" w14:paraId="4DAE3DD8" w14:textId="77777777">
      <w:pPr>
        <w:pStyle w:val="Textoindependiente"/>
        <w:spacing w:before="3"/>
        <w:jc w:val="both"/>
        <w:rPr>
          <w:sz w:val="25"/>
        </w:rPr>
      </w:pPr>
    </w:p>
    <w:p w:rsidRPr="006373DD" w:rsidR="0029001A" w:rsidP="0038064D" w:rsidRDefault="00B07FAB" w14:paraId="0C36443B" w14:textId="56660B5D">
      <w:pPr>
        <w:pStyle w:val="Textoindependiente"/>
        <w:spacing w:before="1" w:line="276" w:lineRule="auto"/>
        <w:ind w:left="300" w:right="104"/>
        <w:jc w:val="both"/>
      </w:pPr>
      <w:r w:rsidRPr="006373DD">
        <w:t xml:space="preserve">Finalmente, la Sala precisó que si bien lo anterior se relaciona con los empleos públicos, no se puede olvidar lo previsto en el artículo 123 de la Constitución Política, que incluye en la clasificación de servidores públicos a los miembros de las corporaciones públicas, quienes no son empleados públicos ni tienen un </w:t>
      </w:r>
      <w:proofErr w:type="spellStart"/>
      <w:r w:rsidRPr="006373DD">
        <w:t>vinculo</w:t>
      </w:r>
      <w:proofErr w:type="spellEnd"/>
      <w:r w:rsidRPr="006373DD">
        <w:t xml:space="preserve"> laboral con el Estado, pero que de conformidad</w:t>
      </w:r>
      <w:r w:rsidRPr="006373DD">
        <w:rPr>
          <w:spacing w:val="17"/>
        </w:rPr>
        <w:t xml:space="preserve"> </w:t>
      </w:r>
      <w:r w:rsidRPr="006373DD">
        <w:t>con</w:t>
      </w:r>
      <w:r w:rsidRPr="006373DD">
        <w:rPr>
          <w:spacing w:val="18"/>
        </w:rPr>
        <w:t xml:space="preserve"> </w:t>
      </w:r>
      <w:r w:rsidRPr="006373DD">
        <w:t>las</w:t>
      </w:r>
      <w:r w:rsidRPr="006373DD">
        <w:rPr>
          <w:spacing w:val="18"/>
        </w:rPr>
        <w:t xml:space="preserve"> </w:t>
      </w:r>
      <w:r w:rsidRPr="006373DD">
        <w:t>normas</w:t>
      </w:r>
      <w:r w:rsidRPr="006373DD">
        <w:rPr>
          <w:spacing w:val="17"/>
        </w:rPr>
        <w:t xml:space="preserve"> </w:t>
      </w:r>
      <w:r w:rsidRPr="006373DD">
        <w:t>especiales</w:t>
      </w:r>
      <w:r w:rsidRPr="006373DD">
        <w:rPr>
          <w:spacing w:val="19"/>
        </w:rPr>
        <w:t xml:space="preserve"> </w:t>
      </w:r>
      <w:r w:rsidRPr="006373DD">
        <w:t>para</w:t>
      </w:r>
      <w:r w:rsidRPr="006373DD">
        <w:rPr>
          <w:spacing w:val="16"/>
        </w:rPr>
        <w:t xml:space="preserve"> </w:t>
      </w:r>
      <w:r w:rsidRPr="006373DD">
        <w:t>cada</w:t>
      </w:r>
      <w:r w:rsidRPr="006373DD">
        <w:rPr>
          <w:spacing w:val="19"/>
        </w:rPr>
        <w:t xml:space="preserve"> </w:t>
      </w:r>
      <w:r w:rsidRPr="006373DD">
        <w:t>respectivo</w:t>
      </w:r>
      <w:r w:rsidRPr="006373DD">
        <w:rPr>
          <w:spacing w:val="17"/>
        </w:rPr>
        <w:t xml:space="preserve"> </w:t>
      </w:r>
      <w:r w:rsidRPr="006373DD">
        <w:t>miembro</w:t>
      </w:r>
      <w:r w:rsidRPr="006373DD">
        <w:rPr>
          <w:spacing w:val="17"/>
        </w:rPr>
        <w:t xml:space="preserve"> </w:t>
      </w:r>
      <w:r w:rsidRPr="006373DD">
        <w:t>de</w:t>
      </w:r>
      <w:r w:rsidRPr="006373DD">
        <w:rPr>
          <w:spacing w:val="14"/>
        </w:rPr>
        <w:t xml:space="preserve"> </w:t>
      </w:r>
      <w:r w:rsidRPr="006373DD">
        <w:t>la</w:t>
      </w:r>
      <w:r w:rsidRPr="006373DD">
        <w:rPr>
          <w:spacing w:val="18"/>
        </w:rPr>
        <w:t xml:space="preserve"> </w:t>
      </w:r>
      <w:r w:rsidRPr="006373DD">
        <w:t>corporación,</w:t>
      </w:r>
      <w:r w:rsidRPr="006373DD" w:rsidR="0038064D">
        <w:t xml:space="preserve"> </w:t>
      </w:r>
      <w:r w:rsidRPr="006373DD">
        <w:t>se les prohíbe desempeñar cargo alguno en la administración pública o vincularse como trabajador oficial</w:t>
      </w:r>
      <w:r w:rsidRPr="006373DD" w:rsidR="0038064D">
        <w:rPr>
          <w:rStyle w:val="Refdenotaalpie"/>
        </w:rPr>
        <w:footnoteReference w:id="13"/>
      </w:r>
      <w:r w:rsidRPr="006373DD">
        <w:t>.</w:t>
      </w:r>
    </w:p>
    <w:p w:rsidRPr="006373DD" w:rsidR="0029001A" w:rsidP="00077C32" w:rsidRDefault="0029001A" w14:paraId="18E43745" w14:textId="77777777">
      <w:pPr>
        <w:pStyle w:val="Textoindependiente"/>
        <w:spacing w:before="9"/>
        <w:jc w:val="both"/>
        <w:rPr>
          <w:sz w:val="24"/>
        </w:rPr>
      </w:pPr>
    </w:p>
    <w:p w:rsidRPr="006373DD" w:rsidR="0029001A" w:rsidP="00077C32" w:rsidRDefault="00B07FAB" w14:paraId="06290F83" w14:textId="77777777">
      <w:pPr>
        <w:pStyle w:val="Textoindependiente"/>
        <w:spacing w:line="276" w:lineRule="auto"/>
        <w:ind w:left="300" w:right="103"/>
        <w:jc w:val="both"/>
      </w:pPr>
      <w:r w:rsidRPr="006373DD">
        <w:t>En este orden de ideas, la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laboral.</w:t>
      </w:r>
    </w:p>
    <w:p w:rsidRPr="006373DD" w:rsidR="0029001A" w:rsidP="00077C32" w:rsidRDefault="0029001A" w14:paraId="7044C5F7" w14:textId="77777777">
      <w:pPr>
        <w:pStyle w:val="Textoindependiente"/>
        <w:spacing w:before="6"/>
        <w:jc w:val="both"/>
        <w:rPr>
          <w:sz w:val="25"/>
        </w:rPr>
      </w:pPr>
    </w:p>
    <w:p w:rsidRPr="006373DD" w:rsidR="0029001A" w:rsidP="00077C32" w:rsidRDefault="00B07FAB" w14:paraId="196B8979" w14:textId="77777777">
      <w:pPr>
        <w:pStyle w:val="Textoindependiente"/>
        <w:spacing w:line="276" w:lineRule="auto"/>
        <w:ind w:left="300" w:right="103"/>
        <w:jc w:val="both"/>
      </w:pPr>
      <w:r w:rsidRPr="006373DD">
        <w:t>De conformidad con lo anterior, y 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 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Constitución. Al respecto</w:t>
      </w:r>
      <w:r w:rsidRPr="006373DD">
        <w:rPr>
          <w:spacing w:val="-4"/>
        </w:rPr>
        <w:t xml:space="preserve"> </w:t>
      </w:r>
      <w:r w:rsidRPr="006373DD">
        <w:t>expresó:</w:t>
      </w:r>
    </w:p>
    <w:p w:rsidRPr="006373DD" w:rsidR="0029001A" w:rsidP="00077C32" w:rsidRDefault="0029001A" w14:paraId="4D859A6F" w14:textId="77777777">
      <w:pPr>
        <w:pStyle w:val="Textoindependiente"/>
        <w:spacing w:before="3"/>
        <w:jc w:val="both"/>
        <w:rPr>
          <w:sz w:val="25"/>
        </w:rPr>
      </w:pPr>
    </w:p>
    <w:p w:rsidRPr="006373DD" w:rsidR="0029001A" w:rsidP="00077C32" w:rsidRDefault="00B07FAB" w14:paraId="19826600" w14:textId="77777777">
      <w:pPr>
        <w:pStyle w:val="Textoindependiente"/>
        <w:spacing w:before="1" w:line="276" w:lineRule="auto"/>
        <w:ind w:left="1008" w:right="530"/>
        <w:jc w:val="both"/>
      </w:pPr>
      <w:r w:rsidRPr="006373DD">
        <w:t xml:space="preserve">Es así como los trabajadores oficiales perciben por sus servicios un </w:t>
      </w:r>
      <w:proofErr w:type="gramStart"/>
      <w:r w:rsidRPr="006373DD">
        <w:t>salario,  que</w:t>
      </w:r>
      <w:proofErr w:type="gramEnd"/>
      <w:r w:rsidRPr="006373DD">
        <w:t xml:space="preserve"> constituye asignación, la retribución de los contratistas de prestación de servicios son los honorarios, que no tienen tal carácter. Así, la fuente del reconocimiento </w:t>
      </w:r>
      <w:r w:rsidRPr="006373DD">
        <w:lastRenderedPageBreak/>
        <w:t>es bien distinta: en el primero, la vinculación laboral administrativa y, en el segundo, el negocio jurídico, fundado en la autonomía de la</w:t>
      </w:r>
      <w:r w:rsidRPr="006373DD">
        <w:rPr>
          <w:spacing w:val="-2"/>
        </w:rPr>
        <w:t xml:space="preserve"> </w:t>
      </w:r>
      <w:r w:rsidRPr="006373DD">
        <w:t>voluntad.</w:t>
      </w:r>
    </w:p>
    <w:p w:rsidRPr="006373DD" w:rsidR="0029001A" w:rsidP="00077C32" w:rsidRDefault="0029001A" w14:paraId="3A8FC107" w14:textId="77777777">
      <w:pPr>
        <w:pStyle w:val="Textoindependiente"/>
        <w:spacing w:before="2"/>
        <w:jc w:val="both"/>
        <w:rPr>
          <w:sz w:val="25"/>
        </w:rPr>
      </w:pPr>
    </w:p>
    <w:p w:rsidRPr="006373DD" w:rsidR="0029001A" w:rsidP="0038064D" w:rsidRDefault="00B07FAB" w14:paraId="0AF58C3D" w14:textId="090E60A0">
      <w:pPr>
        <w:pStyle w:val="Textoindependiente"/>
        <w:spacing w:line="276" w:lineRule="auto"/>
        <w:ind w:left="1008" w:right="539"/>
        <w:jc w:val="both"/>
      </w:pPr>
      <w:r w:rsidRPr="006373DD">
        <w:t>De los presupuestos de la definición legal y de los elementos analizados, se concluye que particulares que colaboran con el Estado mediante un contrato de prestación de servicios o cualquier otro, tipificado en la ley 80 de l993 o producto de la autonomía de la voluntad, no están subsumidos en el contexto de la función pública, ni son, por tanto, servidores públicos y, por lo mismo, no</w:t>
      </w:r>
      <w:r w:rsidRPr="006373DD" w:rsidR="0038064D">
        <w:t xml:space="preserve"> </w:t>
      </w:r>
      <w:r w:rsidRPr="006373DD">
        <w:t>reciben “asignación” en los términos establecidos, lo que hace imposible aplicarles el régimen de estos.</w:t>
      </w:r>
    </w:p>
    <w:p w:rsidRPr="006373DD" w:rsidR="0029001A" w:rsidP="00077C32" w:rsidRDefault="0029001A" w14:paraId="0911A4F4" w14:textId="77777777">
      <w:pPr>
        <w:pStyle w:val="Textoindependiente"/>
        <w:spacing w:before="9"/>
        <w:jc w:val="both"/>
        <w:rPr>
          <w:sz w:val="24"/>
        </w:rPr>
      </w:pPr>
    </w:p>
    <w:p w:rsidRPr="006373DD" w:rsidR="0029001A" w:rsidP="00077C32" w:rsidRDefault="00B07FAB" w14:paraId="04F1DF3D" w14:textId="77777777">
      <w:pPr>
        <w:pStyle w:val="Textoindependiente"/>
        <w:spacing w:line="276" w:lineRule="auto"/>
        <w:ind w:left="300" w:right="107"/>
        <w:jc w:val="both"/>
      </w:pPr>
      <w:r w:rsidRPr="006373DD">
        <w:t>Por consiguiente, los contratistas del Estado no les aplica la prohibición del artículo 128 de la constitución política, toda vez que no se consideran servidores públicos porque su relación con el Estado está dada en el marco de un negocio jurídico y no en virtud de una relación laboral.</w:t>
      </w:r>
    </w:p>
    <w:p w:rsidRPr="006373DD" w:rsidR="0029001A" w:rsidP="00077C32" w:rsidRDefault="0029001A" w14:paraId="4E0DDC49" w14:textId="77777777">
      <w:pPr>
        <w:pStyle w:val="Textoindependiente"/>
        <w:spacing w:before="4"/>
        <w:jc w:val="both"/>
        <w:rPr>
          <w:sz w:val="25"/>
        </w:rPr>
      </w:pPr>
    </w:p>
    <w:p w:rsidRPr="006373DD" w:rsidR="0029001A" w:rsidP="00077C32" w:rsidRDefault="00B07FAB" w14:paraId="04C8AE0C" w14:textId="77777777">
      <w:pPr>
        <w:pStyle w:val="Ttulo1"/>
        <w:numPr>
          <w:ilvl w:val="0"/>
          <w:numId w:val="2"/>
        </w:numPr>
        <w:tabs>
          <w:tab w:val="left" w:pos="661"/>
        </w:tabs>
        <w:ind w:hanging="361"/>
        <w:jc w:val="both"/>
      </w:pPr>
      <w:r w:rsidRPr="006373DD">
        <w:t>Respuesta</w:t>
      </w:r>
    </w:p>
    <w:p w:rsidRPr="006373DD" w:rsidR="0029001A" w:rsidP="00077C32" w:rsidRDefault="0029001A" w14:paraId="21C9A773" w14:textId="77777777">
      <w:pPr>
        <w:pStyle w:val="Textoindependiente"/>
        <w:spacing w:before="8"/>
        <w:jc w:val="both"/>
        <w:rPr>
          <w:b/>
          <w:sz w:val="28"/>
        </w:rPr>
      </w:pPr>
    </w:p>
    <w:p w:rsidRPr="006373DD" w:rsidR="0029001A" w:rsidP="00077C32" w:rsidRDefault="00B07FAB" w14:paraId="5029BD3E" w14:textId="77777777">
      <w:pPr>
        <w:pStyle w:val="Textoindependiente"/>
        <w:spacing w:line="276" w:lineRule="auto"/>
        <w:ind w:left="300" w:right="103"/>
        <w:jc w:val="both"/>
      </w:pPr>
      <w:r w:rsidRPr="006373DD">
        <w:t>Teniendo en cuenta que el régimen de inhabilidades e incompatibilidades no establece ninguna prohibición para que un contratista celebre más de un contrato con la misma entidad, y que estos contratos no constituyen un vínculo laboral ni le otorgan la calidad de servidor público que permita aplicar la prohibición del artículo 128 de la Constitución Política, una misma entidad puede celebrar más de un contrato con el mismo contratista, siempre y cuando se respeten los principios de transparencia, economía y responsabilidad y los principios que rigen la función administrativa y la gestión fiscal.</w:t>
      </w:r>
    </w:p>
    <w:p w:rsidRPr="006373DD" w:rsidR="0029001A" w:rsidP="00077C32" w:rsidRDefault="0029001A" w14:paraId="6C4DE4E3" w14:textId="77777777">
      <w:pPr>
        <w:pStyle w:val="Textoindependiente"/>
        <w:spacing w:before="4"/>
        <w:jc w:val="both"/>
        <w:rPr>
          <w:sz w:val="25"/>
        </w:rPr>
      </w:pPr>
    </w:p>
    <w:p w:rsidRPr="006373DD" w:rsidR="0029001A" w:rsidP="00077C32" w:rsidRDefault="00B07FAB" w14:paraId="0352D1DA" w14:textId="77777777">
      <w:pPr>
        <w:pStyle w:val="Textoindependiente"/>
        <w:spacing w:line="276" w:lineRule="auto"/>
        <w:ind w:left="300" w:right="112"/>
        <w:jc w:val="both"/>
      </w:pPr>
      <w:r w:rsidRPr="006373DD">
        <w:t>Este concepto tiene el alcance previsto en el artículo 28 del Código de Procedimiento Administrativo y de lo Contencioso Administrativo.</w:t>
      </w:r>
    </w:p>
    <w:p w:rsidRPr="006373DD" w:rsidR="0029001A" w:rsidP="00077C32" w:rsidRDefault="00B07FAB" w14:paraId="1B495590" w14:textId="77777777">
      <w:pPr>
        <w:pStyle w:val="Textoindependiente"/>
        <w:spacing w:before="9"/>
        <w:jc w:val="both"/>
      </w:pPr>
      <w:r w:rsidRPr="006373DD">
        <w:rPr>
          <w:noProof/>
          <w:lang w:val="en-US"/>
        </w:rPr>
        <mc:AlternateContent>
          <mc:Choice Requires="wps">
            <w:drawing>
              <wp:anchor distT="0" distB="0" distL="0" distR="0" simplePos="0" relativeHeight="487591424" behindDoc="1" locked="0" layoutInCell="1" allowOverlap="1" wp14:anchorId="1CEB1DF6" wp14:editId="02E93160">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77824CD0">
                <v:path arrowok="t" o:connecttype="custom" o:connectlocs="0,0;4686300,0" o:connectangles="0,0"/>
                <w10:wrap type="topAndBottom" anchorx="page"/>
              </v:shape>
            </w:pict>
          </mc:Fallback>
        </mc:AlternateContent>
      </w:r>
    </w:p>
    <w:p w:rsidRPr="006373DD" w:rsidR="0029001A" w:rsidP="00077C32" w:rsidRDefault="0029001A" w14:paraId="67644616" w14:textId="77777777">
      <w:pPr>
        <w:pStyle w:val="Textoindependiente"/>
        <w:spacing w:before="4"/>
        <w:jc w:val="both"/>
        <w:rPr>
          <w:sz w:val="20"/>
        </w:rPr>
      </w:pPr>
    </w:p>
    <w:p w:rsidRPr="006373DD" w:rsidR="0029001A" w:rsidP="00077C32" w:rsidRDefault="00B07FAB" w14:paraId="0CE1A37F" w14:textId="41F7E27F">
      <w:pPr>
        <w:pStyle w:val="Textoindependiente"/>
        <w:ind w:left="300"/>
        <w:jc w:val="both"/>
      </w:pPr>
      <w:r w:rsidRPr="006373DD">
        <w:t>Atentamente,</w:t>
      </w:r>
    </w:p>
    <w:p w:rsidRPr="006373DD" w:rsidR="0038064D" w:rsidP="006373DD" w:rsidRDefault="006373DD" w14:paraId="5DB90411" w14:textId="12BBBB04">
      <w:pPr>
        <w:pStyle w:val="Textoindependiente"/>
        <w:ind w:left="300"/>
        <w:jc w:val="center"/>
      </w:pPr>
      <w:r w:rsidR="006373DD">
        <w:drawing>
          <wp:inline wp14:editId="5A5C7EBD" wp14:anchorId="733BFD29">
            <wp:extent cx="2773045" cy="988695"/>
            <wp:effectExtent l="0" t="0" r="0" b="0"/>
            <wp:docPr id="408617757" name="Imagen 10" title=""/>
            <wp:cNvGraphicFramePr>
              <a:graphicFrameLocks/>
            </wp:cNvGraphicFramePr>
            <a:graphic>
              <a:graphicData uri="http://schemas.openxmlformats.org/drawingml/2006/picture">
                <pic:pic>
                  <pic:nvPicPr>
                    <pic:cNvPr id="0" name="Imagen 10"/>
                    <pic:cNvPicPr/>
                  </pic:nvPicPr>
                  <pic:blipFill>
                    <a:blip r:embed="R806a87129b154ea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373DD" w:rsidR="006373DD" w:rsidP="006373DD" w:rsidRDefault="006373DD" w14:paraId="47024346" w14:textId="77777777">
      <w:pPr>
        <w:pStyle w:val="Textoindependiente"/>
        <w:ind w:left="300"/>
        <w:jc w:val="center"/>
      </w:pPr>
    </w:p>
    <w:p w:rsidRPr="006373DD" w:rsidR="0029001A" w:rsidP="00077C32" w:rsidRDefault="00B07FAB" w14:paraId="4749E906" w14:textId="77777777">
      <w:pPr>
        <w:spacing w:before="34"/>
        <w:ind w:left="300"/>
        <w:jc w:val="both"/>
        <w:rPr>
          <w:sz w:val="20"/>
        </w:rPr>
      </w:pPr>
      <w:r w:rsidRPr="006373DD">
        <w:rPr>
          <w:sz w:val="20"/>
        </w:rPr>
        <w:t>Proyectó: Sergio Mateo Avila</w:t>
      </w:r>
    </w:p>
    <w:sectPr w:rsidRPr="006373DD" w:rsidR="0029001A">
      <w:headerReference w:type="default" r:id="rId12"/>
      <w:footerReference w:type="default" r:id="rId13"/>
      <w:pgSz w:w="12240" w:h="15840" w:orient="portrait"/>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51517" w:rsidRDefault="00351517" w14:paraId="0A6F9C38" w14:textId="77777777">
      <w:r>
        <w:separator/>
      </w:r>
    </w:p>
  </w:endnote>
  <w:endnote w:type="continuationSeparator" w:id="0">
    <w:p w:rsidR="00351517" w:rsidRDefault="00351517" w14:paraId="76C8B6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9001A" w:rsidRDefault="00B07FAB" w14:paraId="609D5810" w14:textId="77777777">
    <w:pPr>
      <w:pStyle w:val="Textoindependiente"/>
      <w:spacing w:line="14" w:lineRule="auto"/>
      <w:rPr>
        <w:sz w:val="20"/>
      </w:rPr>
    </w:pPr>
    <w:r>
      <w:rPr>
        <w:noProof/>
        <w:lang w:val="en-US"/>
      </w:rPr>
      <w:drawing>
        <wp:anchor distT="0" distB="0" distL="0" distR="0" simplePos="0" relativeHeight="487456256" behindDoc="1" locked="0" layoutInCell="1" allowOverlap="1" wp14:anchorId="7C128A44" wp14:editId="6382CBBF">
          <wp:simplePos x="0" y="0"/>
          <wp:positionH relativeFrom="page">
            <wp:posOffset>1184993</wp:posOffset>
          </wp:positionH>
          <wp:positionV relativeFrom="page">
            <wp:posOffset>8823242</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8E70EB7">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51517" w:rsidRDefault="00351517" w14:paraId="797D5342" w14:textId="77777777">
      <w:r>
        <w:separator/>
      </w:r>
    </w:p>
  </w:footnote>
  <w:footnote w:type="continuationSeparator" w:id="0">
    <w:p w:rsidR="00351517" w:rsidRDefault="00351517" w14:paraId="57F00123" w14:textId="77777777">
      <w:r>
        <w:continuationSeparator/>
      </w:r>
    </w:p>
  </w:footnote>
  <w:footnote w:id="1">
    <w:p w:rsidRPr="006373DD" w:rsidR="00C7558F" w:rsidP="006373DD" w:rsidRDefault="00C7558F" w14:paraId="2D6886CA" w14:textId="77777777">
      <w:pPr>
        <w:spacing w:before="87" w:line="244" w:lineRule="auto"/>
        <w:ind w:left="300" w:right="108" w:firstLine="707"/>
        <w:jc w:val="both"/>
        <w:rPr>
          <w:sz w:val="18"/>
          <w:szCs w:val="18"/>
        </w:rPr>
      </w:pPr>
      <w:r w:rsidRPr="006373DD">
        <w:rPr>
          <w:rStyle w:val="Refdenotaalpie"/>
          <w:sz w:val="18"/>
          <w:szCs w:val="18"/>
        </w:rPr>
        <w:footnoteRef/>
      </w:r>
      <w:r w:rsidRPr="006373DD">
        <w:rPr>
          <w:sz w:val="18"/>
          <w:szCs w:val="18"/>
        </w:rPr>
        <w:t xml:space="preserve">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rsidRPr="006373DD" w:rsidR="00C7558F" w:rsidP="006373DD" w:rsidRDefault="00C7558F" w14:paraId="1E07BC84" w14:textId="77777777">
      <w:pPr>
        <w:spacing w:line="203" w:lineRule="exact"/>
        <w:ind w:left="300" w:right="108"/>
        <w:jc w:val="both"/>
        <w:rPr>
          <w:sz w:val="18"/>
          <w:szCs w:val="18"/>
        </w:rPr>
      </w:pPr>
      <w:r w:rsidRPr="006373DD">
        <w:rPr>
          <w:sz w:val="18"/>
          <w:szCs w:val="18"/>
        </w:rPr>
        <w:t>(…)</w:t>
      </w:r>
    </w:p>
    <w:p w:rsidRPr="006373DD" w:rsidR="00C7558F" w:rsidP="006373DD" w:rsidRDefault="00C7558F" w14:paraId="29D7D238" w14:textId="77777777">
      <w:pPr>
        <w:pStyle w:val="Textoindependiente"/>
        <w:spacing w:before="10"/>
        <w:ind w:left="300" w:right="108"/>
        <w:jc w:val="both"/>
        <w:rPr>
          <w:sz w:val="18"/>
          <w:szCs w:val="18"/>
        </w:rPr>
      </w:pPr>
    </w:p>
    <w:p w:rsidRPr="006373DD" w:rsidR="00C7558F" w:rsidP="006373DD" w:rsidRDefault="00C7558F" w14:paraId="57A88602" w14:textId="77777777">
      <w:pPr>
        <w:ind w:left="300" w:right="108"/>
        <w:jc w:val="both"/>
        <w:rPr>
          <w:sz w:val="18"/>
          <w:szCs w:val="18"/>
        </w:rPr>
      </w:pPr>
      <w:r w:rsidRPr="006373DD">
        <w:rPr>
          <w:sz w:val="18"/>
          <w:szCs w:val="18"/>
        </w:rPr>
        <w:t>“3o. Contrato de Prestación de Servicios.</w:t>
      </w:r>
    </w:p>
    <w:p w:rsidRPr="006373DD" w:rsidR="00C7558F" w:rsidP="006373DD" w:rsidRDefault="00C7558F" w14:paraId="7729E87E" w14:textId="77777777">
      <w:pPr>
        <w:pStyle w:val="Textoindependiente"/>
        <w:spacing w:before="1"/>
        <w:ind w:left="300" w:right="108"/>
        <w:jc w:val="both"/>
        <w:rPr>
          <w:sz w:val="18"/>
          <w:szCs w:val="18"/>
        </w:rPr>
      </w:pPr>
    </w:p>
    <w:p w:rsidRPr="006373DD" w:rsidR="00C7558F" w:rsidP="006373DD" w:rsidRDefault="00C7558F" w14:paraId="1DC92DF3" w14:textId="77777777">
      <w:pPr>
        <w:ind w:left="300" w:right="108"/>
        <w:jc w:val="both"/>
        <w:rPr>
          <w:sz w:val="18"/>
          <w:szCs w:val="18"/>
        </w:rPr>
      </w:pPr>
      <w:r w:rsidRPr="006373DD">
        <w:rPr>
          <w:sz w:val="18"/>
          <w:szCs w:val="18"/>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6373DD" w:rsidR="00C7558F" w:rsidP="006373DD" w:rsidRDefault="00C7558F" w14:paraId="49F486A3" w14:textId="77777777">
      <w:pPr>
        <w:pStyle w:val="Textoindependiente"/>
        <w:ind w:left="300" w:right="108"/>
        <w:jc w:val="both"/>
        <w:rPr>
          <w:sz w:val="18"/>
          <w:szCs w:val="18"/>
        </w:rPr>
      </w:pPr>
    </w:p>
    <w:p w:rsidRPr="006373DD" w:rsidR="00C7558F" w:rsidP="006373DD" w:rsidRDefault="00C7558F" w14:paraId="44DE005E" w14:textId="77777777">
      <w:pPr>
        <w:ind w:left="300" w:right="108"/>
        <w:jc w:val="both"/>
        <w:rPr>
          <w:sz w:val="18"/>
          <w:szCs w:val="18"/>
        </w:rPr>
      </w:pPr>
      <w:r w:rsidRPr="006373DD">
        <w:rPr>
          <w:sz w:val="18"/>
          <w:szCs w:val="18"/>
        </w:rPr>
        <w:t>“En ningún caso estos contratos generan relación laboral ni prestaciones sociales y se celebrarán por el término estrictamente</w:t>
      </w:r>
      <w:r w:rsidRPr="006373DD">
        <w:rPr>
          <w:spacing w:val="-3"/>
          <w:sz w:val="18"/>
          <w:szCs w:val="18"/>
        </w:rPr>
        <w:t xml:space="preserve"> </w:t>
      </w:r>
      <w:r w:rsidRPr="006373DD">
        <w:rPr>
          <w:sz w:val="18"/>
          <w:szCs w:val="18"/>
        </w:rPr>
        <w:t>indispensable”.</w:t>
      </w:r>
    </w:p>
    <w:p w:rsidRPr="006373DD" w:rsidR="00C7558F" w:rsidP="006373DD" w:rsidRDefault="00C7558F" w14:paraId="13C0F83C" w14:textId="77777777">
      <w:pPr>
        <w:pStyle w:val="Textonotapie"/>
        <w:ind w:left="300" w:right="108"/>
        <w:jc w:val="both"/>
        <w:rPr>
          <w:sz w:val="18"/>
          <w:szCs w:val="18"/>
        </w:rPr>
      </w:pPr>
    </w:p>
  </w:footnote>
  <w:footnote w:id="2">
    <w:p w:rsidRPr="006373DD" w:rsidR="00C7558F" w:rsidP="006373DD" w:rsidRDefault="00077C32" w14:paraId="6CFFC05B" w14:textId="74BA8BF3">
      <w:pPr>
        <w:ind w:left="300" w:right="108" w:firstLine="707"/>
        <w:jc w:val="both"/>
        <w:rPr>
          <w:sz w:val="18"/>
          <w:szCs w:val="18"/>
        </w:rPr>
      </w:pPr>
      <w:r w:rsidRPr="006373DD">
        <w:rPr>
          <w:sz w:val="18"/>
          <w:szCs w:val="18"/>
        </w:rPr>
        <w:t xml:space="preserve">   </w:t>
      </w:r>
      <w:r w:rsidRPr="006373DD" w:rsidR="00C7558F">
        <w:rPr>
          <w:rStyle w:val="Refdenotaalpie"/>
          <w:sz w:val="18"/>
          <w:szCs w:val="18"/>
        </w:rPr>
        <w:footnoteRef/>
      </w:r>
      <w:r w:rsidRPr="006373DD" w:rsidR="00C7558F">
        <w:rPr>
          <w:sz w:val="18"/>
          <w:szCs w:val="18"/>
        </w:rPr>
        <w:t xml:space="preserve"> Artículo 2o. De las modalidades de selección. La escogencia del contratista se efectuará con arreglo a las modalidades de selección de licitación pública, selección abreviada, concurso de méritos y contratación directa, con base en las siguientes reglas:</w:t>
      </w:r>
    </w:p>
    <w:p w:rsidRPr="006373DD" w:rsidR="00C7558F" w:rsidP="006373DD" w:rsidRDefault="00C7558F" w14:paraId="2A83437E" w14:textId="77777777">
      <w:pPr>
        <w:spacing w:line="203" w:lineRule="exact"/>
        <w:ind w:left="300" w:right="108"/>
        <w:jc w:val="both"/>
        <w:rPr>
          <w:sz w:val="18"/>
          <w:szCs w:val="18"/>
        </w:rPr>
      </w:pPr>
      <w:r w:rsidRPr="006373DD">
        <w:rPr>
          <w:sz w:val="18"/>
          <w:szCs w:val="18"/>
        </w:rPr>
        <w:t>(…)</w:t>
      </w:r>
    </w:p>
    <w:p w:rsidRPr="006373DD" w:rsidR="00C7558F" w:rsidP="006373DD" w:rsidRDefault="00C7558F" w14:paraId="08C109ED" w14:textId="77777777">
      <w:pPr>
        <w:pStyle w:val="Textoindependiente"/>
        <w:spacing w:before="1"/>
        <w:ind w:left="300" w:right="108"/>
        <w:jc w:val="both"/>
        <w:rPr>
          <w:sz w:val="18"/>
          <w:szCs w:val="18"/>
        </w:rPr>
      </w:pPr>
    </w:p>
    <w:p w:rsidRPr="006373DD" w:rsidR="00C7558F" w:rsidP="006373DD" w:rsidRDefault="00C7558F" w14:paraId="70A671B5" w14:textId="77777777">
      <w:pPr>
        <w:ind w:left="300" w:right="108"/>
        <w:jc w:val="both"/>
        <w:rPr>
          <w:sz w:val="18"/>
          <w:szCs w:val="18"/>
        </w:rPr>
      </w:pPr>
      <w:r w:rsidRPr="006373DD">
        <w:rPr>
          <w:sz w:val="18"/>
          <w:szCs w:val="18"/>
        </w:rPr>
        <w:t>“4. Contratación directa. La modalidad de selección de contratación directa solamente procederá en los siguientes casos:</w:t>
      </w:r>
    </w:p>
    <w:p w:rsidRPr="006373DD" w:rsidR="00C7558F" w:rsidP="006373DD" w:rsidRDefault="00C7558F" w14:paraId="3C6517D4" w14:textId="77777777">
      <w:pPr>
        <w:spacing w:before="1"/>
        <w:ind w:left="300" w:right="108"/>
        <w:jc w:val="both"/>
        <w:rPr>
          <w:sz w:val="18"/>
          <w:szCs w:val="18"/>
        </w:rPr>
      </w:pPr>
      <w:r w:rsidRPr="006373DD">
        <w:rPr>
          <w:sz w:val="18"/>
          <w:szCs w:val="18"/>
        </w:rPr>
        <w:t>(…)</w:t>
      </w:r>
    </w:p>
    <w:p w:rsidRPr="006373DD" w:rsidR="00C7558F" w:rsidP="006373DD" w:rsidRDefault="00C7558F" w14:paraId="0D4FE939" w14:textId="77777777">
      <w:pPr>
        <w:pStyle w:val="Textoindependiente"/>
        <w:spacing w:before="10"/>
        <w:ind w:left="300" w:right="108"/>
        <w:jc w:val="both"/>
        <w:rPr>
          <w:sz w:val="18"/>
          <w:szCs w:val="18"/>
        </w:rPr>
      </w:pPr>
    </w:p>
    <w:p w:rsidRPr="006373DD" w:rsidR="00C7558F" w:rsidP="006373DD" w:rsidRDefault="00C7558F" w14:paraId="4DB2F4F1" w14:textId="77777777">
      <w:pPr>
        <w:spacing w:before="1"/>
        <w:ind w:left="300" w:right="108"/>
        <w:jc w:val="both"/>
        <w:rPr>
          <w:sz w:val="18"/>
          <w:szCs w:val="18"/>
        </w:rPr>
      </w:pPr>
      <w:r w:rsidRPr="006373DD">
        <w:rPr>
          <w:sz w:val="18"/>
          <w:szCs w:val="18"/>
        </w:rPr>
        <w:t>“h) Para la prestación de servicios profesionales y de apoyo a la gestión, o para la ejecución de trabajos artísticos que sólo puedan encomendarse a determinadas personas naturales”.</w:t>
      </w:r>
    </w:p>
    <w:p w:rsidRPr="006373DD" w:rsidR="00C7558F" w:rsidP="006373DD" w:rsidRDefault="00C7558F" w14:paraId="656B9518" w14:textId="77777777">
      <w:pPr>
        <w:pStyle w:val="Textonotapie"/>
        <w:ind w:left="300" w:right="108"/>
        <w:jc w:val="both"/>
        <w:rPr>
          <w:sz w:val="18"/>
          <w:szCs w:val="18"/>
        </w:rPr>
      </w:pPr>
    </w:p>
  </w:footnote>
  <w:footnote w:id="3">
    <w:p w:rsidRPr="006373DD" w:rsidR="00C7558F" w:rsidP="006373DD" w:rsidRDefault="00077C32" w14:paraId="6B43A7DC" w14:textId="63DCBA1A">
      <w:pPr>
        <w:spacing w:before="77"/>
        <w:ind w:left="300" w:right="108" w:firstLine="420"/>
        <w:jc w:val="both"/>
        <w:rPr>
          <w:sz w:val="18"/>
          <w:szCs w:val="18"/>
        </w:rPr>
      </w:pPr>
      <w:r w:rsidRPr="006373DD">
        <w:rPr>
          <w:sz w:val="18"/>
          <w:szCs w:val="18"/>
        </w:rPr>
        <w:t xml:space="preserve">      </w:t>
      </w:r>
      <w:r w:rsidRPr="006373DD" w:rsidR="00C7558F">
        <w:rPr>
          <w:rStyle w:val="Refdenotaalpie"/>
          <w:sz w:val="18"/>
          <w:szCs w:val="18"/>
        </w:rPr>
        <w:footnoteRef/>
      </w:r>
      <w:r w:rsidRPr="006373DD" w:rsidR="00C7558F">
        <w:rPr>
          <w:sz w:val="18"/>
          <w:szCs w:val="18"/>
        </w:rPr>
        <w:t xml:space="preserve"> Consejo de Estado, Sala de lo Contencioso Administrativo, Sección Tercera. Radicado No. 11001- 03-26-000-2011-00039-00 (41.719) del 2 de diciembre de 2013. Consejero Ponente: Jaime Orlando Santofimio Gamboa: “serán entonces contratos de ‘prestación de servicios profesionales’ todos 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 En suma, lo característico es el despliegue de actividades que demandan la aprehensión de competencias y habilidades propias de la formación profesional o especializada de la persona natural o jurídica, de manera que se trata de un saber intelectivo</w:t>
      </w:r>
      <w:r w:rsidRPr="006373DD" w:rsidR="00C7558F">
        <w:rPr>
          <w:spacing w:val="-24"/>
          <w:sz w:val="18"/>
          <w:szCs w:val="18"/>
        </w:rPr>
        <w:t xml:space="preserve"> </w:t>
      </w:r>
      <w:r w:rsidRPr="006373DD" w:rsidR="00C7558F">
        <w:rPr>
          <w:sz w:val="18"/>
          <w:szCs w:val="18"/>
        </w:rPr>
        <w:t>cualificado”.</w:t>
      </w:r>
    </w:p>
    <w:p w:rsidRPr="006373DD" w:rsidR="00C7558F" w:rsidP="006373DD" w:rsidRDefault="00C7558F" w14:paraId="1D8BA394" w14:textId="77777777">
      <w:pPr>
        <w:spacing w:line="254" w:lineRule="auto"/>
        <w:ind w:left="300" w:right="108" w:firstLine="707"/>
        <w:jc w:val="both"/>
        <w:rPr>
          <w:sz w:val="18"/>
          <w:szCs w:val="18"/>
        </w:rPr>
      </w:pPr>
    </w:p>
    <w:p w:rsidRPr="006373DD" w:rsidR="00C7558F" w:rsidP="006373DD" w:rsidRDefault="00C7558F" w14:paraId="110F1399" w14:textId="77777777">
      <w:pPr>
        <w:pStyle w:val="Textonotapie"/>
        <w:ind w:left="300" w:right="108"/>
        <w:jc w:val="both"/>
        <w:rPr>
          <w:sz w:val="18"/>
          <w:szCs w:val="18"/>
        </w:rPr>
      </w:pPr>
    </w:p>
  </w:footnote>
  <w:footnote w:id="4">
    <w:p w:rsidRPr="006373DD" w:rsidR="00077C32" w:rsidP="006373DD" w:rsidRDefault="00077C32" w14:paraId="29CDB2B6" w14:textId="77777777">
      <w:pPr>
        <w:spacing w:before="1" w:line="242" w:lineRule="auto"/>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Ley 80 de 1993, artículo 14: “(…) 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w:t>
      </w:r>
      <w:r w:rsidRPr="006373DD">
        <w:rPr>
          <w:spacing w:val="-4"/>
          <w:sz w:val="18"/>
          <w:szCs w:val="18"/>
        </w:rPr>
        <w:t xml:space="preserve"> </w:t>
      </w:r>
      <w:r w:rsidRPr="006373DD">
        <w:rPr>
          <w:sz w:val="18"/>
          <w:szCs w:val="18"/>
        </w:rPr>
        <w:t>obra.</w:t>
      </w:r>
      <w:r w:rsidRPr="006373DD">
        <w:rPr>
          <w:spacing w:val="-4"/>
          <w:sz w:val="18"/>
          <w:szCs w:val="18"/>
        </w:rPr>
        <w:t xml:space="preserve"> </w:t>
      </w:r>
      <w:r w:rsidRPr="006373DD">
        <w:rPr>
          <w:sz w:val="18"/>
          <w:szCs w:val="18"/>
        </w:rPr>
        <w:t>En</w:t>
      </w:r>
      <w:r w:rsidRPr="006373DD">
        <w:rPr>
          <w:spacing w:val="-4"/>
          <w:sz w:val="18"/>
          <w:szCs w:val="18"/>
        </w:rPr>
        <w:t xml:space="preserve"> </w:t>
      </w:r>
      <w:r w:rsidRPr="006373DD">
        <w:rPr>
          <w:sz w:val="18"/>
          <w:szCs w:val="18"/>
        </w:rPr>
        <w:t>los</w:t>
      </w:r>
      <w:r w:rsidRPr="006373DD">
        <w:rPr>
          <w:spacing w:val="-2"/>
          <w:sz w:val="18"/>
          <w:szCs w:val="18"/>
        </w:rPr>
        <w:t xml:space="preserve"> </w:t>
      </w:r>
      <w:r w:rsidRPr="006373DD">
        <w:rPr>
          <w:sz w:val="18"/>
          <w:szCs w:val="18"/>
        </w:rPr>
        <w:t>contratos</w:t>
      </w:r>
      <w:r w:rsidRPr="006373DD">
        <w:rPr>
          <w:spacing w:val="-4"/>
          <w:sz w:val="18"/>
          <w:szCs w:val="18"/>
        </w:rPr>
        <w:t xml:space="preserve"> </w:t>
      </w:r>
      <w:r w:rsidRPr="006373DD">
        <w:rPr>
          <w:sz w:val="18"/>
          <w:szCs w:val="18"/>
        </w:rPr>
        <w:t>de</w:t>
      </w:r>
      <w:r w:rsidRPr="006373DD">
        <w:rPr>
          <w:spacing w:val="-4"/>
          <w:sz w:val="18"/>
          <w:szCs w:val="18"/>
        </w:rPr>
        <w:t xml:space="preserve"> </w:t>
      </w:r>
      <w:r w:rsidRPr="006373DD">
        <w:rPr>
          <w:sz w:val="18"/>
          <w:szCs w:val="18"/>
        </w:rPr>
        <w:t>explotación</w:t>
      </w:r>
      <w:r w:rsidRPr="006373DD">
        <w:rPr>
          <w:spacing w:val="-4"/>
          <w:sz w:val="18"/>
          <w:szCs w:val="18"/>
        </w:rPr>
        <w:t xml:space="preserve"> </w:t>
      </w:r>
      <w:r w:rsidRPr="006373DD">
        <w:rPr>
          <w:sz w:val="18"/>
          <w:szCs w:val="18"/>
        </w:rPr>
        <w:t>y</w:t>
      </w:r>
      <w:r w:rsidRPr="006373DD">
        <w:rPr>
          <w:spacing w:val="-5"/>
          <w:sz w:val="18"/>
          <w:szCs w:val="18"/>
        </w:rPr>
        <w:t xml:space="preserve"> </w:t>
      </w:r>
      <w:r w:rsidRPr="006373DD">
        <w:rPr>
          <w:sz w:val="18"/>
          <w:szCs w:val="18"/>
        </w:rPr>
        <w:t>concesión</w:t>
      </w:r>
      <w:r w:rsidRPr="006373DD">
        <w:rPr>
          <w:spacing w:val="-4"/>
          <w:sz w:val="18"/>
          <w:szCs w:val="18"/>
        </w:rPr>
        <w:t xml:space="preserve"> </w:t>
      </w:r>
      <w:r w:rsidRPr="006373DD">
        <w:rPr>
          <w:sz w:val="18"/>
          <w:szCs w:val="18"/>
        </w:rPr>
        <w:t>de</w:t>
      </w:r>
      <w:r w:rsidRPr="006373DD">
        <w:rPr>
          <w:spacing w:val="-4"/>
          <w:sz w:val="18"/>
          <w:szCs w:val="18"/>
        </w:rPr>
        <w:t xml:space="preserve"> </w:t>
      </w:r>
      <w:r w:rsidRPr="006373DD">
        <w:rPr>
          <w:sz w:val="18"/>
          <w:szCs w:val="18"/>
        </w:rPr>
        <w:t>bienes</w:t>
      </w:r>
      <w:r w:rsidRPr="006373DD">
        <w:rPr>
          <w:spacing w:val="-1"/>
          <w:sz w:val="18"/>
          <w:szCs w:val="18"/>
        </w:rPr>
        <w:t xml:space="preserve"> </w:t>
      </w:r>
      <w:r w:rsidRPr="006373DD">
        <w:rPr>
          <w:sz w:val="18"/>
          <w:szCs w:val="18"/>
        </w:rPr>
        <w:t>del</w:t>
      </w:r>
      <w:r w:rsidRPr="006373DD">
        <w:rPr>
          <w:spacing w:val="-3"/>
          <w:sz w:val="18"/>
          <w:szCs w:val="18"/>
        </w:rPr>
        <w:t xml:space="preserve"> </w:t>
      </w:r>
      <w:r w:rsidRPr="006373DD">
        <w:rPr>
          <w:sz w:val="18"/>
          <w:szCs w:val="18"/>
        </w:rPr>
        <w:t>Estado</w:t>
      </w:r>
      <w:r w:rsidRPr="006373DD">
        <w:rPr>
          <w:spacing w:val="-4"/>
          <w:sz w:val="18"/>
          <w:szCs w:val="18"/>
        </w:rPr>
        <w:t xml:space="preserve"> </w:t>
      </w:r>
      <w:r w:rsidRPr="006373DD">
        <w:rPr>
          <w:sz w:val="18"/>
          <w:szCs w:val="18"/>
        </w:rPr>
        <w:t>se</w:t>
      </w:r>
      <w:r w:rsidRPr="006373DD">
        <w:rPr>
          <w:spacing w:val="-4"/>
          <w:sz w:val="18"/>
          <w:szCs w:val="18"/>
        </w:rPr>
        <w:t xml:space="preserve"> </w:t>
      </w:r>
      <w:r w:rsidRPr="006373DD">
        <w:rPr>
          <w:sz w:val="18"/>
          <w:szCs w:val="18"/>
        </w:rPr>
        <w:t>incluirá</w:t>
      </w:r>
      <w:r w:rsidRPr="006373DD">
        <w:rPr>
          <w:spacing w:val="-3"/>
          <w:sz w:val="18"/>
          <w:szCs w:val="18"/>
        </w:rPr>
        <w:t xml:space="preserve"> </w:t>
      </w:r>
      <w:r w:rsidRPr="006373DD">
        <w:rPr>
          <w:sz w:val="18"/>
          <w:szCs w:val="18"/>
        </w:rPr>
        <w:t>la</w:t>
      </w:r>
      <w:r w:rsidRPr="006373DD">
        <w:rPr>
          <w:spacing w:val="-4"/>
          <w:sz w:val="18"/>
          <w:szCs w:val="18"/>
        </w:rPr>
        <w:t xml:space="preserve"> </w:t>
      </w:r>
      <w:r w:rsidRPr="006373DD">
        <w:rPr>
          <w:sz w:val="18"/>
          <w:szCs w:val="18"/>
        </w:rPr>
        <w:t>cláusula</w:t>
      </w:r>
      <w:r w:rsidRPr="006373DD">
        <w:rPr>
          <w:spacing w:val="-4"/>
          <w:sz w:val="18"/>
          <w:szCs w:val="18"/>
        </w:rPr>
        <w:t xml:space="preserve"> </w:t>
      </w:r>
      <w:r w:rsidRPr="006373DD">
        <w:rPr>
          <w:sz w:val="18"/>
          <w:szCs w:val="18"/>
        </w:rPr>
        <w:t>de</w:t>
      </w:r>
      <w:r w:rsidRPr="006373DD">
        <w:rPr>
          <w:spacing w:val="-4"/>
          <w:sz w:val="18"/>
          <w:szCs w:val="18"/>
        </w:rPr>
        <w:t xml:space="preserve"> </w:t>
      </w:r>
      <w:r w:rsidRPr="006373DD">
        <w:rPr>
          <w:sz w:val="18"/>
          <w:szCs w:val="18"/>
        </w:rPr>
        <w:t>reversión.</w:t>
      </w:r>
    </w:p>
    <w:p w:rsidRPr="006373DD" w:rsidR="00077C32" w:rsidP="006373DD" w:rsidRDefault="00077C32" w14:paraId="534DB49A" w14:textId="77777777">
      <w:pPr>
        <w:pStyle w:val="Textoindependiente"/>
        <w:spacing w:before="2"/>
        <w:ind w:left="300" w:right="108"/>
        <w:jc w:val="both"/>
        <w:rPr>
          <w:sz w:val="18"/>
          <w:szCs w:val="18"/>
        </w:rPr>
      </w:pPr>
    </w:p>
    <w:p w:rsidRPr="006373DD" w:rsidR="00077C32" w:rsidP="006373DD" w:rsidRDefault="00077C32" w14:paraId="67165288" w14:textId="77777777">
      <w:pPr>
        <w:ind w:left="300" w:right="108"/>
        <w:jc w:val="both"/>
        <w:rPr>
          <w:sz w:val="18"/>
          <w:szCs w:val="18"/>
        </w:rPr>
      </w:pPr>
      <w:r w:rsidRPr="006373DD">
        <w:rPr>
          <w:sz w:val="18"/>
          <w:szCs w:val="18"/>
        </w:rPr>
        <w:t>“Las entidades estatales podrán pactar estas cláusulas en los contratos de suministro y de prestación de servicios”.</w:t>
      </w:r>
    </w:p>
    <w:p w:rsidRPr="006373DD" w:rsidR="00077C32" w:rsidP="006373DD" w:rsidRDefault="00077C32" w14:paraId="69925BA2" w14:textId="5E691C66">
      <w:pPr>
        <w:pStyle w:val="Textonotapie"/>
        <w:ind w:left="300" w:right="108"/>
        <w:jc w:val="both"/>
        <w:rPr>
          <w:sz w:val="18"/>
          <w:szCs w:val="18"/>
          <w:lang w:val="es-CO"/>
        </w:rPr>
      </w:pPr>
    </w:p>
  </w:footnote>
  <w:footnote w:id="5">
    <w:p w:rsidRPr="006373DD" w:rsidR="00077C32" w:rsidP="006373DD" w:rsidRDefault="00077C32" w14:paraId="57D9B0DA" w14:textId="6089E390">
      <w:pPr>
        <w:pStyle w:val="Textonotapie"/>
        <w:ind w:left="300" w:right="108" w:firstLine="720"/>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Véase, Consejo de Estado, Sección Segunda, Subsección B, sentencia del 25 de agosto de 2011, Radicación número: 25000-23-25-000-2008-00246-01(0023-11), Consejero Ponente: Víctor Hernando Alvarado Ardila. Corte Constitucional Colombiana, Sentencia T-903 del 12 de noviembre de 2010. Magistrado Ponente: Juan Carlos Henao Pérez. “Acción de tutela instaurada por Gilmer Sierra García contra el Municipio de Montenegro, Quindío.</w:t>
      </w:r>
    </w:p>
    <w:p w:rsidRPr="006373DD" w:rsidR="00077C32" w:rsidP="006373DD" w:rsidRDefault="00077C32" w14:paraId="24EBEFF1" w14:textId="77777777">
      <w:pPr>
        <w:pStyle w:val="Textonotapie"/>
        <w:ind w:left="300" w:right="108" w:firstLine="720"/>
        <w:jc w:val="both"/>
        <w:rPr>
          <w:sz w:val="18"/>
          <w:szCs w:val="18"/>
          <w:lang w:val="es-CO"/>
        </w:rPr>
      </w:pPr>
    </w:p>
  </w:footnote>
  <w:footnote w:id="6">
    <w:p w:rsidRPr="006373DD" w:rsidR="00077C32" w:rsidP="006373DD" w:rsidRDefault="00077C32" w14:paraId="55C67248" w14:textId="77777777">
      <w:pPr>
        <w:spacing w:line="242" w:lineRule="auto"/>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Este régimen se encuentra principalmente integrado por las inhabilidades previstas en la Constitución Política, la Ley 80 de 1993, Ley 1474 de 2011 y demás normas que las aclaren, adicionen, modifiquen o sustituyan. Ver Corte Constitucional, Sentencia del 20 de mayo de 2009, expediente D-7518, M.P. Jorge Iván Palacio</w:t>
      </w:r>
      <w:r w:rsidRPr="006373DD">
        <w:rPr>
          <w:spacing w:val="-2"/>
          <w:sz w:val="18"/>
          <w:szCs w:val="18"/>
        </w:rPr>
        <w:t xml:space="preserve"> </w:t>
      </w:r>
      <w:proofErr w:type="spellStart"/>
      <w:r w:rsidRPr="006373DD">
        <w:rPr>
          <w:sz w:val="18"/>
          <w:szCs w:val="18"/>
        </w:rPr>
        <w:t>Palacio</w:t>
      </w:r>
      <w:proofErr w:type="spellEnd"/>
      <w:r w:rsidRPr="006373DD">
        <w:rPr>
          <w:sz w:val="18"/>
          <w:szCs w:val="18"/>
        </w:rPr>
        <w:t>.</w:t>
      </w:r>
    </w:p>
    <w:p w:rsidRPr="006373DD" w:rsidR="00077C32" w:rsidP="006373DD" w:rsidRDefault="00077C32" w14:paraId="048DB302" w14:textId="391B1F3B">
      <w:pPr>
        <w:pStyle w:val="Textonotapie"/>
        <w:ind w:left="300" w:right="108"/>
        <w:jc w:val="both"/>
        <w:rPr>
          <w:sz w:val="18"/>
          <w:szCs w:val="18"/>
          <w:lang w:val="es-CO"/>
        </w:rPr>
      </w:pPr>
    </w:p>
  </w:footnote>
  <w:footnote w:id="7">
    <w:p w:rsidRPr="006373DD" w:rsidR="00077C32" w:rsidP="006373DD" w:rsidRDefault="00077C32" w14:paraId="2E45C99B" w14:textId="77777777">
      <w:pPr>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Corte Constitucional, Sentencia C-489 de 26 de septiembre de 1996 Expediente D-1264, M.P. Antonio Barrera Carbonell.</w:t>
      </w:r>
    </w:p>
    <w:p w:rsidRPr="006373DD" w:rsidR="00077C32" w:rsidP="006373DD" w:rsidRDefault="00077C32" w14:paraId="55EC652D" w14:textId="46540118">
      <w:pPr>
        <w:pStyle w:val="Textonotapie"/>
        <w:ind w:left="300" w:right="108"/>
        <w:jc w:val="both"/>
        <w:rPr>
          <w:sz w:val="18"/>
          <w:szCs w:val="18"/>
          <w:lang w:val="es-CO"/>
        </w:rPr>
      </w:pPr>
    </w:p>
  </w:footnote>
  <w:footnote w:id="8">
    <w:p w:rsidRPr="006373DD" w:rsidR="0038064D" w:rsidP="006373DD" w:rsidRDefault="0038064D" w14:paraId="1113C37F" w14:textId="77777777">
      <w:pPr>
        <w:spacing w:before="76"/>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La Ley 80 de 1993 contiene, en el artículo 8, las inhabilidades e incompatibilidades para celebrar contratos con el Estado, entre esas se encuentran las previstas en el numeral 1, literales d, f y g.</w:t>
      </w:r>
    </w:p>
    <w:p w:rsidRPr="006373DD" w:rsidR="0038064D" w:rsidP="006373DD" w:rsidRDefault="0038064D" w14:paraId="318F99DC" w14:textId="3E3F9922">
      <w:pPr>
        <w:pStyle w:val="Textonotapie"/>
        <w:ind w:left="300" w:right="108"/>
        <w:jc w:val="both"/>
        <w:rPr>
          <w:sz w:val="18"/>
          <w:szCs w:val="18"/>
          <w:lang w:val="es-CO"/>
        </w:rPr>
      </w:pPr>
    </w:p>
  </w:footnote>
  <w:footnote w:id="9">
    <w:p w:rsidRPr="006373DD" w:rsidR="0038064D" w:rsidP="006373DD" w:rsidRDefault="0038064D" w14:paraId="5AFED033" w14:textId="77777777">
      <w:pPr>
        <w:spacing w:line="268" w:lineRule="auto"/>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Constitución Política de 1886: “Artículo 64.- Nadie podrá recibir dos sueldos del Tesoro público, salvo lo que para casos especiales determinen las leyes”.</w:t>
      </w:r>
    </w:p>
    <w:p w:rsidRPr="006373DD" w:rsidR="0038064D" w:rsidP="006373DD" w:rsidRDefault="0038064D" w14:paraId="09396B99" w14:textId="7C8618A1">
      <w:pPr>
        <w:pStyle w:val="Textonotapie"/>
        <w:ind w:left="300" w:right="108"/>
        <w:jc w:val="both"/>
        <w:rPr>
          <w:sz w:val="18"/>
          <w:szCs w:val="18"/>
          <w:lang w:val="es-CO"/>
        </w:rPr>
      </w:pPr>
    </w:p>
  </w:footnote>
  <w:footnote w:id="10">
    <w:p w:rsidRPr="006373DD" w:rsidR="0038064D" w:rsidP="006373DD" w:rsidRDefault="0038064D" w14:paraId="0785FF7E" w14:textId="77777777">
      <w:pPr>
        <w:spacing w:before="1" w:line="254" w:lineRule="auto"/>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Ley 78 de 1931: “Artículo 1°: Entiéndese por tesoro público el dinero que, a cualquier título, ingrese a las oficinas públicas, sean nacionales, departamentales o municipales.</w:t>
      </w:r>
    </w:p>
    <w:p w:rsidRPr="006373DD" w:rsidR="0038064D" w:rsidP="006373DD" w:rsidRDefault="0038064D" w14:paraId="3AA74C7B" w14:textId="77777777">
      <w:pPr>
        <w:pStyle w:val="Textoindependiente"/>
        <w:ind w:left="300" w:right="108"/>
        <w:jc w:val="both"/>
        <w:rPr>
          <w:sz w:val="18"/>
          <w:szCs w:val="18"/>
        </w:rPr>
      </w:pPr>
    </w:p>
    <w:p w:rsidRPr="006373DD" w:rsidR="0038064D" w:rsidP="006373DD" w:rsidRDefault="0038064D" w14:paraId="3F2DDE01" w14:textId="77777777">
      <w:pPr>
        <w:ind w:left="300" w:right="108"/>
        <w:jc w:val="both"/>
        <w:rPr>
          <w:sz w:val="18"/>
          <w:szCs w:val="18"/>
        </w:rPr>
      </w:pPr>
      <w:r w:rsidRPr="006373DD">
        <w:rPr>
          <w:sz w:val="18"/>
          <w:szCs w:val="18"/>
        </w:rPr>
        <w:t>“En consecuencia, la prohibición de que trata el artículo 64 de la Constitución comprende a los individuos que devengan simultáneamente sueldos de la nación, del departamento o del municipio”.</w:t>
      </w:r>
    </w:p>
    <w:p w:rsidRPr="006373DD" w:rsidR="0038064D" w:rsidP="006373DD" w:rsidRDefault="0038064D" w14:paraId="738E8CE2" w14:textId="5DAAA59A">
      <w:pPr>
        <w:pStyle w:val="Textonotapie"/>
        <w:ind w:left="300" w:right="108"/>
        <w:jc w:val="both"/>
        <w:rPr>
          <w:sz w:val="18"/>
          <w:szCs w:val="18"/>
          <w:lang w:val="es-CO"/>
        </w:rPr>
      </w:pPr>
    </w:p>
  </w:footnote>
  <w:footnote w:id="11">
    <w:p w:rsidRPr="006373DD" w:rsidR="0038064D" w:rsidP="006373DD" w:rsidRDefault="0038064D" w14:paraId="4CEE83B2" w14:textId="77777777">
      <w:pPr>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Acto legislativo No. 1 de 1936: “Artículo 23: Nadie podrá recibir más de una asignación que provenga del Tesoro Público o de empresas o instituciones en que tenga parte principal el Estado, salvo lo que para casos especiales determinen las leyes. Entiéndese por Tesoro Público el de la Nación, los Departamentos y los</w:t>
      </w:r>
      <w:r w:rsidRPr="006373DD">
        <w:rPr>
          <w:spacing w:val="-2"/>
          <w:sz w:val="18"/>
          <w:szCs w:val="18"/>
        </w:rPr>
        <w:t xml:space="preserve"> </w:t>
      </w:r>
      <w:r w:rsidRPr="006373DD">
        <w:rPr>
          <w:sz w:val="18"/>
          <w:szCs w:val="18"/>
        </w:rPr>
        <w:t>Municipios”.</w:t>
      </w:r>
    </w:p>
    <w:p w:rsidRPr="006373DD" w:rsidR="0038064D" w:rsidP="006373DD" w:rsidRDefault="0038064D" w14:paraId="2ACE7732" w14:textId="753F1735">
      <w:pPr>
        <w:pStyle w:val="Textonotapie"/>
        <w:ind w:left="300" w:right="108"/>
        <w:jc w:val="both"/>
        <w:rPr>
          <w:sz w:val="18"/>
          <w:szCs w:val="18"/>
          <w:lang w:val="es-CO"/>
        </w:rPr>
      </w:pPr>
    </w:p>
  </w:footnote>
  <w:footnote w:id="12">
    <w:p w:rsidRPr="006373DD" w:rsidR="0038064D" w:rsidP="006373DD" w:rsidRDefault="0038064D" w14:paraId="33BF5918" w14:textId="77777777">
      <w:pPr>
        <w:spacing w:before="87" w:line="244" w:lineRule="auto"/>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 xml:space="preserve">Mediante la cual se señalan las normas, objetivos y criterios que debe observar el Gobierno Nacional para la fijación del régimen salarial y prestacional de los empleados públicos, de los miembros del Congreso Nacional y de la Fuerza Pública y para la fijación de las prestaciones sociales de los Trabajadores Oficiales y se dictan otras disposiciones, de conformidad con lo establecido en el artículo </w:t>
      </w:r>
      <w:hyperlink w:anchor="150" r:id="rId1">
        <w:r w:rsidRPr="006373DD">
          <w:rPr>
            <w:sz w:val="18"/>
            <w:szCs w:val="18"/>
          </w:rPr>
          <w:t>150,</w:t>
        </w:r>
      </w:hyperlink>
      <w:r w:rsidRPr="006373DD">
        <w:rPr>
          <w:sz w:val="18"/>
          <w:szCs w:val="18"/>
        </w:rPr>
        <w:t xml:space="preserve"> numeral 19, literales e) y f) de la Constitución</w:t>
      </w:r>
      <w:r w:rsidRPr="006373DD">
        <w:rPr>
          <w:spacing w:val="-5"/>
          <w:sz w:val="18"/>
          <w:szCs w:val="18"/>
        </w:rPr>
        <w:t xml:space="preserve"> </w:t>
      </w:r>
      <w:r w:rsidRPr="006373DD">
        <w:rPr>
          <w:sz w:val="18"/>
          <w:szCs w:val="18"/>
        </w:rPr>
        <w:t>Política.</w:t>
      </w:r>
    </w:p>
    <w:p w:rsidRPr="006373DD" w:rsidR="0038064D" w:rsidP="006373DD" w:rsidRDefault="0038064D" w14:paraId="7499E247" w14:textId="4EC9BA85">
      <w:pPr>
        <w:pStyle w:val="Textonotapie"/>
        <w:ind w:left="300" w:right="108"/>
        <w:jc w:val="both"/>
        <w:rPr>
          <w:sz w:val="18"/>
          <w:szCs w:val="18"/>
          <w:lang w:val="es-CO"/>
        </w:rPr>
      </w:pPr>
    </w:p>
  </w:footnote>
  <w:footnote w:id="13">
    <w:p w:rsidRPr="006373DD" w:rsidR="0038064D" w:rsidP="006373DD" w:rsidRDefault="0038064D" w14:paraId="5D139C46" w14:textId="77777777">
      <w:pPr>
        <w:spacing w:before="87" w:line="242" w:lineRule="auto"/>
        <w:ind w:left="300" w:right="108" w:firstLine="707"/>
        <w:jc w:val="both"/>
        <w:rPr>
          <w:sz w:val="18"/>
          <w:szCs w:val="18"/>
        </w:rPr>
      </w:pPr>
      <w:r w:rsidRPr="006373DD">
        <w:rPr>
          <w:rStyle w:val="Refdenotaalpie"/>
          <w:sz w:val="18"/>
          <w:szCs w:val="18"/>
        </w:rPr>
        <w:footnoteRef/>
      </w:r>
      <w:r w:rsidRPr="006373DD">
        <w:rPr>
          <w:sz w:val="18"/>
          <w:szCs w:val="18"/>
        </w:rPr>
        <w:t xml:space="preserve"> </w:t>
      </w:r>
      <w:r w:rsidRPr="006373DD">
        <w:rPr>
          <w:sz w:val="18"/>
          <w:szCs w:val="18"/>
        </w:rPr>
        <w:t>Consejo de Estado, Sala de Consulta y servicio Civil, concepto No 1.344, del 10 de mayo de 2001. Consejero Ponente: Flavio Augusto Rodríguez Arce: “El artículo 123, a su vez, dentro de la clasificación de los servidores públicos, incluye a los miembros de las corporaciones públicas quienes, aunque ejercen funciones públicas, no tienen la calidad de empleados públicos ni poseen nexo laboral con el Estado, por lo que la prohibición se les aplica a estos, no con fundamento en el artículo 128, sino en las normas especiales de los respectivos regímenes de incompatibilidades que prohíben, a los congresistas, desempeñar cargo o empleo público - arts. 180.1 de la C.P. y 282.1, ley 5ª/92-; a los diputados, aceptar o desempeñar cargo como empleado oficial - art. 34.1 ley 617/00, y a los concejales, aceptar o desempeñar cargo alguno en la administración pública o vincularse como trabajador oficial - art. 45.1 ley 136/94, sustituido por el art. 3° de la ley</w:t>
      </w:r>
      <w:r w:rsidRPr="006373DD">
        <w:rPr>
          <w:spacing w:val="-4"/>
          <w:sz w:val="18"/>
          <w:szCs w:val="18"/>
        </w:rPr>
        <w:t xml:space="preserve"> </w:t>
      </w:r>
      <w:r w:rsidRPr="006373DD">
        <w:rPr>
          <w:sz w:val="18"/>
          <w:szCs w:val="18"/>
        </w:rPr>
        <w:t>177/94”.</w:t>
      </w:r>
    </w:p>
    <w:p w:rsidRPr="006373DD" w:rsidR="0038064D" w:rsidP="006373DD" w:rsidRDefault="0038064D" w14:paraId="23CEE254" w14:textId="545F08E3">
      <w:pPr>
        <w:pStyle w:val="Textonotapie"/>
        <w:ind w:left="300" w:right="108"/>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9001A" w:rsidRDefault="00B07FAB" w14:paraId="595ED4E7" w14:textId="77777777">
    <w:pPr>
      <w:pStyle w:val="Textoindependiente"/>
      <w:spacing w:line="14" w:lineRule="auto"/>
      <w:rPr>
        <w:sz w:val="20"/>
      </w:rPr>
    </w:pPr>
    <w:r>
      <w:rPr>
        <w:noProof/>
        <w:lang w:val="en-US"/>
      </w:rPr>
      <w:drawing>
        <wp:anchor distT="0" distB="0" distL="0" distR="0" simplePos="0" relativeHeight="487455744" behindDoc="1" locked="0" layoutInCell="1" allowOverlap="1" wp14:anchorId="7FB80E5A" wp14:editId="530B85A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8E70EB7">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30010D"/>
    <w:multiLevelType w:val="multilevel"/>
    <w:tmpl w:val="59B4DAEA"/>
    <w:lvl w:ilvl="0">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725" w:hanging="425"/>
        <w:jc w:val="left"/>
      </w:pPr>
      <w:rPr>
        <w:rFonts w:hint="default" w:ascii="Arial" w:hAnsi="Arial" w:eastAsia="Arial" w:cs="Arial"/>
        <w:b/>
        <w:bCs/>
        <w:color w:val="000000" w:themeColor="text1"/>
        <w:spacing w:val="-1"/>
        <w:w w:val="100"/>
        <w:sz w:val="22"/>
        <w:szCs w:val="22"/>
        <w:lang w:val="es-ES" w:eastAsia="en-US" w:bidi="ar-SA"/>
      </w:rPr>
    </w:lvl>
    <w:lvl w:ilvl="2">
      <w:numFmt w:val="bullet"/>
      <w:lvlText w:val="•"/>
      <w:lvlJc w:val="left"/>
      <w:pPr>
        <w:ind w:left="720" w:hanging="425"/>
      </w:pPr>
      <w:rPr>
        <w:rFonts w:hint="default"/>
        <w:lang w:val="es-ES" w:eastAsia="en-US" w:bidi="ar-SA"/>
      </w:rPr>
    </w:lvl>
    <w:lvl w:ilvl="3">
      <w:numFmt w:val="bullet"/>
      <w:lvlText w:val="•"/>
      <w:lvlJc w:val="left"/>
      <w:pPr>
        <w:ind w:left="1797" w:hanging="425"/>
      </w:pPr>
      <w:rPr>
        <w:rFonts w:hint="default"/>
        <w:lang w:val="es-ES" w:eastAsia="en-US" w:bidi="ar-SA"/>
      </w:rPr>
    </w:lvl>
    <w:lvl w:ilvl="4">
      <w:numFmt w:val="bullet"/>
      <w:lvlText w:val="•"/>
      <w:lvlJc w:val="left"/>
      <w:pPr>
        <w:ind w:left="2875" w:hanging="425"/>
      </w:pPr>
      <w:rPr>
        <w:rFonts w:hint="default"/>
        <w:lang w:val="es-ES" w:eastAsia="en-US" w:bidi="ar-SA"/>
      </w:rPr>
    </w:lvl>
    <w:lvl w:ilvl="5">
      <w:numFmt w:val="bullet"/>
      <w:lvlText w:val="•"/>
      <w:lvlJc w:val="left"/>
      <w:pPr>
        <w:ind w:left="3952" w:hanging="425"/>
      </w:pPr>
      <w:rPr>
        <w:rFonts w:hint="default"/>
        <w:lang w:val="es-ES" w:eastAsia="en-US" w:bidi="ar-SA"/>
      </w:rPr>
    </w:lvl>
    <w:lvl w:ilvl="6">
      <w:numFmt w:val="bullet"/>
      <w:lvlText w:val="•"/>
      <w:lvlJc w:val="left"/>
      <w:pPr>
        <w:ind w:left="5030" w:hanging="425"/>
      </w:pPr>
      <w:rPr>
        <w:rFonts w:hint="default"/>
        <w:lang w:val="es-ES" w:eastAsia="en-US" w:bidi="ar-SA"/>
      </w:rPr>
    </w:lvl>
    <w:lvl w:ilvl="7">
      <w:numFmt w:val="bullet"/>
      <w:lvlText w:val="•"/>
      <w:lvlJc w:val="left"/>
      <w:pPr>
        <w:ind w:left="6107" w:hanging="425"/>
      </w:pPr>
      <w:rPr>
        <w:rFonts w:hint="default"/>
        <w:lang w:val="es-ES" w:eastAsia="en-US" w:bidi="ar-SA"/>
      </w:rPr>
    </w:lvl>
    <w:lvl w:ilvl="8">
      <w:numFmt w:val="bullet"/>
      <w:lvlText w:val="•"/>
      <w:lvlJc w:val="left"/>
      <w:pPr>
        <w:ind w:left="7185" w:hanging="425"/>
      </w:pPr>
      <w:rPr>
        <w:rFonts w:hint="default"/>
        <w:lang w:val="es-ES" w:eastAsia="en-US" w:bidi="ar-SA"/>
      </w:rPr>
    </w:lvl>
  </w:abstractNum>
  <w:abstractNum w:abstractNumId="1" w15:restartNumberingAfterBreak="0">
    <w:nsid w:val="490511C0"/>
    <w:multiLevelType w:val="hybridMultilevel"/>
    <w:tmpl w:val="487E7AC6"/>
    <w:lvl w:ilvl="0" w:tplc="7E5AA202">
      <w:start w:val="1"/>
      <w:numFmt w:val="lowerLetter"/>
      <w:lvlText w:val="%1)"/>
      <w:lvlJc w:val="left"/>
      <w:pPr>
        <w:ind w:left="1008" w:hanging="330"/>
        <w:jc w:val="left"/>
      </w:pPr>
      <w:rPr>
        <w:rFonts w:hint="default" w:ascii="Arial" w:hAnsi="Arial" w:eastAsia="Arial" w:cs="Arial"/>
        <w:color w:val="4E4D4D"/>
        <w:spacing w:val="-28"/>
        <w:w w:val="100"/>
        <w:sz w:val="21"/>
        <w:szCs w:val="21"/>
        <w:lang w:val="es-ES" w:eastAsia="en-US" w:bidi="ar-SA"/>
      </w:rPr>
    </w:lvl>
    <w:lvl w:ilvl="1" w:tplc="BFF6E084">
      <w:numFmt w:val="bullet"/>
      <w:lvlText w:val="•"/>
      <w:lvlJc w:val="left"/>
      <w:pPr>
        <w:ind w:left="1834" w:hanging="330"/>
      </w:pPr>
      <w:rPr>
        <w:rFonts w:hint="default"/>
        <w:lang w:val="es-ES" w:eastAsia="en-US" w:bidi="ar-SA"/>
      </w:rPr>
    </w:lvl>
    <w:lvl w:ilvl="2" w:tplc="E9E0C728">
      <w:numFmt w:val="bullet"/>
      <w:lvlText w:val="•"/>
      <w:lvlJc w:val="left"/>
      <w:pPr>
        <w:ind w:left="2668" w:hanging="330"/>
      </w:pPr>
      <w:rPr>
        <w:rFonts w:hint="default"/>
        <w:lang w:val="es-ES" w:eastAsia="en-US" w:bidi="ar-SA"/>
      </w:rPr>
    </w:lvl>
    <w:lvl w:ilvl="3" w:tplc="C75CB3C4">
      <w:numFmt w:val="bullet"/>
      <w:lvlText w:val="•"/>
      <w:lvlJc w:val="left"/>
      <w:pPr>
        <w:ind w:left="3502" w:hanging="330"/>
      </w:pPr>
      <w:rPr>
        <w:rFonts w:hint="default"/>
        <w:lang w:val="es-ES" w:eastAsia="en-US" w:bidi="ar-SA"/>
      </w:rPr>
    </w:lvl>
    <w:lvl w:ilvl="4" w:tplc="065A04CE">
      <w:numFmt w:val="bullet"/>
      <w:lvlText w:val="•"/>
      <w:lvlJc w:val="left"/>
      <w:pPr>
        <w:ind w:left="4336" w:hanging="330"/>
      </w:pPr>
      <w:rPr>
        <w:rFonts w:hint="default"/>
        <w:lang w:val="es-ES" w:eastAsia="en-US" w:bidi="ar-SA"/>
      </w:rPr>
    </w:lvl>
    <w:lvl w:ilvl="5" w:tplc="A70A964C">
      <w:numFmt w:val="bullet"/>
      <w:lvlText w:val="•"/>
      <w:lvlJc w:val="left"/>
      <w:pPr>
        <w:ind w:left="5170" w:hanging="330"/>
      </w:pPr>
      <w:rPr>
        <w:rFonts w:hint="default"/>
        <w:lang w:val="es-ES" w:eastAsia="en-US" w:bidi="ar-SA"/>
      </w:rPr>
    </w:lvl>
    <w:lvl w:ilvl="6" w:tplc="76AAE404">
      <w:numFmt w:val="bullet"/>
      <w:lvlText w:val="•"/>
      <w:lvlJc w:val="left"/>
      <w:pPr>
        <w:ind w:left="6004" w:hanging="330"/>
      </w:pPr>
      <w:rPr>
        <w:rFonts w:hint="default"/>
        <w:lang w:val="es-ES" w:eastAsia="en-US" w:bidi="ar-SA"/>
      </w:rPr>
    </w:lvl>
    <w:lvl w:ilvl="7" w:tplc="1AAA4116">
      <w:numFmt w:val="bullet"/>
      <w:lvlText w:val="•"/>
      <w:lvlJc w:val="left"/>
      <w:pPr>
        <w:ind w:left="6838" w:hanging="330"/>
      </w:pPr>
      <w:rPr>
        <w:rFonts w:hint="default"/>
        <w:lang w:val="es-ES" w:eastAsia="en-US" w:bidi="ar-SA"/>
      </w:rPr>
    </w:lvl>
    <w:lvl w:ilvl="8" w:tplc="597439B4">
      <w:numFmt w:val="bullet"/>
      <w:lvlText w:val="•"/>
      <w:lvlJc w:val="left"/>
      <w:pPr>
        <w:ind w:left="7672" w:hanging="330"/>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01A"/>
    <w:rsid w:val="00077C32"/>
    <w:rsid w:val="0029001A"/>
    <w:rsid w:val="00351517"/>
    <w:rsid w:val="0038064D"/>
    <w:rsid w:val="006373DD"/>
    <w:rsid w:val="00836E49"/>
    <w:rsid w:val="00B07FAB"/>
    <w:rsid w:val="00C160B2"/>
    <w:rsid w:val="00C23E2F"/>
    <w:rsid w:val="00C27EED"/>
    <w:rsid w:val="00C7558F"/>
    <w:rsid w:val="0BCF42C2"/>
    <w:rsid w:val="15E0E282"/>
    <w:rsid w:val="265805EE"/>
    <w:rsid w:val="4BDF4EA3"/>
    <w:rsid w:val="5245803F"/>
    <w:rsid w:val="5BCD0E7E"/>
    <w:rsid w:val="5C1A29ED"/>
    <w:rsid w:val="699F6E4B"/>
    <w:rsid w:val="7790364D"/>
    <w:rsid w:val="78E70EB7"/>
    <w:rsid w:val="7B4B3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02FE3"/>
  <w15:docId w15:val="{80D806EA-9F56-4682-8DA6-6C8D232F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8"/>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C7558F"/>
    <w:rPr>
      <w:sz w:val="20"/>
      <w:szCs w:val="20"/>
    </w:rPr>
  </w:style>
  <w:style w:type="character" w:styleId="TextonotapieCar" w:customStyle="1">
    <w:name w:val="Texto nota pie Car"/>
    <w:basedOn w:val="Fuentedeprrafopredeter"/>
    <w:link w:val="Textonotapie"/>
    <w:uiPriority w:val="99"/>
    <w:semiHidden/>
    <w:rsid w:val="00C7558F"/>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C7558F"/>
    <w:rPr>
      <w:vertAlign w:val="superscript"/>
    </w:rPr>
  </w:style>
  <w:style w:type="paragraph" w:styleId="Encabezado">
    <w:name w:val="header"/>
    <w:basedOn w:val="Normal"/>
    <w:link w:val="EncabezadoCar"/>
    <w:uiPriority w:val="99"/>
    <w:unhideWhenUsed/>
    <w:rsid w:val="00077C32"/>
    <w:pPr>
      <w:tabs>
        <w:tab w:val="center" w:pos="4419"/>
        <w:tab w:val="right" w:pos="8838"/>
      </w:tabs>
    </w:pPr>
  </w:style>
  <w:style w:type="character" w:styleId="EncabezadoCar" w:customStyle="1">
    <w:name w:val="Encabezado Car"/>
    <w:basedOn w:val="Fuentedeprrafopredeter"/>
    <w:link w:val="Encabezado"/>
    <w:uiPriority w:val="99"/>
    <w:rsid w:val="00077C32"/>
    <w:rPr>
      <w:rFonts w:ascii="Arial" w:hAnsi="Arial" w:eastAsia="Arial" w:cs="Arial"/>
      <w:lang w:val="es-ES"/>
    </w:rPr>
  </w:style>
  <w:style w:type="paragraph" w:styleId="Piedepgina">
    <w:name w:val="footer"/>
    <w:basedOn w:val="Normal"/>
    <w:link w:val="PiedepginaCar"/>
    <w:uiPriority w:val="99"/>
    <w:unhideWhenUsed/>
    <w:rsid w:val="00077C32"/>
    <w:pPr>
      <w:tabs>
        <w:tab w:val="center" w:pos="4419"/>
        <w:tab w:val="right" w:pos="8838"/>
      </w:tabs>
    </w:pPr>
  </w:style>
  <w:style w:type="character" w:styleId="PiedepginaCar" w:customStyle="1">
    <w:name w:val="Pie de página Car"/>
    <w:basedOn w:val="Fuentedeprrafopredeter"/>
    <w:link w:val="Piedepgina"/>
    <w:uiPriority w:val="99"/>
    <w:rsid w:val="00077C32"/>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06a87129b154ea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4E64EF8-EF8F-48A0-8DB9-2B53E7FCB6DE}">
  <ds:schemaRefs>
    <ds:schemaRef ds:uri="http://schemas.openxmlformats.org/officeDocument/2006/bibliography"/>
  </ds:schemaRefs>
</ds:datastoreItem>
</file>

<file path=customXml/itemProps2.xml><?xml version="1.0" encoding="utf-8"?>
<ds:datastoreItem xmlns:ds="http://schemas.openxmlformats.org/officeDocument/2006/customXml" ds:itemID="{E805C351-4A92-42AC-9350-B1BF10E35A6E}">
  <ds:schemaRefs>
    <ds:schemaRef ds:uri="http://schemas.microsoft.com/sharepoint/v3/contenttype/forms"/>
  </ds:schemaRefs>
</ds:datastoreItem>
</file>

<file path=customXml/itemProps3.xml><?xml version="1.0" encoding="utf-8"?>
<ds:datastoreItem xmlns:ds="http://schemas.openxmlformats.org/officeDocument/2006/customXml" ds:itemID="{C697044F-7088-4E54-A3B8-9B4E7A15E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D8F4A3-AFA5-41F1-8D57-664FD321CA2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2020-03-13T13:47:00.0000000Z</dcterms:created>
  <dcterms:modified xsi:type="dcterms:W3CDTF">2020-07-13T15:20:04.0995815Z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2020-03-13T00:00:00Z</vt:filetime>
  </property>
  <property fmtid="{D5CDD505-2E9C-101B-9397-08002B2CF9AE}" pid="5" name="ContentTypeId">
    <vt:lpwstr>0x010100F2E0F32964D9B84EA054B84E5D4157A0</vt:lpwstr>
  </property>
</Properties>
</file>