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EE3722" w:rsidR="000C041C" w:rsidP="00EE3722" w:rsidRDefault="000C041C" w14:paraId="3130F856" w14:textId="77777777">
      <w:pPr>
        <w:pStyle w:val="Textoindependiente"/>
        <w:spacing w:line="276" w:lineRule="auto"/>
        <w:ind w:left="102" w:right="106"/>
        <w:jc w:val="both"/>
      </w:pPr>
    </w:p>
    <w:p w:rsidRPr="00EE3722" w:rsidR="00AC424B" w:rsidP="656575E6" w:rsidRDefault="00AC424B" w14:paraId="3130F857" w14:textId="6C49B700">
      <w:pPr>
        <w:pStyle w:val="Textoindependiente"/>
        <w:ind w:left="102" w:right="106"/>
        <w:jc w:val="both"/>
        <w:rPr>
          <w:b w:val="1"/>
          <w:bCs w:val="1"/>
        </w:rPr>
      </w:pPr>
      <w:r w:rsidRPr="656575E6" w:rsidR="00AC424B">
        <w:rPr>
          <w:b w:val="1"/>
          <w:bCs w:val="1"/>
        </w:rPr>
        <w:t xml:space="preserve">SUBSANABILIDAD – Modificaciones </w:t>
      </w:r>
      <w:r w:rsidRPr="656575E6" w:rsidR="18502FE6">
        <w:rPr>
          <w:b w:val="1"/>
          <w:bCs w:val="1"/>
        </w:rPr>
        <w:t>–</w:t>
      </w:r>
      <w:r w:rsidRPr="656575E6" w:rsidR="00AC424B">
        <w:rPr>
          <w:b w:val="1"/>
          <w:bCs w:val="1"/>
        </w:rPr>
        <w:t xml:space="preserve"> Ley 1882 de 2018</w:t>
      </w:r>
    </w:p>
    <w:p w:rsidRPr="00EE3722" w:rsidR="00AC424B" w:rsidP="00EE3722" w:rsidRDefault="00AC424B" w14:paraId="3130F858" w14:textId="77777777">
      <w:pPr>
        <w:pStyle w:val="Textoindependiente"/>
        <w:ind w:left="102" w:right="106"/>
        <w:jc w:val="both"/>
      </w:pPr>
    </w:p>
    <w:p w:rsidRPr="00EE3722" w:rsidR="00AC424B" w:rsidP="00EE3722" w:rsidRDefault="00AC424B" w14:paraId="3130F859" w14:textId="77777777">
      <w:pPr>
        <w:pStyle w:val="Textoindependiente"/>
        <w:ind w:left="102" w:right="106"/>
        <w:jc w:val="both"/>
        <w:rPr>
          <w:sz w:val="20"/>
          <w:szCs w:val="20"/>
        </w:rPr>
      </w:pPr>
      <w:r w:rsidRPr="00EE3722">
        <w:rPr>
          <w:sz w:val="20"/>
          <w:szCs w:val="20"/>
        </w:rPr>
        <w:t>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w:t>
      </w:r>
    </w:p>
    <w:p w:rsidRPr="00EE3722" w:rsidR="00AC424B" w:rsidP="00EE3722" w:rsidRDefault="00AC424B" w14:paraId="3130F85A" w14:textId="77777777">
      <w:pPr>
        <w:pStyle w:val="Textoindependiente"/>
        <w:ind w:left="102" w:right="106"/>
        <w:jc w:val="both"/>
      </w:pPr>
    </w:p>
    <w:p w:rsidRPr="00EE3722" w:rsidR="00AC424B" w:rsidP="656575E6" w:rsidRDefault="00AC424B" w14:paraId="3130F85B" w14:textId="07752436">
      <w:pPr>
        <w:pStyle w:val="Textoindependiente"/>
        <w:ind w:left="102" w:right="106"/>
        <w:jc w:val="both"/>
        <w:rPr>
          <w:b w:val="1"/>
          <w:bCs w:val="1"/>
        </w:rPr>
      </w:pPr>
      <w:r w:rsidRPr="656575E6" w:rsidR="00AC424B">
        <w:rPr>
          <w:b w:val="1"/>
          <w:bCs w:val="1"/>
        </w:rPr>
        <w:t xml:space="preserve">SUBSANABILIDAD – Regla general y excepcional </w:t>
      </w:r>
      <w:r w:rsidRPr="656575E6" w:rsidR="3484779B">
        <w:rPr>
          <w:b w:val="1"/>
          <w:bCs w:val="1"/>
        </w:rPr>
        <w:t>–</w:t>
      </w:r>
      <w:r w:rsidRPr="656575E6" w:rsidR="00AC424B">
        <w:rPr>
          <w:b w:val="1"/>
          <w:bCs w:val="1"/>
        </w:rPr>
        <w:t xml:space="preserve"> Ley 1882 de 2018</w:t>
      </w:r>
    </w:p>
    <w:p w:rsidRPr="00EE3722" w:rsidR="00AC424B" w:rsidP="00EE3722" w:rsidRDefault="00AC424B" w14:paraId="3130F85C" w14:textId="77777777">
      <w:pPr>
        <w:pStyle w:val="Textoindependiente"/>
        <w:ind w:left="102" w:right="106"/>
        <w:jc w:val="both"/>
      </w:pPr>
    </w:p>
    <w:p w:rsidRPr="00EE3722" w:rsidR="00AC424B" w:rsidP="00EE3722" w:rsidRDefault="00AC424B" w14:paraId="3130F85D" w14:textId="77777777">
      <w:pPr>
        <w:pStyle w:val="Textoindependiente"/>
        <w:ind w:left="102" w:right="106"/>
        <w:jc w:val="both"/>
        <w:rPr>
          <w:sz w:val="20"/>
          <w:szCs w:val="20"/>
        </w:rPr>
      </w:pPr>
      <w:r w:rsidRPr="00EE3722">
        <w:rPr>
          <w:sz w:val="20"/>
          <w:szCs w:val="20"/>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el último los documentos o requisitos subsanables pueden y deben solicitarse hasta el momento previo a su realización.</w:t>
      </w:r>
    </w:p>
    <w:p w:rsidRPr="00EE3722" w:rsidR="00AC424B" w:rsidP="00EE3722" w:rsidRDefault="00AC424B" w14:paraId="3130F85E" w14:textId="77777777">
      <w:pPr>
        <w:pStyle w:val="Textoindependiente"/>
        <w:ind w:left="102" w:right="106"/>
        <w:jc w:val="both"/>
      </w:pPr>
    </w:p>
    <w:p w:rsidRPr="00EE3722" w:rsidR="00AC424B" w:rsidP="656575E6" w:rsidRDefault="00AC424B" w14:paraId="3130F85F" w14:textId="2E4D5C9C">
      <w:pPr>
        <w:pStyle w:val="Textoindependiente"/>
        <w:ind w:left="102" w:right="106"/>
        <w:jc w:val="both"/>
        <w:rPr>
          <w:b w:val="1"/>
          <w:bCs w:val="1"/>
        </w:rPr>
      </w:pPr>
      <w:r w:rsidRPr="656575E6" w:rsidR="00AC424B">
        <w:rPr>
          <w:b w:val="1"/>
          <w:bCs w:val="1"/>
        </w:rPr>
        <w:t xml:space="preserve">SUBSANABILIDAD – Circunstancias  </w:t>
      </w:r>
      <w:r w:rsidRPr="656575E6" w:rsidR="00AC424B">
        <w:rPr>
          <w:b w:val="1"/>
          <w:bCs w:val="1"/>
        </w:rPr>
        <w:t>posterio</w:t>
      </w:r>
      <w:r w:rsidRPr="656575E6" w:rsidR="4C652C0B">
        <w:rPr>
          <w:b w:val="1"/>
          <w:bCs w:val="1"/>
        </w:rPr>
        <w:t>res</w:t>
      </w:r>
      <w:r w:rsidRPr="656575E6" w:rsidR="00AC424B">
        <w:rPr>
          <w:b w:val="1"/>
          <w:bCs w:val="1"/>
        </w:rPr>
        <w:t xml:space="preserve"> </w:t>
      </w:r>
      <w:r w:rsidRPr="656575E6" w:rsidR="2ED2A06A">
        <w:rPr>
          <w:b w:val="1"/>
          <w:bCs w:val="1"/>
        </w:rPr>
        <w:t>– C</w:t>
      </w:r>
      <w:r w:rsidRPr="656575E6" w:rsidR="00AC424B">
        <w:rPr>
          <w:b w:val="1"/>
          <w:bCs w:val="1"/>
        </w:rPr>
        <w:t xml:space="preserve">ierre del proceso </w:t>
      </w:r>
    </w:p>
    <w:p w:rsidRPr="00EE3722" w:rsidR="00AC424B" w:rsidP="00EE3722" w:rsidRDefault="00AC424B" w14:paraId="3130F860" w14:textId="77777777">
      <w:pPr>
        <w:pStyle w:val="Textoindependiente"/>
        <w:ind w:left="102" w:right="106"/>
        <w:jc w:val="both"/>
      </w:pPr>
    </w:p>
    <w:p w:rsidRPr="00EE3722" w:rsidR="00AC424B" w:rsidP="00EE3722" w:rsidRDefault="00AC424B" w14:paraId="3130F861" w14:textId="77777777">
      <w:pPr>
        <w:pStyle w:val="Textoindependiente"/>
        <w:ind w:left="102" w:right="106"/>
        <w:jc w:val="both"/>
        <w:rPr>
          <w:sz w:val="20"/>
          <w:szCs w:val="20"/>
        </w:rPr>
      </w:pPr>
      <w:r w:rsidRPr="00EE3722">
        <w:rPr>
          <w:sz w:val="20"/>
          <w:szCs w:val="20"/>
        </w:rPr>
        <w:t xml:space="preserve">Un mejor entendimiento del significado de la expresión “circunstancias ocurridas con posterioridad al cierre del proceso” nos lleva necesariamente a distinguir entre la prueba de un hecho y el hecho mismo. En el caso de la </w:t>
      </w:r>
      <w:proofErr w:type="spellStart"/>
      <w:r w:rsidRPr="00EE3722">
        <w:rPr>
          <w:sz w:val="20"/>
          <w:szCs w:val="20"/>
        </w:rPr>
        <w:t>subsanabilidad</w:t>
      </w:r>
      <w:proofErr w:type="spellEnd"/>
      <w:r w:rsidRPr="00EE3722">
        <w:rPr>
          <w:sz w:val="20"/>
          <w:szCs w:val="20"/>
        </w:rPr>
        <w:t xml:space="preserve">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rsidRPr="00EE3722" w:rsidR="00AC424B" w:rsidP="00EE3722" w:rsidRDefault="00AC424B" w14:paraId="3130F862" w14:textId="77777777">
      <w:pPr>
        <w:pStyle w:val="Textoindependiente"/>
        <w:ind w:left="102" w:right="106"/>
        <w:jc w:val="both"/>
      </w:pPr>
    </w:p>
    <w:p w:rsidRPr="00EE3722" w:rsidR="00AC424B" w:rsidP="656575E6" w:rsidRDefault="00AC424B" w14:paraId="3130F863" w14:textId="3BC7C35D">
      <w:pPr>
        <w:pStyle w:val="Textoindependiente"/>
        <w:ind w:left="102" w:right="106"/>
        <w:jc w:val="both"/>
        <w:rPr>
          <w:b w:val="1"/>
          <w:bCs w:val="1"/>
        </w:rPr>
      </w:pPr>
      <w:r w:rsidRPr="656575E6" w:rsidR="00AC424B">
        <w:rPr>
          <w:b w:val="1"/>
          <w:bCs w:val="1"/>
        </w:rPr>
        <w:t xml:space="preserve">SUBSANABILIDAD – </w:t>
      </w:r>
      <w:r w:rsidRPr="656575E6" w:rsidR="234ED4D5">
        <w:rPr>
          <w:b w:val="1"/>
          <w:bCs w:val="1"/>
        </w:rPr>
        <w:t xml:space="preserve">Aspectos </w:t>
      </w:r>
      <w:r w:rsidRPr="656575E6" w:rsidR="3C18DA50">
        <w:rPr>
          <w:b w:val="1"/>
          <w:bCs w:val="1"/>
        </w:rPr>
        <w:t>su</w:t>
      </w:r>
      <w:r w:rsidRPr="656575E6" w:rsidR="234ED4D5">
        <w:rPr>
          <w:b w:val="1"/>
          <w:bCs w:val="1"/>
        </w:rPr>
        <w:t>bsanables –</w:t>
      </w:r>
      <w:r w:rsidRPr="656575E6" w:rsidR="00AC424B">
        <w:rPr>
          <w:b w:val="1"/>
          <w:bCs w:val="1"/>
        </w:rPr>
        <w:t xml:space="preserve"> </w:t>
      </w:r>
      <w:r w:rsidRPr="656575E6" w:rsidR="210AA5FC">
        <w:rPr>
          <w:b w:val="1"/>
          <w:bCs w:val="1"/>
        </w:rPr>
        <w:t>N</w:t>
      </w:r>
      <w:r w:rsidRPr="656575E6" w:rsidR="00AC424B">
        <w:rPr>
          <w:b w:val="1"/>
          <w:bCs w:val="1"/>
        </w:rPr>
        <w:t>o o</w:t>
      </w:r>
      <w:r w:rsidRPr="656575E6" w:rsidR="1CD864DF">
        <w:rPr>
          <w:b w:val="1"/>
          <w:bCs w:val="1"/>
        </w:rPr>
        <w:t xml:space="preserve">torga </w:t>
      </w:r>
      <w:r w:rsidRPr="656575E6" w:rsidR="00AC424B">
        <w:rPr>
          <w:b w:val="1"/>
          <w:bCs w:val="1"/>
        </w:rPr>
        <w:t>puntaje</w:t>
      </w:r>
    </w:p>
    <w:p w:rsidRPr="00EE3722" w:rsidR="00AC424B" w:rsidP="00EE3722" w:rsidRDefault="00AC424B" w14:paraId="3130F864" w14:textId="77777777">
      <w:pPr>
        <w:pStyle w:val="Textoindependiente"/>
        <w:ind w:left="102" w:right="106"/>
        <w:jc w:val="both"/>
      </w:pPr>
    </w:p>
    <w:p w:rsidRPr="00EE3722" w:rsidR="00AC424B" w:rsidP="00EE3722" w:rsidRDefault="00AC424B" w14:paraId="3130F865" w14:textId="77777777">
      <w:pPr>
        <w:pStyle w:val="Textoindependiente"/>
        <w:ind w:left="102" w:right="106"/>
        <w:jc w:val="both"/>
        <w:rPr>
          <w:sz w:val="20"/>
          <w:szCs w:val="20"/>
        </w:rPr>
      </w:pPr>
      <w:r w:rsidRPr="00EE3722">
        <w:rPr>
          <w:sz w:val="20"/>
          <w:szCs w:val="20"/>
        </w:rPr>
        <w:t>Se reitera que si la Administración, al verificar, encuentra que lo omitido por el proponente es un aspecto que otorga puntaje, entonces no es posible subsanarlo; pero si lo omitido no otorga puntaje la Administración debe requerir al proponente para que lo subsane. Así las cosas, si un oferente no cumple con el requisito de experiencia, puede subsanarla, siempre y cuando lo acreditado no constituyan circunstancias ocurridas con posterioridad al cierre del proceso, en los términos ya explicados.</w:t>
      </w:r>
    </w:p>
    <w:p w:rsidR="00AC424B" w:rsidP="00EE3722" w:rsidRDefault="00AC424B" w14:paraId="3130F866" w14:textId="02F079D3">
      <w:pPr>
        <w:pStyle w:val="Textoindependiente"/>
        <w:ind w:left="102"/>
      </w:pPr>
    </w:p>
    <w:p w:rsidRPr="00EE3722" w:rsidR="00EE3722" w:rsidP="00EE3722" w:rsidRDefault="00EE3722" w14:paraId="5E7E3DFC" w14:textId="77777777">
      <w:pPr>
        <w:pStyle w:val="Textoindependiente"/>
        <w:ind w:left="102"/>
      </w:pPr>
    </w:p>
    <w:p w:rsidRPr="00EE3722" w:rsidR="000C041C" w:rsidP="00EE3722" w:rsidRDefault="002370A1" w14:paraId="3130F867" w14:textId="77777777">
      <w:pPr>
        <w:pStyle w:val="Textoindependiente"/>
        <w:ind w:left="102"/>
      </w:pPr>
      <w:r w:rsidRPr="00EE3722">
        <w:t>Bogotá D.C.,29/11/2019 Hora 16:28:43s</w:t>
      </w:r>
    </w:p>
    <w:p w:rsidRPr="00EE3722" w:rsidR="000C041C" w:rsidRDefault="002370A1" w14:paraId="3130F868" w14:textId="77777777">
      <w:pPr>
        <w:pStyle w:val="Textoindependiente"/>
        <w:spacing w:before="37"/>
        <w:ind w:left="5714"/>
      </w:pPr>
      <w:r w:rsidRPr="00EE3722">
        <w:t>N° Radicado: 2201913000008850</w:t>
      </w:r>
    </w:p>
    <w:p w:rsidRPr="00EE3722" w:rsidR="000C041C" w:rsidRDefault="002370A1" w14:paraId="3130F86A" w14:textId="77777777">
      <w:pPr>
        <w:pStyle w:val="Textoindependiente"/>
        <w:spacing w:before="93"/>
        <w:ind w:left="100"/>
      </w:pPr>
      <w:r w:rsidRPr="00EE3722">
        <w:t>Señor</w:t>
      </w:r>
    </w:p>
    <w:p w:rsidRPr="00EE3722" w:rsidR="000C041C" w:rsidRDefault="002370A1" w14:paraId="3130F86B" w14:textId="77777777">
      <w:pPr>
        <w:pStyle w:val="Ttulo1"/>
        <w:spacing w:before="37"/>
        <w:ind w:left="100" w:firstLine="0"/>
      </w:pPr>
      <w:r w:rsidRPr="00EE3722">
        <w:t xml:space="preserve">Héctor Manuel Vásquez </w:t>
      </w:r>
      <w:proofErr w:type="spellStart"/>
      <w:r w:rsidRPr="00EE3722">
        <w:t>Vásquez</w:t>
      </w:r>
      <w:proofErr w:type="spellEnd"/>
    </w:p>
    <w:p w:rsidRPr="00EE3722" w:rsidR="000C041C" w:rsidRDefault="002370A1" w14:paraId="3130F86C" w14:textId="77777777">
      <w:pPr>
        <w:pStyle w:val="Textoindependiente"/>
        <w:spacing w:before="39"/>
        <w:ind w:left="100"/>
      </w:pPr>
      <w:r w:rsidRPr="00EE3722">
        <w:t>Ciudad</w:t>
      </w:r>
    </w:p>
    <w:p w:rsidRPr="00EE3722" w:rsidR="000C041C" w:rsidRDefault="000C041C" w14:paraId="3130F86D" w14:textId="77777777">
      <w:pPr>
        <w:pStyle w:val="Textoindependiente"/>
        <w:rPr>
          <w:sz w:val="24"/>
        </w:rPr>
      </w:pPr>
    </w:p>
    <w:p w:rsidRPr="00EE3722" w:rsidR="000C041C" w:rsidRDefault="002370A1" w14:paraId="3130F86F" w14:textId="77777777">
      <w:pPr>
        <w:pStyle w:val="Textoindependiente"/>
        <w:tabs>
          <w:tab w:val="left" w:pos="3640"/>
        </w:tabs>
        <w:spacing w:before="1"/>
        <w:ind w:left="100"/>
      </w:pPr>
      <w:r w:rsidRPr="007506B7">
        <w:rPr>
          <w:b/>
          <w:bCs/>
        </w:rPr>
        <w:t>Radicación:</w:t>
      </w:r>
      <w:r w:rsidRPr="00EE3722">
        <w:tab/>
      </w:r>
      <w:r w:rsidRPr="00EE3722">
        <w:t>Respuesta a consulta #</w:t>
      </w:r>
      <w:r w:rsidRPr="00EE3722">
        <w:rPr>
          <w:spacing w:val="-7"/>
        </w:rPr>
        <w:t xml:space="preserve"> </w:t>
      </w:r>
      <w:r w:rsidRPr="00EE3722">
        <w:t>4201912000007117</w:t>
      </w:r>
    </w:p>
    <w:p w:rsidRPr="00EE3722" w:rsidR="000C041C" w:rsidRDefault="002370A1" w14:paraId="3130F870" w14:textId="77777777">
      <w:pPr>
        <w:pStyle w:val="Textoindependiente"/>
        <w:tabs>
          <w:tab w:val="left" w:pos="3640"/>
        </w:tabs>
        <w:spacing w:before="37"/>
        <w:ind w:left="100"/>
      </w:pPr>
      <w:r w:rsidRPr="007506B7">
        <w:rPr>
          <w:b/>
          <w:bCs/>
        </w:rPr>
        <w:t>Temas:</w:t>
      </w:r>
      <w:r w:rsidRPr="00EE3722">
        <w:tab/>
      </w:r>
      <w:proofErr w:type="spellStart"/>
      <w:r w:rsidRPr="00EE3722">
        <w:t>Subsanabilidad</w:t>
      </w:r>
      <w:proofErr w:type="spellEnd"/>
      <w:r w:rsidRPr="00EE3722">
        <w:t xml:space="preserve"> de la</w:t>
      </w:r>
      <w:r w:rsidRPr="00EE3722">
        <w:rPr>
          <w:spacing w:val="-5"/>
        </w:rPr>
        <w:t xml:space="preserve"> </w:t>
      </w:r>
      <w:r w:rsidRPr="00EE3722">
        <w:t>oferta</w:t>
      </w:r>
    </w:p>
    <w:p w:rsidRPr="00EE3722" w:rsidR="000C041C" w:rsidRDefault="002370A1" w14:paraId="3130F871" w14:textId="77777777">
      <w:pPr>
        <w:pStyle w:val="Textoindependiente"/>
        <w:tabs>
          <w:tab w:val="left" w:pos="3640"/>
        </w:tabs>
        <w:spacing w:before="37" w:line="552" w:lineRule="auto"/>
        <w:ind w:left="100" w:right="2269"/>
        <w:jc w:val="both"/>
      </w:pPr>
      <w:r w:rsidRPr="007506B7">
        <w:rPr>
          <w:b/>
          <w:bCs/>
        </w:rPr>
        <w:t>Tipo de</w:t>
      </w:r>
      <w:r w:rsidRPr="007506B7">
        <w:rPr>
          <w:b/>
          <w:bCs/>
          <w:spacing w:val="-6"/>
        </w:rPr>
        <w:t xml:space="preserve"> </w:t>
      </w:r>
      <w:r w:rsidRPr="007506B7">
        <w:rPr>
          <w:b/>
          <w:bCs/>
        </w:rPr>
        <w:t>asunto</w:t>
      </w:r>
      <w:r w:rsidRPr="007506B7">
        <w:rPr>
          <w:b/>
          <w:bCs/>
          <w:spacing w:val="-4"/>
        </w:rPr>
        <w:t xml:space="preserve"> </w:t>
      </w:r>
      <w:r w:rsidRPr="007506B7">
        <w:rPr>
          <w:b/>
          <w:bCs/>
        </w:rPr>
        <w:t>consultado:</w:t>
      </w:r>
      <w:r w:rsidRPr="00EE3722">
        <w:tab/>
      </w:r>
      <w:proofErr w:type="spellStart"/>
      <w:r w:rsidRPr="00EE3722">
        <w:t>Subsanabilidad</w:t>
      </w:r>
      <w:proofErr w:type="spellEnd"/>
      <w:r w:rsidRPr="00EE3722">
        <w:t xml:space="preserve"> de la experiencia </w:t>
      </w:r>
      <w:r w:rsidRPr="00EE3722">
        <w:lastRenderedPageBreak/>
        <w:t>Estimado señor</w:t>
      </w:r>
      <w:r w:rsidRPr="00EE3722">
        <w:rPr>
          <w:spacing w:val="-5"/>
        </w:rPr>
        <w:t xml:space="preserve"> </w:t>
      </w:r>
      <w:r w:rsidRPr="00EE3722">
        <w:t>Plata,</w:t>
      </w:r>
    </w:p>
    <w:p w:rsidRPr="00EE3722" w:rsidR="000C041C" w:rsidRDefault="002370A1" w14:paraId="3130F872" w14:textId="77777777">
      <w:pPr>
        <w:pStyle w:val="Textoindependiente"/>
        <w:spacing w:before="1" w:line="276" w:lineRule="auto"/>
        <w:ind w:left="100" w:right="106"/>
        <w:jc w:val="both"/>
      </w:pPr>
      <w:r w:rsidRPr="00EE3722">
        <w:t xml:space="preserve">La Agencia Nacional de Contratación Pública - Colombia Compra Eficiente responde su consulta del 16 de octubre de 2019, en ejercicio de la competencia otorgada por el numeral 5 del artículo 3 y el numeral 8 del </w:t>
      </w:r>
      <w:proofErr w:type="spellStart"/>
      <w:r w:rsidRPr="00EE3722">
        <w:t>articulo</w:t>
      </w:r>
      <w:proofErr w:type="spellEnd"/>
      <w:r w:rsidRPr="00EE3722">
        <w:t xml:space="preserve"> 11 del Decreto 4170 de 2011.</w:t>
      </w:r>
    </w:p>
    <w:p w:rsidRPr="00EE3722" w:rsidR="000C041C" w:rsidRDefault="000C041C" w14:paraId="3130F873" w14:textId="77777777">
      <w:pPr>
        <w:pStyle w:val="Textoindependiente"/>
        <w:spacing w:before="3"/>
        <w:rPr>
          <w:sz w:val="25"/>
        </w:rPr>
      </w:pPr>
    </w:p>
    <w:p w:rsidRPr="00EE3722" w:rsidR="000C041C" w:rsidRDefault="002370A1" w14:paraId="3130F874" w14:textId="77777777">
      <w:pPr>
        <w:pStyle w:val="Ttulo1"/>
        <w:numPr>
          <w:ilvl w:val="0"/>
          <w:numId w:val="1"/>
        </w:numPr>
        <w:tabs>
          <w:tab w:val="left" w:pos="343"/>
        </w:tabs>
      </w:pPr>
      <w:r w:rsidRPr="00EE3722">
        <w:t>Problemas</w:t>
      </w:r>
      <w:r w:rsidRPr="00EE3722">
        <w:rPr>
          <w:spacing w:val="-3"/>
        </w:rPr>
        <w:t xml:space="preserve"> </w:t>
      </w:r>
      <w:r w:rsidRPr="00EE3722">
        <w:t>planteados</w:t>
      </w:r>
    </w:p>
    <w:p w:rsidRPr="007506B7" w:rsidR="000C041C" w:rsidRDefault="000C041C" w14:paraId="3130F875" w14:textId="77777777">
      <w:pPr>
        <w:pStyle w:val="Textoindependiente"/>
        <w:spacing w:before="7"/>
        <w:rPr>
          <w:b/>
          <w:sz w:val="24"/>
          <w:szCs w:val="24"/>
        </w:rPr>
      </w:pPr>
    </w:p>
    <w:p w:rsidRPr="00EE3722" w:rsidR="000C041C" w:rsidRDefault="002370A1" w14:paraId="3130F876" w14:textId="77777777">
      <w:pPr>
        <w:pStyle w:val="Textoindependiente"/>
        <w:ind w:left="100"/>
      </w:pPr>
      <w:r w:rsidRPr="00EE3722">
        <w:t>El solicitante plantea el siguiente interrogante:</w:t>
      </w:r>
    </w:p>
    <w:p w:rsidRPr="00EE3722" w:rsidR="000C041C" w:rsidRDefault="000C041C" w14:paraId="3130F877" w14:textId="77777777">
      <w:pPr>
        <w:pStyle w:val="Textoindependiente"/>
        <w:spacing w:before="8"/>
        <w:rPr>
          <w:sz w:val="28"/>
        </w:rPr>
      </w:pPr>
    </w:p>
    <w:p w:rsidRPr="00EE3722" w:rsidR="000C041C" w:rsidRDefault="002370A1" w14:paraId="3130F878" w14:textId="77777777">
      <w:pPr>
        <w:pStyle w:val="Textoindependiente"/>
        <w:spacing w:line="276" w:lineRule="auto"/>
        <w:ind w:left="100" w:right="112"/>
        <w:jc w:val="both"/>
      </w:pPr>
      <w:r w:rsidRPr="00EE3722">
        <w:t xml:space="preserve">“Partiendo de lo establecido en el artículo 5 de la Ley 1882 de 2018 y el numeral 1.6 Reglas de </w:t>
      </w:r>
      <w:proofErr w:type="spellStart"/>
      <w:r w:rsidRPr="00EE3722">
        <w:t>Subsanabilidad</w:t>
      </w:r>
      <w:proofErr w:type="spellEnd"/>
      <w:r w:rsidRPr="00EE3722">
        <w:t>, establecidas en el documento base de los pliegos</w:t>
      </w:r>
      <w:r w:rsidRPr="00EE3722">
        <w:rPr>
          <w:spacing w:val="-34"/>
        </w:rPr>
        <w:t xml:space="preserve"> </w:t>
      </w:r>
      <w:r w:rsidRPr="00EE3722">
        <w:t>tipos.</w:t>
      </w:r>
    </w:p>
    <w:p w:rsidRPr="00EE3722" w:rsidR="000C041C" w:rsidRDefault="000C041C" w14:paraId="3130F879" w14:textId="77777777">
      <w:pPr>
        <w:pStyle w:val="Textoindependiente"/>
        <w:spacing w:before="3"/>
        <w:rPr>
          <w:sz w:val="25"/>
        </w:rPr>
      </w:pPr>
    </w:p>
    <w:p w:rsidRPr="00EE3722" w:rsidR="000C041C" w:rsidRDefault="002370A1" w14:paraId="3130F87A" w14:textId="77777777">
      <w:pPr>
        <w:pStyle w:val="Textoindependiente"/>
        <w:spacing w:line="276" w:lineRule="auto"/>
        <w:ind w:left="100" w:right="106"/>
        <w:jc w:val="both"/>
      </w:pPr>
      <w:r w:rsidRPr="00EE3722">
        <w:t>“¿Si un contrato aportado por un proponente no cumple con la experiencia habilitante, este puede aportar un nuevo contrato para cumplir con la experiencia requerida? ¿El hecho de aportar y relacionar posterior al cierre del proceso, en el cuadro de experiencia un nuevo contrato se debe catalogar como mejoramiento de la oferta?”</w:t>
      </w:r>
    </w:p>
    <w:p w:rsidRPr="007506B7" w:rsidR="000C041C" w:rsidRDefault="000C041C" w14:paraId="3130F87B" w14:textId="77777777">
      <w:pPr>
        <w:pStyle w:val="Textoindependiente"/>
        <w:spacing w:before="4"/>
        <w:rPr>
          <w:sz w:val="24"/>
          <w:szCs w:val="24"/>
        </w:rPr>
      </w:pPr>
    </w:p>
    <w:p w:rsidRPr="00EE3722" w:rsidR="000C041C" w:rsidRDefault="002370A1" w14:paraId="3130F87C" w14:textId="77777777">
      <w:pPr>
        <w:pStyle w:val="Ttulo1"/>
        <w:numPr>
          <w:ilvl w:val="0"/>
          <w:numId w:val="1"/>
        </w:numPr>
        <w:tabs>
          <w:tab w:val="left" w:pos="343"/>
        </w:tabs>
      </w:pPr>
      <w:r w:rsidRPr="00EE3722">
        <w:t>Consideraciones</w:t>
      </w:r>
    </w:p>
    <w:p w:rsidRPr="007506B7" w:rsidR="000C041C" w:rsidRDefault="000C041C" w14:paraId="3130F87D" w14:textId="77777777">
      <w:pPr>
        <w:pStyle w:val="Textoindependiente"/>
        <w:spacing w:before="8"/>
        <w:rPr>
          <w:b/>
          <w:sz w:val="24"/>
          <w:szCs w:val="24"/>
        </w:rPr>
      </w:pPr>
    </w:p>
    <w:p w:rsidRPr="00EE3722" w:rsidR="000C041C" w:rsidRDefault="002370A1" w14:paraId="3130F87E" w14:textId="77777777">
      <w:pPr>
        <w:pStyle w:val="Textoindependiente"/>
        <w:spacing w:line="276" w:lineRule="auto"/>
        <w:ind w:left="100" w:right="104"/>
        <w:jc w:val="both"/>
      </w:pPr>
      <w:r w:rsidRPr="00EE3722">
        <w:t xml:space="preserve">Para resolver la consulta se analizarán los siguientes temas: i) régimen jurídico de </w:t>
      </w:r>
      <w:proofErr w:type="spellStart"/>
      <w:r w:rsidRPr="00EE3722">
        <w:t>subsanabilidad</w:t>
      </w:r>
      <w:proofErr w:type="spellEnd"/>
      <w:r w:rsidRPr="00EE3722">
        <w:t xml:space="preserve"> de las ofertas y ii) modificaciones de la Ley 1882 de 2018.</w:t>
      </w:r>
    </w:p>
    <w:p w:rsidRPr="00EE3722" w:rsidR="000C041C" w:rsidRDefault="000C041C" w14:paraId="3130F87F" w14:textId="77777777">
      <w:pPr>
        <w:pStyle w:val="Textoindependiente"/>
        <w:spacing w:before="5"/>
        <w:rPr>
          <w:sz w:val="16"/>
        </w:rPr>
      </w:pPr>
    </w:p>
    <w:p w:rsidRPr="00EE3722" w:rsidR="000C041C" w:rsidRDefault="002370A1" w14:paraId="3130F880" w14:textId="77777777">
      <w:pPr>
        <w:pStyle w:val="Ttulo1"/>
        <w:numPr>
          <w:ilvl w:val="1"/>
          <w:numId w:val="1"/>
        </w:numPr>
        <w:tabs>
          <w:tab w:val="left" w:pos="526"/>
        </w:tabs>
        <w:spacing w:before="93"/>
      </w:pPr>
      <w:r w:rsidRPr="00EE3722">
        <w:t xml:space="preserve">Régimen jurídico de la </w:t>
      </w:r>
      <w:proofErr w:type="spellStart"/>
      <w:r w:rsidRPr="00EE3722">
        <w:t>subsanabilidad</w:t>
      </w:r>
      <w:proofErr w:type="spellEnd"/>
      <w:r w:rsidRPr="00EE3722">
        <w:t xml:space="preserve"> de las</w:t>
      </w:r>
      <w:r w:rsidRPr="00EE3722">
        <w:rPr>
          <w:spacing w:val="-3"/>
        </w:rPr>
        <w:t xml:space="preserve"> </w:t>
      </w:r>
      <w:r w:rsidRPr="00EE3722">
        <w:t>ofertas</w:t>
      </w:r>
    </w:p>
    <w:p w:rsidRPr="007506B7" w:rsidR="000C041C" w:rsidRDefault="000C041C" w14:paraId="3130F881" w14:textId="77777777">
      <w:pPr>
        <w:pStyle w:val="Textoindependiente"/>
        <w:spacing w:before="8"/>
        <w:rPr>
          <w:b/>
          <w:sz w:val="24"/>
          <w:szCs w:val="24"/>
        </w:rPr>
      </w:pPr>
    </w:p>
    <w:p w:rsidRPr="00EE3722" w:rsidR="000C041C" w:rsidRDefault="002370A1" w14:paraId="3130F882" w14:textId="77777777">
      <w:pPr>
        <w:pStyle w:val="Textoindependiente"/>
        <w:spacing w:line="276" w:lineRule="auto"/>
        <w:ind w:left="100" w:right="111"/>
        <w:jc w:val="both"/>
      </w:pPr>
      <w:r w:rsidRPr="00EE3722">
        <w:t>La posibilidad de enmendar, corregir o subsanar los errores en los que se incurren en los documentos contentivos de la oferta es un tema que ha tenido diferentes momentos o etapas en el ordenamiento jurídico colombiano.</w:t>
      </w:r>
    </w:p>
    <w:p w:rsidRPr="00EE3722" w:rsidR="000C041C" w:rsidRDefault="000C041C" w14:paraId="3130F883" w14:textId="77777777">
      <w:pPr>
        <w:pStyle w:val="Textoindependiente"/>
        <w:spacing w:before="5"/>
        <w:rPr>
          <w:sz w:val="25"/>
        </w:rPr>
      </w:pPr>
    </w:p>
    <w:p w:rsidRPr="00EE3722" w:rsidR="000C041C" w:rsidRDefault="002370A1" w14:paraId="3130F884" w14:textId="77777777">
      <w:pPr>
        <w:pStyle w:val="Textoindependiente"/>
        <w:spacing w:line="276" w:lineRule="auto"/>
        <w:ind w:left="100" w:right="105"/>
        <w:jc w:val="both"/>
      </w:pPr>
      <w:r w:rsidRPr="00EE3722">
        <w:t xml:space="preserve">En un </w:t>
      </w:r>
      <w:r w:rsidRPr="00EE3722">
        <w:rPr>
          <w:i/>
        </w:rPr>
        <w:t>primer momento</w:t>
      </w:r>
      <w:r w:rsidRPr="00EE3722">
        <w:t xml:space="preserve">, antes de la entrada en vigencia de la Constitución Política de 1991, el régimen jurídico de la </w:t>
      </w:r>
      <w:proofErr w:type="spellStart"/>
      <w:r w:rsidRPr="00EE3722">
        <w:t>subsanabilidad</w:t>
      </w:r>
      <w:proofErr w:type="spellEnd"/>
      <w:r w:rsidRPr="00EE3722">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w:t>
      </w:r>
    </w:p>
    <w:p w:rsidRPr="00EE3722" w:rsidR="000C041C" w:rsidRDefault="000C041C" w14:paraId="3130F885" w14:textId="77777777">
      <w:pPr>
        <w:pStyle w:val="Textoindependiente"/>
        <w:spacing w:before="2"/>
        <w:rPr>
          <w:sz w:val="25"/>
        </w:rPr>
      </w:pPr>
    </w:p>
    <w:p w:rsidRPr="00EE3722" w:rsidR="000C041C" w:rsidRDefault="002370A1" w14:paraId="3130F886" w14:textId="77777777">
      <w:pPr>
        <w:pStyle w:val="Textoindependiente"/>
        <w:spacing w:line="276" w:lineRule="auto"/>
        <w:ind w:left="100" w:right="110"/>
        <w:jc w:val="both"/>
      </w:pPr>
      <w:r w:rsidRPr="00EE3722">
        <w:t xml:space="preserve">En un </w:t>
      </w:r>
      <w:r w:rsidRPr="00EE3722">
        <w:rPr>
          <w:i/>
        </w:rPr>
        <w:t xml:space="preserve">segundo momento </w:t>
      </w:r>
      <w:r w:rsidRPr="00EE3722">
        <w:t>se expidió la Ley 80 de 1993, bajo el nuevo paradigma que supuso la Constitución de 1991, particularmente en la forma cómo se relaciona lo formal y lo sustancial en las actuaciones judiciales y administrativas. Este cambio ideológico quedó consignado en el artículo 228, que introdujo un principio de supremacía o prevalencia del derecho sustancial sobre lo procedimental.</w:t>
      </w:r>
    </w:p>
    <w:p w:rsidRPr="00EE3722" w:rsidR="000C041C" w:rsidRDefault="000C041C" w14:paraId="3130F887" w14:textId="77777777">
      <w:pPr>
        <w:pStyle w:val="Textoindependiente"/>
        <w:spacing w:before="3"/>
        <w:rPr>
          <w:sz w:val="25"/>
        </w:rPr>
      </w:pPr>
    </w:p>
    <w:p w:rsidRPr="00EE3722" w:rsidR="000C041C" w:rsidRDefault="002370A1" w14:paraId="3130F888" w14:textId="77777777">
      <w:pPr>
        <w:pStyle w:val="Textoindependiente"/>
        <w:spacing w:line="278" w:lineRule="auto"/>
        <w:ind w:left="100" w:right="115"/>
        <w:jc w:val="both"/>
      </w:pPr>
      <w:r w:rsidRPr="00EE3722">
        <w:lastRenderedPageBreak/>
        <w:t>En este nuevo escenario constitucional, el numeral 15 del artículo 25 de la Ley 80 de 1993 dispuso lo siguiente:</w:t>
      </w:r>
    </w:p>
    <w:p w:rsidRPr="00EE3722" w:rsidR="000C041C" w:rsidRDefault="000C041C" w14:paraId="3130F889" w14:textId="77777777">
      <w:pPr>
        <w:pStyle w:val="Textoindependiente"/>
        <w:spacing w:before="1"/>
        <w:rPr>
          <w:sz w:val="25"/>
        </w:rPr>
      </w:pPr>
    </w:p>
    <w:p w:rsidRPr="00EE3722" w:rsidR="000C041C" w:rsidRDefault="002370A1" w14:paraId="3130F88A" w14:textId="77777777">
      <w:pPr>
        <w:pStyle w:val="Textoindependiente"/>
        <w:ind w:left="808" w:right="108"/>
        <w:jc w:val="both"/>
      </w:pPr>
      <w:r w:rsidRPr="00EE3722">
        <w:t>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rsidRPr="00EE3722" w:rsidR="000C041C" w:rsidRDefault="000C041C" w14:paraId="3130F88B" w14:textId="77777777">
      <w:pPr>
        <w:pStyle w:val="Textoindependiente"/>
      </w:pPr>
    </w:p>
    <w:p w:rsidRPr="00EE3722" w:rsidR="000C041C" w:rsidRDefault="002370A1" w14:paraId="3130F88C" w14:textId="77777777">
      <w:pPr>
        <w:pStyle w:val="Textoindependiente"/>
        <w:ind w:left="808" w:right="104"/>
        <w:jc w:val="both"/>
      </w:pPr>
      <w:r w:rsidRPr="00EE3722">
        <w:t xml:space="preserve">La ausencia de requisitos o la falta de documentos referentes a la futura contratación o al proponente, </w:t>
      </w:r>
      <w:r w:rsidRPr="00EE3722">
        <w:rPr>
          <w:b/>
        </w:rPr>
        <w:t>no necesarios para la comparación de propuestas</w:t>
      </w:r>
      <w:r w:rsidRPr="00EE3722">
        <w:t>, no servirá de título suficiente para el rechazo de los ofrecimientos hechos. (Negrillas fuera de texto).</w:t>
      </w:r>
    </w:p>
    <w:p w:rsidRPr="00EE3722" w:rsidR="000C041C" w:rsidRDefault="000C041C" w14:paraId="3130F88D" w14:textId="77777777">
      <w:pPr>
        <w:pStyle w:val="Textoindependiente"/>
        <w:spacing w:before="4"/>
        <w:rPr>
          <w:sz w:val="25"/>
        </w:rPr>
      </w:pPr>
    </w:p>
    <w:p w:rsidRPr="00EE3722" w:rsidR="000C041C" w:rsidRDefault="002370A1" w14:paraId="3130F88E" w14:textId="77777777">
      <w:pPr>
        <w:pStyle w:val="Textoindependiente"/>
        <w:spacing w:line="276" w:lineRule="auto"/>
        <w:ind w:left="100" w:right="106"/>
        <w:jc w:val="both"/>
      </w:pPr>
      <w:r w:rsidRPr="00EE3722">
        <w:t xml:space="preserve">Bajo el amparo de esta norma, el régimen jurídico de </w:t>
      </w:r>
      <w:proofErr w:type="spellStart"/>
      <w:r w:rsidRPr="00EE3722">
        <w:t>subsanabilidad</w:t>
      </w:r>
      <w:proofErr w:type="spellEnd"/>
      <w:r w:rsidRPr="00EE3722">
        <w:t xml:space="preserve"> de las ofertas sufre un cambio fundamental, pues ya no era posible rechazar las ofertas por falta de requisitos o documentos que no fueran “</w:t>
      </w:r>
      <w:r w:rsidRPr="00EE3722">
        <w:rPr>
          <w:i/>
        </w:rPr>
        <w:t>necesarios para la comparación de propuestas</w:t>
      </w:r>
      <w:r w:rsidRPr="00EE3722">
        <w:t>”. De esta manera, la ley introdujo un primer criterio jurídico, aunque indeterminado, que servía como punto de partida en la posibilidad de subsanar las ofertas, pues verificada la ausencia de un requisito o documento, previo al rechazo de la oferta, la Administración debía verificar si este era o no necesario para la comparación de propuestas y de ese análisis surgiría la decisión sobre su rechazo o la oportunidad de</w:t>
      </w:r>
      <w:r w:rsidRPr="00EE3722">
        <w:rPr>
          <w:spacing w:val="-11"/>
        </w:rPr>
        <w:t xml:space="preserve"> </w:t>
      </w:r>
      <w:r w:rsidRPr="00EE3722">
        <w:t>subsanar.</w:t>
      </w:r>
    </w:p>
    <w:p w:rsidRPr="00EE3722" w:rsidR="000C041C" w:rsidRDefault="000C041C" w14:paraId="3130F88F" w14:textId="77777777">
      <w:pPr>
        <w:pStyle w:val="Textoindependiente"/>
        <w:spacing w:before="5"/>
        <w:rPr>
          <w:sz w:val="16"/>
        </w:rPr>
      </w:pPr>
    </w:p>
    <w:p w:rsidRPr="00EE3722" w:rsidR="000C041C" w:rsidRDefault="002370A1" w14:paraId="3130F890" w14:textId="05BD7127">
      <w:pPr>
        <w:pStyle w:val="Textoindependiente"/>
        <w:spacing w:before="93" w:line="276" w:lineRule="auto"/>
        <w:ind w:left="100" w:right="105"/>
        <w:jc w:val="both"/>
      </w:pPr>
      <w:r w:rsidRPr="00EE3722">
        <w:t xml:space="preserve">Esta norma debía leerse en conjunto con otras de </w:t>
      </w:r>
      <w:r w:rsidRPr="00EE3722">
        <w:rPr>
          <w:spacing w:val="2"/>
        </w:rPr>
        <w:t xml:space="preserve">la </w:t>
      </w:r>
      <w:r w:rsidRPr="00EE3722">
        <w:t>Ley 80 de 1993, particularmente con el artículo 30.7</w:t>
      </w:r>
      <w:r w:rsidR="00DA4B5C">
        <w:rPr>
          <w:rStyle w:val="Refdenotaalpie"/>
        </w:rPr>
        <w:footnoteReference w:id="1"/>
      </w:r>
      <w:r w:rsidRPr="00EE3722">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00DA4B5C">
        <w:rPr>
          <w:rStyle w:val="Refdenotaalpie"/>
        </w:rPr>
        <w:footnoteReference w:id="2"/>
      </w:r>
      <w:r w:rsidRPr="00EE3722">
        <w:t>, que consagró el término de 5 días hábiles para que los oferentes presenten observaciones al informe de evaluación de las propuestas, sin que sea posible completar, adicionar, modificar o mejorar su</w:t>
      </w:r>
      <w:r w:rsidRPr="00EE3722">
        <w:rPr>
          <w:spacing w:val="-15"/>
        </w:rPr>
        <w:t xml:space="preserve"> </w:t>
      </w:r>
      <w:r w:rsidRPr="00EE3722">
        <w:t>oferta.</w:t>
      </w:r>
    </w:p>
    <w:p w:rsidRPr="00EE3722" w:rsidR="000C041C" w:rsidRDefault="000C041C" w14:paraId="3130F891" w14:textId="77777777">
      <w:pPr>
        <w:pStyle w:val="Textoindependiente"/>
        <w:spacing w:before="4"/>
        <w:rPr>
          <w:sz w:val="25"/>
        </w:rPr>
      </w:pPr>
    </w:p>
    <w:p w:rsidRPr="00EE3722" w:rsidR="000C041C" w:rsidRDefault="002370A1" w14:paraId="3130F892" w14:textId="77777777">
      <w:pPr>
        <w:pStyle w:val="Textoindependiente"/>
        <w:spacing w:line="276" w:lineRule="auto"/>
        <w:ind w:left="100" w:right="111"/>
        <w:jc w:val="both"/>
      </w:pPr>
      <w:r w:rsidRPr="00EE3722">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w:t>
      </w:r>
      <w:r w:rsidRPr="00EE3722">
        <w:lastRenderedPageBreak/>
        <w:t>necesario para la comparación.</w:t>
      </w:r>
    </w:p>
    <w:p w:rsidRPr="00EE3722" w:rsidR="000C041C" w:rsidRDefault="000C041C" w14:paraId="3130F893" w14:textId="77777777">
      <w:pPr>
        <w:pStyle w:val="Textoindependiente"/>
        <w:spacing w:before="4"/>
        <w:rPr>
          <w:sz w:val="25"/>
        </w:rPr>
      </w:pPr>
    </w:p>
    <w:p w:rsidRPr="00EE3722" w:rsidR="000C041C" w:rsidRDefault="002370A1" w14:paraId="3130F894" w14:textId="77777777">
      <w:pPr>
        <w:pStyle w:val="Textoindependiente"/>
        <w:spacing w:line="278" w:lineRule="auto"/>
        <w:ind w:left="100" w:right="110"/>
        <w:jc w:val="both"/>
      </w:pPr>
      <w:r w:rsidRPr="00EE3722">
        <w:t xml:space="preserve">En un </w:t>
      </w:r>
      <w:r w:rsidRPr="00EE3722">
        <w:rPr>
          <w:i/>
        </w:rPr>
        <w:t>tercer momento</w:t>
      </w:r>
      <w:r w:rsidRPr="00EE3722">
        <w:t>, y siguiendo la línea trazada por la Ley 80 de 1993, el legislador expidió la Ley 1150 de 2007, que en el parágrafo 1º del artículo 5 determinó lo siguiente:</w:t>
      </w:r>
    </w:p>
    <w:p w:rsidRPr="00EE3722" w:rsidR="000C041C" w:rsidRDefault="000C041C" w14:paraId="3130F895" w14:textId="77777777">
      <w:pPr>
        <w:pStyle w:val="Textoindependiente"/>
        <w:spacing w:before="10"/>
        <w:rPr>
          <w:sz w:val="24"/>
        </w:rPr>
      </w:pPr>
    </w:p>
    <w:p w:rsidRPr="00EE3722" w:rsidR="000C041C" w:rsidRDefault="002370A1" w14:paraId="3130F896" w14:textId="77777777">
      <w:pPr>
        <w:ind w:left="805" w:right="103"/>
        <w:jc w:val="both"/>
      </w:pPr>
      <w:r w:rsidRPr="00EE3722">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EE3722">
        <w:rPr>
          <w:b/>
        </w:rPr>
        <w:t>, todos aquellos requisitos de la propuesta que no afecten la asignación de puntaje, podrán ser solicitados por las entidades en cualquier momento, hasta la adjudicación</w:t>
      </w:r>
      <w:r w:rsidRPr="00EE3722">
        <w:t xml:space="preserve">. No </w:t>
      </w:r>
      <w:proofErr w:type="gramStart"/>
      <w:r w:rsidRPr="00EE3722">
        <w:t>obstante</w:t>
      </w:r>
      <w:proofErr w:type="gramEnd"/>
      <w:r w:rsidRPr="00EE3722">
        <w:t xml:space="preserve"> lo anterior, en aquellos procesos de selección en los que se utilice el mecanismo de subasta, deberán ser solicitados hasta el momento previo a su realización. (Negrillas fuera de texto).</w:t>
      </w:r>
    </w:p>
    <w:p w:rsidRPr="00EE3722" w:rsidR="000C041C" w:rsidRDefault="000C041C" w14:paraId="3130F897" w14:textId="77777777">
      <w:pPr>
        <w:pStyle w:val="Textoindependiente"/>
        <w:spacing w:before="4"/>
        <w:rPr>
          <w:sz w:val="25"/>
        </w:rPr>
      </w:pPr>
    </w:p>
    <w:p w:rsidRPr="00EE3722" w:rsidR="000C041C" w:rsidRDefault="002370A1" w14:paraId="3130F898" w14:textId="77777777">
      <w:pPr>
        <w:pStyle w:val="Textoindependiente"/>
        <w:spacing w:line="276" w:lineRule="auto"/>
        <w:ind w:left="100" w:right="112"/>
        <w:jc w:val="both"/>
      </w:pPr>
      <w:r w:rsidRPr="00EE3722">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w:t>
      </w:r>
    </w:p>
    <w:p w:rsidRPr="00EE3722" w:rsidR="000C041C" w:rsidRDefault="000C041C" w14:paraId="3130F899" w14:textId="77777777">
      <w:pPr>
        <w:pStyle w:val="Textoindependiente"/>
        <w:spacing w:before="4"/>
        <w:rPr>
          <w:sz w:val="25"/>
        </w:rPr>
      </w:pPr>
    </w:p>
    <w:p w:rsidRPr="00EE3722" w:rsidR="000C041C" w:rsidP="00DA4B5C" w:rsidRDefault="002370A1" w14:paraId="3130F8A2" w14:textId="34A96EFD">
      <w:pPr>
        <w:pStyle w:val="Textoindependiente"/>
        <w:spacing w:line="276" w:lineRule="auto"/>
        <w:ind w:left="100" w:right="106"/>
        <w:jc w:val="both"/>
      </w:pPr>
      <w:r w:rsidRPr="00EE3722">
        <w:t>A partir de la Ley 1150 de 2007 la Administración contó con un criterio más claro y determinado para saber si la ausencia de documentos o requisitos de la oferta conlleva a</w:t>
      </w:r>
      <w:r w:rsidR="00DA4B5C">
        <w:t xml:space="preserve"> </w:t>
      </w:r>
      <w:r w:rsidRPr="00EE3722">
        <w:t>su rechazo o al requerimiento del proponente para que lo subsane, pues bastará con un simple ejercicio de verificación que consiste en corroborar si lo omitido hace parte de los aspectos que otorgan puntaje o no.</w:t>
      </w:r>
    </w:p>
    <w:p w:rsidRPr="00EE3722" w:rsidR="000C041C" w:rsidRDefault="000C041C" w14:paraId="3130F8A3" w14:textId="77777777">
      <w:pPr>
        <w:pStyle w:val="Textoindependiente"/>
        <w:spacing w:before="5"/>
        <w:rPr>
          <w:sz w:val="25"/>
        </w:rPr>
      </w:pPr>
    </w:p>
    <w:p w:rsidRPr="00EE3722" w:rsidR="000C041C" w:rsidRDefault="002370A1" w14:paraId="3130F8A4" w14:textId="77777777">
      <w:pPr>
        <w:pStyle w:val="Textoindependiente"/>
        <w:spacing w:line="276" w:lineRule="auto"/>
        <w:ind w:left="100" w:right="112"/>
        <w:jc w:val="both"/>
      </w:pPr>
      <w:r w:rsidRPr="00EE3722">
        <w:t>Si al verificar la Administración encuentra que lo omitido por el proponente es un aspecto que otorga puntaje no es posible subsanarlo; pero si lo omitido no otorga puntaje la Administración debe requerir al proponente para que lo subsane.</w:t>
      </w:r>
    </w:p>
    <w:p w:rsidRPr="00EE3722" w:rsidR="000C041C" w:rsidRDefault="000C041C" w14:paraId="3130F8A5" w14:textId="77777777">
      <w:pPr>
        <w:pStyle w:val="Textoindependiente"/>
        <w:spacing w:before="2"/>
        <w:rPr>
          <w:sz w:val="25"/>
        </w:rPr>
      </w:pPr>
    </w:p>
    <w:p w:rsidRPr="00EE3722" w:rsidR="000C041C" w:rsidRDefault="002370A1" w14:paraId="3130F8A6" w14:textId="77777777">
      <w:pPr>
        <w:pStyle w:val="Textoindependiente"/>
        <w:spacing w:line="276" w:lineRule="auto"/>
        <w:ind w:left="100" w:right="105"/>
        <w:jc w:val="both"/>
      </w:pPr>
      <w:r w:rsidRPr="00EE3722">
        <w:t>El artículo 5 de la Ley 1150 de 2007, además de consagrar un criterio más claro, y de paso reducir la discrecionalidad de la Administración, fijó un ámbito temporal para la subsanación de las ofertas: “</w:t>
      </w:r>
      <w:r w:rsidRPr="00EE3722">
        <w:rPr>
          <w:i/>
        </w:rPr>
        <w:t>en cualquier momento, hasta la adjudicación</w:t>
      </w:r>
      <w:r w:rsidRPr="00EE3722">
        <w:t>”. El Consejo de Estado, con particular sindéresis, concluyó que a partir del parágrafo 1º del artículo 5 de la Ley 1150, la definición de lo que es subsanable y lo que no lo es surge a partir del planteamiento de la pregunta sobre si el defecto asigna puntaje o no, en estos</w:t>
      </w:r>
      <w:r w:rsidRPr="00EE3722">
        <w:rPr>
          <w:spacing w:val="-40"/>
        </w:rPr>
        <w:t xml:space="preserve"> </w:t>
      </w:r>
      <w:r w:rsidRPr="00EE3722">
        <w:t>términos:</w:t>
      </w:r>
    </w:p>
    <w:p w:rsidRPr="00EE3722" w:rsidR="000C041C" w:rsidRDefault="000C041C" w14:paraId="3130F8A7" w14:textId="77777777">
      <w:pPr>
        <w:pStyle w:val="Textoindependiente"/>
        <w:spacing w:before="5"/>
        <w:rPr>
          <w:sz w:val="25"/>
        </w:rPr>
      </w:pPr>
    </w:p>
    <w:p w:rsidRPr="00EE3722" w:rsidR="000C041C" w:rsidRDefault="002370A1" w14:paraId="3130F8A8" w14:textId="18B25B9B">
      <w:pPr>
        <w:pStyle w:val="Textoindependiente"/>
        <w:ind w:left="805" w:right="108"/>
        <w:jc w:val="both"/>
      </w:pPr>
      <w:r w:rsidRPr="00EE3722">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w:t>
      </w:r>
      <w:r w:rsidRPr="00EE3722">
        <w:lastRenderedPageBreak/>
        <w:t>o a requisitos cumplidos antes o después de presentadas las ofertas, con la condición de que cuando le pidan la acreditación la satisfaga suficientemente</w:t>
      </w:r>
      <w:r w:rsidR="00DA4B5C">
        <w:rPr>
          <w:rStyle w:val="Refdenotaalpie"/>
        </w:rPr>
        <w:footnoteReference w:id="3"/>
      </w:r>
      <w:r w:rsidRPr="00EE3722">
        <w:t>.</w:t>
      </w:r>
    </w:p>
    <w:p w:rsidRPr="007506B7" w:rsidR="000C041C" w:rsidRDefault="000C041C" w14:paraId="3130F8A9" w14:textId="77777777">
      <w:pPr>
        <w:pStyle w:val="Textoindependiente"/>
        <w:spacing w:before="3"/>
        <w:rPr>
          <w:sz w:val="24"/>
          <w:szCs w:val="24"/>
        </w:rPr>
      </w:pPr>
    </w:p>
    <w:p w:rsidRPr="00EE3722" w:rsidR="000C041C" w:rsidRDefault="002370A1" w14:paraId="3130F8AA" w14:textId="77777777">
      <w:pPr>
        <w:pStyle w:val="Ttulo1"/>
        <w:numPr>
          <w:ilvl w:val="1"/>
          <w:numId w:val="1"/>
        </w:numPr>
        <w:tabs>
          <w:tab w:val="left" w:pos="526"/>
        </w:tabs>
        <w:spacing w:before="1"/>
      </w:pPr>
      <w:r w:rsidRPr="00EE3722">
        <w:t>Modificaciones de la Ley 1882 de</w:t>
      </w:r>
      <w:r w:rsidRPr="00EE3722">
        <w:rPr>
          <w:spacing w:val="-19"/>
        </w:rPr>
        <w:t xml:space="preserve"> </w:t>
      </w:r>
      <w:r w:rsidRPr="00EE3722">
        <w:t>2018</w:t>
      </w:r>
    </w:p>
    <w:p w:rsidRPr="007506B7" w:rsidR="000C041C" w:rsidRDefault="000C041C" w14:paraId="3130F8AB" w14:textId="77777777">
      <w:pPr>
        <w:pStyle w:val="Textoindependiente"/>
        <w:spacing w:before="7"/>
        <w:rPr>
          <w:b/>
          <w:sz w:val="24"/>
          <w:szCs w:val="24"/>
        </w:rPr>
      </w:pPr>
    </w:p>
    <w:p w:rsidRPr="00EE3722" w:rsidR="000C041C" w:rsidRDefault="002370A1" w14:paraId="3130F8AC" w14:textId="77777777">
      <w:pPr>
        <w:pStyle w:val="Textoindependiente"/>
        <w:spacing w:line="276" w:lineRule="auto"/>
        <w:ind w:left="100" w:right="111"/>
        <w:jc w:val="both"/>
      </w:pPr>
      <w:r w:rsidRPr="00EE3722">
        <w:t xml:space="preserve">En un </w:t>
      </w:r>
      <w:r w:rsidRPr="00EE3722">
        <w:rPr>
          <w:i/>
        </w:rPr>
        <w:t>cuarto momento</w:t>
      </w:r>
      <w:r w:rsidRPr="00EE3722">
        <w:t>, el legislador expidió la Ley 1882 de 2018, con la finalidad de introducir cambios y ajustes para fortalecer la contratación pública. El artículo 5 modificó el parágrafo 1º del artículo 5 de la Ley 1150 de</w:t>
      </w:r>
      <w:r w:rsidRPr="00EE3722">
        <w:rPr>
          <w:spacing w:val="-12"/>
        </w:rPr>
        <w:t xml:space="preserve"> </w:t>
      </w:r>
      <w:r w:rsidRPr="00EE3722">
        <w:t>2007:</w:t>
      </w:r>
    </w:p>
    <w:p w:rsidRPr="00EE3722" w:rsidR="000C041C" w:rsidRDefault="000C041C" w14:paraId="3130F8AD" w14:textId="77777777">
      <w:pPr>
        <w:pStyle w:val="Textoindependiente"/>
        <w:spacing w:before="3"/>
        <w:rPr>
          <w:sz w:val="25"/>
        </w:rPr>
      </w:pPr>
    </w:p>
    <w:p w:rsidRPr="00EE3722" w:rsidR="000C041C" w:rsidRDefault="002370A1" w14:paraId="3130F8AE" w14:textId="77777777">
      <w:pPr>
        <w:pStyle w:val="Textoindependiente"/>
        <w:spacing w:line="242" w:lineRule="auto"/>
        <w:ind w:left="805" w:right="4803"/>
      </w:pPr>
      <w:r w:rsidRPr="00EE3722">
        <w:t>Artículo 5°. De la selección objetiva. (... )</w:t>
      </w:r>
    </w:p>
    <w:p w:rsidRPr="00EE3722" w:rsidR="000C041C" w:rsidRDefault="000C041C" w14:paraId="3130F8AF" w14:textId="77777777">
      <w:pPr>
        <w:pStyle w:val="Textoindependiente"/>
        <w:spacing w:before="7"/>
        <w:rPr>
          <w:sz w:val="21"/>
        </w:rPr>
      </w:pPr>
    </w:p>
    <w:p w:rsidRPr="00EE3722" w:rsidR="000C041C" w:rsidP="00DA4B5C" w:rsidRDefault="002370A1" w14:paraId="3130F8B6" w14:textId="579875D6">
      <w:pPr>
        <w:pStyle w:val="Textoindependiente"/>
        <w:ind w:left="805" w:right="104"/>
        <w:jc w:val="both"/>
        <w:rPr>
          <w:b/>
        </w:rPr>
      </w:pPr>
      <w:r w:rsidRPr="00EE3722">
        <w:t>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w:t>
      </w:r>
      <w:r w:rsidR="00DA4B5C">
        <w:t xml:space="preserve"> </w:t>
      </w:r>
      <w:r w:rsidRPr="00EE3722">
        <w:t xml:space="preserve">la asignación de </w:t>
      </w:r>
      <w:proofErr w:type="gramStart"/>
      <w:r w:rsidRPr="00EE3722">
        <w:t>puntaje,</w:t>
      </w:r>
      <w:proofErr w:type="gramEnd"/>
      <w:r w:rsidRPr="00EE3722">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(Negrillas fuera de texto).</w:t>
      </w:r>
    </w:p>
    <w:p w:rsidRPr="00EE3722" w:rsidR="000C041C" w:rsidRDefault="000C041C" w14:paraId="3130F8B7" w14:textId="77777777">
      <w:pPr>
        <w:pStyle w:val="Textoindependiente"/>
        <w:spacing w:before="6"/>
        <w:rPr>
          <w:sz w:val="25"/>
        </w:rPr>
      </w:pPr>
    </w:p>
    <w:p w:rsidRPr="00EE3722" w:rsidR="000C041C" w:rsidRDefault="002370A1" w14:paraId="3130F8B8" w14:textId="77777777">
      <w:pPr>
        <w:pStyle w:val="Textoindependiente"/>
        <w:spacing w:line="276" w:lineRule="auto"/>
        <w:ind w:left="100" w:right="108"/>
        <w:jc w:val="both"/>
      </w:pPr>
      <w:r w:rsidRPr="00EE3722">
        <w:t>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w:t>
      </w:r>
    </w:p>
    <w:p w:rsidRPr="00EE3722" w:rsidR="000C041C" w:rsidRDefault="000C041C" w14:paraId="3130F8B9" w14:textId="77777777">
      <w:pPr>
        <w:pStyle w:val="Textoindependiente"/>
        <w:spacing w:before="3"/>
        <w:rPr>
          <w:sz w:val="25"/>
        </w:rPr>
      </w:pPr>
    </w:p>
    <w:p w:rsidRPr="00EE3722" w:rsidR="000C041C" w:rsidRDefault="002370A1" w14:paraId="3130F8BA" w14:textId="124FDFE7">
      <w:pPr>
        <w:pStyle w:val="Textoindependiente"/>
        <w:spacing w:line="276" w:lineRule="auto"/>
        <w:ind w:left="100" w:right="104"/>
        <w:jc w:val="both"/>
      </w:pPr>
      <w:r w:rsidRPr="00EE3722">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00DA4B5C">
        <w:rPr>
          <w:rStyle w:val="Refdenotaalpie"/>
        </w:rPr>
        <w:footnoteReference w:id="4"/>
      </w:r>
      <w:r w:rsidRPr="00EE3722">
        <w:t xml:space="preserve">; en el último los documentos o </w:t>
      </w:r>
      <w:r w:rsidRPr="00EE3722">
        <w:lastRenderedPageBreak/>
        <w:t>requisitos subsanables pueden y deben solicitarse hasta el momento previo a su realización.</w:t>
      </w:r>
    </w:p>
    <w:p w:rsidRPr="00EE3722" w:rsidR="000C041C" w:rsidRDefault="000C041C" w14:paraId="3130F8BB" w14:textId="77777777">
      <w:pPr>
        <w:pStyle w:val="Textoindependiente"/>
        <w:spacing w:before="3"/>
        <w:rPr>
          <w:sz w:val="25"/>
        </w:rPr>
      </w:pPr>
    </w:p>
    <w:p w:rsidRPr="00EE3722" w:rsidR="000C041C" w:rsidRDefault="002370A1" w14:paraId="3130F8BC" w14:textId="77777777">
      <w:pPr>
        <w:pStyle w:val="Textoindependiente"/>
        <w:spacing w:line="276" w:lineRule="auto"/>
        <w:ind w:left="100" w:right="105"/>
        <w:jc w:val="both"/>
      </w:pPr>
      <w:r w:rsidRPr="00EE3722">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w:t>
      </w:r>
      <w:r w:rsidRPr="00EE3722">
        <w:rPr>
          <w:spacing w:val="-8"/>
        </w:rPr>
        <w:t xml:space="preserve"> </w:t>
      </w:r>
      <w:r w:rsidRPr="00EE3722">
        <w:t>evaluación.</w:t>
      </w:r>
    </w:p>
    <w:p w:rsidRPr="00EE3722" w:rsidR="000C041C" w:rsidRDefault="000C041C" w14:paraId="3130F8BD" w14:textId="77777777">
      <w:pPr>
        <w:pStyle w:val="Textoindependiente"/>
        <w:spacing w:before="4"/>
        <w:rPr>
          <w:sz w:val="25"/>
        </w:rPr>
      </w:pPr>
    </w:p>
    <w:p w:rsidR="000C041C" w:rsidP="00DA4B5C" w:rsidRDefault="002370A1" w14:paraId="3130F8C5" w14:textId="3FD9E661">
      <w:pPr>
        <w:spacing w:line="276" w:lineRule="auto"/>
        <w:ind w:left="100" w:right="106"/>
        <w:jc w:val="both"/>
      </w:pPr>
      <w:r w:rsidRPr="00EE3722">
        <w:t>En efecto, la redacción de la norma permite que la Administración solicite a los oferentes subsanar y que estos lo hagan hasta antes del término del traslado del informe de evaluación: “</w:t>
      </w:r>
      <w:r w:rsidRPr="00EE3722">
        <w:rPr>
          <w:i/>
        </w:rPr>
        <w:t xml:space="preserve">deberán ser </w:t>
      </w:r>
      <w:r w:rsidRPr="00EE3722">
        <w:rPr>
          <w:b/>
          <w:i/>
        </w:rPr>
        <w:t xml:space="preserve">solicitados </w:t>
      </w:r>
      <w:r w:rsidRPr="00EE3722">
        <w:rPr>
          <w:i/>
        </w:rPr>
        <w:t xml:space="preserve">por las entidades estatales y deberán ser </w:t>
      </w:r>
      <w:r w:rsidRPr="00EE3722">
        <w:rPr>
          <w:b/>
          <w:i/>
        </w:rPr>
        <w:t xml:space="preserve">entregados </w:t>
      </w:r>
      <w:r w:rsidRPr="00EE3722">
        <w:rPr>
          <w:i/>
        </w:rPr>
        <w:t xml:space="preserve">por los proponentes </w:t>
      </w:r>
      <w:r w:rsidRPr="00EE3722">
        <w:rPr>
          <w:b/>
          <w:i/>
        </w:rPr>
        <w:t xml:space="preserve">hasta </w:t>
      </w:r>
      <w:r w:rsidRPr="00EE3722">
        <w:rPr>
          <w:i/>
        </w:rPr>
        <w:t>el término de traslado del informe de evaluación que corresponda a cada modalidad de</w:t>
      </w:r>
      <w:r w:rsidRPr="00EE3722">
        <w:rPr>
          <w:i/>
          <w:spacing w:val="-4"/>
        </w:rPr>
        <w:t xml:space="preserve"> </w:t>
      </w:r>
      <w:r w:rsidRPr="00EE3722">
        <w:rPr>
          <w:i/>
        </w:rPr>
        <w:t>selección</w:t>
      </w:r>
      <w:r w:rsidRPr="00EE3722">
        <w:t>”.</w:t>
      </w:r>
      <w:r w:rsidR="00DA4B5C">
        <w:t xml:space="preserve"> </w:t>
      </w:r>
    </w:p>
    <w:p w:rsidRPr="00EE3722" w:rsidR="00DA4B5C" w:rsidP="00DA4B5C" w:rsidRDefault="00DA4B5C" w14:paraId="2567F427" w14:textId="77777777">
      <w:pPr>
        <w:spacing w:line="276" w:lineRule="auto"/>
        <w:ind w:left="100" w:right="106"/>
        <w:jc w:val="both"/>
        <w:rPr>
          <w:sz w:val="16"/>
        </w:rPr>
      </w:pPr>
    </w:p>
    <w:p w:rsidRPr="00EE3722" w:rsidR="000C041C" w:rsidRDefault="002370A1" w14:paraId="3130F8C6" w14:textId="77777777">
      <w:pPr>
        <w:pStyle w:val="Textoindependiente"/>
        <w:spacing w:before="93" w:line="276" w:lineRule="auto"/>
        <w:ind w:left="100" w:right="106"/>
        <w:jc w:val="both"/>
      </w:pPr>
      <w:r w:rsidRPr="00EE3722">
        <w:t xml:space="preserve">No obstante, de la lectura de este aparte podrían, en la práctica, darse dos interpretaciones que dan lugar a dos formas de proceder en los procesos de selección, en lo que a la </w:t>
      </w:r>
      <w:proofErr w:type="spellStart"/>
      <w:r w:rsidRPr="00EE3722">
        <w:t>subsanabilidad</w:t>
      </w:r>
      <w:proofErr w:type="spellEnd"/>
      <w:r w:rsidRPr="00EE3722">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w:t>
      </w:r>
    </w:p>
    <w:p w:rsidRPr="00EE3722" w:rsidR="000C041C" w:rsidRDefault="000C041C" w14:paraId="3130F8C7" w14:textId="77777777">
      <w:pPr>
        <w:pStyle w:val="Textoindependiente"/>
        <w:spacing w:before="6"/>
        <w:rPr>
          <w:sz w:val="25"/>
        </w:rPr>
      </w:pPr>
    </w:p>
    <w:p w:rsidRPr="00EE3722" w:rsidR="000C041C" w:rsidRDefault="002370A1" w14:paraId="3130F8C8" w14:textId="77777777">
      <w:pPr>
        <w:pStyle w:val="Textoindependiente"/>
        <w:spacing w:line="276" w:lineRule="auto"/>
        <w:ind w:left="100" w:right="109"/>
        <w:jc w:val="both"/>
      </w:pPr>
      <w:r w:rsidRPr="00EE3722">
        <w:t>De acuerdo con la primera interpretación, el informe de evaluación se convierte en la oportunidad que adopta la Administración para decirle a los oferentes qué documentos o requisitos omitió y debe subsanar y, consecuentemente, el término del traslado es la oportunidad del proponente para cumplir con lo solicitado.</w:t>
      </w:r>
    </w:p>
    <w:p w:rsidRPr="00EE3722" w:rsidR="000C041C" w:rsidRDefault="000C041C" w14:paraId="3130F8C9" w14:textId="77777777">
      <w:pPr>
        <w:pStyle w:val="Textoindependiente"/>
        <w:spacing w:before="4"/>
        <w:rPr>
          <w:sz w:val="25"/>
        </w:rPr>
      </w:pPr>
    </w:p>
    <w:p w:rsidRPr="00EE3722" w:rsidR="000C041C" w:rsidRDefault="002370A1" w14:paraId="3130F8CA" w14:textId="77777777">
      <w:pPr>
        <w:pStyle w:val="Textoindependiente"/>
        <w:spacing w:line="276" w:lineRule="auto"/>
        <w:ind w:left="100" w:right="107"/>
        <w:jc w:val="both"/>
      </w:pPr>
      <w:r w:rsidRPr="00EE3722">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publica el informe ya se encuentren subsanadas las propuestas, sin perjuicio del término límite que concedió la</w:t>
      </w:r>
      <w:r w:rsidRPr="00EE3722">
        <w:rPr>
          <w:spacing w:val="-6"/>
        </w:rPr>
        <w:t xml:space="preserve"> </w:t>
      </w:r>
      <w:r w:rsidRPr="00EE3722">
        <w:t>ley.</w:t>
      </w:r>
    </w:p>
    <w:p w:rsidRPr="00EE3722" w:rsidR="000C041C" w:rsidRDefault="000C041C" w14:paraId="3130F8CB" w14:textId="77777777">
      <w:pPr>
        <w:pStyle w:val="Textoindependiente"/>
        <w:spacing w:before="2"/>
        <w:rPr>
          <w:sz w:val="25"/>
        </w:rPr>
      </w:pPr>
    </w:p>
    <w:p w:rsidRPr="00EE3722" w:rsidR="000C041C" w:rsidRDefault="002370A1" w14:paraId="3130F8CC" w14:textId="77777777">
      <w:pPr>
        <w:pStyle w:val="Textoindependiente"/>
        <w:spacing w:line="276" w:lineRule="auto"/>
        <w:ind w:left="100" w:right="103"/>
        <w:jc w:val="both"/>
      </w:pPr>
      <w:r w:rsidRPr="00EE3722">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w:t>
      </w:r>
      <w:r w:rsidRPr="00EE3722">
        <w:lastRenderedPageBreak/>
        <w:t>evaluación ofrece mayor seguridad y certeza al proceso de selección, a la Administración y a los oferentes.</w:t>
      </w:r>
    </w:p>
    <w:p w:rsidRPr="00EE3722" w:rsidR="000C041C" w:rsidRDefault="000C041C" w14:paraId="3130F8CD" w14:textId="77777777">
      <w:pPr>
        <w:pStyle w:val="Textoindependiente"/>
        <w:spacing w:before="5"/>
        <w:rPr>
          <w:sz w:val="25"/>
        </w:rPr>
      </w:pPr>
    </w:p>
    <w:p w:rsidRPr="00EE3722" w:rsidR="000C041C" w:rsidRDefault="002370A1" w14:paraId="3130F8CE" w14:textId="77777777">
      <w:pPr>
        <w:pStyle w:val="Textoindependiente"/>
        <w:spacing w:line="276" w:lineRule="auto"/>
        <w:ind w:left="100" w:right="107"/>
        <w:jc w:val="both"/>
      </w:pPr>
      <w:r w:rsidRPr="00EE3722">
        <w:t>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la norma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rsidRPr="00EE3722" w:rsidR="000C041C" w:rsidRDefault="000C041C" w14:paraId="3130F8D2" w14:textId="77777777">
      <w:pPr>
        <w:pStyle w:val="Textoindependiente"/>
        <w:spacing w:before="11"/>
        <w:rPr>
          <w:sz w:val="21"/>
        </w:rPr>
      </w:pPr>
    </w:p>
    <w:p w:rsidRPr="00EE3722" w:rsidR="000C041C" w:rsidRDefault="002370A1" w14:paraId="3130F8D3" w14:textId="77777777">
      <w:pPr>
        <w:spacing w:before="93" w:line="276" w:lineRule="auto"/>
        <w:ind w:left="100" w:right="105"/>
        <w:jc w:val="both"/>
      </w:pPr>
      <w:r w:rsidRPr="00EE3722">
        <w:t>De otro lado, el segundo cambio importante de la Ley 1882 de 2018 fue la introducción de un criterio material, directamente relacionado con los aspectos subsanables: “</w:t>
      </w:r>
      <w:r w:rsidRPr="00EE3722">
        <w:rPr>
          <w:i/>
        </w:rPr>
        <w:t>los proponentes no podrán acreditar circunstancias ocurridas con posterioridad al cierre del proceso</w:t>
      </w:r>
      <w:r w:rsidRPr="00EE3722">
        <w:t>”</w:t>
      </w:r>
      <w:r w:rsidRPr="00EE3722">
        <w:rPr>
          <w:b/>
        </w:rPr>
        <w:t xml:space="preserve">. </w:t>
      </w:r>
      <w:r w:rsidRPr="00EE3722">
        <w:t>Lo anterior nos ofrece dos aspectos que merecen clarificación; primero, qué debe entenderse por circunstancias ocurridas con posterioridad; y segundo, qué es el cierre del</w:t>
      </w:r>
      <w:r w:rsidRPr="00EE3722">
        <w:rPr>
          <w:spacing w:val="-2"/>
        </w:rPr>
        <w:t xml:space="preserve"> </w:t>
      </w:r>
      <w:r w:rsidRPr="00EE3722">
        <w:t>proceso.</w:t>
      </w:r>
    </w:p>
    <w:p w:rsidRPr="00EE3722" w:rsidR="000C041C" w:rsidRDefault="000C041C" w14:paraId="3130F8D4" w14:textId="77777777">
      <w:pPr>
        <w:pStyle w:val="Textoindependiente"/>
        <w:spacing w:before="1"/>
        <w:rPr>
          <w:sz w:val="25"/>
        </w:rPr>
      </w:pPr>
    </w:p>
    <w:p w:rsidRPr="00EE3722" w:rsidR="000C041C" w:rsidRDefault="002370A1" w14:paraId="3130F8D5" w14:textId="11A7AD84">
      <w:pPr>
        <w:pStyle w:val="Textoindependiente"/>
        <w:spacing w:line="276" w:lineRule="auto"/>
        <w:ind w:left="100" w:right="108"/>
        <w:jc w:val="both"/>
      </w:pPr>
      <w:r w:rsidRPr="00EE3722">
        <w:t>La Sala de Consulta y Servicio Civil del Consejo de Estado ya había tenido la oportunidad de precisar estas expresiones, a propósito de un concepto en el que se refirió al artículo 10 del derogado Decreto 2474 de 2008</w:t>
      </w:r>
      <w:r w:rsidR="00DA4B5C">
        <w:rPr>
          <w:rStyle w:val="Refdenotaalpie"/>
        </w:rPr>
        <w:footnoteReference w:id="5"/>
      </w:r>
      <w:r w:rsidRPr="00EE3722">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w:t>
      </w:r>
      <w:r w:rsidRPr="00EE3722">
        <w:lastRenderedPageBreak/>
        <w:t>circunstancias que ocurrieron con anterioridad a esa</w:t>
      </w:r>
      <w:r w:rsidRPr="00EE3722">
        <w:rPr>
          <w:spacing w:val="-22"/>
        </w:rPr>
        <w:t xml:space="preserve"> </w:t>
      </w:r>
      <w:r w:rsidRPr="00EE3722">
        <w:t>fecha:</w:t>
      </w:r>
    </w:p>
    <w:p w:rsidRPr="00EE3722" w:rsidR="000C041C" w:rsidRDefault="000C041C" w14:paraId="3130F8D6" w14:textId="77777777">
      <w:pPr>
        <w:pStyle w:val="Textoindependiente"/>
        <w:spacing w:before="4"/>
        <w:rPr>
          <w:sz w:val="25"/>
        </w:rPr>
      </w:pPr>
    </w:p>
    <w:p w:rsidRPr="00EE3722" w:rsidR="000C041C" w:rsidRDefault="002370A1" w14:paraId="3130F8D7" w14:textId="77777777">
      <w:pPr>
        <w:pStyle w:val="Textoindependiente"/>
        <w:spacing w:before="1"/>
        <w:ind w:left="805" w:right="104"/>
        <w:jc w:val="both"/>
      </w:pPr>
      <w:r w:rsidRPr="00EE3722">
        <w:t xml:space="preserve">Sin embargo, debe tenerse en cuenta que la última norma en cita -Decreto 2474 de 2008, aparte subrayado-, establece un límite a la </w:t>
      </w:r>
      <w:proofErr w:type="spellStart"/>
      <w:r w:rsidRPr="00EE3722">
        <w:t>subsanabilidad</w:t>
      </w:r>
      <w:proofErr w:type="spellEnd"/>
      <w:r w:rsidRPr="00EE3722">
        <w:t xml:space="preserve">, puesto que en cualquier caso debe referirse o recaer sobre circunstancias ocurridas antes del cierre del respectivo proceso, esto es, del </w:t>
      </w:r>
      <w:r w:rsidRPr="00EE3722">
        <w:rPr>
          <w:b/>
        </w:rPr>
        <w:t>vencimiento del plazo para presentar ofertas</w:t>
      </w:r>
      <w:r w:rsidRPr="00EE3722">
        <w:t>.</w:t>
      </w:r>
    </w:p>
    <w:p w:rsidRPr="00EE3722" w:rsidR="000C041C" w:rsidRDefault="000C041C" w14:paraId="3130F8D8" w14:textId="77777777">
      <w:pPr>
        <w:pStyle w:val="Textoindependiente"/>
        <w:spacing w:before="11"/>
        <w:rPr>
          <w:sz w:val="21"/>
        </w:rPr>
      </w:pPr>
    </w:p>
    <w:p w:rsidRPr="00EE3722" w:rsidR="000C041C" w:rsidP="00AB634C" w:rsidRDefault="002370A1" w14:paraId="3130F8E5" w14:textId="445DF89B">
      <w:pPr>
        <w:pStyle w:val="Textoindependiente"/>
        <w:ind w:left="805" w:right="106"/>
        <w:jc w:val="both"/>
      </w:pPr>
      <w:r w:rsidRPr="00EE3722">
        <w:t>De esta manera, quien se presenta al proceso de selección debe cumplir para la fecha en que ‘se cierra el proceso’ con los requisitos que se requieren para presentar la oferta, de manera que es sobre ellos y no sobre otros que se cumplan</w:t>
      </w:r>
      <w:r w:rsidR="00AB634C">
        <w:t xml:space="preserve"> </w:t>
      </w:r>
      <w:r w:rsidRPr="00EE3722">
        <w:t xml:space="preserve">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w:t>
      </w:r>
      <w:r w:rsidRPr="00EE3722">
        <w:rPr>
          <w:b/>
        </w:rPr>
        <w:t>pero no podría, por vía de las normas en cita, extender el tiempo para avalar experiencia que sólo se llega a cumplir después del cierre del proceso contractual</w:t>
      </w:r>
      <w:r w:rsidRPr="00EE3722">
        <w:t xml:space="preserve">.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w:t>
      </w:r>
      <w:r w:rsidRPr="00EE3722">
        <w:rPr>
          <w:b/>
        </w:rPr>
        <w:t>pero no para que se constituya la sociedad con posterioridad al cierre del proceso, pues si ello no se había hecho, significa simplemente que el oferente no tenía la condición para participar</w:t>
      </w:r>
      <w:r w:rsidR="00AB634C">
        <w:rPr>
          <w:rStyle w:val="Refdenotaalpie"/>
          <w:b/>
        </w:rPr>
        <w:footnoteReference w:id="6"/>
      </w:r>
      <w:r w:rsidRPr="00EE3722">
        <w:t>.</w:t>
      </w:r>
    </w:p>
    <w:p w:rsidRPr="00EE3722" w:rsidR="000C041C" w:rsidRDefault="000C041C" w14:paraId="3130F8E6" w14:textId="77777777">
      <w:pPr>
        <w:pStyle w:val="Textoindependiente"/>
        <w:spacing w:before="4"/>
        <w:rPr>
          <w:sz w:val="25"/>
        </w:rPr>
      </w:pPr>
    </w:p>
    <w:p w:rsidRPr="00EE3722" w:rsidR="000C041C" w:rsidRDefault="002370A1" w14:paraId="3130F8E7" w14:textId="77777777">
      <w:pPr>
        <w:pStyle w:val="Textoindependiente"/>
        <w:spacing w:before="1" w:line="276" w:lineRule="auto"/>
        <w:ind w:left="100" w:right="106"/>
        <w:jc w:val="both"/>
      </w:pPr>
      <w:r w:rsidRPr="00EE3722">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rsidRPr="00EE3722" w:rsidR="000C041C" w:rsidRDefault="000C041C" w14:paraId="3130F8E8" w14:textId="77777777">
      <w:pPr>
        <w:pStyle w:val="Textoindependiente"/>
        <w:spacing w:before="4"/>
        <w:rPr>
          <w:sz w:val="25"/>
        </w:rPr>
      </w:pPr>
    </w:p>
    <w:p w:rsidRPr="00EE3722" w:rsidR="000C041C" w:rsidRDefault="002370A1" w14:paraId="3130F8E9" w14:textId="77777777">
      <w:pPr>
        <w:pStyle w:val="Textoindependiente"/>
        <w:spacing w:line="276" w:lineRule="auto"/>
        <w:ind w:left="100" w:right="111"/>
        <w:jc w:val="both"/>
      </w:pPr>
      <w:r w:rsidRPr="00EE3722">
        <w:t xml:space="preserve">Un mejor entendimiento del significado de la expresión “circunstancias ocurridas con posterioridad al cierre del proceso” nos lleva necesariamente a distinguir entre la prueba de un hecho y el hecho mismo. En el caso de la </w:t>
      </w:r>
      <w:proofErr w:type="spellStart"/>
      <w:r w:rsidRPr="00EE3722">
        <w:t>subsanabilidad</w:t>
      </w:r>
      <w:proofErr w:type="spellEnd"/>
      <w:r w:rsidRPr="00EE3722">
        <w:t xml:space="preserve">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rsidRPr="00EE3722" w:rsidR="000C041C" w:rsidRDefault="000C041C" w14:paraId="3130F8EA" w14:textId="77777777">
      <w:pPr>
        <w:pStyle w:val="Textoindependiente"/>
        <w:spacing w:before="3"/>
        <w:rPr>
          <w:sz w:val="25"/>
        </w:rPr>
      </w:pPr>
    </w:p>
    <w:p w:rsidRPr="00EE3722" w:rsidR="000C041C" w:rsidP="00AB634C" w:rsidRDefault="002370A1" w14:paraId="3130F8F2" w14:textId="2005793B">
      <w:pPr>
        <w:pStyle w:val="Textoindependiente"/>
        <w:spacing w:line="276" w:lineRule="auto"/>
        <w:ind w:left="100" w:right="105"/>
        <w:jc w:val="both"/>
      </w:pPr>
      <w:r w:rsidRPr="00EE3722">
        <w:t xml:space="preserve">Por ejemplo: i) si un oferente olvidó adjuntar con su propuesta el certificado que da cuenta </w:t>
      </w:r>
      <w:r w:rsidRPr="00EE3722">
        <w:lastRenderedPageBreak/>
        <w:t>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00AB634C">
        <w:rPr>
          <w:rStyle w:val="Refdenotaalpie"/>
        </w:rPr>
        <w:footnoteReference w:id="7"/>
      </w:r>
      <w:r w:rsidRPr="00EE3722">
        <w:t xml:space="preserve">; </w:t>
      </w:r>
      <w:proofErr w:type="spellStart"/>
      <w:r w:rsidRPr="00EE3722">
        <w:t>iii</w:t>
      </w:r>
      <w:proofErr w:type="spellEnd"/>
      <w:r w:rsidRPr="00EE3722">
        <w:t>) si un oferente no</w:t>
      </w:r>
      <w:r w:rsidRPr="00EE3722">
        <w:rPr>
          <w:spacing w:val="40"/>
        </w:rPr>
        <w:t xml:space="preserve"> </w:t>
      </w:r>
      <w:r w:rsidRPr="00EE3722">
        <w:t>anexó</w:t>
      </w:r>
      <w:r w:rsidR="00AB634C">
        <w:t xml:space="preserve"> </w:t>
      </w:r>
      <w:r w:rsidRPr="00EE3722">
        <w:t>el Certificado de existencia y representación legal, el documento aportado con posterioridad debe dar cuenta de que la sociedad existe antes del cierre del proceso</w:t>
      </w:r>
      <w:r w:rsidR="00AB634C">
        <w:rPr>
          <w:rStyle w:val="Refdenotaalpie"/>
        </w:rPr>
        <w:footnoteReference w:id="8"/>
      </w:r>
      <w:r w:rsidRPr="00EE3722">
        <w:t xml:space="preserve">; </w:t>
      </w:r>
      <w:proofErr w:type="spellStart"/>
      <w:r w:rsidRPr="00EE3722">
        <w:t>iv</w:t>
      </w:r>
      <w:proofErr w:type="spellEnd"/>
      <w:r w:rsidRPr="00EE3722">
        <w:t>)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w:t>
      </w:r>
      <w:r w:rsidRPr="00EE3722">
        <w:rPr>
          <w:spacing w:val="-13"/>
        </w:rPr>
        <w:t xml:space="preserve"> </w:t>
      </w:r>
      <w:r w:rsidRPr="00EE3722">
        <w:t>proceso.</w:t>
      </w:r>
    </w:p>
    <w:p w:rsidRPr="00EE3722" w:rsidR="000C041C" w:rsidRDefault="000C041C" w14:paraId="3130F8F3" w14:textId="77777777">
      <w:pPr>
        <w:pStyle w:val="Textoindependiente"/>
        <w:spacing w:before="4"/>
        <w:rPr>
          <w:sz w:val="25"/>
        </w:rPr>
      </w:pPr>
    </w:p>
    <w:p w:rsidRPr="00EE3722" w:rsidR="000C041C" w:rsidRDefault="002370A1" w14:paraId="3130F8F4" w14:textId="77777777">
      <w:pPr>
        <w:pStyle w:val="Textoindependiente"/>
        <w:spacing w:line="276" w:lineRule="auto"/>
        <w:ind w:left="100" w:right="104"/>
        <w:jc w:val="both"/>
      </w:pPr>
      <w:r w:rsidRPr="00EE3722">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w:t>
      </w:r>
      <w:r w:rsidRPr="00EE3722">
        <w:rPr>
          <w:spacing w:val="-4"/>
        </w:rPr>
        <w:t xml:space="preserve"> </w:t>
      </w:r>
      <w:r w:rsidRPr="00EE3722">
        <w:t>proceso.</w:t>
      </w:r>
    </w:p>
    <w:p w:rsidRPr="00EE3722" w:rsidR="000C041C" w:rsidRDefault="000C041C" w14:paraId="3130F8F5" w14:textId="77777777">
      <w:pPr>
        <w:pStyle w:val="Textoindependiente"/>
        <w:spacing w:before="4"/>
        <w:rPr>
          <w:sz w:val="25"/>
        </w:rPr>
      </w:pPr>
    </w:p>
    <w:p w:rsidRPr="00EE3722" w:rsidR="000C041C" w:rsidRDefault="002370A1" w14:paraId="3130F8F6" w14:textId="48E464DB">
      <w:pPr>
        <w:pStyle w:val="Textoindependiente"/>
        <w:spacing w:before="1" w:line="276" w:lineRule="auto"/>
        <w:ind w:left="100" w:right="106"/>
        <w:jc w:val="both"/>
      </w:pPr>
      <w:r w:rsidRPr="00EE3722">
        <w:t xml:space="preserve">Es por ello </w:t>
      </w:r>
      <w:proofErr w:type="gramStart"/>
      <w:r w:rsidRPr="00EE3722">
        <w:t>que</w:t>
      </w:r>
      <w:proofErr w:type="gramEnd"/>
      <w:r w:rsidRPr="00EE3722">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00AB634C">
        <w:rPr>
          <w:rStyle w:val="Refdenotaalpie"/>
        </w:rPr>
        <w:footnoteReference w:id="9"/>
      </w:r>
      <w:r w:rsidRPr="00EE3722">
        <w:t>.</w:t>
      </w:r>
    </w:p>
    <w:p w:rsidRPr="00EE3722" w:rsidR="000C041C" w:rsidRDefault="000C041C" w14:paraId="3130F8F7" w14:textId="77777777">
      <w:pPr>
        <w:pStyle w:val="Textoindependiente"/>
        <w:spacing w:before="3"/>
        <w:rPr>
          <w:sz w:val="25"/>
        </w:rPr>
      </w:pPr>
    </w:p>
    <w:p w:rsidR="000C041C" w:rsidP="00AB634C" w:rsidRDefault="002370A1" w14:paraId="3130F900" w14:textId="5A103040">
      <w:pPr>
        <w:pStyle w:val="Textoindependiente"/>
        <w:spacing w:line="276" w:lineRule="auto"/>
        <w:ind w:left="100" w:right="108"/>
        <w:jc w:val="both"/>
      </w:pPr>
      <w:r w:rsidRPr="00EE3722">
        <w:t xml:space="preserve">Visto lo anterior, una vez verificada la ausencia de requisitos y/o documentos de la oferta, para efectos de saber si se puede subsanar, la administración se debe preguntar, en primer lugar, si lo que hace falta es un </w:t>
      </w:r>
      <w:r w:rsidRPr="00EE3722">
        <w:rPr>
          <w:i/>
        </w:rPr>
        <w:t xml:space="preserve">ítem </w:t>
      </w:r>
      <w:r w:rsidRPr="00EE3722">
        <w:t xml:space="preserve">que otorga puntaje o no y, en segundo lugar, si el cumplimiento del requisito constituye una circunstancia ocurrida con anterioridad o con </w:t>
      </w:r>
      <w:r w:rsidRPr="00EE3722">
        <w:lastRenderedPageBreak/>
        <w:t>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w:t>
      </w:r>
      <w:r w:rsidRPr="00EE3722">
        <w:rPr>
          <w:spacing w:val="-4"/>
        </w:rPr>
        <w:t xml:space="preserve"> </w:t>
      </w:r>
      <w:r w:rsidRPr="00EE3722">
        <w:t>proceso.</w:t>
      </w:r>
    </w:p>
    <w:p w:rsidRPr="00EE3722" w:rsidR="00AB634C" w:rsidP="00AB634C" w:rsidRDefault="00AB634C" w14:paraId="3A17E523" w14:textId="77777777">
      <w:pPr>
        <w:pStyle w:val="Textoindependiente"/>
        <w:spacing w:line="276" w:lineRule="auto"/>
        <w:ind w:left="100" w:right="108"/>
        <w:jc w:val="both"/>
        <w:rPr>
          <w:sz w:val="16"/>
        </w:rPr>
      </w:pPr>
    </w:p>
    <w:p w:rsidRPr="00EE3722" w:rsidR="000C041C" w:rsidRDefault="002370A1" w14:paraId="3130F901" w14:textId="77777777">
      <w:pPr>
        <w:pStyle w:val="Textoindependiente"/>
        <w:spacing w:before="93" w:line="276" w:lineRule="auto"/>
        <w:ind w:left="100" w:right="109"/>
        <w:jc w:val="both"/>
      </w:pPr>
      <w:r w:rsidRPr="00EE3722">
        <w:t xml:space="preserve">Finalmente, el parágrafo 3 del artículo 5 de la Ley 1882 de 2018 determinó, de manera expresa, que “la no entrega de la garantía de seriedad junto con la propuesta no será subsanable y será causal de rechazo de </w:t>
      </w:r>
      <w:proofErr w:type="gramStart"/>
      <w:r w:rsidRPr="00EE3722">
        <w:t>la misma</w:t>
      </w:r>
      <w:proofErr w:type="gramEnd"/>
      <w:r w:rsidRPr="00EE3722">
        <w:t>”, dejando claro que se trata de un documento de obligatoria presentación junto con la propuesta y que materializa los principios de seriedad e irrevocabilidad de la oferta.</w:t>
      </w:r>
    </w:p>
    <w:p w:rsidRPr="00EE3722" w:rsidR="000C041C" w:rsidRDefault="000C041C" w14:paraId="3130F902" w14:textId="77777777">
      <w:pPr>
        <w:pStyle w:val="Textoindependiente"/>
        <w:spacing w:before="6"/>
        <w:rPr>
          <w:sz w:val="25"/>
        </w:rPr>
      </w:pPr>
    </w:p>
    <w:p w:rsidRPr="00EE3722" w:rsidR="000C041C" w:rsidRDefault="002370A1" w14:paraId="3130F903" w14:textId="77777777">
      <w:pPr>
        <w:pStyle w:val="Textoindependiente"/>
        <w:spacing w:line="276" w:lineRule="auto"/>
        <w:ind w:left="100" w:right="110"/>
        <w:jc w:val="both"/>
      </w:pPr>
      <w:r w:rsidRPr="00EE3722">
        <w:t xml:space="preserve">Descendiendo las anteriores consideraciones a la consulta planteada, la “subsanación” de un documento que acredita la experiencia del proponente es posible bajo las reglas de </w:t>
      </w:r>
      <w:proofErr w:type="spellStart"/>
      <w:r w:rsidRPr="00EE3722">
        <w:t>subsanabilidad</w:t>
      </w:r>
      <w:proofErr w:type="spellEnd"/>
      <w:r w:rsidRPr="00EE3722">
        <w:t xml:space="preserve"> aquí explicadas, toda vez que la experiencia no es un requisito que otorgue puntaje.</w:t>
      </w:r>
    </w:p>
    <w:p w:rsidRPr="00EE3722" w:rsidR="000C041C" w:rsidRDefault="000C041C" w14:paraId="3130F904" w14:textId="77777777">
      <w:pPr>
        <w:pStyle w:val="Textoindependiente"/>
        <w:spacing w:before="1"/>
        <w:rPr>
          <w:sz w:val="25"/>
        </w:rPr>
      </w:pPr>
    </w:p>
    <w:p w:rsidRPr="00EE3722" w:rsidR="000C041C" w:rsidRDefault="002370A1" w14:paraId="3130F905" w14:textId="77777777">
      <w:pPr>
        <w:pStyle w:val="Textoindependiente"/>
        <w:spacing w:line="276" w:lineRule="auto"/>
        <w:ind w:left="100" w:right="105"/>
        <w:jc w:val="both"/>
      </w:pPr>
      <w:r w:rsidRPr="00EE3722">
        <w:t>Se reitera que si la Administración, al verificar, encuentra que lo omitido por el proponente es un aspecto que otorga puntaje, entonces no es posible subsanarlo; pero si lo omitido no otorga puntaje la Administración debe requerir al proponente para que lo subsane. Así las cosas, si un oferente no cumple con el requisito de experiencia, puede subsanarla, siempre y cuando lo acreditado no constituyan circunstancias ocurridas con posterioridad al cierre del proceso, en los términos ya explicados.</w:t>
      </w:r>
    </w:p>
    <w:p w:rsidRPr="007506B7" w:rsidR="000C041C" w:rsidRDefault="000C041C" w14:paraId="3130F906" w14:textId="77777777">
      <w:pPr>
        <w:pStyle w:val="Textoindependiente"/>
        <w:spacing w:before="5"/>
        <w:rPr>
          <w:sz w:val="20"/>
          <w:szCs w:val="20"/>
        </w:rPr>
      </w:pPr>
    </w:p>
    <w:p w:rsidRPr="00EE3722" w:rsidR="000C041C" w:rsidRDefault="002370A1" w14:paraId="3130F907" w14:textId="77777777">
      <w:pPr>
        <w:pStyle w:val="Ttulo1"/>
        <w:numPr>
          <w:ilvl w:val="0"/>
          <w:numId w:val="1"/>
        </w:numPr>
        <w:tabs>
          <w:tab w:val="left" w:pos="344"/>
        </w:tabs>
        <w:ind w:hanging="244"/>
      </w:pPr>
      <w:r w:rsidRPr="00EE3722">
        <w:t>Respuesta</w:t>
      </w:r>
    </w:p>
    <w:p w:rsidRPr="007506B7" w:rsidR="000C041C" w:rsidRDefault="000C041C" w14:paraId="3130F908" w14:textId="77777777">
      <w:pPr>
        <w:pStyle w:val="Textoindependiente"/>
        <w:spacing w:before="8"/>
        <w:rPr>
          <w:b/>
          <w:sz w:val="20"/>
          <w:szCs w:val="20"/>
        </w:rPr>
      </w:pPr>
    </w:p>
    <w:p w:rsidRPr="00EE3722" w:rsidR="000C041C" w:rsidRDefault="002370A1" w14:paraId="3130F909" w14:textId="77777777">
      <w:pPr>
        <w:pStyle w:val="Textoindependiente"/>
        <w:spacing w:line="276" w:lineRule="auto"/>
        <w:ind w:left="100" w:right="104"/>
        <w:jc w:val="both"/>
      </w:pPr>
      <w:r w:rsidRPr="00EE3722">
        <w:t>Si un proponente no cumple con la experiencia exigida, por tratarse de un requisito que no otorga puntaje puede subsanarlo a través de la prueba de un certificado adicional, siempre y cuando ello no acredite la ocurrencia de una circunstancia ocurrida con posterioridad al cierre del proceso. En los términos anteriores, la acreditación de experiencia, a través de un nuevo certificado, no constituye mejoramiento de la</w:t>
      </w:r>
      <w:r w:rsidRPr="00EE3722">
        <w:rPr>
          <w:spacing w:val="-10"/>
        </w:rPr>
        <w:t xml:space="preserve"> </w:t>
      </w:r>
      <w:r w:rsidRPr="00EE3722">
        <w:t>oferta,</w:t>
      </w:r>
    </w:p>
    <w:p w:rsidRPr="007506B7" w:rsidR="000C041C" w:rsidRDefault="000C041C" w14:paraId="3130F90A" w14:textId="77777777">
      <w:pPr>
        <w:pStyle w:val="Textoindependiente"/>
        <w:spacing w:before="3"/>
        <w:rPr>
          <w:sz w:val="16"/>
          <w:szCs w:val="16"/>
        </w:rPr>
      </w:pPr>
    </w:p>
    <w:p w:rsidRPr="00EE3722" w:rsidR="000C041C" w:rsidRDefault="002370A1" w14:paraId="3130F90B" w14:textId="77777777">
      <w:pPr>
        <w:pStyle w:val="Textoindependiente"/>
        <w:spacing w:line="276" w:lineRule="auto"/>
        <w:ind w:left="100" w:right="112"/>
        <w:jc w:val="both"/>
      </w:pPr>
      <w:r w:rsidRPr="00EE3722">
        <w:t>Este concepto tiene el alcance previsto en el artículo 28 del Código de Procedimiento Administrativo y de lo Contencioso Administrativo.</w:t>
      </w:r>
    </w:p>
    <w:p w:rsidRPr="00EE3722" w:rsidR="000C041C" w:rsidRDefault="00F5028F" w14:paraId="3130F90C" w14:textId="77777777">
      <w:pPr>
        <w:pStyle w:val="Textoindependiente"/>
        <w:spacing w:before="9"/>
      </w:pPr>
      <w:r w:rsidRPr="00EE3722">
        <w:rPr>
          <w:noProof/>
          <w:lang w:val="en-US"/>
        </w:rPr>
        <mc:AlternateContent>
          <mc:Choice Requires="wps">
            <w:drawing>
              <wp:anchor distT="0" distB="0" distL="0" distR="0" simplePos="0" relativeHeight="487591424" behindDoc="1" locked="0" layoutInCell="1" allowOverlap="1" wp14:anchorId="3130F91D" wp14:editId="3130F91E">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2CB5D46">
              <v:shape id="Freeform 2" style="position:absolute;margin-left:119.25pt;margin-top:15.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5C33EB9E">
                <v:path arrowok="t" o:connecttype="custom" o:connectlocs="0,0;4686300,0" o:connectangles="0,0"/>
                <w10:wrap type="topAndBottom" anchorx="page"/>
              </v:shape>
            </w:pict>
          </mc:Fallback>
        </mc:AlternateContent>
      </w:r>
    </w:p>
    <w:p w:rsidRPr="00EE3722" w:rsidR="000C041C" w:rsidRDefault="002370A1" w14:paraId="3130F90D" w14:textId="77777777">
      <w:pPr>
        <w:pStyle w:val="Textoindependiente"/>
        <w:ind w:left="100"/>
      </w:pPr>
      <w:r w:rsidRPr="00EE3722">
        <w:t>Atentamente,</w:t>
      </w:r>
    </w:p>
    <w:p w:rsidR="007506B7" w:rsidP="007506B7" w:rsidRDefault="007506B7" w14:paraId="7A9CF1C6" w14:textId="77777777">
      <w:pPr>
        <w:pStyle w:val="Textoindependiente"/>
        <w:spacing w:before="11"/>
        <w:jc w:val="center"/>
      </w:pPr>
      <w:r w:rsidR="007506B7">
        <w:drawing>
          <wp:inline wp14:editId="3C18DA50" wp14:anchorId="38E3E5AC">
            <wp:extent cx="2773045" cy="988695"/>
            <wp:effectExtent l="0" t="0" r="0" b="0"/>
            <wp:docPr id="1701148134" name="Imagen 11" title=""/>
            <wp:cNvGraphicFramePr>
              <a:graphicFrameLocks/>
            </wp:cNvGraphicFramePr>
            <a:graphic>
              <a:graphicData uri="http://schemas.openxmlformats.org/drawingml/2006/picture">
                <pic:pic>
                  <pic:nvPicPr>
                    <pic:cNvPr id="0" name="Imagen 11"/>
                    <pic:cNvPicPr/>
                  </pic:nvPicPr>
                  <pic:blipFill>
                    <a:blip r:embed="R5f12f4e89f94490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7506B7" w:rsidR="000C041C" w:rsidP="007506B7" w:rsidRDefault="002370A1" w14:paraId="3130F910" w14:textId="4F869F5F">
      <w:pPr>
        <w:pStyle w:val="Textoindependiente"/>
        <w:spacing w:before="11"/>
      </w:pPr>
      <w:r w:rsidRPr="007506B7">
        <w:t xml:space="preserve">Proyectó: </w:t>
      </w:r>
      <w:proofErr w:type="spellStart"/>
      <w:r w:rsidRPr="007506B7">
        <w:t>Leider</w:t>
      </w:r>
      <w:proofErr w:type="spellEnd"/>
      <w:r w:rsidRPr="007506B7">
        <w:t xml:space="preserve"> Gómez Caballero</w:t>
      </w:r>
    </w:p>
    <w:sectPr w:rsidRPr="007506B7" w:rsidR="000C041C">
      <w:headerReference w:type="default" r:id="rId11"/>
      <w:footerReference w:type="default" r:id="rId12"/>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64694" w:rsidRDefault="00964694" w14:paraId="3130F923" w14:textId="77777777">
      <w:r>
        <w:separator/>
      </w:r>
    </w:p>
  </w:endnote>
  <w:endnote w:type="continuationSeparator" w:id="0">
    <w:p w:rsidR="00964694" w:rsidRDefault="00964694" w14:paraId="3130F92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C041C" w:rsidRDefault="002370A1" w14:paraId="3130F926" w14:textId="77777777">
    <w:pPr>
      <w:pStyle w:val="Textoindependiente"/>
      <w:spacing w:line="14" w:lineRule="auto"/>
      <w:rPr>
        <w:sz w:val="20"/>
      </w:rPr>
    </w:pPr>
    <w:r>
      <w:rPr>
        <w:noProof/>
        <w:lang w:val="en-US"/>
      </w:rPr>
      <w:drawing>
        <wp:anchor distT="0" distB="0" distL="0" distR="0" simplePos="0" relativeHeight="487467008" behindDoc="1" locked="0" layoutInCell="1" allowOverlap="1" wp14:anchorId="3130F929" wp14:editId="1DF92141">
          <wp:simplePos x="0" y="0"/>
          <wp:positionH relativeFrom="page">
            <wp:posOffset>1153188</wp:posOffset>
          </wp:positionH>
          <wp:positionV relativeFrom="page">
            <wp:posOffset>8886853</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56575E6">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64694" w:rsidRDefault="00964694" w14:paraId="3130F921" w14:textId="77777777">
      <w:r>
        <w:separator/>
      </w:r>
    </w:p>
  </w:footnote>
  <w:footnote w:type="continuationSeparator" w:id="0">
    <w:p w:rsidR="00964694" w:rsidRDefault="00964694" w14:paraId="3130F922" w14:textId="77777777">
      <w:r>
        <w:continuationSeparator/>
      </w:r>
    </w:p>
  </w:footnote>
  <w:footnote w:id="1">
    <w:p w:rsidRPr="007506B7" w:rsidR="00DA4B5C" w:rsidP="007506B7" w:rsidRDefault="00DA4B5C" w14:paraId="19D8F911" w14:textId="77777777">
      <w:pPr>
        <w:spacing w:before="87" w:line="242" w:lineRule="auto"/>
        <w:ind w:left="102" w:right="103" w:firstLine="707"/>
        <w:jc w:val="both"/>
        <w:rPr>
          <w:sz w:val="18"/>
          <w:szCs w:val="18"/>
        </w:rPr>
      </w:pPr>
      <w:r w:rsidRPr="007506B7">
        <w:rPr>
          <w:rStyle w:val="Refdenotaalpie"/>
          <w:sz w:val="18"/>
          <w:szCs w:val="18"/>
        </w:rPr>
        <w:footnoteRef/>
      </w:r>
      <w:r w:rsidRPr="007506B7">
        <w:rPr>
          <w:sz w:val="18"/>
          <w:szCs w:val="18"/>
        </w:rPr>
        <w:t xml:space="preserve"> </w:t>
      </w:r>
      <w:r w:rsidRPr="007506B7">
        <w:rPr>
          <w:sz w:val="18"/>
          <w:szCs w:val="18"/>
        </w:rPr>
        <w:t xml:space="preserve">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w:t>
      </w:r>
      <w:r w:rsidRPr="007506B7">
        <w:rPr>
          <w:b/>
          <w:sz w:val="18"/>
          <w:szCs w:val="18"/>
        </w:rPr>
        <w:t>para solicitar a los proponentes las aclaraciones y explicaciones que se estimen indispensables</w:t>
      </w:r>
      <w:r w:rsidRPr="007506B7">
        <w:rPr>
          <w:sz w:val="18"/>
          <w:szCs w:val="18"/>
        </w:rPr>
        <w:t>”. (Negrillas fuera de texto).</w:t>
      </w:r>
    </w:p>
    <w:p w:rsidRPr="007506B7" w:rsidR="00DA4B5C" w:rsidP="007506B7" w:rsidRDefault="00DA4B5C" w14:paraId="74021EF7" w14:textId="33D7CB6E">
      <w:pPr>
        <w:pStyle w:val="Textonotapie"/>
        <w:ind w:left="102"/>
        <w:jc w:val="both"/>
        <w:rPr>
          <w:sz w:val="18"/>
          <w:szCs w:val="18"/>
          <w:lang w:val="es-CO"/>
        </w:rPr>
      </w:pPr>
    </w:p>
  </w:footnote>
  <w:footnote w:id="2">
    <w:p w:rsidRPr="007506B7" w:rsidR="00DA4B5C" w:rsidP="007506B7" w:rsidRDefault="00DA4B5C" w14:paraId="490B2068" w14:textId="77777777">
      <w:pPr>
        <w:ind w:left="102" w:right="113" w:firstLine="707"/>
        <w:jc w:val="both"/>
        <w:rPr>
          <w:sz w:val="18"/>
          <w:szCs w:val="18"/>
        </w:rPr>
      </w:pPr>
      <w:r w:rsidRPr="007506B7">
        <w:rPr>
          <w:rStyle w:val="Refdenotaalpie"/>
          <w:sz w:val="18"/>
          <w:szCs w:val="18"/>
        </w:rPr>
        <w:footnoteRef/>
      </w:r>
      <w:r w:rsidRPr="007506B7">
        <w:rPr>
          <w:sz w:val="18"/>
          <w:szCs w:val="18"/>
        </w:rPr>
        <w:t xml:space="preserve"> </w:t>
      </w:r>
      <w:r w:rsidRPr="007506B7">
        <w:rPr>
          <w:sz w:val="18"/>
          <w:szCs w:val="18"/>
        </w:rPr>
        <w:t>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rsidRPr="007506B7" w:rsidR="00DA4B5C" w:rsidP="007506B7" w:rsidRDefault="00DA4B5C" w14:paraId="4FAA8D67" w14:textId="4AE71F0E">
      <w:pPr>
        <w:pStyle w:val="Textonotapie"/>
        <w:ind w:left="102"/>
        <w:jc w:val="both"/>
        <w:rPr>
          <w:sz w:val="18"/>
          <w:szCs w:val="18"/>
          <w:lang w:val="es-CO"/>
        </w:rPr>
      </w:pPr>
    </w:p>
  </w:footnote>
  <w:footnote w:id="3">
    <w:p w:rsidRPr="007506B7" w:rsidR="00DA4B5C" w:rsidP="007506B7" w:rsidRDefault="00DA4B5C" w14:paraId="22CE6F0F" w14:textId="77777777">
      <w:pPr>
        <w:spacing w:before="87" w:line="254" w:lineRule="auto"/>
        <w:ind w:left="102" w:right="143" w:firstLine="707"/>
        <w:jc w:val="both"/>
        <w:rPr>
          <w:sz w:val="18"/>
          <w:szCs w:val="18"/>
        </w:rPr>
      </w:pPr>
      <w:r w:rsidRPr="007506B7">
        <w:rPr>
          <w:rStyle w:val="Refdenotaalpie"/>
          <w:sz w:val="18"/>
          <w:szCs w:val="18"/>
        </w:rPr>
        <w:footnoteRef/>
      </w:r>
      <w:r w:rsidRPr="007506B7">
        <w:rPr>
          <w:sz w:val="18"/>
          <w:szCs w:val="18"/>
        </w:rPr>
        <w:t xml:space="preserve"> </w:t>
      </w:r>
      <w:r w:rsidRPr="007506B7">
        <w:rPr>
          <w:sz w:val="18"/>
          <w:szCs w:val="18"/>
        </w:rPr>
        <w:t>Consejo de Estado. Sección Tercera, Subsección C. Sentencia del 26 de febrero de 2014. C.P. Enrique Gil Botero, Rad. 1999-00113-01 (25.804).</w:t>
      </w:r>
    </w:p>
    <w:p w:rsidRPr="007506B7" w:rsidR="00DA4B5C" w:rsidP="007506B7" w:rsidRDefault="00DA4B5C" w14:paraId="0D710405" w14:textId="64874CF7">
      <w:pPr>
        <w:pStyle w:val="Textonotapie"/>
        <w:ind w:left="102"/>
        <w:jc w:val="both"/>
        <w:rPr>
          <w:sz w:val="18"/>
          <w:szCs w:val="18"/>
          <w:lang w:val="es-CO"/>
        </w:rPr>
      </w:pPr>
    </w:p>
  </w:footnote>
  <w:footnote w:id="4">
    <w:p w:rsidRPr="007506B7" w:rsidR="00DA4B5C" w:rsidP="007506B7" w:rsidRDefault="00DA4B5C" w14:paraId="0C1FC8BF" w14:textId="77777777">
      <w:pPr>
        <w:spacing w:before="73"/>
        <w:ind w:left="102" w:right="108" w:firstLine="707"/>
        <w:jc w:val="both"/>
        <w:rPr>
          <w:sz w:val="18"/>
          <w:szCs w:val="18"/>
        </w:rPr>
      </w:pPr>
      <w:r w:rsidRPr="007506B7">
        <w:rPr>
          <w:rStyle w:val="Refdenotaalpie"/>
          <w:sz w:val="18"/>
          <w:szCs w:val="18"/>
        </w:rPr>
        <w:footnoteRef/>
      </w:r>
      <w:r w:rsidRPr="007506B7">
        <w:rPr>
          <w:sz w:val="18"/>
          <w:szCs w:val="18"/>
        </w:rPr>
        <w:t xml:space="preserve"> </w:t>
      </w:r>
      <w:r w:rsidRPr="007506B7">
        <w:rPr>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rsidRPr="007506B7" w:rsidR="00DA4B5C" w:rsidP="007506B7" w:rsidRDefault="00DA4B5C" w14:paraId="1D4D4E2D" w14:textId="3A650487">
      <w:pPr>
        <w:pStyle w:val="Textonotapie"/>
        <w:ind w:left="102"/>
        <w:jc w:val="both"/>
        <w:rPr>
          <w:sz w:val="18"/>
          <w:szCs w:val="18"/>
          <w:lang w:val="es-CO"/>
        </w:rPr>
      </w:pPr>
    </w:p>
  </w:footnote>
  <w:footnote w:id="5">
    <w:p w:rsidRPr="007506B7" w:rsidR="00DA4B5C" w:rsidP="007506B7" w:rsidRDefault="00DA4B5C" w14:paraId="3424D294" w14:textId="77777777">
      <w:pPr>
        <w:spacing w:before="76" w:line="244" w:lineRule="auto"/>
        <w:ind w:left="102" w:right="103" w:firstLine="707"/>
        <w:jc w:val="both"/>
        <w:rPr>
          <w:sz w:val="18"/>
          <w:szCs w:val="18"/>
        </w:rPr>
      </w:pPr>
      <w:r w:rsidRPr="007506B7">
        <w:rPr>
          <w:rStyle w:val="Refdenotaalpie"/>
          <w:sz w:val="18"/>
          <w:szCs w:val="18"/>
        </w:rPr>
        <w:footnoteRef/>
      </w:r>
      <w:r w:rsidRPr="007506B7">
        <w:rPr>
          <w:sz w:val="18"/>
          <w:szCs w:val="18"/>
        </w:rPr>
        <w:t xml:space="preserve"> </w:t>
      </w:r>
      <w:r w:rsidRPr="007506B7">
        <w:rPr>
          <w:sz w:val="18"/>
          <w:szCs w:val="18"/>
        </w:rPr>
        <w:t xml:space="preserve">Decreto 2474 de 2008 (DEROGADO). “ART. 10. Reglas de </w:t>
      </w:r>
      <w:proofErr w:type="spellStart"/>
      <w:r w:rsidRPr="007506B7">
        <w:rPr>
          <w:sz w:val="18"/>
          <w:szCs w:val="18"/>
        </w:rPr>
        <w:t>subsanabilidad</w:t>
      </w:r>
      <w:proofErr w:type="spellEnd"/>
      <w:r w:rsidRPr="007506B7">
        <w:rPr>
          <w:sz w:val="18"/>
          <w:szCs w:val="18"/>
        </w:rPr>
        <w:t xml:space="preserve">.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7506B7">
          <w:rPr>
            <w:sz w:val="18"/>
            <w:szCs w:val="18"/>
          </w:rPr>
          <w:t xml:space="preserve">Ley 1150 de 2007 </w:t>
        </w:r>
      </w:hyperlink>
      <w:r w:rsidRPr="007506B7">
        <w:rPr>
          <w:sz w:val="18"/>
          <w:szCs w:val="18"/>
        </w:rPr>
        <w:t>y en el presente</w:t>
      </w:r>
      <w:r w:rsidRPr="007506B7">
        <w:rPr>
          <w:spacing w:val="-8"/>
          <w:sz w:val="18"/>
          <w:szCs w:val="18"/>
        </w:rPr>
        <w:t xml:space="preserve"> </w:t>
      </w:r>
      <w:r w:rsidRPr="007506B7">
        <w:rPr>
          <w:sz w:val="18"/>
          <w:szCs w:val="18"/>
        </w:rPr>
        <w:t>decreto.</w:t>
      </w:r>
    </w:p>
    <w:p w:rsidRPr="007506B7" w:rsidR="00DA4B5C" w:rsidP="007506B7" w:rsidRDefault="00DA4B5C" w14:paraId="03AF5222" w14:textId="77777777">
      <w:pPr>
        <w:pStyle w:val="Textoindependiente"/>
        <w:spacing w:before="10"/>
        <w:ind w:left="102"/>
        <w:jc w:val="both"/>
        <w:rPr>
          <w:sz w:val="18"/>
          <w:szCs w:val="18"/>
        </w:rPr>
      </w:pPr>
    </w:p>
    <w:p w:rsidRPr="007506B7" w:rsidR="00DA4B5C" w:rsidP="007506B7" w:rsidRDefault="00DA4B5C" w14:paraId="77EE9812" w14:textId="77777777">
      <w:pPr>
        <w:ind w:left="102" w:right="106"/>
        <w:jc w:val="both"/>
        <w:rPr>
          <w:sz w:val="18"/>
          <w:szCs w:val="18"/>
        </w:rPr>
      </w:pPr>
      <w:r w:rsidRPr="007506B7">
        <w:rPr>
          <w:sz w:val="18"/>
          <w:szCs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rsidRPr="007506B7" w:rsidR="00DA4B5C" w:rsidP="007506B7" w:rsidRDefault="00DA4B5C" w14:paraId="174CF3CF" w14:textId="77777777">
      <w:pPr>
        <w:ind w:left="102" w:right="107"/>
        <w:jc w:val="both"/>
        <w:rPr>
          <w:sz w:val="18"/>
          <w:szCs w:val="18"/>
        </w:rPr>
      </w:pPr>
      <w:r w:rsidRPr="007506B7">
        <w:rPr>
          <w:sz w:val="18"/>
          <w:szCs w:val="18"/>
        </w:rPr>
        <w:t>Será rechazada la oferta del proponente que dentro del término previsto en el pliego o en la solicitud, no responda al requerimiento que le haga la entidad para</w:t>
      </w:r>
      <w:r w:rsidRPr="007506B7">
        <w:rPr>
          <w:spacing w:val="-5"/>
          <w:sz w:val="18"/>
          <w:szCs w:val="18"/>
        </w:rPr>
        <w:t xml:space="preserve"> </w:t>
      </w:r>
      <w:r w:rsidRPr="007506B7">
        <w:rPr>
          <w:sz w:val="18"/>
          <w:szCs w:val="18"/>
        </w:rPr>
        <w:t>subsanarla.</w:t>
      </w:r>
    </w:p>
    <w:p w:rsidRPr="007506B7" w:rsidR="00DA4B5C" w:rsidP="007506B7" w:rsidRDefault="00DA4B5C" w14:paraId="7E321D0B" w14:textId="77777777">
      <w:pPr>
        <w:pStyle w:val="Textoindependiente"/>
        <w:spacing w:before="10"/>
        <w:ind w:left="102"/>
        <w:jc w:val="both"/>
        <w:rPr>
          <w:sz w:val="18"/>
          <w:szCs w:val="18"/>
        </w:rPr>
      </w:pPr>
    </w:p>
    <w:p w:rsidRPr="007506B7" w:rsidR="00DA4B5C" w:rsidP="007506B7" w:rsidRDefault="00DA4B5C" w14:paraId="63912ED2" w14:textId="77777777">
      <w:pPr>
        <w:ind w:left="102" w:right="113"/>
        <w:jc w:val="both"/>
        <w:rPr>
          <w:sz w:val="18"/>
          <w:szCs w:val="18"/>
        </w:rPr>
      </w:pPr>
      <w:r w:rsidRPr="007506B7">
        <w:rPr>
          <w:sz w:val="18"/>
          <w:szCs w:val="18"/>
        </w:rPr>
        <w:t>“Cuando se utilice el mecanismo de subasta esta posibilidad deberá ejercerse hasta el momento previo a su realización, de conformidad con el artículo 22 del presente</w:t>
      </w:r>
      <w:r w:rsidRPr="007506B7">
        <w:rPr>
          <w:spacing w:val="-9"/>
          <w:sz w:val="18"/>
          <w:szCs w:val="18"/>
        </w:rPr>
        <w:t xml:space="preserve"> </w:t>
      </w:r>
      <w:r w:rsidRPr="007506B7">
        <w:rPr>
          <w:sz w:val="18"/>
          <w:szCs w:val="18"/>
        </w:rPr>
        <w:t>decreto.</w:t>
      </w:r>
    </w:p>
    <w:p w:rsidRPr="007506B7" w:rsidR="00DA4B5C" w:rsidP="007506B7" w:rsidRDefault="00DA4B5C" w14:paraId="53BE29FF" w14:textId="77777777">
      <w:pPr>
        <w:spacing w:before="1"/>
        <w:ind w:left="102" w:right="104"/>
        <w:jc w:val="both"/>
        <w:rPr>
          <w:sz w:val="18"/>
          <w:szCs w:val="18"/>
        </w:rPr>
      </w:pPr>
      <w:r w:rsidRPr="007506B7">
        <w:rPr>
          <w:sz w:val="18"/>
          <w:szCs w:val="18"/>
        </w:rPr>
        <w:t xml:space="preserve">“En ningún caso la entidad podrá señalar taxativamente los requisitos o documentos subsanables o no subsanables en el pliego de condiciones, </w:t>
      </w:r>
      <w:r w:rsidRPr="007506B7">
        <w:rPr>
          <w:b/>
          <w:sz w:val="18"/>
          <w:szCs w:val="18"/>
        </w:rPr>
        <w:t>ni permitir que se subsane la falta de capacidad para presentar la oferta, ni que se acrediten circunstancias ocurridas con posterioridad al cierre del proceso</w:t>
      </w:r>
      <w:r w:rsidRPr="007506B7">
        <w:rPr>
          <w:sz w:val="18"/>
          <w:szCs w:val="18"/>
        </w:rPr>
        <w:t>”. (Negrillas fuera de texto).</w:t>
      </w:r>
    </w:p>
    <w:p w:rsidRPr="007506B7" w:rsidR="00DA4B5C" w:rsidP="007506B7" w:rsidRDefault="00DA4B5C" w14:paraId="68B85AA5" w14:textId="415DF134">
      <w:pPr>
        <w:pStyle w:val="Textonotapie"/>
        <w:ind w:left="102"/>
        <w:jc w:val="both"/>
        <w:rPr>
          <w:sz w:val="18"/>
          <w:szCs w:val="18"/>
          <w:lang w:val="es-CO"/>
        </w:rPr>
      </w:pPr>
    </w:p>
  </w:footnote>
  <w:footnote w:id="6">
    <w:p w:rsidRPr="007506B7" w:rsidR="00AB634C" w:rsidP="007506B7" w:rsidRDefault="00AB634C" w14:paraId="090CB75F" w14:textId="77777777">
      <w:pPr>
        <w:spacing w:before="87" w:line="254" w:lineRule="auto"/>
        <w:ind w:left="102" w:firstLine="707"/>
        <w:jc w:val="both"/>
        <w:rPr>
          <w:sz w:val="18"/>
          <w:szCs w:val="18"/>
        </w:rPr>
      </w:pPr>
      <w:r w:rsidRPr="007506B7">
        <w:rPr>
          <w:rStyle w:val="Refdenotaalpie"/>
          <w:sz w:val="18"/>
          <w:szCs w:val="18"/>
        </w:rPr>
        <w:footnoteRef/>
      </w:r>
      <w:r w:rsidRPr="007506B7">
        <w:rPr>
          <w:sz w:val="18"/>
          <w:szCs w:val="18"/>
        </w:rPr>
        <w:t xml:space="preserve"> </w:t>
      </w:r>
      <w:r w:rsidRPr="007506B7">
        <w:rPr>
          <w:sz w:val="18"/>
          <w:szCs w:val="18"/>
        </w:rPr>
        <w:t>Consejo de Estado, Sala de Consulta y Servicio Civil, concepto del 6 de noviembre de 2008. C.P. William Zambrano Cetina. Rad. 2008-00079-00(1927).</w:t>
      </w:r>
    </w:p>
    <w:p w:rsidRPr="007506B7" w:rsidR="00AB634C" w:rsidP="007506B7" w:rsidRDefault="00AB634C" w14:paraId="6417379C" w14:textId="47E35B2D">
      <w:pPr>
        <w:pStyle w:val="Textonotapie"/>
        <w:ind w:left="102"/>
        <w:jc w:val="both"/>
        <w:rPr>
          <w:sz w:val="18"/>
          <w:szCs w:val="18"/>
          <w:lang w:val="es-CO"/>
        </w:rPr>
      </w:pPr>
    </w:p>
  </w:footnote>
  <w:footnote w:id="7">
    <w:p w:rsidRPr="007506B7" w:rsidR="00AB634C" w:rsidP="007506B7" w:rsidRDefault="00AB634C" w14:paraId="027072A4" w14:textId="77777777">
      <w:pPr>
        <w:spacing w:line="254" w:lineRule="auto"/>
        <w:ind w:left="102" w:firstLine="707"/>
        <w:jc w:val="both"/>
        <w:rPr>
          <w:sz w:val="18"/>
          <w:szCs w:val="18"/>
        </w:rPr>
      </w:pPr>
      <w:r w:rsidRPr="007506B7">
        <w:rPr>
          <w:rStyle w:val="Refdenotaalpie"/>
          <w:sz w:val="18"/>
          <w:szCs w:val="18"/>
        </w:rPr>
        <w:footnoteRef/>
      </w:r>
      <w:r w:rsidRPr="007506B7">
        <w:rPr>
          <w:sz w:val="18"/>
          <w:szCs w:val="18"/>
        </w:rPr>
        <w:t xml:space="preserve"> </w:t>
      </w:r>
      <w:r w:rsidRPr="007506B7">
        <w:rPr>
          <w:sz w:val="18"/>
          <w:szCs w:val="18"/>
        </w:rPr>
        <w:t>Ver Consejo de Estado, Sección Tercera, Subsección C. Sentencia del 26 de febrero de 2011. C.P. Jaime Orlando Santofimio. Rad. 36.408.</w:t>
      </w:r>
    </w:p>
    <w:p w:rsidRPr="007506B7" w:rsidR="00AB634C" w:rsidP="007506B7" w:rsidRDefault="00AB634C" w14:paraId="661E2886" w14:textId="2EEAB780">
      <w:pPr>
        <w:pStyle w:val="Textonotapie"/>
        <w:ind w:left="102"/>
        <w:jc w:val="both"/>
        <w:rPr>
          <w:sz w:val="18"/>
          <w:szCs w:val="18"/>
          <w:lang w:val="es-CO"/>
        </w:rPr>
      </w:pPr>
    </w:p>
  </w:footnote>
  <w:footnote w:id="8">
    <w:p w:rsidRPr="007506B7" w:rsidR="00AB634C" w:rsidP="007506B7" w:rsidRDefault="00AB634C" w14:paraId="0D0894BE" w14:textId="16C09EC5">
      <w:pPr>
        <w:pStyle w:val="Textonotapie"/>
        <w:ind w:left="102" w:firstLine="720"/>
        <w:jc w:val="both"/>
        <w:rPr>
          <w:sz w:val="18"/>
          <w:szCs w:val="18"/>
        </w:rPr>
      </w:pPr>
      <w:r w:rsidRPr="007506B7">
        <w:rPr>
          <w:rStyle w:val="Refdenotaalpie"/>
          <w:sz w:val="18"/>
          <w:szCs w:val="18"/>
        </w:rPr>
        <w:footnoteRef/>
      </w:r>
      <w:r w:rsidRPr="007506B7">
        <w:rPr>
          <w:sz w:val="18"/>
          <w:szCs w:val="18"/>
        </w:rPr>
        <w:t xml:space="preserve"> </w:t>
      </w:r>
      <w:r w:rsidRPr="007506B7">
        <w:rPr>
          <w:sz w:val="18"/>
          <w:szCs w:val="18"/>
        </w:rPr>
        <w:t>Ver Consejo de Estado, Sección Tercera, Subsección C. Sentencia del 26 de febrero de 2014. C.P. Enrique Gil Botero. Rad. 25.804.</w:t>
      </w:r>
    </w:p>
    <w:p w:rsidRPr="007506B7" w:rsidR="00AB634C" w:rsidP="007506B7" w:rsidRDefault="00AB634C" w14:paraId="7697BC01" w14:textId="77777777">
      <w:pPr>
        <w:pStyle w:val="Textonotapie"/>
        <w:ind w:left="102" w:firstLine="720"/>
        <w:jc w:val="both"/>
        <w:rPr>
          <w:sz w:val="18"/>
          <w:szCs w:val="18"/>
          <w:lang w:val="es-CO"/>
        </w:rPr>
      </w:pPr>
    </w:p>
  </w:footnote>
  <w:footnote w:id="9">
    <w:p w:rsidRPr="007506B7" w:rsidR="00AB634C" w:rsidP="007506B7" w:rsidRDefault="00AB634C" w14:paraId="0477C126" w14:textId="77777777">
      <w:pPr>
        <w:spacing w:line="252" w:lineRule="auto"/>
        <w:ind w:left="102" w:right="143" w:firstLine="707"/>
        <w:jc w:val="both"/>
        <w:rPr>
          <w:sz w:val="18"/>
          <w:szCs w:val="18"/>
        </w:rPr>
      </w:pPr>
      <w:r w:rsidRPr="007506B7">
        <w:rPr>
          <w:rStyle w:val="Refdenotaalpie"/>
          <w:sz w:val="18"/>
          <w:szCs w:val="18"/>
        </w:rPr>
        <w:footnoteRef/>
      </w:r>
      <w:r w:rsidRPr="007506B7">
        <w:rPr>
          <w:sz w:val="18"/>
          <w:szCs w:val="18"/>
        </w:rPr>
        <w:t xml:space="preserve"> </w:t>
      </w:r>
      <w:r w:rsidRPr="007506B7">
        <w:rPr>
          <w:sz w:val="18"/>
          <w:szCs w:val="18"/>
        </w:rPr>
        <w:t>Consejo de Estado, Sala de Consulta y Servicio Civil, concepto del 20 de mayo de 2010. C.P. Enrique José Arboleda Perdomo. Rad.</w:t>
      </w:r>
      <w:r w:rsidRPr="007506B7">
        <w:rPr>
          <w:spacing w:val="-6"/>
          <w:sz w:val="18"/>
          <w:szCs w:val="18"/>
        </w:rPr>
        <w:t xml:space="preserve"> </w:t>
      </w:r>
      <w:r w:rsidRPr="007506B7">
        <w:rPr>
          <w:sz w:val="18"/>
          <w:szCs w:val="18"/>
        </w:rPr>
        <w:t>2010-00034-00(1992).</w:t>
      </w:r>
    </w:p>
    <w:p w:rsidRPr="007506B7" w:rsidR="00AB634C" w:rsidP="007506B7" w:rsidRDefault="00AB634C" w14:paraId="7CFDF6C7" w14:textId="0139856F">
      <w:pPr>
        <w:pStyle w:val="Textonotapie"/>
        <w:ind w:left="102"/>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C041C" w:rsidRDefault="002370A1" w14:paraId="3130F925" w14:textId="77777777">
    <w:pPr>
      <w:pStyle w:val="Textoindependiente"/>
      <w:spacing w:line="14" w:lineRule="auto"/>
      <w:rPr>
        <w:sz w:val="20"/>
      </w:rPr>
    </w:pPr>
    <w:r>
      <w:rPr>
        <w:noProof/>
        <w:lang w:val="en-US"/>
      </w:rPr>
      <w:drawing>
        <wp:anchor distT="0" distB="0" distL="0" distR="0" simplePos="0" relativeHeight="487466496" behindDoc="1" locked="0" layoutInCell="1" allowOverlap="1" wp14:anchorId="3130F927" wp14:editId="3130F92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56575E6">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3E285E"/>
    <w:multiLevelType w:val="multilevel"/>
    <w:tmpl w:val="9E92C1BC"/>
    <w:lvl w:ilvl="0">
      <w:start w:val="1"/>
      <w:numFmt w:val="decimal"/>
      <w:lvlText w:val="%1."/>
      <w:lvlJc w:val="left"/>
      <w:pPr>
        <w:ind w:left="343" w:hanging="243"/>
        <w:jc w:val="left"/>
      </w:pPr>
      <w:rPr>
        <w:rFonts w:hint="default" w:ascii="Arial" w:hAnsi="Arial" w:eastAsia="Arial" w:cs="Arial"/>
        <w:b/>
        <w:bCs/>
        <w:color w:val="auto"/>
        <w:spacing w:val="-1"/>
        <w:w w:val="100"/>
        <w:sz w:val="22"/>
        <w:szCs w:val="22"/>
        <w:lang w:val="es-ES" w:eastAsia="en-US" w:bidi="ar-SA"/>
      </w:rPr>
    </w:lvl>
    <w:lvl w:ilvl="1">
      <w:start w:val="1"/>
      <w:numFmt w:val="decimal"/>
      <w:lvlText w:val="%1.%2."/>
      <w:lvlJc w:val="left"/>
      <w:pPr>
        <w:ind w:left="525" w:hanging="426"/>
        <w:jc w:val="left"/>
      </w:pPr>
      <w:rPr>
        <w:rFonts w:hint="default" w:ascii="Arial" w:hAnsi="Arial" w:eastAsia="Arial" w:cs="Arial"/>
        <w:b/>
        <w:bCs/>
        <w:color w:val="auto"/>
        <w:spacing w:val="-1"/>
        <w:w w:val="100"/>
        <w:sz w:val="22"/>
        <w:szCs w:val="22"/>
        <w:lang w:val="es-ES" w:eastAsia="en-US" w:bidi="ar-SA"/>
      </w:rPr>
    </w:lvl>
    <w:lvl w:ilvl="2">
      <w:numFmt w:val="bullet"/>
      <w:lvlText w:val="•"/>
      <w:lvlJc w:val="left"/>
      <w:pPr>
        <w:ind w:left="520" w:hanging="426"/>
      </w:pPr>
      <w:rPr>
        <w:rFonts w:hint="default"/>
        <w:lang w:val="es-ES" w:eastAsia="en-US" w:bidi="ar-SA"/>
      </w:rPr>
    </w:lvl>
    <w:lvl w:ilvl="3">
      <w:numFmt w:val="bullet"/>
      <w:lvlText w:val="•"/>
      <w:lvlJc w:val="left"/>
      <w:pPr>
        <w:ind w:left="1597" w:hanging="426"/>
      </w:pPr>
      <w:rPr>
        <w:rFonts w:hint="default"/>
        <w:lang w:val="es-ES" w:eastAsia="en-US" w:bidi="ar-SA"/>
      </w:rPr>
    </w:lvl>
    <w:lvl w:ilvl="4">
      <w:numFmt w:val="bullet"/>
      <w:lvlText w:val="•"/>
      <w:lvlJc w:val="left"/>
      <w:pPr>
        <w:ind w:left="2675" w:hanging="426"/>
      </w:pPr>
      <w:rPr>
        <w:rFonts w:hint="default"/>
        <w:lang w:val="es-ES" w:eastAsia="en-US" w:bidi="ar-SA"/>
      </w:rPr>
    </w:lvl>
    <w:lvl w:ilvl="5">
      <w:numFmt w:val="bullet"/>
      <w:lvlText w:val="•"/>
      <w:lvlJc w:val="left"/>
      <w:pPr>
        <w:ind w:left="3752" w:hanging="426"/>
      </w:pPr>
      <w:rPr>
        <w:rFonts w:hint="default"/>
        <w:lang w:val="es-ES" w:eastAsia="en-US" w:bidi="ar-SA"/>
      </w:rPr>
    </w:lvl>
    <w:lvl w:ilvl="6">
      <w:numFmt w:val="bullet"/>
      <w:lvlText w:val="•"/>
      <w:lvlJc w:val="left"/>
      <w:pPr>
        <w:ind w:left="4830" w:hanging="426"/>
      </w:pPr>
      <w:rPr>
        <w:rFonts w:hint="default"/>
        <w:lang w:val="es-ES" w:eastAsia="en-US" w:bidi="ar-SA"/>
      </w:rPr>
    </w:lvl>
    <w:lvl w:ilvl="7">
      <w:numFmt w:val="bullet"/>
      <w:lvlText w:val="•"/>
      <w:lvlJc w:val="left"/>
      <w:pPr>
        <w:ind w:left="5907" w:hanging="426"/>
      </w:pPr>
      <w:rPr>
        <w:rFonts w:hint="default"/>
        <w:lang w:val="es-ES" w:eastAsia="en-US" w:bidi="ar-SA"/>
      </w:rPr>
    </w:lvl>
    <w:lvl w:ilvl="8">
      <w:numFmt w:val="bullet"/>
      <w:lvlText w:val="•"/>
      <w:lvlJc w:val="left"/>
      <w:pPr>
        <w:ind w:left="6985" w:hanging="426"/>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41C"/>
    <w:rsid w:val="000C041C"/>
    <w:rsid w:val="00220E79"/>
    <w:rsid w:val="002370A1"/>
    <w:rsid w:val="007506B7"/>
    <w:rsid w:val="00964694"/>
    <w:rsid w:val="00AB634C"/>
    <w:rsid w:val="00AC424B"/>
    <w:rsid w:val="00DA4B5C"/>
    <w:rsid w:val="00EE3722"/>
    <w:rsid w:val="00F5028F"/>
    <w:rsid w:val="18502FE6"/>
    <w:rsid w:val="1B6E9C88"/>
    <w:rsid w:val="1CD864DF"/>
    <w:rsid w:val="210AA5FC"/>
    <w:rsid w:val="234ED4D5"/>
    <w:rsid w:val="2ED2A06A"/>
    <w:rsid w:val="3484779B"/>
    <w:rsid w:val="3C18DA50"/>
    <w:rsid w:val="4C652C0B"/>
    <w:rsid w:val="656575E6"/>
    <w:rsid w:val="6ADD1A26"/>
    <w:rsid w:val="7C5FD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0F856"/>
  <w15:docId w15:val="{4A83DF02-A592-4715-9198-5B7303C689D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43" w:hanging="42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3" w:hanging="426"/>
    </w:pPr>
  </w:style>
  <w:style w:type="paragraph" w:styleId="TableParagraph" w:customStyle="1">
    <w:name w:val="Table Paragraph"/>
    <w:basedOn w:val="Normal"/>
    <w:uiPriority w:val="1"/>
    <w:qFormat/>
  </w:style>
  <w:style w:type="paragraph" w:styleId="Encabezado">
    <w:name w:val="header"/>
    <w:basedOn w:val="Normal"/>
    <w:link w:val="EncabezadoCar"/>
    <w:uiPriority w:val="99"/>
    <w:unhideWhenUsed/>
    <w:rsid w:val="00EE3722"/>
    <w:pPr>
      <w:tabs>
        <w:tab w:val="center" w:pos="4419"/>
        <w:tab w:val="right" w:pos="8838"/>
      </w:tabs>
    </w:pPr>
  </w:style>
  <w:style w:type="character" w:styleId="EncabezadoCar" w:customStyle="1">
    <w:name w:val="Encabezado Car"/>
    <w:basedOn w:val="Fuentedeprrafopredeter"/>
    <w:link w:val="Encabezado"/>
    <w:uiPriority w:val="99"/>
    <w:rsid w:val="00EE3722"/>
    <w:rPr>
      <w:rFonts w:ascii="Arial" w:hAnsi="Arial" w:eastAsia="Arial" w:cs="Arial"/>
      <w:lang w:val="es-ES"/>
    </w:rPr>
  </w:style>
  <w:style w:type="paragraph" w:styleId="Piedepgina">
    <w:name w:val="footer"/>
    <w:basedOn w:val="Normal"/>
    <w:link w:val="PiedepginaCar"/>
    <w:uiPriority w:val="99"/>
    <w:unhideWhenUsed/>
    <w:rsid w:val="00EE3722"/>
    <w:pPr>
      <w:tabs>
        <w:tab w:val="center" w:pos="4419"/>
        <w:tab w:val="right" w:pos="8838"/>
      </w:tabs>
    </w:pPr>
  </w:style>
  <w:style w:type="character" w:styleId="PiedepginaCar" w:customStyle="1">
    <w:name w:val="Pie de página Car"/>
    <w:basedOn w:val="Fuentedeprrafopredeter"/>
    <w:link w:val="Piedepgina"/>
    <w:uiPriority w:val="99"/>
    <w:rsid w:val="00EE3722"/>
    <w:rPr>
      <w:rFonts w:ascii="Arial" w:hAnsi="Arial" w:eastAsia="Arial" w:cs="Arial"/>
      <w:lang w:val="es-ES"/>
    </w:rPr>
  </w:style>
  <w:style w:type="paragraph" w:styleId="Textonotapie">
    <w:name w:val="footnote text"/>
    <w:basedOn w:val="Normal"/>
    <w:link w:val="TextonotapieCar"/>
    <w:uiPriority w:val="99"/>
    <w:semiHidden/>
    <w:unhideWhenUsed/>
    <w:rsid w:val="00DA4B5C"/>
    <w:rPr>
      <w:sz w:val="20"/>
      <w:szCs w:val="20"/>
    </w:rPr>
  </w:style>
  <w:style w:type="character" w:styleId="TextonotapieCar" w:customStyle="1">
    <w:name w:val="Texto nota pie Car"/>
    <w:basedOn w:val="Fuentedeprrafopredeter"/>
    <w:link w:val="Textonotapie"/>
    <w:uiPriority w:val="99"/>
    <w:semiHidden/>
    <w:rsid w:val="00DA4B5C"/>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DA4B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5f12f4e89f94490d"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1C17B-3E56-4754-B288-087FDF071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650895-5D5F-429C-886A-98CA543744D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9A24F1E-7604-4047-B762-37889E5F32B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2020-03-18T13:49:00.0000000Z</dcterms:created>
  <dcterms:modified xsi:type="dcterms:W3CDTF">2020-07-14T11:27:54.2420261Z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2019-11-29T00:00:00Z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