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67B5C67A" w:rsidP="67B5C67A" w:rsidRDefault="67B5C67A" w14:paraId="423D86DE" w14:textId="7D58A3DB">
      <w:pPr>
        <w:ind w:left="300" w:right="307"/>
        <w:jc w:val="both"/>
        <w:rPr>
          <w:rFonts w:ascii="Arial" w:hAnsi="Arial" w:eastAsia="Arial" w:cs="Arial"/>
          <w:noProof w:val="0"/>
          <w:sz w:val="22"/>
          <w:szCs w:val="22"/>
          <w:lang w:val="es-ES"/>
        </w:rPr>
      </w:pPr>
    </w:p>
    <w:p w:rsidR="0E312306" w:rsidP="67B5C67A" w:rsidRDefault="0E312306" w14:paraId="36514AAA" w14:textId="7376C56F">
      <w:pPr>
        <w:pStyle w:val="Textoindependiente"/>
        <w:ind w:left="300" w:right="312"/>
        <w:jc w:val="both"/>
        <w:rPr>
          <w:rFonts w:ascii="Arial" w:hAnsi="Arial" w:eastAsia="Arial" w:cs="Arial"/>
          <w:noProof w:val="0"/>
          <w:sz w:val="22"/>
          <w:szCs w:val="22"/>
          <w:lang w:val="es-ES"/>
        </w:rPr>
      </w:pPr>
      <w:r w:rsidRPr="67B5C67A" w:rsidR="0E312306">
        <w:rPr>
          <w:rFonts w:ascii="Arial" w:hAnsi="Arial" w:eastAsia="Arial" w:cs="Arial"/>
          <w:b w:val="1"/>
          <w:bCs w:val="1"/>
          <w:noProof w:val="0"/>
          <w:sz w:val="22"/>
          <w:szCs w:val="22"/>
          <w:lang w:val="es-ES"/>
        </w:rPr>
        <w:t>PUBLICIDAD – Deber de publicidad – Entidades estatales</w:t>
      </w:r>
    </w:p>
    <w:p w:rsidRPr="008345DC" w:rsidR="00614C3C" w:rsidP="00902AB9" w:rsidRDefault="00614C3C" w14:paraId="584956AD" w14:textId="77777777">
      <w:pPr>
        <w:pStyle w:val="Textoindependiente"/>
        <w:ind w:left="300" w:right="306"/>
        <w:jc w:val="both"/>
      </w:pPr>
    </w:p>
    <w:p w:rsidRPr="008345DC" w:rsidR="00614C3C" w:rsidP="00902AB9" w:rsidRDefault="00614C3C" w14:paraId="108EFD32" w14:textId="77777777">
      <w:pPr>
        <w:pStyle w:val="Textoindependiente"/>
        <w:ind w:left="300" w:right="306"/>
        <w:jc w:val="both"/>
        <w:rPr>
          <w:sz w:val="20"/>
          <w:szCs w:val="20"/>
        </w:rPr>
      </w:pPr>
      <w:r w:rsidRPr="008345DC">
        <w:rPr>
          <w:sz w:val="20"/>
          <w:szCs w:val="20"/>
        </w:rPr>
        <w:t>Sobre el deber de publicidad, el artículo 2.2.1.1.1.7.1. del Decreto 1082 de 2015 regula la publicidad en el SECOP, y el deber de las entidades de publicar en dicha plataforma los documentos que resulten de la actividad contractual6, lo cual permite el control de las actuaciones y decisiones de la Administración y el cumplimiento de los demás principios de la contratación pública</w:t>
      </w:r>
    </w:p>
    <w:p w:rsidRPr="008345DC" w:rsidR="00614C3C" w:rsidP="00902AB9" w:rsidRDefault="00614C3C" w14:paraId="5894328A" w14:textId="77777777">
      <w:pPr>
        <w:pStyle w:val="Textoindependiente"/>
        <w:ind w:left="300" w:right="306"/>
        <w:jc w:val="both"/>
      </w:pPr>
    </w:p>
    <w:p w:rsidRPr="008345DC" w:rsidR="00614C3C" w:rsidP="67B5C67A" w:rsidRDefault="00614C3C" w14:paraId="4863CDFF" w14:textId="2038990D">
      <w:pPr>
        <w:pStyle w:val="Textoindependiente"/>
        <w:ind w:left="300" w:right="306"/>
        <w:jc w:val="both"/>
        <w:rPr>
          <w:b w:val="1"/>
          <w:bCs w:val="1"/>
        </w:rPr>
      </w:pPr>
      <w:r w:rsidRPr="67B5C67A" w:rsidR="00614C3C">
        <w:rPr>
          <w:b w:val="1"/>
          <w:bCs w:val="1"/>
        </w:rPr>
        <w:t>SECOP – Deb</w:t>
      </w:r>
      <w:r w:rsidRPr="67B5C67A" w:rsidR="00E968A1">
        <w:rPr>
          <w:b w:val="1"/>
          <w:bCs w:val="1"/>
        </w:rPr>
        <w:t xml:space="preserve">er de publicidad – </w:t>
      </w:r>
      <w:r w:rsidRPr="67B5C67A" w:rsidR="75CBD546">
        <w:rPr>
          <w:rFonts w:ascii="Arial" w:hAnsi="Arial" w:eastAsia="Arial" w:cs="Arial"/>
          <w:b w:val="1"/>
          <w:bCs w:val="1"/>
          <w:noProof w:val="0"/>
          <w:sz w:val="22"/>
          <w:szCs w:val="22"/>
          <w:lang w:val="es-ES"/>
        </w:rPr>
        <w:t xml:space="preserve">Ejecución o no de recursos públicos </w:t>
      </w:r>
    </w:p>
    <w:p w:rsidRPr="008345DC" w:rsidR="00614C3C" w:rsidP="00902AB9" w:rsidRDefault="00614C3C" w14:paraId="37E27EC3" w14:textId="77777777">
      <w:pPr>
        <w:pStyle w:val="Textoindependiente"/>
        <w:ind w:left="300" w:right="306"/>
        <w:jc w:val="both"/>
      </w:pPr>
    </w:p>
    <w:p w:rsidRPr="008345DC" w:rsidR="00B53231" w:rsidP="00902AB9" w:rsidRDefault="00614C3C" w14:paraId="50E2694C" w14:textId="66E6ED3D">
      <w:pPr>
        <w:pStyle w:val="Textoindependiente"/>
        <w:spacing w:after="120"/>
        <w:ind w:left="300" w:right="306"/>
        <w:jc w:val="both"/>
        <w:rPr>
          <w:sz w:val="20"/>
          <w:szCs w:val="20"/>
        </w:rPr>
      </w:pPr>
      <w:r w:rsidRPr="008345DC">
        <w:rPr>
          <w:sz w:val="20"/>
          <w:szCs w:val="20"/>
        </w:rPr>
        <w:t>El artículo 3 de la Ley 1150 de 2007 señala que los actos relacionados con los procedimientos de contratación de las entidades estatales pueden ser electrónicos, al igual que su publicidad, por lo que el Gobierno nacional debe definir los medios para llevarlo a cabo, y tiene la obligació</w:t>
      </w:r>
      <w:r w:rsidRPr="008345DC" w:rsidR="00B53231">
        <w:rPr>
          <w:sz w:val="20"/>
          <w:szCs w:val="20"/>
        </w:rPr>
        <w:t xml:space="preserve">n de desarrollar el SECOP. </w:t>
      </w:r>
    </w:p>
    <w:p w:rsidRPr="008345DC" w:rsidR="0096020D" w:rsidP="00902AB9" w:rsidRDefault="00B53231" w14:paraId="18EE6DFD" w14:textId="77777777">
      <w:pPr>
        <w:pStyle w:val="Textoindependiente"/>
        <w:spacing w:after="120"/>
        <w:ind w:left="300" w:right="306"/>
        <w:jc w:val="both"/>
        <w:rPr>
          <w:sz w:val="20"/>
          <w:szCs w:val="20"/>
        </w:rPr>
      </w:pPr>
      <w:r w:rsidRPr="008345DC">
        <w:rPr>
          <w:sz w:val="20"/>
          <w:szCs w:val="20"/>
        </w:rPr>
        <w:t>E</w:t>
      </w:r>
      <w:r w:rsidRPr="008345DC" w:rsidR="00614C3C">
        <w:rPr>
          <w:sz w:val="20"/>
          <w:szCs w:val="20"/>
        </w:rPr>
        <w:t xml:space="preserve">s necesario aclarar que la norma no impone como requisito que se deba publicar en el SECOP, únicamente cuando se ejecuten recursos públicos, ya que el deber de publicidad es amplio teniendo en cuenta que está consagrado en una norma que aplica a las entidades, esto es, que son ellas quienes deben publicar las actuaciones relacionadas con su actividad contractual, sin que sea relevante en el cumplimiento de este deber la ejecución o no de recursos públicos, a pesar de que cuando se ejecutan cobra mayor importancia que se cumpla el principio de publicidad por involucrar un interés </w:t>
      </w:r>
      <w:r w:rsidRPr="008345DC" w:rsidR="0096020D">
        <w:rPr>
          <w:sz w:val="20"/>
          <w:szCs w:val="20"/>
        </w:rPr>
        <w:t xml:space="preserve">principal de la ciudadanía. </w:t>
      </w:r>
    </w:p>
    <w:p w:rsidRPr="008345DC" w:rsidR="00614C3C" w:rsidP="00902AB9" w:rsidRDefault="00614C3C" w14:paraId="70D77354" w14:textId="77777777">
      <w:pPr>
        <w:pStyle w:val="Textoindependiente"/>
        <w:ind w:left="300" w:right="306"/>
        <w:jc w:val="both"/>
        <w:rPr>
          <w:sz w:val="20"/>
          <w:szCs w:val="20"/>
        </w:rPr>
      </w:pPr>
      <w:r w:rsidRPr="008345DC">
        <w:rPr>
          <w:sz w:val="20"/>
          <w:szCs w:val="20"/>
        </w:rPr>
        <w:t xml:space="preserve">Puesto que su objetivo es general y se refiere a la actividad precontractual, contractual y </w:t>
      </w:r>
      <w:proofErr w:type="spellStart"/>
      <w:r w:rsidRPr="008345DC">
        <w:rPr>
          <w:sz w:val="20"/>
          <w:szCs w:val="20"/>
        </w:rPr>
        <w:t>poscontractual</w:t>
      </w:r>
      <w:proofErr w:type="spellEnd"/>
      <w:r w:rsidRPr="008345DC">
        <w:rPr>
          <w:sz w:val="20"/>
          <w:szCs w:val="20"/>
        </w:rPr>
        <w:t xml:space="preserve"> de las entidades, sin que pueda existir una interpretación diferente, debido a la finalidad de la ley respecto de la ciudadanía y su derecho a conocer las decisiones de la Administración pública.</w:t>
      </w:r>
    </w:p>
    <w:p w:rsidRPr="008345DC" w:rsidR="00614C3C" w:rsidP="00902AB9" w:rsidRDefault="00614C3C" w14:paraId="14703F13" w14:textId="77777777">
      <w:pPr>
        <w:pStyle w:val="Textoindependiente"/>
        <w:ind w:left="300" w:right="306"/>
        <w:jc w:val="both"/>
      </w:pPr>
    </w:p>
    <w:p w:rsidR="00614C3C" w:rsidP="67B5C67A" w:rsidRDefault="00614C3C" w14:paraId="15B753BC" w14:textId="5FF2A392">
      <w:pPr>
        <w:pStyle w:val="Textoindependiente"/>
        <w:ind w:left="300" w:right="312"/>
        <w:jc w:val="both"/>
        <w:rPr>
          <w:rFonts w:ascii="Arial" w:hAnsi="Arial" w:eastAsia="Arial" w:cs="Arial"/>
          <w:noProof w:val="0"/>
          <w:sz w:val="22"/>
          <w:szCs w:val="22"/>
          <w:lang w:val="es-ES"/>
        </w:rPr>
      </w:pPr>
      <w:r w:rsidRPr="67B5C67A" w:rsidR="00614C3C">
        <w:rPr>
          <w:b w:val="1"/>
          <w:bCs w:val="1"/>
        </w:rPr>
        <w:t xml:space="preserve">PUBLICIDAD – Deber de publicidad – SECOP – </w:t>
      </w:r>
      <w:r w:rsidRPr="67B5C67A" w:rsidR="43AB23E1">
        <w:rPr>
          <w:rFonts w:ascii="Arial" w:hAnsi="Arial" w:eastAsia="Arial" w:cs="Arial"/>
          <w:b w:val="1"/>
          <w:bCs w:val="1"/>
          <w:noProof w:val="0"/>
          <w:sz w:val="22"/>
          <w:szCs w:val="22"/>
          <w:lang w:val="es-ES"/>
        </w:rPr>
        <w:t>Entidades estatales – Asignación de función – Organización interna</w:t>
      </w:r>
    </w:p>
    <w:p w:rsidR="67B5C67A" w:rsidP="67B5C67A" w:rsidRDefault="67B5C67A" w14:paraId="4801CB1E" w14:textId="0E8DF29E">
      <w:pPr>
        <w:pStyle w:val="Textoindependiente"/>
        <w:ind w:left="300" w:right="312"/>
        <w:jc w:val="both"/>
        <w:rPr>
          <w:rFonts w:ascii="Arial" w:hAnsi="Arial" w:eastAsia="Arial" w:cs="Arial"/>
          <w:b w:val="1"/>
          <w:bCs w:val="1"/>
          <w:noProof w:val="0"/>
          <w:sz w:val="22"/>
          <w:szCs w:val="22"/>
          <w:lang w:val="es-ES"/>
        </w:rPr>
      </w:pPr>
    </w:p>
    <w:p w:rsidRPr="008345DC" w:rsidR="00614C3C" w:rsidP="00902AB9" w:rsidRDefault="00614C3C" w14:paraId="7BDF810A" w14:textId="77777777">
      <w:pPr>
        <w:pStyle w:val="Textoindependiente"/>
        <w:ind w:left="300" w:right="306"/>
        <w:jc w:val="both"/>
        <w:rPr>
          <w:sz w:val="20"/>
          <w:szCs w:val="20"/>
        </w:rPr>
      </w:pPr>
      <w:r w:rsidRPr="008345DC">
        <w:rPr>
          <w:sz w:val="20"/>
          <w:szCs w:val="20"/>
        </w:rPr>
        <w:t>La responsabilidad de la publicidad de la actividad contractual de la entidad en SECOP, depende específicamente de la organización interna de la entidad, ya que las normas no señalan quién debe publicar en la plataforma, siempre y cuando se cumpla con el principio de publicidad y las normas que regulan y establecen obligaciones para las entidades en relación con este.</w:t>
      </w:r>
    </w:p>
    <w:p w:rsidRPr="008345DC" w:rsidR="00851DB4" w:rsidP="00851DB4" w:rsidRDefault="00851DB4" w14:paraId="48666467" w14:textId="77777777">
      <w:pPr>
        <w:pStyle w:val="Textoindependiente"/>
        <w:spacing w:before="93"/>
        <w:ind w:left="300"/>
      </w:pPr>
    </w:p>
    <w:p w:rsidRPr="008345DC" w:rsidR="009F75F3" w:rsidP="00851DB4" w:rsidRDefault="009F6A5F" w14:paraId="1B26A25B" w14:textId="77777777">
      <w:pPr>
        <w:pStyle w:val="Textoindependiente"/>
        <w:spacing w:before="93"/>
        <w:ind w:left="300"/>
        <w:rPr>
          <w:b/>
        </w:rPr>
      </w:pPr>
      <w:r w:rsidRPr="008345DC">
        <w:t xml:space="preserve">Bogotá D.C., </w:t>
      </w:r>
      <w:r w:rsidRPr="008345DC">
        <w:rPr>
          <w:b/>
        </w:rPr>
        <w:t>04/12/2019 Hora 15:23:4s</w:t>
      </w:r>
    </w:p>
    <w:p w:rsidRPr="008345DC" w:rsidR="009F75F3" w:rsidRDefault="009F6A5F" w14:paraId="342F35DB" w14:textId="77777777">
      <w:pPr>
        <w:pStyle w:val="Ttulo1"/>
        <w:spacing w:before="37"/>
        <w:ind w:left="5839"/>
      </w:pPr>
      <w:r w:rsidRPr="008345DC">
        <w:t>N° Radicado: 2201913000008940</w:t>
      </w:r>
    </w:p>
    <w:p w:rsidRPr="008345DC" w:rsidR="009F75F3" w:rsidRDefault="009F75F3" w14:paraId="1231E043" w14:textId="77777777">
      <w:pPr>
        <w:pStyle w:val="Textoindependiente"/>
        <w:spacing w:before="7"/>
        <w:rPr>
          <w:b/>
          <w:sz w:val="20"/>
        </w:rPr>
      </w:pPr>
    </w:p>
    <w:p w:rsidRPr="008345DC" w:rsidR="009F75F3" w:rsidRDefault="009F6A5F" w14:paraId="1E752BAE" w14:textId="77777777">
      <w:pPr>
        <w:pStyle w:val="Textoindependiente"/>
        <w:spacing w:before="93"/>
        <w:ind w:left="300"/>
      </w:pPr>
      <w:r w:rsidRPr="008345DC">
        <w:t>Señora</w:t>
      </w:r>
    </w:p>
    <w:p w:rsidRPr="008345DC" w:rsidR="009F75F3" w:rsidRDefault="009F6A5F" w14:paraId="101974AD" w14:textId="77777777">
      <w:pPr>
        <w:pStyle w:val="Ttulo1"/>
        <w:spacing w:before="37"/>
      </w:pPr>
      <w:r w:rsidRPr="008345DC">
        <w:t>Sandra Liliana Rangel</w:t>
      </w:r>
    </w:p>
    <w:p w:rsidRPr="008345DC" w:rsidR="009F75F3" w:rsidRDefault="009F6A5F" w14:paraId="3B9DC8BF" w14:textId="77777777">
      <w:pPr>
        <w:pStyle w:val="Textoindependiente"/>
        <w:spacing w:before="39"/>
        <w:ind w:left="300"/>
      </w:pPr>
      <w:r w:rsidRPr="008345DC">
        <w:t>Ciudad</w:t>
      </w:r>
    </w:p>
    <w:p w:rsidRPr="008345DC" w:rsidR="009F75F3" w:rsidRDefault="009F75F3" w14:paraId="2F2B0E32" w14:textId="77777777">
      <w:pPr>
        <w:pStyle w:val="Textoindependiente"/>
        <w:rPr>
          <w:sz w:val="20"/>
        </w:rPr>
      </w:pPr>
    </w:p>
    <w:p w:rsidRPr="008345DC" w:rsidR="009F75F3" w:rsidRDefault="009F75F3" w14:paraId="21CC6098" w14:textId="77777777">
      <w:pPr>
        <w:pStyle w:val="Textoindependiente"/>
        <w:rPr>
          <w:sz w:val="20"/>
        </w:rPr>
      </w:pPr>
    </w:p>
    <w:p w:rsidRPr="008345DC" w:rsidR="009F75F3" w:rsidRDefault="009F75F3" w14:paraId="38A2652F" w14:textId="77777777">
      <w:pPr>
        <w:pStyle w:val="Textoindependiente"/>
        <w:spacing w:before="6"/>
        <w:rPr>
          <w:sz w:val="14"/>
        </w:rPr>
      </w:pPr>
    </w:p>
    <w:tbl>
      <w:tblPr>
        <w:tblStyle w:val="TableNormal"/>
        <w:tblW w:w="0" w:type="auto"/>
        <w:tblInd w:w="108" w:type="dxa"/>
        <w:tblLayout w:type="fixed"/>
        <w:tblLook w:val="01E0" w:firstRow="1" w:lastRow="1" w:firstColumn="1" w:lastColumn="1" w:noHBand="0" w:noVBand="0"/>
      </w:tblPr>
      <w:tblGrid>
        <w:gridCol w:w="2328"/>
        <w:gridCol w:w="6997"/>
      </w:tblGrid>
      <w:tr w:rsidRPr="008345DC" w:rsidR="008345DC" w14:paraId="2EA5ED77" w14:textId="77777777">
        <w:trPr>
          <w:trHeight w:val="267"/>
        </w:trPr>
        <w:tc>
          <w:tcPr>
            <w:tcW w:w="2328" w:type="dxa"/>
          </w:tcPr>
          <w:p w:rsidRPr="008345DC" w:rsidR="009F75F3" w:rsidRDefault="009F6A5F" w14:paraId="49109E3B" w14:textId="77777777">
            <w:pPr>
              <w:pStyle w:val="TableParagraph"/>
              <w:spacing w:before="0" w:line="246" w:lineRule="exact"/>
              <w:rPr>
                <w:b/>
              </w:rPr>
            </w:pPr>
            <w:r w:rsidRPr="008345DC">
              <w:rPr>
                <w:b/>
              </w:rPr>
              <w:t>Radicación:</w:t>
            </w:r>
          </w:p>
        </w:tc>
        <w:tc>
          <w:tcPr>
            <w:tcW w:w="6997" w:type="dxa"/>
          </w:tcPr>
          <w:p w:rsidRPr="008345DC" w:rsidR="009F75F3" w:rsidRDefault="009F6A5F" w14:paraId="1D931554" w14:textId="77777777">
            <w:pPr>
              <w:pStyle w:val="TableParagraph"/>
              <w:spacing w:before="0" w:line="246" w:lineRule="exact"/>
              <w:ind w:left="562"/>
            </w:pPr>
            <w:r w:rsidRPr="008345DC">
              <w:t>Respuesta a consulta # 4201912000007289</w:t>
            </w:r>
          </w:p>
        </w:tc>
      </w:tr>
      <w:tr w:rsidRPr="008345DC" w:rsidR="008345DC" w14:paraId="63319940" w14:textId="77777777">
        <w:trPr>
          <w:trHeight w:val="289"/>
        </w:trPr>
        <w:tc>
          <w:tcPr>
            <w:tcW w:w="2328" w:type="dxa"/>
          </w:tcPr>
          <w:p w:rsidRPr="008345DC" w:rsidR="009F75F3" w:rsidRDefault="009F6A5F" w14:paraId="2E93BFAE" w14:textId="77777777">
            <w:pPr>
              <w:pStyle w:val="TableParagraph"/>
              <w:rPr>
                <w:b/>
              </w:rPr>
            </w:pPr>
            <w:r w:rsidRPr="008345DC">
              <w:rPr>
                <w:b/>
              </w:rPr>
              <w:t>Temas:</w:t>
            </w:r>
          </w:p>
        </w:tc>
        <w:tc>
          <w:tcPr>
            <w:tcW w:w="6997" w:type="dxa"/>
          </w:tcPr>
          <w:p w:rsidRPr="008345DC" w:rsidR="009F75F3" w:rsidRDefault="009F6A5F" w14:paraId="752D3AB1" w14:textId="77777777">
            <w:pPr>
              <w:pStyle w:val="TableParagraph"/>
              <w:ind w:left="562"/>
            </w:pPr>
            <w:r w:rsidRPr="008345DC">
              <w:t>SECOP, publicidad, convenio interadministrativo</w:t>
            </w:r>
          </w:p>
        </w:tc>
      </w:tr>
      <w:tr w:rsidRPr="008345DC" w:rsidR="009F75F3" w14:paraId="634FE0D1" w14:textId="77777777">
        <w:trPr>
          <w:trHeight w:val="560"/>
        </w:trPr>
        <w:tc>
          <w:tcPr>
            <w:tcW w:w="2328" w:type="dxa"/>
          </w:tcPr>
          <w:p w:rsidRPr="008345DC" w:rsidR="009F75F3" w:rsidRDefault="009F6A5F" w14:paraId="00D11D52" w14:textId="77777777">
            <w:pPr>
              <w:pStyle w:val="TableParagraph"/>
              <w:rPr>
                <w:b/>
              </w:rPr>
            </w:pPr>
            <w:r w:rsidRPr="008345DC">
              <w:rPr>
                <w:b/>
              </w:rPr>
              <w:t>Tipo de asunto</w:t>
            </w:r>
          </w:p>
          <w:p w:rsidRPr="008345DC" w:rsidR="009F75F3" w:rsidRDefault="009F6A5F" w14:paraId="715E89EF" w14:textId="77777777">
            <w:pPr>
              <w:pStyle w:val="TableParagraph"/>
              <w:spacing w:before="39" w:line="233" w:lineRule="exact"/>
              <w:rPr>
                <w:b/>
              </w:rPr>
            </w:pPr>
            <w:r w:rsidRPr="008345DC">
              <w:rPr>
                <w:b/>
              </w:rPr>
              <w:t>consultado:</w:t>
            </w:r>
          </w:p>
        </w:tc>
        <w:tc>
          <w:tcPr>
            <w:tcW w:w="6997" w:type="dxa"/>
          </w:tcPr>
          <w:p w:rsidRPr="008345DC" w:rsidR="009F75F3" w:rsidRDefault="009F6A5F" w14:paraId="52DE8A0A" w14:textId="77777777">
            <w:pPr>
              <w:pStyle w:val="TableParagraph"/>
              <w:ind w:left="562"/>
            </w:pPr>
            <w:r w:rsidRPr="008345DC">
              <w:t>Obligación de publicar un convenio interadministrativo de</w:t>
            </w:r>
          </w:p>
          <w:p w:rsidRPr="008345DC" w:rsidR="009F75F3" w:rsidRDefault="009F6A5F" w14:paraId="3E627C85" w14:textId="77777777">
            <w:pPr>
              <w:pStyle w:val="TableParagraph"/>
              <w:spacing w:before="39" w:line="233" w:lineRule="exact"/>
              <w:ind w:left="562"/>
            </w:pPr>
            <w:r w:rsidRPr="008345DC">
              <w:t>cooperación sin erogación presupuestal en SECOP</w:t>
            </w:r>
          </w:p>
        </w:tc>
      </w:tr>
    </w:tbl>
    <w:p w:rsidRPr="008345DC" w:rsidR="009F75F3" w:rsidRDefault="009F75F3" w14:paraId="0A709E5A" w14:textId="77777777">
      <w:pPr>
        <w:pStyle w:val="Textoindependiente"/>
        <w:rPr>
          <w:sz w:val="20"/>
        </w:rPr>
      </w:pPr>
    </w:p>
    <w:p w:rsidRPr="008345DC" w:rsidR="009F75F3" w:rsidRDefault="009F75F3" w14:paraId="1D778FCE" w14:textId="77777777">
      <w:pPr>
        <w:pStyle w:val="Textoindependiente"/>
        <w:spacing w:before="9"/>
        <w:rPr>
          <w:sz w:val="25"/>
        </w:rPr>
      </w:pPr>
    </w:p>
    <w:p w:rsidRPr="008345DC" w:rsidR="009F75F3" w:rsidRDefault="009F6A5F" w14:paraId="0ED492A7" w14:textId="77777777">
      <w:pPr>
        <w:pStyle w:val="Textoindependiente"/>
        <w:spacing w:before="93"/>
        <w:ind w:left="300"/>
        <w:jc w:val="both"/>
      </w:pPr>
      <w:r w:rsidRPr="008345DC">
        <w:t>Estimada señora Rangel,</w:t>
      </w:r>
    </w:p>
    <w:p w:rsidRPr="008345DC" w:rsidR="009F75F3" w:rsidRDefault="009F75F3" w14:paraId="0C0AC8B8" w14:textId="77777777">
      <w:pPr>
        <w:pStyle w:val="Textoindependiente"/>
        <w:spacing w:before="7"/>
        <w:rPr>
          <w:sz w:val="28"/>
        </w:rPr>
      </w:pPr>
    </w:p>
    <w:p w:rsidRPr="008345DC" w:rsidR="009F75F3" w:rsidRDefault="009F6A5F" w14:paraId="14C2E93A" w14:textId="77777777">
      <w:pPr>
        <w:pStyle w:val="Textoindependiente"/>
        <w:spacing w:line="276" w:lineRule="auto"/>
        <w:ind w:left="300" w:right="307"/>
        <w:jc w:val="both"/>
      </w:pPr>
      <w:r w:rsidRPr="008345DC">
        <w:t>La Agencia Nacional de Contratación Pública - Colombia Compra Eficiente responde su consulta del 23 de octubre de 2019, en ejercicio de la competencia otorgada por el numeral 8 del artículo 11 y el numeral 5 del artículo 3 del Decreto Ley 4170 de 2011.</w:t>
      </w:r>
    </w:p>
    <w:p w:rsidRPr="008345DC" w:rsidR="009F75F3" w:rsidRDefault="009F75F3" w14:paraId="147A1A42" w14:textId="77777777">
      <w:pPr>
        <w:pStyle w:val="Textoindependiente"/>
        <w:spacing w:before="3"/>
        <w:rPr>
          <w:sz w:val="25"/>
        </w:rPr>
      </w:pPr>
    </w:p>
    <w:p w:rsidRPr="008345DC" w:rsidR="009F75F3" w:rsidRDefault="009F6A5F" w14:paraId="2B4E14B1" w14:textId="77777777">
      <w:pPr>
        <w:pStyle w:val="Ttulo1"/>
        <w:numPr>
          <w:ilvl w:val="0"/>
          <w:numId w:val="3"/>
        </w:numPr>
        <w:tabs>
          <w:tab w:val="left" w:pos="544"/>
        </w:tabs>
        <w:ind w:hanging="244"/>
      </w:pPr>
      <w:r w:rsidRPr="008345DC">
        <w:t>Problema</w:t>
      </w:r>
      <w:r w:rsidRPr="008345DC">
        <w:rPr>
          <w:spacing w:val="-2"/>
        </w:rPr>
        <w:t xml:space="preserve"> </w:t>
      </w:r>
      <w:r w:rsidRPr="008345DC">
        <w:t>planteado</w:t>
      </w:r>
    </w:p>
    <w:p w:rsidRPr="008345DC" w:rsidR="009F75F3" w:rsidRDefault="009F75F3" w14:paraId="6D7CA569" w14:textId="77777777">
      <w:pPr>
        <w:pStyle w:val="Textoindependiente"/>
        <w:spacing w:before="7"/>
        <w:rPr>
          <w:b/>
          <w:sz w:val="28"/>
        </w:rPr>
      </w:pPr>
    </w:p>
    <w:p w:rsidRPr="008345DC" w:rsidR="009F75F3" w:rsidRDefault="009F6A5F" w14:paraId="61E2A88D" w14:textId="77777777">
      <w:pPr>
        <w:pStyle w:val="Textoindependiente"/>
        <w:spacing w:before="1" w:line="276" w:lineRule="auto"/>
        <w:ind w:left="300" w:right="305"/>
        <w:jc w:val="both"/>
      </w:pPr>
      <w:r w:rsidRPr="008345DC">
        <w:t>La peticionaria plantea las siguientes preguntas sobre un convenio interadministrativo de cooperación que no implica erogación presupuestal: i) ¿Es obligatoria la publicación de estos contratos en el SECOP?, ii) “De ser afirmativa la respuesta por favor remitir las instrucciones del procedimiento para la realización de dicha publicación, y iii) ¿Las entidades están publicando convenios interadministrativos de cooperación que no implican recursos públicos en la plataforma del SECOP?”.</w:t>
      </w:r>
    </w:p>
    <w:p w:rsidRPr="008345DC" w:rsidR="009F75F3" w:rsidRDefault="009F75F3" w14:paraId="4F69095B" w14:textId="77777777">
      <w:pPr>
        <w:pStyle w:val="Textoindependiente"/>
        <w:spacing w:before="4"/>
        <w:rPr>
          <w:sz w:val="25"/>
        </w:rPr>
      </w:pPr>
    </w:p>
    <w:p w:rsidRPr="008345DC" w:rsidR="009F75F3" w:rsidRDefault="009F6A5F" w14:paraId="0B98C3A0" w14:textId="77777777">
      <w:pPr>
        <w:pStyle w:val="Ttulo1"/>
        <w:numPr>
          <w:ilvl w:val="0"/>
          <w:numId w:val="3"/>
        </w:numPr>
        <w:tabs>
          <w:tab w:val="left" w:pos="544"/>
        </w:tabs>
        <w:ind w:hanging="244"/>
      </w:pPr>
      <w:r w:rsidRPr="008345DC">
        <w:t>Consideraciones</w:t>
      </w:r>
    </w:p>
    <w:p w:rsidRPr="008345DC" w:rsidR="009F75F3" w:rsidRDefault="009F75F3" w14:paraId="7E958340" w14:textId="77777777">
      <w:pPr>
        <w:pStyle w:val="Textoindependiente"/>
        <w:spacing w:before="6"/>
        <w:rPr>
          <w:b/>
          <w:sz w:val="28"/>
        </w:rPr>
      </w:pPr>
    </w:p>
    <w:p w:rsidRPr="008345DC" w:rsidR="009F75F3" w:rsidRDefault="009F6A5F" w14:paraId="48D91BF2" w14:textId="77777777">
      <w:pPr>
        <w:pStyle w:val="Prrafodelista"/>
        <w:numPr>
          <w:ilvl w:val="1"/>
          <w:numId w:val="3"/>
        </w:numPr>
        <w:tabs>
          <w:tab w:val="left" w:pos="728"/>
        </w:tabs>
        <w:rPr>
          <w:b/>
        </w:rPr>
      </w:pPr>
      <w:r w:rsidRPr="008345DC">
        <w:rPr>
          <w:b/>
        </w:rPr>
        <w:t>Introducción</w:t>
      </w:r>
    </w:p>
    <w:p w:rsidRPr="008345DC" w:rsidR="009F75F3" w:rsidRDefault="009F75F3" w14:paraId="4C11E9C1" w14:textId="77777777">
      <w:pPr>
        <w:pStyle w:val="Textoindependiente"/>
        <w:spacing w:before="7"/>
        <w:rPr>
          <w:b/>
          <w:sz w:val="28"/>
        </w:rPr>
      </w:pPr>
    </w:p>
    <w:p w:rsidRPr="008345DC" w:rsidR="009F75F3" w:rsidP="00614C3C" w:rsidRDefault="009F6A5F" w14:paraId="66417EF5" w14:textId="77777777">
      <w:pPr>
        <w:pStyle w:val="Textoindependiente"/>
        <w:spacing w:line="276" w:lineRule="auto"/>
        <w:ind w:left="300" w:right="305"/>
        <w:jc w:val="both"/>
      </w:pPr>
      <w:r w:rsidRPr="008345DC">
        <w:t>La contratación pública comprende, entre otros aspectos, la toma de decisiones del gasto que las entidades realizan como ejecución de los recursos públicos asignados para adquirir bienes, obras o servicios que satisfacen sus necesidades, y en esa medida cumplen el</w:t>
      </w:r>
      <w:r w:rsidRPr="008345DC" w:rsidR="00614C3C">
        <w:t xml:space="preserve"> </w:t>
      </w:r>
      <w:r w:rsidRPr="008345DC">
        <w:t>interés general, que es la finalidad que la ley les confía a través de las funciones que se les encomiendan.</w:t>
      </w:r>
    </w:p>
    <w:p w:rsidRPr="008345DC" w:rsidR="009F75F3" w:rsidRDefault="009F75F3" w14:paraId="79B061C7" w14:textId="77777777">
      <w:pPr>
        <w:pStyle w:val="Textoindependiente"/>
        <w:spacing w:before="1"/>
        <w:rPr>
          <w:sz w:val="25"/>
        </w:rPr>
      </w:pPr>
    </w:p>
    <w:p w:rsidRPr="008345DC" w:rsidR="009F75F3" w:rsidRDefault="009F6A5F" w14:paraId="7EA41B41" w14:textId="3771CE25">
      <w:pPr>
        <w:pStyle w:val="Textoindependiente"/>
        <w:spacing w:line="276" w:lineRule="auto"/>
        <w:ind w:left="300" w:right="304"/>
        <w:jc w:val="both"/>
      </w:pPr>
      <w:r w:rsidRPr="008345DC">
        <w:t xml:space="preserve">En ese sentido, teniendo en cuenta que mediante los procedimientos contractuales las entidades ejecutan recursos públicos y satisfacen el interés general, la normativa del Sistema de Compra Pública -Ley 80 de 1993, Ley 1150 de 2007, y Decreto 1082 de 2015-, contiene los principios y procedimientos que rigen los contratos de las entidades estatales. Específicamente, el Estatuto General de Contratación de la Contratación Pública -Ley 80 de 1993- se dirige a las entidades estatales relacionadas en su artículo </w:t>
      </w:r>
      <w:r w:rsidRPr="008345DC">
        <w:rPr>
          <w:spacing w:val="2"/>
        </w:rPr>
        <w:t>2</w:t>
      </w:r>
      <w:r w:rsidRPr="008345DC" w:rsidR="00902AB9">
        <w:rPr>
          <w:rStyle w:val="Refdenotaalpie"/>
          <w:spacing w:val="2"/>
        </w:rPr>
        <w:footnoteReference w:id="1"/>
      </w:r>
      <w:r w:rsidRPr="008345DC">
        <w:rPr>
          <w:spacing w:val="2"/>
        </w:rPr>
        <w:t xml:space="preserve">, </w:t>
      </w:r>
      <w:r w:rsidRPr="008345DC">
        <w:t xml:space="preserve">con lo cual se puede </w:t>
      </w:r>
      <w:r w:rsidRPr="008345DC">
        <w:lastRenderedPageBreak/>
        <w:t>determinar quiénes deben cumplir los principios y obligaciones señalados en las normas</w:t>
      </w:r>
      <w:r w:rsidRPr="008345DC">
        <w:rPr>
          <w:spacing w:val="-2"/>
        </w:rPr>
        <w:t xml:space="preserve"> </w:t>
      </w:r>
      <w:r w:rsidRPr="008345DC">
        <w:t>citadas.</w:t>
      </w:r>
    </w:p>
    <w:p w:rsidRPr="008345DC" w:rsidR="009F75F3" w:rsidRDefault="009F75F3" w14:paraId="78B69880" w14:textId="77777777">
      <w:pPr>
        <w:pStyle w:val="Textoindependiente"/>
        <w:spacing w:before="3"/>
        <w:rPr>
          <w:sz w:val="25"/>
        </w:rPr>
      </w:pPr>
    </w:p>
    <w:p w:rsidRPr="008345DC" w:rsidR="009F75F3" w:rsidRDefault="009F6A5F" w14:paraId="10056B80" w14:textId="1DA0768A">
      <w:pPr>
        <w:pStyle w:val="Textoindependiente"/>
        <w:spacing w:line="276" w:lineRule="auto"/>
        <w:ind w:left="300" w:right="303"/>
        <w:jc w:val="both"/>
      </w:pPr>
      <w:r w:rsidRPr="008345DC">
        <w:t>El artículo 23 de la Ley 80 de 1993 regula los principios que rigen las actuaciones dentro de los procedimientos contractuales que adelantan las entidades</w:t>
      </w:r>
      <w:r w:rsidRPr="008345DC" w:rsidR="00902AB9">
        <w:rPr>
          <w:rStyle w:val="Refdenotaalpie"/>
        </w:rPr>
        <w:footnoteReference w:id="2"/>
      </w:r>
      <w:r w:rsidRPr="008345DC">
        <w:t>, y se destaca el principio de transparencia, desarrollado por el artículo 24, que contiene las reglas que permiten a los interesados conocer las actuaciones contractuales, que son públicas para poder controvertirlas a través de observaciones, por lo que se conforma un expediente y se expiden</w:t>
      </w:r>
      <w:r w:rsidRPr="008345DC">
        <w:rPr>
          <w:spacing w:val="18"/>
        </w:rPr>
        <w:t xml:space="preserve"> </w:t>
      </w:r>
      <w:r w:rsidRPr="008345DC">
        <w:t>copias,</w:t>
      </w:r>
      <w:r w:rsidRPr="008345DC">
        <w:rPr>
          <w:spacing w:val="18"/>
        </w:rPr>
        <w:t xml:space="preserve"> </w:t>
      </w:r>
      <w:r w:rsidRPr="008345DC">
        <w:t>de</w:t>
      </w:r>
      <w:r w:rsidRPr="008345DC">
        <w:rPr>
          <w:spacing w:val="19"/>
        </w:rPr>
        <w:t xml:space="preserve"> </w:t>
      </w:r>
      <w:r w:rsidRPr="008345DC">
        <w:t>acuerdo</w:t>
      </w:r>
      <w:r w:rsidRPr="008345DC">
        <w:rPr>
          <w:spacing w:val="18"/>
        </w:rPr>
        <w:t xml:space="preserve"> </w:t>
      </w:r>
      <w:r w:rsidRPr="008345DC">
        <w:t>con</w:t>
      </w:r>
      <w:r w:rsidRPr="008345DC">
        <w:rPr>
          <w:spacing w:val="19"/>
        </w:rPr>
        <w:t xml:space="preserve"> </w:t>
      </w:r>
      <w:r w:rsidRPr="008345DC">
        <w:t>lo</w:t>
      </w:r>
      <w:r w:rsidRPr="008345DC">
        <w:rPr>
          <w:spacing w:val="19"/>
        </w:rPr>
        <w:t xml:space="preserve"> </w:t>
      </w:r>
      <w:r w:rsidRPr="008345DC">
        <w:t>dispuesto</w:t>
      </w:r>
      <w:r w:rsidRPr="008345DC">
        <w:rPr>
          <w:spacing w:val="17"/>
        </w:rPr>
        <w:t xml:space="preserve"> </w:t>
      </w:r>
      <w:r w:rsidRPr="008345DC">
        <w:t>por</w:t>
      </w:r>
      <w:r w:rsidRPr="008345DC">
        <w:rPr>
          <w:spacing w:val="18"/>
        </w:rPr>
        <w:t xml:space="preserve"> </w:t>
      </w:r>
      <w:r w:rsidRPr="008345DC">
        <w:t>la</w:t>
      </w:r>
      <w:r w:rsidRPr="008345DC">
        <w:rPr>
          <w:spacing w:val="19"/>
        </w:rPr>
        <w:t xml:space="preserve"> </w:t>
      </w:r>
      <w:r w:rsidRPr="008345DC">
        <w:t>norma</w:t>
      </w:r>
      <w:r w:rsidRPr="008345DC" w:rsidR="00902AB9">
        <w:rPr>
          <w:rStyle w:val="Refdenotaalpie"/>
        </w:rPr>
        <w:footnoteReference w:id="3"/>
      </w:r>
      <w:r w:rsidRPr="008345DC">
        <w:t>.</w:t>
      </w:r>
      <w:r w:rsidRPr="008345DC">
        <w:rPr>
          <w:spacing w:val="18"/>
        </w:rPr>
        <w:t xml:space="preserve"> </w:t>
      </w:r>
      <w:r w:rsidRPr="008345DC">
        <w:t>De</w:t>
      </w:r>
      <w:r w:rsidRPr="008345DC">
        <w:rPr>
          <w:spacing w:val="18"/>
        </w:rPr>
        <w:t xml:space="preserve"> </w:t>
      </w:r>
      <w:r w:rsidRPr="008345DC">
        <w:t>esta</w:t>
      </w:r>
      <w:r w:rsidRPr="008345DC">
        <w:rPr>
          <w:spacing w:val="19"/>
        </w:rPr>
        <w:t xml:space="preserve"> </w:t>
      </w:r>
      <w:r w:rsidRPr="008345DC">
        <w:t>forma,</w:t>
      </w:r>
      <w:r w:rsidRPr="008345DC">
        <w:rPr>
          <w:spacing w:val="15"/>
        </w:rPr>
        <w:t xml:space="preserve"> </w:t>
      </w:r>
      <w:r w:rsidRPr="008345DC">
        <w:t>las</w:t>
      </w:r>
      <w:r w:rsidRPr="008345DC">
        <w:rPr>
          <w:spacing w:val="18"/>
        </w:rPr>
        <w:t xml:space="preserve"> </w:t>
      </w:r>
      <w:r w:rsidRPr="008345DC">
        <w:t>entidades</w:t>
      </w:r>
    </w:p>
    <w:p w:rsidRPr="008345DC" w:rsidR="009F75F3" w:rsidRDefault="009F75F3" w14:paraId="3AF9D0DC" w14:textId="1CFED962">
      <w:pPr>
        <w:pStyle w:val="Textoindependiente"/>
        <w:spacing w:before="8"/>
        <w:rPr>
          <w:sz w:val="16"/>
        </w:rPr>
      </w:pPr>
    </w:p>
    <w:p w:rsidRPr="008345DC" w:rsidR="009F75F3" w:rsidRDefault="009F75F3" w14:paraId="49CB3EA9" w14:textId="77777777">
      <w:pPr>
        <w:pStyle w:val="Textoindependiente"/>
        <w:spacing w:before="9"/>
        <w:rPr>
          <w:sz w:val="17"/>
        </w:rPr>
      </w:pPr>
    </w:p>
    <w:p w:rsidRPr="008345DC" w:rsidR="009F75F3" w:rsidP="00851DB4" w:rsidRDefault="00902AB9" w14:paraId="4C4FF613" w14:textId="38415AF8">
      <w:pPr>
        <w:pStyle w:val="Textoindependiente"/>
        <w:spacing w:line="276" w:lineRule="auto"/>
        <w:ind w:left="300" w:right="305"/>
        <w:jc w:val="both"/>
      </w:pPr>
      <w:r w:rsidRPr="008345DC">
        <w:t>E</w:t>
      </w:r>
      <w:r w:rsidRPr="008345DC" w:rsidR="009F6A5F">
        <w:t>statales deben publicar sus actuaciones de los procedimientos contractuales en el medio que ha definido el Estado para tal fin.</w:t>
      </w:r>
    </w:p>
    <w:p w:rsidRPr="008345DC" w:rsidR="009F75F3" w:rsidRDefault="009F75F3" w14:paraId="32A01A2F" w14:textId="77777777">
      <w:pPr>
        <w:pStyle w:val="Textoindependiente"/>
        <w:spacing w:before="1"/>
        <w:rPr>
          <w:sz w:val="25"/>
        </w:rPr>
      </w:pPr>
    </w:p>
    <w:p w:rsidRPr="008345DC" w:rsidR="009F75F3" w:rsidRDefault="009F6A5F" w14:paraId="43194A66" w14:textId="77777777">
      <w:pPr>
        <w:pStyle w:val="Textoindependiente"/>
        <w:spacing w:line="276" w:lineRule="auto"/>
        <w:ind w:left="300" w:right="305"/>
        <w:jc w:val="both"/>
      </w:pPr>
      <w:r w:rsidRPr="008345DC">
        <w:t xml:space="preserve">Para resolver su consulta relacionada con la publicidad en el SECOP: i) en primer lugar se citará el marco normativo de los procedimientos contractuales y su publicidad; y ii) se explicará el SECOP como el medio de publicidad de la contratación pública que el Estado </w:t>
      </w:r>
      <w:r w:rsidRPr="008345DC">
        <w:lastRenderedPageBreak/>
        <w:t>estableció, y la forma en la que las entidades deben cumplir su deber de publicar sus actuaciones contractuales.</w:t>
      </w:r>
    </w:p>
    <w:p w:rsidRPr="008345DC" w:rsidR="009F75F3" w:rsidRDefault="009F75F3" w14:paraId="3C481647" w14:textId="77777777">
      <w:pPr>
        <w:pStyle w:val="Textoindependiente"/>
        <w:spacing w:before="3"/>
        <w:rPr>
          <w:sz w:val="25"/>
        </w:rPr>
      </w:pPr>
    </w:p>
    <w:p w:rsidRPr="008345DC" w:rsidR="009F75F3" w:rsidRDefault="009F6A5F" w14:paraId="348B78DC" w14:textId="77777777">
      <w:pPr>
        <w:pStyle w:val="Ttulo1"/>
        <w:numPr>
          <w:ilvl w:val="1"/>
          <w:numId w:val="2"/>
        </w:numPr>
        <w:tabs>
          <w:tab w:val="left" w:pos="661"/>
        </w:tabs>
        <w:spacing w:line="276" w:lineRule="auto"/>
        <w:ind w:right="305"/>
      </w:pPr>
      <w:r w:rsidRPr="008345DC">
        <w:t>Procedimientos contractuales y su publicidad: Un deber de las entidades estatales</w:t>
      </w:r>
    </w:p>
    <w:p w:rsidRPr="008345DC" w:rsidR="009F75F3" w:rsidRDefault="009F75F3" w14:paraId="65A86C4E" w14:textId="77777777">
      <w:pPr>
        <w:pStyle w:val="Textoindependiente"/>
        <w:spacing w:before="3"/>
        <w:rPr>
          <w:b/>
          <w:sz w:val="25"/>
        </w:rPr>
      </w:pPr>
    </w:p>
    <w:p w:rsidRPr="008345DC" w:rsidR="009F75F3" w:rsidRDefault="009F6A5F" w14:paraId="094FEB1E" w14:textId="77777777">
      <w:pPr>
        <w:spacing w:before="1"/>
        <w:ind w:left="300"/>
        <w:rPr>
          <w:b/>
        </w:rPr>
      </w:pPr>
      <w:r w:rsidRPr="008345DC">
        <w:rPr>
          <w:b/>
        </w:rPr>
        <w:t>a) Marco normativo</w:t>
      </w:r>
    </w:p>
    <w:p w:rsidRPr="008345DC" w:rsidR="009F75F3" w:rsidRDefault="009F75F3" w14:paraId="59FB9E43" w14:textId="77777777">
      <w:pPr>
        <w:pStyle w:val="Textoindependiente"/>
        <w:spacing w:before="7"/>
        <w:rPr>
          <w:b/>
          <w:sz w:val="28"/>
        </w:rPr>
      </w:pPr>
    </w:p>
    <w:p w:rsidRPr="008345DC" w:rsidR="009F75F3" w:rsidRDefault="009F6A5F" w14:paraId="24F34B4E" w14:textId="77777777">
      <w:pPr>
        <w:pStyle w:val="Textoindependiente"/>
        <w:spacing w:line="276" w:lineRule="auto"/>
        <w:ind w:left="300" w:right="304"/>
        <w:jc w:val="both"/>
      </w:pPr>
      <w:r w:rsidRPr="008345DC">
        <w:t>Para las adquisiciones, las entidades deben estructurar un procedimiento de contratación que es reglado, es decir, el procedimiento no es discrecional, y se deben consultar las normas que rigen el procedimiento de contratación para determinar la forma que la Ley prevé para adelantarlo. Por consiguiente, las principales normas son: la Ley 80 de 1993, el Estatuto General de Contratación de la Administración Pública; la Ley 1150 de 2007 que, entre otras disposiciones, regula las modalidades de selección para la escogencia del contratista; y el Decreto 1082 de 2015, que es reglamentario y concreta cada modalidad de selección, señalando reglas o pasos a seguir para celebrar el contrato estatal.</w:t>
      </w:r>
    </w:p>
    <w:p w:rsidRPr="008345DC" w:rsidR="009F75F3" w:rsidRDefault="009F75F3" w14:paraId="249CB672" w14:textId="77777777">
      <w:pPr>
        <w:pStyle w:val="Textoindependiente"/>
        <w:spacing w:before="3"/>
        <w:rPr>
          <w:sz w:val="25"/>
        </w:rPr>
      </w:pPr>
    </w:p>
    <w:p w:rsidRPr="008345DC" w:rsidR="009F75F3" w:rsidP="00093CFA" w:rsidRDefault="009F6A5F" w14:paraId="6FD882E6" w14:textId="748B178F">
      <w:pPr>
        <w:pStyle w:val="Textoindependiente"/>
        <w:spacing w:line="276" w:lineRule="auto"/>
        <w:ind w:left="300" w:right="307"/>
        <w:jc w:val="both"/>
      </w:pPr>
      <w:r w:rsidRPr="008345DC">
        <w:t>El procedimiento de contratación también está definido en el Decreto 1082 de 2015 y comprende todos los pasos que realiza la entidad para adquirir los bienes que satisfacen su necesidad, cuyo inicio parte de lo que se denomina planear, y finaliza, dependiendo de lo</w:t>
      </w:r>
      <w:r w:rsidRPr="008345DC">
        <w:rPr>
          <w:spacing w:val="9"/>
        </w:rPr>
        <w:t xml:space="preserve"> </w:t>
      </w:r>
      <w:r w:rsidRPr="008345DC">
        <w:t>dispuesto</w:t>
      </w:r>
      <w:r w:rsidRPr="008345DC">
        <w:rPr>
          <w:spacing w:val="8"/>
        </w:rPr>
        <w:t xml:space="preserve"> </w:t>
      </w:r>
      <w:r w:rsidRPr="008345DC">
        <w:t>por</w:t>
      </w:r>
      <w:r w:rsidRPr="008345DC">
        <w:rPr>
          <w:spacing w:val="8"/>
        </w:rPr>
        <w:t xml:space="preserve"> </w:t>
      </w:r>
      <w:r w:rsidRPr="008345DC">
        <w:t>la</w:t>
      </w:r>
      <w:r w:rsidRPr="008345DC">
        <w:rPr>
          <w:spacing w:val="10"/>
        </w:rPr>
        <w:t xml:space="preserve"> </w:t>
      </w:r>
      <w:r w:rsidRPr="008345DC">
        <w:t>entidad,</w:t>
      </w:r>
      <w:r w:rsidRPr="008345DC">
        <w:rPr>
          <w:spacing w:val="8"/>
        </w:rPr>
        <w:t xml:space="preserve"> </w:t>
      </w:r>
      <w:r w:rsidRPr="008345DC">
        <w:t>en</w:t>
      </w:r>
      <w:r w:rsidRPr="008345DC">
        <w:rPr>
          <w:spacing w:val="9"/>
        </w:rPr>
        <w:t xml:space="preserve"> </w:t>
      </w:r>
      <w:r w:rsidRPr="008345DC">
        <w:t>el</w:t>
      </w:r>
      <w:r w:rsidRPr="008345DC">
        <w:rPr>
          <w:spacing w:val="10"/>
        </w:rPr>
        <w:t xml:space="preserve"> </w:t>
      </w:r>
      <w:r w:rsidRPr="008345DC">
        <w:t>contrato</w:t>
      </w:r>
      <w:r w:rsidRPr="008345DC" w:rsidR="00093CFA">
        <w:rPr>
          <w:rStyle w:val="Refdenotaalpie"/>
        </w:rPr>
        <w:footnoteReference w:id="4"/>
      </w:r>
      <w:r w:rsidRPr="008345DC">
        <w:t>.</w:t>
      </w:r>
      <w:r w:rsidRPr="008345DC">
        <w:rPr>
          <w:spacing w:val="9"/>
        </w:rPr>
        <w:t xml:space="preserve"> </w:t>
      </w:r>
      <w:r w:rsidRPr="008345DC">
        <w:t>Por</w:t>
      </w:r>
      <w:r w:rsidRPr="008345DC">
        <w:rPr>
          <w:spacing w:val="8"/>
        </w:rPr>
        <w:t xml:space="preserve"> </w:t>
      </w:r>
      <w:r w:rsidRPr="008345DC">
        <w:t>consiguiente,</w:t>
      </w:r>
      <w:r w:rsidRPr="008345DC">
        <w:rPr>
          <w:spacing w:val="8"/>
        </w:rPr>
        <w:t xml:space="preserve"> </w:t>
      </w:r>
      <w:r w:rsidRPr="008345DC">
        <w:t>para</w:t>
      </w:r>
      <w:r w:rsidRPr="008345DC">
        <w:rPr>
          <w:spacing w:val="9"/>
        </w:rPr>
        <w:t xml:space="preserve"> </w:t>
      </w:r>
      <w:r w:rsidRPr="008345DC">
        <w:t>que</w:t>
      </w:r>
      <w:r w:rsidRPr="008345DC">
        <w:rPr>
          <w:spacing w:val="9"/>
        </w:rPr>
        <w:t xml:space="preserve"> </w:t>
      </w:r>
      <w:r w:rsidRPr="008345DC">
        <w:t>los</w:t>
      </w:r>
      <w:r w:rsidRPr="008345DC">
        <w:rPr>
          <w:spacing w:val="9"/>
        </w:rPr>
        <w:t xml:space="preserve"> </w:t>
      </w:r>
      <w:r w:rsidRPr="008345DC">
        <w:t>documentos</w:t>
      </w:r>
      <w:r w:rsidRPr="008345DC">
        <w:rPr>
          <w:spacing w:val="9"/>
        </w:rPr>
        <w:t xml:space="preserve"> </w:t>
      </w:r>
      <w:r w:rsidRPr="008345DC">
        <w:t>de</w:t>
      </w:r>
      <w:r w:rsidRPr="008345DC" w:rsidR="00093CFA">
        <w:t xml:space="preserve"> </w:t>
      </w:r>
      <w:r w:rsidRPr="008345DC">
        <w:t>la actividad contractual se conozcan, la entidad debe publicarlos, sin importar la modalidad de selección utilizada. El parágrafo 2 del artículo 2 de la Ley 1150 de 2007</w:t>
      </w:r>
      <w:r w:rsidRPr="008345DC" w:rsidR="00093CFA">
        <w:rPr>
          <w:rStyle w:val="Refdenotaalpie"/>
        </w:rPr>
        <w:footnoteReference w:id="5"/>
      </w:r>
      <w:r w:rsidRPr="008345DC">
        <w:t xml:space="preserve"> y el artículo </w:t>
      </w:r>
      <w:r w:rsidRPr="008345DC">
        <w:lastRenderedPageBreak/>
        <w:t>2.2.1.1.1.3.1. Decreto 1082 de 2015 definen cuáles son esos documentos: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rsidRPr="008345DC" w:rsidR="009F75F3" w:rsidRDefault="009F75F3" w14:paraId="6022A5B1" w14:textId="77777777">
      <w:pPr>
        <w:pStyle w:val="Textoindependiente"/>
        <w:spacing w:before="4"/>
        <w:rPr>
          <w:sz w:val="25"/>
        </w:rPr>
      </w:pPr>
    </w:p>
    <w:p w:rsidRPr="008345DC" w:rsidR="009F75F3" w:rsidP="00DC2B0E" w:rsidRDefault="009F6A5F" w14:paraId="39486D0F" w14:textId="17A75562">
      <w:pPr>
        <w:pStyle w:val="Textoindependiente"/>
        <w:spacing w:line="276" w:lineRule="auto"/>
        <w:ind w:left="300" w:right="304"/>
        <w:jc w:val="both"/>
      </w:pPr>
      <w:r w:rsidRPr="008345DC">
        <w:t>Sobre el deber de publicidad, el artículo 2.2.1.1.1.7.1. del Decreto 1082 de 2015 regula la publicidad en el SECOP, y el deber de las entidades de publicar en dicha plataforma los documentos que resulten de la actividad contractual</w:t>
      </w:r>
      <w:r w:rsidRPr="008345DC" w:rsidR="00DC2B0E">
        <w:rPr>
          <w:rStyle w:val="Refdenotaalpie"/>
        </w:rPr>
        <w:footnoteReference w:id="6"/>
      </w:r>
      <w:r w:rsidRPr="008345DC">
        <w:t>, lo cual permite el control de las actuaciones y decisiones de la Administración y el cumplimiento de los demás principios de la contratación pública. Así lo confirma el Consejo de Estado, Sección Tercera, radicado 24.715, en la sentencia del 14 de diciembre de 2007, Consejera Ponente Ruth Stella Correa Palacio, que analizó el principio de</w:t>
      </w:r>
      <w:r w:rsidRPr="008345DC">
        <w:rPr>
          <w:spacing w:val="-11"/>
        </w:rPr>
        <w:t xml:space="preserve"> </w:t>
      </w:r>
      <w:r w:rsidRPr="008345DC">
        <w:t>publicidad:</w:t>
      </w:r>
      <w:r w:rsidRPr="008345DC" w:rsidR="00DC2B0E">
        <w:t xml:space="preserve"> </w:t>
      </w:r>
    </w:p>
    <w:p w:rsidRPr="008345DC" w:rsidR="00DC2B0E" w:rsidP="00DC2B0E" w:rsidRDefault="00DC2B0E" w14:paraId="09834A4D" w14:textId="77777777">
      <w:pPr>
        <w:pStyle w:val="Textoindependiente"/>
        <w:spacing w:line="276" w:lineRule="auto"/>
        <w:ind w:left="300" w:right="304"/>
        <w:jc w:val="both"/>
        <w:rPr>
          <w:sz w:val="16"/>
        </w:rPr>
      </w:pPr>
    </w:p>
    <w:p w:rsidRPr="008345DC" w:rsidR="009F75F3" w:rsidRDefault="009F6A5F" w14:paraId="2A8CB5D0" w14:textId="77777777">
      <w:pPr>
        <w:spacing w:before="94"/>
        <w:ind w:left="1008" w:right="983"/>
        <w:jc w:val="both"/>
        <w:rPr>
          <w:sz w:val="21"/>
        </w:rPr>
      </w:pPr>
      <w:r w:rsidRPr="008345DC">
        <w:rPr>
          <w:sz w:val="21"/>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rsidRPr="008345DC" w:rsidR="009F75F3" w:rsidRDefault="009F75F3" w14:paraId="7327AC79" w14:textId="77777777">
      <w:pPr>
        <w:pStyle w:val="Textoindependiente"/>
        <w:rPr>
          <w:sz w:val="21"/>
        </w:rPr>
      </w:pPr>
    </w:p>
    <w:p w:rsidRPr="008345DC" w:rsidR="009F75F3" w:rsidRDefault="009F6A5F" w14:paraId="54109BD6" w14:textId="77777777">
      <w:pPr>
        <w:spacing w:before="1"/>
        <w:ind w:left="1008" w:right="984"/>
        <w:jc w:val="both"/>
        <w:rPr>
          <w:sz w:val="21"/>
        </w:rPr>
      </w:pPr>
      <w:r w:rsidRPr="008345DC">
        <w:rPr>
          <w:sz w:val="21"/>
        </w:rPr>
        <w:t>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ibídem en armonía con el artículo 273 de la Constitución</w:t>
      </w:r>
      <w:r w:rsidRPr="008345DC">
        <w:rPr>
          <w:spacing w:val="-21"/>
          <w:sz w:val="21"/>
        </w:rPr>
        <w:t xml:space="preserve"> </w:t>
      </w:r>
      <w:r w:rsidRPr="008345DC">
        <w:rPr>
          <w:sz w:val="21"/>
        </w:rPr>
        <w:t>Política).</w:t>
      </w:r>
    </w:p>
    <w:p w:rsidRPr="008345DC" w:rsidR="009F75F3" w:rsidRDefault="009F75F3" w14:paraId="1C374094" w14:textId="77777777">
      <w:pPr>
        <w:pStyle w:val="Textoindependiente"/>
        <w:spacing w:before="10"/>
        <w:rPr>
          <w:sz w:val="20"/>
        </w:rPr>
      </w:pPr>
    </w:p>
    <w:p w:rsidRPr="008345DC" w:rsidR="009F75F3" w:rsidRDefault="009F6A5F" w14:paraId="0EB52D75" w14:textId="77777777">
      <w:pPr>
        <w:spacing w:before="1"/>
        <w:ind w:left="1008" w:right="986"/>
        <w:jc w:val="both"/>
        <w:rPr>
          <w:sz w:val="21"/>
        </w:rPr>
      </w:pPr>
      <w:r w:rsidRPr="008345DC">
        <w:rPr>
          <w:sz w:val="21"/>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p>
    <w:p w:rsidRPr="008345DC" w:rsidR="009F75F3" w:rsidRDefault="009F75F3" w14:paraId="579DA41D" w14:textId="77777777">
      <w:pPr>
        <w:pStyle w:val="Textoindependiente"/>
        <w:spacing w:before="5"/>
        <w:rPr>
          <w:sz w:val="25"/>
        </w:rPr>
      </w:pPr>
    </w:p>
    <w:p w:rsidRPr="008345DC" w:rsidR="009F75F3" w:rsidRDefault="009F6A5F" w14:paraId="55ADD8BB" w14:textId="77777777">
      <w:pPr>
        <w:pStyle w:val="Ttulo1"/>
        <w:numPr>
          <w:ilvl w:val="1"/>
          <w:numId w:val="2"/>
        </w:numPr>
        <w:tabs>
          <w:tab w:val="left" w:pos="691"/>
        </w:tabs>
        <w:spacing w:line="276" w:lineRule="auto"/>
        <w:ind w:left="300" w:right="309" w:firstLine="0"/>
      </w:pPr>
      <w:r w:rsidRPr="008345DC">
        <w:t>El Sistema Electrónico de Contratación Pública – SECOP: transformación hacia la tecnología y los medios</w:t>
      </w:r>
      <w:r w:rsidRPr="008345DC">
        <w:rPr>
          <w:spacing w:val="-5"/>
        </w:rPr>
        <w:t xml:space="preserve"> </w:t>
      </w:r>
      <w:r w:rsidRPr="008345DC">
        <w:t>electrónicos</w:t>
      </w:r>
    </w:p>
    <w:p w:rsidRPr="008345DC" w:rsidR="009F75F3" w:rsidRDefault="009F75F3" w14:paraId="096062DE" w14:textId="77777777">
      <w:pPr>
        <w:pStyle w:val="Textoindependiente"/>
        <w:spacing w:before="4"/>
        <w:rPr>
          <w:b/>
          <w:sz w:val="25"/>
        </w:rPr>
      </w:pPr>
    </w:p>
    <w:p w:rsidRPr="008345DC" w:rsidR="009F75F3" w:rsidP="00DC2B0E" w:rsidRDefault="009F6A5F" w14:paraId="7BF790CC" w14:textId="011E358C">
      <w:pPr>
        <w:pStyle w:val="Textoindependiente"/>
        <w:spacing w:line="276" w:lineRule="auto"/>
        <w:ind w:left="300" w:right="306"/>
        <w:jc w:val="both"/>
      </w:pPr>
      <w:r w:rsidRPr="008345DC">
        <w:t>El artículo 3 de la Ley 1150 de 2007 señala que los actos relacionados con los procedimientos de contratación de las entidades estatales pueden ser electrónicos, al igual que su publicidad, por lo que el Gobierno nacional debe definir los medios para llevarlo a cabo, y tiene la obligación de desarrollar el SECOP</w:t>
      </w:r>
      <w:r w:rsidRPr="008345DC" w:rsidR="00DC2B0E">
        <w:rPr>
          <w:rStyle w:val="Refdenotaalpie"/>
        </w:rPr>
        <w:footnoteReference w:id="7"/>
      </w:r>
      <w:r w:rsidRPr="008345DC">
        <w:t>. Este sistema debe contar con la</w:t>
      </w:r>
      <w:r w:rsidRPr="008345DC" w:rsidR="00DC2B0E">
        <w:t xml:space="preserve"> </w:t>
      </w:r>
      <w:r w:rsidRPr="008345DC">
        <w:t>información oficial de los procedimientos contractuales de las entidades, de lo cual será la única fuente, teniendo en cuenta que se ejecutan recursos públicos y por ende la ciudadanía tiene derecho a conocer cómo se invierten, y controlar que el objetivo sea la satisfacción de sus necesidades.</w:t>
      </w:r>
    </w:p>
    <w:p w:rsidRPr="008345DC" w:rsidR="009F75F3" w:rsidRDefault="009F75F3" w14:paraId="637ADDE4" w14:textId="77777777">
      <w:pPr>
        <w:pStyle w:val="Textoindependiente"/>
        <w:spacing w:before="4"/>
        <w:rPr>
          <w:sz w:val="25"/>
        </w:rPr>
      </w:pPr>
    </w:p>
    <w:p w:rsidRPr="008345DC" w:rsidR="009F75F3" w:rsidRDefault="009F6A5F" w14:paraId="7B9F505C" w14:textId="77777777">
      <w:pPr>
        <w:pStyle w:val="Textoindependiente"/>
        <w:spacing w:line="276" w:lineRule="auto"/>
        <w:ind w:left="300" w:right="305"/>
        <w:jc w:val="both"/>
      </w:pPr>
      <w:r w:rsidRPr="008345DC">
        <w:t xml:space="preserve">La norma citada genera un cambio en la contratación pública, donde las actuaciones de las entidades se realizaban por escrito y en papel, y ahora se crea un mecanismo eficiente que reduce costos para que se cumpla el principio de publicidad, como un deber de las autoridades públicas en el ejercicio de las funciones administrativas que la </w:t>
      </w:r>
      <w:r w:rsidRPr="008345DC">
        <w:rPr>
          <w:spacing w:val="2"/>
        </w:rPr>
        <w:t xml:space="preserve">ley </w:t>
      </w:r>
      <w:r w:rsidRPr="008345DC">
        <w:t xml:space="preserve">les otorga. No obstante, es necesario aclarar que la norma no impone como requisito que se deba publicar en el SECOP, únicamente cuando se ejecuten recursos públicos, ya que el deber de publicidad es amplio teniendo en cuenta que está consagrado en una norma que aplica a las entidades, esto es, que son ellas quienes deben publicar las actuaciones relacionadas con </w:t>
      </w:r>
      <w:r w:rsidRPr="008345DC">
        <w:lastRenderedPageBreak/>
        <w:t>su actividad contractual, sin que sea relevante en el cumplimiento de este deber la ejecución o no de recursos públicos, a pesar de que cuando se ejecutan cobra mayor importancia que se cumpla el principio de publicidad por involucrar un interés principal de la</w:t>
      </w:r>
      <w:r w:rsidRPr="008345DC">
        <w:rPr>
          <w:spacing w:val="-3"/>
        </w:rPr>
        <w:t xml:space="preserve"> </w:t>
      </w:r>
      <w:r w:rsidRPr="008345DC">
        <w:t>ciudadanía.</w:t>
      </w:r>
    </w:p>
    <w:p w:rsidRPr="008345DC" w:rsidR="009F75F3" w:rsidRDefault="009F75F3" w14:paraId="29DAE624" w14:textId="77777777">
      <w:pPr>
        <w:pStyle w:val="Textoindependiente"/>
        <w:spacing w:before="4"/>
        <w:rPr>
          <w:sz w:val="25"/>
        </w:rPr>
      </w:pPr>
    </w:p>
    <w:p w:rsidRPr="008345DC" w:rsidR="009F75F3" w:rsidRDefault="009F6A5F" w14:paraId="4DBBAB59" w14:textId="77777777">
      <w:pPr>
        <w:pStyle w:val="Textoindependiente"/>
        <w:spacing w:before="1" w:line="276" w:lineRule="auto"/>
        <w:ind w:left="300" w:right="310"/>
        <w:jc w:val="both"/>
      </w:pPr>
      <w:r w:rsidRPr="008345DC">
        <w:t>Además, es preciso analizar en detalle el artículo 3 de la Ley 1150 de 2007 citado, ya que al observar la literalidad de la norma se señala la obligación de que la actividad contractual de las entidades se publique en el SECOP, sin que esta, necesariamente, involucre recursos públicos; por el contrario, la norma es general al referirse a los actos derivados de las etapas de un procedimiento contractual, lo cual hace énfasis en que el objetivo de la ley es la contratación que realizan las entidades, y no únicamente los recursos públicos que se ejecuten para la satisfacción de las necesidades.</w:t>
      </w:r>
    </w:p>
    <w:p w:rsidRPr="008345DC" w:rsidR="009F75F3" w:rsidRDefault="009F75F3" w14:paraId="33A95EFB" w14:textId="77777777">
      <w:pPr>
        <w:pStyle w:val="Textoindependiente"/>
        <w:spacing w:before="3"/>
        <w:rPr>
          <w:sz w:val="25"/>
        </w:rPr>
      </w:pPr>
    </w:p>
    <w:p w:rsidRPr="008345DC" w:rsidR="009F75F3" w:rsidP="00DC2B0E" w:rsidRDefault="009F6A5F" w14:paraId="27DD43C7" w14:textId="08B6F675">
      <w:pPr>
        <w:pStyle w:val="Textoindependiente"/>
        <w:spacing w:before="1" w:line="276" w:lineRule="auto"/>
        <w:ind w:left="300" w:right="305"/>
        <w:jc w:val="both"/>
      </w:pPr>
      <w:r w:rsidRPr="008345DC">
        <w:t>Lo anterior se debe armonizar con lo dispuesto por el artículo 2.2.1.1.1.7.1. del Decreto 1082 de 2015 citado, donde se relacionan los documentos que se deben publicar en el SECOP, sin que se haga referencia a aquellos actos que ejecuten recursos públicos, porque el interés principal de las normas es el principio de transparencia y publicidad, es</w:t>
      </w:r>
      <w:r w:rsidRPr="008345DC" w:rsidR="00DC2B0E">
        <w:t xml:space="preserve"> </w:t>
      </w:r>
      <w:r w:rsidRPr="008345DC">
        <w:t>decir, que la ciudadanía conozca la actividad contractual de las entidades, sin importar que se involucren recursos públicos, más aún cuando cada documento da cuenta de las decisiones de la Administración pública en beneficio del interés general, lo cual puede o no requerir dineros del erario, sin que en ello radique el interés de la ciudadanía en conocer lo relacionado con los organismos que la dirigen.</w:t>
      </w:r>
    </w:p>
    <w:p w:rsidRPr="008345DC" w:rsidR="009F75F3" w:rsidRDefault="009F75F3" w14:paraId="6E7DE130" w14:textId="77777777">
      <w:pPr>
        <w:pStyle w:val="Textoindependiente"/>
        <w:spacing w:before="6"/>
        <w:rPr>
          <w:sz w:val="25"/>
        </w:rPr>
      </w:pPr>
    </w:p>
    <w:p w:rsidRPr="008345DC" w:rsidR="009F75F3" w:rsidRDefault="009F6A5F" w14:paraId="6E34DB9B" w14:textId="77777777">
      <w:pPr>
        <w:pStyle w:val="Textoindependiente"/>
        <w:spacing w:line="276" w:lineRule="auto"/>
        <w:ind w:left="300" w:right="308"/>
        <w:jc w:val="both"/>
      </w:pPr>
      <w:r w:rsidRPr="008345DC">
        <w:t xml:space="preserve">Así, analizando las normas sobre publicidad en el SECOP, se concluye que no existen disposiciones de las que se pueda inferir el interés de la ley en exigir la publicación de los actos que evidencien la ejecución de recursos públicos, puesto que su objetivo es general y se refiere a la actividad precontractual, contractual y </w:t>
      </w:r>
      <w:proofErr w:type="spellStart"/>
      <w:r w:rsidRPr="008345DC">
        <w:t>poscontractual</w:t>
      </w:r>
      <w:proofErr w:type="spellEnd"/>
      <w:r w:rsidRPr="008345DC">
        <w:t xml:space="preserve"> de las entidades, sin que pueda existir una interpretación diferente, debido a la finalidad de la ley respecto de la ciudadanía y su derecho a conocer las decisiones de la Administración</w:t>
      </w:r>
      <w:r w:rsidRPr="008345DC">
        <w:rPr>
          <w:spacing w:val="-23"/>
        </w:rPr>
        <w:t xml:space="preserve"> </w:t>
      </w:r>
      <w:r w:rsidRPr="008345DC">
        <w:t>pública.</w:t>
      </w:r>
    </w:p>
    <w:p w:rsidRPr="008345DC" w:rsidR="009F75F3" w:rsidRDefault="009F75F3" w14:paraId="7CD9BC2C" w14:textId="77777777">
      <w:pPr>
        <w:pStyle w:val="Textoindependiente"/>
        <w:spacing w:before="2"/>
        <w:rPr>
          <w:sz w:val="25"/>
        </w:rPr>
      </w:pPr>
    </w:p>
    <w:p w:rsidRPr="008345DC" w:rsidR="009F75F3" w:rsidRDefault="009F6A5F" w14:paraId="4814CF5B" w14:textId="77777777">
      <w:pPr>
        <w:pStyle w:val="Textoindependiente"/>
        <w:spacing w:line="276" w:lineRule="auto"/>
        <w:ind w:left="300" w:right="306"/>
        <w:jc w:val="both"/>
      </w:pPr>
      <w:r w:rsidRPr="008345DC">
        <w:t>La Corte Constitucional, en la sentencia C-711 del 11 de marzo de 2011, Magistrado Ponente Mauricio Gonzáles Cuervo, hizo énfasis en la transición de la actividad contractual impresa que se publicaba en el Diario Único de Contratación, a una contratación pública electrónica desarrollada mediante el SECOP:</w:t>
      </w:r>
    </w:p>
    <w:p w:rsidRPr="008345DC" w:rsidR="009F75F3" w:rsidRDefault="009F75F3" w14:paraId="6163BB23" w14:textId="77777777">
      <w:pPr>
        <w:pStyle w:val="Textoindependiente"/>
        <w:spacing w:before="3"/>
        <w:rPr>
          <w:sz w:val="25"/>
        </w:rPr>
      </w:pPr>
    </w:p>
    <w:p w:rsidRPr="008345DC" w:rsidR="009F75F3" w:rsidRDefault="009F6A5F" w14:paraId="4A0F08D4" w14:textId="77777777">
      <w:pPr>
        <w:ind w:left="1008" w:right="984"/>
        <w:jc w:val="both"/>
        <w:rPr>
          <w:sz w:val="21"/>
        </w:rPr>
      </w:pPr>
      <w:r w:rsidRPr="008345DC">
        <w:rPr>
          <w:sz w:val="21"/>
        </w:rPr>
        <w:t xml:space="preserve">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 Compra Eficiente—, se asegura la regularidad de este tipo de trámite, en manos de una entidad responsable de realizarlo; y, simultáneamente, </w:t>
      </w:r>
      <w:r w:rsidRPr="008345DC">
        <w:rPr>
          <w:sz w:val="21"/>
        </w:rPr>
        <w:lastRenderedPageBreak/>
        <w:t>se cumple la finalidad de la publicación, que no otra distinta de brindarle al público la posibilidad de acceso fácil, oportuno, idóneo y eficaz a los términos de la contratación</w:t>
      </w:r>
      <w:r w:rsidRPr="008345DC">
        <w:rPr>
          <w:spacing w:val="-6"/>
          <w:sz w:val="21"/>
        </w:rPr>
        <w:t xml:space="preserve"> </w:t>
      </w:r>
      <w:r w:rsidRPr="008345DC">
        <w:rPr>
          <w:sz w:val="21"/>
        </w:rPr>
        <w:t>estatal.</w:t>
      </w:r>
    </w:p>
    <w:p w:rsidRPr="008345DC" w:rsidR="009F75F3" w:rsidRDefault="009F75F3" w14:paraId="3DD2820F" w14:textId="77777777">
      <w:pPr>
        <w:pStyle w:val="Textoindependiente"/>
        <w:spacing w:before="2"/>
        <w:rPr>
          <w:sz w:val="21"/>
        </w:rPr>
      </w:pPr>
    </w:p>
    <w:p w:rsidRPr="008345DC" w:rsidR="009F75F3" w:rsidRDefault="009F6A5F" w14:paraId="4FD45982" w14:textId="77777777">
      <w:pPr>
        <w:ind w:left="1008" w:right="984"/>
        <w:jc w:val="both"/>
        <w:rPr>
          <w:sz w:val="21"/>
        </w:rPr>
      </w:pPr>
      <w:r w:rsidRPr="008345DC">
        <w:rPr>
          <w:sz w:val="21"/>
        </w:rPr>
        <w:t xml:space="preserve">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w:t>
      </w:r>
      <w:r w:rsidRPr="008345DC">
        <w:rPr>
          <w:spacing w:val="-3"/>
          <w:sz w:val="21"/>
        </w:rPr>
        <w:t xml:space="preserve">Y, </w:t>
      </w:r>
      <w:r w:rsidRPr="008345DC">
        <w:rPr>
          <w:sz w:val="21"/>
        </w:rPr>
        <w:t>de conteras, suple algunas de las limitaciones de las que adolecía el Diario Único de Contratación, en términos de cobertura geográfica, de cantidad de ejemplares y de posibilidad de acceso por parte de la</w:t>
      </w:r>
      <w:r w:rsidRPr="008345DC">
        <w:rPr>
          <w:spacing w:val="-4"/>
          <w:sz w:val="21"/>
        </w:rPr>
        <w:t xml:space="preserve"> </w:t>
      </w:r>
      <w:r w:rsidRPr="008345DC">
        <w:rPr>
          <w:sz w:val="21"/>
        </w:rPr>
        <w:t>ciudadanía.</w:t>
      </w:r>
    </w:p>
    <w:p w:rsidRPr="008345DC" w:rsidR="009F75F3" w:rsidRDefault="009F75F3" w14:paraId="207AA4D3" w14:textId="77777777">
      <w:pPr>
        <w:pStyle w:val="Textoindependiente"/>
        <w:spacing w:before="3"/>
        <w:rPr>
          <w:sz w:val="25"/>
        </w:rPr>
      </w:pPr>
    </w:p>
    <w:p w:rsidRPr="008345DC" w:rsidR="009F75F3" w:rsidRDefault="009F6A5F" w14:paraId="1C11E8E7" w14:textId="77777777">
      <w:pPr>
        <w:pStyle w:val="Ttulo1"/>
        <w:spacing w:before="1"/>
      </w:pPr>
      <w:r w:rsidRPr="008345DC">
        <w:t>a) SECOP I y SECOP II, su despliegue y utilización como plataformas electrónicas</w:t>
      </w:r>
    </w:p>
    <w:p w:rsidRPr="008345DC" w:rsidR="009F75F3" w:rsidRDefault="009F75F3" w14:paraId="206D5709" w14:textId="77777777">
      <w:pPr>
        <w:pStyle w:val="Textoindependiente"/>
        <w:spacing w:before="11"/>
        <w:rPr>
          <w:b/>
          <w:sz w:val="21"/>
        </w:rPr>
      </w:pPr>
    </w:p>
    <w:p w:rsidRPr="008345DC" w:rsidR="009F75F3" w:rsidRDefault="009F6A5F" w14:paraId="1DB0BCE1" w14:textId="1A4A2C34">
      <w:pPr>
        <w:pStyle w:val="Textoindependiente"/>
        <w:spacing w:before="93" w:line="276" w:lineRule="auto"/>
        <w:ind w:left="300" w:right="304"/>
        <w:jc w:val="both"/>
      </w:pPr>
      <w:r w:rsidRPr="008345DC">
        <w:t>La Agencia Nacional de Contratación Pública – Colombia Compra Eficiente tiene como función la administración del SECOP</w:t>
      </w:r>
      <w:r w:rsidRPr="008345DC" w:rsidR="00DC2B0E">
        <w:rPr>
          <w:rStyle w:val="Refdenotaalpie"/>
        </w:rPr>
        <w:footnoteReference w:id="8"/>
      </w:r>
      <w:r w:rsidRPr="008345DC">
        <w:t>, por lo cual se desarrolló la primera versión -SECOP I-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rsidRPr="008345DC" w:rsidR="009F75F3" w:rsidRDefault="009F75F3" w14:paraId="204AB797" w14:textId="77777777">
      <w:pPr>
        <w:pStyle w:val="Textoindependiente"/>
        <w:spacing w:before="3"/>
        <w:rPr>
          <w:sz w:val="25"/>
        </w:rPr>
      </w:pPr>
    </w:p>
    <w:p w:rsidRPr="008345DC" w:rsidR="009F75F3" w:rsidRDefault="009F6A5F" w14:paraId="6D71EA01" w14:textId="77777777">
      <w:pPr>
        <w:pStyle w:val="Textoindependiente"/>
        <w:spacing w:line="276" w:lineRule="auto"/>
        <w:ind w:left="300" w:right="302"/>
        <w:jc w:val="both"/>
      </w:pPr>
      <w:r w:rsidRPr="008345DC">
        <w:t>El SECOP II es una plataforma transaccional, y permite gestionar en línea todos los procedimientos de contratación, con cuentas y usuarios asociados a éstas,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w:t>
      </w:r>
      <w:r w:rsidRPr="008345DC">
        <w:rPr>
          <w:spacing w:val="-13"/>
        </w:rPr>
        <w:t xml:space="preserve"> </w:t>
      </w:r>
      <w:r w:rsidRPr="008345DC">
        <w:t>línea.</w:t>
      </w:r>
    </w:p>
    <w:p w:rsidRPr="008345DC" w:rsidR="009F75F3" w:rsidRDefault="009F75F3" w14:paraId="462B1383" w14:textId="77777777">
      <w:pPr>
        <w:pStyle w:val="Textoindependiente"/>
        <w:spacing w:before="4"/>
        <w:rPr>
          <w:sz w:val="25"/>
        </w:rPr>
      </w:pPr>
    </w:p>
    <w:p w:rsidRPr="008345DC" w:rsidR="009F75F3" w:rsidRDefault="009F6A5F" w14:paraId="7D9858D6" w14:textId="77777777">
      <w:pPr>
        <w:pStyle w:val="Textoindependiente"/>
        <w:spacing w:line="276" w:lineRule="auto"/>
        <w:ind w:left="300" w:right="304"/>
        <w:jc w:val="both"/>
      </w:pPr>
      <w:r w:rsidRPr="008345DC">
        <w:t xml:space="preserve">A la fecha, el SECOP II solo es obligatorio, en general, para la rama ejecutiva del nivel nacional y Bogotá, y todavía es opcional para los municipios y departamentos. Esto en razón al proyecto de despliegue de la plataforma, que incluye una transición mediante formaciones teóricas y prácticas, y capacitaciones virtuales y presenciales, que finaliza con la </w:t>
      </w:r>
      <w:proofErr w:type="spellStart"/>
      <w:r w:rsidRPr="008345DC">
        <w:lastRenderedPageBreak/>
        <w:t>deshabilitación</w:t>
      </w:r>
      <w:proofErr w:type="spellEnd"/>
      <w:r w:rsidRPr="008345DC">
        <w:t xml:space="preserve"> del SECOP I, con el propósito de que las entidades adopten la plataforma y conozcan su</w:t>
      </w:r>
      <w:r w:rsidRPr="008345DC">
        <w:rPr>
          <w:spacing w:val="-4"/>
        </w:rPr>
        <w:t xml:space="preserve"> </w:t>
      </w:r>
      <w:r w:rsidRPr="008345DC">
        <w:t>funcionamiento.</w:t>
      </w:r>
    </w:p>
    <w:p w:rsidRPr="008345DC" w:rsidR="009F75F3" w:rsidRDefault="009F75F3" w14:paraId="5894F82F" w14:textId="77777777">
      <w:pPr>
        <w:pStyle w:val="Textoindependiente"/>
        <w:spacing w:before="2"/>
        <w:rPr>
          <w:sz w:val="25"/>
        </w:rPr>
      </w:pPr>
    </w:p>
    <w:p w:rsidRPr="008345DC" w:rsidR="009F75F3" w:rsidP="00C4272A" w:rsidRDefault="009F6A5F" w14:paraId="0956908E" w14:textId="315E4890">
      <w:pPr>
        <w:pStyle w:val="Textoindependiente"/>
        <w:spacing w:line="276" w:lineRule="auto"/>
        <w:ind w:left="300" w:right="306"/>
        <w:jc w:val="both"/>
      </w:pPr>
      <w:r w:rsidRPr="008345DC">
        <w:t>La Agencia Nacional de Contratación Pública – 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 La medida aplica para los procesos de contratación que se inicien a partir del 1 de enero de 2020, en todas las modalidades de selección del Estatuto General de Contratación Pública (licitación pública, selección abreviada, concurso de méritos, contratación directa, contratación mínima</w:t>
      </w:r>
      <w:r w:rsidRPr="008345DC">
        <w:rPr>
          <w:spacing w:val="-12"/>
        </w:rPr>
        <w:t xml:space="preserve"> </w:t>
      </w:r>
      <w:r w:rsidRPr="008345DC">
        <w:t>cuantía)”.</w:t>
      </w:r>
      <w:r w:rsidRPr="008345DC" w:rsidR="00C4272A">
        <w:t xml:space="preserve"> </w:t>
      </w:r>
    </w:p>
    <w:p w:rsidRPr="008345DC" w:rsidR="00C4272A" w:rsidP="00C4272A" w:rsidRDefault="00C4272A" w14:paraId="09128525" w14:textId="77777777">
      <w:pPr>
        <w:pStyle w:val="Textoindependiente"/>
        <w:spacing w:line="276" w:lineRule="auto"/>
        <w:ind w:left="300" w:right="306"/>
        <w:jc w:val="both"/>
        <w:rPr>
          <w:sz w:val="21"/>
        </w:rPr>
      </w:pPr>
    </w:p>
    <w:p w:rsidRPr="008345DC" w:rsidR="009F75F3" w:rsidRDefault="009F6A5F" w14:paraId="58F44823" w14:textId="77777777">
      <w:pPr>
        <w:pStyle w:val="Textoindependiente"/>
        <w:tabs>
          <w:tab w:val="left" w:pos="1182"/>
          <w:tab w:val="left" w:pos="3406"/>
          <w:tab w:val="left" w:pos="4483"/>
          <w:tab w:val="left" w:pos="6013"/>
          <w:tab w:val="left" w:pos="7455"/>
          <w:tab w:val="left" w:pos="8827"/>
        </w:tabs>
        <w:spacing w:before="93" w:line="276" w:lineRule="auto"/>
        <w:ind w:left="300" w:right="305"/>
        <w:jc w:val="both"/>
      </w:pPr>
      <w:r w:rsidRPr="008345DC">
        <w:t xml:space="preserve">Teniendo en cuenta que SECOP II en un periodo de corto tiempo empezará a ser de uso obligatorio para las entidades y que SECOP I cumplirá únicamente </w:t>
      </w:r>
      <w:r w:rsidRPr="008345DC">
        <w:rPr>
          <w:spacing w:val="2"/>
        </w:rPr>
        <w:t xml:space="preserve">la </w:t>
      </w:r>
      <w:r w:rsidRPr="008345DC">
        <w:t xml:space="preserve">función de repositorio de información, la Agencia recomienda a las entidades registrarse en el SECOP II y hacer uso de esta herramienta que les permite ganar en eficiencia y transparencia, reducir los costos de transacción, optimizando así los recursos públicos y generando mayor valor por dinero en el Sistema de Compra Pública. Para más información sobre el uso de SECOP </w:t>
      </w:r>
      <w:r w:rsidRPr="008345DC">
        <w:rPr>
          <w:spacing w:val="-2"/>
        </w:rPr>
        <w:t xml:space="preserve">II, </w:t>
      </w:r>
      <w:r w:rsidRPr="008345DC">
        <w:t>le</w:t>
      </w:r>
      <w:r w:rsidRPr="008345DC">
        <w:tab/>
      </w:r>
      <w:r w:rsidRPr="008345DC">
        <w:t>recomendamos</w:t>
      </w:r>
      <w:r w:rsidRPr="008345DC">
        <w:tab/>
      </w:r>
      <w:r w:rsidRPr="008345DC">
        <w:t>que</w:t>
      </w:r>
      <w:r w:rsidRPr="008345DC">
        <w:tab/>
      </w:r>
      <w:r w:rsidRPr="008345DC">
        <w:t>consulte</w:t>
      </w:r>
      <w:r w:rsidRPr="008345DC">
        <w:tab/>
      </w:r>
      <w:r w:rsidRPr="008345DC">
        <w:t>nuestra</w:t>
      </w:r>
      <w:r w:rsidRPr="008345DC">
        <w:tab/>
      </w:r>
      <w:r w:rsidRPr="008345DC">
        <w:t>página</w:t>
      </w:r>
      <w:r w:rsidRPr="008345DC">
        <w:tab/>
      </w:r>
      <w:r w:rsidRPr="008345DC">
        <w:rPr>
          <w:spacing w:val="-6"/>
        </w:rPr>
        <w:t xml:space="preserve">web </w:t>
      </w:r>
      <w:hyperlink r:id="rId10">
        <w:r w:rsidRPr="008345DC">
          <w:t>http://www.colombiacompra.gov.co/secop/que-es-el-secop-ii</w:t>
        </w:r>
      </w:hyperlink>
    </w:p>
    <w:p w:rsidRPr="008345DC" w:rsidR="009F75F3" w:rsidRDefault="009F75F3" w14:paraId="2E805B88" w14:textId="77777777">
      <w:pPr>
        <w:pStyle w:val="Textoindependiente"/>
        <w:spacing w:before="2"/>
        <w:rPr>
          <w:sz w:val="25"/>
        </w:rPr>
      </w:pPr>
    </w:p>
    <w:p w:rsidRPr="008345DC" w:rsidR="00851DB4" w:rsidRDefault="00851DB4" w14:paraId="0D442AB4" w14:textId="77777777">
      <w:pPr>
        <w:pStyle w:val="Textoindependiente"/>
        <w:spacing w:before="2"/>
        <w:rPr>
          <w:sz w:val="25"/>
        </w:rPr>
      </w:pPr>
    </w:p>
    <w:p w:rsidRPr="008345DC" w:rsidR="009F75F3" w:rsidRDefault="009F6A5F" w14:paraId="0B26FB02" w14:textId="77777777">
      <w:pPr>
        <w:pStyle w:val="Ttulo1"/>
        <w:numPr>
          <w:ilvl w:val="0"/>
          <w:numId w:val="3"/>
        </w:numPr>
        <w:tabs>
          <w:tab w:val="left" w:pos="544"/>
        </w:tabs>
        <w:ind w:hanging="244"/>
        <w:jc w:val="both"/>
      </w:pPr>
      <w:r w:rsidRPr="008345DC">
        <w:t>Respuesta</w:t>
      </w:r>
    </w:p>
    <w:p w:rsidRPr="008345DC" w:rsidR="009F75F3" w:rsidRDefault="009F75F3" w14:paraId="7178375E" w14:textId="77777777">
      <w:pPr>
        <w:pStyle w:val="Textoindependiente"/>
        <w:spacing w:before="8"/>
        <w:rPr>
          <w:b/>
          <w:sz w:val="28"/>
        </w:rPr>
      </w:pPr>
    </w:p>
    <w:p w:rsidRPr="008345DC" w:rsidR="009F75F3" w:rsidRDefault="009F6A5F" w14:paraId="2BF10178" w14:textId="77777777">
      <w:pPr>
        <w:pStyle w:val="Prrafodelista"/>
        <w:numPr>
          <w:ilvl w:val="1"/>
          <w:numId w:val="1"/>
        </w:numPr>
        <w:tabs>
          <w:tab w:val="left" w:pos="691"/>
        </w:tabs>
        <w:spacing w:line="276" w:lineRule="auto"/>
        <w:ind w:right="306" w:firstLine="0"/>
        <w:jc w:val="both"/>
      </w:pPr>
      <w:r w:rsidRPr="008345DC">
        <w:t>La obligatoriedad de publicar las actuaciones contractuales de las entidades, no está sujeta a la ejecución de recursos públicos, sino que es un principio señalado en el artículo 24 de la Ley 80 de 1993, que es una norma general que aplica a las entidades enlistadas en el artículo 2 de la ley citada. Por ende, las entidades deben publicar los documentos relacionados con sus procedimientos contractuales, que según el artículo 2.2.1.1.1.3.1. del Decreto 1082 de 2015, incluyen el contrato y cualquier otro documento expedido por la entidad en el desarrollo de esa</w:t>
      </w:r>
      <w:r w:rsidRPr="008345DC">
        <w:rPr>
          <w:spacing w:val="-8"/>
        </w:rPr>
        <w:t xml:space="preserve"> </w:t>
      </w:r>
      <w:r w:rsidRPr="008345DC">
        <w:t>actividad.</w:t>
      </w:r>
    </w:p>
    <w:p w:rsidRPr="008345DC" w:rsidR="009F75F3" w:rsidRDefault="009F75F3" w14:paraId="57D216DC" w14:textId="77777777">
      <w:pPr>
        <w:pStyle w:val="Textoindependiente"/>
        <w:spacing w:before="4"/>
        <w:rPr>
          <w:sz w:val="25"/>
        </w:rPr>
      </w:pPr>
    </w:p>
    <w:p w:rsidRPr="008345DC" w:rsidR="009F75F3" w:rsidRDefault="009F6A5F" w14:paraId="31C3CD97" w14:textId="77777777">
      <w:pPr>
        <w:pStyle w:val="Prrafodelista"/>
        <w:numPr>
          <w:ilvl w:val="1"/>
          <w:numId w:val="1"/>
        </w:numPr>
        <w:tabs>
          <w:tab w:val="left" w:pos="686"/>
        </w:tabs>
        <w:spacing w:line="276" w:lineRule="auto"/>
        <w:ind w:right="308" w:firstLine="0"/>
        <w:jc w:val="both"/>
      </w:pPr>
      <w:r w:rsidRPr="008345DC">
        <w:t>La publicación del contrato en el SECOP I o SECOP II depende del despliegue de la plataforma transaccional, puesto que si la entidad recibió la capacitación pertinente y la Agencia Nacional de Contratación Pública – Colombia Compra Eficiente, en su calidad de administradora del SECOP, deshabilitó el SECOP I, la entidad debe publicar en el SECOP II, sin perjuicio de lo señalado en la Circular Externa No. 1 de 2019, que estableció, expresamente,</w:t>
      </w:r>
      <w:r w:rsidRPr="008345DC">
        <w:rPr>
          <w:spacing w:val="-5"/>
        </w:rPr>
        <w:t xml:space="preserve"> </w:t>
      </w:r>
      <w:r w:rsidRPr="008345DC">
        <w:t>la</w:t>
      </w:r>
      <w:r w:rsidRPr="008345DC">
        <w:rPr>
          <w:spacing w:val="-4"/>
        </w:rPr>
        <w:t xml:space="preserve"> </w:t>
      </w:r>
      <w:r w:rsidRPr="008345DC">
        <w:t>obligatoriedad</w:t>
      </w:r>
      <w:r w:rsidRPr="008345DC">
        <w:rPr>
          <w:spacing w:val="-4"/>
        </w:rPr>
        <w:t xml:space="preserve"> </w:t>
      </w:r>
      <w:r w:rsidRPr="008345DC">
        <w:t>del</w:t>
      </w:r>
      <w:r w:rsidRPr="008345DC">
        <w:rPr>
          <w:spacing w:val="-4"/>
        </w:rPr>
        <w:t xml:space="preserve"> </w:t>
      </w:r>
      <w:r w:rsidRPr="008345DC">
        <w:t>uso</w:t>
      </w:r>
      <w:r w:rsidRPr="008345DC">
        <w:rPr>
          <w:spacing w:val="-4"/>
        </w:rPr>
        <w:t xml:space="preserve"> </w:t>
      </w:r>
      <w:r w:rsidRPr="008345DC">
        <w:t>del</w:t>
      </w:r>
      <w:r w:rsidRPr="008345DC">
        <w:rPr>
          <w:spacing w:val="-3"/>
        </w:rPr>
        <w:t xml:space="preserve"> </w:t>
      </w:r>
      <w:r w:rsidRPr="008345DC">
        <w:t>SECOP</w:t>
      </w:r>
      <w:r w:rsidRPr="008345DC">
        <w:rPr>
          <w:spacing w:val="-4"/>
        </w:rPr>
        <w:t xml:space="preserve"> </w:t>
      </w:r>
      <w:r w:rsidRPr="008345DC">
        <w:t>II</w:t>
      </w:r>
      <w:r w:rsidRPr="008345DC">
        <w:rPr>
          <w:spacing w:val="-6"/>
        </w:rPr>
        <w:t xml:space="preserve"> </w:t>
      </w:r>
      <w:r w:rsidRPr="008345DC">
        <w:t>para</w:t>
      </w:r>
      <w:r w:rsidRPr="008345DC">
        <w:rPr>
          <w:spacing w:val="-4"/>
        </w:rPr>
        <w:t xml:space="preserve"> </w:t>
      </w:r>
      <w:r w:rsidRPr="008345DC">
        <w:t>las</w:t>
      </w:r>
      <w:r w:rsidRPr="008345DC">
        <w:rPr>
          <w:spacing w:val="-4"/>
        </w:rPr>
        <w:t xml:space="preserve"> </w:t>
      </w:r>
      <w:r w:rsidRPr="008345DC">
        <w:t>entidades</w:t>
      </w:r>
      <w:r w:rsidRPr="008345DC">
        <w:rPr>
          <w:spacing w:val="-4"/>
        </w:rPr>
        <w:t xml:space="preserve"> </w:t>
      </w:r>
      <w:r w:rsidRPr="008345DC">
        <w:t>relacionadas</w:t>
      </w:r>
      <w:r w:rsidRPr="008345DC">
        <w:rPr>
          <w:spacing w:val="-4"/>
        </w:rPr>
        <w:t xml:space="preserve"> </w:t>
      </w:r>
      <w:r w:rsidRPr="008345DC">
        <w:t>allí.</w:t>
      </w:r>
    </w:p>
    <w:p w:rsidRPr="008345DC" w:rsidR="009F75F3" w:rsidRDefault="009F75F3" w14:paraId="3FB2E143" w14:textId="77777777">
      <w:pPr>
        <w:pStyle w:val="Textoindependiente"/>
        <w:spacing w:before="2"/>
        <w:rPr>
          <w:sz w:val="25"/>
        </w:rPr>
      </w:pPr>
    </w:p>
    <w:p w:rsidRPr="008345DC" w:rsidR="00851DB4" w:rsidP="00DC1F44" w:rsidRDefault="009F6A5F" w14:paraId="4C78A526" w14:textId="77777777">
      <w:pPr>
        <w:pStyle w:val="Prrafodelista"/>
        <w:numPr>
          <w:ilvl w:val="1"/>
          <w:numId w:val="1"/>
        </w:numPr>
        <w:tabs>
          <w:tab w:val="left" w:pos="678"/>
        </w:tabs>
        <w:spacing w:line="278" w:lineRule="auto"/>
        <w:ind w:right="312" w:firstLine="0"/>
        <w:jc w:val="both"/>
      </w:pPr>
      <w:r w:rsidRPr="008345DC">
        <w:t xml:space="preserve">Finalmente, la publicidad de la actividad contractual de la entidad en SECOP depende </w:t>
      </w:r>
      <w:r w:rsidRPr="008345DC">
        <w:lastRenderedPageBreak/>
        <w:t>del cumplimiento de la ley, que es una obligación de cada entidad, y la verifican los órganos de control que tienen competencia para</w:t>
      </w:r>
      <w:r w:rsidRPr="008345DC">
        <w:rPr>
          <w:spacing w:val="-9"/>
        </w:rPr>
        <w:t xml:space="preserve"> </w:t>
      </w:r>
      <w:r w:rsidRPr="008345DC">
        <w:t>ello.</w:t>
      </w:r>
    </w:p>
    <w:p w:rsidRPr="008345DC" w:rsidR="00851DB4" w:rsidP="00851DB4" w:rsidRDefault="00851DB4" w14:paraId="4B648C87" w14:textId="77777777">
      <w:pPr>
        <w:pStyle w:val="Prrafodelista"/>
      </w:pPr>
    </w:p>
    <w:p w:rsidRPr="008345DC" w:rsidR="00851DB4" w:rsidP="00851DB4" w:rsidRDefault="00851DB4" w14:paraId="6B6FFC32" w14:textId="77777777">
      <w:pPr>
        <w:pStyle w:val="Prrafodelista"/>
        <w:tabs>
          <w:tab w:val="left" w:pos="678"/>
        </w:tabs>
        <w:spacing w:line="278" w:lineRule="auto"/>
        <w:ind w:right="312"/>
        <w:jc w:val="both"/>
      </w:pPr>
    </w:p>
    <w:p w:rsidRPr="008345DC" w:rsidR="009F75F3" w:rsidP="00851DB4" w:rsidRDefault="009F6A5F" w14:paraId="422AEC3F" w14:textId="77777777">
      <w:pPr>
        <w:pStyle w:val="Prrafodelista"/>
        <w:tabs>
          <w:tab w:val="left" w:pos="678"/>
        </w:tabs>
        <w:spacing w:line="278" w:lineRule="auto"/>
        <w:ind w:right="312"/>
        <w:jc w:val="both"/>
      </w:pPr>
      <w:r w:rsidRPr="008345DC">
        <w:t>Este concepto tiene el alcance previsto en el artículo 28 del Código de Procedimiento Administrativo y de lo Contencioso Administrativo.</w:t>
      </w:r>
    </w:p>
    <w:p w:rsidRPr="008345DC" w:rsidR="00851DB4" w:rsidP="00851DB4" w:rsidRDefault="00851DB4" w14:paraId="03B5FDE3" w14:textId="77777777">
      <w:pPr>
        <w:pStyle w:val="Textoindependiente"/>
        <w:spacing w:before="4"/>
        <w:rPr>
          <w:sz w:val="20"/>
        </w:rPr>
      </w:pPr>
    </w:p>
    <w:p w:rsidRPr="008345DC" w:rsidR="009F75F3" w:rsidP="00851DB4" w:rsidRDefault="00C51337" w14:paraId="77D9AE80" w14:textId="77777777">
      <w:pPr>
        <w:pStyle w:val="Textoindependiente"/>
        <w:spacing w:before="4"/>
        <w:rPr>
          <w:sz w:val="20"/>
        </w:rPr>
      </w:pPr>
      <w:r w:rsidRPr="008345DC">
        <w:rPr>
          <w:noProof/>
          <w:lang w:val="en-US"/>
        </w:rPr>
        <mc:AlternateContent>
          <mc:Choice Requires="wps">
            <w:drawing>
              <wp:anchor distT="0" distB="0" distL="0" distR="0" simplePos="0" relativeHeight="487591424" behindDoc="1" locked="0" layoutInCell="1" allowOverlap="1" wp14:anchorId="4883B7B8" wp14:editId="002BE13E">
                <wp:simplePos x="0" y="0"/>
                <wp:positionH relativeFrom="page">
                  <wp:posOffset>1514475</wp:posOffset>
                </wp:positionH>
                <wp:positionV relativeFrom="paragraph">
                  <wp:posOffset>193675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9D3F955">
              <v:shape id="Freeform 2" style="position:absolute;margin-left:119.25pt;margin-top:15.25pt;width:369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" w14:anchorId="15578C19">
                <v:path arrowok="t" o:connecttype="custom" o:connectlocs="0,0;4686300,0" o:connectangles="0,0"/>
                <w10:wrap type="topAndBottom" anchorx="page"/>
              </v:shape>
            </w:pict>
          </mc:Fallback>
        </mc:AlternateContent>
      </w:r>
    </w:p>
    <w:p w:rsidRPr="008345DC" w:rsidR="00851DB4" w:rsidP="00851DB4" w:rsidRDefault="00851DB4" w14:paraId="750857D0" w14:textId="77777777">
      <w:pPr>
        <w:pStyle w:val="Textoindependiente"/>
        <w:ind w:left="300"/>
      </w:pPr>
    </w:p>
    <w:p w:rsidRPr="008345DC" w:rsidR="00851DB4" w:rsidP="00851DB4" w:rsidRDefault="00851DB4" w14:paraId="5C1DB561" w14:textId="77777777">
      <w:pPr>
        <w:pStyle w:val="Textoindependiente"/>
        <w:ind w:left="300"/>
      </w:pPr>
    </w:p>
    <w:p w:rsidRPr="008345DC" w:rsidR="00851DB4" w:rsidP="00851DB4" w:rsidRDefault="009F6A5F" w14:paraId="7AC43CF3" w14:textId="77777777">
      <w:pPr>
        <w:pStyle w:val="Textoindependiente"/>
        <w:ind w:left="300"/>
      </w:pPr>
      <w:r w:rsidRPr="008345DC">
        <w:t>Atentamente,</w:t>
      </w:r>
    </w:p>
    <w:p w:rsidRPr="008345DC" w:rsidR="009F75F3" w:rsidP="008345DC" w:rsidRDefault="008345DC" w14:paraId="55633A00" w14:textId="296C053B">
      <w:pPr>
        <w:pStyle w:val="Textoindependiente"/>
        <w:ind w:left="300"/>
        <w:jc w:val="center"/>
        <w:rPr>
          <w:sz w:val="20"/>
        </w:rPr>
      </w:pPr>
      <w:r w:rsidR="008345DC">
        <w:drawing>
          <wp:inline wp14:editId="5AD1736F" wp14:anchorId="1314EE99">
            <wp:extent cx="2773045" cy="988695"/>
            <wp:effectExtent l="0" t="0" r="0" b="0"/>
            <wp:docPr id="70658445" name="Imagen 3" title=""/>
            <wp:cNvGraphicFramePr>
              <a:graphicFrameLocks/>
            </wp:cNvGraphicFramePr>
            <a:graphic>
              <a:graphicData uri="http://schemas.openxmlformats.org/drawingml/2006/picture">
                <pic:pic>
                  <pic:nvPicPr>
                    <pic:cNvPr id="0" name="Imagen 3"/>
                    <pic:cNvPicPr/>
                  </pic:nvPicPr>
                  <pic:blipFill>
                    <a:blip r:embed="Rf0cd034162a2438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8345DC" w:rsidR="008345DC" w:rsidP="008345DC" w:rsidRDefault="008345DC" w14:paraId="30117131" w14:textId="77777777">
      <w:pPr>
        <w:pStyle w:val="Textoindependiente"/>
        <w:ind w:left="300"/>
        <w:jc w:val="center"/>
        <w:rPr>
          <w:sz w:val="20"/>
        </w:rPr>
      </w:pPr>
    </w:p>
    <w:p w:rsidRPr="008345DC" w:rsidR="009F75F3" w:rsidRDefault="009F6A5F" w14:paraId="5AB4F86D" w14:textId="77777777">
      <w:pPr>
        <w:spacing w:before="42"/>
        <w:ind w:left="300"/>
      </w:pPr>
      <w:r w:rsidRPr="008345DC">
        <w:t>Proyectó: Ximena Ríos López</w:t>
      </w:r>
    </w:p>
    <w:sectPr w:rsidRPr="008345DC" w:rsidR="009F75F3">
      <w:headerReference w:type="default" r:id="rId12"/>
      <w:footerReference w:type="default" r:id="rId13"/>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D2A74" w:rsidRDefault="00CD2A74" w14:paraId="143F70F1" w14:textId="77777777">
      <w:r>
        <w:separator/>
      </w:r>
    </w:p>
  </w:endnote>
  <w:endnote w:type="continuationSeparator" w:id="0">
    <w:p w:rsidR="00CD2A74" w:rsidRDefault="00CD2A74" w14:paraId="60DC901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9F75F3" w:rsidRDefault="009F6A5F" w14:paraId="5EC403E3" w14:textId="77777777">
    <w:pPr>
      <w:pStyle w:val="Textoindependiente"/>
      <w:spacing w:line="14" w:lineRule="auto"/>
      <w:rPr>
        <w:sz w:val="20"/>
      </w:rPr>
    </w:pPr>
    <w:r>
      <w:rPr>
        <w:noProof/>
        <w:lang w:val="en-US"/>
      </w:rPr>
      <w:drawing>
        <wp:anchor distT="0" distB="0" distL="0" distR="0" simplePos="0" relativeHeight="487449600" behindDoc="1" locked="0" layoutInCell="1" allowOverlap="1" wp14:anchorId="479CC9E5" wp14:editId="6605B165">
          <wp:simplePos x="0" y="0"/>
          <wp:positionH relativeFrom="page">
            <wp:posOffset>1128659</wp:posOffset>
          </wp:positionH>
          <wp:positionV relativeFrom="page">
            <wp:posOffset>8920983</wp:posOffset>
          </wp:positionV>
          <wp:extent cx="5612130" cy="787120"/>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67B5C67A">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D2A74" w:rsidRDefault="00CD2A74" w14:paraId="6BAB530C" w14:textId="77777777">
      <w:r>
        <w:separator/>
      </w:r>
    </w:p>
  </w:footnote>
  <w:footnote w:type="continuationSeparator" w:id="0">
    <w:p w:rsidR="00CD2A74" w:rsidRDefault="00CD2A74" w14:paraId="269DF151" w14:textId="77777777">
      <w:r>
        <w:continuationSeparator/>
      </w:r>
    </w:p>
  </w:footnote>
  <w:footnote w:id="1">
    <w:p w:rsidRPr="008345DC" w:rsidR="00902AB9" w:rsidP="008345DC" w:rsidRDefault="00902AB9" w14:paraId="2120F0E5" w14:textId="77777777">
      <w:pPr>
        <w:spacing w:before="73"/>
        <w:ind w:left="300" w:right="312" w:firstLine="707"/>
        <w:jc w:val="both"/>
        <w:rPr>
          <w:sz w:val="18"/>
          <w:szCs w:val="18"/>
        </w:rPr>
      </w:pPr>
      <w:r w:rsidRPr="008345DC">
        <w:rPr>
          <w:rStyle w:val="Refdenotaalpie"/>
          <w:sz w:val="18"/>
          <w:szCs w:val="18"/>
        </w:rPr>
        <w:footnoteRef/>
      </w:r>
      <w:r w:rsidRPr="008345DC">
        <w:rPr>
          <w:sz w:val="18"/>
          <w:szCs w:val="18"/>
        </w:rPr>
        <w:t xml:space="preserve"> Ley 80 de 1993: “Artículo 2. De la definición de entidades, servidores y servicios públicos. Para los solos efectos de esta ley:</w:t>
      </w:r>
    </w:p>
    <w:p w:rsidRPr="008345DC" w:rsidR="00902AB9" w:rsidP="008345DC" w:rsidRDefault="00902AB9" w14:paraId="07C63558" w14:textId="77777777">
      <w:pPr>
        <w:pStyle w:val="Textoindependiente"/>
        <w:spacing w:before="11"/>
        <w:ind w:left="300" w:right="312"/>
        <w:jc w:val="both"/>
        <w:rPr>
          <w:sz w:val="18"/>
          <w:szCs w:val="18"/>
        </w:rPr>
      </w:pPr>
    </w:p>
    <w:p w:rsidRPr="008345DC" w:rsidR="00902AB9" w:rsidP="008345DC" w:rsidRDefault="00902AB9" w14:paraId="59F934A1" w14:textId="77777777">
      <w:pPr>
        <w:ind w:left="300" w:right="312"/>
        <w:jc w:val="both"/>
        <w:rPr>
          <w:sz w:val="18"/>
          <w:szCs w:val="18"/>
        </w:rPr>
      </w:pPr>
      <w:r w:rsidRPr="008345DC">
        <w:rPr>
          <w:sz w:val="18"/>
          <w:szCs w:val="18"/>
        </w:rPr>
        <w:t>“1. Se denominan entidades estatales:</w:t>
      </w:r>
    </w:p>
    <w:p w:rsidRPr="008345DC" w:rsidR="00902AB9" w:rsidP="008345DC" w:rsidRDefault="00902AB9" w14:paraId="4864DF27" w14:textId="77777777">
      <w:pPr>
        <w:pStyle w:val="Textoindependiente"/>
        <w:spacing w:before="1"/>
        <w:ind w:left="300" w:right="312"/>
        <w:jc w:val="both"/>
        <w:rPr>
          <w:sz w:val="18"/>
          <w:szCs w:val="18"/>
        </w:rPr>
      </w:pPr>
    </w:p>
    <w:p w:rsidRPr="008345DC" w:rsidR="00902AB9" w:rsidP="008345DC" w:rsidRDefault="00902AB9" w14:paraId="60D1ACC3" w14:textId="77777777">
      <w:pPr>
        <w:ind w:left="300" w:right="312"/>
        <w:jc w:val="both"/>
        <w:rPr>
          <w:sz w:val="18"/>
          <w:szCs w:val="18"/>
        </w:rPr>
      </w:pPr>
      <w:r w:rsidRPr="008345DC">
        <w:rPr>
          <w:sz w:val="18"/>
          <w:szCs w:val="18"/>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rsidRPr="008345DC" w:rsidR="00902AB9" w:rsidP="008345DC" w:rsidRDefault="00902AB9" w14:paraId="66DDAD9F" w14:textId="77777777">
      <w:pPr>
        <w:pStyle w:val="Textoindependiente"/>
        <w:spacing w:before="10"/>
        <w:ind w:left="300" w:right="312"/>
        <w:jc w:val="both"/>
        <w:rPr>
          <w:sz w:val="18"/>
          <w:szCs w:val="18"/>
        </w:rPr>
      </w:pPr>
    </w:p>
    <w:p w:rsidRPr="008345DC" w:rsidR="00902AB9" w:rsidP="008345DC" w:rsidRDefault="00902AB9" w14:paraId="615AA578" w14:textId="77777777">
      <w:pPr>
        <w:ind w:left="300" w:right="312"/>
        <w:jc w:val="both"/>
        <w:rPr>
          <w:sz w:val="18"/>
          <w:szCs w:val="18"/>
        </w:rPr>
      </w:pPr>
      <w:r w:rsidRPr="008345DC">
        <w:rPr>
          <w:sz w:val="18"/>
          <w:szCs w:val="18"/>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w:t>
      </w:r>
      <w:r w:rsidRPr="008345DC">
        <w:rPr>
          <w:spacing w:val="-5"/>
          <w:sz w:val="18"/>
          <w:szCs w:val="18"/>
        </w:rPr>
        <w:t xml:space="preserve"> </w:t>
      </w:r>
      <w:r w:rsidRPr="008345DC">
        <w:rPr>
          <w:sz w:val="18"/>
          <w:szCs w:val="18"/>
        </w:rPr>
        <w:t>los</w:t>
      </w:r>
      <w:r w:rsidRPr="008345DC">
        <w:rPr>
          <w:spacing w:val="-4"/>
          <w:sz w:val="18"/>
          <w:szCs w:val="18"/>
        </w:rPr>
        <w:t xml:space="preserve"> </w:t>
      </w:r>
      <w:r w:rsidRPr="008345DC">
        <w:rPr>
          <w:sz w:val="18"/>
          <w:szCs w:val="18"/>
        </w:rPr>
        <w:t>organismos</w:t>
      </w:r>
      <w:r w:rsidRPr="008345DC">
        <w:rPr>
          <w:spacing w:val="-4"/>
          <w:sz w:val="18"/>
          <w:szCs w:val="18"/>
        </w:rPr>
        <w:t xml:space="preserve"> </w:t>
      </w:r>
      <w:r w:rsidRPr="008345DC">
        <w:rPr>
          <w:sz w:val="18"/>
          <w:szCs w:val="18"/>
        </w:rPr>
        <w:t>o</w:t>
      </w:r>
      <w:r w:rsidRPr="008345DC">
        <w:rPr>
          <w:spacing w:val="-5"/>
          <w:sz w:val="18"/>
          <w:szCs w:val="18"/>
        </w:rPr>
        <w:t xml:space="preserve"> </w:t>
      </w:r>
      <w:r w:rsidRPr="008345DC">
        <w:rPr>
          <w:sz w:val="18"/>
          <w:szCs w:val="18"/>
        </w:rPr>
        <w:t>dependencias</w:t>
      </w:r>
      <w:r w:rsidRPr="008345DC">
        <w:rPr>
          <w:spacing w:val="-4"/>
          <w:sz w:val="18"/>
          <w:szCs w:val="18"/>
        </w:rPr>
        <w:t xml:space="preserve"> </w:t>
      </w:r>
      <w:r w:rsidRPr="008345DC">
        <w:rPr>
          <w:sz w:val="18"/>
          <w:szCs w:val="18"/>
        </w:rPr>
        <w:t>del</w:t>
      </w:r>
      <w:r w:rsidRPr="008345DC">
        <w:rPr>
          <w:spacing w:val="-5"/>
          <w:sz w:val="18"/>
          <w:szCs w:val="18"/>
        </w:rPr>
        <w:t xml:space="preserve"> </w:t>
      </w:r>
      <w:r w:rsidRPr="008345DC">
        <w:rPr>
          <w:sz w:val="18"/>
          <w:szCs w:val="18"/>
        </w:rPr>
        <w:t>Estado</w:t>
      </w:r>
      <w:r w:rsidRPr="008345DC">
        <w:rPr>
          <w:spacing w:val="-4"/>
          <w:sz w:val="18"/>
          <w:szCs w:val="18"/>
        </w:rPr>
        <w:t xml:space="preserve"> </w:t>
      </w:r>
      <w:r w:rsidRPr="008345DC">
        <w:rPr>
          <w:sz w:val="18"/>
          <w:szCs w:val="18"/>
        </w:rPr>
        <w:t>a</w:t>
      </w:r>
      <w:r w:rsidRPr="008345DC">
        <w:rPr>
          <w:spacing w:val="-5"/>
          <w:sz w:val="18"/>
          <w:szCs w:val="18"/>
        </w:rPr>
        <w:t xml:space="preserve"> </w:t>
      </w:r>
      <w:r w:rsidRPr="008345DC">
        <w:rPr>
          <w:sz w:val="18"/>
          <w:szCs w:val="18"/>
        </w:rPr>
        <w:t>los</w:t>
      </w:r>
      <w:r w:rsidRPr="008345DC">
        <w:rPr>
          <w:spacing w:val="-4"/>
          <w:sz w:val="18"/>
          <w:szCs w:val="18"/>
        </w:rPr>
        <w:t xml:space="preserve"> </w:t>
      </w:r>
      <w:r w:rsidRPr="008345DC">
        <w:rPr>
          <w:sz w:val="18"/>
          <w:szCs w:val="18"/>
        </w:rPr>
        <w:t>que</w:t>
      </w:r>
      <w:r w:rsidRPr="008345DC">
        <w:rPr>
          <w:spacing w:val="-5"/>
          <w:sz w:val="18"/>
          <w:szCs w:val="18"/>
        </w:rPr>
        <w:t xml:space="preserve"> </w:t>
      </w:r>
      <w:r w:rsidRPr="008345DC">
        <w:rPr>
          <w:sz w:val="18"/>
          <w:szCs w:val="18"/>
        </w:rPr>
        <w:t>la</w:t>
      </w:r>
      <w:r w:rsidRPr="008345DC">
        <w:rPr>
          <w:spacing w:val="-4"/>
          <w:sz w:val="18"/>
          <w:szCs w:val="18"/>
        </w:rPr>
        <w:t xml:space="preserve"> </w:t>
      </w:r>
      <w:r w:rsidRPr="008345DC">
        <w:rPr>
          <w:sz w:val="18"/>
          <w:szCs w:val="18"/>
        </w:rPr>
        <w:t>ley</w:t>
      </w:r>
      <w:r w:rsidRPr="008345DC">
        <w:rPr>
          <w:spacing w:val="-7"/>
          <w:sz w:val="18"/>
          <w:szCs w:val="18"/>
        </w:rPr>
        <w:t xml:space="preserve"> </w:t>
      </w:r>
      <w:r w:rsidRPr="008345DC">
        <w:rPr>
          <w:sz w:val="18"/>
          <w:szCs w:val="18"/>
        </w:rPr>
        <w:t>otorgue</w:t>
      </w:r>
      <w:r w:rsidRPr="008345DC">
        <w:rPr>
          <w:spacing w:val="-4"/>
          <w:sz w:val="18"/>
          <w:szCs w:val="18"/>
        </w:rPr>
        <w:t xml:space="preserve"> </w:t>
      </w:r>
      <w:r w:rsidRPr="008345DC">
        <w:rPr>
          <w:sz w:val="18"/>
          <w:szCs w:val="18"/>
        </w:rPr>
        <w:t>capacidad</w:t>
      </w:r>
      <w:r w:rsidRPr="008345DC">
        <w:rPr>
          <w:spacing w:val="-5"/>
          <w:sz w:val="18"/>
          <w:szCs w:val="18"/>
        </w:rPr>
        <w:t xml:space="preserve"> </w:t>
      </w:r>
      <w:r w:rsidRPr="008345DC">
        <w:rPr>
          <w:sz w:val="18"/>
          <w:szCs w:val="18"/>
        </w:rPr>
        <w:t>para</w:t>
      </w:r>
      <w:r w:rsidRPr="008345DC">
        <w:rPr>
          <w:spacing w:val="-4"/>
          <w:sz w:val="18"/>
          <w:szCs w:val="18"/>
        </w:rPr>
        <w:t xml:space="preserve"> </w:t>
      </w:r>
      <w:r w:rsidRPr="008345DC">
        <w:rPr>
          <w:sz w:val="18"/>
          <w:szCs w:val="18"/>
        </w:rPr>
        <w:t>celebrar</w:t>
      </w:r>
      <w:r w:rsidRPr="008345DC">
        <w:rPr>
          <w:spacing w:val="-5"/>
          <w:sz w:val="18"/>
          <w:szCs w:val="18"/>
        </w:rPr>
        <w:t xml:space="preserve"> </w:t>
      </w:r>
      <w:r w:rsidRPr="008345DC">
        <w:rPr>
          <w:sz w:val="18"/>
          <w:szCs w:val="18"/>
        </w:rPr>
        <w:t>contratos”.</w:t>
      </w:r>
    </w:p>
    <w:p w:rsidRPr="008345DC" w:rsidR="00902AB9" w:rsidP="008345DC" w:rsidRDefault="00902AB9" w14:paraId="23FE227B" w14:textId="6D8ADE55">
      <w:pPr>
        <w:pStyle w:val="Textonotapie"/>
        <w:ind w:left="300" w:right="312"/>
        <w:jc w:val="both"/>
        <w:rPr>
          <w:sz w:val="18"/>
          <w:szCs w:val="18"/>
          <w:lang w:val="es-CO"/>
        </w:rPr>
      </w:pPr>
    </w:p>
  </w:footnote>
  <w:footnote w:id="2">
    <w:p w:rsidRPr="008345DC" w:rsidR="00902AB9" w:rsidP="008345DC" w:rsidRDefault="00902AB9" w14:paraId="585B6571" w14:textId="6AE12174">
      <w:pPr>
        <w:ind w:left="300" w:right="312" w:firstLine="707"/>
        <w:jc w:val="both"/>
        <w:rPr>
          <w:sz w:val="18"/>
          <w:szCs w:val="18"/>
        </w:rPr>
      </w:pPr>
      <w:r w:rsidRPr="008345DC">
        <w:rPr>
          <w:rStyle w:val="Refdenotaalpie"/>
          <w:sz w:val="18"/>
          <w:szCs w:val="18"/>
        </w:rPr>
        <w:footnoteRef/>
      </w:r>
      <w:r w:rsidRPr="008345DC">
        <w:rPr>
          <w:sz w:val="18"/>
          <w:szCs w:val="18"/>
        </w:rPr>
        <w:t xml:space="preserve"> Ley 80 de 1993: “Articulo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rsidRPr="008345DC" w:rsidR="00902AB9" w:rsidP="008345DC" w:rsidRDefault="00902AB9" w14:paraId="270A76EC" w14:textId="7A574F05">
      <w:pPr>
        <w:pStyle w:val="Textonotapie"/>
        <w:ind w:left="300" w:right="312"/>
        <w:jc w:val="both"/>
        <w:rPr>
          <w:sz w:val="18"/>
          <w:szCs w:val="18"/>
          <w:lang w:val="es-CO"/>
        </w:rPr>
      </w:pPr>
    </w:p>
  </w:footnote>
  <w:footnote w:id="3">
    <w:p w:rsidRPr="008345DC" w:rsidR="00902AB9" w:rsidP="008345DC" w:rsidRDefault="00902AB9" w14:paraId="2104071B" w14:textId="4BDDA1A7">
      <w:pPr>
        <w:spacing w:line="477" w:lineRule="auto"/>
        <w:ind w:left="300" w:right="312" w:firstLine="707"/>
        <w:jc w:val="both"/>
        <w:rPr>
          <w:sz w:val="18"/>
          <w:szCs w:val="18"/>
        </w:rPr>
      </w:pPr>
      <w:r w:rsidRPr="008345DC">
        <w:rPr>
          <w:sz w:val="18"/>
          <w:szCs w:val="18"/>
        </w:rPr>
        <w:t xml:space="preserve"> </w:t>
      </w:r>
      <w:r w:rsidRPr="008345DC">
        <w:rPr>
          <w:rStyle w:val="Refdenotaalpie"/>
          <w:sz w:val="18"/>
          <w:szCs w:val="18"/>
        </w:rPr>
        <w:footnoteRef/>
      </w:r>
      <w:r w:rsidRPr="008345DC">
        <w:rPr>
          <w:sz w:val="18"/>
          <w:szCs w:val="18"/>
        </w:rPr>
        <w:t xml:space="preserve"> Ley 80 de 1993: “Articulo 24. Del principio de transparencia. En virtud de este principio: “1. &lt;Numeral derogado por el artículo 32 de la Ley 1150 de 2007&gt;</w:t>
      </w:r>
    </w:p>
    <w:p w:rsidRPr="008345DC" w:rsidR="00902AB9" w:rsidP="008345DC" w:rsidRDefault="00902AB9" w14:paraId="6551096D" w14:textId="77777777">
      <w:pPr>
        <w:spacing w:before="77"/>
        <w:ind w:left="300" w:right="312"/>
        <w:jc w:val="both"/>
        <w:rPr>
          <w:sz w:val="18"/>
          <w:szCs w:val="18"/>
        </w:rPr>
      </w:pPr>
      <w:r w:rsidRPr="008345DC">
        <w:rPr>
          <w:sz w:val="18"/>
          <w:szCs w:val="18"/>
        </w:rPr>
        <w:t>“2.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rsidRPr="008345DC" w:rsidR="00902AB9" w:rsidP="008345DC" w:rsidRDefault="00902AB9" w14:paraId="70E37C74" w14:textId="77777777">
      <w:pPr>
        <w:pStyle w:val="Textoindependiente"/>
        <w:ind w:left="300" w:right="312"/>
        <w:jc w:val="both"/>
        <w:rPr>
          <w:sz w:val="18"/>
          <w:szCs w:val="18"/>
        </w:rPr>
      </w:pPr>
    </w:p>
    <w:p w:rsidRPr="008345DC" w:rsidR="00902AB9" w:rsidP="008345DC" w:rsidRDefault="00902AB9" w14:paraId="622A5085" w14:textId="77777777">
      <w:pPr>
        <w:ind w:left="300" w:right="312"/>
        <w:jc w:val="both"/>
        <w:rPr>
          <w:sz w:val="18"/>
          <w:szCs w:val="18"/>
        </w:rPr>
      </w:pPr>
      <w:r w:rsidRPr="008345DC">
        <w:rPr>
          <w:sz w:val="18"/>
          <w:szCs w:val="18"/>
        </w:rPr>
        <w:t>“3. Las actuaciones de las autoridades serán públicas y los expedientes que las contengan estarán abiertos al público, permitiendo en el caso de licitación el ejercicio del derecho de que trata el artículo 273 de la Constitución Política.</w:t>
      </w:r>
    </w:p>
    <w:p w:rsidRPr="008345DC" w:rsidR="00902AB9" w:rsidP="008345DC" w:rsidRDefault="00902AB9" w14:paraId="0C5FEB31" w14:textId="77777777">
      <w:pPr>
        <w:pStyle w:val="Textoindependiente"/>
        <w:spacing w:before="11"/>
        <w:ind w:left="300" w:right="312"/>
        <w:jc w:val="both"/>
        <w:rPr>
          <w:sz w:val="18"/>
          <w:szCs w:val="18"/>
        </w:rPr>
      </w:pPr>
    </w:p>
    <w:p w:rsidRPr="008345DC" w:rsidR="00902AB9" w:rsidP="008345DC" w:rsidRDefault="00902AB9" w14:paraId="56CE675A" w14:textId="77777777">
      <w:pPr>
        <w:ind w:left="300" w:right="312"/>
        <w:jc w:val="both"/>
        <w:rPr>
          <w:sz w:val="18"/>
          <w:szCs w:val="18"/>
        </w:rPr>
      </w:pPr>
      <w:r w:rsidRPr="008345DC">
        <w:rPr>
          <w:sz w:val="18"/>
          <w:szCs w:val="18"/>
        </w:rPr>
        <w:t>“4. Las autoridades expedirán a costa de aquellas personas que demuestren interés legítimo, copias de las actuaciones y propuestas recibidas, respetando la reserva de que gocen legalmente las patentes, procedimientos y privilegios.</w:t>
      </w:r>
    </w:p>
    <w:p w:rsidRPr="008345DC" w:rsidR="00902AB9" w:rsidP="008345DC" w:rsidRDefault="00902AB9" w14:paraId="475FDC82" w14:textId="77777777">
      <w:pPr>
        <w:spacing w:before="1"/>
        <w:ind w:left="300" w:right="312"/>
        <w:jc w:val="both"/>
        <w:rPr>
          <w:sz w:val="18"/>
          <w:szCs w:val="18"/>
        </w:rPr>
      </w:pPr>
      <w:r w:rsidRPr="008345DC">
        <w:rPr>
          <w:sz w:val="18"/>
          <w:szCs w:val="18"/>
        </w:rPr>
        <w:t>(...)”.</w:t>
      </w:r>
    </w:p>
    <w:p w:rsidRPr="008345DC" w:rsidR="00902AB9" w:rsidP="008345DC" w:rsidRDefault="00902AB9" w14:paraId="108F5232" w14:textId="77777777">
      <w:pPr>
        <w:spacing w:line="477" w:lineRule="auto"/>
        <w:ind w:left="300" w:right="312" w:firstLine="707"/>
        <w:jc w:val="both"/>
        <w:rPr>
          <w:sz w:val="18"/>
          <w:szCs w:val="18"/>
        </w:rPr>
      </w:pPr>
    </w:p>
    <w:p w:rsidRPr="008345DC" w:rsidR="00902AB9" w:rsidP="008345DC" w:rsidRDefault="00902AB9" w14:paraId="2FF05C3C" w14:textId="32916004">
      <w:pPr>
        <w:pStyle w:val="Textonotapie"/>
        <w:ind w:left="300" w:right="312"/>
        <w:jc w:val="both"/>
        <w:rPr>
          <w:sz w:val="18"/>
          <w:szCs w:val="18"/>
          <w:lang w:val="es-CO"/>
        </w:rPr>
      </w:pPr>
    </w:p>
  </w:footnote>
  <w:footnote w:id="4">
    <w:p w:rsidRPr="008345DC" w:rsidR="00093CFA" w:rsidP="008345DC" w:rsidRDefault="00093CFA" w14:paraId="079DAAAB" w14:textId="7F8FD5AD">
      <w:pPr>
        <w:spacing w:before="77"/>
        <w:ind w:left="300" w:right="312" w:firstLine="420"/>
        <w:jc w:val="both"/>
        <w:rPr>
          <w:sz w:val="18"/>
          <w:szCs w:val="18"/>
        </w:rPr>
      </w:pPr>
      <w:r w:rsidRPr="008345DC">
        <w:rPr>
          <w:sz w:val="18"/>
          <w:szCs w:val="18"/>
        </w:rPr>
        <w:t xml:space="preserve">     </w:t>
      </w:r>
      <w:r w:rsidRPr="008345DC">
        <w:rPr>
          <w:rStyle w:val="Refdenotaalpie"/>
          <w:sz w:val="18"/>
          <w:szCs w:val="18"/>
        </w:rPr>
        <w:footnoteRef/>
      </w:r>
      <w:r w:rsidRPr="008345DC">
        <w:rPr>
          <w:sz w:val="18"/>
          <w:szCs w:val="18"/>
        </w:rPr>
        <w:t xml:space="preserve"> Decreto 1082 de 2015: “Artículo 2.2.1.1.1.3.1. Definiciones. Los términos no definidos en el Título I de la Parte 2 del presente decreto y utilizados frecuentemente deben entenderse de acuerdo con su significado natural</w:t>
      </w:r>
      <w:r w:rsidRPr="008345DC">
        <w:rPr>
          <w:spacing w:val="-6"/>
          <w:sz w:val="18"/>
          <w:szCs w:val="18"/>
        </w:rPr>
        <w:t xml:space="preserve"> </w:t>
      </w:r>
      <w:r w:rsidRPr="008345DC">
        <w:rPr>
          <w:sz w:val="18"/>
          <w:szCs w:val="18"/>
        </w:rPr>
        <w:t>y</w:t>
      </w:r>
      <w:r w:rsidRPr="008345DC">
        <w:rPr>
          <w:spacing w:val="-4"/>
          <w:sz w:val="18"/>
          <w:szCs w:val="18"/>
        </w:rPr>
        <w:t xml:space="preserve"> </w:t>
      </w:r>
      <w:r w:rsidRPr="008345DC">
        <w:rPr>
          <w:sz w:val="18"/>
          <w:szCs w:val="18"/>
        </w:rPr>
        <w:t>obvio.</w:t>
      </w:r>
      <w:r w:rsidRPr="008345DC">
        <w:rPr>
          <w:spacing w:val="-5"/>
          <w:sz w:val="18"/>
          <w:szCs w:val="18"/>
        </w:rPr>
        <w:t xml:space="preserve"> </w:t>
      </w:r>
      <w:r w:rsidRPr="008345DC">
        <w:rPr>
          <w:sz w:val="18"/>
          <w:szCs w:val="18"/>
        </w:rPr>
        <w:t>Para</w:t>
      </w:r>
      <w:r w:rsidRPr="008345DC">
        <w:rPr>
          <w:spacing w:val="-5"/>
          <w:sz w:val="18"/>
          <w:szCs w:val="18"/>
        </w:rPr>
        <w:t xml:space="preserve"> </w:t>
      </w:r>
      <w:r w:rsidRPr="008345DC">
        <w:rPr>
          <w:sz w:val="18"/>
          <w:szCs w:val="18"/>
        </w:rPr>
        <w:t>la</w:t>
      </w:r>
      <w:r w:rsidRPr="008345DC">
        <w:rPr>
          <w:spacing w:val="-5"/>
          <w:sz w:val="18"/>
          <w:szCs w:val="18"/>
        </w:rPr>
        <w:t xml:space="preserve"> </w:t>
      </w:r>
      <w:r w:rsidRPr="008345DC">
        <w:rPr>
          <w:sz w:val="18"/>
          <w:szCs w:val="18"/>
        </w:rPr>
        <w:t>interpretación</w:t>
      </w:r>
      <w:r w:rsidRPr="008345DC">
        <w:rPr>
          <w:spacing w:val="-5"/>
          <w:sz w:val="18"/>
          <w:szCs w:val="18"/>
        </w:rPr>
        <w:t xml:space="preserve"> </w:t>
      </w:r>
      <w:r w:rsidRPr="008345DC">
        <w:rPr>
          <w:sz w:val="18"/>
          <w:szCs w:val="18"/>
        </w:rPr>
        <w:t>del</w:t>
      </w:r>
      <w:r w:rsidRPr="008345DC">
        <w:rPr>
          <w:spacing w:val="-5"/>
          <w:sz w:val="18"/>
          <w:szCs w:val="18"/>
        </w:rPr>
        <w:t xml:space="preserve"> </w:t>
      </w:r>
      <w:r w:rsidRPr="008345DC">
        <w:rPr>
          <w:sz w:val="18"/>
          <w:szCs w:val="18"/>
        </w:rPr>
        <w:t>presente</w:t>
      </w:r>
      <w:r w:rsidRPr="008345DC">
        <w:rPr>
          <w:spacing w:val="-5"/>
          <w:sz w:val="18"/>
          <w:szCs w:val="18"/>
        </w:rPr>
        <w:t xml:space="preserve"> </w:t>
      </w:r>
      <w:r w:rsidRPr="008345DC">
        <w:rPr>
          <w:sz w:val="18"/>
          <w:szCs w:val="18"/>
        </w:rPr>
        <w:t>Título</w:t>
      </w:r>
      <w:r w:rsidRPr="008345DC">
        <w:rPr>
          <w:spacing w:val="-5"/>
          <w:sz w:val="18"/>
          <w:szCs w:val="18"/>
        </w:rPr>
        <w:t xml:space="preserve"> </w:t>
      </w:r>
      <w:r w:rsidRPr="008345DC">
        <w:rPr>
          <w:sz w:val="18"/>
          <w:szCs w:val="18"/>
        </w:rPr>
        <w:t>I,</w:t>
      </w:r>
      <w:r w:rsidRPr="008345DC">
        <w:rPr>
          <w:spacing w:val="-5"/>
          <w:sz w:val="18"/>
          <w:szCs w:val="18"/>
        </w:rPr>
        <w:t xml:space="preserve"> </w:t>
      </w:r>
      <w:r w:rsidRPr="008345DC">
        <w:rPr>
          <w:sz w:val="18"/>
          <w:szCs w:val="18"/>
        </w:rPr>
        <w:t>las</w:t>
      </w:r>
      <w:r w:rsidRPr="008345DC">
        <w:rPr>
          <w:spacing w:val="-5"/>
          <w:sz w:val="18"/>
          <w:szCs w:val="18"/>
        </w:rPr>
        <w:t xml:space="preserve"> </w:t>
      </w:r>
      <w:r w:rsidRPr="008345DC">
        <w:rPr>
          <w:sz w:val="18"/>
          <w:szCs w:val="18"/>
        </w:rPr>
        <w:t>expresiones</w:t>
      </w:r>
      <w:r w:rsidRPr="008345DC">
        <w:rPr>
          <w:spacing w:val="-5"/>
          <w:sz w:val="18"/>
          <w:szCs w:val="18"/>
        </w:rPr>
        <w:t xml:space="preserve"> </w:t>
      </w:r>
      <w:r w:rsidRPr="008345DC">
        <w:rPr>
          <w:sz w:val="18"/>
          <w:szCs w:val="18"/>
        </w:rPr>
        <w:t>aquí</w:t>
      </w:r>
      <w:r w:rsidRPr="008345DC">
        <w:rPr>
          <w:spacing w:val="-2"/>
          <w:sz w:val="18"/>
          <w:szCs w:val="18"/>
        </w:rPr>
        <w:t xml:space="preserve"> </w:t>
      </w:r>
      <w:r w:rsidRPr="008345DC">
        <w:rPr>
          <w:sz w:val="18"/>
          <w:szCs w:val="18"/>
        </w:rPr>
        <w:t>utilizadas</w:t>
      </w:r>
      <w:r w:rsidRPr="008345DC">
        <w:rPr>
          <w:spacing w:val="-4"/>
          <w:sz w:val="18"/>
          <w:szCs w:val="18"/>
        </w:rPr>
        <w:t xml:space="preserve"> </w:t>
      </w:r>
      <w:r w:rsidRPr="008345DC">
        <w:rPr>
          <w:sz w:val="18"/>
          <w:szCs w:val="18"/>
        </w:rPr>
        <w:t>con</w:t>
      </w:r>
      <w:r w:rsidRPr="008345DC">
        <w:rPr>
          <w:spacing w:val="-3"/>
          <w:sz w:val="18"/>
          <w:szCs w:val="18"/>
        </w:rPr>
        <w:t xml:space="preserve"> </w:t>
      </w:r>
      <w:r w:rsidRPr="008345DC">
        <w:rPr>
          <w:sz w:val="18"/>
          <w:szCs w:val="18"/>
        </w:rPr>
        <w:t>mayúscula</w:t>
      </w:r>
      <w:r w:rsidRPr="008345DC">
        <w:rPr>
          <w:spacing w:val="-5"/>
          <w:sz w:val="18"/>
          <w:szCs w:val="18"/>
        </w:rPr>
        <w:t xml:space="preserve"> </w:t>
      </w:r>
      <w:r w:rsidRPr="008345DC">
        <w:rPr>
          <w:sz w:val="18"/>
          <w:szCs w:val="18"/>
        </w:rPr>
        <w:t>inicial deben ser entendidas con el significado que a continuación se indica. Los términos definidos son utilizados en singular y en plural de acuerdo como lo requiera el contexto en el cual son utilizados.</w:t>
      </w:r>
    </w:p>
    <w:p w:rsidRPr="008345DC" w:rsidR="00093CFA" w:rsidP="008345DC" w:rsidRDefault="00093CFA" w14:paraId="46A9069C" w14:textId="77777777">
      <w:pPr>
        <w:spacing w:before="1"/>
        <w:ind w:left="300" w:right="312"/>
        <w:jc w:val="both"/>
        <w:rPr>
          <w:sz w:val="18"/>
          <w:szCs w:val="18"/>
        </w:rPr>
      </w:pPr>
      <w:r w:rsidRPr="008345DC">
        <w:rPr>
          <w:sz w:val="18"/>
          <w:szCs w:val="18"/>
        </w:rPr>
        <w:t>“(...)</w:t>
      </w:r>
    </w:p>
    <w:p w:rsidRPr="008345DC" w:rsidR="00093CFA" w:rsidP="008345DC" w:rsidRDefault="00093CFA" w14:paraId="5D6F7A1E" w14:textId="77777777">
      <w:pPr>
        <w:pStyle w:val="Textoindependiente"/>
        <w:spacing w:before="10"/>
        <w:ind w:left="300" w:right="312"/>
        <w:jc w:val="both"/>
        <w:rPr>
          <w:sz w:val="18"/>
          <w:szCs w:val="18"/>
        </w:rPr>
      </w:pPr>
    </w:p>
    <w:p w:rsidRPr="008345DC" w:rsidR="00093CFA" w:rsidP="008345DC" w:rsidRDefault="00093CFA" w14:paraId="18ACBCDF" w14:textId="77777777">
      <w:pPr>
        <w:ind w:left="300" w:right="312"/>
        <w:jc w:val="both"/>
        <w:rPr>
          <w:sz w:val="18"/>
          <w:szCs w:val="18"/>
        </w:rPr>
      </w:pPr>
      <w:r w:rsidRPr="008345DC">
        <w:rPr>
          <w:sz w:val="18"/>
          <w:szCs w:val="18"/>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rsidRPr="008345DC" w:rsidR="00093CFA" w:rsidP="008345DC" w:rsidRDefault="00093CFA" w14:paraId="35D68709" w14:textId="77777777">
      <w:pPr>
        <w:spacing w:before="3"/>
        <w:ind w:left="300" w:right="312"/>
        <w:jc w:val="both"/>
        <w:rPr>
          <w:sz w:val="18"/>
          <w:szCs w:val="18"/>
        </w:rPr>
      </w:pPr>
      <w:r w:rsidRPr="008345DC">
        <w:rPr>
          <w:sz w:val="18"/>
          <w:szCs w:val="18"/>
        </w:rPr>
        <w:t>(...)”.</w:t>
      </w:r>
    </w:p>
    <w:p w:rsidRPr="008345DC" w:rsidR="00093CFA" w:rsidP="008345DC" w:rsidRDefault="00093CFA" w14:paraId="6A0D27BE" w14:textId="02073DD0">
      <w:pPr>
        <w:pStyle w:val="Textonotapie"/>
        <w:ind w:left="300" w:right="312" w:firstLine="720"/>
        <w:jc w:val="both"/>
        <w:rPr>
          <w:sz w:val="18"/>
          <w:szCs w:val="18"/>
          <w:lang w:val="es-CO"/>
        </w:rPr>
      </w:pPr>
    </w:p>
  </w:footnote>
  <w:footnote w:id="5">
    <w:p w:rsidRPr="008345DC" w:rsidR="00093CFA" w:rsidP="008345DC" w:rsidRDefault="008345DC" w14:paraId="10EFA045" w14:textId="19C4C920">
      <w:pPr>
        <w:spacing w:before="96"/>
        <w:ind w:left="300" w:right="312" w:firstLine="420"/>
        <w:jc w:val="both"/>
        <w:rPr>
          <w:sz w:val="18"/>
          <w:szCs w:val="18"/>
        </w:rPr>
      </w:pPr>
      <w:r>
        <w:rPr>
          <w:sz w:val="18"/>
          <w:szCs w:val="18"/>
        </w:rPr>
        <w:t xml:space="preserve">    </w:t>
      </w:r>
      <w:r w:rsidRPr="008345DC" w:rsidR="00093CFA">
        <w:rPr>
          <w:rStyle w:val="Refdenotaalpie"/>
          <w:sz w:val="18"/>
          <w:szCs w:val="18"/>
        </w:rPr>
        <w:footnoteRef/>
      </w:r>
      <w:r w:rsidRPr="008345DC" w:rsidR="00093CFA">
        <w:rPr>
          <w:sz w:val="18"/>
          <w:szCs w:val="18"/>
        </w:rPr>
        <w:t xml:space="preserve"> Ley 1150 de 2007: “Artículo 2.</w:t>
      </w:r>
    </w:p>
    <w:p w:rsidRPr="008345DC" w:rsidR="00093CFA" w:rsidP="008345DC" w:rsidRDefault="00093CFA" w14:paraId="53E42E83" w14:textId="77777777">
      <w:pPr>
        <w:ind w:left="300" w:right="312"/>
        <w:jc w:val="both"/>
        <w:rPr>
          <w:sz w:val="18"/>
          <w:szCs w:val="18"/>
        </w:rPr>
      </w:pPr>
      <w:r w:rsidRPr="008345DC">
        <w:rPr>
          <w:sz w:val="18"/>
          <w:szCs w:val="18"/>
        </w:rPr>
        <w:t>(...)</w:t>
      </w:r>
    </w:p>
    <w:p w:rsidRPr="008345DC" w:rsidR="00093CFA" w:rsidP="008345DC" w:rsidRDefault="00093CFA" w14:paraId="73D94150" w14:textId="77777777">
      <w:pPr>
        <w:pStyle w:val="Textoindependiente"/>
        <w:spacing w:before="11"/>
        <w:ind w:left="300" w:right="312"/>
        <w:jc w:val="both"/>
        <w:rPr>
          <w:sz w:val="18"/>
          <w:szCs w:val="18"/>
        </w:rPr>
      </w:pPr>
    </w:p>
    <w:p w:rsidRPr="008345DC" w:rsidR="00093CFA" w:rsidP="008345DC" w:rsidRDefault="00093CFA" w14:paraId="70AB7F37" w14:textId="77777777">
      <w:pPr>
        <w:spacing w:before="94"/>
        <w:ind w:left="300" w:right="312"/>
        <w:jc w:val="both"/>
        <w:rPr>
          <w:sz w:val="18"/>
          <w:szCs w:val="18"/>
        </w:rPr>
      </w:pPr>
      <w:r w:rsidRPr="008345DC">
        <w:rPr>
          <w:sz w:val="18"/>
          <w:szCs w:val="18"/>
        </w:rPr>
        <w:t>“Parágrafo 2. El procedimiento aplicable para la ejecución de cada una de las causales a que se refiere el numeral 2o del presente artículo, deberá observar los principios de transparencia, economía, responsabilidad y las siguientes reglas:</w:t>
      </w:r>
    </w:p>
    <w:p w:rsidRPr="008345DC" w:rsidR="00093CFA" w:rsidP="008345DC" w:rsidRDefault="00093CFA" w14:paraId="7E3C4335" w14:textId="77777777">
      <w:pPr>
        <w:pStyle w:val="Textoindependiente"/>
        <w:spacing w:before="11"/>
        <w:ind w:left="300" w:right="312"/>
        <w:jc w:val="both"/>
        <w:rPr>
          <w:sz w:val="18"/>
          <w:szCs w:val="18"/>
        </w:rPr>
      </w:pPr>
    </w:p>
    <w:p w:rsidRPr="008345DC" w:rsidR="00093CFA" w:rsidP="008345DC" w:rsidRDefault="00093CFA" w14:paraId="68EB4D8D" w14:textId="77777777">
      <w:pPr>
        <w:ind w:left="300" w:right="312"/>
        <w:jc w:val="both"/>
        <w:rPr>
          <w:sz w:val="18"/>
          <w:szCs w:val="18"/>
        </w:rPr>
      </w:pPr>
      <w:r w:rsidRPr="008345DC">
        <w:rPr>
          <w:sz w:val="18"/>
          <w:szCs w:val="18"/>
        </w:rPr>
        <w:t>“1. Se dará publicidad a todos los procedimientos y actos. (...)”.</w:t>
      </w:r>
    </w:p>
    <w:p w:rsidRPr="008345DC" w:rsidR="00093CFA" w:rsidP="008345DC" w:rsidRDefault="00093CFA" w14:paraId="260AF975" w14:textId="77777777">
      <w:pPr>
        <w:pStyle w:val="Textoindependiente"/>
        <w:spacing w:before="3"/>
        <w:ind w:left="300" w:right="312"/>
        <w:jc w:val="both"/>
        <w:rPr>
          <w:sz w:val="18"/>
          <w:szCs w:val="18"/>
        </w:rPr>
      </w:pPr>
    </w:p>
    <w:p w:rsidRPr="008345DC" w:rsidR="00093CFA" w:rsidP="008345DC" w:rsidRDefault="00093CFA" w14:paraId="1713B945" w14:textId="0E10D22D">
      <w:pPr>
        <w:pStyle w:val="Textonotapie"/>
        <w:ind w:left="300" w:right="312"/>
        <w:jc w:val="both"/>
        <w:rPr>
          <w:sz w:val="18"/>
          <w:szCs w:val="18"/>
          <w:lang w:val="es-CO"/>
        </w:rPr>
      </w:pPr>
    </w:p>
  </w:footnote>
  <w:footnote w:id="6">
    <w:p w:rsidRPr="008345DC" w:rsidR="00DC2B0E" w:rsidP="008345DC" w:rsidRDefault="00DC2B0E" w14:paraId="5FC313BC" w14:textId="77777777">
      <w:pPr>
        <w:spacing w:before="96"/>
        <w:ind w:left="300" w:right="312" w:firstLine="707"/>
        <w:jc w:val="both"/>
        <w:rPr>
          <w:sz w:val="18"/>
          <w:szCs w:val="18"/>
        </w:rPr>
      </w:pPr>
      <w:r w:rsidRPr="008345DC">
        <w:rPr>
          <w:rStyle w:val="Refdenotaalpie"/>
          <w:sz w:val="18"/>
          <w:szCs w:val="18"/>
        </w:rPr>
        <w:footnoteRef/>
      </w:r>
      <w:r w:rsidRPr="008345DC">
        <w:rPr>
          <w:sz w:val="18"/>
          <w:szCs w:val="18"/>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rsidRPr="008345DC" w:rsidR="00DC2B0E" w:rsidP="008345DC" w:rsidRDefault="00DC2B0E" w14:paraId="59D8E9D6" w14:textId="77777777">
      <w:pPr>
        <w:pStyle w:val="Textoindependiente"/>
        <w:spacing w:before="1"/>
        <w:ind w:left="300" w:right="312"/>
        <w:jc w:val="both"/>
        <w:rPr>
          <w:sz w:val="18"/>
          <w:szCs w:val="18"/>
        </w:rPr>
      </w:pPr>
    </w:p>
    <w:p w:rsidRPr="008345DC" w:rsidR="00DC2B0E" w:rsidP="008345DC" w:rsidRDefault="00DC2B0E" w14:paraId="718FAF13" w14:textId="77777777">
      <w:pPr>
        <w:ind w:left="300" w:right="312"/>
        <w:jc w:val="both"/>
        <w:rPr>
          <w:sz w:val="18"/>
          <w:szCs w:val="18"/>
        </w:rPr>
      </w:pPr>
      <w:r w:rsidRPr="008345DC">
        <w:rPr>
          <w:sz w:val="18"/>
          <w:szCs w:val="18"/>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w:t>
      </w:r>
      <w:r w:rsidRPr="008345DC">
        <w:rPr>
          <w:spacing w:val="-18"/>
          <w:sz w:val="18"/>
          <w:szCs w:val="18"/>
        </w:rPr>
        <w:t xml:space="preserve"> </w:t>
      </w:r>
      <w:r w:rsidRPr="008345DC">
        <w:rPr>
          <w:sz w:val="18"/>
          <w:szCs w:val="18"/>
        </w:rPr>
        <w:t>decreto”.</w:t>
      </w:r>
    </w:p>
    <w:p w:rsidRPr="008345DC" w:rsidR="00DC2B0E" w:rsidP="008345DC" w:rsidRDefault="00DC2B0E" w14:paraId="550C9A93" w14:textId="303C612B">
      <w:pPr>
        <w:pStyle w:val="Textonotapie"/>
        <w:ind w:left="300" w:right="312"/>
        <w:jc w:val="both"/>
        <w:rPr>
          <w:sz w:val="18"/>
          <w:szCs w:val="18"/>
          <w:lang w:val="es-CO"/>
        </w:rPr>
      </w:pPr>
    </w:p>
  </w:footnote>
  <w:footnote w:id="7">
    <w:p w:rsidRPr="008345DC" w:rsidR="00DC2B0E" w:rsidP="008345DC" w:rsidRDefault="00DC2B0E" w14:paraId="5BA3F511" w14:textId="77777777">
      <w:pPr>
        <w:spacing w:before="73"/>
        <w:ind w:left="300" w:right="312" w:firstLine="707"/>
        <w:jc w:val="both"/>
        <w:rPr>
          <w:sz w:val="18"/>
          <w:szCs w:val="18"/>
        </w:rPr>
      </w:pPr>
      <w:r w:rsidRPr="008345DC">
        <w:rPr>
          <w:rStyle w:val="Refdenotaalpie"/>
          <w:sz w:val="18"/>
          <w:szCs w:val="18"/>
        </w:rPr>
        <w:footnoteRef/>
      </w:r>
      <w:r w:rsidRPr="008345DC">
        <w:rPr>
          <w:sz w:val="18"/>
          <w:szCs w:val="18"/>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w:t>
      </w:r>
      <w:r w:rsidRPr="008345DC">
        <w:rPr>
          <w:spacing w:val="-3"/>
          <w:sz w:val="18"/>
          <w:szCs w:val="18"/>
        </w:rPr>
        <w:t xml:space="preserve"> </w:t>
      </w:r>
      <w:r w:rsidRPr="008345DC">
        <w:rPr>
          <w:sz w:val="18"/>
          <w:szCs w:val="18"/>
        </w:rPr>
        <w:t>Nacional.</w:t>
      </w:r>
    </w:p>
    <w:p w:rsidRPr="008345DC" w:rsidR="00DC2B0E" w:rsidP="008345DC" w:rsidRDefault="00DC2B0E" w14:paraId="3BFD73E7" w14:textId="77777777">
      <w:pPr>
        <w:pStyle w:val="Textoindependiente"/>
        <w:spacing w:before="11"/>
        <w:ind w:left="300" w:right="312"/>
        <w:jc w:val="both"/>
        <w:rPr>
          <w:sz w:val="18"/>
          <w:szCs w:val="18"/>
        </w:rPr>
      </w:pPr>
    </w:p>
    <w:p w:rsidRPr="008345DC" w:rsidR="00DC2B0E" w:rsidP="008345DC" w:rsidRDefault="00DC2B0E" w14:paraId="05543FE3" w14:textId="77777777">
      <w:pPr>
        <w:ind w:left="300" w:right="312"/>
        <w:jc w:val="both"/>
        <w:rPr>
          <w:sz w:val="18"/>
          <w:szCs w:val="18"/>
        </w:rPr>
      </w:pPr>
      <w:r w:rsidRPr="008345DC">
        <w:rPr>
          <w:sz w:val="18"/>
          <w:szCs w:val="18"/>
        </w:rPr>
        <w:t>“Lo anterior, sin perjuicio de las publicaciones previstas en el numeral 3 del artículo 30 de la Ley 80 de 1993.</w:t>
      </w:r>
    </w:p>
    <w:p w:rsidRPr="008345DC" w:rsidR="00DC2B0E" w:rsidP="008345DC" w:rsidRDefault="00DC2B0E" w14:paraId="0C238836" w14:textId="77777777">
      <w:pPr>
        <w:pStyle w:val="Textoindependiente"/>
        <w:spacing w:before="1"/>
        <w:ind w:left="300" w:right="312"/>
        <w:jc w:val="both"/>
        <w:rPr>
          <w:sz w:val="18"/>
          <w:szCs w:val="18"/>
        </w:rPr>
      </w:pPr>
    </w:p>
    <w:p w:rsidRPr="008345DC" w:rsidR="00DC2B0E" w:rsidP="008345DC" w:rsidRDefault="00DC2B0E" w14:paraId="4A2D418E" w14:textId="77777777">
      <w:pPr>
        <w:ind w:left="300" w:right="312"/>
        <w:jc w:val="both"/>
        <w:rPr>
          <w:sz w:val="18"/>
          <w:szCs w:val="18"/>
        </w:rPr>
      </w:pPr>
      <w:r w:rsidRPr="008345DC">
        <w:rPr>
          <w:sz w:val="18"/>
          <w:szCs w:val="18"/>
        </w:rPr>
        <w:t xml:space="preserve">“Con el fin de materializar los objetivos a que se refiere el inciso anterior, el Gobierno Nacional desarrollará el Sistema Electrónico para la Contratación Pública, </w:t>
      </w:r>
      <w:proofErr w:type="spellStart"/>
      <w:r w:rsidRPr="008345DC">
        <w:rPr>
          <w:sz w:val="18"/>
          <w:szCs w:val="18"/>
        </w:rPr>
        <w:t>Secop</w:t>
      </w:r>
      <w:proofErr w:type="spellEnd"/>
      <w:r w:rsidRPr="008345DC">
        <w:rPr>
          <w:sz w:val="18"/>
          <w:szCs w:val="18"/>
        </w:rPr>
        <w:t>, el cual:</w:t>
      </w:r>
    </w:p>
    <w:p w:rsidRPr="008345DC" w:rsidR="00DC2B0E" w:rsidP="008345DC" w:rsidRDefault="00DC2B0E" w14:paraId="4538B86E" w14:textId="77777777">
      <w:pPr>
        <w:pStyle w:val="Textoindependiente"/>
        <w:spacing w:before="11"/>
        <w:ind w:left="300" w:right="312"/>
        <w:jc w:val="both"/>
        <w:rPr>
          <w:sz w:val="18"/>
          <w:szCs w:val="18"/>
        </w:rPr>
      </w:pPr>
    </w:p>
    <w:p w:rsidRPr="008345DC" w:rsidR="00DC2B0E" w:rsidP="008345DC" w:rsidRDefault="00DC2B0E" w14:paraId="7775B5F1" w14:textId="77777777">
      <w:pPr>
        <w:spacing w:before="77"/>
        <w:ind w:left="300" w:right="312"/>
        <w:jc w:val="both"/>
        <w:rPr>
          <w:sz w:val="18"/>
          <w:szCs w:val="18"/>
        </w:rPr>
      </w:pPr>
      <w:r w:rsidRPr="008345DC">
        <w:rPr>
          <w:sz w:val="18"/>
          <w:szCs w:val="18"/>
        </w:rPr>
        <w:t>“a) Dispondrá de las funcionalidades tecnológicas para realizar procesos de contratación electrónicos bajo los métodos de selección señalados en el artículo 2o de la presente ley según lo defina el reglamento; b) Servirá de punto único de ingreso de información y de generación de reportes para las entidades estatales y la ciudadanía;</w:t>
      </w:r>
    </w:p>
    <w:p w:rsidRPr="008345DC" w:rsidR="00DC2B0E" w:rsidP="008345DC" w:rsidRDefault="00DC2B0E" w14:paraId="79D1D1CA" w14:textId="77777777">
      <w:pPr>
        <w:pStyle w:val="Textoindependiente"/>
        <w:spacing w:before="2"/>
        <w:ind w:left="300" w:right="312"/>
        <w:jc w:val="both"/>
        <w:rPr>
          <w:sz w:val="18"/>
          <w:szCs w:val="18"/>
        </w:rPr>
      </w:pPr>
    </w:p>
    <w:p w:rsidRPr="008345DC" w:rsidR="00DC2B0E" w:rsidP="008345DC" w:rsidRDefault="00DC2B0E" w14:paraId="016A1A50" w14:textId="77777777">
      <w:pPr>
        <w:ind w:left="300" w:right="312"/>
        <w:jc w:val="both"/>
        <w:rPr>
          <w:sz w:val="18"/>
          <w:szCs w:val="18"/>
        </w:rPr>
      </w:pPr>
      <w:r w:rsidRPr="008345DC">
        <w:rPr>
          <w:sz w:val="18"/>
          <w:szCs w:val="18"/>
        </w:rPr>
        <w:t>“c) Contará con la información oficial de la contratación realizada con dineros públicos, para lo cual establecerá los patrones a que haya lugar y se encargará de su difusión a través de canales electrónicos y;</w:t>
      </w:r>
    </w:p>
    <w:p w:rsidRPr="008345DC" w:rsidR="00DC2B0E" w:rsidP="008345DC" w:rsidRDefault="00DC2B0E" w14:paraId="5E802024" w14:textId="77777777">
      <w:pPr>
        <w:pStyle w:val="Textoindependiente"/>
        <w:spacing w:before="10"/>
        <w:ind w:left="300" w:right="312"/>
        <w:jc w:val="both"/>
        <w:rPr>
          <w:sz w:val="18"/>
          <w:szCs w:val="18"/>
        </w:rPr>
      </w:pPr>
    </w:p>
    <w:p w:rsidRPr="008345DC" w:rsidR="00DC2B0E" w:rsidP="008345DC" w:rsidRDefault="00DC2B0E" w14:paraId="745DDDF1" w14:textId="77777777">
      <w:pPr>
        <w:ind w:left="300" w:right="312"/>
        <w:jc w:val="both"/>
        <w:rPr>
          <w:sz w:val="18"/>
          <w:szCs w:val="18"/>
        </w:rPr>
      </w:pPr>
      <w:r w:rsidRPr="008345DC">
        <w:rPr>
          <w:sz w:val="18"/>
          <w:szCs w:val="18"/>
        </w:rPr>
        <w:t xml:space="preserve">“d) Integrará el Registro </w:t>
      </w:r>
      <w:proofErr w:type="spellStart"/>
      <w:r w:rsidRPr="008345DC">
        <w:rPr>
          <w:sz w:val="18"/>
          <w:szCs w:val="18"/>
        </w:rPr>
        <w:t>Unico</w:t>
      </w:r>
      <w:proofErr w:type="spellEnd"/>
      <w:r w:rsidRPr="008345DC">
        <w:rPr>
          <w:sz w:val="18"/>
          <w:szCs w:val="18"/>
        </w:rPr>
        <w:t xml:space="preserve"> Empresarial de las Cámaras de Comercio, el Diario </w:t>
      </w:r>
      <w:proofErr w:type="spellStart"/>
      <w:r w:rsidRPr="008345DC">
        <w:rPr>
          <w:sz w:val="18"/>
          <w:szCs w:val="18"/>
        </w:rPr>
        <w:t>Unico</w:t>
      </w:r>
      <w:proofErr w:type="spellEnd"/>
      <w:r w:rsidRPr="008345DC">
        <w:rPr>
          <w:sz w:val="18"/>
          <w:szCs w:val="18"/>
        </w:rPr>
        <w:t xml:space="preserve">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rsidRPr="008345DC" w:rsidR="00DC2B0E" w:rsidP="008345DC" w:rsidRDefault="00DC2B0E" w14:paraId="50185C30" w14:textId="77777777">
      <w:pPr>
        <w:spacing w:line="206" w:lineRule="exact"/>
        <w:ind w:left="300" w:right="312"/>
        <w:jc w:val="both"/>
        <w:rPr>
          <w:sz w:val="18"/>
          <w:szCs w:val="18"/>
        </w:rPr>
      </w:pPr>
      <w:r w:rsidRPr="008345DC">
        <w:rPr>
          <w:sz w:val="18"/>
          <w:szCs w:val="18"/>
        </w:rPr>
        <w:t>(...)”.</w:t>
      </w:r>
    </w:p>
    <w:p w:rsidRPr="008345DC" w:rsidR="00DC2B0E" w:rsidP="008345DC" w:rsidRDefault="00DC2B0E" w14:paraId="2C08379E" w14:textId="51957E2B">
      <w:pPr>
        <w:ind w:left="300" w:right="312"/>
        <w:jc w:val="both"/>
        <w:rPr>
          <w:sz w:val="18"/>
          <w:szCs w:val="18"/>
        </w:rPr>
      </w:pPr>
    </w:p>
    <w:p w:rsidRPr="008345DC" w:rsidR="00DC2B0E" w:rsidP="008345DC" w:rsidRDefault="00DC2B0E" w14:paraId="3826DEAB" w14:textId="524A7234">
      <w:pPr>
        <w:pStyle w:val="Textonotapie"/>
        <w:ind w:left="300" w:right="312"/>
        <w:jc w:val="both"/>
        <w:rPr>
          <w:sz w:val="18"/>
          <w:szCs w:val="18"/>
          <w:lang w:val="es-CO"/>
        </w:rPr>
      </w:pPr>
    </w:p>
  </w:footnote>
  <w:footnote w:id="8">
    <w:p w:rsidRPr="008345DC" w:rsidR="00DC2B0E" w:rsidP="008345DC" w:rsidRDefault="00DC2B0E" w14:paraId="1509A487" w14:textId="77777777">
      <w:pPr>
        <w:spacing w:before="89" w:line="252" w:lineRule="auto"/>
        <w:ind w:left="300" w:right="312" w:firstLine="707"/>
        <w:jc w:val="both"/>
        <w:rPr>
          <w:sz w:val="18"/>
          <w:szCs w:val="18"/>
        </w:rPr>
      </w:pPr>
      <w:r w:rsidRPr="008345DC">
        <w:rPr>
          <w:rStyle w:val="Refdenotaalpie"/>
          <w:sz w:val="18"/>
          <w:szCs w:val="18"/>
        </w:rPr>
        <w:footnoteRef/>
      </w:r>
      <w:r w:rsidRPr="008345DC">
        <w:rPr>
          <w:sz w:val="18"/>
          <w:szCs w:val="18"/>
        </w:rPr>
        <w:t xml:space="preserve"> Decreto 4170 de 2011: “Artículo 3. Funciones: La Agencia Nacional de Contratación Pública – Colombia Compra Eficiente– ejercerá las siguientes funciones:</w:t>
      </w:r>
    </w:p>
    <w:p w:rsidRPr="008345DC" w:rsidR="00DC2B0E" w:rsidP="008345DC" w:rsidRDefault="00DC2B0E" w14:paraId="2DF985D1" w14:textId="77777777">
      <w:pPr>
        <w:spacing w:line="197" w:lineRule="exact"/>
        <w:ind w:left="300" w:right="312"/>
        <w:jc w:val="both"/>
        <w:rPr>
          <w:sz w:val="18"/>
          <w:szCs w:val="18"/>
        </w:rPr>
      </w:pPr>
      <w:r w:rsidRPr="008345DC">
        <w:rPr>
          <w:sz w:val="18"/>
          <w:szCs w:val="18"/>
        </w:rPr>
        <w:t>(...)</w:t>
      </w:r>
    </w:p>
    <w:p w:rsidRPr="008345DC" w:rsidR="00DC2B0E" w:rsidP="008345DC" w:rsidRDefault="00DC2B0E" w14:paraId="588F744C" w14:textId="77777777">
      <w:pPr>
        <w:pStyle w:val="Textoindependiente"/>
        <w:spacing w:before="1"/>
        <w:ind w:left="300" w:right="312"/>
        <w:jc w:val="both"/>
        <w:rPr>
          <w:sz w:val="18"/>
          <w:szCs w:val="18"/>
        </w:rPr>
      </w:pPr>
    </w:p>
    <w:p w:rsidRPr="008345DC" w:rsidR="00DC2B0E" w:rsidP="008345DC" w:rsidRDefault="00DC2B0E" w14:paraId="126D6B7E" w14:textId="77777777">
      <w:pPr>
        <w:ind w:left="300" w:right="312"/>
        <w:jc w:val="both"/>
        <w:rPr>
          <w:sz w:val="18"/>
          <w:szCs w:val="18"/>
        </w:rPr>
      </w:pPr>
      <w:r w:rsidRPr="008345DC">
        <w:rPr>
          <w:sz w:val="18"/>
          <w:szCs w:val="18"/>
        </w:rPr>
        <w:t>“8. Desarrollar y administrar el Sistema Electrónico para la Contratación Pública (SECOP) o el que haga sus veces, y gestionar nuevos desarrollos tecnológicos en los asuntos de su competencia, teniendo en cuenta los parámetros fijados por el Consejo Directivo.</w:t>
      </w:r>
    </w:p>
    <w:p w:rsidRPr="008345DC" w:rsidR="00DC2B0E" w:rsidP="008345DC" w:rsidRDefault="00DC2B0E" w14:paraId="0AC17920" w14:textId="77777777">
      <w:pPr>
        <w:spacing w:line="206" w:lineRule="exact"/>
        <w:ind w:left="300" w:right="312"/>
        <w:jc w:val="both"/>
        <w:rPr>
          <w:sz w:val="18"/>
          <w:szCs w:val="18"/>
        </w:rPr>
      </w:pPr>
      <w:r w:rsidRPr="008345DC">
        <w:rPr>
          <w:sz w:val="18"/>
          <w:szCs w:val="18"/>
        </w:rPr>
        <w:t>(...)”.</w:t>
      </w:r>
    </w:p>
    <w:p w:rsidRPr="008345DC" w:rsidR="00DC2B0E" w:rsidP="008345DC" w:rsidRDefault="00DC2B0E" w14:paraId="2A8E8229" w14:textId="3B506484">
      <w:pPr>
        <w:pStyle w:val="Textonotapie"/>
        <w:ind w:left="300" w:right="312"/>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9F75F3" w:rsidRDefault="009F6A5F" w14:paraId="315DED31" w14:textId="77777777">
    <w:pPr>
      <w:pStyle w:val="Textoindependiente"/>
      <w:spacing w:line="14" w:lineRule="auto"/>
      <w:rPr>
        <w:sz w:val="20"/>
      </w:rPr>
    </w:pPr>
    <w:r>
      <w:rPr>
        <w:noProof/>
        <w:lang w:val="en-US"/>
      </w:rPr>
      <w:drawing>
        <wp:anchor distT="0" distB="0" distL="0" distR="0" simplePos="0" relativeHeight="487449088" behindDoc="1" locked="0" layoutInCell="1" allowOverlap="1" wp14:anchorId="09E69F3A" wp14:editId="6F771CE7">
          <wp:simplePos x="0" y="0"/>
          <wp:positionH relativeFrom="page">
            <wp:posOffset>5304473</wp:posOffset>
          </wp:positionH>
          <wp:positionV relativeFrom="page">
            <wp:posOffset>468247</wp:posOffset>
          </wp:positionV>
          <wp:extent cx="1346374" cy="521377"/>
          <wp:effectExtent l="0" t="0" r="0" b="0"/>
          <wp:wrapNone/>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67B5C67A">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5BCC"/>
    <w:multiLevelType w:val="multilevel"/>
    <w:tmpl w:val="5504D7EC"/>
    <w:lvl w:ilvl="0">
      <w:start w:val="3"/>
      <w:numFmt w:val="decimal"/>
      <w:lvlText w:val="%1"/>
      <w:lvlJc w:val="left"/>
      <w:pPr>
        <w:ind w:left="300" w:hanging="390"/>
        <w:jc w:val="left"/>
      </w:pPr>
      <w:rPr>
        <w:rFonts w:hint="default"/>
        <w:lang w:val="es-ES" w:eastAsia="en-US" w:bidi="ar-SA"/>
      </w:rPr>
    </w:lvl>
    <w:lvl w:ilvl="1">
      <w:start w:val="1"/>
      <w:numFmt w:val="decimal"/>
      <w:lvlText w:val="%1.%2"/>
      <w:lvlJc w:val="left"/>
      <w:pPr>
        <w:ind w:left="300" w:hanging="390"/>
        <w:jc w:val="left"/>
      </w:pPr>
      <w:rPr>
        <w:rFonts w:hint="default" w:ascii="Arial" w:hAnsi="Arial" w:eastAsia="Arial" w:cs="Arial"/>
        <w:spacing w:val="-1"/>
        <w:w w:val="100"/>
        <w:sz w:val="22"/>
        <w:szCs w:val="22"/>
        <w:lang w:val="es-ES" w:eastAsia="en-US" w:bidi="ar-SA"/>
      </w:rPr>
    </w:lvl>
    <w:lvl w:ilvl="2">
      <w:numFmt w:val="bullet"/>
      <w:lvlText w:val="•"/>
      <w:lvlJc w:val="left"/>
      <w:pPr>
        <w:ind w:left="2148" w:hanging="390"/>
      </w:pPr>
      <w:rPr>
        <w:rFonts w:hint="default"/>
        <w:lang w:val="es-ES" w:eastAsia="en-US" w:bidi="ar-SA"/>
      </w:rPr>
    </w:lvl>
    <w:lvl w:ilvl="3">
      <w:numFmt w:val="bullet"/>
      <w:lvlText w:val="•"/>
      <w:lvlJc w:val="left"/>
      <w:pPr>
        <w:ind w:left="3072" w:hanging="390"/>
      </w:pPr>
      <w:rPr>
        <w:rFonts w:hint="default"/>
        <w:lang w:val="es-ES" w:eastAsia="en-US" w:bidi="ar-SA"/>
      </w:rPr>
    </w:lvl>
    <w:lvl w:ilvl="4">
      <w:numFmt w:val="bullet"/>
      <w:lvlText w:val="•"/>
      <w:lvlJc w:val="left"/>
      <w:pPr>
        <w:ind w:left="3996" w:hanging="390"/>
      </w:pPr>
      <w:rPr>
        <w:rFonts w:hint="default"/>
        <w:lang w:val="es-ES" w:eastAsia="en-US" w:bidi="ar-SA"/>
      </w:rPr>
    </w:lvl>
    <w:lvl w:ilvl="5">
      <w:numFmt w:val="bullet"/>
      <w:lvlText w:val="•"/>
      <w:lvlJc w:val="left"/>
      <w:pPr>
        <w:ind w:left="4920" w:hanging="390"/>
      </w:pPr>
      <w:rPr>
        <w:rFonts w:hint="default"/>
        <w:lang w:val="es-ES" w:eastAsia="en-US" w:bidi="ar-SA"/>
      </w:rPr>
    </w:lvl>
    <w:lvl w:ilvl="6">
      <w:numFmt w:val="bullet"/>
      <w:lvlText w:val="•"/>
      <w:lvlJc w:val="left"/>
      <w:pPr>
        <w:ind w:left="5844" w:hanging="390"/>
      </w:pPr>
      <w:rPr>
        <w:rFonts w:hint="default"/>
        <w:lang w:val="es-ES" w:eastAsia="en-US" w:bidi="ar-SA"/>
      </w:rPr>
    </w:lvl>
    <w:lvl w:ilvl="7">
      <w:numFmt w:val="bullet"/>
      <w:lvlText w:val="•"/>
      <w:lvlJc w:val="left"/>
      <w:pPr>
        <w:ind w:left="6768" w:hanging="390"/>
      </w:pPr>
      <w:rPr>
        <w:rFonts w:hint="default"/>
        <w:lang w:val="es-ES" w:eastAsia="en-US" w:bidi="ar-SA"/>
      </w:rPr>
    </w:lvl>
    <w:lvl w:ilvl="8">
      <w:numFmt w:val="bullet"/>
      <w:lvlText w:val="•"/>
      <w:lvlJc w:val="left"/>
      <w:pPr>
        <w:ind w:left="7692" w:hanging="390"/>
      </w:pPr>
      <w:rPr>
        <w:rFonts w:hint="default"/>
        <w:lang w:val="es-ES" w:eastAsia="en-US" w:bidi="ar-SA"/>
      </w:rPr>
    </w:lvl>
  </w:abstractNum>
  <w:abstractNum w:abstractNumId="1" w15:restartNumberingAfterBreak="0">
    <w:nsid w:val="3F6549C6"/>
    <w:multiLevelType w:val="multilevel"/>
    <w:tmpl w:val="3568226C"/>
    <w:lvl w:ilvl="0">
      <w:start w:val="1"/>
      <w:numFmt w:val="decimal"/>
      <w:lvlText w:val="%1."/>
      <w:lvlJc w:val="left"/>
      <w:pPr>
        <w:ind w:left="543" w:hanging="243"/>
        <w:jc w:val="left"/>
      </w:pPr>
      <w:rPr>
        <w:rFonts w:hint="default" w:ascii="Arial" w:hAnsi="Arial" w:eastAsia="Arial" w:cs="Arial"/>
        <w:b/>
        <w:bCs/>
        <w:color w:val="auto"/>
        <w:spacing w:val="-1"/>
        <w:w w:val="100"/>
        <w:sz w:val="22"/>
        <w:szCs w:val="22"/>
        <w:lang w:val="es-ES" w:eastAsia="en-US" w:bidi="ar-SA"/>
      </w:rPr>
    </w:lvl>
    <w:lvl w:ilvl="1">
      <w:start w:val="1"/>
      <w:numFmt w:val="decimal"/>
      <w:lvlText w:val="%1.%2."/>
      <w:lvlJc w:val="left"/>
      <w:pPr>
        <w:ind w:left="728" w:hanging="428"/>
        <w:jc w:val="left"/>
      </w:pPr>
      <w:rPr>
        <w:rFonts w:hint="default" w:ascii="Arial" w:hAnsi="Arial" w:eastAsia="Arial" w:cs="Arial"/>
        <w:b/>
        <w:bCs/>
        <w:color w:val="auto"/>
        <w:spacing w:val="-2"/>
        <w:w w:val="100"/>
        <w:sz w:val="22"/>
        <w:szCs w:val="22"/>
        <w:lang w:val="es-ES" w:eastAsia="en-US" w:bidi="ar-SA"/>
      </w:rPr>
    </w:lvl>
    <w:lvl w:ilvl="2">
      <w:numFmt w:val="bullet"/>
      <w:lvlText w:val="•"/>
      <w:lvlJc w:val="left"/>
      <w:pPr>
        <w:ind w:left="1700" w:hanging="428"/>
      </w:pPr>
      <w:rPr>
        <w:rFonts w:hint="default"/>
        <w:lang w:val="es-ES" w:eastAsia="en-US" w:bidi="ar-SA"/>
      </w:rPr>
    </w:lvl>
    <w:lvl w:ilvl="3">
      <w:numFmt w:val="bullet"/>
      <w:lvlText w:val="•"/>
      <w:lvlJc w:val="left"/>
      <w:pPr>
        <w:ind w:left="2680" w:hanging="428"/>
      </w:pPr>
      <w:rPr>
        <w:rFonts w:hint="default"/>
        <w:lang w:val="es-ES" w:eastAsia="en-US" w:bidi="ar-SA"/>
      </w:rPr>
    </w:lvl>
    <w:lvl w:ilvl="4">
      <w:numFmt w:val="bullet"/>
      <w:lvlText w:val="•"/>
      <w:lvlJc w:val="left"/>
      <w:pPr>
        <w:ind w:left="3660" w:hanging="428"/>
      </w:pPr>
      <w:rPr>
        <w:rFonts w:hint="default"/>
        <w:lang w:val="es-ES" w:eastAsia="en-US" w:bidi="ar-SA"/>
      </w:rPr>
    </w:lvl>
    <w:lvl w:ilvl="5">
      <w:numFmt w:val="bullet"/>
      <w:lvlText w:val="•"/>
      <w:lvlJc w:val="left"/>
      <w:pPr>
        <w:ind w:left="4640" w:hanging="428"/>
      </w:pPr>
      <w:rPr>
        <w:rFonts w:hint="default"/>
        <w:lang w:val="es-ES" w:eastAsia="en-US" w:bidi="ar-SA"/>
      </w:rPr>
    </w:lvl>
    <w:lvl w:ilvl="6">
      <w:numFmt w:val="bullet"/>
      <w:lvlText w:val="•"/>
      <w:lvlJc w:val="left"/>
      <w:pPr>
        <w:ind w:left="5620" w:hanging="428"/>
      </w:pPr>
      <w:rPr>
        <w:rFonts w:hint="default"/>
        <w:lang w:val="es-ES" w:eastAsia="en-US" w:bidi="ar-SA"/>
      </w:rPr>
    </w:lvl>
    <w:lvl w:ilvl="7">
      <w:numFmt w:val="bullet"/>
      <w:lvlText w:val="•"/>
      <w:lvlJc w:val="left"/>
      <w:pPr>
        <w:ind w:left="6600" w:hanging="428"/>
      </w:pPr>
      <w:rPr>
        <w:rFonts w:hint="default"/>
        <w:lang w:val="es-ES" w:eastAsia="en-US" w:bidi="ar-SA"/>
      </w:rPr>
    </w:lvl>
    <w:lvl w:ilvl="8">
      <w:numFmt w:val="bullet"/>
      <w:lvlText w:val="•"/>
      <w:lvlJc w:val="left"/>
      <w:pPr>
        <w:ind w:left="7580" w:hanging="428"/>
      </w:pPr>
      <w:rPr>
        <w:rFonts w:hint="default"/>
        <w:lang w:val="es-ES" w:eastAsia="en-US" w:bidi="ar-SA"/>
      </w:rPr>
    </w:lvl>
  </w:abstractNum>
  <w:abstractNum w:abstractNumId="2" w15:restartNumberingAfterBreak="0">
    <w:nsid w:val="59CC42EA"/>
    <w:multiLevelType w:val="multilevel"/>
    <w:tmpl w:val="62E462D0"/>
    <w:lvl w:ilvl="0">
      <w:start w:val="2"/>
      <w:numFmt w:val="decimal"/>
      <w:lvlText w:val="%1"/>
      <w:lvlJc w:val="left"/>
      <w:pPr>
        <w:ind w:left="660" w:hanging="360"/>
        <w:jc w:val="left"/>
      </w:pPr>
      <w:rPr>
        <w:rFonts w:hint="default"/>
        <w:lang w:val="es-ES" w:eastAsia="en-US" w:bidi="ar-SA"/>
      </w:rPr>
    </w:lvl>
    <w:lvl w:ilvl="1">
      <w:start w:val="2"/>
      <w:numFmt w:val="decimal"/>
      <w:lvlText w:val="%1.%2"/>
      <w:lvlJc w:val="left"/>
      <w:pPr>
        <w:ind w:left="660" w:hanging="360"/>
        <w:jc w:val="left"/>
      </w:pPr>
      <w:rPr>
        <w:rFonts w:hint="default" w:ascii="Arial" w:hAnsi="Arial" w:eastAsia="Arial" w:cs="Arial"/>
        <w:b/>
        <w:bCs/>
        <w:spacing w:val="-1"/>
        <w:w w:val="100"/>
        <w:sz w:val="22"/>
        <w:szCs w:val="22"/>
        <w:lang w:val="es-ES" w:eastAsia="en-US" w:bidi="ar-SA"/>
      </w:rPr>
    </w:lvl>
    <w:lvl w:ilvl="2">
      <w:numFmt w:val="bullet"/>
      <w:lvlText w:val="•"/>
      <w:lvlJc w:val="left"/>
      <w:pPr>
        <w:ind w:left="2436" w:hanging="360"/>
      </w:pPr>
      <w:rPr>
        <w:rFonts w:hint="default"/>
        <w:lang w:val="es-ES" w:eastAsia="en-US" w:bidi="ar-SA"/>
      </w:rPr>
    </w:lvl>
    <w:lvl w:ilvl="3">
      <w:numFmt w:val="bullet"/>
      <w:lvlText w:val="•"/>
      <w:lvlJc w:val="left"/>
      <w:pPr>
        <w:ind w:left="3324" w:hanging="360"/>
      </w:pPr>
      <w:rPr>
        <w:rFonts w:hint="default"/>
        <w:lang w:val="es-ES" w:eastAsia="en-US" w:bidi="ar-SA"/>
      </w:rPr>
    </w:lvl>
    <w:lvl w:ilvl="4">
      <w:numFmt w:val="bullet"/>
      <w:lvlText w:val="•"/>
      <w:lvlJc w:val="left"/>
      <w:pPr>
        <w:ind w:left="4212" w:hanging="360"/>
      </w:pPr>
      <w:rPr>
        <w:rFonts w:hint="default"/>
        <w:lang w:val="es-ES" w:eastAsia="en-US" w:bidi="ar-SA"/>
      </w:rPr>
    </w:lvl>
    <w:lvl w:ilvl="5">
      <w:numFmt w:val="bullet"/>
      <w:lvlText w:val="•"/>
      <w:lvlJc w:val="left"/>
      <w:pPr>
        <w:ind w:left="5100" w:hanging="360"/>
      </w:pPr>
      <w:rPr>
        <w:rFonts w:hint="default"/>
        <w:lang w:val="es-ES" w:eastAsia="en-US" w:bidi="ar-SA"/>
      </w:rPr>
    </w:lvl>
    <w:lvl w:ilvl="6">
      <w:numFmt w:val="bullet"/>
      <w:lvlText w:val="•"/>
      <w:lvlJc w:val="left"/>
      <w:pPr>
        <w:ind w:left="5988" w:hanging="360"/>
      </w:pPr>
      <w:rPr>
        <w:rFonts w:hint="default"/>
        <w:lang w:val="es-ES" w:eastAsia="en-US" w:bidi="ar-SA"/>
      </w:rPr>
    </w:lvl>
    <w:lvl w:ilvl="7">
      <w:numFmt w:val="bullet"/>
      <w:lvlText w:val="•"/>
      <w:lvlJc w:val="left"/>
      <w:pPr>
        <w:ind w:left="6876" w:hanging="360"/>
      </w:pPr>
      <w:rPr>
        <w:rFonts w:hint="default"/>
        <w:lang w:val="es-ES" w:eastAsia="en-US" w:bidi="ar-SA"/>
      </w:rPr>
    </w:lvl>
    <w:lvl w:ilvl="8">
      <w:numFmt w:val="bullet"/>
      <w:lvlText w:val="•"/>
      <w:lvlJc w:val="left"/>
      <w:pPr>
        <w:ind w:left="7764" w:hanging="360"/>
      </w:pPr>
      <w:rPr>
        <w:rFonts w:hint="default"/>
        <w:lang w:val="es-ES" w:eastAsia="en-US" w:bidi="ar-SA"/>
      </w:rPr>
    </w:lvl>
  </w:abstractNum>
  <w:num w:numId="1">
    <w:abstractNumId w:val="0"/>
  </w:num>
  <w:num w:numId="2">
    <w:abstractNumId w:val="2"/>
  </w:num>
  <w:num w:numId="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1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5F3"/>
    <w:rsid w:val="00093CFA"/>
    <w:rsid w:val="00614C3C"/>
    <w:rsid w:val="008345DC"/>
    <w:rsid w:val="00851DB4"/>
    <w:rsid w:val="00902AB9"/>
    <w:rsid w:val="0096020D"/>
    <w:rsid w:val="009F6A5F"/>
    <w:rsid w:val="009F75F3"/>
    <w:rsid w:val="00B53231"/>
    <w:rsid w:val="00C4272A"/>
    <w:rsid w:val="00C51337"/>
    <w:rsid w:val="00CD2A74"/>
    <w:rsid w:val="00DC2B0E"/>
    <w:rsid w:val="00E80F7F"/>
    <w:rsid w:val="00E968A1"/>
    <w:rsid w:val="0E312306"/>
    <w:rsid w:val="2ABEA377"/>
    <w:rsid w:val="2F1DBFE1"/>
    <w:rsid w:val="36FF2776"/>
    <w:rsid w:val="43AB23E1"/>
    <w:rsid w:val="585A1712"/>
    <w:rsid w:val="67B5C67A"/>
    <w:rsid w:val="75CBD546"/>
    <w:rsid w:val="78649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C6430"/>
  <w15:docId w15:val="{4268A3AB-B542-4ABB-8F43-D1D4EBBC23C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00"/>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pPr>
  </w:style>
  <w:style w:type="paragraph" w:styleId="TableParagraph" w:customStyle="1">
    <w:name w:val="Table Paragraph"/>
    <w:basedOn w:val="Normal"/>
    <w:uiPriority w:val="1"/>
    <w:qFormat/>
    <w:pPr>
      <w:spacing w:before="15"/>
      <w:ind w:left="200"/>
    </w:pPr>
  </w:style>
  <w:style w:type="paragraph" w:styleId="Textonotapie">
    <w:name w:val="footnote text"/>
    <w:basedOn w:val="Normal"/>
    <w:link w:val="TextonotapieCar"/>
    <w:uiPriority w:val="99"/>
    <w:semiHidden/>
    <w:unhideWhenUsed/>
    <w:rsid w:val="00902AB9"/>
    <w:rPr>
      <w:sz w:val="20"/>
      <w:szCs w:val="20"/>
    </w:rPr>
  </w:style>
  <w:style w:type="character" w:styleId="TextonotapieCar" w:customStyle="1">
    <w:name w:val="Texto nota pie Car"/>
    <w:basedOn w:val="Fuentedeprrafopredeter"/>
    <w:link w:val="Textonotapie"/>
    <w:uiPriority w:val="99"/>
    <w:semiHidden/>
    <w:rsid w:val="00902AB9"/>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902AB9"/>
    <w:rPr>
      <w:vertAlign w:val="superscript"/>
    </w:rPr>
  </w:style>
  <w:style w:type="paragraph" w:styleId="Encabezado">
    <w:name w:val="header"/>
    <w:basedOn w:val="Normal"/>
    <w:link w:val="EncabezadoCar"/>
    <w:uiPriority w:val="99"/>
    <w:unhideWhenUsed/>
    <w:rsid w:val="00902AB9"/>
    <w:pPr>
      <w:tabs>
        <w:tab w:val="center" w:pos="4419"/>
        <w:tab w:val="right" w:pos="8838"/>
      </w:tabs>
    </w:pPr>
  </w:style>
  <w:style w:type="character" w:styleId="EncabezadoCar" w:customStyle="1">
    <w:name w:val="Encabezado Car"/>
    <w:basedOn w:val="Fuentedeprrafopredeter"/>
    <w:link w:val="Encabezado"/>
    <w:uiPriority w:val="99"/>
    <w:rsid w:val="00902AB9"/>
    <w:rPr>
      <w:rFonts w:ascii="Arial" w:hAnsi="Arial" w:eastAsia="Arial" w:cs="Arial"/>
      <w:lang w:val="es-ES"/>
    </w:rPr>
  </w:style>
  <w:style w:type="paragraph" w:styleId="Piedepgina">
    <w:name w:val="footer"/>
    <w:basedOn w:val="Normal"/>
    <w:link w:val="PiedepginaCar"/>
    <w:uiPriority w:val="99"/>
    <w:unhideWhenUsed/>
    <w:rsid w:val="00902AB9"/>
    <w:pPr>
      <w:tabs>
        <w:tab w:val="center" w:pos="4419"/>
        <w:tab w:val="right" w:pos="8838"/>
      </w:tabs>
    </w:pPr>
  </w:style>
  <w:style w:type="character" w:styleId="PiedepginaCar" w:customStyle="1">
    <w:name w:val="Pie de página Car"/>
    <w:basedOn w:val="Fuentedeprrafopredeter"/>
    <w:link w:val="Piedepgina"/>
    <w:uiPriority w:val="99"/>
    <w:rsid w:val="00902AB9"/>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www.colombiacompra.gov.co/secop/que-es-el-secop-ii"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image" Target="/media/image4.png" Id="Rf0cd034162a24384"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BF6AEE-FC72-43ED-8A26-46A139E805C9}">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8880AC03-6AB0-4992-95CE-C7E256E19131}">
  <ds:schemaRefs>
    <ds:schemaRef ds:uri="http://schemas.microsoft.com/sharepoint/v3/contenttype/forms"/>
  </ds:schemaRefs>
</ds:datastoreItem>
</file>

<file path=customXml/itemProps3.xml><?xml version="1.0" encoding="utf-8"?>
<ds:datastoreItem xmlns:ds="http://schemas.openxmlformats.org/officeDocument/2006/customXml" ds:itemID="{EC5A4617-7174-4676-81DA-2D30CD84C8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14</revision>
  <dcterms:created xsi:type="dcterms:W3CDTF">2020-03-18T21:52:00.0000000Z</dcterms:created>
  <dcterms:modified xsi:type="dcterms:W3CDTF">2020-07-14T12:20:08.4208137Z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2019-12-04T00:00:00Z</vt:filetime>
  </property>
  <property fmtid="{D5CDD505-2E9C-101B-9397-08002B2CF9AE}" pid="3" name="Creator">
    <vt:lpwstr>Microsoft Word</vt:lpwstr>
  </property>
  <property fmtid="{D5CDD505-2E9C-101B-9397-08002B2CF9AE}" pid="4" name="LastSaved">
    <vt:filetime>2020-03-18T00:00:00Z</vt:filetime>
  </property>
  <property fmtid="{D5CDD505-2E9C-101B-9397-08002B2CF9AE}" pid="5" name="ContentTypeId">
    <vt:lpwstr>0x010100F2E0F32964D9B84EA054B84E5D4157A0</vt:lpwstr>
  </property>
</Properties>
</file>