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1E545F" w14:textId="77777777" w:rsidR="009654FA" w:rsidRDefault="009654FA" w:rsidP="007D56F7">
      <w:pPr>
        <w:pStyle w:val="Textoindependiente"/>
        <w:ind w:left="284" w:right="323"/>
        <w:jc w:val="both"/>
        <w:rPr>
          <w:b/>
          <w:bCs/>
        </w:rPr>
      </w:pPr>
    </w:p>
    <w:p w14:paraId="1BC3899F" w14:textId="50BDF7FB" w:rsidR="00E216A4" w:rsidRPr="007D56F7" w:rsidRDefault="00F00CF9" w:rsidP="007D56F7">
      <w:pPr>
        <w:pStyle w:val="Textoindependiente"/>
        <w:ind w:left="284" w:right="323"/>
        <w:jc w:val="both"/>
      </w:pPr>
      <w:r w:rsidRPr="27F7FA22">
        <w:rPr>
          <w:b/>
          <w:bCs/>
        </w:rPr>
        <w:t xml:space="preserve">EXPERIENCIA </w:t>
      </w:r>
      <w:r w:rsidR="30020C51" w:rsidRPr="27F7FA22">
        <w:rPr>
          <w:b/>
          <w:bCs/>
        </w:rPr>
        <w:t xml:space="preserve">– Sociedades </w:t>
      </w:r>
      <w:r w:rsidRPr="27F7FA22">
        <w:rPr>
          <w:b/>
          <w:bCs/>
        </w:rPr>
        <w:t>–</w:t>
      </w:r>
      <w:r w:rsidR="00E216A4" w:rsidRPr="27F7FA22">
        <w:rPr>
          <w:b/>
          <w:bCs/>
        </w:rPr>
        <w:t xml:space="preserve"> Régimen jurídico </w:t>
      </w:r>
      <w:r w:rsidRPr="27F7FA22">
        <w:rPr>
          <w:b/>
          <w:bCs/>
        </w:rPr>
        <w:t>–</w:t>
      </w:r>
      <w:r w:rsidR="00E216A4" w:rsidRPr="27F7FA22">
        <w:rPr>
          <w:b/>
          <w:bCs/>
        </w:rPr>
        <w:t xml:space="preserve"> Registro Único de Proponentes</w:t>
      </w:r>
    </w:p>
    <w:p w14:paraId="37835335" w14:textId="77777777" w:rsidR="00E216A4" w:rsidRPr="007D56F7" w:rsidRDefault="00E216A4" w:rsidP="007D56F7">
      <w:pPr>
        <w:pStyle w:val="Textoindependiente"/>
        <w:ind w:left="284" w:right="323"/>
        <w:jc w:val="both"/>
        <w:rPr>
          <w:sz w:val="20"/>
          <w:szCs w:val="20"/>
        </w:rPr>
      </w:pPr>
    </w:p>
    <w:p w14:paraId="441BE5CE" w14:textId="77777777" w:rsidR="00E216A4" w:rsidRPr="007D56F7" w:rsidRDefault="00E216A4" w:rsidP="007D56F7">
      <w:pPr>
        <w:pStyle w:val="Textoindependiente"/>
        <w:ind w:left="284" w:right="323"/>
        <w:jc w:val="both"/>
        <w:rPr>
          <w:sz w:val="20"/>
          <w:szCs w:val="20"/>
        </w:rPr>
      </w:pPr>
      <w:r w:rsidRPr="007D56F7">
        <w:rPr>
          <w:sz w:val="20"/>
          <w:szCs w:val="20"/>
        </w:rPr>
        <w:t>La Ley 1150 de 2007, en el artículo 5, establece que la capacidad jurídica y las condiciones de experiencia, capacidad financiera y de organización de los proponentes serán objeto de verificación por parte de las entidades como requisitos habilitantes para la participación en el proceso de selección y no otorgarán puntaje; con excepción del proceso de selección de consultores, donde es posible otorgar puntaje al criterio de experiencia. Por su parte, el artículo 6 de la Ley 1150 de 2007 señala que todas las personas naturales o jurídicas, nacionales o extranjeras, domiciliadas o con sucursal en Colombia, que aspiren celebrar contratos con las entidades deberán estar inscritas en el Registro Único de Proponentes. En dicho registro constará la información relacionada con la experiencia, capacidad jurídica, financiera y de organización del proponente y su clasificación. Frente al requisito habilitante de experiencia, en el “Manual para determinar y verificar requisitos habilitantes en los procesos de contratación” se define la experiencia como “el conocimiento del proponente derivado de su participación previa en actividades iguales o similares a las previstas en el objeto del</w:t>
      </w:r>
      <w:r w:rsidRPr="007D56F7">
        <w:rPr>
          <w:spacing w:val="-8"/>
          <w:sz w:val="20"/>
          <w:szCs w:val="20"/>
        </w:rPr>
        <w:t xml:space="preserve"> </w:t>
      </w:r>
      <w:r w:rsidRPr="007D56F7">
        <w:rPr>
          <w:sz w:val="20"/>
          <w:szCs w:val="20"/>
        </w:rPr>
        <w:t>contrato”.</w:t>
      </w:r>
    </w:p>
    <w:p w14:paraId="7D4BE999" w14:textId="77777777" w:rsidR="00E216A4" w:rsidRPr="007D56F7" w:rsidRDefault="00E216A4" w:rsidP="007D56F7">
      <w:pPr>
        <w:pStyle w:val="Textoindependiente"/>
        <w:ind w:left="284" w:right="323"/>
        <w:jc w:val="both"/>
        <w:rPr>
          <w:sz w:val="20"/>
          <w:szCs w:val="20"/>
        </w:rPr>
      </w:pPr>
    </w:p>
    <w:p w14:paraId="644D83A6" w14:textId="3631AEC0" w:rsidR="00E216A4" w:rsidRPr="007D56F7" w:rsidRDefault="00E216A4" w:rsidP="007D56F7">
      <w:pPr>
        <w:pStyle w:val="Textoindependiente"/>
        <w:ind w:left="284" w:right="323"/>
        <w:jc w:val="both"/>
        <w:rPr>
          <w:b/>
          <w:bCs/>
        </w:rPr>
      </w:pPr>
      <w:r w:rsidRPr="27F7FA22">
        <w:rPr>
          <w:b/>
          <w:bCs/>
        </w:rPr>
        <w:t xml:space="preserve">EXPERIENCIA </w:t>
      </w:r>
      <w:r w:rsidR="20D3F8D3" w:rsidRPr="27F7FA22">
        <w:rPr>
          <w:b/>
          <w:bCs/>
        </w:rPr>
        <w:t>– Persona natural</w:t>
      </w:r>
      <w:r w:rsidRPr="27F7FA22">
        <w:rPr>
          <w:b/>
          <w:bCs/>
        </w:rPr>
        <w:t xml:space="preserve"> </w:t>
      </w:r>
      <w:r w:rsidR="00F00CF9" w:rsidRPr="27F7FA22">
        <w:rPr>
          <w:b/>
          <w:bCs/>
        </w:rPr>
        <w:t>–</w:t>
      </w:r>
      <w:r w:rsidRPr="27F7FA22">
        <w:rPr>
          <w:b/>
          <w:bCs/>
        </w:rPr>
        <w:t xml:space="preserve"> Certificados de experiencia</w:t>
      </w:r>
    </w:p>
    <w:p w14:paraId="0CC054E5" w14:textId="77777777" w:rsidR="00E216A4" w:rsidRPr="007D56F7" w:rsidRDefault="00E216A4" w:rsidP="007D56F7">
      <w:pPr>
        <w:pStyle w:val="Textoindependiente"/>
        <w:ind w:left="284" w:right="323"/>
        <w:jc w:val="both"/>
        <w:rPr>
          <w:sz w:val="20"/>
          <w:szCs w:val="20"/>
        </w:rPr>
      </w:pPr>
    </w:p>
    <w:p w14:paraId="498583A6" w14:textId="77777777" w:rsidR="00E216A4" w:rsidRPr="007D56F7" w:rsidRDefault="00E216A4" w:rsidP="007D56F7">
      <w:pPr>
        <w:pStyle w:val="Textoindependiente"/>
        <w:ind w:left="284" w:right="323"/>
        <w:jc w:val="both"/>
        <w:rPr>
          <w:sz w:val="20"/>
          <w:szCs w:val="20"/>
        </w:rPr>
      </w:pPr>
      <w:r w:rsidRPr="007D56F7">
        <w:rPr>
          <w:sz w:val="20"/>
          <w:szCs w:val="20"/>
        </w:rPr>
        <w:t>El Decreto 1082 de 2015, en el artículo 2.2.1.1.1.5.2, numeral 2.1, establece que si una persona natural es la que se inscribe al RUP, aportará los certificados de experiencia en provisión de bienes, obras y servicios, los cuales deben ser expedidos por terceros que hayan recibido tales bienes, obras y servicios, y deben corresponder a contratos ejecutados o copias de los contratos cuando el interesado no puede obtener tal certificado.</w:t>
      </w:r>
    </w:p>
    <w:p w14:paraId="22184276" w14:textId="77777777" w:rsidR="00E216A4" w:rsidRPr="007D56F7" w:rsidRDefault="00E216A4" w:rsidP="007D56F7">
      <w:pPr>
        <w:pStyle w:val="Textoindependiente"/>
        <w:ind w:left="284" w:right="323"/>
        <w:jc w:val="both"/>
        <w:rPr>
          <w:sz w:val="20"/>
          <w:szCs w:val="20"/>
        </w:rPr>
      </w:pPr>
    </w:p>
    <w:p w14:paraId="17BA6377" w14:textId="7B188DB5" w:rsidR="00E216A4" w:rsidRPr="007D56F7" w:rsidRDefault="00E216A4" w:rsidP="007D56F7">
      <w:pPr>
        <w:pStyle w:val="Textoindependiente"/>
        <w:ind w:left="284" w:right="323"/>
        <w:jc w:val="both"/>
        <w:rPr>
          <w:b/>
          <w:bCs/>
        </w:rPr>
      </w:pPr>
      <w:r w:rsidRPr="27F7FA22">
        <w:rPr>
          <w:b/>
          <w:bCs/>
        </w:rPr>
        <w:t xml:space="preserve">EXPERIENCIA </w:t>
      </w:r>
      <w:r w:rsidR="7CA4745E" w:rsidRPr="27F7FA22">
        <w:rPr>
          <w:b/>
          <w:bCs/>
        </w:rPr>
        <w:t>– Sociedades</w:t>
      </w:r>
      <w:r w:rsidRPr="27F7FA22">
        <w:rPr>
          <w:b/>
          <w:bCs/>
        </w:rPr>
        <w:t xml:space="preserve"> </w:t>
      </w:r>
      <w:r w:rsidR="00F00CF9" w:rsidRPr="27F7FA22">
        <w:rPr>
          <w:b/>
          <w:bCs/>
        </w:rPr>
        <w:t>– Certificados de experiencia –</w:t>
      </w:r>
      <w:r w:rsidRPr="27F7FA22">
        <w:rPr>
          <w:b/>
          <w:bCs/>
        </w:rPr>
        <w:t xml:space="preserve"> Experiencia sociedades nuevas </w:t>
      </w:r>
    </w:p>
    <w:p w14:paraId="6486815A" w14:textId="77777777" w:rsidR="00E216A4" w:rsidRPr="007D56F7" w:rsidRDefault="00E216A4" w:rsidP="007D56F7">
      <w:pPr>
        <w:pStyle w:val="Textoindependiente"/>
        <w:ind w:left="284" w:right="323"/>
        <w:jc w:val="both"/>
        <w:rPr>
          <w:sz w:val="20"/>
          <w:szCs w:val="20"/>
        </w:rPr>
      </w:pPr>
    </w:p>
    <w:p w14:paraId="171D5195" w14:textId="77777777" w:rsidR="00E216A4" w:rsidRPr="007D56F7" w:rsidRDefault="00E216A4" w:rsidP="007D56F7">
      <w:pPr>
        <w:pStyle w:val="Textoindependiente"/>
        <w:ind w:left="284" w:right="323"/>
        <w:jc w:val="both"/>
        <w:rPr>
          <w:sz w:val="20"/>
          <w:szCs w:val="20"/>
        </w:rPr>
      </w:pPr>
      <w:r w:rsidRPr="007D56F7">
        <w:rPr>
          <w:sz w:val="20"/>
          <w:szCs w:val="20"/>
        </w:rPr>
        <w:t xml:space="preserve">El numeral 2.5 del mismo artículo señala que la persona jurídica se registrará aportando los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 </w:t>
      </w:r>
    </w:p>
    <w:p w14:paraId="5ACF8C95" w14:textId="77777777" w:rsidR="00E216A4" w:rsidRPr="007D56F7" w:rsidRDefault="00E216A4" w:rsidP="007D56F7">
      <w:pPr>
        <w:pStyle w:val="Textoindependiente"/>
        <w:ind w:left="284" w:right="323"/>
        <w:jc w:val="both"/>
        <w:rPr>
          <w:sz w:val="20"/>
          <w:szCs w:val="20"/>
        </w:rPr>
      </w:pPr>
    </w:p>
    <w:p w14:paraId="67510698" w14:textId="32B23888" w:rsidR="00E216A4" w:rsidRPr="007D56F7" w:rsidRDefault="00E216A4" w:rsidP="007D56F7">
      <w:pPr>
        <w:pStyle w:val="Textoindependiente"/>
        <w:ind w:left="284" w:right="323"/>
        <w:jc w:val="both"/>
        <w:rPr>
          <w:b/>
          <w:bCs/>
        </w:rPr>
      </w:pPr>
      <w:r w:rsidRPr="007D56F7">
        <w:rPr>
          <w:b/>
          <w:bCs/>
        </w:rPr>
        <w:t>SO</w:t>
      </w:r>
      <w:r w:rsidR="00F00CF9">
        <w:rPr>
          <w:b/>
          <w:bCs/>
        </w:rPr>
        <w:t xml:space="preserve">CIEDADES NUEVAS </w:t>
      </w:r>
      <w:r w:rsidR="00F00CF9" w:rsidRPr="00302709">
        <w:rPr>
          <w:b/>
        </w:rPr>
        <w:t>–</w:t>
      </w:r>
      <w:r w:rsidR="00F00CF9">
        <w:rPr>
          <w:b/>
        </w:rPr>
        <w:t xml:space="preserve"> </w:t>
      </w:r>
      <w:r w:rsidRPr="007D56F7">
        <w:rPr>
          <w:b/>
          <w:bCs/>
        </w:rPr>
        <w:t>Tr</w:t>
      </w:r>
      <w:r w:rsidR="00F00CF9">
        <w:rPr>
          <w:b/>
          <w:bCs/>
        </w:rPr>
        <w:t xml:space="preserve">ansferencia experiencia socios </w:t>
      </w:r>
      <w:r w:rsidR="00F00CF9" w:rsidRPr="00302709">
        <w:rPr>
          <w:b/>
        </w:rPr>
        <w:t>–</w:t>
      </w:r>
      <w:r w:rsidRPr="007D56F7">
        <w:rPr>
          <w:b/>
          <w:bCs/>
        </w:rPr>
        <w:t xml:space="preserve"> Fomento de participación </w:t>
      </w:r>
      <w:r w:rsidR="00F00CF9" w:rsidRPr="00302709">
        <w:rPr>
          <w:b/>
        </w:rPr>
        <w:t>–</w:t>
      </w:r>
      <w:r w:rsidRPr="007D56F7">
        <w:rPr>
          <w:b/>
          <w:bCs/>
        </w:rPr>
        <w:t xml:space="preserve"> Desarrollo empresarial</w:t>
      </w:r>
    </w:p>
    <w:p w14:paraId="2A76E696" w14:textId="77777777" w:rsidR="00E216A4" w:rsidRPr="007D56F7" w:rsidRDefault="00E216A4" w:rsidP="007D56F7">
      <w:pPr>
        <w:pStyle w:val="Textoindependiente"/>
        <w:ind w:left="284" w:right="323"/>
        <w:jc w:val="both"/>
        <w:rPr>
          <w:sz w:val="20"/>
          <w:szCs w:val="20"/>
        </w:rPr>
      </w:pPr>
    </w:p>
    <w:p w14:paraId="182D50EF" w14:textId="77777777" w:rsidR="00481476" w:rsidRPr="007D56F7" w:rsidRDefault="00E216A4" w:rsidP="007D56F7">
      <w:pPr>
        <w:pStyle w:val="Textoindependiente"/>
        <w:spacing w:after="120"/>
        <w:ind w:left="284" w:right="323"/>
        <w:jc w:val="both"/>
        <w:rPr>
          <w:sz w:val="20"/>
          <w:szCs w:val="20"/>
        </w:rPr>
      </w:pPr>
      <w:r w:rsidRPr="007D56F7">
        <w:rPr>
          <w:sz w:val="20"/>
          <w:szCs w:val="20"/>
        </w:rPr>
        <w:t xml:space="preserve">Si la constitución del interesado es menor a tres (3) años, puede acreditar la experiencia de sus accionistas, socios o constituyentes. La parte final del numeral 2.5 del artículo citado incluye una medida diferenciada para las personas jurídicas cuya constitución sea menor a 3 años al momento del registro. Esta medida, que puede ser entendida como de fomento a la participación de pequeños oferentes en la contratación estatal, permite que las sociedades relativamente nuevas -con menos de 3 años de constitución- puedan acreditar como experiencia en el RUP la de sus accionistas, socios o constituyentes. </w:t>
      </w:r>
    </w:p>
    <w:p w14:paraId="2E78DB84" w14:textId="6530B219" w:rsidR="00E216A4" w:rsidRPr="007D56F7" w:rsidRDefault="00E216A4" w:rsidP="007D56F7">
      <w:pPr>
        <w:pStyle w:val="Textoindependiente"/>
        <w:ind w:left="284" w:right="323"/>
        <w:jc w:val="both"/>
        <w:rPr>
          <w:sz w:val="20"/>
          <w:szCs w:val="20"/>
        </w:rPr>
      </w:pPr>
      <w:r w:rsidRPr="007D56F7">
        <w:rPr>
          <w:sz w:val="20"/>
          <w:szCs w:val="20"/>
        </w:rPr>
        <w:t xml:space="preserve">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ésta, como persona jurídica independiente, pueda cumplir con los requisitos habilitantes o puntuables que establezcan las entidades estatales en sus procesos de contratación, y de esta forma promover el </w:t>
      </w:r>
      <w:r w:rsidRPr="007D56F7">
        <w:rPr>
          <w:sz w:val="20"/>
          <w:szCs w:val="20"/>
        </w:rPr>
        <w:lastRenderedPageBreak/>
        <w:t>desarrollo de la empresa y la pluralidad de oferentes en la contratación pública.</w:t>
      </w:r>
    </w:p>
    <w:p w14:paraId="6D8A1451" w14:textId="77777777" w:rsidR="00E216A4" w:rsidRPr="007D56F7" w:rsidRDefault="00E216A4" w:rsidP="007D56F7">
      <w:pPr>
        <w:pStyle w:val="Textoindependiente"/>
        <w:ind w:left="284" w:right="323"/>
        <w:jc w:val="both"/>
        <w:rPr>
          <w:sz w:val="20"/>
          <w:szCs w:val="20"/>
        </w:rPr>
      </w:pPr>
    </w:p>
    <w:p w14:paraId="653A5E8F" w14:textId="41EC9528" w:rsidR="00E216A4" w:rsidRPr="007D56F7" w:rsidRDefault="00F00CF9" w:rsidP="007D56F7">
      <w:pPr>
        <w:pStyle w:val="Textoindependiente"/>
        <w:ind w:left="284" w:right="323"/>
        <w:jc w:val="both"/>
        <w:rPr>
          <w:b/>
          <w:bCs/>
        </w:rPr>
      </w:pPr>
      <w:r>
        <w:rPr>
          <w:b/>
          <w:bCs/>
        </w:rPr>
        <w:t xml:space="preserve">EXPERIENCIA </w:t>
      </w:r>
      <w:r w:rsidRPr="00302709">
        <w:rPr>
          <w:b/>
        </w:rPr>
        <w:t>–</w:t>
      </w:r>
      <w:r>
        <w:rPr>
          <w:b/>
          <w:bCs/>
        </w:rPr>
        <w:t xml:space="preserve"> Inherente </w:t>
      </w:r>
      <w:r w:rsidRPr="00302709">
        <w:rPr>
          <w:b/>
        </w:rPr>
        <w:t>–</w:t>
      </w:r>
      <w:r w:rsidR="00E216A4" w:rsidRPr="007D56F7">
        <w:rPr>
          <w:b/>
          <w:bCs/>
        </w:rPr>
        <w:t xml:space="preserve"> Intransferible</w:t>
      </w:r>
      <w:r>
        <w:rPr>
          <w:b/>
          <w:bCs/>
        </w:rPr>
        <w:t xml:space="preserve"> </w:t>
      </w:r>
      <w:r w:rsidRPr="00302709">
        <w:rPr>
          <w:b/>
        </w:rPr>
        <w:t>–</w:t>
      </w:r>
      <w:r w:rsidR="00C4478F" w:rsidRPr="007D56F7">
        <w:rPr>
          <w:b/>
          <w:bCs/>
        </w:rPr>
        <w:t xml:space="preserve"> Regla general</w:t>
      </w:r>
    </w:p>
    <w:p w14:paraId="0B4A8CF6" w14:textId="77777777" w:rsidR="00E216A4" w:rsidRPr="007D56F7" w:rsidRDefault="00E216A4" w:rsidP="007D56F7">
      <w:pPr>
        <w:pStyle w:val="Textoindependiente"/>
        <w:ind w:left="284" w:right="323"/>
        <w:jc w:val="both"/>
        <w:rPr>
          <w:sz w:val="20"/>
          <w:szCs w:val="20"/>
        </w:rPr>
      </w:pPr>
    </w:p>
    <w:p w14:paraId="460E7A41" w14:textId="77777777" w:rsidR="00E216A4" w:rsidRPr="007D56F7" w:rsidRDefault="00E216A4" w:rsidP="007D56F7">
      <w:pPr>
        <w:pStyle w:val="Textoindependiente"/>
        <w:ind w:left="284" w:right="323"/>
        <w:jc w:val="both"/>
        <w:rPr>
          <w:sz w:val="20"/>
          <w:szCs w:val="20"/>
        </w:rPr>
      </w:pPr>
      <w:r w:rsidRPr="007D56F7">
        <w:rPr>
          <w:sz w:val="20"/>
          <w:szCs w:val="20"/>
        </w:rPr>
        <w:t>A pesar de que la experiencia es inherente a la persona que la ha obtenido, razón por la cual es intransferible en virtud de su carácter personalísimo, por disposición legal o reglamentaria, en casos excepcionales, como el descrito por el artículo mencionado, se aplica de otra forma.</w:t>
      </w:r>
    </w:p>
    <w:p w14:paraId="3474F4FE" w14:textId="77777777" w:rsidR="00E216A4" w:rsidRPr="007D56F7" w:rsidRDefault="00E216A4" w:rsidP="007D56F7">
      <w:pPr>
        <w:pStyle w:val="Textoindependiente"/>
        <w:ind w:left="284" w:right="323"/>
        <w:jc w:val="both"/>
        <w:rPr>
          <w:sz w:val="20"/>
          <w:szCs w:val="20"/>
        </w:rPr>
      </w:pPr>
    </w:p>
    <w:p w14:paraId="05E784E6" w14:textId="5615A12A" w:rsidR="00E216A4" w:rsidRPr="007D56F7" w:rsidRDefault="00F00CF9" w:rsidP="007D56F7">
      <w:pPr>
        <w:pStyle w:val="Textoindependiente"/>
        <w:ind w:left="284" w:right="323"/>
        <w:jc w:val="both"/>
        <w:rPr>
          <w:b/>
          <w:bCs/>
        </w:rPr>
      </w:pPr>
      <w:r w:rsidRPr="27F7FA22">
        <w:rPr>
          <w:b/>
          <w:bCs/>
        </w:rPr>
        <w:t>SOCIEDADES NUEVAS –</w:t>
      </w:r>
      <w:r w:rsidR="00E216A4" w:rsidRPr="27F7FA22">
        <w:rPr>
          <w:b/>
          <w:bCs/>
        </w:rPr>
        <w:t xml:space="preserve"> Concepto unif</w:t>
      </w:r>
      <w:r w:rsidRPr="27F7FA22">
        <w:rPr>
          <w:b/>
          <w:bCs/>
        </w:rPr>
        <w:t>icado –</w:t>
      </w:r>
      <w:r w:rsidR="00E216A4" w:rsidRPr="27F7FA22">
        <w:rPr>
          <w:b/>
          <w:bCs/>
        </w:rPr>
        <w:t xml:space="preserve"> </w:t>
      </w:r>
      <w:r w:rsidR="09D75D80" w:rsidRPr="27F7FA22">
        <w:rPr>
          <w:b/>
          <w:bCs/>
        </w:rPr>
        <w:t xml:space="preserve">Inscripción – Registro </w:t>
      </w:r>
      <w:r w:rsidR="007F30CA">
        <w:rPr>
          <w:b/>
          <w:bCs/>
        </w:rPr>
        <w:t>único de proponentes</w:t>
      </w:r>
      <w:r w:rsidR="00E216A4" w:rsidRPr="27F7FA22">
        <w:rPr>
          <w:b/>
          <w:bCs/>
        </w:rPr>
        <w:t xml:space="preserve"> ─ </w:t>
      </w:r>
      <w:r w:rsidR="00C4478F" w:rsidRPr="27F7FA22">
        <w:rPr>
          <w:b/>
          <w:bCs/>
        </w:rPr>
        <w:t>Conservación e</w:t>
      </w:r>
      <w:r w:rsidR="00E216A4" w:rsidRPr="27F7FA22">
        <w:rPr>
          <w:b/>
          <w:bCs/>
        </w:rPr>
        <w:t xml:space="preserve">xperiencia </w:t>
      </w:r>
    </w:p>
    <w:p w14:paraId="1DE2301E" w14:textId="77777777" w:rsidR="00E216A4" w:rsidRPr="007D56F7" w:rsidRDefault="00E216A4" w:rsidP="007D56F7">
      <w:pPr>
        <w:pStyle w:val="Textoindependiente"/>
        <w:ind w:left="284" w:right="323"/>
        <w:jc w:val="both"/>
        <w:rPr>
          <w:sz w:val="20"/>
          <w:szCs w:val="20"/>
        </w:rPr>
      </w:pPr>
    </w:p>
    <w:p w14:paraId="7E1F1A59" w14:textId="3A42D9A1" w:rsidR="00414B9A" w:rsidRPr="007D56F7" w:rsidRDefault="00414B9A" w:rsidP="007D56F7">
      <w:pPr>
        <w:pStyle w:val="Textoindependiente"/>
        <w:spacing w:after="120"/>
        <w:ind w:left="284" w:right="323"/>
        <w:jc w:val="both"/>
        <w:rPr>
          <w:sz w:val="20"/>
          <w:szCs w:val="20"/>
        </w:rPr>
      </w:pPr>
      <w:r w:rsidRPr="007D56F7">
        <w:rPr>
          <w:sz w:val="20"/>
          <w:szCs w:val="20"/>
        </w:rPr>
        <w:t>[…]</w:t>
      </w:r>
      <w:r w:rsidR="00E216A4" w:rsidRPr="007D56F7">
        <w:rPr>
          <w:sz w:val="20"/>
          <w:szCs w:val="20"/>
        </w:rPr>
        <w:t xml:space="preserve"> </w:t>
      </w:r>
      <w:r w:rsidR="016E8358" w:rsidRPr="007D56F7">
        <w:rPr>
          <w:sz w:val="20"/>
          <w:szCs w:val="20"/>
        </w:rPr>
        <w:t>L</w:t>
      </w:r>
      <w:r w:rsidR="00E216A4" w:rsidRPr="007D56F7">
        <w:rPr>
          <w:sz w:val="20"/>
          <w:szCs w:val="20"/>
        </w:rPr>
        <w:t>a Subdirección de Gestión Contractual estimó necesario recoger estos pronunciamientos y unificar nuestra posición en el concepto con radicado No. 4201913000006797 del 19 de noviembre de 2019, en torno a la posibilidad o no de que las sociedades nuevas puedan seguir acreditando la experiencia de sus</w:t>
      </w:r>
      <w:r w:rsidR="00E216A4" w:rsidRPr="007D56F7">
        <w:rPr>
          <w:spacing w:val="18"/>
          <w:sz w:val="20"/>
          <w:szCs w:val="20"/>
        </w:rPr>
        <w:t xml:space="preserve"> </w:t>
      </w:r>
      <w:r w:rsidR="00E216A4" w:rsidRPr="007D56F7">
        <w:rPr>
          <w:sz w:val="20"/>
          <w:szCs w:val="20"/>
        </w:rPr>
        <w:t>socios, accionistas o constituyentes, incluso después de cumplidos 3 años de constitución de la persona jurídica. El criterio que se adopta es que la experiencia de los socios, accionistas o constituyentes para aquellas sociedades que al momento de inscribirse en el RUP tenían menos de 3 años de constituidas puede seguir siendo acreditada por la persona jurídica después de transcurridos los 3 años del acto de constitución. Esta posición ya había sido acogida por esta Subdirección en pronunciamientos más recientes, esto es, posteriores a la acogida en el Concepto del 3 de abril de 2018 antes</w:t>
      </w:r>
      <w:r w:rsidR="00E216A4" w:rsidRPr="007D56F7">
        <w:rPr>
          <w:spacing w:val="-10"/>
          <w:sz w:val="20"/>
          <w:szCs w:val="20"/>
        </w:rPr>
        <w:t xml:space="preserve"> </w:t>
      </w:r>
      <w:r w:rsidR="00E216A4" w:rsidRPr="007D56F7">
        <w:rPr>
          <w:sz w:val="20"/>
          <w:szCs w:val="20"/>
        </w:rPr>
        <w:t xml:space="preserve">citado. </w:t>
      </w:r>
    </w:p>
    <w:p w14:paraId="095CAA18" w14:textId="60DFA08D" w:rsidR="00E216A4" w:rsidRPr="007D56F7" w:rsidRDefault="00E216A4" w:rsidP="007D56F7">
      <w:pPr>
        <w:pStyle w:val="Textoindependiente"/>
        <w:ind w:left="284" w:right="323"/>
        <w:jc w:val="both"/>
        <w:rPr>
          <w:sz w:val="20"/>
          <w:szCs w:val="20"/>
        </w:rPr>
      </w:pPr>
      <w:r w:rsidRPr="007D56F7">
        <w:rPr>
          <w:sz w:val="20"/>
          <w:szCs w:val="20"/>
        </w:rPr>
        <w:t xml:space="preserve"> En otras palabras, si la persona jurídica con menos de tres años de constituida registra la experiencia de sus socios en el RUP, y éste es renovado, puede continuar utilizando la experiencia inscrita mientras no cesen los efectos del RUP. Por el contrario, si no </w:t>
      </w:r>
      <w:r w:rsidRPr="007D56F7">
        <w:rPr>
          <w:spacing w:val="5"/>
          <w:sz w:val="20"/>
          <w:szCs w:val="20"/>
        </w:rPr>
        <w:t xml:space="preserve">se </w:t>
      </w:r>
      <w:r w:rsidRPr="007D56F7">
        <w:rPr>
          <w:sz w:val="20"/>
          <w:szCs w:val="20"/>
        </w:rPr>
        <w:t>renueva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w:t>
      </w:r>
      <w:r w:rsidRPr="007D56F7">
        <w:rPr>
          <w:spacing w:val="-27"/>
          <w:sz w:val="20"/>
          <w:szCs w:val="20"/>
        </w:rPr>
        <w:t xml:space="preserve"> </w:t>
      </w:r>
      <w:r w:rsidRPr="007D56F7">
        <w:rPr>
          <w:sz w:val="20"/>
          <w:szCs w:val="20"/>
        </w:rPr>
        <w:t>registro.</w:t>
      </w:r>
    </w:p>
    <w:p w14:paraId="42F6213A" w14:textId="77777777" w:rsidR="00E216A4" w:rsidRPr="007D56F7" w:rsidRDefault="00E216A4" w:rsidP="007D56F7">
      <w:pPr>
        <w:pStyle w:val="Textoindependiente"/>
        <w:ind w:left="284" w:right="323"/>
        <w:jc w:val="both"/>
        <w:rPr>
          <w:b/>
          <w:bCs/>
          <w:sz w:val="20"/>
          <w:szCs w:val="20"/>
        </w:rPr>
      </w:pPr>
    </w:p>
    <w:p w14:paraId="776584FC" w14:textId="3390C84C" w:rsidR="00E216A4" w:rsidRPr="007D56F7" w:rsidRDefault="00F024D4" w:rsidP="007D56F7">
      <w:pPr>
        <w:pStyle w:val="Textoindependiente"/>
        <w:ind w:left="284" w:right="323"/>
        <w:jc w:val="both"/>
        <w:rPr>
          <w:b/>
          <w:bCs/>
        </w:rPr>
      </w:pPr>
      <w:r>
        <w:rPr>
          <w:b/>
          <w:bCs/>
        </w:rPr>
        <w:t xml:space="preserve">SOCIEDADES NUEVAS </w:t>
      </w:r>
      <w:r w:rsidRPr="00302709">
        <w:rPr>
          <w:b/>
        </w:rPr>
        <w:t>–</w:t>
      </w:r>
      <w:r w:rsidR="00E216A4" w:rsidRPr="007D56F7">
        <w:rPr>
          <w:b/>
          <w:bCs/>
        </w:rPr>
        <w:t xml:space="preserve"> Circular Única Superintendencia de Industria y Comercio </w:t>
      </w:r>
      <w:r w:rsidRPr="00302709">
        <w:rPr>
          <w:b/>
        </w:rPr>
        <w:t>–</w:t>
      </w:r>
      <w:r w:rsidR="00E216A4" w:rsidRPr="007D56F7">
        <w:rPr>
          <w:b/>
          <w:bCs/>
        </w:rPr>
        <w:t xml:space="preserve"> Vigencia </w:t>
      </w:r>
      <w:r w:rsidR="003A14DC">
        <w:rPr>
          <w:b/>
          <w:bCs/>
        </w:rPr>
        <w:t>– D</w:t>
      </w:r>
      <w:r w:rsidR="00E216A4" w:rsidRPr="007D56F7">
        <w:rPr>
          <w:b/>
          <w:bCs/>
        </w:rPr>
        <w:t>ocumentos</w:t>
      </w:r>
    </w:p>
    <w:p w14:paraId="0CABAC5D" w14:textId="77777777" w:rsidR="00E216A4" w:rsidRPr="007D56F7" w:rsidRDefault="00E216A4" w:rsidP="007D56F7">
      <w:pPr>
        <w:pStyle w:val="Textoindependiente"/>
        <w:ind w:left="284" w:right="323"/>
        <w:jc w:val="both"/>
        <w:rPr>
          <w:sz w:val="20"/>
          <w:szCs w:val="20"/>
        </w:rPr>
      </w:pPr>
    </w:p>
    <w:p w14:paraId="31002628" w14:textId="77777777" w:rsidR="00E216A4" w:rsidRPr="007D56F7" w:rsidRDefault="00E216A4" w:rsidP="007D56F7">
      <w:pPr>
        <w:pStyle w:val="Textoindependiente"/>
        <w:ind w:left="284" w:right="323"/>
        <w:jc w:val="both"/>
        <w:rPr>
          <w:sz w:val="20"/>
          <w:szCs w:val="20"/>
        </w:rPr>
      </w:pPr>
      <w:r w:rsidRPr="007D56F7">
        <w:rPr>
          <w:sz w:val="20"/>
          <w:szCs w:val="20"/>
        </w:rPr>
        <w:t>Lo anterior, tiene fundamento en la Circular Única de la Superintendencia de Industria y Comercio, en el numeral 4.2, sobre el procedimiento para llevar el registro único de proponentes, que establece: 4.2.5. Vigencia de los documentos. Para efectos de renovación y actualización se considera que los documentos no pierden su vigencia salvo disposición legal en contrario. Por lo anterior, las Cámaras de Comercio no podrán abstenerse de realizar la inscripción argumentando el vencimiento de los documentos de soporte.</w:t>
      </w:r>
    </w:p>
    <w:p w14:paraId="6DC4931C" w14:textId="77777777" w:rsidR="00E216A4" w:rsidRPr="007D56F7" w:rsidRDefault="00E216A4" w:rsidP="007D56F7">
      <w:pPr>
        <w:pStyle w:val="Textoindependiente"/>
        <w:ind w:left="284" w:right="323"/>
        <w:jc w:val="both"/>
        <w:rPr>
          <w:sz w:val="20"/>
          <w:szCs w:val="20"/>
        </w:rPr>
      </w:pPr>
    </w:p>
    <w:p w14:paraId="294C9D6C" w14:textId="207AAC58" w:rsidR="00E34A06" w:rsidRPr="007D56F7" w:rsidRDefault="00E34A06" w:rsidP="007D56F7">
      <w:pPr>
        <w:pStyle w:val="Textoindependiente"/>
        <w:ind w:left="284" w:right="323"/>
        <w:jc w:val="both"/>
        <w:rPr>
          <w:b/>
          <w:bCs/>
        </w:rPr>
      </w:pPr>
      <w:r w:rsidRPr="27F7FA22">
        <w:rPr>
          <w:b/>
          <w:bCs/>
        </w:rPr>
        <w:t>PERSONA</w:t>
      </w:r>
      <w:r w:rsidR="003A14DC">
        <w:rPr>
          <w:b/>
          <w:bCs/>
        </w:rPr>
        <w:t>S</w:t>
      </w:r>
      <w:r w:rsidRPr="27F7FA22">
        <w:rPr>
          <w:b/>
          <w:bCs/>
        </w:rPr>
        <w:t xml:space="preserve"> </w:t>
      </w:r>
      <w:r w:rsidR="3C2FD908" w:rsidRPr="27F7FA22">
        <w:rPr>
          <w:b/>
          <w:bCs/>
        </w:rPr>
        <w:t xml:space="preserve">EN CONDICIÓN DE </w:t>
      </w:r>
      <w:r w:rsidRPr="27F7FA22">
        <w:rPr>
          <w:b/>
          <w:bCs/>
        </w:rPr>
        <w:t>DISCAP</w:t>
      </w:r>
      <w:r w:rsidR="00F024D4" w:rsidRPr="27F7FA22">
        <w:rPr>
          <w:b/>
          <w:bCs/>
        </w:rPr>
        <w:t>ACIDAD –</w:t>
      </w:r>
      <w:r w:rsidR="004A79DC" w:rsidRPr="27F7FA22">
        <w:rPr>
          <w:b/>
          <w:bCs/>
        </w:rPr>
        <w:t xml:space="preserve"> Incentiv</w:t>
      </w:r>
      <w:r w:rsidR="00CD3835">
        <w:rPr>
          <w:b/>
          <w:bCs/>
        </w:rPr>
        <w:t>o</w:t>
      </w:r>
      <w:r w:rsidR="004A79DC" w:rsidRPr="27F7FA22">
        <w:rPr>
          <w:b/>
          <w:bCs/>
        </w:rPr>
        <w:t xml:space="preserve"> </w:t>
      </w:r>
      <w:r w:rsidR="00F024D4" w:rsidRPr="27F7FA22">
        <w:rPr>
          <w:b/>
          <w:bCs/>
        </w:rPr>
        <w:t>–</w:t>
      </w:r>
      <w:r w:rsidR="00CB5D2B" w:rsidRPr="27F7FA22">
        <w:rPr>
          <w:b/>
          <w:bCs/>
        </w:rPr>
        <w:t xml:space="preserve"> </w:t>
      </w:r>
      <w:r w:rsidR="6C59FB60" w:rsidRPr="27F7FA22">
        <w:rPr>
          <w:b/>
          <w:bCs/>
        </w:rPr>
        <w:t>Suscripción de contratos –</w:t>
      </w:r>
      <w:r w:rsidR="004A79DC" w:rsidRPr="27F7FA22">
        <w:rPr>
          <w:b/>
          <w:bCs/>
        </w:rPr>
        <w:t xml:space="preserve"> Régimen jurídico </w:t>
      </w:r>
      <w:r w:rsidR="00F024D4" w:rsidRPr="27F7FA22">
        <w:rPr>
          <w:b/>
          <w:bCs/>
        </w:rPr>
        <w:t>–</w:t>
      </w:r>
      <w:r w:rsidR="00CD07ED" w:rsidRPr="27F7FA22">
        <w:rPr>
          <w:b/>
          <w:bCs/>
        </w:rPr>
        <w:t xml:space="preserve"> </w:t>
      </w:r>
      <w:r w:rsidR="00CB5D2B" w:rsidRPr="27F7FA22">
        <w:rPr>
          <w:b/>
          <w:bCs/>
        </w:rPr>
        <w:t>Pu</w:t>
      </w:r>
      <w:r w:rsidR="00F024D4" w:rsidRPr="27F7FA22">
        <w:rPr>
          <w:b/>
          <w:bCs/>
        </w:rPr>
        <w:t>ntaje adicional –</w:t>
      </w:r>
      <w:r w:rsidR="00CD07ED" w:rsidRPr="27F7FA22">
        <w:rPr>
          <w:b/>
          <w:bCs/>
        </w:rPr>
        <w:t xml:space="preserve"> Nómina </w:t>
      </w:r>
    </w:p>
    <w:p w14:paraId="7B4002A3" w14:textId="77777777" w:rsidR="00E216A4" w:rsidRPr="007D56F7" w:rsidRDefault="00E216A4" w:rsidP="007D56F7">
      <w:pPr>
        <w:pStyle w:val="Textoindependiente"/>
        <w:ind w:left="284" w:right="323"/>
        <w:jc w:val="both"/>
        <w:rPr>
          <w:sz w:val="20"/>
          <w:szCs w:val="20"/>
        </w:rPr>
      </w:pPr>
    </w:p>
    <w:p w14:paraId="61B20F37" w14:textId="77777777" w:rsidR="002B15BB" w:rsidRPr="007D56F7" w:rsidRDefault="00E216A4" w:rsidP="007D56F7">
      <w:pPr>
        <w:pStyle w:val="Textoindependiente"/>
        <w:ind w:left="284" w:right="323"/>
        <w:jc w:val="both"/>
        <w:rPr>
          <w:sz w:val="20"/>
          <w:szCs w:val="20"/>
        </w:rPr>
      </w:pPr>
      <w:r w:rsidRPr="007D56F7">
        <w:rPr>
          <w:sz w:val="20"/>
          <w:szCs w:val="20"/>
        </w:rPr>
        <w:t>Con la expedición de la Ley 1618 de 2013, el legislador estableció las disposiciones para garantizar el ejercicio de los derechos de las personas con discapacidad. Asimismo, el artículo 13 ordenó al Gobierno Nacional expedir un reglamento que determinar la metodología mediante la cual se otorgaría el puntaje adicional a las empresas que en su planta de personal tuvieran contratado personal en situación de discapacidad.</w:t>
      </w:r>
      <w:r w:rsidR="00CD07ED" w:rsidRPr="007D56F7">
        <w:rPr>
          <w:sz w:val="20"/>
          <w:szCs w:val="20"/>
        </w:rPr>
        <w:t xml:space="preserve"> </w:t>
      </w:r>
      <w:r w:rsidRPr="007D56F7">
        <w:rPr>
          <w:sz w:val="20"/>
          <w:szCs w:val="20"/>
        </w:rPr>
        <w:t xml:space="preserve">Teniendo en cuenta que la norma impuso la obligación al Gobierno Nacional de expedir el reglamento para materializar lo dispuesto en esta ley respecto del puntaje adicional, se expidió el Decreto 392 de 2018, “Por el cual se reglamentan los numerales 1 y 8 del artículo 13 de la Ley 1618 de 2013, sobre incentivos en Procesos de Contratación en favor de personas con discapacidad”. Este Decreto prevé el deber de las entidades del Estado de otorgar un </w:t>
      </w:r>
      <w:r w:rsidRPr="007D56F7">
        <w:rPr>
          <w:sz w:val="20"/>
          <w:szCs w:val="20"/>
        </w:rPr>
        <w:lastRenderedPageBreak/>
        <w:t>puntaje adicional a los procesos de selección de contratistas del Estado, en las modalidades de licitación pública y concurso de méritos, a quienes acrediten que al menos el 10% de su nómina la integran personas en situación de</w:t>
      </w:r>
      <w:r w:rsidRPr="007D56F7">
        <w:rPr>
          <w:spacing w:val="-22"/>
          <w:sz w:val="20"/>
          <w:szCs w:val="20"/>
        </w:rPr>
        <w:t xml:space="preserve"> </w:t>
      </w:r>
      <w:r w:rsidRPr="007D56F7">
        <w:rPr>
          <w:sz w:val="20"/>
          <w:szCs w:val="20"/>
        </w:rPr>
        <w:t>discapacidad.</w:t>
      </w:r>
      <w:r w:rsidR="00236787" w:rsidRPr="007D56F7">
        <w:rPr>
          <w:sz w:val="20"/>
          <w:szCs w:val="20"/>
        </w:rPr>
        <w:t xml:space="preserve"> </w:t>
      </w:r>
    </w:p>
    <w:p w14:paraId="6F8DC295" w14:textId="07110909" w:rsidR="27F7FA22" w:rsidRDefault="27F7FA22" w:rsidP="27F7FA22">
      <w:pPr>
        <w:pStyle w:val="Textoindependiente"/>
        <w:ind w:left="284" w:right="323"/>
        <w:jc w:val="both"/>
        <w:rPr>
          <w:b/>
          <w:bCs/>
        </w:rPr>
      </w:pPr>
    </w:p>
    <w:p w14:paraId="6ECCE433" w14:textId="0C717695" w:rsidR="002B15BB" w:rsidRPr="007D56F7" w:rsidRDefault="003A14DC" w:rsidP="007D56F7">
      <w:pPr>
        <w:pStyle w:val="Textoindependiente"/>
        <w:ind w:left="284" w:right="323"/>
        <w:jc w:val="both"/>
        <w:rPr>
          <w:b/>
          <w:bCs/>
        </w:rPr>
      </w:pPr>
      <w:r>
        <w:rPr>
          <w:b/>
          <w:bCs/>
        </w:rPr>
        <w:t>PERSONAS</w:t>
      </w:r>
      <w:r w:rsidR="4E138374" w:rsidRPr="27F7FA22">
        <w:rPr>
          <w:b/>
          <w:bCs/>
        </w:rPr>
        <w:t xml:space="preserve"> </w:t>
      </w:r>
      <w:r w:rsidR="00F024D4" w:rsidRPr="27F7FA22">
        <w:rPr>
          <w:b/>
          <w:bCs/>
        </w:rPr>
        <w:t>EN CONDICI</w:t>
      </w:r>
      <w:r w:rsidR="655E1AD0" w:rsidRPr="27F7FA22">
        <w:rPr>
          <w:b/>
          <w:bCs/>
        </w:rPr>
        <w:t>ÓN</w:t>
      </w:r>
      <w:r w:rsidR="00F024D4" w:rsidRPr="27F7FA22">
        <w:rPr>
          <w:b/>
          <w:bCs/>
        </w:rPr>
        <w:t xml:space="preserve"> DE DISCAPACIDAD – Puntaje adicional –</w:t>
      </w:r>
      <w:r w:rsidR="002B15BB" w:rsidRPr="27F7FA22">
        <w:rPr>
          <w:b/>
          <w:bCs/>
        </w:rPr>
        <w:t xml:space="preserve"> Acreditación</w:t>
      </w:r>
      <w:r w:rsidR="00F024D4" w:rsidRPr="27F7FA22">
        <w:rPr>
          <w:b/>
          <w:bCs/>
        </w:rPr>
        <w:t xml:space="preserve"> – P</w:t>
      </w:r>
      <w:r w:rsidR="007A2227" w:rsidRPr="27F7FA22">
        <w:rPr>
          <w:b/>
          <w:bCs/>
        </w:rPr>
        <w:t>roponente</w:t>
      </w:r>
      <w:r w:rsidR="00CD3835">
        <w:rPr>
          <w:b/>
          <w:bCs/>
        </w:rPr>
        <w:t>s</w:t>
      </w:r>
      <w:r w:rsidR="007A2227" w:rsidRPr="27F7FA22">
        <w:rPr>
          <w:b/>
          <w:bCs/>
        </w:rPr>
        <w:t xml:space="preserve"> singular</w:t>
      </w:r>
      <w:r w:rsidR="00CD3835">
        <w:rPr>
          <w:b/>
          <w:bCs/>
        </w:rPr>
        <w:t>es</w:t>
      </w:r>
      <w:r w:rsidR="00F024D4" w:rsidRPr="27F7FA22">
        <w:rPr>
          <w:b/>
          <w:bCs/>
        </w:rPr>
        <w:t xml:space="preserve"> – P</w:t>
      </w:r>
      <w:r w:rsidR="007D4FC8" w:rsidRPr="27F7FA22">
        <w:rPr>
          <w:b/>
          <w:bCs/>
        </w:rPr>
        <w:t>roponente</w:t>
      </w:r>
      <w:r w:rsidR="00CD3835">
        <w:rPr>
          <w:b/>
          <w:bCs/>
        </w:rPr>
        <w:t>s</w:t>
      </w:r>
      <w:r w:rsidR="007D4FC8" w:rsidRPr="27F7FA22">
        <w:rPr>
          <w:b/>
          <w:bCs/>
        </w:rPr>
        <w:t xml:space="preserve"> plural</w:t>
      </w:r>
      <w:r w:rsidR="00CD3835">
        <w:rPr>
          <w:b/>
          <w:bCs/>
        </w:rPr>
        <w:t>es</w:t>
      </w:r>
      <w:bookmarkStart w:id="0" w:name="_GoBack"/>
      <w:bookmarkEnd w:id="0"/>
      <w:r w:rsidR="007D4FC8" w:rsidRPr="27F7FA22">
        <w:rPr>
          <w:b/>
          <w:bCs/>
        </w:rPr>
        <w:t xml:space="preserve"> </w:t>
      </w:r>
      <w:r w:rsidR="00F024D4" w:rsidRPr="27F7FA22">
        <w:rPr>
          <w:b/>
          <w:bCs/>
        </w:rPr>
        <w:t>–</w:t>
      </w:r>
      <w:r w:rsidR="00EE5D41" w:rsidRPr="27F7FA22">
        <w:rPr>
          <w:b/>
          <w:bCs/>
        </w:rPr>
        <w:t xml:space="preserve"> Certifica</w:t>
      </w:r>
      <w:r w:rsidR="2612192A" w:rsidRPr="27F7FA22">
        <w:rPr>
          <w:b/>
          <w:bCs/>
        </w:rPr>
        <w:t>ción</w:t>
      </w:r>
      <w:r w:rsidR="00EE5D41" w:rsidRPr="27F7FA22">
        <w:rPr>
          <w:b/>
          <w:bCs/>
        </w:rPr>
        <w:t xml:space="preserve"> </w:t>
      </w:r>
      <w:r w:rsidR="5255770B" w:rsidRPr="27F7FA22">
        <w:rPr>
          <w:b/>
          <w:bCs/>
        </w:rPr>
        <w:t xml:space="preserve">– </w:t>
      </w:r>
      <w:r w:rsidR="00EE5D41" w:rsidRPr="27F7FA22">
        <w:rPr>
          <w:b/>
          <w:bCs/>
        </w:rPr>
        <w:t>Ministerio del Trabajo</w:t>
      </w:r>
    </w:p>
    <w:p w14:paraId="455B6732" w14:textId="77777777" w:rsidR="002B15BB" w:rsidRPr="007D56F7" w:rsidRDefault="002B15BB" w:rsidP="007D56F7">
      <w:pPr>
        <w:pStyle w:val="Textoindependiente"/>
        <w:ind w:left="284" w:right="323"/>
        <w:jc w:val="both"/>
        <w:rPr>
          <w:sz w:val="20"/>
          <w:szCs w:val="20"/>
        </w:rPr>
      </w:pPr>
    </w:p>
    <w:p w14:paraId="5E92CDF1" w14:textId="780D5C6A" w:rsidR="00E216A4" w:rsidRPr="007D56F7" w:rsidRDefault="00E216A4" w:rsidP="007D56F7">
      <w:pPr>
        <w:pStyle w:val="Textoindependiente"/>
        <w:ind w:left="284" w:right="323"/>
        <w:jc w:val="both"/>
        <w:rPr>
          <w:sz w:val="20"/>
          <w:szCs w:val="20"/>
        </w:rPr>
      </w:pPr>
      <w:r w:rsidRPr="007D56F7">
        <w:rPr>
          <w:sz w:val="20"/>
          <w:szCs w:val="20"/>
        </w:rPr>
        <w:t>Conforme a lo anterior, el Decreto 1082 de 2015, en el artículo 2.2.1.2.4.6, adicionado por el Decreto 392 de 2018, regula el puntaje adicional para proponentes con trabajadores con discapacidad.</w:t>
      </w:r>
      <w:r w:rsidR="002B15BB" w:rsidRPr="007D56F7">
        <w:rPr>
          <w:sz w:val="20"/>
          <w:szCs w:val="20"/>
        </w:rPr>
        <w:t xml:space="preserve"> </w:t>
      </w:r>
      <w:r w:rsidRPr="007D56F7">
        <w:rPr>
          <w:sz w:val="20"/>
          <w:szCs w:val="20"/>
        </w:rPr>
        <w:t>En ese orden de ideas, el artículo 2.2.1.2.4.6 del Decreto 1082 de 2015 establece que debe asignarse un uno por ciento (1%) de puntaje adicional a los proponentes</w:t>
      </w:r>
      <w:r w:rsidRPr="007D56F7">
        <w:rPr>
          <w:spacing w:val="34"/>
          <w:sz w:val="20"/>
          <w:szCs w:val="20"/>
        </w:rPr>
        <w:t xml:space="preserve"> </w:t>
      </w:r>
      <w:r w:rsidRPr="007D56F7">
        <w:rPr>
          <w:sz w:val="20"/>
          <w:szCs w:val="20"/>
        </w:rPr>
        <w:t>que acrediten la vinculación de trabajadores con discapacidad en los procesos de licitaciones públicas y concursos de méritos, de acuerdo con los requisitos previstos en el Decreto en mención.</w:t>
      </w:r>
      <w:r w:rsidR="002B15BB" w:rsidRPr="007D56F7">
        <w:rPr>
          <w:sz w:val="20"/>
          <w:szCs w:val="20"/>
        </w:rPr>
        <w:t xml:space="preserve"> </w:t>
      </w:r>
      <w:r w:rsidRPr="007D56F7">
        <w:rPr>
          <w:sz w:val="20"/>
          <w:szCs w:val="20"/>
        </w:rPr>
        <w:t>Para el primer requisito, la norma prevé que la persona natural, el representante legal de la persona jurídica o el revisor fiscal, según corresponda, deberá certificar el número total de trabajadores vinculados a la planta de personal del proponente o sus integrantes a la fecha de cierre del proceso de selección.</w:t>
      </w:r>
      <w:r w:rsidR="007D4FC8" w:rsidRPr="007D56F7">
        <w:rPr>
          <w:sz w:val="20"/>
          <w:szCs w:val="20"/>
        </w:rPr>
        <w:t xml:space="preserve"> </w:t>
      </w:r>
      <w:r w:rsidRPr="007D56F7">
        <w:rPr>
          <w:sz w:val="20"/>
          <w:szCs w:val="20"/>
        </w:rPr>
        <w:t>Para el caso de proponentes singulares, la acreditación de esta condición se realizará a través de certificación emitida por: i) la persona natural o ii) el representante legal de la persona jurídica o su revisor fiscal cuando esté obligado a tenerlo.</w:t>
      </w:r>
      <w:r w:rsidR="007D4FC8" w:rsidRPr="007D56F7">
        <w:rPr>
          <w:sz w:val="20"/>
          <w:szCs w:val="20"/>
        </w:rPr>
        <w:t xml:space="preserve"> </w:t>
      </w:r>
      <w:r w:rsidRPr="007D56F7">
        <w:rPr>
          <w:sz w:val="20"/>
          <w:szCs w:val="20"/>
        </w:rPr>
        <w:t>Por su parte, cuando se trate de proponentes plurales, esto es, consorcio, unión temporal o promesa de sociedad futura, la acreditación de esta condición corresponderá al integrante o a los integrantes que la tengan, en la forma enunciada anteriormente. Por ende, la certificación del número de trabajadores vinculados a la planta de personal deberá ser emitida de forma independiente por cada uno de los integrantes, según se trate de persona natural o persona</w:t>
      </w:r>
      <w:r w:rsidRPr="007D56F7">
        <w:rPr>
          <w:spacing w:val="-5"/>
          <w:sz w:val="20"/>
          <w:szCs w:val="20"/>
        </w:rPr>
        <w:t xml:space="preserve"> </w:t>
      </w:r>
      <w:r w:rsidRPr="007D56F7">
        <w:rPr>
          <w:sz w:val="20"/>
          <w:szCs w:val="20"/>
        </w:rPr>
        <w:t>jurídica.</w:t>
      </w:r>
      <w:r w:rsidR="007A2227" w:rsidRPr="007D56F7">
        <w:rPr>
          <w:sz w:val="20"/>
          <w:szCs w:val="20"/>
        </w:rPr>
        <w:t xml:space="preserve"> </w:t>
      </w:r>
      <w:r w:rsidRPr="007D56F7">
        <w:rPr>
          <w:sz w:val="20"/>
          <w:szCs w:val="20"/>
        </w:rPr>
        <w:t>Para llegar a la anterior conclusión, es necesario tener en cuenta que esta condición es propia de la persona natural o jurídica que pretende acreditarla para la obtención del puntaje. Por lo tanto, cuando la norma señala “la planta de personal del proponente o sus integrantes”, esta debe ser entendida de acuerdo con el tipo de proponente que se presente al proceso de selección. Así, “proponente” se refiere tanto a las personas naturales o jurídicas que se presentan en singular, como a las estructuras plurales, trátese de consorcio o unión temporal. De allí que la expresión “o sus integrantes”, califica el proponente y se refiere a los integrantes de las estructuras plurales</w:t>
      </w:r>
      <w:r w:rsidRPr="007D56F7">
        <w:rPr>
          <w:spacing w:val="-28"/>
          <w:sz w:val="20"/>
          <w:szCs w:val="20"/>
        </w:rPr>
        <w:t xml:space="preserve"> </w:t>
      </w:r>
      <w:r w:rsidRPr="007D56F7">
        <w:rPr>
          <w:sz w:val="20"/>
          <w:szCs w:val="20"/>
        </w:rPr>
        <w:t>enunciadas.</w:t>
      </w:r>
      <w:r w:rsidR="007A2227" w:rsidRPr="007D56F7">
        <w:rPr>
          <w:sz w:val="20"/>
          <w:szCs w:val="20"/>
        </w:rPr>
        <w:t xml:space="preserve"> </w:t>
      </w:r>
    </w:p>
    <w:p w14:paraId="40F37C27" w14:textId="77777777" w:rsidR="00CB04C6" w:rsidRPr="007D56F7" w:rsidRDefault="00CB04C6" w:rsidP="007D56F7">
      <w:pPr>
        <w:pStyle w:val="Textoindependiente"/>
        <w:ind w:left="284" w:right="323"/>
        <w:jc w:val="both"/>
        <w:rPr>
          <w:rFonts w:ascii="Times New Roman"/>
          <w:sz w:val="20"/>
          <w:szCs w:val="20"/>
        </w:rPr>
      </w:pPr>
    </w:p>
    <w:p w14:paraId="57EEC9B2" w14:textId="77777777" w:rsidR="00CB04C6" w:rsidRPr="007D56F7" w:rsidRDefault="00CB04C6" w:rsidP="007D56F7">
      <w:pPr>
        <w:pStyle w:val="Textoindependiente"/>
        <w:rPr>
          <w:rFonts w:ascii="Times New Roman"/>
          <w:sz w:val="18"/>
        </w:rPr>
      </w:pPr>
    </w:p>
    <w:p w14:paraId="7EBC9038" w14:textId="77777777" w:rsidR="00CB04C6" w:rsidRPr="007D56F7" w:rsidRDefault="005F60AC" w:rsidP="007D56F7">
      <w:pPr>
        <w:spacing w:before="93"/>
        <w:ind w:left="300"/>
        <w:rPr>
          <w:b/>
        </w:rPr>
      </w:pPr>
      <w:r w:rsidRPr="007D56F7">
        <w:t xml:space="preserve">Bogotá D.C., </w:t>
      </w:r>
      <w:r w:rsidRPr="007D56F7">
        <w:rPr>
          <w:b/>
        </w:rPr>
        <w:t>09/12/2019 Hora 20:5:41s</w:t>
      </w:r>
    </w:p>
    <w:p w14:paraId="22F5BD64" w14:textId="77777777" w:rsidR="00CB04C6" w:rsidRPr="007D56F7" w:rsidRDefault="005F60AC" w:rsidP="007D56F7">
      <w:pPr>
        <w:pStyle w:val="Ttulo1"/>
        <w:ind w:left="5839" w:firstLine="0"/>
      </w:pPr>
      <w:r w:rsidRPr="007D56F7">
        <w:t>N° Radicado: 2201913000009081</w:t>
      </w:r>
    </w:p>
    <w:p w14:paraId="486F6158" w14:textId="77777777" w:rsidR="00CB04C6" w:rsidRPr="007D56F7" w:rsidRDefault="00CB04C6" w:rsidP="007D56F7">
      <w:pPr>
        <w:pStyle w:val="Textoindependiente"/>
        <w:spacing w:before="1"/>
        <w:rPr>
          <w:b/>
          <w:sz w:val="14"/>
        </w:rPr>
      </w:pPr>
    </w:p>
    <w:p w14:paraId="73F659C3" w14:textId="77777777" w:rsidR="00CB04C6" w:rsidRPr="007D56F7" w:rsidRDefault="005F60AC" w:rsidP="007D56F7">
      <w:pPr>
        <w:spacing w:before="93"/>
        <w:ind w:left="300" w:right="8119"/>
      </w:pPr>
      <w:r w:rsidRPr="007D56F7">
        <w:t xml:space="preserve">Señor (a) </w:t>
      </w:r>
      <w:r w:rsidRPr="007D56F7">
        <w:rPr>
          <w:b/>
        </w:rPr>
        <w:t xml:space="preserve">ciudadano </w:t>
      </w:r>
      <w:r w:rsidRPr="007D56F7">
        <w:t>Ciudad</w:t>
      </w:r>
    </w:p>
    <w:p w14:paraId="4CDE8427" w14:textId="77777777" w:rsidR="00CB04C6" w:rsidRPr="007D56F7" w:rsidRDefault="00CB04C6" w:rsidP="007D56F7">
      <w:pPr>
        <w:pStyle w:val="Textoindependiente"/>
        <w:spacing w:before="7"/>
      </w:pPr>
    </w:p>
    <w:tbl>
      <w:tblPr>
        <w:tblStyle w:val="TableNormal"/>
        <w:tblW w:w="0" w:type="auto"/>
        <w:tblInd w:w="108" w:type="dxa"/>
        <w:tblLayout w:type="fixed"/>
        <w:tblLook w:val="01E0" w:firstRow="1" w:lastRow="1" w:firstColumn="1" w:lastColumn="1" w:noHBand="0" w:noVBand="0"/>
      </w:tblPr>
      <w:tblGrid>
        <w:gridCol w:w="2328"/>
        <w:gridCol w:w="6998"/>
      </w:tblGrid>
      <w:tr w:rsidR="007D56F7" w:rsidRPr="007D56F7" w14:paraId="077CA8F2" w14:textId="77777777">
        <w:trPr>
          <w:trHeight w:val="249"/>
        </w:trPr>
        <w:tc>
          <w:tcPr>
            <w:tcW w:w="2328" w:type="dxa"/>
          </w:tcPr>
          <w:p w14:paraId="0F809ED1" w14:textId="77777777" w:rsidR="00CB04C6" w:rsidRPr="007D56F7" w:rsidRDefault="005F60AC" w:rsidP="007D56F7">
            <w:pPr>
              <w:pStyle w:val="TableParagraph"/>
              <w:spacing w:line="240" w:lineRule="auto"/>
              <w:rPr>
                <w:b/>
              </w:rPr>
            </w:pPr>
            <w:r w:rsidRPr="007D56F7">
              <w:rPr>
                <w:b/>
              </w:rPr>
              <w:t>Radicación:</w:t>
            </w:r>
          </w:p>
        </w:tc>
        <w:tc>
          <w:tcPr>
            <w:tcW w:w="6998" w:type="dxa"/>
          </w:tcPr>
          <w:p w14:paraId="545978D0" w14:textId="77777777" w:rsidR="00CB04C6" w:rsidRPr="007D56F7" w:rsidRDefault="005F60AC" w:rsidP="007D56F7">
            <w:pPr>
              <w:pStyle w:val="TableParagraph"/>
              <w:spacing w:line="240" w:lineRule="auto"/>
              <w:ind w:left="562"/>
            </w:pPr>
            <w:r w:rsidRPr="007D56F7">
              <w:t>Respuesta a consulta # 4201912000007607</w:t>
            </w:r>
          </w:p>
        </w:tc>
      </w:tr>
      <w:tr w:rsidR="007D56F7" w:rsidRPr="007D56F7" w14:paraId="626205D6" w14:textId="77777777">
        <w:trPr>
          <w:trHeight w:val="252"/>
        </w:trPr>
        <w:tc>
          <w:tcPr>
            <w:tcW w:w="2328" w:type="dxa"/>
          </w:tcPr>
          <w:p w14:paraId="5469F62C" w14:textId="77777777" w:rsidR="00CB04C6" w:rsidRPr="007D56F7" w:rsidRDefault="005F60AC" w:rsidP="007D56F7">
            <w:pPr>
              <w:pStyle w:val="TableParagraph"/>
              <w:spacing w:line="240" w:lineRule="auto"/>
              <w:rPr>
                <w:b/>
              </w:rPr>
            </w:pPr>
            <w:r w:rsidRPr="007D56F7">
              <w:rPr>
                <w:b/>
              </w:rPr>
              <w:t>Temas:</w:t>
            </w:r>
          </w:p>
        </w:tc>
        <w:tc>
          <w:tcPr>
            <w:tcW w:w="6998" w:type="dxa"/>
          </w:tcPr>
          <w:p w14:paraId="0015E0E9" w14:textId="77777777" w:rsidR="00CB04C6" w:rsidRPr="007D56F7" w:rsidRDefault="005F60AC" w:rsidP="007D56F7">
            <w:pPr>
              <w:pStyle w:val="TableParagraph"/>
              <w:spacing w:line="240" w:lineRule="auto"/>
              <w:ind w:left="562"/>
            </w:pPr>
            <w:r w:rsidRPr="007D56F7">
              <w:t>Decreto 392 de 2018,</w:t>
            </w:r>
          </w:p>
        </w:tc>
      </w:tr>
      <w:tr w:rsidR="00CB04C6" w:rsidRPr="007D56F7" w14:paraId="0DEBD78E" w14:textId="77777777">
        <w:trPr>
          <w:trHeight w:val="501"/>
        </w:trPr>
        <w:tc>
          <w:tcPr>
            <w:tcW w:w="2328" w:type="dxa"/>
          </w:tcPr>
          <w:p w14:paraId="6586CF9D" w14:textId="77777777" w:rsidR="00CB04C6" w:rsidRPr="007D56F7" w:rsidRDefault="005F60AC" w:rsidP="007D56F7">
            <w:pPr>
              <w:pStyle w:val="TableParagraph"/>
              <w:spacing w:before="1" w:line="240" w:lineRule="auto"/>
              <w:ind w:right="543"/>
              <w:rPr>
                <w:b/>
              </w:rPr>
            </w:pPr>
            <w:r w:rsidRPr="007D56F7">
              <w:rPr>
                <w:b/>
              </w:rPr>
              <w:t>Tipo de asunto consultado:</w:t>
            </w:r>
          </w:p>
        </w:tc>
        <w:tc>
          <w:tcPr>
            <w:tcW w:w="6998" w:type="dxa"/>
          </w:tcPr>
          <w:p w14:paraId="7FD79E96" w14:textId="77777777" w:rsidR="00CB04C6" w:rsidRPr="007D56F7" w:rsidRDefault="005F60AC" w:rsidP="007D56F7">
            <w:pPr>
              <w:pStyle w:val="TableParagraph"/>
              <w:spacing w:before="1" w:line="240" w:lineRule="auto"/>
              <w:ind w:left="562"/>
            </w:pPr>
            <w:r w:rsidRPr="007D56F7">
              <w:t>Acreditación del personal en situación de discapacidad del proponente plural.</w:t>
            </w:r>
          </w:p>
        </w:tc>
      </w:tr>
    </w:tbl>
    <w:p w14:paraId="2BB92E31" w14:textId="77777777" w:rsidR="00CB04C6" w:rsidRPr="007D56F7" w:rsidRDefault="00CB04C6" w:rsidP="007D56F7">
      <w:pPr>
        <w:pStyle w:val="Textoindependiente"/>
        <w:spacing w:before="10"/>
        <w:rPr>
          <w:sz w:val="21"/>
        </w:rPr>
      </w:pPr>
    </w:p>
    <w:p w14:paraId="7A2DCBD7" w14:textId="77777777" w:rsidR="00CB04C6" w:rsidRPr="007D56F7" w:rsidRDefault="005F60AC" w:rsidP="007D56F7">
      <w:pPr>
        <w:pStyle w:val="Textoindependiente"/>
        <w:ind w:left="300"/>
      </w:pPr>
      <w:r w:rsidRPr="007D56F7">
        <w:t>Estimado(a) señor(a),</w:t>
      </w:r>
    </w:p>
    <w:p w14:paraId="49F1E03B" w14:textId="77777777" w:rsidR="00CB04C6" w:rsidRPr="007D56F7" w:rsidRDefault="00CB04C6" w:rsidP="007D56F7">
      <w:pPr>
        <w:pStyle w:val="Textoindependiente"/>
        <w:spacing w:before="5"/>
        <w:rPr>
          <w:sz w:val="25"/>
        </w:rPr>
      </w:pPr>
    </w:p>
    <w:p w14:paraId="5F340B47" w14:textId="77777777" w:rsidR="00CB04C6" w:rsidRPr="007D56F7" w:rsidRDefault="005F60AC" w:rsidP="007D56F7">
      <w:pPr>
        <w:pStyle w:val="Textoindependiente"/>
        <w:ind w:left="300" w:right="307"/>
        <w:jc w:val="both"/>
      </w:pPr>
      <w:r w:rsidRPr="007D56F7">
        <w:t>La Agencia Nacional de Contratación Pública - Colombia Compra Eficiente responde su consulta del 8 de noviembre de 2019, en ejercicio de la competencia otorgada por el numeral 8 del artículo 11 y el numeral 5 del artículo 3 del Decreto Ley 4170 de 2011.</w:t>
      </w:r>
    </w:p>
    <w:p w14:paraId="6AA18672" w14:textId="77777777" w:rsidR="00CB04C6" w:rsidRPr="007D56F7" w:rsidRDefault="00CB04C6" w:rsidP="007D56F7">
      <w:pPr>
        <w:pStyle w:val="Textoindependiente"/>
        <w:spacing w:before="4"/>
        <w:rPr>
          <w:sz w:val="25"/>
        </w:rPr>
      </w:pPr>
    </w:p>
    <w:p w14:paraId="51AFB395" w14:textId="77777777" w:rsidR="00CB04C6" w:rsidRPr="007D56F7" w:rsidRDefault="005F60AC" w:rsidP="007D56F7">
      <w:pPr>
        <w:pStyle w:val="Ttulo1"/>
        <w:numPr>
          <w:ilvl w:val="0"/>
          <w:numId w:val="3"/>
        </w:numPr>
        <w:tabs>
          <w:tab w:val="left" w:pos="661"/>
        </w:tabs>
        <w:spacing w:before="1"/>
        <w:ind w:hanging="361"/>
      </w:pPr>
      <w:r w:rsidRPr="007D56F7">
        <w:t>Problema</w:t>
      </w:r>
      <w:r w:rsidRPr="007D56F7">
        <w:rPr>
          <w:spacing w:val="-2"/>
        </w:rPr>
        <w:t xml:space="preserve"> </w:t>
      </w:r>
      <w:r w:rsidRPr="007D56F7">
        <w:t>Planteado</w:t>
      </w:r>
    </w:p>
    <w:p w14:paraId="5C8931BF" w14:textId="77777777" w:rsidR="00CB04C6" w:rsidRPr="007D56F7" w:rsidRDefault="00CB04C6" w:rsidP="007D56F7">
      <w:pPr>
        <w:pStyle w:val="Textoindependiente"/>
        <w:spacing w:before="5"/>
        <w:rPr>
          <w:b/>
          <w:sz w:val="28"/>
        </w:rPr>
      </w:pPr>
    </w:p>
    <w:p w14:paraId="16464554" w14:textId="77777777" w:rsidR="00CB04C6" w:rsidRPr="007D56F7" w:rsidRDefault="005F60AC" w:rsidP="007D56F7">
      <w:pPr>
        <w:pStyle w:val="Textoindependiente"/>
        <w:ind w:left="300" w:right="311"/>
        <w:jc w:val="both"/>
      </w:pPr>
      <w:r w:rsidRPr="007D56F7">
        <w:t>“De acuerdo a lo establecido en el Articulo 2.2.1.1.1.5.2. del Decreto 1082 de 2015, las empresas con menos de tres (3) años de constituidas pueden acreditar la experiencia se sus accionistas, socios o constituyentes.</w:t>
      </w:r>
    </w:p>
    <w:p w14:paraId="20DE724C" w14:textId="77777777" w:rsidR="00CB04C6" w:rsidRPr="007D56F7" w:rsidRDefault="00CB04C6" w:rsidP="007D56F7">
      <w:pPr>
        <w:pStyle w:val="Textoindependiente"/>
        <w:spacing w:before="5"/>
        <w:rPr>
          <w:sz w:val="25"/>
        </w:rPr>
      </w:pPr>
    </w:p>
    <w:p w14:paraId="10D38BBA" w14:textId="77777777" w:rsidR="00CB04C6" w:rsidRPr="007D56F7" w:rsidRDefault="005F60AC" w:rsidP="007D56F7">
      <w:pPr>
        <w:pStyle w:val="Textoindependiente"/>
        <w:ind w:left="300" w:right="306"/>
        <w:jc w:val="both"/>
      </w:pPr>
      <w:r w:rsidRPr="007D56F7">
        <w:t>“Igualmente el parágrafo del Articulo 2.2.1.2.4.2.6 del Decreto 1082 de 2015 (adicionado por el decreto 392 de 2018) indica que: ‘si la oferta es presentada por un consorcio, unión temporal o promesa de sociedad futura, se tendrá en cuenta la planta de personal del integrante del proponente plural que aporte como mínimo el cuarenta por ciento (40%) de la experiencia</w:t>
      </w:r>
      <w:r w:rsidRPr="007D56F7">
        <w:rPr>
          <w:spacing w:val="-3"/>
        </w:rPr>
        <w:t xml:space="preserve"> </w:t>
      </w:r>
      <w:r w:rsidRPr="007D56F7">
        <w:t>requerida’.</w:t>
      </w:r>
    </w:p>
    <w:p w14:paraId="1EA4284D" w14:textId="77777777" w:rsidR="00CB04C6" w:rsidRPr="007D56F7" w:rsidRDefault="00CB04C6" w:rsidP="007D56F7">
      <w:pPr>
        <w:pStyle w:val="Textoindependiente"/>
        <w:spacing w:before="3"/>
        <w:rPr>
          <w:sz w:val="25"/>
        </w:rPr>
      </w:pPr>
    </w:p>
    <w:p w14:paraId="1AAAE1A0" w14:textId="77777777" w:rsidR="00CB04C6" w:rsidRPr="007D56F7" w:rsidRDefault="005F60AC" w:rsidP="007D56F7">
      <w:pPr>
        <w:pStyle w:val="Textoindependiente"/>
        <w:ind w:left="300"/>
      </w:pPr>
      <w:r w:rsidRPr="007D56F7">
        <w:t>“El interrogante en cuestión es:</w:t>
      </w:r>
    </w:p>
    <w:p w14:paraId="289E6DD3" w14:textId="77777777" w:rsidR="00CB04C6" w:rsidRPr="007D56F7" w:rsidRDefault="00CB04C6" w:rsidP="007D56F7">
      <w:pPr>
        <w:pStyle w:val="Textoindependiente"/>
        <w:spacing w:before="7"/>
        <w:rPr>
          <w:sz w:val="28"/>
        </w:rPr>
      </w:pPr>
    </w:p>
    <w:p w14:paraId="60E8020E" w14:textId="77777777" w:rsidR="00CB04C6" w:rsidRPr="007D56F7" w:rsidRDefault="005F60AC" w:rsidP="007D56F7">
      <w:pPr>
        <w:pStyle w:val="Textoindependiente"/>
        <w:spacing w:before="1"/>
        <w:ind w:left="300" w:right="305"/>
        <w:jc w:val="both"/>
      </w:pPr>
      <w:r w:rsidRPr="007D56F7">
        <w:t>“Una sociedad que tiene menos de tres (3) años de constituida y que ha acreditado en el RUP la experiencia de sus socios, decide hacer parte de un consorcio, unión temporal o promesa de sociedad futura para participar en una licitación pública, y esta sociedad es el integrante del proponerte plural que aporta toda la experiencia requerida en los pliegos (experiencia de los socios por tener menos de tres (3) años de constituida).</w:t>
      </w:r>
    </w:p>
    <w:p w14:paraId="3FA3BB16" w14:textId="77777777" w:rsidR="00CB04C6" w:rsidRPr="007D56F7" w:rsidRDefault="00CB04C6" w:rsidP="007D56F7">
      <w:pPr>
        <w:pStyle w:val="Textoindependiente"/>
        <w:spacing w:before="4"/>
        <w:rPr>
          <w:sz w:val="27"/>
        </w:rPr>
      </w:pPr>
    </w:p>
    <w:p w14:paraId="074D1955" w14:textId="77777777" w:rsidR="00CB04C6" w:rsidRPr="007D56F7" w:rsidRDefault="005F60AC" w:rsidP="007D56F7">
      <w:pPr>
        <w:pStyle w:val="Textoindependiente"/>
        <w:spacing w:before="93"/>
        <w:ind w:left="300" w:right="312"/>
        <w:jc w:val="both"/>
      </w:pPr>
      <w:r w:rsidRPr="007D56F7">
        <w:t>“¿Si esta sociedad es quien acredita el número de personas con discapacidad en su planta de personal, de acuerdo a lo establecido en el Articulo 2.2.1.2.4.2.6 del decreto 1082 de 2015, se le debe otorgar al proponente el puntaje correspondiente?”</w:t>
      </w:r>
    </w:p>
    <w:p w14:paraId="33D1794B" w14:textId="77777777" w:rsidR="00CB04C6" w:rsidRPr="007D56F7" w:rsidRDefault="00CB04C6" w:rsidP="007D56F7">
      <w:pPr>
        <w:pStyle w:val="Textoindependiente"/>
        <w:spacing w:before="2"/>
        <w:rPr>
          <w:sz w:val="25"/>
        </w:rPr>
      </w:pPr>
    </w:p>
    <w:p w14:paraId="0626FA8E" w14:textId="77777777" w:rsidR="00CB04C6" w:rsidRPr="007D56F7" w:rsidRDefault="005F60AC" w:rsidP="007D56F7">
      <w:pPr>
        <w:pStyle w:val="Ttulo1"/>
        <w:numPr>
          <w:ilvl w:val="0"/>
          <w:numId w:val="3"/>
        </w:numPr>
        <w:tabs>
          <w:tab w:val="left" w:pos="661"/>
        </w:tabs>
        <w:ind w:hanging="361"/>
      </w:pPr>
      <w:r w:rsidRPr="007D56F7">
        <w:t>Consideraciones</w:t>
      </w:r>
    </w:p>
    <w:p w14:paraId="2066D7EE" w14:textId="77777777" w:rsidR="00CB04C6" w:rsidRPr="007D56F7" w:rsidRDefault="00CB04C6" w:rsidP="007D56F7">
      <w:pPr>
        <w:pStyle w:val="Textoindependiente"/>
        <w:spacing w:before="7"/>
        <w:rPr>
          <w:b/>
          <w:sz w:val="28"/>
        </w:rPr>
      </w:pPr>
    </w:p>
    <w:p w14:paraId="24767DBC" w14:textId="77777777" w:rsidR="00CB04C6" w:rsidRPr="007D56F7" w:rsidRDefault="005F60AC" w:rsidP="007D56F7">
      <w:pPr>
        <w:pStyle w:val="Textoindependiente"/>
        <w:spacing w:before="1"/>
        <w:ind w:left="300" w:right="304"/>
        <w:jc w:val="both"/>
      </w:pPr>
      <w:r w:rsidRPr="007D56F7">
        <w:t>Para responder el interrogante planteado se analizarán los siguientes temas: i) acreditación de experiencia de sociedades nuevas, y ii) acreditación del personal en situación de discapacidad del proponente plural.</w:t>
      </w:r>
    </w:p>
    <w:p w14:paraId="70C25894" w14:textId="77777777" w:rsidR="00CB04C6" w:rsidRPr="007D56F7" w:rsidRDefault="00CB04C6" w:rsidP="007D56F7">
      <w:pPr>
        <w:pStyle w:val="Textoindependiente"/>
        <w:spacing w:before="5"/>
        <w:rPr>
          <w:sz w:val="25"/>
        </w:rPr>
      </w:pPr>
    </w:p>
    <w:p w14:paraId="6ACD2A50" w14:textId="77777777" w:rsidR="00CB04C6" w:rsidRPr="007D56F7" w:rsidRDefault="005F60AC" w:rsidP="007D56F7">
      <w:pPr>
        <w:pStyle w:val="Ttulo1"/>
        <w:numPr>
          <w:ilvl w:val="1"/>
          <w:numId w:val="3"/>
        </w:numPr>
        <w:tabs>
          <w:tab w:val="left" w:pos="726"/>
        </w:tabs>
        <w:ind w:hanging="426"/>
      </w:pPr>
      <w:r w:rsidRPr="007D56F7">
        <w:t>Acreditación de experiencia de sociedades</w:t>
      </w:r>
      <w:r w:rsidRPr="007D56F7">
        <w:rPr>
          <w:spacing w:val="-8"/>
        </w:rPr>
        <w:t xml:space="preserve"> </w:t>
      </w:r>
      <w:r w:rsidRPr="007D56F7">
        <w:t>nuevas</w:t>
      </w:r>
    </w:p>
    <w:p w14:paraId="5BDD2557" w14:textId="77777777" w:rsidR="00CB04C6" w:rsidRPr="007D56F7" w:rsidRDefault="00CB04C6" w:rsidP="007D56F7">
      <w:pPr>
        <w:pStyle w:val="Textoindependiente"/>
        <w:spacing w:before="5"/>
        <w:rPr>
          <w:b/>
          <w:sz w:val="28"/>
        </w:rPr>
      </w:pPr>
    </w:p>
    <w:p w14:paraId="4DEE5232" w14:textId="77777777" w:rsidR="00CB04C6" w:rsidRPr="007D56F7" w:rsidRDefault="005F60AC" w:rsidP="007D56F7">
      <w:pPr>
        <w:pStyle w:val="Textoindependiente"/>
        <w:ind w:left="300" w:right="308"/>
        <w:jc w:val="both"/>
      </w:pPr>
      <w:r w:rsidRPr="007D56F7">
        <w:t>La Agencia Nacional de Contratación Pública – Colombia Compra Eficiente, se pronunció en el concepto identificado con radicado No. 4201912000003636 del 20 de agosto de 2019, reiterado en el concepto con radicado No. 4201912000004743 del 28 de agosto de 2019 y en el concepto con radicado No. 4201913000006797 del 19 de noviembre de 2019, sobre la acreditación de la experiencia de las sociedades cuya constitución es inferior a tres (3) años. La tesis propuesta en estos conceptos es la que se expone a</w:t>
      </w:r>
      <w:r w:rsidRPr="007D56F7">
        <w:rPr>
          <w:spacing w:val="-40"/>
        </w:rPr>
        <w:t xml:space="preserve"> </w:t>
      </w:r>
      <w:r w:rsidRPr="007D56F7">
        <w:t>continuación.</w:t>
      </w:r>
    </w:p>
    <w:p w14:paraId="4AD42EF7" w14:textId="77777777" w:rsidR="00CB04C6" w:rsidRPr="007D56F7" w:rsidRDefault="00CB04C6" w:rsidP="007D56F7">
      <w:pPr>
        <w:pStyle w:val="Textoindependiente"/>
        <w:spacing w:before="4"/>
        <w:rPr>
          <w:sz w:val="25"/>
        </w:rPr>
      </w:pPr>
    </w:p>
    <w:p w14:paraId="491A9BA9" w14:textId="77777777" w:rsidR="00CB04C6" w:rsidRPr="007D56F7" w:rsidRDefault="005F60AC" w:rsidP="007D56F7">
      <w:pPr>
        <w:pStyle w:val="Textoindependiente"/>
        <w:ind w:left="300" w:right="309"/>
        <w:jc w:val="both"/>
      </w:pPr>
      <w:r w:rsidRPr="007D56F7">
        <w:t xml:space="preserve">La Ley 1150 de 2007, en el artículo 5, establece que la capacidad jurídica y las condiciones de experiencia, capacidad financiera y de organización de los proponentes serán objeto de verificación por parte de las entidades como requisitos habilitantes para la participación en el proceso de selección y no otorgarán puntaje; con excepción del proceso de selección de </w:t>
      </w:r>
      <w:r w:rsidRPr="007D56F7">
        <w:lastRenderedPageBreak/>
        <w:t>consultores, donde es posible otorgar puntaje al criterio de experiencia</w:t>
      </w:r>
      <w:r w:rsidR="00701375" w:rsidRPr="007D56F7">
        <w:rPr>
          <w:rStyle w:val="Refdenotaalpie"/>
        </w:rPr>
        <w:footnoteReference w:id="1"/>
      </w:r>
      <w:r w:rsidRPr="007D56F7">
        <w:t>.</w:t>
      </w:r>
    </w:p>
    <w:p w14:paraId="64840359" w14:textId="77777777" w:rsidR="00CB04C6" w:rsidRPr="007D56F7" w:rsidRDefault="00CB04C6" w:rsidP="007D56F7">
      <w:pPr>
        <w:pStyle w:val="Textoindependiente"/>
        <w:spacing w:before="10"/>
        <w:rPr>
          <w:sz w:val="24"/>
        </w:rPr>
      </w:pPr>
    </w:p>
    <w:p w14:paraId="378162BF" w14:textId="77777777" w:rsidR="00CB04C6" w:rsidRPr="007D56F7" w:rsidRDefault="005F60AC" w:rsidP="007D56F7">
      <w:pPr>
        <w:pStyle w:val="Textoindependiente"/>
        <w:ind w:left="300" w:right="310"/>
        <w:jc w:val="both"/>
      </w:pPr>
      <w:r w:rsidRPr="007D56F7">
        <w:t>Por su parte, el artículo 6 de la Ley 1150 de 2007 señala que todas las personas naturales o jurídicas, nacionales o extranjeras, domiciliadas o con sucursal en Colombia, que aspiren celebrar contratos con las entidades deberán estar inscritas en el Registro Único de Proponentes. En dicho registro constará la información relacionada con la experiencia,</w:t>
      </w:r>
      <w:r w:rsidR="00701375" w:rsidRPr="007D56F7">
        <w:t xml:space="preserve"> </w:t>
      </w:r>
      <w:r w:rsidRPr="007D56F7">
        <w:t>capacidad jurídica, financiera y de organización del proponente y su clasificación</w:t>
      </w:r>
      <w:r w:rsidR="00701375" w:rsidRPr="007D56F7">
        <w:rPr>
          <w:rStyle w:val="Refdenotaalpie"/>
        </w:rPr>
        <w:footnoteReference w:id="2"/>
      </w:r>
      <w:r w:rsidRPr="007D56F7">
        <w:t>. Frente al requisito habilitante de experiencia, en el “Manual para determinar y verificar requisitos habilitantes en los procesos de contratación” se define la experiencia como “el conocimiento del proponente derivado de su participación previa en actividades iguales o similares a las previstas en el objeto del</w:t>
      </w:r>
      <w:r w:rsidRPr="007D56F7">
        <w:rPr>
          <w:spacing w:val="-8"/>
        </w:rPr>
        <w:t xml:space="preserve"> </w:t>
      </w:r>
      <w:r w:rsidRPr="007D56F7">
        <w:t>contrato”.</w:t>
      </w:r>
    </w:p>
    <w:p w14:paraId="56ED222F" w14:textId="77777777" w:rsidR="00CB04C6" w:rsidRPr="007D56F7" w:rsidRDefault="00CB04C6" w:rsidP="007D56F7">
      <w:pPr>
        <w:pStyle w:val="Textoindependiente"/>
        <w:spacing w:before="3"/>
        <w:rPr>
          <w:sz w:val="25"/>
        </w:rPr>
      </w:pPr>
    </w:p>
    <w:p w14:paraId="62454A27" w14:textId="77777777" w:rsidR="00CB04C6" w:rsidRPr="007D56F7" w:rsidRDefault="005F60AC" w:rsidP="007D56F7">
      <w:pPr>
        <w:pStyle w:val="Textoindependiente"/>
        <w:ind w:left="300" w:right="313"/>
        <w:jc w:val="both"/>
      </w:pPr>
      <w:r w:rsidRPr="007D56F7">
        <w:t>El Decreto 1082 de 2015, en el artículo 2.2.1.1.1.5.2, numeral 2.1, establece que si una persona natural es la que se inscribe al RUP, aportará los certificados de experiencia en provisión de bienes, obras y servicios, los cuales deben ser expedidos por terceros que hayan recibido tales bienes, obras y servicios, y deben corresponder a contratos ejecutados o copias de los contratos cuando el interesado no puede obtener tal certificado</w:t>
      </w:r>
      <w:r w:rsidR="00701375" w:rsidRPr="007D56F7">
        <w:rPr>
          <w:rStyle w:val="Refdenotaalpie"/>
        </w:rPr>
        <w:footnoteReference w:id="3"/>
      </w:r>
      <w:r w:rsidRPr="007D56F7">
        <w:t>.</w:t>
      </w:r>
    </w:p>
    <w:p w14:paraId="3D7DC033" w14:textId="77777777" w:rsidR="00CB04C6" w:rsidRPr="007D56F7" w:rsidRDefault="00CB04C6" w:rsidP="007D56F7">
      <w:pPr>
        <w:pStyle w:val="Textoindependiente"/>
        <w:rPr>
          <w:sz w:val="25"/>
        </w:rPr>
      </w:pPr>
    </w:p>
    <w:p w14:paraId="1C434497" w14:textId="77777777" w:rsidR="00CB04C6" w:rsidRPr="007D56F7" w:rsidRDefault="005F60AC" w:rsidP="007D56F7">
      <w:pPr>
        <w:pStyle w:val="Textoindependiente"/>
        <w:ind w:left="300" w:right="307"/>
        <w:jc w:val="both"/>
      </w:pPr>
      <w:r w:rsidRPr="007D56F7">
        <w:lastRenderedPageBreak/>
        <w:t>El numeral 2.5 del mismo artículo señala que la persona jurídica se registrará aportando los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 Si la constitución del interesado es menor a tres (3) años, puede acreditar la experiencia de sus accionistas, socios o constituyentes.</w:t>
      </w:r>
    </w:p>
    <w:p w14:paraId="5BAB0316" w14:textId="77777777" w:rsidR="00CB04C6" w:rsidRPr="007D56F7" w:rsidRDefault="00CB04C6" w:rsidP="007D56F7">
      <w:pPr>
        <w:pStyle w:val="Textoindependiente"/>
        <w:rPr>
          <w:sz w:val="20"/>
        </w:rPr>
      </w:pPr>
    </w:p>
    <w:p w14:paraId="4AA23F9A" w14:textId="77777777" w:rsidR="00CB04C6" w:rsidRPr="007D56F7" w:rsidRDefault="005F60AC" w:rsidP="007D56F7">
      <w:pPr>
        <w:pStyle w:val="Textoindependiente"/>
        <w:spacing w:before="93"/>
        <w:ind w:left="300" w:right="303"/>
        <w:jc w:val="both"/>
      </w:pPr>
      <w:r w:rsidRPr="007D56F7">
        <w:t>La parte final del numeral 2.5 del artículo citado incluye una medida diferenciada para las personas jurídicas cuya constitución sea menor a 3 años al momento del registro. Esta medida, que puede ser entendida como de fomento a la participación de pequeños oferentes en la contratación estatal, permite que las sociedades relativamente nuevas -con menos de 3 años de constitución- puedan acreditar como experiencia en el RUP la de sus accionistas, socios o constituyentes.</w:t>
      </w:r>
    </w:p>
    <w:p w14:paraId="4D6EE444" w14:textId="77777777" w:rsidR="00CB04C6" w:rsidRPr="007D56F7" w:rsidRDefault="00CB04C6" w:rsidP="007D56F7">
      <w:pPr>
        <w:pStyle w:val="Textoindependiente"/>
        <w:spacing w:before="4"/>
        <w:rPr>
          <w:sz w:val="25"/>
        </w:rPr>
      </w:pPr>
    </w:p>
    <w:p w14:paraId="3237DF11" w14:textId="77777777" w:rsidR="00CB04C6" w:rsidRPr="007D56F7" w:rsidRDefault="005F60AC" w:rsidP="007D56F7">
      <w:pPr>
        <w:pStyle w:val="Textoindependiente"/>
        <w:ind w:left="300" w:right="305"/>
        <w:jc w:val="both"/>
      </w:pPr>
      <w:r w:rsidRPr="007D56F7">
        <w:t>A pesar de que la experiencia es inherente a la persona que la ha obtenido, razón por la cual es intransferible en virtud de su carácter personalísimo, por disposición legal o reglamentaria, en casos excepcionales, como el descrito por el artículo mencionado, se aplica de otra forma.</w:t>
      </w:r>
    </w:p>
    <w:p w14:paraId="24756B44" w14:textId="77777777" w:rsidR="00CB04C6" w:rsidRPr="007D56F7" w:rsidRDefault="00CB04C6" w:rsidP="007D56F7">
      <w:pPr>
        <w:pStyle w:val="Textoindependiente"/>
        <w:spacing w:before="2"/>
        <w:rPr>
          <w:sz w:val="25"/>
        </w:rPr>
      </w:pPr>
    </w:p>
    <w:p w14:paraId="47A0CC3F" w14:textId="77777777" w:rsidR="00CB04C6" w:rsidRPr="007D56F7" w:rsidRDefault="005F60AC" w:rsidP="007D56F7">
      <w:pPr>
        <w:pStyle w:val="Textoindependiente"/>
        <w:ind w:left="300" w:right="311"/>
        <w:jc w:val="both"/>
      </w:pPr>
      <w:r w:rsidRPr="007D56F7">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ésta, como persona jurídica independiente, pueda cumplir con los requisitos habilitantes o puntuables que establezcan las entidades estatales en sus procesos de contratación, y de esta forma promover el desarrollo de la empresa y la pluralidad de oferentes en la contratación pública.</w:t>
      </w:r>
    </w:p>
    <w:p w14:paraId="7EC85DBB" w14:textId="77777777" w:rsidR="00CB04C6" w:rsidRPr="007D56F7" w:rsidRDefault="00CB04C6" w:rsidP="007D56F7">
      <w:pPr>
        <w:pStyle w:val="Textoindependiente"/>
        <w:spacing w:before="6"/>
        <w:rPr>
          <w:sz w:val="25"/>
        </w:rPr>
      </w:pPr>
    </w:p>
    <w:p w14:paraId="67C0CEC2" w14:textId="77777777" w:rsidR="00CB04C6" w:rsidRPr="007D56F7" w:rsidRDefault="005F60AC" w:rsidP="007D56F7">
      <w:pPr>
        <w:pStyle w:val="Textoindependiente"/>
        <w:ind w:left="300" w:right="309"/>
        <w:jc w:val="both"/>
      </w:pPr>
      <w:r w:rsidRPr="007D56F7">
        <w:t>Ahora bien, este aspecto ofrece meridiana claridad en cuanto a su aplicación, pero el interrogante que ha generado la norma es ¿qué pasa después de que la sociedad a la que le ha sido permitido certificar la experiencia de sus socios, accionistas o constituyentes cumple 3 años de su constitución? ¿puede seguir siendo beneficiaria de la prerrogativa del numeral 2.5 del artículo 2.2.1.1.1.5.2 del Decreto 1082 de 2015?</w:t>
      </w:r>
    </w:p>
    <w:p w14:paraId="6AC8E42E" w14:textId="77777777" w:rsidR="00CB04C6" w:rsidRPr="007D56F7" w:rsidRDefault="00CB04C6" w:rsidP="007D56F7">
      <w:pPr>
        <w:pStyle w:val="Textoindependiente"/>
        <w:spacing w:before="2"/>
        <w:rPr>
          <w:sz w:val="25"/>
        </w:rPr>
      </w:pPr>
    </w:p>
    <w:p w14:paraId="37E6B4A5" w14:textId="77777777" w:rsidR="00CB04C6" w:rsidRPr="007D56F7" w:rsidRDefault="005F60AC" w:rsidP="007D56F7">
      <w:pPr>
        <w:pStyle w:val="Textoindependiente"/>
        <w:spacing w:before="1"/>
        <w:ind w:left="300" w:right="311"/>
        <w:jc w:val="both"/>
      </w:pPr>
      <w:r w:rsidRPr="007D56F7">
        <w:t>Estos interrogantes han sido planteados a la Subdirección de Gestión Contractual, y se han dado respuestas en uno y otro sentido. Así, en Concepto del 7 de febrero de 2018 se sostuvo que las personas jurídicas que hubieran sido beneficiarias de la norma podían seguir acreditando la experiencia de sus socios o accionistas, inclusive después de transcurridos 3 años desde la constitución de la sociedad, siempre que se renovara el RUP, en los siguientes</w:t>
      </w:r>
      <w:r w:rsidRPr="007D56F7">
        <w:rPr>
          <w:spacing w:val="-7"/>
        </w:rPr>
        <w:t xml:space="preserve"> </w:t>
      </w:r>
      <w:r w:rsidRPr="007D56F7">
        <w:t>términos:</w:t>
      </w:r>
    </w:p>
    <w:p w14:paraId="28ACE234" w14:textId="77777777" w:rsidR="00CB04C6" w:rsidRPr="007D56F7" w:rsidRDefault="00CB04C6" w:rsidP="007D56F7">
      <w:pPr>
        <w:pStyle w:val="Textoindependiente"/>
        <w:rPr>
          <w:sz w:val="24"/>
        </w:rPr>
      </w:pPr>
    </w:p>
    <w:p w14:paraId="0B6EAA94" w14:textId="77777777" w:rsidR="00CB04C6" w:rsidRPr="007D56F7" w:rsidRDefault="005F60AC" w:rsidP="007D56F7">
      <w:pPr>
        <w:spacing w:before="1"/>
        <w:ind w:left="1008" w:right="736"/>
        <w:jc w:val="both"/>
        <w:rPr>
          <w:sz w:val="21"/>
        </w:rPr>
      </w:pPr>
      <w:r w:rsidRPr="007D56F7">
        <w:rPr>
          <w:sz w:val="21"/>
        </w:rPr>
        <w:t xml:space="preserve">Teniendo en cuenta lo anterior, aunque la persona jurídica tenga más de tres años de constituida y haya registrado inicialmente la experiencia de sus socios en el RUP (pues su constitución era inferior a tres años) y éste es renovado, puede continuar utilizando la experiencia inscrita mientras no cesen los efectos del RUP. Por el </w:t>
      </w:r>
      <w:r w:rsidRPr="007D56F7">
        <w:rPr>
          <w:sz w:val="21"/>
        </w:rPr>
        <w:lastRenderedPageBreak/>
        <w:t>contrario, si el RUP no es renovado y la persona jurídica supera los tres años de constituida, la experiencia que registró de sus socios no puede ser inscrita nuevamente</w:t>
      </w:r>
      <w:r w:rsidRPr="007D56F7">
        <w:rPr>
          <w:spacing w:val="17"/>
          <w:sz w:val="21"/>
        </w:rPr>
        <w:t xml:space="preserve"> </w:t>
      </w:r>
      <w:r w:rsidRPr="007D56F7">
        <w:rPr>
          <w:sz w:val="21"/>
        </w:rPr>
        <w:t>puesto</w:t>
      </w:r>
      <w:r w:rsidRPr="007D56F7">
        <w:rPr>
          <w:spacing w:val="15"/>
          <w:sz w:val="21"/>
        </w:rPr>
        <w:t xml:space="preserve"> </w:t>
      </w:r>
      <w:r w:rsidRPr="007D56F7">
        <w:rPr>
          <w:sz w:val="21"/>
        </w:rPr>
        <w:t>que</w:t>
      </w:r>
      <w:r w:rsidRPr="007D56F7">
        <w:rPr>
          <w:spacing w:val="15"/>
          <w:sz w:val="21"/>
        </w:rPr>
        <w:t xml:space="preserve"> </w:t>
      </w:r>
      <w:r w:rsidRPr="007D56F7">
        <w:rPr>
          <w:sz w:val="21"/>
        </w:rPr>
        <w:t>el</w:t>
      </w:r>
      <w:r w:rsidRPr="007D56F7">
        <w:rPr>
          <w:spacing w:val="15"/>
          <w:sz w:val="21"/>
        </w:rPr>
        <w:t xml:space="preserve"> </w:t>
      </w:r>
      <w:r w:rsidRPr="007D56F7">
        <w:rPr>
          <w:sz w:val="21"/>
        </w:rPr>
        <w:t>RUP</w:t>
      </w:r>
      <w:r w:rsidRPr="007D56F7">
        <w:rPr>
          <w:spacing w:val="15"/>
          <w:sz w:val="21"/>
        </w:rPr>
        <w:t xml:space="preserve"> </w:t>
      </w:r>
      <w:r w:rsidRPr="007D56F7">
        <w:rPr>
          <w:sz w:val="21"/>
        </w:rPr>
        <w:t>ha</w:t>
      </w:r>
      <w:r w:rsidRPr="007D56F7">
        <w:rPr>
          <w:spacing w:val="15"/>
          <w:sz w:val="21"/>
        </w:rPr>
        <w:t xml:space="preserve"> </w:t>
      </w:r>
      <w:r w:rsidRPr="007D56F7">
        <w:rPr>
          <w:sz w:val="21"/>
        </w:rPr>
        <w:t>cesado</w:t>
      </w:r>
      <w:r w:rsidRPr="007D56F7">
        <w:rPr>
          <w:spacing w:val="17"/>
          <w:sz w:val="21"/>
        </w:rPr>
        <w:t xml:space="preserve"> </w:t>
      </w:r>
      <w:r w:rsidRPr="007D56F7">
        <w:rPr>
          <w:sz w:val="21"/>
        </w:rPr>
        <w:t>sus</w:t>
      </w:r>
      <w:r w:rsidRPr="007D56F7">
        <w:rPr>
          <w:spacing w:val="16"/>
          <w:sz w:val="21"/>
        </w:rPr>
        <w:t xml:space="preserve"> </w:t>
      </w:r>
      <w:r w:rsidRPr="007D56F7">
        <w:rPr>
          <w:sz w:val="21"/>
        </w:rPr>
        <w:t>efectos</w:t>
      </w:r>
      <w:r w:rsidRPr="007D56F7">
        <w:rPr>
          <w:spacing w:val="16"/>
          <w:sz w:val="21"/>
        </w:rPr>
        <w:t xml:space="preserve"> </w:t>
      </w:r>
      <w:r w:rsidRPr="007D56F7">
        <w:rPr>
          <w:sz w:val="21"/>
        </w:rPr>
        <w:t>y</w:t>
      </w:r>
      <w:r w:rsidRPr="007D56F7">
        <w:rPr>
          <w:spacing w:val="15"/>
          <w:sz w:val="21"/>
        </w:rPr>
        <w:t xml:space="preserve"> </w:t>
      </w:r>
      <w:r w:rsidRPr="007D56F7">
        <w:rPr>
          <w:sz w:val="21"/>
        </w:rPr>
        <w:t>la</w:t>
      </w:r>
      <w:r w:rsidRPr="007D56F7">
        <w:rPr>
          <w:spacing w:val="15"/>
          <w:sz w:val="21"/>
        </w:rPr>
        <w:t xml:space="preserve"> </w:t>
      </w:r>
      <w:r w:rsidRPr="007D56F7">
        <w:rPr>
          <w:sz w:val="21"/>
        </w:rPr>
        <w:t>Cámara</w:t>
      </w:r>
      <w:r w:rsidRPr="007D56F7">
        <w:rPr>
          <w:spacing w:val="17"/>
          <w:sz w:val="21"/>
        </w:rPr>
        <w:t xml:space="preserve"> </w:t>
      </w:r>
      <w:r w:rsidRPr="007D56F7">
        <w:rPr>
          <w:sz w:val="21"/>
        </w:rPr>
        <w:t>de</w:t>
      </w:r>
      <w:r w:rsidRPr="007D56F7">
        <w:rPr>
          <w:spacing w:val="15"/>
          <w:sz w:val="21"/>
        </w:rPr>
        <w:t xml:space="preserve"> </w:t>
      </w:r>
      <w:r w:rsidRPr="007D56F7">
        <w:rPr>
          <w:sz w:val="21"/>
        </w:rPr>
        <w:t>Comercio</w:t>
      </w:r>
      <w:r w:rsidR="00CF7B75" w:rsidRPr="007D56F7">
        <w:rPr>
          <w:sz w:val="21"/>
        </w:rPr>
        <w:t xml:space="preserve"> </w:t>
      </w:r>
      <w:r w:rsidRPr="007D56F7">
        <w:rPr>
          <w:sz w:val="21"/>
        </w:rPr>
        <w:t>tiene que hacer nuevamente la verificación documental de la información presentada al momento de inscribirse en el registro</w:t>
      </w:r>
      <w:r w:rsidR="007730F9" w:rsidRPr="007D56F7">
        <w:rPr>
          <w:rStyle w:val="Refdenotaalpie"/>
          <w:sz w:val="21"/>
        </w:rPr>
        <w:footnoteReference w:id="4"/>
      </w:r>
      <w:r w:rsidRPr="007D56F7">
        <w:rPr>
          <w:sz w:val="21"/>
        </w:rPr>
        <w:t>.</w:t>
      </w:r>
    </w:p>
    <w:p w14:paraId="2720181D" w14:textId="77777777" w:rsidR="00CB04C6" w:rsidRPr="007D56F7" w:rsidRDefault="00CB04C6" w:rsidP="007D56F7">
      <w:pPr>
        <w:pStyle w:val="Textoindependiente"/>
        <w:spacing w:before="4"/>
        <w:rPr>
          <w:sz w:val="25"/>
        </w:rPr>
      </w:pPr>
    </w:p>
    <w:p w14:paraId="1549C6B6" w14:textId="77777777" w:rsidR="00CB04C6" w:rsidRPr="007D56F7" w:rsidRDefault="005F60AC" w:rsidP="007D56F7">
      <w:pPr>
        <w:pStyle w:val="Textoindependiente"/>
        <w:ind w:left="300" w:right="304"/>
        <w:jc w:val="both"/>
      </w:pPr>
      <w:r w:rsidRPr="007D56F7">
        <w:t>Posición contraria se adoptó en un concepto del 3 de abril del 2018, en el que frente a la misma pregunta esta Subdirección respondió que después de cumplidos los 3 años desde la constitución de la sociedad, las entidades estatales no deberían tener como válida la experiencia acreditada por los socios, accionistas o constituyentes. Como fundamento de esta posición, la Subdirección consideró lo siguiente:</w:t>
      </w:r>
    </w:p>
    <w:p w14:paraId="4A58F41B" w14:textId="77777777" w:rsidR="00CB04C6" w:rsidRPr="007D56F7" w:rsidRDefault="00CB04C6" w:rsidP="007D56F7">
      <w:pPr>
        <w:pStyle w:val="Textoindependiente"/>
        <w:spacing w:before="11"/>
        <w:rPr>
          <w:sz w:val="21"/>
        </w:rPr>
      </w:pPr>
    </w:p>
    <w:p w14:paraId="51998E4B" w14:textId="77777777" w:rsidR="00CB04C6" w:rsidRPr="007D56F7" w:rsidRDefault="005F60AC" w:rsidP="007D56F7">
      <w:pPr>
        <w:pStyle w:val="Prrafodelista"/>
        <w:numPr>
          <w:ilvl w:val="2"/>
          <w:numId w:val="3"/>
        </w:numPr>
        <w:tabs>
          <w:tab w:val="left" w:pos="1333"/>
        </w:tabs>
        <w:ind w:right="737" w:firstLine="0"/>
        <w:jc w:val="both"/>
        <w:rPr>
          <w:sz w:val="21"/>
        </w:rPr>
      </w:pPr>
      <w:r w:rsidRPr="007D56F7">
        <w:rPr>
          <w:sz w:val="21"/>
        </w:rPr>
        <w:t>La posición de Colombia Compra Eficiente respecto a la validez de la experiencia de los accionistas, socios o constituyentes, acreditada en el RUP por una sociedad nueva, cuando está ya superó los 3 años de constituida, ha</w:t>
      </w:r>
      <w:r w:rsidRPr="007D56F7">
        <w:rPr>
          <w:spacing w:val="-31"/>
          <w:sz w:val="21"/>
        </w:rPr>
        <w:t xml:space="preserve"> </w:t>
      </w:r>
      <w:r w:rsidRPr="007D56F7">
        <w:rPr>
          <w:sz w:val="21"/>
        </w:rPr>
        <w:t>variado.</w:t>
      </w:r>
    </w:p>
    <w:p w14:paraId="0AF4AEF6" w14:textId="77777777" w:rsidR="00CB04C6" w:rsidRPr="007D56F7" w:rsidRDefault="00CB04C6" w:rsidP="007D56F7">
      <w:pPr>
        <w:pStyle w:val="Textoindependiente"/>
        <w:spacing w:before="11"/>
        <w:rPr>
          <w:sz w:val="20"/>
        </w:rPr>
      </w:pPr>
    </w:p>
    <w:p w14:paraId="67E8D36E" w14:textId="77777777" w:rsidR="00CB04C6" w:rsidRPr="007D56F7" w:rsidRDefault="005F60AC" w:rsidP="007D56F7">
      <w:pPr>
        <w:pStyle w:val="Prrafodelista"/>
        <w:numPr>
          <w:ilvl w:val="2"/>
          <w:numId w:val="3"/>
        </w:numPr>
        <w:tabs>
          <w:tab w:val="left" w:pos="1268"/>
        </w:tabs>
        <w:ind w:right="735" w:firstLine="0"/>
        <w:jc w:val="both"/>
        <w:rPr>
          <w:sz w:val="21"/>
        </w:rPr>
      </w:pPr>
      <w:r w:rsidRPr="007D56F7">
        <w:rPr>
          <w:sz w:val="21"/>
        </w:rPr>
        <w:t>El Decreto 1082 de 2015 establece que para la inscripción en el RUP de una persona jurídica, si su constitución es menor a tres (3) años, puede acreditar la experiencia de sus accionistas, socios o</w:t>
      </w:r>
      <w:r w:rsidRPr="007D56F7">
        <w:rPr>
          <w:spacing w:val="-9"/>
          <w:sz w:val="21"/>
        </w:rPr>
        <w:t xml:space="preserve"> </w:t>
      </w:r>
      <w:r w:rsidRPr="007D56F7">
        <w:rPr>
          <w:sz w:val="21"/>
        </w:rPr>
        <w:t>constituyentes.</w:t>
      </w:r>
    </w:p>
    <w:p w14:paraId="6A040869" w14:textId="77777777" w:rsidR="00CB04C6" w:rsidRPr="007D56F7" w:rsidRDefault="00CB04C6" w:rsidP="007D56F7">
      <w:pPr>
        <w:pStyle w:val="Textoindependiente"/>
        <w:spacing w:before="10"/>
        <w:rPr>
          <w:sz w:val="20"/>
        </w:rPr>
      </w:pPr>
    </w:p>
    <w:p w14:paraId="37C3A21A" w14:textId="77777777" w:rsidR="00CB04C6" w:rsidRPr="007D56F7" w:rsidRDefault="005F60AC" w:rsidP="007D56F7">
      <w:pPr>
        <w:pStyle w:val="Prrafodelista"/>
        <w:numPr>
          <w:ilvl w:val="2"/>
          <w:numId w:val="3"/>
        </w:numPr>
        <w:tabs>
          <w:tab w:val="left" w:pos="1246"/>
        </w:tabs>
        <w:ind w:right="734" w:firstLine="0"/>
        <w:jc w:val="both"/>
        <w:rPr>
          <w:sz w:val="21"/>
        </w:rPr>
      </w:pPr>
      <w:r w:rsidRPr="007D56F7">
        <w:rPr>
          <w:sz w:val="21"/>
        </w:rPr>
        <w:t>La finalidad de esta norma es permitir que las sociedades que no cuentan con la experiencia suficiente para contratar con el Estado puedan apoyarse en la experiencia de sus accionistas, socios o constituyentes con el fin de incentivar la libre competencia en la contratación</w:t>
      </w:r>
      <w:r w:rsidRPr="007D56F7">
        <w:rPr>
          <w:spacing w:val="-6"/>
          <w:sz w:val="21"/>
        </w:rPr>
        <w:t xml:space="preserve"> </w:t>
      </w:r>
      <w:r w:rsidRPr="007D56F7">
        <w:rPr>
          <w:sz w:val="21"/>
        </w:rPr>
        <w:t>estatal.</w:t>
      </w:r>
    </w:p>
    <w:p w14:paraId="672E7FE2" w14:textId="77777777" w:rsidR="00CB04C6" w:rsidRPr="007D56F7" w:rsidRDefault="00CB04C6" w:rsidP="007D56F7">
      <w:pPr>
        <w:pStyle w:val="Textoindependiente"/>
        <w:rPr>
          <w:sz w:val="21"/>
        </w:rPr>
      </w:pPr>
    </w:p>
    <w:p w14:paraId="7DECE308" w14:textId="77777777" w:rsidR="00CB04C6" w:rsidRPr="007D56F7" w:rsidRDefault="005F60AC" w:rsidP="007D56F7">
      <w:pPr>
        <w:pStyle w:val="Prrafodelista"/>
        <w:numPr>
          <w:ilvl w:val="2"/>
          <w:numId w:val="3"/>
        </w:numPr>
        <w:tabs>
          <w:tab w:val="left" w:pos="1251"/>
        </w:tabs>
        <w:spacing w:before="1"/>
        <w:ind w:right="735" w:firstLine="0"/>
        <w:jc w:val="both"/>
        <w:rPr>
          <w:sz w:val="21"/>
        </w:rPr>
      </w:pPr>
      <w:r w:rsidRPr="007D56F7">
        <w:rPr>
          <w:sz w:val="21"/>
        </w:rPr>
        <w:t>En consecuencia, la persona jurídica cuya constitución es menor a tres (3) años puede registrar la experiencia de sus socios en el RUP, la cual no podrá ser tenida en cuenta por la Entidad Estatal como experiencia de la sociedad una vez cumplidos los tres (3) años de constituida la persona jurídica a los que hace referencia la norma, pues no se cumple con el presupuesto normativo para acceder al beneficio que contempla el Decreto</w:t>
      </w:r>
      <w:r w:rsidRPr="007D56F7">
        <w:rPr>
          <w:spacing w:val="-8"/>
          <w:sz w:val="21"/>
        </w:rPr>
        <w:t xml:space="preserve"> </w:t>
      </w:r>
      <w:r w:rsidRPr="007D56F7">
        <w:rPr>
          <w:sz w:val="21"/>
        </w:rPr>
        <w:t>1082.</w:t>
      </w:r>
    </w:p>
    <w:p w14:paraId="03CE9342" w14:textId="77777777" w:rsidR="00CB04C6" w:rsidRPr="007D56F7" w:rsidRDefault="00CB04C6" w:rsidP="007D56F7">
      <w:pPr>
        <w:pStyle w:val="Textoindependiente"/>
        <w:spacing w:before="11"/>
        <w:rPr>
          <w:sz w:val="20"/>
        </w:rPr>
      </w:pPr>
    </w:p>
    <w:p w14:paraId="26F40D71" w14:textId="77777777" w:rsidR="00CB04C6" w:rsidRPr="007D56F7" w:rsidRDefault="005F60AC" w:rsidP="007D56F7">
      <w:pPr>
        <w:pStyle w:val="Prrafodelista"/>
        <w:numPr>
          <w:ilvl w:val="2"/>
          <w:numId w:val="3"/>
        </w:numPr>
        <w:tabs>
          <w:tab w:val="left" w:pos="1258"/>
        </w:tabs>
        <w:ind w:right="737" w:firstLine="0"/>
        <w:jc w:val="both"/>
        <w:rPr>
          <w:sz w:val="21"/>
        </w:rPr>
      </w:pPr>
      <w:r w:rsidRPr="007D56F7">
        <w:rPr>
          <w:sz w:val="21"/>
        </w:rPr>
        <w:t>Las Cámaras de Comercio se encargan de hacer la verificación documental de la información presentada por los interesados al momento de inscribir, renovar o actualizar su información en el RUP. De esa forma, a diferencia de la renovación, la actualización del RUP puede llevarse a cabo en cualquier momento (únicamente para la capacidad jurídica y experiencia) y debe ser verificada junto con sus soportes por la Cámara de Comercio</w:t>
      </w:r>
      <w:r w:rsidRPr="007D56F7">
        <w:rPr>
          <w:spacing w:val="-10"/>
          <w:sz w:val="21"/>
        </w:rPr>
        <w:t xml:space="preserve"> </w:t>
      </w:r>
      <w:r w:rsidRPr="007D56F7">
        <w:rPr>
          <w:sz w:val="21"/>
        </w:rPr>
        <w:t>correspondiente</w:t>
      </w:r>
      <w:r w:rsidR="007730F9" w:rsidRPr="007D56F7">
        <w:rPr>
          <w:rStyle w:val="Refdenotaalpie"/>
          <w:sz w:val="21"/>
        </w:rPr>
        <w:footnoteReference w:id="5"/>
      </w:r>
      <w:r w:rsidRPr="007D56F7">
        <w:rPr>
          <w:sz w:val="21"/>
        </w:rPr>
        <w:t>.</w:t>
      </w:r>
    </w:p>
    <w:p w14:paraId="51D1B415" w14:textId="77777777" w:rsidR="00CB04C6" w:rsidRPr="007D56F7" w:rsidRDefault="00CB04C6" w:rsidP="007D56F7">
      <w:pPr>
        <w:pStyle w:val="Textoindependiente"/>
        <w:rPr>
          <w:sz w:val="25"/>
        </w:rPr>
      </w:pPr>
    </w:p>
    <w:p w14:paraId="74F67C7E" w14:textId="77777777" w:rsidR="00CB04C6" w:rsidRPr="007D56F7" w:rsidRDefault="005F60AC" w:rsidP="007D56F7">
      <w:pPr>
        <w:pStyle w:val="Textoindependiente"/>
        <w:ind w:left="300" w:right="308"/>
        <w:jc w:val="both"/>
      </w:pPr>
      <w:r w:rsidRPr="007D56F7">
        <w:t>Ante esta disparidad de criterios, la Subdirección de Gestión Contractual estimó necesario recoger estos pronunciamientos y unificar nuestra posición en el concepto con radicado No. 4201913000006797 del 19 de noviembre de 2019, en torno a la posibilidad o no de que las sociedades nuevas puedan seguir acreditando la experiencia de sus</w:t>
      </w:r>
      <w:r w:rsidRPr="007D56F7">
        <w:rPr>
          <w:spacing w:val="18"/>
        </w:rPr>
        <w:t xml:space="preserve"> </w:t>
      </w:r>
      <w:r w:rsidRPr="007D56F7">
        <w:t>socios,</w:t>
      </w:r>
      <w:r w:rsidR="00FA6FFA" w:rsidRPr="007D56F7">
        <w:t xml:space="preserve"> </w:t>
      </w:r>
      <w:r w:rsidRPr="007D56F7">
        <w:t>accionistas o constituyentes, incluso después de cumplidos 3 años de constitución de la persona jurídica.</w:t>
      </w:r>
    </w:p>
    <w:p w14:paraId="2F12D912" w14:textId="77777777" w:rsidR="00CB04C6" w:rsidRPr="007D56F7" w:rsidRDefault="00CB04C6" w:rsidP="007D56F7">
      <w:pPr>
        <w:pStyle w:val="Textoindependiente"/>
        <w:spacing w:before="3"/>
        <w:rPr>
          <w:sz w:val="25"/>
        </w:rPr>
      </w:pPr>
    </w:p>
    <w:p w14:paraId="011E6594" w14:textId="77777777" w:rsidR="00CB04C6" w:rsidRPr="007D56F7" w:rsidRDefault="005F60AC" w:rsidP="007D56F7">
      <w:pPr>
        <w:pStyle w:val="Textoindependiente"/>
        <w:ind w:left="300" w:right="311"/>
        <w:jc w:val="both"/>
      </w:pPr>
      <w:r w:rsidRPr="007D56F7">
        <w:t>El criterio que se adopta es que la experiencia de los socios, accionistas o constituyentes para aquellas sociedades que al momento de inscribirse en el RUP tenían menos de 3 años de constituidas puede seguir siendo acreditada por la persona jurídica después de transcurridos los 3 años del acto de constitución. Esta posición ya había sido acogida por esta Subdirección en pronunciamientos más recientes, esto es, posteriores a la acogida en el Concepto del 3 de abril de 2018 antes</w:t>
      </w:r>
      <w:r w:rsidRPr="007D56F7">
        <w:rPr>
          <w:spacing w:val="-9"/>
        </w:rPr>
        <w:t xml:space="preserve"> </w:t>
      </w:r>
      <w:r w:rsidRPr="007D56F7">
        <w:t>citado</w:t>
      </w:r>
      <w:r w:rsidR="00FA6FFA" w:rsidRPr="007D56F7">
        <w:rPr>
          <w:rStyle w:val="Refdenotaalpie"/>
        </w:rPr>
        <w:footnoteReference w:id="6"/>
      </w:r>
      <w:r w:rsidRPr="007D56F7">
        <w:t>.</w:t>
      </w:r>
    </w:p>
    <w:p w14:paraId="5059C8E9" w14:textId="77777777" w:rsidR="00CB04C6" w:rsidRPr="007D56F7" w:rsidRDefault="00CB04C6" w:rsidP="007D56F7">
      <w:pPr>
        <w:pStyle w:val="Textoindependiente"/>
        <w:rPr>
          <w:sz w:val="25"/>
        </w:rPr>
      </w:pPr>
    </w:p>
    <w:p w14:paraId="1F7D8159" w14:textId="77777777" w:rsidR="00CB04C6" w:rsidRPr="007D56F7" w:rsidRDefault="005F60AC" w:rsidP="007D56F7">
      <w:pPr>
        <w:pStyle w:val="Textoindependiente"/>
        <w:ind w:left="300" w:right="306"/>
        <w:jc w:val="both"/>
      </w:pPr>
      <w:r w:rsidRPr="007D56F7">
        <w:t>Se reitera que la finalidad del numeral 2.5 del artículo 2.2.1.1.1.5.2 del Decreto 1082 de 2015 es incentivar la libre competencia y la pluralidad de oferentes en la contratación estatal. Adicionalmente, el Decreto 1082 de 2015 establece que la persona inscrita en el RUP debe presentar la información para renovar su registro a más tardar el quinto día hábil del mes de abril de cada año, de lo contrario cesan sus efectos</w:t>
      </w:r>
      <w:r w:rsidR="00FA6FFA" w:rsidRPr="007D56F7">
        <w:rPr>
          <w:rStyle w:val="Refdenotaalpie"/>
        </w:rPr>
        <w:footnoteReference w:id="7"/>
      </w:r>
      <w:r w:rsidRPr="007D56F7">
        <w:t>. En la actualidad, las Cámaras de Comercio sólo pueden eliminar la experiencia registrada en el RUP a solicitud del proponente, por tanto, le corresponde a las personas jurídicas mantener su RUP actualizado y a las entidades estatales verificar, para efectos de tener en cuenta la experiencia.</w:t>
      </w:r>
    </w:p>
    <w:p w14:paraId="75A0F81F" w14:textId="77777777" w:rsidR="00CB04C6" w:rsidRPr="007D56F7" w:rsidRDefault="00CB04C6" w:rsidP="007D56F7">
      <w:pPr>
        <w:pStyle w:val="Textoindependiente"/>
        <w:spacing w:before="9"/>
        <w:rPr>
          <w:sz w:val="24"/>
        </w:rPr>
      </w:pPr>
    </w:p>
    <w:p w14:paraId="3B5BB692" w14:textId="77777777" w:rsidR="00CB04C6" w:rsidRPr="007D56F7" w:rsidRDefault="005F60AC" w:rsidP="007D56F7">
      <w:pPr>
        <w:pStyle w:val="Textoindependiente"/>
        <w:ind w:left="300" w:right="306"/>
        <w:jc w:val="both"/>
      </w:pPr>
      <w:r w:rsidRPr="007D56F7">
        <w:t xml:space="preserve">En otras palabras, si la persona jurídica con menos de tres años de constituida registra la experiencia de sus socios en el RUP, y éste es renovado, puede continuar utilizando la experiencia inscrita mientras no cesen los efectos del RUP. Por el contrario, si no </w:t>
      </w:r>
      <w:r w:rsidRPr="007D56F7">
        <w:rPr>
          <w:spacing w:val="5"/>
        </w:rPr>
        <w:t xml:space="preserve">se </w:t>
      </w:r>
      <w:r w:rsidRPr="007D56F7">
        <w:t>renueva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w:t>
      </w:r>
      <w:r w:rsidRPr="007D56F7">
        <w:rPr>
          <w:spacing w:val="-28"/>
        </w:rPr>
        <w:t xml:space="preserve"> </w:t>
      </w:r>
      <w:r w:rsidRPr="007D56F7">
        <w:t>registro.</w:t>
      </w:r>
    </w:p>
    <w:p w14:paraId="4877DBE0" w14:textId="77777777" w:rsidR="00FA6FFA" w:rsidRPr="007D56F7" w:rsidRDefault="00FA6FFA" w:rsidP="007D56F7">
      <w:pPr>
        <w:pStyle w:val="Textoindependiente"/>
        <w:spacing w:before="93"/>
        <w:ind w:left="300" w:right="310"/>
        <w:jc w:val="both"/>
      </w:pPr>
    </w:p>
    <w:p w14:paraId="393AFC3D" w14:textId="77777777" w:rsidR="00CB04C6" w:rsidRPr="007D56F7" w:rsidRDefault="005F60AC" w:rsidP="007D56F7">
      <w:pPr>
        <w:pStyle w:val="Textoindependiente"/>
        <w:spacing w:before="93"/>
        <w:ind w:left="300" w:right="310"/>
        <w:jc w:val="both"/>
      </w:pPr>
      <w:r w:rsidRPr="007D56F7">
        <w:t>Lo anterior, tiene fundamento en la Circular Única de la Superintendencia de Industria y Comercio, en el numeral 4.2, sobre el procedimiento para llevar el registro único de proponentes, que establece:</w:t>
      </w:r>
    </w:p>
    <w:p w14:paraId="26EB7E2A" w14:textId="77777777" w:rsidR="00CB04C6" w:rsidRPr="007D56F7" w:rsidRDefault="00CB04C6" w:rsidP="007D56F7">
      <w:pPr>
        <w:pStyle w:val="Textoindependiente"/>
        <w:rPr>
          <w:sz w:val="21"/>
        </w:rPr>
      </w:pPr>
    </w:p>
    <w:p w14:paraId="3353C81B" w14:textId="77777777" w:rsidR="00CB04C6" w:rsidRPr="007D56F7" w:rsidRDefault="005F60AC" w:rsidP="007D56F7">
      <w:pPr>
        <w:ind w:left="1008" w:right="1013"/>
        <w:jc w:val="both"/>
        <w:rPr>
          <w:sz w:val="21"/>
        </w:rPr>
      </w:pPr>
      <w:r w:rsidRPr="007D56F7">
        <w:rPr>
          <w:sz w:val="21"/>
        </w:rPr>
        <w:t>4.2.5. Vigencia de los documentos. Para efectos de renovación y actualización se considera que los documentos no pierden su vigencia salvo disposición legal en contrario. Por lo anterior, las Cámaras de Comercio no podrán abstenerse de realizar la inscripción argumentando el vencimiento de los documentos de soporte.</w:t>
      </w:r>
    </w:p>
    <w:p w14:paraId="30308C26" w14:textId="77777777" w:rsidR="00CB04C6" w:rsidRPr="007D56F7" w:rsidRDefault="00CB04C6" w:rsidP="007D56F7">
      <w:pPr>
        <w:pStyle w:val="Textoindependiente"/>
        <w:spacing w:before="4"/>
        <w:rPr>
          <w:sz w:val="25"/>
        </w:rPr>
      </w:pPr>
    </w:p>
    <w:p w14:paraId="517D6D90" w14:textId="77777777" w:rsidR="00CB04C6" w:rsidRPr="007D56F7" w:rsidRDefault="005F60AC" w:rsidP="007D56F7">
      <w:pPr>
        <w:pStyle w:val="Textoindependiente"/>
        <w:ind w:left="300" w:right="303"/>
        <w:jc w:val="both"/>
      </w:pPr>
      <w:r w:rsidRPr="007D56F7">
        <w:t>Así las cosas, con el fin de incentivar la participación continúa y constante de los proponentes, las entidades estatales, en sus procesos de contratación, aceptarán como válida la experiencia de los socios, accionistas o constituyentes incluso después de cumplidos los tres años de constitución de la sociedad, pues esta interpretación permite incentivar la creación de empresa y generar una mayor participación de las empresas recién constituidas.</w:t>
      </w:r>
    </w:p>
    <w:p w14:paraId="53E10C65" w14:textId="77777777" w:rsidR="00CB04C6" w:rsidRPr="007D56F7" w:rsidRDefault="00CB04C6" w:rsidP="007D56F7">
      <w:pPr>
        <w:pStyle w:val="Textoindependiente"/>
        <w:spacing w:before="10"/>
        <w:rPr>
          <w:sz w:val="21"/>
        </w:rPr>
      </w:pPr>
    </w:p>
    <w:p w14:paraId="7BA56BC9" w14:textId="77777777" w:rsidR="00CB04C6" w:rsidRPr="007D56F7" w:rsidRDefault="005F60AC" w:rsidP="007D56F7">
      <w:pPr>
        <w:pStyle w:val="Textoindependiente"/>
        <w:ind w:left="300" w:right="310"/>
        <w:jc w:val="both"/>
      </w:pPr>
      <w:r w:rsidRPr="007D56F7">
        <w:t>En este sentido, si bien la norma no determina si después de tres (3) años de constituida la persona jurídica la experiencia que fue aportada por los socios, accionistas o constituyentes sigue siendo válida o la entidad la puede rechazar, la Agencia Nacional de Contratación Pública considera que la experiencia de los socios, accionistas o constituyentes aportada a la persona jurídica sigue siendo válida porque de esta forma se garantiza la pluralidad de oferentes en los procesos de</w:t>
      </w:r>
      <w:r w:rsidRPr="007D56F7">
        <w:rPr>
          <w:spacing w:val="-14"/>
        </w:rPr>
        <w:t xml:space="preserve"> </w:t>
      </w:r>
      <w:r w:rsidRPr="007D56F7">
        <w:t>contratación.</w:t>
      </w:r>
    </w:p>
    <w:p w14:paraId="1424E9D8" w14:textId="77777777" w:rsidR="00CB04C6" w:rsidRPr="007D56F7" w:rsidRDefault="00CB04C6" w:rsidP="007D56F7">
      <w:pPr>
        <w:pStyle w:val="Textoindependiente"/>
        <w:spacing w:before="5"/>
        <w:rPr>
          <w:sz w:val="25"/>
        </w:rPr>
      </w:pPr>
    </w:p>
    <w:p w14:paraId="672BC5A1" w14:textId="77777777" w:rsidR="00CB04C6" w:rsidRPr="007D56F7" w:rsidRDefault="005F60AC" w:rsidP="007D56F7">
      <w:pPr>
        <w:pStyle w:val="Ttulo1"/>
        <w:numPr>
          <w:ilvl w:val="1"/>
          <w:numId w:val="3"/>
        </w:numPr>
        <w:tabs>
          <w:tab w:val="left" w:pos="726"/>
        </w:tabs>
        <w:ind w:hanging="426"/>
      </w:pPr>
      <w:r w:rsidRPr="007D56F7">
        <w:t>Acreditación del personal en situación de discapacidad del proponente</w:t>
      </w:r>
      <w:r w:rsidRPr="007D56F7">
        <w:rPr>
          <w:spacing w:val="-16"/>
        </w:rPr>
        <w:t xml:space="preserve"> </w:t>
      </w:r>
      <w:r w:rsidRPr="007D56F7">
        <w:t>plural</w:t>
      </w:r>
    </w:p>
    <w:p w14:paraId="15499A3E" w14:textId="77777777" w:rsidR="00CB04C6" w:rsidRPr="007D56F7" w:rsidRDefault="00CB04C6" w:rsidP="007D56F7">
      <w:pPr>
        <w:pStyle w:val="Textoindependiente"/>
        <w:spacing w:before="8"/>
        <w:rPr>
          <w:b/>
          <w:sz w:val="28"/>
        </w:rPr>
      </w:pPr>
    </w:p>
    <w:p w14:paraId="43AEED74" w14:textId="77777777" w:rsidR="00CB04C6" w:rsidRPr="007D56F7" w:rsidRDefault="005F60AC" w:rsidP="007D56F7">
      <w:pPr>
        <w:pStyle w:val="Textoindependiente"/>
        <w:ind w:left="300" w:right="304"/>
        <w:jc w:val="both"/>
      </w:pPr>
      <w:r w:rsidRPr="007D56F7">
        <w:t>Esta Subdirección, en el concepto con radicado No. 4201913000004446 del 13 de agosto de 2019, reiterado y desarrollado en los conceptos identificados con radicado No. 4201912000005689 del 16 de septiembre de 2019, radicado No. 4201913000006154 del</w:t>
      </w:r>
      <w:r w:rsidR="00FA6FFA" w:rsidRPr="007D56F7">
        <w:t xml:space="preserve"> </w:t>
      </w:r>
      <w:r w:rsidRPr="007D56F7">
        <w:t>10 de octubre de 2019, radicado No. 4201912000006258 del 3 de octubre de 2019 y radicado No. 4201913000007151 del 2 de diciembre de 2019, estudió acerca de los requisitos para acreditar el personal en situación de discapacidad, con la finalidad de obtener como incentivo previsto en el Decreto 392 de 2018. La tesis desarrollada en estos conceptos es la que se expone a continuación.</w:t>
      </w:r>
    </w:p>
    <w:p w14:paraId="28D84612" w14:textId="77777777" w:rsidR="00CB04C6" w:rsidRPr="007D56F7" w:rsidRDefault="00CB04C6" w:rsidP="007D56F7">
      <w:pPr>
        <w:pStyle w:val="Textoindependiente"/>
        <w:spacing w:before="3"/>
        <w:rPr>
          <w:sz w:val="25"/>
        </w:rPr>
      </w:pPr>
    </w:p>
    <w:p w14:paraId="0C04EC98" w14:textId="77777777" w:rsidR="00CB04C6" w:rsidRPr="007D56F7" w:rsidRDefault="005F60AC" w:rsidP="007D56F7">
      <w:pPr>
        <w:pStyle w:val="Textoindependiente"/>
        <w:ind w:left="300" w:right="305"/>
        <w:jc w:val="both"/>
      </w:pPr>
      <w:r w:rsidRPr="007D56F7">
        <w:t>Con la expedición de la Ley 1618 de 2013, el legislador estableció las disposiciones para garantizar el ejercicio de los derechos de las personas con discapacidad</w:t>
      </w:r>
      <w:r w:rsidR="002B3AA8" w:rsidRPr="007D56F7">
        <w:rPr>
          <w:rStyle w:val="Refdenotaalpie"/>
        </w:rPr>
        <w:footnoteReference w:id="8"/>
      </w:r>
      <w:r w:rsidRPr="007D56F7">
        <w:rPr>
          <w:sz w:val="21"/>
        </w:rPr>
        <w:t>. Asimismo, el</w:t>
      </w:r>
      <w:r w:rsidR="002B3AA8" w:rsidRPr="007D56F7">
        <w:rPr>
          <w:sz w:val="21"/>
        </w:rPr>
        <w:t xml:space="preserve"> </w:t>
      </w:r>
      <w:r w:rsidRPr="007D56F7">
        <w:t>artículo 13 ordenó al Gobierno Nacional expedir un reglamento que determinar la metodología mediante la cual se otorgaría el puntaje adicional a las empresas que en su planta de personal tuvieran contratado personal en situación de discapacidad. La Ley 1618 de 2013 dispone:</w:t>
      </w:r>
    </w:p>
    <w:p w14:paraId="6359A426" w14:textId="77777777" w:rsidR="00CB04C6" w:rsidRPr="007D56F7" w:rsidRDefault="00CB04C6" w:rsidP="007D56F7">
      <w:pPr>
        <w:pStyle w:val="Textoindependiente"/>
      </w:pPr>
    </w:p>
    <w:p w14:paraId="00FB4231" w14:textId="77777777" w:rsidR="00CB04C6" w:rsidRPr="007D56F7" w:rsidRDefault="005F60AC" w:rsidP="007D56F7">
      <w:pPr>
        <w:ind w:left="1008" w:right="1011"/>
        <w:jc w:val="both"/>
        <w:rPr>
          <w:sz w:val="21"/>
        </w:rPr>
      </w:pPr>
      <w:r w:rsidRPr="007D56F7">
        <w:rPr>
          <w:sz w:val="21"/>
        </w:rPr>
        <w:t>Artículo 13. Derecho al trabajo. Todas las personas con discapacidad tienen derecho al trabajo. Para garantizar el ejercicio efectivo del derecho al trabajo de las personas con discapacidad, en términos de igualdad de oportunidades, equidad e inclusión, en concordancia con el artículo 27 de la Ley 1346 de 2009, el Ministerio de Trabajo o quien haga sus veces y demás entidades competentes establecerán entre otras, las siguientes</w:t>
      </w:r>
      <w:r w:rsidRPr="007D56F7">
        <w:rPr>
          <w:spacing w:val="-9"/>
          <w:sz w:val="21"/>
        </w:rPr>
        <w:t xml:space="preserve"> </w:t>
      </w:r>
      <w:r w:rsidRPr="007D56F7">
        <w:rPr>
          <w:sz w:val="21"/>
        </w:rPr>
        <w:t>medidas:</w:t>
      </w:r>
    </w:p>
    <w:p w14:paraId="4226F2FF" w14:textId="77777777" w:rsidR="00CB04C6" w:rsidRPr="007D56F7" w:rsidRDefault="00CB04C6" w:rsidP="007D56F7">
      <w:pPr>
        <w:pStyle w:val="Textoindependiente"/>
        <w:rPr>
          <w:sz w:val="21"/>
        </w:rPr>
      </w:pPr>
    </w:p>
    <w:p w14:paraId="6B44E605" w14:textId="77777777" w:rsidR="00CB04C6" w:rsidRPr="007D56F7" w:rsidRDefault="005F60AC" w:rsidP="007D56F7">
      <w:pPr>
        <w:pStyle w:val="Prrafodelista"/>
        <w:numPr>
          <w:ilvl w:val="0"/>
          <w:numId w:val="1"/>
        </w:numPr>
        <w:tabs>
          <w:tab w:val="left" w:pos="1248"/>
        </w:tabs>
        <w:ind w:right="1011" w:firstLine="0"/>
        <w:jc w:val="both"/>
        <w:rPr>
          <w:sz w:val="21"/>
        </w:rPr>
      </w:pPr>
      <w:r w:rsidRPr="007D56F7">
        <w:rPr>
          <w:sz w:val="21"/>
        </w:rPr>
        <w:t xml:space="preserve">El Gobierno Nacional, a través del Ministerio de Hacienda y Crédito Público y el Departamento Nacional de Planeación o de quienes hagan sus veces, expedirá el decreto reglamentario que establezca una puntuación adicional en los procesos </w:t>
      </w:r>
      <w:r w:rsidRPr="007D56F7">
        <w:rPr>
          <w:sz w:val="21"/>
        </w:rPr>
        <w:lastRenderedPageBreak/>
        <w:t>de licitación pública, concurso de méritos y contratación directa, para las empresas que en su planta de personal tengan personas con discapacidad contratadas con todas las exigencias y garantías legalmente establecidas, y para las empresas de personas con discapacidad, familiares y tutores.</w:t>
      </w:r>
    </w:p>
    <w:p w14:paraId="4D393AC3" w14:textId="77777777" w:rsidR="00CB04C6" w:rsidRPr="007D56F7" w:rsidRDefault="005F60AC" w:rsidP="007D56F7">
      <w:pPr>
        <w:spacing w:before="1"/>
        <w:ind w:left="1008"/>
        <w:rPr>
          <w:sz w:val="21"/>
        </w:rPr>
      </w:pPr>
      <w:r w:rsidRPr="007D56F7">
        <w:rPr>
          <w:sz w:val="21"/>
        </w:rPr>
        <w:t>(…)</w:t>
      </w:r>
    </w:p>
    <w:p w14:paraId="279028E0" w14:textId="77777777" w:rsidR="00CB04C6" w:rsidRPr="007D56F7" w:rsidRDefault="00CB04C6" w:rsidP="007D56F7">
      <w:pPr>
        <w:pStyle w:val="Textoindependiente"/>
        <w:spacing w:before="11"/>
        <w:rPr>
          <w:sz w:val="20"/>
        </w:rPr>
      </w:pPr>
    </w:p>
    <w:p w14:paraId="607CF1A4" w14:textId="77777777" w:rsidR="00CB04C6" w:rsidRPr="007D56F7" w:rsidRDefault="005F60AC" w:rsidP="007D56F7">
      <w:pPr>
        <w:ind w:left="1008" w:right="1019"/>
        <w:jc w:val="both"/>
        <w:rPr>
          <w:sz w:val="21"/>
        </w:rPr>
      </w:pPr>
      <w:r w:rsidRPr="007D56F7">
        <w:rPr>
          <w:sz w:val="21"/>
        </w:rPr>
        <w:t>8. Los gobiernos nacional, departamentales, distritales y municipales, deberán fijar mediante decreto reglamentario, en los procesos de selección de los contratistas y proveedores, un sistema de preferencias a favor de las personas con discapacidad.</w:t>
      </w:r>
    </w:p>
    <w:p w14:paraId="344EF95F" w14:textId="77777777" w:rsidR="00CB04C6" w:rsidRPr="007D56F7" w:rsidRDefault="00CB04C6" w:rsidP="007D56F7">
      <w:pPr>
        <w:pStyle w:val="Textoindependiente"/>
        <w:spacing w:before="11"/>
        <w:rPr>
          <w:sz w:val="21"/>
        </w:rPr>
      </w:pPr>
    </w:p>
    <w:p w14:paraId="54C16E5A" w14:textId="77777777" w:rsidR="00CB04C6" w:rsidRPr="007D56F7" w:rsidRDefault="005F60AC" w:rsidP="007D56F7">
      <w:pPr>
        <w:pStyle w:val="Textoindependiente"/>
        <w:ind w:left="300" w:right="303"/>
        <w:jc w:val="both"/>
      </w:pPr>
      <w:r w:rsidRPr="007D56F7">
        <w:t>Teniendo en cuenta que la norma impuso la obligación al Gobierno Nacional de expedir el reglamento para materializar lo dispuesto en esta ley respecto del puntaje adicional, se expidió el Decreto 392 de 2018, “Por el cual se reglamentan los numerales 1 y 8 del artículo 13 de la Ley 1618 de 2013, sobre incentivos en Procesos de Contratación en favor de personas con discapacidad”. Este Decreto prevé el deber de las entidades del Estado de otorgar un puntaje adicional a los procesos de selección de contratistas del Estado, en las modalidades de licitación pública y concurso de méritos, a quienes acrediten que al menos el 10% de su nómina la integran personas en situación de</w:t>
      </w:r>
      <w:r w:rsidRPr="007D56F7">
        <w:rPr>
          <w:spacing w:val="-22"/>
        </w:rPr>
        <w:t xml:space="preserve"> </w:t>
      </w:r>
      <w:r w:rsidRPr="007D56F7">
        <w:t>discapacidad.</w:t>
      </w:r>
    </w:p>
    <w:p w14:paraId="1BB35F6B" w14:textId="77777777" w:rsidR="00CB04C6" w:rsidRPr="007D56F7" w:rsidRDefault="00CB04C6" w:rsidP="007D56F7">
      <w:pPr>
        <w:pStyle w:val="Textoindependiente"/>
        <w:spacing w:before="1"/>
        <w:rPr>
          <w:sz w:val="23"/>
        </w:rPr>
      </w:pPr>
    </w:p>
    <w:p w14:paraId="4B6054DA" w14:textId="77777777" w:rsidR="00CB04C6" w:rsidRPr="007D56F7" w:rsidRDefault="005F60AC" w:rsidP="007D56F7">
      <w:pPr>
        <w:pStyle w:val="Textoindependiente"/>
        <w:ind w:left="300" w:right="308"/>
        <w:jc w:val="both"/>
      </w:pPr>
      <w:r w:rsidRPr="007D56F7">
        <w:t>Conforme a lo anterior, el Decreto 1082 de 2015, en el artículo 2.2.1.2.4.6, adicionado por el Decreto 392 de 2018, regula el puntaje adicional para proponentes con trabajadores con discapacidad.</w:t>
      </w:r>
    </w:p>
    <w:p w14:paraId="49A405E3" w14:textId="77777777" w:rsidR="00CB04C6" w:rsidRPr="007D56F7" w:rsidRDefault="00CB04C6" w:rsidP="007D56F7">
      <w:pPr>
        <w:pStyle w:val="Textoindependiente"/>
        <w:spacing w:before="5"/>
        <w:rPr>
          <w:sz w:val="25"/>
        </w:rPr>
      </w:pPr>
    </w:p>
    <w:p w14:paraId="3482B560" w14:textId="77777777" w:rsidR="00CB04C6" w:rsidRPr="007D56F7" w:rsidRDefault="005F60AC" w:rsidP="007D56F7">
      <w:pPr>
        <w:pStyle w:val="Textoindependiente"/>
        <w:ind w:left="300" w:right="304"/>
        <w:jc w:val="both"/>
      </w:pPr>
      <w:r w:rsidRPr="007D56F7">
        <w:t>En ese orden de ideas, el artículo 2.2.1.2.4.6 del Decreto 1082 de 2015 establece que debe asignarse un uno por ciento (1%) de puntaje adicional a los proponentes</w:t>
      </w:r>
      <w:r w:rsidRPr="007D56F7">
        <w:rPr>
          <w:spacing w:val="34"/>
        </w:rPr>
        <w:t xml:space="preserve"> </w:t>
      </w:r>
      <w:r w:rsidRPr="007D56F7">
        <w:t>que</w:t>
      </w:r>
      <w:r w:rsidR="002B3AA8" w:rsidRPr="007D56F7">
        <w:t xml:space="preserve"> </w:t>
      </w:r>
      <w:r w:rsidRPr="007D56F7">
        <w:t>acrediten la vinculación de trabajadores con discapacidad en los procesos de licitaciones públicas y concursos de méritos, de acuerdo con los requisitos previstos en el Decreto en mención.</w:t>
      </w:r>
    </w:p>
    <w:p w14:paraId="1574EA89" w14:textId="77777777" w:rsidR="00CB04C6" w:rsidRPr="007D56F7" w:rsidRDefault="00CB04C6" w:rsidP="007D56F7">
      <w:pPr>
        <w:pStyle w:val="Textoindependiente"/>
        <w:spacing w:before="1"/>
        <w:rPr>
          <w:sz w:val="25"/>
        </w:rPr>
      </w:pPr>
    </w:p>
    <w:p w14:paraId="41564843" w14:textId="77777777" w:rsidR="00CB04C6" w:rsidRPr="007D56F7" w:rsidRDefault="005F60AC" w:rsidP="007D56F7">
      <w:pPr>
        <w:spacing w:before="1"/>
        <w:ind w:left="1008" w:right="1012"/>
        <w:jc w:val="both"/>
        <w:rPr>
          <w:sz w:val="21"/>
        </w:rPr>
      </w:pPr>
      <w:r w:rsidRPr="007D56F7">
        <w:rPr>
          <w:sz w:val="21"/>
        </w:rPr>
        <w:t>Artículo 2.2.1.2.4.2.6. Puntaje adicional para proponentes con trabajadores con discapacidad. En los procesos de licitaciones públicas y concursos de méritos, para incentivar el sistema de preferencias a favor de las personas con discapacidad, las entidades estatales deberán otorgar el uno por ciento (1%) del total de los puntos establecidos en el pliego de condiciones, a los proponentes que acrediten la vinculación de trabajadores con discapacidad en su planta de personal, de acuerdo con los siguientes requisitos:</w:t>
      </w:r>
    </w:p>
    <w:p w14:paraId="261EF88D" w14:textId="77777777" w:rsidR="00CB04C6" w:rsidRPr="007D56F7" w:rsidRDefault="00CB04C6" w:rsidP="007D56F7">
      <w:pPr>
        <w:pStyle w:val="Textoindependiente"/>
        <w:rPr>
          <w:sz w:val="21"/>
        </w:rPr>
      </w:pPr>
    </w:p>
    <w:p w14:paraId="0D31F445" w14:textId="77777777" w:rsidR="00CB04C6" w:rsidRPr="007D56F7" w:rsidRDefault="005F60AC" w:rsidP="007D56F7">
      <w:pPr>
        <w:pStyle w:val="Prrafodelista"/>
        <w:numPr>
          <w:ilvl w:val="0"/>
          <w:numId w:val="2"/>
        </w:numPr>
        <w:tabs>
          <w:tab w:val="left" w:pos="1261"/>
        </w:tabs>
        <w:spacing w:before="1"/>
        <w:ind w:right="1015" w:firstLine="0"/>
        <w:jc w:val="both"/>
        <w:rPr>
          <w:sz w:val="21"/>
        </w:rPr>
      </w:pPr>
      <w:r w:rsidRPr="007D56F7">
        <w:rPr>
          <w:sz w:val="21"/>
        </w:rPr>
        <w:t>La persona natural, el representante legal de la persona jurídica o el revisor fiscal, según corresponda, certificará el número total de trabajadores vinculados a la planta de personal del proponente o sus integrantes a la fecha de cierre del proceso de</w:t>
      </w:r>
      <w:r w:rsidRPr="007D56F7">
        <w:rPr>
          <w:spacing w:val="-3"/>
          <w:sz w:val="21"/>
        </w:rPr>
        <w:t xml:space="preserve"> </w:t>
      </w:r>
      <w:r w:rsidRPr="007D56F7">
        <w:rPr>
          <w:sz w:val="21"/>
        </w:rPr>
        <w:t>selección.</w:t>
      </w:r>
    </w:p>
    <w:p w14:paraId="5074B3A3" w14:textId="77777777" w:rsidR="00CB04C6" w:rsidRPr="007D56F7" w:rsidRDefault="00CB04C6" w:rsidP="007D56F7">
      <w:pPr>
        <w:pStyle w:val="Textoindependiente"/>
        <w:rPr>
          <w:sz w:val="21"/>
        </w:rPr>
      </w:pPr>
    </w:p>
    <w:p w14:paraId="281C5360" w14:textId="77777777" w:rsidR="00CB04C6" w:rsidRPr="007D56F7" w:rsidRDefault="005F60AC" w:rsidP="007D56F7">
      <w:pPr>
        <w:pStyle w:val="Prrafodelista"/>
        <w:numPr>
          <w:ilvl w:val="0"/>
          <w:numId w:val="2"/>
        </w:numPr>
        <w:tabs>
          <w:tab w:val="left" w:pos="1268"/>
        </w:tabs>
        <w:ind w:right="1014" w:firstLine="0"/>
        <w:jc w:val="both"/>
        <w:rPr>
          <w:sz w:val="21"/>
        </w:rPr>
      </w:pPr>
      <w:r w:rsidRPr="007D56F7">
        <w:rPr>
          <w:sz w:val="21"/>
        </w:rPr>
        <w:t>Acreditar el número mínimo de personas con discapacidad en su planta de personal, de conformidad con lo señalado en el certificado expedido por el Ministerio de Trabajo, el cual deberá estar vigente a la fecha de cierre del proceso de selección</w:t>
      </w:r>
      <w:r w:rsidRPr="007D56F7">
        <w:rPr>
          <w:spacing w:val="-4"/>
          <w:sz w:val="21"/>
        </w:rPr>
        <w:t xml:space="preserve"> </w:t>
      </w:r>
      <w:r w:rsidRPr="007D56F7">
        <w:rPr>
          <w:sz w:val="21"/>
        </w:rPr>
        <w:t>(…)</w:t>
      </w:r>
    </w:p>
    <w:p w14:paraId="61B75793" w14:textId="77777777" w:rsidR="00CB04C6" w:rsidRPr="007D56F7" w:rsidRDefault="00CB04C6" w:rsidP="007D56F7">
      <w:pPr>
        <w:pStyle w:val="Textoindependiente"/>
        <w:spacing w:before="1"/>
      </w:pPr>
    </w:p>
    <w:p w14:paraId="51A78A1A" w14:textId="77777777" w:rsidR="00CB04C6" w:rsidRPr="007D56F7" w:rsidRDefault="005F60AC" w:rsidP="007D56F7">
      <w:pPr>
        <w:pStyle w:val="Textoindependiente"/>
        <w:ind w:left="300" w:right="307"/>
        <w:jc w:val="both"/>
      </w:pPr>
      <w:r w:rsidRPr="007D56F7">
        <w:t xml:space="preserve">A partir de la anterior norma en los procesos de licitación pública o concurso de méritos para </w:t>
      </w:r>
      <w:r w:rsidRPr="007D56F7">
        <w:lastRenderedPageBreak/>
        <w:t>la obtención del puntaje adicional, por tener personas en condición de discapacidad vinculadas en la planta de personal, se deberá acreditar: i) el número total de trabajadores vinculados a la planta de personal; y ii) el número mínimo de personas con discapacidad en su planta de</w:t>
      </w:r>
      <w:r w:rsidRPr="007D56F7">
        <w:rPr>
          <w:spacing w:val="-5"/>
        </w:rPr>
        <w:t xml:space="preserve"> </w:t>
      </w:r>
      <w:r w:rsidRPr="007D56F7">
        <w:t>personal.</w:t>
      </w:r>
    </w:p>
    <w:p w14:paraId="2369F046" w14:textId="77777777" w:rsidR="00CB04C6" w:rsidRPr="007D56F7" w:rsidRDefault="00CB04C6" w:rsidP="007D56F7">
      <w:pPr>
        <w:pStyle w:val="Textoindependiente"/>
        <w:spacing w:before="4"/>
        <w:rPr>
          <w:sz w:val="25"/>
        </w:rPr>
      </w:pPr>
    </w:p>
    <w:p w14:paraId="32336554" w14:textId="77777777" w:rsidR="00CB04C6" w:rsidRPr="007D56F7" w:rsidRDefault="005F60AC" w:rsidP="007D56F7">
      <w:pPr>
        <w:pStyle w:val="Textoindependiente"/>
        <w:ind w:left="300" w:right="306"/>
        <w:jc w:val="both"/>
      </w:pPr>
      <w:r w:rsidRPr="007D56F7">
        <w:t>Para el primer requisito, la norma prevé que la persona natural, el representante legal de la persona jurídica o el revisor fiscal, según corresponda, deberá certificar el número total de trabajadores vinculados a la planta de personal del proponente o sus integrantes a la fecha de cierre del proceso de selección.</w:t>
      </w:r>
    </w:p>
    <w:p w14:paraId="78C30E52" w14:textId="77777777" w:rsidR="00CB04C6" w:rsidRPr="007D56F7" w:rsidRDefault="00CB04C6" w:rsidP="007D56F7">
      <w:pPr>
        <w:pStyle w:val="Textoindependiente"/>
        <w:spacing w:before="4"/>
        <w:rPr>
          <w:sz w:val="25"/>
        </w:rPr>
      </w:pPr>
    </w:p>
    <w:p w14:paraId="6E095294" w14:textId="77777777" w:rsidR="00CB04C6" w:rsidRPr="007D56F7" w:rsidRDefault="005F60AC" w:rsidP="007D56F7">
      <w:pPr>
        <w:pStyle w:val="Textoindependiente"/>
        <w:ind w:left="300" w:right="313"/>
        <w:jc w:val="both"/>
      </w:pPr>
      <w:r w:rsidRPr="007D56F7">
        <w:t>Para el caso de proponentes singulares, la acreditación de esta condición se realizará a través de certificación emitida por: i) la persona natural o ii) el representante legal de la persona jurídica o su revisor fiscal cuando esté obligado a tenerlo.</w:t>
      </w:r>
    </w:p>
    <w:p w14:paraId="76B1DC17" w14:textId="77777777" w:rsidR="00CB04C6" w:rsidRPr="007D56F7" w:rsidRDefault="00CB04C6" w:rsidP="007D56F7">
      <w:pPr>
        <w:pStyle w:val="Textoindependiente"/>
        <w:spacing w:before="2"/>
        <w:rPr>
          <w:sz w:val="25"/>
        </w:rPr>
      </w:pPr>
    </w:p>
    <w:p w14:paraId="205566F4" w14:textId="77777777" w:rsidR="00CB04C6" w:rsidRPr="007D56F7" w:rsidRDefault="005F60AC" w:rsidP="007D56F7">
      <w:pPr>
        <w:pStyle w:val="Textoindependiente"/>
        <w:spacing w:before="1"/>
        <w:ind w:left="300" w:right="310"/>
        <w:jc w:val="both"/>
      </w:pPr>
      <w:r w:rsidRPr="007D56F7">
        <w:t>Por su parte, cuando se trate de proponentes plurales, esto es, consorcio, unión temporal o promesa de sociedad futura, la acreditación de esta condición corresponderá al integrante o a los integrantes que la tengan, en la forma enunciada anteriormente. Por ende, la certificación del número de trabajadores vinculados a la planta de personal deberá ser emitida de forma independiente por cada uno de los integrantes, según se trate de persona natural o persona</w:t>
      </w:r>
      <w:r w:rsidRPr="007D56F7">
        <w:rPr>
          <w:spacing w:val="-5"/>
        </w:rPr>
        <w:t xml:space="preserve"> </w:t>
      </w:r>
      <w:r w:rsidRPr="007D56F7">
        <w:t>jurídica.</w:t>
      </w:r>
    </w:p>
    <w:p w14:paraId="075B5737" w14:textId="77777777" w:rsidR="00CB04C6" w:rsidRPr="007D56F7" w:rsidRDefault="00CB04C6" w:rsidP="007D56F7">
      <w:pPr>
        <w:pStyle w:val="Textoindependiente"/>
        <w:spacing w:before="7"/>
        <w:rPr>
          <w:sz w:val="20"/>
        </w:rPr>
      </w:pPr>
    </w:p>
    <w:p w14:paraId="562D91C6" w14:textId="77777777" w:rsidR="00CB04C6" w:rsidRPr="007D56F7" w:rsidRDefault="005F60AC" w:rsidP="007D56F7">
      <w:pPr>
        <w:pStyle w:val="Textoindependiente"/>
        <w:ind w:left="300" w:right="305"/>
        <w:jc w:val="both"/>
      </w:pPr>
      <w:r w:rsidRPr="007D56F7">
        <w:t>Para llegar a la anterior conclusión, es necesario tener en cuenta que esta condición es propia de la persona natural o jurídica que pretende acreditarla para la obtención del puntaje. Por lo tanto, cuando la norma señala “la planta de personal del proponente o sus integrantes”, esta debe ser entendida de acuerdo con el tipo de proponente que se presente al proceso de selección. Así, “proponente” se refiere tanto a las personas naturales o jurídicas que se presentan en singular, como a las estructuras plurales, trátese de consorcio o unión temporal. De allí que la expresión “o sus integrantes”, califica el proponente y se refiere a los integrantes de las estructuras plurales</w:t>
      </w:r>
      <w:r w:rsidRPr="007D56F7">
        <w:rPr>
          <w:spacing w:val="-28"/>
        </w:rPr>
        <w:t xml:space="preserve"> </w:t>
      </w:r>
      <w:r w:rsidRPr="007D56F7">
        <w:t>enunciadas.</w:t>
      </w:r>
    </w:p>
    <w:p w14:paraId="2D3E4CFF" w14:textId="77777777" w:rsidR="00CB04C6" w:rsidRPr="007D56F7" w:rsidRDefault="00CB04C6" w:rsidP="007D56F7">
      <w:pPr>
        <w:pStyle w:val="Textoindependiente"/>
        <w:spacing w:before="6"/>
        <w:rPr>
          <w:sz w:val="25"/>
        </w:rPr>
      </w:pPr>
    </w:p>
    <w:p w14:paraId="4A1C93F9" w14:textId="77777777" w:rsidR="00CB04C6" w:rsidRPr="007D56F7" w:rsidRDefault="005F60AC" w:rsidP="007D56F7">
      <w:pPr>
        <w:pStyle w:val="Textoindependiente"/>
        <w:ind w:left="300" w:right="310"/>
        <w:jc w:val="both"/>
      </w:pPr>
      <w:r w:rsidRPr="007D56F7">
        <w:t>Por otro lado, el parágrafo del artículo 2.2.1.2.4.2.6. establece la siguiente regla para las ofertas presentadas por proponentes plurales:</w:t>
      </w:r>
    </w:p>
    <w:p w14:paraId="4565A048" w14:textId="77777777" w:rsidR="00CB04C6" w:rsidRPr="007D56F7" w:rsidRDefault="00CB04C6" w:rsidP="007D56F7">
      <w:pPr>
        <w:pStyle w:val="Textoindependiente"/>
        <w:spacing w:before="5"/>
        <w:rPr>
          <w:sz w:val="25"/>
        </w:rPr>
      </w:pPr>
    </w:p>
    <w:p w14:paraId="66C2C86A" w14:textId="77777777" w:rsidR="00CB04C6" w:rsidRPr="007D56F7" w:rsidRDefault="005F60AC" w:rsidP="007D56F7">
      <w:pPr>
        <w:ind w:left="1008" w:right="1018"/>
        <w:jc w:val="both"/>
        <w:rPr>
          <w:sz w:val="21"/>
        </w:rPr>
      </w:pPr>
      <w:r w:rsidRPr="007D56F7">
        <w:rPr>
          <w:sz w:val="21"/>
        </w:rPr>
        <w:t>Parágrafo. Para efectos de lo señalado en el presente artículo, si la oferta es presentada por un consorcio, unión temporal o promesa de sociedad futura, se tendrá en cuenta la planta de personal del integrante del proponente plural que aporte como mínimo el cuarenta por ciento (40%) de la experiencia requerida para la respectiva contratación.</w:t>
      </w:r>
    </w:p>
    <w:p w14:paraId="598F77AD" w14:textId="77777777" w:rsidR="00CB04C6" w:rsidRPr="007D56F7" w:rsidRDefault="00CB04C6" w:rsidP="007D56F7">
      <w:pPr>
        <w:pStyle w:val="Textoindependiente"/>
        <w:spacing w:before="10"/>
        <w:rPr>
          <w:sz w:val="23"/>
        </w:rPr>
      </w:pPr>
    </w:p>
    <w:p w14:paraId="6FEF1AA3" w14:textId="77777777" w:rsidR="00CB04C6" w:rsidRPr="007D56F7" w:rsidRDefault="005F60AC" w:rsidP="007D56F7">
      <w:pPr>
        <w:pStyle w:val="Textoindependiente"/>
        <w:ind w:left="300" w:right="305"/>
        <w:jc w:val="both"/>
      </w:pPr>
      <w:r w:rsidRPr="007D56F7">
        <w:t>De acuerdo con este parágrafo, la entidad estatal tendrá en cuenta la planta de personal del integrante del proponente plural que aporte como mínimo el cuarenta por ciento (40%) de la experiencia requerida en el proceso de contratación. Así, como se señaló previamente, la acreditación de los requisitos corresponderá de forma independiente al integrante que aporte el porcentaje mínimo de experiencia</w:t>
      </w:r>
      <w:r w:rsidRPr="007D56F7">
        <w:rPr>
          <w:spacing w:val="-14"/>
        </w:rPr>
        <w:t xml:space="preserve"> </w:t>
      </w:r>
      <w:r w:rsidRPr="007D56F7">
        <w:t>requerida.</w:t>
      </w:r>
    </w:p>
    <w:p w14:paraId="42DDC38B" w14:textId="77777777" w:rsidR="00CB04C6" w:rsidRPr="007D56F7" w:rsidRDefault="00CB04C6" w:rsidP="007D56F7">
      <w:pPr>
        <w:pStyle w:val="Textoindependiente"/>
        <w:spacing w:before="6"/>
        <w:rPr>
          <w:sz w:val="25"/>
        </w:rPr>
      </w:pPr>
    </w:p>
    <w:p w14:paraId="50A38DBA" w14:textId="77777777" w:rsidR="00CB04C6" w:rsidRPr="007D56F7" w:rsidRDefault="005F60AC" w:rsidP="007D56F7">
      <w:pPr>
        <w:pStyle w:val="Textoindependiente"/>
        <w:ind w:left="300" w:right="311"/>
        <w:jc w:val="both"/>
      </w:pPr>
      <w:r w:rsidRPr="007D56F7">
        <w:t xml:space="preserve">Para la acreditación del segundo requisito, el número mínimo de personas en condición discapacidad en su planta de personal, se deberá aportar el certificado expedido por el </w:t>
      </w:r>
      <w:r w:rsidRPr="007D56F7">
        <w:lastRenderedPageBreak/>
        <w:t>Ministerio de Trabajo al proponente persona natural o jurídica, o al integrante de la estructura plural que cuente con esta condición. Este certificado deberá estar vigente al cierre del proceso de selección.</w:t>
      </w:r>
    </w:p>
    <w:p w14:paraId="2D80F76E" w14:textId="77777777" w:rsidR="00CB04C6" w:rsidRPr="007D56F7" w:rsidRDefault="00CB04C6" w:rsidP="007D56F7">
      <w:pPr>
        <w:pStyle w:val="Textoindependiente"/>
        <w:spacing w:before="3"/>
        <w:rPr>
          <w:sz w:val="25"/>
        </w:rPr>
      </w:pPr>
    </w:p>
    <w:p w14:paraId="47A10F27" w14:textId="77777777" w:rsidR="00E216A4" w:rsidRPr="007D56F7" w:rsidRDefault="005F60AC" w:rsidP="007D56F7">
      <w:pPr>
        <w:pStyle w:val="Textoindependiente"/>
        <w:ind w:left="300" w:right="307"/>
        <w:jc w:val="both"/>
      </w:pPr>
      <w:r w:rsidRPr="007D56F7">
        <w:t>De la lectura integral del artículo 2.2.1.2.4.2.6. ibidem, se observa que la solicitud de requisitos para la acreditación de la vinculación de personas en condición de discapacidad se refiere a cada uno de las personas naturales o jurídicas, bien sea de forma singular o como integrante de estructura plural, tal es el caso del certificado del Ministerio de Trabajo que se expide de forma independiente o de la planta de personal que se tiene en cuenta para la verificación del número de trabajadores en condición de discapacidad que se deben acreditar frente al número de trabajadores con que cuenta la planta de personal.</w:t>
      </w:r>
    </w:p>
    <w:p w14:paraId="08CF1CFE" w14:textId="77777777" w:rsidR="00E216A4" w:rsidRPr="007D56F7" w:rsidRDefault="00E216A4" w:rsidP="007D56F7">
      <w:pPr>
        <w:pStyle w:val="Textoindependiente"/>
        <w:ind w:left="300" w:right="307"/>
        <w:jc w:val="both"/>
      </w:pPr>
    </w:p>
    <w:p w14:paraId="0C97FD3D" w14:textId="77777777" w:rsidR="00CB04C6" w:rsidRPr="007D56F7" w:rsidRDefault="005F60AC" w:rsidP="007D56F7">
      <w:pPr>
        <w:pStyle w:val="Textoindependiente"/>
        <w:ind w:left="300" w:right="307"/>
        <w:jc w:val="both"/>
      </w:pPr>
      <w:r w:rsidRPr="007D56F7">
        <w:t>Por lo tanto, en los procesos de licitación o concurso de méritos deberá presentarse el certificado firmado por parte de la persona natural, el representante legal de la persona jurídica o el revisor fiscal del proponente o integrante que pretenda acreditar esta condición, acompañado del certificado expedido por el Ministerio de Trabajo, acorde con las consideraciones</w:t>
      </w:r>
      <w:r w:rsidRPr="007D56F7">
        <w:rPr>
          <w:spacing w:val="-3"/>
        </w:rPr>
        <w:t xml:space="preserve"> </w:t>
      </w:r>
      <w:r w:rsidRPr="007D56F7">
        <w:t>anteriores.</w:t>
      </w:r>
    </w:p>
    <w:p w14:paraId="3DDAD325" w14:textId="77777777" w:rsidR="00CB04C6" w:rsidRPr="007D56F7" w:rsidRDefault="00CB04C6" w:rsidP="007D56F7">
      <w:pPr>
        <w:pStyle w:val="Textoindependiente"/>
        <w:spacing w:before="3"/>
        <w:rPr>
          <w:sz w:val="25"/>
        </w:rPr>
      </w:pPr>
    </w:p>
    <w:p w14:paraId="0EE2FEF2" w14:textId="77777777" w:rsidR="00CB04C6" w:rsidRPr="007D56F7" w:rsidRDefault="005F60AC" w:rsidP="007D56F7">
      <w:pPr>
        <w:pStyle w:val="Ttulo1"/>
        <w:numPr>
          <w:ilvl w:val="0"/>
          <w:numId w:val="2"/>
        </w:numPr>
        <w:tabs>
          <w:tab w:val="left" w:pos="661"/>
        </w:tabs>
        <w:ind w:left="660" w:hanging="361"/>
        <w:jc w:val="left"/>
      </w:pPr>
      <w:r w:rsidRPr="007D56F7">
        <w:t>Respuesta</w:t>
      </w:r>
    </w:p>
    <w:p w14:paraId="355B4ED9" w14:textId="77777777" w:rsidR="00CB04C6" w:rsidRPr="007D56F7" w:rsidRDefault="00CB04C6" w:rsidP="007D56F7">
      <w:pPr>
        <w:pStyle w:val="Textoindependiente"/>
        <w:spacing w:before="7"/>
        <w:rPr>
          <w:b/>
          <w:sz w:val="28"/>
        </w:rPr>
      </w:pPr>
    </w:p>
    <w:p w14:paraId="0AECB8DF" w14:textId="77777777" w:rsidR="00CB04C6" w:rsidRPr="007D56F7" w:rsidRDefault="005F60AC" w:rsidP="007D56F7">
      <w:pPr>
        <w:pStyle w:val="Textoindependiente"/>
        <w:ind w:left="300" w:right="304"/>
        <w:jc w:val="both"/>
      </w:pPr>
      <w:r w:rsidRPr="007D56F7">
        <w:t>Las sociedades con una constitución menor a tres (3) años que acreditan la experiencia de sus socios pueden participar en procesos de contratación, bien sea como proponente singular o como proponente plural -consorcio, unión temporal o promesa de sociedad futura-. En ese sentido, para que se otorgue el puntaje adicional a los proponentes plurales con trabajadores en condición de discapacidad, se tendrá en cuenta al integrante que aporte como mínimo el cuarenta por ciento (40%) de la experiencia requerida en el proceso de contratación, y que cumpla con los siguientes requisitos: i) certificado expedido por la persona natural, el representante legal de la persona jurídica o el revisor fiscal y ii) certificado expedido por el Ministerio de Trabajo.</w:t>
      </w:r>
    </w:p>
    <w:p w14:paraId="367CF4EA" w14:textId="77777777" w:rsidR="00CB04C6" w:rsidRPr="007D56F7" w:rsidRDefault="00CB04C6" w:rsidP="007D56F7">
      <w:pPr>
        <w:pStyle w:val="Textoindependiente"/>
        <w:spacing w:before="5"/>
        <w:rPr>
          <w:sz w:val="25"/>
        </w:rPr>
      </w:pPr>
    </w:p>
    <w:p w14:paraId="72CC8DCC" w14:textId="77777777" w:rsidR="00CB04C6" w:rsidRPr="007D56F7" w:rsidRDefault="005F60AC" w:rsidP="007D56F7">
      <w:pPr>
        <w:ind w:left="300" w:right="307"/>
        <w:jc w:val="both"/>
        <w:rPr>
          <w:sz w:val="21"/>
        </w:rPr>
      </w:pPr>
      <w:r w:rsidRPr="007D56F7">
        <w:t xml:space="preserve">Por consiguiente, si el integrante del consorcio que aporta más del 40% de la experiencia exigida es una sociedad que tiene menos de tres (3) años de constituida, y acredita en su planta de personal personas en condición de discapacidad de acuerdo con los requisitos anunciados anteriormente, se le deberá otorgar </w:t>
      </w:r>
      <w:r w:rsidRPr="007D56F7">
        <w:rPr>
          <w:sz w:val="21"/>
        </w:rPr>
        <w:t>el uno por ciento (1%) del total de los puntos establecidos en el pliego de condiciones.</w:t>
      </w:r>
    </w:p>
    <w:p w14:paraId="2C68AE51" w14:textId="77777777" w:rsidR="00CB04C6" w:rsidRPr="007D56F7" w:rsidRDefault="00CB04C6" w:rsidP="007D56F7">
      <w:pPr>
        <w:pStyle w:val="Textoindependiente"/>
        <w:spacing w:before="4"/>
        <w:rPr>
          <w:sz w:val="25"/>
        </w:rPr>
      </w:pPr>
    </w:p>
    <w:p w14:paraId="46F41FC9" w14:textId="77777777" w:rsidR="00CB04C6" w:rsidRPr="007D56F7" w:rsidRDefault="005F60AC" w:rsidP="007D56F7">
      <w:pPr>
        <w:pStyle w:val="Textoindependiente"/>
        <w:ind w:left="300" w:right="312"/>
        <w:jc w:val="both"/>
      </w:pPr>
      <w:r w:rsidRPr="007D56F7">
        <w:t>Este concepto tiene el alcance previsto en el artículo 28 del Código de Procedimiento Administrativo y de lo Contencioso Administrativo.</w:t>
      </w:r>
    </w:p>
    <w:p w14:paraId="1E742B01" w14:textId="7E36C74C" w:rsidR="00CB04C6" w:rsidRPr="007D56F7" w:rsidRDefault="003A14DC" w:rsidP="007D56F7">
      <w:pPr>
        <w:pStyle w:val="Textoindependiente"/>
        <w:spacing w:before="8"/>
      </w:pPr>
      <w:r>
        <w:rPr>
          <w:noProof/>
          <w:lang w:val="en-US" w:eastAsia="en-US" w:bidi="ar-SA"/>
        </w:rPr>
        <mc:AlternateContent>
          <mc:Choice Requires="wps">
            <w:drawing>
              <wp:anchor distT="0" distB="0" distL="0" distR="0" simplePos="0" relativeHeight="251657728" behindDoc="1" locked="0" layoutInCell="1" allowOverlap="1" wp14:anchorId="69A275B1" wp14:editId="5A22A592">
                <wp:simplePos x="0" y="0"/>
                <wp:positionH relativeFrom="page">
                  <wp:posOffset>1514475</wp:posOffset>
                </wp:positionH>
                <wp:positionV relativeFrom="paragraph">
                  <wp:posOffset>196215</wp:posOffset>
                </wp:positionV>
                <wp:extent cx="4686300" cy="0"/>
                <wp:effectExtent l="0" t="0" r="0" b="0"/>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9525">
                          <a:solidFill>
                            <a:srgbClr val="DBDBD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BA41C0" id="Line 2" o:spid="_x0000_s1026" style="position:absolute;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19.25pt,15.45pt" to="488.2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" strokecolor="#dbdbdb">
                <w10:wrap type="topAndBottom" anchorx="page"/>
              </v:line>
            </w:pict>
          </mc:Fallback>
        </mc:AlternateContent>
      </w:r>
    </w:p>
    <w:p w14:paraId="1889E736" w14:textId="77777777" w:rsidR="00CB04C6" w:rsidRPr="007D56F7" w:rsidRDefault="00CB04C6" w:rsidP="007D56F7">
      <w:pPr>
        <w:pStyle w:val="Textoindependiente"/>
        <w:spacing w:before="5"/>
        <w:rPr>
          <w:sz w:val="20"/>
        </w:rPr>
      </w:pPr>
    </w:p>
    <w:p w14:paraId="7D77C945" w14:textId="72C59ED4" w:rsidR="00CB04C6" w:rsidRPr="007D56F7" w:rsidRDefault="005F60AC" w:rsidP="007D56F7">
      <w:pPr>
        <w:pStyle w:val="Textoindependiente"/>
        <w:ind w:left="300"/>
      </w:pPr>
      <w:r w:rsidRPr="007D56F7">
        <w:t>Atentamente,</w:t>
      </w:r>
    </w:p>
    <w:p w14:paraId="1A57F33D" w14:textId="77777777" w:rsidR="00FF2A15" w:rsidRPr="009D5D6D" w:rsidRDefault="00FF2A15" w:rsidP="00FF2A15">
      <w:pPr>
        <w:pStyle w:val="Textoindependiente"/>
        <w:jc w:val="center"/>
      </w:pPr>
      <w:r>
        <w:rPr>
          <w:noProof/>
          <w:lang w:val="en-US" w:eastAsia="en-US" w:bidi="ar-SA"/>
        </w:rPr>
        <w:drawing>
          <wp:inline distT="0" distB="0" distL="0" distR="0" wp14:anchorId="525C8FB2" wp14:editId="3108CDD2">
            <wp:extent cx="2773144" cy="988695"/>
            <wp:effectExtent l="0" t="0" r="0" b="0"/>
            <wp:docPr id="2091152478"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pic:nvPicPr>
                  <pic:blipFill>
                    <a:blip r:embed="rId11">
                      <a:extLst>
                        <a:ext uri="{28A0092B-C50C-407E-A947-70E740481C1C}">
                          <a14:useLocalDpi xmlns:a14="http://schemas.microsoft.com/office/drawing/2010/main" val="0"/>
                        </a:ext>
                      </a:extLst>
                    </a:blip>
                    <a:stretch>
                      <a:fillRect/>
                    </a:stretch>
                  </pic:blipFill>
                  <pic:spPr>
                    <a:xfrm>
                      <a:off x="0" y="0"/>
                      <a:ext cx="2773144" cy="988695"/>
                    </a:xfrm>
                    <a:prstGeom prst="rect">
                      <a:avLst/>
                    </a:prstGeom>
                  </pic:spPr>
                </pic:pic>
              </a:graphicData>
            </a:graphic>
          </wp:inline>
        </w:drawing>
      </w:r>
    </w:p>
    <w:p w14:paraId="77716748" w14:textId="226B327D" w:rsidR="00CB04C6" w:rsidRPr="007D56F7" w:rsidRDefault="005F60AC" w:rsidP="007D56F7">
      <w:pPr>
        <w:pStyle w:val="Textoindependiente"/>
        <w:spacing w:before="87"/>
        <w:ind w:left="300"/>
      </w:pPr>
      <w:r w:rsidRPr="007D56F7">
        <w:lastRenderedPageBreak/>
        <w:t>Proyectó: Sergio Mateo Avila</w:t>
      </w:r>
    </w:p>
    <w:sectPr w:rsidR="00CB04C6" w:rsidRPr="007D56F7">
      <w:headerReference w:type="default" r:id="rId12"/>
      <w:footerReference w:type="default" r:id="rId13"/>
      <w:pgSz w:w="12240" w:h="15840"/>
      <w:pgMar w:top="1560" w:right="1300" w:bottom="2140" w:left="14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E5FEE9" w14:textId="77777777" w:rsidR="00546D65" w:rsidRDefault="00546D65">
      <w:r>
        <w:separator/>
      </w:r>
    </w:p>
  </w:endnote>
  <w:endnote w:type="continuationSeparator" w:id="0">
    <w:p w14:paraId="681895C3" w14:textId="77777777" w:rsidR="00546D65" w:rsidRDefault="00546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5573A0" w14:textId="77777777" w:rsidR="00CB04C6" w:rsidRDefault="005F60AC">
    <w:pPr>
      <w:pStyle w:val="Textoindependiente"/>
      <w:spacing w:line="14" w:lineRule="auto"/>
      <w:rPr>
        <w:sz w:val="20"/>
      </w:rPr>
    </w:pPr>
    <w:r>
      <w:rPr>
        <w:noProof/>
        <w:lang w:val="en-US" w:eastAsia="en-US" w:bidi="ar-SA"/>
      </w:rPr>
      <w:drawing>
        <wp:anchor distT="0" distB="0" distL="0" distR="0" simplePos="0" relativeHeight="251659264" behindDoc="1" locked="0" layoutInCell="1" allowOverlap="1" wp14:anchorId="2978EF2C" wp14:editId="1F7C3F48">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23F5BB" w14:textId="77777777" w:rsidR="00546D65" w:rsidRDefault="00546D65">
      <w:r>
        <w:separator/>
      </w:r>
    </w:p>
  </w:footnote>
  <w:footnote w:type="continuationSeparator" w:id="0">
    <w:p w14:paraId="3FC790D1" w14:textId="77777777" w:rsidR="00546D65" w:rsidRDefault="00546D65">
      <w:r>
        <w:continuationSeparator/>
      </w:r>
    </w:p>
  </w:footnote>
  <w:footnote w:id="1">
    <w:p w14:paraId="4E2BA6C2" w14:textId="77777777" w:rsidR="00701375" w:rsidRPr="00953CF7" w:rsidRDefault="00701375" w:rsidP="00CF7B75">
      <w:pPr>
        <w:ind w:firstLine="720"/>
        <w:jc w:val="both"/>
        <w:rPr>
          <w:sz w:val="19"/>
          <w:szCs w:val="19"/>
        </w:rPr>
      </w:pPr>
      <w:r w:rsidRPr="00953CF7">
        <w:rPr>
          <w:rStyle w:val="Refdenotaalpie"/>
          <w:sz w:val="19"/>
          <w:szCs w:val="19"/>
        </w:rPr>
        <w:footnoteRef/>
      </w:r>
      <w:r w:rsidRPr="00953CF7">
        <w:rPr>
          <w:sz w:val="19"/>
          <w:szCs w:val="19"/>
        </w:rPr>
        <w:t xml:space="preserve"> Ley 1150 de 2007: “Artículo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7BA94673" w14:textId="77777777" w:rsidR="00701375" w:rsidRPr="00953CF7" w:rsidRDefault="00701375" w:rsidP="00CF7B75">
      <w:pPr>
        <w:pStyle w:val="Textoindependiente"/>
        <w:ind w:firstLine="720"/>
        <w:jc w:val="both"/>
        <w:rPr>
          <w:sz w:val="19"/>
          <w:szCs w:val="19"/>
        </w:rPr>
      </w:pPr>
    </w:p>
    <w:p w14:paraId="2800B226" w14:textId="77777777" w:rsidR="00701375" w:rsidRPr="00953CF7" w:rsidRDefault="00701375" w:rsidP="00CF7B75">
      <w:pPr>
        <w:jc w:val="both"/>
        <w:rPr>
          <w:sz w:val="19"/>
          <w:szCs w:val="19"/>
        </w:rPr>
      </w:pPr>
      <w:r w:rsidRPr="00953CF7">
        <w:rPr>
          <w:sz w:val="19"/>
          <w:szCs w:val="19"/>
        </w:rPr>
        <w:t xml:space="preserve">“1. La capacidad jurídica y las condiciones de experiencia, capacidad financiera y de organización de los proponentes serán objeto de verificación de cumplimiento como requisitos habilitantes para la participación en el proceso de selección </w:t>
      </w:r>
      <w:r w:rsidRPr="00953CF7">
        <w:rPr>
          <w:sz w:val="19"/>
          <w:szCs w:val="19"/>
          <w:u w:val="single" w:color="4D4D4D"/>
        </w:rPr>
        <w:t xml:space="preserve">y </w:t>
      </w:r>
      <w:r w:rsidRPr="00953CF7">
        <w:rPr>
          <w:sz w:val="19"/>
          <w:szCs w:val="19"/>
        </w:rPr>
        <w:t xml:space="preserve">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w:t>
      </w:r>
      <w:hyperlink r:id="rId1" w:anchor="6">
        <w:r w:rsidRPr="00953CF7">
          <w:rPr>
            <w:sz w:val="19"/>
            <w:szCs w:val="19"/>
            <w:u w:val="single" w:color="4D4D4D"/>
          </w:rPr>
          <w:t>6</w:t>
        </w:r>
      </w:hyperlink>
      <w:r w:rsidRPr="00953CF7">
        <w:rPr>
          <w:sz w:val="19"/>
          <w:szCs w:val="19"/>
        </w:rPr>
        <w:t>o de la presente ley, de acuerdo con lo cual se expedirá la respectiva</w:t>
      </w:r>
      <w:r w:rsidRPr="00953CF7">
        <w:rPr>
          <w:spacing w:val="-4"/>
          <w:sz w:val="19"/>
          <w:szCs w:val="19"/>
        </w:rPr>
        <w:t xml:space="preserve"> </w:t>
      </w:r>
      <w:r w:rsidRPr="00953CF7">
        <w:rPr>
          <w:sz w:val="19"/>
          <w:szCs w:val="19"/>
        </w:rPr>
        <w:t>certificación”.</w:t>
      </w:r>
    </w:p>
    <w:p w14:paraId="3DBF25C2" w14:textId="77777777" w:rsidR="00701375" w:rsidRPr="00953CF7" w:rsidRDefault="00701375" w:rsidP="00CF7B75">
      <w:pPr>
        <w:pStyle w:val="Textonotapie"/>
        <w:ind w:firstLine="720"/>
        <w:jc w:val="both"/>
        <w:rPr>
          <w:sz w:val="19"/>
          <w:szCs w:val="19"/>
          <w:lang w:val="es-CO"/>
        </w:rPr>
      </w:pPr>
    </w:p>
  </w:footnote>
  <w:footnote w:id="2">
    <w:p w14:paraId="69186807" w14:textId="77777777" w:rsidR="00701375" w:rsidRPr="00953CF7" w:rsidRDefault="00701375" w:rsidP="00CF7B75">
      <w:pPr>
        <w:pStyle w:val="Textonotapie"/>
        <w:ind w:firstLine="720"/>
        <w:jc w:val="both"/>
        <w:rPr>
          <w:sz w:val="19"/>
          <w:szCs w:val="19"/>
        </w:rPr>
      </w:pPr>
      <w:r w:rsidRPr="00953CF7">
        <w:rPr>
          <w:rStyle w:val="Refdenotaalpie"/>
          <w:sz w:val="19"/>
          <w:szCs w:val="19"/>
        </w:rPr>
        <w:footnoteRef/>
      </w:r>
      <w:r w:rsidRPr="00953CF7">
        <w:rPr>
          <w:sz w:val="19"/>
          <w:szCs w:val="19"/>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685BCB9A" w14:textId="77777777" w:rsidR="007730F9" w:rsidRPr="00953CF7" w:rsidRDefault="007730F9" w:rsidP="00CF7B75">
      <w:pPr>
        <w:pStyle w:val="Textonotapie"/>
        <w:ind w:firstLine="720"/>
        <w:jc w:val="both"/>
        <w:rPr>
          <w:sz w:val="19"/>
          <w:szCs w:val="19"/>
          <w:lang w:val="es-CO"/>
        </w:rPr>
      </w:pPr>
    </w:p>
  </w:footnote>
  <w:footnote w:id="3">
    <w:p w14:paraId="249EC4D7" w14:textId="77777777" w:rsidR="007730F9" w:rsidRPr="00953CF7" w:rsidRDefault="00701375" w:rsidP="00CF7B75">
      <w:pPr>
        <w:ind w:firstLine="720"/>
        <w:jc w:val="both"/>
        <w:rPr>
          <w:sz w:val="19"/>
          <w:szCs w:val="19"/>
        </w:rPr>
      </w:pPr>
      <w:r w:rsidRPr="00953CF7">
        <w:rPr>
          <w:rStyle w:val="Refdenotaalpie"/>
          <w:sz w:val="19"/>
          <w:szCs w:val="19"/>
        </w:rPr>
        <w:footnoteRef/>
      </w:r>
      <w:r w:rsidRPr="00953CF7">
        <w:rPr>
          <w:sz w:val="19"/>
          <w:szCs w:val="19"/>
        </w:rPr>
        <w:t xml:space="preserve"> </w:t>
      </w:r>
      <w:r w:rsidR="007730F9" w:rsidRPr="00953CF7">
        <w:rPr>
          <w:sz w:val="19"/>
          <w:szCs w:val="19"/>
        </w:rPr>
        <w:t xml:space="preserve">Decreto 1082 de 2015: “Artículo 2.2.1.1.1.5.2. </w:t>
      </w:r>
      <w:r w:rsidR="007730F9" w:rsidRPr="00953CF7">
        <w:rPr>
          <w:i/>
          <w:sz w:val="19"/>
          <w:szCs w:val="19"/>
        </w:rPr>
        <w:t xml:space="preserve">Información para inscripción, renovación o actualización. </w:t>
      </w:r>
      <w:r w:rsidR="007730F9" w:rsidRPr="00953CF7">
        <w:rPr>
          <w:sz w:val="19"/>
          <w:szCs w:val="19"/>
        </w:rPr>
        <w:t>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79F2232D" w14:textId="77777777" w:rsidR="007730F9" w:rsidRPr="00953CF7" w:rsidRDefault="007730F9" w:rsidP="00CF7B75">
      <w:pPr>
        <w:pStyle w:val="Textoindependiente"/>
        <w:ind w:firstLine="720"/>
        <w:jc w:val="both"/>
        <w:rPr>
          <w:sz w:val="19"/>
          <w:szCs w:val="19"/>
        </w:rPr>
      </w:pPr>
    </w:p>
    <w:p w14:paraId="593C6298" w14:textId="77777777" w:rsidR="007730F9" w:rsidRPr="00953CF7" w:rsidRDefault="007730F9" w:rsidP="00CF7B75">
      <w:pPr>
        <w:jc w:val="both"/>
        <w:rPr>
          <w:sz w:val="19"/>
          <w:szCs w:val="19"/>
        </w:rPr>
      </w:pPr>
      <w:r w:rsidRPr="00953CF7">
        <w:rPr>
          <w:sz w:val="19"/>
          <w:szCs w:val="19"/>
        </w:rPr>
        <w:t>“1. Si es una persona natural:</w:t>
      </w:r>
    </w:p>
    <w:p w14:paraId="7C9F34C3" w14:textId="77777777" w:rsidR="007730F9" w:rsidRPr="00953CF7" w:rsidRDefault="007730F9" w:rsidP="00CF7B75">
      <w:pPr>
        <w:pStyle w:val="Textoindependiente"/>
        <w:ind w:firstLine="720"/>
        <w:jc w:val="both"/>
        <w:rPr>
          <w:sz w:val="19"/>
          <w:szCs w:val="19"/>
        </w:rPr>
      </w:pPr>
    </w:p>
    <w:p w14:paraId="02B80AFD" w14:textId="77777777" w:rsidR="007730F9" w:rsidRPr="00953CF7" w:rsidRDefault="007730F9" w:rsidP="00CF7B75">
      <w:pPr>
        <w:jc w:val="both"/>
        <w:rPr>
          <w:sz w:val="19"/>
          <w:szCs w:val="19"/>
        </w:rPr>
      </w:pPr>
      <w:r w:rsidRPr="00953CF7">
        <w:rPr>
          <w:sz w:val="19"/>
          <w:szCs w:val="19"/>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w:t>
      </w:r>
      <w:r w:rsidRPr="00953CF7">
        <w:rPr>
          <w:spacing w:val="-11"/>
          <w:sz w:val="19"/>
          <w:szCs w:val="19"/>
        </w:rPr>
        <w:t xml:space="preserve"> </w:t>
      </w:r>
      <w:r w:rsidRPr="00953CF7">
        <w:rPr>
          <w:sz w:val="19"/>
          <w:szCs w:val="19"/>
        </w:rPr>
        <w:t>nivel”.</w:t>
      </w:r>
    </w:p>
    <w:p w14:paraId="698A3FFC" w14:textId="77777777" w:rsidR="00701375" w:rsidRPr="00953CF7" w:rsidRDefault="00701375" w:rsidP="00CF7B75">
      <w:pPr>
        <w:pStyle w:val="Textonotapie"/>
        <w:ind w:firstLine="720"/>
        <w:jc w:val="both"/>
        <w:rPr>
          <w:sz w:val="19"/>
          <w:szCs w:val="19"/>
          <w:lang w:val="es-CO"/>
        </w:rPr>
      </w:pPr>
    </w:p>
  </w:footnote>
  <w:footnote w:id="4">
    <w:p w14:paraId="77C5899A" w14:textId="77777777" w:rsidR="007730F9" w:rsidRPr="00953CF7" w:rsidRDefault="007730F9" w:rsidP="00CF7B75">
      <w:pPr>
        <w:pStyle w:val="Textonotapie"/>
        <w:ind w:firstLine="720"/>
        <w:jc w:val="both"/>
        <w:rPr>
          <w:sz w:val="19"/>
          <w:szCs w:val="19"/>
        </w:rPr>
      </w:pPr>
      <w:r w:rsidRPr="00953CF7">
        <w:rPr>
          <w:rStyle w:val="Refdenotaalpie"/>
          <w:sz w:val="19"/>
          <w:szCs w:val="19"/>
        </w:rPr>
        <w:footnoteRef/>
      </w:r>
      <w:r w:rsidRPr="00953CF7">
        <w:rPr>
          <w:sz w:val="19"/>
          <w:szCs w:val="19"/>
        </w:rPr>
        <w:t xml:space="preserve"> Colombia Compra Eficiente. Concepto del 7 de febrero de 2018, Rad. 2201813000000954.</w:t>
      </w:r>
    </w:p>
    <w:p w14:paraId="703CCEBB" w14:textId="77777777" w:rsidR="00FA6FFA" w:rsidRPr="00953CF7" w:rsidRDefault="00FA6FFA" w:rsidP="00CF7B75">
      <w:pPr>
        <w:pStyle w:val="Textonotapie"/>
        <w:ind w:firstLine="720"/>
        <w:jc w:val="both"/>
        <w:rPr>
          <w:sz w:val="19"/>
          <w:szCs w:val="19"/>
          <w:lang w:val="es-CO"/>
        </w:rPr>
      </w:pPr>
    </w:p>
  </w:footnote>
  <w:footnote w:id="5">
    <w:p w14:paraId="67D3CA73" w14:textId="77777777" w:rsidR="007730F9" w:rsidRPr="00953CF7" w:rsidRDefault="007730F9" w:rsidP="00CF7B75">
      <w:pPr>
        <w:pStyle w:val="Textonotapie"/>
        <w:ind w:firstLine="720"/>
        <w:jc w:val="both"/>
        <w:rPr>
          <w:sz w:val="19"/>
          <w:szCs w:val="19"/>
        </w:rPr>
      </w:pPr>
      <w:r w:rsidRPr="00953CF7">
        <w:rPr>
          <w:rStyle w:val="Refdenotaalpie"/>
          <w:sz w:val="19"/>
          <w:szCs w:val="19"/>
        </w:rPr>
        <w:footnoteRef/>
      </w:r>
      <w:r w:rsidRPr="00953CF7">
        <w:rPr>
          <w:sz w:val="19"/>
          <w:szCs w:val="19"/>
        </w:rPr>
        <w:t xml:space="preserve"> Colombia Compra Eficiente, Concepto del 3 de abril de 2018, Rad. 2201813000002553.</w:t>
      </w:r>
    </w:p>
    <w:p w14:paraId="430A9AFC" w14:textId="77777777" w:rsidR="00CF7B75" w:rsidRPr="00953CF7" w:rsidRDefault="00CF7B75" w:rsidP="00CF7B75">
      <w:pPr>
        <w:pStyle w:val="Textonotapie"/>
        <w:ind w:firstLine="720"/>
        <w:jc w:val="both"/>
        <w:rPr>
          <w:sz w:val="19"/>
          <w:szCs w:val="19"/>
          <w:lang w:val="es-CO"/>
        </w:rPr>
      </w:pPr>
    </w:p>
  </w:footnote>
  <w:footnote w:id="6">
    <w:p w14:paraId="08E87D08" w14:textId="77777777" w:rsidR="00FA6FFA" w:rsidRPr="00953CF7" w:rsidRDefault="00FA6FFA" w:rsidP="00CF7B75">
      <w:pPr>
        <w:pStyle w:val="Textonotapie"/>
        <w:ind w:firstLine="720"/>
        <w:jc w:val="both"/>
        <w:rPr>
          <w:sz w:val="19"/>
          <w:szCs w:val="19"/>
        </w:rPr>
      </w:pPr>
      <w:r w:rsidRPr="00953CF7">
        <w:rPr>
          <w:rStyle w:val="Refdenotaalpie"/>
          <w:sz w:val="19"/>
          <w:szCs w:val="19"/>
        </w:rPr>
        <w:footnoteRef/>
      </w:r>
      <w:r w:rsidRPr="00953CF7">
        <w:rPr>
          <w:sz w:val="19"/>
          <w:szCs w:val="19"/>
        </w:rPr>
        <w:t xml:space="preserve"> Ver: Colombia Compra Eficiente, Concepto del 10 de octubre de 2019, Rad. 2201913000007585; Concepto del 20 de agosto de 2019, Rad. 2201913000006028.</w:t>
      </w:r>
    </w:p>
    <w:p w14:paraId="5A115A52" w14:textId="77777777" w:rsidR="00FA6FFA" w:rsidRPr="00953CF7" w:rsidRDefault="00FA6FFA" w:rsidP="00CF7B75">
      <w:pPr>
        <w:pStyle w:val="Textonotapie"/>
        <w:ind w:firstLine="720"/>
        <w:jc w:val="both"/>
        <w:rPr>
          <w:sz w:val="19"/>
          <w:szCs w:val="19"/>
          <w:lang w:val="es-CO"/>
        </w:rPr>
      </w:pPr>
    </w:p>
  </w:footnote>
  <w:footnote w:id="7">
    <w:p w14:paraId="66C2E164" w14:textId="77777777" w:rsidR="00FA6FFA" w:rsidRPr="00953CF7" w:rsidRDefault="00FA6FFA" w:rsidP="00CF7B75">
      <w:pPr>
        <w:ind w:firstLine="720"/>
        <w:jc w:val="both"/>
        <w:rPr>
          <w:sz w:val="19"/>
          <w:szCs w:val="19"/>
        </w:rPr>
      </w:pPr>
      <w:r w:rsidRPr="00953CF7">
        <w:rPr>
          <w:rStyle w:val="Refdenotaalpie"/>
          <w:sz w:val="19"/>
          <w:szCs w:val="19"/>
        </w:rPr>
        <w:footnoteRef/>
      </w:r>
      <w:r w:rsidRPr="00953CF7">
        <w:rPr>
          <w:sz w:val="19"/>
          <w:szCs w:val="19"/>
        </w:rPr>
        <w:t xml:space="preserve"> Decreto 1082 de 2015: “Artículo 2.2.1.1.1.5.1. Inscripción, renovación, actualización y cancelación  del RUP. Las personas naturales y jurídicas, nacionales o extranjeras, con domicilio en Colombia, interesadas en participar en Procesos de Contratación convocados por las Entidades Estatales, deben estar inscritas en el RUP, salvo las excepciones previstas de forma taxativa en la</w:t>
      </w:r>
      <w:r w:rsidRPr="00953CF7">
        <w:rPr>
          <w:spacing w:val="-14"/>
          <w:sz w:val="19"/>
          <w:szCs w:val="19"/>
        </w:rPr>
        <w:t xml:space="preserve"> </w:t>
      </w:r>
      <w:r w:rsidRPr="00953CF7">
        <w:rPr>
          <w:sz w:val="19"/>
          <w:szCs w:val="19"/>
        </w:rPr>
        <w:t>ley.</w:t>
      </w:r>
    </w:p>
    <w:p w14:paraId="5D4D9EDB" w14:textId="77777777" w:rsidR="00CF7B75" w:rsidRPr="00953CF7" w:rsidRDefault="00CF7B75" w:rsidP="00CF7B75">
      <w:pPr>
        <w:jc w:val="both"/>
        <w:rPr>
          <w:sz w:val="19"/>
          <w:szCs w:val="19"/>
        </w:rPr>
      </w:pPr>
    </w:p>
    <w:p w14:paraId="05D4161F" w14:textId="77777777" w:rsidR="00FA6FFA" w:rsidRPr="00953CF7" w:rsidRDefault="00FA6FFA" w:rsidP="00CF7B75">
      <w:pPr>
        <w:jc w:val="both"/>
        <w:rPr>
          <w:sz w:val="19"/>
          <w:szCs w:val="19"/>
        </w:rPr>
      </w:pPr>
      <w:r w:rsidRPr="00953CF7">
        <w:rPr>
          <w:sz w:val="19"/>
          <w:szCs w:val="19"/>
        </w:rPr>
        <w:t>“La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p w14:paraId="34615F94" w14:textId="77777777" w:rsidR="00CF7B75" w:rsidRPr="00953CF7" w:rsidRDefault="00CF7B75" w:rsidP="00CF7B75">
      <w:pPr>
        <w:jc w:val="both"/>
        <w:rPr>
          <w:sz w:val="19"/>
          <w:szCs w:val="19"/>
        </w:rPr>
      </w:pPr>
    </w:p>
    <w:p w14:paraId="169C9313" w14:textId="77777777" w:rsidR="00FA6FFA" w:rsidRPr="00953CF7" w:rsidRDefault="00FA6FFA" w:rsidP="00CF7B75">
      <w:pPr>
        <w:jc w:val="both"/>
        <w:rPr>
          <w:sz w:val="19"/>
          <w:szCs w:val="19"/>
        </w:rPr>
      </w:pPr>
      <w:r w:rsidRPr="00953CF7">
        <w:rPr>
          <w:sz w:val="19"/>
          <w:szCs w:val="19"/>
        </w:rPr>
        <w:t>“Los inscritos en el RUP pueden en cualquier momento solicitar a la cámara de comercio cancelar su inscripción”.</w:t>
      </w:r>
    </w:p>
  </w:footnote>
  <w:footnote w:id="8">
    <w:p w14:paraId="0FC2FF5F" w14:textId="77777777" w:rsidR="002B3AA8" w:rsidRPr="00953CF7" w:rsidRDefault="002B3AA8" w:rsidP="00CF7B75">
      <w:pPr>
        <w:ind w:firstLine="720"/>
        <w:jc w:val="both"/>
        <w:rPr>
          <w:sz w:val="19"/>
          <w:szCs w:val="19"/>
          <w:lang w:val="es-CO"/>
        </w:rPr>
      </w:pPr>
      <w:r w:rsidRPr="00953CF7">
        <w:rPr>
          <w:rStyle w:val="Refdenotaalpie"/>
          <w:sz w:val="19"/>
          <w:szCs w:val="19"/>
        </w:rPr>
        <w:footnoteRef/>
      </w:r>
      <w:r w:rsidRPr="00953CF7">
        <w:rPr>
          <w:sz w:val="19"/>
          <w:szCs w:val="19"/>
        </w:rPr>
        <w:t xml:space="preserve"> “Artículo 1. Objeto. El objeto de la presente ley es garantizar y asegurar el ejercicio efectivo de los derechos de las personas con discapacidad, mediante la adopción de medidas de inclusión, acción afirmativa y de ajustes razonables y eliminando toda forma de discriminación por razón de discapacidad, en concordancia con la Ley 1346 de 2009”.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A42AE2" w14:textId="77777777" w:rsidR="00CB04C6" w:rsidRDefault="005F60AC">
    <w:pPr>
      <w:pStyle w:val="Textoindependiente"/>
      <w:spacing w:line="14" w:lineRule="auto"/>
      <w:rPr>
        <w:sz w:val="20"/>
      </w:rPr>
    </w:pPr>
    <w:r>
      <w:rPr>
        <w:noProof/>
        <w:lang w:val="en-US" w:eastAsia="en-US" w:bidi="ar-SA"/>
      </w:rPr>
      <w:drawing>
        <wp:anchor distT="0" distB="0" distL="0" distR="0" simplePos="0" relativeHeight="251657216" behindDoc="1" locked="0" layoutInCell="1" allowOverlap="1" wp14:anchorId="02C21615" wp14:editId="6AD5DC7F">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06395F"/>
    <w:multiLevelType w:val="multilevel"/>
    <w:tmpl w:val="7CB472FE"/>
    <w:lvl w:ilvl="0">
      <w:start w:val="1"/>
      <w:numFmt w:val="decimal"/>
      <w:lvlText w:val="%1."/>
      <w:lvlJc w:val="left"/>
      <w:pPr>
        <w:ind w:left="660" w:hanging="360"/>
        <w:jc w:val="left"/>
      </w:pPr>
      <w:rPr>
        <w:rFonts w:ascii="Arial" w:eastAsia="Arial" w:hAnsi="Arial" w:cs="Arial" w:hint="default"/>
        <w:b/>
        <w:bCs/>
        <w:color w:val="0D62A8"/>
        <w:spacing w:val="-8"/>
        <w:w w:val="100"/>
        <w:sz w:val="22"/>
        <w:szCs w:val="22"/>
        <w:lang w:val="es-ES" w:eastAsia="es-ES" w:bidi="es-ES"/>
      </w:rPr>
    </w:lvl>
    <w:lvl w:ilvl="1">
      <w:start w:val="1"/>
      <w:numFmt w:val="decimal"/>
      <w:lvlText w:val="%1.%2."/>
      <w:lvlJc w:val="left"/>
      <w:pPr>
        <w:ind w:left="725" w:hanging="425"/>
        <w:jc w:val="left"/>
      </w:pPr>
      <w:rPr>
        <w:rFonts w:ascii="Arial" w:eastAsia="Arial" w:hAnsi="Arial" w:cs="Arial" w:hint="default"/>
        <w:b/>
        <w:bCs/>
        <w:color w:val="4E4D4D"/>
        <w:spacing w:val="-1"/>
        <w:w w:val="100"/>
        <w:sz w:val="22"/>
        <w:szCs w:val="22"/>
        <w:lang w:val="es-ES" w:eastAsia="es-ES" w:bidi="es-ES"/>
      </w:rPr>
    </w:lvl>
    <w:lvl w:ilvl="2">
      <w:start w:val="1"/>
      <w:numFmt w:val="decimal"/>
      <w:lvlText w:val="%3."/>
      <w:lvlJc w:val="left"/>
      <w:pPr>
        <w:ind w:left="1008" w:hanging="325"/>
        <w:jc w:val="left"/>
      </w:pPr>
      <w:rPr>
        <w:rFonts w:ascii="Arial" w:eastAsia="Arial" w:hAnsi="Arial" w:cs="Arial" w:hint="default"/>
        <w:color w:val="4E4D4D"/>
        <w:spacing w:val="-28"/>
        <w:w w:val="100"/>
        <w:sz w:val="21"/>
        <w:szCs w:val="21"/>
        <w:lang w:val="es-ES" w:eastAsia="es-ES" w:bidi="es-ES"/>
      </w:rPr>
    </w:lvl>
    <w:lvl w:ilvl="3">
      <w:numFmt w:val="bullet"/>
      <w:lvlText w:val="•"/>
      <w:lvlJc w:val="left"/>
      <w:pPr>
        <w:ind w:left="2067" w:hanging="325"/>
      </w:pPr>
      <w:rPr>
        <w:rFonts w:hint="default"/>
        <w:lang w:val="es-ES" w:eastAsia="es-ES" w:bidi="es-ES"/>
      </w:rPr>
    </w:lvl>
    <w:lvl w:ilvl="4">
      <w:numFmt w:val="bullet"/>
      <w:lvlText w:val="•"/>
      <w:lvlJc w:val="left"/>
      <w:pPr>
        <w:ind w:left="3135" w:hanging="325"/>
      </w:pPr>
      <w:rPr>
        <w:rFonts w:hint="default"/>
        <w:lang w:val="es-ES" w:eastAsia="es-ES" w:bidi="es-ES"/>
      </w:rPr>
    </w:lvl>
    <w:lvl w:ilvl="5">
      <w:numFmt w:val="bullet"/>
      <w:lvlText w:val="•"/>
      <w:lvlJc w:val="left"/>
      <w:pPr>
        <w:ind w:left="4202" w:hanging="325"/>
      </w:pPr>
      <w:rPr>
        <w:rFonts w:hint="default"/>
        <w:lang w:val="es-ES" w:eastAsia="es-ES" w:bidi="es-ES"/>
      </w:rPr>
    </w:lvl>
    <w:lvl w:ilvl="6">
      <w:numFmt w:val="bullet"/>
      <w:lvlText w:val="•"/>
      <w:lvlJc w:val="left"/>
      <w:pPr>
        <w:ind w:left="5270" w:hanging="325"/>
      </w:pPr>
      <w:rPr>
        <w:rFonts w:hint="default"/>
        <w:lang w:val="es-ES" w:eastAsia="es-ES" w:bidi="es-ES"/>
      </w:rPr>
    </w:lvl>
    <w:lvl w:ilvl="7">
      <w:numFmt w:val="bullet"/>
      <w:lvlText w:val="•"/>
      <w:lvlJc w:val="left"/>
      <w:pPr>
        <w:ind w:left="6337" w:hanging="325"/>
      </w:pPr>
      <w:rPr>
        <w:rFonts w:hint="default"/>
        <w:lang w:val="es-ES" w:eastAsia="es-ES" w:bidi="es-ES"/>
      </w:rPr>
    </w:lvl>
    <w:lvl w:ilvl="8">
      <w:numFmt w:val="bullet"/>
      <w:lvlText w:val="•"/>
      <w:lvlJc w:val="left"/>
      <w:pPr>
        <w:ind w:left="7405" w:hanging="325"/>
      </w:pPr>
      <w:rPr>
        <w:rFonts w:hint="default"/>
        <w:lang w:val="es-ES" w:eastAsia="es-ES" w:bidi="es-ES"/>
      </w:rPr>
    </w:lvl>
  </w:abstractNum>
  <w:abstractNum w:abstractNumId="1" w15:restartNumberingAfterBreak="0">
    <w:nsid w:val="2C8C2B6E"/>
    <w:multiLevelType w:val="hybridMultilevel"/>
    <w:tmpl w:val="C636BACC"/>
    <w:lvl w:ilvl="0" w:tplc="CC72EE02">
      <w:start w:val="1"/>
      <w:numFmt w:val="decimal"/>
      <w:lvlText w:val="%1."/>
      <w:lvlJc w:val="left"/>
      <w:pPr>
        <w:ind w:left="1008" w:hanging="240"/>
        <w:jc w:val="left"/>
      </w:pPr>
      <w:rPr>
        <w:rFonts w:ascii="Arial" w:eastAsia="Arial" w:hAnsi="Arial" w:cs="Arial" w:hint="default"/>
        <w:color w:val="4E4D4D"/>
        <w:w w:val="100"/>
        <w:sz w:val="21"/>
        <w:szCs w:val="21"/>
        <w:lang w:val="es-ES" w:eastAsia="es-ES" w:bidi="es-ES"/>
      </w:rPr>
    </w:lvl>
    <w:lvl w:ilvl="1" w:tplc="68BEA412">
      <w:numFmt w:val="bullet"/>
      <w:lvlText w:val="•"/>
      <w:lvlJc w:val="left"/>
      <w:pPr>
        <w:ind w:left="1854" w:hanging="240"/>
      </w:pPr>
      <w:rPr>
        <w:rFonts w:hint="default"/>
        <w:lang w:val="es-ES" w:eastAsia="es-ES" w:bidi="es-ES"/>
      </w:rPr>
    </w:lvl>
    <w:lvl w:ilvl="2" w:tplc="BD6A350A">
      <w:numFmt w:val="bullet"/>
      <w:lvlText w:val="•"/>
      <w:lvlJc w:val="left"/>
      <w:pPr>
        <w:ind w:left="2708" w:hanging="240"/>
      </w:pPr>
      <w:rPr>
        <w:rFonts w:hint="default"/>
        <w:lang w:val="es-ES" w:eastAsia="es-ES" w:bidi="es-ES"/>
      </w:rPr>
    </w:lvl>
    <w:lvl w:ilvl="3" w:tplc="167E67C6">
      <w:numFmt w:val="bullet"/>
      <w:lvlText w:val="•"/>
      <w:lvlJc w:val="left"/>
      <w:pPr>
        <w:ind w:left="3562" w:hanging="240"/>
      </w:pPr>
      <w:rPr>
        <w:rFonts w:hint="default"/>
        <w:lang w:val="es-ES" w:eastAsia="es-ES" w:bidi="es-ES"/>
      </w:rPr>
    </w:lvl>
    <w:lvl w:ilvl="4" w:tplc="97CA958E">
      <w:numFmt w:val="bullet"/>
      <w:lvlText w:val="•"/>
      <w:lvlJc w:val="left"/>
      <w:pPr>
        <w:ind w:left="4416" w:hanging="240"/>
      </w:pPr>
      <w:rPr>
        <w:rFonts w:hint="default"/>
        <w:lang w:val="es-ES" w:eastAsia="es-ES" w:bidi="es-ES"/>
      </w:rPr>
    </w:lvl>
    <w:lvl w:ilvl="5" w:tplc="001A521C">
      <w:numFmt w:val="bullet"/>
      <w:lvlText w:val="•"/>
      <w:lvlJc w:val="left"/>
      <w:pPr>
        <w:ind w:left="5270" w:hanging="240"/>
      </w:pPr>
      <w:rPr>
        <w:rFonts w:hint="default"/>
        <w:lang w:val="es-ES" w:eastAsia="es-ES" w:bidi="es-ES"/>
      </w:rPr>
    </w:lvl>
    <w:lvl w:ilvl="6" w:tplc="718C7E42">
      <w:numFmt w:val="bullet"/>
      <w:lvlText w:val="•"/>
      <w:lvlJc w:val="left"/>
      <w:pPr>
        <w:ind w:left="6124" w:hanging="240"/>
      </w:pPr>
      <w:rPr>
        <w:rFonts w:hint="default"/>
        <w:lang w:val="es-ES" w:eastAsia="es-ES" w:bidi="es-ES"/>
      </w:rPr>
    </w:lvl>
    <w:lvl w:ilvl="7" w:tplc="2D7438A6">
      <w:numFmt w:val="bullet"/>
      <w:lvlText w:val="•"/>
      <w:lvlJc w:val="left"/>
      <w:pPr>
        <w:ind w:left="6978" w:hanging="240"/>
      </w:pPr>
      <w:rPr>
        <w:rFonts w:hint="default"/>
        <w:lang w:val="es-ES" w:eastAsia="es-ES" w:bidi="es-ES"/>
      </w:rPr>
    </w:lvl>
    <w:lvl w:ilvl="8" w:tplc="8B16570C">
      <w:numFmt w:val="bullet"/>
      <w:lvlText w:val="•"/>
      <w:lvlJc w:val="left"/>
      <w:pPr>
        <w:ind w:left="7832" w:hanging="240"/>
      </w:pPr>
      <w:rPr>
        <w:rFonts w:hint="default"/>
        <w:lang w:val="es-ES" w:eastAsia="es-ES" w:bidi="es-ES"/>
      </w:rPr>
    </w:lvl>
  </w:abstractNum>
  <w:abstractNum w:abstractNumId="2" w15:restartNumberingAfterBreak="0">
    <w:nsid w:val="723A60E6"/>
    <w:multiLevelType w:val="hybridMultilevel"/>
    <w:tmpl w:val="67267E48"/>
    <w:lvl w:ilvl="0" w:tplc="F6D01962">
      <w:start w:val="1"/>
      <w:numFmt w:val="decimal"/>
      <w:lvlText w:val="%1."/>
      <w:lvlJc w:val="left"/>
      <w:pPr>
        <w:ind w:left="1008" w:hanging="253"/>
        <w:jc w:val="right"/>
      </w:pPr>
      <w:rPr>
        <w:rFonts w:hint="default"/>
        <w:w w:val="100"/>
        <w:lang w:val="es-ES" w:eastAsia="es-ES" w:bidi="es-ES"/>
      </w:rPr>
    </w:lvl>
    <w:lvl w:ilvl="1" w:tplc="4A004800">
      <w:numFmt w:val="bullet"/>
      <w:lvlText w:val="•"/>
      <w:lvlJc w:val="left"/>
      <w:pPr>
        <w:ind w:left="1854" w:hanging="253"/>
      </w:pPr>
      <w:rPr>
        <w:rFonts w:hint="default"/>
        <w:lang w:val="es-ES" w:eastAsia="es-ES" w:bidi="es-ES"/>
      </w:rPr>
    </w:lvl>
    <w:lvl w:ilvl="2" w:tplc="927C207E">
      <w:numFmt w:val="bullet"/>
      <w:lvlText w:val="•"/>
      <w:lvlJc w:val="left"/>
      <w:pPr>
        <w:ind w:left="2708" w:hanging="253"/>
      </w:pPr>
      <w:rPr>
        <w:rFonts w:hint="default"/>
        <w:lang w:val="es-ES" w:eastAsia="es-ES" w:bidi="es-ES"/>
      </w:rPr>
    </w:lvl>
    <w:lvl w:ilvl="3" w:tplc="FA90E844">
      <w:numFmt w:val="bullet"/>
      <w:lvlText w:val="•"/>
      <w:lvlJc w:val="left"/>
      <w:pPr>
        <w:ind w:left="3562" w:hanging="253"/>
      </w:pPr>
      <w:rPr>
        <w:rFonts w:hint="default"/>
        <w:lang w:val="es-ES" w:eastAsia="es-ES" w:bidi="es-ES"/>
      </w:rPr>
    </w:lvl>
    <w:lvl w:ilvl="4" w:tplc="13563CD2">
      <w:numFmt w:val="bullet"/>
      <w:lvlText w:val="•"/>
      <w:lvlJc w:val="left"/>
      <w:pPr>
        <w:ind w:left="4416" w:hanging="253"/>
      </w:pPr>
      <w:rPr>
        <w:rFonts w:hint="default"/>
        <w:lang w:val="es-ES" w:eastAsia="es-ES" w:bidi="es-ES"/>
      </w:rPr>
    </w:lvl>
    <w:lvl w:ilvl="5" w:tplc="D2384110">
      <w:numFmt w:val="bullet"/>
      <w:lvlText w:val="•"/>
      <w:lvlJc w:val="left"/>
      <w:pPr>
        <w:ind w:left="5270" w:hanging="253"/>
      </w:pPr>
      <w:rPr>
        <w:rFonts w:hint="default"/>
        <w:lang w:val="es-ES" w:eastAsia="es-ES" w:bidi="es-ES"/>
      </w:rPr>
    </w:lvl>
    <w:lvl w:ilvl="6" w:tplc="86C6FE40">
      <w:numFmt w:val="bullet"/>
      <w:lvlText w:val="•"/>
      <w:lvlJc w:val="left"/>
      <w:pPr>
        <w:ind w:left="6124" w:hanging="253"/>
      </w:pPr>
      <w:rPr>
        <w:rFonts w:hint="default"/>
        <w:lang w:val="es-ES" w:eastAsia="es-ES" w:bidi="es-ES"/>
      </w:rPr>
    </w:lvl>
    <w:lvl w:ilvl="7" w:tplc="98C2E1FE">
      <w:numFmt w:val="bullet"/>
      <w:lvlText w:val="•"/>
      <w:lvlJc w:val="left"/>
      <w:pPr>
        <w:ind w:left="6978" w:hanging="253"/>
      </w:pPr>
      <w:rPr>
        <w:rFonts w:hint="default"/>
        <w:lang w:val="es-ES" w:eastAsia="es-ES" w:bidi="es-ES"/>
      </w:rPr>
    </w:lvl>
    <w:lvl w:ilvl="8" w:tplc="4C54B818">
      <w:numFmt w:val="bullet"/>
      <w:lvlText w:val="•"/>
      <w:lvlJc w:val="left"/>
      <w:pPr>
        <w:ind w:left="7832" w:hanging="253"/>
      </w:pPr>
      <w:rPr>
        <w:rFonts w:hint="default"/>
        <w:lang w:val="es-ES" w:eastAsia="es-ES" w:bidi="es-ES"/>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04C6"/>
    <w:rsid w:val="00081FEC"/>
    <w:rsid w:val="00236787"/>
    <w:rsid w:val="002B15BB"/>
    <w:rsid w:val="002B3AA8"/>
    <w:rsid w:val="003A14DC"/>
    <w:rsid w:val="00414B9A"/>
    <w:rsid w:val="00481476"/>
    <w:rsid w:val="004A79DC"/>
    <w:rsid w:val="00546D65"/>
    <w:rsid w:val="005F60AC"/>
    <w:rsid w:val="00624BA5"/>
    <w:rsid w:val="006F49DC"/>
    <w:rsid w:val="00701375"/>
    <w:rsid w:val="007730F9"/>
    <w:rsid w:val="007A2227"/>
    <w:rsid w:val="007C1ABE"/>
    <w:rsid w:val="007D4FC8"/>
    <w:rsid w:val="007D56F7"/>
    <w:rsid w:val="007F30CA"/>
    <w:rsid w:val="008E5472"/>
    <w:rsid w:val="00953CF7"/>
    <w:rsid w:val="009654FA"/>
    <w:rsid w:val="00A7754F"/>
    <w:rsid w:val="00B03E5C"/>
    <w:rsid w:val="00C3510E"/>
    <w:rsid w:val="00C4478F"/>
    <w:rsid w:val="00CB04C6"/>
    <w:rsid w:val="00CB5D2B"/>
    <w:rsid w:val="00CD07ED"/>
    <w:rsid w:val="00CD3835"/>
    <w:rsid w:val="00CF7B75"/>
    <w:rsid w:val="00D53F83"/>
    <w:rsid w:val="00E129B5"/>
    <w:rsid w:val="00E216A4"/>
    <w:rsid w:val="00E30BB7"/>
    <w:rsid w:val="00E34A06"/>
    <w:rsid w:val="00EE5D41"/>
    <w:rsid w:val="00F00CF9"/>
    <w:rsid w:val="00F024D4"/>
    <w:rsid w:val="00FA6FFA"/>
    <w:rsid w:val="00FF061A"/>
    <w:rsid w:val="00FF2A15"/>
    <w:rsid w:val="016E8358"/>
    <w:rsid w:val="09D75D80"/>
    <w:rsid w:val="20D3F8D3"/>
    <w:rsid w:val="23DDA0BD"/>
    <w:rsid w:val="241D3044"/>
    <w:rsid w:val="2612192A"/>
    <w:rsid w:val="27F7FA22"/>
    <w:rsid w:val="30020C51"/>
    <w:rsid w:val="3108CDD2"/>
    <w:rsid w:val="3C2FD908"/>
    <w:rsid w:val="4E138374"/>
    <w:rsid w:val="5255770B"/>
    <w:rsid w:val="6499D3F7"/>
    <w:rsid w:val="655E1AD0"/>
    <w:rsid w:val="6C59FB60"/>
    <w:rsid w:val="7CA4745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DDA2D"/>
  <w15:docId w15:val="{64E93064-8E07-4F82-8B90-CD8CDF393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eastAsia="Arial" w:hAnsi="Arial" w:cs="Arial"/>
      <w:lang w:val="es-ES" w:eastAsia="es-ES" w:bidi="es-ES"/>
    </w:rPr>
  </w:style>
  <w:style w:type="paragraph" w:styleId="Ttulo1">
    <w:name w:val="heading 1"/>
    <w:basedOn w:val="Normal"/>
    <w:uiPriority w:val="9"/>
    <w:qFormat/>
    <w:pPr>
      <w:ind w:left="660" w:hanging="361"/>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1008"/>
      <w:jc w:val="both"/>
    </w:pPr>
  </w:style>
  <w:style w:type="paragraph" w:customStyle="1" w:styleId="TableParagraph">
    <w:name w:val="Table Paragraph"/>
    <w:basedOn w:val="Normal"/>
    <w:uiPriority w:val="1"/>
    <w:qFormat/>
    <w:pPr>
      <w:spacing w:line="229" w:lineRule="exact"/>
      <w:ind w:left="200"/>
    </w:pPr>
  </w:style>
  <w:style w:type="paragraph" w:styleId="Textonotapie">
    <w:name w:val="footnote text"/>
    <w:basedOn w:val="Normal"/>
    <w:link w:val="TextonotapieCar"/>
    <w:uiPriority w:val="99"/>
    <w:semiHidden/>
    <w:unhideWhenUsed/>
    <w:rsid w:val="00701375"/>
    <w:rPr>
      <w:sz w:val="20"/>
      <w:szCs w:val="20"/>
    </w:rPr>
  </w:style>
  <w:style w:type="character" w:customStyle="1" w:styleId="TextonotapieCar">
    <w:name w:val="Texto nota pie Car"/>
    <w:basedOn w:val="Fuentedeprrafopredeter"/>
    <w:link w:val="Textonotapie"/>
    <w:uiPriority w:val="99"/>
    <w:semiHidden/>
    <w:rsid w:val="00701375"/>
    <w:rPr>
      <w:rFonts w:ascii="Arial" w:eastAsia="Arial" w:hAnsi="Arial" w:cs="Arial"/>
      <w:sz w:val="20"/>
      <w:szCs w:val="20"/>
      <w:lang w:val="es-ES" w:eastAsia="es-ES" w:bidi="es-ES"/>
    </w:rPr>
  </w:style>
  <w:style w:type="character" w:styleId="Refdenotaalpie">
    <w:name w:val="footnote reference"/>
    <w:basedOn w:val="Fuentedeprrafopredeter"/>
    <w:uiPriority w:val="99"/>
    <w:semiHidden/>
    <w:unhideWhenUsed/>
    <w:rsid w:val="00701375"/>
    <w:rPr>
      <w:vertAlign w:val="superscript"/>
    </w:rPr>
  </w:style>
  <w:style w:type="character" w:customStyle="1" w:styleId="TextoindependienteCar">
    <w:name w:val="Texto independiente Car"/>
    <w:basedOn w:val="Fuentedeprrafopredeter"/>
    <w:link w:val="Textoindependiente"/>
    <w:uiPriority w:val="1"/>
    <w:rsid w:val="00FF2A15"/>
    <w:rPr>
      <w:rFonts w:ascii="Arial" w:eastAsia="Arial" w:hAnsi="Arial" w:cs="Arial"/>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www.secretariasenado.gov.co/senado/basedoc/ley_1150_2007.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B88EBF-C4B2-4EC2-BD9A-B649DF12F6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1AC3FE-6BDB-4EB4-9AF1-C31017A14C92}">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FD0B4523-44CF-4483-AD86-8E2A84353FDF}">
  <ds:schemaRefs>
    <ds:schemaRef ds:uri="http://schemas.microsoft.com/sharepoint/v3/contenttype/forms"/>
  </ds:schemaRefs>
</ds:datastoreItem>
</file>

<file path=customXml/itemProps4.xml><?xml version="1.0" encoding="utf-8"?>
<ds:datastoreItem xmlns:ds="http://schemas.openxmlformats.org/officeDocument/2006/customXml" ds:itemID="{46219DCD-301D-48B1-9D9E-247236A754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5175</Words>
  <Characters>29502</Characters>
  <Application>Microsoft Office Word</Application>
  <DocSecurity>0</DocSecurity>
  <Lines>245</Lines>
  <Paragraphs>69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34608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2020-08-19T20:56:00Z</dcterms:created>
  <dcterms:modified xsi:type="dcterms:W3CDTF">2020-08-19T20:56:00Z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2019-12-09T00:00:00Z</vt:filetime>
  </property>
  <property fmtid="{D5CDD505-2E9C-101B-9397-08002B2CF9AE}" pid="3" name="Creator">
    <vt:lpwstr>Microsoft Word</vt:lpwstr>
  </property>
  <property fmtid="{D5CDD505-2E9C-101B-9397-08002B2CF9AE}" pid="4" name="LastSaved">
    <vt:filetime>2020-04-01T00:00:00Z</vt:filetime>
  </property>
  <property fmtid="{D5CDD505-2E9C-101B-9397-08002B2CF9AE}" pid="5" name="ContentTypeId">
    <vt:lpwstr>0x010100F2E0F32964D9B84EA054B84E5D4157A0</vt:lpwstr>
  </property>
</Properties>
</file>