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5A344" w14:textId="3D01756E" w:rsidR="0030493A" w:rsidRDefault="006A2E57" w:rsidP="00A15F68">
      <w:pPr>
        <w:spacing w:before="95"/>
        <w:ind w:right="107"/>
        <w:jc w:val="right"/>
        <w:rPr>
          <w:b/>
          <w:sz w:val="20"/>
        </w:rPr>
      </w:pPr>
      <w:r>
        <w:rPr>
          <w:b/>
          <w:sz w:val="16"/>
        </w:rPr>
        <w:t>CCE-DES-FM-17</w:t>
      </w:r>
    </w:p>
    <w:p w14:paraId="4E05A345" w14:textId="77777777" w:rsidR="007B5E7F" w:rsidRDefault="007B5E7F" w:rsidP="007B5E7F">
      <w:pPr>
        <w:pStyle w:val="Textoindependiente"/>
        <w:ind w:left="301" w:right="102"/>
        <w:jc w:val="both"/>
      </w:pPr>
    </w:p>
    <w:p w14:paraId="4E05A346" w14:textId="098D1405" w:rsidR="007B5E7F" w:rsidRPr="007B5E7F" w:rsidRDefault="007B5E7F" w:rsidP="007B5E7F">
      <w:pPr>
        <w:pStyle w:val="Textoindependiente"/>
        <w:ind w:left="301" w:right="102"/>
        <w:jc w:val="both"/>
        <w:rPr>
          <w:b/>
        </w:rPr>
      </w:pPr>
      <w:r>
        <w:rPr>
          <w:b/>
        </w:rPr>
        <w:t xml:space="preserve">EXPERIENCIA </w:t>
      </w:r>
      <w:r w:rsidR="00164DD3" w:rsidRPr="00742F11">
        <w:rPr>
          <w:b/>
        </w:rPr>
        <w:t>–</w:t>
      </w:r>
      <w:r>
        <w:t xml:space="preserve"> </w:t>
      </w:r>
      <w:r>
        <w:rPr>
          <w:b/>
        </w:rPr>
        <w:t xml:space="preserve">Acreditación en RUP </w:t>
      </w:r>
    </w:p>
    <w:p w14:paraId="4E05A347" w14:textId="77777777" w:rsidR="007B5E7F" w:rsidRPr="007B5E7F" w:rsidRDefault="007B5E7F" w:rsidP="007B5E7F">
      <w:pPr>
        <w:pStyle w:val="Textoindependiente"/>
        <w:ind w:left="301" w:right="102"/>
        <w:jc w:val="both"/>
        <w:rPr>
          <w:sz w:val="21"/>
          <w:szCs w:val="21"/>
        </w:rPr>
      </w:pPr>
    </w:p>
    <w:p w14:paraId="4E05A348" w14:textId="0A3D5F38" w:rsidR="007B5E7F" w:rsidRDefault="007B5E7F" w:rsidP="007B5E7F">
      <w:pPr>
        <w:pStyle w:val="Textoindependiente"/>
        <w:ind w:left="301" w:right="102"/>
        <w:jc w:val="both"/>
        <w:rPr>
          <w:sz w:val="20"/>
          <w:szCs w:val="20"/>
        </w:rPr>
      </w:pPr>
      <w:r w:rsidRPr="008F4F3F">
        <w:rPr>
          <w:sz w:val="20"/>
          <w:szCs w:val="20"/>
        </w:rPr>
        <w:t xml:space="preserve">La experiencia que se deriva de los contratos que el proponente ha celebrado y ejecutado con diferentes contratantes, sin importar la naturaleza de estos, se verifica con </w:t>
      </w:r>
      <w:r w:rsidRPr="008F4F3F">
        <w:rPr>
          <w:spacing w:val="2"/>
          <w:sz w:val="20"/>
          <w:szCs w:val="20"/>
        </w:rPr>
        <w:t xml:space="preserve">el </w:t>
      </w:r>
      <w:r w:rsidRPr="008F4F3F">
        <w:rPr>
          <w:sz w:val="20"/>
          <w:szCs w:val="20"/>
        </w:rPr>
        <w:t>Registro Único de Proponentes (RUP), cuando este certificado sea exigible de acuerdo con la ley, en el cual constan los requisitos habilitantes que se evalúan exclusivamente con este documento, que es su plena prueba, sin que le sea posible a la entidad o al proponente solicitar o aportar otra</w:t>
      </w:r>
      <w:r w:rsidRPr="008F4F3F">
        <w:rPr>
          <w:spacing w:val="-8"/>
          <w:sz w:val="20"/>
          <w:szCs w:val="20"/>
        </w:rPr>
        <w:t xml:space="preserve"> </w:t>
      </w:r>
      <w:r w:rsidRPr="008F4F3F">
        <w:rPr>
          <w:sz w:val="20"/>
          <w:szCs w:val="20"/>
        </w:rPr>
        <w:t>documentación.</w:t>
      </w:r>
    </w:p>
    <w:p w14:paraId="6F7AAF7F" w14:textId="50AB9844" w:rsidR="00D46594" w:rsidRDefault="00D46594" w:rsidP="007B5E7F">
      <w:pPr>
        <w:pStyle w:val="Textoindependiente"/>
        <w:ind w:left="301" w:right="102"/>
        <w:jc w:val="both"/>
        <w:rPr>
          <w:sz w:val="20"/>
          <w:szCs w:val="20"/>
        </w:rPr>
      </w:pPr>
    </w:p>
    <w:p w14:paraId="781A9300" w14:textId="16759682" w:rsidR="00D46594" w:rsidRPr="00D46594" w:rsidRDefault="00D46594" w:rsidP="00D46594">
      <w:pPr>
        <w:pStyle w:val="Textoindependiente"/>
        <w:ind w:left="301" w:right="102"/>
        <w:jc w:val="both"/>
        <w:rPr>
          <w:b/>
        </w:rPr>
      </w:pPr>
      <w:r>
        <w:rPr>
          <w:b/>
        </w:rPr>
        <w:t>FUSIÓN DE SOCIEDADES – Fusión por absorción –</w:t>
      </w:r>
      <w:r w:rsidR="004006B4">
        <w:rPr>
          <w:b/>
        </w:rPr>
        <w:t xml:space="preserve"> Transferencia de experiencia</w:t>
      </w:r>
    </w:p>
    <w:p w14:paraId="55F29643" w14:textId="77777777" w:rsidR="00D46594" w:rsidRPr="00D46594" w:rsidRDefault="00D46594" w:rsidP="00D46594">
      <w:pPr>
        <w:pStyle w:val="Textoindependiente"/>
        <w:ind w:left="301" w:right="102"/>
        <w:jc w:val="both"/>
        <w:rPr>
          <w:b/>
          <w:sz w:val="20"/>
          <w:szCs w:val="20"/>
        </w:rPr>
      </w:pPr>
    </w:p>
    <w:p w14:paraId="2E866A47" w14:textId="77777777" w:rsidR="00D46594" w:rsidRPr="00D46594" w:rsidRDefault="00D46594" w:rsidP="00D46594">
      <w:pPr>
        <w:pStyle w:val="Textoindependiente"/>
        <w:spacing w:after="120"/>
        <w:ind w:left="301" w:right="102"/>
        <w:jc w:val="both"/>
        <w:rPr>
          <w:sz w:val="20"/>
          <w:szCs w:val="20"/>
        </w:rPr>
      </w:pPr>
      <w:r w:rsidRPr="00D46594">
        <w:rPr>
          <w:sz w:val="20"/>
          <w:szCs w:val="20"/>
        </w:rPr>
        <w:t>En la fusión por absorción, cuando una sociedad se “disuelve”, es decir, es una persona jurídica que no desaparece pero solo podría hacer los trámites de su liquidación, ya que únicamente tiene capacidad jurídica para ello, de acuerdo con el artículo 222 del Código de Comercio, por excepción prevista en el mismo código citado puede continuar a través de otra sociedad, como es el caso de la fusión -por absorción o por creación-, lo que significa que no se liquida, ya que si esto ocurre desaparece para el ámbito jurídico, y su experiencia seguiría la misma suerte; sin embargo el legislador creó esta figura para que haya transferencia de experiencia, lo cual es diferente a compartir la experiencia, como ocurre en los esquemas asociativos -consorcios y uniones temporales-, donde se unen 2 o más personas, sin disolverse y sin continuar una persona por otra, sino que cada miembro del proponente plural permanece en su individualidad jurídica, tanto es así que los esquemas no tienen personería jurídica, lo cual es contrario a lo que sucede cuando se traslada la experiencia de una persona a otra, porque las dos no coexisten sino que una persona continúa a través de la otra, ya que el legislador así lo dispuso.</w:t>
      </w:r>
    </w:p>
    <w:p w14:paraId="75A7E242" w14:textId="77777777" w:rsidR="00D46594" w:rsidRPr="00D46594" w:rsidRDefault="00D46594" w:rsidP="00D46594">
      <w:pPr>
        <w:pStyle w:val="Textoindependiente"/>
        <w:ind w:left="301" w:right="102"/>
        <w:jc w:val="both"/>
        <w:rPr>
          <w:sz w:val="20"/>
          <w:szCs w:val="20"/>
        </w:rPr>
      </w:pPr>
      <w:r w:rsidRPr="00D46594">
        <w:rPr>
          <w:sz w:val="20"/>
          <w:szCs w:val="20"/>
        </w:rP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14:paraId="4E05A34C" w14:textId="0445AD55" w:rsidR="007B5E7F" w:rsidRDefault="007B5E7F">
      <w:pPr>
        <w:pStyle w:val="Textoindependiente"/>
        <w:spacing w:before="7"/>
        <w:rPr>
          <w:b/>
          <w:sz w:val="20"/>
        </w:rPr>
      </w:pPr>
    </w:p>
    <w:p w14:paraId="00173B1F" w14:textId="77777777" w:rsidR="00164DD3" w:rsidRDefault="00164DD3">
      <w:pPr>
        <w:pStyle w:val="Textoindependiente"/>
        <w:spacing w:before="7"/>
        <w:rPr>
          <w:b/>
          <w:sz w:val="20"/>
        </w:rPr>
      </w:pPr>
    </w:p>
    <w:p w14:paraId="4E05A34D" w14:textId="77777777" w:rsidR="0030493A" w:rsidRDefault="006A2E57">
      <w:pPr>
        <w:spacing w:before="93"/>
        <w:ind w:left="300"/>
        <w:rPr>
          <w:b/>
        </w:rPr>
      </w:pPr>
      <w:r>
        <w:t xml:space="preserve">Bogotá D.C., </w:t>
      </w:r>
      <w:r>
        <w:rPr>
          <w:b/>
        </w:rPr>
        <w:t>12/02/2020 Hora 20:33:1s</w:t>
      </w:r>
    </w:p>
    <w:p w14:paraId="4E05A34E" w14:textId="77777777" w:rsidR="0030493A" w:rsidRDefault="006A2E57">
      <w:pPr>
        <w:pStyle w:val="Ttulo1"/>
        <w:spacing w:before="159"/>
        <w:ind w:left="5839"/>
      </w:pPr>
      <w:r>
        <w:t>N° Radicado: 2202013000000921</w:t>
      </w:r>
    </w:p>
    <w:p w14:paraId="4E05A34F" w14:textId="77777777" w:rsidR="0030493A" w:rsidRDefault="0030493A">
      <w:pPr>
        <w:pStyle w:val="Textoindependiente"/>
        <w:rPr>
          <w:b/>
          <w:sz w:val="20"/>
        </w:rPr>
      </w:pPr>
    </w:p>
    <w:p w14:paraId="4E05A350" w14:textId="77777777" w:rsidR="0030493A" w:rsidRDefault="0030493A">
      <w:pPr>
        <w:pStyle w:val="Textoindependiente"/>
        <w:spacing w:before="6"/>
        <w:rPr>
          <w:b/>
          <w:sz w:val="21"/>
        </w:rPr>
      </w:pPr>
    </w:p>
    <w:p w14:paraId="4E05A351" w14:textId="77777777" w:rsidR="0030493A" w:rsidRDefault="006A2E57">
      <w:pPr>
        <w:pStyle w:val="Textoindependiente"/>
        <w:spacing w:before="93" w:line="253" w:lineRule="exact"/>
        <w:ind w:left="300"/>
      </w:pPr>
      <w:r>
        <w:t>Señor</w:t>
      </w:r>
    </w:p>
    <w:p w14:paraId="4E05A352" w14:textId="77777777" w:rsidR="0030493A" w:rsidRDefault="006A2E57">
      <w:pPr>
        <w:pStyle w:val="Ttulo1"/>
        <w:spacing w:line="253" w:lineRule="exact"/>
      </w:pPr>
      <w:r>
        <w:t>Aldo Quintero</w:t>
      </w:r>
    </w:p>
    <w:p w14:paraId="4E05A353" w14:textId="77777777" w:rsidR="0030493A" w:rsidRDefault="006A2E57">
      <w:pPr>
        <w:pStyle w:val="Textoindependiente"/>
        <w:spacing w:line="253" w:lineRule="exact"/>
        <w:ind w:left="300"/>
      </w:pPr>
      <w:r>
        <w:t>Cartagena, Bolívar</w:t>
      </w:r>
    </w:p>
    <w:p w14:paraId="4E05A354" w14:textId="77777777" w:rsidR="0030493A" w:rsidRDefault="006A2E57">
      <w:pPr>
        <w:pStyle w:val="Ttulo1"/>
        <w:spacing w:line="253" w:lineRule="exact"/>
        <w:ind w:left="3391"/>
      </w:pPr>
      <w:r>
        <w:t>Concepto C ─ 002 de 2020</w:t>
      </w:r>
    </w:p>
    <w:p w14:paraId="4E05A355" w14:textId="77777777" w:rsidR="0030493A" w:rsidRDefault="0030493A">
      <w:pPr>
        <w:pStyle w:val="Textoindependiente"/>
        <w:spacing w:before="6"/>
        <w:rPr>
          <w:b/>
        </w:rPr>
      </w:pPr>
    </w:p>
    <w:tbl>
      <w:tblPr>
        <w:tblStyle w:val="TableNormal"/>
        <w:tblW w:w="0" w:type="auto"/>
        <w:tblInd w:w="108" w:type="dxa"/>
        <w:tblLayout w:type="fixed"/>
        <w:tblLook w:val="01E0" w:firstRow="1" w:lastRow="1" w:firstColumn="1" w:lastColumn="1" w:noHBand="0" w:noVBand="0"/>
      </w:tblPr>
      <w:tblGrid>
        <w:gridCol w:w="2169"/>
        <w:gridCol w:w="5240"/>
      </w:tblGrid>
      <w:tr w:rsidR="0030493A" w14:paraId="4E05A358" w14:textId="77777777">
        <w:trPr>
          <w:trHeight w:val="376"/>
        </w:trPr>
        <w:tc>
          <w:tcPr>
            <w:tcW w:w="2169" w:type="dxa"/>
          </w:tcPr>
          <w:p w14:paraId="4E05A356" w14:textId="77777777" w:rsidR="0030493A" w:rsidRDefault="006A2E57">
            <w:pPr>
              <w:pStyle w:val="TableParagraph"/>
              <w:spacing w:line="246" w:lineRule="exact"/>
              <w:ind w:left="200"/>
              <w:rPr>
                <w:b/>
              </w:rPr>
            </w:pPr>
            <w:r>
              <w:rPr>
                <w:b/>
              </w:rPr>
              <w:t>Temas:</w:t>
            </w:r>
          </w:p>
        </w:tc>
        <w:tc>
          <w:tcPr>
            <w:tcW w:w="5240" w:type="dxa"/>
          </w:tcPr>
          <w:p w14:paraId="4E05A357" w14:textId="77777777" w:rsidR="0030493A" w:rsidRDefault="006A2E57">
            <w:pPr>
              <w:pStyle w:val="TableParagraph"/>
              <w:spacing w:line="246" w:lineRule="exact"/>
              <w:ind w:left="721"/>
            </w:pPr>
            <w:r>
              <w:t>Experiencia, otros</w:t>
            </w:r>
          </w:p>
        </w:tc>
      </w:tr>
      <w:tr w:rsidR="0030493A" w14:paraId="4E05A35B" w14:textId="77777777">
        <w:trPr>
          <w:trHeight w:val="376"/>
        </w:trPr>
        <w:tc>
          <w:tcPr>
            <w:tcW w:w="2169" w:type="dxa"/>
          </w:tcPr>
          <w:p w14:paraId="4E05A359" w14:textId="77777777" w:rsidR="0030493A" w:rsidRDefault="006A2E57">
            <w:pPr>
              <w:pStyle w:val="TableParagraph"/>
              <w:spacing w:before="123" w:line="233" w:lineRule="exact"/>
              <w:ind w:left="200"/>
              <w:rPr>
                <w:b/>
              </w:rPr>
            </w:pPr>
            <w:r>
              <w:rPr>
                <w:b/>
              </w:rPr>
              <w:t>Radicación:</w:t>
            </w:r>
          </w:p>
        </w:tc>
        <w:tc>
          <w:tcPr>
            <w:tcW w:w="5240" w:type="dxa"/>
          </w:tcPr>
          <w:p w14:paraId="4E05A35A" w14:textId="77777777" w:rsidR="0030493A" w:rsidRDefault="006A2E57">
            <w:pPr>
              <w:pStyle w:val="TableParagraph"/>
              <w:spacing w:before="123" w:line="233" w:lineRule="exact"/>
              <w:ind w:left="721"/>
            </w:pPr>
            <w:r>
              <w:t>Respuesta a consulta # 4201912000007744</w:t>
            </w:r>
          </w:p>
        </w:tc>
      </w:tr>
    </w:tbl>
    <w:p w14:paraId="4E05A35C" w14:textId="77777777" w:rsidR="0030493A" w:rsidRDefault="0030493A">
      <w:pPr>
        <w:pStyle w:val="Textoindependiente"/>
        <w:rPr>
          <w:b/>
          <w:sz w:val="20"/>
        </w:rPr>
      </w:pPr>
    </w:p>
    <w:p w14:paraId="4E05A35D" w14:textId="77777777" w:rsidR="0030493A" w:rsidRDefault="0030493A">
      <w:pPr>
        <w:pStyle w:val="Textoindependiente"/>
        <w:rPr>
          <w:b/>
          <w:sz w:val="20"/>
        </w:rPr>
      </w:pPr>
    </w:p>
    <w:p w14:paraId="4E05A35E" w14:textId="77777777" w:rsidR="0030493A" w:rsidRDefault="0030493A">
      <w:pPr>
        <w:pStyle w:val="Textoindependiente"/>
        <w:rPr>
          <w:b/>
          <w:sz w:val="20"/>
        </w:rPr>
      </w:pPr>
    </w:p>
    <w:p w14:paraId="4E05A35F" w14:textId="77777777" w:rsidR="0030493A" w:rsidRDefault="0030493A">
      <w:pPr>
        <w:pStyle w:val="Textoindependiente"/>
        <w:spacing w:before="10"/>
        <w:rPr>
          <w:b/>
          <w:sz w:val="21"/>
        </w:rPr>
      </w:pPr>
    </w:p>
    <w:p w14:paraId="4E05A360" w14:textId="77777777" w:rsidR="0030493A" w:rsidRDefault="006A2E57">
      <w:pPr>
        <w:pStyle w:val="Textoindependiente"/>
        <w:ind w:left="300"/>
        <w:jc w:val="both"/>
      </w:pPr>
      <w:r>
        <w:t>Estimado señor Quintero,</w:t>
      </w:r>
    </w:p>
    <w:p w14:paraId="4E05A361" w14:textId="77777777" w:rsidR="0030493A" w:rsidRDefault="0030493A">
      <w:pPr>
        <w:pStyle w:val="Textoindependiente"/>
        <w:rPr>
          <w:sz w:val="24"/>
        </w:rPr>
      </w:pPr>
    </w:p>
    <w:p w14:paraId="4E05A362" w14:textId="77777777" w:rsidR="0030493A" w:rsidRDefault="0030493A">
      <w:pPr>
        <w:pStyle w:val="Textoindependiente"/>
        <w:spacing w:before="7"/>
        <w:rPr>
          <w:sz w:val="25"/>
        </w:rPr>
      </w:pPr>
    </w:p>
    <w:p w14:paraId="4E05A363" w14:textId="77777777" w:rsidR="0030493A" w:rsidRDefault="006A2E57">
      <w:pPr>
        <w:pStyle w:val="Textoindependiente"/>
        <w:spacing w:line="276" w:lineRule="auto"/>
        <w:ind w:left="300" w:right="107"/>
        <w:jc w:val="both"/>
      </w:pPr>
      <w:r>
        <w:t>La Agencia Nacional de Contratación Pública - Colombia Compra Eficiente responde su consulta del 15 de noviembre de 2019, en ejercicio de la competencia otorgada por el numeral 8 del artículo 11 y el numeral 5 del artículo 3 del Decreto Ley 4170 de 2011.</w:t>
      </w:r>
    </w:p>
    <w:p w14:paraId="4E05A365" w14:textId="77777777" w:rsidR="0030493A" w:rsidRDefault="0030493A">
      <w:pPr>
        <w:pStyle w:val="Textoindependiente"/>
        <w:spacing w:before="1"/>
      </w:pPr>
      <w:bookmarkStart w:id="0" w:name="_GoBack"/>
      <w:bookmarkEnd w:id="0"/>
    </w:p>
    <w:p w14:paraId="4E05A366" w14:textId="77777777" w:rsidR="0030493A" w:rsidRDefault="006A2E57">
      <w:pPr>
        <w:pStyle w:val="Ttulo1"/>
        <w:numPr>
          <w:ilvl w:val="0"/>
          <w:numId w:val="3"/>
        </w:numPr>
        <w:tabs>
          <w:tab w:val="left" w:pos="586"/>
        </w:tabs>
        <w:ind w:hanging="286"/>
        <w:rPr>
          <w:color w:val="4E4D4D"/>
        </w:rPr>
      </w:pPr>
      <w:r>
        <w:t>Problemas</w:t>
      </w:r>
      <w:r>
        <w:rPr>
          <w:spacing w:val="-2"/>
        </w:rPr>
        <w:t xml:space="preserve"> </w:t>
      </w:r>
      <w:r>
        <w:t>planteados</w:t>
      </w:r>
    </w:p>
    <w:p w14:paraId="4E05A367" w14:textId="77777777" w:rsidR="0030493A" w:rsidRDefault="0030493A">
      <w:pPr>
        <w:pStyle w:val="Textoindependiente"/>
        <w:rPr>
          <w:b/>
          <w:sz w:val="24"/>
        </w:rPr>
      </w:pPr>
    </w:p>
    <w:p w14:paraId="4E05A368" w14:textId="77777777" w:rsidR="0030493A" w:rsidRDefault="0030493A">
      <w:pPr>
        <w:pStyle w:val="Textoindependiente"/>
        <w:spacing w:before="6"/>
        <w:rPr>
          <w:b/>
          <w:sz w:val="25"/>
        </w:rPr>
      </w:pPr>
    </w:p>
    <w:p w14:paraId="4E05A369" w14:textId="77777777" w:rsidR="0030493A" w:rsidRDefault="006A2E57" w:rsidP="002D26D6">
      <w:pPr>
        <w:pStyle w:val="Textoindependiente"/>
        <w:spacing w:line="276" w:lineRule="auto"/>
        <w:ind w:left="300" w:right="110"/>
        <w:jc w:val="both"/>
        <w:rPr>
          <w:sz w:val="20"/>
        </w:rPr>
      </w:pPr>
      <w:r>
        <w:t>El peticionario planea la siguiente pregunta: “una persona jurídica creada a partir de la fusión de empresa 1 (absorbente) y empresa 2 (absorbida que tiene la experiencia) puede aportar como propia la experiencia de la empresa 2?”.</w:t>
      </w:r>
    </w:p>
    <w:p w14:paraId="4E05A36A" w14:textId="77777777" w:rsidR="0030493A" w:rsidRDefault="0030493A">
      <w:pPr>
        <w:pStyle w:val="Textoindependiente"/>
        <w:spacing w:before="5"/>
        <w:rPr>
          <w:sz w:val="16"/>
        </w:rPr>
      </w:pPr>
    </w:p>
    <w:p w14:paraId="4E05A36B" w14:textId="77777777" w:rsidR="0030493A" w:rsidRDefault="006A2E57">
      <w:pPr>
        <w:pStyle w:val="Ttulo1"/>
        <w:numPr>
          <w:ilvl w:val="0"/>
          <w:numId w:val="3"/>
        </w:numPr>
        <w:tabs>
          <w:tab w:val="left" w:pos="544"/>
        </w:tabs>
        <w:spacing w:before="93"/>
        <w:ind w:left="543" w:hanging="244"/>
      </w:pPr>
      <w:r>
        <w:t>Consideraciones</w:t>
      </w:r>
    </w:p>
    <w:p w14:paraId="4E05A36D" w14:textId="77777777" w:rsidR="0030493A" w:rsidRDefault="0030493A">
      <w:pPr>
        <w:pStyle w:val="Textoindependiente"/>
        <w:spacing w:before="6"/>
        <w:rPr>
          <w:b/>
          <w:sz w:val="25"/>
        </w:rPr>
      </w:pPr>
    </w:p>
    <w:p w14:paraId="4E05A36F" w14:textId="25CD630E" w:rsidR="0030493A" w:rsidRPr="00164DD3" w:rsidRDefault="006A2E57" w:rsidP="007E34E6">
      <w:pPr>
        <w:pStyle w:val="Prrafodelista"/>
        <w:numPr>
          <w:ilvl w:val="1"/>
          <w:numId w:val="3"/>
        </w:numPr>
        <w:tabs>
          <w:tab w:val="left" w:pos="666"/>
        </w:tabs>
        <w:spacing w:before="1"/>
        <w:rPr>
          <w:b/>
          <w:sz w:val="24"/>
        </w:rPr>
      </w:pPr>
      <w:r w:rsidRPr="00164DD3">
        <w:rPr>
          <w:b/>
        </w:rPr>
        <w:t>Introducción</w:t>
      </w:r>
    </w:p>
    <w:p w14:paraId="4E05A370" w14:textId="77777777" w:rsidR="0030493A" w:rsidRDefault="0030493A">
      <w:pPr>
        <w:pStyle w:val="Textoindependiente"/>
        <w:spacing w:before="5"/>
        <w:rPr>
          <w:b/>
          <w:sz w:val="25"/>
        </w:rPr>
      </w:pPr>
    </w:p>
    <w:p w14:paraId="4E05A371" w14:textId="77777777" w:rsidR="0030493A" w:rsidRDefault="006A2E57">
      <w:pPr>
        <w:pStyle w:val="Textoindependiente"/>
        <w:spacing w:before="1" w:line="276" w:lineRule="auto"/>
        <w:ind w:left="300" w:right="109"/>
        <w:jc w:val="both"/>
      </w:pPr>
      <w: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w:t>
      </w:r>
      <w:r>
        <w:rPr>
          <w:spacing w:val="-8"/>
        </w:rPr>
        <w:t xml:space="preserve"> </w:t>
      </w:r>
      <w:r>
        <w:t>objetivos.</w:t>
      </w:r>
    </w:p>
    <w:p w14:paraId="4E05A372" w14:textId="77777777" w:rsidR="0030493A" w:rsidRDefault="006A2E57">
      <w:pPr>
        <w:pStyle w:val="Textoindependiente"/>
        <w:spacing w:before="119" w:line="276" w:lineRule="auto"/>
        <w:ind w:left="300" w:right="111" w:firstLine="707"/>
        <w:jc w:val="both"/>
      </w:pPr>
      <w:r>
        <w:t>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w:t>
      </w:r>
      <w:r>
        <w:rPr>
          <w:spacing w:val="-20"/>
        </w:rPr>
        <w:t xml:space="preserve"> </w:t>
      </w:r>
      <w:r>
        <w:t>proceso</w:t>
      </w:r>
      <w:r w:rsidR="002D26D6">
        <w:rPr>
          <w:rStyle w:val="Refdenotaalpie"/>
        </w:rPr>
        <w:footnoteReference w:id="1"/>
      </w:r>
      <w:r>
        <w:t>.</w:t>
      </w:r>
    </w:p>
    <w:p w14:paraId="4E05A373" w14:textId="77777777" w:rsidR="0030493A" w:rsidRDefault="006A2E57" w:rsidP="007A0AC2">
      <w:pPr>
        <w:pStyle w:val="Textoindependiente"/>
        <w:spacing w:before="121" w:line="276" w:lineRule="auto"/>
        <w:ind w:left="300" w:right="111" w:firstLine="707"/>
        <w:jc w:val="both"/>
      </w:pPr>
      <w:r>
        <w:lastRenderedPageBreak/>
        <w:t>En ese sentido, se debe tener en cuenta que de acuerdo con la Ley 80 de 1993, quienes pueden ser proveedores del Estado son las personas consideradas legalmente capaces, como las personas jurídicas</w:t>
      </w:r>
      <w:r w:rsidR="002D26D6">
        <w:rPr>
          <w:rStyle w:val="Refdenotaalpie"/>
        </w:rPr>
        <w:footnoteReference w:id="2"/>
      </w:r>
      <w:r>
        <w:t>, que de acuerdo con el Código Civil tienen</w:t>
      </w:r>
      <w:r w:rsidR="007A0AC2">
        <w:t xml:space="preserve"> </w:t>
      </w:r>
      <w:r>
        <w:t>capacidad para ejercer derechos y contraer obligaciones, por ende tienen capacidad jurídica. Un tipo de persona jurídica son las sociedades comerciales</w:t>
      </w:r>
      <w:r w:rsidR="002D26D6">
        <w:rPr>
          <w:rStyle w:val="Refdenotaalpie"/>
        </w:rPr>
        <w:footnoteReference w:id="3"/>
      </w:r>
      <w:r>
        <w:t xml:space="preserve"> reguladas, principalmente, en el Código de Comercio</w:t>
      </w:r>
      <w:r w:rsidR="002D26D6">
        <w:rPr>
          <w:rStyle w:val="Refdenotaalpie"/>
        </w:rPr>
        <w:footnoteReference w:id="4"/>
      </w:r>
      <w:r>
        <w:t>, donde se establecen las figuras y reformas estatutarias aplicables a estas como: la transformación, la escisión y la fusión.</w:t>
      </w:r>
    </w:p>
    <w:p w14:paraId="4E05A375" w14:textId="535DE6C7" w:rsidR="0030493A" w:rsidRDefault="006A2E57" w:rsidP="00164DD3">
      <w:pPr>
        <w:pStyle w:val="Textoindependiente"/>
        <w:spacing w:before="122" w:line="276" w:lineRule="auto"/>
        <w:ind w:left="300" w:right="108" w:firstLine="707"/>
        <w:jc w:val="both"/>
        <w:rPr>
          <w:sz w:val="24"/>
        </w:rPr>
      </w:pPr>
      <w:r>
        <w:t>Por tanto, para resolver su consulta relacionada con la transferencia de experiencia de las personas jurídicas: i) en primer lugar se citará la regulación sobre experiencia; ii) después se explicará este concepto respecto de las figuras y reformas estatutarias mencionadas, que son aplicables a las sociedades comerciales; y finalmente iii) se determinará si es posible transferir la experiencia por la fusión de una empresa.</w:t>
      </w:r>
    </w:p>
    <w:p w14:paraId="4E05A376" w14:textId="77777777" w:rsidR="0030493A" w:rsidRDefault="0030493A">
      <w:pPr>
        <w:pStyle w:val="Textoindependiente"/>
        <w:spacing w:before="1"/>
      </w:pPr>
    </w:p>
    <w:p w14:paraId="4E05A378" w14:textId="7E3B9247" w:rsidR="0030493A" w:rsidRPr="00164DD3" w:rsidRDefault="006A2E57" w:rsidP="00C846C1">
      <w:pPr>
        <w:pStyle w:val="Ttulo1"/>
        <w:numPr>
          <w:ilvl w:val="1"/>
          <w:numId w:val="3"/>
        </w:numPr>
        <w:tabs>
          <w:tab w:val="left" w:pos="736"/>
        </w:tabs>
        <w:spacing w:line="276" w:lineRule="auto"/>
        <w:ind w:left="300" w:right="109" w:firstLine="0"/>
        <w:rPr>
          <w:sz w:val="24"/>
        </w:rPr>
      </w:pPr>
      <w:r>
        <w:t>Experiencia en la contratación pública: aproximación general al concepto y consideraciones del ente rector de la contratación</w:t>
      </w:r>
      <w:r w:rsidRPr="00164DD3">
        <w:rPr>
          <w:spacing w:val="-10"/>
        </w:rPr>
        <w:t xml:space="preserve"> </w:t>
      </w:r>
      <w:r>
        <w:t>pública</w:t>
      </w:r>
    </w:p>
    <w:p w14:paraId="4E05A379" w14:textId="77777777" w:rsidR="0030493A" w:rsidRDefault="0030493A">
      <w:pPr>
        <w:pStyle w:val="Textoindependiente"/>
        <w:spacing w:before="2"/>
        <w:rPr>
          <w:b/>
        </w:rPr>
      </w:pPr>
    </w:p>
    <w:p w14:paraId="4E05A37A" w14:textId="77777777" w:rsidR="0030493A" w:rsidRPr="002D26D6" w:rsidRDefault="006A2E57" w:rsidP="002D26D6">
      <w:pPr>
        <w:pStyle w:val="Prrafodelista"/>
        <w:numPr>
          <w:ilvl w:val="0"/>
          <w:numId w:val="2"/>
        </w:numPr>
        <w:tabs>
          <w:tab w:val="left" w:pos="556"/>
        </w:tabs>
        <w:ind w:hanging="256"/>
        <w:rPr>
          <w:b/>
        </w:rPr>
      </w:pPr>
      <w:r>
        <w:rPr>
          <w:b/>
        </w:rPr>
        <w:t>Norma</w:t>
      </w:r>
      <w:r>
        <w:rPr>
          <w:b/>
          <w:spacing w:val="-3"/>
        </w:rPr>
        <w:t xml:space="preserve"> </w:t>
      </w:r>
      <w:r>
        <w:rPr>
          <w:b/>
        </w:rPr>
        <w:t>general</w:t>
      </w:r>
    </w:p>
    <w:p w14:paraId="4E05A37B" w14:textId="77777777" w:rsidR="0030493A" w:rsidRDefault="0030493A">
      <w:pPr>
        <w:pStyle w:val="Textoindependiente"/>
        <w:spacing w:before="6"/>
        <w:rPr>
          <w:b/>
          <w:sz w:val="25"/>
        </w:rPr>
      </w:pPr>
    </w:p>
    <w:p w14:paraId="4E05A37C" w14:textId="77777777" w:rsidR="0030493A" w:rsidRDefault="006A2E57" w:rsidP="002D26D6">
      <w:pPr>
        <w:pStyle w:val="Textoindependiente"/>
        <w:spacing w:line="276" w:lineRule="auto"/>
        <w:ind w:left="300" w:right="104"/>
        <w:jc w:val="both"/>
      </w:pPr>
      <w: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002D26D6">
        <w:rPr>
          <w:rStyle w:val="Refdenotaalpie"/>
        </w:rPr>
        <w:footnoteReference w:id="5"/>
      </w:r>
      <w:r>
        <w:t>. En</w:t>
      </w:r>
      <w:r>
        <w:rPr>
          <w:spacing w:val="11"/>
        </w:rPr>
        <w:t xml:space="preserve"> </w:t>
      </w:r>
      <w:r>
        <w:t>ese</w:t>
      </w:r>
      <w:r w:rsidR="002D26D6">
        <w:t xml:space="preserve"> </w:t>
      </w:r>
      <w:r>
        <w:t xml:space="preserve">sentido, la entidad, </w:t>
      </w:r>
      <w:r>
        <w:lastRenderedPageBreak/>
        <w:t>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w:t>
      </w:r>
      <w:r>
        <w:rPr>
          <w:spacing w:val="-3"/>
        </w:rPr>
        <w:t xml:space="preserve"> </w:t>
      </w:r>
      <w:r>
        <w:t>contratar</w:t>
      </w:r>
      <w:r w:rsidR="002D26D6">
        <w:rPr>
          <w:rStyle w:val="Refdenotaalpie"/>
        </w:rPr>
        <w:footnoteReference w:id="6"/>
      </w:r>
      <w:r>
        <w:t>.</w:t>
      </w:r>
    </w:p>
    <w:p w14:paraId="4E05A37D" w14:textId="1E888D02" w:rsidR="002D26D6" w:rsidRDefault="006A2E57" w:rsidP="002D26D6">
      <w:pPr>
        <w:pStyle w:val="Textoindependiente"/>
        <w:spacing w:before="122" w:line="276" w:lineRule="auto"/>
        <w:ind w:left="300" w:right="104" w:firstLine="707"/>
        <w:jc w:val="both"/>
      </w:pPr>
      <w:r>
        <w:t xml:space="preserve">La experiencia que se deriva de los contratos que el proponente ha celebrado y ejecutado con diferentes contratantes, sin importar la naturaleza de estos, se verifica con </w:t>
      </w:r>
      <w:r>
        <w:rPr>
          <w:spacing w:val="2"/>
        </w:rPr>
        <w:t xml:space="preserve">el </w:t>
      </w:r>
      <w:r>
        <w:t>Registro Único de Proponentes (RUP), cuando este certificado sea exigible de acuerdo con la ley, en el cual constan los requisitos habilitantes que se evalúan exclusivamente con este documento, que es su plena prueba, sin que le sea posible a la entidad o al proponente solicitar o aportar otra</w:t>
      </w:r>
      <w:r>
        <w:rPr>
          <w:spacing w:val="-8"/>
        </w:rPr>
        <w:t xml:space="preserve"> </w:t>
      </w:r>
      <w:r>
        <w:t>documentación</w:t>
      </w:r>
      <w:r w:rsidR="002D26D6">
        <w:rPr>
          <w:rStyle w:val="Refdenotaalpie"/>
        </w:rPr>
        <w:footnoteReference w:id="7"/>
      </w:r>
      <w:r>
        <w:t>.</w:t>
      </w:r>
    </w:p>
    <w:p w14:paraId="4E05A37E" w14:textId="77777777" w:rsidR="0030493A" w:rsidRDefault="006A2E57" w:rsidP="002D26D6">
      <w:pPr>
        <w:pStyle w:val="Textoindependiente"/>
        <w:spacing w:before="122" w:line="276" w:lineRule="auto"/>
        <w:ind w:left="300" w:right="104" w:firstLine="707"/>
        <w:jc w:val="both"/>
      </w:pPr>
      <w: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002D26D6">
        <w:rPr>
          <w:rStyle w:val="Refdenotaalpie"/>
        </w:rPr>
        <w:footnoteReference w:id="8"/>
      </w:r>
      <w: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w:t>
      </w:r>
      <w:r>
        <w:rPr>
          <w:spacing w:val="-3"/>
        </w:rPr>
        <w:t xml:space="preserve"> </w:t>
      </w:r>
      <w:r>
        <w:t>ya</w:t>
      </w:r>
      <w:r>
        <w:rPr>
          <w:spacing w:val="-1"/>
        </w:rPr>
        <w:t xml:space="preserve"> </w:t>
      </w:r>
      <w:r>
        <w:t>que</w:t>
      </w:r>
      <w:r>
        <w:rPr>
          <w:spacing w:val="-4"/>
        </w:rPr>
        <w:t xml:space="preserve"> </w:t>
      </w:r>
      <w:r>
        <w:t>lo</w:t>
      </w:r>
      <w:r>
        <w:rPr>
          <w:spacing w:val="-3"/>
        </w:rPr>
        <w:t xml:space="preserve"> </w:t>
      </w:r>
      <w:r>
        <w:t>que</w:t>
      </w:r>
      <w:r>
        <w:rPr>
          <w:spacing w:val="-4"/>
        </w:rPr>
        <w:t xml:space="preserve"> </w:t>
      </w:r>
      <w:r>
        <w:t>es</w:t>
      </w:r>
      <w:r>
        <w:rPr>
          <w:spacing w:val="-2"/>
        </w:rPr>
        <w:t xml:space="preserve"> </w:t>
      </w:r>
      <w:r>
        <w:t>objeto</w:t>
      </w:r>
      <w:r>
        <w:rPr>
          <w:spacing w:val="-3"/>
        </w:rPr>
        <w:t xml:space="preserve"> </w:t>
      </w:r>
      <w:r>
        <w:t>de</w:t>
      </w:r>
      <w:r>
        <w:rPr>
          <w:spacing w:val="-4"/>
        </w:rPr>
        <w:t xml:space="preserve"> </w:t>
      </w:r>
      <w:r>
        <w:t>evaluación</w:t>
      </w:r>
      <w:r>
        <w:rPr>
          <w:spacing w:val="-3"/>
        </w:rPr>
        <w:t xml:space="preserve"> </w:t>
      </w:r>
      <w:r>
        <w:t>es</w:t>
      </w:r>
      <w:r>
        <w:rPr>
          <w:spacing w:val="-3"/>
        </w:rPr>
        <w:t xml:space="preserve"> </w:t>
      </w:r>
      <w:r>
        <w:t>la</w:t>
      </w:r>
      <w:r>
        <w:rPr>
          <w:spacing w:val="-2"/>
        </w:rPr>
        <w:t xml:space="preserve"> </w:t>
      </w:r>
      <w:r>
        <w:t>experiencia</w:t>
      </w:r>
      <w:r>
        <w:rPr>
          <w:spacing w:val="-3"/>
        </w:rPr>
        <w:t xml:space="preserve"> </w:t>
      </w:r>
      <w:r>
        <w:t>clasificada</w:t>
      </w:r>
      <w:r>
        <w:rPr>
          <w:spacing w:val="-3"/>
        </w:rPr>
        <w:t xml:space="preserve"> </w:t>
      </w:r>
      <w:r>
        <w:t>de</w:t>
      </w:r>
      <w:r>
        <w:rPr>
          <w:spacing w:val="-3"/>
        </w:rPr>
        <w:t xml:space="preserve"> </w:t>
      </w:r>
      <w:r>
        <w:t>esta</w:t>
      </w:r>
      <w:r>
        <w:rPr>
          <w:spacing w:val="-3"/>
        </w:rPr>
        <w:t xml:space="preserve"> </w:t>
      </w:r>
      <w:r>
        <w:t>forma.</w:t>
      </w:r>
    </w:p>
    <w:p w14:paraId="4E05A37F" w14:textId="77777777" w:rsidR="0030493A" w:rsidRDefault="0030493A">
      <w:pPr>
        <w:pStyle w:val="Textoindependiente"/>
        <w:spacing w:before="5"/>
      </w:pPr>
    </w:p>
    <w:p w14:paraId="4E05A381" w14:textId="76D515D7" w:rsidR="0030493A" w:rsidRPr="00164DD3" w:rsidRDefault="006A2E57" w:rsidP="00432B83">
      <w:pPr>
        <w:pStyle w:val="Ttulo1"/>
        <w:numPr>
          <w:ilvl w:val="0"/>
          <w:numId w:val="2"/>
        </w:numPr>
        <w:tabs>
          <w:tab w:val="left" w:pos="569"/>
        </w:tabs>
        <w:ind w:left="568" w:hanging="269"/>
        <w:rPr>
          <w:sz w:val="24"/>
        </w:rPr>
      </w:pPr>
      <w:r>
        <w:t>Consideraciones de Colombia Compra Eficiente respecto de la</w:t>
      </w:r>
      <w:r w:rsidRPr="00164DD3">
        <w:rPr>
          <w:spacing w:val="-29"/>
        </w:rPr>
        <w:t xml:space="preserve"> </w:t>
      </w:r>
      <w:r>
        <w:t>experiencia</w:t>
      </w:r>
    </w:p>
    <w:p w14:paraId="4E05A382" w14:textId="77777777" w:rsidR="0030493A" w:rsidRDefault="0030493A">
      <w:pPr>
        <w:pStyle w:val="Textoindependiente"/>
        <w:spacing w:before="3"/>
        <w:rPr>
          <w:b/>
          <w:sz w:val="25"/>
        </w:rPr>
      </w:pPr>
    </w:p>
    <w:p w14:paraId="4E05A383" w14:textId="77777777" w:rsidR="0030493A" w:rsidRDefault="006A2E57" w:rsidP="002D26D6">
      <w:pPr>
        <w:pStyle w:val="Textoindependiente"/>
        <w:spacing w:line="278" w:lineRule="auto"/>
        <w:ind w:left="300"/>
        <w:jc w:val="both"/>
      </w:pPr>
      <w:r>
        <w:t>La Agencia Nacional de Contratación Pública - C</w:t>
      </w:r>
      <w:r w:rsidR="002D26D6">
        <w:t xml:space="preserve">olombia Compra Eficiente puso </w:t>
      </w:r>
      <w:r>
        <w:t>disposición de los interesados del Sistema de Compra Pública el Manual para determinar y</w:t>
      </w:r>
      <w:r w:rsidR="002D26D6">
        <w:t xml:space="preserve"> </w:t>
      </w:r>
      <w:r>
        <w:t>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 con anterioridad, en actividades que le permitieron conocer cómo ejecutar el objeto contractual, que la entidad pretende satisfacer</w:t>
      </w:r>
      <w:r>
        <w:rPr>
          <w:spacing w:val="-3"/>
        </w:rPr>
        <w:t xml:space="preserve"> </w:t>
      </w:r>
      <w:r>
        <w:t>ahora</w:t>
      </w:r>
      <w:r w:rsidR="00A05BB4">
        <w:rPr>
          <w:rStyle w:val="Refdenotaalpie"/>
        </w:rPr>
        <w:footnoteReference w:id="9"/>
      </w:r>
      <w:r>
        <w:t>.</w:t>
      </w:r>
    </w:p>
    <w:p w14:paraId="4E05A384" w14:textId="77777777" w:rsidR="0030493A" w:rsidRDefault="006A2E57" w:rsidP="00A05BB4">
      <w:pPr>
        <w:pStyle w:val="Textoindependiente"/>
        <w:spacing w:before="121" w:line="276" w:lineRule="auto"/>
        <w:ind w:left="300" w:right="108" w:firstLine="707"/>
        <w:jc w:val="both"/>
      </w:pPr>
      <w:r>
        <w:lastRenderedPageBreak/>
        <w:t>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w:t>
      </w:r>
      <w:r w:rsidR="00A05BB4">
        <w:t xml:space="preserve"> </w:t>
      </w:r>
      <w:r>
        <w:t>ejecutado un objeto igual pero sí similar, que puede funcionar para las exigencias de la entidad ayudando a que exista pluralidad de oferentes. Finalmente, se pueden extraer cuatro conclusiones relevantes para evaluar las figuras y reformas estatutarias de las sociedades comerciales, respecto de la experiencia:</w:t>
      </w:r>
    </w:p>
    <w:p w14:paraId="4E05A385" w14:textId="77777777" w:rsidR="0030493A" w:rsidRDefault="006A2E57">
      <w:pPr>
        <w:pStyle w:val="Prrafodelista"/>
        <w:numPr>
          <w:ilvl w:val="1"/>
          <w:numId w:val="2"/>
        </w:numPr>
        <w:tabs>
          <w:tab w:val="left" w:pos="1291"/>
        </w:tabs>
        <w:spacing w:before="122" w:line="276" w:lineRule="auto"/>
        <w:ind w:right="110" w:firstLine="707"/>
        <w:jc w:val="both"/>
      </w:pPr>
      <w:r>
        <w:t>La experiencia es personal, esto es, se adquiere participando, directa o indirectamente,</w:t>
      </w:r>
      <w:r>
        <w:rPr>
          <w:spacing w:val="-5"/>
        </w:rPr>
        <w:t xml:space="preserve"> </w:t>
      </w:r>
      <w:r>
        <w:t>sin</w:t>
      </w:r>
      <w:r>
        <w:rPr>
          <w:spacing w:val="-4"/>
        </w:rPr>
        <w:t xml:space="preserve"> </w:t>
      </w:r>
      <w:r>
        <w:t>que</w:t>
      </w:r>
      <w:r>
        <w:rPr>
          <w:spacing w:val="-4"/>
        </w:rPr>
        <w:t xml:space="preserve"> </w:t>
      </w:r>
      <w:r>
        <w:t>sea</w:t>
      </w:r>
      <w:r>
        <w:rPr>
          <w:spacing w:val="-4"/>
        </w:rPr>
        <w:t xml:space="preserve"> </w:t>
      </w:r>
      <w:r>
        <w:t>posible</w:t>
      </w:r>
      <w:r>
        <w:rPr>
          <w:spacing w:val="-4"/>
        </w:rPr>
        <w:t xml:space="preserve"> </w:t>
      </w:r>
      <w:r>
        <w:t>no</w:t>
      </w:r>
      <w:r>
        <w:rPr>
          <w:spacing w:val="-4"/>
        </w:rPr>
        <w:t xml:space="preserve"> </w:t>
      </w:r>
      <w:r>
        <w:t>participar</w:t>
      </w:r>
      <w:r>
        <w:rPr>
          <w:spacing w:val="-4"/>
        </w:rPr>
        <w:t xml:space="preserve"> </w:t>
      </w:r>
      <w:r>
        <w:t>y</w:t>
      </w:r>
      <w:r>
        <w:rPr>
          <w:spacing w:val="-2"/>
        </w:rPr>
        <w:t xml:space="preserve"> </w:t>
      </w:r>
      <w:r>
        <w:t>tener</w:t>
      </w:r>
      <w:r>
        <w:rPr>
          <w:spacing w:val="-5"/>
        </w:rPr>
        <w:t xml:space="preserve"> </w:t>
      </w:r>
      <w:r>
        <w:t>una</w:t>
      </w:r>
      <w:r>
        <w:rPr>
          <w:spacing w:val="-1"/>
        </w:rPr>
        <w:t xml:space="preserve"> </w:t>
      </w:r>
      <w:r>
        <w:t>experiencia</w:t>
      </w:r>
      <w:r>
        <w:rPr>
          <w:spacing w:val="-3"/>
        </w:rPr>
        <w:t xml:space="preserve"> </w:t>
      </w:r>
      <w:r>
        <w:t>que</w:t>
      </w:r>
      <w:r>
        <w:rPr>
          <w:spacing w:val="-2"/>
        </w:rPr>
        <w:t xml:space="preserve"> </w:t>
      </w:r>
      <w:r>
        <w:t>no</w:t>
      </w:r>
      <w:r>
        <w:rPr>
          <w:spacing w:val="-4"/>
        </w:rPr>
        <w:t xml:space="preserve"> </w:t>
      </w:r>
      <w:r>
        <w:t>es</w:t>
      </w:r>
      <w:r>
        <w:rPr>
          <w:spacing w:val="-3"/>
        </w:rPr>
        <w:t xml:space="preserve"> </w:t>
      </w:r>
      <w:r>
        <w:t>propia.</w:t>
      </w:r>
    </w:p>
    <w:p w14:paraId="4E05A386" w14:textId="77777777" w:rsidR="0030493A" w:rsidRDefault="006A2E57">
      <w:pPr>
        <w:pStyle w:val="Prrafodelista"/>
        <w:numPr>
          <w:ilvl w:val="1"/>
          <w:numId w:val="2"/>
        </w:numPr>
        <w:tabs>
          <w:tab w:val="left" w:pos="1313"/>
        </w:tabs>
        <w:spacing w:before="120" w:line="276" w:lineRule="auto"/>
        <w:ind w:right="107" w:firstLine="707"/>
        <w:jc w:val="both"/>
      </w:pPr>
      <w:r>
        <w:t xml:space="preserve">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w:t>
      </w:r>
      <w:r>
        <w:rPr>
          <w:spacing w:val="-23"/>
        </w:rPr>
        <w:t xml:space="preserve">que      </w:t>
      </w:r>
      <w:r>
        <w:rPr>
          <w:spacing w:val="15"/>
        </w:rPr>
        <w:t xml:space="preserve"> </w:t>
      </w:r>
      <w:r>
        <w:rPr>
          <w:spacing w:val="-83"/>
        </w:rPr>
        <w:t>se</w:t>
      </w:r>
      <w:r>
        <w:rPr>
          <w:spacing w:val="-1"/>
        </w:rPr>
        <w:t xml:space="preserve"> </w:t>
      </w:r>
      <w:r>
        <w:t>verificará en el documento privado de</w:t>
      </w:r>
      <w:r>
        <w:rPr>
          <w:spacing w:val="-7"/>
        </w:rPr>
        <w:t xml:space="preserve"> </w:t>
      </w:r>
      <w:r>
        <w:t>constitución.</w:t>
      </w:r>
    </w:p>
    <w:p w14:paraId="4E05A387" w14:textId="77777777" w:rsidR="0030493A" w:rsidRDefault="006A2E57">
      <w:pPr>
        <w:pStyle w:val="Prrafodelista"/>
        <w:numPr>
          <w:ilvl w:val="1"/>
          <w:numId w:val="2"/>
        </w:numPr>
        <w:tabs>
          <w:tab w:val="left" w:pos="1296"/>
        </w:tabs>
        <w:spacing w:before="120" w:line="276" w:lineRule="auto"/>
        <w:ind w:right="112" w:firstLine="707"/>
        <w:jc w:val="both"/>
      </w:pPr>
      <w:r>
        <w:lastRenderedPageBreak/>
        <w:t>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w:t>
      </w:r>
      <w:r>
        <w:rPr>
          <w:spacing w:val="-19"/>
        </w:rPr>
        <w:t xml:space="preserve"> </w:t>
      </w:r>
      <w:r>
        <w:t>documento.</w:t>
      </w:r>
    </w:p>
    <w:p w14:paraId="4E05A389" w14:textId="4D03F89D" w:rsidR="0030493A" w:rsidRPr="00164DD3" w:rsidRDefault="006A2E57" w:rsidP="00DF28F0">
      <w:pPr>
        <w:pStyle w:val="Prrafodelista"/>
        <w:numPr>
          <w:ilvl w:val="1"/>
          <w:numId w:val="2"/>
        </w:numPr>
        <w:tabs>
          <w:tab w:val="left" w:pos="1326"/>
        </w:tabs>
        <w:spacing w:before="119" w:line="276" w:lineRule="auto"/>
        <w:ind w:right="105" w:firstLine="707"/>
        <w:jc w:val="both"/>
        <w:rPr>
          <w:sz w:val="24"/>
        </w:rPr>
      </w:pPr>
      <w:r>
        <w:t>Cuando la persona que adquirió la experiencia desaparece o se liquida, no es posible que comparta o transfiera su experiencia, porque al ser personal sigue la suerte de quien la</w:t>
      </w:r>
      <w:r w:rsidRPr="00164DD3">
        <w:rPr>
          <w:spacing w:val="-3"/>
        </w:rPr>
        <w:t xml:space="preserve"> </w:t>
      </w:r>
      <w:r>
        <w:t>adquirió.</w:t>
      </w:r>
    </w:p>
    <w:p w14:paraId="4E05A38A" w14:textId="77777777" w:rsidR="0030493A" w:rsidRDefault="0030493A">
      <w:pPr>
        <w:pStyle w:val="Textoindependiente"/>
        <w:spacing w:before="4"/>
      </w:pPr>
    </w:p>
    <w:p w14:paraId="4E05A38B" w14:textId="77777777" w:rsidR="0030493A" w:rsidRDefault="006A2E57">
      <w:pPr>
        <w:pStyle w:val="Ttulo1"/>
        <w:numPr>
          <w:ilvl w:val="1"/>
          <w:numId w:val="3"/>
        </w:numPr>
        <w:tabs>
          <w:tab w:val="left" w:pos="673"/>
        </w:tabs>
        <w:spacing w:line="276" w:lineRule="auto"/>
        <w:ind w:left="300" w:right="111" w:firstLine="0"/>
      </w:pPr>
      <w:r>
        <w:t>Figuras y reformas estatutarias, y efectos sobre la experiencia de las sociedades comerciales</w:t>
      </w:r>
    </w:p>
    <w:p w14:paraId="4E05A38C" w14:textId="77777777" w:rsidR="0030493A" w:rsidRDefault="0030493A">
      <w:pPr>
        <w:pStyle w:val="Textoindependiente"/>
        <w:rPr>
          <w:b/>
          <w:sz w:val="24"/>
        </w:rPr>
      </w:pPr>
    </w:p>
    <w:p w14:paraId="4E05A38D" w14:textId="77777777" w:rsidR="0030493A" w:rsidRDefault="0030493A">
      <w:pPr>
        <w:pStyle w:val="Textoindependiente"/>
        <w:spacing w:before="1"/>
        <w:rPr>
          <w:b/>
        </w:rPr>
      </w:pPr>
    </w:p>
    <w:p w14:paraId="4E05A38F" w14:textId="2C6589E2" w:rsidR="0030493A" w:rsidRDefault="006A2E57" w:rsidP="00164DD3">
      <w:pPr>
        <w:pStyle w:val="Textoindependiente"/>
        <w:spacing w:before="1" w:line="276" w:lineRule="auto"/>
        <w:ind w:left="300" w:right="107"/>
        <w:jc w:val="both"/>
        <w:rPr>
          <w:sz w:val="24"/>
        </w:rPr>
      </w:pPr>
      <w:r>
        <w:t>Antes de estudiar las figuras y reformas estatutarias, es necesario aclarar dos conceptos respecto de las sociedades comerciales: i) “disolución” y ii) “liquidación”, ya que se aplican a las figuras y reformas estatutarias, y tienen incidencia en la posibilidad de transferir o no la experiencia de una sociedad. En primer lugar, el Código de Comercio señala como efecto de la “disolución”, que la persona jurídica no desaparece sino que conserva su capacidad jurídica, únicamente para “liquidarse” y para las operaciones o actos autorizados por la ley</w:t>
      </w:r>
      <w:r w:rsidR="00A05BB4">
        <w:rPr>
          <w:rStyle w:val="Refdenotaalpie"/>
        </w:rPr>
        <w:footnoteReference w:id="10"/>
      </w:r>
      <w:r>
        <w:t>, como las figuras y reformas estatutarias que se verán a continuación. Con</w:t>
      </w:r>
      <w:r>
        <w:rPr>
          <w:spacing w:val="-7"/>
        </w:rPr>
        <w:t xml:space="preserve"> </w:t>
      </w:r>
      <w:r>
        <w:t>esto</w:t>
      </w:r>
      <w:r w:rsidR="00A05BB4">
        <w:t xml:space="preserve"> </w:t>
      </w:r>
      <w:r w:rsidR="00A05BB4">
        <w:rPr>
          <w:sz w:val="19"/>
        </w:rPr>
        <w:t>s</w:t>
      </w:r>
      <w:r>
        <w:t>e anticipa que si la persona jurídica no desaparece, su experiencia se conserva y puede transferirse o compartirse. Por el contrario, respecto de la “liquidación” de las sociedades comerciales, el Código de Comercio señala el procedimiento para realizar el inventario y distribución del patrimonio social, de lo cual se infiere que termina la persona jurídica</w:t>
      </w:r>
      <w:r w:rsidR="00A05BB4">
        <w:rPr>
          <w:rStyle w:val="Refdenotaalpie"/>
        </w:rPr>
        <w:footnoteReference w:id="11"/>
      </w:r>
      <w:r>
        <w:t>, y la experiencia desaparece junto con la sociedad que la adquirió.</w:t>
      </w:r>
    </w:p>
    <w:p w14:paraId="4E05A390" w14:textId="77777777" w:rsidR="0030493A" w:rsidRDefault="0030493A">
      <w:pPr>
        <w:pStyle w:val="Textoindependiente"/>
        <w:spacing w:before="4"/>
      </w:pPr>
    </w:p>
    <w:p w14:paraId="4E05A391" w14:textId="77777777" w:rsidR="0030493A" w:rsidRDefault="006A2E57">
      <w:pPr>
        <w:pStyle w:val="Ttulo1"/>
        <w:numPr>
          <w:ilvl w:val="0"/>
          <w:numId w:val="1"/>
        </w:numPr>
        <w:tabs>
          <w:tab w:val="left" w:pos="556"/>
        </w:tabs>
        <w:ind w:hanging="256"/>
      </w:pPr>
      <w:r>
        <w:t>Transformación</w:t>
      </w:r>
    </w:p>
    <w:p w14:paraId="4E05A392" w14:textId="77777777" w:rsidR="0030493A" w:rsidRDefault="0030493A">
      <w:pPr>
        <w:pStyle w:val="Textoindependiente"/>
        <w:rPr>
          <w:b/>
          <w:sz w:val="24"/>
        </w:rPr>
      </w:pPr>
    </w:p>
    <w:p w14:paraId="4E05A393" w14:textId="77777777" w:rsidR="0030493A" w:rsidRDefault="0030493A">
      <w:pPr>
        <w:pStyle w:val="Textoindependiente"/>
        <w:spacing w:before="4"/>
        <w:rPr>
          <w:b/>
          <w:sz w:val="25"/>
        </w:rPr>
      </w:pPr>
    </w:p>
    <w:p w14:paraId="4E05A394" w14:textId="77777777" w:rsidR="0030493A" w:rsidRDefault="006A2E57">
      <w:pPr>
        <w:pStyle w:val="Textoindependiente"/>
        <w:spacing w:line="276" w:lineRule="auto"/>
        <w:ind w:left="300" w:right="103"/>
        <w:jc w:val="both"/>
      </w:pPr>
      <w:r>
        <w:t xml:space="preserve">Es una reforma a los estatutos de una sociedad comercial, en los cuales se detalla la naturaleza jurídica, composición, estructura, capital, entre otros; con el fin de transformar o </w:t>
      </w:r>
      <w:r>
        <w:lastRenderedPageBreak/>
        <w:t>cambiar la forma o tipo societario que adoptó, como sociedad anónima, limitada, en comandita, entre otras. Es decir, si una sociedad se crea como sociedad limitada, y sin “disolverse” decide adoptar la figura de sociedad anónima, lo podrá hacer mediante una reforma estatutaria, sin que se interrumpa la continuidad de la sociedad comercial o persona jurídica</w:t>
      </w:r>
      <w:r w:rsidR="00A05BB4">
        <w:rPr>
          <w:rStyle w:val="Refdenotaalpie"/>
        </w:rPr>
        <w:footnoteReference w:id="12"/>
      </w:r>
      <w:r>
        <w:t>. Es importante destacar que en esta reforma estatutaria solo participa la sociedad involucrada, y no existen otras sociedades que se relacionen o intervengan, lo cual diferencia la transformación de otras reformas o figuras.</w:t>
      </w:r>
    </w:p>
    <w:p w14:paraId="4E05A396" w14:textId="4E677DB0" w:rsidR="0030493A" w:rsidRDefault="006A2E57" w:rsidP="00164DD3">
      <w:pPr>
        <w:pStyle w:val="Textoindependiente"/>
        <w:spacing w:before="122" w:line="276" w:lineRule="auto"/>
        <w:ind w:left="300" w:right="102" w:firstLine="707"/>
        <w:jc w:val="both"/>
        <w:rPr>
          <w:sz w:val="24"/>
        </w:rPr>
      </w:pPr>
      <w: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w:t>
      </w:r>
      <w:r>
        <w:rPr>
          <w:spacing w:val="2"/>
        </w:rPr>
        <w:t xml:space="preserve">que </w:t>
      </w:r>
      <w:r>
        <w:t>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w:t>
      </w:r>
      <w:r>
        <w:rPr>
          <w:spacing w:val="27"/>
        </w:rPr>
        <w:t xml:space="preserve"> </w:t>
      </w:r>
      <w:r>
        <w:t>y</w:t>
      </w:r>
      <w:r>
        <w:rPr>
          <w:spacing w:val="26"/>
        </w:rPr>
        <w:t xml:space="preserve"> </w:t>
      </w:r>
      <w:r>
        <w:t>compartirla,</w:t>
      </w:r>
      <w:r>
        <w:rPr>
          <w:spacing w:val="27"/>
        </w:rPr>
        <w:t xml:space="preserve"> </w:t>
      </w:r>
      <w:r>
        <w:t>pero</w:t>
      </w:r>
      <w:r>
        <w:rPr>
          <w:spacing w:val="28"/>
        </w:rPr>
        <w:t xml:space="preserve"> </w:t>
      </w:r>
      <w:r>
        <w:t>no</w:t>
      </w:r>
      <w:r>
        <w:rPr>
          <w:spacing w:val="28"/>
        </w:rPr>
        <w:t xml:space="preserve"> </w:t>
      </w:r>
      <w:r>
        <w:t>puede</w:t>
      </w:r>
      <w:r>
        <w:rPr>
          <w:spacing w:val="27"/>
        </w:rPr>
        <w:t xml:space="preserve"> </w:t>
      </w:r>
      <w:r>
        <w:t>trasladarla</w:t>
      </w:r>
      <w:r>
        <w:rPr>
          <w:spacing w:val="28"/>
        </w:rPr>
        <w:t xml:space="preserve"> </w:t>
      </w:r>
      <w:r>
        <w:t>porque</w:t>
      </w:r>
      <w:r>
        <w:rPr>
          <w:spacing w:val="28"/>
        </w:rPr>
        <w:t xml:space="preserve"> </w:t>
      </w:r>
      <w:r>
        <w:t>para</w:t>
      </w:r>
      <w:r>
        <w:rPr>
          <w:spacing w:val="28"/>
        </w:rPr>
        <w:t xml:space="preserve"> </w:t>
      </w:r>
      <w:r>
        <w:t>ello</w:t>
      </w:r>
      <w:r>
        <w:rPr>
          <w:spacing w:val="26"/>
        </w:rPr>
        <w:t xml:space="preserve"> </w:t>
      </w:r>
      <w:r>
        <w:t>tendría</w:t>
      </w:r>
      <w:r>
        <w:rPr>
          <w:spacing w:val="27"/>
        </w:rPr>
        <w:t xml:space="preserve"> </w:t>
      </w:r>
      <w:r>
        <w:t>que</w:t>
      </w:r>
      <w:r w:rsidR="00A05BB4">
        <w:t xml:space="preserve"> </w:t>
      </w:r>
      <w:r>
        <w:t>“disolverse” o conformar un consorcio, como se verá en la fusión y en una de las modalidades de escisión.</w:t>
      </w:r>
    </w:p>
    <w:p w14:paraId="4E05A397" w14:textId="77777777" w:rsidR="0030493A" w:rsidRDefault="0030493A">
      <w:pPr>
        <w:pStyle w:val="Textoindependiente"/>
        <w:spacing w:before="11"/>
        <w:rPr>
          <w:sz w:val="21"/>
        </w:rPr>
      </w:pPr>
    </w:p>
    <w:p w14:paraId="4E05A398" w14:textId="77777777" w:rsidR="0030493A" w:rsidRDefault="006A2E57">
      <w:pPr>
        <w:pStyle w:val="Ttulo1"/>
        <w:numPr>
          <w:ilvl w:val="0"/>
          <w:numId w:val="1"/>
        </w:numPr>
        <w:tabs>
          <w:tab w:val="left" w:pos="569"/>
        </w:tabs>
        <w:ind w:left="568" w:hanging="269"/>
      </w:pPr>
      <w:r>
        <w:t>Escisión</w:t>
      </w:r>
    </w:p>
    <w:p w14:paraId="4E05A399" w14:textId="77777777" w:rsidR="0030493A" w:rsidRDefault="0030493A">
      <w:pPr>
        <w:pStyle w:val="Textoindependiente"/>
        <w:rPr>
          <w:b/>
          <w:sz w:val="24"/>
        </w:rPr>
      </w:pPr>
    </w:p>
    <w:p w14:paraId="4E05A39B" w14:textId="77777777" w:rsidR="0030493A" w:rsidRDefault="006A2E57">
      <w:pPr>
        <w:pStyle w:val="Textoindependiente"/>
        <w:spacing w:before="1" w:line="276" w:lineRule="auto"/>
        <w:ind w:left="300" w:right="104"/>
        <w:jc w:val="both"/>
      </w:pPr>
      <w:r>
        <w:t>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La segunda modalidad se trata de una sociedad que se “disuelve” sin “liquidarse”, esto es, que implica una reforma social, lo cual no ocurre con la primera modalidad, y también existe fraccionamiento del patrimonio con el mismo fin</w:t>
      </w:r>
      <w:r w:rsidR="00A05BB4">
        <w:rPr>
          <w:rStyle w:val="Refdenotaalpie"/>
        </w:rPr>
        <w:footnoteReference w:id="13"/>
      </w:r>
      <w:r>
        <w:t xml:space="preserve">. </w:t>
      </w:r>
      <w:r>
        <w:lastRenderedPageBreak/>
        <w:t>Como se observa, participa una sociedad y otra, u otras, que reciban la transferencia del patrimonio en bloque.</w:t>
      </w:r>
    </w:p>
    <w:p w14:paraId="4E05A39C" w14:textId="77777777" w:rsidR="0030493A" w:rsidRDefault="006A2E57" w:rsidP="00A05BB4">
      <w:pPr>
        <w:pStyle w:val="Textoindependiente"/>
        <w:spacing w:before="120" w:line="276" w:lineRule="auto"/>
        <w:ind w:left="300" w:right="103" w:firstLine="707"/>
        <w:jc w:val="both"/>
      </w:pPr>
      <w:r>
        <w:t>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y a pesar de que en la segunda modalidad existe “disolución”,</w:t>
      </w:r>
      <w:r>
        <w:rPr>
          <w:spacing w:val="8"/>
        </w:rPr>
        <w:t xml:space="preserve"> </w:t>
      </w:r>
      <w:r>
        <w:t>no</w:t>
      </w:r>
      <w:r>
        <w:rPr>
          <w:spacing w:val="10"/>
        </w:rPr>
        <w:t xml:space="preserve"> </w:t>
      </w:r>
      <w:r>
        <w:t>hay</w:t>
      </w:r>
      <w:r>
        <w:rPr>
          <w:spacing w:val="10"/>
        </w:rPr>
        <w:t xml:space="preserve"> </w:t>
      </w:r>
      <w:r>
        <w:t>transferencia</w:t>
      </w:r>
      <w:r>
        <w:rPr>
          <w:spacing w:val="9"/>
        </w:rPr>
        <w:t xml:space="preserve"> </w:t>
      </w:r>
      <w:r>
        <w:t>de</w:t>
      </w:r>
      <w:r>
        <w:rPr>
          <w:spacing w:val="11"/>
        </w:rPr>
        <w:t xml:space="preserve"> </w:t>
      </w:r>
      <w:r>
        <w:t>la</w:t>
      </w:r>
      <w:r>
        <w:rPr>
          <w:spacing w:val="9"/>
        </w:rPr>
        <w:t xml:space="preserve"> </w:t>
      </w:r>
      <w:r>
        <w:t>experiencia</w:t>
      </w:r>
      <w:r>
        <w:rPr>
          <w:spacing w:val="8"/>
        </w:rPr>
        <w:t xml:space="preserve"> </w:t>
      </w:r>
      <w:r>
        <w:t>porque</w:t>
      </w:r>
      <w:r>
        <w:rPr>
          <w:spacing w:val="9"/>
        </w:rPr>
        <w:t xml:space="preserve"> </w:t>
      </w:r>
      <w:r>
        <w:t>la</w:t>
      </w:r>
      <w:r>
        <w:rPr>
          <w:spacing w:val="10"/>
        </w:rPr>
        <w:t xml:space="preserve"> </w:t>
      </w:r>
      <w:r>
        <w:t>persona</w:t>
      </w:r>
      <w:r>
        <w:rPr>
          <w:spacing w:val="9"/>
        </w:rPr>
        <w:t xml:space="preserve"> </w:t>
      </w:r>
      <w:r>
        <w:t>jurídica</w:t>
      </w:r>
      <w:r>
        <w:rPr>
          <w:spacing w:val="10"/>
        </w:rPr>
        <w:t xml:space="preserve"> </w:t>
      </w:r>
      <w:r>
        <w:t>fraccionada</w:t>
      </w:r>
      <w:r w:rsidR="00A05BB4">
        <w:t xml:space="preserve"> </w:t>
      </w:r>
      <w:r>
        <w:t>deja de ser quién es y tiende a desaparecer, es decir no puede continuar en otra persona, lo cual no corresponde con la definición de experiencia personal ni de transferencia de experiencia, donde la persona jurídica sigue siendo quien es a través de otra, sin cambios como fraccionamientos que implican que la persona ya no sea quien era.</w:t>
      </w:r>
    </w:p>
    <w:p w14:paraId="4E05A39D" w14:textId="77777777" w:rsidR="0030493A" w:rsidRDefault="006A2E57">
      <w:pPr>
        <w:pStyle w:val="Textoindependiente"/>
        <w:spacing w:before="122" w:line="276" w:lineRule="auto"/>
        <w:ind w:left="300" w:right="104" w:firstLine="707"/>
        <w:jc w:val="both"/>
      </w:pPr>
      <w:r>
        <w:t>Pero en la fusión, como se verá, a pesar de que la sociedad esta “disuelta” y debería “liquidarse”, para desaparecer, la ley permite que no desaparezca y tenga continuidad convertida en otra sociedad, por lo que, por expresa disposición legal, la sociedad puede no “liquidarse” sino continuar a través de otra sociedad, porque así lo quiso el legislador, y esto implica que se traslada la experiencia y no se comparte, porque compartir implica que siga existiendo como una persona individualmente considerada, pero como continúa a través de otra lo que sucede es la transferencia de la</w:t>
      </w:r>
      <w:r>
        <w:rPr>
          <w:spacing w:val="-25"/>
        </w:rPr>
        <w:t xml:space="preserve"> </w:t>
      </w:r>
      <w:r>
        <w:t>experiencia.</w:t>
      </w:r>
    </w:p>
    <w:p w14:paraId="4E05A3A0" w14:textId="07E2B602" w:rsidR="0030493A" w:rsidRDefault="006A2E57" w:rsidP="00164DD3">
      <w:pPr>
        <w:pStyle w:val="Textoindependiente"/>
        <w:spacing w:before="119" w:line="276" w:lineRule="auto"/>
        <w:ind w:left="300" w:right="104" w:firstLine="707"/>
        <w:jc w:val="both"/>
      </w:pPr>
      <w:r>
        <w:t>El efecto de la transferencia de experiencia es que, teniendo en cuenta que quien la adquirió, por la “disolución” y de acuerdo con lo dispuesto por el legislador, continúa a través de otra persona y no desparece, esa experiencia es propia de la sociedad que la tiene ahora, y no deja de ser personal puesto que la sociedad se convirtió en otra sin morir, y esa nueva sociedad o sociedad existente que son las beneficiarias, son la misma sociedad que se “disolvió” para convertirse en ellas, sin afectar lo adquirido por la sociedad “disuelta”.</w:t>
      </w:r>
    </w:p>
    <w:p w14:paraId="4E05A3A2" w14:textId="09D773AC" w:rsidR="0030493A" w:rsidRPr="00164DD3" w:rsidRDefault="006A2E57" w:rsidP="00FD30C2">
      <w:pPr>
        <w:pStyle w:val="Ttulo1"/>
        <w:numPr>
          <w:ilvl w:val="0"/>
          <w:numId w:val="1"/>
        </w:numPr>
        <w:tabs>
          <w:tab w:val="left" w:pos="556"/>
        </w:tabs>
        <w:ind w:hanging="256"/>
        <w:rPr>
          <w:sz w:val="24"/>
        </w:rPr>
      </w:pPr>
      <w:r>
        <w:t>Fusión</w:t>
      </w:r>
    </w:p>
    <w:p w14:paraId="4E05A3A3" w14:textId="77777777" w:rsidR="0030493A" w:rsidRDefault="0030493A">
      <w:pPr>
        <w:pStyle w:val="Textoindependiente"/>
        <w:spacing w:before="6"/>
        <w:rPr>
          <w:b/>
          <w:sz w:val="25"/>
        </w:rPr>
      </w:pPr>
    </w:p>
    <w:p w14:paraId="4E05A3A4" w14:textId="77777777" w:rsidR="0030493A" w:rsidRDefault="006A2E57" w:rsidP="00F5570E">
      <w:pPr>
        <w:pStyle w:val="Textoindependiente"/>
        <w:spacing w:line="276" w:lineRule="auto"/>
        <w:ind w:left="300" w:right="104"/>
        <w:jc w:val="both"/>
      </w:pPr>
      <w:r>
        <w:t xml:space="preserve">Es una figura con 4 tipologías: i) por absorción: una o más sociedades se “disuelven” sin </w:t>
      </w:r>
      <w:r>
        <w:lastRenderedPageBreak/>
        <w:t>“liquidarse” para ser absorbidas por otra existente; ii) por creación: una o más sociedades se “disuelven” sin “liquidarse” para ser absorbidas por otra nueva</w:t>
      </w:r>
      <w:r w:rsidR="00F5570E">
        <w:rPr>
          <w:rStyle w:val="Refdenotaalpie"/>
        </w:rPr>
        <w:footnoteReference w:id="14"/>
      </w:r>
      <w:r>
        <w:t>; iii) impropia: una sociedad se “disuelve” sin el propósito de realizar una fusión sino de “liquidarse”, y antes de la liquidación se toma la decisión de crear una sociedad</w:t>
      </w:r>
      <w:r w:rsidR="00F5570E">
        <w:rPr>
          <w:rStyle w:val="Refdenotaalpie"/>
        </w:rPr>
        <w:footnoteReference w:id="15"/>
      </w:r>
      <w:r>
        <w:t>; iv) abreviada: Solo aplica cuando una Sociedad por Acciones Simplificada (S.A.S) pertenece a otra sociedad en</w:t>
      </w:r>
      <w:r>
        <w:rPr>
          <w:spacing w:val="22"/>
        </w:rPr>
        <w:t xml:space="preserve"> </w:t>
      </w:r>
      <w:r>
        <w:t>más</w:t>
      </w:r>
      <w:r w:rsidR="00F5570E">
        <w:t xml:space="preserve"> </w:t>
      </w:r>
      <w:r>
        <w:t>del 90% de sus acciones, y es posible que esa sociedad controlante absorba a la S.A.S, es decir, que ocurra una fusión por absorción</w:t>
      </w:r>
      <w:r w:rsidR="00F5570E">
        <w:rPr>
          <w:rStyle w:val="Refdenotaalpie"/>
        </w:rPr>
        <w:footnoteReference w:id="16"/>
      </w:r>
      <w:r>
        <w:t>. La norma no habla de “disolución de la S.A.S”, lo cual no implica que no exista fusión, sino que es abreviada porque no se requiere configurar el estado de “disolución” de la</w:t>
      </w:r>
      <w:r>
        <w:rPr>
          <w:spacing w:val="-14"/>
        </w:rPr>
        <w:t xml:space="preserve"> </w:t>
      </w:r>
      <w:r>
        <w:t>sociedad.</w:t>
      </w:r>
    </w:p>
    <w:p w14:paraId="4E05A3A5" w14:textId="77777777" w:rsidR="0030493A" w:rsidRDefault="006A2E57">
      <w:pPr>
        <w:pStyle w:val="Textoindependiente"/>
        <w:spacing w:before="122" w:line="276" w:lineRule="auto"/>
        <w:ind w:left="300" w:right="109" w:firstLine="707"/>
        <w:jc w:val="both"/>
      </w:pPr>
      <w:r>
        <w:t xml:space="preserve">Para analizar la fusión y sus efectos respecto de la experiencia de la sociedad que se “disuelve” pero no se “liquida”, es necesario reiterar la explicación dada respecto de la segunda modalidad de escisión, y es que siempre que la sociedad no se liquide, es decir, que no desaparezca o muera, la experiencia puede ser trasladada y no compartida, ya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y estas sociedades serán la sociedad absorbida, y continuarán su vida jurídica. La experiencia no se comparte porque para esto la sociedad debería continuar individualmente considerada, pero en este caso continúa a través de otra, a quien le </w:t>
      </w:r>
      <w:r>
        <w:lastRenderedPageBreak/>
        <w:t>transfiere su experiencia y todos sus derechos y obligaciones, de conformidad con el artículo 172 y siguientes del Código de Comercio.</w:t>
      </w:r>
    </w:p>
    <w:p w14:paraId="4E05A3A6" w14:textId="77777777" w:rsidR="0030493A" w:rsidRDefault="0030493A">
      <w:pPr>
        <w:pStyle w:val="Textoindependiente"/>
        <w:spacing w:before="2"/>
      </w:pPr>
    </w:p>
    <w:p w14:paraId="4E05A3A7" w14:textId="77777777" w:rsidR="0030493A" w:rsidRDefault="006A2E57">
      <w:pPr>
        <w:pStyle w:val="Ttulo1"/>
        <w:numPr>
          <w:ilvl w:val="0"/>
          <w:numId w:val="3"/>
        </w:numPr>
        <w:tabs>
          <w:tab w:val="left" w:pos="544"/>
        </w:tabs>
        <w:spacing w:before="1"/>
        <w:ind w:left="543" w:hanging="244"/>
      </w:pPr>
      <w:r>
        <w:t>Respuesta</w:t>
      </w:r>
    </w:p>
    <w:p w14:paraId="4E05A3A8" w14:textId="77777777" w:rsidR="0030493A" w:rsidRDefault="0030493A">
      <w:pPr>
        <w:pStyle w:val="Textoindependiente"/>
        <w:spacing w:before="3"/>
        <w:rPr>
          <w:b/>
          <w:sz w:val="25"/>
        </w:rPr>
      </w:pPr>
    </w:p>
    <w:p w14:paraId="4E05A3A9" w14:textId="77777777" w:rsidR="0030493A" w:rsidRDefault="006A2E57" w:rsidP="00F5570E">
      <w:pPr>
        <w:pStyle w:val="Textoindependiente"/>
        <w:spacing w:before="1" w:line="276" w:lineRule="auto"/>
        <w:ind w:left="300" w:right="104"/>
        <w:jc w:val="both"/>
      </w:pPr>
      <w:r>
        <w:t>En la fusión por absorción, cuando una sociedad se “disuelve”, es decir, es una persona jurídica que no desaparece pero solo podría hacer los trámites de su liquidación, ya que únicamente tiene capacidad jurídica para ello, de acuerdo con el artículo 222 del Código de Comercio, por excepción prevista en el mismo código citado puede continuar a través de otra sociedad, como es el caso de la fusión -por absorción o por creación-, lo que significa que no se liquida, ya que si esto ocurre desaparece para el ámbito jurídico, y su experiencia</w:t>
      </w:r>
      <w:r>
        <w:rPr>
          <w:spacing w:val="17"/>
        </w:rPr>
        <w:t xml:space="preserve"> </w:t>
      </w:r>
      <w:r>
        <w:t>seguiría</w:t>
      </w:r>
      <w:r>
        <w:rPr>
          <w:spacing w:val="18"/>
        </w:rPr>
        <w:t xml:space="preserve"> </w:t>
      </w:r>
      <w:r>
        <w:t>la</w:t>
      </w:r>
      <w:r>
        <w:rPr>
          <w:spacing w:val="15"/>
        </w:rPr>
        <w:t xml:space="preserve"> </w:t>
      </w:r>
      <w:r>
        <w:t>misma</w:t>
      </w:r>
      <w:r>
        <w:rPr>
          <w:spacing w:val="18"/>
        </w:rPr>
        <w:t xml:space="preserve"> </w:t>
      </w:r>
      <w:r>
        <w:t>suerte;</w:t>
      </w:r>
      <w:r>
        <w:rPr>
          <w:spacing w:val="17"/>
        </w:rPr>
        <w:t xml:space="preserve"> </w:t>
      </w:r>
      <w:r>
        <w:t>sin</w:t>
      </w:r>
      <w:r>
        <w:rPr>
          <w:spacing w:val="18"/>
        </w:rPr>
        <w:t xml:space="preserve"> </w:t>
      </w:r>
      <w:r>
        <w:t>embargo</w:t>
      </w:r>
      <w:r>
        <w:rPr>
          <w:spacing w:val="17"/>
        </w:rPr>
        <w:t xml:space="preserve"> </w:t>
      </w:r>
      <w:r>
        <w:t>el</w:t>
      </w:r>
      <w:r>
        <w:rPr>
          <w:spacing w:val="18"/>
        </w:rPr>
        <w:t xml:space="preserve"> </w:t>
      </w:r>
      <w:r>
        <w:t>legislador</w:t>
      </w:r>
      <w:r>
        <w:rPr>
          <w:spacing w:val="17"/>
        </w:rPr>
        <w:t xml:space="preserve"> </w:t>
      </w:r>
      <w:r>
        <w:t>creó</w:t>
      </w:r>
      <w:r>
        <w:rPr>
          <w:spacing w:val="24"/>
        </w:rPr>
        <w:t xml:space="preserve"> </w:t>
      </w:r>
      <w:r>
        <w:t>esta</w:t>
      </w:r>
      <w:r>
        <w:rPr>
          <w:spacing w:val="15"/>
        </w:rPr>
        <w:t xml:space="preserve"> </w:t>
      </w:r>
      <w:r>
        <w:t>figura</w:t>
      </w:r>
      <w:r>
        <w:rPr>
          <w:spacing w:val="17"/>
        </w:rPr>
        <w:t xml:space="preserve"> </w:t>
      </w:r>
      <w:r>
        <w:t>para</w:t>
      </w:r>
      <w:r>
        <w:rPr>
          <w:spacing w:val="17"/>
        </w:rPr>
        <w:t xml:space="preserve"> </w:t>
      </w:r>
      <w:r>
        <w:t>que</w:t>
      </w:r>
      <w:r w:rsidR="00F5570E">
        <w:t xml:space="preserve"> </w:t>
      </w:r>
      <w:r>
        <w:t>haya transferencia de experiencia, lo cual es diferente a compartir la experiencia, como ocurre en los esquemas asociativos -consorcios y uniones temporales-, donde se unen 2 o más personas, sin disolverse y sin continuar una persona por otra, sino que cada miembro del proponente plural permanece en su individualidad jurídica, tanto es así que los esquemas no tienen personería jurídica, lo cual es contrario a lo que sucede cuando se traslada la experiencia de una persona a otra, porque las dos no coexisten sino que una persona continúa a través de la otra, ya que el legislador así lo dispuso.</w:t>
      </w:r>
    </w:p>
    <w:p w14:paraId="4E05A3AA" w14:textId="77777777" w:rsidR="0030493A" w:rsidRDefault="006A2E57">
      <w:pPr>
        <w:pStyle w:val="Textoindependiente"/>
        <w:spacing w:before="122" w:line="276" w:lineRule="auto"/>
        <w:ind w:left="300" w:right="105" w:firstLine="707"/>
        <w:jc w:val="both"/>
      </w:pPr>
      <w: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14:paraId="4E05A3AC" w14:textId="1B4DF2BC" w:rsidR="0030493A" w:rsidRDefault="006A2E57" w:rsidP="00164DD3">
      <w:pPr>
        <w:pStyle w:val="Textoindependiente"/>
        <w:spacing w:before="119" w:line="278" w:lineRule="auto"/>
        <w:ind w:left="300" w:right="111" w:firstLine="707"/>
        <w:jc w:val="both"/>
        <w:rPr>
          <w:sz w:val="20"/>
        </w:rPr>
      </w:pPr>
      <w:r>
        <w:t>Este concepto tiene el alcance previsto en el artículo 28 del Código de Procedimiento Administrativo y de lo Contencioso Administrativo.</w:t>
      </w:r>
    </w:p>
    <w:p w14:paraId="4E05A3AD" w14:textId="77777777" w:rsidR="0030493A" w:rsidRDefault="00363F8D">
      <w:pPr>
        <w:pStyle w:val="Textoindependiente"/>
        <w:spacing w:before="4"/>
        <w:rPr>
          <w:sz w:val="23"/>
        </w:rPr>
      </w:pPr>
      <w:r>
        <w:rPr>
          <w:noProof/>
          <w:lang w:val="en-US"/>
        </w:rPr>
        <mc:AlternateContent>
          <mc:Choice Requires="wps">
            <w:drawing>
              <wp:anchor distT="0" distB="0" distL="0" distR="0" simplePos="0" relativeHeight="487592960" behindDoc="1" locked="0" layoutInCell="1" allowOverlap="1" wp14:anchorId="4E05A3C2" wp14:editId="4E05A3C3">
                <wp:simplePos x="0" y="0"/>
                <wp:positionH relativeFrom="page">
                  <wp:posOffset>1514475</wp:posOffset>
                </wp:positionH>
                <wp:positionV relativeFrom="paragraph">
                  <wp:posOffset>200660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D63C89F" id="Freeform 2" o:spid="_x0000_s1026" style="position:absolute;margin-left:119.25pt;margin-top:15.8pt;width:369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gIIWJ+EAAAAJAQAADwAAAGRycy9kb3ducmV2LnhtbEyPwUrD&#10;QBCG74LvsIzgReymLcYYsyliKQhSpK2C3jbZMQnNzobsJo1v7/Skx/nn459vstVkWzFi7xtHCuaz&#10;CARS6UxDlYL3w+Y2AeGDJqNbR6jgBz2s8suLTKfGnWiH4z5UgkvIp1pBHUKXSunLGq32M9ch8e7b&#10;9VYHHvtKml6fuNy2chFFsbS6Ib5Q6w6fayyP+8EqWL9Ubx+fBa23u2E8HJvXbuNuvpS6vpqeHkEE&#10;nMIfDGd9VoecnQo3kPGiVbBYJneMKljOYxAMPNzHHBTnIAGZZ/L/B/kvAAAA//8DAFBLAQItABQA&#10;BgAIAAAAIQC2gziS/gAAAOEBAAATAAAAAAAAAAAAAAAAAAAAAABbQ29udGVudF9UeXBlc10ueG1s&#10;UEsBAi0AFAAGAAgAAAAhADj9If/WAAAAlAEAAAsAAAAAAAAAAAAAAAAALwEAAF9yZWxzLy5yZWxz&#10;UEsBAi0AFAAGAAgAAAAhAPiVqyMFAwAApAYAAA4AAAAAAAAAAAAAAAAALgIAAGRycy9lMm9Eb2Mu&#10;eG1sUEsBAi0AFAAGAAgAAAAhAICCFif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14:paraId="4E05A3AE" w14:textId="77777777" w:rsidR="0030493A" w:rsidRDefault="0030493A">
      <w:pPr>
        <w:pStyle w:val="Textoindependiente"/>
        <w:spacing w:before="10"/>
        <w:rPr>
          <w:sz w:val="30"/>
        </w:rPr>
      </w:pPr>
    </w:p>
    <w:p w14:paraId="4E05A3AF" w14:textId="77777777" w:rsidR="0030493A" w:rsidRDefault="006A2E57">
      <w:pPr>
        <w:pStyle w:val="Textoindependiente"/>
        <w:ind w:left="300"/>
      </w:pPr>
      <w:r>
        <w:t>Atentamente,</w:t>
      </w:r>
    </w:p>
    <w:p w14:paraId="4E05A3B0" w14:textId="4C93DAC5" w:rsidR="0030493A" w:rsidRDefault="00164DD3" w:rsidP="00164DD3">
      <w:pPr>
        <w:pStyle w:val="Textoindependiente"/>
        <w:spacing w:before="3"/>
        <w:jc w:val="center"/>
        <w:rPr>
          <w:sz w:val="12"/>
        </w:rPr>
      </w:pPr>
      <w:r>
        <w:rPr>
          <w:noProof/>
          <w:lang w:val="en-US"/>
        </w:rPr>
        <w:drawing>
          <wp:inline distT="0" distB="0" distL="0" distR="0" wp14:anchorId="5F3C9094" wp14:editId="318375E0">
            <wp:extent cx="2773144" cy="98869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E05A3B1" w14:textId="77777777" w:rsidR="0030493A" w:rsidRDefault="0030493A">
      <w:pPr>
        <w:pStyle w:val="Textoindependiente"/>
        <w:spacing w:before="10"/>
        <w:rPr>
          <w:sz w:val="12"/>
        </w:rPr>
      </w:pPr>
    </w:p>
    <w:tbl>
      <w:tblPr>
        <w:tblStyle w:val="TableNormal"/>
        <w:tblW w:w="0" w:type="auto"/>
        <w:tblInd w:w="108" w:type="dxa"/>
        <w:tblLayout w:type="fixed"/>
        <w:tblLook w:val="01E0" w:firstRow="1" w:lastRow="1" w:firstColumn="1" w:lastColumn="1" w:noHBand="0" w:noVBand="0"/>
      </w:tblPr>
      <w:tblGrid>
        <w:gridCol w:w="897"/>
        <w:gridCol w:w="4421"/>
      </w:tblGrid>
      <w:tr w:rsidR="0030493A" w14:paraId="4E05A3B5" w14:textId="77777777">
        <w:trPr>
          <w:trHeight w:val="364"/>
        </w:trPr>
        <w:tc>
          <w:tcPr>
            <w:tcW w:w="897" w:type="dxa"/>
          </w:tcPr>
          <w:p w14:paraId="4E05A3B2" w14:textId="77777777" w:rsidR="0030493A" w:rsidRDefault="006A2E57">
            <w:pPr>
              <w:pStyle w:val="TableParagraph"/>
              <w:spacing w:before="87"/>
              <w:ind w:left="180" w:right="81"/>
              <w:jc w:val="center"/>
              <w:rPr>
                <w:sz w:val="16"/>
              </w:rPr>
            </w:pPr>
            <w:r>
              <w:rPr>
                <w:sz w:val="16"/>
              </w:rPr>
              <w:t>Elaboró:</w:t>
            </w:r>
          </w:p>
        </w:tc>
        <w:tc>
          <w:tcPr>
            <w:tcW w:w="4421" w:type="dxa"/>
            <w:tcBorders>
              <w:bottom w:val="dotted" w:sz="4" w:space="0" w:color="7E7E7E"/>
            </w:tcBorders>
          </w:tcPr>
          <w:p w14:paraId="4E05A3B3" w14:textId="77777777" w:rsidR="0030493A" w:rsidRDefault="006A2E57">
            <w:pPr>
              <w:pStyle w:val="TableParagraph"/>
              <w:spacing w:line="178" w:lineRule="exact"/>
              <w:rPr>
                <w:sz w:val="16"/>
              </w:rPr>
            </w:pPr>
            <w:r>
              <w:rPr>
                <w:sz w:val="16"/>
              </w:rPr>
              <w:t>Ximena Ríos López</w:t>
            </w:r>
          </w:p>
          <w:p w14:paraId="4E05A3B4" w14:textId="77777777" w:rsidR="0030493A" w:rsidRDefault="006A2E57">
            <w:pPr>
              <w:pStyle w:val="TableParagraph"/>
              <w:spacing w:line="167" w:lineRule="exact"/>
              <w:rPr>
                <w:sz w:val="16"/>
              </w:rPr>
            </w:pPr>
            <w:r>
              <w:rPr>
                <w:sz w:val="16"/>
              </w:rPr>
              <w:t>Gestor T1-11</w:t>
            </w:r>
          </w:p>
        </w:tc>
      </w:tr>
      <w:tr w:rsidR="0030493A" w14:paraId="4E05A3B9" w14:textId="77777777">
        <w:trPr>
          <w:trHeight w:val="367"/>
        </w:trPr>
        <w:tc>
          <w:tcPr>
            <w:tcW w:w="897" w:type="dxa"/>
          </w:tcPr>
          <w:p w14:paraId="4E05A3B6" w14:textId="77777777" w:rsidR="0030493A" w:rsidRDefault="006A2E57">
            <w:pPr>
              <w:pStyle w:val="TableParagraph"/>
              <w:spacing w:before="90"/>
              <w:ind w:left="118" w:right="81"/>
              <w:jc w:val="center"/>
              <w:rPr>
                <w:sz w:val="16"/>
              </w:rPr>
            </w:pPr>
            <w:r>
              <w:rPr>
                <w:sz w:val="16"/>
              </w:rPr>
              <w:t>Revisó:</w:t>
            </w:r>
          </w:p>
        </w:tc>
        <w:tc>
          <w:tcPr>
            <w:tcW w:w="4421" w:type="dxa"/>
            <w:tcBorders>
              <w:top w:val="dotted" w:sz="4" w:space="0" w:color="7E7E7E"/>
              <w:bottom w:val="dotted" w:sz="4" w:space="0" w:color="7E7E7E"/>
            </w:tcBorders>
          </w:tcPr>
          <w:p w14:paraId="4E05A3B7" w14:textId="77777777" w:rsidR="0030493A" w:rsidRDefault="006A2E57">
            <w:pPr>
              <w:pStyle w:val="TableParagraph"/>
              <w:spacing w:line="181" w:lineRule="exact"/>
              <w:rPr>
                <w:sz w:val="16"/>
              </w:rPr>
            </w:pPr>
            <w:r>
              <w:rPr>
                <w:sz w:val="16"/>
              </w:rPr>
              <w:t>Fabián Gonzalo Marín Cortés</w:t>
            </w:r>
          </w:p>
          <w:p w14:paraId="4E05A3B8" w14:textId="77777777" w:rsidR="0030493A" w:rsidRDefault="006A2E57">
            <w:pPr>
              <w:pStyle w:val="TableParagraph"/>
              <w:spacing w:before="1" w:line="165" w:lineRule="exact"/>
              <w:rPr>
                <w:sz w:val="16"/>
              </w:rPr>
            </w:pPr>
            <w:r>
              <w:rPr>
                <w:sz w:val="16"/>
              </w:rPr>
              <w:t>Subdirector de Gestión Contractual</w:t>
            </w:r>
          </w:p>
        </w:tc>
      </w:tr>
      <w:tr w:rsidR="0030493A" w14:paraId="4E05A3BD" w14:textId="77777777">
        <w:trPr>
          <w:trHeight w:val="403"/>
        </w:trPr>
        <w:tc>
          <w:tcPr>
            <w:tcW w:w="897" w:type="dxa"/>
          </w:tcPr>
          <w:p w14:paraId="4E05A3BA" w14:textId="77777777" w:rsidR="0030493A" w:rsidRDefault="006A2E57">
            <w:pPr>
              <w:pStyle w:val="TableParagraph"/>
              <w:spacing w:before="90"/>
              <w:ind w:left="145" w:right="81"/>
              <w:jc w:val="center"/>
              <w:rPr>
                <w:sz w:val="16"/>
              </w:rPr>
            </w:pPr>
            <w:r>
              <w:rPr>
                <w:sz w:val="16"/>
              </w:rPr>
              <w:t>Aprobó:</w:t>
            </w:r>
          </w:p>
        </w:tc>
        <w:tc>
          <w:tcPr>
            <w:tcW w:w="4421" w:type="dxa"/>
            <w:tcBorders>
              <w:top w:val="dotted" w:sz="4" w:space="0" w:color="7E7E7E"/>
            </w:tcBorders>
          </w:tcPr>
          <w:p w14:paraId="4E05A3BB" w14:textId="77777777" w:rsidR="0030493A" w:rsidRDefault="006A2E57">
            <w:pPr>
              <w:pStyle w:val="TableParagraph"/>
              <w:spacing w:line="182" w:lineRule="exact"/>
              <w:rPr>
                <w:sz w:val="16"/>
              </w:rPr>
            </w:pPr>
            <w:r>
              <w:rPr>
                <w:sz w:val="16"/>
              </w:rPr>
              <w:t>Fabián Gonzalo Marín Cortés</w:t>
            </w:r>
          </w:p>
          <w:p w14:paraId="4E05A3BC" w14:textId="77777777" w:rsidR="0030493A" w:rsidRDefault="006A2E57">
            <w:pPr>
              <w:pStyle w:val="TableParagraph"/>
              <w:tabs>
                <w:tab w:val="left" w:pos="4421"/>
              </w:tabs>
              <w:spacing w:before="1"/>
              <w:ind w:left="7" w:right="-15"/>
              <w:rPr>
                <w:sz w:val="16"/>
              </w:rPr>
            </w:pPr>
            <w:r>
              <w:rPr>
                <w:sz w:val="16"/>
                <w:u w:val="dotted" w:color="7E7E7E"/>
              </w:rPr>
              <w:t xml:space="preserve"> </w:t>
            </w:r>
            <w:r>
              <w:rPr>
                <w:spacing w:val="18"/>
                <w:sz w:val="16"/>
                <w:u w:val="dotted" w:color="7E7E7E"/>
              </w:rPr>
              <w:t xml:space="preserve"> </w:t>
            </w:r>
            <w:r>
              <w:rPr>
                <w:sz w:val="16"/>
                <w:u w:val="dotted" w:color="7E7E7E"/>
              </w:rPr>
              <w:t>Subdirector de Gestión</w:t>
            </w:r>
            <w:r>
              <w:rPr>
                <w:spacing w:val="-18"/>
                <w:sz w:val="16"/>
                <w:u w:val="dotted" w:color="7E7E7E"/>
              </w:rPr>
              <w:t xml:space="preserve"> </w:t>
            </w:r>
            <w:r>
              <w:rPr>
                <w:sz w:val="16"/>
                <w:u w:val="dotted" w:color="7E7E7E"/>
              </w:rPr>
              <w:t>Contractual</w:t>
            </w:r>
            <w:r>
              <w:rPr>
                <w:sz w:val="16"/>
                <w:u w:val="dotted" w:color="7E7E7E"/>
              </w:rPr>
              <w:tab/>
            </w:r>
          </w:p>
        </w:tc>
      </w:tr>
      <w:tr w:rsidR="0030493A" w14:paraId="4E05A3C0" w14:textId="77777777">
        <w:trPr>
          <w:trHeight w:val="274"/>
        </w:trPr>
        <w:tc>
          <w:tcPr>
            <w:tcW w:w="897" w:type="dxa"/>
          </w:tcPr>
          <w:p w14:paraId="4E05A3BE" w14:textId="77777777" w:rsidR="0030493A" w:rsidRDefault="006A2E57">
            <w:pPr>
              <w:pStyle w:val="TableParagraph"/>
              <w:spacing w:before="31"/>
              <w:ind w:left="83" w:right="81"/>
              <w:jc w:val="center"/>
              <w:rPr>
                <w:sz w:val="16"/>
              </w:rPr>
            </w:pPr>
            <w:r>
              <w:rPr>
                <w:sz w:val="16"/>
              </w:rPr>
              <w:t>Anexo:</w:t>
            </w:r>
          </w:p>
        </w:tc>
        <w:tc>
          <w:tcPr>
            <w:tcW w:w="4421" w:type="dxa"/>
            <w:tcBorders>
              <w:bottom w:val="dotted" w:sz="4" w:space="0" w:color="7E7E7E"/>
            </w:tcBorders>
          </w:tcPr>
          <w:p w14:paraId="4E05A3BF" w14:textId="77777777" w:rsidR="0030493A" w:rsidRDefault="006A2E57">
            <w:pPr>
              <w:pStyle w:val="TableParagraph"/>
              <w:spacing w:before="31"/>
              <w:rPr>
                <w:sz w:val="16"/>
              </w:rPr>
            </w:pPr>
            <w:r>
              <w:rPr>
                <w:sz w:val="16"/>
              </w:rPr>
              <w:t>0</w:t>
            </w:r>
          </w:p>
        </w:tc>
      </w:tr>
    </w:tbl>
    <w:p w14:paraId="4E05A3C1" w14:textId="77777777" w:rsidR="006A2E57" w:rsidRDefault="006A2E57" w:rsidP="00164DD3"/>
    <w:sectPr w:rsidR="006A2E57">
      <w:headerReference w:type="default" r:id="rId12"/>
      <w:footerReference w:type="default" r:id="rId13"/>
      <w:pgSz w:w="12240" w:h="15840"/>
      <w:pgMar w:top="1560" w:right="1500" w:bottom="2140" w:left="140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CFEE8" w14:textId="77777777" w:rsidR="001906FC" w:rsidRDefault="001906FC">
      <w:r>
        <w:separator/>
      </w:r>
    </w:p>
  </w:endnote>
  <w:endnote w:type="continuationSeparator" w:id="0">
    <w:p w14:paraId="15A90EB4" w14:textId="77777777" w:rsidR="001906FC" w:rsidRDefault="00190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5A3CB" w14:textId="77777777" w:rsidR="0030493A" w:rsidRDefault="006A2E57">
    <w:pPr>
      <w:pStyle w:val="Textoindependiente"/>
      <w:spacing w:line="14" w:lineRule="auto"/>
      <w:rPr>
        <w:sz w:val="20"/>
      </w:rPr>
    </w:pPr>
    <w:r>
      <w:rPr>
        <w:noProof/>
        <w:lang w:val="en-US"/>
      </w:rPr>
      <w:drawing>
        <wp:anchor distT="0" distB="0" distL="0" distR="0" simplePos="0" relativeHeight="487416832" behindDoc="1" locked="0" layoutInCell="1" allowOverlap="1" wp14:anchorId="4E05A3CE" wp14:editId="4E05A3CF">
          <wp:simplePos x="0" y="0"/>
          <wp:positionH relativeFrom="page">
            <wp:posOffset>1137919</wp:posOffset>
          </wp:positionH>
          <wp:positionV relativeFrom="page">
            <wp:posOffset>8688387</wp:posOffset>
          </wp:positionV>
          <wp:extent cx="5612130" cy="787120"/>
          <wp:effectExtent l="0" t="0" r="0" b="0"/>
          <wp:wrapNone/>
          <wp:docPr id="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D4B3B" w14:textId="77777777" w:rsidR="001906FC" w:rsidRDefault="001906FC">
      <w:r>
        <w:separator/>
      </w:r>
    </w:p>
  </w:footnote>
  <w:footnote w:type="continuationSeparator" w:id="0">
    <w:p w14:paraId="05BAD0E5" w14:textId="77777777" w:rsidR="001906FC" w:rsidRDefault="001906FC">
      <w:r>
        <w:continuationSeparator/>
      </w:r>
    </w:p>
  </w:footnote>
  <w:footnote w:id="1">
    <w:p w14:paraId="4E05A3D0" w14:textId="77777777" w:rsidR="002D26D6" w:rsidRDefault="002D26D6" w:rsidP="002D26D6">
      <w:pPr>
        <w:spacing w:before="80"/>
        <w:ind w:left="300" w:right="105" w:firstLine="707"/>
        <w:jc w:val="both"/>
        <w:rPr>
          <w:sz w:val="19"/>
        </w:rPr>
      </w:pPr>
      <w:r>
        <w:rPr>
          <w:rStyle w:val="Refdenotaalpie"/>
        </w:rPr>
        <w:footnoteRef/>
      </w:r>
      <w:r>
        <w:t xml:space="preserve"> </w:t>
      </w:r>
      <w:r>
        <w:rPr>
          <w:sz w:val="19"/>
        </w:rPr>
        <w:t>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E05A3D1" w14:textId="77777777" w:rsidR="002D26D6" w:rsidRDefault="002D26D6" w:rsidP="002D26D6">
      <w:pPr>
        <w:spacing w:line="218" w:lineRule="exact"/>
        <w:ind w:left="300"/>
        <w:rPr>
          <w:sz w:val="19"/>
        </w:rPr>
      </w:pPr>
      <w:r>
        <w:rPr>
          <w:sz w:val="19"/>
        </w:rPr>
        <w:t>“(...)</w:t>
      </w:r>
    </w:p>
    <w:p w14:paraId="4E05A3D2" w14:textId="77777777" w:rsidR="002D26D6" w:rsidRDefault="002D26D6" w:rsidP="002D26D6">
      <w:pPr>
        <w:pStyle w:val="Textoindependiente"/>
        <w:spacing w:before="1"/>
        <w:rPr>
          <w:sz w:val="19"/>
        </w:rPr>
      </w:pPr>
    </w:p>
    <w:p w14:paraId="4E05A3D3" w14:textId="77777777" w:rsidR="002D26D6" w:rsidRPr="002D26D6" w:rsidRDefault="002D26D6" w:rsidP="002D26D6">
      <w:pPr>
        <w:ind w:left="300"/>
        <w:rPr>
          <w:sz w:val="19"/>
        </w:rPr>
      </w:pPr>
      <w:r>
        <w:rPr>
          <w:sz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footnote>
  <w:footnote w:id="2">
    <w:p w14:paraId="4E05A3D4" w14:textId="77777777" w:rsidR="002D26D6" w:rsidRDefault="002D26D6" w:rsidP="002D26D6">
      <w:pPr>
        <w:spacing w:before="101"/>
        <w:ind w:left="300" w:right="109" w:firstLine="707"/>
        <w:jc w:val="both"/>
        <w:rPr>
          <w:sz w:val="19"/>
        </w:rPr>
      </w:pPr>
      <w:r>
        <w:rPr>
          <w:rStyle w:val="Refdenotaalpie"/>
        </w:rPr>
        <w:footnoteRef/>
      </w:r>
      <w:r>
        <w:t xml:space="preserve"> </w:t>
      </w:r>
      <w:r>
        <w:rPr>
          <w:sz w:val="19"/>
        </w:rPr>
        <w:t>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E05A3D5" w14:textId="77777777" w:rsidR="002D26D6" w:rsidRDefault="002D26D6" w:rsidP="002D26D6">
      <w:pPr>
        <w:pStyle w:val="Textoindependiente"/>
        <w:rPr>
          <w:sz w:val="19"/>
        </w:rPr>
      </w:pPr>
    </w:p>
    <w:p w14:paraId="4E05A3D7" w14:textId="4E679AF7" w:rsidR="002D26D6" w:rsidRPr="002D26D6" w:rsidRDefault="002D26D6" w:rsidP="00164DD3">
      <w:pPr>
        <w:spacing w:before="1"/>
        <w:ind w:left="300" w:right="157"/>
        <w:rPr>
          <w:lang w:val="es-CO"/>
        </w:rPr>
      </w:pPr>
      <w:r>
        <w:rPr>
          <w:sz w:val="19"/>
        </w:rPr>
        <w:t>Las personas jurídicas nacionales y extranjeras deberán acreditar que su duración no será inferior a la del plazo del contrato y un año</w:t>
      </w:r>
      <w:r>
        <w:rPr>
          <w:spacing w:val="-2"/>
          <w:sz w:val="19"/>
        </w:rPr>
        <w:t xml:space="preserve"> </w:t>
      </w:r>
      <w:r>
        <w:rPr>
          <w:sz w:val="19"/>
        </w:rPr>
        <w:t>más”.</w:t>
      </w:r>
    </w:p>
  </w:footnote>
  <w:footnote w:id="3">
    <w:p w14:paraId="4E05A3D8" w14:textId="77777777" w:rsidR="002D26D6" w:rsidRDefault="002D26D6" w:rsidP="002D26D6">
      <w:pPr>
        <w:spacing w:before="82"/>
        <w:ind w:left="300" w:right="110" w:firstLine="707"/>
        <w:jc w:val="both"/>
        <w:rPr>
          <w:sz w:val="19"/>
        </w:rPr>
      </w:pPr>
      <w:r>
        <w:rPr>
          <w:rStyle w:val="Refdenotaalpie"/>
          <w:sz w:val="20"/>
          <w:szCs w:val="20"/>
        </w:rPr>
        <w:footnoteRef/>
      </w:r>
      <w:r>
        <w:rPr>
          <w:rStyle w:val="Refdenotaalpie"/>
        </w:rPr>
        <w:footnoteRef/>
      </w:r>
      <w:r>
        <w:t xml:space="preserve"> </w:t>
      </w:r>
      <w:r>
        <w:rPr>
          <w:sz w:val="19"/>
        </w:rPr>
        <w:t>Código Civil: “Artículo 633. Definición de persona jurídica. Se llama persona jurídica, una persona ficticia, capaz de ejercer derechos y contraer obligaciones civiles, y de ser representada judicial y extrajudicialmente.</w:t>
      </w:r>
    </w:p>
    <w:p w14:paraId="4E05A3D9" w14:textId="77777777" w:rsidR="002D26D6" w:rsidRDefault="002D26D6" w:rsidP="002D26D6">
      <w:pPr>
        <w:pStyle w:val="Textoindependiente"/>
        <w:spacing w:before="10"/>
        <w:rPr>
          <w:sz w:val="18"/>
        </w:rPr>
      </w:pPr>
    </w:p>
    <w:p w14:paraId="4E05A3DA" w14:textId="77777777" w:rsidR="002D26D6" w:rsidRPr="002D26D6" w:rsidRDefault="002D26D6" w:rsidP="002D26D6">
      <w:pPr>
        <w:spacing w:before="1" w:line="480" w:lineRule="auto"/>
        <w:ind w:left="300" w:right="675"/>
        <w:jc w:val="both"/>
        <w:rPr>
          <w:sz w:val="19"/>
        </w:rPr>
      </w:pPr>
      <w:r>
        <w:rPr>
          <w:sz w:val="19"/>
        </w:rPr>
        <w:t>“Las personas jurídicas son de dos especies: corporaciones y fundaciones de beneficencia</w:t>
      </w:r>
      <w:r>
        <w:rPr>
          <w:spacing w:val="-33"/>
          <w:sz w:val="19"/>
        </w:rPr>
        <w:t xml:space="preserve"> </w:t>
      </w:r>
      <w:r>
        <w:rPr>
          <w:sz w:val="19"/>
        </w:rPr>
        <w:t>pública. “Hay personas jurídicas que participan de uno y otro</w:t>
      </w:r>
      <w:r>
        <w:rPr>
          <w:spacing w:val="-5"/>
          <w:sz w:val="19"/>
        </w:rPr>
        <w:t xml:space="preserve"> </w:t>
      </w:r>
      <w:r>
        <w:rPr>
          <w:sz w:val="19"/>
        </w:rPr>
        <w:t>carácter”.</w:t>
      </w:r>
    </w:p>
  </w:footnote>
  <w:footnote w:id="4">
    <w:p w14:paraId="4E05A3DB" w14:textId="77777777" w:rsidR="002D26D6" w:rsidRDefault="002D26D6" w:rsidP="002D26D6">
      <w:pPr>
        <w:spacing w:before="1"/>
        <w:ind w:left="300" w:right="113" w:firstLine="707"/>
        <w:jc w:val="both"/>
        <w:rPr>
          <w:sz w:val="19"/>
        </w:rPr>
      </w:pPr>
      <w:r>
        <w:rPr>
          <w:rStyle w:val="Refdenotaalpie"/>
        </w:rPr>
        <w:footnoteRef/>
      </w:r>
      <w:r>
        <w:t xml:space="preserve"> </w:t>
      </w:r>
      <w:r>
        <w:rPr>
          <w:sz w:val="19"/>
        </w:rPr>
        <w:t>Código de Comercio: “Artículo 1. Aplicabilidad de la ley comercial. Los comerciantes y los asuntos mercantiles se regirán por las disposiciones de la ley comercial, y los casos no regulados expresamente en ella serán decididos por analogía de sus normas.</w:t>
      </w:r>
    </w:p>
    <w:p w14:paraId="4E05A3DC" w14:textId="77777777" w:rsidR="002D26D6" w:rsidRDefault="002D26D6" w:rsidP="002D26D6">
      <w:pPr>
        <w:pStyle w:val="Textoindependiente"/>
        <w:spacing w:before="10"/>
        <w:rPr>
          <w:sz w:val="18"/>
        </w:rPr>
      </w:pPr>
    </w:p>
    <w:p w14:paraId="4E05A3DD" w14:textId="77777777" w:rsidR="002D26D6" w:rsidRDefault="002D26D6" w:rsidP="002D26D6">
      <w:pPr>
        <w:ind w:left="300"/>
        <w:rPr>
          <w:sz w:val="19"/>
        </w:rPr>
      </w:pPr>
      <w:r>
        <w:rPr>
          <w:sz w:val="19"/>
        </w:rPr>
        <w:t>“Artículo 2. Aplicación de la legislación civil. En las cuestiones comerciales que no pudieren regularse conforme a la regla anterior, se aplicarán las disposiciones de la legislación civil”.</w:t>
      </w:r>
    </w:p>
    <w:p w14:paraId="4E05A3DE" w14:textId="77777777" w:rsidR="002D26D6" w:rsidRPr="002D26D6" w:rsidRDefault="002D26D6">
      <w:pPr>
        <w:pStyle w:val="Textonotapie"/>
        <w:rPr>
          <w:lang w:val="es-CO"/>
        </w:rPr>
      </w:pPr>
    </w:p>
  </w:footnote>
  <w:footnote w:id="5">
    <w:p w14:paraId="4E05A3DF" w14:textId="77777777" w:rsidR="002D26D6" w:rsidRDefault="002D26D6" w:rsidP="00164DD3">
      <w:pPr>
        <w:pStyle w:val="Textonotapie"/>
        <w:ind w:firstLine="720"/>
        <w:jc w:val="both"/>
        <w:rPr>
          <w:sz w:val="19"/>
        </w:rPr>
      </w:pPr>
      <w:r>
        <w:rPr>
          <w:rStyle w:val="Refdenotaalpie"/>
        </w:rPr>
        <w:footnoteRef/>
      </w:r>
      <w:r>
        <w:t xml:space="preserve"> </w:t>
      </w:r>
      <w:r>
        <w:rPr>
          <w:sz w:val="19"/>
        </w:rPr>
        <w:t>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E05A3E0" w14:textId="77777777" w:rsidR="002D26D6" w:rsidRDefault="002D26D6" w:rsidP="002D26D6">
      <w:pPr>
        <w:spacing w:before="80"/>
        <w:ind w:left="300" w:right="108"/>
        <w:jc w:val="both"/>
        <w:rPr>
          <w:sz w:val="19"/>
        </w:rPr>
      </w:pPr>
      <w:r>
        <w:rPr>
          <w:sz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E05A3E1" w14:textId="77777777" w:rsidR="002D26D6" w:rsidRPr="002D26D6" w:rsidRDefault="002D26D6">
      <w:pPr>
        <w:pStyle w:val="Textonotapie"/>
        <w:rPr>
          <w:lang w:val="es-CO"/>
        </w:rPr>
      </w:pPr>
    </w:p>
  </w:footnote>
  <w:footnote w:id="6">
    <w:p w14:paraId="4E05A3E2" w14:textId="77777777" w:rsidR="002D26D6" w:rsidRDefault="002D26D6" w:rsidP="002D26D6">
      <w:pPr>
        <w:ind w:left="300" w:right="108" w:firstLine="707"/>
        <w:jc w:val="both"/>
        <w:rPr>
          <w:sz w:val="19"/>
        </w:rPr>
      </w:pPr>
      <w:r>
        <w:rPr>
          <w:rStyle w:val="Refdenotaalpie"/>
        </w:rPr>
        <w:footnoteRef/>
      </w:r>
      <w:r>
        <w:t xml:space="preserve"> </w:t>
      </w:r>
      <w:r>
        <w:rPr>
          <w:sz w:val="19"/>
        </w:rPr>
        <w:t>Decreto 1082 de 2015: “Artículo 2.2.1.1.1.5.3. Requisitos habilitantes contenidos en el RUP. Las cámaras de comercio, con base en la información a la que hace referencia el artículo anterior, deben verificar y certificar los siguientes requisitos</w:t>
      </w:r>
      <w:r>
        <w:rPr>
          <w:spacing w:val="-9"/>
          <w:sz w:val="19"/>
        </w:rPr>
        <w:t xml:space="preserve"> </w:t>
      </w:r>
      <w:r>
        <w:rPr>
          <w:sz w:val="19"/>
        </w:rPr>
        <w:t>habilitantes:</w:t>
      </w:r>
    </w:p>
    <w:p w14:paraId="4E05A3E3" w14:textId="77777777" w:rsidR="002D26D6" w:rsidRDefault="002D26D6" w:rsidP="002D26D6">
      <w:pPr>
        <w:pStyle w:val="Textoindependiente"/>
        <w:spacing w:before="1"/>
        <w:rPr>
          <w:sz w:val="19"/>
        </w:rPr>
      </w:pPr>
    </w:p>
    <w:p w14:paraId="4E05A3E4" w14:textId="77777777" w:rsidR="002D26D6" w:rsidRDefault="002D26D6" w:rsidP="002D26D6">
      <w:pPr>
        <w:ind w:left="300" w:right="108"/>
        <w:jc w:val="both"/>
        <w:rPr>
          <w:sz w:val="19"/>
        </w:rPr>
      </w:pPr>
      <w:r>
        <w:rPr>
          <w:sz w:val="19"/>
        </w:rPr>
        <w:t>“1. Experiencia – Los contratos celebrados por el interesado para cada uno de los bienes, obras y servicios que ofrecerá a las Entidades Estatales, identificados con el Clasificador de Bienes y Servicios en el tercer nivel y su valor expresado en</w:t>
      </w:r>
      <w:r>
        <w:rPr>
          <w:spacing w:val="-11"/>
          <w:sz w:val="19"/>
        </w:rPr>
        <w:t xml:space="preserve"> </w:t>
      </w:r>
      <w:r>
        <w:rPr>
          <w:sz w:val="19"/>
        </w:rPr>
        <w:t>SMMLV.</w:t>
      </w:r>
    </w:p>
    <w:p w14:paraId="4E05A3E6" w14:textId="77964D35" w:rsidR="002D26D6" w:rsidRPr="002D26D6" w:rsidRDefault="002D26D6" w:rsidP="00164DD3">
      <w:pPr>
        <w:ind w:left="300"/>
        <w:rPr>
          <w:lang w:val="es-CO"/>
        </w:rPr>
      </w:pPr>
      <w:r>
        <w:rPr>
          <w:sz w:val="19"/>
        </w:rPr>
        <w:t>(...)”.</w:t>
      </w:r>
    </w:p>
  </w:footnote>
  <w:footnote w:id="7">
    <w:p w14:paraId="4E05A3E8" w14:textId="77777777" w:rsidR="002D26D6" w:rsidRDefault="002D26D6" w:rsidP="002D26D6">
      <w:pPr>
        <w:spacing w:before="100"/>
        <w:ind w:left="300" w:right="105" w:firstLine="707"/>
        <w:jc w:val="both"/>
        <w:rPr>
          <w:sz w:val="19"/>
        </w:rPr>
      </w:pPr>
      <w:r>
        <w:rPr>
          <w:rStyle w:val="Refdenotaalpie"/>
        </w:rPr>
        <w:footnoteRef/>
      </w:r>
      <w:r>
        <w:t xml:space="preserve"> </w:t>
      </w:r>
      <w:r>
        <w:rPr>
          <w:sz w:val="19"/>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E05A3E9" w14:textId="77777777" w:rsidR="002D26D6" w:rsidRDefault="002D26D6" w:rsidP="002D26D6">
      <w:pPr>
        <w:ind w:left="300"/>
        <w:rPr>
          <w:sz w:val="19"/>
        </w:rPr>
      </w:pPr>
      <w:r>
        <w:rPr>
          <w:sz w:val="19"/>
        </w:rPr>
        <w:t>(...)</w:t>
      </w:r>
    </w:p>
    <w:p w14:paraId="4E05A3EA" w14:textId="77777777" w:rsidR="002D26D6" w:rsidRDefault="002D26D6" w:rsidP="002D26D6">
      <w:pPr>
        <w:spacing w:before="80"/>
        <w:ind w:left="300" w:right="106"/>
        <w:jc w:val="both"/>
        <w:rPr>
          <w:sz w:val="19"/>
        </w:rPr>
      </w:pPr>
      <w:r>
        <w:rPr>
          <w:sz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w:t>
      </w:r>
      <w:r>
        <w:rPr>
          <w:spacing w:val="52"/>
          <w:sz w:val="19"/>
        </w:rPr>
        <w:t xml:space="preserve"> </w:t>
      </w:r>
      <w:r>
        <w:rPr>
          <w:sz w:val="19"/>
        </w:rPr>
        <w:t>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E05A3EB" w14:textId="77777777" w:rsidR="002D26D6" w:rsidRDefault="002D26D6" w:rsidP="002D26D6">
      <w:pPr>
        <w:pStyle w:val="Textoindependiente"/>
        <w:spacing w:before="1"/>
        <w:rPr>
          <w:sz w:val="19"/>
        </w:rPr>
      </w:pPr>
    </w:p>
    <w:p w14:paraId="4E05A3EC" w14:textId="77777777" w:rsidR="002D26D6" w:rsidRDefault="002D26D6" w:rsidP="002D26D6">
      <w:pPr>
        <w:ind w:left="300" w:right="111"/>
        <w:jc w:val="both"/>
        <w:rPr>
          <w:sz w:val="19"/>
        </w:rPr>
      </w:pPr>
      <w:r>
        <w:rPr>
          <w:sz w:val="19"/>
        </w:rPr>
        <w:t>“No obstante lo anterior, sólo en aquellos casos en que por las características del objeto a contratar se requiera la verificación de requisitos del proponente adicionales a los contenidos en el Registro, la entidad podrá hacer tal verificación en forma</w:t>
      </w:r>
      <w:r>
        <w:rPr>
          <w:spacing w:val="-7"/>
          <w:sz w:val="19"/>
        </w:rPr>
        <w:t xml:space="preserve"> </w:t>
      </w:r>
      <w:r>
        <w:rPr>
          <w:sz w:val="19"/>
        </w:rPr>
        <w:t>directa”.</w:t>
      </w:r>
    </w:p>
    <w:p w14:paraId="4E05A3ED" w14:textId="77777777" w:rsidR="002D26D6" w:rsidRDefault="002D26D6" w:rsidP="002D26D6">
      <w:pPr>
        <w:ind w:left="300" w:right="108"/>
        <w:jc w:val="both"/>
        <w:rPr>
          <w:sz w:val="19"/>
        </w:rPr>
      </w:pPr>
    </w:p>
    <w:p w14:paraId="4E05A3EE" w14:textId="77777777" w:rsidR="002D26D6" w:rsidRPr="002D26D6" w:rsidRDefault="002D26D6">
      <w:pPr>
        <w:pStyle w:val="Textonotapie"/>
        <w:rPr>
          <w:lang w:val="es-CO"/>
        </w:rPr>
      </w:pPr>
    </w:p>
  </w:footnote>
  <w:footnote w:id="8">
    <w:p w14:paraId="4E05A3EF" w14:textId="77777777" w:rsidR="002D26D6" w:rsidRDefault="002D26D6" w:rsidP="002D26D6">
      <w:pPr>
        <w:ind w:left="300" w:right="109" w:firstLine="707"/>
        <w:jc w:val="both"/>
        <w:rPr>
          <w:sz w:val="19"/>
        </w:rPr>
      </w:pPr>
      <w:r>
        <w:rPr>
          <w:rStyle w:val="Refdenotaalpie"/>
        </w:rPr>
        <w:footnoteRef/>
      </w:r>
      <w:r>
        <w:t xml:space="preserve"> </w:t>
      </w:r>
      <w:r>
        <w:rPr>
          <w:sz w:val="19"/>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E05A3F0" w14:textId="77777777" w:rsidR="002D26D6" w:rsidRDefault="002D26D6" w:rsidP="002D26D6">
      <w:pPr>
        <w:pStyle w:val="Textoindependiente"/>
        <w:rPr>
          <w:sz w:val="19"/>
        </w:rPr>
      </w:pPr>
    </w:p>
    <w:p w14:paraId="4E05A3F1" w14:textId="77777777" w:rsidR="002D26D6" w:rsidRDefault="002D26D6" w:rsidP="002D26D6">
      <w:pPr>
        <w:spacing w:before="1"/>
        <w:ind w:left="300"/>
        <w:jc w:val="both"/>
        <w:rPr>
          <w:sz w:val="19"/>
        </w:rPr>
      </w:pPr>
      <w:r>
        <w:rPr>
          <w:sz w:val="19"/>
        </w:rPr>
        <w:t>“1. Si es una persona natural:</w:t>
      </w:r>
    </w:p>
    <w:p w14:paraId="4E05A3F2" w14:textId="77777777" w:rsidR="002D26D6" w:rsidRDefault="002D26D6" w:rsidP="002D26D6">
      <w:pPr>
        <w:pStyle w:val="Textoindependiente"/>
        <w:rPr>
          <w:sz w:val="19"/>
        </w:rPr>
      </w:pPr>
    </w:p>
    <w:p w14:paraId="4E05A3F3" w14:textId="77777777" w:rsidR="002D26D6" w:rsidRDefault="002D26D6" w:rsidP="002D26D6">
      <w:pPr>
        <w:ind w:left="300" w:right="109"/>
        <w:jc w:val="both"/>
        <w:rPr>
          <w:sz w:val="19"/>
        </w:rPr>
      </w:pPr>
      <w:r>
        <w:rPr>
          <w:sz w:val="19"/>
        </w:rPr>
        <w:t>“1.1. Bienes, obras y servicios que ofrecerá a las Entidades Estatales, identificados con el Clasificador de Bienes y Servicios en el tercer nivel.</w:t>
      </w:r>
    </w:p>
    <w:p w14:paraId="4E05A3F4" w14:textId="77777777" w:rsidR="002D26D6" w:rsidRDefault="002D26D6" w:rsidP="002D26D6">
      <w:pPr>
        <w:pStyle w:val="Textoindependiente"/>
        <w:rPr>
          <w:sz w:val="19"/>
        </w:rPr>
      </w:pPr>
    </w:p>
    <w:p w14:paraId="4E05A3F5" w14:textId="77777777" w:rsidR="002D26D6" w:rsidRDefault="002D26D6" w:rsidP="002D26D6">
      <w:pPr>
        <w:ind w:left="300" w:right="108"/>
        <w:jc w:val="both"/>
        <w:rPr>
          <w:sz w:val="19"/>
        </w:rPr>
      </w:pPr>
      <w:r>
        <w:rPr>
          <w:sz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Pr>
          <w:spacing w:val="-15"/>
          <w:sz w:val="19"/>
        </w:rPr>
        <w:t xml:space="preserve"> </w:t>
      </w:r>
      <w:r>
        <w:rPr>
          <w:sz w:val="19"/>
        </w:rPr>
        <w:t>nivel”.</w:t>
      </w:r>
    </w:p>
    <w:p w14:paraId="4E05A3F6" w14:textId="77777777" w:rsidR="002D26D6" w:rsidRPr="002D26D6" w:rsidRDefault="002D26D6">
      <w:pPr>
        <w:pStyle w:val="Textonotapie"/>
        <w:rPr>
          <w:lang w:val="es-CO"/>
        </w:rPr>
      </w:pPr>
    </w:p>
  </w:footnote>
  <w:footnote w:id="9">
    <w:p w14:paraId="4E05A3F7" w14:textId="77777777" w:rsidR="00A05BB4" w:rsidRDefault="00A05BB4" w:rsidP="00A05BB4">
      <w:pPr>
        <w:spacing w:before="80"/>
        <w:ind w:left="300" w:right="108" w:firstLine="707"/>
        <w:jc w:val="both"/>
        <w:rPr>
          <w:sz w:val="19"/>
        </w:rPr>
      </w:pPr>
      <w:r>
        <w:rPr>
          <w:rStyle w:val="Refdenotaalpie"/>
        </w:rPr>
        <w:footnoteRef/>
      </w:r>
      <w:r>
        <w:t xml:space="preserve"> </w:t>
      </w:r>
      <w:r>
        <w:rPr>
          <w:sz w:val="19"/>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4E05A3F8" w14:textId="77777777" w:rsidR="00A05BB4" w:rsidRDefault="00A05BB4" w:rsidP="00A05BB4">
      <w:pPr>
        <w:pStyle w:val="Textoindependiente"/>
        <w:spacing w:before="1"/>
        <w:rPr>
          <w:sz w:val="19"/>
        </w:rPr>
      </w:pPr>
    </w:p>
    <w:p w14:paraId="4E05A3F9" w14:textId="77777777" w:rsidR="00A05BB4" w:rsidRDefault="00A05BB4" w:rsidP="00A05BB4">
      <w:pPr>
        <w:ind w:left="300" w:right="103"/>
        <w:rPr>
          <w:sz w:val="19"/>
        </w:rPr>
      </w:pPr>
      <w:r>
        <w:rPr>
          <w:sz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 (…)</w:t>
      </w:r>
    </w:p>
    <w:p w14:paraId="4E05A3FA" w14:textId="77777777" w:rsidR="00A05BB4" w:rsidRDefault="00A05BB4" w:rsidP="00A05BB4">
      <w:pPr>
        <w:pStyle w:val="Textoindependiente"/>
        <w:rPr>
          <w:sz w:val="19"/>
        </w:rPr>
      </w:pPr>
    </w:p>
    <w:p w14:paraId="4E05A3FB" w14:textId="77777777" w:rsidR="00A05BB4" w:rsidRDefault="00A05BB4" w:rsidP="00A05BB4">
      <w:pPr>
        <w:ind w:left="300" w:right="109"/>
        <w:jc w:val="both"/>
        <w:rPr>
          <w:sz w:val="19"/>
        </w:rPr>
      </w:pPr>
      <w:r>
        <w:rPr>
          <w:sz w:val="19"/>
        </w:rPr>
        <w:t>“La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w:t>
      </w:r>
    </w:p>
    <w:p w14:paraId="4E05A3FC" w14:textId="77777777" w:rsidR="00A05BB4" w:rsidRDefault="00A05BB4" w:rsidP="00A05BB4">
      <w:pPr>
        <w:pStyle w:val="Textoindependiente"/>
        <w:spacing w:before="11"/>
        <w:rPr>
          <w:sz w:val="18"/>
        </w:rPr>
      </w:pPr>
    </w:p>
    <w:p w14:paraId="4E05A3FD" w14:textId="77777777" w:rsidR="00A05BB4" w:rsidRDefault="00A05BB4" w:rsidP="00A05BB4">
      <w:pPr>
        <w:ind w:left="300" w:right="110"/>
        <w:jc w:val="both"/>
        <w:rPr>
          <w:sz w:val="19"/>
        </w:rPr>
      </w:pPr>
      <w:r>
        <w:rPr>
          <w:sz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w:t>
      </w:r>
      <w:r>
        <w:rPr>
          <w:spacing w:val="-21"/>
          <w:sz w:val="19"/>
        </w:rPr>
        <w:t xml:space="preserve"> </w:t>
      </w:r>
      <w:r>
        <w:rPr>
          <w:sz w:val="19"/>
        </w:rPr>
        <w:t>obra.</w:t>
      </w:r>
    </w:p>
    <w:p w14:paraId="4E05A3FE" w14:textId="77777777" w:rsidR="00A05BB4" w:rsidRDefault="00A05BB4" w:rsidP="00A05BB4">
      <w:pPr>
        <w:spacing w:before="1"/>
        <w:ind w:left="300"/>
        <w:rPr>
          <w:sz w:val="19"/>
        </w:rPr>
      </w:pPr>
      <w:r>
        <w:rPr>
          <w:sz w:val="19"/>
        </w:rPr>
        <w:t>(…)”.</w:t>
      </w:r>
    </w:p>
    <w:p w14:paraId="4E05A3FF" w14:textId="77777777" w:rsidR="00A05BB4" w:rsidRPr="00A05BB4" w:rsidRDefault="00A05BB4">
      <w:pPr>
        <w:pStyle w:val="Textonotapie"/>
        <w:rPr>
          <w:lang w:val="es-CO"/>
        </w:rPr>
      </w:pPr>
    </w:p>
  </w:footnote>
  <w:footnote w:id="10">
    <w:p w14:paraId="4E05A400" w14:textId="77777777" w:rsidR="00A05BB4" w:rsidRDefault="00A05BB4" w:rsidP="00A05BB4">
      <w:pPr>
        <w:spacing w:before="80"/>
        <w:ind w:left="300" w:right="107" w:firstLine="707"/>
        <w:jc w:val="both"/>
        <w:rPr>
          <w:sz w:val="19"/>
        </w:rPr>
      </w:pPr>
      <w:r>
        <w:rPr>
          <w:rStyle w:val="Refdenotaalpie"/>
        </w:rPr>
        <w:footnoteRef/>
      </w:r>
      <w:r>
        <w:t xml:space="preserve"> </w:t>
      </w:r>
      <w:r>
        <w:rPr>
          <w:sz w:val="19"/>
        </w:rPr>
        <w:t>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4E05A401" w14:textId="77777777" w:rsidR="00A05BB4" w:rsidRDefault="00A05BB4" w:rsidP="00A05BB4">
      <w:pPr>
        <w:spacing w:before="83"/>
        <w:ind w:left="300"/>
        <w:rPr>
          <w:sz w:val="19"/>
        </w:rPr>
      </w:pPr>
      <w:r>
        <w:rPr>
          <w:sz w:val="19"/>
        </w:rPr>
        <w:t>“El nombre de la sociedad disuelta deberá adicionarse siempre con la expresión ‘en liquidación’. Los encargados de realizarla responderán de los daños y perjuicios que se deriven por dicha omisión”.</w:t>
      </w:r>
    </w:p>
    <w:p w14:paraId="4E05A402" w14:textId="77777777" w:rsidR="00A05BB4" w:rsidRDefault="00A05BB4" w:rsidP="00A05BB4">
      <w:pPr>
        <w:spacing w:before="80"/>
        <w:ind w:left="300" w:right="107" w:firstLine="707"/>
        <w:jc w:val="both"/>
        <w:rPr>
          <w:sz w:val="19"/>
        </w:rPr>
      </w:pPr>
    </w:p>
    <w:p w14:paraId="4E05A403" w14:textId="77777777" w:rsidR="00A05BB4" w:rsidRPr="00A05BB4" w:rsidRDefault="00A05BB4">
      <w:pPr>
        <w:pStyle w:val="Textonotapie"/>
        <w:rPr>
          <w:lang w:val="es-CO"/>
        </w:rPr>
      </w:pPr>
    </w:p>
  </w:footnote>
  <w:footnote w:id="11">
    <w:p w14:paraId="4E05A404" w14:textId="77777777" w:rsidR="00A05BB4" w:rsidRDefault="00A05BB4" w:rsidP="00A05BB4">
      <w:pPr>
        <w:ind w:left="1008"/>
        <w:rPr>
          <w:sz w:val="19"/>
        </w:rPr>
      </w:pPr>
      <w:r>
        <w:rPr>
          <w:rStyle w:val="Refdenotaalpie"/>
        </w:rPr>
        <w:footnoteRef/>
      </w:r>
      <w:r>
        <w:t xml:space="preserve"> </w:t>
      </w:r>
      <w:r>
        <w:rPr>
          <w:sz w:val="19"/>
        </w:rPr>
        <w:t>Ver artículos 225 y ss. del Código de Comercio.</w:t>
      </w:r>
    </w:p>
    <w:p w14:paraId="4E05A405" w14:textId="77777777" w:rsidR="00A05BB4" w:rsidRPr="00A05BB4" w:rsidRDefault="00A05BB4">
      <w:pPr>
        <w:pStyle w:val="Textonotapie"/>
        <w:rPr>
          <w:lang w:val="es-CO"/>
        </w:rPr>
      </w:pPr>
    </w:p>
  </w:footnote>
  <w:footnote w:id="12">
    <w:p w14:paraId="4E05A406" w14:textId="77777777" w:rsidR="00A05BB4" w:rsidRDefault="00A05BB4" w:rsidP="00A05BB4">
      <w:pPr>
        <w:ind w:left="300" w:right="109" w:firstLine="707"/>
        <w:jc w:val="both"/>
        <w:rPr>
          <w:sz w:val="19"/>
        </w:rPr>
      </w:pPr>
      <w:r>
        <w:rPr>
          <w:rStyle w:val="Refdenotaalpie"/>
        </w:rPr>
        <w:footnoteRef/>
      </w:r>
      <w:r>
        <w:t xml:space="preserve"> </w:t>
      </w:r>
      <w:r>
        <w:rPr>
          <w:sz w:val="19"/>
        </w:rPr>
        <w:t>Código de Comercio: “Artículo 167. Reforma de contrato social por transformación de sociedad. Una sociedad podrá, antes de su disolución, adoptar cualquiera otra de las formas de la sociedad comercial reguladas en este Código, mediante una reforma del contrato</w:t>
      </w:r>
      <w:r>
        <w:rPr>
          <w:spacing w:val="-7"/>
          <w:sz w:val="19"/>
        </w:rPr>
        <w:t xml:space="preserve"> </w:t>
      </w:r>
      <w:r>
        <w:rPr>
          <w:sz w:val="19"/>
        </w:rPr>
        <w:t>social.</w:t>
      </w:r>
    </w:p>
    <w:p w14:paraId="4E05A407" w14:textId="77777777" w:rsidR="00A05BB4" w:rsidRDefault="00A05BB4" w:rsidP="00A05BB4">
      <w:pPr>
        <w:pStyle w:val="Textoindependiente"/>
        <w:spacing w:before="2"/>
        <w:rPr>
          <w:sz w:val="19"/>
        </w:rPr>
      </w:pPr>
    </w:p>
    <w:p w14:paraId="4E05A408" w14:textId="77777777" w:rsidR="00A05BB4" w:rsidRDefault="00A05BB4" w:rsidP="00A05BB4">
      <w:pPr>
        <w:ind w:left="300"/>
        <w:rPr>
          <w:sz w:val="19"/>
        </w:rPr>
      </w:pPr>
      <w:r>
        <w:rPr>
          <w:sz w:val="19"/>
        </w:rPr>
        <w:t>“La transformación no producirá solución de continuidad en la existencia de la sociedad como persona jurídica, ni en sus actividades ni en su patrimonio”.</w:t>
      </w:r>
    </w:p>
    <w:p w14:paraId="4E05A409" w14:textId="77777777" w:rsidR="00A05BB4" w:rsidRPr="00A05BB4" w:rsidRDefault="00A05BB4">
      <w:pPr>
        <w:pStyle w:val="Textonotapie"/>
        <w:rPr>
          <w:lang w:val="es-CO"/>
        </w:rPr>
      </w:pPr>
    </w:p>
  </w:footnote>
  <w:footnote w:id="13">
    <w:p w14:paraId="4E05A40A" w14:textId="77777777" w:rsidR="00A05BB4" w:rsidRDefault="00A05BB4" w:rsidP="00A05BB4">
      <w:pPr>
        <w:spacing w:before="80"/>
        <w:ind w:left="1008"/>
        <w:rPr>
          <w:sz w:val="19"/>
        </w:rPr>
      </w:pPr>
      <w:r>
        <w:rPr>
          <w:rStyle w:val="Refdenotaalpie"/>
        </w:rPr>
        <w:footnoteRef/>
      </w:r>
      <w:r>
        <w:t xml:space="preserve"> </w:t>
      </w:r>
      <w:r>
        <w:rPr>
          <w:sz w:val="19"/>
        </w:rPr>
        <w:t>Ley 222 de 1995: “Artículo 3. Modalidades. Habrá escisión</w:t>
      </w:r>
      <w:r>
        <w:rPr>
          <w:spacing w:val="-22"/>
          <w:sz w:val="19"/>
        </w:rPr>
        <w:t xml:space="preserve"> </w:t>
      </w:r>
      <w:r>
        <w:rPr>
          <w:sz w:val="19"/>
        </w:rPr>
        <w:t>cuando:</w:t>
      </w:r>
    </w:p>
    <w:p w14:paraId="4E05A40B" w14:textId="77777777" w:rsidR="00A05BB4" w:rsidRDefault="00A05BB4" w:rsidP="00A05BB4">
      <w:pPr>
        <w:pStyle w:val="Textoindependiente"/>
        <w:rPr>
          <w:sz w:val="19"/>
        </w:rPr>
      </w:pPr>
    </w:p>
    <w:p w14:paraId="4E05A40C" w14:textId="77777777" w:rsidR="00A05BB4" w:rsidRDefault="00A05BB4" w:rsidP="00A05BB4">
      <w:pPr>
        <w:spacing w:before="1"/>
        <w:ind w:left="300" w:right="112"/>
        <w:jc w:val="both"/>
        <w:rPr>
          <w:sz w:val="19"/>
        </w:rPr>
      </w:pPr>
      <w:r>
        <w:rPr>
          <w:sz w:val="19"/>
        </w:rPr>
        <w:t>“1. Una sociedad sin disolverse, transfiere en bloque una o varias partes de su patrimonio a una o más sociedades existentes o las destina a la creación de una o varias</w:t>
      </w:r>
      <w:r>
        <w:rPr>
          <w:spacing w:val="-4"/>
          <w:sz w:val="19"/>
        </w:rPr>
        <w:t xml:space="preserve"> </w:t>
      </w:r>
      <w:r>
        <w:rPr>
          <w:sz w:val="19"/>
        </w:rPr>
        <w:t>sociedades.</w:t>
      </w:r>
    </w:p>
    <w:p w14:paraId="4E05A40D" w14:textId="77777777" w:rsidR="00A05BB4" w:rsidRDefault="00A05BB4" w:rsidP="00A05BB4">
      <w:pPr>
        <w:pStyle w:val="Textoindependiente"/>
        <w:spacing w:before="11"/>
        <w:rPr>
          <w:sz w:val="18"/>
        </w:rPr>
      </w:pPr>
    </w:p>
    <w:p w14:paraId="4E05A40E" w14:textId="77777777" w:rsidR="00A05BB4" w:rsidRDefault="00A05BB4" w:rsidP="00A05BB4">
      <w:pPr>
        <w:ind w:left="300" w:right="107"/>
        <w:jc w:val="both"/>
        <w:rPr>
          <w:sz w:val="19"/>
        </w:rPr>
      </w:pPr>
      <w:r>
        <w:rPr>
          <w:sz w:val="19"/>
        </w:rPr>
        <w:t>“2. Una sociedad se disuelve sin liquidarse, dividiendo su patrimonio en dos o más partes, que se transfieren a varias sociedades existentes o se destinan a la creación de nuevas sociedades.</w:t>
      </w:r>
    </w:p>
    <w:p w14:paraId="4E05A40F" w14:textId="77777777" w:rsidR="00A05BB4" w:rsidRDefault="00A05BB4" w:rsidP="00A05BB4">
      <w:pPr>
        <w:pStyle w:val="Textoindependiente"/>
        <w:spacing w:before="11"/>
        <w:rPr>
          <w:sz w:val="18"/>
        </w:rPr>
      </w:pPr>
    </w:p>
    <w:p w14:paraId="4E05A410" w14:textId="77777777" w:rsidR="00A05BB4" w:rsidRDefault="00A05BB4" w:rsidP="00A05BB4">
      <w:pPr>
        <w:ind w:left="300" w:right="110"/>
        <w:jc w:val="both"/>
        <w:rPr>
          <w:sz w:val="19"/>
        </w:rPr>
      </w:pPr>
      <w:r>
        <w:rPr>
          <w:sz w:val="19"/>
        </w:rPr>
        <w:t>“La sociedad o sociedades destinatarias de las transferencias resultantes de la escisión, se denominarán sociedades beneficiarias.</w:t>
      </w:r>
    </w:p>
    <w:p w14:paraId="4E05A411" w14:textId="77777777" w:rsidR="00A05BB4" w:rsidRDefault="00A05BB4" w:rsidP="00A05BB4">
      <w:pPr>
        <w:pStyle w:val="Textoindependiente"/>
        <w:spacing w:before="11"/>
        <w:rPr>
          <w:sz w:val="18"/>
        </w:rPr>
      </w:pPr>
    </w:p>
    <w:p w14:paraId="4E05A412" w14:textId="77777777" w:rsidR="00A05BB4" w:rsidRDefault="00A05BB4" w:rsidP="00A05BB4">
      <w:pPr>
        <w:ind w:left="300" w:right="107"/>
        <w:jc w:val="both"/>
        <w:rPr>
          <w:sz w:val="20"/>
        </w:rPr>
      </w:pPr>
      <w:r>
        <w:rPr>
          <w:sz w:val="19"/>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p w14:paraId="4E05A413" w14:textId="77777777" w:rsidR="00A05BB4" w:rsidRPr="00A05BB4" w:rsidRDefault="00A05BB4">
      <w:pPr>
        <w:pStyle w:val="Textonotapie"/>
        <w:rPr>
          <w:lang w:val="es-CO"/>
        </w:rPr>
      </w:pPr>
    </w:p>
  </w:footnote>
  <w:footnote w:id="14">
    <w:p w14:paraId="4E05A414" w14:textId="77777777" w:rsidR="00F5570E" w:rsidRDefault="00F5570E" w:rsidP="00F5570E">
      <w:pPr>
        <w:spacing w:before="80"/>
        <w:ind w:left="300" w:right="108" w:firstLine="707"/>
        <w:jc w:val="both"/>
        <w:rPr>
          <w:sz w:val="19"/>
        </w:rPr>
      </w:pPr>
      <w:r>
        <w:rPr>
          <w:rStyle w:val="Refdenotaalpie"/>
        </w:rPr>
        <w:footnoteRef/>
      </w:r>
      <w:r>
        <w:t xml:space="preserve"> </w:t>
      </w:r>
      <w:r>
        <w:rPr>
          <w:sz w:val="19"/>
        </w:rPr>
        <w:t>Código de Comercio: “Artículo 172. Fusión de la sociedad-concepto. Habrá fusión cuando una o más sociedades se disuelvan, sin liquidarse, para ser absorbidas por otra o para crear una nueva.</w:t>
      </w:r>
    </w:p>
    <w:p w14:paraId="4E05A415" w14:textId="77777777" w:rsidR="00F5570E" w:rsidRDefault="00F5570E" w:rsidP="00F5570E">
      <w:pPr>
        <w:pStyle w:val="Textoindependiente"/>
        <w:rPr>
          <w:sz w:val="19"/>
        </w:rPr>
      </w:pPr>
    </w:p>
    <w:p w14:paraId="4E05A416" w14:textId="77777777" w:rsidR="00F5570E" w:rsidRDefault="00F5570E" w:rsidP="00F5570E">
      <w:pPr>
        <w:ind w:left="300"/>
        <w:rPr>
          <w:sz w:val="19"/>
        </w:rPr>
      </w:pPr>
      <w:r>
        <w:rPr>
          <w:sz w:val="19"/>
        </w:rPr>
        <w:t>“La absorbente o la nueva compañía adquirirá los derechos y obligaciones de la sociedad o sociedades disueltas al formalizarse el acuerdo de fusión”.</w:t>
      </w:r>
    </w:p>
    <w:p w14:paraId="4E05A417" w14:textId="77777777" w:rsidR="00F5570E" w:rsidRPr="00F5570E" w:rsidRDefault="00F5570E">
      <w:pPr>
        <w:pStyle w:val="Textonotapie"/>
        <w:rPr>
          <w:lang w:val="es-CO"/>
        </w:rPr>
      </w:pPr>
    </w:p>
  </w:footnote>
  <w:footnote w:id="15">
    <w:p w14:paraId="4E05A418" w14:textId="77777777" w:rsidR="00F5570E" w:rsidRDefault="00F5570E" w:rsidP="00F5570E">
      <w:pPr>
        <w:ind w:left="300" w:right="105" w:firstLine="707"/>
        <w:jc w:val="both"/>
        <w:rPr>
          <w:sz w:val="19"/>
        </w:rPr>
      </w:pPr>
      <w:r>
        <w:rPr>
          <w:rStyle w:val="Refdenotaalpie"/>
        </w:rPr>
        <w:footnoteRef/>
      </w:r>
      <w:r>
        <w:t xml:space="preserve"> </w:t>
      </w:r>
      <w:r>
        <w:rPr>
          <w:sz w:val="19"/>
        </w:rPr>
        <w:t>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4E05A419" w14:textId="77777777" w:rsidR="00F5570E" w:rsidRPr="00F5570E" w:rsidRDefault="00F5570E">
      <w:pPr>
        <w:pStyle w:val="Textonotapie"/>
        <w:rPr>
          <w:lang w:val="es-CO"/>
        </w:rPr>
      </w:pPr>
    </w:p>
  </w:footnote>
  <w:footnote w:id="16">
    <w:p w14:paraId="4E05A41A" w14:textId="77777777" w:rsidR="00F5570E" w:rsidRDefault="00F5570E" w:rsidP="00F5570E">
      <w:pPr>
        <w:spacing w:before="80"/>
        <w:ind w:left="300" w:right="109" w:firstLine="707"/>
        <w:jc w:val="both"/>
        <w:rPr>
          <w:sz w:val="19"/>
        </w:rPr>
      </w:pPr>
      <w:r>
        <w:rPr>
          <w:rStyle w:val="Refdenotaalpie"/>
        </w:rPr>
        <w:footnoteRef/>
      </w:r>
      <w:r>
        <w:t xml:space="preserve"> </w:t>
      </w:r>
      <w:r>
        <w:rPr>
          <w:sz w:val="19"/>
        </w:rPr>
        <w:t>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4E05A41B" w14:textId="77777777" w:rsidR="00F5570E" w:rsidRDefault="00F5570E" w:rsidP="00F5570E">
      <w:pPr>
        <w:pStyle w:val="Textoindependiente"/>
        <w:rPr>
          <w:sz w:val="19"/>
        </w:rPr>
      </w:pPr>
    </w:p>
    <w:p w14:paraId="4E05A41C" w14:textId="77777777" w:rsidR="007A0AC2" w:rsidRDefault="00F5570E" w:rsidP="007A0AC2">
      <w:pPr>
        <w:spacing w:before="1"/>
        <w:ind w:left="300" w:right="108"/>
        <w:jc w:val="both"/>
        <w:rPr>
          <w:sz w:val="19"/>
        </w:rPr>
      </w:pPr>
      <w:r>
        <w:rPr>
          <w:sz w:val="19"/>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w:t>
      </w:r>
      <w:r>
        <w:rPr>
          <w:spacing w:val="-1"/>
          <w:sz w:val="19"/>
        </w:rPr>
        <w:t xml:space="preserve"> </w:t>
      </w:r>
      <w:r>
        <w:rPr>
          <w:sz w:val="19"/>
        </w:rPr>
        <w:t>Comercio.</w:t>
      </w:r>
    </w:p>
    <w:p w14:paraId="4E05A41D" w14:textId="77777777" w:rsidR="007A0AC2" w:rsidRDefault="007A0AC2" w:rsidP="007A0AC2">
      <w:pPr>
        <w:spacing w:before="1"/>
        <w:ind w:left="300" w:right="108"/>
        <w:jc w:val="both"/>
        <w:rPr>
          <w:sz w:val="19"/>
        </w:rPr>
      </w:pPr>
    </w:p>
    <w:p w14:paraId="4E05A41E" w14:textId="77777777" w:rsidR="00F5570E" w:rsidRPr="007A0AC2" w:rsidRDefault="00F5570E" w:rsidP="007A0AC2">
      <w:pPr>
        <w:spacing w:before="1"/>
        <w:ind w:left="300" w:right="108"/>
        <w:jc w:val="both"/>
        <w:rPr>
          <w:sz w:val="19"/>
        </w:rPr>
      </w:pPr>
      <w:r>
        <w:rPr>
          <w:sz w:val="19"/>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5A3CA" w14:textId="77777777" w:rsidR="0030493A" w:rsidRDefault="006A2E57">
    <w:pPr>
      <w:pStyle w:val="Textoindependiente"/>
      <w:spacing w:line="14" w:lineRule="auto"/>
      <w:rPr>
        <w:sz w:val="20"/>
      </w:rPr>
    </w:pPr>
    <w:r>
      <w:rPr>
        <w:noProof/>
        <w:lang w:val="en-US"/>
      </w:rPr>
      <w:drawing>
        <wp:anchor distT="0" distB="0" distL="0" distR="0" simplePos="0" relativeHeight="487416320" behindDoc="1" locked="0" layoutInCell="1" allowOverlap="1" wp14:anchorId="4E05A3CC" wp14:editId="4E05A3CD">
          <wp:simplePos x="0" y="0"/>
          <wp:positionH relativeFrom="page">
            <wp:posOffset>5304473</wp:posOffset>
          </wp:positionH>
          <wp:positionV relativeFrom="page">
            <wp:posOffset>468247</wp:posOffset>
          </wp:positionV>
          <wp:extent cx="1346374" cy="521377"/>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D53C7"/>
    <w:multiLevelType w:val="hybridMultilevel"/>
    <w:tmpl w:val="5EBE2CF8"/>
    <w:lvl w:ilvl="0" w:tplc="8A3C8E58">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433CC046">
      <w:numFmt w:val="bullet"/>
      <w:lvlText w:val="•"/>
      <w:lvlJc w:val="left"/>
      <w:pPr>
        <w:ind w:left="1438" w:hanging="255"/>
      </w:pPr>
      <w:rPr>
        <w:rFonts w:hint="default"/>
        <w:lang w:val="es-ES" w:eastAsia="en-US" w:bidi="ar-SA"/>
      </w:rPr>
    </w:lvl>
    <w:lvl w:ilvl="2" w:tplc="BC140626">
      <w:numFmt w:val="bullet"/>
      <w:lvlText w:val="•"/>
      <w:lvlJc w:val="left"/>
      <w:pPr>
        <w:ind w:left="2316" w:hanging="255"/>
      </w:pPr>
      <w:rPr>
        <w:rFonts w:hint="default"/>
        <w:lang w:val="es-ES" w:eastAsia="en-US" w:bidi="ar-SA"/>
      </w:rPr>
    </w:lvl>
    <w:lvl w:ilvl="3" w:tplc="353C92F2">
      <w:numFmt w:val="bullet"/>
      <w:lvlText w:val="•"/>
      <w:lvlJc w:val="left"/>
      <w:pPr>
        <w:ind w:left="3194" w:hanging="255"/>
      </w:pPr>
      <w:rPr>
        <w:rFonts w:hint="default"/>
        <w:lang w:val="es-ES" w:eastAsia="en-US" w:bidi="ar-SA"/>
      </w:rPr>
    </w:lvl>
    <w:lvl w:ilvl="4" w:tplc="C2F8426A">
      <w:numFmt w:val="bullet"/>
      <w:lvlText w:val="•"/>
      <w:lvlJc w:val="left"/>
      <w:pPr>
        <w:ind w:left="4072" w:hanging="255"/>
      </w:pPr>
      <w:rPr>
        <w:rFonts w:hint="default"/>
        <w:lang w:val="es-ES" w:eastAsia="en-US" w:bidi="ar-SA"/>
      </w:rPr>
    </w:lvl>
    <w:lvl w:ilvl="5" w:tplc="482AE350">
      <w:numFmt w:val="bullet"/>
      <w:lvlText w:val="•"/>
      <w:lvlJc w:val="left"/>
      <w:pPr>
        <w:ind w:left="4950" w:hanging="255"/>
      </w:pPr>
      <w:rPr>
        <w:rFonts w:hint="default"/>
        <w:lang w:val="es-ES" w:eastAsia="en-US" w:bidi="ar-SA"/>
      </w:rPr>
    </w:lvl>
    <w:lvl w:ilvl="6" w:tplc="38F212A8">
      <w:numFmt w:val="bullet"/>
      <w:lvlText w:val="•"/>
      <w:lvlJc w:val="left"/>
      <w:pPr>
        <w:ind w:left="5828" w:hanging="255"/>
      </w:pPr>
      <w:rPr>
        <w:rFonts w:hint="default"/>
        <w:lang w:val="es-ES" w:eastAsia="en-US" w:bidi="ar-SA"/>
      </w:rPr>
    </w:lvl>
    <w:lvl w:ilvl="7" w:tplc="2FC4E032">
      <w:numFmt w:val="bullet"/>
      <w:lvlText w:val="•"/>
      <w:lvlJc w:val="left"/>
      <w:pPr>
        <w:ind w:left="6706" w:hanging="255"/>
      </w:pPr>
      <w:rPr>
        <w:rFonts w:hint="default"/>
        <w:lang w:val="es-ES" w:eastAsia="en-US" w:bidi="ar-SA"/>
      </w:rPr>
    </w:lvl>
    <w:lvl w:ilvl="8" w:tplc="84C4B462">
      <w:numFmt w:val="bullet"/>
      <w:lvlText w:val="•"/>
      <w:lvlJc w:val="left"/>
      <w:pPr>
        <w:ind w:left="7584" w:hanging="255"/>
      </w:pPr>
      <w:rPr>
        <w:rFonts w:hint="default"/>
        <w:lang w:val="es-ES" w:eastAsia="en-US" w:bidi="ar-SA"/>
      </w:rPr>
    </w:lvl>
  </w:abstractNum>
  <w:abstractNum w:abstractNumId="1" w15:restartNumberingAfterBreak="0">
    <w:nsid w:val="52597225"/>
    <w:multiLevelType w:val="hybridMultilevel"/>
    <w:tmpl w:val="75E08014"/>
    <w:lvl w:ilvl="0" w:tplc="079AF038">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2E2A65FE">
      <w:start w:val="1"/>
      <w:numFmt w:val="lowerRoman"/>
      <w:lvlText w:val="%2)"/>
      <w:lvlJc w:val="left"/>
      <w:pPr>
        <w:ind w:left="300" w:hanging="283"/>
      </w:pPr>
      <w:rPr>
        <w:rFonts w:ascii="Arial" w:eastAsia="Arial" w:hAnsi="Arial" w:cs="Arial" w:hint="default"/>
        <w:spacing w:val="-25"/>
        <w:w w:val="100"/>
        <w:sz w:val="22"/>
        <w:szCs w:val="22"/>
        <w:lang w:val="es-ES" w:eastAsia="en-US" w:bidi="ar-SA"/>
      </w:rPr>
    </w:lvl>
    <w:lvl w:ilvl="2" w:tplc="3766B05A">
      <w:numFmt w:val="bullet"/>
      <w:lvlText w:val="•"/>
      <w:lvlJc w:val="left"/>
      <w:pPr>
        <w:ind w:left="1535" w:hanging="283"/>
      </w:pPr>
      <w:rPr>
        <w:rFonts w:hint="default"/>
        <w:lang w:val="es-ES" w:eastAsia="en-US" w:bidi="ar-SA"/>
      </w:rPr>
    </w:lvl>
    <w:lvl w:ilvl="3" w:tplc="14E036FA">
      <w:numFmt w:val="bullet"/>
      <w:lvlText w:val="•"/>
      <w:lvlJc w:val="left"/>
      <w:pPr>
        <w:ind w:left="2511" w:hanging="283"/>
      </w:pPr>
      <w:rPr>
        <w:rFonts w:hint="default"/>
        <w:lang w:val="es-ES" w:eastAsia="en-US" w:bidi="ar-SA"/>
      </w:rPr>
    </w:lvl>
    <w:lvl w:ilvl="4" w:tplc="999A2BD6">
      <w:numFmt w:val="bullet"/>
      <w:lvlText w:val="•"/>
      <w:lvlJc w:val="left"/>
      <w:pPr>
        <w:ind w:left="3486" w:hanging="283"/>
      </w:pPr>
      <w:rPr>
        <w:rFonts w:hint="default"/>
        <w:lang w:val="es-ES" w:eastAsia="en-US" w:bidi="ar-SA"/>
      </w:rPr>
    </w:lvl>
    <w:lvl w:ilvl="5" w:tplc="0E18F200">
      <w:numFmt w:val="bullet"/>
      <w:lvlText w:val="•"/>
      <w:lvlJc w:val="left"/>
      <w:pPr>
        <w:ind w:left="4462" w:hanging="283"/>
      </w:pPr>
      <w:rPr>
        <w:rFonts w:hint="default"/>
        <w:lang w:val="es-ES" w:eastAsia="en-US" w:bidi="ar-SA"/>
      </w:rPr>
    </w:lvl>
    <w:lvl w:ilvl="6" w:tplc="A97C6B14">
      <w:numFmt w:val="bullet"/>
      <w:lvlText w:val="•"/>
      <w:lvlJc w:val="left"/>
      <w:pPr>
        <w:ind w:left="5437" w:hanging="283"/>
      </w:pPr>
      <w:rPr>
        <w:rFonts w:hint="default"/>
        <w:lang w:val="es-ES" w:eastAsia="en-US" w:bidi="ar-SA"/>
      </w:rPr>
    </w:lvl>
    <w:lvl w:ilvl="7" w:tplc="76F4DB64">
      <w:numFmt w:val="bullet"/>
      <w:lvlText w:val="•"/>
      <w:lvlJc w:val="left"/>
      <w:pPr>
        <w:ind w:left="6413" w:hanging="283"/>
      </w:pPr>
      <w:rPr>
        <w:rFonts w:hint="default"/>
        <w:lang w:val="es-ES" w:eastAsia="en-US" w:bidi="ar-SA"/>
      </w:rPr>
    </w:lvl>
    <w:lvl w:ilvl="8" w:tplc="1B76DA58">
      <w:numFmt w:val="bullet"/>
      <w:lvlText w:val="•"/>
      <w:lvlJc w:val="left"/>
      <w:pPr>
        <w:ind w:left="7388" w:hanging="283"/>
      </w:pPr>
      <w:rPr>
        <w:rFonts w:hint="default"/>
        <w:lang w:val="es-ES" w:eastAsia="en-US" w:bidi="ar-SA"/>
      </w:rPr>
    </w:lvl>
  </w:abstractNum>
  <w:abstractNum w:abstractNumId="2" w15:restartNumberingAfterBreak="0">
    <w:nsid w:val="7C273358"/>
    <w:multiLevelType w:val="multilevel"/>
    <w:tmpl w:val="ECE2407A"/>
    <w:lvl w:ilvl="0">
      <w:start w:val="1"/>
      <w:numFmt w:val="decimal"/>
      <w:lvlText w:val="%1."/>
      <w:lvlJc w:val="left"/>
      <w:pPr>
        <w:ind w:left="585" w:hanging="285"/>
      </w:pPr>
      <w:rPr>
        <w:rFonts w:hint="default"/>
        <w:b/>
        <w:bCs/>
        <w:spacing w:val="-21"/>
        <w:w w:val="100"/>
        <w:lang w:val="es-ES" w:eastAsia="en-US" w:bidi="ar-SA"/>
      </w:rPr>
    </w:lvl>
    <w:lvl w:ilvl="1">
      <w:start w:val="1"/>
      <w:numFmt w:val="decimal"/>
      <w:lvlText w:val="%1.%2"/>
      <w:lvlJc w:val="left"/>
      <w:pPr>
        <w:ind w:left="665" w:hanging="366"/>
      </w:pPr>
      <w:rPr>
        <w:rFonts w:ascii="Arial" w:eastAsia="Arial" w:hAnsi="Arial" w:cs="Arial" w:hint="default"/>
        <w:b/>
        <w:bCs/>
        <w:spacing w:val="-1"/>
        <w:w w:val="100"/>
        <w:sz w:val="22"/>
        <w:szCs w:val="22"/>
        <w:lang w:val="es-ES" w:eastAsia="en-US" w:bidi="ar-SA"/>
      </w:rPr>
    </w:lvl>
    <w:lvl w:ilvl="2">
      <w:numFmt w:val="bullet"/>
      <w:lvlText w:val="•"/>
      <w:lvlJc w:val="left"/>
      <w:pPr>
        <w:ind w:left="1624" w:hanging="366"/>
      </w:pPr>
      <w:rPr>
        <w:rFonts w:hint="default"/>
        <w:lang w:val="es-ES" w:eastAsia="en-US" w:bidi="ar-SA"/>
      </w:rPr>
    </w:lvl>
    <w:lvl w:ilvl="3">
      <w:numFmt w:val="bullet"/>
      <w:lvlText w:val="•"/>
      <w:lvlJc w:val="left"/>
      <w:pPr>
        <w:ind w:left="2588" w:hanging="366"/>
      </w:pPr>
      <w:rPr>
        <w:rFonts w:hint="default"/>
        <w:lang w:val="es-ES" w:eastAsia="en-US" w:bidi="ar-SA"/>
      </w:rPr>
    </w:lvl>
    <w:lvl w:ilvl="4">
      <w:numFmt w:val="bullet"/>
      <w:lvlText w:val="•"/>
      <w:lvlJc w:val="left"/>
      <w:pPr>
        <w:ind w:left="3553" w:hanging="366"/>
      </w:pPr>
      <w:rPr>
        <w:rFonts w:hint="default"/>
        <w:lang w:val="es-ES" w:eastAsia="en-US" w:bidi="ar-SA"/>
      </w:rPr>
    </w:lvl>
    <w:lvl w:ilvl="5">
      <w:numFmt w:val="bullet"/>
      <w:lvlText w:val="•"/>
      <w:lvlJc w:val="left"/>
      <w:pPr>
        <w:ind w:left="4517" w:hanging="366"/>
      </w:pPr>
      <w:rPr>
        <w:rFonts w:hint="default"/>
        <w:lang w:val="es-ES" w:eastAsia="en-US" w:bidi="ar-SA"/>
      </w:rPr>
    </w:lvl>
    <w:lvl w:ilvl="6">
      <w:numFmt w:val="bullet"/>
      <w:lvlText w:val="•"/>
      <w:lvlJc w:val="left"/>
      <w:pPr>
        <w:ind w:left="5482" w:hanging="366"/>
      </w:pPr>
      <w:rPr>
        <w:rFonts w:hint="default"/>
        <w:lang w:val="es-ES" w:eastAsia="en-US" w:bidi="ar-SA"/>
      </w:rPr>
    </w:lvl>
    <w:lvl w:ilvl="7">
      <w:numFmt w:val="bullet"/>
      <w:lvlText w:val="•"/>
      <w:lvlJc w:val="left"/>
      <w:pPr>
        <w:ind w:left="6446" w:hanging="366"/>
      </w:pPr>
      <w:rPr>
        <w:rFonts w:hint="default"/>
        <w:lang w:val="es-ES" w:eastAsia="en-US" w:bidi="ar-SA"/>
      </w:rPr>
    </w:lvl>
    <w:lvl w:ilvl="8">
      <w:numFmt w:val="bullet"/>
      <w:lvlText w:val="•"/>
      <w:lvlJc w:val="left"/>
      <w:pPr>
        <w:ind w:left="7411" w:hanging="366"/>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93A"/>
    <w:rsid w:val="000A00CB"/>
    <w:rsid w:val="00164DD3"/>
    <w:rsid w:val="001906FC"/>
    <w:rsid w:val="002D26D6"/>
    <w:rsid w:val="0030493A"/>
    <w:rsid w:val="00363F8D"/>
    <w:rsid w:val="004006B4"/>
    <w:rsid w:val="0046302E"/>
    <w:rsid w:val="00621D7D"/>
    <w:rsid w:val="00693E22"/>
    <w:rsid w:val="00696096"/>
    <w:rsid w:val="006A2E57"/>
    <w:rsid w:val="007A0AC2"/>
    <w:rsid w:val="007B5E7F"/>
    <w:rsid w:val="007E4D97"/>
    <w:rsid w:val="008F4F3F"/>
    <w:rsid w:val="009B39C2"/>
    <w:rsid w:val="00A05BB4"/>
    <w:rsid w:val="00A15F68"/>
    <w:rsid w:val="00D46594"/>
    <w:rsid w:val="00F557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A341"/>
  <w15:docId w15:val="{6F8B4096-5E06-42CD-85B2-79B3AFB4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firstLine="707"/>
    </w:pPr>
  </w:style>
  <w:style w:type="paragraph" w:customStyle="1" w:styleId="TableParagraph">
    <w:name w:val="Table Paragraph"/>
    <w:basedOn w:val="Normal"/>
    <w:uiPriority w:val="1"/>
    <w:qFormat/>
    <w:pPr>
      <w:ind w:left="115"/>
    </w:pPr>
  </w:style>
  <w:style w:type="paragraph" w:styleId="Textonotapie">
    <w:name w:val="footnote text"/>
    <w:basedOn w:val="Normal"/>
    <w:link w:val="TextonotapieCar"/>
    <w:uiPriority w:val="99"/>
    <w:semiHidden/>
    <w:unhideWhenUsed/>
    <w:rsid w:val="002D26D6"/>
    <w:rPr>
      <w:sz w:val="20"/>
      <w:szCs w:val="20"/>
    </w:rPr>
  </w:style>
  <w:style w:type="character" w:customStyle="1" w:styleId="TextonotapieCar">
    <w:name w:val="Texto nota pie Car"/>
    <w:basedOn w:val="Fuentedeprrafopredeter"/>
    <w:link w:val="Textonotapie"/>
    <w:uiPriority w:val="99"/>
    <w:semiHidden/>
    <w:rsid w:val="002D26D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D26D6"/>
    <w:rPr>
      <w:vertAlign w:val="superscript"/>
    </w:rPr>
  </w:style>
  <w:style w:type="paragraph" w:styleId="Encabezado">
    <w:name w:val="header"/>
    <w:basedOn w:val="Normal"/>
    <w:link w:val="EncabezadoCar"/>
    <w:uiPriority w:val="99"/>
    <w:unhideWhenUsed/>
    <w:rsid w:val="007B5E7F"/>
    <w:pPr>
      <w:tabs>
        <w:tab w:val="center" w:pos="4419"/>
        <w:tab w:val="right" w:pos="8838"/>
      </w:tabs>
    </w:pPr>
  </w:style>
  <w:style w:type="character" w:customStyle="1" w:styleId="EncabezadoCar">
    <w:name w:val="Encabezado Car"/>
    <w:basedOn w:val="Fuentedeprrafopredeter"/>
    <w:link w:val="Encabezado"/>
    <w:uiPriority w:val="99"/>
    <w:rsid w:val="007B5E7F"/>
    <w:rPr>
      <w:rFonts w:ascii="Arial" w:eastAsia="Arial" w:hAnsi="Arial" w:cs="Arial"/>
      <w:lang w:val="es-ES"/>
    </w:rPr>
  </w:style>
  <w:style w:type="paragraph" w:styleId="Piedepgina">
    <w:name w:val="footer"/>
    <w:basedOn w:val="Normal"/>
    <w:link w:val="PiedepginaCar"/>
    <w:uiPriority w:val="99"/>
    <w:unhideWhenUsed/>
    <w:rsid w:val="007B5E7F"/>
    <w:pPr>
      <w:tabs>
        <w:tab w:val="center" w:pos="4419"/>
        <w:tab w:val="right" w:pos="8838"/>
      </w:tabs>
    </w:pPr>
  </w:style>
  <w:style w:type="character" w:customStyle="1" w:styleId="PiedepginaCar">
    <w:name w:val="Pie de página Car"/>
    <w:basedOn w:val="Fuentedeprrafopredeter"/>
    <w:link w:val="Piedepgina"/>
    <w:uiPriority w:val="99"/>
    <w:rsid w:val="007B5E7F"/>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093AF-7C74-4A90-802D-A5F8F29EF4A8}">
  <ds:schemaRefs>
    <ds:schemaRef ds:uri="http://schemas.microsoft.com/sharepoint/v3/contenttype/forms"/>
  </ds:schemaRefs>
</ds:datastoreItem>
</file>

<file path=customXml/itemProps2.xml><?xml version="1.0" encoding="utf-8"?>
<ds:datastoreItem xmlns:ds="http://schemas.openxmlformats.org/officeDocument/2006/customXml" ds:itemID="{5D445E21-8944-4A20-BA9E-FA53AB2C115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93370BC-BFFF-414D-AEF9-CAAEA0421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194AF1-B7A6-4844-8C02-5AD53B3AA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3158</Words>
  <Characters>18004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9</cp:revision>
  <dcterms:created xsi:type="dcterms:W3CDTF">2020-04-15T00:19:00Z</dcterms:created>
  <dcterms:modified xsi:type="dcterms:W3CDTF">2020-07-14T18:29:00Z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