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1109DE" w:rsidR="006D74B7" w:rsidP="001109DE" w:rsidRDefault="006D74B7" w14:paraId="658C5EE7" w14:textId="77777777">
      <w:pPr>
        <w:pStyle w:val="Textoindependiente"/>
        <w:rPr>
          <w:rFonts w:ascii="Times New Roman"/>
          <w:sz w:val="20"/>
        </w:rPr>
      </w:pPr>
    </w:p>
    <w:p w:rsidRPr="001109DE" w:rsidR="00107E73" w:rsidP="001109DE" w:rsidRDefault="00107E73" w14:paraId="658C5EE9" w14:textId="0695E35F">
      <w:pPr>
        <w:ind w:left="300"/>
        <w:jc w:val="both"/>
        <w:rPr>
          <w:b/>
        </w:rPr>
      </w:pPr>
      <w:r w:rsidRPr="001109DE">
        <w:rPr>
          <w:b/>
        </w:rPr>
        <w:t>PUBLICIDAD –</w:t>
      </w:r>
      <w:r w:rsidR="008C4677">
        <w:rPr>
          <w:b/>
        </w:rPr>
        <w:t xml:space="preserve"> </w:t>
      </w:r>
      <w:r w:rsidRPr="001109DE">
        <w:rPr>
          <w:b/>
        </w:rPr>
        <w:t>Procedimientos contractuales –</w:t>
      </w:r>
      <w:r w:rsidR="00C4102D">
        <w:rPr>
          <w:b/>
        </w:rPr>
        <w:t xml:space="preserve"> </w:t>
      </w:r>
      <w:r w:rsidRPr="001109DE" w:rsidR="00F17B66">
        <w:rPr>
          <w:b/>
        </w:rPr>
        <w:t>Principios</w:t>
      </w:r>
    </w:p>
    <w:p w:rsidRPr="001109DE" w:rsidR="00F17B66" w:rsidP="001109DE" w:rsidRDefault="00F17B66" w14:paraId="658C5EEA" w14:textId="77777777">
      <w:pPr>
        <w:ind w:left="300"/>
        <w:jc w:val="both"/>
        <w:rPr>
          <w:b/>
        </w:rPr>
      </w:pPr>
    </w:p>
    <w:p w:rsidRPr="001109DE" w:rsidR="00107E73" w:rsidP="001109DE" w:rsidRDefault="00107E73" w14:paraId="658C5EEB" w14:textId="77777777">
      <w:pPr>
        <w:ind w:left="301"/>
        <w:jc w:val="both"/>
        <w:rPr>
          <w:sz w:val="20"/>
          <w:szCs w:val="20"/>
        </w:rPr>
      </w:pPr>
      <w:r w:rsidRPr="001109DE">
        <w:rPr>
          <w:sz w:val="20"/>
          <w:szCs w:val="20"/>
        </w:rPr>
        <w:t>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w:t>
      </w:r>
      <w:r w:rsidRPr="001109DE">
        <w:rPr>
          <w:spacing w:val="18"/>
          <w:sz w:val="20"/>
          <w:szCs w:val="20"/>
        </w:rPr>
        <w:t xml:space="preserve"> </w:t>
      </w:r>
      <w:r w:rsidRPr="001109DE">
        <w:rPr>
          <w:sz w:val="20"/>
          <w:szCs w:val="20"/>
        </w:rPr>
        <w:t>copias,</w:t>
      </w:r>
      <w:r w:rsidRPr="001109DE">
        <w:rPr>
          <w:spacing w:val="18"/>
          <w:sz w:val="20"/>
          <w:szCs w:val="20"/>
        </w:rPr>
        <w:t xml:space="preserve"> </w:t>
      </w:r>
      <w:r w:rsidRPr="001109DE">
        <w:rPr>
          <w:sz w:val="20"/>
          <w:szCs w:val="20"/>
        </w:rPr>
        <w:t>de</w:t>
      </w:r>
      <w:r w:rsidRPr="001109DE">
        <w:rPr>
          <w:spacing w:val="18"/>
          <w:sz w:val="20"/>
          <w:szCs w:val="20"/>
        </w:rPr>
        <w:t xml:space="preserve"> </w:t>
      </w:r>
      <w:r w:rsidRPr="001109DE">
        <w:rPr>
          <w:sz w:val="20"/>
          <w:szCs w:val="20"/>
        </w:rPr>
        <w:t>acuerdo</w:t>
      </w:r>
      <w:r w:rsidRPr="001109DE">
        <w:rPr>
          <w:spacing w:val="18"/>
          <w:sz w:val="20"/>
          <w:szCs w:val="20"/>
        </w:rPr>
        <w:t xml:space="preserve"> </w:t>
      </w:r>
      <w:r w:rsidRPr="001109DE">
        <w:rPr>
          <w:sz w:val="20"/>
          <w:szCs w:val="20"/>
        </w:rPr>
        <w:t>con</w:t>
      </w:r>
      <w:r w:rsidRPr="001109DE">
        <w:rPr>
          <w:spacing w:val="19"/>
          <w:sz w:val="20"/>
          <w:szCs w:val="20"/>
        </w:rPr>
        <w:t xml:space="preserve"> </w:t>
      </w:r>
      <w:r w:rsidRPr="001109DE">
        <w:rPr>
          <w:sz w:val="20"/>
          <w:szCs w:val="20"/>
        </w:rPr>
        <w:t>lo</w:t>
      </w:r>
      <w:r w:rsidRPr="001109DE">
        <w:rPr>
          <w:spacing w:val="18"/>
          <w:sz w:val="20"/>
          <w:szCs w:val="20"/>
        </w:rPr>
        <w:t xml:space="preserve"> </w:t>
      </w:r>
      <w:r w:rsidRPr="001109DE">
        <w:rPr>
          <w:sz w:val="20"/>
          <w:szCs w:val="20"/>
        </w:rPr>
        <w:t>dispuesto</w:t>
      </w:r>
      <w:r w:rsidRPr="001109DE">
        <w:rPr>
          <w:spacing w:val="18"/>
          <w:sz w:val="20"/>
          <w:szCs w:val="20"/>
        </w:rPr>
        <w:t xml:space="preserve"> </w:t>
      </w:r>
      <w:r w:rsidRPr="001109DE">
        <w:rPr>
          <w:sz w:val="20"/>
          <w:szCs w:val="20"/>
        </w:rPr>
        <w:t>por</w:t>
      </w:r>
      <w:r w:rsidRPr="001109DE">
        <w:rPr>
          <w:spacing w:val="18"/>
          <w:sz w:val="20"/>
          <w:szCs w:val="20"/>
        </w:rPr>
        <w:t xml:space="preserve"> </w:t>
      </w:r>
      <w:r w:rsidRPr="001109DE">
        <w:rPr>
          <w:sz w:val="20"/>
          <w:szCs w:val="20"/>
        </w:rPr>
        <w:t>la</w:t>
      </w:r>
      <w:r w:rsidRPr="001109DE">
        <w:rPr>
          <w:spacing w:val="18"/>
          <w:sz w:val="20"/>
          <w:szCs w:val="20"/>
        </w:rPr>
        <w:t xml:space="preserve"> </w:t>
      </w:r>
      <w:r w:rsidRPr="001109DE">
        <w:rPr>
          <w:sz w:val="20"/>
          <w:szCs w:val="20"/>
        </w:rPr>
        <w:t>norma. De</w:t>
      </w:r>
      <w:r w:rsidRPr="001109DE">
        <w:rPr>
          <w:spacing w:val="18"/>
          <w:sz w:val="20"/>
          <w:szCs w:val="20"/>
        </w:rPr>
        <w:t xml:space="preserve"> </w:t>
      </w:r>
      <w:r w:rsidRPr="001109DE">
        <w:rPr>
          <w:sz w:val="20"/>
          <w:szCs w:val="20"/>
        </w:rPr>
        <w:t>esta</w:t>
      </w:r>
      <w:r w:rsidRPr="001109DE">
        <w:rPr>
          <w:spacing w:val="19"/>
          <w:sz w:val="20"/>
          <w:szCs w:val="20"/>
        </w:rPr>
        <w:t xml:space="preserve"> </w:t>
      </w:r>
      <w:r w:rsidRPr="001109DE">
        <w:rPr>
          <w:sz w:val="20"/>
          <w:szCs w:val="20"/>
        </w:rPr>
        <w:t>forma,</w:t>
      </w:r>
      <w:r w:rsidRPr="001109DE">
        <w:rPr>
          <w:spacing w:val="16"/>
          <w:sz w:val="20"/>
          <w:szCs w:val="20"/>
        </w:rPr>
        <w:t xml:space="preserve"> </w:t>
      </w:r>
      <w:r w:rsidRPr="001109DE">
        <w:rPr>
          <w:sz w:val="20"/>
          <w:szCs w:val="20"/>
        </w:rPr>
        <w:t>las</w:t>
      </w:r>
      <w:r w:rsidRPr="001109DE">
        <w:rPr>
          <w:spacing w:val="19"/>
          <w:sz w:val="20"/>
          <w:szCs w:val="20"/>
        </w:rPr>
        <w:t xml:space="preserve"> </w:t>
      </w:r>
      <w:r w:rsidRPr="001109DE">
        <w:rPr>
          <w:sz w:val="20"/>
          <w:szCs w:val="20"/>
        </w:rPr>
        <w:t>entidades estatales deben publicar sus actuaciones de los procedimientos contractuales en el medio que ha definido el Estado para tal fin.</w:t>
      </w:r>
    </w:p>
    <w:p w:rsidRPr="001109DE" w:rsidR="00107E73" w:rsidP="001109DE" w:rsidRDefault="00107E73" w14:paraId="658C5EEC" w14:textId="77777777">
      <w:pPr>
        <w:pStyle w:val="Textoindependiente"/>
        <w:rPr>
          <w:sz w:val="25"/>
        </w:rPr>
      </w:pPr>
    </w:p>
    <w:p w:rsidRPr="001109DE" w:rsidR="00107E73" w:rsidP="293CD458" w:rsidRDefault="00107E73" w14:paraId="658C5EED" w14:textId="1D44BD77">
      <w:pPr>
        <w:pStyle w:val="Textoindependiente"/>
        <w:rPr>
          <w:b w:val="1"/>
          <w:bCs w:val="1"/>
        </w:rPr>
      </w:pPr>
      <w:r w:rsidRPr="293CD458" w:rsidR="00107E73">
        <w:rPr>
          <w:sz w:val="25"/>
          <w:szCs w:val="25"/>
        </w:rPr>
        <w:t xml:space="preserve">   </w:t>
      </w:r>
      <w:r w:rsidR="00107E73">
        <w:rPr/>
        <w:t xml:space="preserve">  </w:t>
      </w:r>
      <w:r w:rsidRPr="293CD458" w:rsidR="00107E73">
        <w:rPr>
          <w:b w:val="1"/>
          <w:bCs w:val="1"/>
        </w:rPr>
        <w:t xml:space="preserve">PUBLICIDAD </w:t>
      </w:r>
      <w:r w:rsidRPr="293CD458" w:rsidR="6A088F5B">
        <w:rPr>
          <w:b w:val="1"/>
          <w:bCs w:val="1"/>
        </w:rPr>
        <w:t>–</w:t>
      </w:r>
      <w:r w:rsidRPr="293CD458" w:rsidR="00107E73">
        <w:rPr>
          <w:b w:val="1"/>
          <w:bCs w:val="1"/>
        </w:rPr>
        <w:t xml:space="preserve"> SECOP</w:t>
      </w:r>
      <w:r w:rsidRPr="293CD458" w:rsidR="00107E73">
        <w:rPr>
          <w:b w:val="1"/>
          <w:bCs w:val="1"/>
        </w:rPr>
        <w:t xml:space="preserve"> – Obligatoriedad </w:t>
      </w:r>
    </w:p>
    <w:p w:rsidRPr="001109DE" w:rsidR="00F17B66" w:rsidP="001109DE" w:rsidRDefault="00F17B66" w14:paraId="658C5EEE" w14:textId="77777777">
      <w:pPr>
        <w:pStyle w:val="Textoindependiente"/>
        <w:rPr>
          <w:b/>
          <w:sz w:val="25"/>
        </w:rPr>
      </w:pPr>
    </w:p>
    <w:p w:rsidRPr="001109DE" w:rsidR="00F17B66" w:rsidP="001109DE" w:rsidRDefault="00107E73" w14:paraId="658C5EEF" w14:textId="77777777">
      <w:pPr>
        <w:ind w:left="301"/>
        <w:jc w:val="both"/>
        <w:rPr>
          <w:sz w:val="20"/>
          <w:szCs w:val="20"/>
        </w:rPr>
      </w:pPr>
      <w:r w:rsidRPr="001109DE">
        <w:rPr>
          <w:sz w:val="20"/>
          <w:szCs w:val="20"/>
        </w:rPr>
        <w:t>El deber de publicidad, el artículo 2.2.1.1.1.7.1. del Decreto 1082 de 2015 regula la publicidad en el SECOP, y el deber de las entidades de publicar en dicha plataforma los documentos que se derivan de la actividad contractual, lo cual permite el control de las actuaciones y decisiones de la Administración y el cumplimiento de los demás principios de la contratación pública.</w:t>
      </w:r>
    </w:p>
    <w:p w:rsidRPr="001109DE" w:rsidR="00F17B66" w:rsidP="001109DE" w:rsidRDefault="00F17B66" w14:paraId="658C5EF0" w14:textId="77777777">
      <w:pPr>
        <w:ind w:left="301"/>
        <w:jc w:val="both"/>
        <w:rPr>
          <w:sz w:val="21"/>
          <w:szCs w:val="21"/>
        </w:rPr>
      </w:pPr>
    </w:p>
    <w:p w:rsidRPr="001109DE" w:rsidR="00F17B66" w:rsidP="293CD458" w:rsidRDefault="00F17B66" w14:paraId="658C5EF1" w14:textId="78AECCCB">
      <w:pPr>
        <w:pStyle w:val="Normal"/>
        <w:ind w:left="300"/>
        <w:jc w:val="both"/>
        <w:rPr>
          <w:sz w:val="21"/>
          <w:szCs w:val="21"/>
        </w:rPr>
      </w:pPr>
      <w:r w:rsidRPr="293CD458" w:rsidR="5F647DFD">
        <w:rPr>
          <w:b w:val="1"/>
          <w:bCs w:val="1"/>
        </w:rPr>
        <w:t xml:space="preserve">PUBLICIDAD – </w:t>
      </w:r>
      <w:r w:rsidRPr="293CD458" w:rsidR="00F17B66">
        <w:rPr>
          <w:b w:val="1"/>
          <w:bCs w:val="1"/>
        </w:rPr>
        <w:t xml:space="preserve">SECOP – </w:t>
      </w:r>
      <w:r w:rsidRPr="293CD458" w:rsidR="0A9273FC">
        <w:rPr>
          <w:b w:val="1"/>
          <w:bCs w:val="1"/>
        </w:rPr>
        <w:t xml:space="preserve">Documentos publicables – </w:t>
      </w:r>
      <w:r w:rsidRPr="293CD458" w:rsidR="00F17B66">
        <w:rPr>
          <w:b w:val="1"/>
          <w:bCs w:val="1"/>
        </w:rPr>
        <w:t>Listado enunciativo</w:t>
      </w:r>
    </w:p>
    <w:p w:rsidRPr="001109DE" w:rsidR="00F17B66" w:rsidP="001109DE" w:rsidRDefault="00F17B66" w14:paraId="658C5EF2" w14:textId="77777777">
      <w:pPr>
        <w:ind w:left="300"/>
        <w:jc w:val="both"/>
        <w:rPr>
          <w:sz w:val="21"/>
          <w:szCs w:val="21"/>
        </w:rPr>
      </w:pPr>
      <w:r w:rsidRPr="001109DE">
        <w:rPr>
          <w:sz w:val="21"/>
          <w:szCs w:val="21"/>
        </w:rPr>
        <w:t xml:space="preserve"> </w:t>
      </w:r>
    </w:p>
    <w:p w:rsidRPr="001109DE" w:rsidR="00F17B66" w:rsidP="001109DE" w:rsidRDefault="00F17B66" w14:paraId="658C5EF3" w14:textId="77777777">
      <w:pPr>
        <w:spacing w:after="120"/>
        <w:ind w:left="301"/>
        <w:jc w:val="both"/>
        <w:rPr>
          <w:sz w:val="20"/>
          <w:szCs w:val="20"/>
        </w:rPr>
      </w:pPr>
      <w:r w:rsidRPr="001109DE">
        <w:rPr>
          <w:sz w:val="20"/>
          <w:szCs w:val="20"/>
        </w:rPr>
        <w:t xml:space="preserve">El parágrafo 2 del artículo 2 de la Ley 1150 de 2007 y el artículo 2.2.1.1.1.3.1. del Decreto 1082 de 2015 definen cuáles son los documentos del procedimiento contractual que se deben publicar en el SECOP: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rsidR="00107E73" w:rsidP="00C4102D" w:rsidRDefault="00F17B66" w14:paraId="658C5EF9" w14:textId="7DE8C16F">
      <w:pPr>
        <w:ind w:left="301"/>
        <w:jc w:val="both"/>
        <w:rPr>
          <w:sz w:val="20"/>
          <w:szCs w:val="20"/>
        </w:rPr>
      </w:pPr>
      <w:r w:rsidRPr="001109DE">
        <w:rPr>
          <w:sz w:val="20"/>
          <w:szCs w:val="20"/>
        </w:rPr>
        <w:t>En ese sentido, la norma no hace un listado taxativo de los documentos de la actividad contractual de la entidad que se deben publicar en el SECOP, sino que el listado es enunciativo, por dos (2) razones: i) Es necesario realizar una interpretación armónica de las disposiciones de la Ley 1150 de 2007 y del Decreto 1082 de 2015 citadas, ya que se deben publicar todos los actos expedidos en el procedimiento contractual; y ii) el colofón del artículo 2.2.1.1.1.3.1. del Decreto 1082 de 2015 citado señala que los documentos que expide la entidad deben publicarse en el SECOP, lo cual amplía los documentos señalados por la norma, e incluye cualquier acto relacionado, como el informe de supervisión que, al dar cuenta de la ejecución del contrato, puede incluir los contratos celebrados por el contratista, que hacen parte de la ejecución del contrato adjudicado, lo cual es una etapa del procedimiento de</w:t>
      </w:r>
      <w:r w:rsidRPr="001109DE">
        <w:rPr>
          <w:spacing w:val="-3"/>
          <w:sz w:val="20"/>
          <w:szCs w:val="20"/>
        </w:rPr>
        <w:t xml:space="preserve"> </w:t>
      </w:r>
      <w:r w:rsidRPr="001109DE">
        <w:rPr>
          <w:sz w:val="20"/>
          <w:szCs w:val="20"/>
        </w:rPr>
        <w:t>contratación.</w:t>
      </w:r>
    </w:p>
    <w:p w:rsidRPr="001109DE" w:rsidR="00C4102D" w:rsidP="00C4102D" w:rsidRDefault="00C4102D" w14:paraId="6551C478" w14:textId="77777777">
      <w:pPr>
        <w:ind w:left="301"/>
        <w:jc w:val="both"/>
      </w:pPr>
    </w:p>
    <w:p w:rsidRPr="001109DE" w:rsidR="006D74B7" w:rsidRDefault="001E1647" w14:paraId="658C5EFA" w14:textId="77777777">
      <w:pPr>
        <w:spacing w:before="215"/>
        <w:ind w:left="300"/>
        <w:rPr>
          <w:b/>
        </w:rPr>
      </w:pPr>
      <w:r w:rsidRPr="001109DE">
        <w:t xml:space="preserve">Bogotá D.C., </w:t>
      </w:r>
      <w:r w:rsidRPr="001109DE">
        <w:rPr>
          <w:b/>
        </w:rPr>
        <w:t>09/12/2019 Hora 14:8:27s</w:t>
      </w:r>
    </w:p>
    <w:p w:rsidRPr="001109DE" w:rsidR="006D74B7" w:rsidRDefault="001E1647" w14:paraId="658C5EFB" w14:textId="77777777">
      <w:pPr>
        <w:pStyle w:val="Ttulo1"/>
        <w:spacing w:before="37"/>
        <w:ind w:left="5839" w:firstLine="0"/>
      </w:pPr>
      <w:r w:rsidRPr="001109DE">
        <w:t>N° Radicado: 2201913000009050</w:t>
      </w:r>
    </w:p>
    <w:p w:rsidRPr="001109DE" w:rsidR="006D74B7" w:rsidRDefault="006D74B7" w14:paraId="658C5EFC" w14:textId="77777777">
      <w:pPr>
        <w:pStyle w:val="Textoindependiente"/>
        <w:spacing w:before="7"/>
        <w:rPr>
          <w:b/>
          <w:sz w:val="20"/>
        </w:rPr>
      </w:pPr>
    </w:p>
    <w:p w:rsidRPr="001109DE" w:rsidR="006D74B7" w:rsidRDefault="001E1647" w14:paraId="658C5EFD" w14:textId="77777777">
      <w:pPr>
        <w:spacing w:before="93" w:line="276" w:lineRule="auto"/>
        <w:ind w:left="300" w:right="8083"/>
      </w:pPr>
      <w:r w:rsidRPr="001109DE">
        <w:t xml:space="preserve">Señor </w:t>
      </w:r>
      <w:r w:rsidRPr="001109DE">
        <w:rPr>
          <w:b/>
        </w:rPr>
        <w:t xml:space="preserve">Ciudadano </w:t>
      </w:r>
      <w:r w:rsidRPr="001109DE">
        <w:t>Ciudad</w:t>
      </w:r>
    </w:p>
    <w:p w:rsidRPr="001109DE" w:rsidR="006D74B7" w:rsidRDefault="006D74B7" w14:paraId="658C5EFE" w14:textId="77777777">
      <w:pPr>
        <w:pStyle w:val="Textoindependiente"/>
        <w:rPr>
          <w:sz w:val="20"/>
        </w:rPr>
      </w:pPr>
    </w:p>
    <w:p w:rsidRPr="001109DE" w:rsidR="006D74B7" w:rsidRDefault="006D74B7" w14:paraId="658C5EFF" w14:textId="77777777">
      <w:pPr>
        <w:pStyle w:val="Textoindependiente"/>
        <w:rPr>
          <w:sz w:val="20"/>
        </w:rPr>
      </w:pPr>
    </w:p>
    <w:p w:rsidRPr="001109DE" w:rsidR="006D74B7" w:rsidRDefault="006D74B7" w14:paraId="658C5F00" w14:textId="77777777">
      <w:pPr>
        <w:pStyle w:val="Textoindependiente"/>
        <w:spacing w:before="3"/>
        <w:rPr>
          <w:sz w:val="11"/>
        </w:rPr>
      </w:pPr>
    </w:p>
    <w:tbl>
      <w:tblPr>
        <w:tblStyle w:val="TableNormal"/>
        <w:tblW w:w="0" w:type="auto"/>
        <w:tblInd w:w="108" w:type="dxa"/>
        <w:tblLayout w:type="fixed"/>
        <w:tblLook w:val="01E0" w:firstRow="1" w:lastRow="1" w:firstColumn="1" w:lastColumn="1" w:noHBand="0" w:noVBand="0"/>
      </w:tblPr>
      <w:tblGrid>
        <w:gridCol w:w="2328"/>
        <w:gridCol w:w="6997"/>
      </w:tblGrid>
      <w:tr w:rsidRPr="001109DE" w:rsidR="001109DE" w:rsidTr="330CD56A" w14:paraId="658C5F03" w14:textId="77777777">
        <w:trPr>
          <w:trHeight w:val="267"/>
        </w:trPr>
        <w:tc>
          <w:tcPr>
            <w:tcW w:w="2328" w:type="dxa"/>
            <w:tcMar/>
          </w:tcPr>
          <w:p w:rsidRPr="001109DE" w:rsidR="006D74B7" w:rsidRDefault="001E1647" w14:paraId="658C5F01" w14:textId="77777777">
            <w:pPr>
              <w:pStyle w:val="TableParagraph"/>
              <w:spacing w:before="0" w:line="246" w:lineRule="exact"/>
              <w:rPr>
                <w:b/>
              </w:rPr>
            </w:pPr>
            <w:r w:rsidRPr="001109DE">
              <w:rPr>
                <w:b/>
              </w:rPr>
              <w:t>Radicación:</w:t>
            </w:r>
          </w:p>
        </w:tc>
        <w:tc>
          <w:tcPr>
            <w:tcW w:w="6997" w:type="dxa"/>
            <w:tcMar/>
          </w:tcPr>
          <w:p w:rsidRPr="001109DE" w:rsidR="006D74B7" w:rsidRDefault="001E1647" w14:paraId="658C5F02" w14:textId="77777777">
            <w:pPr>
              <w:pStyle w:val="TableParagraph"/>
              <w:spacing w:before="0" w:line="246" w:lineRule="exact"/>
              <w:ind w:left="562"/>
            </w:pPr>
            <w:r w:rsidRPr="001109DE">
              <w:t>Respuesta a consulta # 4201912000007853</w:t>
            </w:r>
          </w:p>
        </w:tc>
      </w:tr>
      <w:tr w:rsidRPr="001109DE" w:rsidR="001109DE" w:rsidTr="330CD56A" w14:paraId="658C5F06" w14:textId="77777777">
        <w:trPr>
          <w:trHeight w:val="289"/>
        </w:trPr>
        <w:tc>
          <w:tcPr>
            <w:tcW w:w="2328" w:type="dxa"/>
            <w:tcMar/>
          </w:tcPr>
          <w:p w:rsidRPr="001109DE" w:rsidR="006D74B7" w:rsidRDefault="001E1647" w14:paraId="658C5F04" w14:textId="77777777">
            <w:pPr>
              <w:pStyle w:val="TableParagraph"/>
              <w:rPr>
                <w:b/>
              </w:rPr>
            </w:pPr>
            <w:r w:rsidRPr="001109DE">
              <w:rPr>
                <w:b/>
              </w:rPr>
              <w:t>Temas:</w:t>
            </w:r>
          </w:p>
        </w:tc>
        <w:tc>
          <w:tcPr>
            <w:tcW w:w="6997" w:type="dxa"/>
            <w:tcMar/>
          </w:tcPr>
          <w:p w:rsidRPr="001109DE" w:rsidR="006D74B7" w:rsidRDefault="001E1647" w14:paraId="658C5F05" w14:textId="77777777">
            <w:pPr>
              <w:pStyle w:val="TableParagraph"/>
              <w:ind w:left="562"/>
            </w:pPr>
            <w:r w:rsidRPr="001109DE">
              <w:t>SECOP, publicidad, ejecución del contrato</w:t>
            </w:r>
          </w:p>
        </w:tc>
      </w:tr>
      <w:tr w:rsidRPr="001109DE" w:rsidR="006D74B7" w:rsidTr="330CD56A" w14:paraId="658C5F0B" w14:textId="77777777">
        <w:trPr>
          <w:trHeight w:val="560"/>
        </w:trPr>
        <w:tc>
          <w:tcPr>
            <w:tcW w:w="2328" w:type="dxa"/>
            <w:tcMar/>
          </w:tcPr>
          <w:p w:rsidRPr="001109DE" w:rsidR="006D74B7" w:rsidRDefault="001E1647" w14:paraId="658C5F07" w14:textId="77777777">
            <w:pPr>
              <w:pStyle w:val="TableParagraph"/>
              <w:rPr>
                <w:b/>
              </w:rPr>
            </w:pPr>
            <w:r w:rsidRPr="001109DE">
              <w:rPr>
                <w:b/>
              </w:rPr>
              <w:t>Tipo de asunto</w:t>
            </w:r>
          </w:p>
          <w:p w:rsidRPr="001109DE" w:rsidR="006D74B7" w:rsidRDefault="001E1647" w14:paraId="658C5F08" w14:textId="77777777">
            <w:pPr>
              <w:pStyle w:val="TableParagraph"/>
              <w:spacing w:before="39" w:line="233" w:lineRule="exact"/>
              <w:rPr>
                <w:b/>
              </w:rPr>
            </w:pPr>
            <w:r w:rsidRPr="001109DE">
              <w:rPr>
                <w:b/>
              </w:rPr>
              <w:t>consultado:</w:t>
            </w:r>
          </w:p>
        </w:tc>
        <w:tc>
          <w:tcPr>
            <w:tcW w:w="6997" w:type="dxa"/>
            <w:tcMar/>
          </w:tcPr>
          <w:p w:rsidRPr="001109DE" w:rsidR="006D74B7" w:rsidRDefault="001E1647" w14:paraId="658C5F09" w14:textId="77777777">
            <w:pPr>
              <w:pStyle w:val="TableParagraph"/>
              <w:ind w:left="562"/>
            </w:pPr>
            <w:r w:rsidRPr="001109DE">
              <w:t>Obligación de publicar los contratos celebrados por los</w:t>
            </w:r>
          </w:p>
          <w:p w:rsidRPr="001109DE" w:rsidR="006D74B7" w:rsidRDefault="001E1647" w14:paraId="658C5F0A" w14:textId="77777777">
            <w:pPr>
              <w:pStyle w:val="TableParagraph"/>
              <w:spacing w:before="39" w:line="233" w:lineRule="exact"/>
              <w:ind w:left="562"/>
            </w:pPr>
            <w:r w:rsidRPr="001109DE">
              <w:t>contratistas para la ejecución del contrato en el SECOP</w:t>
            </w:r>
          </w:p>
        </w:tc>
      </w:tr>
    </w:tbl>
    <w:p w:rsidR="330CD56A" w:rsidRDefault="330CD56A" w14:paraId="50825D48" w14:textId="630F00CC"/>
    <w:p w:rsidRPr="001109DE" w:rsidR="006D74B7" w:rsidRDefault="006D74B7" w14:paraId="658C5F0C" w14:textId="77777777">
      <w:pPr>
        <w:pStyle w:val="Textoindependiente"/>
        <w:rPr>
          <w:sz w:val="20"/>
        </w:rPr>
      </w:pPr>
    </w:p>
    <w:p w:rsidRPr="001109DE" w:rsidR="006D74B7" w:rsidRDefault="006D74B7" w14:paraId="658C5F0D" w14:textId="77777777">
      <w:pPr>
        <w:pStyle w:val="Textoindependiente"/>
        <w:spacing w:before="9"/>
        <w:rPr>
          <w:sz w:val="25"/>
        </w:rPr>
      </w:pPr>
    </w:p>
    <w:p w:rsidRPr="001109DE" w:rsidR="006D74B7" w:rsidRDefault="001E1647" w14:paraId="658C5F0E" w14:textId="77777777">
      <w:pPr>
        <w:pStyle w:val="Textoindependiente"/>
        <w:spacing w:before="93"/>
        <w:ind w:left="300"/>
        <w:jc w:val="both"/>
      </w:pPr>
      <w:r w:rsidRPr="001109DE">
        <w:t>Estimado señor,</w:t>
      </w:r>
    </w:p>
    <w:p w:rsidRPr="001109DE" w:rsidR="006D74B7" w:rsidRDefault="006D74B7" w14:paraId="658C5F0F" w14:textId="77777777">
      <w:pPr>
        <w:pStyle w:val="Textoindependiente"/>
        <w:spacing w:before="7"/>
        <w:rPr>
          <w:sz w:val="28"/>
        </w:rPr>
      </w:pPr>
    </w:p>
    <w:p w:rsidRPr="001109DE" w:rsidR="006D74B7" w:rsidRDefault="001E1647" w14:paraId="658C5F10" w14:textId="77777777">
      <w:pPr>
        <w:pStyle w:val="Textoindependiente"/>
        <w:spacing w:line="276" w:lineRule="auto"/>
        <w:ind w:left="300" w:right="307"/>
        <w:jc w:val="both"/>
      </w:pPr>
      <w:r w:rsidRPr="001109DE">
        <w:t>La Agencia Nacional de Contratación Pública - Colombia Compra Eficiente responde su consulta del 21 de noviembre de 2019, en ejercicio de la competencia otorgada por el numeral 8 del artículo 11 y el numeral 5 del artículo 3 del Decreto Ley 4170 de 2011.</w:t>
      </w:r>
    </w:p>
    <w:p w:rsidRPr="001109DE" w:rsidR="006D74B7" w:rsidRDefault="006D74B7" w14:paraId="658C5F11" w14:textId="77777777">
      <w:pPr>
        <w:pStyle w:val="Textoindependiente"/>
        <w:spacing w:before="3"/>
        <w:rPr>
          <w:sz w:val="25"/>
        </w:rPr>
      </w:pPr>
    </w:p>
    <w:p w:rsidRPr="001109DE" w:rsidR="006D74B7" w:rsidRDefault="001E1647" w14:paraId="658C5F12" w14:textId="77777777">
      <w:pPr>
        <w:pStyle w:val="Ttulo1"/>
        <w:numPr>
          <w:ilvl w:val="0"/>
          <w:numId w:val="2"/>
        </w:numPr>
        <w:tabs>
          <w:tab w:val="left" w:pos="544"/>
        </w:tabs>
        <w:ind w:hanging="244"/>
      </w:pPr>
      <w:r w:rsidRPr="001109DE">
        <w:t>Problema</w:t>
      </w:r>
      <w:r w:rsidRPr="001109DE">
        <w:rPr>
          <w:spacing w:val="-2"/>
        </w:rPr>
        <w:t xml:space="preserve"> </w:t>
      </w:r>
      <w:r w:rsidRPr="001109DE">
        <w:t>planteado</w:t>
      </w:r>
    </w:p>
    <w:p w:rsidRPr="001109DE" w:rsidR="006D74B7" w:rsidRDefault="006D74B7" w14:paraId="658C5F13" w14:textId="77777777">
      <w:pPr>
        <w:pStyle w:val="Textoindependiente"/>
        <w:spacing w:before="7"/>
        <w:rPr>
          <w:b/>
          <w:sz w:val="28"/>
        </w:rPr>
      </w:pPr>
    </w:p>
    <w:p w:rsidRPr="001109DE" w:rsidR="006D74B7" w:rsidRDefault="001E1647" w14:paraId="658C5F14" w14:textId="77777777">
      <w:pPr>
        <w:pStyle w:val="Textoindependiente"/>
        <w:spacing w:before="1" w:line="276" w:lineRule="auto"/>
        <w:ind w:left="300" w:right="305"/>
        <w:jc w:val="both"/>
      </w:pPr>
      <w:r w:rsidRPr="001109DE">
        <w:t>El peticionario plantea la siguiente pregunta: ¿Se deben publicar en el SECOP los contratos que celebró un contratista para la ejecución del contrato</w:t>
      </w:r>
      <w:r w:rsidRPr="001109DE">
        <w:rPr>
          <w:spacing w:val="-15"/>
        </w:rPr>
        <w:t xml:space="preserve"> </w:t>
      </w:r>
      <w:r w:rsidRPr="001109DE">
        <w:t>adjudicado?</w:t>
      </w:r>
    </w:p>
    <w:p w:rsidRPr="001109DE" w:rsidR="006D74B7" w:rsidRDefault="006D74B7" w14:paraId="658C5F15" w14:textId="77777777">
      <w:pPr>
        <w:pStyle w:val="Textoindependiente"/>
        <w:spacing w:before="3"/>
        <w:rPr>
          <w:sz w:val="25"/>
        </w:rPr>
      </w:pPr>
    </w:p>
    <w:p w:rsidRPr="001109DE" w:rsidR="006D74B7" w:rsidRDefault="001E1647" w14:paraId="658C5F16" w14:textId="77777777">
      <w:pPr>
        <w:pStyle w:val="Ttulo1"/>
        <w:numPr>
          <w:ilvl w:val="0"/>
          <w:numId w:val="2"/>
        </w:numPr>
        <w:tabs>
          <w:tab w:val="left" w:pos="544"/>
        </w:tabs>
        <w:ind w:hanging="244"/>
      </w:pPr>
      <w:r w:rsidRPr="001109DE">
        <w:t>Consideraciones</w:t>
      </w:r>
    </w:p>
    <w:p w:rsidRPr="001109DE" w:rsidR="006D74B7" w:rsidRDefault="006D74B7" w14:paraId="658C5F17" w14:textId="77777777">
      <w:pPr>
        <w:pStyle w:val="Textoindependiente"/>
        <w:spacing w:before="7"/>
        <w:rPr>
          <w:b/>
          <w:sz w:val="28"/>
        </w:rPr>
      </w:pPr>
    </w:p>
    <w:p w:rsidRPr="001109DE" w:rsidR="006D74B7" w:rsidRDefault="001E1647" w14:paraId="658C5F18" w14:textId="77777777">
      <w:pPr>
        <w:pStyle w:val="Prrafodelista"/>
        <w:numPr>
          <w:ilvl w:val="1"/>
          <w:numId w:val="2"/>
        </w:numPr>
        <w:tabs>
          <w:tab w:val="left" w:pos="728"/>
        </w:tabs>
        <w:rPr>
          <w:b/>
        </w:rPr>
      </w:pPr>
      <w:r w:rsidRPr="001109DE">
        <w:rPr>
          <w:b/>
        </w:rPr>
        <w:t>Introducción</w:t>
      </w:r>
    </w:p>
    <w:p w:rsidRPr="001109DE" w:rsidR="006D74B7" w:rsidRDefault="006D74B7" w14:paraId="658C5F19" w14:textId="77777777">
      <w:pPr>
        <w:pStyle w:val="Textoindependiente"/>
        <w:spacing w:before="8"/>
        <w:rPr>
          <w:b/>
          <w:sz w:val="28"/>
        </w:rPr>
      </w:pPr>
    </w:p>
    <w:p w:rsidRPr="001109DE" w:rsidR="006D74B7" w:rsidRDefault="001E1647" w14:paraId="658C5F1A" w14:textId="77777777">
      <w:pPr>
        <w:pStyle w:val="Textoindependiente"/>
        <w:spacing w:line="276" w:lineRule="auto"/>
        <w:ind w:left="300" w:right="305"/>
        <w:jc w:val="both"/>
      </w:pPr>
      <w:r w:rsidRPr="001109DE">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rsidRPr="001109DE" w:rsidR="006D74B7" w:rsidRDefault="006D74B7" w14:paraId="658C5F1B" w14:textId="77777777">
      <w:pPr>
        <w:pStyle w:val="Textoindependiente"/>
        <w:spacing w:before="3"/>
        <w:rPr>
          <w:sz w:val="25"/>
        </w:rPr>
      </w:pPr>
    </w:p>
    <w:p w:rsidRPr="001109DE" w:rsidR="006D74B7" w:rsidP="00C4102D" w:rsidRDefault="001E1647" w14:paraId="658C5F20" w14:textId="4D5A9908">
      <w:pPr>
        <w:pStyle w:val="Textoindependiente"/>
        <w:spacing w:line="276" w:lineRule="auto"/>
        <w:ind w:left="300" w:right="308"/>
        <w:jc w:val="both"/>
      </w:pPr>
      <w:r w:rsidRPr="001109DE">
        <w:t>En ese sentido, teniendo en cuenta que mediante los procedimientos contractuales las entidades ejecutan recursos públicos y satisfacen el interés general, la normativa del</w:t>
      </w:r>
      <w:r w:rsidR="00C4102D">
        <w:t xml:space="preserve"> </w:t>
      </w:r>
      <w:r w:rsidRPr="001109DE">
        <w:t>Sistema de Compra Pública -Ley 80 de 1993, Ley 1150 de 2007, y Decreto 1082 de 2015-, contiene los principios y procedimientos que rigen los contratos de las entidades estatales. Específicamente, el Estatuto General de Contratación de la Contratación Pública -Ley 80 de 1993- se dirige a las entidades estatales que están relacionadas en su artículo 2</w:t>
      </w:r>
      <w:r w:rsidRPr="001109DE" w:rsidR="00F35953">
        <w:rPr>
          <w:rStyle w:val="Refdenotaalpie"/>
        </w:rPr>
        <w:footnoteReference w:id="1"/>
      </w:r>
      <w:r w:rsidRPr="001109DE">
        <w:t xml:space="preserve">, con  lo </w:t>
      </w:r>
      <w:r w:rsidRPr="001109DE">
        <w:lastRenderedPageBreak/>
        <w:t>cual se puede determinar quiénes deben cumplir los principios y obligaciones señalados en las normas</w:t>
      </w:r>
      <w:r w:rsidRPr="001109DE">
        <w:rPr>
          <w:spacing w:val="-4"/>
        </w:rPr>
        <w:t xml:space="preserve"> </w:t>
      </w:r>
      <w:r w:rsidRPr="001109DE">
        <w:t>citadas.</w:t>
      </w:r>
    </w:p>
    <w:p w:rsidRPr="001109DE" w:rsidR="006D74B7" w:rsidRDefault="006D74B7" w14:paraId="658C5F21" w14:textId="77777777">
      <w:pPr>
        <w:pStyle w:val="Textoindependiente"/>
        <w:spacing w:before="5"/>
        <w:rPr>
          <w:sz w:val="25"/>
        </w:rPr>
      </w:pPr>
    </w:p>
    <w:p w:rsidRPr="001109DE" w:rsidR="006D74B7" w:rsidP="003948D8" w:rsidRDefault="001E1647" w14:paraId="658C5F35" w14:textId="3EC3885E">
      <w:pPr>
        <w:pStyle w:val="Textoindependiente"/>
        <w:spacing w:line="276" w:lineRule="auto"/>
        <w:ind w:left="300" w:right="304"/>
        <w:jc w:val="both"/>
      </w:pPr>
      <w:r w:rsidRPr="001109DE">
        <w:t>El artículo 23 de la Ley 80 de 1993 regula los principios que rigen las actuaciones dentro de los procedimientos contractuales que adelantan las entidades</w:t>
      </w:r>
      <w:r w:rsidRPr="001109DE" w:rsidR="004D709B">
        <w:rPr>
          <w:rStyle w:val="Refdenotaalpie"/>
        </w:rPr>
        <w:footnoteReference w:id="2"/>
      </w:r>
      <w:r w:rsidRPr="001109DE">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w:t>
      </w:r>
      <w:r w:rsidRPr="001109DE">
        <w:rPr>
          <w:spacing w:val="18"/>
        </w:rPr>
        <w:t xml:space="preserve"> </w:t>
      </w:r>
      <w:r w:rsidRPr="001109DE">
        <w:t>copias,</w:t>
      </w:r>
      <w:r w:rsidRPr="001109DE">
        <w:rPr>
          <w:spacing w:val="18"/>
        </w:rPr>
        <w:t xml:space="preserve"> </w:t>
      </w:r>
      <w:r w:rsidRPr="001109DE">
        <w:t>de</w:t>
      </w:r>
      <w:r w:rsidRPr="001109DE">
        <w:rPr>
          <w:spacing w:val="18"/>
        </w:rPr>
        <w:t xml:space="preserve"> </w:t>
      </w:r>
      <w:r w:rsidRPr="001109DE">
        <w:t>acuerdo</w:t>
      </w:r>
      <w:r w:rsidRPr="001109DE">
        <w:rPr>
          <w:spacing w:val="18"/>
        </w:rPr>
        <w:t xml:space="preserve"> </w:t>
      </w:r>
      <w:r w:rsidRPr="001109DE">
        <w:t>con</w:t>
      </w:r>
      <w:r w:rsidRPr="001109DE">
        <w:rPr>
          <w:spacing w:val="19"/>
        </w:rPr>
        <w:t xml:space="preserve"> </w:t>
      </w:r>
      <w:r w:rsidRPr="001109DE">
        <w:t>lo</w:t>
      </w:r>
      <w:r w:rsidRPr="001109DE">
        <w:rPr>
          <w:spacing w:val="18"/>
        </w:rPr>
        <w:t xml:space="preserve"> </w:t>
      </w:r>
      <w:r w:rsidRPr="001109DE">
        <w:t>dispuesto</w:t>
      </w:r>
      <w:r w:rsidRPr="001109DE">
        <w:rPr>
          <w:spacing w:val="18"/>
        </w:rPr>
        <w:t xml:space="preserve"> </w:t>
      </w:r>
      <w:r w:rsidRPr="001109DE">
        <w:t>por</w:t>
      </w:r>
      <w:r w:rsidRPr="001109DE">
        <w:rPr>
          <w:spacing w:val="18"/>
        </w:rPr>
        <w:t xml:space="preserve"> </w:t>
      </w:r>
      <w:r w:rsidRPr="001109DE">
        <w:t>la</w:t>
      </w:r>
      <w:r w:rsidRPr="001109DE">
        <w:rPr>
          <w:spacing w:val="18"/>
        </w:rPr>
        <w:t xml:space="preserve"> </w:t>
      </w:r>
      <w:r w:rsidRPr="001109DE">
        <w:t>norma</w:t>
      </w:r>
      <w:r w:rsidRPr="001109DE" w:rsidR="00615370">
        <w:rPr>
          <w:rStyle w:val="Refdenotaalpie"/>
        </w:rPr>
        <w:footnoteReference w:id="3"/>
      </w:r>
      <w:r w:rsidRPr="001109DE">
        <w:t>.</w:t>
      </w:r>
      <w:r w:rsidRPr="001109DE">
        <w:rPr>
          <w:spacing w:val="18"/>
        </w:rPr>
        <w:t xml:space="preserve"> </w:t>
      </w:r>
      <w:r w:rsidRPr="001109DE">
        <w:t>De</w:t>
      </w:r>
      <w:r w:rsidRPr="001109DE">
        <w:rPr>
          <w:spacing w:val="18"/>
        </w:rPr>
        <w:t xml:space="preserve"> </w:t>
      </w:r>
      <w:r w:rsidRPr="001109DE">
        <w:t>esta</w:t>
      </w:r>
      <w:r w:rsidRPr="001109DE">
        <w:rPr>
          <w:spacing w:val="19"/>
        </w:rPr>
        <w:t xml:space="preserve"> </w:t>
      </w:r>
      <w:r w:rsidRPr="001109DE">
        <w:t>forma,</w:t>
      </w:r>
      <w:r w:rsidRPr="001109DE">
        <w:rPr>
          <w:spacing w:val="16"/>
        </w:rPr>
        <w:t xml:space="preserve"> </w:t>
      </w:r>
      <w:r w:rsidRPr="001109DE">
        <w:t>las</w:t>
      </w:r>
      <w:r w:rsidRPr="001109DE">
        <w:rPr>
          <w:spacing w:val="19"/>
        </w:rPr>
        <w:t xml:space="preserve"> </w:t>
      </w:r>
      <w:r w:rsidRPr="001109DE">
        <w:t>entidades</w:t>
      </w:r>
      <w:r w:rsidRPr="001109DE" w:rsidR="003948D8">
        <w:t xml:space="preserve"> </w:t>
      </w:r>
      <w:r w:rsidRPr="001109DE">
        <w:t>estatales deben publicar sus actuaciones de los procedimientos contractuales en el medio que ha definido el Estado para tal fin.</w:t>
      </w:r>
    </w:p>
    <w:p w:rsidRPr="001109DE" w:rsidR="006D74B7" w:rsidRDefault="006D74B7" w14:paraId="658C5F36" w14:textId="77777777">
      <w:pPr>
        <w:pStyle w:val="Textoindependiente"/>
        <w:spacing w:before="1"/>
        <w:rPr>
          <w:sz w:val="25"/>
        </w:rPr>
      </w:pPr>
    </w:p>
    <w:p w:rsidRPr="001109DE" w:rsidR="006D74B7" w:rsidRDefault="001E1647" w14:paraId="658C5F37" w14:textId="77777777">
      <w:pPr>
        <w:pStyle w:val="Textoindependiente"/>
        <w:spacing w:line="276" w:lineRule="auto"/>
        <w:ind w:left="300" w:right="305"/>
        <w:jc w:val="both"/>
      </w:pPr>
      <w:r w:rsidRPr="001109DE">
        <w:t>Para resolver su consulta relacionada con la publicidad en el SECOP: i) en primer lugar se citará el marco normativo de los procedimientos contractuales y su publicidad; y ii) se señalarán los documentos que se deben publicar en el SECOP.</w:t>
      </w:r>
    </w:p>
    <w:p w:rsidRPr="001109DE" w:rsidR="006D74B7" w:rsidRDefault="006D74B7" w14:paraId="658C5F38" w14:textId="77777777">
      <w:pPr>
        <w:pStyle w:val="Textoindependiente"/>
        <w:spacing w:before="2"/>
        <w:rPr>
          <w:sz w:val="25"/>
        </w:rPr>
      </w:pPr>
    </w:p>
    <w:p w:rsidRPr="001109DE" w:rsidR="006D74B7" w:rsidRDefault="001E1647" w14:paraId="658C5F39" w14:textId="77777777">
      <w:pPr>
        <w:pStyle w:val="Ttulo1"/>
        <w:spacing w:line="276" w:lineRule="auto"/>
        <w:ind w:left="300" w:right="285" w:firstLine="0"/>
      </w:pPr>
      <w:r w:rsidRPr="001109DE">
        <w:t>2.2 Procedimientos contractuales y su publicidad: Un deber de las entidades estatales</w:t>
      </w:r>
    </w:p>
    <w:p w:rsidRPr="001109DE" w:rsidR="006D74B7" w:rsidRDefault="006D74B7" w14:paraId="658C5F3A" w14:textId="77777777">
      <w:pPr>
        <w:pStyle w:val="Textoindependiente"/>
        <w:spacing w:before="4"/>
        <w:rPr>
          <w:b/>
          <w:sz w:val="25"/>
        </w:rPr>
      </w:pPr>
    </w:p>
    <w:p w:rsidRPr="001109DE" w:rsidR="006D74B7" w:rsidRDefault="001E1647" w14:paraId="658C5F3B" w14:textId="77777777">
      <w:pPr>
        <w:pStyle w:val="Prrafodelista"/>
        <w:numPr>
          <w:ilvl w:val="0"/>
          <w:numId w:val="1"/>
        </w:numPr>
        <w:tabs>
          <w:tab w:val="left" w:pos="556"/>
        </w:tabs>
        <w:ind w:hanging="256"/>
        <w:rPr>
          <w:b/>
        </w:rPr>
      </w:pPr>
      <w:r w:rsidRPr="001109DE">
        <w:rPr>
          <w:b/>
        </w:rPr>
        <w:t>Marco</w:t>
      </w:r>
      <w:r w:rsidRPr="001109DE">
        <w:rPr>
          <w:b/>
          <w:spacing w:val="-2"/>
        </w:rPr>
        <w:t xml:space="preserve"> </w:t>
      </w:r>
      <w:r w:rsidRPr="001109DE">
        <w:rPr>
          <w:b/>
        </w:rPr>
        <w:t>normativo</w:t>
      </w:r>
    </w:p>
    <w:p w:rsidRPr="001109DE" w:rsidR="006D74B7" w:rsidRDefault="006D74B7" w14:paraId="658C5F3C" w14:textId="77777777">
      <w:pPr>
        <w:pStyle w:val="Textoindependiente"/>
        <w:spacing w:before="7"/>
        <w:rPr>
          <w:b/>
          <w:sz w:val="28"/>
        </w:rPr>
      </w:pPr>
    </w:p>
    <w:p w:rsidRPr="001109DE" w:rsidR="006D74B7" w:rsidRDefault="001E1647" w14:paraId="658C5F3D" w14:textId="77777777">
      <w:pPr>
        <w:pStyle w:val="Textoindependiente"/>
        <w:spacing w:line="276" w:lineRule="auto"/>
        <w:ind w:left="300" w:right="301"/>
        <w:jc w:val="both"/>
      </w:pPr>
      <w:r w:rsidRPr="001109DE">
        <w:t xml:space="preserve">Para las adquisiciones, las entidades deben estructurar un procedimiento de contratación </w:t>
      </w:r>
      <w:r w:rsidRPr="001109DE">
        <w:lastRenderedPageBreak/>
        <w:t>que es reglado, es decir, el procedimiento no es discrecional, y se deben consultar las normas que rigen el procedimiento de contratación para determinar la forma que la Ley prevé para adelantarlo. Por consiguiente, las principales normas son: la Ley 80 de 1993, el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rsidRPr="001109DE" w:rsidR="006D74B7" w:rsidRDefault="006D74B7" w14:paraId="658C5F3E" w14:textId="77777777">
      <w:pPr>
        <w:pStyle w:val="Textoindependiente"/>
        <w:spacing w:before="3"/>
        <w:rPr>
          <w:sz w:val="25"/>
        </w:rPr>
      </w:pPr>
    </w:p>
    <w:p w:rsidRPr="001109DE" w:rsidR="006D74B7" w:rsidP="000B47E5" w:rsidRDefault="001E1647" w14:paraId="658C5F4D" w14:textId="1F77D8CD">
      <w:pPr>
        <w:pStyle w:val="Textoindependiente"/>
        <w:spacing w:before="1" w:line="276" w:lineRule="auto"/>
        <w:ind w:left="300" w:right="307"/>
        <w:jc w:val="both"/>
      </w:pPr>
      <w:r w:rsidRPr="001109DE">
        <w:t>El procedimiento de contratación también está definido en el Decreto 1082 de 2015 y comprende todos los pasos que realiza la entidad para adquirir los bienes que satisfacen su necesidad, cuyo inicio parte de lo que se denomina planear, y finaliza, dependiendo de lo</w:t>
      </w:r>
      <w:r w:rsidRPr="001109DE">
        <w:rPr>
          <w:spacing w:val="9"/>
        </w:rPr>
        <w:t xml:space="preserve"> </w:t>
      </w:r>
      <w:r w:rsidRPr="001109DE">
        <w:t>dispuesto</w:t>
      </w:r>
      <w:r w:rsidRPr="001109DE">
        <w:rPr>
          <w:spacing w:val="9"/>
        </w:rPr>
        <w:t xml:space="preserve"> </w:t>
      </w:r>
      <w:r w:rsidRPr="001109DE">
        <w:t>por</w:t>
      </w:r>
      <w:r w:rsidRPr="001109DE">
        <w:rPr>
          <w:spacing w:val="8"/>
        </w:rPr>
        <w:t xml:space="preserve"> </w:t>
      </w:r>
      <w:r w:rsidRPr="001109DE">
        <w:t>la</w:t>
      </w:r>
      <w:r w:rsidRPr="001109DE">
        <w:rPr>
          <w:spacing w:val="9"/>
        </w:rPr>
        <w:t xml:space="preserve"> </w:t>
      </w:r>
      <w:r w:rsidRPr="001109DE">
        <w:t>entidad,</w:t>
      </w:r>
      <w:r w:rsidRPr="001109DE">
        <w:rPr>
          <w:spacing w:val="9"/>
        </w:rPr>
        <w:t xml:space="preserve"> </w:t>
      </w:r>
      <w:r w:rsidRPr="001109DE">
        <w:t>en</w:t>
      </w:r>
      <w:r w:rsidRPr="001109DE">
        <w:rPr>
          <w:spacing w:val="9"/>
        </w:rPr>
        <w:t xml:space="preserve"> </w:t>
      </w:r>
      <w:r w:rsidRPr="001109DE">
        <w:t>el</w:t>
      </w:r>
      <w:r w:rsidRPr="001109DE">
        <w:rPr>
          <w:spacing w:val="10"/>
        </w:rPr>
        <w:t xml:space="preserve"> </w:t>
      </w:r>
      <w:r w:rsidRPr="001109DE">
        <w:t>contrato</w:t>
      </w:r>
      <w:r w:rsidRPr="001109DE" w:rsidR="000B47E5">
        <w:rPr>
          <w:rStyle w:val="Refdenotaalpie"/>
        </w:rPr>
        <w:footnoteReference w:id="4"/>
      </w:r>
      <w:r w:rsidRPr="001109DE">
        <w:t>.</w:t>
      </w:r>
      <w:r w:rsidRPr="001109DE">
        <w:rPr>
          <w:spacing w:val="8"/>
        </w:rPr>
        <w:t xml:space="preserve"> </w:t>
      </w:r>
      <w:r w:rsidRPr="001109DE">
        <w:t>Por</w:t>
      </w:r>
      <w:r w:rsidRPr="001109DE">
        <w:rPr>
          <w:spacing w:val="8"/>
        </w:rPr>
        <w:t xml:space="preserve"> </w:t>
      </w:r>
      <w:r w:rsidRPr="001109DE">
        <w:t>consiguiente,</w:t>
      </w:r>
      <w:r w:rsidRPr="001109DE">
        <w:rPr>
          <w:spacing w:val="9"/>
        </w:rPr>
        <w:t xml:space="preserve"> </w:t>
      </w:r>
      <w:r w:rsidRPr="001109DE">
        <w:t>para</w:t>
      </w:r>
      <w:r w:rsidRPr="001109DE">
        <w:rPr>
          <w:spacing w:val="8"/>
        </w:rPr>
        <w:t xml:space="preserve"> </w:t>
      </w:r>
      <w:r w:rsidRPr="001109DE">
        <w:t>que</w:t>
      </w:r>
      <w:r w:rsidRPr="001109DE">
        <w:rPr>
          <w:spacing w:val="9"/>
        </w:rPr>
        <w:t xml:space="preserve"> </w:t>
      </w:r>
      <w:r w:rsidRPr="001109DE">
        <w:t>los</w:t>
      </w:r>
      <w:r w:rsidRPr="001109DE">
        <w:rPr>
          <w:spacing w:val="9"/>
        </w:rPr>
        <w:t xml:space="preserve"> </w:t>
      </w:r>
      <w:r w:rsidRPr="001109DE">
        <w:t>documentos</w:t>
      </w:r>
      <w:r w:rsidRPr="001109DE">
        <w:rPr>
          <w:spacing w:val="9"/>
        </w:rPr>
        <w:t xml:space="preserve"> </w:t>
      </w:r>
      <w:r w:rsidRPr="001109DE">
        <w:t>de</w:t>
      </w:r>
      <w:r w:rsidRPr="001109DE" w:rsidR="000B47E5">
        <w:t xml:space="preserve"> </w:t>
      </w:r>
      <w:r w:rsidRPr="001109DE">
        <w:t>la actividad contractual se conozcan, la entidad debe publicarlos, sin importar la modalidad de selección utilizada.</w:t>
      </w:r>
    </w:p>
    <w:p w:rsidRPr="001109DE" w:rsidR="006D74B7" w:rsidRDefault="006D74B7" w14:paraId="658C5F4E" w14:textId="77777777">
      <w:pPr>
        <w:pStyle w:val="Textoindependiente"/>
        <w:spacing w:before="1"/>
        <w:rPr>
          <w:sz w:val="25"/>
        </w:rPr>
      </w:pPr>
    </w:p>
    <w:p w:rsidRPr="001109DE" w:rsidR="006D74B7" w:rsidRDefault="001E1647" w14:paraId="658C5F4F" w14:textId="7B3D3DEC">
      <w:pPr>
        <w:pStyle w:val="Textoindependiente"/>
        <w:spacing w:line="276" w:lineRule="auto"/>
        <w:ind w:left="300" w:right="304"/>
        <w:jc w:val="both"/>
      </w:pPr>
      <w:r w:rsidRPr="001109DE">
        <w:t>Sobre el deber de publicidad, el artículo 2.2.1.1.1.7.1. del Decreto 1082 de 2015 regula la publicidad en el SECOP, y el deber de las entidades de publicar en dicha plataforma los documentos que se derivan de la actividad contractual</w:t>
      </w:r>
      <w:r w:rsidRPr="001109DE" w:rsidR="000B47E5">
        <w:rPr>
          <w:rStyle w:val="Refdenotaalpie"/>
        </w:rPr>
        <w:footnoteReference w:id="5"/>
      </w:r>
      <w:r w:rsidRPr="001109DE">
        <w:t>, lo cual permite el control de las actuaciones y decisiones de la Administración y el cumplimiento de los demás principios de la contratación pública. Así lo confirma el Consejo de Estado, Sección Tercera, radicado 24.715, en la sentencia del 14 de diciembre de 2007, Consejera Ponente Ruth Stella Correa Palacio, que analizó el principio de</w:t>
      </w:r>
      <w:r w:rsidRPr="001109DE">
        <w:rPr>
          <w:spacing w:val="-11"/>
        </w:rPr>
        <w:t xml:space="preserve"> </w:t>
      </w:r>
      <w:r w:rsidRPr="001109DE">
        <w:t>publicidad:</w:t>
      </w:r>
    </w:p>
    <w:p w:rsidRPr="001109DE" w:rsidR="006D74B7" w:rsidRDefault="006D74B7" w14:paraId="658C5F50" w14:textId="77777777">
      <w:pPr>
        <w:pStyle w:val="Textoindependiente"/>
        <w:spacing w:before="1"/>
        <w:rPr>
          <w:sz w:val="25"/>
        </w:rPr>
      </w:pPr>
    </w:p>
    <w:p w:rsidRPr="001109DE" w:rsidR="006D74B7" w:rsidRDefault="001E1647" w14:paraId="658C5F51" w14:textId="77777777">
      <w:pPr>
        <w:ind w:left="1008" w:right="983"/>
        <w:jc w:val="both"/>
        <w:rPr>
          <w:sz w:val="21"/>
        </w:rPr>
      </w:pPr>
      <w:r w:rsidRPr="001109DE">
        <w:rPr>
          <w:sz w:val="21"/>
        </w:rPr>
        <w:lastRenderedPageBreak/>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rsidRPr="001109DE" w:rsidR="006D74B7" w:rsidRDefault="006D74B7" w14:paraId="658C5F52" w14:textId="77777777">
      <w:pPr>
        <w:pStyle w:val="Textoindependiente"/>
        <w:rPr>
          <w:sz w:val="21"/>
        </w:rPr>
      </w:pPr>
    </w:p>
    <w:p w:rsidRPr="001109DE" w:rsidR="006D74B7" w:rsidRDefault="001E1647" w14:paraId="658C5F53" w14:textId="77777777">
      <w:pPr>
        <w:spacing w:before="1"/>
        <w:ind w:left="1008" w:right="984"/>
        <w:jc w:val="both"/>
        <w:rPr>
          <w:sz w:val="21"/>
        </w:rPr>
      </w:pPr>
      <w:r w:rsidRPr="001109DE">
        <w:rPr>
          <w:sz w:val="21"/>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w:t>
      </w:r>
      <w:r w:rsidRPr="001109DE">
        <w:rPr>
          <w:spacing w:val="-22"/>
          <w:sz w:val="21"/>
        </w:rPr>
        <w:t xml:space="preserve"> </w:t>
      </w:r>
      <w:r w:rsidRPr="001109DE">
        <w:rPr>
          <w:sz w:val="21"/>
        </w:rPr>
        <w:t>Política).</w:t>
      </w:r>
    </w:p>
    <w:p w:rsidRPr="001109DE" w:rsidR="006D74B7" w:rsidRDefault="006D74B7" w14:paraId="658C5F54" w14:textId="77777777">
      <w:pPr>
        <w:pStyle w:val="Textoindependiente"/>
        <w:spacing w:before="1"/>
        <w:rPr>
          <w:sz w:val="21"/>
        </w:rPr>
      </w:pPr>
    </w:p>
    <w:p w:rsidRPr="001109DE" w:rsidR="006D74B7" w:rsidRDefault="001E1647" w14:paraId="658C5F55" w14:textId="77777777">
      <w:pPr>
        <w:spacing w:before="1"/>
        <w:ind w:left="1008" w:right="984"/>
        <w:jc w:val="both"/>
        <w:rPr>
          <w:sz w:val="21"/>
        </w:rPr>
      </w:pPr>
      <w:r w:rsidRPr="001109DE">
        <w:rPr>
          <w:sz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p>
    <w:p w:rsidRPr="001109DE" w:rsidR="006D74B7" w:rsidRDefault="006D74B7" w14:paraId="658C5F56" w14:textId="77777777">
      <w:pPr>
        <w:pStyle w:val="Textoindependiente"/>
        <w:rPr>
          <w:sz w:val="20"/>
        </w:rPr>
      </w:pPr>
    </w:p>
    <w:p w:rsidRPr="001109DE" w:rsidR="006D74B7" w:rsidRDefault="006D74B7" w14:paraId="658C5F57" w14:textId="77777777">
      <w:pPr>
        <w:pStyle w:val="Textoindependiente"/>
        <w:rPr>
          <w:sz w:val="20"/>
        </w:rPr>
      </w:pPr>
    </w:p>
    <w:p w:rsidRPr="001109DE" w:rsidR="006D74B7" w:rsidRDefault="001E1647" w14:paraId="658C5F5F" w14:textId="77777777">
      <w:pPr>
        <w:pStyle w:val="Ttulo1"/>
        <w:numPr>
          <w:ilvl w:val="0"/>
          <w:numId w:val="1"/>
        </w:numPr>
        <w:tabs>
          <w:tab w:val="left" w:pos="613"/>
        </w:tabs>
        <w:spacing w:before="93" w:line="278" w:lineRule="auto"/>
        <w:ind w:left="300" w:right="311" w:firstLine="0"/>
      </w:pPr>
      <w:r w:rsidRPr="001109DE">
        <w:t>Documentos que se deben publicar en el Sistema Electrónico de Contratación Pública –</w:t>
      </w:r>
      <w:r w:rsidRPr="001109DE">
        <w:rPr>
          <w:spacing w:val="-4"/>
        </w:rPr>
        <w:t xml:space="preserve"> </w:t>
      </w:r>
      <w:r w:rsidRPr="001109DE">
        <w:t>SECOP</w:t>
      </w:r>
    </w:p>
    <w:p w:rsidRPr="001109DE" w:rsidR="006D74B7" w:rsidRDefault="006D74B7" w14:paraId="658C5F60" w14:textId="77777777">
      <w:pPr>
        <w:pStyle w:val="Textoindependiente"/>
        <w:spacing w:before="1"/>
        <w:rPr>
          <w:b/>
          <w:sz w:val="25"/>
        </w:rPr>
      </w:pPr>
    </w:p>
    <w:p w:rsidRPr="001109DE" w:rsidR="006D74B7" w:rsidRDefault="001E1647" w14:paraId="658C5F61" w14:textId="0A6C62A1">
      <w:pPr>
        <w:pStyle w:val="Textoindependiente"/>
        <w:spacing w:line="276" w:lineRule="auto"/>
        <w:ind w:left="300" w:right="303"/>
        <w:jc w:val="both"/>
      </w:pPr>
      <w:r w:rsidRPr="001109DE">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1109DE" w:rsidR="000B47E5">
        <w:rPr>
          <w:rStyle w:val="Refdenotaalpie"/>
        </w:rPr>
        <w:footnoteReference w:id="6"/>
      </w:r>
      <w:r w:rsidRPr="001109DE">
        <w:t xml:space="preserve">. Este sistema debe contar con la </w:t>
      </w:r>
      <w:r w:rsidRPr="001109DE">
        <w:lastRenderedPageBreak/>
        <w:t>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rsidRPr="001109DE" w:rsidR="006D74B7" w:rsidRDefault="006D74B7" w14:paraId="658C5F62" w14:textId="77777777">
      <w:pPr>
        <w:pStyle w:val="Textoindependiente"/>
        <w:spacing w:before="3"/>
        <w:rPr>
          <w:sz w:val="25"/>
        </w:rPr>
      </w:pPr>
    </w:p>
    <w:p w:rsidRPr="001109DE" w:rsidR="006D74B7" w:rsidRDefault="001E1647" w14:paraId="658C5F63" w14:textId="77777777">
      <w:pPr>
        <w:pStyle w:val="Textoindependiente"/>
        <w:spacing w:line="276" w:lineRule="auto"/>
        <w:ind w:left="300" w:right="304"/>
        <w:jc w:val="both"/>
      </w:pPr>
      <w:r w:rsidRPr="001109DE">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rsidRPr="001109DE" w:rsidR="006D74B7" w:rsidRDefault="006D74B7" w14:paraId="658C5F64" w14:textId="77777777">
      <w:pPr>
        <w:pStyle w:val="Textoindependiente"/>
        <w:spacing w:before="4"/>
        <w:rPr>
          <w:sz w:val="25"/>
        </w:rPr>
      </w:pPr>
    </w:p>
    <w:p w:rsidRPr="001109DE" w:rsidR="006D74B7" w:rsidP="000B47E5" w:rsidRDefault="001E1647" w14:paraId="658C5F77" w14:textId="52774315">
      <w:pPr>
        <w:pStyle w:val="Textoindependiente"/>
        <w:spacing w:line="276" w:lineRule="auto"/>
        <w:ind w:left="300" w:right="306"/>
        <w:jc w:val="both"/>
      </w:pPr>
      <w:r w:rsidRPr="001109DE">
        <w:t>La Corte Constitucional, en la sentencia C-711 del 11 de marzo de 2011, Magistrado Ponente Mauricio Gonzáles Cuervo, hizo énfasis en la transición de la actividad contractual</w:t>
      </w:r>
      <w:r w:rsidRPr="001109DE" w:rsidR="000B47E5">
        <w:t xml:space="preserve"> </w:t>
      </w:r>
      <w:r w:rsidRPr="001109DE">
        <w:t>impresa que se publicaba en el Diario Único de Contratación, a una contratación pública electrónica desarrollada mediante el SECOP:</w:t>
      </w:r>
    </w:p>
    <w:p w:rsidRPr="001109DE" w:rsidR="006D74B7" w:rsidRDefault="006D74B7" w14:paraId="658C5F78" w14:textId="77777777">
      <w:pPr>
        <w:pStyle w:val="Textoindependiente"/>
        <w:rPr>
          <w:sz w:val="25"/>
        </w:rPr>
      </w:pPr>
    </w:p>
    <w:p w:rsidRPr="001109DE" w:rsidR="006D74B7" w:rsidRDefault="001E1647" w14:paraId="658C5F79" w14:textId="77777777">
      <w:pPr>
        <w:ind w:left="1008" w:right="984"/>
        <w:jc w:val="both"/>
        <w:rPr>
          <w:sz w:val="21"/>
        </w:rPr>
      </w:pPr>
      <w:r w:rsidRPr="001109DE">
        <w:rPr>
          <w:sz w:val="21"/>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1109DE">
        <w:rPr>
          <w:spacing w:val="-6"/>
          <w:sz w:val="21"/>
        </w:rPr>
        <w:t xml:space="preserve"> </w:t>
      </w:r>
      <w:r w:rsidRPr="001109DE">
        <w:rPr>
          <w:sz w:val="21"/>
        </w:rPr>
        <w:t>estatal.</w:t>
      </w:r>
    </w:p>
    <w:p w:rsidRPr="001109DE" w:rsidR="006D74B7" w:rsidRDefault="006D74B7" w14:paraId="658C5F7A" w14:textId="77777777">
      <w:pPr>
        <w:pStyle w:val="Textoindependiente"/>
        <w:spacing w:before="10"/>
        <w:rPr>
          <w:sz w:val="20"/>
        </w:rPr>
      </w:pPr>
    </w:p>
    <w:p w:rsidRPr="001109DE" w:rsidR="006D74B7" w:rsidRDefault="001E1647" w14:paraId="658C5F7B" w14:textId="77777777">
      <w:pPr>
        <w:spacing w:before="1"/>
        <w:ind w:left="1008" w:right="984"/>
        <w:jc w:val="both"/>
        <w:rPr>
          <w:sz w:val="21"/>
        </w:rPr>
      </w:pPr>
      <w:r w:rsidRPr="001109DE">
        <w:rPr>
          <w:sz w:val="21"/>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1109DE">
        <w:rPr>
          <w:spacing w:val="-3"/>
          <w:sz w:val="21"/>
        </w:rPr>
        <w:t xml:space="preserve">Y, </w:t>
      </w:r>
      <w:r w:rsidRPr="001109DE">
        <w:rPr>
          <w:sz w:val="21"/>
        </w:rPr>
        <w:t>de conteras, suple algunas de las limitaciones de las que adolecía el Diario Único de Contratación, en términos de cobertura geográfica, de cantidad de ejemplares y de posibilidad de acceso por parte de la</w:t>
      </w:r>
      <w:r w:rsidRPr="001109DE">
        <w:rPr>
          <w:spacing w:val="-4"/>
          <w:sz w:val="21"/>
        </w:rPr>
        <w:t xml:space="preserve"> </w:t>
      </w:r>
      <w:r w:rsidRPr="001109DE">
        <w:rPr>
          <w:sz w:val="21"/>
        </w:rPr>
        <w:t>ciudadanía.</w:t>
      </w:r>
    </w:p>
    <w:p w:rsidRPr="001109DE" w:rsidR="006D74B7" w:rsidRDefault="006D74B7" w14:paraId="658C5F7C" w14:textId="77777777">
      <w:pPr>
        <w:pStyle w:val="Textoindependiente"/>
        <w:spacing w:before="3"/>
        <w:rPr>
          <w:sz w:val="25"/>
        </w:rPr>
      </w:pPr>
    </w:p>
    <w:p w:rsidRPr="001109DE" w:rsidR="006D74B7" w:rsidRDefault="001E1647" w14:paraId="658C5F7D" w14:textId="723E89F9">
      <w:pPr>
        <w:pStyle w:val="Textoindependiente"/>
        <w:spacing w:before="1" w:line="276" w:lineRule="auto"/>
        <w:ind w:left="300" w:right="307"/>
        <w:jc w:val="both"/>
      </w:pPr>
      <w:r w:rsidRPr="001109DE">
        <w:lastRenderedPageBreak/>
        <w:t>El parágrafo 2 del artículo 2 de la Ley 1150 de 2007</w:t>
      </w:r>
      <w:r w:rsidRPr="001109DE" w:rsidR="00F84570">
        <w:rPr>
          <w:rStyle w:val="Refdenotaalpie"/>
        </w:rPr>
        <w:footnoteReference w:id="7"/>
      </w:r>
      <w:r w:rsidRPr="001109DE">
        <w:t xml:space="preserve"> y el artículo 2.2.1.1.1.3.1. del Decreto 1082 de 2015 definen cuáles son los documentos del procedimiento contractual que se deben publicar en el SECOP: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1109DE" w:rsidR="006D74B7" w:rsidRDefault="006D74B7" w14:paraId="658C5F7E" w14:textId="77777777">
      <w:pPr>
        <w:pStyle w:val="Textoindependiente"/>
        <w:rPr>
          <w:sz w:val="20"/>
        </w:rPr>
      </w:pPr>
    </w:p>
    <w:p w:rsidRPr="001109DE" w:rsidR="006D74B7" w:rsidRDefault="001E1647" w14:paraId="658C5F8B" w14:textId="77777777">
      <w:pPr>
        <w:pStyle w:val="Textoindependiente"/>
        <w:spacing w:before="93" w:line="276" w:lineRule="auto"/>
        <w:ind w:left="300" w:right="303"/>
        <w:jc w:val="both"/>
      </w:pPr>
      <w:r w:rsidRPr="001109DE">
        <w:t>En ese sentido, la norma no hace un listado taxativo de los documentos de la actividad contractual de la entidad que se deben publicar en el SECOP, sino que el listado es enunciativo, por dos (2) razones: i) Es necesario realizar una interpretación armónica de las disposiciones de la Ley 1150 de 2007 y del Decreto 1082 de 2015 citadas, ya que se deben publicar todos los actos expedidos en el procedimiento contractual; y ii) el colofón del artículo 2.2.1.1.1.3.1. del Decreto 1082 de 2015 citado señala que los documentos que expide la entidad deben publicarse en el SECOP, lo cual amplía los documentos señalados por la norma, e incluye cualquier acto relacionado, como el informe de supervisión que, al dar cuenta de la ejecución del contrato, puede incluir los contratos celebrados por el contratista, que hacen parte de la ejecución del contrato adjudicado, lo cual es una etapa del procedimiento de</w:t>
      </w:r>
      <w:r w:rsidRPr="001109DE">
        <w:rPr>
          <w:spacing w:val="-3"/>
        </w:rPr>
        <w:t xml:space="preserve"> </w:t>
      </w:r>
      <w:r w:rsidRPr="001109DE">
        <w:t>contratación.</w:t>
      </w:r>
    </w:p>
    <w:p w:rsidRPr="001109DE" w:rsidR="006D74B7" w:rsidRDefault="006D74B7" w14:paraId="658C5F8C" w14:textId="77777777">
      <w:pPr>
        <w:pStyle w:val="Textoindependiente"/>
        <w:spacing w:before="6"/>
        <w:rPr>
          <w:sz w:val="25"/>
        </w:rPr>
      </w:pPr>
    </w:p>
    <w:p w:rsidRPr="001109DE" w:rsidR="006D74B7" w:rsidRDefault="001E1647" w14:paraId="658C5F8D" w14:textId="77777777">
      <w:pPr>
        <w:pStyle w:val="Ttulo1"/>
        <w:numPr>
          <w:ilvl w:val="0"/>
          <w:numId w:val="2"/>
        </w:numPr>
        <w:tabs>
          <w:tab w:val="left" w:pos="544"/>
        </w:tabs>
        <w:ind w:hanging="244"/>
      </w:pPr>
      <w:r w:rsidRPr="001109DE">
        <w:t>Respuesta</w:t>
      </w:r>
    </w:p>
    <w:p w:rsidRPr="001109DE" w:rsidR="006D74B7" w:rsidRDefault="006D74B7" w14:paraId="658C5F8E" w14:textId="77777777">
      <w:pPr>
        <w:pStyle w:val="Textoindependiente"/>
        <w:spacing w:before="7"/>
        <w:rPr>
          <w:b/>
          <w:sz w:val="28"/>
        </w:rPr>
      </w:pPr>
    </w:p>
    <w:p w:rsidRPr="001109DE" w:rsidR="006D74B7" w:rsidRDefault="001E1647" w14:paraId="658C5F8F" w14:textId="77777777">
      <w:pPr>
        <w:pStyle w:val="Textoindependiente"/>
        <w:spacing w:line="276" w:lineRule="auto"/>
        <w:ind w:left="300" w:right="304"/>
        <w:jc w:val="both"/>
      </w:pPr>
      <w:r w:rsidRPr="001109DE">
        <w:t>La obligatoriedad de publicar en el SECOP las actuaciones contractuales de las entidades es un principio del artículo 24 de la Ley 80 de 1993, norma que aplica a las entidades relacionadas en el artículo 2 de la ley citada. Por ende, se deben publicar los documentos relacionados con sus procedimientos contractuales, que según el artículo 2.2.1.1.1.3.1. del Decreto 1082 de 2015 incluyen los documentos expedidos por la entidad en el desarrollo de esa actividad, como el informe de supervisión del contrato que puede contener los contratos celebrados por el contratista para ejecutar lo</w:t>
      </w:r>
      <w:r w:rsidRPr="001109DE">
        <w:rPr>
          <w:spacing w:val="-12"/>
        </w:rPr>
        <w:t xml:space="preserve"> </w:t>
      </w:r>
      <w:r w:rsidRPr="001109DE">
        <w:t>pactado.</w:t>
      </w:r>
    </w:p>
    <w:p w:rsidRPr="001109DE" w:rsidR="006D74B7" w:rsidRDefault="006D74B7" w14:paraId="658C5F90" w14:textId="77777777">
      <w:pPr>
        <w:pStyle w:val="Textoindependiente"/>
        <w:rPr>
          <w:sz w:val="24"/>
        </w:rPr>
      </w:pPr>
    </w:p>
    <w:p w:rsidRPr="001109DE" w:rsidR="006D74B7" w:rsidRDefault="006D74B7" w14:paraId="658C5F91" w14:textId="77777777">
      <w:pPr>
        <w:pStyle w:val="Textoindependiente"/>
        <w:spacing w:before="7"/>
        <w:rPr>
          <w:sz w:val="26"/>
        </w:rPr>
      </w:pPr>
    </w:p>
    <w:p w:rsidRPr="001109DE" w:rsidR="006D74B7" w:rsidRDefault="001E1647" w14:paraId="658C5F92" w14:textId="77777777">
      <w:pPr>
        <w:pStyle w:val="Textoindependiente"/>
        <w:spacing w:line="276" w:lineRule="auto"/>
        <w:ind w:left="300" w:right="312"/>
        <w:jc w:val="both"/>
      </w:pPr>
      <w:r w:rsidRPr="001109DE">
        <w:t>Este concepto tiene el alcance previsto en el artículo 28 del Código de Procedimiento Administrativo y de lo Contencioso Administrativo.</w:t>
      </w:r>
    </w:p>
    <w:p w:rsidRPr="001109DE" w:rsidR="006D74B7" w:rsidRDefault="00541068" w14:paraId="658C5F93" w14:textId="77777777">
      <w:pPr>
        <w:pStyle w:val="Textoindependiente"/>
        <w:spacing w:before="9"/>
      </w:pPr>
      <w:r w:rsidRPr="001109DE">
        <w:rPr>
          <w:noProof/>
          <w:lang w:val="en-US"/>
        </w:rPr>
        <mc:AlternateContent>
          <mc:Choice Requires="wps">
            <w:drawing>
              <wp:anchor distT="0" distB="0" distL="0" distR="0" simplePos="0" relativeHeight="487590912" behindDoc="1" locked="0" layoutInCell="1" allowOverlap="1" wp14:anchorId="658C5FA4" wp14:editId="658C5FA5">
                <wp:simplePos x="0" y="0"/>
                <wp:positionH relativeFrom="page">
                  <wp:posOffset>1514475</wp:posOffset>
                </wp:positionH>
                <wp:positionV relativeFrom="paragraph">
                  <wp:posOffset>196215</wp:posOffset>
                </wp:positionV>
                <wp:extent cx="4686300"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Freeform 2" style="position:absolute;margin-left:119.25pt;margin-top:15.4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" w14:anchorId="1D6F3F4E">
                <v:path arrowok="t" o:connecttype="custom" o:connectlocs="0,0;4686300,0" o:connectangles="0,0"/>
                <w10:wrap type="topAndBottom" anchorx="page"/>
              </v:shape>
            </w:pict>
          </mc:Fallback>
        </mc:AlternateContent>
      </w:r>
    </w:p>
    <w:p w:rsidRPr="001109DE" w:rsidR="006D74B7" w:rsidRDefault="006D74B7" w14:paraId="658C5F94" w14:textId="77777777">
      <w:pPr>
        <w:pStyle w:val="Textoindependiente"/>
        <w:spacing w:before="4"/>
        <w:rPr>
          <w:sz w:val="20"/>
        </w:rPr>
      </w:pPr>
    </w:p>
    <w:p w:rsidRPr="001109DE" w:rsidR="006D74B7" w:rsidRDefault="001E1647" w14:paraId="658C5F95" w14:textId="77777777">
      <w:pPr>
        <w:pStyle w:val="Textoindependiente"/>
        <w:ind w:left="300"/>
      </w:pPr>
      <w:r w:rsidRPr="001109DE">
        <w:t>Atentamente,</w:t>
      </w:r>
    </w:p>
    <w:p w:rsidRPr="009D5D6D" w:rsidR="00C4102D" w:rsidP="00C4102D" w:rsidRDefault="00C4102D" w14:paraId="34061D89" w14:textId="77777777">
      <w:pPr>
        <w:pStyle w:val="Textoindependiente"/>
        <w:jc w:val="center"/>
      </w:pPr>
      <w:r w:rsidR="00C4102D">
        <w:drawing>
          <wp:inline wp14:editId="0A209327" wp14:anchorId="5F556A2D">
            <wp:extent cx="2773144" cy="988695"/>
            <wp:effectExtent l="0" t="0" r="0" b="0"/>
            <wp:docPr id="534344871" name="Imagen 20" title=""/>
            <wp:cNvGraphicFramePr>
              <a:graphicFrameLocks noChangeAspect="1"/>
            </wp:cNvGraphicFramePr>
            <a:graphic>
              <a:graphicData uri="http://schemas.openxmlformats.org/drawingml/2006/picture">
                <pic:pic>
                  <pic:nvPicPr>
                    <pic:cNvPr id="0" name="Imagen 20"/>
                    <pic:cNvPicPr/>
                  </pic:nvPicPr>
                  <pic:blipFill>
                    <a:blip r:embed="Rd0c29c2a57a149e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C4102D" w:rsidR="006D74B7" w:rsidP="00C4102D" w:rsidRDefault="001E1647" w14:paraId="658C5F97" w14:textId="77777777">
      <w:pPr>
        <w:pStyle w:val="Textoindependiente"/>
        <w:ind w:left="300"/>
      </w:pPr>
      <w:bookmarkStart w:name="_GoBack" w:id="1"/>
      <w:bookmarkEnd w:id="1"/>
      <w:r w:rsidRPr="00C4102D">
        <w:t>Proyectó: Ximena Ríos López</w:t>
      </w:r>
    </w:p>
    <w:sectPr w:rsidRPr="00C4102D" w:rsidR="006D74B7">
      <w:headerReference w:type="default" r:id="rId12"/>
      <w:footerReference w:type="default" r:id="rId13"/>
      <w:pgSz w:w="12240" w:h="15840" w:orient="portrait"/>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3E7" w:rsidRDefault="006B03E7" w14:paraId="38905D6C" w14:textId="77777777">
      <w:r>
        <w:separator/>
      </w:r>
    </w:p>
  </w:endnote>
  <w:endnote w:type="continuationSeparator" w:id="0">
    <w:p w:rsidR="006B03E7" w:rsidRDefault="006B03E7" w14:paraId="25C8AB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D74B7" w:rsidRDefault="001E1647" w14:paraId="658C5FB1" w14:textId="77777777">
    <w:pPr>
      <w:pStyle w:val="Textoindependiente"/>
      <w:spacing w:line="14" w:lineRule="auto"/>
      <w:rPr>
        <w:sz w:val="20"/>
      </w:rPr>
    </w:pPr>
    <w:r>
      <w:rPr>
        <w:noProof/>
        <w:lang w:val="en-US"/>
      </w:rPr>
      <w:drawing>
        <wp:anchor distT="0" distB="0" distL="0" distR="0" simplePos="0" relativeHeight="251659776" behindDoc="1" locked="0" layoutInCell="1" allowOverlap="1" wp14:anchorId="658C5FBE" wp14:editId="658C5FBF">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120"/>
                  </a:xfrm>
                  <a:prstGeom prst="rect">
                    <a:avLst/>
                  </a:prstGeom>
                </pic:spPr>
              </pic:pic>
            </a:graphicData>
          </a:graphic>
        </wp:anchor>
      </w:drawing>
    </w:r>
    <w:r w:rsidR="293CD458">
      <w:rPr/>
      <w:t/>
    </w:r>
    <w:r w:rsidR="330CD56A">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3E7" w:rsidRDefault="006B03E7" w14:paraId="709E18A6" w14:textId="77777777">
      <w:r>
        <w:separator/>
      </w:r>
    </w:p>
  </w:footnote>
  <w:footnote w:type="continuationSeparator" w:id="0">
    <w:p w:rsidR="006B03E7" w:rsidRDefault="006B03E7" w14:paraId="224C2CF0" w14:textId="77777777">
      <w:r>
        <w:continuationSeparator/>
      </w:r>
    </w:p>
  </w:footnote>
  <w:footnote w:id="1">
    <w:p w:rsidR="00F35953" w:rsidP="00F35953" w:rsidRDefault="00F35953" w14:paraId="240741B4" w14:textId="77777777">
      <w:pPr>
        <w:spacing w:before="73"/>
        <w:ind w:left="300" w:right="313" w:firstLine="707"/>
        <w:jc w:val="both"/>
        <w:rPr>
          <w:sz w:val="18"/>
        </w:rPr>
      </w:pPr>
      <w:r>
        <w:rPr>
          <w:rStyle w:val="Refdenotaalpie"/>
        </w:rPr>
        <w:footnoteRef/>
      </w:r>
      <w:r>
        <w:t xml:space="preserve"> </w:t>
      </w:r>
      <w:r>
        <w:rPr>
          <w:sz w:val="18"/>
        </w:rPr>
        <w:t>Ley 80 de 1993: “Artículo 2. De la definición de entidades, servidores y servicios públicos. Para los solos efectos de esta ley:</w:t>
      </w:r>
    </w:p>
    <w:p w:rsidR="00F35953" w:rsidP="00F35953" w:rsidRDefault="00F35953" w14:paraId="4570654A" w14:textId="77777777">
      <w:pPr>
        <w:pStyle w:val="Textoindependiente"/>
        <w:spacing w:before="1"/>
        <w:rPr>
          <w:sz w:val="18"/>
        </w:rPr>
      </w:pPr>
    </w:p>
    <w:p w:rsidR="00F35953" w:rsidP="00F35953" w:rsidRDefault="00F35953" w14:paraId="03EAABFE" w14:textId="77777777">
      <w:pPr>
        <w:spacing w:before="1"/>
        <w:ind w:left="300"/>
        <w:jc w:val="both"/>
        <w:rPr>
          <w:sz w:val="18"/>
        </w:rPr>
      </w:pPr>
      <w:r>
        <w:rPr>
          <w:sz w:val="18"/>
        </w:rPr>
        <w:t>“1. Se denominan entidades estatales:</w:t>
      </w:r>
    </w:p>
    <w:p w:rsidR="00F35953" w:rsidP="00F35953" w:rsidRDefault="00F35953" w14:paraId="5CD4D629" w14:textId="77777777">
      <w:pPr>
        <w:pStyle w:val="Textoindependiente"/>
        <w:spacing w:before="10"/>
        <w:rPr>
          <w:sz w:val="17"/>
        </w:rPr>
      </w:pPr>
    </w:p>
    <w:p w:rsidR="00F35953" w:rsidP="00F35953" w:rsidRDefault="00F35953" w14:paraId="6C28C725" w14:textId="77777777">
      <w:pPr>
        <w:ind w:left="300" w:right="306"/>
        <w:jc w:val="both"/>
        <w:rPr>
          <w:sz w:val="18"/>
        </w:rPr>
      </w:pPr>
      <w:r>
        <w:rPr>
          <w:sz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00F35953" w:rsidP="00F35953" w:rsidRDefault="00F35953" w14:paraId="736CD7FD" w14:textId="77777777">
      <w:pPr>
        <w:pStyle w:val="Textoindependiente"/>
        <w:spacing w:before="1"/>
        <w:rPr>
          <w:sz w:val="18"/>
        </w:rPr>
      </w:pPr>
    </w:p>
    <w:p w:rsidR="00F35953" w:rsidP="00F35953" w:rsidRDefault="00F35953" w14:paraId="31A7075D" w14:textId="77777777">
      <w:pPr>
        <w:ind w:left="300" w:right="308"/>
        <w:jc w:val="both"/>
        <w:rPr>
          <w:sz w:val="18"/>
        </w:rPr>
      </w:pPr>
      <w:r>
        <w:rPr>
          <w:sz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Pr>
          <w:spacing w:val="-5"/>
          <w:sz w:val="18"/>
        </w:rPr>
        <w:t xml:space="preserve"> </w:t>
      </w:r>
      <w:r>
        <w:rPr>
          <w:sz w:val="18"/>
        </w:rPr>
        <w:t>los</w:t>
      </w:r>
      <w:r>
        <w:rPr>
          <w:spacing w:val="-4"/>
          <w:sz w:val="18"/>
        </w:rPr>
        <w:t xml:space="preserve"> </w:t>
      </w:r>
      <w:r>
        <w:rPr>
          <w:sz w:val="18"/>
        </w:rPr>
        <w:t>organismos</w:t>
      </w:r>
      <w:r>
        <w:rPr>
          <w:spacing w:val="-4"/>
          <w:sz w:val="18"/>
        </w:rPr>
        <w:t xml:space="preserve"> </w:t>
      </w:r>
      <w:r>
        <w:rPr>
          <w:sz w:val="18"/>
        </w:rPr>
        <w:t>o</w:t>
      </w:r>
      <w:r>
        <w:rPr>
          <w:spacing w:val="-5"/>
          <w:sz w:val="18"/>
        </w:rPr>
        <w:t xml:space="preserve"> </w:t>
      </w:r>
      <w:r>
        <w:rPr>
          <w:sz w:val="18"/>
        </w:rPr>
        <w:t>dependencias</w:t>
      </w:r>
      <w:r>
        <w:rPr>
          <w:spacing w:val="-4"/>
          <w:sz w:val="18"/>
        </w:rPr>
        <w:t xml:space="preserve"> </w:t>
      </w:r>
      <w:r>
        <w:rPr>
          <w:sz w:val="18"/>
        </w:rPr>
        <w:t>del</w:t>
      </w:r>
      <w:r>
        <w:rPr>
          <w:spacing w:val="-5"/>
          <w:sz w:val="18"/>
        </w:rPr>
        <w:t xml:space="preserve"> </w:t>
      </w:r>
      <w:r>
        <w:rPr>
          <w:sz w:val="18"/>
        </w:rPr>
        <w:t>Estado</w:t>
      </w:r>
      <w:r>
        <w:rPr>
          <w:spacing w:val="-4"/>
          <w:sz w:val="18"/>
        </w:rPr>
        <w:t xml:space="preserve"> </w:t>
      </w:r>
      <w:r>
        <w:rPr>
          <w:sz w:val="18"/>
        </w:rPr>
        <w:t>a</w:t>
      </w:r>
      <w:r>
        <w:rPr>
          <w:spacing w:val="-5"/>
          <w:sz w:val="18"/>
        </w:rPr>
        <w:t xml:space="preserve"> </w:t>
      </w:r>
      <w:r>
        <w:rPr>
          <w:sz w:val="18"/>
        </w:rPr>
        <w:t>los</w:t>
      </w:r>
      <w:r>
        <w:rPr>
          <w:spacing w:val="-4"/>
          <w:sz w:val="18"/>
        </w:rPr>
        <w:t xml:space="preserve"> </w:t>
      </w:r>
      <w:r>
        <w:rPr>
          <w:sz w:val="18"/>
        </w:rPr>
        <w:t>que</w:t>
      </w:r>
      <w:r>
        <w:rPr>
          <w:spacing w:val="-5"/>
          <w:sz w:val="18"/>
        </w:rPr>
        <w:t xml:space="preserve"> </w:t>
      </w:r>
      <w:r>
        <w:rPr>
          <w:sz w:val="18"/>
        </w:rPr>
        <w:t>la</w:t>
      </w:r>
      <w:r>
        <w:rPr>
          <w:spacing w:val="-4"/>
          <w:sz w:val="18"/>
        </w:rPr>
        <w:t xml:space="preserve"> </w:t>
      </w:r>
      <w:r>
        <w:rPr>
          <w:sz w:val="18"/>
        </w:rPr>
        <w:t>ley</w:t>
      </w:r>
      <w:r>
        <w:rPr>
          <w:spacing w:val="-6"/>
          <w:sz w:val="18"/>
        </w:rPr>
        <w:t xml:space="preserve"> </w:t>
      </w:r>
      <w:r>
        <w:rPr>
          <w:sz w:val="18"/>
        </w:rPr>
        <w:t>otorgue</w:t>
      </w:r>
      <w:r>
        <w:rPr>
          <w:spacing w:val="-5"/>
          <w:sz w:val="18"/>
        </w:rPr>
        <w:t xml:space="preserve"> </w:t>
      </w:r>
      <w:r>
        <w:rPr>
          <w:sz w:val="18"/>
        </w:rPr>
        <w:t>capacidad</w:t>
      </w:r>
      <w:r>
        <w:rPr>
          <w:spacing w:val="-4"/>
          <w:sz w:val="18"/>
        </w:rPr>
        <w:t xml:space="preserve"> </w:t>
      </w:r>
      <w:r>
        <w:rPr>
          <w:sz w:val="18"/>
        </w:rPr>
        <w:t>para</w:t>
      </w:r>
      <w:r>
        <w:rPr>
          <w:spacing w:val="-5"/>
          <w:sz w:val="18"/>
        </w:rPr>
        <w:t xml:space="preserve"> </w:t>
      </w:r>
      <w:r>
        <w:rPr>
          <w:sz w:val="18"/>
        </w:rPr>
        <w:t>celebrar</w:t>
      </w:r>
      <w:r>
        <w:rPr>
          <w:spacing w:val="-4"/>
          <w:sz w:val="18"/>
        </w:rPr>
        <w:t xml:space="preserve"> </w:t>
      </w:r>
      <w:r>
        <w:rPr>
          <w:sz w:val="18"/>
        </w:rPr>
        <w:t>contratos”.</w:t>
      </w:r>
    </w:p>
    <w:p w:rsidRPr="00F35953" w:rsidR="00F35953" w:rsidRDefault="00F35953" w14:paraId="54000F14" w14:textId="7B526C07">
      <w:pPr>
        <w:pStyle w:val="Textonotapie"/>
      </w:pPr>
    </w:p>
  </w:footnote>
  <w:footnote w:id="2">
    <w:p w:rsidRPr="00615370" w:rsidR="00615370" w:rsidP="003948D8" w:rsidRDefault="004D709B" w14:paraId="0F2B0B8A" w14:textId="4F49D587">
      <w:pPr>
        <w:pStyle w:val="Textonotapie"/>
        <w:ind w:left="284" w:right="326" w:firstLine="436"/>
        <w:jc w:val="both"/>
        <w:rPr>
          <w:sz w:val="18"/>
          <w:szCs w:val="18"/>
        </w:rPr>
      </w:pPr>
      <w:r w:rsidRPr="00615370">
        <w:rPr>
          <w:rStyle w:val="Refdenotaalpie"/>
          <w:sz w:val="18"/>
          <w:szCs w:val="18"/>
        </w:rPr>
        <w:footnoteRef/>
      </w:r>
      <w:r w:rsidRPr="00615370" w:rsidR="00615370">
        <w:rPr>
          <w:sz w:val="18"/>
          <w:szCs w:val="18"/>
        </w:rPr>
        <w:t xml:space="preserve">  </w:t>
      </w:r>
      <w:bookmarkStart w:name="_Hlk40436633" w:id="0"/>
      <w:r w:rsidRPr="00615370" w:rsidR="00615370">
        <w:rPr>
          <w:sz w:val="18"/>
          <w:szCs w:val="18"/>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0"/>
    </w:p>
    <w:p w:rsidRPr="004D709B" w:rsidR="004D709B" w:rsidRDefault="004D709B" w14:paraId="47212BE9" w14:textId="7CE58305">
      <w:pPr>
        <w:pStyle w:val="Textonotapie"/>
        <w:rPr>
          <w:lang w:val="es-CO"/>
        </w:rPr>
      </w:pPr>
    </w:p>
  </w:footnote>
  <w:footnote w:id="3">
    <w:p w:rsidR="00615370" w:rsidP="003948D8" w:rsidRDefault="00615370" w14:paraId="6A538D65" w14:textId="2AB9FEE1">
      <w:pPr>
        <w:spacing w:before="1"/>
        <w:ind w:left="300" w:right="326" w:firstLine="420"/>
        <w:rPr>
          <w:sz w:val="18"/>
        </w:rPr>
      </w:pPr>
      <w:r>
        <w:rPr>
          <w:rStyle w:val="Refdenotaalpie"/>
        </w:rPr>
        <w:footnoteRef/>
      </w:r>
      <w:r>
        <w:t xml:space="preserve"> </w:t>
      </w:r>
      <w:r>
        <w:rPr>
          <w:sz w:val="18"/>
        </w:rPr>
        <w:t>Ley 80 de 1993: “Articulo 24. Del principio de transparencia. En virtud de este principio: “1. &lt;Numeral</w:t>
      </w:r>
      <w:r w:rsidR="003948D8">
        <w:rPr>
          <w:sz w:val="18"/>
        </w:rPr>
        <w:t xml:space="preserve"> d</w:t>
      </w:r>
      <w:r>
        <w:rPr>
          <w:sz w:val="18"/>
        </w:rPr>
        <w:t>erogado por el artículo 32 de la Ley 1150 de 2007&gt;</w:t>
      </w:r>
    </w:p>
    <w:p w:rsidR="003948D8" w:rsidP="003948D8" w:rsidRDefault="003948D8" w14:paraId="3C73BAF5" w14:textId="77777777">
      <w:pPr>
        <w:spacing w:before="1"/>
        <w:ind w:left="300" w:right="326" w:hanging="16"/>
        <w:rPr>
          <w:sz w:val="18"/>
        </w:rPr>
      </w:pPr>
    </w:p>
    <w:p w:rsidR="00615370" w:rsidP="00615370" w:rsidRDefault="00615370" w14:paraId="22644185" w14:textId="77777777">
      <w:pPr>
        <w:ind w:left="300" w:right="326" w:hanging="16"/>
        <w:jc w:val="both"/>
        <w:rPr>
          <w:sz w:val="18"/>
        </w:rPr>
      </w:pPr>
      <w:r>
        <w:rPr>
          <w:sz w:val="18"/>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rsidR="00615370" w:rsidP="00615370" w:rsidRDefault="00615370" w14:paraId="7B325F62" w14:textId="77777777">
      <w:pPr>
        <w:pStyle w:val="Textoindependiente"/>
        <w:spacing w:before="6"/>
        <w:ind w:right="326" w:hanging="16"/>
        <w:rPr>
          <w:sz w:val="17"/>
        </w:rPr>
      </w:pPr>
    </w:p>
    <w:p w:rsidR="00615370" w:rsidP="00615370" w:rsidRDefault="00615370" w14:paraId="56822B29" w14:textId="75440523">
      <w:pPr>
        <w:ind w:left="300" w:right="326" w:hanging="16"/>
        <w:jc w:val="both"/>
        <w:rPr>
          <w:sz w:val="18"/>
        </w:rPr>
      </w:pPr>
      <w:r>
        <w:rPr>
          <w:sz w:val="18"/>
        </w:rPr>
        <w:t>“3. Las actuaciones de las autoridades serán públicas y los expedientes que las contengan estarán abiertos al público, permitiendo en el caso de licitación el ejercicio del derecho de que trata el artículo 273 de la Constitución Política.</w:t>
      </w:r>
    </w:p>
    <w:p w:rsidR="000B47E5" w:rsidP="000B47E5" w:rsidRDefault="000B47E5" w14:paraId="0F88EFEA" w14:textId="19DA482D">
      <w:pPr>
        <w:spacing w:before="94"/>
        <w:ind w:left="300" w:right="309"/>
        <w:jc w:val="both"/>
        <w:rPr>
          <w:sz w:val="18"/>
        </w:rPr>
      </w:pPr>
      <w:r>
        <w:rPr>
          <w:sz w:val="18"/>
        </w:rPr>
        <w:t>“4. Las autoridades expedirán a costa de aquellas personas que demuestren interés legítimo, copias de las actuaciones y propuestas recibidas, respetando la reserva de que gocen legalmente las patentes, procedimientos y privilegios. (...)”.</w:t>
      </w:r>
    </w:p>
    <w:p w:rsidR="000B47E5" w:rsidP="00615370" w:rsidRDefault="000B47E5" w14:paraId="4D860F78" w14:textId="77777777">
      <w:pPr>
        <w:ind w:left="300" w:right="326" w:hanging="16"/>
        <w:jc w:val="both"/>
        <w:rPr>
          <w:sz w:val="18"/>
        </w:rPr>
      </w:pPr>
    </w:p>
    <w:p w:rsidRPr="00615370" w:rsidR="00615370" w:rsidRDefault="00615370" w14:paraId="618E9F52" w14:textId="348B9803">
      <w:pPr>
        <w:pStyle w:val="Textonotapie"/>
      </w:pPr>
    </w:p>
  </w:footnote>
  <w:footnote w:id="4">
    <w:p w:rsidR="000B47E5" w:rsidP="000B47E5" w:rsidRDefault="000B47E5" w14:paraId="1ACE8FA9" w14:textId="77777777">
      <w:pPr>
        <w:ind w:left="300" w:right="306" w:firstLine="707"/>
        <w:jc w:val="both"/>
        <w:rPr>
          <w:sz w:val="18"/>
        </w:rPr>
      </w:pPr>
      <w:r>
        <w:rPr>
          <w:rStyle w:val="Refdenotaalpie"/>
        </w:rPr>
        <w:footnoteRef/>
      </w:r>
      <w:r>
        <w:t xml:space="preserve"> </w:t>
      </w:r>
      <w:r>
        <w:rPr>
          <w:sz w:val="18"/>
        </w:rPr>
        <w:t>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Pr>
          <w:spacing w:val="-14"/>
          <w:sz w:val="18"/>
        </w:rPr>
        <w:t xml:space="preserve"> </w:t>
      </w:r>
      <w:r>
        <w:rPr>
          <w:sz w:val="18"/>
        </w:rPr>
        <w:t>utilizados.</w:t>
      </w:r>
    </w:p>
    <w:p w:rsidR="000B47E5" w:rsidP="000B47E5" w:rsidRDefault="000B47E5" w14:paraId="016A0916" w14:textId="77777777">
      <w:pPr>
        <w:spacing w:line="205" w:lineRule="exact"/>
        <w:ind w:left="300"/>
        <w:rPr>
          <w:sz w:val="18"/>
        </w:rPr>
      </w:pPr>
      <w:r>
        <w:rPr>
          <w:sz w:val="18"/>
        </w:rPr>
        <w:t>“(...)</w:t>
      </w:r>
    </w:p>
    <w:p w:rsidR="000B47E5" w:rsidP="000B47E5" w:rsidRDefault="000B47E5" w14:paraId="5BEB376E" w14:textId="77777777">
      <w:pPr>
        <w:pStyle w:val="Textoindependiente"/>
        <w:spacing w:before="1"/>
        <w:rPr>
          <w:sz w:val="18"/>
        </w:rPr>
      </w:pPr>
    </w:p>
    <w:p w:rsidR="000B47E5" w:rsidP="000B47E5" w:rsidRDefault="000B47E5" w14:paraId="69BA57C4" w14:textId="77777777">
      <w:pPr>
        <w:ind w:left="300" w:right="312"/>
        <w:jc w:val="both"/>
        <w:rPr>
          <w:sz w:val="18"/>
        </w:rPr>
      </w:pPr>
      <w:r>
        <w:rPr>
          <w:sz w:val="18"/>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rsidR="000B47E5" w:rsidP="000B47E5" w:rsidRDefault="000B47E5" w14:paraId="2CC5F995" w14:textId="77777777">
      <w:pPr>
        <w:spacing w:line="206" w:lineRule="exact"/>
        <w:ind w:left="300"/>
        <w:rPr>
          <w:sz w:val="18"/>
        </w:rPr>
      </w:pPr>
      <w:r>
        <w:rPr>
          <w:sz w:val="18"/>
        </w:rPr>
        <w:t>(...)”.</w:t>
      </w:r>
    </w:p>
    <w:p w:rsidRPr="000B47E5" w:rsidR="000B47E5" w:rsidRDefault="000B47E5" w14:paraId="2FCD4101" w14:textId="69271146">
      <w:pPr>
        <w:pStyle w:val="Textonotapie"/>
        <w:rPr>
          <w:lang w:val="es-CO"/>
        </w:rPr>
      </w:pPr>
    </w:p>
  </w:footnote>
  <w:footnote w:id="5">
    <w:p w:rsidR="000B47E5" w:rsidP="000B47E5" w:rsidRDefault="000B47E5" w14:paraId="7E0E5A86" w14:textId="77777777">
      <w:pPr>
        <w:spacing w:before="73"/>
        <w:ind w:left="300" w:right="309" w:firstLine="707"/>
        <w:jc w:val="both"/>
        <w:rPr>
          <w:sz w:val="18"/>
        </w:rPr>
      </w:pPr>
      <w:r>
        <w:rPr>
          <w:rStyle w:val="Refdenotaalpie"/>
        </w:rPr>
        <w:footnoteRef/>
      </w:r>
      <w:r>
        <w:t xml:space="preserve"> </w:t>
      </w:r>
      <w:r>
        <w:rPr>
          <w:sz w:val="18"/>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000B47E5" w:rsidP="000B47E5" w:rsidRDefault="000B47E5" w14:paraId="07B3C430" w14:textId="77777777">
      <w:pPr>
        <w:pStyle w:val="Textoindependiente"/>
        <w:rPr>
          <w:sz w:val="18"/>
        </w:rPr>
      </w:pPr>
    </w:p>
    <w:p w:rsidR="000B47E5" w:rsidP="000B47E5" w:rsidRDefault="000B47E5" w14:paraId="167A2282" w14:textId="77777777">
      <w:pPr>
        <w:spacing w:before="1"/>
        <w:ind w:left="300" w:right="303"/>
        <w:jc w:val="both"/>
        <w:rPr>
          <w:sz w:val="18"/>
        </w:rPr>
      </w:pPr>
      <w:r>
        <w:rPr>
          <w:sz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Pr>
          <w:spacing w:val="-18"/>
          <w:sz w:val="18"/>
        </w:rPr>
        <w:t xml:space="preserve"> </w:t>
      </w:r>
      <w:r>
        <w:rPr>
          <w:sz w:val="18"/>
        </w:rPr>
        <w:t>decreto”.</w:t>
      </w:r>
    </w:p>
    <w:p w:rsidRPr="000B47E5" w:rsidR="000B47E5" w:rsidRDefault="000B47E5" w14:paraId="777D8B81" w14:textId="77D9EAB7">
      <w:pPr>
        <w:pStyle w:val="Textonotapie"/>
      </w:pPr>
    </w:p>
  </w:footnote>
  <w:footnote w:id="6">
    <w:p w:rsidR="000B47E5" w:rsidP="000B47E5" w:rsidRDefault="000B47E5" w14:paraId="63974A58" w14:textId="77777777">
      <w:pPr>
        <w:spacing w:before="76"/>
        <w:ind w:left="300" w:right="305" w:firstLine="707"/>
        <w:jc w:val="both"/>
        <w:rPr>
          <w:sz w:val="18"/>
        </w:rPr>
      </w:pPr>
      <w:r>
        <w:rPr>
          <w:rStyle w:val="Refdenotaalpie"/>
        </w:rPr>
        <w:footnoteRef/>
      </w:r>
      <w:r>
        <w:t xml:space="preserve"> </w:t>
      </w:r>
      <w:r>
        <w:rPr>
          <w:sz w:val="18"/>
        </w:rPr>
        <w:t>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Pr>
          <w:spacing w:val="-3"/>
          <w:sz w:val="18"/>
        </w:rPr>
        <w:t xml:space="preserve"> </w:t>
      </w:r>
      <w:r>
        <w:rPr>
          <w:sz w:val="18"/>
        </w:rPr>
        <w:t>Nacional.</w:t>
      </w:r>
    </w:p>
    <w:p w:rsidR="000B47E5" w:rsidP="000B47E5" w:rsidRDefault="000B47E5" w14:paraId="3E0C0163" w14:textId="77777777">
      <w:pPr>
        <w:pStyle w:val="Textoindependiente"/>
        <w:spacing w:before="11"/>
        <w:rPr>
          <w:sz w:val="17"/>
        </w:rPr>
      </w:pPr>
    </w:p>
    <w:p w:rsidR="000B47E5" w:rsidP="000B47E5" w:rsidRDefault="000B47E5" w14:paraId="6D9E109F" w14:textId="77777777">
      <w:pPr>
        <w:ind w:left="300"/>
        <w:jc w:val="both"/>
        <w:rPr>
          <w:sz w:val="18"/>
        </w:rPr>
      </w:pPr>
      <w:r>
        <w:rPr>
          <w:sz w:val="18"/>
        </w:rPr>
        <w:t>“Lo anterior, sin perjuicio de las publicaciones previstas en el numeral 3 del artículo 30 de la Ley 80 de 1993.</w:t>
      </w:r>
    </w:p>
    <w:p w:rsidR="000B47E5" w:rsidP="000B47E5" w:rsidRDefault="000B47E5" w14:paraId="63F0A5E9" w14:textId="77777777">
      <w:pPr>
        <w:pStyle w:val="Textoindependiente"/>
        <w:spacing w:before="1"/>
        <w:rPr>
          <w:sz w:val="18"/>
        </w:rPr>
      </w:pPr>
    </w:p>
    <w:p w:rsidR="000B47E5" w:rsidP="000B47E5" w:rsidRDefault="000B47E5" w14:paraId="2219C91E" w14:textId="77777777">
      <w:pPr>
        <w:ind w:left="300" w:right="309"/>
        <w:jc w:val="both"/>
        <w:rPr>
          <w:sz w:val="18"/>
        </w:rPr>
      </w:pPr>
      <w:r>
        <w:rPr>
          <w:sz w:val="18"/>
        </w:rPr>
        <w:t>“Con el fin de materializar los objetivos a que se refiere el inciso anterior, el Gobierno Nacional desarrollará el Sistema Electrónico para la Contratación Pública, Secop, el cual:</w:t>
      </w:r>
    </w:p>
    <w:p w:rsidR="000B47E5" w:rsidP="000B47E5" w:rsidRDefault="000B47E5" w14:paraId="524545D6" w14:textId="77777777">
      <w:pPr>
        <w:pStyle w:val="Textoindependiente"/>
        <w:spacing w:before="10"/>
        <w:rPr>
          <w:sz w:val="17"/>
        </w:rPr>
      </w:pPr>
    </w:p>
    <w:p w:rsidR="000B47E5" w:rsidP="000B47E5" w:rsidRDefault="000B47E5" w14:paraId="4694F696" w14:textId="77777777">
      <w:pPr>
        <w:ind w:left="300" w:right="310"/>
        <w:jc w:val="both"/>
        <w:rPr>
          <w:sz w:val="18"/>
        </w:rPr>
      </w:pPr>
      <w:r>
        <w:rPr>
          <w:sz w:val="18"/>
        </w:rPr>
        <w:t>“a) Dispondrá de las funcionalidades tecnológicas para realizar procesos de contratación electrónicos bajo los métodos de selección señalados en el artículo 2o de la presente ley según lo defina el reglamento;</w:t>
      </w:r>
    </w:p>
    <w:p w:rsidR="000B47E5" w:rsidP="000B47E5" w:rsidRDefault="000B47E5" w14:paraId="5BC4BC25" w14:textId="77777777">
      <w:pPr>
        <w:pStyle w:val="Textoindependiente"/>
        <w:rPr>
          <w:sz w:val="18"/>
        </w:rPr>
      </w:pPr>
    </w:p>
    <w:p w:rsidR="000B47E5" w:rsidP="000B47E5" w:rsidRDefault="000B47E5" w14:paraId="2572C79C" w14:textId="77777777">
      <w:pPr>
        <w:ind w:left="300" w:right="310"/>
        <w:jc w:val="both"/>
        <w:rPr>
          <w:sz w:val="18"/>
        </w:rPr>
      </w:pPr>
      <w:r>
        <w:rPr>
          <w:sz w:val="18"/>
        </w:rPr>
        <w:t>“b) Servirá de punto único de ingreso de información y de generación de reportes para las entidades estatales y la ciudadanía;</w:t>
      </w:r>
    </w:p>
    <w:p w:rsidR="000B47E5" w:rsidP="000B47E5" w:rsidRDefault="000B47E5" w14:paraId="3F60824A" w14:textId="77777777">
      <w:pPr>
        <w:pStyle w:val="Textoindependiente"/>
        <w:spacing w:before="1"/>
        <w:rPr>
          <w:sz w:val="18"/>
        </w:rPr>
      </w:pPr>
    </w:p>
    <w:p w:rsidR="000B47E5" w:rsidP="000B47E5" w:rsidRDefault="000B47E5" w14:paraId="747329D2" w14:textId="77777777">
      <w:pPr>
        <w:ind w:left="300" w:right="314"/>
        <w:jc w:val="both"/>
        <w:rPr>
          <w:sz w:val="18"/>
        </w:rPr>
      </w:pPr>
      <w:r>
        <w:rPr>
          <w:sz w:val="18"/>
        </w:rPr>
        <w:t>“c) Contará con la información oficial de la contratación realizada con dineros públicos, para lo cual establecerá los patrones a que haya lugar y se encargará de su difusión a través de canales electrónicos y;</w:t>
      </w:r>
    </w:p>
    <w:p w:rsidR="000B47E5" w:rsidP="000B47E5" w:rsidRDefault="000B47E5" w14:paraId="01184E6F" w14:textId="77777777">
      <w:pPr>
        <w:pStyle w:val="Textoindependiente"/>
        <w:spacing w:before="11"/>
        <w:rPr>
          <w:sz w:val="17"/>
        </w:rPr>
      </w:pPr>
    </w:p>
    <w:p w:rsidR="000B47E5" w:rsidP="000B47E5" w:rsidRDefault="000B47E5" w14:paraId="1C85B698" w14:textId="77777777">
      <w:pPr>
        <w:ind w:left="300" w:right="305"/>
        <w:jc w:val="both"/>
        <w:rPr>
          <w:sz w:val="18"/>
        </w:rPr>
      </w:pPr>
      <w:r>
        <w:rPr>
          <w:sz w:val="18"/>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0B47E5" w:rsidR="000B47E5" w:rsidRDefault="000B47E5" w14:paraId="7B107A2D" w14:textId="2C08AB10">
      <w:pPr>
        <w:pStyle w:val="Textonotapie"/>
      </w:pPr>
    </w:p>
  </w:footnote>
  <w:footnote w:id="7">
    <w:p w:rsidR="00F84570" w:rsidP="00F84570" w:rsidRDefault="00F84570" w14:paraId="66AB3F10" w14:textId="77777777">
      <w:pPr>
        <w:spacing w:before="73"/>
        <w:ind w:left="1008"/>
        <w:rPr>
          <w:sz w:val="18"/>
        </w:rPr>
      </w:pPr>
      <w:r>
        <w:rPr>
          <w:rStyle w:val="Refdenotaalpie"/>
        </w:rPr>
        <w:footnoteRef/>
      </w:r>
      <w:r>
        <w:t xml:space="preserve"> </w:t>
      </w:r>
      <w:r>
        <w:rPr>
          <w:sz w:val="18"/>
        </w:rPr>
        <w:t>Ley 1150 de 2007: “Artículo 2.</w:t>
      </w:r>
    </w:p>
    <w:p w:rsidR="00F84570" w:rsidP="00F84570" w:rsidRDefault="00F84570" w14:paraId="529F2C77" w14:textId="77777777">
      <w:pPr>
        <w:spacing w:before="1"/>
        <w:ind w:left="300"/>
        <w:rPr>
          <w:sz w:val="18"/>
        </w:rPr>
      </w:pPr>
      <w:r>
        <w:rPr>
          <w:sz w:val="18"/>
        </w:rPr>
        <w:t>(...)</w:t>
      </w:r>
    </w:p>
    <w:p w:rsidR="00F84570" w:rsidP="00F84570" w:rsidRDefault="00F84570" w14:paraId="3F79C166" w14:textId="77777777">
      <w:pPr>
        <w:pStyle w:val="Textoindependiente"/>
        <w:spacing w:before="7"/>
        <w:rPr>
          <w:sz w:val="9"/>
        </w:rPr>
      </w:pPr>
    </w:p>
    <w:p w:rsidR="00F84570" w:rsidP="00F84570" w:rsidRDefault="00F84570" w14:paraId="3CFD3CAC" w14:textId="77777777">
      <w:pPr>
        <w:spacing w:before="94"/>
        <w:ind w:left="300" w:right="308"/>
        <w:jc w:val="both"/>
        <w:rPr>
          <w:sz w:val="18"/>
        </w:rPr>
      </w:pPr>
      <w:r>
        <w:rPr>
          <w:sz w:val="18"/>
        </w:rPr>
        <w:t>“Parágrafo 2. El procedimiento aplicable para la ejecución de cada una de las causales a que se refiere el numeral 2o del presente artículo, deberá observar los principios de transparencia, economía, responsabilidad y las siguientes reglas:</w:t>
      </w:r>
    </w:p>
    <w:p w:rsidR="00F84570" w:rsidP="00F84570" w:rsidRDefault="00F84570" w14:paraId="5A0D6B6C" w14:textId="77777777">
      <w:pPr>
        <w:pStyle w:val="Textoindependiente"/>
        <w:rPr>
          <w:sz w:val="18"/>
        </w:rPr>
      </w:pPr>
    </w:p>
    <w:p w:rsidR="00F84570" w:rsidP="00F84570" w:rsidRDefault="00F84570" w14:paraId="4FDEFF60" w14:textId="77777777">
      <w:pPr>
        <w:ind w:left="300"/>
        <w:jc w:val="both"/>
        <w:rPr>
          <w:sz w:val="18"/>
        </w:rPr>
      </w:pPr>
      <w:r>
        <w:rPr>
          <w:sz w:val="18"/>
        </w:rPr>
        <w:t>“1. Se dará publicidad a todos los procedimientos y actos.</w:t>
      </w:r>
    </w:p>
    <w:p w:rsidRPr="00F84570" w:rsidR="00F84570" w:rsidRDefault="00F84570" w14:paraId="6440179B" w14:textId="0563F499">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D74B7" w:rsidRDefault="001E1647" w14:paraId="658C5FB0" w14:textId="77777777">
    <w:pPr>
      <w:pStyle w:val="Textoindependiente"/>
      <w:spacing w:line="14" w:lineRule="auto"/>
      <w:rPr>
        <w:sz w:val="20"/>
      </w:rPr>
    </w:pPr>
    <w:r>
      <w:rPr>
        <w:noProof/>
        <w:lang w:val="en-US"/>
      </w:rPr>
      <w:drawing>
        <wp:anchor distT="0" distB="0" distL="0" distR="0" simplePos="0" relativeHeight="251658752" behindDoc="1" locked="0" layoutInCell="1" allowOverlap="1" wp14:anchorId="658C5FBC" wp14:editId="658C5FBD">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r w:rsidR="293CD458">
      <w:rPr/>
      <w:t/>
    </w:r>
    <w:r w:rsidR="330CD56A">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D58EC"/>
    <w:multiLevelType w:val="multilevel"/>
    <w:tmpl w:val="51A22B1A"/>
    <w:lvl w:ilvl="0">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start w:val="1"/>
      <w:numFmt w:val="decimal"/>
      <w:lvlText w:val="%1.%2."/>
      <w:lvlJc w:val="left"/>
      <w:pPr>
        <w:ind w:left="728" w:hanging="428"/>
        <w:jc w:val="left"/>
      </w:pPr>
      <w:rPr>
        <w:rFonts w:hint="default" w:ascii="Arial" w:hAnsi="Arial" w:eastAsia="Arial" w:cs="Arial"/>
        <w:b/>
        <w:bCs/>
        <w:spacing w:val="-2"/>
        <w:w w:val="100"/>
        <w:sz w:val="22"/>
        <w:szCs w:val="22"/>
        <w:lang w:val="es-ES" w:eastAsia="en-US" w:bidi="ar-SA"/>
      </w:rPr>
    </w:lvl>
    <w:lvl w:ilvl="2">
      <w:numFmt w:val="bullet"/>
      <w:lvlText w:val="•"/>
      <w:lvlJc w:val="left"/>
      <w:pPr>
        <w:ind w:left="1700" w:hanging="428"/>
      </w:pPr>
      <w:rPr>
        <w:rFonts w:hint="default"/>
        <w:lang w:val="es-ES" w:eastAsia="en-US" w:bidi="ar-SA"/>
      </w:rPr>
    </w:lvl>
    <w:lvl w:ilvl="3">
      <w:numFmt w:val="bullet"/>
      <w:lvlText w:val="•"/>
      <w:lvlJc w:val="left"/>
      <w:pPr>
        <w:ind w:left="2680" w:hanging="428"/>
      </w:pPr>
      <w:rPr>
        <w:rFonts w:hint="default"/>
        <w:lang w:val="es-ES" w:eastAsia="en-US" w:bidi="ar-SA"/>
      </w:rPr>
    </w:lvl>
    <w:lvl w:ilvl="4">
      <w:numFmt w:val="bullet"/>
      <w:lvlText w:val="•"/>
      <w:lvlJc w:val="left"/>
      <w:pPr>
        <w:ind w:left="3660" w:hanging="428"/>
      </w:pPr>
      <w:rPr>
        <w:rFonts w:hint="default"/>
        <w:lang w:val="es-ES" w:eastAsia="en-US" w:bidi="ar-SA"/>
      </w:rPr>
    </w:lvl>
    <w:lvl w:ilvl="5">
      <w:numFmt w:val="bullet"/>
      <w:lvlText w:val="•"/>
      <w:lvlJc w:val="left"/>
      <w:pPr>
        <w:ind w:left="4640" w:hanging="428"/>
      </w:pPr>
      <w:rPr>
        <w:rFonts w:hint="default"/>
        <w:lang w:val="es-ES" w:eastAsia="en-US" w:bidi="ar-SA"/>
      </w:rPr>
    </w:lvl>
    <w:lvl w:ilvl="6">
      <w:numFmt w:val="bullet"/>
      <w:lvlText w:val="•"/>
      <w:lvlJc w:val="left"/>
      <w:pPr>
        <w:ind w:left="5620" w:hanging="428"/>
      </w:pPr>
      <w:rPr>
        <w:rFonts w:hint="default"/>
        <w:lang w:val="es-ES" w:eastAsia="en-US" w:bidi="ar-SA"/>
      </w:rPr>
    </w:lvl>
    <w:lvl w:ilvl="7">
      <w:numFmt w:val="bullet"/>
      <w:lvlText w:val="•"/>
      <w:lvlJc w:val="left"/>
      <w:pPr>
        <w:ind w:left="6600" w:hanging="428"/>
      </w:pPr>
      <w:rPr>
        <w:rFonts w:hint="default"/>
        <w:lang w:val="es-ES" w:eastAsia="en-US" w:bidi="ar-SA"/>
      </w:rPr>
    </w:lvl>
    <w:lvl w:ilvl="8">
      <w:numFmt w:val="bullet"/>
      <w:lvlText w:val="•"/>
      <w:lvlJc w:val="left"/>
      <w:pPr>
        <w:ind w:left="7580" w:hanging="428"/>
      </w:pPr>
      <w:rPr>
        <w:rFonts w:hint="default"/>
        <w:lang w:val="es-ES" w:eastAsia="en-US" w:bidi="ar-SA"/>
      </w:rPr>
    </w:lvl>
  </w:abstractNum>
  <w:abstractNum w:abstractNumId="1" w15:restartNumberingAfterBreak="0">
    <w:nsid w:val="6BEB731B"/>
    <w:multiLevelType w:val="hybridMultilevel"/>
    <w:tmpl w:val="5BAC283E"/>
    <w:lvl w:ilvl="0" w:tplc="24CCF18E">
      <w:start w:val="1"/>
      <w:numFmt w:val="lowerLetter"/>
      <w:lvlText w:val="%1)"/>
      <w:lvlJc w:val="left"/>
      <w:pPr>
        <w:ind w:left="555" w:hanging="255"/>
        <w:jc w:val="left"/>
      </w:pPr>
      <w:rPr>
        <w:rFonts w:hint="default" w:ascii="Arial" w:hAnsi="Arial" w:eastAsia="Arial" w:cs="Arial"/>
        <w:b/>
        <w:bCs/>
        <w:spacing w:val="-1"/>
        <w:w w:val="100"/>
        <w:sz w:val="22"/>
        <w:szCs w:val="22"/>
        <w:lang w:val="es-ES" w:eastAsia="en-US" w:bidi="ar-SA"/>
      </w:rPr>
    </w:lvl>
    <w:lvl w:ilvl="1" w:tplc="5CA836AC">
      <w:numFmt w:val="bullet"/>
      <w:lvlText w:val="•"/>
      <w:lvlJc w:val="left"/>
      <w:pPr>
        <w:ind w:left="1458" w:hanging="255"/>
      </w:pPr>
      <w:rPr>
        <w:rFonts w:hint="default"/>
        <w:lang w:val="es-ES" w:eastAsia="en-US" w:bidi="ar-SA"/>
      </w:rPr>
    </w:lvl>
    <w:lvl w:ilvl="2" w:tplc="D5605412">
      <w:numFmt w:val="bullet"/>
      <w:lvlText w:val="•"/>
      <w:lvlJc w:val="left"/>
      <w:pPr>
        <w:ind w:left="2356" w:hanging="255"/>
      </w:pPr>
      <w:rPr>
        <w:rFonts w:hint="default"/>
        <w:lang w:val="es-ES" w:eastAsia="en-US" w:bidi="ar-SA"/>
      </w:rPr>
    </w:lvl>
    <w:lvl w:ilvl="3" w:tplc="9A6456BA">
      <w:numFmt w:val="bullet"/>
      <w:lvlText w:val="•"/>
      <w:lvlJc w:val="left"/>
      <w:pPr>
        <w:ind w:left="3254" w:hanging="255"/>
      </w:pPr>
      <w:rPr>
        <w:rFonts w:hint="default"/>
        <w:lang w:val="es-ES" w:eastAsia="en-US" w:bidi="ar-SA"/>
      </w:rPr>
    </w:lvl>
    <w:lvl w:ilvl="4" w:tplc="9AD8D76A">
      <w:numFmt w:val="bullet"/>
      <w:lvlText w:val="•"/>
      <w:lvlJc w:val="left"/>
      <w:pPr>
        <w:ind w:left="4152" w:hanging="255"/>
      </w:pPr>
      <w:rPr>
        <w:rFonts w:hint="default"/>
        <w:lang w:val="es-ES" w:eastAsia="en-US" w:bidi="ar-SA"/>
      </w:rPr>
    </w:lvl>
    <w:lvl w:ilvl="5" w:tplc="AE7E9A82">
      <w:numFmt w:val="bullet"/>
      <w:lvlText w:val="•"/>
      <w:lvlJc w:val="left"/>
      <w:pPr>
        <w:ind w:left="5050" w:hanging="255"/>
      </w:pPr>
      <w:rPr>
        <w:rFonts w:hint="default"/>
        <w:lang w:val="es-ES" w:eastAsia="en-US" w:bidi="ar-SA"/>
      </w:rPr>
    </w:lvl>
    <w:lvl w:ilvl="6" w:tplc="F6723F7E">
      <w:numFmt w:val="bullet"/>
      <w:lvlText w:val="•"/>
      <w:lvlJc w:val="left"/>
      <w:pPr>
        <w:ind w:left="5948" w:hanging="255"/>
      </w:pPr>
      <w:rPr>
        <w:rFonts w:hint="default"/>
        <w:lang w:val="es-ES" w:eastAsia="en-US" w:bidi="ar-SA"/>
      </w:rPr>
    </w:lvl>
    <w:lvl w:ilvl="7" w:tplc="2138E968">
      <w:numFmt w:val="bullet"/>
      <w:lvlText w:val="•"/>
      <w:lvlJc w:val="left"/>
      <w:pPr>
        <w:ind w:left="6846" w:hanging="255"/>
      </w:pPr>
      <w:rPr>
        <w:rFonts w:hint="default"/>
        <w:lang w:val="es-ES" w:eastAsia="en-US" w:bidi="ar-SA"/>
      </w:rPr>
    </w:lvl>
    <w:lvl w:ilvl="8" w:tplc="D73816CA">
      <w:numFmt w:val="bullet"/>
      <w:lvlText w:val="•"/>
      <w:lvlJc w:val="left"/>
      <w:pPr>
        <w:ind w:left="7744" w:hanging="25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4B7"/>
    <w:rsid w:val="000B47E5"/>
    <w:rsid w:val="00107E73"/>
    <w:rsid w:val="001109DE"/>
    <w:rsid w:val="001E1647"/>
    <w:rsid w:val="003948D8"/>
    <w:rsid w:val="004D709B"/>
    <w:rsid w:val="00541068"/>
    <w:rsid w:val="005524C5"/>
    <w:rsid w:val="00615370"/>
    <w:rsid w:val="006B03E7"/>
    <w:rsid w:val="006D74B7"/>
    <w:rsid w:val="0081624E"/>
    <w:rsid w:val="0084156D"/>
    <w:rsid w:val="008C4677"/>
    <w:rsid w:val="00906369"/>
    <w:rsid w:val="00A60440"/>
    <w:rsid w:val="00BD3920"/>
    <w:rsid w:val="00C4102D"/>
    <w:rsid w:val="00F17B66"/>
    <w:rsid w:val="00F35953"/>
    <w:rsid w:val="00F84570"/>
    <w:rsid w:val="0A9273FC"/>
    <w:rsid w:val="1E91EE1C"/>
    <w:rsid w:val="293CD458"/>
    <w:rsid w:val="330CD56A"/>
    <w:rsid w:val="5F647DFD"/>
    <w:rsid w:val="6A088F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8C5EE4"/>
  <w15:docId w15:val="{96290CBC-C355-47D3-AF50-812C6107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F35953"/>
    <w:rPr>
      <w:sz w:val="20"/>
      <w:szCs w:val="20"/>
    </w:rPr>
  </w:style>
  <w:style w:type="character" w:styleId="TextonotapieCar" w:customStyle="1">
    <w:name w:val="Texto nota pie Car"/>
    <w:basedOn w:val="Fuentedeprrafopredeter"/>
    <w:link w:val="Textonotapie"/>
    <w:uiPriority w:val="99"/>
    <w:semiHidden/>
    <w:rsid w:val="00F35953"/>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359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d0c29c2a57a149e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9DD90-E89D-4DBF-B604-BFC524BB053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445C9FC-BABA-4C8F-8C4E-8F53DFE949A6}">
  <ds:schemaRefs>
    <ds:schemaRef ds:uri="http://schemas.microsoft.com/sharepoint/v3/contenttype/forms"/>
  </ds:schemaRefs>
</ds:datastoreItem>
</file>

<file path=customXml/itemProps3.xml><?xml version="1.0" encoding="utf-8"?>
<ds:datastoreItem xmlns:ds="http://schemas.openxmlformats.org/officeDocument/2006/customXml" ds:itemID="{6095285B-4BA6-4EF6-88D6-9D82D7E0B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9C9402-A336-4773-A04C-DB7EE805813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17</revision>
  <dcterms:created xsi:type="dcterms:W3CDTF">2020-04-02T21:53:00.0000000Z</dcterms:created>
  <dcterms:modified xsi:type="dcterms:W3CDTF">2020-07-29T19:45:59.3318077Z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