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E007E9" w14:textId="77777777" w:rsidR="00BC13E9" w:rsidRPr="006C0EC6" w:rsidRDefault="00BC13E9" w:rsidP="00FE78CC">
      <w:pPr>
        <w:spacing w:after="12"/>
        <w:ind w:left="180"/>
        <w:rPr>
          <w:sz w:val="20"/>
        </w:rPr>
      </w:pPr>
    </w:p>
    <w:p w14:paraId="6E9C504E" w14:textId="58A56B8E" w:rsidR="00BC13E9" w:rsidRPr="006C0EC6" w:rsidRDefault="00BC13E9" w:rsidP="006C0EC6">
      <w:pPr>
        <w:pStyle w:val="Textoindependiente"/>
        <w:ind w:left="180"/>
        <w:jc w:val="both"/>
        <w:rPr>
          <w:b/>
          <w:bCs/>
        </w:rPr>
      </w:pPr>
      <w:r w:rsidRPr="5DB0664C">
        <w:rPr>
          <w:b/>
          <w:bCs/>
        </w:rPr>
        <w:t>SEGURIDAD SOCIAL –</w:t>
      </w:r>
      <w:r w:rsidR="00DF7D92">
        <w:rPr>
          <w:b/>
          <w:bCs/>
        </w:rPr>
        <w:t xml:space="preserve"> Pago </w:t>
      </w:r>
      <w:r w:rsidR="00DF7D92" w:rsidRPr="5DB0664C">
        <w:rPr>
          <w:b/>
          <w:bCs/>
        </w:rPr>
        <w:t>–</w:t>
      </w:r>
      <w:r w:rsidRPr="5DB0664C">
        <w:rPr>
          <w:b/>
          <w:bCs/>
        </w:rPr>
        <w:t xml:space="preserve"> Normativa</w:t>
      </w:r>
    </w:p>
    <w:p w14:paraId="7DC1B84B" w14:textId="77777777" w:rsidR="00BC13E9" w:rsidRPr="006C0EC6" w:rsidRDefault="00BC13E9" w:rsidP="00FE78CC">
      <w:pPr>
        <w:spacing w:after="12"/>
        <w:jc w:val="both"/>
        <w:rPr>
          <w:sz w:val="21"/>
          <w:szCs w:val="21"/>
        </w:rPr>
      </w:pPr>
    </w:p>
    <w:p w14:paraId="0BC80E1C" w14:textId="2B76A9B3" w:rsidR="00BC13E9" w:rsidRPr="006C0EC6" w:rsidRDefault="00BC13E9" w:rsidP="006C0EC6">
      <w:pPr>
        <w:pStyle w:val="Textoindependiente"/>
        <w:ind w:left="180"/>
        <w:jc w:val="both"/>
        <w:rPr>
          <w:sz w:val="20"/>
          <w:szCs w:val="20"/>
        </w:rPr>
      </w:pPr>
      <w:r w:rsidRPr="006C0EC6">
        <w:rPr>
          <w:sz w:val="20"/>
          <w:szCs w:val="20"/>
        </w:rPr>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 cotizar</w:t>
      </w:r>
      <w:r w:rsidR="00FE78CC" w:rsidRPr="006C0EC6">
        <w:rPr>
          <w:sz w:val="20"/>
          <w:szCs w:val="20"/>
        </w:rPr>
        <w:t xml:space="preserve">. </w:t>
      </w:r>
    </w:p>
    <w:p w14:paraId="14D1FB33" w14:textId="77777777" w:rsidR="00BC13E9" w:rsidRPr="006C0EC6" w:rsidRDefault="00BC13E9" w:rsidP="00FE78CC">
      <w:pPr>
        <w:spacing w:after="12"/>
        <w:jc w:val="both"/>
        <w:rPr>
          <w:sz w:val="20"/>
          <w:szCs w:val="20"/>
        </w:rPr>
      </w:pPr>
    </w:p>
    <w:p w14:paraId="569EA1C0" w14:textId="04A85DB8" w:rsidR="00BC13E9" w:rsidRPr="006C0EC6" w:rsidRDefault="272AA3D9" w:rsidP="006C0EC6">
      <w:pPr>
        <w:pStyle w:val="Textoindependiente"/>
        <w:ind w:left="180"/>
        <w:jc w:val="both"/>
        <w:rPr>
          <w:b/>
          <w:bCs/>
        </w:rPr>
      </w:pPr>
      <w:r w:rsidRPr="5DB0664C">
        <w:rPr>
          <w:b/>
          <w:bCs/>
        </w:rPr>
        <w:t>SEGURIDAD SOCIAL</w:t>
      </w:r>
      <w:r w:rsidR="00BC13E9" w:rsidRPr="5DB0664C">
        <w:rPr>
          <w:b/>
          <w:bCs/>
        </w:rPr>
        <w:t xml:space="preserve"> – Pago – Acreditación </w:t>
      </w:r>
      <w:r w:rsidR="1989E434" w:rsidRPr="5DB0664C">
        <w:rPr>
          <w:b/>
          <w:bCs/>
        </w:rPr>
        <w:t>– P</w:t>
      </w:r>
      <w:r w:rsidR="00BC13E9" w:rsidRPr="5DB0664C">
        <w:rPr>
          <w:b/>
          <w:bCs/>
        </w:rPr>
        <w:t xml:space="preserve">ersona jurídica </w:t>
      </w:r>
    </w:p>
    <w:p w14:paraId="1EB034DE" w14:textId="77777777" w:rsidR="00BC13E9" w:rsidRPr="006C0EC6" w:rsidRDefault="00BC13E9" w:rsidP="00FE78CC">
      <w:pPr>
        <w:spacing w:after="12"/>
        <w:jc w:val="both"/>
        <w:rPr>
          <w:sz w:val="21"/>
          <w:szCs w:val="21"/>
        </w:rPr>
      </w:pPr>
    </w:p>
    <w:p w14:paraId="68E8F4A0" w14:textId="32F4DAA0" w:rsidR="00BC13E9" w:rsidRPr="006C0EC6" w:rsidRDefault="00FE78CC" w:rsidP="006C0EC6">
      <w:pPr>
        <w:pStyle w:val="Textoindependiente"/>
        <w:ind w:left="180"/>
        <w:jc w:val="both"/>
        <w:rPr>
          <w:sz w:val="20"/>
          <w:szCs w:val="20"/>
        </w:rPr>
      </w:pPr>
      <w:r w:rsidRPr="006C0EC6">
        <w:rPr>
          <w:sz w:val="20"/>
          <w:szCs w:val="20"/>
        </w:rPr>
        <w:t>L</w:t>
      </w:r>
      <w:r w:rsidR="00BC13E9" w:rsidRPr="006C0EC6">
        <w:rPr>
          <w:sz w:val="20"/>
          <w:szCs w:val="20"/>
        </w:rPr>
        <w:t>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4BFD7F02" w14:textId="77777777" w:rsidR="00BC13E9" w:rsidRPr="006C0EC6" w:rsidRDefault="00BC13E9" w:rsidP="00FE78CC">
      <w:pPr>
        <w:spacing w:after="12"/>
        <w:jc w:val="both"/>
        <w:rPr>
          <w:sz w:val="21"/>
          <w:szCs w:val="21"/>
        </w:rPr>
      </w:pPr>
    </w:p>
    <w:p w14:paraId="56FE443F" w14:textId="77777777" w:rsidR="00BC13E9" w:rsidRPr="006C0EC6" w:rsidRDefault="00BC13E9" w:rsidP="006C0EC6">
      <w:pPr>
        <w:pStyle w:val="Textoindependiente"/>
        <w:ind w:left="180"/>
        <w:jc w:val="both"/>
        <w:rPr>
          <w:b/>
          <w:bCs/>
        </w:rPr>
      </w:pPr>
      <w:r w:rsidRPr="006C0EC6">
        <w:rPr>
          <w:b/>
          <w:bCs/>
        </w:rPr>
        <w:t>DOCUMENTOS TIPO – Persona jurídica – Pago – Seguridad Social – Numeral 3.4.1</w:t>
      </w:r>
    </w:p>
    <w:p w14:paraId="738CFA87" w14:textId="77777777" w:rsidR="00BC13E9" w:rsidRPr="006C0EC6" w:rsidRDefault="00BC13E9" w:rsidP="00FE78CC">
      <w:pPr>
        <w:spacing w:after="12"/>
        <w:jc w:val="both"/>
        <w:rPr>
          <w:sz w:val="20"/>
          <w:szCs w:val="20"/>
        </w:rPr>
      </w:pPr>
    </w:p>
    <w:p w14:paraId="0273FE7D" w14:textId="59BCE16E" w:rsidR="00BC13E9" w:rsidRPr="006C0EC6" w:rsidRDefault="00FE78CC" w:rsidP="006C0EC6">
      <w:pPr>
        <w:pStyle w:val="Textoindependiente"/>
        <w:ind w:left="180"/>
        <w:jc w:val="both"/>
        <w:rPr>
          <w:sz w:val="20"/>
          <w:szCs w:val="20"/>
        </w:rPr>
      </w:pPr>
      <w:r w:rsidRPr="006C0EC6">
        <w:rPr>
          <w:sz w:val="20"/>
          <w:szCs w:val="20"/>
        </w:rPr>
        <w:t xml:space="preserve">El </w:t>
      </w:r>
      <w:r w:rsidR="00BC13E9" w:rsidRPr="006C0EC6">
        <w:rPr>
          <w:sz w:val="20"/>
          <w:szCs w:val="20"/>
        </w:rPr>
        <w:t>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 2016 así se debe indicar en el Formato 6- Pagos de seguridad Social y aportes legales.</w:t>
      </w:r>
    </w:p>
    <w:p w14:paraId="36F6B530" w14:textId="77777777" w:rsidR="00BC13E9" w:rsidRPr="006C0EC6" w:rsidRDefault="00BC13E9" w:rsidP="00FE78CC">
      <w:pPr>
        <w:spacing w:after="12"/>
        <w:jc w:val="both"/>
        <w:rPr>
          <w:sz w:val="21"/>
          <w:szCs w:val="21"/>
        </w:rPr>
      </w:pPr>
    </w:p>
    <w:p w14:paraId="3191B99F" w14:textId="77777777" w:rsidR="00BC13E9" w:rsidRPr="006C0EC6" w:rsidRDefault="00BC13E9" w:rsidP="006C0EC6">
      <w:pPr>
        <w:pStyle w:val="Textoindependiente"/>
        <w:ind w:left="180"/>
        <w:jc w:val="both"/>
        <w:rPr>
          <w:b/>
          <w:bCs/>
        </w:rPr>
      </w:pPr>
      <w:r w:rsidRPr="006C0EC6">
        <w:rPr>
          <w:b/>
          <w:bCs/>
        </w:rPr>
        <w:t>DOCUMENTO TIPO – Persona Natural – Pago – Seguridad social – Formato 6</w:t>
      </w:r>
    </w:p>
    <w:p w14:paraId="3E8AE8AC" w14:textId="77777777" w:rsidR="00BC13E9" w:rsidRPr="006C0EC6" w:rsidRDefault="00BC13E9" w:rsidP="00FE78CC">
      <w:pPr>
        <w:spacing w:after="12"/>
        <w:jc w:val="both"/>
        <w:rPr>
          <w:sz w:val="20"/>
          <w:szCs w:val="20"/>
        </w:rPr>
      </w:pPr>
    </w:p>
    <w:p w14:paraId="720CD524" w14:textId="77777777" w:rsidR="00BC13E9" w:rsidRPr="006C0EC6" w:rsidRDefault="00BC13E9" w:rsidP="006C0EC6">
      <w:pPr>
        <w:pStyle w:val="Textoindependiente"/>
        <w:ind w:left="180"/>
        <w:jc w:val="both"/>
        <w:rPr>
          <w:sz w:val="20"/>
          <w:szCs w:val="20"/>
        </w:rPr>
      </w:pPr>
      <w:r w:rsidRPr="006C0EC6">
        <w:rPr>
          <w:sz w:val="20"/>
          <w:szCs w:val="20"/>
        </w:rPr>
        <w:t>En relación con las personas naturales también se exigirá la presentación del Formato 6-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deberá acreditar el pago de sus aportes descritos cuando a ellos hubiera lugar.</w:t>
      </w:r>
    </w:p>
    <w:p w14:paraId="7159AAEE" w14:textId="77777777" w:rsidR="00BC13E9" w:rsidRPr="006C0EC6" w:rsidRDefault="00BC13E9" w:rsidP="00FE78CC">
      <w:pPr>
        <w:spacing w:after="12"/>
        <w:jc w:val="both"/>
        <w:rPr>
          <w:sz w:val="21"/>
          <w:szCs w:val="21"/>
        </w:rPr>
      </w:pPr>
    </w:p>
    <w:p w14:paraId="17FF592F" w14:textId="64A7B86D" w:rsidR="00BC13E9" w:rsidRPr="006C0EC6" w:rsidRDefault="21AA29EA" w:rsidP="006C0EC6">
      <w:pPr>
        <w:pStyle w:val="Textoindependiente"/>
        <w:ind w:left="180"/>
        <w:jc w:val="both"/>
        <w:rPr>
          <w:b/>
          <w:bCs/>
        </w:rPr>
      </w:pPr>
      <w:r w:rsidRPr="5DB0664C">
        <w:rPr>
          <w:b/>
          <w:bCs/>
        </w:rPr>
        <w:t>SEGURIDAD SOCIAL</w:t>
      </w:r>
      <w:r w:rsidR="00BC13E9" w:rsidRPr="5DB0664C">
        <w:rPr>
          <w:b/>
          <w:bCs/>
        </w:rPr>
        <w:t xml:space="preserve"> – Verificación</w:t>
      </w:r>
      <w:r w:rsidR="746F4610" w:rsidRPr="5DB0664C">
        <w:rPr>
          <w:b/>
          <w:bCs/>
        </w:rPr>
        <w:t xml:space="preserve"> </w:t>
      </w:r>
      <w:r w:rsidR="00DF7D92">
        <w:rPr>
          <w:b/>
          <w:bCs/>
        </w:rPr>
        <w:t>de aportes</w:t>
      </w:r>
      <w:bookmarkStart w:id="0" w:name="_GoBack"/>
      <w:bookmarkEnd w:id="0"/>
      <w:r w:rsidR="00BC13E9" w:rsidRPr="5DB0664C">
        <w:rPr>
          <w:b/>
          <w:bCs/>
        </w:rPr>
        <w:t xml:space="preserve"> – Entidades Estatales </w:t>
      </w:r>
    </w:p>
    <w:p w14:paraId="3A0D2921" w14:textId="77777777" w:rsidR="00BC13E9" w:rsidRPr="006C0EC6" w:rsidRDefault="00BC13E9" w:rsidP="00FE78CC">
      <w:pPr>
        <w:spacing w:after="12"/>
        <w:jc w:val="both"/>
        <w:rPr>
          <w:sz w:val="20"/>
          <w:szCs w:val="20"/>
        </w:rPr>
      </w:pPr>
    </w:p>
    <w:p w14:paraId="25EFB4A7" w14:textId="77777777" w:rsidR="00BC13E9" w:rsidRPr="006C0EC6" w:rsidRDefault="00BC13E9" w:rsidP="006C0EC6">
      <w:pPr>
        <w:pStyle w:val="Textoindependiente"/>
        <w:ind w:left="180"/>
        <w:jc w:val="both"/>
        <w:rPr>
          <w:sz w:val="20"/>
          <w:szCs w:val="20"/>
        </w:rPr>
      </w:pPr>
      <w:r w:rsidRPr="006C0EC6">
        <w:rPr>
          <w:sz w:val="20"/>
          <w:szCs w:val="20"/>
        </w:rPr>
        <w:t>La entidad deberá verificar que los oferentes no estén evadiendo el pago al Sistema de Seguridad Social teniendo el deber de realizarlo. Ahora, si el oferente realiza el pago de Sistema de Seguridad Social aun cuando no se tiene la obligación, esta no será una razón para rechazarle la oferta, porque no está evadiendo ningún pago al Sistema de Seguridad Social.</w:t>
      </w:r>
    </w:p>
    <w:p w14:paraId="77F22017" w14:textId="77777777" w:rsidR="00BC13E9" w:rsidRPr="006C0EC6" w:rsidRDefault="00BC13E9" w:rsidP="00FE78CC">
      <w:pPr>
        <w:spacing w:after="12"/>
        <w:jc w:val="both"/>
        <w:rPr>
          <w:sz w:val="21"/>
          <w:szCs w:val="21"/>
        </w:rPr>
      </w:pPr>
    </w:p>
    <w:p w14:paraId="1EC5FFC1" w14:textId="5C36E387" w:rsidR="00BC13E9" w:rsidRPr="006C0EC6" w:rsidRDefault="00BC13E9" w:rsidP="006C0EC6">
      <w:pPr>
        <w:pStyle w:val="Textoindependiente"/>
        <w:ind w:left="180"/>
        <w:jc w:val="both"/>
        <w:rPr>
          <w:b/>
          <w:bCs/>
        </w:rPr>
      </w:pPr>
      <w:r w:rsidRPr="5DB0664C">
        <w:rPr>
          <w:b/>
          <w:bCs/>
        </w:rPr>
        <w:t>DOCUMENTOS TIPO – R</w:t>
      </w:r>
      <w:r w:rsidR="08F18FA9" w:rsidRPr="5DB0664C">
        <w:rPr>
          <w:b/>
          <w:bCs/>
        </w:rPr>
        <w:t>egist</w:t>
      </w:r>
      <w:r w:rsidR="3DBA6CF6" w:rsidRPr="5DB0664C">
        <w:rPr>
          <w:b/>
          <w:bCs/>
        </w:rPr>
        <w:t>r</w:t>
      </w:r>
      <w:r w:rsidR="08F18FA9" w:rsidRPr="5DB0664C">
        <w:rPr>
          <w:b/>
          <w:bCs/>
        </w:rPr>
        <w:t xml:space="preserve">o único de proponentes </w:t>
      </w:r>
      <w:r w:rsidRPr="5DB0664C">
        <w:rPr>
          <w:b/>
          <w:bCs/>
        </w:rPr>
        <w:t xml:space="preserve">– Experiencia </w:t>
      </w:r>
      <w:r w:rsidR="54AE3448" w:rsidRPr="5DB0664C">
        <w:rPr>
          <w:b/>
          <w:bCs/>
        </w:rPr>
        <w:t xml:space="preserve">– Acreditación </w:t>
      </w:r>
    </w:p>
    <w:p w14:paraId="2CF14A15" w14:textId="77777777" w:rsidR="00BC13E9" w:rsidRPr="006C0EC6" w:rsidRDefault="00BC13E9" w:rsidP="00FE78CC">
      <w:pPr>
        <w:spacing w:after="12"/>
        <w:jc w:val="both"/>
        <w:rPr>
          <w:sz w:val="20"/>
          <w:szCs w:val="20"/>
        </w:rPr>
      </w:pPr>
    </w:p>
    <w:p w14:paraId="3FB3DF98" w14:textId="77777777" w:rsidR="00BC13E9" w:rsidRPr="006C0EC6" w:rsidRDefault="00BC13E9" w:rsidP="006C0EC6">
      <w:pPr>
        <w:pStyle w:val="Textoindependiente"/>
        <w:ind w:left="180"/>
        <w:jc w:val="both"/>
        <w:rPr>
          <w:sz w:val="20"/>
          <w:szCs w:val="20"/>
        </w:rPr>
      </w:pPr>
      <w:r w:rsidRPr="006C0EC6">
        <w:rPr>
          <w:sz w:val="20"/>
          <w:szCs w:val="20"/>
        </w:rPr>
        <w:t xml:space="preserve">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w:t>
      </w:r>
      <w:r w:rsidRPr="006C0EC6">
        <w:rPr>
          <w:sz w:val="20"/>
          <w:szCs w:val="20"/>
        </w:rPr>
        <w:lastRenderedPageBreak/>
        <w:t>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7295AD7F" w14:textId="77777777" w:rsidR="00BC13E9" w:rsidRPr="006C0EC6" w:rsidRDefault="00BC13E9" w:rsidP="00FE78CC">
      <w:pPr>
        <w:spacing w:after="12"/>
        <w:jc w:val="both"/>
        <w:rPr>
          <w:sz w:val="20"/>
          <w:szCs w:val="20"/>
        </w:rPr>
      </w:pPr>
    </w:p>
    <w:p w14:paraId="732DD4D3" w14:textId="77777777" w:rsidR="00BC13E9" w:rsidRPr="006C0EC6" w:rsidRDefault="00BC13E9" w:rsidP="006C0EC6">
      <w:pPr>
        <w:pStyle w:val="Textoindependiente"/>
        <w:ind w:left="180"/>
        <w:jc w:val="both"/>
        <w:rPr>
          <w:b/>
          <w:bCs/>
        </w:rPr>
      </w:pPr>
      <w:r w:rsidRPr="006C0EC6">
        <w:rPr>
          <w:b/>
          <w:bCs/>
        </w:rPr>
        <w:t>DOCUMENTOS TIPO – Operación aritmética – Inclusión de decimales</w:t>
      </w:r>
    </w:p>
    <w:p w14:paraId="404A8DE0" w14:textId="77777777" w:rsidR="00BC13E9" w:rsidRPr="006C0EC6" w:rsidRDefault="00BC13E9" w:rsidP="00FE78CC">
      <w:pPr>
        <w:spacing w:after="12"/>
        <w:jc w:val="both"/>
        <w:rPr>
          <w:sz w:val="21"/>
          <w:szCs w:val="21"/>
        </w:rPr>
      </w:pPr>
    </w:p>
    <w:p w14:paraId="5494BECE" w14:textId="22B67552" w:rsidR="00BC13E9" w:rsidRPr="006C0EC6" w:rsidRDefault="00BC13E9" w:rsidP="5DB0664C">
      <w:pPr>
        <w:pStyle w:val="Textoindependiente"/>
        <w:ind w:left="180"/>
        <w:jc w:val="both"/>
        <w:rPr>
          <w:sz w:val="20"/>
          <w:szCs w:val="20"/>
        </w:rPr>
      </w:pPr>
      <w:r w:rsidRPr="5DB0664C">
        <w:rPr>
          <w:sz w:val="20"/>
          <w:szCs w:val="20"/>
        </w:rPr>
        <w:t>En aquellos eventos en los cuales el valor obtenido de la operación aritmética incluya decimales, se debe aproximar al número entero superior o inferior, de acuerdo con la regla fijada en el literal B del numeral 4.1.2., así, en el supuesto que el “valor total” del ejemplo propuesto fuera $5.233.133.760,65 se aproximará por exceso al número entero siguiente $5.233.133.761,00, o si el “valor total” fuera $ 5.233.133.760, 21 se aproximará por defecto al número entero, así: $ 5.233.133.760,00.</w:t>
      </w:r>
    </w:p>
    <w:p w14:paraId="0731A185" w14:textId="5ED680D9" w:rsidR="00BC13E9" w:rsidRPr="006C0EC6" w:rsidRDefault="00BC13E9" w:rsidP="006C0EC6">
      <w:pPr>
        <w:pStyle w:val="Textoindependiente"/>
        <w:ind w:left="180"/>
        <w:jc w:val="both"/>
        <w:rPr>
          <w:sz w:val="20"/>
          <w:szCs w:val="20"/>
        </w:rPr>
      </w:pPr>
      <w:r w:rsidRPr="5DB0664C">
        <w:rPr>
          <w:sz w:val="20"/>
          <w:szCs w:val="20"/>
        </w:rPr>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 ponderación.</w:t>
      </w:r>
    </w:p>
    <w:p w14:paraId="160E2850" w14:textId="77777777" w:rsidR="00BC13E9" w:rsidRPr="006C0EC6" w:rsidRDefault="00BC13E9" w:rsidP="00FE78CC">
      <w:pPr>
        <w:spacing w:after="12"/>
        <w:jc w:val="both"/>
        <w:rPr>
          <w:sz w:val="21"/>
          <w:szCs w:val="21"/>
        </w:rPr>
      </w:pPr>
    </w:p>
    <w:p w14:paraId="382D32FF" w14:textId="00D83F09" w:rsidR="00BC13E9" w:rsidRPr="006C0EC6" w:rsidRDefault="00BC13E9" w:rsidP="006C0EC6">
      <w:pPr>
        <w:pStyle w:val="Textoindependiente"/>
        <w:ind w:left="180"/>
        <w:jc w:val="both"/>
        <w:rPr>
          <w:b/>
          <w:bCs/>
        </w:rPr>
      </w:pPr>
      <w:r w:rsidRPr="5DB0664C">
        <w:rPr>
          <w:b/>
          <w:bCs/>
        </w:rPr>
        <w:t>REGISTRO MERCANTIL – Persona natural</w:t>
      </w:r>
      <w:r w:rsidR="50A4D9D1" w:rsidRPr="5DB0664C">
        <w:rPr>
          <w:b/>
          <w:bCs/>
        </w:rPr>
        <w:t xml:space="preserve"> </w:t>
      </w:r>
      <w:r w:rsidRPr="5DB0664C">
        <w:rPr>
          <w:b/>
          <w:bCs/>
        </w:rPr>
        <w:t xml:space="preserve">– </w:t>
      </w:r>
      <w:r w:rsidR="1E7B21C5" w:rsidRPr="5DB0664C">
        <w:rPr>
          <w:b/>
          <w:bCs/>
        </w:rPr>
        <w:t xml:space="preserve">Procesos de contratación </w:t>
      </w:r>
      <w:r w:rsidR="4F883A63" w:rsidRPr="5DB0664C">
        <w:rPr>
          <w:b/>
          <w:bCs/>
        </w:rPr>
        <w:t xml:space="preserve">– Requisito </w:t>
      </w:r>
    </w:p>
    <w:p w14:paraId="390A2160" w14:textId="77777777" w:rsidR="00BC13E9" w:rsidRPr="006C0EC6" w:rsidRDefault="00BC13E9" w:rsidP="00FE78CC">
      <w:pPr>
        <w:spacing w:after="12"/>
        <w:jc w:val="both"/>
        <w:rPr>
          <w:sz w:val="21"/>
          <w:szCs w:val="21"/>
        </w:rPr>
      </w:pPr>
    </w:p>
    <w:p w14:paraId="03C4EE9B" w14:textId="3AA46F0D" w:rsidR="00DF5748" w:rsidRDefault="00BC13E9" w:rsidP="5DB0664C">
      <w:pPr>
        <w:pStyle w:val="Textoindependiente"/>
        <w:ind w:left="180"/>
        <w:jc w:val="both"/>
        <w:rPr>
          <w:sz w:val="20"/>
          <w:szCs w:val="20"/>
        </w:rPr>
      </w:pPr>
      <w:r w:rsidRPr="5DB0664C">
        <w:rPr>
          <w:sz w:val="20"/>
          <w:szCs w:val="20"/>
        </w:rPr>
        <w:t>El registro mercantil tiene “por objeto llevar la matrícula de los comerciantes y de los establecimientos de comercio, así como la inscripción de todos los actos, libros y documentos respecto de los cuales la ley exigiere esa formalidad”6.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 21</w:t>
      </w:r>
      <w:r w:rsidR="00FE78CC" w:rsidRPr="5DB0664C">
        <w:rPr>
          <w:sz w:val="20"/>
          <w:szCs w:val="20"/>
        </w:rPr>
        <w:t xml:space="preserve">. </w:t>
      </w:r>
    </w:p>
    <w:p w14:paraId="2DD7A7DA" w14:textId="3F0E145C" w:rsidR="00DF5748" w:rsidRDefault="00FE78CC" w:rsidP="00DF5748">
      <w:pPr>
        <w:pStyle w:val="Textoindependiente"/>
        <w:ind w:left="180"/>
        <w:jc w:val="both"/>
        <w:rPr>
          <w:sz w:val="20"/>
          <w:szCs w:val="20"/>
        </w:rPr>
      </w:pPr>
      <w:r w:rsidRPr="5DB0664C">
        <w:rPr>
          <w:sz w:val="20"/>
          <w:szCs w:val="20"/>
        </w:rPr>
        <w:t>S</w:t>
      </w:r>
      <w:r w:rsidR="00BC13E9" w:rsidRPr="5DB0664C">
        <w:rPr>
          <w:sz w:val="20"/>
          <w:szCs w:val="20"/>
        </w:rPr>
        <w:t>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w:t>
      </w:r>
      <w:r w:rsidR="006C0EC6" w:rsidRPr="5DB0664C">
        <w:rPr>
          <w:sz w:val="20"/>
          <w:szCs w:val="20"/>
        </w:rPr>
        <w:t xml:space="preserve">tar inscrita en el registro. </w:t>
      </w:r>
    </w:p>
    <w:p w14:paraId="0AC0BC0F" w14:textId="38501684" w:rsidR="00BC13E9" w:rsidRDefault="006C0EC6" w:rsidP="00DF5748">
      <w:pPr>
        <w:pStyle w:val="Textoindependiente"/>
        <w:ind w:left="180"/>
        <w:jc w:val="both"/>
        <w:rPr>
          <w:sz w:val="20"/>
          <w:szCs w:val="20"/>
        </w:rPr>
      </w:pPr>
      <w:r w:rsidRPr="5DB0664C">
        <w:rPr>
          <w:sz w:val="20"/>
          <w:szCs w:val="20"/>
        </w:rPr>
        <w:t>[…]</w:t>
      </w:r>
      <w:r w:rsidR="00BC13E9" w:rsidRPr="5DB0664C">
        <w:rPr>
          <w:sz w:val="20"/>
          <w:szCs w:val="20"/>
        </w:rPr>
        <w:t xml:space="preserve"> </w:t>
      </w:r>
      <w:r w:rsidR="1E7248F0" w:rsidRPr="5DB0664C">
        <w:rPr>
          <w:sz w:val="20"/>
          <w:szCs w:val="20"/>
        </w:rPr>
        <w:t>E</w:t>
      </w:r>
      <w:r w:rsidR="00BC13E9" w:rsidRPr="5DB0664C">
        <w:rPr>
          <w:sz w:val="20"/>
          <w:szCs w:val="20"/>
        </w:rPr>
        <w:t>l registro mercantil es un deber legal de los comerciantes, pero no otorga capacidad jurídica, aunque su ausencia, cuando se desarrollan actividades mercantiles de manera habitual y permanente, conlleva a la imposición de multas por el incumplimiento de un deber legal.</w:t>
      </w:r>
    </w:p>
    <w:p w14:paraId="0002B019" w14:textId="77777777" w:rsidR="00DF5748" w:rsidRDefault="00DF5748" w:rsidP="00DF5748">
      <w:pPr>
        <w:pStyle w:val="Textoindependiente"/>
        <w:ind w:left="180"/>
        <w:jc w:val="both"/>
        <w:rPr>
          <w:sz w:val="20"/>
        </w:rPr>
      </w:pPr>
    </w:p>
    <w:p w14:paraId="65790A01" w14:textId="77777777" w:rsidR="006C0EC6" w:rsidRPr="006C0EC6" w:rsidRDefault="006C0EC6" w:rsidP="00FE78CC">
      <w:pPr>
        <w:spacing w:before="94"/>
        <w:rPr>
          <w:sz w:val="20"/>
        </w:rPr>
      </w:pPr>
    </w:p>
    <w:p w14:paraId="1EFB4DB0" w14:textId="77777777" w:rsidR="00AD5C97" w:rsidRPr="006C0EC6" w:rsidRDefault="00BC13E9" w:rsidP="006C0EC6">
      <w:pPr>
        <w:pStyle w:val="Textoindependiente"/>
        <w:ind w:left="180"/>
        <w:rPr>
          <w:b/>
          <w:sz w:val="20"/>
        </w:rPr>
      </w:pPr>
      <w:r w:rsidRPr="006C0EC6">
        <w:rPr>
          <w:sz w:val="20"/>
        </w:rPr>
        <w:t xml:space="preserve">Bogotá D.C., </w:t>
      </w:r>
      <w:r w:rsidRPr="006C0EC6">
        <w:rPr>
          <w:b/>
          <w:sz w:val="20"/>
        </w:rPr>
        <w:t>07/01/2020 Hora 12:41:36s</w:t>
      </w:r>
    </w:p>
    <w:p w14:paraId="29E0224B" w14:textId="77777777" w:rsidR="00AD5C97" w:rsidRPr="006C0EC6" w:rsidRDefault="00BC13E9">
      <w:pPr>
        <w:ind w:left="6031"/>
        <w:rPr>
          <w:b/>
          <w:sz w:val="20"/>
        </w:rPr>
      </w:pPr>
      <w:r w:rsidRPr="006C0EC6">
        <w:rPr>
          <w:b/>
          <w:sz w:val="20"/>
        </w:rPr>
        <w:t>N° Radicado: 2202013000000038</w:t>
      </w:r>
    </w:p>
    <w:p w14:paraId="16906A6B" w14:textId="77777777" w:rsidR="00AD5C97" w:rsidRPr="006C0EC6" w:rsidRDefault="00AD5C97">
      <w:pPr>
        <w:pStyle w:val="Textoindependiente"/>
        <w:rPr>
          <w:b/>
          <w:sz w:val="20"/>
        </w:rPr>
      </w:pPr>
    </w:p>
    <w:p w14:paraId="3D4F562D" w14:textId="77777777" w:rsidR="00AD5C97" w:rsidRPr="006C0EC6" w:rsidRDefault="00AD5C97">
      <w:pPr>
        <w:pStyle w:val="Textoindependiente"/>
        <w:spacing w:before="3"/>
        <w:rPr>
          <w:b/>
        </w:rPr>
      </w:pPr>
    </w:p>
    <w:p w14:paraId="27A9C4E1" w14:textId="77777777" w:rsidR="00AD5C97" w:rsidRPr="006C0EC6" w:rsidRDefault="00BC13E9">
      <w:pPr>
        <w:pStyle w:val="Textoindependiente"/>
        <w:spacing w:line="253" w:lineRule="exact"/>
        <w:ind w:left="180"/>
      </w:pPr>
      <w:r w:rsidRPr="006C0EC6">
        <w:t>Señor</w:t>
      </w:r>
    </w:p>
    <w:p w14:paraId="36F2BEFC" w14:textId="77777777" w:rsidR="00AD5C97" w:rsidRPr="006C0EC6" w:rsidRDefault="00BC13E9">
      <w:pPr>
        <w:pStyle w:val="Ttulo1"/>
        <w:spacing w:line="253" w:lineRule="exact"/>
        <w:ind w:left="180" w:firstLine="0"/>
      </w:pPr>
      <w:r w:rsidRPr="006C0EC6">
        <w:t>Santiago Andrés Sánchez</w:t>
      </w:r>
    </w:p>
    <w:p w14:paraId="19959BD2" w14:textId="77777777" w:rsidR="00AD5C97" w:rsidRPr="006C0EC6" w:rsidRDefault="00BC13E9">
      <w:pPr>
        <w:pStyle w:val="Textoindependiente"/>
        <w:spacing w:line="253" w:lineRule="exact"/>
        <w:ind w:left="180"/>
      </w:pPr>
      <w:r w:rsidRPr="006C0EC6">
        <w:t>Ciudad</w:t>
      </w:r>
    </w:p>
    <w:p w14:paraId="1B878BB3" w14:textId="77777777" w:rsidR="00AD5C97" w:rsidRPr="006C0EC6" w:rsidRDefault="00AD5C97">
      <w:pPr>
        <w:pStyle w:val="Textoindependiente"/>
        <w:rPr>
          <w:sz w:val="24"/>
        </w:rPr>
      </w:pPr>
    </w:p>
    <w:p w14:paraId="3A0725A6" w14:textId="77777777" w:rsidR="00AD5C97" w:rsidRPr="006C0EC6" w:rsidRDefault="00AD5C97">
      <w:pPr>
        <w:pStyle w:val="Textoindependiente"/>
        <w:spacing w:before="1"/>
        <w:rPr>
          <w:sz w:val="20"/>
        </w:rPr>
      </w:pPr>
    </w:p>
    <w:p w14:paraId="3F3C200E" w14:textId="77777777" w:rsidR="00AD5C97" w:rsidRPr="006C0EC6" w:rsidRDefault="00BC13E9">
      <w:pPr>
        <w:tabs>
          <w:tab w:val="left" w:pos="3720"/>
        </w:tabs>
        <w:spacing w:line="253" w:lineRule="exact"/>
        <w:ind w:left="180"/>
      </w:pPr>
      <w:r w:rsidRPr="006C0EC6">
        <w:rPr>
          <w:b/>
        </w:rPr>
        <w:lastRenderedPageBreak/>
        <w:t>Radicación:</w:t>
      </w:r>
      <w:r w:rsidRPr="006C0EC6">
        <w:rPr>
          <w:b/>
        </w:rPr>
        <w:tab/>
      </w:r>
      <w:r w:rsidRPr="006C0EC6">
        <w:t>Respuesta a consulta #</w:t>
      </w:r>
      <w:r w:rsidRPr="006C0EC6">
        <w:rPr>
          <w:spacing w:val="-5"/>
        </w:rPr>
        <w:t xml:space="preserve"> </w:t>
      </w:r>
      <w:r w:rsidRPr="006C0EC6">
        <w:t>4201912000008455</w:t>
      </w:r>
    </w:p>
    <w:p w14:paraId="00A68F42" w14:textId="77777777" w:rsidR="00AD5C97" w:rsidRPr="006C0EC6" w:rsidRDefault="00BC13E9">
      <w:pPr>
        <w:tabs>
          <w:tab w:val="left" w:pos="3720"/>
        </w:tabs>
        <w:spacing w:line="253" w:lineRule="exact"/>
        <w:ind w:left="180"/>
      </w:pPr>
      <w:r w:rsidRPr="006C0EC6">
        <w:rPr>
          <w:b/>
        </w:rPr>
        <w:t>Temas:</w:t>
      </w:r>
      <w:r w:rsidRPr="006C0EC6">
        <w:rPr>
          <w:b/>
        </w:rPr>
        <w:tab/>
      </w:r>
      <w:r w:rsidRPr="006C0EC6">
        <w:t>Documentos Tipo,</w:t>
      </w:r>
      <w:r w:rsidRPr="006C0EC6">
        <w:rPr>
          <w:spacing w:val="-4"/>
        </w:rPr>
        <w:t xml:space="preserve"> </w:t>
      </w:r>
      <w:r w:rsidRPr="006C0EC6">
        <w:t>otros</w:t>
      </w:r>
    </w:p>
    <w:p w14:paraId="10D2861C" w14:textId="77777777" w:rsidR="00AD5C97" w:rsidRPr="006C0EC6" w:rsidRDefault="00BC13E9">
      <w:pPr>
        <w:tabs>
          <w:tab w:val="left" w:pos="3720"/>
        </w:tabs>
        <w:spacing w:line="253" w:lineRule="exact"/>
        <w:ind w:left="180"/>
      </w:pPr>
      <w:r w:rsidRPr="006C0EC6">
        <w:rPr>
          <w:b/>
        </w:rPr>
        <w:t>Tipo de</w:t>
      </w:r>
      <w:r w:rsidRPr="006C0EC6">
        <w:rPr>
          <w:b/>
          <w:spacing w:val="-4"/>
        </w:rPr>
        <w:t xml:space="preserve"> </w:t>
      </w:r>
      <w:r w:rsidRPr="006C0EC6">
        <w:rPr>
          <w:b/>
        </w:rPr>
        <w:t>asunto</w:t>
      </w:r>
      <w:r w:rsidRPr="006C0EC6">
        <w:rPr>
          <w:b/>
          <w:spacing w:val="-2"/>
        </w:rPr>
        <w:t xml:space="preserve"> </w:t>
      </w:r>
      <w:r w:rsidRPr="006C0EC6">
        <w:rPr>
          <w:b/>
        </w:rPr>
        <w:t>consultado:</w:t>
      </w:r>
      <w:r w:rsidRPr="006C0EC6">
        <w:rPr>
          <w:b/>
        </w:rPr>
        <w:tab/>
      </w:r>
      <w:r w:rsidRPr="006C0EC6">
        <w:t>Acreditación aportes al sistema de seguridad</w:t>
      </w:r>
      <w:r w:rsidRPr="006C0EC6">
        <w:rPr>
          <w:spacing w:val="-11"/>
        </w:rPr>
        <w:t xml:space="preserve"> </w:t>
      </w:r>
      <w:r w:rsidRPr="006C0EC6">
        <w:t>social,</w:t>
      </w:r>
    </w:p>
    <w:p w14:paraId="776F9D50" w14:textId="77777777" w:rsidR="00AD5C97" w:rsidRPr="006C0EC6" w:rsidRDefault="00BC13E9">
      <w:pPr>
        <w:pStyle w:val="Textoindependiente"/>
        <w:ind w:left="3721" w:right="207"/>
        <w:jc w:val="both"/>
      </w:pPr>
      <w:r w:rsidRPr="006C0EC6">
        <w:t>experiencia, corrección aritmética, capacidad organizacional, registro mercantil y ofertas con precios artificialmente bajos en procesos que aplican Documentos Tipo</w:t>
      </w:r>
    </w:p>
    <w:p w14:paraId="0FF2F3CC" w14:textId="77777777" w:rsidR="00AD5C97" w:rsidRPr="006C0EC6" w:rsidRDefault="00AD5C97">
      <w:pPr>
        <w:pStyle w:val="Textoindependiente"/>
        <w:rPr>
          <w:sz w:val="24"/>
        </w:rPr>
      </w:pPr>
    </w:p>
    <w:p w14:paraId="767FA05D" w14:textId="77777777" w:rsidR="00AD5C97" w:rsidRPr="006C0EC6" w:rsidRDefault="00AD5C97">
      <w:pPr>
        <w:pStyle w:val="Textoindependiente"/>
        <w:rPr>
          <w:sz w:val="20"/>
        </w:rPr>
      </w:pPr>
    </w:p>
    <w:p w14:paraId="19380606" w14:textId="77777777" w:rsidR="00AD5C97" w:rsidRPr="006C0EC6" w:rsidRDefault="00BC13E9">
      <w:pPr>
        <w:pStyle w:val="Textoindependiente"/>
        <w:ind w:left="180"/>
      </w:pPr>
      <w:r w:rsidRPr="006C0EC6">
        <w:t>Estimado señor Sánchez,</w:t>
      </w:r>
    </w:p>
    <w:p w14:paraId="154BDFEF" w14:textId="77777777" w:rsidR="00AD5C97" w:rsidRPr="006C0EC6" w:rsidRDefault="00AD5C97">
      <w:pPr>
        <w:pStyle w:val="Textoindependiente"/>
        <w:spacing w:before="8"/>
        <w:rPr>
          <w:sz w:val="28"/>
        </w:rPr>
      </w:pPr>
    </w:p>
    <w:p w14:paraId="1ADA9FCE" w14:textId="77777777" w:rsidR="00AD5C97" w:rsidRPr="006C0EC6" w:rsidRDefault="00BC13E9">
      <w:pPr>
        <w:pStyle w:val="Textoindependiente"/>
        <w:spacing w:line="276" w:lineRule="auto"/>
        <w:ind w:left="180" w:right="207"/>
        <w:jc w:val="both"/>
      </w:pPr>
      <w:r w:rsidRPr="006C0EC6">
        <w:t>La Agencia Nacional de Contratación Pública - Colombia Compra Eficiente responde su consulta del 19 de diciembre de 2019, en ejercicio de la competencia otorgada por el numeral 5 del artículo 3 y numeral 8 del artículo 11 del Decreto 4170 de 2011.</w:t>
      </w:r>
    </w:p>
    <w:p w14:paraId="50315C5B" w14:textId="77777777" w:rsidR="00AD5C97" w:rsidRPr="006C0EC6" w:rsidRDefault="00AD5C97">
      <w:pPr>
        <w:pStyle w:val="Textoindependiente"/>
        <w:spacing w:before="2"/>
        <w:rPr>
          <w:sz w:val="25"/>
        </w:rPr>
      </w:pPr>
    </w:p>
    <w:p w14:paraId="10B0E395" w14:textId="77777777" w:rsidR="00AD5C97" w:rsidRPr="006C0EC6" w:rsidRDefault="00BC13E9">
      <w:pPr>
        <w:pStyle w:val="Ttulo1"/>
        <w:numPr>
          <w:ilvl w:val="0"/>
          <w:numId w:val="13"/>
        </w:numPr>
        <w:tabs>
          <w:tab w:val="left" w:pos="466"/>
        </w:tabs>
        <w:ind w:hanging="286"/>
      </w:pPr>
      <w:r w:rsidRPr="006C0EC6">
        <w:t>Problema</w:t>
      </w:r>
      <w:r w:rsidRPr="006C0EC6">
        <w:rPr>
          <w:spacing w:val="-2"/>
        </w:rPr>
        <w:t xml:space="preserve"> </w:t>
      </w:r>
      <w:r w:rsidRPr="006C0EC6">
        <w:t>planteado</w:t>
      </w:r>
    </w:p>
    <w:p w14:paraId="6D177A68" w14:textId="77777777" w:rsidR="00AD5C97" w:rsidRPr="006C0EC6" w:rsidRDefault="00AD5C97">
      <w:pPr>
        <w:pStyle w:val="Textoindependiente"/>
        <w:spacing w:before="6"/>
        <w:rPr>
          <w:b/>
          <w:sz w:val="28"/>
        </w:rPr>
      </w:pPr>
    </w:p>
    <w:p w14:paraId="38BFD939" w14:textId="77777777" w:rsidR="00AD5C97" w:rsidRPr="006C0EC6" w:rsidRDefault="00BC13E9">
      <w:pPr>
        <w:pStyle w:val="Textoindependiente"/>
        <w:spacing w:line="278" w:lineRule="auto"/>
        <w:ind w:left="180" w:right="213"/>
        <w:jc w:val="both"/>
      </w:pPr>
      <w:r w:rsidRPr="006C0EC6">
        <w:t>El peticionario presenta los siguientes interrogantes relacionados con los Documentos Tipo:</w:t>
      </w:r>
    </w:p>
    <w:p w14:paraId="32FD39D9" w14:textId="77777777" w:rsidR="00AD5C97" w:rsidRPr="006C0EC6" w:rsidRDefault="00AD5C97">
      <w:pPr>
        <w:pStyle w:val="Textoindependiente"/>
        <w:spacing w:before="9"/>
        <w:rPr>
          <w:sz w:val="24"/>
        </w:rPr>
      </w:pPr>
    </w:p>
    <w:p w14:paraId="37A10104" w14:textId="77777777" w:rsidR="00AD5C97" w:rsidRPr="006C0EC6" w:rsidRDefault="00BC13E9">
      <w:pPr>
        <w:pStyle w:val="Textoindependiente"/>
        <w:spacing w:line="276" w:lineRule="auto"/>
        <w:ind w:left="180" w:right="211"/>
        <w:jc w:val="both"/>
      </w:pPr>
      <w:r w:rsidRPr="006C0EC6">
        <w:t>“1. La entidad puede rechazar a un proponente persona jurídica porque el representante legal no se encuentra afiliado directamente con la empresa, si no de manera independiente?</w:t>
      </w:r>
    </w:p>
    <w:p w14:paraId="36B0BF5C" w14:textId="77777777" w:rsidR="00AD5C97" w:rsidRPr="006C0EC6" w:rsidRDefault="00AD5C97">
      <w:pPr>
        <w:pStyle w:val="Textoindependiente"/>
        <w:spacing w:before="5"/>
        <w:rPr>
          <w:sz w:val="25"/>
        </w:rPr>
      </w:pPr>
    </w:p>
    <w:p w14:paraId="35A9FC26" w14:textId="77777777" w:rsidR="00AD5C97" w:rsidRPr="006C0EC6" w:rsidRDefault="00BC13E9">
      <w:pPr>
        <w:pStyle w:val="Textoindependiente"/>
        <w:spacing w:before="1" w:line="276" w:lineRule="auto"/>
        <w:ind w:left="180" w:right="206"/>
        <w:jc w:val="both"/>
      </w:pPr>
      <w:r w:rsidRPr="006C0EC6">
        <w:t>“2. Puede una entidad excluir de la matriz de experiencia para obra de mejoramiento, la categoría vías urbanas? Lo anterior con el argumento que cuando Colombia Compra en la matriz establece Y/O es para darle la potestad a las entidades de decidir?</w:t>
      </w:r>
    </w:p>
    <w:p w14:paraId="0BB6CD96" w14:textId="77777777" w:rsidR="00AD5C97" w:rsidRPr="006C0EC6" w:rsidRDefault="00BC13E9">
      <w:pPr>
        <w:pStyle w:val="Textoindependiente"/>
        <w:spacing w:before="93" w:line="278" w:lineRule="auto"/>
        <w:ind w:left="180" w:right="204"/>
      </w:pPr>
      <w:r w:rsidRPr="006C0EC6">
        <w:t>“3. Si una entidad en el presupuesto oficial publicado por ellos tiene un valor oficial $100,75 pesos, y algunos oferentes en su propuesta ofertan el valor unitario de la misma manera,</w:t>
      </w:r>
    </w:p>
    <w:p w14:paraId="7EF9ACA9" w14:textId="77777777" w:rsidR="00AD5C97" w:rsidRPr="006C0EC6" w:rsidRDefault="00BC13E9">
      <w:pPr>
        <w:pStyle w:val="Textoindependiente"/>
        <w:spacing w:line="249" w:lineRule="exact"/>
        <w:ind w:left="180"/>
      </w:pPr>
      <w:r w:rsidRPr="006C0EC6">
        <w:t>$100,75 debe la entidad aplicarles la regla de redondo y por ende rechazarlos?</w:t>
      </w:r>
    </w:p>
    <w:p w14:paraId="4B61BFF0" w14:textId="77777777" w:rsidR="00AD5C97" w:rsidRPr="006C0EC6" w:rsidRDefault="00AD5C97">
      <w:pPr>
        <w:pStyle w:val="Textoindependiente"/>
        <w:spacing w:before="8"/>
        <w:rPr>
          <w:sz w:val="28"/>
        </w:rPr>
      </w:pPr>
    </w:p>
    <w:p w14:paraId="000D2D70" w14:textId="77777777" w:rsidR="00AD5C97" w:rsidRPr="006C0EC6" w:rsidRDefault="00BC13E9">
      <w:pPr>
        <w:pStyle w:val="Textoindependiente"/>
        <w:spacing w:line="276" w:lineRule="auto"/>
        <w:ind w:left="180"/>
      </w:pPr>
      <w:r w:rsidRPr="006C0EC6">
        <w:t>“4. Puede una entidad estatal solicitar lo presupuestos y desgloses de los componentes PAGA, PMT, GESTION SOCIAL?</w:t>
      </w:r>
    </w:p>
    <w:p w14:paraId="1494CD99" w14:textId="77777777" w:rsidR="00AD5C97" w:rsidRPr="006C0EC6" w:rsidRDefault="00AD5C97">
      <w:pPr>
        <w:pStyle w:val="Textoindependiente"/>
        <w:spacing w:before="3"/>
        <w:rPr>
          <w:sz w:val="25"/>
        </w:rPr>
      </w:pPr>
    </w:p>
    <w:p w14:paraId="2BA02AFF" w14:textId="77777777" w:rsidR="00AD5C97" w:rsidRPr="006C0EC6" w:rsidRDefault="00BC13E9">
      <w:pPr>
        <w:pStyle w:val="Textoindependiente"/>
        <w:spacing w:line="276" w:lineRule="auto"/>
        <w:ind w:left="180" w:right="211"/>
        <w:jc w:val="both"/>
      </w:pPr>
      <w:r w:rsidRPr="006C0EC6">
        <w:t>“5. Para acreditar la capacidad organizacional, el numeral 2 para las personas naturales como se debe acreditar?</w:t>
      </w:r>
    </w:p>
    <w:p w14:paraId="3A9E338D" w14:textId="77777777" w:rsidR="00AD5C97" w:rsidRPr="006C0EC6" w:rsidRDefault="00AD5C97">
      <w:pPr>
        <w:pStyle w:val="Textoindependiente"/>
        <w:spacing w:before="3"/>
        <w:rPr>
          <w:sz w:val="25"/>
        </w:rPr>
      </w:pPr>
    </w:p>
    <w:p w14:paraId="622C715A" w14:textId="77777777" w:rsidR="00AD5C97" w:rsidRPr="006C0EC6" w:rsidRDefault="00BC13E9">
      <w:pPr>
        <w:pStyle w:val="Textoindependiente"/>
        <w:spacing w:before="1" w:line="276" w:lineRule="auto"/>
        <w:ind w:left="180" w:right="209"/>
        <w:jc w:val="both"/>
      </w:pPr>
      <w:r w:rsidRPr="006C0EC6">
        <w:t>“6. Los conceptos emitidos por ustedes sobre controversias en los documentos tipo son de obligatorio cumplimiento por parte de las entidades?</w:t>
      </w:r>
    </w:p>
    <w:p w14:paraId="5E056E53" w14:textId="77777777" w:rsidR="00AD5C97" w:rsidRPr="006C0EC6" w:rsidRDefault="00AD5C97">
      <w:pPr>
        <w:pStyle w:val="Textoindependiente"/>
        <w:spacing w:before="3"/>
        <w:rPr>
          <w:sz w:val="25"/>
        </w:rPr>
      </w:pPr>
    </w:p>
    <w:p w14:paraId="11663DD2" w14:textId="77777777" w:rsidR="00AD5C97" w:rsidRPr="006C0EC6" w:rsidRDefault="00BC13E9">
      <w:pPr>
        <w:pStyle w:val="Textoindependiente"/>
        <w:spacing w:line="278" w:lineRule="auto"/>
        <w:ind w:left="180" w:right="214"/>
        <w:jc w:val="both"/>
      </w:pPr>
      <w:r w:rsidRPr="006C0EC6">
        <w:t>“7. Los ingenieros civiles que son contratistas en su condición de persona natural están obligados a tener registro mercantil?</w:t>
      </w:r>
    </w:p>
    <w:p w14:paraId="1A5E68B3" w14:textId="77777777" w:rsidR="00AD5C97" w:rsidRPr="006C0EC6" w:rsidRDefault="00AD5C97">
      <w:pPr>
        <w:pStyle w:val="Textoindependiente"/>
        <w:spacing w:before="9"/>
        <w:rPr>
          <w:sz w:val="24"/>
        </w:rPr>
      </w:pPr>
    </w:p>
    <w:p w14:paraId="32E3527A" w14:textId="77777777" w:rsidR="00AD5C97" w:rsidRPr="006C0EC6" w:rsidRDefault="00BC13E9">
      <w:pPr>
        <w:pStyle w:val="Textoindependiente"/>
        <w:spacing w:before="1" w:line="278" w:lineRule="auto"/>
        <w:ind w:left="180" w:right="216"/>
        <w:jc w:val="both"/>
      </w:pPr>
      <w:r w:rsidRPr="006C0EC6">
        <w:t xml:space="preserve">“8. Existen algunos lineamientos para evaluar las explicaciones a los precios artificialmente </w:t>
      </w:r>
      <w:r w:rsidRPr="006C0EC6">
        <w:lastRenderedPageBreak/>
        <w:t>bajos, o es discrecionalidades del comité evaluador?</w:t>
      </w:r>
    </w:p>
    <w:p w14:paraId="55DFD5AE" w14:textId="77777777" w:rsidR="00AD5C97" w:rsidRPr="006C0EC6" w:rsidRDefault="00AD5C97">
      <w:pPr>
        <w:pStyle w:val="Textoindependiente"/>
        <w:spacing w:before="9"/>
        <w:rPr>
          <w:sz w:val="24"/>
        </w:rPr>
      </w:pPr>
    </w:p>
    <w:p w14:paraId="0715595E" w14:textId="77777777" w:rsidR="00AD5C97" w:rsidRPr="006C0EC6" w:rsidRDefault="00BC13E9">
      <w:pPr>
        <w:pStyle w:val="Ttulo1"/>
        <w:numPr>
          <w:ilvl w:val="0"/>
          <w:numId w:val="13"/>
        </w:numPr>
        <w:tabs>
          <w:tab w:val="left" w:pos="466"/>
        </w:tabs>
        <w:ind w:hanging="286"/>
      </w:pPr>
      <w:r w:rsidRPr="006C0EC6">
        <w:t>Consideraciones</w:t>
      </w:r>
    </w:p>
    <w:p w14:paraId="591226DD" w14:textId="77777777" w:rsidR="00AD5C97" w:rsidRPr="006C0EC6" w:rsidRDefault="00AD5C97">
      <w:pPr>
        <w:pStyle w:val="Textoindependiente"/>
        <w:spacing w:before="6"/>
        <w:rPr>
          <w:b/>
          <w:sz w:val="28"/>
        </w:rPr>
      </w:pPr>
    </w:p>
    <w:p w14:paraId="2869E393" w14:textId="77777777" w:rsidR="00AD5C97" w:rsidRPr="006C0EC6" w:rsidRDefault="00BC13E9">
      <w:pPr>
        <w:pStyle w:val="Textoindependiente"/>
        <w:spacing w:line="276" w:lineRule="auto"/>
        <w:ind w:left="180" w:right="208"/>
        <w:jc w:val="both"/>
      </w:pPr>
      <w:r w:rsidRPr="006C0EC6">
        <w:t>La Agencia Nacional de Contratación Pública - Colombia Compra Eficiente no es competente para resolver consultas referidas a actividades contractuales específicas de las Entidades Estatales, ni para intervenir en el desarrollo de los procedimientos de contratación que estas tramitan, sin embargo, como esta entidad es la encargada de la implementación y desarrollo de los Documentos Tipo, se dará respuesta de manera general.</w:t>
      </w:r>
    </w:p>
    <w:p w14:paraId="014C387A" w14:textId="77777777" w:rsidR="00AD5C97" w:rsidRPr="006C0EC6" w:rsidRDefault="00AD5C97">
      <w:pPr>
        <w:pStyle w:val="Textoindependiente"/>
        <w:spacing w:before="5"/>
        <w:rPr>
          <w:sz w:val="25"/>
        </w:rPr>
      </w:pPr>
    </w:p>
    <w:p w14:paraId="641F4B07" w14:textId="77777777" w:rsidR="00AD5C97" w:rsidRPr="006C0EC6" w:rsidRDefault="00BC13E9">
      <w:pPr>
        <w:pStyle w:val="Ttulo1"/>
        <w:numPr>
          <w:ilvl w:val="1"/>
          <w:numId w:val="12"/>
        </w:numPr>
        <w:tabs>
          <w:tab w:val="left" w:pos="548"/>
        </w:tabs>
      </w:pPr>
      <w:r w:rsidRPr="006C0EC6">
        <w:t>Acreditación del Sistema de Seguridad</w:t>
      </w:r>
      <w:r w:rsidRPr="006C0EC6">
        <w:rPr>
          <w:spacing w:val="-6"/>
        </w:rPr>
        <w:t xml:space="preserve"> </w:t>
      </w:r>
      <w:r w:rsidRPr="006C0EC6">
        <w:t>Social</w:t>
      </w:r>
    </w:p>
    <w:p w14:paraId="1F8E39EA" w14:textId="77777777" w:rsidR="00AD5C97" w:rsidRPr="006C0EC6" w:rsidRDefault="00AD5C97">
      <w:pPr>
        <w:pStyle w:val="Textoindependiente"/>
        <w:spacing w:before="7"/>
        <w:rPr>
          <w:b/>
          <w:sz w:val="28"/>
        </w:rPr>
      </w:pPr>
    </w:p>
    <w:p w14:paraId="2E509A4E" w14:textId="77777777" w:rsidR="00AD5C97" w:rsidRPr="006C0EC6" w:rsidRDefault="00BC13E9">
      <w:pPr>
        <w:pStyle w:val="Textoindependiente"/>
        <w:spacing w:line="276" w:lineRule="auto"/>
        <w:ind w:left="180" w:right="206"/>
        <w:jc w:val="both"/>
      </w:pPr>
      <w:r w:rsidRPr="006C0EC6">
        <w:t>Esta Subdirección, en el concepto identificado con el radicado No. 4201912000006748 del 1 de octubre de 2019, se pronunció sobre la forma de cumplimiento de la obligación de pagos de seguridad social y aportes legales en los Documentos Tipo. La tesis propuesta en este concepto es la que se expone a</w:t>
      </w:r>
      <w:r w:rsidRPr="006C0EC6">
        <w:rPr>
          <w:spacing w:val="-10"/>
        </w:rPr>
        <w:t xml:space="preserve"> </w:t>
      </w:r>
      <w:r w:rsidRPr="006C0EC6">
        <w:t>continuación.</w:t>
      </w:r>
    </w:p>
    <w:p w14:paraId="653C6312" w14:textId="77777777" w:rsidR="00AD5C97" w:rsidRPr="006C0EC6" w:rsidRDefault="00AD5C97">
      <w:pPr>
        <w:pStyle w:val="Textoindependiente"/>
        <w:spacing w:before="4"/>
        <w:rPr>
          <w:sz w:val="25"/>
        </w:rPr>
      </w:pPr>
    </w:p>
    <w:p w14:paraId="58B1A758" w14:textId="77777777" w:rsidR="00AD5C97" w:rsidRPr="006C0EC6" w:rsidRDefault="00BC13E9">
      <w:pPr>
        <w:pStyle w:val="Ttulo1"/>
        <w:numPr>
          <w:ilvl w:val="2"/>
          <w:numId w:val="12"/>
        </w:numPr>
        <w:tabs>
          <w:tab w:val="left" w:pos="866"/>
        </w:tabs>
        <w:spacing w:before="1" w:line="276" w:lineRule="auto"/>
        <w:ind w:right="204" w:firstLine="0"/>
      </w:pPr>
      <w:r w:rsidRPr="006C0EC6">
        <w:t>Acreditación del Sistema de Seguridad Social por parte de las personas jurídicas</w:t>
      </w:r>
    </w:p>
    <w:p w14:paraId="4451F5D3" w14:textId="77777777" w:rsidR="00AD5C97" w:rsidRPr="006C0EC6" w:rsidRDefault="00AD5C97">
      <w:pPr>
        <w:pStyle w:val="Textoindependiente"/>
        <w:spacing w:before="5"/>
        <w:rPr>
          <w:b/>
          <w:sz w:val="16"/>
        </w:rPr>
      </w:pPr>
    </w:p>
    <w:p w14:paraId="17506903" w14:textId="7357BA87" w:rsidR="00AD5C97" w:rsidRPr="006C0EC6" w:rsidRDefault="00BC13E9">
      <w:pPr>
        <w:pStyle w:val="Textoindependiente"/>
        <w:spacing w:before="93" w:line="276" w:lineRule="auto"/>
        <w:ind w:left="180" w:right="205"/>
        <w:jc w:val="both"/>
      </w:pPr>
      <w:r w:rsidRPr="006C0EC6">
        <w:t>En relación con la acreditación del pago al sistema de seguridad social, la Ley 789 de 2002, en el artículo 50, estableció como obligación de quien quiere celebrar, renovar o liquidar contratos de cualquier naturaleza con entidades del sector público, cumplir con las obligaciones a los sistemas de salud, riesgos profesionales, pensiones y aportes a la Caja de Compensación Familiar, Instituto Colombiano de Bienestar Familiar y Servicio Nacional de Aprendizaje. Asimismo, faculta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debieron</w:t>
      </w:r>
      <w:r w:rsidRPr="006C0EC6">
        <w:rPr>
          <w:spacing w:val="-17"/>
        </w:rPr>
        <w:t xml:space="preserve"> </w:t>
      </w:r>
      <w:r w:rsidRPr="006C0EC6">
        <w:t>cotizar</w:t>
      </w:r>
      <w:r w:rsidR="006C0EC6">
        <w:rPr>
          <w:rStyle w:val="Refdenotaalpie"/>
        </w:rPr>
        <w:footnoteReference w:id="1"/>
      </w:r>
      <w:r w:rsidRPr="006C0EC6">
        <w:t>.</w:t>
      </w:r>
    </w:p>
    <w:p w14:paraId="02D944E7" w14:textId="77777777" w:rsidR="00AD5C97" w:rsidRPr="006C0EC6" w:rsidRDefault="00AD5C97">
      <w:pPr>
        <w:pStyle w:val="Textoindependiente"/>
        <w:spacing w:before="5"/>
        <w:rPr>
          <w:sz w:val="25"/>
        </w:rPr>
      </w:pPr>
    </w:p>
    <w:p w14:paraId="7356EF3C" w14:textId="6490E3F7" w:rsidR="00AD5C97" w:rsidRDefault="00BC13E9" w:rsidP="006C0EC6">
      <w:pPr>
        <w:pStyle w:val="Textoindependiente"/>
        <w:spacing w:line="276" w:lineRule="auto"/>
        <w:ind w:left="180" w:right="208"/>
        <w:jc w:val="both"/>
      </w:pPr>
      <w:r w:rsidRPr="006C0EC6">
        <w:t>Además, aclara que las personas jurídicas que quieran celebrar contratos con las entidades estatales deben acreditan el pago al sistema de seguridad social de sus empleados, por eso presentarán una certificación expedida por el revisor fiscal o por el representante legal, durante un lapso equivalente al que exija el respectivo régimen de contratación para que se hubiera constituido la sociedad, el cual en todo caso no será inferior a los seis (6) meses anteriores a la celebración del contrato. En este sentido, la ley señala que para presentar la oferta, las personas jurídicas deben acreditar el requisito señalado anteriormente, es decir, el pago al sistema de seguridad social de sus empleados.</w:t>
      </w:r>
    </w:p>
    <w:p w14:paraId="25866907" w14:textId="77777777" w:rsidR="006C0EC6" w:rsidRPr="006C0EC6" w:rsidRDefault="006C0EC6" w:rsidP="006C0EC6">
      <w:pPr>
        <w:pStyle w:val="Textoindependiente"/>
        <w:spacing w:line="276" w:lineRule="auto"/>
        <w:ind w:left="180" w:right="208"/>
        <w:jc w:val="both"/>
        <w:rPr>
          <w:sz w:val="16"/>
        </w:rPr>
      </w:pPr>
    </w:p>
    <w:p w14:paraId="6924C229" w14:textId="2D3D45D0" w:rsidR="00AD5C97" w:rsidRPr="006C0EC6" w:rsidRDefault="00BC13E9">
      <w:pPr>
        <w:pStyle w:val="Textoindependiente"/>
        <w:spacing w:before="93" w:line="276" w:lineRule="auto"/>
        <w:ind w:left="180" w:right="203"/>
        <w:jc w:val="both"/>
      </w:pPr>
      <w:r w:rsidRPr="006C0EC6">
        <w:t>Esta norma fue analizada en una sentencia del Consejo de Estado, Sección Tercera, del 8 de junio de 2011, en el Radicado No. 20001-23-31-000-2005-00409-01(AP), consejero ponente Enrique Gil Botero, donde consideró que el artículo 50 de la Ley 789 de 2002 tiene por objeto evitar la evasión por parte de los empleadores de las cotizaciones al sistema de seguridad social y de los aportes parafiscales, y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w:t>
      </w:r>
      <w:r w:rsidR="006C0EC6">
        <w:rPr>
          <w:rStyle w:val="Refdenotaalpie"/>
        </w:rPr>
        <w:footnoteReference w:id="2"/>
      </w:r>
      <w:r w:rsidRPr="006C0EC6">
        <w:t xml:space="preserve">. Por lo </w:t>
      </w:r>
      <w:r w:rsidRPr="006C0EC6">
        <w:lastRenderedPageBreak/>
        <w:t>tanto, la jurisprudencia reiteró la necesidad de que las entidades estatales, durante la ejecución de un contrato, verifiquen el cumplimiento de las obligaciones del sistema de seguridad social por parte de los oferentes.</w:t>
      </w:r>
    </w:p>
    <w:p w14:paraId="4239985A" w14:textId="77777777" w:rsidR="00AD5C97" w:rsidRPr="006C0EC6" w:rsidRDefault="00AD5C97">
      <w:pPr>
        <w:pStyle w:val="Textoindependiente"/>
        <w:spacing w:before="6"/>
        <w:rPr>
          <w:sz w:val="25"/>
        </w:rPr>
      </w:pPr>
    </w:p>
    <w:p w14:paraId="6BE35C81" w14:textId="7B4B2A94" w:rsidR="00AD5C97" w:rsidRPr="006C0EC6" w:rsidRDefault="00BC13E9" w:rsidP="006C0EC6">
      <w:pPr>
        <w:pStyle w:val="Textoindependiente"/>
        <w:spacing w:line="276" w:lineRule="auto"/>
        <w:ind w:left="180" w:right="205"/>
        <w:jc w:val="both"/>
      </w:pPr>
      <w:r w:rsidRPr="006C0EC6">
        <w:t>Ahora, el numeral 3.4.1 del Documento Base establece que la persona jurídica debe presentar el Formato 6- Pagos de seguridad social y aportes legales suscrito por el Revisor fiscal o el representante legal que acredite el pago a los sistemas de salud, riesgos profesionales, pensiones y aportes a las Cajas de Compensación Familiar, Instituto Colombiano y Bienestar Familiar y el Servicio Nacional de Aprendizaje. No obstante, si la persona jurídica está exonerada en los términos previstos del artículo 65 de la Ley 1819 de</w:t>
      </w:r>
      <w:r w:rsidR="006C0EC6">
        <w:t xml:space="preserve"> </w:t>
      </w:r>
      <w:r w:rsidRPr="006C0EC6">
        <w:t>2016 así se debe indicar en el Formato 6- Pagos de seguridad Social y aportes legales. Así se determinó en los siguientes términos:</w:t>
      </w:r>
    </w:p>
    <w:p w14:paraId="0C60AB6A" w14:textId="77777777" w:rsidR="00AD5C97" w:rsidRPr="006C0EC6" w:rsidRDefault="00BC13E9">
      <w:pPr>
        <w:tabs>
          <w:tab w:val="left" w:pos="1595"/>
        </w:tabs>
        <w:spacing w:before="118"/>
        <w:ind w:left="605"/>
        <w:rPr>
          <w:b/>
          <w:sz w:val="21"/>
        </w:rPr>
      </w:pPr>
      <w:r w:rsidRPr="006C0EC6">
        <w:rPr>
          <w:b/>
          <w:sz w:val="21"/>
        </w:rPr>
        <w:t>3.4.1.</w:t>
      </w:r>
      <w:r w:rsidRPr="006C0EC6">
        <w:rPr>
          <w:b/>
          <w:sz w:val="21"/>
        </w:rPr>
        <w:tab/>
        <w:t>PERSONAS JURÍDICAS</w:t>
      </w:r>
    </w:p>
    <w:p w14:paraId="739CC05F" w14:textId="77777777" w:rsidR="00AD5C97" w:rsidRPr="006C0EC6" w:rsidRDefault="00AD5C97">
      <w:pPr>
        <w:pStyle w:val="Textoindependiente"/>
        <w:spacing w:before="9"/>
        <w:rPr>
          <w:b/>
          <w:sz w:val="23"/>
        </w:rPr>
      </w:pPr>
    </w:p>
    <w:p w14:paraId="5F8CE58F" w14:textId="77777777" w:rsidR="00AD5C97" w:rsidRPr="006C0EC6" w:rsidRDefault="00BC13E9">
      <w:pPr>
        <w:ind w:left="520" w:right="913"/>
        <w:jc w:val="both"/>
        <w:rPr>
          <w:sz w:val="21"/>
        </w:rPr>
      </w:pPr>
      <w:r w:rsidRPr="006C0EC6">
        <w:rPr>
          <w:sz w:val="21"/>
        </w:rPr>
        <w:t>El Proponente persona jurídica debe presentar el Formato 6 – Pagos de seguridad social y aportes legales suscrito por el Revisor Fiscal, de acuerdo con los requerimientos de Ley, o por el Representante Legal, bajo la gravedad del juramento, cuando no se requiera Revisor Fiscal, en la que conste el pago de los aportes de sus empleados a los sistemas de salud, riesgos profesionales, pensiones y aportes a las Cajas de Compensación Familiar, Instituto Colombiano de Bienestar Familiar y Servicio Nacional de Aprendizaje, cuando a ello haya lugar.</w:t>
      </w:r>
    </w:p>
    <w:p w14:paraId="3B4F9244" w14:textId="77777777" w:rsidR="00AD5C97" w:rsidRPr="006C0EC6" w:rsidRDefault="00AD5C97">
      <w:pPr>
        <w:pStyle w:val="Textoindependiente"/>
        <w:spacing w:before="1"/>
        <w:rPr>
          <w:sz w:val="21"/>
        </w:rPr>
      </w:pPr>
    </w:p>
    <w:p w14:paraId="76AB0315" w14:textId="77777777" w:rsidR="00AD5C97" w:rsidRPr="006C0EC6" w:rsidRDefault="00BC13E9">
      <w:pPr>
        <w:ind w:left="520" w:right="913"/>
        <w:jc w:val="both"/>
        <w:rPr>
          <w:sz w:val="21"/>
        </w:rPr>
      </w:pPr>
      <w:r w:rsidRPr="006C0EC6">
        <w:rPr>
          <w:sz w:val="21"/>
        </w:rPr>
        <w:t>Cuando la persona jurídica está exonerada en los términos previstos en el artículo 65 de la Ley 1819 de 2016 debe indicarlo en el Formato 6 – Pagos de seguridad social y aportes legales.</w:t>
      </w:r>
    </w:p>
    <w:p w14:paraId="19A2284E" w14:textId="77777777" w:rsidR="00AD5C97" w:rsidRPr="006C0EC6" w:rsidRDefault="00AD5C97">
      <w:pPr>
        <w:pStyle w:val="Textoindependiente"/>
        <w:spacing w:before="10"/>
        <w:rPr>
          <w:sz w:val="20"/>
        </w:rPr>
      </w:pPr>
    </w:p>
    <w:p w14:paraId="7CF0EC8F" w14:textId="77777777" w:rsidR="00AD5C97" w:rsidRPr="006C0EC6" w:rsidRDefault="00BC13E9">
      <w:pPr>
        <w:spacing w:before="1"/>
        <w:ind w:left="520" w:right="915"/>
        <w:jc w:val="both"/>
        <w:rPr>
          <w:sz w:val="21"/>
        </w:rPr>
      </w:pPr>
      <w:r w:rsidRPr="006C0EC6">
        <w:rPr>
          <w:sz w:val="21"/>
        </w:rPr>
        <w:t>Esta misma previsión aplica para las personas jurídicas extranjeras con domicilio o sucursal en Colombia las cuales deberán acreditar este requisito respecto del personal vinculado en Colombia.</w:t>
      </w:r>
    </w:p>
    <w:p w14:paraId="41B01AF1" w14:textId="77777777" w:rsidR="00AD5C97" w:rsidRPr="006C0EC6" w:rsidRDefault="00AD5C97">
      <w:pPr>
        <w:pStyle w:val="Textoindependiente"/>
        <w:spacing w:before="1"/>
        <w:rPr>
          <w:sz w:val="23"/>
        </w:rPr>
      </w:pPr>
    </w:p>
    <w:p w14:paraId="1C066618" w14:textId="77777777" w:rsidR="00AD5C97" w:rsidRPr="006C0EC6" w:rsidRDefault="00BC13E9">
      <w:pPr>
        <w:pStyle w:val="Textoindependiente"/>
        <w:spacing w:line="276" w:lineRule="auto"/>
        <w:ind w:left="180" w:right="204"/>
      </w:pPr>
      <w:r w:rsidRPr="006C0EC6">
        <w:t>Por su parte, el Formato 6 señala la forma en la cual se debe diligenciar el mismo, y este pone varios supuestos, los cuales se explicarán a continuación:</w:t>
      </w:r>
    </w:p>
    <w:p w14:paraId="3C8778B1" w14:textId="77777777" w:rsidR="00AD5C97" w:rsidRPr="006C0EC6" w:rsidRDefault="00AD5C97">
      <w:pPr>
        <w:pStyle w:val="Textoindependiente"/>
        <w:spacing w:before="4"/>
        <w:rPr>
          <w:sz w:val="25"/>
        </w:rPr>
      </w:pPr>
    </w:p>
    <w:p w14:paraId="342DED34" w14:textId="77777777" w:rsidR="00AD5C97" w:rsidRPr="006C0EC6" w:rsidRDefault="00BC13E9">
      <w:pPr>
        <w:pStyle w:val="Prrafodelista"/>
        <w:numPr>
          <w:ilvl w:val="0"/>
          <w:numId w:val="10"/>
        </w:numPr>
        <w:tabs>
          <w:tab w:val="left" w:pos="606"/>
        </w:tabs>
        <w:spacing w:line="276" w:lineRule="auto"/>
        <w:ind w:right="207"/>
      </w:pPr>
      <w:r w:rsidRPr="006C0EC6">
        <w:t>El primer párrafo se debe diligenciar cuando el Representante Legal de la persona jurídica suscribe el Formato y certifica el pago de los aportes a salud, riesgos profesionales, pensiones y aportes a la Caja de Compensación Familiar, Instituto Colombiano de Bienestar Familiar y el Servicio Nacional de Aprendizaje durante los últimos seis (6) meses contados a partir de la fecha de cierre del presente proceso de selección. En este caso, la persona jurídica tiene más de seis (6) meses de constituida.</w:t>
      </w:r>
    </w:p>
    <w:p w14:paraId="60F1A1A1" w14:textId="77777777" w:rsidR="00AD5C97" w:rsidRPr="006C0EC6" w:rsidRDefault="00AD5C97">
      <w:pPr>
        <w:pStyle w:val="Textoindependiente"/>
        <w:spacing w:before="3"/>
        <w:rPr>
          <w:sz w:val="25"/>
        </w:rPr>
      </w:pPr>
    </w:p>
    <w:p w14:paraId="30D2911B" w14:textId="77777777" w:rsidR="00AD5C97" w:rsidRPr="006C0EC6" w:rsidRDefault="00BC13E9">
      <w:pPr>
        <w:pStyle w:val="Prrafodelista"/>
        <w:numPr>
          <w:ilvl w:val="0"/>
          <w:numId w:val="10"/>
        </w:numPr>
        <w:tabs>
          <w:tab w:val="left" w:pos="606"/>
        </w:tabs>
        <w:spacing w:before="1" w:line="276" w:lineRule="auto"/>
        <w:ind w:right="207"/>
      </w:pPr>
      <w:r w:rsidRPr="006C0EC6">
        <w:t>El segundo párrafo se debe diligenciar en el caso que el revisor fiscal es el que diligencia el Formato 6 y certifica el pago de los aportes a salud, riesgos profesionales, pensiones y aportes a las Cajas de Compensación Familiar, Instituto Colombiano de Bienestar Familiar y Servicio Nacional de Aprendizaje pagados por la compañía durante los últimos seis (6) meses contados a partir de la fecha de cierre del presente proceso de selección. En este caso, la persona jurídica tiene más de seis (6) meses de constituida.</w:t>
      </w:r>
    </w:p>
    <w:p w14:paraId="191576B4" w14:textId="77777777" w:rsidR="00AD5C97" w:rsidRPr="006C0EC6" w:rsidRDefault="00AD5C97">
      <w:pPr>
        <w:pStyle w:val="Textoindependiente"/>
      </w:pPr>
    </w:p>
    <w:p w14:paraId="67778C37" w14:textId="77777777" w:rsidR="00AD5C97" w:rsidRPr="006C0EC6" w:rsidRDefault="00BC13E9">
      <w:pPr>
        <w:pStyle w:val="Prrafodelista"/>
        <w:numPr>
          <w:ilvl w:val="0"/>
          <w:numId w:val="10"/>
        </w:numPr>
        <w:tabs>
          <w:tab w:val="left" w:pos="605"/>
          <w:tab w:val="left" w:pos="606"/>
        </w:tabs>
        <w:spacing w:before="1"/>
        <w:ind w:hanging="426"/>
      </w:pPr>
      <w:r w:rsidRPr="006C0EC6">
        <w:t>El</w:t>
      </w:r>
      <w:r w:rsidRPr="006C0EC6">
        <w:rPr>
          <w:spacing w:val="17"/>
        </w:rPr>
        <w:t xml:space="preserve"> </w:t>
      </w:r>
      <w:r w:rsidRPr="006C0EC6">
        <w:t>cuarto</w:t>
      </w:r>
      <w:r w:rsidRPr="006C0EC6">
        <w:rPr>
          <w:spacing w:val="16"/>
        </w:rPr>
        <w:t xml:space="preserve"> </w:t>
      </w:r>
      <w:r w:rsidRPr="006C0EC6">
        <w:t>párrafo</w:t>
      </w:r>
      <w:r w:rsidRPr="006C0EC6">
        <w:rPr>
          <w:spacing w:val="16"/>
        </w:rPr>
        <w:t xml:space="preserve"> </w:t>
      </w:r>
      <w:r w:rsidRPr="006C0EC6">
        <w:t>se</w:t>
      </w:r>
      <w:r w:rsidRPr="006C0EC6">
        <w:rPr>
          <w:spacing w:val="16"/>
        </w:rPr>
        <w:t xml:space="preserve"> </w:t>
      </w:r>
      <w:r w:rsidRPr="006C0EC6">
        <w:t>debe</w:t>
      </w:r>
      <w:r w:rsidRPr="006C0EC6">
        <w:rPr>
          <w:spacing w:val="14"/>
        </w:rPr>
        <w:t xml:space="preserve"> </w:t>
      </w:r>
      <w:r w:rsidRPr="006C0EC6">
        <w:t>diligenciar</w:t>
      </w:r>
      <w:r w:rsidRPr="006C0EC6">
        <w:rPr>
          <w:spacing w:val="16"/>
        </w:rPr>
        <w:t xml:space="preserve"> </w:t>
      </w:r>
      <w:r w:rsidRPr="006C0EC6">
        <w:t>cuando</w:t>
      </w:r>
      <w:r w:rsidRPr="006C0EC6">
        <w:rPr>
          <w:spacing w:val="15"/>
        </w:rPr>
        <w:t xml:space="preserve"> </w:t>
      </w:r>
      <w:r w:rsidRPr="006C0EC6">
        <w:t>la</w:t>
      </w:r>
      <w:r w:rsidRPr="006C0EC6">
        <w:rPr>
          <w:spacing w:val="16"/>
        </w:rPr>
        <w:t xml:space="preserve"> </w:t>
      </w:r>
      <w:r w:rsidRPr="006C0EC6">
        <w:t>persona</w:t>
      </w:r>
      <w:r w:rsidRPr="006C0EC6">
        <w:rPr>
          <w:spacing w:val="17"/>
        </w:rPr>
        <w:t xml:space="preserve"> </w:t>
      </w:r>
      <w:r w:rsidRPr="006C0EC6">
        <w:t>jurídica</w:t>
      </w:r>
      <w:r w:rsidRPr="006C0EC6">
        <w:rPr>
          <w:spacing w:val="16"/>
        </w:rPr>
        <w:t xml:space="preserve"> </w:t>
      </w:r>
      <w:r w:rsidRPr="006C0EC6">
        <w:t>no</w:t>
      </w:r>
      <w:r w:rsidRPr="006C0EC6">
        <w:rPr>
          <w:spacing w:val="16"/>
        </w:rPr>
        <w:t xml:space="preserve"> </w:t>
      </w:r>
      <w:r w:rsidRPr="006C0EC6">
        <w:t>tiene</w:t>
      </w:r>
      <w:r w:rsidRPr="006C0EC6">
        <w:rPr>
          <w:spacing w:val="14"/>
        </w:rPr>
        <w:t xml:space="preserve"> </w:t>
      </w:r>
      <w:r w:rsidRPr="006C0EC6">
        <w:t>más</w:t>
      </w:r>
      <w:r w:rsidRPr="006C0EC6">
        <w:rPr>
          <w:spacing w:val="16"/>
        </w:rPr>
        <w:t xml:space="preserve"> </w:t>
      </w:r>
      <w:r w:rsidRPr="006C0EC6">
        <w:t>de</w:t>
      </w:r>
      <w:r w:rsidRPr="006C0EC6">
        <w:rPr>
          <w:spacing w:val="17"/>
        </w:rPr>
        <w:t xml:space="preserve"> </w:t>
      </w:r>
      <w:r w:rsidRPr="006C0EC6">
        <w:t>seis</w:t>
      </w:r>
    </w:p>
    <w:p w14:paraId="375DAABC" w14:textId="0B8D13A5" w:rsidR="00AD5C97" w:rsidRPr="006C0EC6" w:rsidRDefault="00BC13E9" w:rsidP="00B602BF">
      <w:pPr>
        <w:pStyle w:val="Prrafodelista"/>
        <w:numPr>
          <w:ilvl w:val="1"/>
          <w:numId w:val="10"/>
        </w:numPr>
        <w:tabs>
          <w:tab w:val="left" w:pos="946"/>
        </w:tabs>
        <w:spacing w:before="93" w:line="278" w:lineRule="auto"/>
        <w:ind w:right="208" w:firstLine="0"/>
      </w:pPr>
      <w:r w:rsidRPr="006C0EC6">
        <w:t>meses de constituida y el que va a firmar el Formato 6 es el Representante Legal; por</w:t>
      </w:r>
      <w:r w:rsidRPr="006C0EC6">
        <w:rPr>
          <w:spacing w:val="27"/>
        </w:rPr>
        <w:t xml:space="preserve"> </w:t>
      </w:r>
      <w:r w:rsidRPr="006C0EC6">
        <w:t>su</w:t>
      </w:r>
      <w:r w:rsidRPr="006C0EC6">
        <w:rPr>
          <w:spacing w:val="29"/>
        </w:rPr>
        <w:t xml:space="preserve"> </w:t>
      </w:r>
      <w:r w:rsidRPr="006C0EC6">
        <w:t>parte</w:t>
      </w:r>
      <w:r w:rsidRPr="006C0EC6">
        <w:rPr>
          <w:spacing w:val="30"/>
        </w:rPr>
        <w:t xml:space="preserve"> </w:t>
      </w:r>
      <w:r w:rsidRPr="006C0EC6">
        <w:t>se</w:t>
      </w:r>
      <w:r w:rsidRPr="006C0EC6">
        <w:rPr>
          <w:spacing w:val="28"/>
        </w:rPr>
        <w:t xml:space="preserve"> </w:t>
      </w:r>
      <w:r w:rsidRPr="006C0EC6">
        <w:t>acreditará</w:t>
      </w:r>
      <w:r w:rsidRPr="006C0EC6">
        <w:rPr>
          <w:spacing w:val="29"/>
        </w:rPr>
        <w:t xml:space="preserve"> </w:t>
      </w:r>
      <w:r w:rsidRPr="006C0EC6">
        <w:t>el</w:t>
      </w:r>
      <w:r w:rsidRPr="006C0EC6">
        <w:rPr>
          <w:spacing w:val="29"/>
        </w:rPr>
        <w:t xml:space="preserve"> </w:t>
      </w:r>
      <w:r w:rsidRPr="006C0EC6">
        <w:t>pago</w:t>
      </w:r>
      <w:r w:rsidRPr="006C0EC6">
        <w:rPr>
          <w:spacing w:val="29"/>
        </w:rPr>
        <w:t xml:space="preserve"> </w:t>
      </w:r>
      <w:r w:rsidRPr="006C0EC6">
        <w:t>del</w:t>
      </w:r>
      <w:r w:rsidRPr="006C0EC6">
        <w:rPr>
          <w:spacing w:val="29"/>
        </w:rPr>
        <w:t xml:space="preserve"> </w:t>
      </w:r>
      <w:r w:rsidRPr="006C0EC6">
        <w:t>Sistema</w:t>
      </w:r>
      <w:r w:rsidRPr="006C0EC6">
        <w:rPr>
          <w:spacing w:val="29"/>
        </w:rPr>
        <w:t xml:space="preserve"> </w:t>
      </w:r>
      <w:r w:rsidRPr="006C0EC6">
        <w:t>de</w:t>
      </w:r>
      <w:r w:rsidRPr="006C0EC6">
        <w:rPr>
          <w:spacing w:val="28"/>
        </w:rPr>
        <w:t xml:space="preserve"> </w:t>
      </w:r>
      <w:r w:rsidRPr="006C0EC6">
        <w:t>Seguridad</w:t>
      </w:r>
      <w:r w:rsidRPr="006C0EC6">
        <w:rPr>
          <w:spacing w:val="29"/>
        </w:rPr>
        <w:t xml:space="preserve"> </w:t>
      </w:r>
      <w:r w:rsidRPr="006C0EC6">
        <w:t>Social</w:t>
      </w:r>
      <w:r w:rsidRPr="006C0EC6">
        <w:rPr>
          <w:spacing w:val="28"/>
        </w:rPr>
        <w:t xml:space="preserve"> </w:t>
      </w:r>
      <w:r w:rsidRPr="006C0EC6">
        <w:t>y</w:t>
      </w:r>
      <w:r w:rsidRPr="006C0EC6">
        <w:rPr>
          <w:spacing w:val="26"/>
        </w:rPr>
        <w:t xml:space="preserve"> </w:t>
      </w:r>
      <w:r w:rsidRPr="006C0EC6">
        <w:t>aportes</w:t>
      </w:r>
      <w:r w:rsidRPr="006C0EC6">
        <w:rPr>
          <w:spacing w:val="28"/>
        </w:rPr>
        <w:t xml:space="preserve"> </w:t>
      </w:r>
      <w:r w:rsidRPr="006C0EC6">
        <w:t>a</w:t>
      </w:r>
      <w:r w:rsidRPr="006C0EC6">
        <w:rPr>
          <w:spacing w:val="29"/>
        </w:rPr>
        <w:t xml:space="preserve"> </w:t>
      </w:r>
      <w:r w:rsidRPr="006C0EC6">
        <w:t>las</w:t>
      </w:r>
      <w:r w:rsidR="006C0EC6">
        <w:t xml:space="preserve"> </w:t>
      </w:r>
      <w:r w:rsidRPr="006C0EC6">
        <w:t>Cajas de Compensación Familiar, ICBF y SENA desde la fecha de la constitución de la persona jurídica.</w:t>
      </w:r>
    </w:p>
    <w:p w14:paraId="1F6BCAE9" w14:textId="77777777" w:rsidR="00AD5C97" w:rsidRPr="006C0EC6" w:rsidRDefault="00AD5C97">
      <w:pPr>
        <w:pStyle w:val="Textoindependiente"/>
        <w:spacing w:before="7"/>
        <w:rPr>
          <w:sz w:val="21"/>
        </w:rPr>
      </w:pPr>
    </w:p>
    <w:p w14:paraId="0554139B" w14:textId="77777777" w:rsidR="00AD5C97" w:rsidRPr="006C0EC6" w:rsidRDefault="00BC13E9">
      <w:pPr>
        <w:pStyle w:val="Prrafodelista"/>
        <w:numPr>
          <w:ilvl w:val="0"/>
          <w:numId w:val="10"/>
        </w:numPr>
        <w:tabs>
          <w:tab w:val="left" w:pos="606"/>
        </w:tabs>
        <w:ind w:hanging="426"/>
      </w:pPr>
      <w:r w:rsidRPr="006C0EC6">
        <w:t>El</w:t>
      </w:r>
      <w:r w:rsidRPr="006C0EC6">
        <w:rPr>
          <w:spacing w:val="17"/>
        </w:rPr>
        <w:t xml:space="preserve"> </w:t>
      </w:r>
      <w:r w:rsidRPr="006C0EC6">
        <w:t>quinto</w:t>
      </w:r>
      <w:r w:rsidRPr="006C0EC6">
        <w:rPr>
          <w:spacing w:val="16"/>
        </w:rPr>
        <w:t xml:space="preserve"> </w:t>
      </w:r>
      <w:r w:rsidRPr="006C0EC6">
        <w:t>párrafo</w:t>
      </w:r>
      <w:r w:rsidRPr="006C0EC6">
        <w:rPr>
          <w:spacing w:val="16"/>
        </w:rPr>
        <w:t xml:space="preserve"> </w:t>
      </w:r>
      <w:r w:rsidRPr="006C0EC6">
        <w:t>se</w:t>
      </w:r>
      <w:r w:rsidRPr="006C0EC6">
        <w:rPr>
          <w:spacing w:val="16"/>
        </w:rPr>
        <w:t xml:space="preserve"> </w:t>
      </w:r>
      <w:r w:rsidRPr="006C0EC6">
        <w:t>debe</w:t>
      </w:r>
      <w:r w:rsidRPr="006C0EC6">
        <w:rPr>
          <w:spacing w:val="17"/>
        </w:rPr>
        <w:t xml:space="preserve"> </w:t>
      </w:r>
      <w:r w:rsidRPr="006C0EC6">
        <w:t>diligenciar</w:t>
      </w:r>
      <w:r w:rsidRPr="006C0EC6">
        <w:rPr>
          <w:spacing w:val="16"/>
        </w:rPr>
        <w:t xml:space="preserve"> </w:t>
      </w:r>
      <w:r w:rsidRPr="006C0EC6">
        <w:t>cuando</w:t>
      </w:r>
      <w:r w:rsidRPr="006C0EC6">
        <w:rPr>
          <w:spacing w:val="16"/>
        </w:rPr>
        <w:t xml:space="preserve"> </w:t>
      </w:r>
      <w:r w:rsidRPr="006C0EC6">
        <w:t>la</w:t>
      </w:r>
      <w:r w:rsidRPr="006C0EC6">
        <w:rPr>
          <w:spacing w:val="16"/>
        </w:rPr>
        <w:t xml:space="preserve"> </w:t>
      </w:r>
      <w:r w:rsidRPr="006C0EC6">
        <w:t>persona</w:t>
      </w:r>
      <w:r w:rsidRPr="006C0EC6">
        <w:rPr>
          <w:spacing w:val="16"/>
        </w:rPr>
        <w:t xml:space="preserve"> </w:t>
      </w:r>
      <w:r w:rsidRPr="006C0EC6">
        <w:t>jurídica</w:t>
      </w:r>
      <w:r w:rsidRPr="006C0EC6">
        <w:rPr>
          <w:spacing w:val="16"/>
        </w:rPr>
        <w:t xml:space="preserve"> </w:t>
      </w:r>
      <w:r w:rsidRPr="006C0EC6">
        <w:t>no</w:t>
      </w:r>
      <w:r w:rsidRPr="006C0EC6">
        <w:rPr>
          <w:spacing w:val="17"/>
        </w:rPr>
        <w:t xml:space="preserve"> </w:t>
      </w:r>
      <w:r w:rsidRPr="006C0EC6">
        <w:t>tiene</w:t>
      </w:r>
      <w:r w:rsidRPr="006C0EC6">
        <w:rPr>
          <w:spacing w:val="17"/>
        </w:rPr>
        <w:t xml:space="preserve"> </w:t>
      </w:r>
      <w:r w:rsidRPr="006C0EC6">
        <w:t>más</w:t>
      </w:r>
      <w:r w:rsidRPr="006C0EC6">
        <w:rPr>
          <w:spacing w:val="16"/>
        </w:rPr>
        <w:t xml:space="preserve"> </w:t>
      </w:r>
      <w:r w:rsidRPr="006C0EC6">
        <w:t>de</w:t>
      </w:r>
      <w:r w:rsidRPr="006C0EC6">
        <w:rPr>
          <w:spacing w:val="16"/>
        </w:rPr>
        <w:t xml:space="preserve"> </w:t>
      </w:r>
      <w:r w:rsidRPr="006C0EC6">
        <w:t>seis</w:t>
      </w:r>
    </w:p>
    <w:p w14:paraId="0580D550" w14:textId="77777777" w:rsidR="00AD5C97" w:rsidRPr="006C0EC6" w:rsidRDefault="00BC13E9">
      <w:pPr>
        <w:pStyle w:val="Prrafodelista"/>
        <w:numPr>
          <w:ilvl w:val="1"/>
          <w:numId w:val="10"/>
        </w:numPr>
        <w:tabs>
          <w:tab w:val="left" w:pos="946"/>
        </w:tabs>
        <w:spacing w:before="40" w:line="276" w:lineRule="auto"/>
        <w:ind w:right="205" w:firstLine="0"/>
      </w:pPr>
      <w:r w:rsidRPr="006C0EC6">
        <w:t xml:space="preserve">meses de constituida y el que va a firmar el Formato 6 es el Representante Legal. Ahora, se acreditará el pago de los aportes de salud, riesgos profesionales, pensiones y aportes a las Cajas de Compensación Familiar, Instituto Colombiano de Bienestar Familiar y Servicio Nacional de Aprendizaje, (Articulo 65 Ley 1819 </w:t>
      </w:r>
      <w:r w:rsidRPr="006C0EC6">
        <w:rPr>
          <w:spacing w:val="4"/>
        </w:rPr>
        <w:t xml:space="preserve">de </w:t>
      </w:r>
      <w:r w:rsidRPr="006C0EC6">
        <w:t>2016), pagados por la compañía a partir de la fecha de constitución de la persona</w:t>
      </w:r>
      <w:r w:rsidRPr="006C0EC6">
        <w:rPr>
          <w:spacing w:val="-26"/>
        </w:rPr>
        <w:t xml:space="preserve"> </w:t>
      </w:r>
      <w:r w:rsidRPr="006C0EC6">
        <w:t>jurídica.</w:t>
      </w:r>
    </w:p>
    <w:p w14:paraId="3A8413C9" w14:textId="77777777" w:rsidR="00AD5C97" w:rsidRPr="006C0EC6" w:rsidRDefault="00AD5C97">
      <w:pPr>
        <w:pStyle w:val="Textoindependiente"/>
      </w:pPr>
    </w:p>
    <w:p w14:paraId="77F7E8EC" w14:textId="77777777" w:rsidR="00AD5C97" w:rsidRPr="006C0EC6" w:rsidRDefault="00BC13E9">
      <w:pPr>
        <w:pStyle w:val="Prrafodelista"/>
        <w:numPr>
          <w:ilvl w:val="0"/>
          <w:numId w:val="10"/>
        </w:numPr>
        <w:tabs>
          <w:tab w:val="left" w:pos="606"/>
        </w:tabs>
        <w:spacing w:line="276" w:lineRule="auto"/>
        <w:ind w:right="206"/>
      </w:pPr>
      <w:r w:rsidRPr="006C0EC6">
        <w:t xml:space="preserve">Finalmente, se deberá diligenciar la última parte del Formato </w:t>
      </w:r>
      <w:r w:rsidRPr="006C0EC6">
        <w:rPr>
          <w:spacing w:val="3"/>
        </w:rPr>
        <w:t xml:space="preserve">6- </w:t>
      </w:r>
      <w:r w:rsidRPr="006C0EC6">
        <w:t>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w:t>
      </w:r>
      <w:r w:rsidRPr="006C0EC6">
        <w:rPr>
          <w:spacing w:val="-8"/>
        </w:rPr>
        <w:t xml:space="preserve"> </w:t>
      </w:r>
      <w:r w:rsidRPr="006C0EC6">
        <w:t>Fiscal.</w:t>
      </w:r>
    </w:p>
    <w:p w14:paraId="7CAF9CF1" w14:textId="77777777" w:rsidR="00AD5C97" w:rsidRPr="006C0EC6" w:rsidRDefault="00AD5C97">
      <w:pPr>
        <w:pStyle w:val="Textoindependiente"/>
        <w:spacing w:before="2"/>
        <w:rPr>
          <w:sz w:val="25"/>
        </w:rPr>
      </w:pPr>
    </w:p>
    <w:p w14:paraId="7824C973" w14:textId="77777777" w:rsidR="00AD5C97" w:rsidRPr="006C0EC6" w:rsidRDefault="00BC13E9">
      <w:pPr>
        <w:pStyle w:val="Ttulo1"/>
        <w:spacing w:line="278" w:lineRule="auto"/>
        <w:ind w:left="900" w:right="204" w:hanging="720"/>
      </w:pPr>
      <w:r w:rsidRPr="006C0EC6">
        <w:t>2.1.2. Acreditación del Sistema de Seguridad Social por parte de las personas naturales</w:t>
      </w:r>
    </w:p>
    <w:p w14:paraId="36514361" w14:textId="77777777" w:rsidR="00AD5C97" w:rsidRPr="006C0EC6" w:rsidRDefault="00AD5C97">
      <w:pPr>
        <w:pStyle w:val="Textoindependiente"/>
        <w:spacing w:before="10"/>
        <w:rPr>
          <w:b/>
          <w:sz w:val="24"/>
        </w:rPr>
      </w:pPr>
    </w:p>
    <w:p w14:paraId="6692AACA" w14:textId="77777777" w:rsidR="00AD5C97" w:rsidRPr="006C0EC6" w:rsidRDefault="00BC13E9">
      <w:pPr>
        <w:pStyle w:val="Textoindependiente"/>
        <w:spacing w:line="276" w:lineRule="auto"/>
        <w:ind w:left="180" w:right="211"/>
        <w:jc w:val="both"/>
      </w:pPr>
      <w:r w:rsidRPr="006C0EC6">
        <w:t>Ahora, en relación con las personas naturales también se exigirá la presentación del Formato 6- Pagos de Seguridad Social y Aportes Legales para que se acredite el pago de sus aportes y el de sus empleados a los sistemas de salud, riesgos profesionales y aportes a la Caja de Compensación Familiar, ICBF y Servicio Nacional de Aprendizaje. Ahora, si la persona natural no tiene personal a su cargo, deberá acreditar el pago de sus aportes descritos cuando a ellos hubiera lugar. Así se definió en los siguientes términos:</w:t>
      </w:r>
    </w:p>
    <w:p w14:paraId="23AEFD52" w14:textId="77777777" w:rsidR="00AD5C97" w:rsidRPr="006C0EC6" w:rsidRDefault="00AD5C97">
      <w:pPr>
        <w:pStyle w:val="Textoindependiente"/>
        <w:spacing w:before="4"/>
        <w:rPr>
          <w:sz w:val="25"/>
        </w:rPr>
      </w:pPr>
    </w:p>
    <w:p w14:paraId="0B3908E3" w14:textId="77777777" w:rsidR="00AD5C97" w:rsidRPr="006C0EC6" w:rsidRDefault="00BC13E9">
      <w:pPr>
        <w:ind w:left="888"/>
        <w:rPr>
          <w:b/>
          <w:sz w:val="21"/>
        </w:rPr>
      </w:pPr>
      <w:r w:rsidRPr="006C0EC6">
        <w:rPr>
          <w:b/>
          <w:sz w:val="21"/>
        </w:rPr>
        <w:t>3.4.2. PERSONAS NATURALES</w:t>
      </w:r>
    </w:p>
    <w:p w14:paraId="261694A1" w14:textId="77777777" w:rsidR="00AD5C97" w:rsidRPr="006C0EC6" w:rsidRDefault="00AD5C97">
      <w:pPr>
        <w:pStyle w:val="Textoindependiente"/>
        <w:spacing w:before="11"/>
        <w:rPr>
          <w:b/>
          <w:sz w:val="20"/>
        </w:rPr>
      </w:pPr>
    </w:p>
    <w:p w14:paraId="4B50A5C0" w14:textId="77777777" w:rsidR="00AD5C97" w:rsidRPr="006C0EC6" w:rsidRDefault="00BC13E9">
      <w:pPr>
        <w:ind w:left="888" w:right="914"/>
        <w:jc w:val="both"/>
        <w:rPr>
          <w:sz w:val="21"/>
        </w:rPr>
      </w:pPr>
      <w:r w:rsidRPr="006C0EC6">
        <w:rPr>
          <w:sz w:val="21"/>
        </w:rPr>
        <w:t xml:space="preserve">El Proponente persona natural deberá presentar el Formato 6 – Pagos de seguridad social y aportes legales, en la que conste el pago de sus aportes y el de sus empleados a los sistemas de salud, riesgos profesionales, pensiones y </w:t>
      </w:r>
      <w:r w:rsidRPr="006C0EC6">
        <w:rPr>
          <w:sz w:val="21"/>
        </w:rPr>
        <w:lastRenderedPageBreak/>
        <w:t>aportes a las Cajas de Compensación Familiar, Instituto Colombiano de Bienestar Familiar y Servicio Nacional de Aprendizaje, cuando a ello haya lugar, junto con las planillas de pago respectivas.</w:t>
      </w:r>
    </w:p>
    <w:p w14:paraId="6FF3989B" w14:textId="77777777" w:rsidR="00AD5C97" w:rsidRPr="006C0EC6" w:rsidRDefault="00AD5C97">
      <w:pPr>
        <w:pStyle w:val="Textoindependiente"/>
        <w:rPr>
          <w:sz w:val="21"/>
        </w:rPr>
      </w:pPr>
    </w:p>
    <w:p w14:paraId="6F3254B0" w14:textId="77777777" w:rsidR="00AD5C97" w:rsidRPr="006C0EC6" w:rsidRDefault="00BC13E9">
      <w:pPr>
        <w:ind w:left="888" w:right="922"/>
        <w:jc w:val="both"/>
        <w:rPr>
          <w:sz w:val="21"/>
        </w:rPr>
      </w:pPr>
      <w:r w:rsidRPr="006C0EC6">
        <w:rPr>
          <w:sz w:val="21"/>
        </w:rPr>
        <w:t>Cuando el Proponente sea una persona natural sin personal, deberá acreditar el pago de sus aportes descritos cuando a ello haya lugar de acuerdo con la normativa aplicable.</w:t>
      </w:r>
    </w:p>
    <w:p w14:paraId="6C27191C" w14:textId="77777777" w:rsidR="006C0EC6" w:rsidRDefault="006C0EC6">
      <w:pPr>
        <w:spacing w:before="94"/>
        <w:ind w:left="888" w:right="921"/>
        <w:jc w:val="both"/>
        <w:rPr>
          <w:sz w:val="21"/>
        </w:rPr>
      </w:pPr>
    </w:p>
    <w:p w14:paraId="31FD45D4" w14:textId="3E375791" w:rsidR="00AD5C97" w:rsidRPr="006C0EC6" w:rsidRDefault="00BC13E9">
      <w:pPr>
        <w:spacing w:before="94"/>
        <w:ind w:left="888" w:right="921"/>
        <w:jc w:val="both"/>
        <w:rPr>
          <w:sz w:val="21"/>
        </w:rPr>
      </w:pPr>
      <w:r w:rsidRPr="006C0EC6">
        <w:rPr>
          <w:sz w:val="21"/>
        </w:rPr>
        <w:t>Esta misma previsión aplica para las personas naturales extranjeras con domicilio en Colombia las cuales deberán acreditar este requisito respecto del personal vinculado en Colombia.</w:t>
      </w:r>
    </w:p>
    <w:p w14:paraId="5C6C98DA" w14:textId="77777777" w:rsidR="00AD5C97" w:rsidRPr="006C0EC6" w:rsidRDefault="00AD5C97">
      <w:pPr>
        <w:pStyle w:val="Textoindependiente"/>
        <w:spacing w:before="6"/>
        <w:rPr>
          <w:sz w:val="25"/>
        </w:rPr>
      </w:pPr>
    </w:p>
    <w:p w14:paraId="4D30BDEF" w14:textId="77777777" w:rsidR="00AD5C97" w:rsidRPr="006C0EC6" w:rsidRDefault="00BC13E9">
      <w:pPr>
        <w:pStyle w:val="Textoindependiente"/>
        <w:spacing w:line="276" w:lineRule="auto"/>
        <w:ind w:left="180" w:right="211"/>
        <w:jc w:val="both"/>
      </w:pPr>
      <w:r w:rsidRPr="006C0EC6">
        <w:t>Ahora, en relación con el diligenciamiento del Formato 6 por parte de las personas naturales se diligenciará de la siguiente forma:</w:t>
      </w:r>
    </w:p>
    <w:p w14:paraId="61F35263" w14:textId="77777777" w:rsidR="00AD5C97" w:rsidRPr="006C0EC6" w:rsidRDefault="00AD5C97">
      <w:pPr>
        <w:pStyle w:val="Textoindependiente"/>
        <w:spacing w:before="3"/>
        <w:rPr>
          <w:sz w:val="25"/>
        </w:rPr>
      </w:pPr>
    </w:p>
    <w:p w14:paraId="4EAC94A1" w14:textId="77777777" w:rsidR="00AD5C97" w:rsidRPr="006C0EC6" w:rsidRDefault="00BC13E9">
      <w:pPr>
        <w:pStyle w:val="Prrafodelista"/>
        <w:numPr>
          <w:ilvl w:val="0"/>
          <w:numId w:val="9"/>
        </w:numPr>
        <w:tabs>
          <w:tab w:val="left" w:pos="901"/>
        </w:tabs>
        <w:spacing w:line="276" w:lineRule="auto"/>
        <w:ind w:right="210"/>
      </w:pPr>
      <w:r w:rsidRPr="006C0EC6">
        <w:t>El primer párrafo se deberá diligenciar por parte de la persona natural que presenta la oferta para acreditar el pago suyo y el de sus empleados al sistema de salud, riesgos profesionales, pensiones y aportes a las Cajas de Compensación Familiar, Instituto Colombiano de Bienestar Familiar y Servicio Nacional de</w:t>
      </w:r>
      <w:r w:rsidRPr="006C0EC6">
        <w:rPr>
          <w:spacing w:val="-34"/>
        </w:rPr>
        <w:t xml:space="preserve"> </w:t>
      </w:r>
      <w:r w:rsidRPr="006C0EC6">
        <w:t>Aprendizaje.</w:t>
      </w:r>
    </w:p>
    <w:p w14:paraId="4DCEB735" w14:textId="77777777" w:rsidR="00AD5C97" w:rsidRPr="006C0EC6" w:rsidRDefault="00AD5C97">
      <w:pPr>
        <w:pStyle w:val="Textoindependiente"/>
        <w:spacing w:before="4"/>
        <w:rPr>
          <w:sz w:val="25"/>
        </w:rPr>
      </w:pPr>
    </w:p>
    <w:p w14:paraId="0E575A7A" w14:textId="77777777" w:rsidR="00AD5C97" w:rsidRPr="006C0EC6" w:rsidRDefault="00BC13E9">
      <w:pPr>
        <w:pStyle w:val="Prrafodelista"/>
        <w:numPr>
          <w:ilvl w:val="0"/>
          <w:numId w:val="9"/>
        </w:numPr>
        <w:tabs>
          <w:tab w:val="left" w:pos="901"/>
        </w:tabs>
        <w:spacing w:before="1" w:line="276" w:lineRule="auto"/>
        <w:ind w:right="210"/>
      </w:pPr>
      <w:r w:rsidRPr="006C0EC6">
        <w:t>Ahora, también se deberá diligenciar el segundo párrafo en el caso que la persona natural se encuentra exonerada en el pago de seguridad social por los empleados que devenguen menos de diez (10) salarios mínimos legales mensuales vigentes. Lo anterior no aplicará para personas naturales que empleen menos de dos trabajadores, los cuales seguirán obligados a efectuar los aportes de que trata este inciso.</w:t>
      </w:r>
    </w:p>
    <w:p w14:paraId="4836B537" w14:textId="77777777" w:rsidR="00AD5C97" w:rsidRPr="006C0EC6" w:rsidRDefault="00AD5C97">
      <w:pPr>
        <w:pStyle w:val="Textoindependiente"/>
        <w:spacing w:before="1"/>
        <w:rPr>
          <w:sz w:val="25"/>
        </w:rPr>
      </w:pPr>
    </w:p>
    <w:p w14:paraId="75D2CFFA" w14:textId="77777777" w:rsidR="00AD5C97" w:rsidRPr="006C0EC6" w:rsidRDefault="00BC13E9">
      <w:pPr>
        <w:pStyle w:val="Textoindependiente"/>
        <w:spacing w:line="276" w:lineRule="auto"/>
        <w:ind w:left="180" w:right="203"/>
        <w:jc w:val="both"/>
      </w:pPr>
      <w:r w:rsidRPr="006C0EC6">
        <w:t>Por lo tanto, la persona natural que acredita estar al día en el pago de seguridad social y aportes parafiscales al SENA, ICBF y se encuentre exonerada del pago de los empleados que tiene a su cargo deberá diligenciar el primer y segundo párrafo del Formato 6- pagos de seguridad social y aportes legales para las personas naturales.</w:t>
      </w:r>
    </w:p>
    <w:p w14:paraId="33819139" w14:textId="77777777" w:rsidR="00AD5C97" w:rsidRPr="006C0EC6" w:rsidRDefault="00AD5C97">
      <w:pPr>
        <w:pStyle w:val="Textoindependiente"/>
        <w:spacing w:before="5"/>
        <w:rPr>
          <w:sz w:val="25"/>
        </w:rPr>
      </w:pPr>
    </w:p>
    <w:p w14:paraId="0CAD04A9" w14:textId="77777777" w:rsidR="00AD5C97" w:rsidRPr="006C0EC6" w:rsidRDefault="00BC13E9">
      <w:pPr>
        <w:pStyle w:val="Textoindependiente"/>
        <w:spacing w:line="276" w:lineRule="auto"/>
        <w:ind w:left="180" w:right="212"/>
        <w:jc w:val="both"/>
      </w:pPr>
      <w:r w:rsidRPr="006C0EC6">
        <w:t>Explicado el requisito del “Certificado de Pago de Seguridad Social” en los Documentos Tipo, y, además, el diligenciamiento del Formato 6. Se dará respuesta a cada una de sus inquietudes.</w:t>
      </w:r>
    </w:p>
    <w:p w14:paraId="64988FC6" w14:textId="77777777" w:rsidR="00AD5C97" w:rsidRPr="006C0EC6" w:rsidRDefault="00AD5C97">
      <w:pPr>
        <w:pStyle w:val="Textoindependiente"/>
        <w:spacing w:before="2"/>
        <w:rPr>
          <w:sz w:val="25"/>
        </w:rPr>
      </w:pPr>
    </w:p>
    <w:p w14:paraId="4600C059" w14:textId="2A147496" w:rsidR="00AD5C97" w:rsidRPr="006C0EC6" w:rsidRDefault="00BC13E9" w:rsidP="006C0EC6">
      <w:pPr>
        <w:pStyle w:val="Textoindependiente"/>
        <w:spacing w:line="276" w:lineRule="auto"/>
        <w:ind w:left="180" w:right="208"/>
        <w:jc w:val="both"/>
      </w:pPr>
      <w:r w:rsidRPr="006C0EC6">
        <w:t>En la primera pregunta, usted señala ¿si los formatos de acreditación de paz y salvo en los pagos de seguridad social son modificables? El Decreto 342 de 2019, en el artículo 2.2.1.2.6.1.2 señala que los Documentos Tipo contienen parámetros obligatorios para las entidades sometidas al Estatuto General de Contratación Pública, entre estos documentos se encuentra el Formato 6- Pagos de Seguridad Social y aportes Legales. Por lo tanto, las</w:t>
      </w:r>
      <w:r w:rsidR="006C0EC6">
        <w:t xml:space="preserve"> </w:t>
      </w:r>
      <w:r w:rsidRPr="006C0EC6">
        <w:t>entidades deben aplicar de forma obligatoria el Formato 6 referido al Pago de Seguridad Social y aportes legales.</w:t>
      </w:r>
    </w:p>
    <w:p w14:paraId="25DFF69E" w14:textId="77777777" w:rsidR="00AD5C97" w:rsidRPr="006C0EC6" w:rsidRDefault="00AD5C97">
      <w:pPr>
        <w:pStyle w:val="Textoindependiente"/>
        <w:spacing w:before="1"/>
        <w:rPr>
          <w:sz w:val="25"/>
        </w:rPr>
      </w:pPr>
    </w:p>
    <w:p w14:paraId="1C04CE89" w14:textId="77777777" w:rsidR="00AD5C97" w:rsidRPr="006C0EC6" w:rsidRDefault="00BC13E9">
      <w:pPr>
        <w:pStyle w:val="Textoindependiente"/>
        <w:spacing w:line="276" w:lineRule="auto"/>
        <w:ind w:left="180" w:right="206"/>
        <w:jc w:val="both"/>
      </w:pPr>
      <w:r w:rsidRPr="006C0EC6">
        <w:t>Ahora, el Decreto 342 de 2019, en el artículo 2.2.1.2.6.1.4, se establece que las entidades no podrán incluir o modificar dentro de los Documentos del Proceso las condiciones habilitantes, los factores técnicos y económicos de escogencia y los sistemas de ponderación distintos a los señalados en los Documentos Tipo.</w:t>
      </w:r>
    </w:p>
    <w:p w14:paraId="7F742E04" w14:textId="77777777" w:rsidR="00AD5C97" w:rsidRPr="006C0EC6" w:rsidRDefault="00AD5C97">
      <w:pPr>
        <w:pStyle w:val="Textoindependiente"/>
        <w:spacing w:before="1"/>
        <w:rPr>
          <w:sz w:val="25"/>
        </w:rPr>
      </w:pPr>
    </w:p>
    <w:p w14:paraId="27163DE6" w14:textId="77777777" w:rsidR="00AD5C97" w:rsidRPr="006C0EC6" w:rsidRDefault="00BC13E9">
      <w:pPr>
        <w:pStyle w:val="Textoindependiente"/>
        <w:spacing w:line="276" w:lineRule="auto"/>
        <w:ind w:left="180" w:right="205"/>
        <w:jc w:val="both"/>
      </w:pPr>
      <w:r w:rsidRPr="006C0EC6">
        <w:t>En este sentido, en virtud de los artículos 2.2.1.2.6.1.2 6 y 2.2.1.2.6.1.4 del Decreto 1082 de 2015 es obligatorio el uso del Formato 6 - Certificación de Pagos de Seguridad Social y Aportes Legales y no es posible modificar su</w:t>
      </w:r>
      <w:r w:rsidRPr="006C0EC6">
        <w:rPr>
          <w:spacing w:val="-11"/>
        </w:rPr>
        <w:t xml:space="preserve"> </w:t>
      </w:r>
      <w:r w:rsidRPr="006C0EC6">
        <w:t>contenido.</w:t>
      </w:r>
    </w:p>
    <w:p w14:paraId="1B517081" w14:textId="77777777" w:rsidR="00AD5C97" w:rsidRPr="006C0EC6" w:rsidRDefault="00AD5C97">
      <w:pPr>
        <w:pStyle w:val="Textoindependiente"/>
        <w:spacing w:before="5"/>
        <w:rPr>
          <w:sz w:val="25"/>
        </w:rPr>
      </w:pPr>
    </w:p>
    <w:p w14:paraId="1E55D770" w14:textId="77777777" w:rsidR="00AD5C97" w:rsidRPr="006C0EC6" w:rsidRDefault="00BC13E9">
      <w:pPr>
        <w:pStyle w:val="Textoindependiente"/>
        <w:spacing w:before="1" w:line="276" w:lineRule="auto"/>
        <w:ind w:left="180" w:right="214"/>
        <w:jc w:val="both"/>
      </w:pPr>
      <w:r w:rsidRPr="006C0EC6">
        <w:t>Ahora, usted también pregunta: ¿si una empresa no está obligada a pagar ICBF y SENA, pero aun así presenta el formato diciendo que está paz y salvo en el pago de esto, puede ser rechazado argumentando que está presentando información inexacta o no veraz?</w:t>
      </w:r>
    </w:p>
    <w:p w14:paraId="5E369D9B" w14:textId="77777777" w:rsidR="00AD5C97" w:rsidRPr="006C0EC6" w:rsidRDefault="00AD5C97">
      <w:pPr>
        <w:pStyle w:val="Textoindependiente"/>
        <w:spacing w:before="2"/>
        <w:rPr>
          <w:sz w:val="25"/>
        </w:rPr>
      </w:pPr>
    </w:p>
    <w:p w14:paraId="70492CCE" w14:textId="77777777" w:rsidR="00AD5C97" w:rsidRPr="006C0EC6" w:rsidRDefault="00BC13E9">
      <w:pPr>
        <w:pStyle w:val="Textoindependiente"/>
        <w:spacing w:line="276" w:lineRule="auto"/>
        <w:ind w:left="180" w:right="202"/>
        <w:jc w:val="both"/>
      </w:pPr>
      <w:r w:rsidRPr="006C0EC6">
        <w:t xml:space="preserve">En primer lugar, es importante indicar que el legislador al prever la obligatoriedad del pago al Sistema de Seguridad Social como un requisito al momento de presentar la oferta </w:t>
      </w:r>
      <w:r w:rsidRPr="006C0EC6">
        <w:rPr>
          <w:spacing w:val="4"/>
        </w:rPr>
        <w:t xml:space="preserve">se </w:t>
      </w:r>
      <w:r w:rsidRPr="006C0EC6">
        <w:t>previó como una forma para evitar la evasión al pago del Sistema de Seguridad. Así lo reiteró, el Consejo de Estado, Sección Tercera, en la sentencia con Radicado No. 20001- 23-31-000-2005-00409-01(AP), consejero ponente Enrique Gil Botero al señalar que, i) el principal objetivo del artículo 50 de la Ley 789 de 2002 es evitar la evasión por parte de los empleadores en las cotizaciones al Sistema de Seguridad Social y de los aportes parafiscales destinados al Instituto Colombiano de Bienestar Familiar, las Cajas de Compensación y el Sena, y además, ii) como una forma para garantizar el propósito de esta ley las entidades deben verificar en los procesos de selección de contratistas y en la ejecución y liquidación de los contratos, que tanto los oferentes como los contratistas hayan realizado los aportes</w:t>
      </w:r>
      <w:r w:rsidRPr="006C0EC6">
        <w:rPr>
          <w:spacing w:val="-5"/>
        </w:rPr>
        <w:t xml:space="preserve"> </w:t>
      </w:r>
      <w:r w:rsidRPr="006C0EC6">
        <w:t>respectivos.</w:t>
      </w:r>
    </w:p>
    <w:p w14:paraId="4248D173" w14:textId="77777777" w:rsidR="00AD5C97" w:rsidRPr="006C0EC6" w:rsidRDefault="00AD5C97">
      <w:pPr>
        <w:pStyle w:val="Textoindependiente"/>
        <w:spacing w:before="4"/>
        <w:rPr>
          <w:sz w:val="25"/>
        </w:rPr>
      </w:pPr>
    </w:p>
    <w:p w14:paraId="7E97F0EE" w14:textId="77777777" w:rsidR="00AD5C97" w:rsidRPr="006C0EC6" w:rsidRDefault="00BC13E9">
      <w:pPr>
        <w:pStyle w:val="Textoindependiente"/>
        <w:spacing w:line="276" w:lineRule="auto"/>
        <w:ind w:left="180" w:right="213"/>
        <w:jc w:val="both"/>
      </w:pPr>
      <w:r w:rsidRPr="006C0EC6">
        <w:t>Por lo tanto, la entidad deberá verificar que los oferentes no estén evadiendo el pago al Sistema de Seguridad Social teniendo el deber de realizarlo. Ahora, si el oferente realiza el pago de Sistema de Seguridad Social aun cuando no se tiene la obligación, esta no será una razón para rechazarle la oferta, porque no está evadiendo ningún pago al Sistema de Seguridad Social.</w:t>
      </w:r>
    </w:p>
    <w:p w14:paraId="2602D798" w14:textId="77777777" w:rsidR="00AD5C97" w:rsidRPr="006C0EC6" w:rsidRDefault="00AD5C97">
      <w:pPr>
        <w:pStyle w:val="Textoindependiente"/>
        <w:spacing w:before="3"/>
        <w:rPr>
          <w:sz w:val="25"/>
        </w:rPr>
      </w:pPr>
    </w:p>
    <w:p w14:paraId="5FB95BC3" w14:textId="2FCADBBE" w:rsidR="00AD5C97" w:rsidRPr="006C0EC6" w:rsidRDefault="00BC13E9" w:rsidP="006C0EC6">
      <w:pPr>
        <w:pStyle w:val="Textoindependiente"/>
        <w:spacing w:before="1" w:line="278" w:lineRule="auto"/>
        <w:ind w:left="180" w:right="207"/>
        <w:jc w:val="both"/>
        <w:rPr>
          <w:sz w:val="18"/>
        </w:rPr>
      </w:pPr>
      <w:r w:rsidRPr="006C0EC6">
        <w:t>Además, es importante señalar que si el oferente diligencia en indebida forma el “Formato 6- Pagos de seguridad social y aportes legales” y certifica que realizó el pago al Sistema</w:t>
      </w:r>
      <w:r w:rsidR="006C0EC6">
        <w:t xml:space="preserve"> </w:t>
      </w:r>
      <w:r w:rsidRPr="006C0EC6">
        <w:rPr>
          <w:sz w:val="18"/>
        </w:rPr>
        <w:t>“6. Formato 6 - Pagos de seguridad social y aportes legales”.</w:t>
      </w:r>
    </w:p>
    <w:p w14:paraId="650233F6" w14:textId="77777777" w:rsidR="00AD5C97" w:rsidRPr="006C0EC6" w:rsidRDefault="00AD5C97">
      <w:pPr>
        <w:rPr>
          <w:sz w:val="18"/>
        </w:rPr>
        <w:sectPr w:rsidR="00AD5C97" w:rsidRPr="006C0EC6">
          <w:headerReference w:type="default" r:id="rId11"/>
          <w:footerReference w:type="default" r:id="rId12"/>
          <w:pgSz w:w="12240" w:h="15840"/>
          <w:pgMar w:top="1560" w:right="1400" w:bottom="2060" w:left="1520" w:header="737" w:footer="1880" w:gutter="0"/>
          <w:cols w:space="720"/>
        </w:sectPr>
      </w:pPr>
    </w:p>
    <w:p w14:paraId="20904254" w14:textId="77777777" w:rsidR="00AD5C97" w:rsidRPr="006C0EC6" w:rsidRDefault="00AD5C97">
      <w:pPr>
        <w:pStyle w:val="Textoindependiente"/>
        <w:rPr>
          <w:sz w:val="20"/>
        </w:rPr>
      </w:pPr>
    </w:p>
    <w:p w14:paraId="594D61D0" w14:textId="77777777" w:rsidR="00AD5C97" w:rsidRPr="006C0EC6" w:rsidRDefault="00AD5C97">
      <w:pPr>
        <w:pStyle w:val="Textoindependiente"/>
        <w:spacing w:before="5"/>
        <w:rPr>
          <w:sz w:val="16"/>
        </w:rPr>
      </w:pPr>
    </w:p>
    <w:p w14:paraId="08AE457A" w14:textId="77777777" w:rsidR="00AD5C97" w:rsidRPr="006C0EC6" w:rsidRDefault="00BC13E9">
      <w:pPr>
        <w:pStyle w:val="Textoindependiente"/>
        <w:spacing w:before="93" w:line="276" w:lineRule="auto"/>
        <w:ind w:left="180" w:right="206"/>
        <w:jc w:val="both"/>
      </w:pPr>
      <w:r w:rsidRPr="006C0EC6">
        <w:t>de Seguridad Social cuando estaba exonerada en el pago, la entidad tiene la carga de buscar claridad a los aspectos dudosos que surjan durante la evaluación de las ofertas y solicitará aclaración a los oferentes. La Sección Tercera, Sala de lo Contencioso Administrativo del Consejo de Estado, en sentencia del 26 de abril de 2014, radicado No 13001-23-31-000-1999-00113-01 (25.804) con ponencia de Enrique Gil Botero, señaló la diferencia entre subsanar y aclarar las propuestas, estableciendo que el primero se predica de la oportunidad que tienen los proponentes de aportar un requisito que no otorga puntaje y no fue aportado con la propuesta inicial; el segundo por su parte, se refiere a aspectos confusos, contradictorios o que generan duda con relación a los requisitos y documentos que se encuentran en la propuesta, incluidos aquellos que otorgan puntaje. Así lo señaló el Alto Tribunal de lo Contencioso Administrativo en los siguientes términos:</w:t>
      </w:r>
    </w:p>
    <w:p w14:paraId="20AC15CA" w14:textId="77777777" w:rsidR="00AD5C97" w:rsidRPr="006C0EC6" w:rsidRDefault="00AD5C97">
      <w:pPr>
        <w:pStyle w:val="Textoindependiente"/>
        <w:spacing w:before="2"/>
      </w:pPr>
    </w:p>
    <w:p w14:paraId="04CCB044" w14:textId="77777777" w:rsidR="00AD5C97" w:rsidRPr="006C0EC6" w:rsidRDefault="00BC13E9">
      <w:pPr>
        <w:ind w:left="885" w:right="915"/>
        <w:jc w:val="both"/>
        <w:rPr>
          <w:sz w:val="21"/>
        </w:rPr>
      </w:pPr>
      <w:r w:rsidRPr="006C0EC6">
        <w:rPr>
          <w:sz w:val="21"/>
        </w:rPr>
        <w:t>Más adelante, el art. 30.7 retomó el tema, para agregar elementos de valoración sobre la subsanabilidad de las ofertas. Expresó que durante el lapso en que la administración las evalúa, debe pedirle al oferente que “aclare” y “explique” lo que necesite esclarecimiento.</w:t>
      </w:r>
    </w:p>
    <w:p w14:paraId="3B92D7ED" w14:textId="77777777" w:rsidR="00AD5C97" w:rsidRPr="006C0EC6" w:rsidRDefault="00AD5C97">
      <w:pPr>
        <w:pStyle w:val="Textoindependiente"/>
        <w:rPr>
          <w:sz w:val="21"/>
        </w:rPr>
      </w:pPr>
    </w:p>
    <w:p w14:paraId="0B7273EC" w14:textId="77777777" w:rsidR="00AD5C97" w:rsidRPr="006C0EC6" w:rsidRDefault="00BC13E9">
      <w:pPr>
        <w:ind w:left="885" w:right="916"/>
        <w:jc w:val="both"/>
        <w:rPr>
          <w:sz w:val="21"/>
        </w:rPr>
      </w:pPr>
      <w:r w:rsidRPr="006C0EC6">
        <w:rPr>
          <w:sz w:val="21"/>
        </w:rPr>
        <w:t>“7o.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(Negrillas fuera de texto)</w:t>
      </w:r>
    </w:p>
    <w:p w14:paraId="40D5C986" w14:textId="77777777" w:rsidR="00AD5C97" w:rsidRPr="006C0EC6" w:rsidRDefault="00AD5C97">
      <w:pPr>
        <w:pStyle w:val="Textoindependiente"/>
        <w:rPr>
          <w:sz w:val="21"/>
        </w:rPr>
      </w:pPr>
    </w:p>
    <w:p w14:paraId="64A0FAA3" w14:textId="77777777" w:rsidR="00AD5C97" w:rsidRPr="006C0EC6" w:rsidRDefault="00BC13E9">
      <w:pPr>
        <w:ind w:left="885" w:right="912"/>
        <w:jc w:val="both"/>
        <w:rPr>
          <w:sz w:val="21"/>
        </w:rPr>
      </w:pPr>
      <w:r w:rsidRPr="006C0EC6">
        <w:rPr>
          <w:sz w:val="21"/>
        </w:rPr>
        <w:t>De conformidad con esta norma, para evitar el rechazo in limine de las ofertas, las entidades estatales tienen la carga de buscar claridad a los aspectos dudosos que surjan durante la evaluación de las ofertas. Por tanto, si no comprende algo, si existe contradicción, si un requisito fue omitido, etc., la entidad solicitará “a los proponentes las aclaraciones y explicaciones que se estimen indispensables”, comportamiento que realiza el principio de economía vertido en el art. 25.15, de manera que la entidad no puede rechazar de plano la propuesta sin solicitar previamente que se aclare.</w:t>
      </w:r>
    </w:p>
    <w:p w14:paraId="0EBC1AB5" w14:textId="77777777" w:rsidR="00AD5C97" w:rsidRPr="006C0EC6" w:rsidRDefault="00AD5C97">
      <w:pPr>
        <w:pStyle w:val="Textoindependiente"/>
        <w:spacing w:before="11"/>
        <w:rPr>
          <w:sz w:val="20"/>
        </w:rPr>
      </w:pPr>
    </w:p>
    <w:p w14:paraId="61593CE9" w14:textId="77777777" w:rsidR="00AD5C97" w:rsidRPr="006C0EC6" w:rsidRDefault="00BC13E9">
      <w:pPr>
        <w:ind w:left="885" w:right="913"/>
        <w:jc w:val="both"/>
        <w:rPr>
          <w:sz w:val="21"/>
        </w:rPr>
      </w:pPr>
      <w:r w:rsidRPr="006C0EC6">
        <w:rPr>
          <w:sz w:val="21"/>
        </w:rPr>
        <w:t>De esta manera, cabe advertirle a la administración que la posibilidad de aclarar y corregir la oferta no es un derecho que tiene la entidad, sino un derecho que tiene el contratista; así que para aquéllas se trata de un deber, de una obligación, para que los oferentes logren participar con efectividad en los procesos de selección, para bien del interés general. Por tanto, si las entidades no conceden a los proponentes la oportunidad de corregir la oferta incompleta o que no se comprende –sólo en aquellos aspectos susceptibles de corregirse- violan el derecho del oferente a hacerlo, e incumplirán la obligación que les asigna la ley.</w:t>
      </w:r>
    </w:p>
    <w:p w14:paraId="3782A876" w14:textId="77777777" w:rsidR="00AD5C97" w:rsidRPr="006C0EC6" w:rsidRDefault="00AD5C97">
      <w:pPr>
        <w:pStyle w:val="Textoindependiente"/>
        <w:rPr>
          <w:sz w:val="21"/>
        </w:rPr>
      </w:pPr>
    </w:p>
    <w:p w14:paraId="2A858D56" w14:textId="77777777" w:rsidR="00AD5C97" w:rsidRPr="006C0EC6" w:rsidRDefault="00BC13E9">
      <w:pPr>
        <w:spacing w:before="1"/>
        <w:ind w:left="885"/>
        <w:jc w:val="both"/>
        <w:rPr>
          <w:sz w:val="21"/>
        </w:rPr>
      </w:pPr>
      <w:r w:rsidRPr="006C0EC6">
        <w:rPr>
          <w:sz w:val="21"/>
        </w:rPr>
        <w:t>En</w:t>
      </w:r>
      <w:r w:rsidRPr="006C0EC6">
        <w:rPr>
          <w:spacing w:val="28"/>
          <w:sz w:val="21"/>
        </w:rPr>
        <w:t xml:space="preserve"> </w:t>
      </w:r>
      <w:r w:rsidRPr="006C0EC6">
        <w:rPr>
          <w:sz w:val="21"/>
        </w:rPr>
        <w:t>conclusión,</w:t>
      </w:r>
      <w:r w:rsidRPr="006C0EC6">
        <w:rPr>
          <w:spacing w:val="27"/>
          <w:sz w:val="21"/>
        </w:rPr>
        <w:t xml:space="preserve"> </w:t>
      </w:r>
      <w:r w:rsidRPr="006C0EC6">
        <w:rPr>
          <w:sz w:val="21"/>
        </w:rPr>
        <w:t>que</w:t>
      </w:r>
      <w:r w:rsidRPr="006C0EC6">
        <w:rPr>
          <w:spacing w:val="26"/>
          <w:sz w:val="21"/>
        </w:rPr>
        <w:t xml:space="preserve"> </w:t>
      </w:r>
      <w:r w:rsidRPr="006C0EC6">
        <w:rPr>
          <w:sz w:val="21"/>
        </w:rPr>
        <w:t>las</w:t>
      </w:r>
      <w:r w:rsidRPr="006C0EC6">
        <w:rPr>
          <w:spacing w:val="28"/>
          <w:sz w:val="21"/>
        </w:rPr>
        <w:t xml:space="preserve"> </w:t>
      </w:r>
      <w:r w:rsidRPr="006C0EC6">
        <w:rPr>
          <w:sz w:val="21"/>
        </w:rPr>
        <w:t>ofertas</w:t>
      </w:r>
      <w:r w:rsidRPr="006C0EC6">
        <w:rPr>
          <w:spacing w:val="28"/>
          <w:sz w:val="21"/>
        </w:rPr>
        <w:t xml:space="preserve"> </w:t>
      </w:r>
      <w:r w:rsidRPr="006C0EC6">
        <w:rPr>
          <w:sz w:val="21"/>
        </w:rPr>
        <w:t>se</w:t>
      </w:r>
      <w:r w:rsidRPr="006C0EC6">
        <w:rPr>
          <w:spacing w:val="28"/>
          <w:sz w:val="21"/>
        </w:rPr>
        <w:t xml:space="preserve"> </w:t>
      </w:r>
      <w:r w:rsidRPr="006C0EC6">
        <w:rPr>
          <w:sz w:val="21"/>
        </w:rPr>
        <w:t>pueden</w:t>
      </w:r>
      <w:r w:rsidRPr="006C0EC6">
        <w:rPr>
          <w:spacing w:val="28"/>
          <w:sz w:val="21"/>
        </w:rPr>
        <w:t xml:space="preserve"> </w:t>
      </w:r>
      <w:r w:rsidRPr="006C0EC6">
        <w:rPr>
          <w:sz w:val="21"/>
        </w:rPr>
        <w:t>corregir</w:t>
      </w:r>
      <w:r w:rsidRPr="006C0EC6">
        <w:rPr>
          <w:spacing w:val="28"/>
          <w:sz w:val="21"/>
        </w:rPr>
        <w:t xml:space="preserve"> </w:t>
      </w:r>
      <w:r w:rsidRPr="006C0EC6">
        <w:rPr>
          <w:sz w:val="21"/>
        </w:rPr>
        <w:t>y</w:t>
      </w:r>
      <w:r w:rsidRPr="006C0EC6">
        <w:rPr>
          <w:spacing w:val="26"/>
          <w:sz w:val="21"/>
        </w:rPr>
        <w:t xml:space="preserve"> </w:t>
      </w:r>
      <w:r w:rsidRPr="006C0EC6">
        <w:rPr>
          <w:sz w:val="21"/>
        </w:rPr>
        <w:t>aclarar</w:t>
      </w:r>
      <w:r w:rsidRPr="006C0EC6">
        <w:rPr>
          <w:spacing w:val="25"/>
          <w:sz w:val="21"/>
        </w:rPr>
        <w:t xml:space="preserve"> </w:t>
      </w:r>
      <w:r w:rsidRPr="006C0EC6">
        <w:rPr>
          <w:sz w:val="21"/>
        </w:rPr>
        <w:t>lo</w:t>
      </w:r>
      <w:r w:rsidRPr="006C0EC6">
        <w:rPr>
          <w:spacing w:val="28"/>
          <w:sz w:val="21"/>
        </w:rPr>
        <w:t xml:space="preserve"> </w:t>
      </w:r>
      <w:r w:rsidRPr="006C0EC6">
        <w:rPr>
          <w:sz w:val="21"/>
        </w:rPr>
        <w:t>confirma</w:t>
      </w:r>
      <w:r w:rsidRPr="006C0EC6">
        <w:rPr>
          <w:spacing w:val="26"/>
          <w:sz w:val="21"/>
        </w:rPr>
        <w:t xml:space="preserve"> </w:t>
      </w:r>
      <w:r w:rsidRPr="006C0EC6">
        <w:rPr>
          <w:sz w:val="21"/>
        </w:rPr>
        <w:t>el</w:t>
      </w:r>
      <w:r w:rsidRPr="006C0EC6">
        <w:rPr>
          <w:spacing w:val="26"/>
          <w:sz w:val="21"/>
        </w:rPr>
        <w:t xml:space="preserve"> </w:t>
      </w:r>
      <w:r w:rsidRPr="006C0EC6">
        <w:rPr>
          <w:sz w:val="21"/>
        </w:rPr>
        <w:t>art.</w:t>
      </w:r>
    </w:p>
    <w:p w14:paraId="608BE73E" w14:textId="77777777" w:rsidR="00AD5C97" w:rsidRPr="006C0EC6" w:rsidRDefault="00BC13E9">
      <w:pPr>
        <w:spacing w:before="1"/>
        <w:ind w:left="885"/>
        <w:rPr>
          <w:sz w:val="21"/>
        </w:rPr>
      </w:pPr>
      <w:r w:rsidRPr="006C0EC6">
        <w:rPr>
          <w:sz w:val="21"/>
        </w:rPr>
        <w:t>30.7</w:t>
      </w:r>
      <w:r w:rsidRPr="006C0EC6">
        <w:rPr>
          <w:spacing w:val="18"/>
          <w:sz w:val="21"/>
        </w:rPr>
        <w:t xml:space="preserve"> </w:t>
      </w:r>
      <w:r w:rsidRPr="006C0EC6">
        <w:rPr>
          <w:sz w:val="21"/>
        </w:rPr>
        <w:t>de</w:t>
      </w:r>
      <w:r w:rsidRPr="006C0EC6">
        <w:rPr>
          <w:spacing w:val="18"/>
          <w:sz w:val="21"/>
        </w:rPr>
        <w:t xml:space="preserve"> </w:t>
      </w:r>
      <w:r w:rsidRPr="006C0EC6">
        <w:rPr>
          <w:sz w:val="21"/>
        </w:rPr>
        <w:t>la</w:t>
      </w:r>
      <w:r w:rsidRPr="006C0EC6">
        <w:rPr>
          <w:spacing w:val="18"/>
          <w:sz w:val="21"/>
        </w:rPr>
        <w:t xml:space="preserve"> </w:t>
      </w:r>
      <w:r w:rsidRPr="006C0EC6">
        <w:rPr>
          <w:sz w:val="21"/>
        </w:rPr>
        <w:t>Ley</w:t>
      </w:r>
      <w:r w:rsidRPr="006C0EC6">
        <w:rPr>
          <w:spacing w:val="15"/>
          <w:sz w:val="21"/>
        </w:rPr>
        <w:t xml:space="preserve"> </w:t>
      </w:r>
      <w:r w:rsidRPr="006C0EC6">
        <w:rPr>
          <w:sz w:val="21"/>
        </w:rPr>
        <w:t>80.</w:t>
      </w:r>
      <w:r w:rsidRPr="006C0EC6">
        <w:rPr>
          <w:spacing w:val="17"/>
          <w:sz w:val="21"/>
        </w:rPr>
        <w:t xml:space="preserve"> </w:t>
      </w:r>
      <w:r w:rsidRPr="006C0EC6">
        <w:rPr>
          <w:sz w:val="21"/>
        </w:rPr>
        <w:t>Si</w:t>
      </w:r>
      <w:r w:rsidRPr="006C0EC6">
        <w:rPr>
          <w:spacing w:val="18"/>
          <w:sz w:val="21"/>
        </w:rPr>
        <w:t xml:space="preserve"> </w:t>
      </w:r>
      <w:r w:rsidRPr="006C0EC6">
        <w:rPr>
          <w:sz w:val="21"/>
        </w:rPr>
        <w:t>no</w:t>
      </w:r>
      <w:r w:rsidRPr="006C0EC6">
        <w:rPr>
          <w:spacing w:val="18"/>
          <w:sz w:val="21"/>
        </w:rPr>
        <w:t xml:space="preserve"> </w:t>
      </w:r>
      <w:r w:rsidRPr="006C0EC6">
        <w:rPr>
          <w:sz w:val="21"/>
        </w:rPr>
        <w:t>se</w:t>
      </w:r>
      <w:r w:rsidRPr="006C0EC6">
        <w:rPr>
          <w:spacing w:val="19"/>
          <w:sz w:val="21"/>
        </w:rPr>
        <w:t xml:space="preserve"> </w:t>
      </w:r>
      <w:r w:rsidRPr="006C0EC6">
        <w:rPr>
          <w:sz w:val="21"/>
        </w:rPr>
        <w:t>pudiera,</w:t>
      </w:r>
      <w:r w:rsidRPr="006C0EC6">
        <w:rPr>
          <w:spacing w:val="17"/>
          <w:sz w:val="21"/>
        </w:rPr>
        <w:t xml:space="preserve"> </w:t>
      </w:r>
      <w:r w:rsidRPr="006C0EC6">
        <w:rPr>
          <w:sz w:val="21"/>
        </w:rPr>
        <w:t>¿para</w:t>
      </w:r>
      <w:r w:rsidRPr="006C0EC6">
        <w:rPr>
          <w:spacing w:val="18"/>
          <w:sz w:val="21"/>
        </w:rPr>
        <w:t xml:space="preserve"> </w:t>
      </w:r>
      <w:r w:rsidRPr="006C0EC6">
        <w:rPr>
          <w:sz w:val="21"/>
        </w:rPr>
        <w:t>qué</w:t>
      </w:r>
      <w:r w:rsidRPr="006C0EC6">
        <w:rPr>
          <w:spacing w:val="18"/>
          <w:sz w:val="21"/>
        </w:rPr>
        <w:t xml:space="preserve"> </w:t>
      </w:r>
      <w:r w:rsidRPr="006C0EC6">
        <w:rPr>
          <w:sz w:val="21"/>
        </w:rPr>
        <w:t>“solicitar</w:t>
      </w:r>
      <w:r w:rsidRPr="006C0EC6">
        <w:rPr>
          <w:spacing w:val="17"/>
          <w:sz w:val="21"/>
        </w:rPr>
        <w:t xml:space="preserve"> </w:t>
      </w:r>
      <w:r w:rsidRPr="006C0EC6">
        <w:rPr>
          <w:sz w:val="21"/>
        </w:rPr>
        <w:t>a</w:t>
      </w:r>
      <w:r w:rsidRPr="006C0EC6">
        <w:rPr>
          <w:spacing w:val="18"/>
          <w:sz w:val="21"/>
        </w:rPr>
        <w:t xml:space="preserve"> </w:t>
      </w:r>
      <w:r w:rsidRPr="006C0EC6">
        <w:rPr>
          <w:sz w:val="21"/>
        </w:rPr>
        <w:t>los</w:t>
      </w:r>
      <w:r w:rsidRPr="006C0EC6">
        <w:rPr>
          <w:spacing w:val="17"/>
          <w:sz w:val="21"/>
        </w:rPr>
        <w:t xml:space="preserve"> </w:t>
      </w:r>
      <w:r w:rsidRPr="006C0EC6">
        <w:rPr>
          <w:sz w:val="21"/>
        </w:rPr>
        <w:t>proponentes</w:t>
      </w:r>
      <w:r w:rsidRPr="006C0EC6">
        <w:rPr>
          <w:spacing w:val="18"/>
          <w:sz w:val="21"/>
        </w:rPr>
        <w:t xml:space="preserve"> </w:t>
      </w:r>
      <w:r w:rsidRPr="006C0EC6">
        <w:rPr>
          <w:sz w:val="21"/>
        </w:rPr>
        <w:t>las</w:t>
      </w:r>
    </w:p>
    <w:p w14:paraId="72332EE8" w14:textId="77777777" w:rsidR="00AD5C97" w:rsidRPr="006C0EC6" w:rsidRDefault="00AD5C97">
      <w:pPr>
        <w:rPr>
          <w:sz w:val="21"/>
        </w:rPr>
        <w:sectPr w:rsidR="00AD5C97" w:rsidRPr="006C0EC6">
          <w:pgSz w:w="12240" w:h="15840"/>
          <w:pgMar w:top="1560" w:right="1400" w:bottom="2140" w:left="1520" w:header="737" w:footer="1880" w:gutter="0"/>
          <w:cols w:space="720"/>
        </w:sectPr>
      </w:pPr>
    </w:p>
    <w:p w14:paraId="309B5E03" w14:textId="77777777" w:rsidR="00AD5C97" w:rsidRPr="006C0EC6" w:rsidRDefault="00AD5C97">
      <w:pPr>
        <w:pStyle w:val="Textoindependiente"/>
        <w:rPr>
          <w:sz w:val="20"/>
        </w:rPr>
      </w:pPr>
    </w:p>
    <w:p w14:paraId="537269F0" w14:textId="77777777" w:rsidR="00AD5C97" w:rsidRPr="006C0EC6" w:rsidRDefault="00AD5C97">
      <w:pPr>
        <w:pStyle w:val="Textoindependiente"/>
        <w:spacing w:before="4"/>
        <w:rPr>
          <w:sz w:val="16"/>
        </w:rPr>
      </w:pPr>
    </w:p>
    <w:p w14:paraId="6756F5A6" w14:textId="77777777" w:rsidR="00AD5C97" w:rsidRPr="006C0EC6" w:rsidRDefault="00BC13E9">
      <w:pPr>
        <w:spacing w:before="94"/>
        <w:ind w:left="885" w:right="747"/>
        <w:rPr>
          <w:sz w:val="21"/>
        </w:rPr>
      </w:pPr>
      <w:r w:rsidRPr="006C0EC6">
        <w:rPr>
          <w:sz w:val="21"/>
        </w:rPr>
        <w:t>aclaraciones y explicaciones que se estimen indispensables”, si lo que respondieran no se pudiera tener en cuenta?</w:t>
      </w:r>
    </w:p>
    <w:p w14:paraId="0E1ADCDD" w14:textId="77777777" w:rsidR="00AD5C97" w:rsidRPr="006C0EC6" w:rsidRDefault="00AD5C97">
      <w:pPr>
        <w:pStyle w:val="Textoindependiente"/>
        <w:spacing w:before="5"/>
        <w:rPr>
          <w:sz w:val="25"/>
        </w:rPr>
      </w:pPr>
    </w:p>
    <w:p w14:paraId="3797D1EB" w14:textId="77777777" w:rsidR="00AD5C97" w:rsidRPr="006C0EC6" w:rsidRDefault="00BC13E9">
      <w:pPr>
        <w:pStyle w:val="Textoindependiente"/>
        <w:spacing w:line="276" w:lineRule="auto"/>
        <w:ind w:left="180" w:right="205"/>
        <w:jc w:val="both"/>
      </w:pPr>
      <w:r w:rsidRPr="006C0EC6">
        <w:t xml:space="preserve">En el caso que, una persona jurídica, por medio de su representante legal o revisor fiscal, diligencie el Formato 6- Certificación de Pagos de Seguridad Social, señalando que se encuentra al día en el pago de seguridad social y aportes legales, aun cuando estaba exenta en el pago del Sistema de Seguridad Social. La entidad deberá solicitar aclaración frente ese aspecto, pero no podrá rechazarle la oferta por sólo este motivo; y aun si el oferente se equivocó en el diligenciamiento como el objetivo del artículo 50 de la Ley 789 de 2002 es evitar la evasión del pago al Sistema de Seguridad Social, si el oferente acredita el pago del Sistema de Seguridad Social aun cuando estaba exonerado en el pago no será posible el rechazar su oferta porque en este caso no </w:t>
      </w:r>
      <w:r w:rsidRPr="006C0EC6">
        <w:rPr>
          <w:spacing w:val="2"/>
        </w:rPr>
        <w:t xml:space="preserve">se </w:t>
      </w:r>
      <w:r w:rsidRPr="006C0EC6">
        <w:t>demuestra que el oferente evadió el pago al Sistema de Seguridad Social estando en la obligación de</w:t>
      </w:r>
      <w:r w:rsidRPr="006C0EC6">
        <w:rPr>
          <w:spacing w:val="-31"/>
        </w:rPr>
        <w:t xml:space="preserve"> </w:t>
      </w:r>
      <w:r w:rsidRPr="006C0EC6">
        <w:t>realizarlo.</w:t>
      </w:r>
    </w:p>
    <w:p w14:paraId="565CF0B9" w14:textId="77777777" w:rsidR="00AD5C97" w:rsidRPr="006C0EC6" w:rsidRDefault="00AD5C97">
      <w:pPr>
        <w:pStyle w:val="Textoindependiente"/>
        <w:spacing w:before="4"/>
        <w:rPr>
          <w:sz w:val="25"/>
        </w:rPr>
      </w:pPr>
    </w:p>
    <w:p w14:paraId="468BC691" w14:textId="77777777" w:rsidR="00AD5C97" w:rsidRPr="006C0EC6" w:rsidRDefault="00BC13E9">
      <w:pPr>
        <w:pStyle w:val="Textoindependiente"/>
        <w:spacing w:line="276" w:lineRule="auto"/>
        <w:ind w:left="180" w:right="207"/>
        <w:jc w:val="both"/>
      </w:pPr>
      <w:r w:rsidRPr="006C0EC6">
        <w:t>Finalmente, usted realiza la siguiente pregunta: ¿si un proponente está exento del pago de alguna información del formulario 6, debe modificar el modificar el formulario o puede certificar que se encuentra a paz y salvo? Tal y cómo se mencionó previamente, el Formato 6 – Certificado de pago de Seguridad Social se diligenciará dependiendo si es una persona natural o jurídica la que presenta la oferta, y además, si está en la obligación de acreditar el pago al Sistema de Seguridad Social o se encuentra exento. En este sentido, no es posible modificar el Formato 6- Pagos de Seguridad Social y Aportes</w:t>
      </w:r>
      <w:r w:rsidRPr="006C0EC6">
        <w:rPr>
          <w:spacing w:val="-33"/>
        </w:rPr>
        <w:t xml:space="preserve"> </w:t>
      </w:r>
      <w:r w:rsidRPr="006C0EC6">
        <w:t>Legales.</w:t>
      </w:r>
    </w:p>
    <w:p w14:paraId="7B4D8EF3" w14:textId="77777777" w:rsidR="00AD5C97" w:rsidRPr="006C0EC6" w:rsidRDefault="00AD5C97">
      <w:pPr>
        <w:pStyle w:val="Textoindependiente"/>
        <w:spacing w:before="4"/>
        <w:rPr>
          <w:sz w:val="25"/>
        </w:rPr>
      </w:pPr>
    </w:p>
    <w:p w14:paraId="6971FE28" w14:textId="77777777" w:rsidR="00AD5C97" w:rsidRPr="006C0EC6" w:rsidRDefault="00BC13E9">
      <w:pPr>
        <w:pStyle w:val="Textoindependiente"/>
        <w:spacing w:line="276" w:lineRule="auto"/>
        <w:ind w:left="180" w:right="202"/>
        <w:jc w:val="both"/>
      </w:pPr>
      <w:r w:rsidRPr="006C0EC6">
        <w:t>Si se refiere a una persona jurídica se deberá diligenciar la última parte del Formato 6- Pagos de Seguridad Social y Aportes Legales en los casos en que el oferente no se encuentra en la obligación de realizar el pago de los aportes parafiscales a favor del Servicio Nacional del Aprendizaje (SENA), del Instituto Colombiano de Bienestar Familiar (ICBF) y las cotizaciones al Régimen Contributivo de Salud. Esta parte se podrá diligenciar tanto por el Representante Legal como el Revisor Fiscal.</w:t>
      </w:r>
    </w:p>
    <w:p w14:paraId="5530245D" w14:textId="77777777" w:rsidR="00AD5C97" w:rsidRPr="006C0EC6" w:rsidRDefault="00AD5C97">
      <w:pPr>
        <w:pStyle w:val="Textoindependiente"/>
        <w:spacing w:before="4"/>
        <w:rPr>
          <w:sz w:val="25"/>
        </w:rPr>
      </w:pPr>
    </w:p>
    <w:p w14:paraId="32EFE9D7" w14:textId="77777777" w:rsidR="00AD5C97" w:rsidRPr="006C0EC6" w:rsidRDefault="00BC13E9">
      <w:pPr>
        <w:pStyle w:val="Textoindependiente"/>
        <w:spacing w:line="276" w:lineRule="auto"/>
        <w:ind w:left="180" w:right="203"/>
        <w:jc w:val="both"/>
      </w:pPr>
      <w:r w:rsidRPr="006C0EC6">
        <w:t xml:space="preserve">Ahora, si es la persona natural acredita estar </w:t>
      </w:r>
      <w:r w:rsidRPr="006C0EC6">
        <w:rPr>
          <w:spacing w:val="2"/>
        </w:rPr>
        <w:t xml:space="preserve">al </w:t>
      </w:r>
      <w:r w:rsidRPr="006C0EC6">
        <w:t xml:space="preserve">día en el pago de seguridad social y aportes parafiscales al SENA, ICBF y se encuentre exonerada del pago de los empleados que tiene a su cargo deberá diligenciar el primer y segundo párrafo del Formato </w:t>
      </w:r>
      <w:r w:rsidRPr="006C0EC6">
        <w:rPr>
          <w:spacing w:val="4"/>
        </w:rPr>
        <w:t xml:space="preserve">6- </w:t>
      </w:r>
      <w:r w:rsidRPr="006C0EC6">
        <w:t>pagos de seguridad social y aportes legales para las personas</w:t>
      </w:r>
      <w:r w:rsidRPr="006C0EC6">
        <w:rPr>
          <w:spacing w:val="-16"/>
        </w:rPr>
        <w:t xml:space="preserve"> </w:t>
      </w:r>
      <w:r w:rsidRPr="006C0EC6">
        <w:t>naturales.</w:t>
      </w:r>
    </w:p>
    <w:p w14:paraId="38EA9FB8" w14:textId="77777777" w:rsidR="00AD5C97" w:rsidRPr="006C0EC6" w:rsidRDefault="00AD5C97">
      <w:pPr>
        <w:pStyle w:val="Textoindependiente"/>
        <w:spacing w:before="2"/>
        <w:rPr>
          <w:sz w:val="25"/>
        </w:rPr>
      </w:pPr>
    </w:p>
    <w:p w14:paraId="1BFE1BAE" w14:textId="77777777" w:rsidR="00AD5C97" w:rsidRPr="006C0EC6" w:rsidRDefault="00BC13E9">
      <w:pPr>
        <w:pStyle w:val="Ttulo1"/>
        <w:numPr>
          <w:ilvl w:val="1"/>
          <w:numId w:val="8"/>
        </w:numPr>
        <w:tabs>
          <w:tab w:val="left" w:pos="890"/>
          <w:tab w:val="left" w:pos="891"/>
        </w:tabs>
        <w:ind w:hanging="721"/>
      </w:pPr>
      <w:r w:rsidRPr="006C0EC6">
        <w:t>Exigencia de Experiencia en Documentos</w:t>
      </w:r>
      <w:r w:rsidRPr="006C0EC6">
        <w:rPr>
          <w:spacing w:val="-6"/>
        </w:rPr>
        <w:t xml:space="preserve"> </w:t>
      </w:r>
      <w:r w:rsidRPr="006C0EC6">
        <w:t>Tipo</w:t>
      </w:r>
    </w:p>
    <w:p w14:paraId="7E78A0C6" w14:textId="77777777" w:rsidR="00AD5C97" w:rsidRPr="006C0EC6" w:rsidRDefault="00AD5C97">
      <w:pPr>
        <w:pStyle w:val="Textoindependiente"/>
        <w:spacing w:before="7"/>
        <w:rPr>
          <w:b/>
          <w:sz w:val="28"/>
        </w:rPr>
      </w:pPr>
    </w:p>
    <w:p w14:paraId="74BCBF77" w14:textId="77777777" w:rsidR="00AD5C97" w:rsidRPr="006C0EC6" w:rsidRDefault="00BC13E9">
      <w:pPr>
        <w:pStyle w:val="Textoindependiente"/>
        <w:spacing w:before="1" w:line="276" w:lineRule="auto"/>
        <w:ind w:left="180" w:right="207"/>
        <w:jc w:val="both"/>
      </w:pPr>
      <w:r w:rsidRPr="006C0EC6">
        <w:t>La Agencia Nacional de Contratación Pública – Colombia Compra Eficiente se ha pronunciado en diferentes conceptos sobre la forma de establecer la experiencia exigible en</w:t>
      </w:r>
      <w:r w:rsidRPr="006C0EC6">
        <w:rPr>
          <w:spacing w:val="16"/>
        </w:rPr>
        <w:t xml:space="preserve"> </w:t>
      </w:r>
      <w:r w:rsidRPr="006C0EC6">
        <w:t>procesos</w:t>
      </w:r>
      <w:r w:rsidRPr="006C0EC6">
        <w:rPr>
          <w:spacing w:val="17"/>
        </w:rPr>
        <w:t xml:space="preserve"> </w:t>
      </w:r>
      <w:r w:rsidRPr="006C0EC6">
        <w:t>de</w:t>
      </w:r>
      <w:r w:rsidRPr="006C0EC6">
        <w:rPr>
          <w:spacing w:val="17"/>
        </w:rPr>
        <w:t xml:space="preserve"> </w:t>
      </w:r>
      <w:r w:rsidRPr="006C0EC6">
        <w:t>contratación</w:t>
      </w:r>
      <w:r w:rsidRPr="006C0EC6">
        <w:rPr>
          <w:spacing w:val="17"/>
        </w:rPr>
        <w:t xml:space="preserve"> </w:t>
      </w:r>
      <w:r w:rsidRPr="006C0EC6">
        <w:t>de</w:t>
      </w:r>
      <w:r w:rsidRPr="006C0EC6">
        <w:rPr>
          <w:spacing w:val="17"/>
        </w:rPr>
        <w:t xml:space="preserve"> </w:t>
      </w:r>
      <w:r w:rsidRPr="006C0EC6">
        <w:t>licitación</w:t>
      </w:r>
      <w:r w:rsidRPr="006C0EC6">
        <w:rPr>
          <w:spacing w:val="17"/>
        </w:rPr>
        <w:t xml:space="preserve"> </w:t>
      </w:r>
      <w:r w:rsidRPr="006C0EC6">
        <w:t>de</w:t>
      </w:r>
      <w:r w:rsidRPr="006C0EC6">
        <w:rPr>
          <w:spacing w:val="17"/>
        </w:rPr>
        <w:t xml:space="preserve"> </w:t>
      </w:r>
      <w:r w:rsidRPr="006C0EC6">
        <w:t>obra</w:t>
      </w:r>
      <w:r w:rsidRPr="006C0EC6">
        <w:rPr>
          <w:spacing w:val="14"/>
        </w:rPr>
        <w:t xml:space="preserve"> </w:t>
      </w:r>
      <w:r w:rsidRPr="006C0EC6">
        <w:t>pública</w:t>
      </w:r>
      <w:r w:rsidRPr="006C0EC6">
        <w:rPr>
          <w:spacing w:val="17"/>
        </w:rPr>
        <w:t xml:space="preserve"> </w:t>
      </w:r>
      <w:r w:rsidRPr="006C0EC6">
        <w:t>de</w:t>
      </w:r>
      <w:r w:rsidRPr="006C0EC6">
        <w:rPr>
          <w:spacing w:val="17"/>
        </w:rPr>
        <w:t xml:space="preserve"> </w:t>
      </w:r>
      <w:r w:rsidRPr="006C0EC6">
        <w:t>infraestructura</w:t>
      </w:r>
      <w:r w:rsidRPr="006C0EC6">
        <w:rPr>
          <w:spacing w:val="16"/>
        </w:rPr>
        <w:t xml:space="preserve"> </w:t>
      </w:r>
      <w:r w:rsidRPr="006C0EC6">
        <w:t>de</w:t>
      </w:r>
      <w:r w:rsidRPr="006C0EC6">
        <w:rPr>
          <w:spacing w:val="17"/>
        </w:rPr>
        <w:t xml:space="preserve"> </w:t>
      </w:r>
      <w:r w:rsidRPr="006C0EC6">
        <w:t>transporte</w:t>
      </w:r>
    </w:p>
    <w:p w14:paraId="080A3C08" w14:textId="77777777" w:rsidR="00AD5C97" w:rsidRPr="006C0EC6" w:rsidRDefault="00AD5C97">
      <w:pPr>
        <w:spacing w:line="276" w:lineRule="auto"/>
        <w:jc w:val="both"/>
        <w:sectPr w:rsidR="00AD5C97" w:rsidRPr="006C0EC6">
          <w:pgSz w:w="12240" w:h="15840"/>
          <w:pgMar w:top="1560" w:right="1400" w:bottom="2140" w:left="1520" w:header="737" w:footer="1880" w:gutter="0"/>
          <w:cols w:space="720"/>
        </w:sectPr>
      </w:pPr>
    </w:p>
    <w:p w14:paraId="0BADC5DE" w14:textId="77777777" w:rsidR="00AD5C97" w:rsidRPr="006C0EC6" w:rsidRDefault="00AD5C97">
      <w:pPr>
        <w:pStyle w:val="Textoindependiente"/>
        <w:rPr>
          <w:sz w:val="20"/>
        </w:rPr>
      </w:pPr>
    </w:p>
    <w:p w14:paraId="248C89A7" w14:textId="77777777" w:rsidR="00AD5C97" w:rsidRPr="006C0EC6" w:rsidRDefault="00AD5C97">
      <w:pPr>
        <w:pStyle w:val="Textoindependiente"/>
        <w:spacing w:before="9"/>
        <w:rPr>
          <w:sz w:val="15"/>
        </w:rPr>
      </w:pPr>
    </w:p>
    <w:p w14:paraId="3E898164" w14:textId="16018BF5" w:rsidR="00AD5C97" w:rsidRPr="006C0EC6" w:rsidRDefault="00BC13E9">
      <w:pPr>
        <w:pStyle w:val="Textoindependiente"/>
        <w:spacing w:before="101" w:line="276" w:lineRule="auto"/>
        <w:ind w:left="180" w:right="208"/>
        <w:jc w:val="both"/>
      </w:pPr>
      <w:r w:rsidRPr="006C0EC6">
        <w:t>que aplican Documentos Tipo</w:t>
      </w:r>
      <w:r w:rsidR="006C0EC6">
        <w:rPr>
          <w:rStyle w:val="Refdenotaalpie"/>
        </w:rPr>
        <w:footnoteReference w:id="3"/>
      </w:r>
      <w:r w:rsidRPr="006C0EC6">
        <w:t>. Dentro de estos, la respuesta a la consulta con radicado de entrada No 4201912000005628 del 20 de agosto de 2016 con radicado de salida No 2201913000006581 del 5 de septiembre de 2019, explicó los supuestos que deben tener en cuenta las entidades para fijar la experiencia. La tesis desarrollada en estos conceptos es la que se expone a</w:t>
      </w:r>
      <w:r w:rsidRPr="006C0EC6">
        <w:rPr>
          <w:spacing w:val="-6"/>
        </w:rPr>
        <w:t xml:space="preserve"> </w:t>
      </w:r>
      <w:r w:rsidRPr="006C0EC6">
        <w:t>continuación.</w:t>
      </w:r>
    </w:p>
    <w:p w14:paraId="3C35BC3C" w14:textId="77777777" w:rsidR="00AD5C97" w:rsidRPr="006C0EC6" w:rsidRDefault="00AD5C97">
      <w:pPr>
        <w:pStyle w:val="Textoindependiente"/>
        <w:spacing w:before="5"/>
        <w:rPr>
          <w:sz w:val="25"/>
        </w:rPr>
      </w:pPr>
    </w:p>
    <w:p w14:paraId="74831AA4" w14:textId="77777777" w:rsidR="00AD5C97" w:rsidRPr="006C0EC6" w:rsidRDefault="00BC13E9">
      <w:pPr>
        <w:pStyle w:val="Textoindependiente"/>
        <w:spacing w:line="276" w:lineRule="auto"/>
        <w:ind w:left="180" w:right="209"/>
        <w:jc w:val="both"/>
      </w:pPr>
      <w:r w:rsidRPr="006C0EC6">
        <w:t>En el “Documento Base o Pliego Tipo” se encuentran los requisitos habilitantes, criterios de ponderación y calificación de las propuestas, causales de rechazo, así como las reglas de elaboración y presentación de las propuestas, y demás reglas del proceso de contratación. Este documento no puede ser modificado, con excepción de los aspectos incluidos en corchetes y resaltado en gris que deben ser diligenciados por la Entidad.</w:t>
      </w:r>
    </w:p>
    <w:p w14:paraId="64A20567" w14:textId="77777777" w:rsidR="00AD5C97" w:rsidRPr="006C0EC6" w:rsidRDefault="00AD5C97">
      <w:pPr>
        <w:pStyle w:val="Textoindependiente"/>
        <w:spacing w:before="3"/>
        <w:rPr>
          <w:sz w:val="25"/>
        </w:rPr>
      </w:pPr>
    </w:p>
    <w:p w14:paraId="36B63C20" w14:textId="77777777" w:rsidR="00AD5C97" w:rsidRPr="006C0EC6" w:rsidRDefault="00BC13E9">
      <w:pPr>
        <w:pStyle w:val="Textoindependiente"/>
        <w:spacing w:before="1" w:line="276" w:lineRule="auto"/>
        <w:ind w:left="180" w:right="204"/>
        <w:jc w:val="both"/>
      </w:pPr>
      <w:r w:rsidRPr="006C0EC6">
        <w:t>El numeral 3.5 del “Documento Base o Pliego Tipo” establece que los Proponentes deben acreditar su experiencia a través de: i) la información consignada en el RUP para quienes estén obligados a tenerlo y ii) la presentación el Formato 3 – Experiencia para todos los Proponentes. El numeral 3.5.1 señala las características que deben cumplir los contratos o certificaciones aportados para la acreditación de experiencia; el numeral 3.5.2 enuncia los aspectos para analizar la experiencia acreditada; el numeral 3.5.3 señala los códigos del “clasificador de bienes, obras y servicios de las naciones unidas” en los cuales se deben encontrar clasificados los contratos aportados para la acreditación de experiencia; el numeral 3.5.4 establece la información mínima que deben contener los documentos válidos para la acreditación de experiencia; el numeral 3.5.5 define los documentos válidos para acreditar experiencia; el numeral 3.5.6 señala las reglas para la acreditación de experiencia a través de subcontratos; y el numeral 3.5.7 establece el valor mínimo que se debe acreditar con relación al presupuesto oficial de acuerdo con el número de contratos aportados.</w:t>
      </w:r>
    </w:p>
    <w:p w14:paraId="082D6D32" w14:textId="77777777" w:rsidR="00AD5C97" w:rsidRPr="006C0EC6" w:rsidRDefault="00AD5C97">
      <w:pPr>
        <w:pStyle w:val="Textoindependiente"/>
        <w:spacing w:before="2"/>
        <w:rPr>
          <w:sz w:val="25"/>
        </w:rPr>
      </w:pPr>
    </w:p>
    <w:p w14:paraId="51C2DB46" w14:textId="77777777" w:rsidR="00AD5C97" w:rsidRPr="006C0EC6" w:rsidRDefault="00BC13E9">
      <w:pPr>
        <w:pStyle w:val="Textoindependiente"/>
        <w:spacing w:line="276" w:lineRule="auto"/>
        <w:ind w:left="180" w:right="209"/>
        <w:jc w:val="both"/>
      </w:pPr>
      <w:r w:rsidRPr="006C0EC6">
        <w:t>Específicamente, el numeral 3.5.1 establece las características que deben cumplir los contratos o certificaciones que se aporten para la acreditación de experiencia. Señala el literal A:</w:t>
      </w:r>
    </w:p>
    <w:p w14:paraId="3B62EA8A" w14:textId="77777777" w:rsidR="00AD5C97" w:rsidRPr="006C0EC6" w:rsidRDefault="00BC13E9">
      <w:pPr>
        <w:pStyle w:val="Prrafodelista"/>
        <w:numPr>
          <w:ilvl w:val="2"/>
          <w:numId w:val="8"/>
        </w:numPr>
        <w:tabs>
          <w:tab w:val="left" w:pos="1248"/>
        </w:tabs>
        <w:spacing w:before="124"/>
        <w:ind w:right="1198"/>
        <w:rPr>
          <w:sz w:val="20"/>
        </w:rPr>
      </w:pPr>
      <w:r w:rsidRPr="006C0EC6">
        <w:rPr>
          <w:sz w:val="20"/>
        </w:rPr>
        <w:t>Que las actividades ejecutadas correspondan a [</w:t>
      </w:r>
      <w:r w:rsidRPr="006C0EC6">
        <w:rPr>
          <w:sz w:val="20"/>
          <w:shd w:val="clear" w:color="auto" w:fill="D2D2D2"/>
        </w:rPr>
        <w:t xml:space="preserve">Actividad o actividades señaladas en la </w:t>
      </w:r>
      <w:r w:rsidRPr="006C0EC6">
        <w:rPr>
          <w:b/>
          <w:sz w:val="20"/>
          <w:shd w:val="clear" w:color="auto" w:fill="D2D2D2"/>
        </w:rPr>
        <w:t>¡Error! No se encuentra el origen de la referencia.</w:t>
      </w:r>
      <w:r w:rsidRPr="006C0EC6">
        <w:rPr>
          <w:sz w:val="20"/>
          <w:shd w:val="clear" w:color="auto" w:fill="D2D2D2"/>
        </w:rPr>
        <w:t>]</w:t>
      </w:r>
      <w:r w:rsidRPr="006C0EC6">
        <w:rPr>
          <w:sz w:val="20"/>
        </w:rPr>
        <w:t xml:space="preserve"> y guarden relación directa con el objeto del</w:t>
      </w:r>
      <w:r w:rsidRPr="006C0EC6">
        <w:rPr>
          <w:spacing w:val="-7"/>
          <w:sz w:val="20"/>
        </w:rPr>
        <w:t xml:space="preserve"> </w:t>
      </w:r>
      <w:r w:rsidRPr="006C0EC6">
        <w:rPr>
          <w:sz w:val="20"/>
        </w:rPr>
        <w:t>contrato.</w:t>
      </w:r>
    </w:p>
    <w:p w14:paraId="5CCC8F5E" w14:textId="77777777" w:rsidR="00AD5C97" w:rsidRPr="006C0EC6" w:rsidRDefault="00AD5C97">
      <w:pPr>
        <w:pStyle w:val="Textoindependiente"/>
        <w:rPr>
          <w:sz w:val="20"/>
        </w:rPr>
      </w:pPr>
    </w:p>
    <w:p w14:paraId="2EA4DDD2" w14:textId="77777777" w:rsidR="00AD5C97" w:rsidRPr="006C0EC6" w:rsidRDefault="00AD5C97">
      <w:pPr>
        <w:pStyle w:val="Textoindependiente"/>
        <w:rPr>
          <w:sz w:val="20"/>
        </w:rPr>
      </w:pPr>
    </w:p>
    <w:p w14:paraId="05DE7E82" w14:textId="77777777" w:rsidR="00AD5C97" w:rsidRPr="006C0EC6" w:rsidRDefault="00AD5C97">
      <w:pPr>
        <w:pStyle w:val="Textoindependiente"/>
        <w:rPr>
          <w:sz w:val="20"/>
        </w:rPr>
      </w:pPr>
    </w:p>
    <w:p w14:paraId="121B8E2F" w14:textId="77777777" w:rsidR="00AD5C97" w:rsidRPr="006C0EC6" w:rsidRDefault="00BC13E9">
      <w:pPr>
        <w:pStyle w:val="Textoindependiente"/>
        <w:spacing w:before="93" w:line="276" w:lineRule="auto"/>
        <w:ind w:left="180" w:right="210"/>
        <w:jc w:val="both"/>
      </w:pPr>
      <w:r w:rsidRPr="006C0EC6">
        <w:rPr>
          <w:noProof/>
          <w:lang w:val="en-US"/>
        </w:rPr>
        <w:lastRenderedPageBreak/>
        <w:drawing>
          <wp:anchor distT="0" distB="0" distL="0" distR="0" simplePos="0" relativeHeight="6" behindDoc="0" locked="0" layoutInCell="1" allowOverlap="1" wp14:anchorId="0ED0365E" wp14:editId="64C262C0">
            <wp:simplePos x="0" y="0"/>
            <wp:positionH relativeFrom="page">
              <wp:posOffset>1524888</wp:posOffset>
            </wp:positionH>
            <wp:positionV relativeFrom="paragraph">
              <wp:posOffset>844135</wp:posOffset>
            </wp:positionV>
            <wp:extent cx="4724277" cy="693420"/>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3" cstate="print"/>
                    <a:stretch>
                      <a:fillRect/>
                    </a:stretch>
                  </pic:blipFill>
                  <pic:spPr>
                    <a:xfrm>
                      <a:off x="0" y="0"/>
                      <a:ext cx="4724277" cy="693420"/>
                    </a:xfrm>
                    <a:prstGeom prst="rect">
                      <a:avLst/>
                    </a:prstGeom>
                  </pic:spPr>
                </pic:pic>
              </a:graphicData>
            </a:graphic>
          </wp:anchor>
        </w:drawing>
      </w:r>
      <w:r w:rsidRPr="006C0EC6">
        <w:t>La “Guía para la comprensión e implementación de los Documentos Tipo de licitación de obra de infraestructura de transporte”, expedida por la Agencia Nacional de Contratación Pública – Colombia Compra Eficiente, estableció sobre este literal la siguiente recomendación:</w:t>
      </w:r>
    </w:p>
    <w:p w14:paraId="462A6E07" w14:textId="77777777" w:rsidR="00AD5C97" w:rsidRPr="006C0EC6" w:rsidRDefault="00AD5C97">
      <w:pPr>
        <w:pStyle w:val="Textoindependiente"/>
        <w:rPr>
          <w:sz w:val="24"/>
        </w:rPr>
      </w:pPr>
    </w:p>
    <w:p w14:paraId="64CBCAEC" w14:textId="77777777" w:rsidR="00AD5C97" w:rsidRPr="006C0EC6" w:rsidRDefault="00BC13E9">
      <w:pPr>
        <w:pStyle w:val="Textoindependiente"/>
        <w:spacing w:before="152" w:line="276" w:lineRule="auto"/>
        <w:ind w:left="180" w:right="206"/>
        <w:jc w:val="both"/>
      </w:pPr>
      <w:r w:rsidRPr="006C0EC6">
        <w:t>En cuanto a la interpretación que corresponde a este literal, de acuerdo con la introducción del “Documento Base o Pliego Tipo”, los aspectos incluidos en corchetes y resaltado gris deben ser diligenciados por la Entidad, en este caso, únicamente con las actividades válidas para acreditar experiencia de acuerdo con las “actividades a contratar” definidas en la Matriz 1- Experiencia.</w:t>
      </w:r>
    </w:p>
    <w:p w14:paraId="7934AB67" w14:textId="77777777" w:rsidR="00AD5C97" w:rsidRPr="006C0EC6" w:rsidRDefault="00AD5C97">
      <w:pPr>
        <w:pStyle w:val="Textoindependiente"/>
        <w:spacing w:before="2"/>
        <w:rPr>
          <w:sz w:val="25"/>
        </w:rPr>
      </w:pPr>
    </w:p>
    <w:p w14:paraId="74A08F4B" w14:textId="77777777" w:rsidR="00AD5C97" w:rsidRPr="006C0EC6" w:rsidRDefault="00BC13E9">
      <w:pPr>
        <w:pStyle w:val="Textoindependiente"/>
        <w:spacing w:before="1" w:line="276" w:lineRule="auto"/>
        <w:ind w:left="180" w:right="206"/>
        <w:jc w:val="both"/>
      </w:pPr>
      <w:r w:rsidRPr="006C0EC6">
        <w:t>De esta manera, cuando el literal “A” señala que las actividades “guarden relación directa con el objeto del contrato”, implica que la entidad estatal para establecer la experiencia del proceso de contratación debe identificar en la “Matriz 1 – Experiencia” la “actividad a contratar” que corresponde al objeto del proceso de contratación y con base en esta actividad, definir la experiencia general y especifica exigible de acuerdo con la siguiente metodología:</w:t>
      </w:r>
    </w:p>
    <w:p w14:paraId="4EA61A45" w14:textId="77777777" w:rsidR="00AD5C97" w:rsidRPr="006C0EC6" w:rsidRDefault="00AD5C97">
      <w:pPr>
        <w:pStyle w:val="Textoindependiente"/>
        <w:spacing w:before="5"/>
        <w:rPr>
          <w:sz w:val="25"/>
        </w:rPr>
      </w:pPr>
    </w:p>
    <w:p w14:paraId="554AA3CE" w14:textId="77777777" w:rsidR="00AD5C97" w:rsidRPr="006C0EC6" w:rsidRDefault="00BC13E9">
      <w:pPr>
        <w:pStyle w:val="Textoindependiente"/>
        <w:spacing w:line="276" w:lineRule="auto"/>
        <w:ind w:left="180" w:right="205"/>
        <w:jc w:val="both"/>
      </w:pPr>
      <w:r w:rsidRPr="006C0EC6">
        <w:t>Para definir la experiencia exigible, la entidad estatal, en la etapa de planeación, debe tener en cuenta: i) el alcance del objeto a contratar, ii) el tipo de infraestructura, iii) las actividades definidas en la Matriz 1- Experiencia y iv) la cuantía del proceso de contratación. Por lo tanto, debe seguir los siguientes</w:t>
      </w:r>
      <w:r w:rsidRPr="006C0EC6">
        <w:rPr>
          <w:spacing w:val="-12"/>
        </w:rPr>
        <w:t xml:space="preserve"> </w:t>
      </w:r>
      <w:r w:rsidRPr="006C0EC6">
        <w:t>pasos:</w:t>
      </w:r>
    </w:p>
    <w:p w14:paraId="2B7AEE67" w14:textId="77777777" w:rsidR="00AD5C97" w:rsidRPr="006C0EC6" w:rsidRDefault="00AD5C97">
      <w:pPr>
        <w:pStyle w:val="Textoindependiente"/>
        <w:spacing w:before="3"/>
        <w:rPr>
          <w:sz w:val="25"/>
        </w:rPr>
      </w:pPr>
    </w:p>
    <w:p w14:paraId="2618B3B8" w14:textId="77777777" w:rsidR="00AD5C97" w:rsidRPr="006C0EC6" w:rsidRDefault="00BC13E9">
      <w:pPr>
        <w:pStyle w:val="Prrafodelista"/>
        <w:numPr>
          <w:ilvl w:val="0"/>
          <w:numId w:val="7"/>
        </w:numPr>
        <w:tabs>
          <w:tab w:val="left" w:pos="466"/>
        </w:tabs>
        <w:spacing w:before="1" w:line="276" w:lineRule="auto"/>
        <w:ind w:right="207" w:firstLine="0"/>
      </w:pPr>
      <w:r w:rsidRPr="006C0EC6">
        <w:t>Identificar en la Matriz 1- Experiencia, el tipo de infraestructura sobre el cual recae la obra a ejecutar. Al respecto esta matriz contiene ocho (8) secciones: 1. OBRAS EN VÍAS PRIMARIAS O SECUNDARIAS. 2. OBRAS EN VIAS TERCIARIAS. 3. OBRAS MARITIMAS Y FLUVIALES. 4. OBRAS EN VIAS PRIMARIAS O SECUNDARIAS O TERCIARIAS PARA ATENCIÓN DE EMERGENCIAS DIFERENTES A CONTRATACIÓN DIRECTA. 5. OBRAS FERREAS. 6. OBRAS INFRAESTRUCTURA VIAL URBANA. 7. OBRAS EN PUENTES. 8. OBRAS</w:t>
      </w:r>
      <w:r w:rsidRPr="006C0EC6">
        <w:rPr>
          <w:spacing w:val="-10"/>
        </w:rPr>
        <w:t xml:space="preserve"> </w:t>
      </w:r>
      <w:r w:rsidRPr="006C0EC6">
        <w:t>AEROPORTUARIAS.</w:t>
      </w:r>
    </w:p>
    <w:p w14:paraId="1CB36C91" w14:textId="77777777" w:rsidR="00AD5C97" w:rsidRPr="006C0EC6" w:rsidRDefault="00AD5C97">
      <w:pPr>
        <w:pStyle w:val="Textoindependiente"/>
        <w:spacing w:before="3"/>
        <w:rPr>
          <w:sz w:val="25"/>
        </w:rPr>
      </w:pPr>
    </w:p>
    <w:p w14:paraId="2A58BE89" w14:textId="77777777" w:rsidR="00AD5C97" w:rsidRPr="006C0EC6" w:rsidRDefault="00BC13E9">
      <w:pPr>
        <w:pStyle w:val="Prrafodelista"/>
        <w:numPr>
          <w:ilvl w:val="0"/>
          <w:numId w:val="7"/>
        </w:numPr>
        <w:tabs>
          <w:tab w:val="left" w:pos="461"/>
        </w:tabs>
        <w:spacing w:before="1" w:line="276" w:lineRule="auto"/>
        <w:ind w:right="213" w:firstLine="0"/>
      </w:pPr>
      <w:r w:rsidRPr="006C0EC6">
        <w:t>Una vez definido el tipo de infraestructura, identificar la “ACTIVIDAD A CONTRATAR” acorde con la Matriz 1-</w:t>
      </w:r>
      <w:r w:rsidRPr="006C0EC6">
        <w:rPr>
          <w:spacing w:val="-9"/>
        </w:rPr>
        <w:t xml:space="preserve"> </w:t>
      </w:r>
      <w:r w:rsidRPr="006C0EC6">
        <w:t>Experiencia.</w:t>
      </w:r>
    </w:p>
    <w:p w14:paraId="299248AA" w14:textId="77777777" w:rsidR="00AD5C97" w:rsidRPr="006C0EC6" w:rsidRDefault="00AD5C97">
      <w:pPr>
        <w:spacing w:line="276" w:lineRule="auto"/>
        <w:jc w:val="both"/>
        <w:sectPr w:rsidR="00AD5C97" w:rsidRPr="006C0EC6">
          <w:pgSz w:w="12240" w:h="15840"/>
          <w:pgMar w:top="1560" w:right="1400" w:bottom="2140" w:left="1520" w:header="737" w:footer="1880" w:gutter="0"/>
          <w:cols w:space="720"/>
        </w:sectPr>
      </w:pPr>
    </w:p>
    <w:p w14:paraId="6BFA72C1" w14:textId="77777777" w:rsidR="00AD5C97" w:rsidRPr="006C0EC6" w:rsidRDefault="00AD5C97">
      <w:pPr>
        <w:pStyle w:val="Textoindependiente"/>
        <w:rPr>
          <w:sz w:val="20"/>
        </w:rPr>
      </w:pPr>
    </w:p>
    <w:p w14:paraId="02113D85" w14:textId="77777777" w:rsidR="00AD5C97" w:rsidRPr="006C0EC6" w:rsidRDefault="00AD5C97">
      <w:pPr>
        <w:pStyle w:val="Textoindependiente"/>
        <w:spacing w:before="5"/>
        <w:rPr>
          <w:sz w:val="16"/>
        </w:rPr>
      </w:pPr>
    </w:p>
    <w:p w14:paraId="6A71BDE7" w14:textId="77777777" w:rsidR="00AD5C97" w:rsidRPr="006C0EC6" w:rsidRDefault="00BC13E9">
      <w:pPr>
        <w:pStyle w:val="Textoindependiente"/>
        <w:spacing w:before="93" w:line="276" w:lineRule="auto"/>
        <w:ind w:left="180" w:right="208"/>
        <w:jc w:val="both"/>
      </w:pPr>
      <w:r w:rsidRPr="006C0EC6">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288F35AB" w14:textId="77777777" w:rsidR="00AD5C97" w:rsidRPr="006C0EC6" w:rsidRDefault="00AD5C97">
      <w:pPr>
        <w:pStyle w:val="Textoindependiente"/>
        <w:spacing w:before="4"/>
        <w:rPr>
          <w:sz w:val="25"/>
        </w:rPr>
      </w:pPr>
    </w:p>
    <w:p w14:paraId="190A9712" w14:textId="77777777" w:rsidR="00AD5C97" w:rsidRPr="006C0EC6" w:rsidRDefault="00BC13E9">
      <w:pPr>
        <w:pStyle w:val="Prrafodelista"/>
        <w:numPr>
          <w:ilvl w:val="0"/>
          <w:numId w:val="7"/>
        </w:numPr>
        <w:tabs>
          <w:tab w:val="left" w:pos="426"/>
        </w:tabs>
        <w:spacing w:line="278" w:lineRule="auto"/>
        <w:ind w:right="212" w:firstLine="0"/>
      </w:pPr>
      <w:r w:rsidRPr="006C0EC6">
        <w:t>Identificar el rango en el cual se encuentra el Proceso de Contratación de acuerdo con el presupuesto</w:t>
      </w:r>
      <w:r w:rsidRPr="006C0EC6">
        <w:rPr>
          <w:spacing w:val="-2"/>
        </w:rPr>
        <w:t xml:space="preserve"> </w:t>
      </w:r>
      <w:r w:rsidRPr="006C0EC6">
        <w:t>oficial.</w:t>
      </w:r>
    </w:p>
    <w:p w14:paraId="46525EFC" w14:textId="77777777" w:rsidR="00AD5C97" w:rsidRPr="006C0EC6" w:rsidRDefault="00AD5C97">
      <w:pPr>
        <w:pStyle w:val="Textoindependiente"/>
        <w:spacing w:before="10"/>
        <w:rPr>
          <w:sz w:val="24"/>
        </w:rPr>
      </w:pPr>
    </w:p>
    <w:p w14:paraId="6112D465" w14:textId="77777777" w:rsidR="00AD5C97" w:rsidRPr="006C0EC6" w:rsidRDefault="00BC13E9">
      <w:pPr>
        <w:pStyle w:val="Prrafodelista"/>
        <w:numPr>
          <w:ilvl w:val="0"/>
          <w:numId w:val="7"/>
        </w:numPr>
        <w:tabs>
          <w:tab w:val="left" w:pos="448"/>
        </w:tabs>
        <w:spacing w:line="278" w:lineRule="auto"/>
        <w:ind w:right="205" w:firstLine="0"/>
      </w:pPr>
      <w:r w:rsidRPr="006C0EC6">
        <w:t>Identificar la “experiencia general” exigible acorde con la Matriz 1- Experiencia teniendo en cuenta la actividad a contratar y el rango de la cuantía del Proceso de</w:t>
      </w:r>
      <w:r w:rsidRPr="006C0EC6">
        <w:rPr>
          <w:spacing w:val="-38"/>
        </w:rPr>
        <w:t xml:space="preserve"> </w:t>
      </w:r>
      <w:r w:rsidRPr="006C0EC6">
        <w:t>Contratación.</w:t>
      </w:r>
    </w:p>
    <w:p w14:paraId="2A6B0148" w14:textId="77777777" w:rsidR="00AD5C97" w:rsidRPr="006C0EC6" w:rsidRDefault="00AD5C97">
      <w:pPr>
        <w:pStyle w:val="Textoindependiente"/>
        <w:spacing w:before="10"/>
        <w:rPr>
          <w:sz w:val="24"/>
        </w:rPr>
      </w:pPr>
    </w:p>
    <w:p w14:paraId="661CF1C8" w14:textId="77777777" w:rsidR="00AD5C97" w:rsidRPr="006C0EC6" w:rsidRDefault="00BC13E9">
      <w:pPr>
        <w:pStyle w:val="Prrafodelista"/>
        <w:numPr>
          <w:ilvl w:val="0"/>
          <w:numId w:val="7"/>
        </w:numPr>
        <w:tabs>
          <w:tab w:val="left" w:pos="456"/>
        </w:tabs>
        <w:spacing w:line="276" w:lineRule="auto"/>
        <w:ind w:right="204" w:firstLine="0"/>
      </w:pPr>
      <w:r w:rsidRPr="006C0EC6">
        <w:t>Identificar la "experiencia específica” exigible y el porcentaje de dimensionamiento que se puede solicitar acorde con la longitud a ejecutar de acuerdo con la cuantía del proceso de contratación. En los casos que en la “experiencia específica” se indique las siglas “N.A” o esté en blanco, significa que la entidad estatal no puede exigir a los proponentes ningún tipo de experiencia específica en los procesos de</w:t>
      </w:r>
      <w:r w:rsidRPr="006C0EC6">
        <w:rPr>
          <w:spacing w:val="-15"/>
        </w:rPr>
        <w:t xml:space="preserve"> </w:t>
      </w:r>
      <w:r w:rsidRPr="006C0EC6">
        <w:t>contratación.</w:t>
      </w:r>
    </w:p>
    <w:p w14:paraId="7F74828F" w14:textId="77777777" w:rsidR="00AD5C97" w:rsidRPr="006C0EC6" w:rsidRDefault="00AD5C97">
      <w:pPr>
        <w:pStyle w:val="Textoindependiente"/>
        <w:spacing w:before="5"/>
        <w:rPr>
          <w:sz w:val="25"/>
        </w:rPr>
      </w:pPr>
    </w:p>
    <w:p w14:paraId="33C1A049" w14:textId="77777777" w:rsidR="00AD5C97" w:rsidRPr="006C0EC6" w:rsidRDefault="00BC13E9">
      <w:pPr>
        <w:pStyle w:val="Textoindependiente"/>
        <w:spacing w:line="276" w:lineRule="auto"/>
        <w:ind w:left="180" w:right="207"/>
        <w:jc w:val="both"/>
      </w:pPr>
      <w:r w:rsidRPr="006C0EC6">
        <w:t xml:space="preserve">En este sentido, la experiencia se exigirá de acuerdo con el tipo de infraestructura, la actividad a contratar y la cuantía del Proceso de Contratación. Por ejemplo, si el objeto del Proceso es la “CONSTRUCCIÓN DE PLACA HUELLA” con un presupuesto oficial estimado de 10.000 SMMLV, la entidad estatal debe identificar en la “Matriz </w:t>
      </w:r>
      <w:r w:rsidRPr="006C0EC6">
        <w:rPr>
          <w:spacing w:val="5"/>
        </w:rPr>
        <w:t xml:space="preserve">1- </w:t>
      </w:r>
      <w:r w:rsidRPr="006C0EC6">
        <w:t>Experiencia”:</w:t>
      </w:r>
    </w:p>
    <w:p w14:paraId="262EDF92" w14:textId="77777777" w:rsidR="00AD5C97" w:rsidRPr="006C0EC6" w:rsidRDefault="00AD5C97">
      <w:pPr>
        <w:pStyle w:val="Textoindependiente"/>
        <w:spacing w:before="3"/>
        <w:rPr>
          <w:sz w:val="25"/>
        </w:rPr>
      </w:pPr>
    </w:p>
    <w:p w14:paraId="6F43AFB7" w14:textId="77777777" w:rsidR="00AD5C97" w:rsidRPr="006C0EC6" w:rsidRDefault="00BC13E9">
      <w:pPr>
        <w:pStyle w:val="Prrafodelista"/>
        <w:numPr>
          <w:ilvl w:val="1"/>
          <w:numId w:val="7"/>
        </w:numPr>
        <w:tabs>
          <w:tab w:val="left" w:pos="901"/>
        </w:tabs>
        <w:spacing w:before="1"/>
        <w:ind w:hanging="361"/>
      </w:pPr>
      <w:r w:rsidRPr="006C0EC6">
        <w:t>Tipo de infraestructura: “2. OBRAS EN VIAS</w:t>
      </w:r>
      <w:r w:rsidRPr="006C0EC6">
        <w:rPr>
          <w:spacing w:val="-13"/>
        </w:rPr>
        <w:t xml:space="preserve"> </w:t>
      </w:r>
      <w:r w:rsidRPr="006C0EC6">
        <w:t>TERCIARIAS”.</w:t>
      </w:r>
    </w:p>
    <w:p w14:paraId="12B8EADB" w14:textId="77777777" w:rsidR="00AD5C97" w:rsidRPr="006C0EC6" w:rsidRDefault="00BC13E9">
      <w:pPr>
        <w:pStyle w:val="Prrafodelista"/>
        <w:numPr>
          <w:ilvl w:val="1"/>
          <w:numId w:val="7"/>
        </w:numPr>
        <w:tabs>
          <w:tab w:val="left" w:pos="901"/>
        </w:tabs>
        <w:spacing w:before="37"/>
        <w:ind w:hanging="361"/>
      </w:pPr>
      <w:r w:rsidRPr="006C0EC6">
        <w:t>“Actividad a contratar”: “2.2 MEJORAMIENTO EN VÍAS</w:t>
      </w:r>
      <w:r w:rsidRPr="006C0EC6">
        <w:rPr>
          <w:spacing w:val="-14"/>
        </w:rPr>
        <w:t xml:space="preserve"> </w:t>
      </w:r>
      <w:r w:rsidRPr="006C0EC6">
        <w:t>TERCIARIAS”.</w:t>
      </w:r>
    </w:p>
    <w:p w14:paraId="5B169246" w14:textId="77777777" w:rsidR="00AD5C97" w:rsidRPr="006C0EC6" w:rsidRDefault="00BC13E9">
      <w:pPr>
        <w:pStyle w:val="Prrafodelista"/>
        <w:numPr>
          <w:ilvl w:val="1"/>
          <w:numId w:val="7"/>
        </w:numPr>
        <w:tabs>
          <w:tab w:val="left" w:pos="901"/>
        </w:tabs>
        <w:spacing w:before="39" w:line="276" w:lineRule="auto"/>
        <w:ind w:right="210"/>
      </w:pPr>
      <w:r w:rsidRPr="006C0EC6">
        <w:t>Rango de cuantía en el cual se encuentra el Proceso de Contratación: “Entre 1.001 y 13.000</w:t>
      </w:r>
      <w:r w:rsidRPr="006C0EC6">
        <w:rPr>
          <w:spacing w:val="-6"/>
        </w:rPr>
        <w:t xml:space="preserve"> </w:t>
      </w:r>
      <w:r w:rsidRPr="006C0EC6">
        <w:t>SMMLV”.</w:t>
      </w:r>
    </w:p>
    <w:p w14:paraId="0BF6628C" w14:textId="77777777" w:rsidR="00AD5C97" w:rsidRPr="006C0EC6" w:rsidRDefault="00BC13E9">
      <w:pPr>
        <w:pStyle w:val="Prrafodelista"/>
        <w:numPr>
          <w:ilvl w:val="1"/>
          <w:numId w:val="7"/>
        </w:numPr>
        <w:tabs>
          <w:tab w:val="left" w:pos="901"/>
        </w:tabs>
        <w:spacing w:line="276" w:lineRule="auto"/>
        <w:ind w:right="213"/>
      </w:pPr>
      <w:r w:rsidRPr="006C0EC6">
        <w:t>Experiencia general: “CONSTRUCCIÓN O MEJORAMIENTO EN PAVIMENTO ASFALTICO O CONCRETO HIDRÁULICO O PLACA HUELLA DE VÍAS PRIMARIAS O SECUNDARIAS O VÍAS TERCIARIAS O VÍAS URBANAS O PISTAS DE</w:t>
      </w:r>
      <w:r w:rsidRPr="006C0EC6">
        <w:rPr>
          <w:spacing w:val="-3"/>
        </w:rPr>
        <w:t xml:space="preserve"> </w:t>
      </w:r>
      <w:r w:rsidRPr="006C0EC6">
        <w:t>AEROPUERTOS”.</w:t>
      </w:r>
    </w:p>
    <w:p w14:paraId="062F438B" w14:textId="77777777" w:rsidR="00AD5C97" w:rsidRPr="006C0EC6" w:rsidRDefault="00BC13E9">
      <w:pPr>
        <w:pStyle w:val="Prrafodelista"/>
        <w:numPr>
          <w:ilvl w:val="1"/>
          <w:numId w:val="7"/>
        </w:numPr>
        <w:tabs>
          <w:tab w:val="left" w:pos="901"/>
        </w:tabs>
        <w:spacing w:line="276" w:lineRule="auto"/>
        <w:ind w:right="213"/>
      </w:pPr>
      <w:r w:rsidRPr="006C0EC6">
        <w:t>Experiencia especifica: “Por lo menos un (1) contrato cuya longitud intervenida corresponda al 50% de la longitud de la vía a construir mediante el proceso de contratación”.</w:t>
      </w:r>
    </w:p>
    <w:p w14:paraId="5E3EE530" w14:textId="77777777" w:rsidR="00AD5C97" w:rsidRPr="006C0EC6" w:rsidRDefault="00AD5C97">
      <w:pPr>
        <w:pStyle w:val="Textoindependiente"/>
        <w:spacing w:before="2"/>
        <w:rPr>
          <w:sz w:val="25"/>
        </w:rPr>
      </w:pPr>
    </w:p>
    <w:p w14:paraId="2DEB5D65" w14:textId="77777777" w:rsidR="00AD5C97" w:rsidRPr="006C0EC6" w:rsidRDefault="00BC13E9">
      <w:pPr>
        <w:pStyle w:val="Textoindependiente"/>
        <w:spacing w:line="278" w:lineRule="auto"/>
        <w:ind w:left="180" w:right="204"/>
        <w:jc w:val="both"/>
      </w:pPr>
      <w:r w:rsidRPr="006C0EC6">
        <w:t>De acuerdo con el ejemplo propuesto, la entidad estatal deberá diligenciar en el “Documento Base”, “literal A” del numeral 3.5.1 así:</w:t>
      </w:r>
    </w:p>
    <w:p w14:paraId="396AC84E" w14:textId="77777777" w:rsidR="00AD5C97" w:rsidRPr="006C0EC6" w:rsidRDefault="00AD5C97">
      <w:pPr>
        <w:pStyle w:val="Textoindependiente"/>
        <w:spacing w:before="6"/>
        <w:rPr>
          <w:sz w:val="35"/>
        </w:rPr>
      </w:pPr>
    </w:p>
    <w:p w14:paraId="50931F4B" w14:textId="77777777" w:rsidR="00AD5C97" w:rsidRPr="006C0EC6" w:rsidRDefault="00BC13E9">
      <w:pPr>
        <w:pStyle w:val="Prrafodelista"/>
        <w:numPr>
          <w:ilvl w:val="2"/>
          <w:numId w:val="7"/>
        </w:numPr>
        <w:tabs>
          <w:tab w:val="left" w:pos="1248"/>
        </w:tabs>
      </w:pPr>
      <w:r w:rsidRPr="006C0EC6">
        <w:t>Que las actividades ejecutadas correspondan</w:t>
      </w:r>
      <w:r w:rsidRPr="006C0EC6">
        <w:rPr>
          <w:spacing w:val="-9"/>
        </w:rPr>
        <w:t xml:space="preserve"> </w:t>
      </w:r>
      <w:r w:rsidRPr="006C0EC6">
        <w:t>a:</w:t>
      </w:r>
    </w:p>
    <w:p w14:paraId="37245A9C" w14:textId="77777777" w:rsidR="00AD5C97" w:rsidRPr="006C0EC6" w:rsidRDefault="00AD5C97">
      <w:pPr>
        <w:sectPr w:rsidR="00AD5C97" w:rsidRPr="006C0EC6">
          <w:pgSz w:w="12240" w:h="15840"/>
          <w:pgMar w:top="1560" w:right="1400" w:bottom="2140" w:left="1520" w:header="737" w:footer="1880" w:gutter="0"/>
          <w:cols w:space="720"/>
        </w:sectPr>
      </w:pPr>
    </w:p>
    <w:p w14:paraId="08B4EEC3" w14:textId="77777777" w:rsidR="00AD5C97" w:rsidRPr="006C0EC6" w:rsidRDefault="00AD5C97">
      <w:pPr>
        <w:pStyle w:val="Textoindependiente"/>
        <w:rPr>
          <w:sz w:val="20"/>
        </w:rPr>
      </w:pPr>
    </w:p>
    <w:p w14:paraId="20386B62" w14:textId="77777777" w:rsidR="00AD5C97" w:rsidRPr="006C0EC6" w:rsidRDefault="00AD5C97">
      <w:pPr>
        <w:pStyle w:val="Textoindependiente"/>
        <w:spacing w:before="5"/>
        <w:rPr>
          <w:sz w:val="16"/>
        </w:rPr>
      </w:pPr>
    </w:p>
    <w:p w14:paraId="2F7C5F73" w14:textId="77777777" w:rsidR="00AD5C97" w:rsidRPr="006C0EC6" w:rsidRDefault="00BC13E9">
      <w:pPr>
        <w:pStyle w:val="Textoindependiente"/>
        <w:spacing w:before="93" w:line="276" w:lineRule="auto"/>
        <w:ind w:left="1248" w:right="209"/>
        <w:jc w:val="both"/>
      </w:pPr>
      <w:r w:rsidRPr="006C0EC6">
        <w:rPr>
          <w:b/>
        </w:rPr>
        <w:t>Experiencia general</w:t>
      </w:r>
      <w:r w:rsidRPr="006C0EC6">
        <w:t>: “CONSTRUCCIÓN O MEJORAMIENTO EN PAVIMENTO ASFALTICO O CONCRETO HIDRÁULICO O PLACA HUELLA DE VÍAS PRIMARIAS O SECUNDARIAS O VÍAS TERCIARIAS O VÍAS URBANAS O PISTAS DE AEROPUERTOS”.</w:t>
      </w:r>
    </w:p>
    <w:p w14:paraId="5166983E" w14:textId="77777777" w:rsidR="00AD5C97" w:rsidRPr="006C0EC6" w:rsidRDefault="00BC13E9">
      <w:pPr>
        <w:pStyle w:val="Textoindependiente"/>
        <w:spacing w:before="2" w:line="276" w:lineRule="auto"/>
        <w:ind w:left="1248" w:right="209"/>
        <w:jc w:val="both"/>
      </w:pPr>
      <w:r w:rsidRPr="006C0EC6">
        <w:rPr>
          <w:b/>
        </w:rPr>
        <w:t>Experiencia especifica</w:t>
      </w:r>
      <w:r w:rsidRPr="006C0EC6">
        <w:t>: “Por lo menos un (1) contrato cuya longitud intervenida corresponda al 50% de la longitud de la vía a construir mediante el proceso de contratación”.</w:t>
      </w:r>
    </w:p>
    <w:p w14:paraId="67EB57B7" w14:textId="77777777" w:rsidR="00AD5C97" w:rsidRPr="006C0EC6" w:rsidRDefault="00AD5C97">
      <w:pPr>
        <w:pStyle w:val="Textoindependiente"/>
        <w:spacing w:before="2"/>
        <w:rPr>
          <w:sz w:val="25"/>
        </w:rPr>
      </w:pPr>
    </w:p>
    <w:p w14:paraId="4A90F57A" w14:textId="77777777" w:rsidR="00AD5C97" w:rsidRPr="006C0EC6" w:rsidRDefault="00BC13E9">
      <w:pPr>
        <w:pStyle w:val="Textoindependiente"/>
        <w:spacing w:line="276" w:lineRule="auto"/>
        <w:ind w:left="180" w:right="209"/>
        <w:jc w:val="both"/>
      </w:pPr>
      <w:r w:rsidRPr="006C0EC6">
        <w:t>En este sentido, la entidad estatal sólo puede exigir la experiencia general y especifica prevista en la Matriz 1- Experiencia, en las condiciones allí previstas, sin que sea viable exigir actividades o cantidades adicionales o modificar, suprimir, adicionar las actividades válidas para la acreditación de experiencia, es decir, la experiencia se debe solicitar con la descripción completa que corresponda a la experiencia general y especifica.</w:t>
      </w:r>
    </w:p>
    <w:p w14:paraId="362615AC" w14:textId="77777777" w:rsidR="00AD5C97" w:rsidRPr="006C0EC6" w:rsidRDefault="00AD5C97">
      <w:pPr>
        <w:pStyle w:val="Textoindependiente"/>
        <w:spacing w:before="6"/>
        <w:rPr>
          <w:sz w:val="25"/>
        </w:rPr>
      </w:pPr>
    </w:p>
    <w:p w14:paraId="6E1A44D8" w14:textId="77777777" w:rsidR="00AD5C97" w:rsidRPr="006C0EC6" w:rsidRDefault="00BC13E9">
      <w:pPr>
        <w:pStyle w:val="Textoindependiente"/>
        <w:spacing w:line="276" w:lineRule="auto"/>
        <w:ind w:left="180" w:right="207"/>
        <w:jc w:val="both"/>
      </w:pPr>
      <w:r w:rsidRPr="006C0EC6">
        <w:t>Finalmente, la experiencia especifica solamente se podrá solicitar cuando la “Matriz 1- Experiencia” la contemple de acuerdo con la actividad a contratar y el rango de la cuantía del proceso de contratación, de lo contrario, únicamente se solicitará experiencia general.</w:t>
      </w:r>
    </w:p>
    <w:p w14:paraId="00CFF8C0" w14:textId="77777777" w:rsidR="00AD5C97" w:rsidRPr="006C0EC6" w:rsidRDefault="00AD5C97">
      <w:pPr>
        <w:pStyle w:val="Textoindependiente"/>
        <w:spacing w:before="2"/>
        <w:rPr>
          <w:sz w:val="25"/>
        </w:rPr>
      </w:pPr>
    </w:p>
    <w:p w14:paraId="45868EFA" w14:textId="77777777" w:rsidR="00AD5C97" w:rsidRPr="006C0EC6" w:rsidRDefault="00BC13E9">
      <w:pPr>
        <w:pStyle w:val="Ttulo1"/>
        <w:numPr>
          <w:ilvl w:val="1"/>
          <w:numId w:val="8"/>
        </w:numPr>
        <w:tabs>
          <w:tab w:val="left" w:pos="890"/>
          <w:tab w:val="left" w:pos="891"/>
        </w:tabs>
        <w:ind w:hanging="721"/>
      </w:pPr>
      <w:r w:rsidRPr="006C0EC6">
        <w:t>Corrección aritmética de las</w:t>
      </w:r>
      <w:r w:rsidRPr="006C0EC6">
        <w:rPr>
          <w:spacing w:val="-4"/>
        </w:rPr>
        <w:t xml:space="preserve"> </w:t>
      </w:r>
      <w:r w:rsidRPr="006C0EC6">
        <w:t>propuestas</w:t>
      </w:r>
    </w:p>
    <w:p w14:paraId="5627F39F" w14:textId="77777777" w:rsidR="00AD5C97" w:rsidRPr="006C0EC6" w:rsidRDefault="00AD5C97">
      <w:pPr>
        <w:pStyle w:val="Textoindependiente"/>
        <w:spacing w:before="8"/>
        <w:rPr>
          <w:b/>
          <w:sz w:val="28"/>
        </w:rPr>
      </w:pPr>
    </w:p>
    <w:p w14:paraId="55BA0828" w14:textId="77777777" w:rsidR="00AD5C97" w:rsidRPr="006C0EC6" w:rsidRDefault="00BC13E9">
      <w:pPr>
        <w:pStyle w:val="Textoindependiente"/>
        <w:spacing w:line="276" w:lineRule="auto"/>
        <w:ind w:left="180" w:right="208"/>
        <w:jc w:val="both"/>
      </w:pPr>
      <w:r w:rsidRPr="006C0EC6">
        <w:t>Esta Subdirección en el concepto con radicado No. 4201912000006350 del 17 de septiembre de 2019, reiterado y desarrollado en el concepto con radicado No. 4201912000006447, 4201912000006455 y 4201912000006463 del 19 de septiembre de</w:t>
      </w:r>
    </w:p>
    <w:p w14:paraId="5CD7C7DD" w14:textId="77777777" w:rsidR="00AD5C97" w:rsidRPr="006C0EC6" w:rsidRDefault="00BC13E9">
      <w:pPr>
        <w:pStyle w:val="Textoindependiente"/>
        <w:spacing w:line="276" w:lineRule="auto"/>
        <w:ind w:left="180" w:right="204"/>
        <w:jc w:val="both"/>
      </w:pPr>
      <w:r w:rsidRPr="006C0EC6">
        <w:t>2019, radicado No. 4201912000006723 del 30 de septiembre, se pronunció sobre las reglas para la corrección aritmética de las propuestas en los Documentos Tipo. La tesis propuesta en estos conceptos es la que se expone a</w:t>
      </w:r>
      <w:r w:rsidRPr="006C0EC6">
        <w:rPr>
          <w:spacing w:val="-13"/>
        </w:rPr>
        <w:t xml:space="preserve"> </w:t>
      </w:r>
      <w:r w:rsidRPr="006C0EC6">
        <w:t>continuación.</w:t>
      </w:r>
    </w:p>
    <w:p w14:paraId="5D1B4140" w14:textId="77777777" w:rsidR="00AD5C97" w:rsidRPr="006C0EC6" w:rsidRDefault="00AD5C97">
      <w:pPr>
        <w:pStyle w:val="Textoindependiente"/>
        <w:spacing w:before="2"/>
        <w:rPr>
          <w:sz w:val="25"/>
        </w:rPr>
      </w:pPr>
    </w:p>
    <w:p w14:paraId="79A31787" w14:textId="77777777" w:rsidR="00AD5C97" w:rsidRPr="006C0EC6" w:rsidRDefault="00BC13E9">
      <w:pPr>
        <w:pStyle w:val="Textoindependiente"/>
        <w:spacing w:line="278" w:lineRule="auto"/>
        <w:ind w:left="180" w:right="204"/>
        <w:jc w:val="both"/>
      </w:pPr>
      <w:r w:rsidRPr="006C0EC6">
        <w:t>El numeral 4.1.2 del “Documento Base o Pliego Tipo” establece las reglas para efectuar la corrección aritmética de las ofertas económicas:</w:t>
      </w:r>
    </w:p>
    <w:p w14:paraId="00CA89BD" w14:textId="77777777" w:rsidR="00AD5C97" w:rsidRPr="006C0EC6" w:rsidRDefault="00AD5C97">
      <w:pPr>
        <w:pStyle w:val="Textoindependiente"/>
        <w:spacing w:before="4"/>
        <w:rPr>
          <w:sz w:val="35"/>
        </w:rPr>
      </w:pPr>
    </w:p>
    <w:p w14:paraId="7512B627" w14:textId="77777777" w:rsidR="00AD5C97" w:rsidRPr="006C0EC6" w:rsidRDefault="00BC13E9">
      <w:pPr>
        <w:ind w:left="888"/>
        <w:rPr>
          <w:b/>
          <w:sz w:val="20"/>
        </w:rPr>
      </w:pPr>
      <w:r w:rsidRPr="006C0EC6">
        <w:rPr>
          <w:b/>
          <w:sz w:val="20"/>
        </w:rPr>
        <w:t>“4.1.2. CORRECCIONES ARITMÉTICAS</w:t>
      </w:r>
    </w:p>
    <w:p w14:paraId="69E2F399" w14:textId="77777777" w:rsidR="00AD5C97" w:rsidRPr="006C0EC6" w:rsidRDefault="00AD5C97">
      <w:pPr>
        <w:pStyle w:val="Textoindependiente"/>
        <w:spacing w:before="2"/>
        <w:rPr>
          <w:b/>
          <w:sz w:val="21"/>
        </w:rPr>
      </w:pPr>
    </w:p>
    <w:p w14:paraId="42A81C82" w14:textId="77777777" w:rsidR="00AD5C97" w:rsidRPr="006C0EC6" w:rsidRDefault="00BC13E9">
      <w:pPr>
        <w:ind w:left="888"/>
        <w:rPr>
          <w:sz w:val="20"/>
        </w:rPr>
      </w:pPr>
      <w:r w:rsidRPr="006C0EC6">
        <w:rPr>
          <w:sz w:val="20"/>
        </w:rPr>
        <w:t>La Entidad sólo efectuará correcciones aritméticas originadas por:</w:t>
      </w:r>
    </w:p>
    <w:p w14:paraId="465A7E98" w14:textId="77777777" w:rsidR="00AD5C97" w:rsidRPr="006C0EC6" w:rsidRDefault="00AD5C97">
      <w:pPr>
        <w:pStyle w:val="Textoindependiente"/>
        <w:spacing w:before="4"/>
        <w:rPr>
          <w:sz w:val="17"/>
        </w:rPr>
      </w:pPr>
    </w:p>
    <w:p w14:paraId="18B75F1E" w14:textId="77777777" w:rsidR="00AD5C97" w:rsidRPr="006C0EC6" w:rsidRDefault="00BC13E9">
      <w:pPr>
        <w:pStyle w:val="Prrafodelista"/>
        <w:numPr>
          <w:ilvl w:val="2"/>
          <w:numId w:val="8"/>
        </w:numPr>
        <w:tabs>
          <w:tab w:val="left" w:pos="1608"/>
        </w:tabs>
        <w:spacing w:before="1"/>
        <w:ind w:left="1608" w:right="915"/>
        <w:rPr>
          <w:sz w:val="20"/>
        </w:rPr>
      </w:pPr>
      <w:r w:rsidRPr="006C0EC6">
        <w:rPr>
          <w:sz w:val="20"/>
        </w:rPr>
        <w:t>Todas las operaciones aritméticas a que haya lugar en la propuesta económica.</w:t>
      </w:r>
    </w:p>
    <w:p w14:paraId="4DC8C9D4" w14:textId="77777777" w:rsidR="00AD5C97" w:rsidRPr="006C0EC6" w:rsidRDefault="00BC13E9">
      <w:pPr>
        <w:pStyle w:val="Prrafodelista"/>
        <w:numPr>
          <w:ilvl w:val="2"/>
          <w:numId w:val="8"/>
        </w:numPr>
        <w:tabs>
          <w:tab w:val="left" w:pos="1608"/>
        </w:tabs>
        <w:ind w:left="1608" w:right="914"/>
        <w:rPr>
          <w:sz w:val="20"/>
        </w:rPr>
      </w:pPr>
      <w:r w:rsidRPr="006C0EC6">
        <w:rPr>
          <w:sz w:val="20"/>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w:t>
      </w:r>
      <w:r w:rsidRPr="006C0EC6">
        <w:rPr>
          <w:spacing w:val="-12"/>
          <w:sz w:val="20"/>
        </w:rPr>
        <w:t xml:space="preserve"> </w:t>
      </w:r>
      <w:r w:rsidRPr="006C0EC6">
        <w:rPr>
          <w:sz w:val="20"/>
        </w:rPr>
        <w:t>entero.</w:t>
      </w:r>
    </w:p>
    <w:p w14:paraId="2AF3B23E" w14:textId="77777777" w:rsidR="00AD5C97" w:rsidRPr="006C0EC6" w:rsidRDefault="00AD5C97">
      <w:pPr>
        <w:jc w:val="both"/>
        <w:rPr>
          <w:sz w:val="20"/>
        </w:rPr>
        <w:sectPr w:rsidR="00AD5C97" w:rsidRPr="006C0EC6">
          <w:pgSz w:w="12240" w:h="15840"/>
          <w:pgMar w:top="1560" w:right="1400" w:bottom="2080" w:left="1520" w:header="737" w:footer="1880" w:gutter="0"/>
          <w:cols w:space="720"/>
        </w:sectPr>
      </w:pPr>
    </w:p>
    <w:p w14:paraId="6209C166" w14:textId="77777777" w:rsidR="00AD5C97" w:rsidRPr="006C0EC6" w:rsidRDefault="00AD5C97">
      <w:pPr>
        <w:pStyle w:val="Textoindependiente"/>
        <w:rPr>
          <w:sz w:val="20"/>
        </w:rPr>
      </w:pPr>
    </w:p>
    <w:p w14:paraId="2B4D4DD5" w14:textId="77777777" w:rsidR="00AD5C97" w:rsidRPr="006C0EC6" w:rsidRDefault="00AD5C97">
      <w:pPr>
        <w:pStyle w:val="Textoindependiente"/>
        <w:rPr>
          <w:sz w:val="20"/>
        </w:rPr>
      </w:pPr>
    </w:p>
    <w:p w14:paraId="4FAFADCF" w14:textId="77777777" w:rsidR="00AD5C97" w:rsidRPr="006C0EC6" w:rsidRDefault="00AD5C97">
      <w:pPr>
        <w:pStyle w:val="Textoindependiente"/>
        <w:rPr>
          <w:sz w:val="27"/>
        </w:rPr>
      </w:pPr>
    </w:p>
    <w:p w14:paraId="21ABB857" w14:textId="77777777" w:rsidR="00AD5C97" w:rsidRPr="006C0EC6" w:rsidRDefault="00BC13E9">
      <w:pPr>
        <w:spacing w:before="93"/>
        <w:ind w:left="888" w:right="919"/>
        <w:jc w:val="both"/>
        <w:rPr>
          <w:sz w:val="20"/>
        </w:rPr>
      </w:pPr>
      <w:r w:rsidRPr="006C0EC6">
        <w:rPr>
          <w:sz w:val="20"/>
        </w:rPr>
        <w:t>La Entidad a partir del valor total corregido de las propuestas asignará máximo setenta (70) puntos acumulables de conformidad con el procedimiento del numeral 4.1.4.”</w:t>
      </w:r>
    </w:p>
    <w:p w14:paraId="53CBA8C9" w14:textId="77777777" w:rsidR="00AD5C97" w:rsidRPr="006C0EC6" w:rsidRDefault="00AD5C97">
      <w:pPr>
        <w:pStyle w:val="Textoindependiente"/>
        <w:spacing w:before="9"/>
        <w:rPr>
          <w:sz w:val="20"/>
        </w:rPr>
      </w:pPr>
    </w:p>
    <w:p w14:paraId="5BBEE49B" w14:textId="7E5419E5" w:rsidR="00AD5C97" w:rsidRPr="006C0EC6" w:rsidRDefault="00BC13E9" w:rsidP="00DF5748">
      <w:pPr>
        <w:pStyle w:val="Textoindependiente"/>
        <w:spacing w:line="276" w:lineRule="auto"/>
        <w:ind w:left="180" w:right="203"/>
        <w:jc w:val="both"/>
      </w:pPr>
      <w:r w:rsidRPr="006C0EC6">
        <w:t>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Ejemplo</w:t>
      </w:r>
      <w:r w:rsidR="00DF5748">
        <w:rPr>
          <w:rStyle w:val="Refdenotaalpie"/>
        </w:rPr>
        <w:footnoteReference w:id="4"/>
      </w:r>
      <w:r w:rsidRPr="006C0EC6">
        <w:t>: el proponente oferta en el “Formulario 1 – Formulario</w:t>
      </w:r>
      <w:r w:rsidRPr="006C0EC6">
        <w:rPr>
          <w:spacing w:val="40"/>
        </w:rPr>
        <w:t xml:space="preserve"> </w:t>
      </w:r>
      <w:r w:rsidRPr="006C0EC6">
        <w:t>de</w:t>
      </w:r>
      <w:r w:rsidRPr="006C0EC6">
        <w:rPr>
          <w:spacing w:val="40"/>
        </w:rPr>
        <w:t xml:space="preserve"> </w:t>
      </w:r>
      <w:r w:rsidRPr="006C0EC6">
        <w:t>Presupuesto</w:t>
      </w:r>
      <w:r w:rsidRPr="006C0EC6">
        <w:rPr>
          <w:spacing w:val="43"/>
        </w:rPr>
        <w:t xml:space="preserve"> </w:t>
      </w:r>
      <w:r w:rsidRPr="006C0EC6">
        <w:t>Oficial”</w:t>
      </w:r>
      <w:r w:rsidRPr="006C0EC6">
        <w:rPr>
          <w:spacing w:val="42"/>
        </w:rPr>
        <w:t xml:space="preserve"> </w:t>
      </w:r>
      <w:r w:rsidRPr="006C0EC6">
        <w:t>como</w:t>
      </w:r>
      <w:r w:rsidRPr="006C0EC6">
        <w:rPr>
          <w:spacing w:val="42"/>
        </w:rPr>
        <w:t xml:space="preserve"> </w:t>
      </w:r>
      <w:r w:rsidRPr="006C0EC6">
        <w:t>“valor</w:t>
      </w:r>
      <w:r w:rsidRPr="006C0EC6">
        <w:rPr>
          <w:spacing w:val="42"/>
        </w:rPr>
        <w:t xml:space="preserve"> </w:t>
      </w:r>
      <w:r w:rsidRPr="006C0EC6">
        <w:t>unitario”</w:t>
      </w:r>
      <w:r w:rsidRPr="006C0EC6">
        <w:rPr>
          <w:spacing w:val="41"/>
        </w:rPr>
        <w:t xml:space="preserve"> </w:t>
      </w:r>
      <w:r w:rsidRPr="006C0EC6">
        <w:t>del</w:t>
      </w:r>
      <w:r w:rsidRPr="006C0EC6">
        <w:rPr>
          <w:spacing w:val="47"/>
        </w:rPr>
        <w:t xml:space="preserve"> </w:t>
      </w:r>
      <w:r w:rsidRPr="006C0EC6">
        <w:rPr>
          <w:i/>
        </w:rPr>
        <w:t>ítem</w:t>
      </w:r>
      <w:r w:rsidRPr="006C0EC6">
        <w:rPr>
          <w:i/>
          <w:spacing w:val="37"/>
        </w:rPr>
        <w:t xml:space="preserve"> </w:t>
      </w:r>
      <w:r w:rsidRPr="006C0EC6">
        <w:t>450.1.2P</w:t>
      </w:r>
      <w:r w:rsidRPr="006C0EC6">
        <w:rPr>
          <w:spacing w:val="43"/>
        </w:rPr>
        <w:t xml:space="preserve"> </w:t>
      </w:r>
      <w:r w:rsidRPr="006C0EC6">
        <w:t>la</w:t>
      </w:r>
      <w:r w:rsidRPr="006C0EC6">
        <w:rPr>
          <w:spacing w:val="40"/>
        </w:rPr>
        <w:t xml:space="preserve"> </w:t>
      </w:r>
      <w:r w:rsidRPr="006C0EC6">
        <w:t>suma</w:t>
      </w:r>
      <w:r w:rsidRPr="006C0EC6">
        <w:rPr>
          <w:spacing w:val="43"/>
        </w:rPr>
        <w:t xml:space="preserve"> </w:t>
      </w:r>
      <w:r w:rsidRPr="006C0EC6">
        <w:t>de</w:t>
      </w:r>
      <w:r w:rsidR="00DF5748">
        <w:t xml:space="preserve"> </w:t>
      </w:r>
      <w:r w:rsidRPr="006C0EC6">
        <w:t xml:space="preserve">$618.720,00, por lo cual la entidad debe verificar que dicho valor corresponda al “valor total” ofertado para ese </w:t>
      </w:r>
      <w:r w:rsidRPr="006C0EC6">
        <w:rPr>
          <w:i/>
        </w:rPr>
        <w:t xml:space="preserve">ítem </w:t>
      </w:r>
      <w:r w:rsidRPr="006C0EC6">
        <w:t xml:space="preserve">de acuerdo con las cantidades requeridas y que la sumatoria de la totalidad de </w:t>
      </w:r>
      <w:r w:rsidRPr="006C0EC6">
        <w:rPr>
          <w:i/>
        </w:rPr>
        <w:t xml:space="preserve">ítems </w:t>
      </w:r>
      <w:r w:rsidRPr="006C0EC6">
        <w:t>incluye la diferencia producto de la</w:t>
      </w:r>
      <w:r w:rsidRPr="006C0EC6">
        <w:rPr>
          <w:spacing w:val="-17"/>
        </w:rPr>
        <w:t xml:space="preserve"> </w:t>
      </w:r>
      <w:r w:rsidRPr="006C0EC6">
        <w:t>corrección:</w:t>
      </w:r>
    </w:p>
    <w:p w14:paraId="4554F256" w14:textId="77777777" w:rsidR="00AD5C97" w:rsidRPr="006C0EC6" w:rsidRDefault="00AD5C97">
      <w:pPr>
        <w:pStyle w:val="Textoindependiente"/>
        <w:spacing w:before="1"/>
        <w:rPr>
          <w:sz w:val="25"/>
        </w:rPr>
      </w:pPr>
    </w:p>
    <w:p w14:paraId="66E1B9E3" w14:textId="77777777" w:rsidR="00AD5C97" w:rsidRPr="006C0EC6" w:rsidRDefault="00BC13E9">
      <w:pPr>
        <w:pStyle w:val="Prrafodelista"/>
        <w:numPr>
          <w:ilvl w:val="0"/>
          <w:numId w:val="6"/>
        </w:numPr>
        <w:tabs>
          <w:tab w:val="left" w:pos="900"/>
          <w:tab w:val="left" w:pos="901"/>
        </w:tabs>
        <w:spacing w:before="1"/>
        <w:ind w:hanging="361"/>
        <w:jc w:val="left"/>
      </w:pPr>
      <w:r w:rsidRPr="006C0EC6">
        <w:t>Valor ofertado por el</w:t>
      </w:r>
      <w:r w:rsidRPr="006C0EC6">
        <w:rPr>
          <w:spacing w:val="-7"/>
        </w:rPr>
        <w:t xml:space="preserve"> </w:t>
      </w:r>
      <w:r w:rsidRPr="006C0EC6">
        <w:t>proponente:</w:t>
      </w:r>
    </w:p>
    <w:p w14:paraId="7CA521D6" w14:textId="77777777" w:rsidR="00AD5C97" w:rsidRPr="006C0EC6" w:rsidRDefault="00AD5C97">
      <w:pPr>
        <w:pStyle w:val="Textoindependiente"/>
        <w:rPr>
          <w:sz w:val="29"/>
        </w:rPr>
      </w:pPr>
    </w:p>
    <w:tbl>
      <w:tblPr>
        <w:tblStyle w:val="NormalTable0"/>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6C0EC6" w:rsidRPr="006C0EC6" w14:paraId="38A9DD69" w14:textId="77777777">
        <w:trPr>
          <w:trHeight w:val="195"/>
        </w:trPr>
        <w:tc>
          <w:tcPr>
            <w:tcW w:w="845" w:type="dxa"/>
            <w:vMerge w:val="restart"/>
            <w:tcBorders>
              <w:left w:val="single" w:sz="4" w:space="0" w:color="000000"/>
              <w:right w:val="single" w:sz="4" w:space="0" w:color="000000"/>
            </w:tcBorders>
          </w:tcPr>
          <w:p w14:paraId="66100FEB" w14:textId="77777777" w:rsidR="00AD5C97" w:rsidRPr="006C0EC6" w:rsidRDefault="00BC13E9">
            <w:pPr>
              <w:pStyle w:val="TableParagraph"/>
              <w:spacing w:before="13" w:line="276" w:lineRule="auto"/>
              <w:ind w:left="215" w:right="110" w:hanging="78"/>
              <w:rPr>
                <w:rFonts w:ascii="Arial"/>
                <w:b/>
                <w:sz w:val="14"/>
              </w:rPr>
            </w:pPr>
            <w:r w:rsidRPr="006C0EC6">
              <w:rPr>
                <w:rFonts w:ascii="Arial"/>
                <w:b/>
                <w:sz w:val="14"/>
              </w:rPr>
              <w:t>ITEM DE PAGO</w:t>
            </w:r>
          </w:p>
        </w:tc>
        <w:tc>
          <w:tcPr>
            <w:tcW w:w="2019" w:type="dxa"/>
            <w:gridSpan w:val="2"/>
            <w:tcBorders>
              <w:left w:val="single" w:sz="4" w:space="0" w:color="000000"/>
              <w:bottom w:val="single" w:sz="4" w:space="0" w:color="000000"/>
            </w:tcBorders>
          </w:tcPr>
          <w:p w14:paraId="113F89E8" w14:textId="77777777" w:rsidR="00AD5C97" w:rsidRPr="006C0EC6" w:rsidRDefault="00BC13E9">
            <w:pPr>
              <w:pStyle w:val="TableParagraph"/>
              <w:spacing w:before="3"/>
              <w:ind w:left="322"/>
              <w:rPr>
                <w:rFonts w:ascii="Arial"/>
                <w:b/>
                <w:sz w:val="14"/>
              </w:rPr>
            </w:pPr>
            <w:r w:rsidRPr="006C0EC6">
              <w:rPr>
                <w:rFonts w:ascii="Arial"/>
                <w:b/>
                <w:sz w:val="14"/>
              </w:rPr>
              <w:t>ESPECIFICACIONES</w:t>
            </w:r>
          </w:p>
        </w:tc>
        <w:tc>
          <w:tcPr>
            <w:tcW w:w="2531" w:type="dxa"/>
            <w:vMerge w:val="restart"/>
            <w:tcBorders>
              <w:right w:val="single" w:sz="4" w:space="0" w:color="000000"/>
            </w:tcBorders>
          </w:tcPr>
          <w:p w14:paraId="4D9A5376" w14:textId="77777777" w:rsidR="00AD5C97" w:rsidRPr="006C0EC6" w:rsidRDefault="00BC13E9">
            <w:pPr>
              <w:pStyle w:val="TableParagraph"/>
              <w:spacing w:before="106"/>
              <w:ind w:left="773"/>
              <w:rPr>
                <w:rFonts w:ascii="Arial"/>
                <w:b/>
                <w:sz w:val="14"/>
              </w:rPr>
            </w:pPr>
            <w:r w:rsidRPr="006C0EC6">
              <w:rPr>
                <w:rFonts w:ascii="Arial"/>
                <w:b/>
                <w:sz w:val="14"/>
              </w:rPr>
              <w:t>DESCRIPCION</w:t>
            </w:r>
          </w:p>
        </w:tc>
        <w:tc>
          <w:tcPr>
            <w:tcW w:w="483" w:type="dxa"/>
            <w:vMerge w:val="restart"/>
            <w:tcBorders>
              <w:left w:val="single" w:sz="4" w:space="0" w:color="000000"/>
              <w:right w:val="single" w:sz="4" w:space="0" w:color="000000"/>
            </w:tcBorders>
          </w:tcPr>
          <w:p w14:paraId="3480A8F7" w14:textId="77777777" w:rsidR="00AD5C97" w:rsidRPr="006C0EC6" w:rsidRDefault="00BC13E9">
            <w:pPr>
              <w:pStyle w:val="TableParagraph"/>
              <w:spacing w:before="106"/>
              <w:ind w:left="70"/>
              <w:rPr>
                <w:rFonts w:ascii="Arial"/>
                <w:b/>
                <w:sz w:val="14"/>
              </w:rPr>
            </w:pPr>
            <w:r w:rsidRPr="006C0EC6">
              <w:rPr>
                <w:rFonts w:ascii="Arial"/>
                <w:b/>
                <w:sz w:val="14"/>
              </w:rPr>
              <w:t>UND.</w:t>
            </w:r>
          </w:p>
        </w:tc>
        <w:tc>
          <w:tcPr>
            <w:tcW w:w="873" w:type="dxa"/>
            <w:vMerge w:val="restart"/>
            <w:tcBorders>
              <w:left w:val="single" w:sz="4" w:space="0" w:color="000000"/>
              <w:right w:val="single" w:sz="4" w:space="0" w:color="000000"/>
            </w:tcBorders>
          </w:tcPr>
          <w:p w14:paraId="46DED011" w14:textId="77777777" w:rsidR="00AD5C97" w:rsidRPr="006C0EC6" w:rsidRDefault="00BC13E9">
            <w:pPr>
              <w:pStyle w:val="TableParagraph"/>
              <w:spacing w:before="106"/>
              <w:ind w:left="70"/>
              <w:rPr>
                <w:rFonts w:ascii="Arial"/>
                <w:b/>
                <w:sz w:val="14"/>
              </w:rPr>
            </w:pPr>
            <w:r w:rsidRPr="006C0EC6">
              <w:rPr>
                <w:rFonts w:ascii="Arial"/>
                <w:b/>
                <w:sz w:val="14"/>
              </w:rPr>
              <w:t>CANTIDAD</w:t>
            </w:r>
          </w:p>
        </w:tc>
        <w:tc>
          <w:tcPr>
            <w:tcW w:w="916" w:type="dxa"/>
            <w:vMerge w:val="restart"/>
            <w:tcBorders>
              <w:left w:val="single" w:sz="4" w:space="0" w:color="000000"/>
              <w:right w:val="single" w:sz="4" w:space="0" w:color="000000"/>
            </w:tcBorders>
          </w:tcPr>
          <w:p w14:paraId="6CE0E8D3" w14:textId="77777777" w:rsidR="00AD5C97" w:rsidRPr="006C0EC6" w:rsidRDefault="00BC13E9">
            <w:pPr>
              <w:pStyle w:val="TableParagraph"/>
              <w:spacing w:before="13" w:line="276" w:lineRule="auto"/>
              <w:ind w:left="117" w:right="92" w:firstLine="95"/>
              <w:rPr>
                <w:rFonts w:ascii="Arial"/>
                <w:b/>
                <w:sz w:val="14"/>
              </w:rPr>
            </w:pPr>
            <w:r w:rsidRPr="006C0EC6">
              <w:rPr>
                <w:rFonts w:ascii="Arial"/>
                <w:b/>
                <w:sz w:val="14"/>
              </w:rPr>
              <w:t>VALOR UNITARIO</w:t>
            </w:r>
          </w:p>
        </w:tc>
        <w:tc>
          <w:tcPr>
            <w:tcW w:w="1408" w:type="dxa"/>
            <w:vMerge w:val="restart"/>
            <w:tcBorders>
              <w:left w:val="single" w:sz="4" w:space="0" w:color="000000"/>
            </w:tcBorders>
          </w:tcPr>
          <w:p w14:paraId="0B50DFE4" w14:textId="77777777" w:rsidR="00AD5C97" w:rsidRPr="006C0EC6" w:rsidRDefault="00BC13E9">
            <w:pPr>
              <w:pStyle w:val="TableParagraph"/>
              <w:spacing w:before="106"/>
              <w:ind w:left="204"/>
              <w:rPr>
                <w:rFonts w:ascii="Arial"/>
                <w:b/>
                <w:sz w:val="14"/>
              </w:rPr>
            </w:pPr>
            <w:r w:rsidRPr="006C0EC6">
              <w:rPr>
                <w:rFonts w:ascii="Arial"/>
                <w:b/>
                <w:sz w:val="14"/>
              </w:rPr>
              <w:t>VALOR TOTAL</w:t>
            </w:r>
          </w:p>
        </w:tc>
      </w:tr>
      <w:tr w:rsidR="006C0EC6" w:rsidRPr="006C0EC6" w14:paraId="750C1F0A" w14:textId="77777777">
        <w:trPr>
          <w:trHeight w:val="190"/>
        </w:trPr>
        <w:tc>
          <w:tcPr>
            <w:tcW w:w="845" w:type="dxa"/>
            <w:vMerge/>
            <w:tcBorders>
              <w:top w:val="nil"/>
              <w:left w:val="single" w:sz="4" w:space="0" w:color="000000"/>
              <w:right w:val="single" w:sz="4" w:space="0" w:color="000000"/>
            </w:tcBorders>
          </w:tcPr>
          <w:p w14:paraId="679FC5BB" w14:textId="77777777" w:rsidR="00AD5C97" w:rsidRPr="006C0EC6" w:rsidRDefault="00AD5C97">
            <w:pPr>
              <w:rPr>
                <w:sz w:val="2"/>
                <w:szCs w:val="2"/>
              </w:rPr>
            </w:pPr>
          </w:p>
        </w:tc>
        <w:tc>
          <w:tcPr>
            <w:tcW w:w="968" w:type="dxa"/>
            <w:tcBorders>
              <w:top w:val="single" w:sz="4" w:space="0" w:color="000000"/>
              <w:left w:val="single" w:sz="4" w:space="0" w:color="000000"/>
              <w:right w:val="single" w:sz="4" w:space="0" w:color="000000"/>
            </w:tcBorders>
          </w:tcPr>
          <w:p w14:paraId="777186CC" w14:textId="77777777" w:rsidR="00AD5C97" w:rsidRPr="006C0EC6" w:rsidRDefault="00BC13E9">
            <w:pPr>
              <w:pStyle w:val="TableParagraph"/>
              <w:spacing w:before="1"/>
              <w:ind w:left="142"/>
              <w:rPr>
                <w:rFonts w:ascii="Arial"/>
                <w:b/>
                <w:sz w:val="14"/>
              </w:rPr>
            </w:pPr>
            <w:r w:rsidRPr="006C0EC6">
              <w:rPr>
                <w:rFonts w:ascii="Arial"/>
                <w:b/>
                <w:sz w:val="14"/>
              </w:rPr>
              <w:t>GENERAL</w:t>
            </w:r>
          </w:p>
        </w:tc>
        <w:tc>
          <w:tcPr>
            <w:tcW w:w="1051" w:type="dxa"/>
            <w:tcBorders>
              <w:top w:val="single" w:sz="4" w:space="0" w:color="000000"/>
              <w:left w:val="single" w:sz="4" w:space="0" w:color="000000"/>
            </w:tcBorders>
          </w:tcPr>
          <w:p w14:paraId="594D4794" w14:textId="77777777" w:rsidR="00AD5C97" w:rsidRPr="006C0EC6" w:rsidRDefault="00BC13E9">
            <w:pPr>
              <w:pStyle w:val="TableParagraph"/>
              <w:spacing w:before="1"/>
              <w:ind w:left="71"/>
              <w:rPr>
                <w:rFonts w:ascii="Arial"/>
                <w:b/>
                <w:sz w:val="14"/>
              </w:rPr>
            </w:pPr>
            <w:r w:rsidRPr="006C0EC6">
              <w:rPr>
                <w:rFonts w:ascii="Arial"/>
                <w:b/>
                <w:sz w:val="14"/>
              </w:rPr>
              <w:t>PARTICULAR</w:t>
            </w:r>
          </w:p>
        </w:tc>
        <w:tc>
          <w:tcPr>
            <w:tcW w:w="2531" w:type="dxa"/>
            <w:vMerge/>
            <w:tcBorders>
              <w:top w:val="nil"/>
              <w:right w:val="single" w:sz="4" w:space="0" w:color="000000"/>
            </w:tcBorders>
          </w:tcPr>
          <w:p w14:paraId="04BFE232" w14:textId="77777777" w:rsidR="00AD5C97" w:rsidRPr="006C0EC6" w:rsidRDefault="00AD5C97">
            <w:pPr>
              <w:rPr>
                <w:sz w:val="2"/>
                <w:szCs w:val="2"/>
              </w:rPr>
            </w:pPr>
          </w:p>
        </w:tc>
        <w:tc>
          <w:tcPr>
            <w:tcW w:w="483" w:type="dxa"/>
            <w:vMerge/>
            <w:tcBorders>
              <w:top w:val="nil"/>
              <w:left w:val="single" w:sz="4" w:space="0" w:color="000000"/>
              <w:right w:val="single" w:sz="4" w:space="0" w:color="000000"/>
            </w:tcBorders>
          </w:tcPr>
          <w:p w14:paraId="50553B14" w14:textId="77777777" w:rsidR="00AD5C97" w:rsidRPr="006C0EC6" w:rsidRDefault="00AD5C97">
            <w:pPr>
              <w:rPr>
                <w:sz w:val="2"/>
                <w:szCs w:val="2"/>
              </w:rPr>
            </w:pPr>
          </w:p>
        </w:tc>
        <w:tc>
          <w:tcPr>
            <w:tcW w:w="873" w:type="dxa"/>
            <w:vMerge/>
            <w:tcBorders>
              <w:top w:val="nil"/>
              <w:left w:val="single" w:sz="4" w:space="0" w:color="000000"/>
              <w:right w:val="single" w:sz="4" w:space="0" w:color="000000"/>
            </w:tcBorders>
          </w:tcPr>
          <w:p w14:paraId="70C860D4" w14:textId="77777777" w:rsidR="00AD5C97" w:rsidRPr="006C0EC6" w:rsidRDefault="00AD5C97">
            <w:pPr>
              <w:rPr>
                <w:sz w:val="2"/>
                <w:szCs w:val="2"/>
              </w:rPr>
            </w:pPr>
          </w:p>
        </w:tc>
        <w:tc>
          <w:tcPr>
            <w:tcW w:w="916" w:type="dxa"/>
            <w:vMerge/>
            <w:tcBorders>
              <w:top w:val="nil"/>
              <w:left w:val="single" w:sz="4" w:space="0" w:color="000000"/>
              <w:right w:val="single" w:sz="4" w:space="0" w:color="000000"/>
            </w:tcBorders>
          </w:tcPr>
          <w:p w14:paraId="52379ACD" w14:textId="77777777" w:rsidR="00AD5C97" w:rsidRPr="006C0EC6" w:rsidRDefault="00AD5C97">
            <w:pPr>
              <w:rPr>
                <w:sz w:val="2"/>
                <w:szCs w:val="2"/>
              </w:rPr>
            </w:pPr>
          </w:p>
        </w:tc>
        <w:tc>
          <w:tcPr>
            <w:tcW w:w="1408" w:type="dxa"/>
            <w:vMerge/>
            <w:tcBorders>
              <w:top w:val="nil"/>
              <w:left w:val="single" w:sz="4" w:space="0" w:color="000000"/>
            </w:tcBorders>
          </w:tcPr>
          <w:p w14:paraId="3A3A98FE" w14:textId="77777777" w:rsidR="00AD5C97" w:rsidRPr="006C0EC6" w:rsidRDefault="00AD5C97">
            <w:pPr>
              <w:rPr>
                <w:sz w:val="2"/>
                <w:szCs w:val="2"/>
              </w:rPr>
            </w:pPr>
          </w:p>
        </w:tc>
      </w:tr>
      <w:tr w:rsidR="006C0EC6" w:rsidRPr="006C0EC6" w14:paraId="0CE6C934" w14:textId="77777777">
        <w:trPr>
          <w:trHeight w:val="185"/>
        </w:trPr>
        <w:tc>
          <w:tcPr>
            <w:tcW w:w="9075" w:type="dxa"/>
            <w:gridSpan w:val="8"/>
            <w:tcBorders>
              <w:left w:val="nil"/>
            </w:tcBorders>
            <w:shd w:val="clear" w:color="auto" w:fill="808080"/>
          </w:tcPr>
          <w:p w14:paraId="6D0FA982" w14:textId="77777777" w:rsidR="00AD5C97" w:rsidRPr="006C0EC6" w:rsidRDefault="00AD5C97">
            <w:pPr>
              <w:pStyle w:val="TableParagraph"/>
              <w:rPr>
                <w:rFonts w:ascii="Times New Roman"/>
                <w:sz w:val="12"/>
              </w:rPr>
            </w:pPr>
          </w:p>
        </w:tc>
      </w:tr>
      <w:tr w:rsidR="00AD5C97" w:rsidRPr="006C0EC6" w14:paraId="26BCB345" w14:textId="77777777">
        <w:trPr>
          <w:trHeight w:val="600"/>
        </w:trPr>
        <w:tc>
          <w:tcPr>
            <w:tcW w:w="845" w:type="dxa"/>
            <w:tcBorders>
              <w:left w:val="single" w:sz="4" w:space="0" w:color="000000"/>
              <w:bottom w:val="single" w:sz="4" w:space="0" w:color="000000"/>
              <w:right w:val="single" w:sz="4" w:space="0" w:color="000000"/>
            </w:tcBorders>
          </w:tcPr>
          <w:p w14:paraId="0CC195CD" w14:textId="77777777" w:rsidR="00AD5C97" w:rsidRPr="006C0EC6" w:rsidRDefault="00AD5C97">
            <w:pPr>
              <w:pStyle w:val="TableParagraph"/>
              <w:spacing w:before="6"/>
              <w:rPr>
                <w:rFonts w:ascii="Arial"/>
                <w:sz w:val="16"/>
              </w:rPr>
            </w:pPr>
          </w:p>
          <w:p w14:paraId="799C9F01" w14:textId="77777777" w:rsidR="00AD5C97" w:rsidRPr="006C0EC6" w:rsidRDefault="00BC13E9">
            <w:pPr>
              <w:pStyle w:val="TableParagraph"/>
              <w:ind w:left="160"/>
              <w:rPr>
                <w:sz w:val="16"/>
              </w:rPr>
            </w:pPr>
            <w:r w:rsidRPr="006C0EC6">
              <w:rPr>
                <w:sz w:val="16"/>
              </w:rPr>
              <w:t>450.1.2P</w:t>
            </w:r>
          </w:p>
        </w:tc>
        <w:tc>
          <w:tcPr>
            <w:tcW w:w="968" w:type="dxa"/>
            <w:tcBorders>
              <w:left w:val="single" w:sz="4" w:space="0" w:color="000000"/>
              <w:bottom w:val="single" w:sz="4" w:space="0" w:color="000000"/>
              <w:right w:val="single" w:sz="4" w:space="0" w:color="000000"/>
            </w:tcBorders>
          </w:tcPr>
          <w:p w14:paraId="088CD8C9" w14:textId="77777777" w:rsidR="00AD5C97" w:rsidRPr="006C0EC6" w:rsidRDefault="00AD5C97">
            <w:pPr>
              <w:pStyle w:val="TableParagraph"/>
              <w:rPr>
                <w:rFonts w:ascii="Times New Roman"/>
                <w:sz w:val="20"/>
              </w:rPr>
            </w:pPr>
          </w:p>
        </w:tc>
        <w:tc>
          <w:tcPr>
            <w:tcW w:w="1051" w:type="dxa"/>
            <w:tcBorders>
              <w:left w:val="single" w:sz="4" w:space="0" w:color="000000"/>
              <w:bottom w:val="single" w:sz="4" w:space="0" w:color="000000"/>
              <w:right w:val="single" w:sz="4" w:space="0" w:color="000000"/>
            </w:tcBorders>
          </w:tcPr>
          <w:p w14:paraId="1E654E65" w14:textId="77777777" w:rsidR="00AD5C97" w:rsidRPr="006C0EC6" w:rsidRDefault="00AD5C97">
            <w:pPr>
              <w:pStyle w:val="TableParagraph"/>
              <w:spacing w:before="6"/>
              <w:rPr>
                <w:rFonts w:ascii="Arial"/>
                <w:sz w:val="16"/>
              </w:rPr>
            </w:pPr>
          </w:p>
          <w:p w14:paraId="2F7D3516" w14:textId="77777777" w:rsidR="00AD5C97" w:rsidRPr="006C0EC6" w:rsidRDefault="00BC13E9">
            <w:pPr>
              <w:pStyle w:val="TableParagraph"/>
              <w:ind w:left="71"/>
              <w:rPr>
                <w:sz w:val="16"/>
              </w:rPr>
            </w:pPr>
            <w:r w:rsidRPr="006C0EC6">
              <w:rPr>
                <w:sz w:val="16"/>
              </w:rPr>
              <w:t>450.1.2P</w:t>
            </w:r>
          </w:p>
        </w:tc>
        <w:tc>
          <w:tcPr>
            <w:tcW w:w="2531" w:type="dxa"/>
            <w:tcBorders>
              <w:left w:val="single" w:sz="4" w:space="0" w:color="000000"/>
              <w:bottom w:val="single" w:sz="4" w:space="0" w:color="000000"/>
              <w:right w:val="single" w:sz="4" w:space="0" w:color="000000"/>
            </w:tcBorders>
          </w:tcPr>
          <w:p w14:paraId="716A4FE7" w14:textId="77777777" w:rsidR="00AD5C97" w:rsidRPr="006C0EC6" w:rsidRDefault="00BC13E9">
            <w:pPr>
              <w:pStyle w:val="TableParagraph"/>
              <w:spacing w:before="85" w:line="273" w:lineRule="auto"/>
              <w:ind w:left="71" w:right="132"/>
              <w:rPr>
                <w:sz w:val="16"/>
              </w:rPr>
            </w:pPr>
            <w:r w:rsidRPr="006C0EC6">
              <w:rPr>
                <w:sz w:val="16"/>
              </w:rPr>
              <w:t>Mezcla densa en caliente Tipo MDC-25 para capa intermedia</w:t>
            </w:r>
          </w:p>
        </w:tc>
        <w:tc>
          <w:tcPr>
            <w:tcW w:w="483" w:type="dxa"/>
            <w:tcBorders>
              <w:left w:val="single" w:sz="4" w:space="0" w:color="000000"/>
              <w:bottom w:val="single" w:sz="4" w:space="0" w:color="000000"/>
              <w:right w:val="single" w:sz="4" w:space="0" w:color="000000"/>
            </w:tcBorders>
          </w:tcPr>
          <w:p w14:paraId="168832A1" w14:textId="77777777" w:rsidR="00AD5C97" w:rsidRPr="006C0EC6" w:rsidRDefault="00AD5C97">
            <w:pPr>
              <w:pStyle w:val="TableParagraph"/>
              <w:spacing w:before="6"/>
              <w:rPr>
                <w:rFonts w:ascii="Arial"/>
                <w:sz w:val="16"/>
              </w:rPr>
            </w:pPr>
          </w:p>
          <w:p w14:paraId="020AF893" w14:textId="77777777" w:rsidR="00AD5C97" w:rsidRPr="006C0EC6" w:rsidRDefault="00BC13E9">
            <w:pPr>
              <w:pStyle w:val="TableParagraph"/>
              <w:ind w:left="151"/>
              <w:rPr>
                <w:sz w:val="16"/>
              </w:rPr>
            </w:pPr>
            <w:r w:rsidRPr="006C0EC6">
              <w:rPr>
                <w:sz w:val="16"/>
              </w:rPr>
              <w:t>m3</w:t>
            </w:r>
          </w:p>
        </w:tc>
        <w:tc>
          <w:tcPr>
            <w:tcW w:w="873" w:type="dxa"/>
            <w:tcBorders>
              <w:left w:val="single" w:sz="4" w:space="0" w:color="000000"/>
              <w:bottom w:val="single" w:sz="4" w:space="0" w:color="000000"/>
              <w:right w:val="single" w:sz="4" w:space="0" w:color="000000"/>
            </w:tcBorders>
          </w:tcPr>
          <w:p w14:paraId="79EEC7B6" w14:textId="77777777" w:rsidR="00AD5C97" w:rsidRPr="006C0EC6" w:rsidRDefault="00AD5C97">
            <w:pPr>
              <w:pStyle w:val="TableParagraph"/>
              <w:spacing w:before="6"/>
              <w:rPr>
                <w:rFonts w:ascii="Arial"/>
                <w:sz w:val="16"/>
              </w:rPr>
            </w:pPr>
          </w:p>
          <w:p w14:paraId="587086AE" w14:textId="77777777" w:rsidR="00AD5C97" w:rsidRPr="006C0EC6" w:rsidRDefault="00BC13E9">
            <w:pPr>
              <w:pStyle w:val="TableParagraph"/>
              <w:ind w:left="293"/>
              <w:rPr>
                <w:sz w:val="16"/>
              </w:rPr>
            </w:pPr>
            <w:r w:rsidRPr="006C0EC6">
              <w:rPr>
                <w:sz w:val="16"/>
              </w:rPr>
              <w:t>8.458,00</w:t>
            </w:r>
          </w:p>
        </w:tc>
        <w:tc>
          <w:tcPr>
            <w:tcW w:w="916" w:type="dxa"/>
            <w:tcBorders>
              <w:left w:val="single" w:sz="4" w:space="0" w:color="000000"/>
              <w:bottom w:val="single" w:sz="4" w:space="0" w:color="000000"/>
              <w:right w:val="single" w:sz="4" w:space="0" w:color="000000"/>
            </w:tcBorders>
          </w:tcPr>
          <w:p w14:paraId="6FEBB1D3" w14:textId="77777777" w:rsidR="00AD5C97" w:rsidRPr="006C0EC6" w:rsidRDefault="00AD5C97">
            <w:pPr>
              <w:pStyle w:val="TableParagraph"/>
              <w:spacing w:before="6"/>
              <w:rPr>
                <w:rFonts w:ascii="Arial"/>
                <w:sz w:val="16"/>
              </w:rPr>
            </w:pPr>
          </w:p>
          <w:p w14:paraId="4011EC14" w14:textId="77777777" w:rsidR="00AD5C97" w:rsidRPr="006C0EC6" w:rsidRDefault="00BC13E9">
            <w:pPr>
              <w:pStyle w:val="TableParagraph"/>
              <w:ind w:left="80"/>
              <w:rPr>
                <w:sz w:val="16"/>
              </w:rPr>
            </w:pPr>
            <w:r w:rsidRPr="006C0EC6">
              <w:rPr>
                <w:sz w:val="16"/>
              </w:rPr>
              <w:t>$ 618.720,00</w:t>
            </w:r>
          </w:p>
        </w:tc>
        <w:tc>
          <w:tcPr>
            <w:tcW w:w="1408" w:type="dxa"/>
            <w:tcBorders>
              <w:left w:val="single" w:sz="4" w:space="0" w:color="000000"/>
              <w:bottom w:val="single" w:sz="4" w:space="0" w:color="000000"/>
            </w:tcBorders>
          </w:tcPr>
          <w:p w14:paraId="0A9AA1FF" w14:textId="77777777" w:rsidR="00AD5C97" w:rsidRPr="006C0EC6" w:rsidRDefault="00AD5C97">
            <w:pPr>
              <w:pStyle w:val="TableParagraph"/>
              <w:spacing w:before="6"/>
              <w:rPr>
                <w:rFonts w:ascii="Arial"/>
                <w:sz w:val="16"/>
              </w:rPr>
            </w:pPr>
          </w:p>
          <w:p w14:paraId="6945683C" w14:textId="77777777" w:rsidR="00AD5C97" w:rsidRPr="006C0EC6" w:rsidRDefault="00BC13E9">
            <w:pPr>
              <w:pStyle w:val="TableParagraph"/>
              <w:ind w:left="206"/>
              <w:rPr>
                <w:sz w:val="16"/>
              </w:rPr>
            </w:pPr>
            <w:r w:rsidRPr="006C0EC6">
              <w:rPr>
                <w:sz w:val="16"/>
              </w:rPr>
              <w:t>$ 5.232.973.058,00</w:t>
            </w:r>
          </w:p>
        </w:tc>
      </w:tr>
    </w:tbl>
    <w:p w14:paraId="30362001" w14:textId="77777777" w:rsidR="00AD5C97" w:rsidRPr="006C0EC6" w:rsidRDefault="00AD5C97">
      <w:pPr>
        <w:pStyle w:val="Textoindependiente"/>
        <w:spacing w:before="1"/>
        <w:rPr>
          <w:sz w:val="25"/>
        </w:rPr>
      </w:pPr>
    </w:p>
    <w:p w14:paraId="27769A36" w14:textId="77777777" w:rsidR="00AD5C97" w:rsidRPr="006C0EC6" w:rsidRDefault="00BC13E9">
      <w:pPr>
        <w:pStyle w:val="Textoindependiente"/>
        <w:spacing w:line="276" w:lineRule="auto"/>
        <w:ind w:left="180" w:right="207"/>
        <w:jc w:val="both"/>
      </w:pPr>
      <w:r w:rsidRPr="006C0EC6">
        <w:t xml:space="preserve">El valor producto de la multiplicación entre las cantidades requeridas y el “valor unitario” ofertado por el proponente no corresponde al “valor total” registrado por el proponente en el “Formulario 1 – Formulario de Presupuesto Oficial” para dicho </w:t>
      </w:r>
      <w:r w:rsidRPr="006C0EC6">
        <w:rPr>
          <w:i/>
        </w:rPr>
        <w:t>ítem</w:t>
      </w:r>
      <w:r w:rsidRPr="006C0EC6">
        <w:t>. En este evento la entidad debe efectuar la corrección aritmética e incluir el valor total que corresponde,</w:t>
      </w:r>
      <w:r w:rsidRPr="006C0EC6">
        <w:rPr>
          <w:spacing w:val="-44"/>
        </w:rPr>
        <w:t xml:space="preserve"> </w:t>
      </w:r>
      <w:r w:rsidRPr="006C0EC6">
        <w:t>así:</w:t>
      </w:r>
    </w:p>
    <w:p w14:paraId="0C06C6E9" w14:textId="77777777" w:rsidR="00AD5C97" w:rsidRPr="006C0EC6" w:rsidRDefault="00AD5C97">
      <w:pPr>
        <w:pStyle w:val="Textoindependiente"/>
        <w:spacing w:before="4"/>
        <w:rPr>
          <w:sz w:val="25"/>
        </w:rPr>
      </w:pPr>
    </w:p>
    <w:p w14:paraId="7B09A272" w14:textId="77777777" w:rsidR="00AD5C97" w:rsidRPr="006C0EC6" w:rsidRDefault="00BC13E9">
      <w:pPr>
        <w:pStyle w:val="Prrafodelista"/>
        <w:numPr>
          <w:ilvl w:val="0"/>
          <w:numId w:val="6"/>
        </w:numPr>
        <w:tabs>
          <w:tab w:val="left" w:pos="900"/>
          <w:tab w:val="left" w:pos="901"/>
        </w:tabs>
        <w:ind w:hanging="361"/>
        <w:jc w:val="left"/>
      </w:pPr>
      <w:r w:rsidRPr="006C0EC6">
        <w:t>Valor con corrección</w:t>
      </w:r>
      <w:r w:rsidRPr="006C0EC6">
        <w:rPr>
          <w:spacing w:val="-5"/>
        </w:rPr>
        <w:t xml:space="preserve"> </w:t>
      </w:r>
      <w:r w:rsidRPr="006C0EC6">
        <w:t>aritmética</w:t>
      </w:r>
    </w:p>
    <w:p w14:paraId="3BA9EC65" w14:textId="77777777" w:rsidR="00AD5C97" w:rsidRPr="006C0EC6" w:rsidRDefault="00AD5C97">
      <w:pPr>
        <w:pStyle w:val="Textoindependiente"/>
        <w:spacing w:before="9"/>
        <w:rPr>
          <w:sz w:val="28"/>
        </w:rPr>
      </w:pPr>
    </w:p>
    <w:tbl>
      <w:tblPr>
        <w:tblStyle w:val="NormalTable0"/>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6C0EC6" w:rsidRPr="006C0EC6" w14:paraId="4B89F151" w14:textId="77777777">
        <w:trPr>
          <w:trHeight w:val="190"/>
        </w:trPr>
        <w:tc>
          <w:tcPr>
            <w:tcW w:w="845" w:type="dxa"/>
            <w:vMerge w:val="restart"/>
            <w:tcBorders>
              <w:left w:val="single" w:sz="4" w:space="0" w:color="000000"/>
              <w:bottom w:val="single" w:sz="12" w:space="0" w:color="000000"/>
              <w:right w:val="single" w:sz="4" w:space="0" w:color="000000"/>
            </w:tcBorders>
          </w:tcPr>
          <w:p w14:paraId="00DEB7A3" w14:textId="77777777" w:rsidR="00AD5C97" w:rsidRPr="006C0EC6" w:rsidRDefault="00BC13E9">
            <w:pPr>
              <w:pStyle w:val="TableParagraph"/>
              <w:spacing w:before="13"/>
              <w:ind w:left="137"/>
              <w:rPr>
                <w:rFonts w:ascii="Arial"/>
                <w:b/>
                <w:sz w:val="14"/>
              </w:rPr>
            </w:pPr>
            <w:r w:rsidRPr="006C0EC6">
              <w:rPr>
                <w:rFonts w:ascii="Arial"/>
                <w:b/>
                <w:sz w:val="14"/>
              </w:rPr>
              <w:t>ITEM DE</w:t>
            </w:r>
          </w:p>
          <w:p w14:paraId="7B378CA0" w14:textId="77777777" w:rsidR="00AD5C97" w:rsidRPr="006C0EC6" w:rsidRDefault="00BC13E9">
            <w:pPr>
              <w:pStyle w:val="TableParagraph"/>
              <w:spacing w:before="24"/>
              <w:ind w:left="215"/>
              <w:rPr>
                <w:rFonts w:ascii="Arial"/>
                <w:b/>
                <w:sz w:val="14"/>
              </w:rPr>
            </w:pPr>
            <w:r w:rsidRPr="006C0EC6">
              <w:rPr>
                <w:rFonts w:ascii="Arial"/>
                <w:b/>
                <w:sz w:val="14"/>
              </w:rPr>
              <w:t>PAGO</w:t>
            </w:r>
          </w:p>
        </w:tc>
        <w:tc>
          <w:tcPr>
            <w:tcW w:w="2019" w:type="dxa"/>
            <w:gridSpan w:val="2"/>
            <w:tcBorders>
              <w:left w:val="single" w:sz="4" w:space="0" w:color="000000"/>
              <w:bottom w:val="single" w:sz="4" w:space="0" w:color="000000"/>
            </w:tcBorders>
          </w:tcPr>
          <w:p w14:paraId="1D1AE0F9" w14:textId="77777777" w:rsidR="00AD5C97" w:rsidRPr="006C0EC6" w:rsidRDefault="00BC13E9">
            <w:pPr>
              <w:pStyle w:val="TableParagraph"/>
              <w:spacing w:before="3"/>
              <w:ind w:left="322"/>
              <w:rPr>
                <w:rFonts w:ascii="Arial"/>
                <w:b/>
                <w:sz w:val="14"/>
              </w:rPr>
            </w:pPr>
            <w:r w:rsidRPr="006C0EC6">
              <w:rPr>
                <w:rFonts w:ascii="Arial"/>
                <w:b/>
                <w:sz w:val="14"/>
              </w:rPr>
              <w:t>ESPECIFICACIONES</w:t>
            </w:r>
          </w:p>
        </w:tc>
        <w:tc>
          <w:tcPr>
            <w:tcW w:w="2531" w:type="dxa"/>
            <w:vMerge w:val="restart"/>
            <w:tcBorders>
              <w:bottom w:val="single" w:sz="12" w:space="0" w:color="000000"/>
              <w:right w:val="single" w:sz="4" w:space="0" w:color="000000"/>
            </w:tcBorders>
          </w:tcPr>
          <w:p w14:paraId="2B355F70" w14:textId="77777777" w:rsidR="00AD5C97" w:rsidRPr="006C0EC6" w:rsidRDefault="00BC13E9">
            <w:pPr>
              <w:pStyle w:val="TableParagraph"/>
              <w:spacing w:before="106"/>
              <w:ind w:left="773"/>
              <w:rPr>
                <w:rFonts w:ascii="Arial"/>
                <w:b/>
                <w:sz w:val="14"/>
              </w:rPr>
            </w:pPr>
            <w:r w:rsidRPr="006C0EC6">
              <w:rPr>
                <w:rFonts w:ascii="Arial"/>
                <w:b/>
                <w:sz w:val="14"/>
              </w:rPr>
              <w:t>DESCRIPCION</w:t>
            </w:r>
          </w:p>
        </w:tc>
        <w:tc>
          <w:tcPr>
            <w:tcW w:w="483" w:type="dxa"/>
            <w:vMerge w:val="restart"/>
            <w:tcBorders>
              <w:left w:val="single" w:sz="4" w:space="0" w:color="000000"/>
              <w:bottom w:val="single" w:sz="12" w:space="0" w:color="000000"/>
              <w:right w:val="single" w:sz="4" w:space="0" w:color="000000"/>
            </w:tcBorders>
          </w:tcPr>
          <w:p w14:paraId="399B2142" w14:textId="77777777" w:rsidR="00AD5C97" w:rsidRPr="006C0EC6" w:rsidRDefault="00BC13E9">
            <w:pPr>
              <w:pStyle w:val="TableParagraph"/>
              <w:spacing w:before="106"/>
              <w:ind w:left="70"/>
              <w:rPr>
                <w:rFonts w:ascii="Arial"/>
                <w:b/>
                <w:sz w:val="14"/>
              </w:rPr>
            </w:pPr>
            <w:r w:rsidRPr="006C0EC6">
              <w:rPr>
                <w:rFonts w:ascii="Arial"/>
                <w:b/>
                <w:sz w:val="14"/>
              </w:rPr>
              <w:t>UND.</w:t>
            </w:r>
          </w:p>
        </w:tc>
        <w:tc>
          <w:tcPr>
            <w:tcW w:w="873" w:type="dxa"/>
            <w:vMerge w:val="restart"/>
            <w:tcBorders>
              <w:left w:val="single" w:sz="4" w:space="0" w:color="000000"/>
              <w:bottom w:val="single" w:sz="12" w:space="0" w:color="000000"/>
              <w:right w:val="single" w:sz="4" w:space="0" w:color="000000"/>
            </w:tcBorders>
          </w:tcPr>
          <w:p w14:paraId="0F57A517" w14:textId="77777777" w:rsidR="00AD5C97" w:rsidRPr="006C0EC6" w:rsidRDefault="00BC13E9">
            <w:pPr>
              <w:pStyle w:val="TableParagraph"/>
              <w:spacing w:before="106"/>
              <w:ind w:left="70"/>
              <w:rPr>
                <w:rFonts w:ascii="Arial"/>
                <w:b/>
                <w:sz w:val="14"/>
              </w:rPr>
            </w:pPr>
            <w:r w:rsidRPr="006C0EC6">
              <w:rPr>
                <w:rFonts w:ascii="Arial"/>
                <w:b/>
                <w:sz w:val="14"/>
              </w:rPr>
              <w:t>CANTIDAD</w:t>
            </w:r>
          </w:p>
        </w:tc>
        <w:tc>
          <w:tcPr>
            <w:tcW w:w="916" w:type="dxa"/>
            <w:vMerge w:val="restart"/>
            <w:tcBorders>
              <w:left w:val="single" w:sz="4" w:space="0" w:color="000000"/>
              <w:bottom w:val="single" w:sz="12" w:space="0" w:color="000000"/>
              <w:right w:val="single" w:sz="4" w:space="0" w:color="000000"/>
            </w:tcBorders>
          </w:tcPr>
          <w:p w14:paraId="30651B1A" w14:textId="77777777" w:rsidR="00AD5C97" w:rsidRPr="006C0EC6" w:rsidRDefault="00BC13E9">
            <w:pPr>
              <w:pStyle w:val="TableParagraph"/>
              <w:spacing w:before="13"/>
              <w:ind w:left="212"/>
              <w:rPr>
                <w:rFonts w:ascii="Arial"/>
                <w:b/>
                <w:sz w:val="14"/>
              </w:rPr>
            </w:pPr>
            <w:r w:rsidRPr="006C0EC6">
              <w:rPr>
                <w:rFonts w:ascii="Arial"/>
                <w:b/>
                <w:sz w:val="14"/>
              </w:rPr>
              <w:t>VALOR</w:t>
            </w:r>
          </w:p>
          <w:p w14:paraId="31CD93AE" w14:textId="77777777" w:rsidR="00AD5C97" w:rsidRPr="006C0EC6" w:rsidRDefault="00BC13E9">
            <w:pPr>
              <w:pStyle w:val="TableParagraph"/>
              <w:spacing w:before="24"/>
              <w:ind w:left="117"/>
              <w:rPr>
                <w:rFonts w:ascii="Arial"/>
                <w:b/>
                <w:sz w:val="14"/>
              </w:rPr>
            </w:pPr>
            <w:r w:rsidRPr="006C0EC6">
              <w:rPr>
                <w:rFonts w:ascii="Arial"/>
                <w:b/>
                <w:sz w:val="14"/>
              </w:rPr>
              <w:t>UNITARIO</w:t>
            </w:r>
          </w:p>
        </w:tc>
        <w:tc>
          <w:tcPr>
            <w:tcW w:w="1408" w:type="dxa"/>
            <w:vMerge w:val="restart"/>
            <w:tcBorders>
              <w:left w:val="single" w:sz="4" w:space="0" w:color="000000"/>
              <w:bottom w:val="single" w:sz="12" w:space="0" w:color="000000"/>
            </w:tcBorders>
          </w:tcPr>
          <w:p w14:paraId="36A74EE1" w14:textId="77777777" w:rsidR="00AD5C97" w:rsidRPr="006C0EC6" w:rsidRDefault="00BC13E9">
            <w:pPr>
              <w:pStyle w:val="TableParagraph"/>
              <w:spacing w:before="106"/>
              <w:ind w:left="204"/>
              <w:rPr>
                <w:rFonts w:ascii="Arial"/>
                <w:b/>
                <w:sz w:val="14"/>
              </w:rPr>
            </w:pPr>
            <w:r w:rsidRPr="006C0EC6">
              <w:rPr>
                <w:rFonts w:ascii="Arial"/>
                <w:b/>
                <w:sz w:val="14"/>
              </w:rPr>
              <w:t>VALOR TOTAL</w:t>
            </w:r>
          </w:p>
        </w:tc>
      </w:tr>
      <w:tr w:rsidR="006C0EC6" w:rsidRPr="006C0EC6" w14:paraId="3DEE1DBF" w14:textId="77777777">
        <w:trPr>
          <w:trHeight w:val="180"/>
        </w:trPr>
        <w:tc>
          <w:tcPr>
            <w:tcW w:w="845" w:type="dxa"/>
            <w:vMerge/>
            <w:tcBorders>
              <w:top w:val="nil"/>
              <w:left w:val="single" w:sz="4" w:space="0" w:color="000000"/>
              <w:bottom w:val="single" w:sz="12" w:space="0" w:color="000000"/>
              <w:right w:val="single" w:sz="4" w:space="0" w:color="000000"/>
            </w:tcBorders>
          </w:tcPr>
          <w:p w14:paraId="05FB99A1" w14:textId="77777777" w:rsidR="00AD5C97" w:rsidRPr="006C0EC6" w:rsidRDefault="00AD5C97">
            <w:pPr>
              <w:rPr>
                <w:sz w:val="2"/>
                <w:szCs w:val="2"/>
              </w:rPr>
            </w:pPr>
          </w:p>
        </w:tc>
        <w:tc>
          <w:tcPr>
            <w:tcW w:w="968" w:type="dxa"/>
            <w:tcBorders>
              <w:top w:val="single" w:sz="4" w:space="0" w:color="000000"/>
              <w:left w:val="single" w:sz="4" w:space="0" w:color="000000"/>
              <w:bottom w:val="single" w:sz="12" w:space="0" w:color="000000"/>
              <w:right w:val="single" w:sz="4" w:space="0" w:color="000000"/>
            </w:tcBorders>
          </w:tcPr>
          <w:p w14:paraId="204169DE" w14:textId="77777777" w:rsidR="00AD5C97" w:rsidRPr="006C0EC6" w:rsidRDefault="00BC13E9">
            <w:pPr>
              <w:pStyle w:val="TableParagraph"/>
              <w:spacing w:line="157" w:lineRule="exact"/>
              <w:ind w:left="142"/>
              <w:rPr>
                <w:rFonts w:ascii="Arial"/>
                <w:b/>
                <w:sz w:val="14"/>
              </w:rPr>
            </w:pPr>
            <w:r w:rsidRPr="006C0EC6">
              <w:rPr>
                <w:rFonts w:ascii="Arial"/>
                <w:b/>
                <w:sz w:val="14"/>
              </w:rPr>
              <w:t>GENERAL</w:t>
            </w:r>
          </w:p>
        </w:tc>
        <w:tc>
          <w:tcPr>
            <w:tcW w:w="1051" w:type="dxa"/>
            <w:tcBorders>
              <w:top w:val="single" w:sz="4" w:space="0" w:color="000000"/>
              <w:left w:val="single" w:sz="4" w:space="0" w:color="000000"/>
              <w:bottom w:val="single" w:sz="12" w:space="0" w:color="000000"/>
            </w:tcBorders>
          </w:tcPr>
          <w:p w14:paraId="08871BDB" w14:textId="77777777" w:rsidR="00AD5C97" w:rsidRPr="006C0EC6" w:rsidRDefault="00BC13E9">
            <w:pPr>
              <w:pStyle w:val="TableParagraph"/>
              <w:spacing w:line="157" w:lineRule="exact"/>
              <w:ind w:left="71"/>
              <w:rPr>
                <w:rFonts w:ascii="Arial"/>
                <w:b/>
                <w:sz w:val="14"/>
              </w:rPr>
            </w:pPr>
            <w:r w:rsidRPr="006C0EC6">
              <w:rPr>
                <w:rFonts w:ascii="Arial"/>
                <w:b/>
                <w:sz w:val="14"/>
              </w:rPr>
              <w:t>PARTICULAR</w:t>
            </w:r>
          </w:p>
        </w:tc>
        <w:tc>
          <w:tcPr>
            <w:tcW w:w="2531" w:type="dxa"/>
            <w:vMerge/>
            <w:tcBorders>
              <w:top w:val="nil"/>
              <w:bottom w:val="single" w:sz="12" w:space="0" w:color="000000"/>
              <w:right w:val="single" w:sz="4" w:space="0" w:color="000000"/>
            </w:tcBorders>
          </w:tcPr>
          <w:p w14:paraId="4244487F" w14:textId="77777777" w:rsidR="00AD5C97" w:rsidRPr="006C0EC6" w:rsidRDefault="00AD5C97">
            <w:pPr>
              <w:rPr>
                <w:sz w:val="2"/>
                <w:szCs w:val="2"/>
              </w:rPr>
            </w:pPr>
          </w:p>
        </w:tc>
        <w:tc>
          <w:tcPr>
            <w:tcW w:w="483" w:type="dxa"/>
            <w:vMerge/>
            <w:tcBorders>
              <w:top w:val="nil"/>
              <w:left w:val="single" w:sz="4" w:space="0" w:color="000000"/>
              <w:bottom w:val="single" w:sz="12" w:space="0" w:color="000000"/>
              <w:right w:val="single" w:sz="4" w:space="0" w:color="000000"/>
            </w:tcBorders>
          </w:tcPr>
          <w:p w14:paraId="509E02DB" w14:textId="77777777" w:rsidR="00AD5C97" w:rsidRPr="006C0EC6" w:rsidRDefault="00AD5C97">
            <w:pPr>
              <w:rPr>
                <w:sz w:val="2"/>
                <w:szCs w:val="2"/>
              </w:rPr>
            </w:pPr>
          </w:p>
        </w:tc>
        <w:tc>
          <w:tcPr>
            <w:tcW w:w="873" w:type="dxa"/>
            <w:vMerge/>
            <w:tcBorders>
              <w:top w:val="nil"/>
              <w:left w:val="single" w:sz="4" w:space="0" w:color="000000"/>
              <w:bottom w:val="single" w:sz="12" w:space="0" w:color="000000"/>
              <w:right w:val="single" w:sz="4" w:space="0" w:color="000000"/>
            </w:tcBorders>
          </w:tcPr>
          <w:p w14:paraId="58E079C7" w14:textId="77777777" w:rsidR="00AD5C97" w:rsidRPr="006C0EC6" w:rsidRDefault="00AD5C97">
            <w:pPr>
              <w:rPr>
                <w:sz w:val="2"/>
                <w:szCs w:val="2"/>
              </w:rPr>
            </w:pPr>
          </w:p>
        </w:tc>
        <w:tc>
          <w:tcPr>
            <w:tcW w:w="916" w:type="dxa"/>
            <w:vMerge/>
            <w:tcBorders>
              <w:top w:val="nil"/>
              <w:left w:val="single" w:sz="4" w:space="0" w:color="000000"/>
              <w:bottom w:val="single" w:sz="12" w:space="0" w:color="000000"/>
              <w:right w:val="single" w:sz="4" w:space="0" w:color="000000"/>
            </w:tcBorders>
          </w:tcPr>
          <w:p w14:paraId="36ACA88D" w14:textId="77777777" w:rsidR="00AD5C97" w:rsidRPr="006C0EC6" w:rsidRDefault="00AD5C97">
            <w:pPr>
              <w:rPr>
                <w:sz w:val="2"/>
                <w:szCs w:val="2"/>
              </w:rPr>
            </w:pPr>
          </w:p>
        </w:tc>
        <w:tc>
          <w:tcPr>
            <w:tcW w:w="1408" w:type="dxa"/>
            <w:vMerge/>
            <w:tcBorders>
              <w:top w:val="nil"/>
              <w:left w:val="single" w:sz="4" w:space="0" w:color="000000"/>
              <w:bottom w:val="single" w:sz="12" w:space="0" w:color="000000"/>
            </w:tcBorders>
          </w:tcPr>
          <w:p w14:paraId="18CAFA39" w14:textId="77777777" w:rsidR="00AD5C97" w:rsidRPr="006C0EC6" w:rsidRDefault="00AD5C97">
            <w:pPr>
              <w:rPr>
                <w:sz w:val="2"/>
                <w:szCs w:val="2"/>
              </w:rPr>
            </w:pPr>
          </w:p>
        </w:tc>
      </w:tr>
      <w:tr w:rsidR="006C0EC6" w:rsidRPr="006C0EC6" w14:paraId="2D8BD2FD" w14:textId="77777777">
        <w:trPr>
          <w:trHeight w:val="180"/>
        </w:trPr>
        <w:tc>
          <w:tcPr>
            <w:tcW w:w="9075" w:type="dxa"/>
            <w:gridSpan w:val="8"/>
            <w:tcBorders>
              <w:top w:val="single" w:sz="12" w:space="0" w:color="000000"/>
              <w:left w:val="nil"/>
            </w:tcBorders>
            <w:shd w:val="clear" w:color="auto" w:fill="808080"/>
          </w:tcPr>
          <w:p w14:paraId="72F7F556" w14:textId="77777777" w:rsidR="00AD5C97" w:rsidRPr="006C0EC6" w:rsidRDefault="00AD5C97">
            <w:pPr>
              <w:pStyle w:val="TableParagraph"/>
              <w:rPr>
                <w:rFonts w:ascii="Times New Roman"/>
                <w:sz w:val="12"/>
              </w:rPr>
            </w:pPr>
          </w:p>
        </w:tc>
      </w:tr>
      <w:tr w:rsidR="006C0EC6" w:rsidRPr="006C0EC6" w14:paraId="77B3B4E6" w14:textId="77777777">
        <w:trPr>
          <w:trHeight w:val="600"/>
        </w:trPr>
        <w:tc>
          <w:tcPr>
            <w:tcW w:w="845" w:type="dxa"/>
            <w:tcBorders>
              <w:left w:val="single" w:sz="4" w:space="0" w:color="000000"/>
              <w:bottom w:val="single" w:sz="4" w:space="0" w:color="000000"/>
              <w:right w:val="single" w:sz="4" w:space="0" w:color="000000"/>
            </w:tcBorders>
          </w:tcPr>
          <w:p w14:paraId="6829F95E" w14:textId="77777777" w:rsidR="00AD5C97" w:rsidRPr="006C0EC6" w:rsidRDefault="00AD5C97">
            <w:pPr>
              <w:pStyle w:val="TableParagraph"/>
              <w:spacing w:before="6"/>
              <w:rPr>
                <w:rFonts w:ascii="Arial"/>
                <w:sz w:val="16"/>
              </w:rPr>
            </w:pPr>
          </w:p>
          <w:p w14:paraId="2D50739A" w14:textId="77777777" w:rsidR="00AD5C97" w:rsidRPr="006C0EC6" w:rsidRDefault="00BC13E9">
            <w:pPr>
              <w:pStyle w:val="TableParagraph"/>
              <w:ind w:left="160"/>
              <w:rPr>
                <w:sz w:val="16"/>
              </w:rPr>
            </w:pPr>
            <w:r w:rsidRPr="006C0EC6">
              <w:rPr>
                <w:sz w:val="16"/>
              </w:rPr>
              <w:t>450.1.2P</w:t>
            </w:r>
          </w:p>
        </w:tc>
        <w:tc>
          <w:tcPr>
            <w:tcW w:w="968" w:type="dxa"/>
            <w:tcBorders>
              <w:left w:val="single" w:sz="4" w:space="0" w:color="000000"/>
              <w:bottom w:val="single" w:sz="4" w:space="0" w:color="000000"/>
              <w:right w:val="single" w:sz="4" w:space="0" w:color="000000"/>
            </w:tcBorders>
          </w:tcPr>
          <w:p w14:paraId="026F965E" w14:textId="77777777" w:rsidR="00AD5C97" w:rsidRPr="006C0EC6" w:rsidRDefault="00AD5C97">
            <w:pPr>
              <w:pStyle w:val="TableParagraph"/>
              <w:rPr>
                <w:rFonts w:ascii="Times New Roman"/>
                <w:sz w:val="20"/>
              </w:rPr>
            </w:pPr>
          </w:p>
        </w:tc>
        <w:tc>
          <w:tcPr>
            <w:tcW w:w="1051" w:type="dxa"/>
            <w:tcBorders>
              <w:left w:val="single" w:sz="4" w:space="0" w:color="000000"/>
              <w:bottom w:val="single" w:sz="4" w:space="0" w:color="000000"/>
              <w:right w:val="single" w:sz="4" w:space="0" w:color="000000"/>
            </w:tcBorders>
          </w:tcPr>
          <w:p w14:paraId="0DE84933" w14:textId="77777777" w:rsidR="00AD5C97" w:rsidRPr="006C0EC6" w:rsidRDefault="00AD5C97">
            <w:pPr>
              <w:pStyle w:val="TableParagraph"/>
              <w:spacing w:before="6"/>
              <w:rPr>
                <w:rFonts w:ascii="Arial"/>
                <w:sz w:val="16"/>
              </w:rPr>
            </w:pPr>
          </w:p>
          <w:p w14:paraId="234CF416" w14:textId="77777777" w:rsidR="00AD5C97" w:rsidRPr="006C0EC6" w:rsidRDefault="00BC13E9">
            <w:pPr>
              <w:pStyle w:val="TableParagraph"/>
              <w:ind w:left="71"/>
              <w:rPr>
                <w:sz w:val="16"/>
              </w:rPr>
            </w:pPr>
            <w:r w:rsidRPr="006C0EC6">
              <w:rPr>
                <w:sz w:val="16"/>
              </w:rPr>
              <w:t>450.1.2P</w:t>
            </w:r>
          </w:p>
        </w:tc>
        <w:tc>
          <w:tcPr>
            <w:tcW w:w="2531" w:type="dxa"/>
            <w:tcBorders>
              <w:left w:val="single" w:sz="4" w:space="0" w:color="000000"/>
              <w:bottom w:val="single" w:sz="4" w:space="0" w:color="000000"/>
              <w:right w:val="single" w:sz="4" w:space="0" w:color="000000"/>
            </w:tcBorders>
          </w:tcPr>
          <w:p w14:paraId="5A3CB034" w14:textId="77777777" w:rsidR="00AD5C97" w:rsidRPr="006C0EC6" w:rsidRDefault="00BC13E9">
            <w:pPr>
              <w:pStyle w:val="TableParagraph"/>
              <w:spacing w:before="85" w:line="273" w:lineRule="auto"/>
              <w:ind w:left="71" w:right="132"/>
              <w:rPr>
                <w:sz w:val="16"/>
              </w:rPr>
            </w:pPr>
            <w:r w:rsidRPr="006C0EC6">
              <w:rPr>
                <w:sz w:val="16"/>
              </w:rPr>
              <w:t>Mezcla densa en caliente Tipo MDC-25 para capa intermedia</w:t>
            </w:r>
          </w:p>
        </w:tc>
        <w:tc>
          <w:tcPr>
            <w:tcW w:w="483" w:type="dxa"/>
            <w:tcBorders>
              <w:left w:val="single" w:sz="4" w:space="0" w:color="000000"/>
              <w:bottom w:val="single" w:sz="4" w:space="0" w:color="000000"/>
              <w:right w:val="single" w:sz="4" w:space="0" w:color="000000"/>
            </w:tcBorders>
          </w:tcPr>
          <w:p w14:paraId="6540AE47" w14:textId="77777777" w:rsidR="00AD5C97" w:rsidRPr="006C0EC6" w:rsidRDefault="00AD5C97">
            <w:pPr>
              <w:pStyle w:val="TableParagraph"/>
              <w:spacing w:before="6"/>
              <w:rPr>
                <w:rFonts w:ascii="Arial"/>
                <w:sz w:val="16"/>
              </w:rPr>
            </w:pPr>
          </w:p>
          <w:p w14:paraId="7D6ACF80" w14:textId="77777777" w:rsidR="00AD5C97" w:rsidRPr="006C0EC6" w:rsidRDefault="00BC13E9">
            <w:pPr>
              <w:pStyle w:val="TableParagraph"/>
              <w:ind w:left="151"/>
              <w:rPr>
                <w:sz w:val="16"/>
              </w:rPr>
            </w:pPr>
            <w:r w:rsidRPr="006C0EC6">
              <w:rPr>
                <w:sz w:val="16"/>
              </w:rPr>
              <w:t>m3</w:t>
            </w:r>
          </w:p>
        </w:tc>
        <w:tc>
          <w:tcPr>
            <w:tcW w:w="873" w:type="dxa"/>
            <w:tcBorders>
              <w:left w:val="single" w:sz="4" w:space="0" w:color="000000"/>
              <w:bottom w:val="single" w:sz="4" w:space="0" w:color="000000"/>
              <w:right w:val="single" w:sz="4" w:space="0" w:color="000000"/>
            </w:tcBorders>
          </w:tcPr>
          <w:p w14:paraId="05A76F6B" w14:textId="77777777" w:rsidR="00AD5C97" w:rsidRPr="006C0EC6" w:rsidRDefault="00AD5C97">
            <w:pPr>
              <w:pStyle w:val="TableParagraph"/>
              <w:spacing w:before="6"/>
              <w:rPr>
                <w:rFonts w:ascii="Arial"/>
                <w:sz w:val="16"/>
              </w:rPr>
            </w:pPr>
          </w:p>
          <w:p w14:paraId="036A108D" w14:textId="77777777" w:rsidR="00AD5C97" w:rsidRPr="006C0EC6" w:rsidRDefault="00BC13E9">
            <w:pPr>
              <w:pStyle w:val="TableParagraph"/>
              <w:ind w:left="293"/>
              <w:rPr>
                <w:sz w:val="16"/>
              </w:rPr>
            </w:pPr>
            <w:r w:rsidRPr="006C0EC6">
              <w:rPr>
                <w:sz w:val="16"/>
              </w:rPr>
              <w:t>8.458,00</w:t>
            </w:r>
          </w:p>
        </w:tc>
        <w:tc>
          <w:tcPr>
            <w:tcW w:w="916" w:type="dxa"/>
            <w:tcBorders>
              <w:left w:val="single" w:sz="4" w:space="0" w:color="000000"/>
              <w:bottom w:val="single" w:sz="4" w:space="0" w:color="000000"/>
              <w:right w:val="single" w:sz="4" w:space="0" w:color="000000"/>
            </w:tcBorders>
          </w:tcPr>
          <w:p w14:paraId="170998F0" w14:textId="77777777" w:rsidR="00AD5C97" w:rsidRPr="006C0EC6" w:rsidRDefault="00AD5C97">
            <w:pPr>
              <w:pStyle w:val="TableParagraph"/>
              <w:spacing w:before="6"/>
              <w:rPr>
                <w:rFonts w:ascii="Arial"/>
                <w:sz w:val="16"/>
              </w:rPr>
            </w:pPr>
          </w:p>
          <w:p w14:paraId="663CED00" w14:textId="77777777" w:rsidR="00AD5C97" w:rsidRPr="006C0EC6" w:rsidRDefault="00BC13E9">
            <w:pPr>
              <w:pStyle w:val="TableParagraph"/>
              <w:ind w:left="80"/>
              <w:rPr>
                <w:sz w:val="16"/>
              </w:rPr>
            </w:pPr>
            <w:r w:rsidRPr="006C0EC6">
              <w:rPr>
                <w:sz w:val="16"/>
              </w:rPr>
              <w:t>$ 618.720,00</w:t>
            </w:r>
          </w:p>
        </w:tc>
        <w:tc>
          <w:tcPr>
            <w:tcW w:w="1408" w:type="dxa"/>
            <w:tcBorders>
              <w:left w:val="single" w:sz="4" w:space="0" w:color="000000"/>
              <w:bottom w:val="single" w:sz="4" w:space="0" w:color="000000"/>
            </w:tcBorders>
          </w:tcPr>
          <w:p w14:paraId="4A5D1395" w14:textId="77777777" w:rsidR="00AD5C97" w:rsidRPr="006C0EC6" w:rsidRDefault="00AD5C97">
            <w:pPr>
              <w:pStyle w:val="TableParagraph"/>
              <w:spacing w:before="6"/>
              <w:rPr>
                <w:rFonts w:ascii="Arial"/>
                <w:sz w:val="16"/>
              </w:rPr>
            </w:pPr>
          </w:p>
          <w:p w14:paraId="6FC51B42" w14:textId="77777777" w:rsidR="00AD5C97" w:rsidRPr="006C0EC6" w:rsidRDefault="00BC13E9">
            <w:pPr>
              <w:pStyle w:val="TableParagraph"/>
              <w:ind w:left="206"/>
              <w:rPr>
                <w:sz w:val="16"/>
              </w:rPr>
            </w:pPr>
            <w:r w:rsidRPr="006C0EC6">
              <w:rPr>
                <w:sz w:val="16"/>
              </w:rPr>
              <w:t>$ 5.233.133.760,00</w:t>
            </w:r>
          </w:p>
        </w:tc>
      </w:tr>
    </w:tbl>
    <w:p w14:paraId="442FDA8F" w14:textId="542C4413" w:rsidR="00AD5C97" w:rsidRPr="006C0EC6" w:rsidRDefault="00AD5C97">
      <w:pPr>
        <w:pStyle w:val="Textoindependiente"/>
        <w:spacing w:before="5"/>
        <w:rPr>
          <w:sz w:val="29"/>
        </w:rPr>
      </w:pPr>
    </w:p>
    <w:p w14:paraId="01337D31" w14:textId="77777777" w:rsidR="00AD5C97" w:rsidRPr="006C0EC6" w:rsidRDefault="00AD5C97">
      <w:pPr>
        <w:spacing w:line="224" w:lineRule="exact"/>
        <w:jc w:val="both"/>
        <w:rPr>
          <w:sz w:val="20"/>
        </w:rPr>
        <w:sectPr w:rsidR="00AD5C97" w:rsidRPr="006C0EC6">
          <w:pgSz w:w="12240" w:h="15840"/>
          <w:pgMar w:top="1560" w:right="1400" w:bottom="2140" w:left="1520" w:header="737" w:footer="1880" w:gutter="0"/>
          <w:cols w:space="720"/>
        </w:sectPr>
      </w:pPr>
    </w:p>
    <w:p w14:paraId="2F56601F" w14:textId="77777777" w:rsidR="00AD5C97" w:rsidRPr="006C0EC6" w:rsidRDefault="00AD5C97">
      <w:pPr>
        <w:pStyle w:val="Textoindependiente"/>
        <w:rPr>
          <w:sz w:val="20"/>
        </w:rPr>
      </w:pPr>
    </w:p>
    <w:p w14:paraId="1FB25C42" w14:textId="77777777" w:rsidR="00AD5C97" w:rsidRPr="006C0EC6" w:rsidRDefault="00AD5C97">
      <w:pPr>
        <w:pStyle w:val="Textoindependiente"/>
        <w:rPr>
          <w:sz w:val="20"/>
        </w:rPr>
      </w:pPr>
    </w:p>
    <w:p w14:paraId="188A0A89" w14:textId="77777777" w:rsidR="00AD5C97" w:rsidRPr="006C0EC6" w:rsidRDefault="00AD5C97">
      <w:pPr>
        <w:pStyle w:val="Textoindependiente"/>
        <w:spacing w:before="11"/>
        <w:rPr>
          <w:sz w:val="21"/>
        </w:rPr>
      </w:pPr>
    </w:p>
    <w:p w14:paraId="02C2EE98" w14:textId="77777777" w:rsidR="00AD5C97" w:rsidRPr="006C0EC6" w:rsidRDefault="00BC13E9">
      <w:pPr>
        <w:pStyle w:val="Textoindependiente"/>
        <w:spacing w:before="93" w:line="276" w:lineRule="auto"/>
        <w:ind w:left="180" w:right="208"/>
        <w:jc w:val="both"/>
      </w:pPr>
      <w:r w:rsidRPr="006C0EC6">
        <w:t>Ahora bien, en aquellos eventos en los cuales el valor obtenido de la operación aritmética incluya decimales, se debe aproximar al número entero superior o inferior, de acuerdo con la regla fijada en el literal B del numeral 4.1.2., así, en el supuesto que el “valor total” del ejemplo propuesto fuera $5.233.133.760,65 se aproximará por exceso al número entero siguiente $5.233.133.761,00, o si el “valor total” fuera $ 5.233.133.760, 21 se aproximará por defecto al número entero, así: $ 5.233.133.760,00.</w:t>
      </w:r>
    </w:p>
    <w:p w14:paraId="0B47FDA0" w14:textId="77777777" w:rsidR="00AD5C97" w:rsidRPr="006C0EC6" w:rsidRDefault="00AD5C97">
      <w:pPr>
        <w:pStyle w:val="Textoindependiente"/>
        <w:spacing w:before="1"/>
        <w:rPr>
          <w:sz w:val="25"/>
        </w:rPr>
      </w:pPr>
    </w:p>
    <w:p w14:paraId="63D98807" w14:textId="77777777" w:rsidR="00AD5C97" w:rsidRPr="006C0EC6" w:rsidRDefault="00BC13E9">
      <w:pPr>
        <w:pStyle w:val="Textoindependiente"/>
        <w:spacing w:line="276" w:lineRule="auto"/>
        <w:ind w:left="180" w:right="203"/>
        <w:jc w:val="both"/>
      </w:pPr>
      <w:r w:rsidRPr="006C0EC6">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w:t>
      </w:r>
      <w:r w:rsidRPr="006C0EC6">
        <w:rPr>
          <w:spacing w:val="-30"/>
        </w:rPr>
        <w:t xml:space="preserve"> </w:t>
      </w:r>
      <w:r w:rsidRPr="006C0EC6">
        <w:t>ponderación.</w:t>
      </w:r>
    </w:p>
    <w:p w14:paraId="2B4463C4" w14:textId="77777777" w:rsidR="00AD5C97" w:rsidRPr="006C0EC6" w:rsidRDefault="00AD5C97">
      <w:pPr>
        <w:pStyle w:val="Textoindependiente"/>
        <w:spacing w:before="5"/>
        <w:rPr>
          <w:sz w:val="25"/>
        </w:rPr>
      </w:pPr>
    </w:p>
    <w:p w14:paraId="79B42660" w14:textId="77777777" w:rsidR="00AD5C97" w:rsidRPr="006C0EC6" w:rsidRDefault="00BC13E9">
      <w:pPr>
        <w:pStyle w:val="Textoindependiente"/>
        <w:spacing w:line="276" w:lineRule="auto"/>
        <w:ind w:left="180" w:right="204"/>
        <w:jc w:val="both"/>
      </w:pPr>
      <w:r w:rsidRPr="006C0EC6">
        <w:t>Tenga en cuenta que una vez realizada la corrección aritmética de la propuesta, la entidad debe verificar que el valor total de la propuesta económica producto de aplicar el procedimiento establecido en el numeral 4.1.2 no presente una diferencia mayor o igual al uno por ciento (1%), por exceso o defecto, con respecto al valor registrado en el “Formulario 1– Formulario de Presupuesto Oficial”, es decir, la entidad debe contrastar el valor total ofertado por el proponente y el valor total resultante de la corrección aritmética y corroborar si existe una diferencia mayor o igual al porcentaje señalado previamente. Cuando esta diferencia por exceso-supere-o por defecto-sea menor-, se configura la causal de rechazo “L” del numeral 1.15 del “Documento</w:t>
      </w:r>
      <w:r w:rsidRPr="006C0EC6">
        <w:rPr>
          <w:spacing w:val="-7"/>
        </w:rPr>
        <w:t xml:space="preserve"> </w:t>
      </w:r>
      <w:r w:rsidRPr="006C0EC6">
        <w:t>Base”.</w:t>
      </w:r>
    </w:p>
    <w:p w14:paraId="0F31185B" w14:textId="77777777" w:rsidR="00AD5C97" w:rsidRPr="006C0EC6" w:rsidRDefault="00AD5C97">
      <w:pPr>
        <w:pStyle w:val="Textoindependiente"/>
        <w:spacing w:before="5"/>
        <w:rPr>
          <w:sz w:val="25"/>
        </w:rPr>
      </w:pPr>
    </w:p>
    <w:p w14:paraId="698008B0" w14:textId="77777777" w:rsidR="00AD5C97" w:rsidRPr="006C0EC6" w:rsidRDefault="00BC13E9">
      <w:pPr>
        <w:pStyle w:val="Ttulo1"/>
        <w:numPr>
          <w:ilvl w:val="1"/>
          <w:numId w:val="8"/>
        </w:numPr>
        <w:tabs>
          <w:tab w:val="left" w:pos="890"/>
          <w:tab w:val="left" w:pos="891"/>
        </w:tabs>
        <w:ind w:hanging="721"/>
      </w:pPr>
      <w:r w:rsidRPr="006C0EC6">
        <w:t>Capacidad</w:t>
      </w:r>
      <w:r w:rsidRPr="006C0EC6">
        <w:rPr>
          <w:spacing w:val="-1"/>
        </w:rPr>
        <w:t xml:space="preserve"> </w:t>
      </w:r>
      <w:r w:rsidRPr="006C0EC6">
        <w:t>organizacional</w:t>
      </w:r>
    </w:p>
    <w:p w14:paraId="6FDA3987" w14:textId="77777777" w:rsidR="00AD5C97" w:rsidRPr="006C0EC6" w:rsidRDefault="00AD5C97">
      <w:pPr>
        <w:pStyle w:val="Textoindependiente"/>
        <w:spacing w:before="5"/>
        <w:rPr>
          <w:b/>
          <w:sz w:val="28"/>
        </w:rPr>
      </w:pPr>
    </w:p>
    <w:p w14:paraId="21DDD7F8" w14:textId="77777777" w:rsidR="00AD5C97" w:rsidRPr="006C0EC6" w:rsidRDefault="00BC13E9">
      <w:pPr>
        <w:pStyle w:val="Textoindependiente"/>
        <w:spacing w:line="276" w:lineRule="auto"/>
        <w:ind w:left="170" w:right="211"/>
        <w:jc w:val="both"/>
      </w:pPr>
      <w:r w:rsidRPr="006C0EC6">
        <w:t>De acuerdo con el numeral 4 del artículo 2.2.1.1.1.5.3. del Decreto 1082 de 2015, los indicadores de capacidad organizacional “miden el rendimiento de las inversiones y la eficiencia en el uso de activos del interesado”, estos indicadores son:</w:t>
      </w:r>
    </w:p>
    <w:p w14:paraId="56B31C89" w14:textId="77777777" w:rsidR="00AD5C97" w:rsidRPr="006C0EC6" w:rsidRDefault="00AD5C97">
      <w:pPr>
        <w:pStyle w:val="Textoindependiente"/>
        <w:spacing w:before="6"/>
        <w:rPr>
          <w:sz w:val="25"/>
        </w:rPr>
      </w:pPr>
    </w:p>
    <w:p w14:paraId="305A8CA3" w14:textId="77777777" w:rsidR="00AD5C97" w:rsidRPr="006C0EC6" w:rsidRDefault="00BC13E9">
      <w:pPr>
        <w:spacing w:before="1" w:line="276" w:lineRule="auto"/>
        <w:ind w:left="888" w:right="747"/>
        <w:rPr>
          <w:sz w:val="20"/>
        </w:rPr>
      </w:pPr>
      <w:r w:rsidRPr="006C0EC6">
        <w:rPr>
          <w:sz w:val="20"/>
        </w:rPr>
        <w:t>Rentabilidad del patrimonio: utilidad operacional dividida por el patrimonio. Rentabilidad del activo: utilidad operacional dividida por el activo total.</w:t>
      </w:r>
    </w:p>
    <w:p w14:paraId="1CD20D07" w14:textId="77777777" w:rsidR="00AD5C97" w:rsidRPr="006C0EC6" w:rsidRDefault="00AD5C97">
      <w:pPr>
        <w:pStyle w:val="Textoindependiente"/>
        <w:spacing w:before="2"/>
        <w:rPr>
          <w:sz w:val="25"/>
        </w:rPr>
      </w:pPr>
    </w:p>
    <w:p w14:paraId="414A87C8" w14:textId="77777777" w:rsidR="00AD5C97" w:rsidRPr="006C0EC6" w:rsidRDefault="00BC13E9">
      <w:pPr>
        <w:pStyle w:val="Textoindependiente"/>
        <w:spacing w:line="276" w:lineRule="auto"/>
        <w:ind w:left="170" w:right="211"/>
        <w:jc w:val="both"/>
      </w:pPr>
      <w:r w:rsidRPr="006C0EC6">
        <w:t>Para la acreditación de los indicadores de capacidad financiera y organizacional en procesos que aplican Documentos Tipo, el numeral 3.9 establece las siguientes reglas:</w:t>
      </w:r>
    </w:p>
    <w:p w14:paraId="6347CD02" w14:textId="77777777" w:rsidR="00AD5C97" w:rsidRPr="006C0EC6" w:rsidRDefault="00AD5C97">
      <w:pPr>
        <w:spacing w:line="276" w:lineRule="auto"/>
        <w:jc w:val="both"/>
        <w:sectPr w:rsidR="00AD5C97" w:rsidRPr="006C0EC6">
          <w:pgSz w:w="12240" w:h="15840"/>
          <w:pgMar w:top="1560" w:right="1400" w:bottom="2140" w:left="1520" w:header="737" w:footer="1880" w:gutter="0"/>
          <w:cols w:space="720"/>
        </w:sectPr>
      </w:pPr>
    </w:p>
    <w:p w14:paraId="5490BF42" w14:textId="77777777" w:rsidR="00AD5C97" w:rsidRPr="006C0EC6" w:rsidRDefault="00AD5C97">
      <w:pPr>
        <w:pStyle w:val="Textoindependiente"/>
        <w:rPr>
          <w:sz w:val="20"/>
        </w:rPr>
      </w:pPr>
    </w:p>
    <w:p w14:paraId="500638A4" w14:textId="77777777" w:rsidR="00AD5C97" w:rsidRPr="006C0EC6" w:rsidRDefault="00AD5C97">
      <w:pPr>
        <w:pStyle w:val="Textoindependiente"/>
        <w:spacing w:before="3"/>
        <w:rPr>
          <w:sz w:val="16"/>
        </w:rPr>
      </w:pPr>
    </w:p>
    <w:p w14:paraId="19B7DA7A" w14:textId="77777777" w:rsidR="00AD5C97" w:rsidRPr="006C0EC6" w:rsidRDefault="00BC13E9">
      <w:pPr>
        <w:pStyle w:val="Prrafodelista"/>
        <w:numPr>
          <w:ilvl w:val="1"/>
          <w:numId w:val="5"/>
        </w:numPr>
        <w:tabs>
          <w:tab w:val="left" w:pos="1136"/>
        </w:tabs>
        <w:spacing w:before="94"/>
        <w:rPr>
          <w:b/>
          <w:sz w:val="20"/>
        </w:rPr>
      </w:pPr>
      <w:r w:rsidRPr="006C0EC6">
        <w:rPr>
          <w:b/>
          <w:sz w:val="20"/>
        </w:rPr>
        <w:t>ACREDITACIÓN DE LA CAPACIDAD FINANCIERA Y</w:t>
      </w:r>
      <w:r w:rsidRPr="006C0EC6">
        <w:rPr>
          <w:b/>
          <w:spacing w:val="-11"/>
          <w:sz w:val="20"/>
        </w:rPr>
        <w:t xml:space="preserve"> </w:t>
      </w:r>
      <w:r w:rsidRPr="006C0EC6">
        <w:rPr>
          <w:b/>
          <w:sz w:val="20"/>
        </w:rPr>
        <w:t>ORGANIZACIONAL</w:t>
      </w:r>
    </w:p>
    <w:p w14:paraId="3D452734" w14:textId="77777777" w:rsidR="00AD5C97" w:rsidRPr="006C0EC6" w:rsidRDefault="00AD5C97">
      <w:pPr>
        <w:pStyle w:val="Textoindependiente"/>
        <w:rPr>
          <w:b/>
          <w:sz w:val="20"/>
        </w:rPr>
      </w:pPr>
    </w:p>
    <w:p w14:paraId="20FDC82A" w14:textId="77777777" w:rsidR="00AD5C97" w:rsidRPr="006C0EC6" w:rsidRDefault="00BC13E9">
      <w:pPr>
        <w:pStyle w:val="Prrafodelista"/>
        <w:numPr>
          <w:ilvl w:val="2"/>
          <w:numId w:val="5"/>
        </w:numPr>
        <w:tabs>
          <w:tab w:val="left" w:pos="1481"/>
        </w:tabs>
        <w:ind w:right="919"/>
        <w:rPr>
          <w:b/>
          <w:sz w:val="20"/>
        </w:rPr>
      </w:pPr>
      <w:r w:rsidRPr="006C0EC6">
        <w:rPr>
          <w:b/>
          <w:sz w:val="20"/>
        </w:rPr>
        <w:t>PERSONAS NATURALES O JURÍDICAS NACIONALES Y EXTRANJERAS CON DOMICILIO O SUCURSAL EN</w:t>
      </w:r>
      <w:r w:rsidRPr="006C0EC6">
        <w:rPr>
          <w:b/>
          <w:spacing w:val="-3"/>
          <w:sz w:val="20"/>
        </w:rPr>
        <w:t xml:space="preserve"> </w:t>
      </w:r>
      <w:r w:rsidRPr="006C0EC6">
        <w:rPr>
          <w:b/>
          <w:sz w:val="20"/>
        </w:rPr>
        <w:t>COLOMBIA</w:t>
      </w:r>
    </w:p>
    <w:p w14:paraId="42F4B7AB" w14:textId="77777777" w:rsidR="00AD5C97" w:rsidRPr="006C0EC6" w:rsidRDefault="00AD5C97">
      <w:pPr>
        <w:pStyle w:val="Textoindependiente"/>
        <w:spacing w:before="3"/>
        <w:rPr>
          <w:b/>
          <w:sz w:val="20"/>
        </w:rPr>
      </w:pPr>
    </w:p>
    <w:p w14:paraId="4136EEBE" w14:textId="77777777" w:rsidR="00AD5C97" w:rsidRPr="006C0EC6" w:rsidRDefault="00BC13E9">
      <w:pPr>
        <w:ind w:left="515" w:right="914"/>
        <w:jc w:val="both"/>
        <w:rPr>
          <w:sz w:val="20"/>
        </w:rPr>
      </w:pPr>
      <w:r w:rsidRPr="006C0EC6">
        <w:rPr>
          <w:sz w:val="20"/>
        </w:rPr>
        <w:t>La evaluación financiera y organizacional de las propuestas se efectuará a partir de la información contenida en el RUP vigente y en firme, con información financiera de fecha de corte a [</w:t>
      </w:r>
      <w:r w:rsidRPr="006C0EC6">
        <w:rPr>
          <w:sz w:val="20"/>
          <w:shd w:val="clear" w:color="auto" w:fill="D2D2D2"/>
        </w:rPr>
        <w:t>fecha de corte para la verificación</w:t>
      </w:r>
      <w:r w:rsidRPr="006C0EC6">
        <w:rPr>
          <w:sz w:val="20"/>
        </w:rPr>
        <w:t>]. Para personas jurídicas constituidas en el año en que se adelanta el proceso de contratación, la evaluación financiera y organizacional de las propuestas, se efectuará a partir de la información contenida en el Registro Único de Proponentes (RUP) vigente y en firme. Las personas jurídicas extranjeras con sucursal en Colombia deberán justificar y acreditar que la legislación propia del país de origen establece una fecha de corte diferente a la prevista en este pliego.</w:t>
      </w:r>
    </w:p>
    <w:p w14:paraId="7371BDC5" w14:textId="77777777" w:rsidR="00AD5C97" w:rsidRPr="006C0EC6" w:rsidRDefault="00AD5C97">
      <w:pPr>
        <w:pStyle w:val="Textoindependiente"/>
        <w:rPr>
          <w:sz w:val="20"/>
        </w:rPr>
      </w:pPr>
    </w:p>
    <w:p w14:paraId="6D8A2B18" w14:textId="78C1EA0F" w:rsidR="00AD5C97" w:rsidRDefault="00BC13E9">
      <w:pPr>
        <w:ind w:left="515" w:right="918"/>
        <w:jc w:val="both"/>
        <w:rPr>
          <w:sz w:val="20"/>
        </w:rPr>
      </w:pPr>
      <w:r w:rsidRPr="006C0EC6">
        <w:rPr>
          <w:sz w:val="20"/>
        </w:rPr>
        <w:t>Los Proponentes extranjeros sin domicilio o sucursal en Colombia no están obligados a tener RUP y por tanto la verificación de esta información procederá en los términos definidos en el numeral 3.9.2.</w:t>
      </w:r>
    </w:p>
    <w:p w14:paraId="423D4566" w14:textId="77777777" w:rsidR="00DF5748" w:rsidRPr="006C0EC6" w:rsidRDefault="00DF5748">
      <w:pPr>
        <w:ind w:left="515" w:right="918"/>
        <w:jc w:val="both"/>
        <w:rPr>
          <w:sz w:val="20"/>
        </w:rPr>
      </w:pPr>
    </w:p>
    <w:p w14:paraId="68A433B9" w14:textId="77777777" w:rsidR="00AD5C97" w:rsidRPr="006C0EC6" w:rsidRDefault="00AD5C97">
      <w:pPr>
        <w:pStyle w:val="Textoindependiente"/>
        <w:spacing w:before="9"/>
        <w:rPr>
          <w:sz w:val="19"/>
        </w:rPr>
      </w:pPr>
    </w:p>
    <w:p w14:paraId="7E6131B8" w14:textId="77777777" w:rsidR="00AD5C97" w:rsidRPr="006C0EC6" w:rsidRDefault="00BC13E9">
      <w:pPr>
        <w:pStyle w:val="Prrafodelista"/>
        <w:numPr>
          <w:ilvl w:val="2"/>
          <w:numId w:val="5"/>
        </w:numPr>
        <w:tabs>
          <w:tab w:val="left" w:pos="1481"/>
        </w:tabs>
        <w:ind w:right="919"/>
        <w:rPr>
          <w:b/>
          <w:sz w:val="20"/>
        </w:rPr>
      </w:pPr>
      <w:r w:rsidRPr="006C0EC6">
        <w:rPr>
          <w:b/>
          <w:sz w:val="20"/>
        </w:rPr>
        <w:t>PERSONAS NATURALES O JURÍDICAS EXTRANJERAS SIN DOMICILIO O SUCURSAL EN</w:t>
      </w:r>
      <w:r w:rsidRPr="006C0EC6">
        <w:rPr>
          <w:b/>
          <w:spacing w:val="-2"/>
          <w:sz w:val="20"/>
        </w:rPr>
        <w:t xml:space="preserve"> </w:t>
      </w:r>
      <w:r w:rsidRPr="006C0EC6">
        <w:rPr>
          <w:b/>
          <w:sz w:val="20"/>
        </w:rPr>
        <w:t>COLOMBIA</w:t>
      </w:r>
    </w:p>
    <w:p w14:paraId="71BD6729" w14:textId="77777777" w:rsidR="00AD5C97" w:rsidRPr="006C0EC6" w:rsidRDefault="00AD5C97">
      <w:pPr>
        <w:pStyle w:val="Textoindependiente"/>
        <w:spacing w:before="3"/>
        <w:rPr>
          <w:b/>
          <w:sz w:val="20"/>
        </w:rPr>
      </w:pPr>
    </w:p>
    <w:p w14:paraId="0A2B91E6" w14:textId="77777777" w:rsidR="00AD5C97" w:rsidRPr="006C0EC6" w:rsidRDefault="00BC13E9">
      <w:pPr>
        <w:ind w:left="515" w:right="913"/>
        <w:jc w:val="both"/>
        <w:rPr>
          <w:sz w:val="20"/>
        </w:rPr>
      </w:pPr>
      <w:r w:rsidRPr="006C0EC6">
        <w:rPr>
          <w:sz w:val="20"/>
        </w:rPr>
        <w:t>Los Proponentes extranjeros deberán presentar la siguiente información financiera de conformidad con la legislación propia del país de origen. Los valores deben: (i) presentarse en pesos colombianos; (ii) convertirse a la tasa de cambio de la fecha de corte de los mismos, y (iii) estar avalados con la firma de quien se encuentre en obligación de hacerlo de acuerdo con la normativa del país de origen.</w:t>
      </w:r>
    </w:p>
    <w:p w14:paraId="4488DDBA" w14:textId="77777777" w:rsidR="00AD5C97" w:rsidRPr="006C0EC6" w:rsidRDefault="00AD5C97">
      <w:pPr>
        <w:pStyle w:val="Textoindependiente"/>
        <w:rPr>
          <w:sz w:val="20"/>
        </w:rPr>
      </w:pPr>
    </w:p>
    <w:p w14:paraId="51AEF2C0" w14:textId="77777777" w:rsidR="00AD5C97" w:rsidRPr="006C0EC6" w:rsidRDefault="00BC13E9">
      <w:pPr>
        <w:pStyle w:val="Prrafodelista"/>
        <w:numPr>
          <w:ilvl w:val="0"/>
          <w:numId w:val="4"/>
        </w:numPr>
        <w:tabs>
          <w:tab w:val="left" w:pos="1236"/>
        </w:tabs>
        <w:spacing w:before="1"/>
        <w:ind w:right="921"/>
        <w:rPr>
          <w:sz w:val="20"/>
        </w:rPr>
      </w:pPr>
      <w:r w:rsidRPr="006C0EC6">
        <w:rPr>
          <w:sz w:val="20"/>
        </w:rPr>
        <w:t>El estado de situación financiera (balance general) y estado de resultado integral (estado de resultados), acompañados por el informe de auditoría (sí aplica de acuerdo con la legislación de origen) con traducción oficial al castellano de acuerdo con las normas</w:t>
      </w:r>
      <w:r w:rsidRPr="006C0EC6">
        <w:rPr>
          <w:spacing w:val="-6"/>
          <w:sz w:val="20"/>
        </w:rPr>
        <w:t xml:space="preserve"> </w:t>
      </w:r>
      <w:r w:rsidRPr="006C0EC6">
        <w:rPr>
          <w:sz w:val="20"/>
        </w:rPr>
        <w:t>NIIF.</w:t>
      </w:r>
    </w:p>
    <w:p w14:paraId="3FA382D9" w14:textId="77777777" w:rsidR="00AD5C97" w:rsidRPr="006C0EC6" w:rsidRDefault="00AD5C97">
      <w:pPr>
        <w:pStyle w:val="Textoindependiente"/>
        <w:rPr>
          <w:sz w:val="20"/>
        </w:rPr>
      </w:pPr>
    </w:p>
    <w:p w14:paraId="7EDF832A" w14:textId="77777777" w:rsidR="00AD5C97" w:rsidRPr="006C0EC6" w:rsidRDefault="00BC13E9">
      <w:pPr>
        <w:pStyle w:val="Prrafodelista"/>
        <w:numPr>
          <w:ilvl w:val="0"/>
          <w:numId w:val="4"/>
        </w:numPr>
        <w:tabs>
          <w:tab w:val="left" w:pos="1236"/>
        </w:tabs>
        <w:ind w:right="921"/>
        <w:rPr>
          <w:sz w:val="20"/>
        </w:rPr>
      </w:pPr>
      <w:r w:rsidRPr="006C0EC6">
        <w:rPr>
          <w:sz w:val="20"/>
        </w:rPr>
        <w:t>Copia de la tarjeta profesional del Contador Público o Revisor Fiscal y certificado de antecedentes disciplinarios vigente expedido por la Junta Central de Contadores de quien realiza la</w:t>
      </w:r>
      <w:r w:rsidRPr="006C0EC6">
        <w:rPr>
          <w:spacing w:val="-9"/>
          <w:sz w:val="20"/>
        </w:rPr>
        <w:t xml:space="preserve"> </w:t>
      </w:r>
      <w:r w:rsidRPr="006C0EC6">
        <w:rPr>
          <w:sz w:val="20"/>
        </w:rPr>
        <w:t>conversión.</w:t>
      </w:r>
    </w:p>
    <w:p w14:paraId="5FB7D545" w14:textId="77777777" w:rsidR="00AD5C97" w:rsidRPr="006C0EC6" w:rsidRDefault="00AD5C97">
      <w:pPr>
        <w:pStyle w:val="Textoindependiente"/>
        <w:rPr>
          <w:sz w:val="20"/>
        </w:rPr>
      </w:pPr>
    </w:p>
    <w:p w14:paraId="2A7DB160" w14:textId="77777777" w:rsidR="00AD5C97" w:rsidRPr="006C0EC6" w:rsidRDefault="00BC13E9">
      <w:pPr>
        <w:pStyle w:val="Prrafodelista"/>
        <w:numPr>
          <w:ilvl w:val="0"/>
          <w:numId w:val="4"/>
        </w:numPr>
        <w:tabs>
          <w:tab w:val="left" w:pos="1236"/>
        </w:tabs>
        <w:ind w:right="917"/>
        <w:rPr>
          <w:sz w:val="20"/>
        </w:rPr>
      </w:pPr>
      <w:r w:rsidRPr="006C0EC6">
        <w:rPr>
          <w:sz w:val="20"/>
        </w:rPr>
        <w:t>El Formato 4 – Capacidad financiera y organizacional para extranjeros diligenciado. En caso de presentarse discrepancias entre la información consignada en el Formato 4 – Capacidad financiera y organizacional para extranjeros y los documentos señalados en el Literal A, prevalecerá la información consignada en los estados financieros incluidos en la</w:t>
      </w:r>
      <w:r w:rsidRPr="006C0EC6">
        <w:rPr>
          <w:spacing w:val="-22"/>
          <w:sz w:val="20"/>
        </w:rPr>
        <w:t xml:space="preserve"> </w:t>
      </w:r>
      <w:r w:rsidRPr="006C0EC6">
        <w:rPr>
          <w:sz w:val="20"/>
        </w:rPr>
        <w:t>oferta.</w:t>
      </w:r>
    </w:p>
    <w:p w14:paraId="330A8CA3" w14:textId="77777777" w:rsidR="00AD5C97" w:rsidRPr="006C0EC6" w:rsidRDefault="00AD5C97">
      <w:pPr>
        <w:pStyle w:val="Textoindependiente"/>
        <w:rPr>
          <w:sz w:val="20"/>
        </w:rPr>
      </w:pPr>
    </w:p>
    <w:p w14:paraId="36C21E1C" w14:textId="77777777" w:rsidR="00AD5C97" w:rsidRPr="006C0EC6" w:rsidRDefault="00BC13E9">
      <w:pPr>
        <w:ind w:left="515" w:right="914"/>
        <w:jc w:val="both"/>
        <w:rPr>
          <w:sz w:val="20"/>
        </w:rPr>
      </w:pPr>
      <w:r w:rsidRPr="006C0EC6">
        <w:rPr>
          <w:sz w:val="20"/>
        </w:rPr>
        <w:t>La fecha de corte de los documentos señalados en el Literal A será a 31 de diciembre de [</w:t>
      </w:r>
      <w:r w:rsidRPr="006C0EC6">
        <w:rPr>
          <w:sz w:val="20"/>
          <w:shd w:val="clear" w:color="auto" w:fill="D2D2D2"/>
        </w:rPr>
        <w:t>fecha de corte para la verificación.</w:t>
      </w:r>
      <w:r w:rsidRPr="006C0EC6">
        <w:rPr>
          <w:sz w:val="20"/>
        </w:rPr>
        <w:t>], acompañado del Informe de Auditoría salvo que se acredite en debida forma que la legislación propia del país de origen establece una fecha de corte diferente a la prevista en este</w:t>
      </w:r>
      <w:r w:rsidRPr="006C0EC6">
        <w:rPr>
          <w:spacing w:val="-13"/>
          <w:sz w:val="20"/>
        </w:rPr>
        <w:t xml:space="preserve"> </w:t>
      </w:r>
      <w:r w:rsidRPr="006C0EC6">
        <w:rPr>
          <w:sz w:val="20"/>
        </w:rPr>
        <w:t>Pliego.</w:t>
      </w:r>
    </w:p>
    <w:p w14:paraId="5009EA4B" w14:textId="77777777" w:rsidR="00AD5C97" w:rsidRPr="006C0EC6" w:rsidRDefault="00AD5C97">
      <w:pPr>
        <w:pStyle w:val="Textoindependiente"/>
        <w:rPr>
          <w:sz w:val="20"/>
        </w:rPr>
      </w:pPr>
    </w:p>
    <w:p w14:paraId="276E1C16" w14:textId="77777777" w:rsidR="00AD5C97" w:rsidRPr="006C0EC6" w:rsidRDefault="00BC13E9">
      <w:pPr>
        <w:spacing w:before="1"/>
        <w:ind w:left="515" w:right="915"/>
        <w:jc w:val="both"/>
        <w:rPr>
          <w:sz w:val="20"/>
        </w:rPr>
      </w:pPr>
      <w:r w:rsidRPr="006C0EC6">
        <w:rPr>
          <w:sz w:val="20"/>
        </w:rPr>
        <w:t xml:space="preserve">Si alguno de estos requerimientos no aplica en el país del domicilio del Proponente </w:t>
      </w:r>
      <w:r w:rsidRPr="006C0EC6">
        <w:rPr>
          <w:sz w:val="20"/>
        </w:rPr>
        <w:lastRenderedPageBreak/>
        <w:t>extranjero, el Representante Legal o el apoderado en Colombia deberán hacerlo constar</w:t>
      </w:r>
    </w:p>
    <w:p w14:paraId="46382D7E" w14:textId="77777777" w:rsidR="00AD5C97" w:rsidRPr="006C0EC6" w:rsidRDefault="00AD5C97">
      <w:pPr>
        <w:jc w:val="both"/>
        <w:rPr>
          <w:sz w:val="20"/>
        </w:rPr>
        <w:sectPr w:rsidR="00AD5C97" w:rsidRPr="006C0EC6">
          <w:pgSz w:w="12240" w:h="15840"/>
          <w:pgMar w:top="1560" w:right="1400" w:bottom="2140" w:left="1520" w:header="737" w:footer="1880" w:gutter="0"/>
          <w:cols w:space="720"/>
        </w:sectPr>
      </w:pPr>
    </w:p>
    <w:p w14:paraId="743608C5" w14:textId="77777777" w:rsidR="00AD5C97" w:rsidRPr="006C0EC6" w:rsidRDefault="00AD5C97">
      <w:pPr>
        <w:pStyle w:val="Textoindependiente"/>
        <w:rPr>
          <w:sz w:val="20"/>
        </w:rPr>
      </w:pPr>
    </w:p>
    <w:p w14:paraId="57FB7124" w14:textId="77777777" w:rsidR="00AD5C97" w:rsidRPr="006C0EC6" w:rsidRDefault="00AD5C97">
      <w:pPr>
        <w:pStyle w:val="Textoindependiente"/>
        <w:spacing w:before="6"/>
        <w:rPr>
          <w:sz w:val="16"/>
        </w:rPr>
      </w:pPr>
    </w:p>
    <w:p w14:paraId="64304A6B" w14:textId="77777777" w:rsidR="00AD5C97" w:rsidRPr="006C0EC6" w:rsidRDefault="00BC13E9">
      <w:pPr>
        <w:spacing w:before="94"/>
        <w:ind w:left="515" w:right="919"/>
        <w:jc w:val="both"/>
        <w:rPr>
          <w:sz w:val="20"/>
        </w:rPr>
      </w:pPr>
      <w:r w:rsidRPr="006C0EC6">
        <w:rPr>
          <w:sz w:val="20"/>
        </w:rPr>
        <w:t>bajo la gravedad de juramento en el Formato 4 – Capacidad financiera y organizacional para extranjeros. El Proponente podrá acreditar este requisito con un documento que así lo certifique emitido por una firma de auditoría externa.</w:t>
      </w:r>
    </w:p>
    <w:p w14:paraId="2BA3CAA2" w14:textId="77777777" w:rsidR="00AD5C97" w:rsidRPr="006C0EC6" w:rsidRDefault="00AD5C97">
      <w:pPr>
        <w:pStyle w:val="Textoindependiente"/>
        <w:rPr>
          <w:sz w:val="20"/>
        </w:rPr>
      </w:pPr>
    </w:p>
    <w:p w14:paraId="45A16192" w14:textId="77777777" w:rsidR="00AD5C97" w:rsidRPr="006C0EC6" w:rsidRDefault="00BC13E9">
      <w:pPr>
        <w:ind w:left="515" w:right="919"/>
        <w:jc w:val="both"/>
        <w:rPr>
          <w:sz w:val="20"/>
        </w:rPr>
      </w:pPr>
      <w:r w:rsidRPr="006C0EC6">
        <w:rPr>
          <w:sz w:val="20"/>
        </w:rPr>
        <w:t>Si los valores de los Estados Financieros están expresados originalmente en una moneda diferente a US$, estos deberán convertirse a pesos en los términos definidos en la sección 1.13.</w:t>
      </w:r>
    </w:p>
    <w:p w14:paraId="5B290B22" w14:textId="77777777" w:rsidR="00AD5C97" w:rsidRPr="006C0EC6" w:rsidRDefault="00AD5C97">
      <w:pPr>
        <w:pStyle w:val="Textoindependiente"/>
        <w:spacing w:before="3"/>
        <w:rPr>
          <w:sz w:val="25"/>
        </w:rPr>
      </w:pPr>
    </w:p>
    <w:p w14:paraId="509D032C" w14:textId="77777777" w:rsidR="00AD5C97" w:rsidRPr="006C0EC6" w:rsidRDefault="00BC13E9">
      <w:pPr>
        <w:pStyle w:val="Ttulo1"/>
        <w:numPr>
          <w:ilvl w:val="1"/>
          <w:numId w:val="8"/>
        </w:numPr>
        <w:tabs>
          <w:tab w:val="left" w:pos="890"/>
          <w:tab w:val="left" w:pos="891"/>
        </w:tabs>
        <w:spacing w:before="1" w:line="276" w:lineRule="auto"/>
        <w:ind w:right="210"/>
      </w:pPr>
      <w:r w:rsidRPr="006C0EC6">
        <w:t>Registro mercantil para personas naturales como requisito en procesos de licitación de obra</w:t>
      </w:r>
      <w:r w:rsidRPr="006C0EC6">
        <w:rPr>
          <w:spacing w:val="-5"/>
        </w:rPr>
        <w:t xml:space="preserve"> </w:t>
      </w:r>
      <w:r w:rsidRPr="006C0EC6">
        <w:t>Pública</w:t>
      </w:r>
    </w:p>
    <w:p w14:paraId="328F9770" w14:textId="77777777" w:rsidR="00AD5C97" w:rsidRPr="006C0EC6" w:rsidRDefault="00AD5C97">
      <w:pPr>
        <w:pStyle w:val="Textoindependiente"/>
        <w:spacing w:before="3"/>
        <w:rPr>
          <w:b/>
          <w:sz w:val="25"/>
        </w:rPr>
      </w:pPr>
    </w:p>
    <w:p w14:paraId="49B15F1B" w14:textId="77777777" w:rsidR="00AD5C97" w:rsidRPr="006C0EC6" w:rsidRDefault="00BC13E9">
      <w:pPr>
        <w:pStyle w:val="Textoindependiente"/>
        <w:spacing w:line="276" w:lineRule="auto"/>
        <w:ind w:left="180" w:right="206"/>
        <w:jc w:val="both"/>
      </w:pPr>
      <w:r w:rsidRPr="006C0EC6">
        <w:t>Esta Subdirección, en el concepto identificado con el radicado No. 4201912000004782 del 30 de octubre de 2019, reiterado en el concepto 4201912000005754 del 4 de octubre de 2019 y en el concepto con radicado 4201913000007896 del 25 de noviembre de 2019, se pronunció sobre la exigencia del registro mercantil en los procesos de contratación. La tesis propuesta en estos conceptos es la que se expone a</w:t>
      </w:r>
      <w:r w:rsidRPr="006C0EC6">
        <w:rPr>
          <w:spacing w:val="-18"/>
        </w:rPr>
        <w:t xml:space="preserve"> </w:t>
      </w:r>
      <w:r w:rsidRPr="006C0EC6">
        <w:t>continuación.</w:t>
      </w:r>
    </w:p>
    <w:p w14:paraId="349A6A39" w14:textId="77777777" w:rsidR="00AD5C97" w:rsidRPr="006C0EC6" w:rsidRDefault="00AD5C97">
      <w:pPr>
        <w:pStyle w:val="Textoindependiente"/>
        <w:spacing w:before="3"/>
        <w:rPr>
          <w:sz w:val="25"/>
        </w:rPr>
      </w:pPr>
    </w:p>
    <w:p w14:paraId="22E9D743" w14:textId="6EED4E68" w:rsidR="00AD5C97" w:rsidRPr="006C0EC6" w:rsidRDefault="00BC13E9">
      <w:pPr>
        <w:pStyle w:val="Textoindependiente"/>
        <w:spacing w:line="276" w:lineRule="auto"/>
        <w:ind w:left="180" w:right="208"/>
        <w:jc w:val="both"/>
      </w:pPr>
      <w:r w:rsidRPr="006C0EC6">
        <w:t>El registro mercantil tiene “por objeto llevar la matrícula de los comerciantes y de los establecimientos de comercio, así como la inscripción de todos los actos, libros y documentos respecto de los cuales la ley exigiere esa formalidad”</w:t>
      </w:r>
      <w:r w:rsidR="00DF5748">
        <w:rPr>
          <w:rStyle w:val="Refdenotaalpie"/>
        </w:rPr>
        <w:footnoteReference w:id="5"/>
      </w:r>
      <w:r w:rsidRPr="006C0EC6">
        <w:t>. Así, la matrícula mercantil es un medio de identificación y da publicidad a la condición de comerciante, la cual, de acuerdo con el artículo 10 del Código de Comercio, se reputa de aquellas personas que se ocupan profesionalmente de una o varias de las actividades que el mismo código considera como comerciales en el artículo 20 y</w:t>
      </w:r>
      <w:r w:rsidRPr="006C0EC6">
        <w:rPr>
          <w:spacing w:val="-12"/>
        </w:rPr>
        <w:t xml:space="preserve"> </w:t>
      </w:r>
      <w:r w:rsidRPr="006C0EC6">
        <w:t>21.</w:t>
      </w:r>
    </w:p>
    <w:p w14:paraId="7FF3F4E9" w14:textId="77777777" w:rsidR="00AD5C97" w:rsidRPr="006C0EC6" w:rsidRDefault="00AD5C97">
      <w:pPr>
        <w:pStyle w:val="Textoindependiente"/>
        <w:spacing w:before="4"/>
        <w:rPr>
          <w:sz w:val="25"/>
        </w:rPr>
      </w:pPr>
    </w:p>
    <w:p w14:paraId="7B377B2A" w14:textId="0D5A1E2C" w:rsidR="00AD5C97" w:rsidRPr="006C0EC6" w:rsidRDefault="00BC13E9" w:rsidP="00DF5748">
      <w:pPr>
        <w:pStyle w:val="Textoindependiente"/>
        <w:spacing w:line="276" w:lineRule="auto"/>
        <w:ind w:left="180" w:right="209"/>
        <w:jc w:val="both"/>
        <w:rPr>
          <w:sz w:val="21"/>
        </w:rPr>
      </w:pPr>
      <w:r w:rsidRPr="006C0EC6">
        <w:t>El artículo 20 del Código de Comercio</w:t>
      </w:r>
      <w:r w:rsidR="00DF5748">
        <w:rPr>
          <w:rStyle w:val="Refdenotaalpie"/>
        </w:rPr>
        <w:footnoteReference w:id="6"/>
      </w:r>
      <w:r w:rsidRPr="006C0EC6">
        <w:t>, en el numeral 15, define como mercantil “Las empresas de obras o construcciones, reparaciones, montajes, instalaciones u ornamentaciones”. Por su parte, el artículo 11 del mismo estatuto dispone que “las personas que ejecuten ocasionalmente operaciones mercantiles no se considerarán comerciantes, pero estarán sujetas a las normas comerciales en cuanto a dichas operaciones”. Así mismo, el artículo 23 señala las actividades que no pueden considerarse mercantiles, y por lo tanto no requiere que la persona se inscriba en el registro mercantil</w:t>
      </w:r>
      <w:r w:rsidR="00DF5748">
        <w:rPr>
          <w:rStyle w:val="Refdenotaalpie"/>
        </w:rPr>
        <w:footnoteReference w:id="7"/>
      </w:r>
      <w:r w:rsidRPr="006C0EC6">
        <w:t>.</w:t>
      </w:r>
    </w:p>
    <w:p w14:paraId="1A7CE329" w14:textId="77777777" w:rsidR="00AD5C97" w:rsidRPr="006C0EC6" w:rsidRDefault="00BC13E9">
      <w:pPr>
        <w:pStyle w:val="Textoindependiente"/>
        <w:spacing w:before="93" w:line="276" w:lineRule="auto"/>
        <w:ind w:left="180" w:right="212"/>
        <w:jc w:val="both"/>
      </w:pPr>
      <w:r w:rsidRPr="006C0EC6">
        <w:lastRenderedPageBreak/>
        <w:t>Con relación al registro mercantil, el Consejo de Estado se ha pronunciado estableciendo que la finalidad del registro es ser un instrumento que cuente con la información de las personas consideradas comerciantes:</w:t>
      </w:r>
    </w:p>
    <w:p w14:paraId="44235AC2" w14:textId="77777777" w:rsidR="00AD5C97" w:rsidRPr="006C0EC6" w:rsidRDefault="00AD5C97">
      <w:pPr>
        <w:pStyle w:val="Textoindependiente"/>
        <w:spacing w:before="1"/>
        <w:rPr>
          <w:sz w:val="24"/>
        </w:rPr>
      </w:pPr>
    </w:p>
    <w:p w14:paraId="1B5DAD87" w14:textId="7EF0CD9B" w:rsidR="00AD5C97" w:rsidRPr="006C0EC6" w:rsidRDefault="00BC13E9">
      <w:pPr>
        <w:pStyle w:val="Textoindependiente"/>
        <w:ind w:left="888" w:right="634"/>
        <w:jc w:val="both"/>
      </w:pPr>
      <w:r w:rsidRPr="006C0EC6">
        <w:t>Regulado por el artículo 26 del Código de Comercio, se encuentra que tiene por objeto hacer la matrícula de los comerciantes y de los establecimientos de comercio, así como la inscripción de los actos, libros y documentos, de acuerdo con las disposiciones legales. De lo anterior se deduce que la matrícula es el registro a que están obligadas todas las personas que ejercen regularmente el comercio, lo mismo que en relación con sus establecimientos de</w:t>
      </w:r>
      <w:r w:rsidRPr="006C0EC6">
        <w:rPr>
          <w:spacing w:val="-24"/>
        </w:rPr>
        <w:t xml:space="preserve"> </w:t>
      </w:r>
      <w:r w:rsidRPr="006C0EC6">
        <w:t>comercio</w:t>
      </w:r>
      <w:r w:rsidR="00DF5748">
        <w:rPr>
          <w:rStyle w:val="Refdenotaalpie"/>
        </w:rPr>
        <w:footnoteReference w:id="8"/>
      </w:r>
      <w:r w:rsidRPr="006C0EC6">
        <w:t>.</w:t>
      </w:r>
    </w:p>
    <w:p w14:paraId="73D6E0D7" w14:textId="77777777" w:rsidR="00AD5C97" w:rsidRPr="006C0EC6" w:rsidRDefault="00AD5C97">
      <w:pPr>
        <w:pStyle w:val="Textoindependiente"/>
        <w:spacing w:before="11"/>
        <w:rPr>
          <w:sz w:val="21"/>
        </w:rPr>
      </w:pPr>
    </w:p>
    <w:p w14:paraId="157C9F47" w14:textId="77B0ADE7" w:rsidR="00AD5C97" w:rsidRDefault="00BC13E9">
      <w:pPr>
        <w:pStyle w:val="Textoindependiente"/>
        <w:spacing w:line="276" w:lineRule="auto"/>
        <w:ind w:left="180" w:right="204"/>
        <w:jc w:val="both"/>
      </w:pPr>
      <w:r w:rsidRPr="006C0EC6">
        <w:t>Por su parte, la Corte Constitucional se pronunció sobre la naturaleza jurídica del registro mercantil, señalando que este es un instrumento que le permite al público el conocimiento de datos relevantes del tráfico mercantil, la calidad de comerciante de una persona y las actividades propias de este. Así mismo, para la Corte el registro mercantil no es un requisito para la validez y existencia de los actos jurídicos, sino una herramienta de publicidad de estos y, por lo tanto, oponibles a</w:t>
      </w:r>
      <w:r w:rsidRPr="006C0EC6">
        <w:rPr>
          <w:spacing w:val="-10"/>
        </w:rPr>
        <w:t xml:space="preserve"> </w:t>
      </w:r>
      <w:r w:rsidRPr="006C0EC6">
        <w:t>terceros:</w:t>
      </w:r>
    </w:p>
    <w:p w14:paraId="500C7E17" w14:textId="0A4E05E9" w:rsidR="00DF5748" w:rsidRDefault="00DF5748">
      <w:pPr>
        <w:pStyle w:val="Textoindependiente"/>
        <w:spacing w:line="276" w:lineRule="auto"/>
        <w:ind w:left="180" w:right="204"/>
        <w:jc w:val="both"/>
      </w:pPr>
    </w:p>
    <w:p w14:paraId="6E456F0B" w14:textId="77777777" w:rsidR="00DF5748" w:rsidRPr="006C0EC6" w:rsidRDefault="00DF5748">
      <w:pPr>
        <w:pStyle w:val="Textoindependiente"/>
        <w:spacing w:line="276" w:lineRule="auto"/>
        <w:ind w:left="180" w:right="204"/>
        <w:jc w:val="both"/>
      </w:pPr>
    </w:p>
    <w:p w14:paraId="68F73457" w14:textId="77777777" w:rsidR="00AD5C97" w:rsidRPr="006C0EC6" w:rsidRDefault="00AD5C97">
      <w:pPr>
        <w:pStyle w:val="Textoindependiente"/>
        <w:spacing w:before="1"/>
      </w:pPr>
    </w:p>
    <w:p w14:paraId="375DE06B" w14:textId="1EC21B5F" w:rsidR="00AD5C97" w:rsidRPr="006C0EC6" w:rsidRDefault="00BC13E9" w:rsidP="00DF5748">
      <w:pPr>
        <w:pStyle w:val="Textoindependiente"/>
        <w:ind w:left="888" w:right="633"/>
        <w:jc w:val="both"/>
      </w:pPr>
      <w:r w:rsidRPr="006C0EC6">
        <w:t>A diferencia de otros registros que son de naturaleza real, como el registro inmobiliario, el registro mercantil es de naturaleza personal porque lo inscrito es la persona misma en su condición de comerciante y los hechos y actos que a él lo afectan frente a terceros. Usualmente se le reconoce un carácter meramente declarativo, en cuanto es simplemente un mecanismo de publicidad de ciertos hechos o actos relevantes en el tráfico mercantil. Es decir, la inscripción en el registro no es un requisito de aquellos que son necesarios para la existencia o para la validez de los actos jurídicos inscritos, sino que únicamente los hace conocidos y por</w:t>
      </w:r>
      <w:r w:rsidRPr="006C0EC6">
        <w:rPr>
          <w:spacing w:val="53"/>
        </w:rPr>
        <w:t xml:space="preserve"> </w:t>
      </w:r>
      <w:r w:rsidRPr="006C0EC6">
        <w:t>lo</w:t>
      </w:r>
      <w:r w:rsidRPr="006C0EC6">
        <w:rPr>
          <w:spacing w:val="51"/>
        </w:rPr>
        <w:t xml:space="preserve"> </w:t>
      </w:r>
      <w:r w:rsidRPr="006C0EC6">
        <w:t>tanto</w:t>
      </w:r>
      <w:r w:rsidRPr="006C0EC6">
        <w:rPr>
          <w:spacing w:val="53"/>
        </w:rPr>
        <w:t xml:space="preserve"> </w:t>
      </w:r>
      <w:r w:rsidRPr="006C0EC6">
        <w:t>“oponibles” a</w:t>
      </w:r>
      <w:r w:rsidRPr="006C0EC6">
        <w:rPr>
          <w:spacing w:val="51"/>
        </w:rPr>
        <w:t xml:space="preserve"> </w:t>
      </w:r>
      <w:r w:rsidRPr="006C0EC6">
        <w:t>los</w:t>
      </w:r>
      <w:r w:rsidRPr="006C0EC6">
        <w:rPr>
          <w:spacing w:val="51"/>
        </w:rPr>
        <w:t xml:space="preserve"> </w:t>
      </w:r>
      <w:r w:rsidRPr="006C0EC6">
        <w:t>terceros. Así,</w:t>
      </w:r>
      <w:r w:rsidRPr="006C0EC6">
        <w:rPr>
          <w:spacing w:val="52"/>
        </w:rPr>
        <w:t xml:space="preserve"> </w:t>
      </w:r>
      <w:r w:rsidRPr="006C0EC6">
        <w:t>una</w:t>
      </w:r>
      <w:r w:rsidRPr="006C0EC6">
        <w:rPr>
          <w:spacing w:val="54"/>
        </w:rPr>
        <w:t xml:space="preserve"> </w:t>
      </w:r>
      <w:r w:rsidRPr="006C0EC6">
        <w:t>vez</w:t>
      </w:r>
      <w:r w:rsidRPr="006C0EC6">
        <w:rPr>
          <w:spacing w:val="51"/>
        </w:rPr>
        <w:t xml:space="preserve"> </w:t>
      </w:r>
      <w:r w:rsidRPr="006C0EC6">
        <w:t>hecho</w:t>
      </w:r>
      <w:r w:rsidRPr="006C0EC6">
        <w:rPr>
          <w:spacing w:val="52"/>
        </w:rPr>
        <w:t xml:space="preserve"> </w:t>
      </w:r>
      <w:r w:rsidRPr="006C0EC6">
        <w:t>el</w:t>
      </w:r>
      <w:r w:rsidR="00DF5748">
        <w:t xml:space="preserve"> </w:t>
      </w:r>
      <w:r w:rsidRPr="006C0EC6">
        <w:t xml:space="preserve">correspondiente registro, el acto tendrá efectos no sólo entre quienes </w:t>
      </w:r>
      <w:r w:rsidRPr="006C0EC6">
        <w:lastRenderedPageBreak/>
        <w:t>participaron en él, sino erga omnes, por lo cual en adelante nadie podrá alegar su desconocimiento. Este es el principio que se conoce como de “publicidad material del registro”, en virtud del cual, una vez inscrito, el acto se supone conocido de todos. Por lo anterior, la doctrina señala que la finalidad inmediata del registro es dar seguridad a las relaciones que implican la responsabilidad jurídica del comerciante</w:t>
      </w:r>
      <w:r w:rsidR="00DF5748">
        <w:rPr>
          <w:rStyle w:val="Refdenotaalpie"/>
        </w:rPr>
        <w:footnoteReference w:id="9"/>
      </w:r>
      <w:r w:rsidRPr="006C0EC6">
        <w:t>.</w:t>
      </w:r>
    </w:p>
    <w:p w14:paraId="27774902" w14:textId="77777777" w:rsidR="00AD5C97" w:rsidRPr="006C0EC6" w:rsidRDefault="00AD5C97">
      <w:pPr>
        <w:pStyle w:val="Textoindependiente"/>
        <w:spacing w:before="4"/>
        <w:rPr>
          <w:sz w:val="25"/>
        </w:rPr>
      </w:pPr>
    </w:p>
    <w:p w14:paraId="263886ED" w14:textId="77777777" w:rsidR="00AD5C97" w:rsidRPr="006C0EC6" w:rsidRDefault="00BC13E9">
      <w:pPr>
        <w:pStyle w:val="Textoindependiente"/>
        <w:spacing w:before="1" w:line="276" w:lineRule="auto"/>
        <w:ind w:left="180" w:right="208"/>
        <w:jc w:val="both"/>
      </w:pPr>
      <w:r w:rsidRPr="006C0EC6">
        <w:t>En este orden de ideas, el artículo 28 del Código de comercio señala que las personas que ejerzan profesionalmente el comercio y sus auxiliares, tales como los comisionistas, corredores, agentes, representantes de firmas nacionales o extranjeras, deben inscribirse en el registro mercantil, al mes siguiente de que inicien sus actividades.</w:t>
      </w:r>
    </w:p>
    <w:p w14:paraId="619D0A96" w14:textId="77777777" w:rsidR="00AD5C97" w:rsidRPr="006C0EC6" w:rsidRDefault="00AD5C97">
      <w:pPr>
        <w:pStyle w:val="Textoindependiente"/>
        <w:spacing w:before="4"/>
        <w:rPr>
          <w:sz w:val="25"/>
        </w:rPr>
      </w:pPr>
    </w:p>
    <w:p w14:paraId="60AC0A2F" w14:textId="77777777" w:rsidR="00AD5C97" w:rsidRPr="006C0EC6" w:rsidRDefault="00BC13E9">
      <w:pPr>
        <w:pStyle w:val="Textoindependiente"/>
        <w:spacing w:line="276" w:lineRule="auto"/>
        <w:ind w:left="180" w:right="204"/>
        <w:jc w:val="both"/>
      </w:pPr>
      <w:r w:rsidRPr="006C0EC6">
        <w:t>De tal forma, se deberán inscribir en el registro mercantil quienes realizan de manera habitual alguna actividad comercial de las definidas por el Código de Comercio, es decir, deben matricularse ante la Cámara de Comercio todas las personas naturales que realicen en forma permanente o habitual alguno de los actos u operaciones mercantiles, en caso contrario, a pesar de que sea un acto mercantil, la persona natural no debe estar inscrita en el</w:t>
      </w:r>
      <w:r w:rsidRPr="006C0EC6">
        <w:rPr>
          <w:spacing w:val="-2"/>
        </w:rPr>
        <w:t xml:space="preserve"> </w:t>
      </w:r>
      <w:r w:rsidRPr="006C0EC6">
        <w:t>registro.</w:t>
      </w:r>
    </w:p>
    <w:p w14:paraId="430FAA48" w14:textId="77777777" w:rsidR="00AD5C97" w:rsidRPr="006C0EC6" w:rsidRDefault="00AD5C97">
      <w:pPr>
        <w:pStyle w:val="Textoindependiente"/>
        <w:spacing w:before="4"/>
        <w:rPr>
          <w:sz w:val="25"/>
        </w:rPr>
      </w:pPr>
    </w:p>
    <w:p w14:paraId="4B0453A3" w14:textId="14685BBA" w:rsidR="00AD5C97" w:rsidRDefault="00BC13E9">
      <w:pPr>
        <w:pStyle w:val="Textoindependiente"/>
        <w:spacing w:line="276" w:lineRule="auto"/>
        <w:ind w:left="180" w:right="206"/>
        <w:jc w:val="both"/>
      </w:pPr>
      <w:r w:rsidRPr="006C0EC6">
        <w:t>El artículo 37 del Código de Comercio dispone como sanción aplicable al comerciante que ejerce el comercio sin registro mercantil la imposición de una multa:</w:t>
      </w:r>
    </w:p>
    <w:p w14:paraId="0293B42F" w14:textId="777418BB" w:rsidR="00DF5748" w:rsidRDefault="00DF5748">
      <w:pPr>
        <w:pStyle w:val="Textoindependiente"/>
        <w:spacing w:line="276" w:lineRule="auto"/>
        <w:ind w:left="180" w:right="206"/>
        <w:jc w:val="both"/>
      </w:pPr>
    </w:p>
    <w:p w14:paraId="3BE5BDD7" w14:textId="77777777" w:rsidR="00DF5748" w:rsidRPr="006C0EC6" w:rsidRDefault="00DF5748">
      <w:pPr>
        <w:pStyle w:val="Textoindependiente"/>
        <w:spacing w:line="276" w:lineRule="auto"/>
        <w:ind w:left="180" w:right="206"/>
        <w:jc w:val="both"/>
      </w:pPr>
    </w:p>
    <w:p w14:paraId="000978FF" w14:textId="77777777" w:rsidR="00AD5C97" w:rsidRPr="006C0EC6" w:rsidRDefault="00AD5C97">
      <w:pPr>
        <w:pStyle w:val="Textoindependiente"/>
        <w:spacing w:before="3"/>
        <w:rPr>
          <w:sz w:val="25"/>
        </w:rPr>
      </w:pPr>
    </w:p>
    <w:p w14:paraId="06738DE1" w14:textId="77777777" w:rsidR="00AD5C97" w:rsidRPr="006C0EC6" w:rsidRDefault="00BC13E9">
      <w:pPr>
        <w:ind w:left="888" w:right="630"/>
        <w:jc w:val="both"/>
        <w:rPr>
          <w:sz w:val="21"/>
        </w:rPr>
      </w:pPr>
      <w:r w:rsidRPr="006C0EC6">
        <w:rPr>
          <w:sz w:val="21"/>
        </w:rPr>
        <w:t>Artículo 37. La persona que ejerza profesionalmente el comercio sin estar inscrita en el registro mercantil incurrirá en multa hasta de diez mil pesos, que impondrá la Superintendencia de Industria y Comercio, sin perjuicio de las demás sanciones legales. La misma sanción se aplicará cuando se omita la inscripción o matrícula de un establecimiento de</w:t>
      </w:r>
      <w:r w:rsidRPr="006C0EC6">
        <w:rPr>
          <w:spacing w:val="-5"/>
          <w:sz w:val="21"/>
        </w:rPr>
        <w:t xml:space="preserve"> </w:t>
      </w:r>
      <w:r w:rsidRPr="006C0EC6">
        <w:rPr>
          <w:sz w:val="21"/>
        </w:rPr>
        <w:t>comercio.</w:t>
      </w:r>
    </w:p>
    <w:p w14:paraId="1A16AFE8" w14:textId="77777777" w:rsidR="00AD5C97" w:rsidRPr="006C0EC6" w:rsidRDefault="00AD5C97">
      <w:pPr>
        <w:pStyle w:val="Textoindependiente"/>
        <w:spacing w:before="3"/>
        <w:rPr>
          <w:sz w:val="25"/>
        </w:rPr>
      </w:pPr>
    </w:p>
    <w:p w14:paraId="708B9494" w14:textId="4F869A01" w:rsidR="00AD5C97" w:rsidRDefault="00BC13E9" w:rsidP="00DF5748">
      <w:pPr>
        <w:pStyle w:val="Textoindependiente"/>
        <w:spacing w:before="1" w:line="276" w:lineRule="auto"/>
        <w:ind w:left="180" w:right="207"/>
        <w:jc w:val="both"/>
      </w:pPr>
      <w:r w:rsidRPr="006C0EC6">
        <w:t>De la misma forma, el artículo 11 del Decreto 2153 de 1992, en el numeral 5, faculta al Superintendente Delegado para la Promoción de la Competencia para imponer multas de hasta 17 salarios mínimos mensuales legales vigentes por ejercer profesionalmente el comercio sin estar matriculados en el registro</w:t>
      </w:r>
      <w:r w:rsidR="00DF5748">
        <w:rPr>
          <w:rStyle w:val="Refdenotaalpie"/>
        </w:rPr>
        <w:footnoteReference w:id="10"/>
      </w:r>
      <w:r w:rsidRPr="006C0EC6">
        <w:t>; disposición que también sería aplicable ante la falta de renovación de este instrumento.</w:t>
      </w:r>
    </w:p>
    <w:p w14:paraId="79CEEFBA" w14:textId="77777777" w:rsidR="00DF5748" w:rsidRPr="006C0EC6" w:rsidRDefault="00DF5748" w:rsidP="00DF5748">
      <w:pPr>
        <w:pStyle w:val="Textoindependiente"/>
        <w:spacing w:before="1" w:line="276" w:lineRule="auto"/>
        <w:ind w:left="180" w:right="207"/>
        <w:jc w:val="both"/>
        <w:rPr>
          <w:sz w:val="16"/>
        </w:rPr>
      </w:pPr>
    </w:p>
    <w:p w14:paraId="35CFDBB7" w14:textId="77777777" w:rsidR="00AD5C97" w:rsidRPr="006C0EC6" w:rsidRDefault="00BC13E9">
      <w:pPr>
        <w:pStyle w:val="Textoindependiente"/>
        <w:spacing w:before="93" w:line="276" w:lineRule="auto"/>
        <w:ind w:left="180" w:right="205"/>
        <w:jc w:val="both"/>
      </w:pPr>
      <w:r w:rsidRPr="006C0EC6">
        <w:t xml:space="preserve">Los documentos tipo de licitación de obra pública infraestructura de transporte suponen la realización de obras o construcciones, pues el objeto de estos es la realización de obras en vías primarias y secundarias; vías terciarias; infraestructuras marítimas y fluviales; vías </w:t>
      </w:r>
      <w:r w:rsidRPr="006C0EC6">
        <w:lastRenderedPageBreak/>
        <w:t>primarias, secundarias o terciarias para atención a emergencias diferentes a contratación directa; infraestructura férrea; infraestructura vial urbana; puentes; e infraestructura aeroportuaria. De esta forma, la realización o ejecución de las actividades contempladas por los documentos tipo pueden configurarse como un acto de comercio de los contemplados en el artículo 20 del Código de Comercio.</w:t>
      </w:r>
    </w:p>
    <w:p w14:paraId="022CCF54" w14:textId="77777777" w:rsidR="00AD5C97" w:rsidRPr="006C0EC6" w:rsidRDefault="00AD5C97">
      <w:pPr>
        <w:pStyle w:val="Textoindependiente"/>
        <w:spacing w:before="6"/>
        <w:rPr>
          <w:sz w:val="25"/>
        </w:rPr>
      </w:pPr>
    </w:p>
    <w:p w14:paraId="0C1A86CF" w14:textId="23CB0199" w:rsidR="00AD5C97" w:rsidRPr="006C0EC6" w:rsidRDefault="00BC13E9">
      <w:pPr>
        <w:pStyle w:val="Textoindependiente"/>
        <w:spacing w:line="276" w:lineRule="auto"/>
        <w:ind w:left="180" w:right="206"/>
        <w:jc w:val="both"/>
      </w:pPr>
      <w:r w:rsidRPr="006C0EC6">
        <w:t>Por otro lado, se debe tener en cuenta que la capacidad jurídica es la facultad legal que tiene una persona (natural o jurídica) para celebrar contratos con una entidad pública</w:t>
      </w:r>
      <w:r w:rsidR="00DF5748">
        <w:rPr>
          <w:rStyle w:val="Refdenotaalpie"/>
        </w:rPr>
        <w:footnoteReference w:id="11"/>
      </w:r>
      <w:r w:rsidRPr="006C0EC6">
        <w:t>, es decir, que pueda obligarse a cumplir con el objeto de contrato y que no se encuentre incurso en inhabilidades o incompatibilidades que le impida celebrar el contrato.</w:t>
      </w:r>
    </w:p>
    <w:p w14:paraId="70B27D01" w14:textId="77777777" w:rsidR="00AD5C97" w:rsidRPr="006C0EC6" w:rsidRDefault="00AD5C97">
      <w:pPr>
        <w:pStyle w:val="Textoindependiente"/>
        <w:spacing w:before="4"/>
        <w:rPr>
          <w:sz w:val="25"/>
        </w:rPr>
      </w:pPr>
    </w:p>
    <w:p w14:paraId="0A727CFA" w14:textId="77777777" w:rsidR="00AD5C97" w:rsidRPr="006C0EC6" w:rsidRDefault="00BC13E9">
      <w:pPr>
        <w:pStyle w:val="Textoindependiente"/>
        <w:spacing w:line="276" w:lineRule="auto"/>
        <w:ind w:left="180" w:right="204"/>
        <w:jc w:val="both"/>
      </w:pPr>
      <w:r w:rsidRPr="006C0EC6">
        <w:t>En el caso de las personas naturales, mayores de dieciocho (18) años, son capaces jurídicamente a menos que estén expresamente inhabilitadas por decisión judicial o administrativa, como la interdicción judicial, y que no estén incursas en inhabilidades, incompatibilidades o prohibiciones para contratar derivadas de la ley.</w:t>
      </w:r>
    </w:p>
    <w:p w14:paraId="6531437B" w14:textId="77777777" w:rsidR="00AD5C97" w:rsidRPr="006C0EC6" w:rsidRDefault="00AD5C97">
      <w:pPr>
        <w:pStyle w:val="Textoindependiente"/>
        <w:spacing w:before="1"/>
        <w:rPr>
          <w:sz w:val="25"/>
        </w:rPr>
      </w:pPr>
    </w:p>
    <w:p w14:paraId="2DF6BC85" w14:textId="77777777" w:rsidR="00AD5C97" w:rsidRPr="006C0EC6" w:rsidRDefault="00BC13E9">
      <w:pPr>
        <w:pStyle w:val="Textoindependiente"/>
        <w:spacing w:line="276" w:lineRule="auto"/>
        <w:ind w:left="180" w:right="203"/>
        <w:jc w:val="both"/>
      </w:pPr>
      <w:r w:rsidRPr="006C0EC6">
        <w:t>En consecuencia, de acuerdo con lo expuesto, el registro mercantil es un deber legal de los comerciantes, pero no otorga capacidad jurídica, aunque su ausencia, cuando se desarrollan actividades mercantiles de manera habitual y permanente, conlleva a la imposición de multas por el incumplimiento de un deber</w:t>
      </w:r>
      <w:r w:rsidRPr="006C0EC6">
        <w:rPr>
          <w:spacing w:val="-13"/>
        </w:rPr>
        <w:t xml:space="preserve"> </w:t>
      </w:r>
      <w:r w:rsidRPr="006C0EC6">
        <w:t>legal.</w:t>
      </w:r>
    </w:p>
    <w:p w14:paraId="6DAB174D" w14:textId="77777777" w:rsidR="00AD5C97" w:rsidRPr="006C0EC6" w:rsidRDefault="00AD5C97">
      <w:pPr>
        <w:pStyle w:val="Textoindependiente"/>
        <w:spacing w:before="4"/>
        <w:rPr>
          <w:sz w:val="25"/>
        </w:rPr>
      </w:pPr>
    </w:p>
    <w:p w14:paraId="57A9CEC5" w14:textId="77777777" w:rsidR="00AD5C97" w:rsidRPr="006C0EC6" w:rsidRDefault="00BC13E9">
      <w:pPr>
        <w:pStyle w:val="Textoindependiente"/>
        <w:spacing w:line="276" w:lineRule="auto"/>
        <w:ind w:left="180" w:right="211"/>
        <w:jc w:val="both"/>
      </w:pPr>
      <w:r w:rsidRPr="006C0EC6">
        <w:t>En este sentido, y de acuerdo con su consulta, una persona natural solo deberá estar inscrita en el registro mercantil, en cumplimiento de un deber comercial, cuando realice alguna actividad comercial profesional de manera habitual, y no por el hecho de participar en un proceso de contratación.</w:t>
      </w:r>
    </w:p>
    <w:p w14:paraId="286E47B1" w14:textId="77777777" w:rsidR="00AD5C97" w:rsidRPr="006C0EC6" w:rsidRDefault="00AD5C97">
      <w:pPr>
        <w:pStyle w:val="Textoindependiente"/>
        <w:spacing w:before="4"/>
        <w:rPr>
          <w:sz w:val="25"/>
        </w:rPr>
      </w:pPr>
    </w:p>
    <w:p w14:paraId="29C108E6" w14:textId="77777777" w:rsidR="00AD5C97" w:rsidRPr="006C0EC6" w:rsidRDefault="00BC13E9">
      <w:pPr>
        <w:pStyle w:val="Textoindependiente"/>
        <w:spacing w:line="276" w:lineRule="auto"/>
        <w:ind w:left="180" w:right="206"/>
        <w:jc w:val="both"/>
      </w:pPr>
      <w:r w:rsidRPr="006C0EC6">
        <w:t>Sin embargo, cuando se trata de licitaciones de obra para infraestructura de transporte, donde se aplican los Pliegos Tipo, debe observarse lo dispuesto en el numeral 3.3.1 del Documento Base, el cual señala que las personas naturales comerciantes deben aportar la cédula y el registro mercantil.</w:t>
      </w:r>
    </w:p>
    <w:p w14:paraId="6D7F30D9" w14:textId="77777777" w:rsidR="00AD5C97" w:rsidRPr="006C0EC6" w:rsidRDefault="00AD5C97">
      <w:pPr>
        <w:pStyle w:val="Textoindependiente"/>
        <w:spacing w:before="4"/>
        <w:rPr>
          <w:sz w:val="25"/>
        </w:rPr>
      </w:pPr>
    </w:p>
    <w:p w14:paraId="4381F81B" w14:textId="77777777" w:rsidR="00AD5C97" w:rsidRPr="006C0EC6" w:rsidRDefault="00BC13E9">
      <w:pPr>
        <w:pStyle w:val="Ttulo1"/>
        <w:numPr>
          <w:ilvl w:val="1"/>
          <w:numId w:val="8"/>
        </w:numPr>
        <w:tabs>
          <w:tab w:val="left" w:pos="890"/>
          <w:tab w:val="left" w:pos="891"/>
        </w:tabs>
        <w:spacing w:before="1"/>
        <w:ind w:hanging="721"/>
      </w:pPr>
      <w:r w:rsidRPr="006C0EC6">
        <w:t>Oferta con valor artificialmente</w:t>
      </w:r>
      <w:r w:rsidRPr="006C0EC6">
        <w:rPr>
          <w:spacing w:val="-4"/>
        </w:rPr>
        <w:t xml:space="preserve"> </w:t>
      </w:r>
      <w:r w:rsidRPr="006C0EC6">
        <w:t>bajo</w:t>
      </w:r>
    </w:p>
    <w:p w14:paraId="6C1806A3" w14:textId="77777777" w:rsidR="00AD5C97" w:rsidRPr="006C0EC6" w:rsidRDefault="00AD5C97">
      <w:pPr>
        <w:pStyle w:val="Textoindependiente"/>
        <w:rPr>
          <w:b/>
          <w:sz w:val="20"/>
        </w:rPr>
      </w:pPr>
    </w:p>
    <w:p w14:paraId="4EF4A1FA" w14:textId="77777777" w:rsidR="00AD5C97" w:rsidRPr="006C0EC6" w:rsidRDefault="00BC13E9">
      <w:pPr>
        <w:pStyle w:val="Textoindependiente"/>
        <w:spacing w:before="93" w:line="276" w:lineRule="auto"/>
        <w:ind w:left="180" w:right="205"/>
        <w:jc w:val="both"/>
      </w:pPr>
      <w:r w:rsidRPr="006C0EC6">
        <w:t>El artículo 2.2.1.1.2.2.4. del Decreto 1082 de 2015 establece que cuando el valor de una oferta parezca artificialmente bajo, la entidad debe requerir al oferente para que explique las razones que sustentan el valor ofrecido. Frente a estas explicaciones le corresponde al comité evaluador analizarlas y recomendar si debe rechazar la oferta o continuar con el análisis durante la evaluación de las ofertas.</w:t>
      </w:r>
    </w:p>
    <w:p w14:paraId="19F6D4C8" w14:textId="77777777" w:rsidR="00AD5C97" w:rsidRPr="006C0EC6" w:rsidRDefault="00AD5C97">
      <w:pPr>
        <w:pStyle w:val="Textoindependiente"/>
        <w:spacing w:before="2"/>
        <w:rPr>
          <w:sz w:val="25"/>
        </w:rPr>
      </w:pPr>
    </w:p>
    <w:p w14:paraId="2D4DB1C8" w14:textId="77777777" w:rsidR="00AD5C97" w:rsidRPr="006C0EC6" w:rsidRDefault="00BC13E9">
      <w:pPr>
        <w:pStyle w:val="Textoindependiente"/>
        <w:spacing w:line="276" w:lineRule="auto"/>
        <w:ind w:left="180" w:right="205"/>
        <w:jc w:val="both"/>
      </w:pPr>
      <w:r w:rsidRPr="006C0EC6">
        <w:t>El artículo citado también dispone que “cuando el valor de la oferta sobre la cual la Entidad Estatal tuvo dudas sobre su valor, responde a circunstancias objetivas del oferente y de su oferta que no ponen en riesgo el cumplimiento del contrato si este es adjudicado a tal oferta, la Entidad Estatal debe continuar con su análisis en el proceso de evaluación de ofertas”.</w:t>
      </w:r>
    </w:p>
    <w:p w14:paraId="18AA172E" w14:textId="77777777" w:rsidR="00AD5C97" w:rsidRPr="006C0EC6" w:rsidRDefault="00AD5C97">
      <w:pPr>
        <w:pStyle w:val="Textoindependiente"/>
        <w:spacing w:before="4"/>
        <w:rPr>
          <w:sz w:val="25"/>
        </w:rPr>
      </w:pPr>
    </w:p>
    <w:p w14:paraId="50480B2A" w14:textId="77777777" w:rsidR="00AD5C97" w:rsidRPr="006C0EC6" w:rsidRDefault="00BC13E9">
      <w:pPr>
        <w:pStyle w:val="Textoindependiente"/>
        <w:spacing w:line="276" w:lineRule="auto"/>
        <w:ind w:left="180" w:right="206"/>
        <w:jc w:val="both"/>
      </w:pPr>
      <w:r w:rsidRPr="006C0EC6">
        <w:t>La Agencia Nacional de Contratación Pública – Colombia Compra Eficiente expidió la “Guía para el manejo de ofertas artificialmente bajas en Procesos de Contratación”, en la cual se incluyen recomendaciones y pautas para el manejo de aquellas ofertas que cumplen con las características para ser consideradas artificialmente</w:t>
      </w:r>
      <w:r w:rsidRPr="006C0EC6">
        <w:rPr>
          <w:spacing w:val="-16"/>
        </w:rPr>
        <w:t xml:space="preserve"> </w:t>
      </w:r>
      <w:r w:rsidRPr="006C0EC6">
        <w:t>bajas.</w:t>
      </w:r>
    </w:p>
    <w:p w14:paraId="76E120B9" w14:textId="77777777" w:rsidR="00AD5C97" w:rsidRPr="006C0EC6" w:rsidRDefault="00AD5C97">
      <w:pPr>
        <w:pStyle w:val="Textoindependiente"/>
        <w:spacing w:before="3"/>
        <w:rPr>
          <w:sz w:val="25"/>
        </w:rPr>
      </w:pPr>
    </w:p>
    <w:p w14:paraId="35B14A93" w14:textId="77777777" w:rsidR="00AD5C97" w:rsidRPr="006C0EC6" w:rsidRDefault="00BC13E9">
      <w:pPr>
        <w:pStyle w:val="Textoindependiente"/>
        <w:spacing w:before="1" w:line="276" w:lineRule="auto"/>
        <w:ind w:left="180" w:right="206"/>
        <w:jc w:val="both"/>
      </w:pPr>
      <w:r w:rsidRPr="006C0EC6">
        <w:t>Esta guía define que una oferta es artificialmente baja cuando “a criterio de la Entidad Estatal, el precio no parece suficiente para garantizar una correcta ejecución del contrato, de acuerdo a la información recogida durante la etapa de planeación y particularmente durante el Estudio del Sector”. Para determinar que una propuesta es artificialmente bajo se puede acudir a la comparación absoluta o la comparación relativa. La primera, se refiere a contrastar el valor de cada oferta con el costo estimado de la provisión del bien o servicio de acuerdo con en el Estudio del Sector elaborado por la Entidad Estatal, en este evento se recomienda que cuando la entidad reciba menos de 5 ofertas debe solicitar aclaración a los proponentes cuyas ofertas sean menores en un 20%, o un mayor porcentaje, al coste estimado por la entidad estatal. La segunda, esto es, en la comparación relativa, la entidad debe contrastar cada oferta con las demás ofertas</w:t>
      </w:r>
      <w:r w:rsidRPr="006C0EC6">
        <w:rPr>
          <w:spacing w:val="-9"/>
        </w:rPr>
        <w:t xml:space="preserve"> </w:t>
      </w:r>
      <w:r w:rsidRPr="006C0EC6">
        <w:t>presentadas.</w:t>
      </w:r>
    </w:p>
    <w:p w14:paraId="6D86BC7F" w14:textId="77777777" w:rsidR="00AD5C97" w:rsidRPr="006C0EC6" w:rsidRDefault="00AD5C97">
      <w:pPr>
        <w:pStyle w:val="Textoindependiente"/>
        <w:spacing w:before="5"/>
        <w:rPr>
          <w:sz w:val="25"/>
        </w:rPr>
      </w:pPr>
    </w:p>
    <w:p w14:paraId="64FA3ED5" w14:textId="77777777" w:rsidR="00AD5C97" w:rsidRPr="006C0EC6" w:rsidRDefault="00BC13E9">
      <w:pPr>
        <w:pStyle w:val="Textoindependiente"/>
        <w:spacing w:line="276" w:lineRule="auto"/>
        <w:ind w:left="180" w:right="208"/>
        <w:jc w:val="both"/>
      </w:pPr>
      <w:r w:rsidRPr="006C0EC6">
        <w:t>La Agencia Nacional de Contratación Pública – Colombia Compra Eficiente sugiere una metodología que las entidades pueden aplicar para identificar ofertas con precios artificialmente bajos, en procesos en los que hay más de 5 ofertas. Esta metodología sugiere que la entidad puede:</w:t>
      </w:r>
    </w:p>
    <w:p w14:paraId="6F496464" w14:textId="77777777" w:rsidR="00AD5C97" w:rsidRPr="006C0EC6" w:rsidRDefault="00AD5C97">
      <w:pPr>
        <w:pStyle w:val="Textoindependiente"/>
        <w:spacing w:before="3"/>
        <w:rPr>
          <w:sz w:val="25"/>
        </w:rPr>
      </w:pPr>
    </w:p>
    <w:p w14:paraId="6D9D498F" w14:textId="77777777" w:rsidR="00AD5C97" w:rsidRPr="006C0EC6" w:rsidRDefault="00BC13E9">
      <w:pPr>
        <w:pStyle w:val="Prrafodelista"/>
        <w:numPr>
          <w:ilvl w:val="0"/>
          <w:numId w:val="3"/>
        </w:numPr>
        <w:tabs>
          <w:tab w:val="left" w:pos="1251"/>
        </w:tabs>
        <w:rPr>
          <w:sz w:val="20"/>
        </w:rPr>
      </w:pPr>
      <w:r w:rsidRPr="006C0EC6">
        <w:rPr>
          <w:sz w:val="20"/>
        </w:rPr>
        <w:t>Tomar el conjunto de ofertas a</w:t>
      </w:r>
      <w:r w:rsidRPr="006C0EC6">
        <w:rPr>
          <w:spacing w:val="-4"/>
          <w:sz w:val="20"/>
        </w:rPr>
        <w:t xml:space="preserve"> </w:t>
      </w:r>
      <w:r w:rsidRPr="006C0EC6">
        <w:rPr>
          <w:sz w:val="20"/>
        </w:rPr>
        <w:t>evaluar.</w:t>
      </w:r>
    </w:p>
    <w:p w14:paraId="461BEF41" w14:textId="77777777" w:rsidR="00AD5C97" w:rsidRPr="006C0EC6" w:rsidRDefault="00BC13E9">
      <w:pPr>
        <w:pStyle w:val="Prrafodelista"/>
        <w:numPr>
          <w:ilvl w:val="0"/>
          <w:numId w:val="3"/>
        </w:numPr>
        <w:tabs>
          <w:tab w:val="left" w:pos="1266"/>
        </w:tabs>
        <w:ind w:left="1030" w:right="919" w:firstLine="0"/>
        <w:rPr>
          <w:sz w:val="20"/>
        </w:rPr>
      </w:pPr>
      <w:r w:rsidRPr="006C0EC6">
        <w:rPr>
          <w:sz w:val="20"/>
        </w:rPr>
        <w:t>Calcular la mediana, o dependiendo de la dispersión de los datos el promedio, del valor de cada oferta o de cada ítem dentro de la</w:t>
      </w:r>
      <w:r w:rsidRPr="006C0EC6">
        <w:rPr>
          <w:spacing w:val="-13"/>
          <w:sz w:val="20"/>
        </w:rPr>
        <w:t xml:space="preserve"> </w:t>
      </w:r>
      <w:r w:rsidRPr="006C0EC6">
        <w:rPr>
          <w:sz w:val="20"/>
        </w:rPr>
        <w:t>oferta.</w:t>
      </w:r>
    </w:p>
    <w:p w14:paraId="38B677A4" w14:textId="77777777" w:rsidR="00AD5C97" w:rsidRPr="006C0EC6" w:rsidRDefault="00BC13E9">
      <w:pPr>
        <w:pStyle w:val="Prrafodelista"/>
        <w:numPr>
          <w:ilvl w:val="0"/>
          <w:numId w:val="3"/>
        </w:numPr>
        <w:tabs>
          <w:tab w:val="left" w:pos="1251"/>
        </w:tabs>
        <w:rPr>
          <w:sz w:val="20"/>
        </w:rPr>
      </w:pPr>
      <w:r w:rsidRPr="006C0EC6">
        <w:rPr>
          <w:sz w:val="20"/>
        </w:rPr>
        <w:t>Calcular la desviación estándar del</w:t>
      </w:r>
      <w:r w:rsidRPr="006C0EC6">
        <w:rPr>
          <w:spacing w:val="-3"/>
          <w:sz w:val="20"/>
        </w:rPr>
        <w:t xml:space="preserve"> </w:t>
      </w:r>
      <w:r w:rsidRPr="006C0EC6">
        <w:rPr>
          <w:sz w:val="20"/>
        </w:rPr>
        <w:t>conjunto.</w:t>
      </w:r>
    </w:p>
    <w:p w14:paraId="4B189F0D" w14:textId="77777777" w:rsidR="00AD5C97" w:rsidRPr="006C0EC6" w:rsidRDefault="00BC13E9">
      <w:pPr>
        <w:pStyle w:val="Prrafodelista"/>
        <w:numPr>
          <w:ilvl w:val="0"/>
          <w:numId w:val="3"/>
        </w:numPr>
        <w:tabs>
          <w:tab w:val="left" w:pos="1251"/>
        </w:tabs>
        <w:rPr>
          <w:sz w:val="20"/>
        </w:rPr>
      </w:pPr>
      <w:r w:rsidRPr="006C0EC6">
        <w:rPr>
          <w:sz w:val="20"/>
        </w:rPr>
        <w:t>Determinar el valor mínimo</w:t>
      </w:r>
      <w:r w:rsidRPr="006C0EC6">
        <w:rPr>
          <w:spacing w:val="-4"/>
          <w:sz w:val="20"/>
        </w:rPr>
        <w:t xml:space="preserve"> </w:t>
      </w:r>
      <w:r w:rsidRPr="006C0EC6">
        <w:rPr>
          <w:sz w:val="20"/>
        </w:rPr>
        <w:t>aceptable.</w:t>
      </w:r>
    </w:p>
    <w:p w14:paraId="71124E4B" w14:textId="77777777" w:rsidR="00DF5748" w:rsidRDefault="00DF5748">
      <w:pPr>
        <w:pStyle w:val="Textoindependiente"/>
        <w:spacing w:before="93" w:line="276" w:lineRule="auto"/>
        <w:ind w:left="180" w:right="203"/>
        <w:jc w:val="both"/>
      </w:pPr>
    </w:p>
    <w:p w14:paraId="698FB1ED" w14:textId="7F837451" w:rsidR="00AD5C97" w:rsidRPr="006C0EC6" w:rsidRDefault="00BC13E9">
      <w:pPr>
        <w:pStyle w:val="Textoindependiente"/>
        <w:spacing w:before="93" w:line="276" w:lineRule="auto"/>
        <w:ind w:left="180" w:right="203"/>
        <w:jc w:val="both"/>
      </w:pPr>
      <w:r w:rsidRPr="006C0EC6">
        <w:t>Para determinar el valor mínimo aceptable, la entidad debe calcular la mediana ordenando los valores de mayor a menor y tomar el valor de la oferta en la mitad de la lista. Si el número de ofertas es par, debe tomar los valores de la mitad, sumarlos y dividirlo en dos. Posteriormente, deberá calcular la desviación estándar utilizando la siguiente fórmula:</w:t>
      </w:r>
    </w:p>
    <w:p w14:paraId="48A9C8C2" w14:textId="77777777" w:rsidR="00AD5C97" w:rsidRPr="006C0EC6" w:rsidRDefault="00BC13E9">
      <w:pPr>
        <w:pStyle w:val="Textoindependiente"/>
        <w:spacing w:before="1"/>
        <w:rPr>
          <w:sz w:val="26"/>
        </w:rPr>
      </w:pPr>
      <w:r w:rsidRPr="006C0EC6">
        <w:rPr>
          <w:noProof/>
          <w:lang w:val="en-US"/>
        </w:rPr>
        <w:lastRenderedPageBreak/>
        <w:drawing>
          <wp:anchor distT="0" distB="0" distL="0" distR="0" simplePos="0" relativeHeight="12" behindDoc="0" locked="0" layoutInCell="1" allowOverlap="1" wp14:anchorId="0CDC5CD6" wp14:editId="7CE22587">
            <wp:simplePos x="0" y="0"/>
            <wp:positionH relativeFrom="page">
              <wp:posOffset>1678437</wp:posOffset>
            </wp:positionH>
            <wp:positionV relativeFrom="paragraph">
              <wp:posOffset>215521</wp:posOffset>
            </wp:positionV>
            <wp:extent cx="4410658" cy="617220"/>
            <wp:effectExtent l="0" t="0" r="0" b="0"/>
            <wp:wrapTopAndBottom/>
            <wp:docPr id="7"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4" cstate="print"/>
                    <a:stretch>
                      <a:fillRect/>
                    </a:stretch>
                  </pic:blipFill>
                  <pic:spPr>
                    <a:xfrm>
                      <a:off x="0" y="0"/>
                      <a:ext cx="4410658" cy="617220"/>
                    </a:xfrm>
                    <a:prstGeom prst="rect">
                      <a:avLst/>
                    </a:prstGeom>
                  </pic:spPr>
                </pic:pic>
              </a:graphicData>
            </a:graphic>
          </wp:anchor>
        </w:drawing>
      </w:r>
    </w:p>
    <w:p w14:paraId="34879763" w14:textId="77777777" w:rsidR="00AD5C97" w:rsidRPr="006C0EC6" w:rsidRDefault="00AD5C97">
      <w:pPr>
        <w:pStyle w:val="Textoindependiente"/>
        <w:spacing w:before="5"/>
        <w:rPr>
          <w:sz w:val="31"/>
        </w:rPr>
      </w:pPr>
    </w:p>
    <w:p w14:paraId="50C793CB" w14:textId="77777777" w:rsidR="00AD5C97" w:rsidRPr="006C0EC6" w:rsidRDefault="00BC13E9">
      <w:pPr>
        <w:pStyle w:val="Textoindependiente"/>
        <w:spacing w:line="276" w:lineRule="auto"/>
        <w:ind w:left="180" w:right="206"/>
        <w:jc w:val="both"/>
      </w:pPr>
      <w:r w:rsidRPr="006C0EC6">
        <w:t>Por su parte, el valor mínimo aceptable es igual a la mediana menos una (1) desviación estándar. De acuerdo con la “guía”, este valor mínimo aceptable puede ser diferente al obtenido con la anterior metodología, dependiendo de la información y los datos con los que cuente la entidad estatal.</w:t>
      </w:r>
    </w:p>
    <w:p w14:paraId="137DC2FE" w14:textId="77777777" w:rsidR="00AD5C97" w:rsidRPr="006C0EC6" w:rsidRDefault="00AD5C97">
      <w:pPr>
        <w:pStyle w:val="Textoindependiente"/>
        <w:spacing w:before="4"/>
        <w:rPr>
          <w:sz w:val="25"/>
        </w:rPr>
      </w:pPr>
    </w:p>
    <w:p w14:paraId="5AAE417F" w14:textId="77777777" w:rsidR="00AD5C97" w:rsidRPr="006C0EC6" w:rsidRDefault="00BC13E9">
      <w:pPr>
        <w:pStyle w:val="Textoindependiente"/>
        <w:spacing w:line="276" w:lineRule="auto"/>
        <w:ind w:left="180" w:right="209"/>
        <w:jc w:val="both"/>
      </w:pPr>
      <w:r w:rsidRPr="006C0EC6">
        <w:t>Identificadas las ofertas con valores que parecen artificialmente de acuerdo con la anterior metodología, la entidad debe solicitar aclaración a los proponentes, analizar las explicaciones obtenidos para determinar si estos son suficientes para la ejecución del contrato y finalmente, debe decidir “si continúa con la evaluación de la oferta porque la explicación demuestra la habilidad del proponente para cumplir adecuadamente con el contrato con los precios ofrecidos o rechazar la oferta si la explicación no sustenta los valores ofrecidos”.</w:t>
      </w:r>
    </w:p>
    <w:p w14:paraId="6A1379F4" w14:textId="77777777" w:rsidR="00AD5C97" w:rsidRPr="006C0EC6" w:rsidRDefault="00AD5C97">
      <w:pPr>
        <w:pStyle w:val="Textoindependiente"/>
        <w:spacing w:before="4"/>
        <w:rPr>
          <w:sz w:val="25"/>
        </w:rPr>
      </w:pPr>
    </w:p>
    <w:p w14:paraId="083A7729" w14:textId="77777777" w:rsidR="00AD5C97" w:rsidRPr="006C0EC6" w:rsidRDefault="00BC13E9">
      <w:pPr>
        <w:pStyle w:val="Textoindependiente"/>
        <w:spacing w:line="276" w:lineRule="auto"/>
        <w:ind w:left="180" w:right="204"/>
        <w:jc w:val="both"/>
      </w:pPr>
      <w:r w:rsidRPr="006C0EC6">
        <w:t>Por su parte, el numeral 4.1.1 del “Documento Base” establece las reglas aplicables cuando existe un precio que parece</w:t>
      </w:r>
      <w:r w:rsidRPr="006C0EC6">
        <w:rPr>
          <w:spacing w:val="-9"/>
        </w:rPr>
        <w:t xml:space="preserve"> </w:t>
      </w:r>
      <w:r w:rsidRPr="006C0EC6">
        <w:t>artificialmente:</w:t>
      </w:r>
    </w:p>
    <w:p w14:paraId="45FA1A7D" w14:textId="77777777" w:rsidR="00AD5C97" w:rsidRPr="006C0EC6" w:rsidRDefault="00AD5C97">
      <w:pPr>
        <w:pStyle w:val="Textoindependiente"/>
        <w:spacing w:before="2"/>
        <w:rPr>
          <w:sz w:val="25"/>
        </w:rPr>
      </w:pPr>
    </w:p>
    <w:p w14:paraId="26D708E6" w14:textId="77777777" w:rsidR="00AD5C97" w:rsidRPr="006C0EC6" w:rsidRDefault="00BC13E9">
      <w:pPr>
        <w:ind w:left="1030"/>
        <w:rPr>
          <w:b/>
          <w:sz w:val="20"/>
        </w:rPr>
      </w:pPr>
      <w:r w:rsidRPr="006C0EC6">
        <w:rPr>
          <w:b/>
          <w:sz w:val="20"/>
        </w:rPr>
        <w:t>4.1.1. PRECIO ARTIFICIALMENTE BAJO</w:t>
      </w:r>
    </w:p>
    <w:p w14:paraId="227D3114" w14:textId="77777777" w:rsidR="00AD5C97" w:rsidRPr="006C0EC6" w:rsidRDefault="00AD5C97">
      <w:pPr>
        <w:pStyle w:val="Textoindependiente"/>
        <w:spacing w:before="3"/>
        <w:rPr>
          <w:b/>
          <w:sz w:val="20"/>
        </w:rPr>
      </w:pPr>
    </w:p>
    <w:p w14:paraId="37D097B8" w14:textId="77777777" w:rsidR="00AD5C97" w:rsidRPr="006C0EC6" w:rsidRDefault="00BC13E9">
      <w:pPr>
        <w:ind w:left="1030" w:right="920"/>
        <w:jc w:val="both"/>
        <w:rPr>
          <w:sz w:val="20"/>
        </w:rPr>
      </w:pPr>
      <w:r w:rsidRPr="006C0EC6">
        <w:rPr>
          <w:sz w:val="20"/>
        </w:rPr>
        <w:t>En el evento en el que el precio de una oferta no parezca suficiente para garantizar una correcta ejecución del contrato, de acuerdo con la información recogida durante la etapa de planeación y particularmente durante el Estudio del Sector, la Entidad deberá aplicar el procedimiento descrito en el artículo 2.2.1.1.2.2.4. del Decreto 1082 de 2015 y los parámetros definidos en la Guía para el manejo de ofertas artificialmente bajas en Procesos de Contratación de Colombia Compra</w:t>
      </w:r>
      <w:r w:rsidRPr="006C0EC6">
        <w:rPr>
          <w:spacing w:val="-4"/>
          <w:sz w:val="20"/>
        </w:rPr>
        <w:t xml:space="preserve"> </w:t>
      </w:r>
      <w:r w:rsidRPr="006C0EC6">
        <w:rPr>
          <w:sz w:val="20"/>
        </w:rPr>
        <w:t>Eficiente.</w:t>
      </w:r>
    </w:p>
    <w:p w14:paraId="5859444F" w14:textId="77777777" w:rsidR="00AD5C97" w:rsidRPr="006C0EC6" w:rsidRDefault="00AD5C97">
      <w:pPr>
        <w:pStyle w:val="Textoindependiente"/>
        <w:spacing w:before="1"/>
        <w:rPr>
          <w:sz w:val="25"/>
        </w:rPr>
      </w:pPr>
    </w:p>
    <w:p w14:paraId="220A6B33" w14:textId="665291A6" w:rsidR="00AD5C97" w:rsidRPr="006C0EC6" w:rsidRDefault="00BC13E9" w:rsidP="00DF5748">
      <w:pPr>
        <w:pStyle w:val="Textoindependiente"/>
        <w:spacing w:line="276" w:lineRule="auto"/>
        <w:ind w:left="180" w:right="213"/>
        <w:jc w:val="both"/>
        <w:rPr>
          <w:sz w:val="25"/>
        </w:rPr>
      </w:pPr>
      <w:r w:rsidRPr="006C0EC6">
        <w:t>El “Documento Base” de los Documentos Tipo integra el Decreto 1082 de 2015 y la “Guía para el manejo de ofertas artificialmente bajas en Procesos de Contratación”. Por lo tanto, deberá aplicar los instrumentos enunciados y valorar si se configuran los presupuestos para que el valor de una oferta sea considerado artificialmente</w:t>
      </w:r>
      <w:r w:rsidRPr="006C0EC6">
        <w:rPr>
          <w:spacing w:val="-15"/>
        </w:rPr>
        <w:t xml:space="preserve"> </w:t>
      </w:r>
      <w:r w:rsidRPr="006C0EC6">
        <w:t>bajo.</w:t>
      </w:r>
    </w:p>
    <w:p w14:paraId="6B99615F" w14:textId="59F930EC" w:rsidR="00FE78CC" w:rsidRDefault="00FE78CC">
      <w:pPr>
        <w:pStyle w:val="Textoindependiente"/>
        <w:spacing w:before="4"/>
        <w:rPr>
          <w:sz w:val="25"/>
        </w:rPr>
      </w:pPr>
    </w:p>
    <w:p w14:paraId="47D6BEF3" w14:textId="77777777" w:rsidR="00DF5748" w:rsidRPr="006C0EC6" w:rsidRDefault="00DF5748">
      <w:pPr>
        <w:pStyle w:val="Textoindependiente"/>
        <w:spacing w:before="4"/>
        <w:rPr>
          <w:sz w:val="25"/>
        </w:rPr>
      </w:pPr>
    </w:p>
    <w:p w14:paraId="2B336BC8" w14:textId="26B7A987" w:rsidR="00FE78CC" w:rsidRPr="006C0EC6" w:rsidRDefault="00BC13E9" w:rsidP="00E33729">
      <w:pPr>
        <w:pStyle w:val="Ttulo1"/>
        <w:numPr>
          <w:ilvl w:val="0"/>
          <w:numId w:val="2"/>
        </w:numPr>
        <w:tabs>
          <w:tab w:val="left" w:pos="466"/>
        </w:tabs>
        <w:ind w:hanging="286"/>
      </w:pPr>
      <w:r w:rsidRPr="006C0EC6">
        <w:t>Respuesta</w:t>
      </w:r>
    </w:p>
    <w:p w14:paraId="55166F5B" w14:textId="77777777" w:rsidR="00FE78CC" w:rsidRPr="006C0EC6" w:rsidRDefault="00FE78CC"/>
    <w:p w14:paraId="60C2F643" w14:textId="77777777" w:rsidR="00FE78CC" w:rsidRPr="006C0EC6" w:rsidRDefault="00FE78CC" w:rsidP="00FE78CC">
      <w:pPr>
        <w:pStyle w:val="Prrafodelista"/>
        <w:numPr>
          <w:ilvl w:val="1"/>
          <w:numId w:val="2"/>
        </w:numPr>
        <w:tabs>
          <w:tab w:val="left" w:pos="616"/>
        </w:tabs>
        <w:spacing w:before="93"/>
        <w:ind w:right="202" w:firstLine="0"/>
      </w:pPr>
      <w:r w:rsidRPr="006C0EC6">
        <w:t xml:space="preserve">El artículo 50 de la Ley 789 de 2002 establece que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 entidad”, esta certificación para el caso de los Documentos Tipo, se realiza a través del “Formato </w:t>
      </w:r>
      <w:r w:rsidRPr="006C0EC6">
        <w:rPr>
          <w:spacing w:val="4"/>
        </w:rPr>
        <w:t xml:space="preserve">6- </w:t>
      </w:r>
      <w:r w:rsidRPr="006C0EC6">
        <w:t xml:space="preserve">Pagos </w:t>
      </w:r>
      <w:r w:rsidRPr="006C0EC6">
        <w:lastRenderedPageBreak/>
        <w:t>de seguridad Social y aportes legales”. En consecuencia, si el representante legal de la persona jurídica es empleado de esta, la acreditación de sus aportes se realiza en la forma</w:t>
      </w:r>
      <w:r w:rsidRPr="006C0EC6">
        <w:rPr>
          <w:spacing w:val="-2"/>
        </w:rPr>
        <w:t xml:space="preserve"> </w:t>
      </w:r>
      <w:r w:rsidRPr="006C0EC6">
        <w:t>enunciada.</w:t>
      </w:r>
    </w:p>
    <w:p w14:paraId="326E4EEB" w14:textId="77777777" w:rsidR="00FE78CC" w:rsidRPr="006C0EC6" w:rsidRDefault="00FE78CC" w:rsidP="00FE78CC">
      <w:pPr>
        <w:pStyle w:val="Textoindependiente"/>
        <w:spacing w:before="9"/>
        <w:rPr>
          <w:sz w:val="21"/>
        </w:rPr>
      </w:pPr>
    </w:p>
    <w:p w14:paraId="4CD65A66" w14:textId="77777777" w:rsidR="00FE78CC" w:rsidRPr="006C0EC6" w:rsidRDefault="00FE78CC" w:rsidP="00FE78CC">
      <w:pPr>
        <w:pStyle w:val="Textoindependiente"/>
        <w:spacing w:before="1"/>
        <w:ind w:left="180" w:right="207"/>
        <w:jc w:val="both"/>
      </w:pPr>
      <w:r w:rsidRPr="006C0EC6">
        <w:t>Ahora bien, si el representante legal no es empleado de la persona jurídica, las normas que regulan los aportes al sistema de seguridad social en la contratación pública, no exigen que se deba acreditar sus aportes, sino que requiere únicamente de los empleados de la persona</w:t>
      </w:r>
      <w:r w:rsidRPr="006C0EC6">
        <w:rPr>
          <w:spacing w:val="-5"/>
        </w:rPr>
        <w:t xml:space="preserve"> </w:t>
      </w:r>
      <w:r w:rsidRPr="006C0EC6">
        <w:t>jurídica.</w:t>
      </w:r>
    </w:p>
    <w:p w14:paraId="5656CA67" w14:textId="77777777" w:rsidR="00FE78CC" w:rsidRPr="006C0EC6" w:rsidRDefault="00FE78CC" w:rsidP="00FE78CC">
      <w:pPr>
        <w:pStyle w:val="Textoindependiente"/>
        <w:spacing w:before="5"/>
        <w:rPr>
          <w:sz w:val="25"/>
        </w:rPr>
      </w:pPr>
    </w:p>
    <w:p w14:paraId="5A9FB8F8" w14:textId="77777777" w:rsidR="00FE78CC" w:rsidRPr="006C0EC6" w:rsidRDefault="00FE78CC" w:rsidP="00FE78CC">
      <w:pPr>
        <w:pStyle w:val="Textoindependiente"/>
        <w:spacing w:line="276" w:lineRule="auto"/>
        <w:ind w:left="180" w:right="211"/>
        <w:jc w:val="both"/>
      </w:pPr>
      <w:r w:rsidRPr="006C0EC6">
        <w:t>Tenga en cuenta que no existe disposición normativa que regule la forma de vinculación del representante legal con la persona jurídica que representa, por lo tanto, las entidades no pueden exigir que sea</w:t>
      </w:r>
      <w:r w:rsidRPr="006C0EC6">
        <w:rPr>
          <w:spacing w:val="-6"/>
        </w:rPr>
        <w:t xml:space="preserve"> </w:t>
      </w:r>
      <w:r w:rsidRPr="006C0EC6">
        <w:t>empleado.</w:t>
      </w:r>
    </w:p>
    <w:p w14:paraId="3C87DCFB" w14:textId="77777777" w:rsidR="00FE78CC" w:rsidRPr="006C0EC6" w:rsidRDefault="00FE78CC" w:rsidP="00FE78CC">
      <w:pPr>
        <w:pStyle w:val="Textoindependiente"/>
        <w:spacing w:before="2"/>
        <w:rPr>
          <w:sz w:val="25"/>
        </w:rPr>
      </w:pPr>
    </w:p>
    <w:p w14:paraId="43356FB0" w14:textId="77777777" w:rsidR="00FE78CC" w:rsidRPr="006C0EC6" w:rsidRDefault="00FE78CC" w:rsidP="00FE78CC">
      <w:pPr>
        <w:pStyle w:val="Textoindependiente"/>
        <w:spacing w:before="1" w:line="276" w:lineRule="auto"/>
        <w:ind w:left="180" w:right="209"/>
        <w:jc w:val="both"/>
      </w:pPr>
      <w:r w:rsidRPr="006C0EC6">
        <w:t>Por lo anterior, bajo los supuestos de su consulta, la entidad no puede rechazar una propuesta porque el representante legal no sea empleado de la persona jurídica y realice sus aportes de manera independiente.</w:t>
      </w:r>
    </w:p>
    <w:p w14:paraId="740A78FE" w14:textId="77777777" w:rsidR="00FE78CC" w:rsidRPr="006C0EC6" w:rsidRDefault="00FE78CC" w:rsidP="00FE78CC">
      <w:pPr>
        <w:pStyle w:val="Textoindependiente"/>
        <w:spacing w:before="5"/>
        <w:rPr>
          <w:sz w:val="25"/>
        </w:rPr>
      </w:pPr>
    </w:p>
    <w:p w14:paraId="50D0A21B" w14:textId="77777777" w:rsidR="00FE78CC" w:rsidRPr="006C0EC6" w:rsidRDefault="00FE78CC" w:rsidP="00FE78CC">
      <w:pPr>
        <w:pStyle w:val="Prrafodelista"/>
        <w:numPr>
          <w:ilvl w:val="1"/>
          <w:numId w:val="2"/>
        </w:numPr>
        <w:tabs>
          <w:tab w:val="left" w:pos="616"/>
        </w:tabs>
        <w:spacing w:line="276" w:lineRule="auto"/>
        <w:ind w:right="206" w:firstLine="0"/>
      </w:pPr>
      <w:r w:rsidRPr="006C0EC6">
        <w:t>La entidad estatal al definir la experiencia exigible en el procedimiento de contratación y una vez identificada la experiencia general y la experiencia específica, cuando esta se deba exigir, debe incluir la totalidad de actividades válidas para la acreditación de experiencia definidas en la Matriz 1 – Experiencia, sin que sea viable exigir actividades o cantidades adicionales o modificar, suprimir, adicionarlas. Es decir, la experiencia se debe solicitar con la descripción completa que corresponda a la experiencia general y especifica definida en la Matriz 1 –</w:t>
      </w:r>
      <w:r w:rsidRPr="006C0EC6">
        <w:rPr>
          <w:spacing w:val="-7"/>
        </w:rPr>
        <w:t xml:space="preserve"> </w:t>
      </w:r>
      <w:r w:rsidRPr="006C0EC6">
        <w:t>Experiencia.</w:t>
      </w:r>
    </w:p>
    <w:p w14:paraId="6EE7CD22" w14:textId="77777777" w:rsidR="00FE78CC" w:rsidRPr="006C0EC6" w:rsidRDefault="00FE78CC" w:rsidP="00FE78CC">
      <w:pPr>
        <w:pStyle w:val="Textoindependiente"/>
        <w:spacing w:before="3"/>
        <w:rPr>
          <w:sz w:val="25"/>
        </w:rPr>
      </w:pPr>
    </w:p>
    <w:p w14:paraId="4DB57DB3" w14:textId="77777777" w:rsidR="00FE78CC" w:rsidRPr="006C0EC6" w:rsidRDefault="00FE78CC" w:rsidP="00FE78CC">
      <w:pPr>
        <w:pStyle w:val="Textoindependiente"/>
        <w:spacing w:line="276" w:lineRule="auto"/>
        <w:ind w:left="180" w:right="205"/>
        <w:jc w:val="both"/>
      </w:pPr>
      <w:r w:rsidRPr="006C0EC6">
        <w:t>La disyuntiva “y/o” que aparece en algunas experiencias de la “Matriz 1- Experiencia”, da la posibilidad al proponente que aporte aquellos contratos que cumplan con una u otra opción de las allí definidas.</w:t>
      </w:r>
    </w:p>
    <w:p w14:paraId="46A408AE" w14:textId="77777777" w:rsidR="00FE78CC" w:rsidRPr="006C0EC6" w:rsidRDefault="00FE78CC" w:rsidP="00FE78CC">
      <w:pPr>
        <w:pStyle w:val="Textoindependiente"/>
        <w:spacing w:before="3"/>
        <w:rPr>
          <w:sz w:val="25"/>
        </w:rPr>
      </w:pPr>
    </w:p>
    <w:p w14:paraId="1DEDCE16" w14:textId="77777777" w:rsidR="00FE78CC" w:rsidRPr="006C0EC6" w:rsidRDefault="00FE78CC" w:rsidP="00FE78CC">
      <w:pPr>
        <w:pStyle w:val="Prrafodelista"/>
        <w:numPr>
          <w:ilvl w:val="1"/>
          <w:numId w:val="2"/>
        </w:numPr>
        <w:tabs>
          <w:tab w:val="left" w:pos="641"/>
        </w:tabs>
        <w:spacing w:line="276" w:lineRule="auto"/>
        <w:ind w:right="208" w:firstLine="0"/>
      </w:pPr>
      <w:r w:rsidRPr="006C0EC6">
        <w:t>Las reglas de la corrección aritmética definidas en el numeral 4.1.2 del Documento Base, buscan que la entidad conozca e identifique el valor real ofertado por el proponente a través de la revisión de las operaciones aritméticas y del redondeo de cifras decimales presentes en el ofrecimiento</w:t>
      </w:r>
      <w:r w:rsidRPr="006C0EC6">
        <w:rPr>
          <w:spacing w:val="-4"/>
        </w:rPr>
        <w:t xml:space="preserve"> </w:t>
      </w:r>
      <w:r w:rsidRPr="006C0EC6">
        <w:t>económico.</w:t>
      </w:r>
    </w:p>
    <w:p w14:paraId="3D4269FF" w14:textId="77777777" w:rsidR="00FE78CC" w:rsidRPr="006C0EC6" w:rsidRDefault="00FE78CC" w:rsidP="00FE78CC">
      <w:pPr>
        <w:pStyle w:val="Textoindependiente"/>
        <w:spacing w:before="5"/>
        <w:rPr>
          <w:sz w:val="16"/>
        </w:rPr>
      </w:pPr>
    </w:p>
    <w:p w14:paraId="37E93BFF" w14:textId="77777777" w:rsidR="00FE78CC" w:rsidRPr="006C0EC6" w:rsidRDefault="00FE78CC" w:rsidP="00FE78CC">
      <w:pPr>
        <w:pStyle w:val="Textoindependiente"/>
        <w:spacing w:before="93" w:line="276" w:lineRule="auto"/>
        <w:ind w:left="180" w:right="211"/>
        <w:jc w:val="both"/>
      </w:pPr>
      <w:r w:rsidRPr="006C0EC6">
        <w:t>No obstante, lo anterior, cuando la entidad defina un valor en el presupuesto oficial que incluya decimales y este sea el valor ofertado por el proponente, la entidad únicamente deberá verificar las operaciones aritméticas ofertadas para corroborar que el valor de la propuesta se ajusta al definido en el presupuesto oficial.</w:t>
      </w:r>
    </w:p>
    <w:p w14:paraId="09AF6FBF" w14:textId="77777777" w:rsidR="00FE78CC" w:rsidRPr="006C0EC6" w:rsidRDefault="00FE78CC" w:rsidP="00FE78CC">
      <w:pPr>
        <w:pStyle w:val="Textoindependiente"/>
        <w:spacing w:before="4"/>
        <w:rPr>
          <w:sz w:val="25"/>
        </w:rPr>
      </w:pPr>
    </w:p>
    <w:p w14:paraId="2A5E9827" w14:textId="0379CC51" w:rsidR="00FE78CC" w:rsidRPr="006C0EC6" w:rsidRDefault="00FE78CC" w:rsidP="00FE78CC">
      <w:pPr>
        <w:pStyle w:val="Prrafodelista"/>
        <w:numPr>
          <w:ilvl w:val="1"/>
          <w:numId w:val="2"/>
        </w:numPr>
        <w:tabs>
          <w:tab w:val="left" w:pos="648"/>
        </w:tabs>
        <w:spacing w:line="276" w:lineRule="auto"/>
        <w:ind w:right="206" w:firstLine="0"/>
      </w:pPr>
      <w:r w:rsidRPr="006C0EC6">
        <w:t xml:space="preserve">El Documento Base de los Documentos Tipo no contempla la presentación con la </w:t>
      </w:r>
      <w:r w:rsidRPr="006C0EC6">
        <w:lastRenderedPageBreak/>
        <w:t>propuesta del desglose los valores unitarios, estos, de acuerdo con el numeral 8.2</w:t>
      </w:r>
      <w:r w:rsidR="00DF5748">
        <w:rPr>
          <w:rStyle w:val="Refdenotaalpie"/>
        </w:rPr>
        <w:footnoteReference w:id="12"/>
      </w:r>
      <w:r w:rsidRPr="006C0EC6">
        <w:t xml:space="preserve"> deben ser presentados por el</w:t>
      </w:r>
      <w:r w:rsidRPr="006C0EC6">
        <w:rPr>
          <w:spacing w:val="-6"/>
        </w:rPr>
        <w:t xml:space="preserve"> </w:t>
      </w:r>
      <w:r w:rsidRPr="006C0EC6">
        <w:t>contratista.</w:t>
      </w:r>
    </w:p>
    <w:p w14:paraId="09FFD8A1" w14:textId="77777777" w:rsidR="00FE78CC" w:rsidRPr="006C0EC6" w:rsidRDefault="00FE78CC" w:rsidP="00FE78CC">
      <w:pPr>
        <w:pStyle w:val="Textoindependiente"/>
        <w:spacing w:before="5"/>
        <w:rPr>
          <w:sz w:val="25"/>
        </w:rPr>
      </w:pPr>
    </w:p>
    <w:p w14:paraId="37263E67" w14:textId="77777777" w:rsidR="00FE78CC" w:rsidRPr="006C0EC6" w:rsidRDefault="00FE78CC" w:rsidP="00FE78CC">
      <w:pPr>
        <w:pStyle w:val="Prrafodelista"/>
        <w:numPr>
          <w:ilvl w:val="1"/>
          <w:numId w:val="2"/>
        </w:numPr>
        <w:tabs>
          <w:tab w:val="left" w:pos="691"/>
        </w:tabs>
        <w:spacing w:line="276" w:lineRule="auto"/>
        <w:ind w:right="205" w:firstLine="0"/>
      </w:pPr>
      <w:r w:rsidRPr="006C0EC6">
        <w:t>Los proponentes personas naturales nacionales o extranjeras con domicilio en Colombia, acreditan su capacidad organizacional con el certificado del Registro Único de Proponentes.</w:t>
      </w:r>
    </w:p>
    <w:p w14:paraId="5134CBCF" w14:textId="77777777" w:rsidR="00FE78CC" w:rsidRPr="006C0EC6" w:rsidRDefault="00FE78CC" w:rsidP="00FE78CC">
      <w:pPr>
        <w:pStyle w:val="Textoindependiente"/>
        <w:spacing w:before="3"/>
        <w:rPr>
          <w:sz w:val="25"/>
        </w:rPr>
      </w:pPr>
    </w:p>
    <w:p w14:paraId="717BAE98" w14:textId="77777777" w:rsidR="00FE78CC" w:rsidRPr="006C0EC6" w:rsidRDefault="00FE78CC" w:rsidP="00FE78CC">
      <w:pPr>
        <w:pStyle w:val="Textoindependiente"/>
        <w:spacing w:line="278" w:lineRule="auto"/>
        <w:ind w:left="180" w:right="212"/>
        <w:jc w:val="both"/>
      </w:pPr>
      <w:r w:rsidRPr="006C0EC6">
        <w:t>Por su parte, los proponentes personas naturales sin domicilio en Colombia deberán aportar los Documentos señalados en el numeral 3.9.2.</w:t>
      </w:r>
    </w:p>
    <w:p w14:paraId="30E5FABA" w14:textId="77777777" w:rsidR="00FE78CC" w:rsidRPr="006C0EC6" w:rsidRDefault="00FE78CC" w:rsidP="00FE78CC">
      <w:pPr>
        <w:pStyle w:val="Textoindependiente"/>
        <w:spacing w:before="9"/>
        <w:rPr>
          <w:sz w:val="24"/>
        </w:rPr>
      </w:pPr>
    </w:p>
    <w:p w14:paraId="01D06EA4" w14:textId="77777777" w:rsidR="00FE78CC" w:rsidRPr="006C0EC6" w:rsidRDefault="00FE78CC" w:rsidP="00FE78CC">
      <w:pPr>
        <w:pStyle w:val="Prrafodelista"/>
        <w:numPr>
          <w:ilvl w:val="1"/>
          <w:numId w:val="1"/>
        </w:numPr>
        <w:tabs>
          <w:tab w:val="left" w:pos="558"/>
        </w:tabs>
        <w:spacing w:line="276" w:lineRule="auto"/>
        <w:ind w:right="204" w:firstLine="0"/>
      </w:pPr>
      <w:r w:rsidRPr="006C0EC6">
        <w:t>De conformidad con el artículo 28 de la Ley 1437 de 2011, los conceptos emitidos por la Agencia Nacional de Contratación Pública – Colombia Compra Eficiente como respuesta a las peticiones realizadas sobre la interpretación de los Documentos Tipo, no son de obligatorio cumplimiento o ejecución para las entidades</w:t>
      </w:r>
      <w:r w:rsidRPr="006C0EC6">
        <w:rPr>
          <w:spacing w:val="-17"/>
        </w:rPr>
        <w:t xml:space="preserve"> </w:t>
      </w:r>
      <w:r w:rsidRPr="006C0EC6">
        <w:t>estatales.</w:t>
      </w:r>
    </w:p>
    <w:p w14:paraId="34313E7B" w14:textId="77777777" w:rsidR="00FE78CC" w:rsidRPr="006C0EC6" w:rsidRDefault="00FE78CC" w:rsidP="00FE78CC">
      <w:pPr>
        <w:pStyle w:val="Textoindependiente"/>
        <w:spacing w:before="4"/>
        <w:rPr>
          <w:sz w:val="25"/>
        </w:rPr>
      </w:pPr>
    </w:p>
    <w:p w14:paraId="6453AE7F" w14:textId="595D7F2A" w:rsidR="00FE78CC" w:rsidRPr="00DF5748" w:rsidRDefault="00FE78CC" w:rsidP="00495FFA">
      <w:pPr>
        <w:pStyle w:val="Prrafodelista"/>
        <w:numPr>
          <w:ilvl w:val="1"/>
          <w:numId w:val="1"/>
        </w:numPr>
        <w:tabs>
          <w:tab w:val="left" w:pos="553"/>
        </w:tabs>
        <w:spacing w:before="11" w:line="276" w:lineRule="auto"/>
        <w:ind w:right="208" w:firstLine="0"/>
        <w:rPr>
          <w:sz w:val="21"/>
        </w:rPr>
      </w:pPr>
      <w:r w:rsidRPr="006C0EC6">
        <w:t>Para los procesos de licitación de obra pública no se requiere que una persona natural esté inscrita en el Registro Mercantil, pues este no otorga ni acredita la capacidad jurídica para adquirir obligaciones. Un ingeniero civil que desarrolle de manera habitual la actividad consagrada en el numeral 15 del artículo 20 del Código de Comercio, deberá inscribirse en el Registro</w:t>
      </w:r>
      <w:r w:rsidRPr="00DF5748">
        <w:rPr>
          <w:spacing w:val="-2"/>
        </w:rPr>
        <w:t xml:space="preserve"> </w:t>
      </w:r>
      <w:r w:rsidRPr="006C0EC6">
        <w:t>Mercantil.</w:t>
      </w:r>
    </w:p>
    <w:p w14:paraId="72E45C53" w14:textId="6BCAB11A" w:rsidR="00DF5748" w:rsidRPr="00DF5748" w:rsidRDefault="00DF5748" w:rsidP="00DF5748">
      <w:pPr>
        <w:tabs>
          <w:tab w:val="left" w:pos="553"/>
        </w:tabs>
        <w:spacing w:before="11" w:line="276" w:lineRule="auto"/>
        <w:ind w:right="208"/>
        <w:rPr>
          <w:sz w:val="21"/>
        </w:rPr>
      </w:pPr>
    </w:p>
    <w:p w14:paraId="795A393E" w14:textId="77777777" w:rsidR="00FE78CC" w:rsidRPr="006C0EC6" w:rsidRDefault="00FE78CC" w:rsidP="00FE78CC">
      <w:pPr>
        <w:pStyle w:val="Prrafodelista"/>
        <w:numPr>
          <w:ilvl w:val="1"/>
          <w:numId w:val="1"/>
        </w:numPr>
        <w:tabs>
          <w:tab w:val="left" w:pos="548"/>
        </w:tabs>
        <w:spacing w:before="93" w:line="276" w:lineRule="auto"/>
        <w:ind w:right="211" w:firstLine="0"/>
      </w:pPr>
      <w:r w:rsidRPr="006C0EC6">
        <w:t>La Guía para el manejo de ofertas artificialmente bajas en Procesos de Contratación de Colombia Compra Eficiente, establece la metodología que pueden aplicar las entidades estatales para determinar si una oferta es artificialmente baja. Sin embargo, de conformidad con el artículo 2.2.1.1.2.2.4. del Decreto 1082 de 2015 la decisión de “recomendar rechazar la oferta o continuar con el análisis de la misma en la evaluación de las</w:t>
      </w:r>
      <w:r w:rsidRPr="006C0EC6">
        <w:rPr>
          <w:spacing w:val="-4"/>
        </w:rPr>
        <w:t xml:space="preserve"> </w:t>
      </w:r>
      <w:r w:rsidRPr="006C0EC6">
        <w:t>ofertas”,</w:t>
      </w:r>
      <w:r w:rsidRPr="006C0EC6">
        <w:rPr>
          <w:spacing w:val="-5"/>
        </w:rPr>
        <w:t xml:space="preserve"> </w:t>
      </w:r>
      <w:r w:rsidRPr="006C0EC6">
        <w:t>le</w:t>
      </w:r>
      <w:r w:rsidRPr="006C0EC6">
        <w:rPr>
          <w:spacing w:val="-3"/>
        </w:rPr>
        <w:t xml:space="preserve"> </w:t>
      </w:r>
      <w:r w:rsidRPr="006C0EC6">
        <w:lastRenderedPageBreak/>
        <w:t>corresponde</w:t>
      </w:r>
      <w:r w:rsidRPr="006C0EC6">
        <w:rPr>
          <w:spacing w:val="-3"/>
        </w:rPr>
        <w:t xml:space="preserve"> </w:t>
      </w:r>
      <w:r w:rsidRPr="006C0EC6">
        <w:t>al</w:t>
      </w:r>
      <w:r w:rsidRPr="006C0EC6">
        <w:rPr>
          <w:spacing w:val="-3"/>
        </w:rPr>
        <w:t xml:space="preserve"> </w:t>
      </w:r>
      <w:r w:rsidRPr="006C0EC6">
        <w:t>comité</w:t>
      </w:r>
      <w:r w:rsidRPr="006C0EC6">
        <w:rPr>
          <w:spacing w:val="-3"/>
        </w:rPr>
        <w:t xml:space="preserve"> </w:t>
      </w:r>
      <w:r w:rsidRPr="006C0EC6">
        <w:t>evaluador</w:t>
      </w:r>
      <w:r w:rsidRPr="006C0EC6">
        <w:rPr>
          <w:spacing w:val="-4"/>
        </w:rPr>
        <w:t xml:space="preserve"> </w:t>
      </w:r>
      <w:r w:rsidRPr="006C0EC6">
        <w:t>o</w:t>
      </w:r>
      <w:r w:rsidRPr="006C0EC6">
        <w:rPr>
          <w:spacing w:val="-3"/>
        </w:rPr>
        <w:t xml:space="preserve"> </w:t>
      </w:r>
      <w:r w:rsidRPr="006C0EC6">
        <w:t>quien</w:t>
      </w:r>
      <w:r w:rsidRPr="006C0EC6">
        <w:rPr>
          <w:spacing w:val="-4"/>
        </w:rPr>
        <w:t xml:space="preserve"> </w:t>
      </w:r>
      <w:r w:rsidRPr="006C0EC6">
        <w:t>haga</w:t>
      </w:r>
      <w:r w:rsidRPr="006C0EC6">
        <w:rPr>
          <w:spacing w:val="-3"/>
        </w:rPr>
        <w:t xml:space="preserve"> </w:t>
      </w:r>
      <w:r w:rsidRPr="006C0EC6">
        <w:t>la</w:t>
      </w:r>
      <w:r w:rsidRPr="006C0EC6">
        <w:rPr>
          <w:spacing w:val="-3"/>
        </w:rPr>
        <w:t xml:space="preserve"> </w:t>
      </w:r>
      <w:r w:rsidRPr="006C0EC6">
        <w:t>evaluación</w:t>
      </w:r>
      <w:r w:rsidRPr="006C0EC6">
        <w:rPr>
          <w:spacing w:val="-3"/>
        </w:rPr>
        <w:t xml:space="preserve"> </w:t>
      </w:r>
      <w:r w:rsidRPr="006C0EC6">
        <w:t>de</w:t>
      </w:r>
      <w:r w:rsidRPr="006C0EC6">
        <w:rPr>
          <w:spacing w:val="-4"/>
        </w:rPr>
        <w:t xml:space="preserve"> </w:t>
      </w:r>
      <w:r w:rsidRPr="006C0EC6">
        <w:t>las</w:t>
      </w:r>
      <w:r w:rsidRPr="006C0EC6">
        <w:rPr>
          <w:spacing w:val="-3"/>
        </w:rPr>
        <w:t xml:space="preserve"> </w:t>
      </w:r>
      <w:r w:rsidRPr="006C0EC6">
        <w:t>ofertas.</w:t>
      </w:r>
    </w:p>
    <w:p w14:paraId="1552EA13" w14:textId="77777777" w:rsidR="00FE78CC" w:rsidRPr="006C0EC6" w:rsidRDefault="00FE78CC" w:rsidP="00FE78CC">
      <w:pPr>
        <w:pStyle w:val="Textoindependiente"/>
        <w:rPr>
          <w:sz w:val="24"/>
        </w:rPr>
      </w:pPr>
    </w:p>
    <w:p w14:paraId="28EA99C5" w14:textId="77777777" w:rsidR="00FE78CC" w:rsidRPr="006C0EC6" w:rsidRDefault="00FE78CC" w:rsidP="00FE78CC">
      <w:pPr>
        <w:pStyle w:val="Textoindependiente"/>
        <w:spacing w:before="7"/>
        <w:rPr>
          <w:sz w:val="26"/>
        </w:rPr>
      </w:pPr>
    </w:p>
    <w:p w14:paraId="4B19DD41" w14:textId="77777777" w:rsidR="00FE78CC" w:rsidRPr="006C0EC6" w:rsidRDefault="00FE78CC" w:rsidP="00FE78CC">
      <w:pPr>
        <w:pStyle w:val="Textoindependiente"/>
        <w:spacing w:line="276" w:lineRule="auto"/>
        <w:ind w:left="180"/>
      </w:pPr>
      <w:r w:rsidRPr="006C0EC6">
        <w:t>Este concepto tiene el alcance previsto en el artículo 28 del Código de Procedimiento Administrativo y de lo Contencioso Administrativo.</w:t>
      </w:r>
    </w:p>
    <w:p w14:paraId="3A49D36A" w14:textId="09FDF481" w:rsidR="00FE78CC" w:rsidRPr="006C0EC6" w:rsidRDefault="00FE78CC" w:rsidP="00FE78CC">
      <w:pPr>
        <w:pStyle w:val="Textoindependiente"/>
        <w:spacing w:before="9"/>
      </w:pPr>
      <w:r w:rsidRPr="006C0EC6">
        <w:rPr>
          <w:noProof/>
          <w:lang w:val="en-US"/>
        </w:rPr>
        <mc:AlternateContent>
          <mc:Choice Requires="wps">
            <w:drawing>
              <wp:anchor distT="0" distB="0" distL="0" distR="0" simplePos="0" relativeHeight="487597568" behindDoc="1" locked="0" layoutInCell="1" allowOverlap="1" wp14:anchorId="3F7403CF" wp14:editId="672177CD">
                <wp:simplePos x="0" y="0"/>
                <wp:positionH relativeFrom="page">
                  <wp:posOffset>1514475</wp:posOffset>
                </wp:positionH>
                <wp:positionV relativeFrom="paragraph">
                  <wp:posOffset>196215</wp:posOffset>
                </wp:positionV>
                <wp:extent cx="4686300" cy="1270"/>
                <wp:effectExtent l="0" t="0" r="0" b="0"/>
                <wp:wrapTopAndBottom/>
                <wp:docPr id="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5D0A1EEA">
              <v:shape id="Freeform 16" style="position:absolute;margin-left:119.25pt;margin-top:15.45pt;width:369pt;height:.1pt;z-index:-157189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" w14:anchorId="5CB1A247">
                <v:path arrowok="t" o:connecttype="custom" o:connectlocs="0,0;4686300,0" o:connectangles="0,0"/>
                <w10:wrap type="topAndBottom" anchorx="page"/>
              </v:shape>
            </w:pict>
          </mc:Fallback>
        </mc:AlternateContent>
      </w:r>
    </w:p>
    <w:p w14:paraId="3D406A51" w14:textId="77777777" w:rsidR="00FE78CC" w:rsidRPr="006C0EC6" w:rsidRDefault="00FE78CC" w:rsidP="00FE78CC">
      <w:pPr>
        <w:pStyle w:val="Textoindependiente"/>
        <w:spacing w:before="4"/>
        <w:rPr>
          <w:sz w:val="20"/>
        </w:rPr>
      </w:pPr>
    </w:p>
    <w:p w14:paraId="6B3B72F9" w14:textId="77777777" w:rsidR="00FE78CC" w:rsidRPr="006C0EC6" w:rsidRDefault="00FE78CC" w:rsidP="00FE78CC">
      <w:pPr>
        <w:pStyle w:val="Textoindependiente"/>
        <w:ind w:left="180"/>
      </w:pPr>
      <w:r w:rsidRPr="006C0EC6">
        <w:t>Atentamente,</w:t>
      </w:r>
    </w:p>
    <w:p w14:paraId="16D0A74D" w14:textId="77777777" w:rsidR="00816FA9" w:rsidRPr="00B944A3" w:rsidRDefault="00816FA9" w:rsidP="00816FA9">
      <w:pPr>
        <w:pStyle w:val="Textoindependiente"/>
        <w:spacing w:before="1"/>
        <w:jc w:val="center"/>
        <w:rPr>
          <w:sz w:val="31"/>
        </w:rPr>
      </w:pPr>
      <w:r>
        <w:rPr>
          <w:noProof/>
          <w:lang w:val="en-US"/>
        </w:rPr>
        <w:drawing>
          <wp:inline distT="0" distB="0" distL="0" distR="0" wp14:anchorId="3866BF77" wp14:editId="6E56DAA2">
            <wp:extent cx="2773144" cy="988695"/>
            <wp:effectExtent l="0" t="0" r="0" b="0"/>
            <wp:docPr id="102478293"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0"/>
                    <pic:cNvPicPr/>
                  </pic:nvPicPr>
                  <pic:blipFill>
                    <a:blip r:embed="rId15">
                      <a:extLst>
                        <a:ext uri="{28A0092B-C50C-407E-A947-70E740481C1C}">
                          <a14:useLocalDpi xmlns:a14="http://schemas.microsoft.com/office/drawing/2010/main" val="0"/>
                        </a:ext>
                      </a:extLst>
                    </a:blip>
                    <a:stretch>
                      <a:fillRect/>
                    </a:stretch>
                  </pic:blipFill>
                  <pic:spPr>
                    <a:xfrm>
                      <a:off x="0" y="0"/>
                      <a:ext cx="2773144" cy="988695"/>
                    </a:xfrm>
                    <a:prstGeom prst="rect">
                      <a:avLst/>
                    </a:prstGeom>
                  </pic:spPr>
                </pic:pic>
              </a:graphicData>
            </a:graphic>
          </wp:inline>
        </w:drawing>
      </w:r>
    </w:p>
    <w:p w14:paraId="1720D759" w14:textId="77777777" w:rsidR="00FE78CC" w:rsidRPr="006C0EC6" w:rsidRDefault="00FE78CC" w:rsidP="00816FA9">
      <w:pPr>
        <w:pStyle w:val="Textoindependiente"/>
        <w:ind w:left="180"/>
      </w:pPr>
      <w:r w:rsidRPr="006C0EC6">
        <w:t>Proyectó: Fredy Alexander Rodríguez Ardila</w:t>
      </w:r>
    </w:p>
    <w:sectPr w:rsidR="00FE78CC" w:rsidRPr="006C0EC6">
      <w:pgSz w:w="12240" w:h="15840"/>
      <w:pgMar w:top="1560" w:right="1400" w:bottom="2140" w:left="1520" w:header="737" w:footer="18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C467C9" w14:textId="77777777" w:rsidR="002576FC" w:rsidRDefault="002576FC">
      <w:r>
        <w:separator/>
      </w:r>
    </w:p>
  </w:endnote>
  <w:endnote w:type="continuationSeparator" w:id="0">
    <w:p w14:paraId="31CD3C21" w14:textId="77777777" w:rsidR="002576FC" w:rsidRDefault="002576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oania">
    <w:altName w:val="Calibri"/>
    <w:charset w:val="00"/>
    <w:family w:val="swiss"/>
    <w:pitch w:val="variable"/>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Narrow">
    <w:altName w:val="Arial Narrow"/>
    <w:charset w:val="00"/>
    <w:family w:val="swiss"/>
    <w:pitch w:val="variable"/>
    <w:sig w:usb0="A00002AF" w:usb1="500078FB" w:usb2="00000000" w:usb3="00000000" w:csb0="000000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0B9F5" w14:textId="77777777" w:rsidR="00AD5C97" w:rsidRDefault="00BC13E9">
    <w:pPr>
      <w:pStyle w:val="Textoindependiente"/>
      <w:spacing w:line="14" w:lineRule="auto"/>
      <w:rPr>
        <w:sz w:val="20"/>
      </w:rPr>
    </w:pPr>
    <w:r>
      <w:rPr>
        <w:noProof/>
        <w:lang w:val="en-US"/>
      </w:rPr>
      <w:drawing>
        <wp:anchor distT="0" distB="0" distL="0" distR="0" simplePos="0" relativeHeight="487180800" behindDoc="1" locked="0" layoutInCell="1" allowOverlap="1" wp14:anchorId="141DB198" wp14:editId="5232DA6D">
          <wp:simplePos x="0" y="0"/>
          <wp:positionH relativeFrom="page">
            <wp:posOffset>1137919</wp:posOffset>
          </wp:positionH>
          <wp:positionV relativeFrom="page">
            <wp:posOffset>8688387</wp:posOffset>
          </wp:positionV>
          <wp:extent cx="5612130" cy="787120"/>
          <wp:effectExtent l="0" t="0" r="0" b="0"/>
          <wp:wrapNone/>
          <wp:docPr id="1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90E517" w14:textId="77777777" w:rsidR="002576FC" w:rsidRDefault="002576FC">
      <w:r>
        <w:separator/>
      </w:r>
    </w:p>
  </w:footnote>
  <w:footnote w:type="continuationSeparator" w:id="0">
    <w:p w14:paraId="0438C982" w14:textId="77777777" w:rsidR="002576FC" w:rsidRDefault="002576FC">
      <w:r>
        <w:continuationSeparator/>
      </w:r>
    </w:p>
  </w:footnote>
  <w:footnote w:id="1">
    <w:p w14:paraId="24E5E957" w14:textId="63453DF1" w:rsidR="006C0EC6" w:rsidRPr="006C0EC6" w:rsidRDefault="006C0EC6" w:rsidP="006C0EC6">
      <w:pPr>
        <w:spacing w:before="87" w:line="242" w:lineRule="auto"/>
        <w:ind w:left="180" w:right="206" w:firstLine="707"/>
        <w:jc w:val="both"/>
        <w:rPr>
          <w:sz w:val="18"/>
        </w:rPr>
      </w:pPr>
      <w:r>
        <w:rPr>
          <w:rStyle w:val="Refdenotaalpie"/>
        </w:rPr>
        <w:footnoteRef/>
      </w:r>
      <w:r>
        <w:t xml:space="preserve"> </w:t>
      </w:r>
      <w:r w:rsidRPr="006C0EC6">
        <w:rPr>
          <w:sz w:val="18"/>
        </w:rPr>
        <w:t>Ley 789 de 2002: “Artículo 50. Control a la evasión de los recursos parafiscales La celebración, renovación o liquidación por parte de un particular, de contratos de cualquier naturaleza con Entidades del sector público, requerirá para el efecto, del cumplimiento por parte del contratista de sus obligaciones con los sistemas de salud, riesgos profesionales, pensiones y aportes a las Cajas de Compensación Familiar, Instituto Colombiano de Bienestar Familiar y Servicio Nacional de Aprendizaje, cuando a ello haya lugar. Las Entidades públicas en el momento de liquidar los contratos deberán verificar y dejar constancia del cumplimiento de las obligaciones del contratista frente a los aportes mencionados durante toda su vigencia, estableciendo una correcta relación entre el monto cancelado y las sumas que debieron haber sido cotizadas.</w:t>
      </w:r>
    </w:p>
    <w:p w14:paraId="23357364" w14:textId="77777777" w:rsidR="006C0EC6" w:rsidRPr="006C0EC6" w:rsidRDefault="006C0EC6" w:rsidP="006C0EC6">
      <w:pPr>
        <w:pStyle w:val="Textoindependiente"/>
        <w:spacing w:before="7"/>
        <w:rPr>
          <w:sz w:val="17"/>
        </w:rPr>
      </w:pPr>
    </w:p>
    <w:p w14:paraId="5498936D" w14:textId="77777777" w:rsidR="006C0EC6" w:rsidRPr="006C0EC6" w:rsidRDefault="006C0EC6" w:rsidP="006C0EC6">
      <w:pPr>
        <w:ind w:left="180" w:right="205"/>
        <w:jc w:val="both"/>
        <w:rPr>
          <w:sz w:val="18"/>
        </w:rPr>
      </w:pPr>
      <w:r w:rsidRPr="006C0EC6">
        <w:rPr>
          <w:sz w:val="18"/>
        </w:rPr>
        <w:t>“En el evento en que no se hubieran realizado totalmente los aportes correspondientes, la Entidad pública deberá retener las sumas adeudadas al sistema en el momento de la liquidación y efectuará el giro directo de dichos recursos a los correspondientes sistemas con prioridad a los regímenes de salud y pensiones, conforme lo define el reglamento.</w:t>
      </w:r>
    </w:p>
    <w:p w14:paraId="7C5C9D1A" w14:textId="77777777" w:rsidR="006C0EC6" w:rsidRPr="006C0EC6" w:rsidRDefault="006C0EC6" w:rsidP="006C0EC6">
      <w:pPr>
        <w:pStyle w:val="Textoindependiente"/>
        <w:spacing w:before="1"/>
        <w:rPr>
          <w:sz w:val="18"/>
        </w:rPr>
      </w:pPr>
    </w:p>
    <w:p w14:paraId="0803ECDA" w14:textId="77777777" w:rsidR="006C0EC6" w:rsidRPr="006C0EC6" w:rsidRDefault="006C0EC6" w:rsidP="006C0EC6">
      <w:pPr>
        <w:ind w:left="180" w:right="205"/>
        <w:jc w:val="both"/>
        <w:rPr>
          <w:sz w:val="18"/>
        </w:rPr>
      </w:pPr>
      <w:r w:rsidRPr="006C0EC6">
        <w:rPr>
          <w:sz w:val="18"/>
        </w:rPr>
        <w:t>“Cuando la contratación se realice con personas jurídicas, se deberá acreditar el pago de los aportes de sus empleados, a los sistemas mencionados mediante certificación expedida por el revisor fiscal, cuando este exista de acuerdo con los requerimientos de ley, o por el representante legal durante un lapso equivalente al que exija el respectivo régimen de contratación para que se hubiera constituido la sociedad, el cual en todo caso no será inferior a los seis (6) meses anteriores a la celebración del contrato. En el evento en que la sociedad no tenga mas de seis (6) meses de constituida, deberá acreditar los pagos a partir de la fecha de su constitución.</w:t>
      </w:r>
    </w:p>
    <w:p w14:paraId="19A22B28" w14:textId="77777777" w:rsidR="006C0EC6" w:rsidRPr="006C0EC6" w:rsidRDefault="006C0EC6" w:rsidP="006C0EC6">
      <w:pPr>
        <w:pStyle w:val="Textoindependiente"/>
        <w:spacing w:before="1"/>
        <w:rPr>
          <w:sz w:val="18"/>
        </w:rPr>
      </w:pPr>
    </w:p>
    <w:p w14:paraId="7D5E6DB3" w14:textId="77777777" w:rsidR="006C0EC6" w:rsidRPr="006C0EC6" w:rsidRDefault="006C0EC6" w:rsidP="006C0EC6">
      <w:pPr>
        <w:ind w:left="180" w:right="204"/>
        <w:jc w:val="both"/>
        <w:rPr>
          <w:sz w:val="18"/>
        </w:rPr>
      </w:pPr>
      <w:r w:rsidRPr="006C0EC6">
        <w:rPr>
          <w:sz w:val="18"/>
        </w:rPr>
        <w:t>“Para la presentación de ofertas por parte de personas jurídicas será indispensable acreditar el requisito señalado anteriormente. El funcionario que no deje constancia de la verificación del cumplimiento de este requisito incurrirá en causal de mala conducta”.</w:t>
      </w:r>
    </w:p>
    <w:p w14:paraId="079BC72E" w14:textId="4E6F74F0" w:rsidR="006C0EC6" w:rsidRPr="006C0EC6" w:rsidRDefault="006C0EC6">
      <w:pPr>
        <w:pStyle w:val="Textonotapie"/>
      </w:pPr>
    </w:p>
  </w:footnote>
  <w:footnote w:id="2">
    <w:p w14:paraId="4391E524" w14:textId="66497061" w:rsidR="006C0EC6" w:rsidRPr="006C0EC6" w:rsidRDefault="006C0EC6" w:rsidP="00DF5748">
      <w:pPr>
        <w:ind w:left="180" w:right="204" w:firstLine="540"/>
        <w:jc w:val="both"/>
        <w:rPr>
          <w:sz w:val="18"/>
        </w:rPr>
      </w:pPr>
      <w:r>
        <w:rPr>
          <w:rStyle w:val="Refdenotaalpie"/>
        </w:rPr>
        <w:footnoteRef/>
      </w:r>
      <w:r w:rsidR="00DF5748">
        <w:rPr>
          <w:sz w:val="18"/>
        </w:rPr>
        <w:t xml:space="preserve"> </w:t>
      </w:r>
      <w:r w:rsidRPr="006C0EC6">
        <w:rPr>
          <w:sz w:val="18"/>
        </w:rPr>
        <w:t>En todo caso, el legislador impone la obligación a los oferentes (cuando éstos sean personas jurídicas) de acreditar el requisito señalado en el acápite anterior. Si el funcionario responsable no deja constancia de la verificación de este requisito incurrirá en causal de mala</w:t>
      </w:r>
      <w:r w:rsidRPr="006C0EC6">
        <w:rPr>
          <w:spacing w:val="-17"/>
          <w:sz w:val="18"/>
        </w:rPr>
        <w:t xml:space="preserve"> </w:t>
      </w:r>
      <w:r w:rsidRPr="006C0EC6">
        <w:rPr>
          <w:sz w:val="18"/>
        </w:rPr>
        <w:t>conducta.</w:t>
      </w:r>
    </w:p>
    <w:p w14:paraId="4F1075FC" w14:textId="77777777" w:rsidR="006C0EC6" w:rsidRPr="006C0EC6" w:rsidRDefault="006C0EC6" w:rsidP="006C0EC6">
      <w:pPr>
        <w:pStyle w:val="Textoindependiente"/>
        <w:spacing w:before="9"/>
        <w:rPr>
          <w:sz w:val="17"/>
        </w:rPr>
      </w:pPr>
    </w:p>
    <w:p w14:paraId="458B3191" w14:textId="77777777" w:rsidR="006C0EC6" w:rsidRPr="006C0EC6" w:rsidRDefault="006C0EC6" w:rsidP="006C0EC6">
      <w:pPr>
        <w:ind w:left="180"/>
        <w:jc w:val="both"/>
        <w:rPr>
          <w:sz w:val="18"/>
        </w:rPr>
      </w:pPr>
      <w:r w:rsidRPr="006C0EC6">
        <w:rPr>
          <w:sz w:val="18"/>
        </w:rPr>
        <w:t>“De la disposición referenciada la Sala concluye lo siguiente:</w:t>
      </w:r>
    </w:p>
    <w:p w14:paraId="07F96C88" w14:textId="77777777" w:rsidR="006C0EC6" w:rsidRPr="006C0EC6" w:rsidRDefault="006C0EC6" w:rsidP="006C0EC6">
      <w:pPr>
        <w:pStyle w:val="Textoindependiente"/>
        <w:spacing w:before="1"/>
        <w:rPr>
          <w:sz w:val="18"/>
        </w:rPr>
      </w:pPr>
    </w:p>
    <w:p w14:paraId="06C5639E" w14:textId="77777777" w:rsidR="006C0EC6" w:rsidRPr="006C0EC6" w:rsidRDefault="006C0EC6" w:rsidP="006C0EC6">
      <w:pPr>
        <w:ind w:left="180" w:right="206"/>
        <w:jc w:val="both"/>
        <w:rPr>
          <w:sz w:val="18"/>
        </w:rPr>
      </w:pPr>
      <w:r w:rsidRPr="006C0EC6">
        <w:rPr>
          <w:sz w:val="18"/>
        </w:rPr>
        <w:t>“1. El artículo 50 de la Ley 789 de 2002 tiene como principal objetivo evitar la evasión por parte de los empleadores de las cotizaciones al sistema de seguridad social y de los aportes parafiscales destinados al Instituto Colombiano de Bienestar familiar, las Cajas de compensación y el Sena.</w:t>
      </w:r>
    </w:p>
    <w:p w14:paraId="5D8B5F71" w14:textId="77777777" w:rsidR="006C0EC6" w:rsidRPr="006C0EC6" w:rsidRDefault="006C0EC6" w:rsidP="006C0EC6">
      <w:pPr>
        <w:pStyle w:val="Textoindependiente"/>
        <w:rPr>
          <w:sz w:val="18"/>
        </w:rPr>
      </w:pPr>
    </w:p>
    <w:p w14:paraId="46D950FC" w14:textId="77777777" w:rsidR="006C0EC6" w:rsidRPr="006C0EC6" w:rsidRDefault="006C0EC6" w:rsidP="006C0EC6">
      <w:pPr>
        <w:ind w:left="180" w:right="206"/>
        <w:jc w:val="both"/>
        <w:rPr>
          <w:sz w:val="18"/>
        </w:rPr>
      </w:pPr>
      <w:r w:rsidRPr="006C0EC6">
        <w:rPr>
          <w:sz w:val="18"/>
        </w:rPr>
        <w:t>“2. Para lograr la finalidad señalada, el legislador impuso a las entidades públicas la obligación de verificar, en los procesos de selección de contratistas y en la ejecución y liquidación de los contratos, que tanto los oferentes como los contratistas hayan realizado los aportes respectivos, no desconociendo los derechos reconocidos a los</w:t>
      </w:r>
      <w:r w:rsidRPr="006C0EC6">
        <w:rPr>
          <w:spacing w:val="-2"/>
          <w:sz w:val="18"/>
        </w:rPr>
        <w:t xml:space="preserve"> </w:t>
      </w:r>
      <w:r w:rsidRPr="006C0EC6">
        <w:rPr>
          <w:sz w:val="18"/>
        </w:rPr>
        <w:t>trabajadores.</w:t>
      </w:r>
    </w:p>
    <w:p w14:paraId="1A04B2B5" w14:textId="77777777" w:rsidR="006C0EC6" w:rsidRPr="006C0EC6" w:rsidRDefault="006C0EC6" w:rsidP="006C0EC6">
      <w:pPr>
        <w:pStyle w:val="Textoindependiente"/>
        <w:rPr>
          <w:sz w:val="18"/>
        </w:rPr>
      </w:pPr>
    </w:p>
    <w:p w14:paraId="41489774" w14:textId="77777777" w:rsidR="006C0EC6" w:rsidRPr="006C0EC6" w:rsidRDefault="006C0EC6" w:rsidP="006C0EC6">
      <w:pPr>
        <w:ind w:left="180" w:right="205"/>
        <w:jc w:val="both"/>
        <w:rPr>
          <w:sz w:val="18"/>
        </w:rPr>
      </w:pPr>
      <w:r w:rsidRPr="006C0EC6">
        <w:rPr>
          <w:sz w:val="18"/>
        </w:rPr>
        <w:t>“3. No obstante lo anterior, la norma otorga la posibilidad de que aquella entidad pública que durante la ejecución del contrato no haya solicitado las certificaciones del pago de los aportes parafiscales y a los sistemas de seguridad social en salud y pensiones, lo haga en el momento de la liquidación, cerciorándose de que</w:t>
      </w:r>
      <w:r w:rsidRPr="006C0EC6">
        <w:rPr>
          <w:spacing w:val="-4"/>
          <w:sz w:val="18"/>
        </w:rPr>
        <w:t xml:space="preserve"> </w:t>
      </w:r>
      <w:r w:rsidRPr="006C0EC6">
        <w:rPr>
          <w:sz w:val="18"/>
        </w:rPr>
        <w:t>las</w:t>
      </w:r>
      <w:r w:rsidRPr="006C0EC6">
        <w:rPr>
          <w:spacing w:val="-3"/>
          <w:sz w:val="18"/>
        </w:rPr>
        <w:t xml:space="preserve"> </w:t>
      </w:r>
      <w:r w:rsidRPr="006C0EC6">
        <w:rPr>
          <w:sz w:val="18"/>
        </w:rPr>
        <w:t>obligaciones</w:t>
      </w:r>
      <w:r w:rsidRPr="006C0EC6">
        <w:rPr>
          <w:spacing w:val="-3"/>
          <w:sz w:val="18"/>
        </w:rPr>
        <w:t xml:space="preserve"> </w:t>
      </w:r>
      <w:r w:rsidRPr="006C0EC6">
        <w:rPr>
          <w:sz w:val="18"/>
        </w:rPr>
        <w:t>referenciadas</w:t>
      </w:r>
      <w:r w:rsidRPr="006C0EC6">
        <w:rPr>
          <w:spacing w:val="-3"/>
          <w:sz w:val="18"/>
        </w:rPr>
        <w:t xml:space="preserve"> </w:t>
      </w:r>
      <w:r w:rsidRPr="006C0EC6">
        <w:rPr>
          <w:sz w:val="18"/>
        </w:rPr>
        <w:t>se</w:t>
      </w:r>
      <w:r w:rsidRPr="006C0EC6">
        <w:rPr>
          <w:spacing w:val="-3"/>
          <w:sz w:val="18"/>
        </w:rPr>
        <w:t xml:space="preserve"> </w:t>
      </w:r>
      <w:r w:rsidRPr="006C0EC6">
        <w:rPr>
          <w:sz w:val="18"/>
        </w:rPr>
        <w:t>han</w:t>
      </w:r>
      <w:r w:rsidRPr="006C0EC6">
        <w:rPr>
          <w:spacing w:val="-4"/>
          <w:sz w:val="18"/>
        </w:rPr>
        <w:t xml:space="preserve"> </w:t>
      </w:r>
      <w:r w:rsidRPr="006C0EC6">
        <w:rPr>
          <w:sz w:val="18"/>
        </w:rPr>
        <w:t>cumplido</w:t>
      </w:r>
      <w:r w:rsidRPr="006C0EC6">
        <w:rPr>
          <w:spacing w:val="-3"/>
          <w:sz w:val="18"/>
        </w:rPr>
        <w:t xml:space="preserve"> </w:t>
      </w:r>
      <w:r w:rsidRPr="006C0EC6">
        <w:rPr>
          <w:sz w:val="18"/>
        </w:rPr>
        <w:t>durante</w:t>
      </w:r>
      <w:r w:rsidRPr="006C0EC6">
        <w:rPr>
          <w:spacing w:val="-3"/>
          <w:sz w:val="18"/>
        </w:rPr>
        <w:t xml:space="preserve"> </w:t>
      </w:r>
      <w:r w:rsidRPr="006C0EC6">
        <w:rPr>
          <w:sz w:val="18"/>
        </w:rPr>
        <w:t>el tiempo</w:t>
      </w:r>
      <w:r w:rsidRPr="006C0EC6">
        <w:rPr>
          <w:spacing w:val="-4"/>
          <w:sz w:val="18"/>
        </w:rPr>
        <w:t xml:space="preserve"> </w:t>
      </w:r>
      <w:r w:rsidRPr="006C0EC6">
        <w:rPr>
          <w:sz w:val="18"/>
        </w:rPr>
        <w:t>de</w:t>
      </w:r>
      <w:r w:rsidRPr="006C0EC6">
        <w:rPr>
          <w:spacing w:val="-3"/>
          <w:sz w:val="18"/>
        </w:rPr>
        <w:t xml:space="preserve"> </w:t>
      </w:r>
      <w:r w:rsidRPr="006C0EC6">
        <w:rPr>
          <w:sz w:val="18"/>
        </w:rPr>
        <w:t>vigencia</w:t>
      </w:r>
      <w:r w:rsidRPr="006C0EC6">
        <w:rPr>
          <w:spacing w:val="-3"/>
          <w:sz w:val="18"/>
        </w:rPr>
        <w:t xml:space="preserve"> </w:t>
      </w:r>
      <w:r w:rsidRPr="006C0EC6">
        <w:rPr>
          <w:sz w:val="18"/>
        </w:rPr>
        <w:t>del</w:t>
      </w:r>
      <w:r w:rsidRPr="006C0EC6">
        <w:rPr>
          <w:spacing w:val="-3"/>
          <w:sz w:val="18"/>
        </w:rPr>
        <w:t xml:space="preserve"> </w:t>
      </w:r>
      <w:r w:rsidRPr="006C0EC6">
        <w:rPr>
          <w:sz w:val="18"/>
        </w:rPr>
        <w:t>negocio jurídico.</w:t>
      </w:r>
    </w:p>
    <w:p w14:paraId="18E724D8" w14:textId="77777777" w:rsidR="006C0EC6" w:rsidRPr="006C0EC6" w:rsidRDefault="006C0EC6" w:rsidP="006C0EC6">
      <w:pPr>
        <w:pStyle w:val="Textoindependiente"/>
        <w:spacing w:before="1"/>
        <w:rPr>
          <w:sz w:val="18"/>
        </w:rPr>
      </w:pPr>
    </w:p>
    <w:p w14:paraId="767D34ED" w14:textId="77777777" w:rsidR="006C0EC6" w:rsidRPr="006C0EC6" w:rsidRDefault="006C0EC6" w:rsidP="006C0EC6">
      <w:pPr>
        <w:ind w:left="180" w:right="210"/>
        <w:jc w:val="both"/>
        <w:rPr>
          <w:sz w:val="18"/>
        </w:rPr>
      </w:pPr>
      <w:r w:rsidRPr="006C0EC6">
        <w:rPr>
          <w:sz w:val="18"/>
        </w:rPr>
        <w:t>“4. Cuando se contrate con personas jurídicas, la obligación se extiende también a la comprobación de aquellos aportes que corresponde por ley realizar a sus empleados, a través de certificación expedida por el revisor fiscal cuando este sea necesario o por el representante legal de la</w:t>
      </w:r>
      <w:r w:rsidRPr="006C0EC6">
        <w:rPr>
          <w:spacing w:val="-15"/>
          <w:sz w:val="18"/>
        </w:rPr>
        <w:t xml:space="preserve"> </w:t>
      </w:r>
      <w:r w:rsidRPr="006C0EC6">
        <w:rPr>
          <w:sz w:val="18"/>
        </w:rPr>
        <w:t>entidad.</w:t>
      </w:r>
    </w:p>
    <w:p w14:paraId="3C646CB9" w14:textId="77777777" w:rsidR="006C0EC6" w:rsidRPr="006C0EC6" w:rsidRDefault="006C0EC6" w:rsidP="006C0EC6">
      <w:pPr>
        <w:pStyle w:val="Textoindependiente"/>
        <w:spacing w:before="11"/>
        <w:rPr>
          <w:sz w:val="17"/>
        </w:rPr>
      </w:pPr>
    </w:p>
    <w:p w14:paraId="73ABBC29" w14:textId="77777777" w:rsidR="006C0EC6" w:rsidRPr="006C0EC6" w:rsidRDefault="006C0EC6" w:rsidP="006C0EC6">
      <w:pPr>
        <w:ind w:left="180" w:right="208"/>
        <w:jc w:val="both"/>
        <w:rPr>
          <w:sz w:val="18"/>
        </w:rPr>
      </w:pPr>
      <w:r w:rsidRPr="006C0EC6">
        <w:rPr>
          <w:sz w:val="18"/>
        </w:rPr>
        <w:t>“5. En caso de que se compruebe un incumplimiento en el pago de los aportes parafiscales y al Sistema General de Seguridad Social, la ley otorga la facultad a la entidad pública de retener el monto adeudado y hacer las consignaciones</w:t>
      </w:r>
      <w:r w:rsidRPr="006C0EC6">
        <w:rPr>
          <w:spacing w:val="-4"/>
          <w:sz w:val="18"/>
        </w:rPr>
        <w:t xml:space="preserve"> </w:t>
      </w:r>
      <w:r w:rsidRPr="006C0EC6">
        <w:rPr>
          <w:sz w:val="18"/>
        </w:rPr>
        <w:t>correspondientes”.</w:t>
      </w:r>
    </w:p>
    <w:p w14:paraId="22ABF968" w14:textId="20E31B0F" w:rsidR="006C0EC6" w:rsidRPr="006C0EC6" w:rsidRDefault="006C0EC6">
      <w:pPr>
        <w:pStyle w:val="Textonotapie"/>
      </w:pPr>
    </w:p>
  </w:footnote>
  <w:footnote w:id="3">
    <w:p w14:paraId="0B4EFC48" w14:textId="622348B1" w:rsidR="006C0EC6" w:rsidRPr="006C0EC6" w:rsidRDefault="006C0EC6" w:rsidP="006C0EC6">
      <w:pPr>
        <w:spacing w:before="99" w:line="242" w:lineRule="auto"/>
        <w:ind w:left="180" w:right="209" w:firstLine="707"/>
        <w:jc w:val="right"/>
        <w:rPr>
          <w:sz w:val="18"/>
        </w:rPr>
      </w:pPr>
      <w:r>
        <w:rPr>
          <w:rStyle w:val="Refdenotaalpie"/>
        </w:rPr>
        <w:footnoteRef/>
      </w:r>
      <w:r>
        <w:t xml:space="preserve"> </w:t>
      </w:r>
      <w:r w:rsidRPr="006C0EC6">
        <w:rPr>
          <w:sz w:val="18"/>
        </w:rPr>
        <w:t>Al</w:t>
      </w:r>
      <w:r w:rsidRPr="006C0EC6">
        <w:rPr>
          <w:spacing w:val="-6"/>
          <w:sz w:val="18"/>
        </w:rPr>
        <w:t xml:space="preserve"> </w:t>
      </w:r>
      <w:r w:rsidRPr="006C0EC6">
        <w:rPr>
          <w:sz w:val="18"/>
        </w:rPr>
        <w:t>respecto</w:t>
      </w:r>
      <w:r w:rsidRPr="006C0EC6">
        <w:rPr>
          <w:spacing w:val="-6"/>
          <w:sz w:val="18"/>
        </w:rPr>
        <w:t xml:space="preserve"> </w:t>
      </w:r>
      <w:r w:rsidRPr="006C0EC6">
        <w:rPr>
          <w:sz w:val="18"/>
        </w:rPr>
        <w:t>se</w:t>
      </w:r>
      <w:r w:rsidRPr="006C0EC6">
        <w:rPr>
          <w:spacing w:val="-5"/>
          <w:sz w:val="18"/>
        </w:rPr>
        <w:t xml:space="preserve"> </w:t>
      </w:r>
      <w:r w:rsidRPr="006C0EC6">
        <w:rPr>
          <w:sz w:val="18"/>
        </w:rPr>
        <w:t>pueden</w:t>
      </w:r>
      <w:r w:rsidRPr="006C0EC6">
        <w:rPr>
          <w:spacing w:val="-6"/>
          <w:sz w:val="18"/>
        </w:rPr>
        <w:t xml:space="preserve"> </w:t>
      </w:r>
      <w:r w:rsidRPr="006C0EC6">
        <w:rPr>
          <w:sz w:val="18"/>
        </w:rPr>
        <w:t>consultar</w:t>
      </w:r>
      <w:r w:rsidRPr="006C0EC6">
        <w:rPr>
          <w:spacing w:val="-6"/>
          <w:sz w:val="18"/>
        </w:rPr>
        <w:t xml:space="preserve"> </w:t>
      </w:r>
      <w:r w:rsidRPr="006C0EC6">
        <w:rPr>
          <w:sz w:val="18"/>
        </w:rPr>
        <w:t>las</w:t>
      </w:r>
      <w:r w:rsidRPr="006C0EC6">
        <w:rPr>
          <w:spacing w:val="-5"/>
          <w:sz w:val="18"/>
        </w:rPr>
        <w:t xml:space="preserve"> </w:t>
      </w:r>
      <w:r w:rsidRPr="006C0EC6">
        <w:rPr>
          <w:sz w:val="18"/>
        </w:rPr>
        <w:t>respuestas</w:t>
      </w:r>
      <w:r w:rsidRPr="006C0EC6">
        <w:rPr>
          <w:spacing w:val="-6"/>
          <w:sz w:val="18"/>
        </w:rPr>
        <w:t xml:space="preserve"> </w:t>
      </w:r>
      <w:r w:rsidRPr="006C0EC6">
        <w:rPr>
          <w:sz w:val="18"/>
        </w:rPr>
        <w:t>a</w:t>
      </w:r>
      <w:r w:rsidRPr="006C0EC6">
        <w:rPr>
          <w:spacing w:val="-6"/>
          <w:sz w:val="18"/>
        </w:rPr>
        <w:t xml:space="preserve"> </w:t>
      </w:r>
      <w:r w:rsidRPr="006C0EC6">
        <w:rPr>
          <w:sz w:val="18"/>
        </w:rPr>
        <w:t>las</w:t>
      </w:r>
      <w:r w:rsidRPr="006C0EC6">
        <w:rPr>
          <w:spacing w:val="-5"/>
          <w:sz w:val="18"/>
        </w:rPr>
        <w:t xml:space="preserve"> </w:t>
      </w:r>
      <w:r w:rsidRPr="006C0EC6">
        <w:rPr>
          <w:sz w:val="18"/>
        </w:rPr>
        <w:t>consultas</w:t>
      </w:r>
      <w:r w:rsidRPr="006C0EC6">
        <w:rPr>
          <w:spacing w:val="-3"/>
          <w:sz w:val="18"/>
        </w:rPr>
        <w:t xml:space="preserve"> </w:t>
      </w:r>
      <w:r w:rsidRPr="006C0EC6">
        <w:rPr>
          <w:sz w:val="18"/>
        </w:rPr>
        <w:t>4201912000004262</w:t>
      </w:r>
      <w:r w:rsidRPr="006C0EC6">
        <w:rPr>
          <w:spacing w:val="-6"/>
          <w:sz w:val="18"/>
        </w:rPr>
        <w:t xml:space="preserve"> </w:t>
      </w:r>
      <w:r w:rsidRPr="006C0EC6">
        <w:rPr>
          <w:sz w:val="18"/>
        </w:rPr>
        <w:t>del</w:t>
      </w:r>
      <w:r w:rsidRPr="006C0EC6">
        <w:rPr>
          <w:spacing w:val="-6"/>
          <w:sz w:val="18"/>
        </w:rPr>
        <w:t xml:space="preserve"> </w:t>
      </w:r>
      <w:r w:rsidRPr="006C0EC6">
        <w:rPr>
          <w:sz w:val="18"/>
        </w:rPr>
        <w:t>25</w:t>
      </w:r>
      <w:r w:rsidRPr="006C0EC6">
        <w:rPr>
          <w:spacing w:val="-5"/>
          <w:sz w:val="18"/>
        </w:rPr>
        <w:t xml:space="preserve"> </w:t>
      </w:r>
      <w:r w:rsidRPr="006C0EC6">
        <w:rPr>
          <w:sz w:val="18"/>
        </w:rPr>
        <w:t>de</w:t>
      </w:r>
      <w:r w:rsidRPr="006C0EC6">
        <w:rPr>
          <w:spacing w:val="-1"/>
          <w:sz w:val="18"/>
        </w:rPr>
        <w:t xml:space="preserve"> </w:t>
      </w:r>
      <w:r w:rsidRPr="006C0EC6">
        <w:rPr>
          <w:sz w:val="18"/>
        </w:rPr>
        <w:t>junio</w:t>
      </w:r>
      <w:r w:rsidRPr="006C0EC6">
        <w:rPr>
          <w:spacing w:val="-6"/>
          <w:sz w:val="18"/>
        </w:rPr>
        <w:t xml:space="preserve"> </w:t>
      </w:r>
      <w:r w:rsidRPr="006C0EC6">
        <w:rPr>
          <w:sz w:val="18"/>
        </w:rPr>
        <w:t>de</w:t>
      </w:r>
      <w:r w:rsidRPr="006C0EC6">
        <w:rPr>
          <w:spacing w:val="-1"/>
          <w:sz w:val="18"/>
        </w:rPr>
        <w:t xml:space="preserve"> </w:t>
      </w:r>
      <w:r w:rsidRPr="006C0EC6">
        <w:rPr>
          <w:sz w:val="18"/>
        </w:rPr>
        <w:t xml:space="preserve">2019, </w:t>
      </w:r>
      <w:r w:rsidRPr="006C0EC6">
        <w:rPr>
          <w:spacing w:val="40"/>
          <w:sz w:val="18"/>
        </w:rPr>
        <w:t xml:space="preserve"> </w:t>
      </w:r>
      <w:r w:rsidRPr="006C0EC6">
        <w:rPr>
          <w:sz w:val="18"/>
        </w:rPr>
        <w:t xml:space="preserve">4201912000004426 </w:t>
      </w:r>
      <w:r w:rsidRPr="006C0EC6">
        <w:rPr>
          <w:spacing w:val="40"/>
          <w:sz w:val="18"/>
        </w:rPr>
        <w:t xml:space="preserve"> </w:t>
      </w:r>
      <w:r w:rsidRPr="006C0EC6">
        <w:rPr>
          <w:sz w:val="18"/>
        </w:rPr>
        <w:t xml:space="preserve">del </w:t>
      </w:r>
      <w:r w:rsidRPr="006C0EC6">
        <w:rPr>
          <w:spacing w:val="41"/>
          <w:sz w:val="18"/>
        </w:rPr>
        <w:t xml:space="preserve"> </w:t>
      </w:r>
      <w:r w:rsidRPr="006C0EC6">
        <w:rPr>
          <w:sz w:val="18"/>
        </w:rPr>
        <w:t xml:space="preserve">3 </w:t>
      </w:r>
      <w:r w:rsidRPr="006C0EC6">
        <w:rPr>
          <w:spacing w:val="40"/>
          <w:sz w:val="18"/>
        </w:rPr>
        <w:t xml:space="preserve"> </w:t>
      </w:r>
      <w:r w:rsidRPr="006C0EC6">
        <w:rPr>
          <w:sz w:val="18"/>
        </w:rPr>
        <w:t xml:space="preserve">de </w:t>
      </w:r>
      <w:r w:rsidRPr="006C0EC6">
        <w:rPr>
          <w:spacing w:val="40"/>
          <w:sz w:val="18"/>
        </w:rPr>
        <w:t xml:space="preserve"> </w:t>
      </w:r>
      <w:r w:rsidRPr="006C0EC6">
        <w:rPr>
          <w:sz w:val="18"/>
        </w:rPr>
        <w:t xml:space="preserve">julio </w:t>
      </w:r>
      <w:r w:rsidRPr="006C0EC6">
        <w:rPr>
          <w:spacing w:val="41"/>
          <w:sz w:val="18"/>
        </w:rPr>
        <w:t xml:space="preserve"> </w:t>
      </w:r>
      <w:r w:rsidRPr="006C0EC6">
        <w:rPr>
          <w:sz w:val="18"/>
        </w:rPr>
        <w:t xml:space="preserve">de </w:t>
      </w:r>
      <w:r w:rsidRPr="006C0EC6">
        <w:rPr>
          <w:spacing w:val="40"/>
          <w:sz w:val="18"/>
        </w:rPr>
        <w:t xml:space="preserve"> </w:t>
      </w:r>
      <w:r w:rsidRPr="006C0EC6">
        <w:rPr>
          <w:sz w:val="18"/>
        </w:rPr>
        <w:t xml:space="preserve">2019, </w:t>
      </w:r>
      <w:r w:rsidRPr="006C0EC6">
        <w:rPr>
          <w:spacing w:val="40"/>
          <w:sz w:val="18"/>
        </w:rPr>
        <w:t xml:space="preserve"> </w:t>
      </w:r>
      <w:r w:rsidRPr="006C0EC6">
        <w:rPr>
          <w:sz w:val="18"/>
        </w:rPr>
        <w:t xml:space="preserve">4201912000005320 </w:t>
      </w:r>
      <w:r w:rsidRPr="006C0EC6">
        <w:rPr>
          <w:spacing w:val="41"/>
          <w:sz w:val="18"/>
        </w:rPr>
        <w:t xml:space="preserve"> </w:t>
      </w:r>
      <w:r w:rsidRPr="006C0EC6">
        <w:rPr>
          <w:sz w:val="18"/>
        </w:rPr>
        <w:t xml:space="preserve">del </w:t>
      </w:r>
      <w:r w:rsidRPr="006C0EC6">
        <w:rPr>
          <w:spacing w:val="40"/>
          <w:sz w:val="18"/>
        </w:rPr>
        <w:t xml:space="preserve"> </w:t>
      </w:r>
      <w:r w:rsidRPr="006C0EC6">
        <w:rPr>
          <w:sz w:val="18"/>
        </w:rPr>
        <w:t xml:space="preserve">6 </w:t>
      </w:r>
      <w:r w:rsidRPr="006C0EC6">
        <w:rPr>
          <w:spacing w:val="41"/>
          <w:sz w:val="18"/>
        </w:rPr>
        <w:t xml:space="preserve"> </w:t>
      </w:r>
      <w:r w:rsidRPr="006C0EC6">
        <w:rPr>
          <w:sz w:val="18"/>
        </w:rPr>
        <w:t xml:space="preserve">de </w:t>
      </w:r>
      <w:r w:rsidRPr="006C0EC6">
        <w:rPr>
          <w:spacing w:val="40"/>
          <w:sz w:val="18"/>
        </w:rPr>
        <w:t xml:space="preserve"> </w:t>
      </w:r>
      <w:r w:rsidRPr="006C0EC6">
        <w:rPr>
          <w:sz w:val="18"/>
        </w:rPr>
        <w:t xml:space="preserve">agosto </w:t>
      </w:r>
      <w:r w:rsidRPr="006C0EC6">
        <w:rPr>
          <w:spacing w:val="40"/>
          <w:sz w:val="18"/>
        </w:rPr>
        <w:t xml:space="preserve"> </w:t>
      </w:r>
      <w:r w:rsidRPr="006C0EC6">
        <w:rPr>
          <w:sz w:val="18"/>
        </w:rPr>
        <w:t xml:space="preserve">de </w:t>
      </w:r>
      <w:r w:rsidRPr="006C0EC6">
        <w:rPr>
          <w:spacing w:val="41"/>
          <w:sz w:val="18"/>
        </w:rPr>
        <w:t xml:space="preserve"> </w:t>
      </w:r>
      <w:r w:rsidRPr="006C0EC6">
        <w:rPr>
          <w:sz w:val="18"/>
        </w:rPr>
        <w:t>2019,</w:t>
      </w:r>
    </w:p>
    <w:p w14:paraId="70310476" w14:textId="77777777" w:rsidR="006C0EC6" w:rsidRPr="006C0EC6" w:rsidRDefault="006C0EC6" w:rsidP="006C0EC6">
      <w:pPr>
        <w:spacing w:line="204" w:lineRule="exact"/>
        <w:ind w:right="206"/>
        <w:jc w:val="right"/>
        <w:rPr>
          <w:sz w:val="18"/>
        </w:rPr>
      </w:pPr>
      <w:r w:rsidRPr="006C0EC6">
        <w:rPr>
          <w:sz w:val="18"/>
        </w:rPr>
        <w:t xml:space="preserve">4201912000005416  </w:t>
      </w:r>
      <w:r w:rsidRPr="006C0EC6">
        <w:rPr>
          <w:spacing w:val="4"/>
          <w:sz w:val="18"/>
        </w:rPr>
        <w:t xml:space="preserve"> </w:t>
      </w:r>
      <w:r w:rsidRPr="006C0EC6">
        <w:rPr>
          <w:sz w:val="18"/>
        </w:rPr>
        <w:t xml:space="preserve">del  </w:t>
      </w:r>
      <w:r w:rsidRPr="006C0EC6">
        <w:rPr>
          <w:spacing w:val="4"/>
          <w:sz w:val="18"/>
        </w:rPr>
        <w:t xml:space="preserve"> </w:t>
      </w:r>
      <w:r w:rsidRPr="006C0EC6">
        <w:rPr>
          <w:sz w:val="18"/>
        </w:rPr>
        <w:t xml:space="preserve">10  </w:t>
      </w:r>
      <w:r w:rsidRPr="006C0EC6">
        <w:rPr>
          <w:spacing w:val="2"/>
          <w:sz w:val="18"/>
        </w:rPr>
        <w:t xml:space="preserve"> </w:t>
      </w:r>
      <w:r w:rsidRPr="006C0EC6">
        <w:rPr>
          <w:sz w:val="18"/>
        </w:rPr>
        <w:t xml:space="preserve">de  </w:t>
      </w:r>
      <w:r w:rsidRPr="006C0EC6">
        <w:rPr>
          <w:spacing w:val="4"/>
          <w:sz w:val="18"/>
        </w:rPr>
        <w:t xml:space="preserve"> </w:t>
      </w:r>
      <w:r w:rsidRPr="006C0EC6">
        <w:rPr>
          <w:sz w:val="18"/>
        </w:rPr>
        <w:t xml:space="preserve">agosto  </w:t>
      </w:r>
      <w:r w:rsidRPr="006C0EC6">
        <w:rPr>
          <w:spacing w:val="4"/>
          <w:sz w:val="18"/>
        </w:rPr>
        <w:t xml:space="preserve"> </w:t>
      </w:r>
      <w:r w:rsidRPr="006C0EC6">
        <w:rPr>
          <w:sz w:val="18"/>
        </w:rPr>
        <w:t xml:space="preserve">de  </w:t>
      </w:r>
      <w:r w:rsidRPr="006C0EC6">
        <w:rPr>
          <w:spacing w:val="7"/>
          <w:sz w:val="18"/>
        </w:rPr>
        <w:t xml:space="preserve"> </w:t>
      </w:r>
      <w:r w:rsidRPr="006C0EC6">
        <w:rPr>
          <w:sz w:val="18"/>
        </w:rPr>
        <w:t xml:space="preserve">2019,  </w:t>
      </w:r>
      <w:r w:rsidRPr="006C0EC6">
        <w:rPr>
          <w:spacing w:val="5"/>
          <w:sz w:val="18"/>
        </w:rPr>
        <w:t xml:space="preserve"> </w:t>
      </w:r>
      <w:r w:rsidRPr="006C0EC6">
        <w:rPr>
          <w:sz w:val="18"/>
        </w:rPr>
        <w:t xml:space="preserve">4201912000005609  </w:t>
      </w:r>
      <w:r w:rsidRPr="006C0EC6">
        <w:rPr>
          <w:spacing w:val="4"/>
          <w:sz w:val="18"/>
        </w:rPr>
        <w:t xml:space="preserve"> </w:t>
      </w:r>
      <w:r w:rsidRPr="006C0EC6">
        <w:rPr>
          <w:sz w:val="18"/>
        </w:rPr>
        <w:t xml:space="preserve">del  </w:t>
      </w:r>
      <w:r w:rsidRPr="006C0EC6">
        <w:rPr>
          <w:spacing w:val="4"/>
          <w:sz w:val="18"/>
        </w:rPr>
        <w:t xml:space="preserve"> </w:t>
      </w:r>
      <w:r w:rsidRPr="006C0EC6">
        <w:rPr>
          <w:sz w:val="18"/>
        </w:rPr>
        <w:t xml:space="preserve">16  </w:t>
      </w:r>
      <w:r w:rsidRPr="006C0EC6">
        <w:rPr>
          <w:spacing w:val="4"/>
          <w:sz w:val="18"/>
        </w:rPr>
        <w:t xml:space="preserve"> </w:t>
      </w:r>
      <w:r w:rsidRPr="006C0EC6">
        <w:rPr>
          <w:sz w:val="18"/>
        </w:rPr>
        <w:t xml:space="preserve">de  </w:t>
      </w:r>
      <w:r w:rsidRPr="006C0EC6">
        <w:rPr>
          <w:spacing w:val="4"/>
          <w:sz w:val="18"/>
        </w:rPr>
        <w:t xml:space="preserve"> </w:t>
      </w:r>
      <w:r w:rsidRPr="006C0EC6">
        <w:rPr>
          <w:sz w:val="18"/>
        </w:rPr>
        <w:t xml:space="preserve">agosto  </w:t>
      </w:r>
      <w:r w:rsidRPr="006C0EC6">
        <w:rPr>
          <w:spacing w:val="4"/>
          <w:sz w:val="18"/>
        </w:rPr>
        <w:t xml:space="preserve"> </w:t>
      </w:r>
      <w:r w:rsidRPr="006C0EC6">
        <w:rPr>
          <w:sz w:val="18"/>
        </w:rPr>
        <w:t xml:space="preserve">de  </w:t>
      </w:r>
      <w:r w:rsidRPr="006C0EC6">
        <w:rPr>
          <w:spacing w:val="5"/>
          <w:sz w:val="18"/>
        </w:rPr>
        <w:t xml:space="preserve"> </w:t>
      </w:r>
      <w:r w:rsidRPr="006C0EC6">
        <w:rPr>
          <w:sz w:val="18"/>
        </w:rPr>
        <w:t>2019,</w:t>
      </w:r>
    </w:p>
    <w:p w14:paraId="23850673" w14:textId="77777777" w:rsidR="006C0EC6" w:rsidRPr="006C0EC6" w:rsidRDefault="006C0EC6" w:rsidP="006C0EC6">
      <w:pPr>
        <w:spacing w:before="1"/>
        <w:ind w:left="180"/>
        <w:rPr>
          <w:sz w:val="18"/>
        </w:rPr>
      </w:pPr>
      <w:r w:rsidRPr="006C0EC6">
        <w:rPr>
          <w:sz w:val="18"/>
        </w:rPr>
        <w:t>4201912000006151 del 9 de septiembre de 2019, 4201912000007034 del 11 de octubre de 2019,</w:t>
      </w:r>
    </w:p>
    <w:p w14:paraId="41552CB0" w14:textId="77777777" w:rsidR="006C0EC6" w:rsidRPr="006C0EC6" w:rsidRDefault="006C0EC6" w:rsidP="006C0EC6">
      <w:pPr>
        <w:ind w:left="180"/>
        <w:rPr>
          <w:sz w:val="18"/>
        </w:rPr>
      </w:pPr>
      <w:r w:rsidRPr="006C0EC6">
        <w:rPr>
          <w:sz w:val="18"/>
        </w:rPr>
        <w:t>4201912000008368 del 16 de diciembre de 2019, entre otros.</w:t>
      </w:r>
    </w:p>
    <w:p w14:paraId="5462ECDA" w14:textId="1A034A88" w:rsidR="006C0EC6" w:rsidRPr="006C0EC6" w:rsidRDefault="006C0EC6">
      <w:pPr>
        <w:pStyle w:val="Textonotapie"/>
      </w:pPr>
    </w:p>
  </w:footnote>
  <w:footnote w:id="4">
    <w:p w14:paraId="4ABE9783" w14:textId="77777777" w:rsidR="00DF5748" w:rsidRPr="006C0EC6" w:rsidRDefault="00DF5748" w:rsidP="00DF5748">
      <w:pPr>
        <w:spacing w:before="86" w:line="244" w:lineRule="auto"/>
        <w:ind w:left="180" w:right="208" w:firstLine="707"/>
        <w:jc w:val="both"/>
        <w:rPr>
          <w:sz w:val="20"/>
        </w:rPr>
      </w:pPr>
      <w:r>
        <w:rPr>
          <w:rStyle w:val="Refdenotaalpie"/>
        </w:rPr>
        <w:footnoteRef/>
      </w:r>
      <w:r>
        <w:t xml:space="preserve"> </w:t>
      </w:r>
      <w:r w:rsidRPr="006C0EC6">
        <w:rPr>
          <w:sz w:val="20"/>
        </w:rPr>
        <w:t>Tomado del formulario de presupuesto oficial del proceso de Licitación Pública No LP-DO- 003-2018 que tiene por objeto la “GESTIÓN SOCIAL, PREDIAL, AMBIENTAL Y CONSTRUCCIÓN DE LA VARIANTE DE SAN GIL EN EL DEPARTAMENTO DE SANTANDER” tramitado por el</w:t>
      </w:r>
    </w:p>
    <w:p w14:paraId="0CC74845" w14:textId="77777777" w:rsidR="00DF5748" w:rsidRPr="006C0EC6" w:rsidRDefault="00DF5748" w:rsidP="00DF5748">
      <w:pPr>
        <w:spacing w:line="224" w:lineRule="exact"/>
        <w:ind w:left="180"/>
        <w:jc w:val="both"/>
        <w:rPr>
          <w:sz w:val="20"/>
        </w:rPr>
      </w:pPr>
      <w:r w:rsidRPr="006C0EC6">
        <w:rPr>
          <w:sz w:val="20"/>
        </w:rPr>
        <w:t>Instituto Nacional de Vías – INVIAS.</w:t>
      </w:r>
    </w:p>
    <w:p w14:paraId="7B725E4C" w14:textId="10E8B6EF" w:rsidR="00DF5748" w:rsidRPr="00DF5748" w:rsidRDefault="00DF5748">
      <w:pPr>
        <w:pStyle w:val="Textonotapie"/>
      </w:pPr>
    </w:p>
  </w:footnote>
  <w:footnote w:id="5">
    <w:p w14:paraId="3C0DF3BA" w14:textId="751F6337" w:rsidR="00DF5748" w:rsidRPr="006C0EC6" w:rsidRDefault="00DF5748" w:rsidP="00DF5748">
      <w:pPr>
        <w:spacing w:before="87" w:line="247" w:lineRule="auto"/>
        <w:ind w:left="180" w:right="213" w:firstLine="707"/>
        <w:jc w:val="both"/>
        <w:rPr>
          <w:sz w:val="18"/>
        </w:rPr>
      </w:pPr>
      <w:r>
        <w:rPr>
          <w:rStyle w:val="Refdenotaalpie"/>
        </w:rPr>
        <w:footnoteRef/>
      </w:r>
      <w:r>
        <w:t xml:space="preserve"> </w:t>
      </w:r>
      <w:r w:rsidRPr="006C0EC6">
        <w:rPr>
          <w:sz w:val="18"/>
        </w:rPr>
        <w:t>Código de Comercio, artículo 26: “El registro mercantil tendrá por objeto llevar la matrícula de los comerciantes y de los establecimientos de comercio, así como la inscripción de todos los actos, libros y documentos respecto de los cuales la ley exigiere esa formalidad”.</w:t>
      </w:r>
    </w:p>
    <w:p w14:paraId="20E5D189" w14:textId="57859E12" w:rsidR="00DF5748" w:rsidRPr="00DF5748" w:rsidRDefault="00DF5748">
      <w:pPr>
        <w:pStyle w:val="Textonotapie"/>
      </w:pPr>
    </w:p>
  </w:footnote>
  <w:footnote w:id="6">
    <w:p w14:paraId="2F98DD56" w14:textId="77777777" w:rsidR="00DF5748" w:rsidRPr="006C0EC6" w:rsidRDefault="00DF5748" w:rsidP="00DF5748">
      <w:pPr>
        <w:spacing w:before="5" w:line="252" w:lineRule="auto"/>
        <w:ind w:left="180" w:right="212" w:firstLine="707"/>
        <w:jc w:val="both"/>
        <w:rPr>
          <w:sz w:val="18"/>
        </w:rPr>
      </w:pPr>
      <w:r>
        <w:rPr>
          <w:rStyle w:val="Refdenotaalpie"/>
        </w:rPr>
        <w:footnoteRef/>
      </w:r>
      <w:r>
        <w:t xml:space="preserve"> </w:t>
      </w:r>
      <w:r w:rsidRPr="006C0EC6">
        <w:rPr>
          <w:sz w:val="18"/>
        </w:rPr>
        <w:t>Código de Comercio: “Artículo 10. Son comerciantes las personas que profesionalmente se ocupan en alguna de las actividades que la ley considera mercantiles.</w:t>
      </w:r>
    </w:p>
    <w:p w14:paraId="166FFE71" w14:textId="77777777" w:rsidR="00DF5748" w:rsidRPr="006C0EC6" w:rsidRDefault="00DF5748" w:rsidP="00DF5748">
      <w:pPr>
        <w:pStyle w:val="Textoindependiente"/>
        <w:spacing w:before="2"/>
        <w:rPr>
          <w:sz w:val="17"/>
        </w:rPr>
      </w:pPr>
    </w:p>
    <w:p w14:paraId="4CF903F1" w14:textId="554D6497" w:rsidR="00DF5748" w:rsidRDefault="00DF5748" w:rsidP="00DF5748">
      <w:pPr>
        <w:pStyle w:val="Textonotapie"/>
        <w:rPr>
          <w:sz w:val="18"/>
        </w:rPr>
      </w:pPr>
      <w:r w:rsidRPr="006C0EC6">
        <w:rPr>
          <w:sz w:val="18"/>
        </w:rPr>
        <w:t>“La calidad de comerciante se adquiere aunque la actividad mercantil se ejerza por medio de apoderado,</w:t>
      </w:r>
    </w:p>
    <w:p w14:paraId="1518E301" w14:textId="77777777" w:rsidR="00DF5748" w:rsidRPr="00DF5748" w:rsidRDefault="00DF5748" w:rsidP="00DF5748">
      <w:pPr>
        <w:pStyle w:val="Textonotapie"/>
        <w:rPr>
          <w:lang w:val="es-MX"/>
        </w:rPr>
      </w:pPr>
    </w:p>
  </w:footnote>
  <w:footnote w:id="7">
    <w:p w14:paraId="06361076" w14:textId="136F0544" w:rsidR="00DF5748" w:rsidRDefault="00DF5748" w:rsidP="00DF5748">
      <w:pPr>
        <w:ind w:left="888"/>
        <w:rPr>
          <w:sz w:val="18"/>
        </w:rPr>
      </w:pPr>
      <w:r>
        <w:rPr>
          <w:rStyle w:val="Refdenotaalpie"/>
        </w:rPr>
        <w:footnoteRef/>
      </w:r>
      <w:r>
        <w:t xml:space="preserve"> </w:t>
      </w:r>
      <w:r w:rsidRPr="006C0EC6">
        <w:rPr>
          <w:sz w:val="18"/>
        </w:rPr>
        <w:t>Código de Comercio: “artículo 23: No son mercantiles:</w:t>
      </w:r>
    </w:p>
    <w:p w14:paraId="4FA4CE84" w14:textId="77777777" w:rsidR="00DF5748" w:rsidRPr="006C0EC6" w:rsidRDefault="00DF5748" w:rsidP="00DF5748">
      <w:pPr>
        <w:spacing w:before="94"/>
        <w:ind w:left="180" w:right="214"/>
        <w:jc w:val="both"/>
        <w:rPr>
          <w:sz w:val="18"/>
        </w:rPr>
      </w:pPr>
      <w:r w:rsidRPr="006C0EC6">
        <w:rPr>
          <w:sz w:val="18"/>
        </w:rPr>
        <w:t>“1) La adquisición de bienes con destino al consumo doméstico o al uso del adquirente, y la enajenación de los mismos o de los sobrantes;</w:t>
      </w:r>
    </w:p>
    <w:p w14:paraId="00937972" w14:textId="77777777" w:rsidR="00DF5748" w:rsidRPr="006C0EC6" w:rsidRDefault="00DF5748" w:rsidP="00DF5748">
      <w:pPr>
        <w:pStyle w:val="Textoindependiente"/>
        <w:spacing w:before="2"/>
        <w:rPr>
          <w:sz w:val="18"/>
        </w:rPr>
      </w:pPr>
    </w:p>
    <w:p w14:paraId="34A6B593" w14:textId="77777777" w:rsidR="00DF5748" w:rsidRPr="006C0EC6" w:rsidRDefault="00DF5748" w:rsidP="00DF5748">
      <w:pPr>
        <w:spacing w:line="480" w:lineRule="auto"/>
        <w:ind w:left="180" w:right="1364"/>
        <w:jc w:val="both"/>
        <w:rPr>
          <w:sz w:val="18"/>
        </w:rPr>
      </w:pPr>
      <w:r w:rsidRPr="006C0EC6">
        <w:rPr>
          <w:sz w:val="18"/>
        </w:rPr>
        <w:t>“2) La adquisición de bienes para producir obras artísticas y la enajenación de éstas por su autor; “3) Las adquisiciones hechas por funcionarios o empleados para fines de servicio público;</w:t>
      </w:r>
    </w:p>
    <w:p w14:paraId="7A9093DA" w14:textId="77777777" w:rsidR="00DF5748" w:rsidRPr="006C0EC6" w:rsidRDefault="00DF5748" w:rsidP="00DF5748">
      <w:pPr>
        <w:ind w:left="180" w:right="209"/>
        <w:jc w:val="both"/>
        <w:rPr>
          <w:sz w:val="18"/>
        </w:rPr>
      </w:pPr>
      <w:r w:rsidRPr="006C0EC6">
        <w:rPr>
          <w:sz w:val="18"/>
        </w:rPr>
        <w:t>“4) Las enajenaciones que hagan directamente los agricultores o ganaderos de los frutos de sus cosechas o ganados, en su estado natural. Tampoco serán mercantiles las actividades de transformación de tales frutos que efectúen los agricultores o ganaderos, siempre y cuando que dicha transformación no constituya por sí misma una empresa, y</w:t>
      </w:r>
    </w:p>
    <w:p w14:paraId="17851A88" w14:textId="77777777" w:rsidR="00DF5748" w:rsidRPr="006C0EC6" w:rsidRDefault="00DF5748" w:rsidP="00DF5748">
      <w:pPr>
        <w:pStyle w:val="Textoindependiente"/>
        <w:rPr>
          <w:sz w:val="18"/>
        </w:rPr>
      </w:pPr>
    </w:p>
    <w:p w14:paraId="685786BB" w14:textId="77777777" w:rsidR="00DF5748" w:rsidRPr="006C0EC6" w:rsidRDefault="00DF5748" w:rsidP="00DF5748">
      <w:pPr>
        <w:ind w:left="180"/>
        <w:jc w:val="both"/>
        <w:rPr>
          <w:sz w:val="18"/>
        </w:rPr>
      </w:pPr>
      <w:r w:rsidRPr="006C0EC6">
        <w:rPr>
          <w:sz w:val="18"/>
        </w:rPr>
        <w:t>“5) La prestación de servicios inherentes a las profesiones</w:t>
      </w:r>
      <w:r w:rsidRPr="006C0EC6">
        <w:rPr>
          <w:spacing w:val="-9"/>
          <w:sz w:val="18"/>
        </w:rPr>
        <w:t xml:space="preserve"> </w:t>
      </w:r>
      <w:r w:rsidRPr="006C0EC6">
        <w:rPr>
          <w:sz w:val="18"/>
        </w:rPr>
        <w:t>liberales”.</w:t>
      </w:r>
    </w:p>
    <w:p w14:paraId="2529CCDC" w14:textId="77777777" w:rsidR="00DF5748" w:rsidRPr="00DF5748" w:rsidRDefault="00DF5748" w:rsidP="00DF5748">
      <w:pPr>
        <w:ind w:left="888"/>
      </w:pPr>
    </w:p>
  </w:footnote>
  <w:footnote w:id="8">
    <w:p w14:paraId="584D37EE" w14:textId="5386E4F5" w:rsidR="00DF5748" w:rsidRPr="006C0EC6" w:rsidRDefault="00DF5748" w:rsidP="00DF5748">
      <w:pPr>
        <w:spacing w:line="254" w:lineRule="auto"/>
        <w:ind w:left="180" w:right="204" w:firstLine="707"/>
        <w:rPr>
          <w:sz w:val="18"/>
        </w:rPr>
      </w:pPr>
      <w:r>
        <w:rPr>
          <w:rStyle w:val="Refdenotaalpie"/>
        </w:rPr>
        <w:footnoteRef/>
      </w:r>
      <w:r>
        <w:t xml:space="preserve"> </w:t>
      </w:r>
      <w:r w:rsidRPr="006C0EC6">
        <w:rPr>
          <w:sz w:val="18"/>
        </w:rPr>
        <w:t>Consejo de Estado, Sección cuarta, sentencia con radicado 11001-03-27-000-2010-00051-00(18578) del 2 de agosto de 2012, Consejero Ponente William Giraldo</w:t>
      </w:r>
      <w:r w:rsidRPr="006C0EC6">
        <w:rPr>
          <w:spacing w:val="-18"/>
          <w:sz w:val="18"/>
        </w:rPr>
        <w:t xml:space="preserve"> </w:t>
      </w:r>
      <w:r w:rsidRPr="006C0EC6">
        <w:rPr>
          <w:sz w:val="18"/>
        </w:rPr>
        <w:t>Giraldo.</w:t>
      </w:r>
    </w:p>
    <w:p w14:paraId="770CB7F7" w14:textId="4E74221B" w:rsidR="00DF5748" w:rsidRPr="00DF5748" w:rsidRDefault="00DF5748">
      <w:pPr>
        <w:pStyle w:val="Textonotapie"/>
      </w:pPr>
    </w:p>
  </w:footnote>
  <w:footnote w:id="9">
    <w:p w14:paraId="17A0E13C" w14:textId="14F20179" w:rsidR="00DF5748" w:rsidRPr="00DF5748" w:rsidRDefault="00DF5748" w:rsidP="00DF5748">
      <w:pPr>
        <w:pStyle w:val="Textonotapie"/>
        <w:ind w:firstLine="720"/>
        <w:rPr>
          <w:lang w:val="es-MX"/>
        </w:rPr>
      </w:pPr>
      <w:r>
        <w:rPr>
          <w:rStyle w:val="Refdenotaalpie"/>
        </w:rPr>
        <w:footnoteRef/>
      </w:r>
      <w:r>
        <w:t xml:space="preserve"> </w:t>
      </w:r>
      <w:r w:rsidRPr="006C0EC6">
        <w:rPr>
          <w:sz w:val="18"/>
        </w:rPr>
        <w:t>Corte Constitucional. Sentencia C-621 de 2003. M.P. Marco Gerardo Monroy Cabra.</w:t>
      </w:r>
    </w:p>
  </w:footnote>
  <w:footnote w:id="10">
    <w:p w14:paraId="65ABB630" w14:textId="77777777" w:rsidR="00DF5748" w:rsidRPr="006C0EC6" w:rsidRDefault="00DF5748" w:rsidP="00DF5748">
      <w:pPr>
        <w:spacing w:before="1" w:line="247" w:lineRule="auto"/>
        <w:ind w:left="180" w:right="204" w:firstLine="707"/>
        <w:jc w:val="both"/>
        <w:rPr>
          <w:sz w:val="18"/>
        </w:rPr>
      </w:pPr>
      <w:r>
        <w:rPr>
          <w:rStyle w:val="Refdenotaalpie"/>
        </w:rPr>
        <w:footnoteRef/>
      </w:r>
      <w:r>
        <w:t xml:space="preserve"> </w:t>
      </w:r>
      <w:r w:rsidRPr="006C0EC6">
        <w:rPr>
          <w:sz w:val="18"/>
        </w:rPr>
        <w:t>Decreto 2153 de 1992, “artículo 11(…) 5. Imponer a las personas que ejerzan profesionalmente el comercio, sin estar matriculadas en el registro mercantil, multas hasta el equivalente de diecisiete (17) salarios mínimos mensuales legales vigentes al momento de la imposición de la sanción”.</w:t>
      </w:r>
    </w:p>
    <w:p w14:paraId="30F7E0BA" w14:textId="1745A3DB" w:rsidR="00DF5748" w:rsidRPr="00DF5748" w:rsidRDefault="00DF5748">
      <w:pPr>
        <w:pStyle w:val="Textonotapie"/>
      </w:pPr>
    </w:p>
  </w:footnote>
  <w:footnote w:id="11">
    <w:p w14:paraId="3E09101E" w14:textId="480A6AE9" w:rsidR="00DF5748" w:rsidRPr="00DF5748" w:rsidRDefault="00DF5748">
      <w:pPr>
        <w:pStyle w:val="Textonotapie"/>
        <w:rPr>
          <w:lang w:val="es-MX"/>
        </w:rPr>
      </w:pPr>
      <w:r>
        <w:rPr>
          <w:rStyle w:val="Refdenotaalpie"/>
        </w:rPr>
        <w:footnoteRef/>
      </w:r>
      <w:r>
        <w:t xml:space="preserve"> </w:t>
      </w:r>
      <w:r w:rsidRPr="006C0EC6">
        <w:rPr>
          <w:sz w:val="18"/>
        </w:rPr>
        <w:t xml:space="preserve">Ley 80 de 1993. </w:t>
      </w:r>
      <w:r w:rsidRPr="006C0EC6">
        <w:rPr>
          <w:rFonts w:ascii="Carlito" w:hAnsi="Carlito"/>
        </w:rPr>
        <w:t>“</w:t>
      </w:r>
      <w:r w:rsidRPr="006C0EC6">
        <w:rPr>
          <w:sz w:val="18"/>
        </w:rPr>
        <w:t>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footnote>
  <w:footnote w:id="12">
    <w:p w14:paraId="17682056" w14:textId="77777777" w:rsidR="00DF5748" w:rsidRPr="006C0EC6" w:rsidRDefault="00DF5748" w:rsidP="00DF5748">
      <w:pPr>
        <w:spacing w:before="87"/>
        <w:ind w:left="888"/>
        <w:rPr>
          <w:sz w:val="18"/>
        </w:rPr>
      </w:pPr>
      <w:r>
        <w:rPr>
          <w:rStyle w:val="Refdenotaalpie"/>
        </w:rPr>
        <w:footnoteRef/>
      </w:r>
      <w:r>
        <w:t xml:space="preserve"> </w:t>
      </w:r>
      <w:r w:rsidRPr="006C0EC6">
        <w:rPr>
          <w:sz w:val="18"/>
        </w:rPr>
        <w:t>8.2. ANÁLISIS DE PRECIOS UNITARIOS</w:t>
      </w:r>
    </w:p>
    <w:p w14:paraId="10AD433C" w14:textId="77777777" w:rsidR="00DF5748" w:rsidRPr="006C0EC6" w:rsidRDefault="00DF5748" w:rsidP="00DF5748">
      <w:pPr>
        <w:spacing w:before="10"/>
        <w:ind w:left="180" w:right="203"/>
        <w:jc w:val="both"/>
        <w:rPr>
          <w:sz w:val="18"/>
        </w:rPr>
      </w:pPr>
      <w:r w:rsidRPr="006C0EC6">
        <w:rPr>
          <w:sz w:val="18"/>
        </w:rPr>
        <w:t>“El Contratista deberá diligenciar para cada uno de los ítems enunciados en el Formulario 1– Formulario de Presupuesto Oficial, el análisis de precios unitarios (costos directos más indirectos), de acuerdo con el formato que se presenta en el respectivo Formulario 1– Formulario de Presupuesto Oficial y entregarlos en el plazo establecido en el numeral 8.1. Los precios unitarios resultantes de los análisis no podrán ser diferentes a los consignados en el Formulario 1– Formulario de Presupuesto Oficial toda vez que estos últimos fueron utilizados en la evaluación de las propuestas; si se presentare alguna discrepancia, el contratista deberá ajustar el precio unitario obtenido en el análisis consignado en el Formulario de la propuesta.</w:t>
      </w:r>
    </w:p>
    <w:p w14:paraId="61F90CEB" w14:textId="77777777" w:rsidR="00DF5748" w:rsidRPr="006C0EC6" w:rsidRDefault="00DF5748" w:rsidP="00DF5748">
      <w:pPr>
        <w:pStyle w:val="Textoindependiente"/>
        <w:spacing w:before="2"/>
        <w:rPr>
          <w:sz w:val="18"/>
        </w:rPr>
      </w:pPr>
    </w:p>
    <w:p w14:paraId="2A716F16" w14:textId="77777777" w:rsidR="00DF5748" w:rsidRPr="006C0EC6" w:rsidRDefault="00DF5748" w:rsidP="00DF5748">
      <w:pPr>
        <w:ind w:left="180" w:right="206"/>
        <w:jc w:val="both"/>
        <w:rPr>
          <w:sz w:val="18"/>
        </w:rPr>
      </w:pPr>
      <w:r w:rsidRPr="006C0EC6">
        <w:rPr>
          <w:sz w:val="18"/>
        </w:rPr>
        <w:t>“El Contratista deberá tener en cuenta dentro de cada uno de los análisis de precios unitarios todo lo necesario y suficiente para llevar a cabo el ítem de acuerdo con las normas y especificaciones técnicas contractuales, en 1 relación con: el equipo (con sus rendimientos), materiales (cantidades, rendimientos), transportes, mano de obra (con sus rendimientos), AIU. Los equipos deberán tener la capacidad y rendimientos que requiera la ejecución de cada ítem de obra. Cualquier error u omisión del Contratista en los costos directos o indirectos considerados en su Análisis de Precios Unitarios para los ítems de obra, es de exclusiva responsabilidad del contratista y por lo tanto no podrá reclamar a la Entidad reconocimiento alguno adicional al valor de los precios unitarios consignados en el formulario de su propuesta. El contratista acepta que los precios unitarios por él ofertados constituyen su propuesta económica autónoma”.</w:t>
      </w:r>
    </w:p>
    <w:p w14:paraId="729FFE37" w14:textId="34A044D0" w:rsidR="00DF5748" w:rsidRPr="00DF5748" w:rsidRDefault="00DF5748">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4B0723" w14:textId="77777777" w:rsidR="00AD5C97" w:rsidRDefault="00BC13E9">
    <w:pPr>
      <w:pStyle w:val="Textoindependiente"/>
      <w:spacing w:line="14" w:lineRule="auto"/>
      <w:rPr>
        <w:sz w:val="20"/>
      </w:rPr>
    </w:pPr>
    <w:r>
      <w:rPr>
        <w:noProof/>
        <w:lang w:val="en-US"/>
      </w:rPr>
      <w:drawing>
        <wp:anchor distT="0" distB="0" distL="0" distR="0" simplePos="0" relativeHeight="487180288" behindDoc="1" locked="0" layoutInCell="1" allowOverlap="1" wp14:anchorId="571C4D16" wp14:editId="73C628F2">
          <wp:simplePos x="0" y="0"/>
          <wp:positionH relativeFrom="page">
            <wp:posOffset>5304473</wp:posOffset>
          </wp:positionH>
          <wp:positionV relativeFrom="page">
            <wp:posOffset>468247</wp:posOffset>
          </wp:positionV>
          <wp:extent cx="1346374" cy="521377"/>
          <wp:effectExtent l="0" t="0" r="0" b="0"/>
          <wp:wrapNone/>
          <wp:docPr id="1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E66FE"/>
    <w:multiLevelType w:val="hybridMultilevel"/>
    <w:tmpl w:val="E54296F2"/>
    <w:lvl w:ilvl="0" w:tplc="2C2CF438">
      <w:start w:val="2"/>
      <w:numFmt w:val="decimal"/>
      <w:lvlText w:val="%1"/>
      <w:lvlJc w:val="left"/>
      <w:pPr>
        <w:ind w:left="180" w:hanging="180"/>
      </w:pPr>
      <w:rPr>
        <w:rFonts w:ascii="Aroania" w:eastAsia="Aroania" w:hAnsi="Aroania" w:cs="Aroania" w:hint="default"/>
        <w:w w:val="99"/>
        <w:position w:val="6"/>
        <w:sz w:val="14"/>
        <w:szCs w:val="14"/>
        <w:lang w:val="es-ES" w:eastAsia="en-US" w:bidi="ar-SA"/>
      </w:rPr>
    </w:lvl>
    <w:lvl w:ilvl="1" w:tplc="BE94A836">
      <w:numFmt w:val="bullet"/>
      <w:lvlText w:val="•"/>
      <w:lvlJc w:val="left"/>
      <w:pPr>
        <w:ind w:left="1094" w:hanging="180"/>
      </w:pPr>
      <w:rPr>
        <w:rFonts w:hint="default"/>
        <w:lang w:val="es-ES" w:eastAsia="en-US" w:bidi="ar-SA"/>
      </w:rPr>
    </w:lvl>
    <w:lvl w:ilvl="2" w:tplc="88769BE2">
      <w:numFmt w:val="bullet"/>
      <w:lvlText w:val="•"/>
      <w:lvlJc w:val="left"/>
      <w:pPr>
        <w:ind w:left="2008" w:hanging="180"/>
      </w:pPr>
      <w:rPr>
        <w:rFonts w:hint="default"/>
        <w:lang w:val="es-ES" w:eastAsia="en-US" w:bidi="ar-SA"/>
      </w:rPr>
    </w:lvl>
    <w:lvl w:ilvl="3" w:tplc="B95A3FBA">
      <w:numFmt w:val="bullet"/>
      <w:lvlText w:val="•"/>
      <w:lvlJc w:val="left"/>
      <w:pPr>
        <w:ind w:left="2922" w:hanging="180"/>
      </w:pPr>
      <w:rPr>
        <w:rFonts w:hint="default"/>
        <w:lang w:val="es-ES" w:eastAsia="en-US" w:bidi="ar-SA"/>
      </w:rPr>
    </w:lvl>
    <w:lvl w:ilvl="4" w:tplc="1BEC7572">
      <w:numFmt w:val="bullet"/>
      <w:lvlText w:val="•"/>
      <w:lvlJc w:val="left"/>
      <w:pPr>
        <w:ind w:left="3836" w:hanging="180"/>
      </w:pPr>
      <w:rPr>
        <w:rFonts w:hint="default"/>
        <w:lang w:val="es-ES" w:eastAsia="en-US" w:bidi="ar-SA"/>
      </w:rPr>
    </w:lvl>
    <w:lvl w:ilvl="5" w:tplc="FCB6780C">
      <w:numFmt w:val="bullet"/>
      <w:lvlText w:val="•"/>
      <w:lvlJc w:val="left"/>
      <w:pPr>
        <w:ind w:left="4750" w:hanging="180"/>
      </w:pPr>
      <w:rPr>
        <w:rFonts w:hint="default"/>
        <w:lang w:val="es-ES" w:eastAsia="en-US" w:bidi="ar-SA"/>
      </w:rPr>
    </w:lvl>
    <w:lvl w:ilvl="6" w:tplc="FEBACBB8">
      <w:numFmt w:val="bullet"/>
      <w:lvlText w:val="•"/>
      <w:lvlJc w:val="left"/>
      <w:pPr>
        <w:ind w:left="5664" w:hanging="180"/>
      </w:pPr>
      <w:rPr>
        <w:rFonts w:hint="default"/>
        <w:lang w:val="es-ES" w:eastAsia="en-US" w:bidi="ar-SA"/>
      </w:rPr>
    </w:lvl>
    <w:lvl w:ilvl="7" w:tplc="E1924704">
      <w:numFmt w:val="bullet"/>
      <w:lvlText w:val="•"/>
      <w:lvlJc w:val="left"/>
      <w:pPr>
        <w:ind w:left="6578" w:hanging="180"/>
      </w:pPr>
      <w:rPr>
        <w:rFonts w:hint="default"/>
        <w:lang w:val="es-ES" w:eastAsia="en-US" w:bidi="ar-SA"/>
      </w:rPr>
    </w:lvl>
    <w:lvl w:ilvl="8" w:tplc="BA086DB6">
      <w:numFmt w:val="bullet"/>
      <w:lvlText w:val="•"/>
      <w:lvlJc w:val="left"/>
      <w:pPr>
        <w:ind w:left="7492" w:hanging="180"/>
      </w:pPr>
      <w:rPr>
        <w:rFonts w:hint="default"/>
        <w:lang w:val="es-ES" w:eastAsia="en-US" w:bidi="ar-SA"/>
      </w:rPr>
    </w:lvl>
  </w:abstractNum>
  <w:abstractNum w:abstractNumId="1" w15:restartNumberingAfterBreak="0">
    <w:nsid w:val="14C20DF2"/>
    <w:multiLevelType w:val="multilevel"/>
    <w:tmpl w:val="E8D03982"/>
    <w:lvl w:ilvl="0">
      <w:start w:val="3"/>
      <w:numFmt w:val="decimal"/>
      <w:lvlText w:val="%1"/>
      <w:lvlJc w:val="left"/>
      <w:pPr>
        <w:ind w:left="1135" w:hanging="336"/>
      </w:pPr>
      <w:rPr>
        <w:rFonts w:hint="default"/>
        <w:lang w:val="es-ES" w:eastAsia="en-US" w:bidi="ar-SA"/>
      </w:rPr>
    </w:lvl>
    <w:lvl w:ilvl="1">
      <w:start w:val="9"/>
      <w:numFmt w:val="decimal"/>
      <w:lvlText w:val="%1.%2"/>
      <w:lvlJc w:val="left"/>
      <w:pPr>
        <w:ind w:left="1135" w:hanging="336"/>
      </w:pPr>
      <w:rPr>
        <w:rFonts w:ascii="Arial" w:eastAsia="Arial" w:hAnsi="Arial" w:cs="Arial" w:hint="default"/>
        <w:b/>
        <w:bCs/>
        <w:color w:val="585858"/>
        <w:spacing w:val="-2"/>
        <w:w w:val="100"/>
        <w:sz w:val="20"/>
        <w:szCs w:val="20"/>
        <w:lang w:val="es-ES" w:eastAsia="en-US" w:bidi="ar-SA"/>
      </w:rPr>
    </w:lvl>
    <w:lvl w:ilvl="2">
      <w:start w:val="1"/>
      <w:numFmt w:val="decimal"/>
      <w:lvlText w:val="%1.%2.%3."/>
      <w:lvlJc w:val="left"/>
      <w:pPr>
        <w:ind w:left="1480" w:hanging="626"/>
      </w:pPr>
      <w:rPr>
        <w:rFonts w:ascii="Arial" w:eastAsia="Arial" w:hAnsi="Arial" w:cs="Arial" w:hint="default"/>
        <w:b/>
        <w:bCs/>
        <w:color w:val="585858"/>
        <w:spacing w:val="-8"/>
        <w:w w:val="100"/>
        <w:sz w:val="20"/>
        <w:szCs w:val="20"/>
        <w:lang w:val="es-ES" w:eastAsia="en-US" w:bidi="ar-SA"/>
      </w:rPr>
    </w:lvl>
    <w:lvl w:ilvl="3">
      <w:numFmt w:val="bullet"/>
      <w:lvlText w:val="•"/>
      <w:lvlJc w:val="left"/>
      <w:pPr>
        <w:ind w:left="3222" w:hanging="626"/>
      </w:pPr>
      <w:rPr>
        <w:rFonts w:hint="default"/>
        <w:lang w:val="es-ES" w:eastAsia="en-US" w:bidi="ar-SA"/>
      </w:rPr>
    </w:lvl>
    <w:lvl w:ilvl="4">
      <w:numFmt w:val="bullet"/>
      <w:lvlText w:val="•"/>
      <w:lvlJc w:val="left"/>
      <w:pPr>
        <w:ind w:left="4093" w:hanging="626"/>
      </w:pPr>
      <w:rPr>
        <w:rFonts w:hint="default"/>
        <w:lang w:val="es-ES" w:eastAsia="en-US" w:bidi="ar-SA"/>
      </w:rPr>
    </w:lvl>
    <w:lvl w:ilvl="5">
      <w:numFmt w:val="bullet"/>
      <w:lvlText w:val="•"/>
      <w:lvlJc w:val="left"/>
      <w:pPr>
        <w:ind w:left="4964" w:hanging="626"/>
      </w:pPr>
      <w:rPr>
        <w:rFonts w:hint="default"/>
        <w:lang w:val="es-ES" w:eastAsia="en-US" w:bidi="ar-SA"/>
      </w:rPr>
    </w:lvl>
    <w:lvl w:ilvl="6">
      <w:numFmt w:val="bullet"/>
      <w:lvlText w:val="•"/>
      <w:lvlJc w:val="left"/>
      <w:pPr>
        <w:ind w:left="5835" w:hanging="626"/>
      </w:pPr>
      <w:rPr>
        <w:rFonts w:hint="default"/>
        <w:lang w:val="es-ES" w:eastAsia="en-US" w:bidi="ar-SA"/>
      </w:rPr>
    </w:lvl>
    <w:lvl w:ilvl="7">
      <w:numFmt w:val="bullet"/>
      <w:lvlText w:val="•"/>
      <w:lvlJc w:val="left"/>
      <w:pPr>
        <w:ind w:left="6706" w:hanging="626"/>
      </w:pPr>
      <w:rPr>
        <w:rFonts w:hint="default"/>
        <w:lang w:val="es-ES" w:eastAsia="en-US" w:bidi="ar-SA"/>
      </w:rPr>
    </w:lvl>
    <w:lvl w:ilvl="8">
      <w:numFmt w:val="bullet"/>
      <w:lvlText w:val="•"/>
      <w:lvlJc w:val="left"/>
      <w:pPr>
        <w:ind w:left="7577" w:hanging="626"/>
      </w:pPr>
      <w:rPr>
        <w:rFonts w:hint="default"/>
        <w:lang w:val="es-ES" w:eastAsia="en-US" w:bidi="ar-SA"/>
      </w:rPr>
    </w:lvl>
  </w:abstractNum>
  <w:abstractNum w:abstractNumId="2" w15:restartNumberingAfterBreak="0">
    <w:nsid w:val="17F2481D"/>
    <w:multiLevelType w:val="hybridMultilevel"/>
    <w:tmpl w:val="7AC423B2"/>
    <w:lvl w:ilvl="0" w:tplc="D8803D18">
      <w:start w:val="1"/>
      <w:numFmt w:val="lowerRoman"/>
      <w:lvlText w:val="%1)"/>
      <w:lvlJc w:val="left"/>
      <w:pPr>
        <w:ind w:left="605" w:hanging="425"/>
      </w:pPr>
      <w:rPr>
        <w:rFonts w:ascii="Arial" w:eastAsia="Arial" w:hAnsi="Arial" w:cs="Arial" w:hint="default"/>
        <w:color w:val="585858"/>
        <w:spacing w:val="-30"/>
        <w:w w:val="100"/>
        <w:sz w:val="22"/>
        <w:szCs w:val="22"/>
        <w:lang w:val="es-ES" w:eastAsia="en-US" w:bidi="ar-SA"/>
      </w:rPr>
    </w:lvl>
    <w:lvl w:ilvl="1" w:tplc="10BC81C2">
      <w:start w:val="6"/>
      <w:numFmt w:val="decimal"/>
      <w:lvlText w:val="(%2)"/>
      <w:lvlJc w:val="left"/>
      <w:pPr>
        <w:ind w:left="605" w:hanging="340"/>
      </w:pPr>
      <w:rPr>
        <w:rFonts w:ascii="Arial" w:eastAsia="Arial" w:hAnsi="Arial" w:cs="Arial" w:hint="default"/>
        <w:color w:val="585858"/>
        <w:spacing w:val="-1"/>
        <w:w w:val="100"/>
        <w:sz w:val="22"/>
        <w:szCs w:val="22"/>
        <w:lang w:val="es-ES" w:eastAsia="en-US" w:bidi="ar-SA"/>
      </w:rPr>
    </w:lvl>
    <w:lvl w:ilvl="2" w:tplc="68F88CCC">
      <w:numFmt w:val="bullet"/>
      <w:lvlText w:val="•"/>
      <w:lvlJc w:val="left"/>
      <w:pPr>
        <w:ind w:left="2344" w:hanging="340"/>
      </w:pPr>
      <w:rPr>
        <w:rFonts w:hint="default"/>
        <w:lang w:val="es-ES" w:eastAsia="en-US" w:bidi="ar-SA"/>
      </w:rPr>
    </w:lvl>
    <w:lvl w:ilvl="3" w:tplc="EA56697C">
      <w:numFmt w:val="bullet"/>
      <w:lvlText w:val="•"/>
      <w:lvlJc w:val="left"/>
      <w:pPr>
        <w:ind w:left="3216" w:hanging="340"/>
      </w:pPr>
      <w:rPr>
        <w:rFonts w:hint="default"/>
        <w:lang w:val="es-ES" w:eastAsia="en-US" w:bidi="ar-SA"/>
      </w:rPr>
    </w:lvl>
    <w:lvl w:ilvl="4" w:tplc="42506580">
      <w:numFmt w:val="bullet"/>
      <w:lvlText w:val="•"/>
      <w:lvlJc w:val="left"/>
      <w:pPr>
        <w:ind w:left="4088" w:hanging="340"/>
      </w:pPr>
      <w:rPr>
        <w:rFonts w:hint="default"/>
        <w:lang w:val="es-ES" w:eastAsia="en-US" w:bidi="ar-SA"/>
      </w:rPr>
    </w:lvl>
    <w:lvl w:ilvl="5" w:tplc="4002F348">
      <w:numFmt w:val="bullet"/>
      <w:lvlText w:val="•"/>
      <w:lvlJc w:val="left"/>
      <w:pPr>
        <w:ind w:left="4960" w:hanging="340"/>
      </w:pPr>
      <w:rPr>
        <w:rFonts w:hint="default"/>
        <w:lang w:val="es-ES" w:eastAsia="en-US" w:bidi="ar-SA"/>
      </w:rPr>
    </w:lvl>
    <w:lvl w:ilvl="6" w:tplc="995CE29C">
      <w:numFmt w:val="bullet"/>
      <w:lvlText w:val="•"/>
      <w:lvlJc w:val="left"/>
      <w:pPr>
        <w:ind w:left="5832" w:hanging="340"/>
      </w:pPr>
      <w:rPr>
        <w:rFonts w:hint="default"/>
        <w:lang w:val="es-ES" w:eastAsia="en-US" w:bidi="ar-SA"/>
      </w:rPr>
    </w:lvl>
    <w:lvl w:ilvl="7" w:tplc="1A02153A">
      <w:numFmt w:val="bullet"/>
      <w:lvlText w:val="•"/>
      <w:lvlJc w:val="left"/>
      <w:pPr>
        <w:ind w:left="6704" w:hanging="340"/>
      </w:pPr>
      <w:rPr>
        <w:rFonts w:hint="default"/>
        <w:lang w:val="es-ES" w:eastAsia="en-US" w:bidi="ar-SA"/>
      </w:rPr>
    </w:lvl>
    <w:lvl w:ilvl="8" w:tplc="C994D73E">
      <w:numFmt w:val="bullet"/>
      <w:lvlText w:val="•"/>
      <w:lvlJc w:val="left"/>
      <w:pPr>
        <w:ind w:left="7576" w:hanging="340"/>
      </w:pPr>
      <w:rPr>
        <w:rFonts w:hint="default"/>
        <w:lang w:val="es-ES" w:eastAsia="en-US" w:bidi="ar-SA"/>
      </w:rPr>
    </w:lvl>
  </w:abstractNum>
  <w:abstractNum w:abstractNumId="3" w15:restartNumberingAfterBreak="0">
    <w:nsid w:val="1DB0234C"/>
    <w:multiLevelType w:val="multilevel"/>
    <w:tmpl w:val="9AAC2134"/>
    <w:lvl w:ilvl="0">
      <w:start w:val="2"/>
      <w:numFmt w:val="decimal"/>
      <w:lvlText w:val="%1"/>
      <w:lvlJc w:val="left"/>
      <w:pPr>
        <w:ind w:left="547" w:hanging="368"/>
      </w:pPr>
      <w:rPr>
        <w:rFonts w:hint="default"/>
        <w:lang w:val="es-ES" w:eastAsia="en-US" w:bidi="ar-SA"/>
      </w:rPr>
    </w:lvl>
    <w:lvl w:ilvl="1">
      <w:start w:val="1"/>
      <w:numFmt w:val="decimal"/>
      <w:lvlText w:val="%1.%2"/>
      <w:lvlJc w:val="left"/>
      <w:pPr>
        <w:ind w:left="547" w:hanging="368"/>
      </w:pPr>
      <w:rPr>
        <w:rFonts w:ascii="Arial" w:eastAsia="Arial" w:hAnsi="Arial" w:cs="Arial" w:hint="default"/>
        <w:b/>
        <w:bCs/>
        <w:color w:val="585858"/>
        <w:spacing w:val="-1"/>
        <w:w w:val="100"/>
        <w:sz w:val="22"/>
        <w:szCs w:val="22"/>
        <w:lang w:val="es-ES" w:eastAsia="en-US" w:bidi="ar-SA"/>
      </w:rPr>
    </w:lvl>
    <w:lvl w:ilvl="2">
      <w:start w:val="1"/>
      <w:numFmt w:val="decimal"/>
      <w:lvlText w:val="%1.%2.%3."/>
      <w:lvlJc w:val="left"/>
      <w:pPr>
        <w:ind w:left="180" w:hanging="685"/>
      </w:pPr>
      <w:rPr>
        <w:rFonts w:ascii="Arial" w:eastAsia="Arial" w:hAnsi="Arial" w:cs="Arial" w:hint="default"/>
        <w:b/>
        <w:bCs/>
        <w:color w:val="585858"/>
        <w:spacing w:val="-4"/>
        <w:w w:val="100"/>
        <w:sz w:val="22"/>
        <w:szCs w:val="22"/>
        <w:lang w:val="es-ES" w:eastAsia="en-US" w:bidi="ar-SA"/>
      </w:rPr>
    </w:lvl>
    <w:lvl w:ilvl="3">
      <w:numFmt w:val="bullet"/>
      <w:lvlText w:val="•"/>
      <w:lvlJc w:val="left"/>
      <w:pPr>
        <w:ind w:left="2491" w:hanging="685"/>
      </w:pPr>
      <w:rPr>
        <w:rFonts w:hint="default"/>
        <w:lang w:val="es-ES" w:eastAsia="en-US" w:bidi="ar-SA"/>
      </w:rPr>
    </w:lvl>
    <w:lvl w:ilvl="4">
      <w:numFmt w:val="bullet"/>
      <w:lvlText w:val="•"/>
      <w:lvlJc w:val="left"/>
      <w:pPr>
        <w:ind w:left="3466" w:hanging="685"/>
      </w:pPr>
      <w:rPr>
        <w:rFonts w:hint="default"/>
        <w:lang w:val="es-ES" w:eastAsia="en-US" w:bidi="ar-SA"/>
      </w:rPr>
    </w:lvl>
    <w:lvl w:ilvl="5">
      <w:numFmt w:val="bullet"/>
      <w:lvlText w:val="•"/>
      <w:lvlJc w:val="left"/>
      <w:pPr>
        <w:ind w:left="4442" w:hanging="685"/>
      </w:pPr>
      <w:rPr>
        <w:rFonts w:hint="default"/>
        <w:lang w:val="es-ES" w:eastAsia="en-US" w:bidi="ar-SA"/>
      </w:rPr>
    </w:lvl>
    <w:lvl w:ilvl="6">
      <w:numFmt w:val="bullet"/>
      <w:lvlText w:val="•"/>
      <w:lvlJc w:val="left"/>
      <w:pPr>
        <w:ind w:left="5417" w:hanging="685"/>
      </w:pPr>
      <w:rPr>
        <w:rFonts w:hint="default"/>
        <w:lang w:val="es-ES" w:eastAsia="en-US" w:bidi="ar-SA"/>
      </w:rPr>
    </w:lvl>
    <w:lvl w:ilvl="7">
      <w:numFmt w:val="bullet"/>
      <w:lvlText w:val="•"/>
      <w:lvlJc w:val="left"/>
      <w:pPr>
        <w:ind w:left="6393" w:hanging="685"/>
      </w:pPr>
      <w:rPr>
        <w:rFonts w:hint="default"/>
        <w:lang w:val="es-ES" w:eastAsia="en-US" w:bidi="ar-SA"/>
      </w:rPr>
    </w:lvl>
    <w:lvl w:ilvl="8">
      <w:numFmt w:val="bullet"/>
      <w:lvlText w:val="•"/>
      <w:lvlJc w:val="left"/>
      <w:pPr>
        <w:ind w:left="7368" w:hanging="685"/>
      </w:pPr>
      <w:rPr>
        <w:rFonts w:hint="default"/>
        <w:lang w:val="es-ES" w:eastAsia="en-US" w:bidi="ar-SA"/>
      </w:rPr>
    </w:lvl>
  </w:abstractNum>
  <w:abstractNum w:abstractNumId="4" w15:restartNumberingAfterBreak="0">
    <w:nsid w:val="2BCF6865"/>
    <w:multiLevelType w:val="hybridMultilevel"/>
    <w:tmpl w:val="942E0F14"/>
    <w:lvl w:ilvl="0" w:tplc="C7F81AA6">
      <w:start w:val="1"/>
      <w:numFmt w:val="upperLetter"/>
      <w:lvlText w:val="%1."/>
      <w:lvlJc w:val="left"/>
      <w:pPr>
        <w:ind w:left="1235" w:hanging="360"/>
      </w:pPr>
      <w:rPr>
        <w:rFonts w:ascii="Arial" w:eastAsia="Arial" w:hAnsi="Arial" w:cs="Arial" w:hint="default"/>
        <w:color w:val="585858"/>
        <w:spacing w:val="-27"/>
        <w:w w:val="100"/>
        <w:sz w:val="20"/>
        <w:szCs w:val="20"/>
        <w:lang w:val="es-ES" w:eastAsia="en-US" w:bidi="ar-SA"/>
      </w:rPr>
    </w:lvl>
    <w:lvl w:ilvl="1" w:tplc="C80ADAF0">
      <w:numFmt w:val="bullet"/>
      <w:lvlText w:val="•"/>
      <w:lvlJc w:val="left"/>
      <w:pPr>
        <w:ind w:left="2048" w:hanging="360"/>
      </w:pPr>
      <w:rPr>
        <w:rFonts w:hint="default"/>
        <w:lang w:val="es-ES" w:eastAsia="en-US" w:bidi="ar-SA"/>
      </w:rPr>
    </w:lvl>
    <w:lvl w:ilvl="2" w:tplc="E0E418E0">
      <w:numFmt w:val="bullet"/>
      <w:lvlText w:val="•"/>
      <w:lvlJc w:val="left"/>
      <w:pPr>
        <w:ind w:left="2856" w:hanging="360"/>
      </w:pPr>
      <w:rPr>
        <w:rFonts w:hint="default"/>
        <w:lang w:val="es-ES" w:eastAsia="en-US" w:bidi="ar-SA"/>
      </w:rPr>
    </w:lvl>
    <w:lvl w:ilvl="3" w:tplc="CA20CF78">
      <w:numFmt w:val="bullet"/>
      <w:lvlText w:val="•"/>
      <w:lvlJc w:val="left"/>
      <w:pPr>
        <w:ind w:left="3664" w:hanging="360"/>
      </w:pPr>
      <w:rPr>
        <w:rFonts w:hint="default"/>
        <w:lang w:val="es-ES" w:eastAsia="en-US" w:bidi="ar-SA"/>
      </w:rPr>
    </w:lvl>
    <w:lvl w:ilvl="4" w:tplc="EF1228DA">
      <w:numFmt w:val="bullet"/>
      <w:lvlText w:val="•"/>
      <w:lvlJc w:val="left"/>
      <w:pPr>
        <w:ind w:left="4472" w:hanging="360"/>
      </w:pPr>
      <w:rPr>
        <w:rFonts w:hint="default"/>
        <w:lang w:val="es-ES" w:eastAsia="en-US" w:bidi="ar-SA"/>
      </w:rPr>
    </w:lvl>
    <w:lvl w:ilvl="5" w:tplc="9590290E">
      <w:numFmt w:val="bullet"/>
      <w:lvlText w:val="•"/>
      <w:lvlJc w:val="left"/>
      <w:pPr>
        <w:ind w:left="5280" w:hanging="360"/>
      </w:pPr>
      <w:rPr>
        <w:rFonts w:hint="default"/>
        <w:lang w:val="es-ES" w:eastAsia="en-US" w:bidi="ar-SA"/>
      </w:rPr>
    </w:lvl>
    <w:lvl w:ilvl="6" w:tplc="6CB4ADBA">
      <w:numFmt w:val="bullet"/>
      <w:lvlText w:val="•"/>
      <w:lvlJc w:val="left"/>
      <w:pPr>
        <w:ind w:left="6088" w:hanging="360"/>
      </w:pPr>
      <w:rPr>
        <w:rFonts w:hint="default"/>
        <w:lang w:val="es-ES" w:eastAsia="en-US" w:bidi="ar-SA"/>
      </w:rPr>
    </w:lvl>
    <w:lvl w:ilvl="7" w:tplc="3D208972">
      <w:numFmt w:val="bullet"/>
      <w:lvlText w:val="•"/>
      <w:lvlJc w:val="left"/>
      <w:pPr>
        <w:ind w:left="6896" w:hanging="360"/>
      </w:pPr>
      <w:rPr>
        <w:rFonts w:hint="default"/>
        <w:lang w:val="es-ES" w:eastAsia="en-US" w:bidi="ar-SA"/>
      </w:rPr>
    </w:lvl>
    <w:lvl w:ilvl="8" w:tplc="39B8BEAA">
      <w:numFmt w:val="bullet"/>
      <w:lvlText w:val="•"/>
      <w:lvlJc w:val="left"/>
      <w:pPr>
        <w:ind w:left="7704" w:hanging="360"/>
      </w:pPr>
      <w:rPr>
        <w:rFonts w:hint="default"/>
        <w:lang w:val="es-ES" w:eastAsia="en-US" w:bidi="ar-SA"/>
      </w:rPr>
    </w:lvl>
  </w:abstractNum>
  <w:abstractNum w:abstractNumId="5" w15:restartNumberingAfterBreak="0">
    <w:nsid w:val="3AF640D4"/>
    <w:multiLevelType w:val="hybridMultilevel"/>
    <w:tmpl w:val="6F74276E"/>
    <w:lvl w:ilvl="0" w:tplc="0F547C28">
      <w:start w:val="1"/>
      <w:numFmt w:val="lowerLetter"/>
      <w:lvlText w:val="%1)"/>
      <w:lvlJc w:val="left"/>
      <w:pPr>
        <w:ind w:left="180" w:hanging="285"/>
      </w:pPr>
      <w:rPr>
        <w:rFonts w:ascii="Arial" w:eastAsia="Arial" w:hAnsi="Arial" w:cs="Arial" w:hint="default"/>
        <w:color w:val="585858"/>
        <w:spacing w:val="-1"/>
        <w:w w:val="100"/>
        <w:sz w:val="22"/>
        <w:szCs w:val="22"/>
        <w:lang w:val="es-ES" w:eastAsia="en-US" w:bidi="ar-SA"/>
      </w:rPr>
    </w:lvl>
    <w:lvl w:ilvl="1" w:tplc="761C836C">
      <w:start w:val="1"/>
      <w:numFmt w:val="lowerLetter"/>
      <w:lvlText w:val="%2)"/>
      <w:lvlJc w:val="left"/>
      <w:pPr>
        <w:ind w:left="900" w:hanging="360"/>
      </w:pPr>
      <w:rPr>
        <w:rFonts w:ascii="Arial" w:eastAsia="Arial" w:hAnsi="Arial" w:cs="Arial" w:hint="default"/>
        <w:color w:val="585858"/>
        <w:spacing w:val="-20"/>
        <w:w w:val="100"/>
        <w:sz w:val="22"/>
        <w:szCs w:val="22"/>
        <w:lang w:val="es-ES" w:eastAsia="en-US" w:bidi="ar-SA"/>
      </w:rPr>
    </w:lvl>
    <w:lvl w:ilvl="2" w:tplc="4CD6FBBE">
      <w:start w:val="1"/>
      <w:numFmt w:val="upperLetter"/>
      <w:lvlText w:val="%3."/>
      <w:lvlJc w:val="left"/>
      <w:pPr>
        <w:ind w:left="1248" w:hanging="360"/>
      </w:pPr>
      <w:rPr>
        <w:rFonts w:ascii="Arial" w:eastAsia="Arial" w:hAnsi="Arial" w:cs="Arial" w:hint="default"/>
        <w:color w:val="585858"/>
        <w:spacing w:val="-3"/>
        <w:w w:val="100"/>
        <w:sz w:val="22"/>
        <w:szCs w:val="22"/>
        <w:lang w:val="es-ES" w:eastAsia="en-US" w:bidi="ar-SA"/>
      </w:rPr>
    </w:lvl>
    <w:lvl w:ilvl="3" w:tplc="4B0458DC">
      <w:numFmt w:val="bullet"/>
      <w:lvlText w:val="•"/>
      <w:lvlJc w:val="left"/>
      <w:pPr>
        <w:ind w:left="2250" w:hanging="360"/>
      </w:pPr>
      <w:rPr>
        <w:rFonts w:hint="default"/>
        <w:lang w:val="es-ES" w:eastAsia="en-US" w:bidi="ar-SA"/>
      </w:rPr>
    </w:lvl>
    <w:lvl w:ilvl="4" w:tplc="6102ED6E">
      <w:numFmt w:val="bullet"/>
      <w:lvlText w:val="•"/>
      <w:lvlJc w:val="left"/>
      <w:pPr>
        <w:ind w:left="3260" w:hanging="360"/>
      </w:pPr>
      <w:rPr>
        <w:rFonts w:hint="default"/>
        <w:lang w:val="es-ES" w:eastAsia="en-US" w:bidi="ar-SA"/>
      </w:rPr>
    </w:lvl>
    <w:lvl w:ilvl="5" w:tplc="26EA5B10">
      <w:numFmt w:val="bullet"/>
      <w:lvlText w:val="•"/>
      <w:lvlJc w:val="left"/>
      <w:pPr>
        <w:ind w:left="4270" w:hanging="360"/>
      </w:pPr>
      <w:rPr>
        <w:rFonts w:hint="default"/>
        <w:lang w:val="es-ES" w:eastAsia="en-US" w:bidi="ar-SA"/>
      </w:rPr>
    </w:lvl>
    <w:lvl w:ilvl="6" w:tplc="0234E808">
      <w:numFmt w:val="bullet"/>
      <w:lvlText w:val="•"/>
      <w:lvlJc w:val="left"/>
      <w:pPr>
        <w:ind w:left="5280" w:hanging="360"/>
      </w:pPr>
      <w:rPr>
        <w:rFonts w:hint="default"/>
        <w:lang w:val="es-ES" w:eastAsia="en-US" w:bidi="ar-SA"/>
      </w:rPr>
    </w:lvl>
    <w:lvl w:ilvl="7" w:tplc="0B74BAEE">
      <w:numFmt w:val="bullet"/>
      <w:lvlText w:val="•"/>
      <w:lvlJc w:val="left"/>
      <w:pPr>
        <w:ind w:left="6290" w:hanging="360"/>
      </w:pPr>
      <w:rPr>
        <w:rFonts w:hint="default"/>
        <w:lang w:val="es-ES" w:eastAsia="en-US" w:bidi="ar-SA"/>
      </w:rPr>
    </w:lvl>
    <w:lvl w:ilvl="8" w:tplc="B63E1138">
      <w:numFmt w:val="bullet"/>
      <w:lvlText w:val="•"/>
      <w:lvlJc w:val="left"/>
      <w:pPr>
        <w:ind w:left="7300" w:hanging="360"/>
      </w:pPr>
      <w:rPr>
        <w:rFonts w:hint="default"/>
        <w:lang w:val="es-ES" w:eastAsia="en-US" w:bidi="ar-SA"/>
      </w:rPr>
    </w:lvl>
  </w:abstractNum>
  <w:abstractNum w:abstractNumId="6" w15:restartNumberingAfterBreak="0">
    <w:nsid w:val="4770447A"/>
    <w:multiLevelType w:val="multilevel"/>
    <w:tmpl w:val="4EF8D824"/>
    <w:lvl w:ilvl="0">
      <w:start w:val="3"/>
      <w:numFmt w:val="decimal"/>
      <w:lvlText w:val="%1."/>
      <w:lvlJc w:val="left"/>
      <w:pPr>
        <w:ind w:left="465" w:hanging="285"/>
      </w:pPr>
      <w:rPr>
        <w:rFonts w:ascii="Arial" w:eastAsia="Arial" w:hAnsi="Arial" w:cs="Arial" w:hint="default"/>
        <w:b/>
        <w:bCs/>
        <w:color w:val="585858"/>
        <w:spacing w:val="-21"/>
        <w:w w:val="100"/>
        <w:sz w:val="22"/>
        <w:szCs w:val="22"/>
        <w:lang w:val="es-ES" w:eastAsia="en-US" w:bidi="ar-SA"/>
      </w:rPr>
    </w:lvl>
    <w:lvl w:ilvl="1">
      <w:start w:val="1"/>
      <w:numFmt w:val="decimal"/>
      <w:lvlText w:val="%1.%2."/>
      <w:lvlJc w:val="left"/>
      <w:pPr>
        <w:ind w:left="180" w:hanging="435"/>
      </w:pPr>
      <w:rPr>
        <w:rFonts w:ascii="Arial" w:eastAsia="Arial" w:hAnsi="Arial" w:cs="Arial" w:hint="default"/>
        <w:color w:val="585858"/>
        <w:spacing w:val="-1"/>
        <w:w w:val="100"/>
        <w:sz w:val="22"/>
        <w:szCs w:val="22"/>
        <w:lang w:val="es-ES" w:eastAsia="en-US" w:bidi="ar-SA"/>
      </w:rPr>
    </w:lvl>
    <w:lvl w:ilvl="2">
      <w:numFmt w:val="bullet"/>
      <w:lvlText w:val="•"/>
      <w:lvlJc w:val="left"/>
      <w:pPr>
        <w:ind w:left="1444" w:hanging="435"/>
      </w:pPr>
      <w:rPr>
        <w:rFonts w:hint="default"/>
        <w:lang w:val="es-ES" w:eastAsia="en-US" w:bidi="ar-SA"/>
      </w:rPr>
    </w:lvl>
    <w:lvl w:ilvl="3">
      <w:numFmt w:val="bullet"/>
      <w:lvlText w:val="•"/>
      <w:lvlJc w:val="left"/>
      <w:pPr>
        <w:ind w:left="2428" w:hanging="435"/>
      </w:pPr>
      <w:rPr>
        <w:rFonts w:hint="default"/>
        <w:lang w:val="es-ES" w:eastAsia="en-US" w:bidi="ar-SA"/>
      </w:rPr>
    </w:lvl>
    <w:lvl w:ilvl="4">
      <w:numFmt w:val="bullet"/>
      <w:lvlText w:val="•"/>
      <w:lvlJc w:val="left"/>
      <w:pPr>
        <w:ind w:left="3413" w:hanging="435"/>
      </w:pPr>
      <w:rPr>
        <w:rFonts w:hint="default"/>
        <w:lang w:val="es-ES" w:eastAsia="en-US" w:bidi="ar-SA"/>
      </w:rPr>
    </w:lvl>
    <w:lvl w:ilvl="5">
      <w:numFmt w:val="bullet"/>
      <w:lvlText w:val="•"/>
      <w:lvlJc w:val="left"/>
      <w:pPr>
        <w:ind w:left="4397" w:hanging="435"/>
      </w:pPr>
      <w:rPr>
        <w:rFonts w:hint="default"/>
        <w:lang w:val="es-ES" w:eastAsia="en-US" w:bidi="ar-SA"/>
      </w:rPr>
    </w:lvl>
    <w:lvl w:ilvl="6">
      <w:numFmt w:val="bullet"/>
      <w:lvlText w:val="•"/>
      <w:lvlJc w:val="left"/>
      <w:pPr>
        <w:ind w:left="5382" w:hanging="435"/>
      </w:pPr>
      <w:rPr>
        <w:rFonts w:hint="default"/>
        <w:lang w:val="es-ES" w:eastAsia="en-US" w:bidi="ar-SA"/>
      </w:rPr>
    </w:lvl>
    <w:lvl w:ilvl="7">
      <w:numFmt w:val="bullet"/>
      <w:lvlText w:val="•"/>
      <w:lvlJc w:val="left"/>
      <w:pPr>
        <w:ind w:left="6366" w:hanging="435"/>
      </w:pPr>
      <w:rPr>
        <w:rFonts w:hint="default"/>
        <w:lang w:val="es-ES" w:eastAsia="en-US" w:bidi="ar-SA"/>
      </w:rPr>
    </w:lvl>
    <w:lvl w:ilvl="8">
      <w:numFmt w:val="bullet"/>
      <w:lvlText w:val="•"/>
      <w:lvlJc w:val="left"/>
      <w:pPr>
        <w:ind w:left="7351" w:hanging="435"/>
      </w:pPr>
      <w:rPr>
        <w:rFonts w:hint="default"/>
        <w:lang w:val="es-ES" w:eastAsia="en-US" w:bidi="ar-SA"/>
      </w:rPr>
    </w:lvl>
  </w:abstractNum>
  <w:abstractNum w:abstractNumId="7" w15:restartNumberingAfterBreak="0">
    <w:nsid w:val="4B861D5A"/>
    <w:multiLevelType w:val="hybridMultilevel"/>
    <w:tmpl w:val="7788FA40"/>
    <w:lvl w:ilvl="0" w:tplc="ECC4B97E">
      <w:start w:val="1"/>
      <w:numFmt w:val="lowerRoman"/>
      <w:lvlText w:val="%1)"/>
      <w:lvlJc w:val="left"/>
      <w:pPr>
        <w:ind w:left="900" w:hanging="720"/>
      </w:pPr>
      <w:rPr>
        <w:rFonts w:ascii="Arial" w:eastAsia="Arial" w:hAnsi="Arial" w:cs="Arial" w:hint="default"/>
        <w:color w:val="585858"/>
        <w:spacing w:val="-30"/>
        <w:w w:val="100"/>
        <w:sz w:val="22"/>
        <w:szCs w:val="22"/>
        <w:lang w:val="es-ES" w:eastAsia="en-US" w:bidi="ar-SA"/>
      </w:rPr>
    </w:lvl>
    <w:lvl w:ilvl="1" w:tplc="A3B26948">
      <w:numFmt w:val="bullet"/>
      <w:lvlText w:val="•"/>
      <w:lvlJc w:val="left"/>
      <w:pPr>
        <w:ind w:left="1742" w:hanging="720"/>
      </w:pPr>
      <w:rPr>
        <w:rFonts w:hint="default"/>
        <w:lang w:val="es-ES" w:eastAsia="en-US" w:bidi="ar-SA"/>
      </w:rPr>
    </w:lvl>
    <w:lvl w:ilvl="2" w:tplc="52609FC6">
      <w:numFmt w:val="bullet"/>
      <w:lvlText w:val="•"/>
      <w:lvlJc w:val="left"/>
      <w:pPr>
        <w:ind w:left="2584" w:hanging="720"/>
      </w:pPr>
      <w:rPr>
        <w:rFonts w:hint="default"/>
        <w:lang w:val="es-ES" w:eastAsia="en-US" w:bidi="ar-SA"/>
      </w:rPr>
    </w:lvl>
    <w:lvl w:ilvl="3" w:tplc="FB1E38D2">
      <w:numFmt w:val="bullet"/>
      <w:lvlText w:val="•"/>
      <w:lvlJc w:val="left"/>
      <w:pPr>
        <w:ind w:left="3426" w:hanging="720"/>
      </w:pPr>
      <w:rPr>
        <w:rFonts w:hint="default"/>
        <w:lang w:val="es-ES" w:eastAsia="en-US" w:bidi="ar-SA"/>
      </w:rPr>
    </w:lvl>
    <w:lvl w:ilvl="4" w:tplc="63648A70">
      <w:numFmt w:val="bullet"/>
      <w:lvlText w:val="•"/>
      <w:lvlJc w:val="left"/>
      <w:pPr>
        <w:ind w:left="4268" w:hanging="720"/>
      </w:pPr>
      <w:rPr>
        <w:rFonts w:hint="default"/>
        <w:lang w:val="es-ES" w:eastAsia="en-US" w:bidi="ar-SA"/>
      </w:rPr>
    </w:lvl>
    <w:lvl w:ilvl="5" w:tplc="7B7EEE44">
      <w:numFmt w:val="bullet"/>
      <w:lvlText w:val="•"/>
      <w:lvlJc w:val="left"/>
      <w:pPr>
        <w:ind w:left="5110" w:hanging="720"/>
      </w:pPr>
      <w:rPr>
        <w:rFonts w:hint="default"/>
        <w:lang w:val="es-ES" w:eastAsia="en-US" w:bidi="ar-SA"/>
      </w:rPr>
    </w:lvl>
    <w:lvl w:ilvl="6" w:tplc="5D002FDC">
      <w:numFmt w:val="bullet"/>
      <w:lvlText w:val="•"/>
      <w:lvlJc w:val="left"/>
      <w:pPr>
        <w:ind w:left="5952" w:hanging="720"/>
      </w:pPr>
      <w:rPr>
        <w:rFonts w:hint="default"/>
        <w:lang w:val="es-ES" w:eastAsia="en-US" w:bidi="ar-SA"/>
      </w:rPr>
    </w:lvl>
    <w:lvl w:ilvl="7" w:tplc="99F242DA">
      <w:numFmt w:val="bullet"/>
      <w:lvlText w:val="•"/>
      <w:lvlJc w:val="left"/>
      <w:pPr>
        <w:ind w:left="6794" w:hanging="720"/>
      </w:pPr>
      <w:rPr>
        <w:rFonts w:hint="default"/>
        <w:lang w:val="es-ES" w:eastAsia="en-US" w:bidi="ar-SA"/>
      </w:rPr>
    </w:lvl>
    <w:lvl w:ilvl="8" w:tplc="18225458">
      <w:numFmt w:val="bullet"/>
      <w:lvlText w:val="•"/>
      <w:lvlJc w:val="left"/>
      <w:pPr>
        <w:ind w:left="7636" w:hanging="720"/>
      </w:pPr>
      <w:rPr>
        <w:rFonts w:hint="default"/>
        <w:lang w:val="es-ES" w:eastAsia="en-US" w:bidi="ar-SA"/>
      </w:rPr>
    </w:lvl>
  </w:abstractNum>
  <w:abstractNum w:abstractNumId="8" w15:restartNumberingAfterBreak="0">
    <w:nsid w:val="50F51A16"/>
    <w:multiLevelType w:val="multilevel"/>
    <w:tmpl w:val="7F2C32F8"/>
    <w:lvl w:ilvl="0">
      <w:start w:val="3"/>
      <w:numFmt w:val="decimal"/>
      <w:lvlText w:val="%1"/>
      <w:lvlJc w:val="left"/>
      <w:pPr>
        <w:ind w:left="180" w:hanging="378"/>
      </w:pPr>
      <w:rPr>
        <w:rFonts w:hint="default"/>
        <w:lang w:val="es-ES" w:eastAsia="en-US" w:bidi="ar-SA"/>
      </w:rPr>
    </w:lvl>
    <w:lvl w:ilvl="1">
      <w:start w:val="6"/>
      <w:numFmt w:val="decimal"/>
      <w:lvlText w:val="%1.%2"/>
      <w:lvlJc w:val="left"/>
      <w:pPr>
        <w:ind w:left="180" w:hanging="378"/>
      </w:pPr>
      <w:rPr>
        <w:rFonts w:ascii="Arial" w:eastAsia="Arial" w:hAnsi="Arial" w:cs="Arial" w:hint="default"/>
        <w:color w:val="585858"/>
        <w:spacing w:val="-1"/>
        <w:w w:val="100"/>
        <w:sz w:val="22"/>
        <w:szCs w:val="22"/>
        <w:lang w:val="es-ES" w:eastAsia="en-US" w:bidi="ar-SA"/>
      </w:rPr>
    </w:lvl>
    <w:lvl w:ilvl="2">
      <w:numFmt w:val="bullet"/>
      <w:lvlText w:val="•"/>
      <w:lvlJc w:val="left"/>
      <w:pPr>
        <w:ind w:left="2008" w:hanging="378"/>
      </w:pPr>
      <w:rPr>
        <w:rFonts w:hint="default"/>
        <w:lang w:val="es-ES" w:eastAsia="en-US" w:bidi="ar-SA"/>
      </w:rPr>
    </w:lvl>
    <w:lvl w:ilvl="3">
      <w:numFmt w:val="bullet"/>
      <w:lvlText w:val="•"/>
      <w:lvlJc w:val="left"/>
      <w:pPr>
        <w:ind w:left="2922" w:hanging="378"/>
      </w:pPr>
      <w:rPr>
        <w:rFonts w:hint="default"/>
        <w:lang w:val="es-ES" w:eastAsia="en-US" w:bidi="ar-SA"/>
      </w:rPr>
    </w:lvl>
    <w:lvl w:ilvl="4">
      <w:numFmt w:val="bullet"/>
      <w:lvlText w:val="•"/>
      <w:lvlJc w:val="left"/>
      <w:pPr>
        <w:ind w:left="3836" w:hanging="378"/>
      </w:pPr>
      <w:rPr>
        <w:rFonts w:hint="default"/>
        <w:lang w:val="es-ES" w:eastAsia="en-US" w:bidi="ar-SA"/>
      </w:rPr>
    </w:lvl>
    <w:lvl w:ilvl="5">
      <w:numFmt w:val="bullet"/>
      <w:lvlText w:val="•"/>
      <w:lvlJc w:val="left"/>
      <w:pPr>
        <w:ind w:left="4750" w:hanging="378"/>
      </w:pPr>
      <w:rPr>
        <w:rFonts w:hint="default"/>
        <w:lang w:val="es-ES" w:eastAsia="en-US" w:bidi="ar-SA"/>
      </w:rPr>
    </w:lvl>
    <w:lvl w:ilvl="6">
      <w:numFmt w:val="bullet"/>
      <w:lvlText w:val="•"/>
      <w:lvlJc w:val="left"/>
      <w:pPr>
        <w:ind w:left="5664" w:hanging="378"/>
      </w:pPr>
      <w:rPr>
        <w:rFonts w:hint="default"/>
        <w:lang w:val="es-ES" w:eastAsia="en-US" w:bidi="ar-SA"/>
      </w:rPr>
    </w:lvl>
    <w:lvl w:ilvl="7">
      <w:numFmt w:val="bullet"/>
      <w:lvlText w:val="•"/>
      <w:lvlJc w:val="left"/>
      <w:pPr>
        <w:ind w:left="6578" w:hanging="378"/>
      </w:pPr>
      <w:rPr>
        <w:rFonts w:hint="default"/>
        <w:lang w:val="es-ES" w:eastAsia="en-US" w:bidi="ar-SA"/>
      </w:rPr>
    </w:lvl>
    <w:lvl w:ilvl="8">
      <w:numFmt w:val="bullet"/>
      <w:lvlText w:val="•"/>
      <w:lvlJc w:val="left"/>
      <w:pPr>
        <w:ind w:left="7492" w:hanging="378"/>
      </w:pPr>
      <w:rPr>
        <w:rFonts w:hint="default"/>
        <w:lang w:val="es-ES" w:eastAsia="en-US" w:bidi="ar-SA"/>
      </w:rPr>
    </w:lvl>
  </w:abstractNum>
  <w:abstractNum w:abstractNumId="9" w15:restartNumberingAfterBreak="0">
    <w:nsid w:val="578710CC"/>
    <w:multiLevelType w:val="hybridMultilevel"/>
    <w:tmpl w:val="12140470"/>
    <w:lvl w:ilvl="0" w:tplc="BA4ED6C0">
      <w:numFmt w:val="bullet"/>
      <w:lvlText w:val=""/>
      <w:lvlJc w:val="left"/>
      <w:pPr>
        <w:ind w:left="900" w:hanging="360"/>
      </w:pPr>
      <w:rPr>
        <w:rFonts w:ascii="Wingdings" w:eastAsia="Wingdings" w:hAnsi="Wingdings" w:cs="Wingdings" w:hint="default"/>
        <w:color w:val="585858"/>
        <w:w w:val="100"/>
        <w:sz w:val="22"/>
        <w:szCs w:val="22"/>
        <w:lang w:val="es-ES" w:eastAsia="en-US" w:bidi="ar-SA"/>
      </w:rPr>
    </w:lvl>
    <w:lvl w:ilvl="1" w:tplc="0EA29918">
      <w:numFmt w:val="bullet"/>
      <w:lvlText w:val="•"/>
      <w:lvlJc w:val="left"/>
      <w:pPr>
        <w:ind w:left="1742" w:hanging="360"/>
      </w:pPr>
      <w:rPr>
        <w:rFonts w:hint="default"/>
        <w:lang w:val="es-ES" w:eastAsia="en-US" w:bidi="ar-SA"/>
      </w:rPr>
    </w:lvl>
    <w:lvl w:ilvl="2" w:tplc="9B58005E">
      <w:numFmt w:val="bullet"/>
      <w:lvlText w:val="•"/>
      <w:lvlJc w:val="left"/>
      <w:pPr>
        <w:ind w:left="2584" w:hanging="360"/>
      </w:pPr>
      <w:rPr>
        <w:rFonts w:hint="default"/>
        <w:lang w:val="es-ES" w:eastAsia="en-US" w:bidi="ar-SA"/>
      </w:rPr>
    </w:lvl>
    <w:lvl w:ilvl="3" w:tplc="57642AF8">
      <w:numFmt w:val="bullet"/>
      <w:lvlText w:val="•"/>
      <w:lvlJc w:val="left"/>
      <w:pPr>
        <w:ind w:left="3426" w:hanging="360"/>
      </w:pPr>
      <w:rPr>
        <w:rFonts w:hint="default"/>
        <w:lang w:val="es-ES" w:eastAsia="en-US" w:bidi="ar-SA"/>
      </w:rPr>
    </w:lvl>
    <w:lvl w:ilvl="4" w:tplc="E47E6586">
      <w:numFmt w:val="bullet"/>
      <w:lvlText w:val="•"/>
      <w:lvlJc w:val="left"/>
      <w:pPr>
        <w:ind w:left="4268" w:hanging="360"/>
      </w:pPr>
      <w:rPr>
        <w:rFonts w:hint="default"/>
        <w:lang w:val="es-ES" w:eastAsia="en-US" w:bidi="ar-SA"/>
      </w:rPr>
    </w:lvl>
    <w:lvl w:ilvl="5" w:tplc="1EB0BD9C">
      <w:numFmt w:val="bullet"/>
      <w:lvlText w:val="•"/>
      <w:lvlJc w:val="left"/>
      <w:pPr>
        <w:ind w:left="5110" w:hanging="360"/>
      </w:pPr>
      <w:rPr>
        <w:rFonts w:hint="default"/>
        <w:lang w:val="es-ES" w:eastAsia="en-US" w:bidi="ar-SA"/>
      </w:rPr>
    </w:lvl>
    <w:lvl w:ilvl="6" w:tplc="AA74D1DC">
      <w:numFmt w:val="bullet"/>
      <w:lvlText w:val="•"/>
      <w:lvlJc w:val="left"/>
      <w:pPr>
        <w:ind w:left="5952" w:hanging="360"/>
      </w:pPr>
      <w:rPr>
        <w:rFonts w:hint="default"/>
        <w:lang w:val="es-ES" w:eastAsia="en-US" w:bidi="ar-SA"/>
      </w:rPr>
    </w:lvl>
    <w:lvl w:ilvl="7" w:tplc="77882DFE">
      <w:numFmt w:val="bullet"/>
      <w:lvlText w:val="•"/>
      <w:lvlJc w:val="left"/>
      <w:pPr>
        <w:ind w:left="6794" w:hanging="360"/>
      </w:pPr>
      <w:rPr>
        <w:rFonts w:hint="default"/>
        <w:lang w:val="es-ES" w:eastAsia="en-US" w:bidi="ar-SA"/>
      </w:rPr>
    </w:lvl>
    <w:lvl w:ilvl="8" w:tplc="C92071A0">
      <w:numFmt w:val="bullet"/>
      <w:lvlText w:val="•"/>
      <w:lvlJc w:val="left"/>
      <w:pPr>
        <w:ind w:left="7636" w:hanging="360"/>
      </w:pPr>
      <w:rPr>
        <w:rFonts w:hint="default"/>
        <w:lang w:val="es-ES" w:eastAsia="en-US" w:bidi="ar-SA"/>
      </w:rPr>
    </w:lvl>
  </w:abstractNum>
  <w:abstractNum w:abstractNumId="10" w15:restartNumberingAfterBreak="0">
    <w:nsid w:val="5BDE0C01"/>
    <w:multiLevelType w:val="hybridMultilevel"/>
    <w:tmpl w:val="78828758"/>
    <w:lvl w:ilvl="0" w:tplc="C632151C">
      <w:start w:val="1"/>
      <w:numFmt w:val="decimal"/>
      <w:lvlText w:val="%1."/>
      <w:lvlJc w:val="left"/>
      <w:pPr>
        <w:ind w:left="1250" w:hanging="221"/>
      </w:pPr>
      <w:rPr>
        <w:rFonts w:ascii="Arial" w:eastAsia="Arial" w:hAnsi="Arial" w:cs="Arial" w:hint="default"/>
        <w:color w:val="585858"/>
        <w:spacing w:val="-2"/>
        <w:w w:val="100"/>
        <w:sz w:val="20"/>
        <w:szCs w:val="20"/>
        <w:lang w:val="es-ES" w:eastAsia="en-US" w:bidi="ar-SA"/>
      </w:rPr>
    </w:lvl>
    <w:lvl w:ilvl="1" w:tplc="52E0AA7A">
      <w:numFmt w:val="bullet"/>
      <w:lvlText w:val="•"/>
      <w:lvlJc w:val="left"/>
      <w:pPr>
        <w:ind w:left="2066" w:hanging="221"/>
      </w:pPr>
      <w:rPr>
        <w:rFonts w:hint="default"/>
        <w:lang w:val="es-ES" w:eastAsia="en-US" w:bidi="ar-SA"/>
      </w:rPr>
    </w:lvl>
    <w:lvl w:ilvl="2" w:tplc="B922CD46">
      <w:numFmt w:val="bullet"/>
      <w:lvlText w:val="•"/>
      <w:lvlJc w:val="left"/>
      <w:pPr>
        <w:ind w:left="2872" w:hanging="221"/>
      </w:pPr>
      <w:rPr>
        <w:rFonts w:hint="default"/>
        <w:lang w:val="es-ES" w:eastAsia="en-US" w:bidi="ar-SA"/>
      </w:rPr>
    </w:lvl>
    <w:lvl w:ilvl="3" w:tplc="9D92779C">
      <w:numFmt w:val="bullet"/>
      <w:lvlText w:val="•"/>
      <w:lvlJc w:val="left"/>
      <w:pPr>
        <w:ind w:left="3678" w:hanging="221"/>
      </w:pPr>
      <w:rPr>
        <w:rFonts w:hint="default"/>
        <w:lang w:val="es-ES" w:eastAsia="en-US" w:bidi="ar-SA"/>
      </w:rPr>
    </w:lvl>
    <w:lvl w:ilvl="4" w:tplc="1284BAE6">
      <w:numFmt w:val="bullet"/>
      <w:lvlText w:val="•"/>
      <w:lvlJc w:val="left"/>
      <w:pPr>
        <w:ind w:left="4484" w:hanging="221"/>
      </w:pPr>
      <w:rPr>
        <w:rFonts w:hint="default"/>
        <w:lang w:val="es-ES" w:eastAsia="en-US" w:bidi="ar-SA"/>
      </w:rPr>
    </w:lvl>
    <w:lvl w:ilvl="5" w:tplc="B4546724">
      <w:numFmt w:val="bullet"/>
      <w:lvlText w:val="•"/>
      <w:lvlJc w:val="left"/>
      <w:pPr>
        <w:ind w:left="5290" w:hanging="221"/>
      </w:pPr>
      <w:rPr>
        <w:rFonts w:hint="default"/>
        <w:lang w:val="es-ES" w:eastAsia="en-US" w:bidi="ar-SA"/>
      </w:rPr>
    </w:lvl>
    <w:lvl w:ilvl="6" w:tplc="2C54DE5A">
      <w:numFmt w:val="bullet"/>
      <w:lvlText w:val="•"/>
      <w:lvlJc w:val="left"/>
      <w:pPr>
        <w:ind w:left="6096" w:hanging="221"/>
      </w:pPr>
      <w:rPr>
        <w:rFonts w:hint="default"/>
        <w:lang w:val="es-ES" w:eastAsia="en-US" w:bidi="ar-SA"/>
      </w:rPr>
    </w:lvl>
    <w:lvl w:ilvl="7" w:tplc="A2BA4E16">
      <w:numFmt w:val="bullet"/>
      <w:lvlText w:val="•"/>
      <w:lvlJc w:val="left"/>
      <w:pPr>
        <w:ind w:left="6902" w:hanging="221"/>
      </w:pPr>
      <w:rPr>
        <w:rFonts w:hint="default"/>
        <w:lang w:val="es-ES" w:eastAsia="en-US" w:bidi="ar-SA"/>
      </w:rPr>
    </w:lvl>
    <w:lvl w:ilvl="8" w:tplc="2668CF68">
      <w:numFmt w:val="bullet"/>
      <w:lvlText w:val="•"/>
      <w:lvlJc w:val="left"/>
      <w:pPr>
        <w:ind w:left="7708" w:hanging="221"/>
      </w:pPr>
      <w:rPr>
        <w:rFonts w:hint="default"/>
        <w:lang w:val="es-ES" w:eastAsia="en-US" w:bidi="ar-SA"/>
      </w:rPr>
    </w:lvl>
  </w:abstractNum>
  <w:abstractNum w:abstractNumId="11" w15:restartNumberingAfterBreak="0">
    <w:nsid w:val="680A09C8"/>
    <w:multiLevelType w:val="multilevel"/>
    <w:tmpl w:val="D2E663BC"/>
    <w:lvl w:ilvl="0">
      <w:start w:val="2"/>
      <w:numFmt w:val="decimal"/>
      <w:lvlText w:val="%1"/>
      <w:lvlJc w:val="left"/>
      <w:pPr>
        <w:ind w:left="890" w:hanging="720"/>
      </w:pPr>
      <w:rPr>
        <w:rFonts w:hint="default"/>
        <w:lang w:val="es-ES" w:eastAsia="en-US" w:bidi="ar-SA"/>
      </w:rPr>
    </w:lvl>
    <w:lvl w:ilvl="1">
      <w:start w:val="2"/>
      <w:numFmt w:val="decimal"/>
      <w:lvlText w:val="%1.%2."/>
      <w:lvlJc w:val="left"/>
      <w:pPr>
        <w:ind w:left="890" w:hanging="720"/>
      </w:pPr>
      <w:rPr>
        <w:rFonts w:ascii="Arial" w:eastAsia="Arial" w:hAnsi="Arial" w:cs="Arial" w:hint="default"/>
        <w:b/>
        <w:bCs/>
        <w:color w:val="585858"/>
        <w:spacing w:val="-2"/>
        <w:w w:val="100"/>
        <w:sz w:val="22"/>
        <w:szCs w:val="22"/>
        <w:lang w:val="es-ES" w:eastAsia="en-US" w:bidi="ar-SA"/>
      </w:rPr>
    </w:lvl>
    <w:lvl w:ilvl="2">
      <w:start w:val="1"/>
      <w:numFmt w:val="upperLetter"/>
      <w:lvlText w:val="%3."/>
      <w:lvlJc w:val="left"/>
      <w:pPr>
        <w:ind w:left="1248" w:hanging="360"/>
      </w:pPr>
      <w:rPr>
        <w:rFonts w:ascii="Arial" w:eastAsia="Arial" w:hAnsi="Arial" w:cs="Arial" w:hint="default"/>
        <w:color w:val="585858"/>
        <w:spacing w:val="-16"/>
        <w:w w:val="100"/>
        <w:sz w:val="20"/>
        <w:szCs w:val="20"/>
        <w:lang w:val="es-ES" w:eastAsia="en-US" w:bidi="ar-SA"/>
      </w:rPr>
    </w:lvl>
    <w:lvl w:ilvl="3">
      <w:numFmt w:val="bullet"/>
      <w:lvlText w:val="•"/>
      <w:lvlJc w:val="left"/>
      <w:pPr>
        <w:ind w:left="2565" w:hanging="360"/>
      </w:pPr>
      <w:rPr>
        <w:rFonts w:hint="default"/>
        <w:lang w:val="es-ES" w:eastAsia="en-US" w:bidi="ar-SA"/>
      </w:rPr>
    </w:lvl>
    <w:lvl w:ilvl="4">
      <w:numFmt w:val="bullet"/>
      <w:lvlText w:val="•"/>
      <w:lvlJc w:val="left"/>
      <w:pPr>
        <w:ind w:left="3530" w:hanging="360"/>
      </w:pPr>
      <w:rPr>
        <w:rFonts w:hint="default"/>
        <w:lang w:val="es-ES" w:eastAsia="en-US" w:bidi="ar-SA"/>
      </w:rPr>
    </w:lvl>
    <w:lvl w:ilvl="5">
      <w:numFmt w:val="bullet"/>
      <w:lvlText w:val="•"/>
      <w:lvlJc w:val="left"/>
      <w:pPr>
        <w:ind w:left="4495" w:hanging="360"/>
      </w:pPr>
      <w:rPr>
        <w:rFonts w:hint="default"/>
        <w:lang w:val="es-ES" w:eastAsia="en-US" w:bidi="ar-SA"/>
      </w:rPr>
    </w:lvl>
    <w:lvl w:ilvl="6">
      <w:numFmt w:val="bullet"/>
      <w:lvlText w:val="•"/>
      <w:lvlJc w:val="left"/>
      <w:pPr>
        <w:ind w:left="5460" w:hanging="360"/>
      </w:pPr>
      <w:rPr>
        <w:rFonts w:hint="default"/>
        <w:lang w:val="es-ES" w:eastAsia="en-US" w:bidi="ar-SA"/>
      </w:rPr>
    </w:lvl>
    <w:lvl w:ilvl="7">
      <w:numFmt w:val="bullet"/>
      <w:lvlText w:val="•"/>
      <w:lvlJc w:val="left"/>
      <w:pPr>
        <w:ind w:left="6425" w:hanging="360"/>
      </w:pPr>
      <w:rPr>
        <w:rFonts w:hint="default"/>
        <w:lang w:val="es-ES" w:eastAsia="en-US" w:bidi="ar-SA"/>
      </w:rPr>
    </w:lvl>
    <w:lvl w:ilvl="8">
      <w:numFmt w:val="bullet"/>
      <w:lvlText w:val="•"/>
      <w:lvlJc w:val="left"/>
      <w:pPr>
        <w:ind w:left="7390" w:hanging="360"/>
      </w:pPr>
      <w:rPr>
        <w:rFonts w:hint="default"/>
        <w:lang w:val="es-ES" w:eastAsia="en-US" w:bidi="ar-SA"/>
      </w:rPr>
    </w:lvl>
  </w:abstractNum>
  <w:abstractNum w:abstractNumId="12" w15:restartNumberingAfterBreak="0">
    <w:nsid w:val="7ADF7FA9"/>
    <w:multiLevelType w:val="hybridMultilevel"/>
    <w:tmpl w:val="B5BA2E8C"/>
    <w:lvl w:ilvl="0" w:tplc="FE4E936A">
      <w:numFmt w:val="bullet"/>
      <w:lvlText w:val=""/>
      <w:lvlJc w:val="left"/>
      <w:pPr>
        <w:ind w:left="465" w:hanging="285"/>
      </w:pPr>
      <w:rPr>
        <w:rFonts w:ascii="Wingdings" w:eastAsia="Wingdings" w:hAnsi="Wingdings" w:cs="Wingdings" w:hint="default"/>
        <w:color w:val="0D62A8"/>
        <w:w w:val="100"/>
        <w:sz w:val="28"/>
        <w:szCs w:val="28"/>
        <w:lang w:val="es-ES" w:eastAsia="en-US" w:bidi="ar-SA"/>
      </w:rPr>
    </w:lvl>
    <w:lvl w:ilvl="1" w:tplc="C470B6C6">
      <w:numFmt w:val="bullet"/>
      <w:lvlText w:val="•"/>
      <w:lvlJc w:val="left"/>
      <w:pPr>
        <w:ind w:left="1346" w:hanging="285"/>
      </w:pPr>
      <w:rPr>
        <w:rFonts w:hint="default"/>
        <w:lang w:val="es-ES" w:eastAsia="en-US" w:bidi="ar-SA"/>
      </w:rPr>
    </w:lvl>
    <w:lvl w:ilvl="2" w:tplc="56569720">
      <w:numFmt w:val="bullet"/>
      <w:lvlText w:val="•"/>
      <w:lvlJc w:val="left"/>
      <w:pPr>
        <w:ind w:left="2232" w:hanging="285"/>
      </w:pPr>
      <w:rPr>
        <w:rFonts w:hint="default"/>
        <w:lang w:val="es-ES" w:eastAsia="en-US" w:bidi="ar-SA"/>
      </w:rPr>
    </w:lvl>
    <w:lvl w:ilvl="3" w:tplc="44E21E0C">
      <w:numFmt w:val="bullet"/>
      <w:lvlText w:val="•"/>
      <w:lvlJc w:val="left"/>
      <w:pPr>
        <w:ind w:left="3118" w:hanging="285"/>
      </w:pPr>
      <w:rPr>
        <w:rFonts w:hint="default"/>
        <w:lang w:val="es-ES" w:eastAsia="en-US" w:bidi="ar-SA"/>
      </w:rPr>
    </w:lvl>
    <w:lvl w:ilvl="4" w:tplc="1F184D10">
      <w:numFmt w:val="bullet"/>
      <w:lvlText w:val="•"/>
      <w:lvlJc w:val="left"/>
      <w:pPr>
        <w:ind w:left="4004" w:hanging="285"/>
      </w:pPr>
      <w:rPr>
        <w:rFonts w:hint="default"/>
        <w:lang w:val="es-ES" w:eastAsia="en-US" w:bidi="ar-SA"/>
      </w:rPr>
    </w:lvl>
    <w:lvl w:ilvl="5" w:tplc="ECBCA7B2">
      <w:numFmt w:val="bullet"/>
      <w:lvlText w:val="•"/>
      <w:lvlJc w:val="left"/>
      <w:pPr>
        <w:ind w:left="4890" w:hanging="285"/>
      </w:pPr>
      <w:rPr>
        <w:rFonts w:hint="default"/>
        <w:lang w:val="es-ES" w:eastAsia="en-US" w:bidi="ar-SA"/>
      </w:rPr>
    </w:lvl>
    <w:lvl w:ilvl="6" w:tplc="E2FC6E24">
      <w:numFmt w:val="bullet"/>
      <w:lvlText w:val="•"/>
      <w:lvlJc w:val="left"/>
      <w:pPr>
        <w:ind w:left="5776" w:hanging="285"/>
      </w:pPr>
      <w:rPr>
        <w:rFonts w:hint="default"/>
        <w:lang w:val="es-ES" w:eastAsia="en-US" w:bidi="ar-SA"/>
      </w:rPr>
    </w:lvl>
    <w:lvl w:ilvl="7" w:tplc="FE20C13A">
      <w:numFmt w:val="bullet"/>
      <w:lvlText w:val="•"/>
      <w:lvlJc w:val="left"/>
      <w:pPr>
        <w:ind w:left="6662" w:hanging="285"/>
      </w:pPr>
      <w:rPr>
        <w:rFonts w:hint="default"/>
        <w:lang w:val="es-ES" w:eastAsia="en-US" w:bidi="ar-SA"/>
      </w:rPr>
    </w:lvl>
    <w:lvl w:ilvl="8" w:tplc="6DA6E410">
      <w:numFmt w:val="bullet"/>
      <w:lvlText w:val="•"/>
      <w:lvlJc w:val="left"/>
      <w:pPr>
        <w:ind w:left="7548" w:hanging="285"/>
      </w:pPr>
      <w:rPr>
        <w:rFonts w:hint="default"/>
        <w:lang w:val="es-ES" w:eastAsia="en-US" w:bidi="ar-SA"/>
      </w:rPr>
    </w:lvl>
  </w:abstractNum>
  <w:num w:numId="1">
    <w:abstractNumId w:val="8"/>
  </w:num>
  <w:num w:numId="2">
    <w:abstractNumId w:val="6"/>
  </w:num>
  <w:num w:numId="3">
    <w:abstractNumId w:val="10"/>
  </w:num>
  <w:num w:numId="4">
    <w:abstractNumId w:val="4"/>
  </w:num>
  <w:num w:numId="5">
    <w:abstractNumId w:val="1"/>
  </w:num>
  <w:num w:numId="6">
    <w:abstractNumId w:val="9"/>
  </w:num>
  <w:num w:numId="7">
    <w:abstractNumId w:val="5"/>
  </w:num>
  <w:num w:numId="8">
    <w:abstractNumId w:val="11"/>
  </w:num>
  <w:num w:numId="9">
    <w:abstractNumId w:val="7"/>
  </w:num>
  <w:num w:numId="10">
    <w:abstractNumId w:val="2"/>
  </w:num>
  <w:num w:numId="11">
    <w:abstractNumId w:val="0"/>
  </w:num>
  <w:num w:numId="12">
    <w:abstractNumId w:val="3"/>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5C97"/>
    <w:rsid w:val="00135F0F"/>
    <w:rsid w:val="002576FC"/>
    <w:rsid w:val="00624083"/>
    <w:rsid w:val="00636B5C"/>
    <w:rsid w:val="006C0EC6"/>
    <w:rsid w:val="008131AB"/>
    <w:rsid w:val="00816FA9"/>
    <w:rsid w:val="00AD5C97"/>
    <w:rsid w:val="00BC13E9"/>
    <w:rsid w:val="00DF5748"/>
    <w:rsid w:val="00DF7D92"/>
    <w:rsid w:val="00F930D4"/>
    <w:rsid w:val="00FE78CC"/>
    <w:rsid w:val="08F18FA9"/>
    <w:rsid w:val="1989E434"/>
    <w:rsid w:val="1E7248F0"/>
    <w:rsid w:val="1E7B21C5"/>
    <w:rsid w:val="1F6E0E28"/>
    <w:rsid w:val="21AA29EA"/>
    <w:rsid w:val="25261E2C"/>
    <w:rsid w:val="272AA3D9"/>
    <w:rsid w:val="3DBA6CF6"/>
    <w:rsid w:val="47DFCE05"/>
    <w:rsid w:val="4F883A63"/>
    <w:rsid w:val="50A4D9D1"/>
    <w:rsid w:val="54AE3448"/>
    <w:rsid w:val="58866B72"/>
    <w:rsid w:val="5DB0664C"/>
    <w:rsid w:val="6E9848B8"/>
    <w:rsid w:val="71FCE6FC"/>
    <w:rsid w:val="746F461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26902"/>
  <w15:docId w15:val="{CC39A2E8-5D0F-430B-BBA8-E5AA19B52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890" w:hanging="72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NormalTable0">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180"/>
      <w:jc w:val="both"/>
    </w:pPr>
  </w:style>
  <w:style w:type="paragraph" w:customStyle="1" w:styleId="TableParagraph">
    <w:name w:val="Table Paragraph"/>
    <w:basedOn w:val="Normal"/>
    <w:uiPriority w:val="1"/>
    <w:qFormat/>
    <w:rPr>
      <w:rFonts w:ascii="Liberation Sans Narrow" w:eastAsia="Liberation Sans Narrow" w:hAnsi="Liberation Sans Narrow" w:cs="Liberation Sans Narrow"/>
    </w:rPr>
  </w:style>
  <w:style w:type="paragraph" w:styleId="Textonotapie">
    <w:name w:val="footnote text"/>
    <w:basedOn w:val="Normal"/>
    <w:link w:val="TextonotapieCar"/>
    <w:uiPriority w:val="99"/>
    <w:semiHidden/>
    <w:unhideWhenUsed/>
    <w:rsid w:val="006C0EC6"/>
    <w:rPr>
      <w:sz w:val="20"/>
      <w:szCs w:val="20"/>
    </w:rPr>
  </w:style>
  <w:style w:type="character" w:customStyle="1" w:styleId="TextonotapieCar">
    <w:name w:val="Texto nota pie Car"/>
    <w:basedOn w:val="Fuentedeprrafopredeter"/>
    <w:link w:val="Textonotapie"/>
    <w:uiPriority w:val="99"/>
    <w:semiHidden/>
    <w:rsid w:val="006C0EC6"/>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6C0E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170B64-6408-4849-8B4B-E8DCFEB53796}">
  <ds:schemaRefs>
    <ds:schemaRef ds:uri="http://schemas.microsoft.com/sharepoint/v3/contenttype/forms"/>
  </ds:schemaRefs>
</ds:datastoreItem>
</file>

<file path=customXml/itemProps2.xml><?xml version="1.0" encoding="utf-8"?>
<ds:datastoreItem xmlns:ds="http://schemas.openxmlformats.org/officeDocument/2006/customXml" ds:itemID="{39E79257-D9AF-4F3B-BCF8-6C0B7BD6CA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50AF4A5-990D-4A3D-BE0B-4EC068F85331}">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B67AD865-6642-4936-9183-EC87EC41C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9320</Words>
  <Characters>53130</Characters>
  <Application>Microsoft Office Word</Application>
  <DocSecurity>0</DocSecurity>
  <Lines>442</Lines>
  <Paragraphs>124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2020-08-05T16:42:00Z</dcterms:created>
  <dcterms:modified xsi:type="dcterms:W3CDTF">2020-08-05T16:42:00Z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2020-01-07T00:00:00Z</vt:filetime>
  </property>
  <property fmtid="{D5CDD505-2E9C-101B-9397-08002B2CF9AE}" pid="3" name="Creator">
    <vt:lpwstr>Microsoft Word</vt:lpwstr>
  </property>
  <property fmtid="{D5CDD505-2E9C-101B-9397-08002B2CF9AE}" pid="4" name="LastSaved">
    <vt:filetime>2020-03-10T00:00:00Z</vt:filetime>
  </property>
  <property fmtid="{D5CDD505-2E9C-101B-9397-08002B2CF9AE}" pid="5" name="ContentTypeId">
    <vt:lpwstr>0x010100F2E0F32964D9B84EA054B84E5D4157A0</vt:lpwstr>
  </property>
</Properties>
</file>