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7CC70" w14:textId="77777777" w:rsidR="00323E63" w:rsidRPr="00AE5415" w:rsidRDefault="00323E63">
      <w:pPr>
        <w:pStyle w:val="Textoindependiente"/>
        <w:spacing w:before="10"/>
        <w:rPr>
          <w:rFonts w:ascii="Times New Roman"/>
          <w:sz w:val="15"/>
        </w:rPr>
      </w:pPr>
    </w:p>
    <w:p w14:paraId="50FA98E9" w14:textId="77777777" w:rsidR="0043065A" w:rsidRPr="00AE5415" w:rsidRDefault="0043065A" w:rsidP="00DC4754">
      <w:pPr>
        <w:pStyle w:val="Textoindependiente"/>
        <w:ind w:left="100" w:right="107"/>
        <w:jc w:val="both"/>
        <w:rPr>
          <w:b/>
          <w:bCs/>
          <w:sz w:val="22"/>
          <w:szCs w:val="22"/>
        </w:rPr>
      </w:pPr>
      <w:r w:rsidRPr="00AE5415">
        <w:rPr>
          <w:b/>
          <w:bCs/>
          <w:sz w:val="22"/>
          <w:szCs w:val="22"/>
        </w:rPr>
        <w:t xml:space="preserve">SOCIEDADES DE ECONOMÍA MIXTA </w:t>
      </w:r>
      <w:r w:rsidR="00DC4754" w:rsidRPr="00DC4754">
        <w:rPr>
          <w:b/>
          <w:bCs/>
          <w:sz w:val="22"/>
          <w:szCs w:val="22"/>
        </w:rPr>
        <w:t>–</w:t>
      </w:r>
      <w:r w:rsidRPr="00AE5415">
        <w:rPr>
          <w:b/>
          <w:bCs/>
          <w:sz w:val="22"/>
          <w:szCs w:val="22"/>
        </w:rPr>
        <w:t xml:space="preserve"> Naturaleza jurídica </w:t>
      </w:r>
    </w:p>
    <w:p w14:paraId="38C913A3" w14:textId="77777777" w:rsidR="0043065A" w:rsidRPr="00AE5415" w:rsidRDefault="0043065A" w:rsidP="0043065A">
      <w:pPr>
        <w:pStyle w:val="Textoindependiente"/>
        <w:ind w:right="112"/>
        <w:jc w:val="both"/>
      </w:pPr>
    </w:p>
    <w:p w14:paraId="358C2673" w14:textId="4CD36F3A" w:rsidR="00AE5415" w:rsidRDefault="0043065A" w:rsidP="004B1582">
      <w:pPr>
        <w:pStyle w:val="Textoindependiente"/>
        <w:spacing w:after="120"/>
        <w:ind w:left="102" w:right="108"/>
        <w:jc w:val="both"/>
      </w:pPr>
      <w:r w:rsidRPr="00AE5415">
        <w:t>De acuerdo con la Ley 489 de 1998, las sociedades de economía mixta son organismos autorizados por la ley, constituidos como sociedades comerciales con aportes de capital público y privado.</w:t>
      </w:r>
    </w:p>
    <w:p w14:paraId="47A448F4" w14:textId="5FB2872E" w:rsidR="00AE5415" w:rsidRDefault="0043065A" w:rsidP="004B1582">
      <w:pPr>
        <w:pStyle w:val="Textoindependiente"/>
        <w:spacing w:after="120"/>
        <w:ind w:left="102" w:right="108"/>
        <w:jc w:val="both"/>
      </w:pPr>
      <w:r w:rsidRPr="00AE5415">
        <w:t>La Ley 489 de 1998 clasifica a las sociedades de economía mixta como entidades descentralizadas por servicios, con personería jurídica, autonomía administrativa y patrimonio propio, que pueden ser del orden nacional, departamental o municipal, según su órgano de creación</w:t>
      </w:r>
      <w:r w:rsidR="004B1582">
        <w:t>.</w:t>
      </w:r>
    </w:p>
    <w:p w14:paraId="048F85E5" w14:textId="77777777" w:rsidR="0043065A" w:rsidRPr="00AE5415" w:rsidRDefault="0043065A" w:rsidP="004B1582">
      <w:pPr>
        <w:pStyle w:val="Textoindependiente"/>
        <w:spacing w:after="120"/>
        <w:ind w:left="102" w:right="108"/>
        <w:jc w:val="both"/>
      </w:pPr>
      <w:r w:rsidRPr="00AE5415">
        <w:t xml:space="preserve">[…] </w:t>
      </w:r>
      <w:r w:rsidR="00AE5415">
        <w:t>S</w:t>
      </w:r>
      <w:r w:rsidRPr="00AE5415">
        <w:t>i bien las sociedades de economía mixta tienen personería jurídica, autonomía administrativa y patrimonio propio, esto no significa que pierdan su características de ser entidades descentralizadas que hacen parte de la rama ejecutiva y por lo tanto, cuando se trate de una sociedad de economía mixta departamental o municipal, no podrá celebrar dentro de los cuatro (4) meses anteriores a las elecciones territoriales, contratos y convenios interadministrativos por tratarse de una entidad descentralizada del nivel territorial.</w:t>
      </w:r>
    </w:p>
    <w:p w14:paraId="11106016" w14:textId="77777777" w:rsidR="0043065A" w:rsidRPr="00AE5415" w:rsidRDefault="0043065A" w:rsidP="0043065A">
      <w:pPr>
        <w:pStyle w:val="Textoindependiente"/>
        <w:ind w:right="105"/>
        <w:jc w:val="both"/>
      </w:pPr>
    </w:p>
    <w:p w14:paraId="3C42E0D1" w14:textId="77777777" w:rsidR="0043065A" w:rsidRPr="00AE5415" w:rsidRDefault="0043065A" w:rsidP="00DC4754">
      <w:pPr>
        <w:pStyle w:val="Textoindependiente"/>
        <w:ind w:left="100" w:right="107"/>
        <w:jc w:val="both"/>
        <w:rPr>
          <w:b/>
          <w:bCs/>
          <w:sz w:val="22"/>
          <w:szCs w:val="22"/>
        </w:rPr>
      </w:pPr>
      <w:r w:rsidRPr="00AE5415">
        <w:rPr>
          <w:b/>
          <w:bCs/>
          <w:sz w:val="22"/>
          <w:szCs w:val="22"/>
        </w:rPr>
        <w:t>CONTRATO INTERADMINISTRATIV</w:t>
      </w:r>
      <w:r w:rsidRPr="00DC4754">
        <w:rPr>
          <w:b/>
          <w:bCs/>
          <w:sz w:val="22"/>
          <w:szCs w:val="22"/>
        </w:rPr>
        <w:t xml:space="preserve">O </w:t>
      </w:r>
      <w:r w:rsidR="00DC4754" w:rsidRPr="00DC4754">
        <w:rPr>
          <w:b/>
          <w:bCs/>
          <w:sz w:val="22"/>
          <w:szCs w:val="22"/>
        </w:rPr>
        <w:t>–</w:t>
      </w:r>
      <w:r w:rsidRPr="00DC4754">
        <w:rPr>
          <w:b/>
          <w:bCs/>
          <w:sz w:val="22"/>
          <w:szCs w:val="22"/>
        </w:rPr>
        <w:t xml:space="preserve"> Definición </w:t>
      </w:r>
      <w:r w:rsidR="00DC4754" w:rsidRPr="00DC4754">
        <w:rPr>
          <w:b/>
          <w:bCs/>
          <w:sz w:val="22"/>
          <w:szCs w:val="22"/>
        </w:rPr>
        <w:t>–</w:t>
      </w:r>
      <w:r w:rsidRPr="00AE5415">
        <w:rPr>
          <w:b/>
          <w:bCs/>
          <w:sz w:val="22"/>
          <w:szCs w:val="22"/>
        </w:rPr>
        <w:t xml:space="preserve"> Criterio orgánico</w:t>
      </w:r>
    </w:p>
    <w:p w14:paraId="6CB78DEF" w14:textId="77777777" w:rsidR="0043065A" w:rsidRPr="00AE5415" w:rsidRDefault="0043065A" w:rsidP="0043065A">
      <w:pPr>
        <w:pStyle w:val="Textoindependiente"/>
        <w:ind w:right="105"/>
        <w:jc w:val="both"/>
      </w:pPr>
    </w:p>
    <w:p w14:paraId="4D56FCAB" w14:textId="1E9E5360" w:rsidR="00DC4754" w:rsidRDefault="0043065A" w:rsidP="004B1582">
      <w:pPr>
        <w:pStyle w:val="Textoindependiente"/>
        <w:spacing w:after="120"/>
        <w:ind w:left="102" w:right="108"/>
        <w:jc w:val="both"/>
      </w:pPr>
      <w:r w:rsidRPr="00AE5415">
        <w:t xml:space="preserve">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entre entidades estatales. 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w:t>
      </w:r>
    </w:p>
    <w:p w14:paraId="2468154F" w14:textId="31C35C8F" w:rsidR="00DC4754" w:rsidRDefault="0043065A" w:rsidP="004B1582">
      <w:pPr>
        <w:pStyle w:val="Textoindependiente"/>
        <w:spacing w:after="120"/>
        <w:ind w:left="102" w:right="108"/>
        <w:jc w:val="both"/>
      </w:pPr>
      <w:r w:rsidRPr="00AE5415">
        <w:t xml:space="preserve">Es decir que, los contratos o convenios interadministrativos nominados en la Ley 80 de 1993, están precedidos de un criterio orgánico, pues es necesario que los extremos de la relación contractual sean entidades estatales. Si bien los contratos y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 La calidad de un contrato o convenio interadministrativo no está determinada por la modalidad de selección utilizada para celebrar el respectivo acuerdo de voluntades entre entidades de derecho público. </w:t>
      </w:r>
    </w:p>
    <w:p w14:paraId="48062DF2" w14:textId="77777777" w:rsidR="0043065A" w:rsidRPr="00AE5415" w:rsidRDefault="0043065A" w:rsidP="004B1582">
      <w:pPr>
        <w:pStyle w:val="Textoindependiente"/>
        <w:spacing w:after="120"/>
        <w:ind w:left="102" w:right="108"/>
        <w:jc w:val="both"/>
      </w:pPr>
      <w:r w:rsidRPr="00AE5415">
        <w:t>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 Nótese que, en este caso, lo que cambia es la modalidad de selección y no la naturaleza de contrato interadministrativo.</w:t>
      </w:r>
    </w:p>
    <w:p w14:paraId="301D8A3C" w14:textId="77777777" w:rsidR="0043065A" w:rsidRPr="00AE5415" w:rsidRDefault="0043065A" w:rsidP="0043065A">
      <w:pPr>
        <w:pStyle w:val="Textoindependiente"/>
        <w:ind w:right="105"/>
        <w:jc w:val="both"/>
      </w:pPr>
    </w:p>
    <w:p w14:paraId="784CFA28" w14:textId="77777777" w:rsidR="0043065A" w:rsidRPr="00AE5415" w:rsidRDefault="0043065A" w:rsidP="00AE5415">
      <w:pPr>
        <w:pStyle w:val="Textoindependiente"/>
        <w:ind w:left="100" w:right="107"/>
        <w:jc w:val="both"/>
        <w:rPr>
          <w:b/>
          <w:bCs/>
          <w:sz w:val="22"/>
          <w:szCs w:val="22"/>
        </w:rPr>
      </w:pPr>
      <w:r w:rsidRPr="00AE5415">
        <w:rPr>
          <w:b/>
          <w:bCs/>
          <w:sz w:val="22"/>
          <w:szCs w:val="22"/>
        </w:rPr>
        <w:t xml:space="preserve">LEY DE GARANTÍAS ELECTORALES </w:t>
      </w:r>
      <w:r w:rsidR="00DC4754" w:rsidRPr="00DC4754">
        <w:rPr>
          <w:b/>
          <w:bCs/>
          <w:sz w:val="22"/>
          <w:szCs w:val="22"/>
        </w:rPr>
        <w:t>–</w:t>
      </w:r>
      <w:r w:rsidRPr="00AE5415">
        <w:rPr>
          <w:b/>
          <w:bCs/>
          <w:sz w:val="22"/>
          <w:szCs w:val="22"/>
        </w:rPr>
        <w:t xml:space="preserve"> Prohibición </w:t>
      </w:r>
      <w:r w:rsidR="00DC4754" w:rsidRPr="00DC4754">
        <w:rPr>
          <w:b/>
          <w:bCs/>
          <w:sz w:val="22"/>
          <w:szCs w:val="22"/>
        </w:rPr>
        <w:t>–</w:t>
      </w:r>
      <w:r w:rsidR="00DC4754">
        <w:rPr>
          <w:b/>
          <w:bCs/>
          <w:sz w:val="22"/>
          <w:szCs w:val="22"/>
        </w:rPr>
        <w:t xml:space="preserve"> S</w:t>
      </w:r>
      <w:r w:rsidR="00DC4754" w:rsidRPr="00AE5415">
        <w:rPr>
          <w:b/>
          <w:bCs/>
          <w:sz w:val="22"/>
          <w:szCs w:val="22"/>
        </w:rPr>
        <w:t>uscri</w:t>
      </w:r>
      <w:r w:rsidR="00DC4754">
        <w:rPr>
          <w:b/>
          <w:bCs/>
          <w:sz w:val="22"/>
          <w:szCs w:val="22"/>
        </w:rPr>
        <w:t xml:space="preserve">pción </w:t>
      </w:r>
      <w:r w:rsidR="00DC4754" w:rsidRPr="00DC4754">
        <w:rPr>
          <w:b/>
          <w:bCs/>
          <w:sz w:val="22"/>
          <w:szCs w:val="22"/>
        </w:rPr>
        <w:t>–</w:t>
      </w:r>
      <w:r w:rsidR="00DC4754">
        <w:rPr>
          <w:b/>
          <w:bCs/>
          <w:sz w:val="22"/>
          <w:szCs w:val="22"/>
        </w:rPr>
        <w:t xml:space="preserve"> C</w:t>
      </w:r>
      <w:r w:rsidRPr="00AE5415">
        <w:rPr>
          <w:b/>
          <w:bCs/>
          <w:sz w:val="22"/>
          <w:szCs w:val="22"/>
        </w:rPr>
        <w:t xml:space="preserve">ontratos interadministrativos </w:t>
      </w:r>
      <w:r w:rsidR="00DC4754" w:rsidRPr="00DC4754">
        <w:rPr>
          <w:b/>
          <w:bCs/>
          <w:sz w:val="22"/>
          <w:szCs w:val="22"/>
        </w:rPr>
        <w:t>–</w:t>
      </w:r>
      <w:r w:rsidR="00DC4754">
        <w:rPr>
          <w:b/>
          <w:bCs/>
          <w:sz w:val="22"/>
          <w:szCs w:val="22"/>
        </w:rPr>
        <w:t xml:space="preserve"> S</w:t>
      </w:r>
      <w:r w:rsidRPr="00AE5415">
        <w:rPr>
          <w:b/>
          <w:bCs/>
          <w:sz w:val="22"/>
          <w:szCs w:val="22"/>
        </w:rPr>
        <w:t xml:space="preserve">ociedades de economía mixta </w:t>
      </w:r>
    </w:p>
    <w:p w14:paraId="3C25D2FB" w14:textId="77777777" w:rsidR="0043065A" w:rsidRPr="00AE5415" w:rsidRDefault="0043065A" w:rsidP="0043065A">
      <w:pPr>
        <w:pStyle w:val="Textoindependiente"/>
      </w:pPr>
    </w:p>
    <w:p w14:paraId="4F278513" w14:textId="1FAE5888" w:rsidR="00AE5415" w:rsidRDefault="0043065A" w:rsidP="004B1582">
      <w:pPr>
        <w:pStyle w:val="Textoindependiente"/>
        <w:spacing w:after="120"/>
        <w:ind w:left="102" w:right="108"/>
        <w:jc w:val="both"/>
      </w:pPr>
      <w:r w:rsidRPr="00AE5415">
        <w:t xml:space="preserve">Entonces,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w:t>
      </w:r>
      <w:r w:rsidRPr="00AE5415">
        <w:lastRenderedPageBreak/>
        <w:t xml:space="preserve">parágrafo </w:t>
      </w:r>
      <w:r w:rsidRPr="00AE5415">
        <w:rPr>
          <w:i/>
        </w:rPr>
        <w:t>ibidem</w:t>
      </w:r>
      <w:r w:rsidRPr="00AE5415">
        <w:t>, no podrá celebrar dichos contratos o convenios durante la aplicación de la ley de garantías, toda vez que dicha disposición hace referencia a dicha tipología contractual sin que el legislador hubiere contemplado excepción alguna frente a la modalidad de selección o naturaleza de su objeto</w:t>
      </w:r>
      <w:r w:rsidR="00AE5415">
        <w:t>.</w:t>
      </w:r>
    </w:p>
    <w:p w14:paraId="3A28FF3F" w14:textId="77777777" w:rsidR="0043065A" w:rsidRPr="00AE5415" w:rsidRDefault="0043065A" w:rsidP="00924D29">
      <w:pPr>
        <w:pStyle w:val="Textoindependiente"/>
        <w:ind w:left="102" w:right="108"/>
        <w:jc w:val="both"/>
      </w:pPr>
      <w:r w:rsidRPr="00AE5415">
        <w:t>Por último, y reiterando lo anterior, si una sociedad de economía mixta, es decir, una entidad descentralizada del orden territorial actúa en una relación contractual cuyo otro extremo es una entidad del orden nacional, le aplica la restricción prevista en el parágrafo 38 de la Ley 996 de 2005, toda vez que esta disposición prohíbe la celebración de convenios y contratos interadministrativos a las entidades territoriales y descentralizadas del orden territorial, y para que se configure dicha tipología contractual es necesario que la otra parte sea una entidad estatal, y esta última puede ser del orden nacional o territorial.</w:t>
      </w:r>
    </w:p>
    <w:p w14:paraId="51D4E974" w14:textId="3F4DDB7E" w:rsidR="0043065A" w:rsidRDefault="0043065A" w:rsidP="00924D29">
      <w:pPr>
        <w:ind w:left="100"/>
        <w:rPr>
          <w:sz w:val="20"/>
        </w:rPr>
      </w:pPr>
    </w:p>
    <w:p w14:paraId="28EA3F26" w14:textId="77777777" w:rsidR="00924D29" w:rsidRPr="00AE5415" w:rsidRDefault="00924D29" w:rsidP="00924D29">
      <w:pPr>
        <w:ind w:left="100"/>
        <w:rPr>
          <w:sz w:val="20"/>
        </w:rPr>
      </w:pPr>
    </w:p>
    <w:p w14:paraId="700CF19C" w14:textId="77777777" w:rsidR="00323E63" w:rsidRPr="00AE5415" w:rsidRDefault="00B83E22" w:rsidP="00924D29">
      <w:pPr>
        <w:ind w:left="100"/>
        <w:rPr>
          <w:b/>
          <w:sz w:val="20"/>
        </w:rPr>
      </w:pPr>
      <w:r w:rsidRPr="00AE5415">
        <w:rPr>
          <w:sz w:val="20"/>
        </w:rPr>
        <w:t xml:space="preserve">Bogotá D.C., </w:t>
      </w:r>
      <w:r w:rsidRPr="00AE5415">
        <w:rPr>
          <w:b/>
          <w:sz w:val="20"/>
        </w:rPr>
        <w:t>08/08/2019 Hora 10:13:16s</w:t>
      </w:r>
    </w:p>
    <w:p w14:paraId="3B9DF225" w14:textId="77777777" w:rsidR="00323E63" w:rsidRPr="00AE5415" w:rsidRDefault="00B83E22">
      <w:pPr>
        <w:pStyle w:val="Ttulo"/>
      </w:pPr>
      <w:proofErr w:type="spellStart"/>
      <w:r w:rsidRPr="00AE5415">
        <w:t>N°</w:t>
      </w:r>
      <w:proofErr w:type="spellEnd"/>
      <w:r w:rsidRPr="00AE5415">
        <w:t xml:space="preserve"> Radicado: 2201913000005655</w:t>
      </w:r>
    </w:p>
    <w:p w14:paraId="355F54AD" w14:textId="77777777" w:rsidR="00323E63" w:rsidRPr="00AE5415" w:rsidRDefault="00323E63">
      <w:pPr>
        <w:pStyle w:val="Textoindependiente"/>
        <w:spacing w:before="1"/>
        <w:rPr>
          <w:b/>
          <w:sz w:val="12"/>
        </w:rPr>
      </w:pPr>
    </w:p>
    <w:p w14:paraId="25404585" w14:textId="77777777" w:rsidR="00323E63" w:rsidRPr="00AE5415" w:rsidRDefault="00B83E22">
      <w:pPr>
        <w:pStyle w:val="Textoindependiente"/>
        <w:spacing w:before="93" w:line="229" w:lineRule="exact"/>
        <w:ind w:left="100"/>
      </w:pPr>
      <w:r w:rsidRPr="00AE5415">
        <w:t>Señor</w:t>
      </w:r>
    </w:p>
    <w:p w14:paraId="2DB7BC89" w14:textId="77777777" w:rsidR="00323E63" w:rsidRPr="00AE5415" w:rsidRDefault="00B83E22">
      <w:pPr>
        <w:spacing w:line="242" w:lineRule="auto"/>
        <w:ind w:left="100" w:right="6420"/>
        <w:rPr>
          <w:sz w:val="20"/>
        </w:rPr>
      </w:pPr>
      <w:r w:rsidRPr="00AE5415">
        <w:rPr>
          <w:b/>
          <w:sz w:val="20"/>
        </w:rPr>
        <w:t xml:space="preserve">Adolfo Antonio Tejada Díaz </w:t>
      </w:r>
      <w:r w:rsidRPr="00AE5415">
        <w:rPr>
          <w:sz w:val="20"/>
        </w:rPr>
        <w:t>Presidente Ejecutivo INFOTIC SA</w:t>
      </w:r>
    </w:p>
    <w:p w14:paraId="7CC8969A" w14:textId="77777777" w:rsidR="00323E63" w:rsidRPr="00AE5415" w:rsidRDefault="00B83E22">
      <w:pPr>
        <w:pStyle w:val="Textoindependiente"/>
        <w:spacing w:line="226" w:lineRule="exact"/>
        <w:ind w:left="100"/>
      </w:pPr>
      <w:r w:rsidRPr="00AE5415">
        <w:t>Ciudad</w:t>
      </w:r>
    </w:p>
    <w:p w14:paraId="3646930C" w14:textId="77777777" w:rsidR="00323E63" w:rsidRPr="00AE5415" w:rsidRDefault="00323E63">
      <w:pPr>
        <w:pStyle w:val="Textoindependiente"/>
        <w:rPr>
          <w:sz w:val="22"/>
        </w:rPr>
      </w:pPr>
    </w:p>
    <w:p w14:paraId="4C840C00" w14:textId="77777777" w:rsidR="00323E63" w:rsidRPr="00AE5415" w:rsidRDefault="00323E63">
      <w:pPr>
        <w:pStyle w:val="Textoindependiente"/>
        <w:spacing w:before="8"/>
        <w:rPr>
          <w:sz w:val="17"/>
        </w:rPr>
      </w:pPr>
    </w:p>
    <w:p w14:paraId="00CD3146" w14:textId="77777777" w:rsidR="00323E63" w:rsidRPr="00AE5415" w:rsidRDefault="00B83E22">
      <w:pPr>
        <w:tabs>
          <w:tab w:val="left" w:pos="2933"/>
        </w:tabs>
        <w:ind w:left="100"/>
        <w:rPr>
          <w:sz w:val="20"/>
        </w:rPr>
      </w:pPr>
      <w:r w:rsidRPr="00AE5415">
        <w:rPr>
          <w:b/>
          <w:sz w:val="20"/>
        </w:rPr>
        <w:t>Radicación:</w:t>
      </w:r>
      <w:r w:rsidRPr="00AE5415">
        <w:rPr>
          <w:b/>
          <w:sz w:val="20"/>
        </w:rPr>
        <w:tab/>
      </w:r>
      <w:r w:rsidRPr="00AE5415">
        <w:rPr>
          <w:sz w:val="20"/>
        </w:rPr>
        <w:t>Respuesta a consulta #</w:t>
      </w:r>
      <w:r w:rsidRPr="00AE5415">
        <w:rPr>
          <w:spacing w:val="-1"/>
          <w:sz w:val="20"/>
        </w:rPr>
        <w:t xml:space="preserve"> </w:t>
      </w:r>
      <w:r w:rsidRPr="00AE5415">
        <w:rPr>
          <w:sz w:val="20"/>
        </w:rPr>
        <w:t>4201913000004690</w:t>
      </w:r>
    </w:p>
    <w:p w14:paraId="5AE7F2AA" w14:textId="77777777" w:rsidR="00323E63" w:rsidRPr="00AE5415" w:rsidRDefault="00B83E22">
      <w:pPr>
        <w:pStyle w:val="Textoindependiente"/>
        <w:tabs>
          <w:tab w:val="left" w:pos="2933"/>
        </w:tabs>
        <w:ind w:left="100"/>
      </w:pPr>
      <w:r w:rsidRPr="00AE5415">
        <w:rPr>
          <w:b/>
        </w:rPr>
        <w:t>Temas:</w:t>
      </w:r>
      <w:r w:rsidRPr="00AE5415">
        <w:rPr>
          <w:b/>
        </w:rPr>
        <w:tab/>
      </w:r>
      <w:r w:rsidRPr="00AE5415">
        <w:t>Ley de Garantías, Sociedad de Economía</w:t>
      </w:r>
      <w:r w:rsidRPr="00AE5415">
        <w:rPr>
          <w:spacing w:val="-3"/>
        </w:rPr>
        <w:t xml:space="preserve"> </w:t>
      </w:r>
      <w:r w:rsidRPr="00AE5415">
        <w:t>Mixta</w:t>
      </w:r>
    </w:p>
    <w:p w14:paraId="0F55525B" w14:textId="77777777" w:rsidR="00323E63" w:rsidRPr="00AE5415" w:rsidRDefault="00B83E22">
      <w:pPr>
        <w:tabs>
          <w:tab w:val="left" w:pos="2933"/>
          <w:tab w:val="left" w:pos="4085"/>
          <w:tab w:val="left" w:pos="4550"/>
          <w:tab w:val="left" w:pos="4947"/>
          <w:tab w:val="left" w:pos="5447"/>
          <w:tab w:val="left" w:pos="5912"/>
          <w:tab w:val="left" w:pos="6986"/>
          <w:tab w:val="left" w:pos="7629"/>
          <w:tab w:val="left" w:pos="8128"/>
        </w:tabs>
        <w:ind w:left="100"/>
        <w:rPr>
          <w:sz w:val="20"/>
        </w:rPr>
      </w:pPr>
      <w:r w:rsidRPr="00AE5415">
        <w:rPr>
          <w:b/>
          <w:sz w:val="20"/>
        </w:rPr>
        <w:t>Tipo de</w:t>
      </w:r>
      <w:r w:rsidRPr="00AE5415">
        <w:rPr>
          <w:b/>
          <w:spacing w:val="-5"/>
          <w:sz w:val="20"/>
        </w:rPr>
        <w:t xml:space="preserve"> </w:t>
      </w:r>
      <w:r w:rsidRPr="00AE5415">
        <w:rPr>
          <w:b/>
          <w:sz w:val="20"/>
        </w:rPr>
        <w:t>asunto</w:t>
      </w:r>
      <w:r w:rsidRPr="00AE5415">
        <w:rPr>
          <w:b/>
          <w:spacing w:val="-1"/>
          <w:sz w:val="20"/>
        </w:rPr>
        <w:t xml:space="preserve"> </w:t>
      </w:r>
      <w:r w:rsidRPr="00AE5415">
        <w:rPr>
          <w:b/>
          <w:sz w:val="20"/>
        </w:rPr>
        <w:t>consultado:</w:t>
      </w:r>
      <w:r w:rsidRPr="00AE5415">
        <w:rPr>
          <w:b/>
          <w:sz w:val="20"/>
        </w:rPr>
        <w:tab/>
      </w:r>
      <w:r w:rsidRPr="00AE5415">
        <w:rPr>
          <w:sz w:val="20"/>
        </w:rPr>
        <w:t>Aplicación</w:t>
      </w:r>
      <w:r w:rsidRPr="00AE5415">
        <w:rPr>
          <w:sz w:val="20"/>
        </w:rPr>
        <w:tab/>
        <w:t>de</w:t>
      </w:r>
      <w:r w:rsidRPr="00AE5415">
        <w:rPr>
          <w:sz w:val="20"/>
        </w:rPr>
        <w:tab/>
        <w:t>la</w:t>
      </w:r>
      <w:r w:rsidRPr="00AE5415">
        <w:rPr>
          <w:sz w:val="20"/>
        </w:rPr>
        <w:tab/>
        <w:t>ley</w:t>
      </w:r>
      <w:r w:rsidRPr="00AE5415">
        <w:rPr>
          <w:sz w:val="20"/>
        </w:rPr>
        <w:tab/>
        <w:t>de</w:t>
      </w:r>
      <w:r w:rsidRPr="00AE5415">
        <w:rPr>
          <w:sz w:val="20"/>
        </w:rPr>
        <w:tab/>
        <w:t>garantías</w:t>
      </w:r>
      <w:r w:rsidRPr="00AE5415">
        <w:rPr>
          <w:sz w:val="20"/>
        </w:rPr>
        <w:tab/>
        <w:t>para</w:t>
      </w:r>
      <w:r w:rsidRPr="00AE5415">
        <w:rPr>
          <w:sz w:val="20"/>
        </w:rPr>
        <w:tab/>
        <w:t>los</w:t>
      </w:r>
      <w:r w:rsidRPr="00AE5415">
        <w:rPr>
          <w:sz w:val="20"/>
        </w:rPr>
        <w:tab/>
        <w:t>convenios</w:t>
      </w:r>
    </w:p>
    <w:p w14:paraId="57452FE5" w14:textId="77777777" w:rsidR="00323E63" w:rsidRPr="00AE5415" w:rsidRDefault="00B83E22">
      <w:pPr>
        <w:pStyle w:val="Textoindependiente"/>
        <w:spacing w:before="3"/>
        <w:ind w:left="2933"/>
      </w:pPr>
      <w:r w:rsidRPr="00AE5415">
        <w:t>interadministrativos de las Sociedades de Economía Mixta</w:t>
      </w:r>
    </w:p>
    <w:p w14:paraId="144B3EEF" w14:textId="77777777" w:rsidR="00323E63" w:rsidRPr="00AE5415" w:rsidRDefault="00323E63">
      <w:pPr>
        <w:pStyle w:val="Textoindependiente"/>
        <w:rPr>
          <w:sz w:val="22"/>
        </w:rPr>
      </w:pPr>
    </w:p>
    <w:p w14:paraId="25BA0907" w14:textId="77777777" w:rsidR="00323E63" w:rsidRPr="00AE5415" w:rsidRDefault="00323E63">
      <w:pPr>
        <w:pStyle w:val="Textoindependiente"/>
        <w:rPr>
          <w:sz w:val="18"/>
        </w:rPr>
      </w:pPr>
    </w:p>
    <w:p w14:paraId="6CF91FD7" w14:textId="77777777" w:rsidR="00323E63" w:rsidRPr="00AE5415" w:rsidRDefault="00B83E22">
      <w:pPr>
        <w:pStyle w:val="Textoindependiente"/>
        <w:ind w:left="100"/>
      </w:pPr>
      <w:r w:rsidRPr="00AE5415">
        <w:t>Estimado señor Tejada,</w:t>
      </w:r>
    </w:p>
    <w:p w14:paraId="2C477431" w14:textId="77777777" w:rsidR="00323E63" w:rsidRPr="00AE5415" w:rsidRDefault="00323E63">
      <w:pPr>
        <w:pStyle w:val="Textoindependiente"/>
      </w:pPr>
    </w:p>
    <w:p w14:paraId="4C4143A8" w14:textId="77777777" w:rsidR="00323E63" w:rsidRPr="00AE5415" w:rsidRDefault="00B83E22">
      <w:pPr>
        <w:pStyle w:val="Textoindependiente"/>
        <w:ind w:left="100" w:right="107"/>
        <w:jc w:val="both"/>
      </w:pPr>
      <w:r w:rsidRPr="00AE5415">
        <w:t>La Agencia Nacional de Contratación Pública Colombia Compra Eficiente responde su consulta del 12 de julio de 2019 en ejercicio de la competencia otorgada por el numeral 5 del artículo 3 y numeral 8 del artículo 11 del Decreto 4170 de 2011.</w:t>
      </w:r>
    </w:p>
    <w:p w14:paraId="7ECD6549" w14:textId="77777777" w:rsidR="00323E63" w:rsidRPr="00AE5415" w:rsidRDefault="00323E63">
      <w:pPr>
        <w:pStyle w:val="Textoindependiente"/>
        <w:spacing w:before="1"/>
      </w:pPr>
    </w:p>
    <w:p w14:paraId="28B398E2" w14:textId="77777777" w:rsidR="00323E63" w:rsidRPr="00AD2601" w:rsidRDefault="00B83E22">
      <w:pPr>
        <w:pStyle w:val="Prrafodelista"/>
        <w:numPr>
          <w:ilvl w:val="0"/>
          <w:numId w:val="3"/>
        </w:numPr>
        <w:tabs>
          <w:tab w:val="left" w:pos="386"/>
        </w:tabs>
        <w:spacing w:before="1"/>
        <w:ind w:hanging="286"/>
        <w:rPr>
          <w:b/>
          <w:bCs/>
          <w:sz w:val="20"/>
        </w:rPr>
      </w:pPr>
      <w:r w:rsidRPr="00AD2601">
        <w:rPr>
          <w:b/>
          <w:bCs/>
          <w:sz w:val="20"/>
        </w:rPr>
        <w:t>PROBLEMA</w:t>
      </w:r>
      <w:r w:rsidRPr="00AD2601">
        <w:rPr>
          <w:b/>
          <w:bCs/>
          <w:spacing w:val="-2"/>
          <w:sz w:val="20"/>
        </w:rPr>
        <w:t xml:space="preserve"> </w:t>
      </w:r>
      <w:r w:rsidRPr="00AD2601">
        <w:rPr>
          <w:b/>
          <w:bCs/>
          <w:sz w:val="20"/>
        </w:rPr>
        <w:t>PLANTEADO</w:t>
      </w:r>
    </w:p>
    <w:p w14:paraId="0CFCD738" w14:textId="77777777" w:rsidR="00323E63" w:rsidRPr="00AE5415" w:rsidRDefault="00B83E22">
      <w:pPr>
        <w:pStyle w:val="Textoindependiente"/>
        <w:spacing w:before="210"/>
        <w:ind w:left="100" w:right="105"/>
        <w:jc w:val="both"/>
      </w:pPr>
      <w:r w:rsidRPr="00AE5415">
        <w:t>“¿Está prohibida la contratación de contratos o convenios interadministrativos por parte de entidades descentralizadas, especialmente una sociedad de economía mixta, empresa filial del orden municipal, vinculada a un ente territorial, organizada bajo el tipo de las sociedades anónimas, compuesta por aportes estatales de más del cincuenta por ciento (50%) de participación público y por capital privado, con ocasión de las elecciones populares a realizar el próximo 27 de octubre de 2019?</w:t>
      </w:r>
    </w:p>
    <w:p w14:paraId="5AD92CE6" w14:textId="77777777" w:rsidR="00323E63" w:rsidRPr="00AE5415" w:rsidRDefault="00323E63">
      <w:pPr>
        <w:pStyle w:val="Textoindependiente"/>
      </w:pPr>
    </w:p>
    <w:p w14:paraId="589C5E2D" w14:textId="77777777" w:rsidR="00323E63" w:rsidRPr="00AE5415" w:rsidRDefault="00B83E22">
      <w:pPr>
        <w:pStyle w:val="Textoindependiente"/>
        <w:spacing w:before="1"/>
        <w:ind w:left="100" w:right="111"/>
        <w:jc w:val="both"/>
      </w:pPr>
      <w:r w:rsidRPr="00AE5415">
        <w:t>“¿Tal restricción aplica aun cuando la entidad descentralizada del orden territorial actúe en calidad de contratista y la entidad estatal contratante sea del orden nacional?</w:t>
      </w:r>
    </w:p>
    <w:p w14:paraId="01D5D066" w14:textId="77777777" w:rsidR="00323E63" w:rsidRPr="00AE5415" w:rsidRDefault="00323E63">
      <w:pPr>
        <w:pStyle w:val="Textoindependiente"/>
        <w:spacing w:before="11"/>
        <w:rPr>
          <w:sz w:val="19"/>
        </w:rPr>
      </w:pPr>
    </w:p>
    <w:p w14:paraId="02A889B0" w14:textId="77777777" w:rsidR="00323E63" w:rsidRPr="00AE5415" w:rsidRDefault="00B83E22">
      <w:pPr>
        <w:pStyle w:val="Textoindependiente"/>
        <w:ind w:left="100" w:right="107"/>
        <w:jc w:val="both"/>
      </w:pPr>
      <w:r w:rsidRPr="00AE5415">
        <w:t>“¿La prohibición aplica para la celebración de contratos interadministrativos en los que la entidad descentralizada ha resultado adjudicataria de un proceso de selección público (licitación pública, selección abreviado, concurso de méritos, mínima cuantía)?”.</w:t>
      </w:r>
    </w:p>
    <w:p w14:paraId="16B6D3FF" w14:textId="77777777" w:rsidR="0043065A" w:rsidRPr="00AE5415" w:rsidRDefault="0043065A">
      <w:pPr>
        <w:pStyle w:val="Textoindependiente"/>
        <w:ind w:left="100" w:right="107"/>
        <w:jc w:val="both"/>
      </w:pPr>
    </w:p>
    <w:p w14:paraId="7EEFAACE" w14:textId="77777777" w:rsidR="0043065A" w:rsidRPr="00AE5415" w:rsidRDefault="0043065A">
      <w:pPr>
        <w:pStyle w:val="Textoindependiente"/>
        <w:ind w:left="100" w:right="107"/>
        <w:jc w:val="both"/>
      </w:pPr>
    </w:p>
    <w:p w14:paraId="4B789CDC" w14:textId="77777777" w:rsidR="0043065A" w:rsidRPr="00AE5415" w:rsidRDefault="0043065A">
      <w:pPr>
        <w:pStyle w:val="Textoindependiente"/>
        <w:ind w:left="100" w:right="107"/>
        <w:jc w:val="both"/>
      </w:pPr>
    </w:p>
    <w:p w14:paraId="6D268DA5" w14:textId="77777777" w:rsidR="00323E63" w:rsidRPr="00AE5415" w:rsidRDefault="00323E63">
      <w:pPr>
        <w:pStyle w:val="Textoindependiente"/>
        <w:spacing w:before="7"/>
        <w:rPr>
          <w:sz w:val="21"/>
        </w:rPr>
      </w:pPr>
    </w:p>
    <w:p w14:paraId="7B14D817" w14:textId="77777777" w:rsidR="00323E63" w:rsidRPr="00AD2601" w:rsidRDefault="00B83E22">
      <w:pPr>
        <w:pStyle w:val="Prrafodelista"/>
        <w:numPr>
          <w:ilvl w:val="0"/>
          <w:numId w:val="3"/>
        </w:numPr>
        <w:tabs>
          <w:tab w:val="left" w:pos="386"/>
        </w:tabs>
        <w:spacing w:before="1" w:line="223" w:lineRule="auto"/>
        <w:ind w:right="307"/>
        <w:rPr>
          <w:b/>
          <w:bCs/>
          <w:sz w:val="20"/>
        </w:rPr>
      </w:pPr>
      <w:r w:rsidRPr="00AD2601">
        <w:rPr>
          <w:b/>
          <w:bCs/>
          <w:sz w:val="20"/>
        </w:rPr>
        <w:t>LA AGENCIA NACIONAL DE CONTRATACIÓN PÚBLICA - COLOMBIA COMPRA EFICIENTE RESPONDE:</w:t>
      </w:r>
    </w:p>
    <w:p w14:paraId="69B2F2F3" w14:textId="77777777" w:rsidR="00323E63" w:rsidRPr="00AE5415" w:rsidRDefault="00323E63">
      <w:pPr>
        <w:pStyle w:val="Textoindependiente"/>
        <w:rPr>
          <w:sz w:val="22"/>
        </w:rPr>
      </w:pPr>
    </w:p>
    <w:p w14:paraId="111F3337" w14:textId="77777777" w:rsidR="00323E63" w:rsidRPr="00AE5415" w:rsidRDefault="00323E63">
      <w:pPr>
        <w:pStyle w:val="Textoindependiente"/>
        <w:spacing w:before="2"/>
        <w:rPr>
          <w:sz w:val="18"/>
        </w:rPr>
      </w:pPr>
      <w:bookmarkStart w:id="0" w:name="_Hlk36643287"/>
    </w:p>
    <w:p w14:paraId="74FC7DC6" w14:textId="77777777" w:rsidR="00323E63" w:rsidRPr="00AE5415" w:rsidRDefault="00B83E22">
      <w:pPr>
        <w:ind w:left="808" w:right="257"/>
        <w:rPr>
          <w:sz w:val="18"/>
        </w:rPr>
      </w:pPr>
      <w:r w:rsidRPr="00AE5415">
        <w:rPr>
          <w:sz w:val="18"/>
        </w:rPr>
        <w:t>Artículo 38. prohibiciones para los servidores públicos. A los empleados del Estado les está prohibido:</w:t>
      </w:r>
    </w:p>
    <w:p w14:paraId="157208FF" w14:textId="77777777" w:rsidR="00323E63" w:rsidRPr="00AE5415" w:rsidRDefault="00323E63">
      <w:pPr>
        <w:pStyle w:val="Textoindependiente"/>
        <w:spacing w:before="10"/>
        <w:rPr>
          <w:sz w:val="17"/>
        </w:rPr>
      </w:pPr>
    </w:p>
    <w:p w14:paraId="52CFE00C" w14:textId="77777777" w:rsidR="00323E63" w:rsidRPr="00AE5415" w:rsidRDefault="00B83E22">
      <w:pPr>
        <w:spacing w:before="1"/>
        <w:ind w:left="750"/>
        <w:rPr>
          <w:sz w:val="18"/>
        </w:rPr>
      </w:pPr>
      <w:r w:rsidRPr="00AE5415">
        <w:rPr>
          <w:sz w:val="18"/>
        </w:rPr>
        <w:t>(…)</w:t>
      </w:r>
    </w:p>
    <w:p w14:paraId="0BD31C28" w14:textId="77777777" w:rsidR="00323E63" w:rsidRPr="00AE5415" w:rsidRDefault="00B83E22">
      <w:pPr>
        <w:spacing w:before="94"/>
        <w:ind w:left="808" w:right="674"/>
        <w:jc w:val="both"/>
        <w:rPr>
          <w:sz w:val="18"/>
        </w:rPr>
      </w:pPr>
      <w:r w:rsidRPr="00AE5415">
        <w:rPr>
          <w:sz w:val="18"/>
        </w:rPr>
        <w:t xml:space="preserve">Los Gobernadores, Alcaldes Municipales y/o Distritales, </w:t>
      </w:r>
      <w:proofErr w:type="gramStart"/>
      <w:r w:rsidRPr="00AE5415">
        <w:rPr>
          <w:sz w:val="18"/>
        </w:rPr>
        <w:t>Secretarios</w:t>
      </w:r>
      <w:proofErr w:type="gramEnd"/>
      <w:r w:rsidRPr="00AE5415">
        <w:rPr>
          <w:sz w:val="18"/>
        </w:rPr>
        <w:t>, Gerentes y directores de Entidades Descentralizadas del orden Municipal, Departamental o Distrital, dentro de los cuatro</w:t>
      </w:r>
    </w:p>
    <w:p w14:paraId="3CEBDE4F" w14:textId="77777777" w:rsidR="00323E63" w:rsidRPr="00AE5415" w:rsidRDefault="00B83E22">
      <w:pPr>
        <w:spacing w:before="1"/>
        <w:ind w:left="808" w:right="674"/>
        <w:jc w:val="both"/>
        <w:rPr>
          <w:sz w:val="18"/>
        </w:rPr>
      </w:pPr>
      <w:r w:rsidRPr="00AE5415">
        <w:rPr>
          <w:sz w:val="18"/>
        </w:rPr>
        <w:t>(4)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3FBC43E2" w14:textId="77777777" w:rsidR="00323E63" w:rsidRPr="00AE5415" w:rsidRDefault="00323E63">
      <w:pPr>
        <w:pStyle w:val="Textoindependiente"/>
        <w:spacing w:before="11"/>
        <w:rPr>
          <w:sz w:val="19"/>
        </w:rPr>
      </w:pPr>
    </w:p>
    <w:p w14:paraId="3484FE02" w14:textId="77777777" w:rsidR="00323E63" w:rsidRPr="00AE5415" w:rsidRDefault="00B83E22">
      <w:pPr>
        <w:pStyle w:val="Textoindependiente"/>
        <w:ind w:left="100" w:right="112"/>
        <w:jc w:val="both"/>
      </w:pPr>
      <w:r w:rsidRPr="00AE5415">
        <w:t>De acuerdo con la Ley 489 de 1998, las sociedades de economía mixta son organismos autorizados por la ley, constituidos como sociedades comerciales con aportes de capital público y privado. Así lo estableció el artículo 97 en los siguientes términos:</w:t>
      </w:r>
    </w:p>
    <w:p w14:paraId="6D116273" w14:textId="77777777" w:rsidR="00323E63" w:rsidRPr="00AE5415" w:rsidRDefault="00323E63">
      <w:pPr>
        <w:pStyle w:val="Textoindependiente"/>
        <w:spacing w:before="10"/>
        <w:rPr>
          <w:sz w:val="19"/>
        </w:rPr>
      </w:pPr>
    </w:p>
    <w:p w14:paraId="4EFAB9CE" w14:textId="77777777" w:rsidR="00323E63" w:rsidRPr="00AE5415" w:rsidRDefault="00B83E22">
      <w:pPr>
        <w:spacing w:before="1"/>
        <w:ind w:left="808" w:right="864"/>
        <w:jc w:val="both"/>
        <w:rPr>
          <w:sz w:val="18"/>
        </w:rPr>
      </w:pPr>
      <w:r w:rsidRPr="00AE5415">
        <w:rPr>
          <w:sz w:val="18"/>
        </w:rPr>
        <w:t>Artículo 97.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14:paraId="03B70090" w14:textId="77777777" w:rsidR="00323E63" w:rsidRPr="00AE5415" w:rsidRDefault="00323E63">
      <w:pPr>
        <w:pStyle w:val="Textoindependiente"/>
      </w:pPr>
    </w:p>
    <w:p w14:paraId="1E9D36EF" w14:textId="77777777" w:rsidR="00323E63" w:rsidRPr="00AE5415" w:rsidRDefault="00B83E22">
      <w:pPr>
        <w:pStyle w:val="Textoindependiente"/>
        <w:ind w:left="100" w:right="107"/>
        <w:jc w:val="both"/>
      </w:pPr>
      <w:r w:rsidRPr="00AE5415">
        <w:t>La Ley 489 de 1998 clasifica a las sociedades de economía mixta como entidades descentralizadas por servicios, con personería jurídica, autonomía administrativa y patrimonio propio</w:t>
      </w:r>
      <w:r w:rsidR="0002090C" w:rsidRPr="00AE5415">
        <w:rPr>
          <w:rStyle w:val="Refdenotaalpie"/>
        </w:rPr>
        <w:footnoteReference w:id="1"/>
      </w:r>
      <w:r w:rsidRPr="00AE5415">
        <w:t>, que pueden ser del orden nacional, departamental o municipal, según su órgano de creación</w:t>
      </w:r>
      <w:r w:rsidR="0002090C" w:rsidRPr="00AE5415">
        <w:rPr>
          <w:rStyle w:val="Refdenotaalpie"/>
        </w:rPr>
        <w:footnoteReference w:id="2"/>
      </w:r>
      <w:r w:rsidRPr="00AE5415">
        <w:t>. Al respecto, la Corte Constitucional en sentencia C – 737 del 19 de septiembre de 2019, con ponencia del Magistrado Marco Gerardo Monroy Cabra, consideró las siguientes características de las sociedades de economía</w:t>
      </w:r>
      <w:r w:rsidRPr="00AE5415">
        <w:rPr>
          <w:spacing w:val="-2"/>
        </w:rPr>
        <w:t xml:space="preserve"> </w:t>
      </w:r>
      <w:r w:rsidRPr="00AE5415">
        <w:t>mixta:</w:t>
      </w:r>
    </w:p>
    <w:p w14:paraId="6180E696" w14:textId="77777777" w:rsidR="00323E63" w:rsidRPr="00AE5415" w:rsidRDefault="00323E63">
      <w:pPr>
        <w:pStyle w:val="Textoindependiente"/>
        <w:spacing w:before="1"/>
      </w:pPr>
    </w:p>
    <w:p w14:paraId="291AF511" w14:textId="77777777" w:rsidR="00323E63" w:rsidRPr="00AE5415" w:rsidRDefault="00B83E22" w:rsidP="0002090C">
      <w:pPr>
        <w:pStyle w:val="Textoindependiente"/>
        <w:ind w:left="808" w:right="533"/>
        <w:jc w:val="both"/>
      </w:pPr>
      <w:r w:rsidRPr="00AE5415">
        <w:t xml:space="preserve">Ahora bien, la vinculación de las sociedades de economía mixta a la Rama Ejecutiva, y su condición de entidades descentralizadas, implica consecuencias que emergen de la propia Constitución cuales son particularmente las siguientes: (i) que están sujetas un control fiscal en cabeza de la Contraloría General de la República, que toma pie en lo reglado por el artículo 267 de la Constitución, y que incluye el ejercicio de un control </w:t>
      </w:r>
      <w:r w:rsidRPr="00AE5415">
        <w:lastRenderedPageBreak/>
        <w:t>financiero, de gestión y de resultados; (</w:t>
      </w:r>
      <w:proofErr w:type="spellStart"/>
      <w:r w:rsidRPr="00AE5415">
        <w:t>ii</w:t>
      </w:r>
      <w:proofErr w:type="spellEnd"/>
      <w:r w:rsidRPr="00AE5415">
        <w:t>) que están sujetas a un control político, que ejerce directamente el Congreso de la República en virtud de lo reglado por el último inciso del artículo 208 de la Constitución Política, (</w:t>
      </w:r>
      <w:proofErr w:type="spellStart"/>
      <w:r w:rsidRPr="00AE5415">
        <w:t>iii</w:t>
      </w:r>
      <w:proofErr w:type="spellEnd"/>
      <w:r w:rsidRPr="00AE5415">
        <w:t>) que de conformidad con lo prescrito por el artículo 150 numeral 7, según el cual al Congreso le corresponde “crear o autorizar la constitución de … sociedades de economía mixta” del orden nacional, su creación o autorización tiene que producirse mediante ley. Correlativamente, en los órdenes departamental y municipal esta misma facultad se le reconoce a las asambleas y concejos, según lo prescriben lo artículos 300 numeral 78 y 313 numeral 6, respectivamente, por cual en dichos niveles las empresas de servicios públicos que asumieran la forma de sociedades de economía mixta deben ser creadas o</w:t>
      </w:r>
      <w:r w:rsidRPr="00AE5415">
        <w:rPr>
          <w:spacing w:val="-16"/>
        </w:rPr>
        <w:t xml:space="preserve"> </w:t>
      </w:r>
      <w:r w:rsidRPr="00AE5415">
        <w:t>autorizadas</w:t>
      </w:r>
      <w:r w:rsidR="0002090C" w:rsidRPr="00AE5415">
        <w:t xml:space="preserve"> </w:t>
      </w:r>
      <w:r w:rsidRPr="00AE5415">
        <w:t>mediante ordenanza o acuerdo, según sea el caso; (</w:t>
      </w:r>
      <w:proofErr w:type="spellStart"/>
      <w:r w:rsidRPr="00AE5415">
        <w:t>iv</w:t>
      </w:r>
      <w:proofErr w:type="spellEnd"/>
      <w:r w:rsidRPr="00AE5415">
        <w:t>) que les son aplicables las inhabilidades para la integración de órganos directivos a que aluden los artículos 180- 3, 292 y 323 de la Carta; (v) que en materia presupuestal quedan sujetas a las reglas de la ley orgánica del presupuesto; (vi) que en materia contable quedan sujetas a las reglas de contabilidad</w:t>
      </w:r>
      <w:r w:rsidRPr="00AE5415">
        <w:rPr>
          <w:spacing w:val="-1"/>
        </w:rPr>
        <w:t xml:space="preserve"> </w:t>
      </w:r>
      <w:r w:rsidRPr="00AE5415">
        <w:t>oficial;</w:t>
      </w:r>
    </w:p>
    <w:p w14:paraId="0A384839" w14:textId="77777777" w:rsidR="00323E63" w:rsidRPr="00AE5415" w:rsidRDefault="00323E63">
      <w:pPr>
        <w:pStyle w:val="Textoindependiente"/>
      </w:pPr>
    </w:p>
    <w:p w14:paraId="2C376B48" w14:textId="77777777" w:rsidR="00323E63" w:rsidRPr="00AE5415" w:rsidRDefault="00B83E22">
      <w:pPr>
        <w:pStyle w:val="Textoindependiente"/>
        <w:ind w:left="100" w:right="107"/>
        <w:jc w:val="both"/>
      </w:pPr>
      <w:r w:rsidRPr="00AE5415">
        <w:t>Así mismo, esta Corporación en sentencia C – 529 del 12 de julio de 2006, Magistrado Ponente: Jaime Córdoba Triviño, se pronunció sobre las sociedades de economía mixta como entidades descentralizadas, expresando:</w:t>
      </w:r>
    </w:p>
    <w:p w14:paraId="651B61F3" w14:textId="77777777" w:rsidR="00323E63" w:rsidRPr="00AE5415" w:rsidRDefault="00323E63">
      <w:pPr>
        <w:pStyle w:val="Textoindependiente"/>
      </w:pPr>
    </w:p>
    <w:p w14:paraId="66899B57" w14:textId="77777777" w:rsidR="00323E63" w:rsidRPr="00AE5415" w:rsidRDefault="00B83E22">
      <w:pPr>
        <w:pStyle w:val="Textoindependiente"/>
        <w:ind w:left="808" w:right="537"/>
        <w:jc w:val="both"/>
      </w:pPr>
      <w:r w:rsidRPr="00AE5415">
        <w:t>es posible concluir que las sociedades de economía mixta, pese su naturaleza jurídica específica (regulación basada en las normas del derecho privado, ejecución de actividades industriales o comerciales, ánimo de lucro, entre otros aspectos) no pierden su carácter de expresiones de la actividad estatal, amén del aporte público en la constitución del capital social y la consiguiente pertenencia a la administración pública, en la condición de entidades descentralizadas.</w:t>
      </w:r>
    </w:p>
    <w:p w14:paraId="4819404E" w14:textId="77777777" w:rsidR="00323E63" w:rsidRPr="00AE5415" w:rsidRDefault="00323E63">
      <w:pPr>
        <w:pStyle w:val="Textoindependiente"/>
        <w:spacing w:before="1"/>
      </w:pPr>
    </w:p>
    <w:p w14:paraId="0BC4D92A" w14:textId="77777777" w:rsidR="00323E63" w:rsidRPr="00AE5415" w:rsidRDefault="00B83E22">
      <w:pPr>
        <w:pStyle w:val="Textoindependiente"/>
        <w:ind w:left="100" w:right="105"/>
        <w:jc w:val="both"/>
      </w:pPr>
      <w:r w:rsidRPr="00AE5415">
        <w:t xml:space="preserve">En este orden de ideas, si bien las sociedades de economía mixta tienen personería jurídica, autonomía administrativa y patrimonio propio, esto no significa que pierdan </w:t>
      </w:r>
      <w:proofErr w:type="gramStart"/>
      <w:r w:rsidRPr="00AE5415">
        <w:t>su características</w:t>
      </w:r>
      <w:proofErr w:type="gramEnd"/>
      <w:r w:rsidRPr="00AE5415">
        <w:t xml:space="preserve"> de ser entidades descentralizadas que hacen parte de la rama ejecutiva y por lo tanto, cuando se trate de una sociedad de economía mixta departamental o municipal, no podrá celebrar dentro de los cuatro</w:t>
      </w:r>
    </w:p>
    <w:p w14:paraId="19CBD828" w14:textId="77777777" w:rsidR="00323E63" w:rsidRPr="00AE5415" w:rsidRDefault="00B83E22">
      <w:pPr>
        <w:pStyle w:val="Textoindependiente"/>
        <w:ind w:left="100" w:right="113"/>
        <w:jc w:val="both"/>
      </w:pPr>
      <w:r w:rsidRPr="00AE5415">
        <w:t>(4) meses anteriores a las elecciones territoriales, contratos y convenios interadministrativos por tratarse de una entidad descentralizada del nivel territorial.</w:t>
      </w:r>
    </w:p>
    <w:p w14:paraId="3C303D57" w14:textId="77777777" w:rsidR="00323E63" w:rsidRPr="00AE5415" w:rsidRDefault="00323E63">
      <w:pPr>
        <w:pStyle w:val="Textoindependiente"/>
      </w:pPr>
    </w:p>
    <w:p w14:paraId="21ADFF09" w14:textId="77777777" w:rsidR="00323E63" w:rsidRPr="00AE5415" w:rsidRDefault="00B83E22">
      <w:pPr>
        <w:pStyle w:val="Textoindependiente"/>
        <w:ind w:left="100" w:right="105"/>
        <w:jc w:val="both"/>
      </w:pPr>
      <w:r w:rsidRPr="00AE5415">
        <w:t xml:space="preserve">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w:t>
      </w:r>
      <w:r w:rsidRPr="00AE5415">
        <w:rPr>
          <w:i/>
        </w:rPr>
        <w:t>entre entidades estatales</w:t>
      </w:r>
      <w:r w:rsidR="0002090C" w:rsidRPr="00AE5415">
        <w:rPr>
          <w:rStyle w:val="Refdenotaalpie"/>
          <w:i/>
        </w:rPr>
        <w:footnoteReference w:id="3"/>
      </w:r>
      <w:r w:rsidRPr="00AE5415">
        <w:t>.</w:t>
      </w:r>
    </w:p>
    <w:p w14:paraId="2E7E71F4" w14:textId="77777777" w:rsidR="00323E63" w:rsidRPr="00AE5415" w:rsidRDefault="00323E63">
      <w:pPr>
        <w:pStyle w:val="Textoindependiente"/>
        <w:spacing w:before="1"/>
      </w:pPr>
    </w:p>
    <w:p w14:paraId="43E67588" w14:textId="77777777" w:rsidR="00323E63" w:rsidRPr="00AE5415" w:rsidRDefault="00B83E22">
      <w:pPr>
        <w:pStyle w:val="Textoindependiente"/>
        <w:ind w:left="100" w:right="107"/>
        <w:jc w:val="both"/>
      </w:pPr>
      <w:r w:rsidRPr="00AE5415">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precedidos de un criterio orgánico, pues es necesario que los extremos de la relación contractual sean entidades estatales.</w:t>
      </w:r>
    </w:p>
    <w:p w14:paraId="7B37BEB7" w14:textId="77777777" w:rsidR="00323E63" w:rsidRPr="00AE5415" w:rsidRDefault="00323E63">
      <w:pPr>
        <w:pStyle w:val="Textoindependiente"/>
      </w:pPr>
    </w:p>
    <w:p w14:paraId="249C6A4B" w14:textId="77777777" w:rsidR="00323E63" w:rsidRPr="00AE5415" w:rsidRDefault="00B83E22">
      <w:pPr>
        <w:pStyle w:val="Textoindependiente"/>
        <w:ind w:left="100" w:right="106"/>
        <w:jc w:val="both"/>
      </w:pPr>
      <w:r w:rsidRPr="00AE5415">
        <w:t xml:space="preserve">Si bien los contratos y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w:t>
      </w:r>
      <w:r w:rsidRPr="00AE5415">
        <w:lastRenderedPageBreak/>
        <w:t>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Pr="00AE5415">
        <w:rPr>
          <w:spacing w:val="-15"/>
        </w:rPr>
        <w:t xml:space="preserve"> </w:t>
      </w:r>
      <w:r w:rsidRPr="00AE5415">
        <w:t>privado</w:t>
      </w:r>
      <w:r w:rsidR="0002090C" w:rsidRPr="00AE5415">
        <w:rPr>
          <w:rStyle w:val="Refdenotaalpie"/>
        </w:rPr>
        <w:footnoteReference w:id="4"/>
      </w:r>
      <w:r w:rsidRPr="00AE5415">
        <w:t>.</w:t>
      </w:r>
    </w:p>
    <w:p w14:paraId="521B5764" w14:textId="77777777" w:rsidR="00323E63" w:rsidRPr="00AE5415" w:rsidRDefault="00323E63">
      <w:pPr>
        <w:pStyle w:val="Textoindependiente"/>
      </w:pPr>
    </w:p>
    <w:p w14:paraId="7DF48432" w14:textId="77777777" w:rsidR="00323E63" w:rsidRPr="00AE5415" w:rsidRDefault="00B83E22" w:rsidP="0002090C">
      <w:pPr>
        <w:pStyle w:val="Textoindependiente"/>
        <w:ind w:left="100" w:right="108"/>
        <w:jc w:val="both"/>
      </w:pPr>
      <w:r w:rsidRPr="00AE5415">
        <w:t>La calidad de un contrato o convenio interadministrativo no está determinada por la modalidad de selección utilizada para celebrar el respectivo acuerdo de voluntades entre entidades de derecho</w:t>
      </w:r>
      <w:r w:rsidR="0002090C" w:rsidRPr="00AE5415">
        <w:t xml:space="preserve"> </w:t>
      </w:r>
      <w:r w:rsidRPr="00AE5415">
        <w:t>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0002090C" w:rsidRPr="00AE5415">
        <w:rPr>
          <w:rStyle w:val="Refdenotaalpie"/>
        </w:rPr>
        <w:footnoteReference w:id="5"/>
      </w:r>
      <w:r w:rsidRPr="00AE5415">
        <w:t>. Nótese que, en este caso, lo que cambia es la modalidad de selección y no la naturaleza de contrato interadministrativo.</w:t>
      </w:r>
    </w:p>
    <w:p w14:paraId="624036DD" w14:textId="77777777" w:rsidR="00323E63" w:rsidRPr="00AE5415" w:rsidRDefault="00323E63">
      <w:pPr>
        <w:pStyle w:val="Textoindependiente"/>
      </w:pPr>
    </w:p>
    <w:p w14:paraId="54859CF1" w14:textId="77777777" w:rsidR="00323E63" w:rsidRPr="00AE5415" w:rsidRDefault="00B83E22">
      <w:pPr>
        <w:pStyle w:val="Textoindependiente"/>
        <w:ind w:left="100" w:right="107"/>
        <w:jc w:val="both"/>
      </w:pPr>
      <w:r w:rsidRPr="00AE5415">
        <w:t xml:space="preserve">Entonces,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AE5415">
        <w:rPr>
          <w:i/>
        </w:rPr>
        <w:t>ibidem</w:t>
      </w:r>
      <w:r w:rsidRPr="00AE5415">
        <w:t>, no podrá celebrar dichos contratos o convenios durante la aplicación de la ley de garantías, toda vez que dicha disposición hace referencia a dicha tipología contractual sin que el legislador hubiere contemplado excepción alguna frente a la modalidad de selección o naturaleza de su objeto.</w:t>
      </w:r>
    </w:p>
    <w:p w14:paraId="24E2AF88" w14:textId="77777777" w:rsidR="00323E63" w:rsidRPr="00AE5415" w:rsidRDefault="00323E63">
      <w:pPr>
        <w:pStyle w:val="Textoindependiente"/>
        <w:spacing w:before="1"/>
      </w:pPr>
    </w:p>
    <w:p w14:paraId="2774B00D" w14:textId="77777777" w:rsidR="00323E63" w:rsidRPr="00AE5415" w:rsidRDefault="00B83E22">
      <w:pPr>
        <w:pStyle w:val="Textoindependiente"/>
        <w:ind w:left="100" w:right="106"/>
        <w:jc w:val="both"/>
      </w:pPr>
      <w:r w:rsidRPr="00AE5415">
        <w:t>Frente a este punto, la Corte Constitucional en Sentencia C–671 del 28 de octubre 2015, con ponencia del magistrado Alberto Rojas Ríos, en control automático de constitucionalidad del Decreto legislativo 1773 de 2015, “Por el cual se autoriza la celebración de convenios administrativos para la ejecución de recursos públicos por parte de algunas entidades territoriales”, se pronunció respecto de la naturaleza de los convenios interadministrativos en relación con la Ley de Garantías, indicando que:</w:t>
      </w:r>
    </w:p>
    <w:p w14:paraId="4292ACAD" w14:textId="77777777" w:rsidR="00323E63" w:rsidRPr="00AE5415" w:rsidRDefault="00323E63">
      <w:pPr>
        <w:pStyle w:val="Textoindependiente"/>
      </w:pPr>
    </w:p>
    <w:p w14:paraId="0FF74D68" w14:textId="77777777" w:rsidR="00323E63" w:rsidRPr="00AE5415" w:rsidRDefault="00B83E22">
      <w:pPr>
        <w:pStyle w:val="Textoindependiente"/>
        <w:ind w:left="668" w:right="537"/>
        <w:jc w:val="both"/>
      </w:pPr>
      <w:r w:rsidRPr="00AE5415">
        <w:t>Lo que hace interadministrativo a un contrato o convenio no es el procedimiento de selección aplicable, sino la calidad de los sujetos contratantes, esto es que las dos partes de la relación jurídica contractual formen parte de la administración</w:t>
      </w:r>
      <w:r w:rsidRPr="00AE5415">
        <w:rPr>
          <w:spacing w:val="-27"/>
        </w:rPr>
        <w:t xml:space="preserve"> </w:t>
      </w:r>
      <w:r w:rsidRPr="00AE5415">
        <w:t>pública.</w:t>
      </w:r>
    </w:p>
    <w:p w14:paraId="1D61391E" w14:textId="77777777" w:rsidR="00323E63" w:rsidRPr="00AE5415" w:rsidRDefault="00323E63">
      <w:pPr>
        <w:pStyle w:val="Textoindependiente"/>
      </w:pPr>
    </w:p>
    <w:p w14:paraId="35D8FF6D" w14:textId="77777777" w:rsidR="00323E63" w:rsidRPr="00AE5415" w:rsidRDefault="00B83E22">
      <w:pPr>
        <w:pStyle w:val="Textoindependiente"/>
        <w:spacing w:before="1"/>
        <w:ind w:left="100" w:right="109"/>
        <w:jc w:val="both"/>
      </w:pPr>
      <w:r w:rsidRPr="00AE5415">
        <w:t>Así las cosas, y atendiendo a la literalidad del enunciado parágrafo, no hay lugar a una interpretación diferente a la allí prevista</w:t>
      </w:r>
      <w:r w:rsidR="0002090C" w:rsidRPr="00AE5415">
        <w:rPr>
          <w:rStyle w:val="Refdenotaalpie"/>
        </w:rPr>
        <w:footnoteReference w:id="6"/>
      </w:r>
      <w:r w:rsidRPr="00AE5415">
        <w:t>, pues de acuerdo con lo anotado esta clase de acuerdos de voluntades acogen un criterio orgánico, por lo que uno de sus elementos esenciales es que en los extremos de la relación jurídico negocial concurran personas de derecho público, independientemente de su modalidad de selección o el proceso utilizado para llegar a su celebración.</w:t>
      </w:r>
    </w:p>
    <w:p w14:paraId="06DEDE28" w14:textId="77777777" w:rsidR="00323E63" w:rsidRPr="00AE5415" w:rsidRDefault="00323E63">
      <w:pPr>
        <w:pStyle w:val="Textoindependiente"/>
      </w:pPr>
    </w:p>
    <w:p w14:paraId="2EFD5191" w14:textId="77777777" w:rsidR="00323E63" w:rsidRPr="00AE5415" w:rsidRDefault="00B83E22">
      <w:pPr>
        <w:pStyle w:val="Textoindependiente"/>
        <w:ind w:left="100" w:right="107"/>
        <w:jc w:val="both"/>
      </w:pPr>
      <w:r w:rsidRPr="00AE5415">
        <w:t xml:space="preserve">Por último, y reiterando lo anterior, si una sociedad de economía mixta, es decir, una entidad descentralizada del orden territorial actúa en una relación contractual cuyo otro extremo es una </w:t>
      </w:r>
      <w:r w:rsidR="0043065A" w:rsidRPr="00AE5415">
        <w:t>e</w:t>
      </w:r>
      <w:r w:rsidRPr="00AE5415">
        <w:t>ntidad del orden nacional, le aplica la restricción prevista en el parágrafo 38 de la Ley 996 de 2005, toda vez que esta disposición prohíbe la celebración de convenios y contratos interadministrativos a las entidades territoriales y descentralizadas del orden territorial, y para que se configure dicha tipología contractual es necesario que la otra parte sea una entidad estatal, y esta última puede ser del orden nacional o territorial.</w:t>
      </w:r>
    </w:p>
    <w:bookmarkEnd w:id="0"/>
    <w:p w14:paraId="472EE185" w14:textId="77777777" w:rsidR="0002090C" w:rsidRPr="00AE5415" w:rsidRDefault="0002090C" w:rsidP="0002090C">
      <w:pPr>
        <w:pStyle w:val="Textoindependiente"/>
        <w:spacing w:before="9"/>
      </w:pPr>
    </w:p>
    <w:p w14:paraId="6C8E8DD8" w14:textId="77777777" w:rsidR="0002090C" w:rsidRPr="00AE5415" w:rsidRDefault="0002090C" w:rsidP="0002090C">
      <w:pPr>
        <w:pStyle w:val="Textoindependiente"/>
        <w:spacing w:before="9"/>
      </w:pPr>
    </w:p>
    <w:p w14:paraId="33E49234" w14:textId="77777777" w:rsidR="00323E63" w:rsidRPr="00AE5415" w:rsidRDefault="00B83E22" w:rsidP="0002090C">
      <w:pPr>
        <w:pStyle w:val="Textoindependiente"/>
        <w:spacing w:before="9"/>
      </w:pPr>
      <w:r w:rsidRPr="00AE5415">
        <w:t xml:space="preserve">Finalmente, si desea obtener más información relacionada con la Ley de Garantías, lo invitamos a revisar los </w:t>
      </w:r>
      <w:r w:rsidRPr="00AE5415">
        <w:rPr>
          <w:i/>
        </w:rPr>
        <w:t>“</w:t>
      </w:r>
      <w:r w:rsidRPr="00AE5415">
        <w:t>LINEAMIENTOS IMPARTIDOS POR LA AGENCIA NACIONAL DE CONTRATACIÓN PÚBLICA -COLOMBIA COMPRA EFICIENTE- SOBRE LA APLICACIÓN DE LA LEY DE</w:t>
      </w:r>
      <w:r w:rsidR="0002090C" w:rsidRPr="00AE5415">
        <w:t xml:space="preserve"> </w:t>
      </w:r>
      <w:r w:rsidRPr="00AE5415">
        <w:t xml:space="preserve">GARANTÍAS ELECTORALES PARA EL AÑO 2019”, a los cuales podrá acceder en el siguiente enlace: </w:t>
      </w:r>
      <w:hyperlink r:id="rId11">
        <w:r w:rsidRPr="00AE5415">
          <w:rPr>
            <w:u w:val="single" w:color="09487C"/>
          </w:rPr>
          <w:t>https://www.colombiacompra.gov.co/sala-de-prensa/comunicados/lineamientos-impartidos-</w:t>
        </w:r>
      </w:hyperlink>
      <w:r w:rsidRPr="00AE5415">
        <w:t xml:space="preserve"> </w:t>
      </w:r>
      <w:hyperlink r:id="rId12">
        <w:r w:rsidRPr="00AE5415">
          <w:rPr>
            <w:u w:val="single" w:color="09487C"/>
          </w:rPr>
          <w:t>por-la-agencia-nacional-de-</w:t>
        </w:r>
        <w:proofErr w:type="spellStart"/>
        <w:r w:rsidRPr="00AE5415">
          <w:rPr>
            <w:u w:val="single" w:color="09487C"/>
          </w:rPr>
          <w:t>contratacion</w:t>
        </w:r>
        <w:proofErr w:type="spellEnd"/>
        <w:r w:rsidRPr="00AE5415">
          <w:rPr>
            <w:u w:val="single" w:color="09487C"/>
          </w:rPr>
          <w:t>-publica</w:t>
        </w:r>
      </w:hyperlink>
    </w:p>
    <w:p w14:paraId="62C99CBF" w14:textId="77777777" w:rsidR="00323E63" w:rsidRPr="00AE5415" w:rsidRDefault="00323E63">
      <w:pPr>
        <w:pStyle w:val="Textoindependiente"/>
        <w:spacing w:before="10"/>
        <w:rPr>
          <w:sz w:val="11"/>
        </w:rPr>
      </w:pPr>
    </w:p>
    <w:p w14:paraId="6B8F2CA4" w14:textId="77777777" w:rsidR="00323E63" w:rsidRPr="00AE5415" w:rsidRDefault="00B83E22">
      <w:pPr>
        <w:pStyle w:val="Textoindependiente"/>
        <w:spacing w:before="94"/>
        <w:ind w:left="100" w:right="77"/>
      </w:pPr>
      <w:r w:rsidRPr="00AE5415">
        <w:t>Este concepto tiene el alcance previsto en el artículo 28 del Código de Procedimiento Administrativo y de lo Contencioso Administrativo.</w:t>
      </w:r>
    </w:p>
    <w:p w14:paraId="6EB086F0" w14:textId="77777777" w:rsidR="00323E63" w:rsidRPr="00AE5415" w:rsidRDefault="00924D29">
      <w:pPr>
        <w:pStyle w:val="Textoindependiente"/>
        <w:spacing w:before="5"/>
        <w:rPr>
          <w:sz w:val="17"/>
        </w:rPr>
      </w:pPr>
      <w:r>
        <w:pict w14:anchorId="05358CAB">
          <v:shape id="_x0000_s1026" style="position:absolute;margin-left:119.25pt;margin-top:12.4pt;width:369pt;height:.1pt;z-index:-251658240;mso-wrap-distance-left:0;mso-wrap-distance-right:0;mso-position-horizontal-relative:page" coordorigin="2385,248" coordsize="7380,0" path="m2385,248r7380,e" filled="f" strokecolor="#dbdbdb">
            <v:path arrowok="t"/>
            <w10:wrap type="topAndBottom" anchorx="page"/>
          </v:shape>
        </w:pict>
      </w:r>
    </w:p>
    <w:p w14:paraId="726229C0" w14:textId="77777777" w:rsidR="00323E63" w:rsidRPr="00AE5415" w:rsidRDefault="00B83E22">
      <w:pPr>
        <w:pStyle w:val="Textoindependiente"/>
        <w:spacing w:before="175"/>
        <w:ind w:left="100"/>
      </w:pPr>
      <w:r w:rsidRPr="00AE5415">
        <w:t>Atentamente,</w:t>
      </w:r>
    </w:p>
    <w:p w14:paraId="3AE89C58" w14:textId="13E3041F" w:rsidR="00323E63" w:rsidRDefault="00924D29" w:rsidP="00924D29">
      <w:pPr>
        <w:pStyle w:val="Textoindependiente"/>
        <w:spacing w:before="7"/>
        <w:jc w:val="center"/>
        <w:rPr>
          <w:sz w:val="18"/>
        </w:rPr>
      </w:pPr>
      <w:r w:rsidRPr="004771CB">
        <w:rPr>
          <w:noProof/>
          <w:color w:val="000000" w:themeColor="text1"/>
        </w:rPr>
        <w:drawing>
          <wp:inline distT="0" distB="0" distL="0" distR="0" wp14:anchorId="09A5A819" wp14:editId="332E7311">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721C58C" w14:textId="77777777" w:rsidR="00924D29" w:rsidRPr="00AE5415" w:rsidRDefault="00924D29" w:rsidP="00924D29">
      <w:pPr>
        <w:pStyle w:val="Textoindependiente"/>
        <w:spacing w:before="7"/>
        <w:jc w:val="center"/>
        <w:rPr>
          <w:sz w:val="18"/>
        </w:rPr>
      </w:pPr>
    </w:p>
    <w:p w14:paraId="08C29D89" w14:textId="77777777" w:rsidR="00323E63" w:rsidRPr="00AE5415" w:rsidRDefault="00B83E22">
      <w:pPr>
        <w:pStyle w:val="Textoindependiente"/>
        <w:spacing w:before="38"/>
        <w:ind w:left="100" w:right="5814"/>
      </w:pPr>
      <w:r w:rsidRPr="00AE5415">
        <w:t xml:space="preserve">Proyectó: Sergio Mateo </w:t>
      </w:r>
      <w:proofErr w:type="spellStart"/>
      <w:r w:rsidRPr="00AE5415">
        <w:t>Avila</w:t>
      </w:r>
      <w:proofErr w:type="spellEnd"/>
      <w:r w:rsidRPr="00AE5415">
        <w:t xml:space="preserve"> Revisó: María Catalina Salinas R</w:t>
      </w:r>
    </w:p>
    <w:sectPr w:rsidR="00323E63" w:rsidRPr="00AE5415">
      <w:headerReference w:type="default" r:id="rId14"/>
      <w:footerReference w:type="default" r:id="rId15"/>
      <w:pgSz w:w="12240" w:h="15840"/>
      <w:pgMar w:top="1560" w:right="1500" w:bottom="2100" w:left="1600" w:header="737" w:footer="1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E073C9" w14:textId="77777777" w:rsidR="00B83E22" w:rsidRDefault="00B83E22">
      <w:r>
        <w:separator/>
      </w:r>
    </w:p>
  </w:endnote>
  <w:endnote w:type="continuationSeparator" w:id="0">
    <w:p w14:paraId="41C6D0FB" w14:textId="77777777" w:rsidR="00B83E22" w:rsidRDefault="00B83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779F6" w14:textId="77777777" w:rsidR="00323E63" w:rsidRDefault="00B83E22">
    <w:pPr>
      <w:pStyle w:val="Textoindependiente"/>
      <w:spacing w:line="14" w:lineRule="auto"/>
    </w:pPr>
    <w:r>
      <w:rPr>
        <w:noProof/>
      </w:rPr>
      <w:drawing>
        <wp:anchor distT="0" distB="0" distL="0" distR="0" simplePos="0" relativeHeight="487508480" behindDoc="1" locked="0" layoutInCell="1" allowOverlap="1" wp14:anchorId="69B3FF3D" wp14:editId="3953B60E">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EC05D" w14:textId="77777777" w:rsidR="00B83E22" w:rsidRDefault="00B83E22">
      <w:r>
        <w:separator/>
      </w:r>
    </w:p>
  </w:footnote>
  <w:footnote w:type="continuationSeparator" w:id="0">
    <w:p w14:paraId="18C67C24" w14:textId="77777777" w:rsidR="00B83E22" w:rsidRDefault="00B83E22">
      <w:r>
        <w:continuationSeparator/>
      </w:r>
    </w:p>
  </w:footnote>
  <w:footnote w:id="1">
    <w:p w14:paraId="11952814" w14:textId="77777777" w:rsidR="0002090C" w:rsidRPr="00924D29" w:rsidRDefault="0002090C" w:rsidP="00924D29">
      <w:pPr>
        <w:tabs>
          <w:tab w:val="left" w:pos="933"/>
        </w:tabs>
        <w:spacing w:before="87" w:line="242" w:lineRule="auto"/>
        <w:ind w:right="104"/>
        <w:jc w:val="both"/>
        <w:rPr>
          <w:sz w:val="18"/>
          <w:szCs w:val="18"/>
        </w:rPr>
      </w:pPr>
      <w:r w:rsidRPr="00924D29">
        <w:rPr>
          <w:sz w:val="18"/>
          <w:szCs w:val="18"/>
        </w:rPr>
        <w:tab/>
      </w:r>
      <w:r w:rsidRPr="00924D29">
        <w:rPr>
          <w:rStyle w:val="Refdenotaalpie"/>
          <w:sz w:val="18"/>
          <w:szCs w:val="18"/>
        </w:rPr>
        <w:footnoteRef/>
      </w:r>
      <w:r w:rsidRPr="00924D29">
        <w:rPr>
          <w:sz w:val="18"/>
          <w:szCs w:val="18"/>
        </w:rPr>
        <w:t xml:space="preserve"> </w:t>
      </w:r>
      <w:r w:rsidRPr="00924D29">
        <w:rPr>
          <w:color w:val="4E4D4D"/>
          <w:sz w:val="18"/>
          <w:szCs w:val="18"/>
        </w:rPr>
        <w:t xml:space="preserve">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w:t>
      </w:r>
      <w:r w:rsidRPr="00924D29">
        <w:rPr>
          <w:color w:val="4E4D4D"/>
          <w:spacing w:val="2"/>
          <w:sz w:val="18"/>
          <w:szCs w:val="18"/>
        </w:rPr>
        <w:t xml:space="preserve">con </w:t>
      </w:r>
      <w:r w:rsidRPr="00924D29">
        <w:rPr>
          <w:color w:val="4E4D4D"/>
          <w:sz w:val="18"/>
          <w:szCs w:val="18"/>
        </w:rPr>
        <w:t>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w:t>
      </w:r>
      <w:r w:rsidRPr="00924D29">
        <w:rPr>
          <w:color w:val="4E4D4D"/>
          <w:spacing w:val="-6"/>
          <w:sz w:val="18"/>
          <w:szCs w:val="18"/>
        </w:rPr>
        <w:t xml:space="preserve"> </w:t>
      </w:r>
      <w:r w:rsidRPr="00924D29">
        <w:rPr>
          <w:color w:val="4E4D4D"/>
          <w:sz w:val="18"/>
          <w:szCs w:val="18"/>
        </w:rPr>
        <w:t>adscritas”.</w:t>
      </w:r>
    </w:p>
    <w:p w14:paraId="222F472E" w14:textId="77777777" w:rsidR="0002090C" w:rsidRPr="00924D29" w:rsidRDefault="0002090C" w:rsidP="00924D29">
      <w:pPr>
        <w:pStyle w:val="Textonotapie"/>
        <w:jc w:val="both"/>
        <w:rPr>
          <w:sz w:val="18"/>
          <w:szCs w:val="18"/>
        </w:rPr>
      </w:pPr>
    </w:p>
  </w:footnote>
  <w:footnote w:id="2">
    <w:p w14:paraId="0ACA873B" w14:textId="77777777" w:rsidR="0002090C" w:rsidRPr="00924D29" w:rsidRDefault="0002090C" w:rsidP="00924D29">
      <w:pPr>
        <w:pStyle w:val="Prrafodelista"/>
        <w:tabs>
          <w:tab w:val="left" w:pos="918"/>
        </w:tabs>
        <w:ind w:left="918" w:firstLine="0"/>
        <w:jc w:val="both"/>
        <w:rPr>
          <w:sz w:val="18"/>
          <w:szCs w:val="18"/>
        </w:rPr>
      </w:pPr>
      <w:r w:rsidRPr="00924D29">
        <w:rPr>
          <w:rStyle w:val="Refdenotaalpie"/>
          <w:sz w:val="18"/>
          <w:szCs w:val="18"/>
        </w:rPr>
        <w:footnoteRef/>
      </w:r>
      <w:r w:rsidRPr="00924D29">
        <w:rPr>
          <w:sz w:val="18"/>
          <w:szCs w:val="18"/>
        </w:rPr>
        <w:t xml:space="preserve"> </w:t>
      </w:r>
      <w:r w:rsidRPr="00924D29">
        <w:rPr>
          <w:color w:val="4E4D4D"/>
          <w:sz w:val="18"/>
          <w:szCs w:val="18"/>
        </w:rPr>
        <w:t>Constitución</w:t>
      </w:r>
      <w:r w:rsidRPr="00924D29">
        <w:rPr>
          <w:color w:val="4E4D4D"/>
          <w:spacing w:val="-1"/>
          <w:sz w:val="18"/>
          <w:szCs w:val="18"/>
        </w:rPr>
        <w:t xml:space="preserve"> </w:t>
      </w:r>
      <w:r w:rsidRPr="00924D29">
        <w:rPr>
          <w:color w:val="4E4D4D"/>
          <w:sz w:val="18"/>
          <w:szCs w:val="18"/>
        </w:rPr>
        <w:t>Política</w:t>
      </w:r>
      <w:r w:rsidRPr="00924D29">
        <w:rPr>
          <w:color w:val="4E4D4D"/>
          <w:spacing w:val="-3"/>
          <w:sz w:val="18"/>
          <w:szCs w:val="18"/>
        </w:rPr>
        <w:t xml:space="preserve"> </w:t>
      </w:r>
      <w:r w:rsidRPr="00924D29">
        <w:rPr>
          <w:color w:val="4E4D4D"/>
          <w:sz w:val="18"/>
          <w:szCs w:val="18"/>
        </w:rPr>
        <w:t>de</w:t>
      </w:r>
      <w:r w:rsidRPr="00924D29">
        <w:rPr>
          <w:color w:val="4E4D4D"/>
          <w:spacing w:val="-1"/>
          <w:sz w:val="18"/>
          <w:szCs w:val="18"/>
        </w:rPr>
        <w:t xml:space="preserve"> </w:t>
      </w:r>
      <w:r w:rsidRPr="00924D29">
        <w:rPr>
          <w:color w:val="4E4D4D"/>
          <w:sz w:val="18"/>
          <w:szCs w:val="18"/>
        </w:rPr>
        <w:t>Colombia.</w:t>
      </w:r>
      <w:r w:rsidRPr="00924D29">
        <w:rPr>
          <w:color w:val="4E4D4D"/>
          <w:spacing w:val="-3"/>
          <w:sz w:val="18"/>
          <w:szCs w:val="18"/>
        </w:rPr>
        <w:t xml:space="preserve"> </w:t>
      </w:r>
      <w:r w:rsidRPr="00924D29">
        <w:rPr>
          <w:color w:val="4E4D4D"/>
          <w:sz w:val="18"/>
          <w:szCs w:val="18"/>
        </w:rPr>
        <w:t>Artículo</w:t>
      </w:r>
      <w:r w:rsidRPr="00924D29">
        <w:rPr>
          <w:color w:val="4E4D4D"/>
          <w:spacing w:val="-3"/>
          <w:sz w:val="18"/>
          <w:szCs w:val="18"/>
        </w:rPr>
        <w:t xml:space="preserve"> </w:t>
      </w:r>
      <w:r w:rsidRPr="00924D29">
        <w:rPr>
          <w:color w:val="4E4D4D"/>
          <w:sz w:val="18"/>
          <w:szCs w:val="18"/>
        </w:rPr>
        <w:t>150,</w:t>
      </w:r>
      <w:r w:rsidRPr="00924D29">
        <w:rPr>
          <w:color w:val="4E4D4D"/>
          <w:spacing w:val="-2"/>
          <w:sz w:val="18"/>
          <w:szCs w:val="18"/>
        </w:rPr>
        <w:t xml:space="preserve"> </w:t>
      </w:r>
      <w:r w:rsidRPr="00924D29">
        <w:rPr>
          <w:color w:val="4E4D4D"/>
          <w:sz w:val="18"/>
          <w:szCs w:val="18"/>
        </w:rPr>
        <w:t>numeral</w:t>
      </w:r>
      <w:r w:rsidRPr="00924D29">
        <w:rPr>
          <w:color w:val="4E4D4D"/>
          <w:spacing w:val="-2"/>
          <w:sz w:val="18"/>
          <w:szCs w:val="18"/>
        </w:rPr>
        <w:t xml:space="preserve"> </w:t>
      </w:r>
      <w:r w:rsidRPr="00924D29">
        <w:rPr>
          <w:color w:val="4E4D4D"/>
          <w:sz w:val="18"/>
          <w:szCs w:val="18"/>
        </w:rPr>
        <w:t>7;</w:t>
      </w:r>
      <w:r w:rsidRPr="00924D29">
        <w:rPr>
          <w:color w:val="4E4D4D"/>
          <w:spacing w:val="-2"/>
          <w:sz w:val="18"/>
          <w:szCs w:val="18"/>
        </w:rPr>
        <w:t xml:space="preserve"> </w:t>
      </w:r>
      <w:r w:rsidRPr="00924D29">
        <w:rPr>
          <w:color w:val="4E4D4D"/>
          <w:sz w:val="18"/>
          <w:szCs w:val="18"/>
        </w:rPr>
        <w:t>artículo</w:t>
      </w:r>
      <w:r w:rsidRPr="00924D29">
        <w:rPr>
          <w:color w:val="4E4D4D"/>
          <w:spacing w:val="-1"/>
          <w:sz w:val="18"/>
          <w:szCs w:val="18"/>
        </w:rPr>
        <w:t xml:space="preserve"> </w:t>
      </w:r>
      <w:r w:rsidRPr="00924D29">
        <w:rPr>
          <w:color w:val="4E4D4D"/>
          <w:sz w:val="18"/>
          <w:szCs w:val="18"/>
        </w:rPr>
        <w:t>300,</w:t>
      </w:r>
      <w:r w:rsidRPr="00924D29">
        <w:rPr>
          <w:color w:val="4E4D4D"/>
          <w:spacing w:val="-1"/>
          <w:sz w:val="18"/>
          <w:szCs w:val="18"/>
        </w:rPr>
        <w:t xml:space="preserve"> </w:t>
      </w:r>
      <w:r w:rsidRPr="00924D29">
        <w:rPr>
          <w:color w:val="4E4D4D"/>
          <w:sz w:val="18"/>
          <w:szCs w:val="18"/>
        </w:rPr>
        <w:t>numeral</w:t>
      </w:r>
      <w:r w:rsidRPr="00924D29">
        <w:rPr>
          <w:color w:val="4E4D4D"/>
          <w:spacing w:val="-3"/>
          <w:sz w:val="18"/>
          <w:szCs w:val="18"/>
        </w:rPr>
        <w:t xml:space="preserve"> </w:t>
      </w:r>
      <w:r w:rsidRPr="00924D29">
        <w:rPr>
          <w:color w:val="4E4D4D"/>
          <w:sz w:val="18"/>
          <w:szCs w:val="18"/>
        </w:rPr>
        <w:t>7;</w:t>
      </w:r>
      <w:r w:rsidRPr="00924D29">
        <w:rPr>
          <w:color w:val="4E4D4D"/>
          <w:spacing w:val="-4"/>
          <w:sz w:val="18"/>
          <w:szCs w:val="18"/>
        </w:rPr>
        <w:t xml:space="preserve"> </w:t>
      </w:r>
      <w:r w:rsidRPr="00924D29">
        <w:rPr>
          <w:color w:val="4E4D4D"/>
          <w:sz w:val="18"/>
          <w:szCs w:val="18"/>
        </w:rPr>
        <w:t>y</w:t>
      </w:r>
      <w:r w:rsidRPr="00924D29">
        <w:rPr>
          <w:color w:val="4E4D4D"/>
          <w:spacing w:val="-4"/>
          <w:sz w:val="18"/>
          <w:szCs w:val="18"/>
        </w:rPr>
        <w:t xml:space="preserve"> </w:t>
      </w:r>
      <w:r w:rsidRPr="00924D29">
        <w:rPr>
          <w:color w:val="4E4D4D"/>
          <w:sz w:val="18"/>
          <w:szCs w:val="18"/>
        </w:rPr>
        <w:t>artículo</w:t>
      </w:r>
      <w:r w:rsidRPr="00924D29">
        <w:rPr>
          <w:color w:val="4E4D4D"/>
          <w:spacing w:val="-3"/>
          <w:sz w:val="18"/>
          <w:szCs w:val="18"/>
        </w:rPr>
        <w:t xml:space="preserve"> </w:t>
      </w:r>
      <w:r w:rsidRPr="00924D29">
        <w:rPr>
          <w:color w:val="4E4D4D"/>
          <w:sz w:val="18"/>
          <w:szCs w:val="18"/>
        </w:rPr>
        <w:t>313,</w:t>
      </w:r>
      <w:r w:rsidRPr="00924D29">
        <w:rPr>
          <w:color w:val="4E4D4D"/>
          <w:spacing w:val="-2"/>
          <w:sz w:val="18"/>
          <w:szCs w:val="18"/>
        </w:rPr>
        <w:t xml:space="preserve"> </w:t>
      </w:r>
      <w:r w:rsidRPr="00924D29">
        <w:rPr>
          <w:color w:val="4E4D4D"/>
          <w:sz w:val="18"/>
          <w:szCs w:val="18"/>
        </w:rPr>
        <w:t>numeral</w:t>
      </w:r>
      <w:r w:rsidRPr="00924D29">
        <w:rPr>
          <w:color w:val="4E4D4D"/>
          <w:spacing w:val="-2"/>
          <w:sz w:val="18"/>
          <w:szCs w:val="18"/>
        </w:rPr>
        <w:t xml:space="preserve"> </w:t>
      </w:r>
      <w:r w:rsidRPr="00924D29">
        <w:rPr>
          <w:color w:val="4E4D4D"/>
          <w:sz w:val="18"/>
          <w:szCs w:val="18"/>
        </w:rPr>
        <w:t>6.</w:t>
      </w:r>
    </w:p>
    <w:p w14:paraId="16B29BE8" w14:textId="77777777" w:rsidR="0002090C" w:rsidRPr="00924D29" w:rsidRDefault="0002090C" w:rsidP="00924D29">
      <w:pPr>
        <w:pStyle w:val="Textonotapie"/>
        <w:jc w:val="both"/>
        <w:rPr>
          <w:sz w:val="18"/>
          <w:szCs w:val="18"/>
        </w:rPr>
      </w:pPr>
    </w:p>
  </w:footnote>
  <w:footnote w:id="3">
    <w:p w14:paraId="5D13D2F8" w14:textId="77777777" w:rsidR="0002090C" w:rsidRPr="00924D29" w:rsidRDefault="0002090C" w:rsidP="00924D29">
      <w:pPr>
        <w:pStyle w:val="Textonotapie"/>
        <w:ind w:firstLine="720"/>
        <w:jc w:val="both"/>
        <w:rPr>
          <w:sz w:val="18"/>
          <w:szCs w:val="18"/>
          <w:lang w:val="es-CO"/>
        </w:rPr>
      </w:pPr>
      <w:r w:rsidRPr="00924D29">
        <w:rPr>
          <w:rStyle w:val="Refdenotaalpie"/>
          <w:sz w:val="18"/>
          <w:szCs w:val="18"/>
        </w:rPr>
        <w:footnoteRef/>
      </w:r>
      <w:r w:rsidRPr="00924D29">
        <w:rPr>
          <w:sz w:val="18"/>
          <w:szCs w:val="18"/>
        </w:rPr>
        <w:t xml:space="preserve"> </w:t>
      </w:r>
      <w:r w:rsidRPr="00924D29">
        <w:rPr>
          <w:color w:val="4E4D4D"/>
          <w:sz w:val="18"/>
          <w:szCs w:val="18"/>
        </w:rPr>
        <w:t>Artículo 2.2.1.2.1.4.4</w:t>
      </w:r>
    </w:p>
  </w:footnote>
  <w:footnote w:id="4">
    <w:p w14:paraId="5C915D11" w14:textId="77777777" w:rsidR="0002090C" w:rsidRPr="00924D29" w:rsidRDefault="0002090C" w:rsidP="00924D29">
      <w:pPr>
        <w:pStyle w:val="Textonotapie"/>
        <w:jc w:val="both"/>
        <w:rPr>
          <w:sz w:val="18"/>
          <w:szCs w:val="18"/>
        </w:rPr>
      </w:pPr>
      <w:r w:rsidRPr="00924D29">
        <w:rPr>
          <w:sz w:val="18"/>
          <w:szCs w:val="18"/>
        </w:rPr>
        <w:t xml:space="preserve"> </w:t>
      </w:r>
      <w:r w:rsidRPr="00924D29">
        <w:rPr>
          <w:sz w:val="18"/>
          <w:szCs w:val="18"/>
        </w:rPr>
        <w:tab/>
      </w:r>
      <w:r w:rsidRPr="00924D29">
        <w:rPr>
          <w:rStyle w:val="Refdenotaalpie"/>
          <w:sz w:val="18"/>
          <w:szCs w:val="18"/>
        </w:rPr>
        <w:footnoteRef/>
      </w:r>
      <w:r w:rsidRPr="00924D29">
        <w:rPr>
          <w:sz w:val="18"/>
          <w:szCs w:val="18"/>
        </w:rPr>
        <w:t xml:space="preserve"> </w:t>
      </w:r>
      <w:r w:rsidRPr="00924D29">
        <w:rPr>
          <w:color w:val="4E4D4D"/>
          <w:sz w:val="18"/>
          <w:szCs w:val="18"/>
        </w:rPr>
        <w:t>Ley</w:t>
      </w:r>
      <w:r w:rsidRPr="00924D29">
        <w:rPr>
          <w:color w:val="4E4D4D"/>
          <w:spacing w:val="-4"/>
          <w:sz w:val="18"/>
          <w:szCs w:val="18"/>
        </w:rPr>
        <w:t xml:space="preserve"> </w:t>
      </w:r>
      <w:r w:rsidRPr="00924D29">
        <w:rPr>
          <w:color w:val="4E4D4D"/>
          <w:sz w:val="18"/>
          <w:szCs w:val="18"/>
        </w:rPr>
        <w:t>1150</w:t>
      </w:r>
      <w:r w:rsidRPr="00924D29">
        <w:rPr>
          <w:color w:val="4E4D4D"/>
          <w:spacing w:val="-2"/>
          <w:sz w:val="18"/>
          <w:szCs w:val="18"/>
        </w:rPr>
        <w:t xml:space="preserve"> </w:t>
      </w:r>
      <w:r w:rsidRPr="00924D29">
        <w:rPr>
          <w:color w:val="4E4D4D"/>
          <w:sz w:val="18"/>
          <w:szCs w:val="18"/>
        </w:rPr>
        <w:t>de</w:t>
      </w:r>
      <w:r w:rsidRPr="00924D29">
        <w:rPr>
          <w:color w:val="4E4D4D"/>
          <w:spacing w:val="-2"/>
          <w:sz w:val="18"/>
          <w:szCs w:val="18"/>
        </w:rPr>
        <w:t xml:space="preserve"> </w:t>
      </w:r>
      <w:r w:rsidRPr="00924D29">
        <w:rPr>
          <w:color w:val="4E4D4D"/>
          <w:sz w:val="18"/>
          <w:szCs w:val="18"/>
        </w:rPr>
        <w:t>2007,</w:t>
      </w:r>
      <w:r w:rsidRPr="00924D29">
        <w:rPr>
          <w:color w:val="4E4D4D"/>
          <w:spacing w:val="-2"/>
          <w:sz w:val="18"/>
          <w:szCs w:val="18"/>
        </w:rPr>
        <w:t xml:space="preserve"> </w:t>
      </w:r>
      <w:r w:rsidRPr="00924D29">
        <w:rPr>
          <w:color w:val="4E4D4D"/>
          <w:sz w:val="18"/>
          <w:szCs w:val="18"/>
        </w:rPr>
        <w:t>artículo</w:t>
      </w:r>
      <w:r w:rsidRPr="00924D29">
        <w:rPr>
          <w:color w:val="4E4D4D"/>
          <w:spacing w:val="-3"/>
          <w:sz w:val="18"/>
          <w:szCs w:val="18"/>
        </w:rPr>
        <w:t xml:space="preserve"> </w:t>
      </w:r>
      <w:r w:rsidRPr="00924D29">
        <w:rPr>
          <w:color w:val="4E4D4D"/>
          <w:sz w:val="18"/>
          <w:szCs w:val="18"/>
        </w:rPr>
        <w:t>2,</w:t>
      </w:r>
      <w:r w:rsidRPr="00924D29">
        <w:rPr>
          <w:color w:val="4E4D4D"/>
          <w:spacing w:val="-1"/>
          <w:sz w:val="18"/>
          <w:szCs w:val="18"/>
        </w:rPr>
        <w:t xml:space="preserve"> </w:t>
      </w:r>
      <w:r w:rsidRPr="00924D29">
        <w:rPr>
          <w:color w:val="4E4D4D"/>
          <w:sz w:val="18"/>
          <w:szCs w:val="18"/>
        </w:rPr>
        <w:t>literal</w:t>
      </w:r>
      <w:r w:rsidRPr="00924D29">
        <w:rPr>
          <w:color w:val="4E4D4D"/>
          <w:spacing w:val="1"/>
          <w:sz w:val="18"/>
          <w:szCs w:val="18"/>
        </w:rPr>
        <w:t xml:space="preserve"> </w:t>
      </w:r>
      <w:r w:rsidR="0043065A" w:rsidRPr="00924D29">
        <w:rPr>
          <w:color w:val="4E4D4D"/>
          <w:sz w:val="18"/>
          <w:szCs w:val="18"/>
        </w:rPr>
        <w:t>c</w:t>
      </w:r>
      <w:r w:rsidRPr="00924D29">
        <w:rPr>
          <w:color w:val="4E4D4D"/>
          <w:sz w:val="18"/>
          <w:szCs w:val="18"/>
        </w:rPr>
        <w:t>,</w:t>
      </w:r>
      <w:r w:rsidRPr="00924D29">
        <w:rPr>
          <w:color w:val="4E4D4D"/>
          <w:spacing w:val="-1"/>
          <w:sz w:val="18"/>
          <w:szCs w:val="18"/>
        </w:rPr>
        <w:t xml:space="preserve"> </w:t>
      </w:r>
      <w:r w:rsidRPr="00924D29">
        <w:rPr>
          <w:color w:val="4E4D4D"/>
          <w:sz w:val="18"/>
          <w:szCs w:val="18"/>
        </w:rPr>
        <w:t>numeral</w:t>
      </w:r>
      <w:r w:rsidRPr="00924D29">
        <w:rPr>
          <w:color w:val="4E4D4D"/>
          <w:spacing w:val="-1"/>
          <w:sz w:val="18"/>
          <w:szCs w:val="18"/>
        </w:rPr>
        <w:t xml:space="preserve"> </w:t>
      </w:r>
      <w:r w:rsidR="0043065A" w:rsidRPr="00924D29">
        <w:rPr>
          <w:color w:val="4E4D4D"/>
          <w:sz w:val="18"/>
          <w:szCs w:val="18"/>
        </w:rPr>
        <w:t>4</w:t>
      </w:r>
      <w:r w:rsidRPr="00924D29">
        <w:rPr>
          <w:color w:val="4E4D4D"/>
          <w:sz w:val="18"/>
          <w:szCs w:val="18"/>
        </w:rPr>
        <w:t>,</w:t>
      </w:r>
      <w:r w:rsidRPr="00924D29">
        <w:rPr>
          <w:color w:val="4E4D4D"/>
          <w:spacing w:val="-3"/>
          <w:sz w:val="18"/>
          <w:szCs w:val="18"/>
        </w:rPr>
        <w:t xml:space="preserve"> </w:t>
      </w:r>
      <w:r w:rsidRPr="00924D29">
        <w:rPr>
          <w:color w:val="4E4D4D"/>
          <w:sz w:val="18"/>
          <w:szCs w:val="18"/>
        </w:rPr>
        <w:t>modificada</w:t>
      </w:r>
      <w:r w:rsidRPr="00924D29">
        <w:rPr>
          <w:color w:val="4E4D4D"/>
          <w:spacing w:val="-2"/>
          <w:sz w:val="18"/>
          <w:szCs w:val="18"/>
        </w:rPr>
        <w:t xml:space="preserve"> </w:t>
      </w:r>
      <w:r w:rsidRPr="00924D29">
        <w:rPr>
          <w:color w:val="4E4D4D"/>
          <w:sz w:val="18"/>
          <w:szCs w:val="18"/>
        </w:rPr>
        <w:t>por</w:t>
      </w:r>
      <w:r w:rsidRPr="00924D29">
        <w:rPr>
          <w:color w:val="4E4D4D"/>
          <w:spacing w:val="-2"/>
          <w:sz w:val="18"/>
          <w:szCs w:val="18"/>
        </w:rPr>
        <w:t xml:space="preserve"> </w:t>
      </w:r>
      <w:r w:rsidRPr="00924D29">
        <w:rPr>
          <w:color w:val="4E4D4D"/>
          <w:sz w:val="18"/>
          <w:szCs w:val="18"/>
        </w:rPr>
        <w:t>el</w:t>
      </w:r>
      <w:r w:rsidRPr="00924D29">
        <w:rPr>
          <w:color w:val="4E4D4D"/>
          <w:spacing w:val="-3"/>
          <w:sz w:val="18"/>
          <w:szCs w:val="18"/>
        </w:rPr>
        <w:t xml:space="preserve"> </w:t>
      </w:r>
      <w:r w:rsidRPr="00924D29">
        <w:rPr>
          <w:color w:val="4E4D4D"/>
          <w:sz w:val="18"/>
          <w:szCs w:val="18"/>
        </w:rPr>
        <w:t>artículo 92 de la</w:t>
      </w:r>
      <w:r w:rsidRPr="00924D29">
        <w:rPr>
          <w:color w:val="4E4D4D"/>
          <w:spacing w:val="-2"/>
          <w:sz w:val="18"/>
          <w:szCs w:val="18"/>
        </w:rPr>
        <w:t xml:space="preserve"> </w:t>
      </w:r>
      <w:r w:rsidRPr="00924D29">
        <w:rPr>
          <w:color w:val="4E4D4D"/>
          <w:sz w:val="18"/>
          <w:szCs w:val="18"/>
        </w:rPr>
        <w:t>Ley</w:t>
      </w:r>
      <w:r w:rsidRPr="00924D29">
        <w:rPr>
          <w:color w:val="4E4D4D"/>
          <w:spacing w:val="-3"/>
          <w:sz w:val="18"/>
          <w:szCs w:val="18"/>
        </w:rPr>
        <w:t xml:space="preserve"> </w:t>
      </w:r>
      <w:r w:rsidRPr="00924D29">
        <w:rPr>
          <w:color w:val="4E4D4D"/>
          <w:sz w:val="18"/>
          <w:szCs w:val="18"/>
        </w:rPr>
        <w:t>1474</w:t>
      </w:r>
      <w:r w:rsidRPr="00924D29">
        <w:rPr>
          <w:color w:val="4E4D4D"/>
          <w:spacing w:val="-2"/>
          <w:sz w:val="18"/>
          <w:szCs w:val="18"/>
        </w:rPr>
        <w:t xml:space="preserve"> </w:t>
      </w:r>
      <w:r w:rsidRPr="00924D29">
        <w:rPr>
          <w:color w:val="4E4D4D"/>
          <w:sz w:val="18"/>
          <w:szCs w:val="18"/>
        </w:rPr>
        <w:t>de</w:t>
      </w:r>
      <w:r w:rsidRPr="00924D29">
        <w:rPr>
          <w:color w:val="4E4D4D"/>
          <w:spacing w:val="-2"/>
          <w:sz w:val="18"/>
          <w:szCs w:val="18"/>
        </w:rPr>
        <w:t xml:space="preserve"> </w:t>
      </w:r>
      <w:r w:rsidRPr="00924D29">
        <w:rPr>
          <w:color w:val="4E4D4D"/>
          <w:sz w:val="18"/>
          <w:szCs w:val="18"/>
        </w:rPr>
        <w:t>2011.</w:t>
      </w:r>
    </w:p>
    <w:p w14:paraId="4FAC415F" w14:textId="77777777" w:rsidR="0002090C" w:rsidRPr="00924D29" w:rsidRDefault="0002090C" w:rsidP="00924D29">
      <w:pPr>
        <w:pStyle w:val="Textonotapie"/>
        <w:ind w:firstLine="720"/>
        <w:jc w:val="both"/>
        <w:rPr>
          <w:sz w:val="18"/>
          <w:szCs w:val="18"/>
          <w:lang w:val="es-CO"/>
        </w:rPr>
      </w:pPr>
      <w:r w:rsidRPr="00924D29">
        <w:rPr>
          <w:sz w:val="18"/>
          <w:szCs w:val="18"/>
        </w:rPr>
        <w:t xml:space="preserve"> </w:t>
      </w:r>
    </w:p>
  </w:footnote>
  <w:footnote w:id="5">
    <w:p w14:paraId="1E54BE71" w14:textId="77777777" w:rsidR="0002090C" w:rsidRPr="00924D29" w:rsidRDefault="0002090C" w:rsidP="00924D29">
      <w:pPr>
        <w:tabs>
          <w:tab w:val="left" w:pos="908"/>
        </w:tabs>
        <w:spacing w:before="89" w:line="242" w:lineRule="auto"/>
        <w:ind w:right="104"/>
        <w:jc w:val="both"/>
        <w:rPr>
          <w:sz w:val="18"/>
          <w:szCs w:val="18"/>
        </w:rPr>
      </w:pPr>
      <w:r w:rsidRPr="00924D29">
        <w:rPr>
          <w:sz w:val="18"/>
          <w:szCs w:val="18"/>
        </w:rPr>
        <w:tab/>
      </w:r>
      <w:r w:rsidRPr="00924D29">
        <w:rPr>
          <w:rStyle w:val="Refdenotaalpie"/>
          <w:sz w:val="18"/>
          <w:szCs w:val="18"/>
        </w:rPr>
        <w:footnoteRef/>
      </w:r>
      <w:r w:rsidRPr="00924D29">
        <w:rPr>
          <w:sz w:val="18"/>
          <w:szCs w:val="18"/>
        </w:rPr>
        <w:t xml:space="preserve"> </w:t>
      </w:r>
      <w:r w:rsidRPr="00924D29">
        <w:rPr>
          <w:color w:val="4E4D4D"/>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924D29">
        <w:rPr>
          <w:color w:val="4E4D4D"/>
          <w:spacing w:val="-4"/>
          <w:sz w:val="18"/>
          <w:szCs w:val="18"/>
        </w:rPr>
        <w:t xml:space="preserve"> </w:t>
      </w:r>
      <w:r w:rsidRPr="00924D29">
        <w:rPr>
          <w:color w:val="4E4D4D"/>
          <w:sz w:val="18"/>
          <w:szCs w:val="18"/>
        </w:rPr>
        <w:t>artículo”.</w:t>
      </w:r>
    </w:p>
    <w:p w14:paraId="341AC23A" w14:textId="77777777" w:rsidR="0002090C" w:rsidRPr="00924D29" w:rsidRDefault="0002090C" w:rsidP="00924D29">
      <w:pPr>
        <w:pStyle w:val="Textonotapie"/>
        <w:jc w:val="both"/>
        <w:rPr>
          <w:sz w:val="18"/>
          <w:szCs w:val="18"/>
        </w:rPr>
      </w:pPr>
    </w:p>
  </w:footnote>
  <w:footnote w:id="6">
    <w:p w14:paraId="019A085C" w14:textId="77777777" w:rsidR="0002090C" w:rsidRPr="00924D29" w:rsidRDefault="0002090C" w:rsidP="00924D29">
      <w:pPr>
        <w:tabs>
          <w:tab w:val="left" w:pos="951"/>
        </w:tabs>
        <w:spacing w:line="261" w:lineRule="auto"/>
        <w:ind w:right="114"/>
        <w:jc w:val="both"/>
        <w:rPr>
          <w:sz w:val="18"/>
          <w:szCs w:val="18"/>
        </w:rPr>
      </w:pPr>
      <w:r w:rsidRPr="00924D29">
        <w:rPr>
          <w:sz w:val="18"/>
          <w:szCs w:val="18"/>
        </w:rPr>
        <w:tab/>
      </w:r>
      <w:r w:rsidRPr="00924D29">
        <w:rPr>
          <w:rStyle w:val="Refdenotaalpie"/>
          <w:sz w:val="18"/>
          <w:szCs w:val="18"/>
        </w:rPr>
        <w:footnoteRef/>
      </w:r>
      <w:r w:rsidRPr="00924D29">
        <w:rPr>
          <w:sz w:val="18"/>
          <w:szCs w:val="18"/>
        </w:rPr>
        <w:t xml:space="preserve"> </w:t>
      </w:r>
      <w:r w:rsidRPr="00924D29">
        <w:rPr>
          <w:color w:val="4E4D4D"/>
          <w:sz w:val="18"/>
          <w:szCs w:val="18"/>
        </w:rPr>
        <w:t>Código Civil, artículo 27. “Cuando el sentido de la ley sea claro, no se desatenderá su tenor a pretexto de consultar su</w:t>
      </w:r>
      <w:r w:rsidRPr="00924D29">
        <w:rPr>
          <w:color w:val="4E4D4D"/>
          <w:spacing w:val="-3"/>
          <w:sz w:val="18"/>
          <w:szCs w:val="18"/>
        </w:rPr>
        <w:t xml:space="preserve"> </w:t>
      </w:r>
      <w:r w:rsidRPr="00924D29">
        <w:rPr>
          <w:color w:val="4E4D4D"/>
          <w:sz w:val="18"/>
          <w:szCs w:val="18"/>
        </w:rPr>
        <w:t>espíritu”.</w:t>
      </w:r>
    </w:p>
    <w:p w14:paraId="0D3F6A5F" w14:textId="77777777" w:rsidR="0002090C" w:rsidRPr="00924D29" w:rsidRDefault="0002090C" w:rsidP="00924D29">
      <w:pPr>
        <w:pStyle w:val="Textonotapie"/>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EDC7F" w14:textId="77777777" w:rsidR="00323E63" w:rsidRDefault="00B83E22">
    <w:pPr>
      <w:pStyle w:val="Textoindependiente"/>
      <w:spacing w:line="14" w:lineRule="auto"/>
    </w:pPr>
    <w:r>
      <w:rPr>
        <w:noProof/>
      </w:rPr>
      <w:drawing>
        <wp:anchor distT="0" distB="0" distL="0" distR="0" simplePos="0" relativeHeight="487507968" behindDoc="1" locked="0" layoutInCell="1" allowOverlap="1" wp14:anchorId="5409B754" wp14:editId="13CAE4B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43048"/>
    <w:multiLevelType w:val="hybridMultilevel"/>
    <w:tmpl w:val="0E681964"/>
    <w:lvl w:ilvl="0" w:tplc="5F98A67C">
      <w:start w:val="4"/>
      <w:numFmt w:val="decimal"/>
      <w:lvlText w:val="%1"/>
      <w:lvlJc w:val="left"/>
      <w:pPr>
        <w:ind w:left="903" w:hanging="95"/>
        <w:jc w:val="left"/>
      </w:pPr>
      <w:rPr>
        <w:rFonts w:ascii="Calibri" w:eastAsia="Calibri" w:hAnsi="Calibri" w:cs="Calibri" w:hint="default"/>
        <w:w w:val="100"/>
        <w:position w:val="6"/>
        <w:sz w:val="13"/>
        <w:szCs w:val="13"/>
        <w:lang w:val="es-ES" w:eastAsia="en-US" w:bidi="ar-SA"/>
      </w:rPr>
    </w:lvl>
    <w:lvl w:ilvl="1" w:tplc="65EC802E">
      <w:numFmt w:val="bullet"/>
      <w:lvlText w:val="•"/>
      <w:lvlJc w:val="left"/>
      <w:pPr>
        <w:ind w:left="1724" w:hanging="95"/>
      </w:pPr>
      <w:rPr>
        <w:rFonts w:hint="default"/>
        <w:lang w:val="es-ES" w:eastAsia="en-US" w:bidi="ar-SA"/>
      </w:rPr>
    </w:lvl>
    <w:lvl w:ilvl="2" w:tplc="07E41BC6">
      <w:numFmt w:val="bullet"/>
      <w:lvlText w:val="•"/>
      <w:lvlJc w:val="left"/>
      <w:pPr>
        <w:ind w:left="2548" w:hanging="95"/>
      </w:pPr>
      <w:rPr>
        <w:rFonts w:hint="default"/>
        <w:lang w:val="es-ES" w:eastAsia="en-US" w:bidi="ar-SA"/>
      </w:rPr>
    </w:lvl>
    <w:lvl w:ilvl="3" w:tplc="D2C6B102">
      <w:numFmt w:val="bullet"/>
      <w:lvlText w:val="•"/>
      <w:lvlJc w:val="left"/>
      <w:pPr>
        <w:ind w:left="3372" w:hanging="95"/>
      </w:pPr>
      <w:rPr>
        <w:rFonts w:hint="default"/>
        <w:lang w:val="es-ES" w:eastAsia="en-US" w:bidi="ar-SA"/>
      </w:rPr>
    </w:lvl>
    <w:lvl w:ilvl="4" w:tplc="2034B534">
      <w:numFmt w:val="bullet"/>
      <w:lvlText w:val="•"/>
      <w:lvlJc w:val="left"/>
      <w:pPr>
        <w:ind w:left="4196" w:hanging="95"/>
      </w:pPr>
      <w:rPr>
        <w:rFonts w:hint="default"/>
        <w:lang w:val="es-ES" w:eastAsia="en-US" w:bidi="ar-SA"/>
      </w:rPr>
    </w:lvl>
    <w:lvl w:ilvl="5" w:tplc="049C24CE">
      <w:numFmt w:val="bullet"/>
      <w:lvlText w:val="•"/>
      <w:lvlJc w:val="left"/>
      <w:pPr>
        <w:ind w:left="5020" w:hanging="95"/>
      </w:pPr>
      <w:rPr>
        <w:rFonts w:hint="default"/>
        <w:lang w:val="es-ES" w:eastAsia="en-US" w:bidi="ar-SA"/>
      </w:rPr>
    </w:lvl>
    <w:lvl w:ilvl="6" w:tplc="72FA67EC">
      <w:numFmt w:val="bullet"/>
      <w:lvlText w:val="•"/>
      <w:lvlJc w:val="left"/>
      <w:pPr>
        <w:ind w:left="5844" w:hanging="95"/>
      </w:pPr>
      <w:rPr>
        <w:rFonts w:hint="default"/>
        <w:lang w:val="es-ES" w:eastAsia="en-US" w:bidi="ar-SA"/>
      </w:rPr>
    </w:lvl>
    <w:lvl w:ilvl="7" w:tplc="41CED748">
      <w:numFmt w:val="bullet"/>
      <w:lvlText w:val="•"/>
      <w:lvlJc w:val="left"/>
      <w:pPr>
        <w:ind w:left="6668" w:hanging="95"/>
      </w:pPr>
      <w:rPr>
        <w:rFonts w:hint="default"/>
        <w:lang w:val="es-ES" w:eastAsia="en-US" w:bidi="ar-SA"/>
      </w:rPr>
    </w:lvl>
    <w:lvl w:ilvl="8" w:tplc="9B0ED636">
      <w:numFmt w:val="bullet"/>
      <w:lvlText w:val="•"/>
      <w:lvlJc w:val="left"/>
      <w:pPr>
        <w:ind w:left="7492" w:hanging="95"/>
      </w:pPr>
      <w:rPr>
        <w:rFonts w:hint="default"/>
        <w:lang w:val="es-ES" w:eastAsia="en-US" w:bidi="ar-SA"/>
      </w:rPr>
    </w:lvl>
  </w:abstractNum>
  <w:abstractNum w:abstractNumId="1" w15:restartNumberingAfterBreak="0">
    <w:nsid w:val="3B69700B"/>
    <w:multiLevelType w:val="hybridMultilevel"/>
    <w:tmpl w:val="636C8B92"/>
    <w:lvl w:ilvl="0" w:tplc="C04823C4">
      <w:start w:val="1"/>
      <w:numFmt w:val="decimal"/>
      <w:lvlText w:val="%1"/>
      <w:lvlJc w:val="left"/>
      <w:pPr>
        <w:ind w:left="100" w:hanging="125"/>
        <w:jc w:val="left"/>
      </w:pPr>
      <w:rPr>
        <w:rFonts w:ascii="Calibri" w:eastAsia="Calibri" w:hAnsi="Calibri" w:cs="Calibri" w:hint="default"/>
        <w:spacing w:val="-4"/>
        <w:w w:val="100"/>
        <w:position w:val="6"/>
        <w:sz w:val="13"/>
        <w:szCs w:val="13"/>
        <w:lang w:val="es-ES" w:eastAsia="en-US" w:bidi="ar-SA"/>
      </w:rPr>
    </w:lvl>
    <w:lvl w:ilvl="1" w:tplc="9788A5C4">
      <w:numFmt w:val="bullet"/>
      <w:lvlText w:val="•"/>
      <w:lvlJc w:val="left"/>
      <w:pPr>
        <w:ind w:left="1004" w:hanging="125"/>
      </w:pPr>
      <w:rPr>
        <w:rFonts w:hint="default"/>
        <w:lang w:val="es-ES" w:eastAsia="en-US" w:bidi="ar-SA"/>
      </w:rPr>
    </w:lvl>
    <w:lvl w:ilvl="2" w:tplc="E4567300">
      <w:numFmt w:val="bullet"/>
      <w:lvlText w:val="•"/>
      <w:lvlJc w:val="left"/>
      <w:pPr>
        <w:ind w:left="1908" w:hanging="125"/>
      </w:pPr>
      <w:rPr>
        <w:rFonts w:hint="default"/>
        <w:lang w:val="es-ES" w:eastAsia="en-US" w:bidi="ar-SA"/>
      </w:rPr>
    </w:lvl>
    <w:lvl w:ilvl="3" w:tplc="2F16B49C">
      <w:numFmt w:val="bullet"/>
      <w:lvlText w:val="•"/>
      <w:lvlJc w:val="left"/>
      <w:pPr>
        <w:ind w:left="2812" w:hanging="125"/>
      </w:pPr>
      <w:rPr>
        <w:rFonts w:hint="default"/>
        <w:lang w:val="es-ES" w:eastAsia="en-US" w:bidi="ar-SA"/>
      </w:rPr>
    </w:lvl>
    <w:lvl w:ilvl="4" w:tplc="33387238">
      <w:numFmt w:val="bullet"/>
      <w:lvlText w:val="•"/>
      <w:lvlJc w:val="left"/>
      <w:pPr>
        <w:ind w:left="3716" w:hanging="125"/>
      </w:pPr>
      <w:rPr>
        <w:rFonts w:hint="default"/>
        <w:lang w:val="es-ES" w:eastAsia="en-US" w:bidi="ar-SA"/>
      </w:rPr>
    </w:lvl>
    <w:lvl w:ilvl="5" w:tplc="4F98FBA0">
      <w:numFmt w:val="bullet"/>
      <w:lvlText w:val="•"/>
      <w:lvlJc w:val="left"/>
      <w:pPr>
        <w:ind w:left="4620" w:hanging="125"/>
      </w:pPr>
      <w:rPr>
        <w:rFonts w:hint="default"/>
        <w:lang w:val="es-ES" w:eastAsia="en-US" w:bidi="ar-SA"/>
      </w:rPr>
    </w:lvl>
    <w:lvl w:ilvl="6" w:tplc="EAD46E8A">
      <w:numFmt w:val="bullet"/>
      <w:lvlText w:val="•"/>
      <w:lvlJc w:val="left"/>
      <w:pPr>
        <w:ind w:left="5524" w:hanging="125"/>
      </w:pPr>
      <w:rPr>
        <w:rFonts w:hint="default"/>
        <w:lang w:val="es-ES" w:eastAsia="en-US" w:bidi="ar-SA"/>
      </w:rPr>
    </w:lvl>
    <w:lvl w:ilvl="7" w:tplc="3A3A4256">
      <w:numFmt w:val="bullet"/>
      <w:lvlText w:val="•"/>
      <w:lvlJc w:val="left"/>
      <w:pPr>
        <w:ind w:left="6428" w:hanging="125"/>
      </w:pPr>
      <w:rPr>
        <w:rFonts w:hint="default"/>
        <w:lang w:val="es-ES" w:eastAsia="en-US" w:bidi="ar-SA"/>
      </w:rPr>
    </w:lvl>
    <w:lvl w:ilvl="8" w:tplc="462A4776">
      <w:numFmt w:val="bullet"/>
      <w:lvlText w:val="•"/>
      <w:lvlJc w:val="left"/>
      <w:pPr>
        <w:ind w:left="7332" w:hanging="125"/>
      </w:pPr>
      <w:rPr>
        <w:rFonts w:hint="default"/>
        <w:lang w:val="es-ES" w:eastAsia="en-US" w:bidi="ar-SA"/>
      </w:rPr>
    </w:lvl>
  </w:abstractNum>
  <w:abstractNum w:abstractNumId="2" w15:restartNumberingAfterBreak="0">
    <w:nsid w:val="75F469B0"/>
    <w:multiLevelType w:val="hybridMultilevel"/>
    <w:tmpl w:val="9F563DE6"/>
    <w:lvl w:ilvl="0" w:tplc="09461CA4">
      <w:numFmt w:val="bullet"/>
      <w:lvlText w:val=""/>
      <w:lvlJc w:val="left"/>
      <w:pPr>
        <w:ind w:left="385" w:hanging="285"/>
      </w:pPr>
      <w:rPr>
        <w:rFonts w:ascii="Wingdings" w:eastAsia="Wingdings" w:hAnsi="Wingdings" w:cs="Wingdings" w:hint="default"/>
        <w:color w:val="000000" w:themeColor="text1"/>
        <w:w w:val="100"/>
        <w:sz w:val="28"/>
        <w:szCs w:val="28"/>
        <w:lang w:val="es-ES" w:eastAsia="en-US" w:bidi="ar-SA"/>
      </w:rPr>
    </w:lvl>
    <w:lvl w:ilvl="1" w:tplc="30266662">
      <w:numFmt w:val="bullet"/>
      <w:lvlText w:val="•"/>
      <w:lvlJc w:val="left"/>
      <w:pPr>
        <w:ind w:left="800" w:hanging="285"/>
      </w:pPr>
      <w:rPr>
        <w:rFonts w:hint="default"/>
        <w:lang w:val="es-ES" w:eastAsia="en-US" w:bidi="ar-SA"/>
      </w:rPr>
    </w:lvl>
    <w:lvl w:ilvl="2" w:tplc="5E76533A">
      <w:numFmt w:val="bullet"/>
      <w:lvlText w:val="•"/>
      <w:lvlJc w:val="left"/>
      <w:pPr>
        <w:ind w:left="1726" w:hanging="285"/>
      </w:pPr>
      <w:rPr>
        <w:rFonts w:hint="default"/>
        <w:lang w:val="es-ES" w:eastAsia="en-US" w:bidi="ar-SA"/>
      </w:rPr>
    </w:lvl>
    <w:lvl w:ilvl="3" w:tplc="522A9FF2">
      <w:numFmt w:val="bullet"/>
      <w:lvlText w:val="•"/>
      <w:lvlJc w:val="left"/>
      <w:pPr>
        <w:ind w:left="2653" w:hanging="285"/>
      </w:pPr>
      <w:rPr>
        <w:rFonts w:hint="default"/>
        <w:lang w:val="es-ES" w:eastAsia="en-US" w:bidi="ar-SA"/>
      </w:rPr>
    </w:lvl>
    <w:lvl w:ilvl="4" w:tplc="7662E7D6">
      <w:numFmt w:val="bullet"/>
      <w:lvlText w:val="•"/>
      <w:lvlJc w:val="left"/>
      <w:pPr>
        <w:ind w:left="3580" w:hanging="285"/>
      </w:pPr>
      <w:rPr>
        <w:rFonts w:hint="default"/>
        <w:lang w:val="es-ES" w:eastAsia="en-US" w:bidi="ar-SA"/>
      </w:rPr>
    </w:lvl>
    <w:lvl w:ilvl="5" w:tplc="7B107208">
      <w:numFmt w:val="bullet"/>
      <w:lvlText w:val="•"/>
      <w:lvlJc w:val="left"/>
      <w:pPr>
        <w:ind w:left="4506" w:hanging="285"/>
      </w:pPr>
      <w:rPr>
        <w:rFonts w:hint="default"/>
        <w:lang w:val="es-ES" w:eastAsia="en-US" w:bidi="ar-SA"/>
      </w:rPr>
    </w:lvl>
    <w:lvl w:ilvl="6" w:tplc="F9E8F032">
      <w:numFmt w:val="bullet"/>
      <w:lvlText w:val="•"/>
      <w:lvlJc w:val="left"/>
      <w:pPr>
        <w:ind w:left="5433" w:hanging="285"/>
      </w:pPr>
      <w:rPr>
        <w:rFonts w:hint="default"/>
        <w:lang w:val="es-ES" w:eastAsia="en-US" w:bidi="ar-SA"/>
      </w:rPr>
    </w:lvl>
    <w:lvl w:ilvl="7" w:tplc="5FBC0228">
      <w:numFmt w:val="bullet"/>
      <w:lvlText w:val="•"/>
      <w:lvlJc w:val="left"/>
      <w:pPr>
        <w:ind w:left="6360" w:hanging="285"/>
      </w:pPr>
      <w:rPr>
        <w:rFonts w:hint="default"/>
        <w:lang w:val="es-ES" w:eastAsia="en-US" w:bidi="ar-SA"/>
      </w:rPr>
    </w:lvl>
    <w:lvl w:ilvl="8" w:tplc="1B9A62E2">
      <w:numFmt w:val="bullet"/>
      <w:lvlText w:val="•"/>
      <w:lvlJc w:val="left"/>
      <w:pPr>
        <w:ind w:left="7286" w:hanging="285"/>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23E63"/>
    <w:rsid w:val="0002090C"/>
    <w:rsid w:val="00323E63"/>
    <w:rsid w:val="0043065A"/>
    <w:rsid w:val="004B1582"/>
    <w:rsid w:val="00705821"/>
    <w:rsid w:val="00924D29"/>
    <w:rsid w:val="00AD2601"/>
    <w:rsid w:val="00AE5415"/>
    <w:rsid w:val="00B83E22"/>
    <w:rsid w:val="00DC47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E3961E"/>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ind w:left="5951"/>
    </w:pPr>
    <w:rPr>
      <w:b/>
      <w:bCs/>
      <w:sz w:val="20"/>
      <w:szCs w:val="20"/>
    </w:rPr>
  </w:style>
  <w:style w:type="paragraph" w:styleId="Prrafodelista">
    <w:name w:val="List Paragraph"/>
    <w:basedOn w:val="Normal"/>
    <w:uiPriority w:val="1"/>
    <w:qFormat/>
    <w:pPr>
      <w:ind w:left="100" w:firstLine="707"/>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unhideWhenUsed/>
    <w:rsid w:val="0002090C"/>
    <w:rPr>
      <w:sz w:val="20"/>
      <w:szCs w:val="20"/>
    </w:rPr>
  </w:style>
  <w:style w:type="character" w:customStyle="1" w:styleId="TextonotapieCar">
    <w:name w:val="Texto nota pie Car"/>
    <w:basedOn w:val="Fuentedeprrafopredeter"/>
    <w:link w:val="Textonotapie"/>
    <w:uiPriority w:val="99"/>
    <w:rsid w:val="0002090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209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ala-de-prensa/comunicados/lineamientos-impartidos-por-la-agencia-nacional-de-contratacion-publi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ala-de-prensa/comunicados/lineamientos-impartidos-por-la-agencia-nacional-de-contratacion-publi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73FD1-858D-49C2-B51F-74ADB153B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81A6A-C904-4A89-B009-C9AC53B889C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F4EBA82-8764-4FB4-B125-7AAB50A71E2F}">
  <ds:schemaRefs>
    <ds:schemaRef ds:uri="http://schemas.microsoft.com/sharepoint/v3/contenttype/forms"/>
  </ds:schemaRefs>
</ds:datastoreItem>
</file>

<file path=customXml/itemProps4.xml><?xml version="1.0" encoding="utf-8"?>
<ds:datastoreItem xmlns:ds="http://schemas.openxmlformats.org/officeDocument/2006/customXml" ds:itemID="{3E6988F4-3DA9-418F-AA3D-77BC98BE4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2624</Words>
  <Characters>14432</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2020-04-01T19:14:00Z</dcterms:created>
  <dcterms:modified xsi:type="dcterms:W3CDTF">2020-07-05T22:03:00Z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