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FD1" w:rsidRPr="00840537" w:rsidRDefault="00D30FD1">
      <w:pPr>
        <w:pStyle w:val="Textoindependiente"/>
        <w:rPr>
          <w:rFonts w:ascii="Times New Roman"/>
          <w:sz w:val="20"/>
        </w:rPr>
      </w:pPr>
    </w:p>
    <w:p w:rsidR="00107395" w:rsidRDefault="00107395" w:rsidP="00840537">
      <w:pPr>
        <w:pStyle w:val="Textoindependiente"/>
        <w:ind w:left="100"/>
        <w:jc w:val="both"/>
        <w:rPr>
          <w:b/>
        </w:rPr>
      </w:pPr>
      <w:r w:rsidRPr="00840537">
        <w:rPr>
          <w:b/>
        </w:rPr>
        <w:t xml:space="preserve">EMPRESAS SOCIALES DEL ESTADO – Naturaleza jurídica </w:t>
      </w:r>
    </w:p>
    <w:p w:rsidR="004B71BF" w:rsidRPr="00840537" w:rsidRDefault="004B71BF" w:rsidP="00840537">
      <w:pPr>
        <w:pStyle w:val="Textoindependiente"/>
        <w:ind w:left="100"/>
        <w:jc w:val="both"/>
        <w:rPr>
          <w:b/>
        </w:rPr>
      </w:pPr>
    </w:p>
    <w:p w:rsidR="00057381" w:rsidRPr="00840537" w:rsidRDefault="00107395" w:rsidP="00840537">
      <w:pPr>
        <w:pStyle w:val="Textoindependiente"/>
        <w:ind w:left="100"/>
        <w:jc w:val="both"/>
        <w:rPr>
          <w:sz w:val="20"/>
          <w:szCs w:val="20"/>
        </w:rPr>
      </w:pPr>
      <w:r w:rsidRPr="00840537">
        <w:rPr>
          <w:sz w:val="20"/>
          <w:szCs w:val="20"/>
        </w:rPr>
        <w:t>A la luz del artículo 194 de la Ley 100 de 1993, las Empresas Sociales del Estado son entidades públicas descentralizadas de carácter especial, con personería jurídica, patrimonio propio y autonomía administrativa, creadas por el legislador o por las asambleas departamentales y concejos municipales, con la finalidad de que Nación o las entidades territoriales presten directamente los servicios de salud.</w:t>
      </w:r>
      <w:r w:rsidR="00057381" w:rsidRPr="00840537">
        <w:rPr>
          <w:sz w:val="20"/>
          <w:szCs w:val="20"/>
        </w:rPr>
        <w:t xml:space="preserve"> </w:t>
      </w:r>
    </w:p>
    <w:p w:rsidR="00107395" w:rsidRDefault="00057381" w:rsidP="00840537">
      <w:pPr>
        <w:pStyle w:val="Textoindependiente"/>
        <w:ind w:left="100"/>
        <w:jc w:val="both"/>
        <w:rPr>
          <w:sz w:val="20"/>
          <w:szCs w:val="20"/>
        </w:rPr>
      </w:pPr>
      <w:r w:rsidRPr="00840537">
        <w:rPr>
          <w:sz w:val="20"/>
          <w:szCs w:val="20"/>
        </w:rPr>
        <w:t>L</w:t>
      </w:r>
      <w:r w:rsidR="00107395" w:rsidRPr="00840537">
        <w:rPr>
          <w:sz w:val="20"/>
          <w:szCs w:val="20"/>
        </w:rPr>
        <w:t>as Empresas Sociales del Estado hacen parte del sector descentralizado por servicios, tanto en el orden nacional, como departamental, municipal o distrital, según el caso.</w:t>
      </w:r>
    </w:p>
    <w:p w:rsidR="004B71BF" w:rsidRPr="00840537" w:rsidRDefault="004B71BF" w:rsidP="00840537">
      <w:pPr>
        <w:pStyle w:val="Textoindependiente"/>
        <w:ind w:left="100"/>
        <w:jc w:val="both"/>
        <w:rPr>
          <w:sz w:val="20"/>
          <w:szCs w:val="20"/>
        </w:rPr>
      </w:pPr>
    </w:p>
    <w:p w:rsidR="004B71BF" w:rsidRDefault="00652749" w:rsidP="00840537">
      <w:pPr>
        <w:pStyle w:val="Textoindependiente"/>
        <w:ind w:left="100"/>
        <w:jc w:val="both"/>
        <w:rPr>
          <w:b/>
        </w:rPr>
      </w:pPr>
      <w:r>
        <w:rPr>
          <w:b/>
        </w:rPr>
        <w:t xml:space="preserve">LEY DE GARANTÍAS ELECTORALES </w:t>
      </w:r>
      <w:r w:rsidR="00107395" w:rsidRPr="00840537">
        <w:rPr>
          <w:b/>
        </w:rPr>
        <w:t xml:space="preserve">– Prohibición </w:t>
      </w:r>
      <w:r w:rsidRPr="00840537">
        <w:rPr>
          <w:b/>
        </w:rPr>
        <w:t>–</w:t>
      </w:r>
      <w:r>
        <w:rPr>
          <w:b/>
        </w:rPr>
        <w:t xml:space="preserve"> Suscripción </w:t>
      </w:r>
      <w:r w:rsidRPr="00840537">
        <w:rPr>
          <w:b/>
        </w:rPr>
        <w:t>–</w:t>
      </w:r>
      <w:r>
        <w:rPr>
          <w:b/>
        </w:rPr>
        <w:t xml:space="preserve"> Contratos interadministrativos </w:t>
      </w:r>
      <w:r w:rsidRPr="00840537">
        <w:rPr>
          <w:b/>
        </w:rPr>
        <w:t>–</w:t>
      </w:r>
      <w:r>
        <w:rPr>
          <w:b/>
        </w:rPr>
        <w:t xml:space="preserve"> C</w:t>
      </w:r>
      <w:r w:rsidR="00107395" w:rsidRPr="00840537">
        <w:rPr>
          <w:b/>
        </w:rPr>
        <w:t>onvenios interadministrativos</w:t>
      </w:r>
    </w:p>
    <w:p w:rsidR="00107395" w:rsidRPr="00840537" w:rsidRDefault="00107395" w:rsidP="00840537">
      <w:pPr>
        <w:pStyle w:val="Textoindependiente"/>
        <w:ind w:left="100"/>
        <w:jc w:val="both"/>
        <w:rPr>
          <w:b/>
        </w:rPr>
      </w:pPr>
      <w:r w:rsidRPr="00840537">
        <w:rPr>
          <w:b/>
        </w:rPr>
        <w:t xml:space="preserve"> </w:t>
      </w:r>
    </w:p>
    <w:p w:rsidR="00057381" w:rsidRDefault="00107395" w:rsidP="00840537">
      <w:pPr>
        <w:pStyle w:val="Textoindependiente"/>
        <w:ind w:left="100"/>
        <w:jc w:val="both"/>
        <w:rPr>
          <w:sz w:val="20"/>
          <w:szCs w:val="20"/>
        </w:rPr>
      </w:pPr>
      <w:r w:rsidRPr="00840537">
        <w:rPr>
          <w:sz w:val="20"/>
          <w:szCs w:val="20"/>
        </w:rPr>
        <w:t xml:space="preserve">El parágrafo del artículo 38 de la Ley 996 de 2005, </w:t>
      </w:r>
      <w:r w:rsidR="001C2186">
        <w:rPr>
          <w:sz w:val="20"/>
          <w:szCs w:val="20"/>
        </w:rPr>
        <w:t>[</w:t>
      </w:r>
      <w:r w:rsidRPr="00840537">
        <w:rPr>
          <w:sz w:val="20"/>
          <w:szCs w:val="20"/>
        </w:rPr>
        <w:t>…</w:t>
      </w:r>
      <w:r w:rsidR="001C2186">
        <w:rPr>
          <w:sz w:val="20"/>
          <w:szCs w:val="20"/>
        </w:rPr>
        <w:t>]</w:t>
      </w:r>
      <w:r w:rsidRPr="00840537">
        <w:rPr>
          <w:sz w:val="20"/>
          <w:szCs w:val="20"/>
        </w:rPr>
        <w:t xml:space="preserve">  consagra una prohibición para gobernadores, alcaldes, secretarios, gerentes y directores de entidades del orden municipal, departamental o distrital, para celebrar convenios o contratos interadministrativos para la ejecución de recursos públicos dentro de los cuatro (4) meses anteriores a cualquier elección</w:t>
      </w:r>
      <w:r w:rsidR="00057381" w:rsidRPr="00840537">
        <w:rPr>
          <w:sz w:val="20"/>
          <w:szCs w:val="20"/>
        </w:rPr>
        <w:t xml:space="preserve">. </w:t>
      </w:r>
    </w:p>
    <w:p w:rsidR="004B71BF" w:rsidRPr="00840537" w:rsidRDefault="004B71BF" w:rsidP="00840537">
      <w:pPr>
        <w:pStyle w:val="Textoindependiente"/>
        <w:ind w:left="100"/>
        <w:jc w:val="both"/>
        <w:rPr>
          <w:sz w:val="20"/>
          <w:szCs w:val="20"/>
        </w:rPr>
      </w:pPr>
    </w:p>
    <w:p w:rsidR="00107395" w:rsidRDefault="00107395" w:rsidP="00840537">
      <w:pPr>
        <w:pStyle w:val="Textoindependiente"/>
        <w:ind w:left="100"/>
        <w:jc w:val="both"/>
        <w:rPr>
          <w:sz w:val="20"/>
          <w:szCs w:val="20"/>
        </w:rPr>
      </w:pPr>
      <w:r w:rsidRPr="00840537">
        <w:rPr>
          <w:sz w:val="20"/>
          <w:szCs w:val="20"/>
        </w:rPr>
        <w:t>Lo anterior quiere decir que los gobernadores, alcaldes distritales y municipales, secretarios de despacho, gerentes y directores de entidades descentralizadas del orden municipal, departamental o distrital, tienen prohibido, a partir del día 27 de junio y hasta el 27 de octubre de la actual vigencia fiscal, celebrar convenios o contratos interadministrativos para la ejecución de recursos públicos.</w:t>
      </w:r>
    </w:p>
    <w:p w:rsidR="004B71BF" w:rsidRPr="00840537" w:rsidRDefault="004B71BF" w:rsidP="00840537">
      <w:pPr>
        <w:pStyle w:val="Textoindependiente"/>
        <w:ind w:left="100"/>
        <w:jc w:val="both"/>
        <w:rPr>
          <w:sz w:val="20"/>
          <w:szCs w:val="20"/>
        </w:rPr>
      </w:pPr>
    </w:p>
    <w:p w:rsidR="00107395" w:rsidRDefault="00107395" w:rsidP="00840537">
      <w:pPr>
        <w:pStyle w:val="Textoindependiente"/>
        <w:ind w:left="100"/>
        <w:jc w:val="both"/>
        <w:rPr>
          <w:b/>
        </w:rPr>
      </w:pPr>
      <w:r w:rsidRPr="00840537">
        <w:rPr>
          <w:b/>
        </w:rPr>
        <w:t xml:space="preserve">CONVENIOS Y/O CONTRATOS INTERADMINISTRATIVOS – Definición – Naturaleza jurídica </w:t>
      </w:r>
    </w:p>
    <w:p w:rsidR="004B71BF" w:rsidRPr="00840537" w:rsidRDefault="004B71BF" w:rsidP="00840537">
      <w:pPr>
        <w:pStyle w:val="Textoindependiente"/>
        <w:ind w:left="100"/>
        <w:jc w:val="both"/>
        <w:rPr>
          <w:b/>
        </w:rPr>
      </w:pPr>
    </w:p>
    <w:p w:rsidR="00057381" w:rsidRDefault="00107395" w:rsidP="00840537">
      <w:pPr>
        <w:pStyle w:val="Textoindependiente"/>
        <w:ind w:left="100"/>
        <w:jc w:val="both"/>
        <w:rPr>
          <w:sz w:val="20"/>
          <w:szCs w:val="20"/>
        </w:rPr>
      </w:pPr>
      <w:r w:rsidRPr="00840537">
        <w:rPr>
          <w:sz w:val="20"/>
          <w:szCs w:val="20"/>
        </w:rPr>
        <w:t>El contrato o el convenio interadministrativo fue creado por la Ley 80 de 1993 y aunque no lo definió ni lo desarrolló, el Decreto 1082 de 2015, “por medio del cual se expide el Decreto único reglamentario del sector administrativo de planeación nacional”, los califica como aquellos contratos celebrados</w:t>
      </w:r>
      <w:r w:rsidR="00057381" w:rsidRPr="00840537">
        <w:rPr>
          <w:sz w:val="20"/>
          <w:szCs w:val="20"/>
        </w:rPr>
        <w:t xml:space="preserve"> entre entidades estatales. </w:t>
      </w:r>
    </w:p>
    <w:p w:rsidR="004B71BF" w:rsidRPr="00840537" w:rsidRDefault="004B71BF" w:rsidP="00840537">
      <w:pPr>
        <w:pStyle w:val="Textoindependiente"/>
        <w:ind w:left="100"/>
        <w:jc w:val="both"/>
        <w:rPr>
          <w:sz w:val="20"/>
          <w:szCs w:val="20"/>
        </w:rPr>
      </w:pPr>
    </w:p>
    <w:p w:rsidR="00107395" w:rsidRDefault="00057381" w:rsidP="00840537">
      <w:pPr>
        <w:pStyle w:val="Textoindependiente"/>
        <w:ind w:left="100"/>
        <w:jc w:val="both"/>
        <w:rPr>
          <w:sz w:val="20"/>
          <w:szCs w:val="20"/>
        </w:rPr>
      </w:pPr>
      <w:r w:rsidRPr="00840537">
        <w:rPr>
          <w:sz w:val="20"/>
          <w:szCs w:val="20"/>
        </w:rPr>
        <w:t>E</w:t>
      </w:r>
      <w:r w:rsidR="00107395" w:rsidRPr="00840537">
        <w:rPr>
          <w:sz w:val="20"/>
          <w:szCs w:val="20"/>
        </w:rPr>
        <w:t>l contrato o convenio interadministrativo es aquel acuerdo en el que concurre la voluntad de dos o más personas jurídicas de derecho público con la finalidad de cumplir, en el marco de sus objetivos misionales y sus competencias, con los fines del Estado.</w:t>
      </w:r>
    </w:p>
    <w:p w:rsidR="004B71BF" w:rsidRPr="00840537" w:rsidRDefault="004B71BF" w:rsidP="00840537">
      <w:pPr>
        <w:pStyle w:val="Textoindependiente"/>
        <w:ind w:left="100"/>
        <w:jc w:val="both"/>
        <w:rPr>
          <w:sz w:val="20"/>
          <w:szCs w:val="20"/>
        </w:rPr>
      </w:pPr>
    </w:p>
    <w:p w:rsidR="004B71BF" w:rsidRDefault="00107395" w:rsidP="00840537">
      <w:pPr>
        <w:pStyle w:val="Textoindependiente"/>
        <w:ind w:left="100"/>
        <w:jc w:val="both"/>
        <w:rPr>
          <w:b/>
        </w:rPr>
      </w:pPr>
      <w:r w:rsidRPr="00840537">
        <w:rPr>
          <w:b/>
        </w:rPr>
        <w:t xml:space="preserve">CONVENIOS Y/O CONTRATOS INTERADMINISTRATIVOS </w:t>
      </w:r>
      <w:r w:rsidR="00840537" w:rsidRPr="00840537">
        <w:rPr>
          <w:b/>
        </w:rPr>
        <w:t>–</w:t>
      </w:r>
      <w:r w:rsidRPr="00840537">
        <w:rPr>
          <w:b/>
        </w:rPr>
        <w:t xml:space="preserve"> Partes </w:t>
      </w:r>
      <w:r w:rsidR="00652749" w:rsidRPr="00840537">
        <w:rPr>
          <w:b/>
        </w:rPr>
        <w:t>–</w:t>
      </w:r>
      <w:r w:rsidR="00652749">
        <w:rPr>
          <w:b/>
        </w:rPr>
        <w:t xml:space="preserve"> Entidades estatales </w:t>
      </w:r>
      <w:r w:rsidR="00652749" w:rsidRPr="00840537">
        <w:rPr>
          <w:b/>
        </w:rPr>
        <w:t>–</w:t>
      </w:r>
      <w:r w:rsidR="00652749">
        <w:rPr>
          <w:b/>
        </w:rPr>
        <w:t xml:space="preserve"> Alcance </w:t>
      </w:r>
    </w:p>
    <w:p w:rsidR="00652749" w:rsidRPr="00840537" w:rsidRDefault="00652749" w:rsidP="00840537">
      <w:pPr>
        <w:pStyle w:val="Textoindependiente"/>
        <w:ind w:left="100"/>
        <w:jc w:val="both"/>
        <w:rPr>
          <w:b/>
        </w:rPr>
      </w:pPr>
    </w:p>
    <w:p w:rsidR="00107395" w:rsidRDefault="00107395" w:rsidP="00840537">
      <w:pPr>
        <w:pStyle w:val="Textoindependiente"/>
        <w:ind w:left="100"/>
        <w:jc w:val="both"/>
        <w:rPr>
          <w:sz w:val="20"/>
          <w:szCs w:val="20"/>
        </w:rPr>
      </w:pPr>
      <w:r w:rsidRPr="00840537">
        <w:rPr>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p>
    <w:p w:rsidR="004B71BF" w:rsidRPr="00840537" w:rsidRDefault="004B71BF" w:rsidP="00840537">
      <w:pPr>
        <w:pStyle w:val="Textoindependiente"/>
        <w:ind w:left="100"/>
        <w:jc w:val="both"/>
        <w:rPr>
          <w:sz w:val="20"/>
          <w:szCs w:val="20"/>
        </w:rPr>
      </w:pPr>
    </w:p>
    <w:p w:rsidR="00107395" w:rsidRDefault="00107395" w:rsidP="00840537">
      <w:pPr>
        <w:pStyle w:val="Textoindependiente"/>
        <w:ind w:left="100"/>
        <w:jc w:val="both"/>
        <w:rPr>
          <w:b/>
        </w:rPr>
      </w:pPr>
      <w:r w:rsidRPr="00840537">
        <w:rPr>
          <w:b/>
        </w:rPr>
        <w:t>EMPRESAS SOCIALES DEL ESTADO</w:t>
      </w:r>
      <w:r w:rsidR="00840537" w:rsidRPr="00840537">
        <w:rPr>
          <w:b/>
        </w:rPr>
        <w:t xml:space="preserve"> – </w:t>
      </w:r>
      <w:r w:rsidR="00652749">
        <w:rPr>
          <w:b/>
        </w:rPr>
        <w:t xml:space="preserve">Contrato de prestación de servicios de apoyo a la gestión </w:t>
      </w:r>
      <w:r w:rsidR="00652749" w:rsidRPr="00840537">
        <w:rPr>
          <w:b/>
        </w:rPr>
        <w:t>–</w:t>
      </w:r>
      <w:r w:rsidR="00652749">
        <w:rPr>
          <w:b/>
        </w:rPr>
        <w:t xml:space="preserve"> </w:t>
      </w:r>
      <w:r w:rsidR="00840537" w:rsidRPr="00840537">
        <w:rPr>
          <w:b/>
        </w:rPr>
        <w:t xml:space="preserve">Prohibición </w:t>
      </w:r>
      <w:r w:rsidR="00652749" w:rsidRPr="00840537">
        <w:rPr>
          <w:b/>
        </w:rPr>
        <w:t>–</w:t>
      </w:r>
      <w:r w:rsidR="00652749">
        <w:rPr>
          <w:b/>
        </w:rPr>
        <w:t xml:space="preserve"> </w:t>
      </w:r>
      <w:r w:rsidR="002304FE">
        <w:rPr>
          <w:b/>
        </w:rPr>
        <w:t xml:space="preserve">Ley de garantías electorales </w:t>
      </w:r>
      <w:r w:rsidR="002304FE">
        <w:rPr>
          <w:b/>
        </w:rPr>
        <w:t>–</w:t>
      </w:r>
      <w:r w:rsidR="002304FE">
        <w:rPr>
          <w:b/>
        </w:rPr>
        <w:t xml:space="preserve"> </w:t>
      </w:r>
      <w:bookmarkStart w:id="0" w:name="_GoBack"/>
      <w:bookmarkEnd w:id="0"/>
      <w:r w:rsidR="00652749">
        <w:rPr>
          <w:b/>
        </w:rPr>
        <w:t>Alcance</w:t>
      </w:r>
    </w:p>
    <w:p w:rsidR="004B71BF" w:rsidRPr="00840537" w:rsidRDefault="004B71BF" w:rsidP="00840537">
      <w:pPr>
        <w:pStyle w:val="Textoindependiente"/>
        <w:ind w:left="100"/>
        <w:jc w:val="both"/>
        <w:rPr>
          <w:b/>
        </w:rPr>
      </w:pPr>
    </w:p>
    <w:p w:rsidR="00107395" w:rsidRPr="00840537" w:rsidRDefault="00107395" w:rsidP="00840537">
      <w:pPr>
        <w:pStyle w:val="Textoindependiente"/>
        <w:ind w:left="100"/>
        <w:jc w:val="both"/>
        <w:rPr>
          <w:sz w:val="20"/>
          <w:szCs w:val="20"/>
        </w:rPr>
      </w:pPr>
      <w:r w:rsidRPr="00840537">
        <w:rPr>
          <w:sz w:val="20"/>
          <w:szCs w:val="20"/>
        </w:rPr>
        <w:t xml:space="preserve">Una Empresa Social del Estado, del orden territorial, sí puede celebrar contratos de prestación de servicios de apoyo a la gestión, durante el período comprendido entre el 27 de junio y 27 de octubre </w:t>
      </w:r>
      <w:r w:rsidRPr="00840537">
        <w:rPr>
          <w:sz w:val="20"/>
          <w:szCs w:val="20"/>
        </w:rPr>
        <w:lastRenderedPageBreak/>
        <w:t>de 2019, siempre que no se trate de un contrato o convenio interadministrativo.</w:t>
      </w:r>
    </w:p>
    <w:p w:rsidR="00107395" w:rsidRPr="00840537" w:rsidRDefault="00107395" w:rsidP="00840537">
      <w:pPr>
        <w:jc w:val="both"/>
        <w:rPr>
          <w:sz w:val="21"/>
          <w:szCs w:val="21"/>
        </w:rPr>
      </w:pPr>
    </w:p>
    <w:p w:rsidR="00DA1AE5" w:rsidRPr="00840537" w:rsidRDefault="00A86177">
      <w:pPr>
        <w:pStyle w:val="Textoindependiente"/>
        <w:spacing w:before="215"/>
        <w:ind w:left="100"/>
      </w:pPr>
      <w:r w:rsidRPr="00840537">
        <w:t>Bogotá D.C., 25/09/2019 Hora 16:2:51s</w:t>
      </w:r>
    </w:p>
    <w:p w:rsidR="00DA1AE5" w:rsidRPr="001C2186" w:rsidRDefault="00A86177">
      <w:pPr>
        <w:pStyle w:val="Textoindependiente"/>
        <w:spacing w:before="37"/>
        <w:ind w:left="5714"/>
        <w:rPr>
          <w:b/>
        </w:rPr>
      </w:pPr>
      <w:r w:rsidRPr="001C2186">
        <w:rPr>
          <w:b/>
        </w:rPr>
        <w:t>N° Radicado: 2201913000007127</w:t>
      </w:r>
    </w:p>
    <w:p w:rsidR="00DA1AE5" w:rsidRPr="00840537" w:rsidRDefault="00DA1AE5">
      <w:pPr>
        <w:pStyle w:val="Textoindependiente"/>
        <w:spacing w:before="7"/>
        <w:rPr>
          <w:sz w:val="20"/>
        </w:rPr>
      </w:pPr>
    </w:p>
    <w:p w:rsidR="00DA1AE5" w:rsidRPr="00840537" w:rsidRDefault="00A86177">
      <w:pPr>
        <w:pStyle w:val="Textoindependiente"/>
        <w:spacing w:before="93"/>
        <w:ind w:left="100"/>
      </w:pPr>
      <w:r w:rsidRPr="00840537">
        <w:t>Señor</w:t>
      </w:r>
    </w:p>
    <w:p w:rsidR="00DA1AE5" w:rsidRPr="00840537" w:rsidRDefault="00A86177">
      <w:pPr>
        <w:pStyle w:val="Textoindependiente"/>
        <w:spacing w:before="37" w:line="278" w:lineRule="auto"/>
        <w:ind w:left="100" w:right="5355"/>
      </w:pPr>
      <w:r w:rsidRPr="00840537">
        <w:rPr>
          <w:b/>
        </w:rPr>
        <w:t>Cristián Andrés Sánchez Carvajal</w:t>
      </w:r>
      <w:r w:rsidRPr="00840537">
        <w:t xml:space="preserve"> Villa del Rosario, Norte de Santander</w:t>
      </w:r>
    </w:p>
    <w:p w:rsidR="00DA1AE5" w:rsidRPr="00840537" w:rsidRDefault="00DA1AE5">
      <w:pPr>
        <w:pStyle w:val="Textoindependiente"/>
        <w:rPr>
          <w:sz w:val="24"/>
        </w:rPr>
      </w:pPr>
    </w:p>
    <w:p w:rsidR="00DA1AE5" w:rsidRPr="00840537" w:rsidRDefault="00DA1AE5">
      <w:pPr>
        <w:pStyle w:val="Textoindependiente"/>
        <w:spacing w:before="3"/>
        <w:rPr>
          <w:sz w:val="26"/>
        </w:rPr>
      </w:pPr>
    </w:p>
    <w:p w:rsidR="00DA1AE5" w:rsidRPr="00840537" w:rsidRDefault="00A86177">
      <w:pPr>
        <w:pStyle w:val="Textoindependiente"/>
        <w:tabs>
          <w:tab w:val="left" w:pos="3640"/>
        </w:tabs>
        <w:ind w:left="100"/>
      </w:pPr>
      <w:r w:rsidRPr="00840537">
        <w:t>Radicación:</w:t>
      </w:r>
      <w:r w:rsidRPr="00840537">
        <w:tab/>
        <w:t>Respuesta a consulta #</w:t>
      </w:r>
      <w:r w:rsidRPr="00840537">
        <w:rPr>
          <w:spacing w:val="-6"/>
        </w:rPr>
        <w:t xml:space="preserve"> </w:t>
      </w:r>
      <w:r w:rsidRPr="00840537">
        <w:t>4201913000006355</w:t>
      </w:r>
    </w:p>
    <w:p w:rsidR="00DA1AE5" w:rsidRPr="00840537" w:rsidRDefault="00A86177">
      <w:pPr>
        <w:pStyle w:val="Textoindependiente"/>
        <w:tabs>
          <w:tab w:val="left" w:pos="3640"/>
        </w:tabs>
        <w:spacing w:before="37"/>
        <w:ind w:left="100"/>
      </w:pPr>
      <w:r w:rsidRPr="00840537">
        <w:t>Temas:</w:t>
      </w:r>
      <w:r w:rsidRPr="00840537">
        <w:tab/>
        <w:t>Aplicación de Ley de</w:t>
      </w:r>
      <w:r w:rsidRPr="00840537">
        <w:rPr>
          <w:spacing w:val="-7"/>
        </w:rPr>
        <w:t xml:space="preserve"> </w:t>
      </w:r>
      <w:r w:rsidRPr="00840537">
        <w:t>Garantías</w:t>
      </w:r>
    </w:p>
    <w:p w:rsidR="00DA1AE5" w:rsidRPr="00840537" w:rsidRDefault="00A86177">
      <w:pPr>
        <w:pStyle w:val="Textoindependiente"/>
        <w:tabs>
          <w:tab w:val="left" w:pos="3640"/>
        </w:tabs>
        <w:spacing w:before="37"/>
        <w:ind w:left="100"/>
      </w:pPr>
      <w:r w:rsidRPr="00840537">
        <w:t>Tipo de</w:t>
      </w:r>
      <w:r w:rsidRPr="00840537">
        <w:rPr>
          <w:spacing w:val="-6"/>
        </w:rPr>
        <w:t xml:space="preserve"> </w:t>
      </w:r>
      <w:r w:rsidRPr="00840537">
        <w:t>asunto</w:t>
      </w:r>
      <w:r w:rsidRPr="00840537">
        <w:rPr>
          <w:spacing w:val="-4"/>
        </w:rPr>
        <w:t xml:space="preserve"> </w:t>
      </w:r>
      <w:r w:rsidRPr="00840537">
        <w:t>consultado:</w:t>
      </w:r>
      <w:r w:rsidRPr="00840537">
        <w:tab/>
        <w:t>Aplicación de Ley de Garantías a las</w:t>
      </w:r>
      <w:r w:rsidRPr="00840537">
        <w:rPr>
          <w:spacing w:val="-13"/>
        </w:rPr>
        <w:t xml:space="preserve"> </w:t>
      </w:r>
      <w:r w:rsidRPr="00840537">
        <w:t>Empresas</w:t>
      </w:r>
    </w:p>
    <w:p w:rsidR="00DA1AE5" w:rsidRPr="00840537" w:rsidRDefault="00A86177">
      <w:pPr>
        <w:pStyle w:val="Textoindependiente"/>
        <w:spacing w:before="40"/>
        <w:ind w:left="3641"/>
      </w:pPr>
      <w:r w:rsidRPr="00840537">
        <w:t>Sociales del Estado</w:t>
      </w:r>
    </w:p>
    <w:p w:rsidR="00DA1AE5" w:rsidRPr="00840537" w:rsidRDefault="00DA1AE5">
      <w:pPr>
        <w:pStyle w:val="Textoindependiente"/>
        <w:rPr>
          <w:sz w:val="24"/>
        </w:rPr>
      </w:pPr>
    </w:p>
    <w:p w:rsidR="00DA1AE5" w:rsidRPr="00840537" w:rsidRDefault="00DA1AE5">
      <w:pPr>
        <w:pStyle w:val="Textoindependiente"/>
        <w:spacing w:before="10"/>
        <w:rPr>
          <w:sz w:val="29"/>
        </w:rPr>
      </w:pPr>
    </w:p>
    <w:p w:rsidR="00DA1AE5" w:rsidRPr="00840537" w:rsidRDefault="00A86177">
      <w:pPr>
        <w:pStyle w:val="Textoindependiente"/>
        <w:ind w:left="100"/>
      </w:pPr>
      <w:r w:rsidRPr="00840537">
        <w:t>Estimado señor Sánchez,</w:t>
      </w:r>
    </w:p>
    <w:p w:rsidR="00DA1AE5" w:rsidRPr="00840537" w:rsidRDefault="00DA1AE5">
      <w:pPr>
        <w:pStyle w:val="Textoindependiente"/>
        <w:spacing w:before="7"/>
        <w:rPr>
          <w:sz w:val="28"/>
        </w:rPr>
      </w:pPr>
    </w:p>
    <w:p w:rsidR="00DA1AE5" w:rsidRPr="00840537" w:rsidRDefault="00A86177">
      <w:pPr>
        <w:pStyle w:val="Textoindependiente"/>
        <w:spacing w:line="276" w:lineRule="auto"/>
        <w:ind w:left="100" w:right="105"/>
        <w:jc w:val="both"/>
      </w:pPr>
      <w:r w:rsidRPr="00840537">
        <w:t>La Agencia Nacional de Contratación Pública - Colombia Compra Eficiente responde su consulta del 17 de septiembre de 2019, en ejercicio de la competencia otorgada por el numeral 5 del artículo 3 y el numeral 8 del articulo 11 del Decreto 4170 de 2011.</w:t>
      </w:r>
    </w:p>
    <w:p w:rsidR="00DA1AE5" w:rsidRPr="00840537" w:rsidRDefault="00DA1AE5">
      <w:pPr>
        <w:pStyle w:val="Textoindependiente"/>
        <w:spacing w:before="3"/>
        <w:rPr>
          <w:sz w:val="25"/>
        </w:rPr>
      </w:pPr>
    </w:p>
    <w:p w:rsidR="00DA1AE5" w:rsidRPr="00840537" w:rsidRDefault="00A86177">
      <w:pPr>
        <w:pStyle w:val="Ttulo1"/>
        <w:numPr>
          <w:ilvl w:val="0"/>
          <w:numId w:val="1"/>
        </w:numPr>
        <w:tabs>
          <w:tab w:val="left" w:pos="526"/>
        </w:tabs>
        <w:ind w:hanging="361"/>
        <w:jc w:val="both"/>
      </w:pPr>
      <w:r w:rsidRPr="00840537">
        <w:t>Problemas</w:t>
      </w:r>
      <w:r w:rsidRPr="00840537">
        <w:rPr>
          <w:spacing w:val="-2"/>
        </w:rPr>
        <w:t xml:space="preserve"> </w:t>
      </w:r>
      <w:r w:rsidRPr="00840537">
        <w:t>planteados</w:t>
      </w:r>
    </w:p>
    <w:p w:rsidR="00DA1AE5" w:rsidRPr="00840537" w:rsidRDefault="00DA1AE5">
      <w:pPr>
        <w:pStyle w:val="Textoindependiente"/>
        <w:spacing w:before="7"/>
        <w:rPr>
          <w:b/>
          <w:sz w:val="28"/>
        </w:rPr>
      </w:pPr>
    </w:p>
    <w:p w:rsidR="00DA1AE5" w:rsidRPr="00840537" w:rsidRDefault="00A86177">
      <w:pPr>
        <w:pStyle w:val="Textoindependiente"/>
        <w:spacing w:before="1" w:line="276" w:lineRule="auto"/>
        <w:ind w:left="100" w:right="104"/>
        <w:jc w:val="both"/>
      </w:pPr>
      <w:r w:rsidRPr="00840537">
        <w:t>El solicitante plantea tres interrogantes relacionados con la posibilidad jurídica de las Empresas Sociales del Estado -E.S.E.- para celebrar contratos en el período de vigencia de las prohibiciones que en materia de contratación estatal consagra la Ley de Garantías Electorales, comprendido entre el 27 de junio y 27 de octubre de 2019, los cuales se pueden sintetizar así: i) ¿puede una Empresa Social del Estado -E.S.E.- celebrar un contrato para la reestructuración de su planta de personal y la creación de nuevos</w:t>
      </w:r>
      <w:r w:rsidRPr="00840537">
        <w:rPr>
          <w:spacing w:val="-32"/>
        </w:rPr>
        <w:t xml:space="preserve"> </w:t>
      </w:r>
      <w:r w:rsidRPr="00840537">
        <w:t>cargos?;</w:t>
      </w:r>
    </w:p>
    <w:p w:rsidR="00DA1AE5" w:rsidRPr="00840537" w:rsidRDefault="00A86177">
      <w:pPr>
        <w:pStyle w:val="Textoindependiente"/>
        <w:spacing w:line="276" w:lineRule="auto"/>
        <w:ind w:left="100" w:right="109"/>
        <w:jc w:val="both"/>
      </w:pPr>
      <w:r w:rsidRPr="00840537">
        <w:t>ii) ¿puede una Empresa Social del Estado celebrar contratos de prestación de servicios de apoyo a la gestión?; y iii) ¿puede una Empresa Social del Estado celebrar contratos para la actualización de su manual de contratación?</w:t>
      </w:r>
    </w:p>
    <w:p w:rsidR="00DA1AE5" w:rsidRPr="00840537" w:rsidRDefault="00DA1AE5">
      <w:pPr>
        <w:pStyle w:val="Textoindependiente"/>
        <w:spacing w:before="4"/>
        <w:rPr>
          <w:sz w:val="25"/>
        </w:rPr>
      </w:pPr>
    </w:p>
    <w:p w:rsidR="00DA1AE5" w:rsidRPr="00840537" w:rsidRDefault="00A86177">
      <w:pPr>
        <w:pStyle w:val="Textoindependiente"/>
        <w:spacing w:line="276" w:lineRule="auto"/>
        <w:ind w:left="100" w:right="107"/>
        <w:jc w:val="both"/>
      </w:pPr>
      <w:r w:rsidRPr="00840537">
        <w:t>Estos interrogantes fueron planteados en el marco temporal de vigencia de la Ley 996 de 2005, para las elecciones que se celebrarán el 27 de octubre de 2019.</w:t>
      </w:r>
    </w:p>
    <w:p w:rsidR="00DA1AE5" w:rsidRPr="00840537" w:rsidRDefault="00DA1AE5">
      <w:pPr>
        <w:spacing w:line="276" w:lineRule="auto"/>
        <w:jc w:val="both"/>
        <w:sectPr w:rsidR="00DA1AE5" w:rsidRPr="00840537">
          <w:headerReference w:type="default" r:id="rId11"/>
          <w:footerReference w:type="default" r:id="rId12"/>
          <w:type w:val="continuous"/>
          <w:pgSz w:w="12240" w:h="15840"/>
          <w:pgMar w:top="1560" w:right="1500" w:bottom="2060" w:left="1600" w:header="737" w:footer="1880" w:gutter="0"/>
          <w:cols w:space="720"/>
        </w:sectPr>
      </w:pPr>
    </w:p>
    <w:p w:rsidR="00DA1AE5" w:rsidRPr="00840537" w:rsidRDefault="00DA1AE5">
      <w:pPr>
        <w:pStyle w:val="Textoindependiente"/>
        <w:rPr>
          <w:sz w:val="20"/>
        </w:rPr>
      </w:pPr>
    </w:p>
    <w:p w:rsidR="00DA1AE5" w:rsidRPr="00840537" w:rsidRDefault="00DA1AE5">
      <w:pPr>
        <w:pStyle w:val="Textoindependiente"/>
        <w:spacing w:before="5"/>
        <w:rPr>
          <w:sz w:val="16"/>
        </w:rPr>
      </w:pPr>
    </w:p>
    <w:p w:rsidR="00DA1AE5" w:rsidRPr="00840537" w:rsidRDefault="00A86177">
      <w:pPr>
        <w:pStyle w:val="Ttulo1"/>
        <w:numPr>
          <w:ilvl w:val="0"/>
          <w:numId w:val="1"/>
        </w:numPr>
        <w:tabs>
          <w:tab w:val="left" w:pos="343"/>
        </w:tabs>
        <w:spacing w:before="93"/>
        <w:ind w:left="343" w:hanging="243"/>
        <w:jc w:val="left"/>
      </w:pPr>
      <w:r w:rsidRPr="00840537">
        <w:t>Consideraciones</w:t>
      </w:r>
    </w:p>
    <w:p w:rsidR="00DA1AE5" w:rsidRPr="00840537" w:rsidRDefault="00DA1AE5">
      <w:pPr>
        <w:pStyle w:val="Textoindependiente"/>
        <w:spacing w:before="8"/>
        <w:rPr>
          <w:b/>
          <w:sz w:val="28"/>
        </w:rPr>
      </w:pPr>
    </w:p>
    <w:p w:rsidR="00DA1AE5" w:rsidRPr="00840537" w:rsidRDefault="00A86177">
      <w:pPr>
        <w:pStyle w:val="Textoindependiente"/>
        <w:spacing w:line="276" w:lineRule="auto"/>
        <w:ind w:left="100" w:right="110"/>
        <w:jc w:val="both"/>
      </w:pPr>
      <w:r w:rsidRPr="00840537">
        <w:t>Para resolver la presente consulta se llevará a cabo un análisis de los siguientes temas: i) Empresas Sociales del Estado; ii) la prohibición del parágrafo del artículo 38 de la Ley 966 de 2005 y iii) los contratos o convenios interadministrativos.</w:t>
      </w:r>
    </w:p>
    <w:p w:rsidR="00DA1AE5" w:rsidRPr="00840537" w:rsidRDefault="00DA1AE5">
      <w:pPr>
        <w:pStyle w:val="Textoindependiente"/>
        <w:spacing w:before="5"/>
        <w:rPr>
          <w:sz w:val="25"/>
        </w:rPr>
      </w:pPr>
    </w:p>
    <w:p w:rsidR="00DA1AE5" w:rsidRPr="00840537" w:rsidRDefault="00A86177">
      <w:pPr>
        <w:pStyle w:val="Ttulo1"/>
        <w:numPr>
          <w:ilvl w:val="1"/>
          <w:numId w:val="1"/>
        </w:numPr>
        <w:tabs>
          <w:tab w:val="left" w:pos="526"/>
        </w:tabs>
        <w:ind w:hanging="426"/>
      </w:pPr>
      <w:r w:rsidRPr="00840537">
        <w:t>Empresas Sociales del</w:t>
      </w:r>
      <w:r w:rsidRPr="00840537">
        <w:rPr>
          <w:spacing w:val="-5"/>
        </w:rPr>
        <w:t xml:space="preserve"> </w:t>
      </w:r>
      <w:r w:rsidRPr="00840537">
        <w:t>Estado</w:t>
      </w:r>
    </w:p>
    <w:p w:rsidR="00DA1AE5" w:rsidRPr="00840537" w:rsidRDefault="00DA1AE5">
      <w:pPr>
        <w:pStyle w:val="Textoindependiente"/>
        <w:spacing w:before="5"/>
        <w:rPr>
          <w:b/>
          <w:sz w:val="28"/>
        </w:rPr>
      </w:pPr>
    </w:p>
    <w:p w:rsidR="00DA1AE5" w:rsidRPr="00840537" w:rsidRDefault="00A86177">
      <w:pPr>
        <w:pStyle w:val="Textoindependiente"/>
        <w:spacing w:line="276" w:lineRule="auto"/>
        <w:ind w:left="100" w:right="108"/>
        <w:jc w:val="both"/>
      </w:pPr>
      <w:r w:rsidRPr="00840537">
        <w:t>A la luz del artículo 194 de la Ley 100 de 1993, las Empresas Sociales del Estado son entidades públicas descentralizadas de carácter especial, con personería jurídica, patrimonio propio y autonomía administrativa, creadas por el legislador o por las asambleas departamentales y concejos municipales, con la finalidad de que Nación o las entidades territoriales presten directamente los servicios de</w:t>
      </w:r>
      <w:r w:rsidRPr="00840537">
        <w:rPr>
          <w:spacing w:val="-14"/>
        </w:rPr>
        <w:t xml:space="preserve"> </w:t>
      </w:r>
      <w:r w:rsidRPr="00840537">
        <w:t>salud.</w:t>
      </w:r>
    </w:p>
    <w:p w:rsidR="00DA1AE5" w:rsidRPr="00840537" w:rsidRDefault="00DA1AE5">
      <w:pPr>
        <w:pStyle w:val="Textoindependiente"/>
        <w:spacing w:before="5"/>
        <w:rPr>
          <w:sz w:val="25"/>
        </w:rPr>
      </w:pPr>
    </w:p>
    <w:p w:rsidR="00DA1AE5" w:rsidRPr="00840537" w:rsidRDefault="00A86177">
      <w:pPr>
        <w:pStyle w:val="Textoindependiente"/>
        <w:spacing w:before="1" w:line="276" w:lineRule="auto"/>
        <w:ind w:left="100" w:right="111"/>
        <w:jc w:val="both"/>
      </w:pPr>
      <w:r w:rsidRPr="00840537">
        <w:t>De lo anterior, se puede colegir que las Empresas Sociales del Estado hacen parte del sector descentralizado por servicios, tanto en el orden nacional, como departamental, municipal o distrital, según el caso. Esta conclusión encuentra sustento en el literal d) del numeral 2 del artículo 38 y el artículo 68 de la Ley 489 de 1998</w:t>
      </w:r>
      <w:r w:rsidR="004B71BF">
        <w:rPr>
          <w:rStyle w:val="Refdenotaalpie"/>
        </w:rPr>
        <w:footnoteReference w:id="1"/>
      </w:r>
      <w:r w:rsidRPr="00840537">
        <w:t>.</w:t>
      </w:r>
    </w:p>
    <w:p w:rsidR="00DA1AE5" w:rsidRPr="00840537" w:rsidRDefault="00DA1AE5">
      <w:pPr>
        <w:pStyle w:val="Textoindependiente"/>
        <w:spacing w:before="1"/>
        <w:rPr>
          <w:sz w:val="25"/>
        </w:rPr>
      </w:pPr>
    </w:p>
    <w:p w:rsidR="00DA1AE5" w:rsidRPr="00840537" w:rsidRDefault="00A86177" w:rsidP="004B71BF">
      <w:pPr>
        <w:pStyle w:val="Textoindependiente"/>
        <w:spacing w:line="276" w:lineRule="auto"/>
        <w:ind w:left="100" w:right="110"/>
        <w:jc w:val="both"/>
        <w:rPr>
          <w:sz w:val="20"/>
        </w:rPr>
      </w:pPr>
      <w:r w:rsidRPr="00840537">
        <w:t>Asimismo, el artículo 83 de la Ley 489 de 1998 reitera que las Empresas Sociales del Estado pertenecen al sector descentralizado por servicios, en el nivel nacional y en el nivel territorial:</w:t>
      </w:r>
    </w:p>
    <w:p w:rsidR="00DA1AE5" w:rsidRPr="00840537" w:rsidRDefault="00DA1AE5">
      <w:pPr>
        <w:pStyle w:val="Textoindependiente"/>
        <w:spacing w:before="7"/>
        <w:rPr>
          <w:sz w:val="17"/>
        </w:rPr>
      </w:pPr>
    </w:p>
    <w:p w:rsidR="00DA1AE5" w:rsidRPr="00840537" w:rsidRDefault="00A86177">
      <w:pPr>
        <w:pStyle w:val="Textoindependiente"/>
        <w:spacing w:before="93"/>
        <w:ind w:left="805" w:right="816"/>
        <w:jc w:val="both"/>
      </w:pPr>
      <w:r w:rsidRPr="00840537">
        <w:t xml:space="preserve">Artículo 83.- Empresas sociales del Estado. Las empresas sociales del Estado, </w:t>
      </w:r>
      <w:r w:rsidRPr="00840537">
        <w:rPr>
          <w:b/>
        </w:rPr>
        <w:t xml:space="preserve">creadas por la Nación o por las entidades territoriales </w:t>
      </w:r>
      <w:r w:rsidRPr="00840537">
        <w:t xml:space="preserve">para la prestación en forma directa de servicios de salud, se sujetan al régimen </w:t>
      </w:r>
      <w:r w:rsidRPr="00840537">
        <w:lastRenderedPageBreak/>
        <w:t>previsto en la Ley 100 de 1993, la Ley 344 de 1996 y en la presente Ley en los aspectos no regulados por dichas leyes y a las normas que las complementen, sustituyan o adicionen. (Negrillas fuera de texto).</w:t>
      </w:r>
    </w:p>
    <w:p w:rsidR="00DA1AE5" w:rsidRPr="00840537" w:rsidRDefault="00DA1AE5">
      <w:pPr>
        <w:pStyle w:val="Textoindependiente"/>
        <w:spacing w:before="5"/>
        <w:rPr>
          <w:sz w:val="25"/>
        </w:rPr>
      </w:pPr>
    </w:p>
    <w:p w:rsidR="00DA1AE5" w:rsidRPr="00840537" w:rsidRDefault="00A86177">
      <w:pPr>
        <w:pStyle w:val="Textoindependiente"/>
        <w:spacing w:line="276" w:lineRule="auto"/>
        <w:ind w:left="100" w:right="113"/>
        <w:jc w:val="both"/>
      </w:pPr>
      <w:r w:rsidRPr="00840537">
        <w:t>La Sección Tercera del Consejo de Estado ha ratificado la naturaleza jurídica de las Empresas Sociales del Estado, en estos términos:</w:t>
      </w:r>
    </w:p>
    <w:p w:rsidR="00DA1AE5" w:rsidRPr="00840537" w:rsidRDefault="00DA1AE5">
      <w:pPr>
        <w:pStyle w:val="Textoindependiente"/>
        <w:spacing w:before="4"/>
        <w:rPr>
          <w:sz w:val="25"/>
        </w:rPr>
      </w:pPr>
    </w:p>
    <w:p w:rsidR="00DA1AE5" w:rsidRPr="00840537" w:rsidRDefault="00A86177">
      <w:pPr>
        <w:pStyle w:val="Textoindependiente"/>
        <w:spacing w:line="244" w:lineRule="auto"/>
        <w:ind w:left="805" w:right="816"/>
        <w:jc w:val="both"/>
      </w:pPr>
      <w:r w:rsidRPr="00840537">
        <w:t>Para al caso concreto,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w:t>
      </w:r>
      <w:r w:rsidR="004B71BF">
        <w:rPr>
          <w:rStyle w:val="Refdenotaalpie"/>
        </w:rPr>
        <w:footnoteReference w:id="2"/>
      </w:r>
      <w:r w:rsidRPr="00840537">
        <w:rPr>
          <w:vertAlign w:val="superscript"/>
        </w:rPr>
        <w:t>.</w:t>
      </w:r>
    </w:p>
    <w:p w:rsidR="00DA1AE5" w:rsidRPr="00840537" w:rsidRDefault="00DA1AE5">
      <w:pPr>
        <w:pStyle w:val="Textoindependiente"/>
        <w:spacing w:before="9"/>
        <w:rPr>
          <w:sz w:val="24"/>
        </w:rPr>
      </w:pPr>
    </w:p>
    <w:p w:rsidR="00DA1AE5" w:rsidRPr="00840537" w:rsidRDefault="00A86177">
      <w:pPr>
        <w:pStyle w:val="Textoindependiente"/>
        <w:spacing w:before="1" w:line="276" w:lineRule="auto"/>
        <w:ind w:left="100" w:right="112"/>
        <w:jc w:val="both"/>
      </w:pPr>
      <w:r w:rsidRPr="00840537">
        <w:t>En virtud de lo anterior, se concluye que las Empresas Sociales del Estado son entidades descentralizadas, que pueden ser del orden Municipal, Departamental o Distrital.</w:t>
      </w:r>
    </w:p>
    <w:p w:rsidR="00DA1AE5" w:rsidRPr="00840537" w:rsidRDefault="00DA1AE5">
      <w:pPr>
        <w:pStyle w:val="Textoindependiente"/>
        <w:spacing w:before="2"/>
        <w:rPr>
          <w:sz w:val="25"/>
        </w:rPr>
      </w:pPr>
    </w:p>
    <w:p w:rsidR="00DA1AE5" w:rsidRPr="00840537" w:rsidRDefault="00A86177">
      <w:pPr>
        <w:pStyle w:val="Ttulo1"/>
        <w:numPr>
          <w:ilvl w:val="1"/>
          <w:numId w:val="1"/>
        </w:numPr>
        <w:tabs>
          <w:tab w:val="left" w:pos="526"/>
        </w:tabs>
        <w:spacing w:before="1"/>
        <w:ind w:hanging="426"/>
      </w:pPr>
      <w:r w:rsidRPr="00840537">
        <w:t>La prohibición del parágrafo del artículo 38 de la Ley 996 de</w:t>
      </w:r>
      <w:r w:rsidRPr="00840537">
        <w:rPr>
          <w:spacing w:val="-18"/>
        </w:rPr>
        <w:t xml:space="preserve"> </w:t>
      </w:r>
      <w:r w:rsidRPr="00840537">
        <w:t>2005</w:t>
      </w:r>
    </w:p>
    <w:p w:rsidR="00DA1AE5" w:rsidRPr="00840537" w:rsidRDefault="00DA1AE5">
      <w:pPr>
        <w:pStyle w:val="Textoindependiente"/>
        <w:spacing w:before="5"/>
        <w:rPr>
          <w:b/>
          <w:sz w:val="28"/>
        </w:rPr>
      </w:pPr>
    </w:p>
    <w:p w:rsidR="00DA1AE5" w:rsidRPr="00840537" w:rsidRDefault="00A86177">
      <w:pPr>
        <w:pStyle w:val="Textoindependiente"/>
        <w:spacing w:line="276" w:lineRule="auto"/>
        <w:ind w:left="100" w:right="112"/>
        <w:jc w:val="both"/>
      </w:pPr>
      <w:r w:rsidRPr="00840537">
        <w:t>La Ley 996 de 2005 o Ley de Garantías Electorales es, en palabras de la Corte Constitucional, “</w:t>
      </w:r>
      <w:r w:rsidRPr="00840537">
        <w:rPr>
          <w:i/>
        </w:rPr>
        <w:t>una guía para el ejercicio equitativo y transparente de la democracia representativa</w:t>
      </w:r>
      <w:r w:rsidRPr="00840537">
        <w:t>”</w:t>
      </w:r>
      <w:r w:rsidR="004B71BF">
        <w:rPr>
          <w:rStyle w:val="Refdenotaalpie"/>
        </w:rPr>
        <w:footnoteReference w:id="3"/>
      </w:r>
      <w:r w:rsidRPr="00840537">
        <w:t>. En similar sentido, se ha pronunciado la Sala de Consulta y Servicio Civil del Consejo de Estado, quien se ha referido a esta ley como un instrumento adoptado por el ordenamiento jurídico para garantizar igualdad y equidad en la contienda</w:t>
      </w:r>
      <w:r w:rsidRPr="00840537">
        <w:rPr>
          <w:spacing w:val="-34"/>
        </w:rPr>
        <w:t xml:space="preserve"> </w:t>
      </w:r>
      <w:r w:rsidRPr="00840537">
        <w:t>electoral:</w:t>
      </w:r>
    </w:p>
    <w:p w:rsidR="00DA1AE5" w:rsidRPr="00840537" w:rsidRDefault="00DA1AE5">
      <w:pPr>
        <w:pStyle w:val="Textoindependiente"/>
        <w:spacing w:before="6"/>
        <w:rPr>
          <w:sz w:val="25"/>
        </w:rPr>
      </w:pPr>
    </w:p>
    <w:p w:rsidR="00DA1AE5" w:rsidRPr="00840537" w:rsidRDefault="00A86177" w:rsidP="004B71BF">
      <w:pPr>
        <w:pStyle w:val="Textoindependiente"/>
        <w:ind w:left="805" w:right="817"/>
        <w:jc w:val="both"/>
      </w:pPr>
      <w:r w:rsidRPr="00840537">
        <w:t>Así las cosas, 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que igualmente adopta disposiciones especiales de aplicación en las elecciones presidenciales cuando participen como candidatos</w:t>
      </w:r>
      <w:r w:rsidRPr="00840537">
        <w:rPr>
          <w:spacing w:val="22"/>
        </w:rPr>
        <w:t xml:space="preserve"> </w:t>
      </w:r>
      <w:r w:rsidRPr="00840537">
        <w:t>quienes</w:t>
      </w:r>
      <w:r w:rsidRPr="00840537">
        <w:rPr>
          <w:spacing w:val="23"/>
        </w:rPr>
        <w:t xml:space="preserve"> </w:t>
      </w:r>
      <w:r w:rsidRPr="00840537">
        <w:t>estén</w:t>
      </w:r>
      <w:r w:rsidRPr="00840537">
        <w:rPr>
          <w:spacing w:val="22"/>
        </w:rPr>
        <w:t xml:space="preserve"> </w:t>
      </w:r>
      <w:r w:rsidRPr="00840537">
        <w:t>en</w:t>
      </w:r>
      <w:r w:rsidRPr="00840537">
        <w:rPr>
          <w:spacing w:val="23"/>
        </w:rPr>
        <w:t xml:space="preserve"> </w:t>
      </w:r>
      <w:r w:rsidRPr="00840537">
        <w:t>ejercicio</w:t>
      </w:r>
      <w:r w:rsidRPr="00840537">
        <w:rPr>
          <w:spacing w:val="22"/>
        </w:rPr>
        <w:t xml:space="preserve"> </w:t>
      </w:r>
      <w:r w:rsidRPr="00840537">
        <w:t>de</w:t>
      </w:r>
      <w:r w:rsidRPr="00840537">
        <w:rPr>
          <w:spacing w:val="23"/>
        </w:rPr>
        <w:t xml:space="preserve"> </w:t>
      </w:r>
      <w:r w:rsidRPr="00840537">
        <w:t>los</w:t>
      </w:r>
      <w:r w:rsidRPr="00840537">
        <w:rPr>
          <w:spacing w:val="22"/>
        </w:rPr>
        <w:t xml:space="preserve"> </w:t>
      </w:r>
      <w:r w:rsidRPr="00840537">
        <w:t>cargos</w:t>
      </w:r>
      <w:r w:rsidRPr="00840537">
        <w:rPr>
          <w:spacing w:val="22"/>
        </w:rPr>
        <w:t xml:space="preserve"> </w:t>
      </w:r>
      <w:r w:rsidRPr="00840537">
        <w:t>de</w:t>
      </w:r>
      <w:r w:rsidRPr="00840537">
        <w:rPr>
          <w:spacing w:val="23"/>
        </w:rPr>
        <w:t xml:space="preserve"> </w:t>
      </w:r>
      <w:r w:rsidRPr="00840537">
        <w:t>Presidente</w:t>
      </w:r>
      <w:r w:rsidRPr="00840537">
        <w:rPr>
          <w:spacing w:val="21"/>
        </w:rPr>
        <w:t xml:space="preserve"> </w:t>
      </w:r>
      <w:r w:rsidRPr="00840537">
        <w:t>o</w:t>
      </w:r>
      <w:r w:rsidR="004B71BF">
        <w:t xml:space="preserve"> </w:t>
      </w:r>
      <w:r w:rsidRPr="00840537">
        <w:t>Vicepresidente de la República; y también se ocupa de la ‘participación en política de los servidores públicos’”</w:t>
      </w:r>
      <w:r w:rsidR="004B71BF">
        <w:rPr>
          <w:rStyle w:val="Refdenotaalpie"/>
        </w:rPr>
        <w:footnoteReference w:id="4"/>
      </w:r>
      <w:r w:rsidRPr="00840537">
        <w:rPr>
          <w:vertAlign w:val="superscript"/>
        </w:rPr>
        <w:t>.</w:t>
      </w:r>
    </w:p>
    <w:p w:rsidR="00DA1AE5" w:rsidRPr="00840537" w:rsidRDefault="00DA1AE5">
      <w:pPr>
        <w:pStyle w:val="Textoindependiente"/>
        <w:spacing w:before="5"/>
        <w:rPr>
          <w:sz w:val="23"/>
        </w:rPr>
      </w:pPr>
    </w:p>
    <w:p w:rsidR="00DA1AE5" w:rsidRPr="00840537" w:rsidRDefault="00A86177">
      <w:pPr>
        <w:pStyle w:val="Textoindependiente"/>
        <w:spacing w:line="276" w:lineRule="auto"/>
        <w:ind w:left="100" w:right="111"/>
        <w:jc w:val="both"/>
      </w:pPr>
      <w:r w:rsidRPr="00840537">
        <w:t>De conformidad con lo anterior, es claro que la Ley de Garantías Electorales, para el cumplimiento de los objetivos que dieron lugar a su expedición, fijó una serie de regulaciones y prohibiciones dirigidas a los servidores públicos. No obstante, es menester tener claro que estas disposiciones se dirigen a dos tipos de campañas electorales claramente diferenciadas: las presidenciales y las demás que se adelanten para la elección de los demás cargos de elección popular, tanto a nivel nacional como a nivel territorial.</w:t>
      </w:r>
    </w:p>
    <w:p w:rsidR="00DA1AE5" w:rsidRPr="00840537" w:rsidRDefault="00DA1AE5">
      <w:pPr>
        <w:pStyle w:val="Textoindependiente"/>
        <w:spacing w:before="5"/>
        <w:rPr>
          <w:sz w:val="25"/>
        </w:rPr>
      </w:pPr>
    </w:p>
    <w:p w:rsidR="00DA1AE5" w:rsidRPr="00840537" w:rsidRDefault="00A86177">
      <w:pPr>
        <w:pStyle w:val="Textoindependiente"/>
        <w:spacing w:line="276" w:lineRule="auto"/>
        <w:ind w:left="100" w:right="113"/>
        <w:jc w:val="both"/>
      </w:pPr>
      <w:r w:rsidRPr="00840537">
        <w:t>La Sala de Consulta y Servicio Civil del Consejo de Estado ha aclarado la distinción en la aplicación de las prohibiciones de la Ley 996 de 2005, dependiendo del tipo de elección que se trate, así:</w:t>
      </w:r>
    </w:p>
    <w:p w:rsidR="00DA1AE5" w:rsidRPr="00840537" w:rsidRDefault="00DA1AE5">
      <w:pPr>
        <w:pStyle w:val="Textoindependiente"/>
        <w:spacing w:before="2"/>
        <w:rPr>
          <w:sz w:val="25"/>
        </w:rPr>
      </w:pPr>
    </w:p>
    <w:p w:rsidR="00DA1AE5" w:rsidRPr="00840537" w:rsidRDefault="00A86177">
      <w:pPr>
        <w:pStyle w:val="Textoindependiente"/>
        <w:spacing w:line="242" w:lineRule="auto"/>
        <w:ind w:left="805" w:right="812"/>
        <w:jc w:val="both"/>
      </w:pPr>
      <w:r w:rsidRPr="00840537">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840537">
        <w:rPr>
          <w:b/>
        </w:rPr>
        <w:t>En cambio, para elecciones en general, excluyendo las correspondientes a Presidente de la República, a las autoridades territoriales allí mencionadas sólo se aplican las restricciones contenidas en el parágrafo del artículo 38</w:t>
      </w:r>
      <w:r w:rsidRPr="00840537">
        <w:t>.</w:t>
      </w:r>
      <w:r w:rsidR="004B71BF">
        <w:rPr>
          <w:rStyle w:val="Refdenotaalpie"/>
        </w:rPr>
        <w:footnoteReference w:id="5"/>
      </w:r>
      <w:r w:rsidRPr="00840537">
        <w:rPr>
          <w:rFonts w:ascii="Carlito" w:hAnsi="Carlito"/>
        </w:rPr>
        <w:t xml:space="preserve"> </w:t>
      </w:r>
      <w:r w:rsidRPr="00840537">
        <w:t>(Negrillas fuera de</w:t>
      </w:r>
      <w:r w:rsidRPr="00840537">
        <w:rPr>
          <w:spacing w:val="-23"/>
        </w:rPr>
        <w:t xml:space="preserve"> </w:t>
      </w:r>
      <w:r w:rsidRPr="00840537">
        <w:t>texto)</w:t>
      </w:r>
    </w:p>
    <w:p w:rsidR="00DA1AE5" w:rsidRPr="00840537" w:rsidRDefault="00DA1AE5">
      <w:pPr>
        <w:pStyle w:val="Textoindependiente"/>
        <w:spacing w:before="1"/>
        <w:rPr>
          <w:sz w:val="24"/>
        </w:rPr>
      </w:pPr>
    </w:p>
    <w:p w:rsidR="00DA1AE5" w:rsidRPr="00840537" w:rsidRDefault="00A86177" w:rsidP="004B71BF">
      <w:pPr>
        <w:pStyle w:val="Textoindependiente"/>
        <w:spacing w:line="276" w:lineRule="auto"/>
        <w:ind w:left="100" w:right="108"/>
        <w:jc w:val="both"/>
        <w:rPr>
          <w:sz w:val="20"/>
        </w:rPr>
      </w:pPr>
      <w:r w:rsidRPr="00840537">
        <w:t>Pues bien, el parágrafo del artículo 38 de la Ley 996 de 2005, al que se refiere el anterior concepto, consagra una prohibición para gobernadores, alcaldes, secretarios, gerentes y directores de entidades del orden municipal, departamental o distrital, para celebrar convenios o contratos interadministrativos para la ejecución de recursos públicos dentro de los cuatro (4) meses anteriores a cualquier elección, en los siguientes términos:</w:t>
      </w:r>
    </w:p>
    <w:p w:rsidR="00DA1AE5" w:rsidRPr="00840537" w:rsidRDefault="00DA1AE5">
      <w:pPr>
        <w:pStyle w:val="Textoindependiente"/>
        <w:spacing w:before="5"/>
        <w:rPr>
          <w:sz w:val="16"/>
        </w:rPr>
      </w:pPr>
    </w:p>
    <w:p w:rsidR="00DA1AE5" w:rsidRPr="00840537" w:rsidRDefault="00A86177">
      <w:pPr>
        <w:pStyle w:val="Textoindependiente"/>
        <w:spacing w:before="93" w:line="242" w:lineRule="auto"/>
        <w:ind w:left="808" w:right="280"/>
      </w:pPr>
      <w:r w:rsidRPr="00840537">
        <w:t>Artículo 38. Prohibiciones para los servidores públicos. A los empleados del Estado les está prohibido:</w:t>
      </w:r>
    </w:p>
    <w:p w:rsidR="00DA1AE5" w:rsidRPr="00840537" w:rsidRDefault="00A86177">
      <w:pPr>
        <w:pStyle w:val="Textoindependiente"/>
        <w:spacing w:line="250" w:lineRule="exact"/>
        <w:ind w:left="808"/>
      </w:pPr>
      <w:r w:rsidRPr="00840537">
        <w:t>(…)</w:t>
      </w:r>
    </w:p>
    <w:p w:rsidR="00DA1AE5" w:rsidRPr="00840537" w:rsidRDefault="00DA1AE5">
      <w:pPr>
        <w:pStyle w:val="Textoindependiente"/>
        <w:spacing w:before="11"/>
        <w:rPr>
          <w:sz w:val="21"/>
        </w:rPr>
      </w:pPr>
    </w:p>
    <w:p w:rsidR="00DA1AE5" w:rsidRPr="00840537" w:rsidRDefault="00A86177">
      <w:pPr>
        <w:pStyle w:val="Textoindependiente"/>
        <w:ind w:left="808" w:right="815"/>
        <w:jc w:val="both"/>
      </w:pPr>
      <w:r w:rsidRPr="00840537">
        <w:t xml:space="preserve">Parágrafo. Los Gobernadores, Alcaldes Municipales y/o Distritales, Secretarios, Gerentes y </w:t>
      </w:r>
      <w:r w:rsidRPr="00840537">
        <w:rPr>
          <w:b/>
        </w:rPr>
        <w:t xml:space="preserve">directores de Entidades Descentralizadas del </w:t>
      </w:r>
      <w:r w:rsidRPr="00840537">
        <w:rPr>
          <w:b/>
        </w:rPr>
        <w:lastRenderedPageBreak/>
        <w:t>orden Municipal, Departamental o Distrital</w:t>
      </w:r>
      <w:r w:rsidRPr="00840537">
        <w:t>,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 (Negrillas fuera de</w:t>
      </w:r>
      <w:r w:rsidRPr="00840537">
        <w:rPr>
          <w:spacing w:val="-13"/>
        </w:rPr>
        <w:t xml:space="preserve"> </w:t>
      </w:r>
      <w:r w:rsidRPr="00840537">
        <w:t>texto).</w:t>
      </w:r>
    </w:p>
    <w:p w:rsidR="00DA1AE5" w:rsidRPr="00840537" w:rsidRDefault="00DA1AE5">
      <w:pPr>
        <w:pStyle w:val="Textoindependiente"/>
        <w:spacing w:before="3"/>
        <w:rPr>
          <w:sz w:val="25"/>
        </w:rPr>
      </w:pPr>
    </w:p>
    <w:p w:rsidR="00DA1AE5" w:rsidRPr="00840537" w:rsidRDefault="00A86177" w:rsidP="004B71BF">
      <w:pPr>
        <w:pStyle w:val="Textoindependiente"/>
        <w:spacing w:line="276" w:lineRule="auto"/>
        <w:ind w:left="100" w:right="105"/>
        <w:jc w:val="both"/>
      </w:pPr>
      <w:r w:rsidRPr="00840537">
        <w:t>Lo anterior quiere decir que los gobernadores, alcaldes distritales y municipales, secretarios de despacho, gerentes y directores de entidades descentralizadas del orden municipal,</w:t>
      </w:r>
      <w:r w:rsidRPr="00840537">
        <w:rPr>
          <w:spacing w:val="7"/>
        </w:rPr>
        <w:t xml:space="preserve"> </w:t>
      </w:r>
      <w:r w:rsidRPr="00840537">
        <w:t>departamental</w:t>
      </w:r>
      <w:r w:rsidRPr="00840537">
        <w:rPr>
          <w:spacing w:val="6"/>
        </w:rPr>
        <w:t xml:space="preserve"> </w:t>
      </w:r>
      <w:r w:rsidRPr="00840537">
        <w:t>o</w:t>
      </w:r>
      <w:r w:rsidRPr="00840537">
        <w:rPr>
          <w:spacing w:val="8"/>
        </w:rPr>
        <w:t xml:space="preserve"> </w:t>
      </w:r>
      <w:r w:rsidRPr="00840537">
        <w:t>distrital,</w:t>
      </w:r>
      <w:r w:rsidRPr="00840537">
        <w:rPr>
          <w:spacing w:val="7"/>
        </w:rPr>
        <w:t xml:space="preserve"> </w:t>
      </w:r>
      <w:r w:rsidRPr="00840537">
        <w:t>tienen</w:t>
      </w:r>
      <w:r w:rsidRPr="00840537">
        <w:rPr>
          <w:spacing w:val="8"/>
        </w:rPr>
        <w:t xml:space="preserve"> </w:t>
      </w:r>
      <w:r w:rsidRPr="00840537">
        <w:t>prohibido,</w:t>
      </w:r>
      <w:r w:rsidRPr="00840537">
        <w:rPr>
          <w:spacing w:val="7"/>
        </w:rPr>
        <w:t xml:space="preserve"> </w:t>
      </w:r>
      <w:r w:rsidRPr="00840537">
        <w:t>a</w:t>
      </w:r>
      <w:r w:rsidRPr="00840537">
        <w:rPr>
          <w:spacing w:val="8"/>
        </w:rPr>
        <w:t xml:space="preserve"> </w:t>
      </w:r>
      <w:r w:rsidRPr="00840537">
        <w:t>partir</w:t>
      </w:r>
      <w:r w:rsidRPr="00840537">
        <w:rPr>
          <w:spacing w:val="7"/>
        </w:rPr>
        <w:t xml:space="preserve"> </w:t>
      </w:r>
      <w:r w:rsidRPr="00840537">
        <w:t>del</w:t>
      </w:r>
      <w:r w:rsidRPr="00840537">
        <w:rPr>
          <w:spacing w:val="9"/>
        </w:rPr>
        <w:t xml:space="preserve"> </w:t>
      </w:r>
      <w:r w:rsidRPr="00840537">
        <w:t>día</w:t>
      </w:r>
      <w:r w:rsidRPr="00840537">
        <w:rPr>
          <w:spacing w:val="8"/>
        </w:rPr>
        <w:t xml:space="preserve"> </w:t>
      </w:r>
      <w:r w:rsidRPr="00840537">
        <w:t>27</w:t>
      </w:r>
      <w:r w:rsidRPr="00840537">
        <w:rPr>
          <w:spacing w:val="8"/>
        </w:rPr>
        <w:t xml:space="preserve"> </w:t>
      </w:r>
      <w:r w:rsidRPr="00840537">
        <w:t>de</w:t>
      </w:r>
      <w:r w:rsidRPr="00840537">
        <w:rPr>
          <w:spacing w:val="8"/>
        </w:rPr>
        <w:t xml:space="preserve"> </w:t>
      </w:r>
      <w:r w:rsidRPr="00840537">
        <w:t>junio</w:t>
      </w:r>
      <w:r w:rsidRPr="00840537">
        <w:rPr>
          <w:spacing w:val="8"/>
        </w:rPr>
        <w:t xml:space="preserve"> </w:t>
      </w:r>
      <w:r w:rsidRPr="00840537">
        <w:t>y</w:t>
      </w:r>
      <w:r w:rsidRPr="00840537">
        <w:rPr>
          <w:spacing w:val="5"/>
        </w:rPr>
        <w:t xml:space="preserve"> </w:t>
      </w:r>
      <w:r w:rsidRPr="00840537">
        <w:t>hasta</w:t>
      </w:r>
      <w:r w:rsidRPr="00840537">
        <w:rPr>
          <w:spacing w:val="8"/>
        </w:rPr>
        <w:t xml:space="preserve"> </w:t>
      </w:r>
      <w:r w:rsidRPr="00840537">
        <w:t>el</w:t>
      </w:r>
      <w:r w:rsidR="004B71BF">
        <w:t xml:space="preserve"> </w:t>
      </w:r>
      <w:r w:rsidRPr="00840537">
        <w:t>27 de octubre de la actual vigencia fiscal, celebrar convenios o contratos interadministrativos para la ejecución de recursos públicos.</w:t>
      </w:r>
    </w:p>
    <w:p w:rsidR="00DA1AE5" w:rsidRPr="00840537" w:rsidRDefault="00DA1AE5">
      <w:pPr>
        <w:pStyle w:val="Textoindependiente"/>
        <w:spacing w:before="3"/>
        <w:rPr>
          <w:sz w:val="25"/>
        </w:rPr>
      </w:pPr>
    </w:p>
    <w:p w:rsidR="00DA1AE5" w:rsidRPr="00840537" w:rsidRDefault="00A86177">
      <w:pPr>
        <w:pStyle w:val="Textoindependiente"/>
        <w:spacing w:line="276" w:lineRule="auto"/>
        <w:ind w:left="100" w:right="104"/>
        <w:jc w:val="both"/>
      </w:pPr>
      <w:r w:rsidRPr="00840537">
        <w:t>Así pues, lo dispuesto por los artículos 32</w:t>
      </w:r>
      <w:r w:rsidR="004B71BF">
        <w:rPr>
          <w:rStyle w:val="Refdenotaalpie"/>
        </w:rPr>
        <w:footnoteReference w:id="6"/>
      </w:r>
      <w:r w:rsidRPr="00840537">
        <w:t xml:space="preserve"> y 33</w:t>
      </w:r>
      <w:r w:rsidR="004B71BF">
        <w:rPr>
          <w:rStyle w:val="Refdenotaalpie"/>
        </w:rPr>
        <w:footnoteReference w:id="7"/>
      </w:r>
      <w:r w:rsidRPr="00840537">
        <w:t xml:space="preserve"> de la Ley 996 de 2005 es aplicable exclusivamente para el período de 4 meses anteriores a las elecciones presidenciales, mientras que lo dispuesto por el artículo 38 es aplicable a todo tipo de elecciones. En otras palabras, para las elecciones territoriales, esto es, las que se celebran para elegir autoridades locales: alcaldes, gobernadores, diputados, concejales y miembros de las juntas administradoras locales, la prohibición en cuanto a la contratación pública aplicable es la contenida en el parágrafo del artículo 38 y no las de los artículos 32 y 33 de la Ley de Garantías Electorales.</w:t>
      </w:r>
    </w:p>
    <w:p w:rsidR="00DA1AE5" w:rsidRPr="00840537" w:rsidRDefault="00DA1AE5">
      <w:pPr>
        <w:pStyle w:val="Textoindependiente"/>
        <w:spacing w:before="3"/>
        <w:rPr>
          <w:sz w:val="25"/>
        </w:rPr>
      </w:pPr>
    </w:p>
    <w:p w:rsidR="00DA1AE5" w:rsidRPr="00840537" w:rsidRDefault="00A86177" w:rsidP="004B71BF">
      <w:pPr>
        <w:pStyle w:val="Textoindependiente"/>
        <w:spacing w:before="1" w:line="276" w:lineRule="auto"/>
        <w:ind w:left="100" w:right="110"/>
        <w:jc w:val="both"/>
      </w:pPr>
      <w:r w:rsidRPr="00840537">
        <w:t>De manera que en el período comprendido entre el 27 de junio y 27 de octubre de 2019, lo prohibido en materia de contratación pública es la celebración de convenios o contratos interadministrativos para la ejecución de recursos públicos, por parte de los Departamentos,</w:t>
      </w:r>
      <w:r w:rsidRPr="00840537">
        <w:rPr>
          <w:spacing w:val="11"/>
        </w:rPr>
        <w:t xml:space="preserve"> </w:t>
      </w:r>
      <w:r w:rsidRPr="00840537">
        <w:t>los</w:t>
      </w:r>
      <w:r w:rsidRPr="00840537">
        <w:rPr>
          <w:spacing w:val="13"/>
        </w:rPr>
        <w:t xml:space="preserve"> </w:t>
      </w:r>
      <w:r w:rsidRPr="00840537">
        <w:t>Municipios</w:t>
      </w:r>
      <w:r w:rsidRPr="00840537">
        <w:rPr>
          <w:spacing w:val="13"/>
        </w:rPr>
        <w:t xml:space="preserve"> </w:t>
      </w:r>
      <w:r w:rsidRPr="00840537">
        <w:t>y</w:t>
      </w:r>
      <w:r w:rsidRPr="00840537">
        <w:rPr>
          <w:spacing w:val="11"/>
        </w:rPr>
        <w:t xml:space="preserve"> </w:t>
      </w:r>
      <w:r w:rsidRPr="00840537">
        <w:t>las</w:t>
      </w:r>
      <w:r w:rsidRPr="00840537">
        <w:rPr>
          <w:spacing w:val="13"/>
        </w:rPr>
        <w:t xml:space="preserve"> </w:t>
      </w:r>
      <w:r w:rsidRPr="00840537">
        <w:t>entidades</w:t>
      </w:r>
      <w:r w:rsidRPr="00840537">
        <w:rPr>
          <w:spacing w:val="12"/>
        </w:rPr>
        <w:t xml:space="preserve"> </w:t>
      </w:r>
      <w:r w:rsidRPr="00840537">
        <w:t>descentralizadas</w:t>
      </w:r>
      <w:r w:rsidRPr="00840537">
        <w:rPr>
          <w:spacing w:val="14"/>
        </w:rPr>
        <w:t xml:space="preserve"> </w:t>
      </w:r>
      <w:r w:rsidRPr="00840537">
        <w:t>del</w:t>
      </w:r>
      <w:r w:rsidRPr="00840537">
        <w:rPr>
          <w:spacing w:val="15"/>
        </w:rPr>
        <w:t xml:space="preserve"> </w:t>
      </w:r>
      <w:r w:rsidRPr="00840537">
        <w:t>orden</w:t>
      </w:r>
      <w:r w:rsidRPr="00840537">
        <w:rPr>
          <w:spacing w:val="15"/>
        </w:rPr>
        <w:t xml:space="preserve"> </w:t>
      </w:r>
      <w:r w:rsidRPr="00840537">
        <w:t>departamental,</w:t>
      </w:r>
      <w:r w:rsidR="004B71BF">
        <w:t xml:space="preserve"> </w:t>
      </w:r>
      <w:r w:rsidRPr="00840537">
        <w:t>municipal o distrital, categoría dentro de la cual se incluyen, como ya se indicó, las Empresas Sociales del Estado, del orden Departamental, Municipal o Distrital.</w:t>
      </w:r>
    </w:p>
    <w:p w:rsidR="00DA1AE5" w:rsidRPr="00840537" w:rsidRDefault="00DA1AE5">
      <w:pPr>
        <w:pStyle w:val="Textoindependiente"/>
        <w:spacing w:before="1"/>
        <w:rPr>
          <w:sz w:val="25"/>
        </w:rPr>
      </w:pPr>
    </w:p>
    <w:p w:rsidR="00DA1AE5" w:rsidRPr="00840537" w:rsidRDefault="00A86177">
      <w:pPr>
        <w:pStyle w:val="Ttulo1"/>
        <w:numPr>
          <w:ilvl w:val="1"/>
          <w:numId w:val="1"/>
        </w:numPr>
        <w:tabs>
          <w:tab w:val="left" w:pos="526"/>
        </w:tabs>
        <w:ind w:hanging="426"/>
      </w:pPr>
      <w:r w:rsidRPr="00840537">
        <w:t>Los convenios o contratos</w:t>
      </w:r>
      <w:r w:rsidRPr="00840537">
        <w:rPr>
          <w:spacing w:val="-4"/>
        </w:rPr>
        <w:t xml:space="preserve"> </w:t>
      </w:r>
      <w:r w:rsidRPr="00840537">
        <w:t>interadministrativos</w:t>
      </w:r>
    </w:p>
    <w:p w:rsidR="00DA1AE5" w:rsidRPr="00840537" w:rsidRDefault="00DA1AE5">
      <w:pPr>
        <w:pStyle w:val="Textoindependiente"/>
        <w:spacing w:before="5"/>
        <w:rPr>
          <w:b/>
          <w:sz w:val="28"/>
        </w:rPr>
      </w:pPr>
    </w:p>
    <w:p w:rsidR="00DA1AE5" w:rsidRPr="00840537" w:rsidRDefault="00A86177">
      <w:pPr>
        <w:spacing w:line="276" w:lineRule="auto"/>
        <w:ind w:left="100" w:right="104"/>
        <w:jc w:val="both"/>
      </w:pPr>
      <w:r w:rsidRPr="00840537">
        <w:t>El contrato o el convenio interadministrativo fue creado por la Ley 80 de 1993 y aunque no lo definió ni lo desarrolló, el Decreto 1082 de 2015, “</w:t>
      </w:r>
      <w:r w:rsidRPr="00840537">
        <w:rPr>
          <w:i/>
        </w:rPr>
        <w:t xml:space="preserve">por medio del cual se expide el Decreto </w:t>
      </w:r>
      <w:r w:rsidRPr="00840537">
        <w:rPr>
          <w:i/>
        </w:rPr>
        <w:lastRenderedPageBreak/>
        <w:t>único reglamentario del sector administrativo de planeación nacional</w:t>
      </w:r>
      <w:r w:rsidRPr="00840537">
        <w:t>”, los califica como aquellos contratos celebrados entre entidades estatales</w:t>
      </w:r>
      <w:r w:rsidR="004B71BF">
        <w:rPr>
          <w:rStyle w:val="Refdenotaalpie"/>
        </w:rPr>
        <w:footnoteReference w:id="8"/>
      </w:r>
      <w:r w:rsidRPr="00840537">
        <w:t>. Este ha sido el entendimiento que la Corte Constitucional ha tenido de los contratos o convenios interadministrativos:</w:t>
      </w:r>
    </w:p>
    <w:p w:rsidR="00DA1AE5" w:rsidRPr="00840537" w:rsidRDefault="00DA1AE5">
      <w:pPr>
        <w:pStyle w:val="Textoindependiente"/>
        <w:spacing w:before="5"/>
        <w:rPr>
          <w:sz w:val="25"/>
        </w:rPr>
      </w:pPr>
    </w:p>
    <w:p w:rsidR="00DA1AE5" w:rsidRPr="00840537" w:rsidRDefault="00A86177">
      <w:pPr>
        <w:pStyle w:val="Textoindependiente"/>
        <w:ind w:left="808" w:right="812"/>
        <w:jc w:val="both"/>
      </w:pPr>
      <w:r w:rsidRPr="00840537">
        <w:t>Los convenios interadministrativos, asocian la voluntad de dos entidades públicas. En esa medida pueden coordinarse y ejecutarse finalidades comunes, en el que las partes se encuentran en un plano de igualdad y se obligan y comprometen conforme lo acuerdan en el contrato. Al adoptar la naturaleza de un contrato estatal, se encuentran regulados por el estatuto de contratación, Ley 80 de 1993</w:t>
      </w:r>
      <w:r w:rsidR="004B71BF">
        <w:rPr>
          <w:rStyle w:val="Refdenotaalpie"/>
        </w:rPr>
        <w:footnoteReference w:id="9"/>
      </w:r>
      <w:r w:rsidRPr="00840537">
        <w:t>.</w:t>
      </w:r>
    </w:p>
    <w:p w:rsidR="00DA1AE5" w:rsidRPr="00840537" w:rsidRDefault="00DA1AE5">
      <w:pPr>
        <w:pStyle w:val="Textoindependiente"/>
        <w:spacing w:before="2"/>
        <w:rPr>
          <w:sz w:val="25"/>
        </w:rPr>
      </w:pPr>
    </w:p>
    <w:p w:rsidR="00DA1AE5" w:rsidRPr="00840537" w:rsidRDefault="00A86177">
      <w:pPr>
        <w:pStyle w:val="Textoindependiente"/>
        <w:spacing w:line="276" w:lineRule="auto"/>
        <w:ind w:left="100" w:right="110"/>
        <w:jc w:val="both"/>
      </w:pPr>
      <w:r w:rsidRPr="00840537">
        <w:t>De la misma manera, el Consejo de Estado ha dejado claro que el elemento definitorio del convenio o contrato interadministrativo es la concurrencia de dos o más entidades estatales:</w:t>
      </w:r>
    </w:p>
    <w:p w:rsidR="00DA1AE5" w:rsidRPr="00840537" w:rsidRDefault="00DA1AE5">
      <w:pPr>
        <w:pStyle w:val="Textoindependiente"/>
        <w:spacing w:before="5"/>
        <w:rPr>
          <w:sz w:val="25"/>
        </w:rPr>
      </w:pPr>
    </w:p>
    <w:p w:rsidR="00DA1AE5" w:rsidRPr="00840537" w:rsidRDefault="00A86177">
      <w:pPr>
        <w:ind w:left="808" w:right="812"/>
        <w:jc w:val="both"/>
      </w:pPr>
      <w:r w:rsidRPr="00840537">
        <w:t xml:space="preserve">Para la Sala de Consulta y Servicio Civil de esta corporación se está ante una modalidad contractual, </w:t>
      </w:r>
      <w:r w:rsidRPr="00840537">
        <w:rPr>
          <w:b/>
        </w:rPr>
        <w:t>cuya particularidad es su celebración en virtud del principio de cooperación entre entidades públicas</w:t>
      </w:r>
      <w:r w:rsidRPr="00840537">
        <w:t>, de tal modo que su finalidad no es otra distinta a la de cumplir en forma conjunta con las funciones a cargo de ambas entidades, o prestar servicios públicos que le han sido</w:t>
      </w:r>
      <w:r w:rsidRPr="00840537">
        <w:rPr>
          <w:spacing w:val="-5"/>
        </w:rPr>
        <w:t xml:space="preserve"> </w:t>
      </w:r>
      <w:r w:rsidRPr="00840537">
        <w:t>encomendados.</w:t>
      </w:r>
    </w:p>
    <w:p w:rsidR="00DA1AE5" w:rsidRPr="00840537" w:rsidRDefault="00DA1AE5">
      <w:pPr>
        <w:pStyle w:val="Textoindependiente"/>
        <w:spacing w:before="11"/>
        <w:rPr>
          <w:sz w:val="21"/>
        </w:rPr>
      </w:pPr>
    </w:p>
    <w:p w:rsidR="00DA1AE5" w:rsidRPr="00840537" w:rsidRDefault="00A86177" w:rsidP="004B71BF">
      <w:pPr>
        <w:pStyle w:val="Textoindependiente"/>
        <w:ind w:left="808" w:right="817"/>
        <w:jc w:val="both"/>
      </w:pPr>
      <w:r w:rsidRPr="00840537">
        <w:t>Para la doctrina existe claridad en la ubicación de los convenios interadministrativos dentro de la actividad negocial de la Administración. Si bien es cierto, que constituye una especie distinta del contrato, coincide con éste en que las manifestaciones de voluntades comprometen situaciones</w:t>
      </w:r>
      <w:r w:rsidR="004B71BF">
        <w:t xml:space="preserve"> </w:t>
      </w:r>
      <w:r w:rsidRPr="00840537">
        <w:t xml:space="preserve">subjetivas, generan el cumplimiento de obligaciones en cabeza de cada una de las partes. La diferencia radica en que los intereses en juego no son contrapuestos sino coincidentes entre sí y con el interés general. </w:t>
      </w:r>
      <w:r w:rsidRPr="00840537">
        <w:rPr>
          <w:b/>
        </w:rPr>
        <w:t>La participación de dos entidades que tengan capacidad de contratación de acuerdo con la Ley 80 constituye un presupuesto ineludible de la definición de convenio interadministrativo</w:t>
      </w:r>
      <w:r w:rsidRPr="00840537">
        <w:t>, su objeto es la implementación de modos de gestionar la actividad pública, en algunas oportunidades ejercer funciones administrativas sin que ello conlleve una delegación de las</w:t>
      </w:r>
      <w:r w:rsidRPr="00840537">
        <w:rPr>
          <w:spacing w:val="-4"/>
        </w:rPr>
        <w:t xml:space="preserve"> </w:t>
      </w:r>
      <w:r w:rsidRPr="00840537">
        <w:t>mismas.</w:t>
      </w:r>
    </w:p>
    <w:p w:rsidR="00DA1AE5" w:rsidRPr="00840537" w:rsidRDefault="00DA1AE5">
      <w:pPr>
        <w:pStyle w:val="Textoindependiente"/>
        <w:spacing w:before="1"/>
      </w:pPr>
    </w:p>
    <w:p w:rsidR="00DA1AE5" w:rsidRPr="00840537" w:rsidRDefault="00A86177">
      <w:pPr>
        <w:pStyle w:val="Textoindependiente"/>
        <w:spacing w:line="244" w:lineRule="auto"/>
        <w:ind w:left="808" w:right="815"/>
        <w:jc w:val="both"/>
      </w:pPr>
      <w:r w:rsidRPr="00840537">
        <w:t xml:space="preserve">Se trata entonces, </w:t>
      </w:r>
      <w:r w:rsidRPr="00840537">
        <w:rPr>
          <w:b/>
        </w:rPr>
        <w:t>de relaciones de paridad entre diferentes entidades de carácter administrativo</w:t>
      </w:r>
      <w:r w:rsidRPr="00840537">
        <w:t xml:space="preserve">, cuyas competencias recaen sobre la misma materia </w:t>
      </w:r>
      <w:r w:rsidRPr="00840537">
        <w:lastRenderedPageBreak/>
        <w:t>lo que ocasiona su constante interacción. La forma de actuación conjunta se da mediante convenios interadministrativos, los cuales son un desarrollo directo de los principios de colaboración y coordinación consagrados constitucional y legalmente</w:t>
      </w:r>
      <w:r w:rsidR="004B71BF">
        <w:rPr>
          <w:rStyle w:val="Refdenotaalpie"/>
        </w:rPr>
        <w:footnoteReference w:id="10"/>
      </w:r>
      <w:r w:rsidRPr="00840537">
        <w:rPr>
          <w:vertAlign w:val="superscript"/>
        </w:rPr>
        <w:t>.</w:t>
      </w:r>
      <w:r w:rsidRPr="00840537">
        <w:t xml:space="preserve"> (Negrillas fuera de</w:t>
      </w:r>
      <w:r w:rsidRPr="00840537">
        <w:rPr>
          <w:spacing w:val="-27"/>
        </w:rPr>
        <w:t xml:space="preserve"> </w:t>
      </w:r>
      <w:r w:rsidRPr="00840537">
        <w:t>texto).</w:t>
      </w:r>
    </w:p>
    <w:p w:rsidR="00DA1AE5" w:rsidRPr="00840537" w:rsidRDefault="00DA1AE5">
      <w:pPr>
        <w:pStyle w:val="Textoindependiente"/>
        <w:spacing w:before="10"/>
        <w:rPr>
          <w:sz w:val="24"/>
        </w:rPr>
      </w:pPr>
    </w:p>
    <w:p w:rsidR="00DA1AE5" w:rsidRPr="00840537" w:rsidRDefault="00A86177">
      <w:pPr>
        <w:pStyle w:val="Textoindependiente"/>
        <w:spacing w:line="276" w:lineRule="auto"/>
        <w:ind w:left="100" w:right="106"/>
        <w:jc w:val="both"/>
      </w:pPr>
      <w:r w:rsidRPr="00840537">
        <w:t>De acuerdo con lo anterior, el contrato o convenio interadministrativo es aquel acuerdo en el que concurre la voluntad de dos o más personas jurídicas de derecho público con la finalidad de cumplir, en el marco de sus objetivos misionales y sus competencias, con los fines del Estado. Es decir, los contratos o convenios interadministrativos a los que hace referencia la Ley 80 de 1993 deben ser identificados a partir de un criterio orgánico, en el que lo relevante es que los extremos de la relación contractual sean entidades estatales.</w:t>
      </w:r>
    </w:p>
    <w:p w:rsidR="00DA1AE5" w:rsidRPr="00840537" w:rsidRDefault="00DA1AE5">
      <w:pPr>
        <w:pStyle w:val="Textoindependiente"/>
        <w:spacing w:before="2"/>
        <w:rPr>
          <w:sz w:val="25"/>
        </w:rPr>
      </w:pPr>
    </w:p>
    <w:p w:rsidR="00DA1AE5" w:rsidRPr="00840537" w:rsidRDefault="00A86177">
      <w:pPr>
        <w:pStyle w:val="Textoindependiente"/>
        <w:spacing w:line="276" w:lineRule="auto"/>
        <w:ind w:left="100" w:right="109"/>
        <w:jc w:val="both"/>
      </w:pPr>
      <w:r w:rsidRPr="00840537">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840537">
        <w:rPr>
          <w:spacing w:val="-11"/>
        </w:rPr>
        <w:t xml:space="preserve"> </w:t>
      </w:r>
      <w:r w:rsidRPr="00840537">
        <w:t>privado</w:t>
      </w:r>
      <w:r w:rsidR="004B71BF">
        <w:rPr>
          <w:rStyle w:val="Refdenotaalpie"/>
        </w:rPr>
        <w:footnoteReference w:id="11"/>
      </w:r>
      <w:r w:rsidRPr="00840537">
        <w:t>.</w:t>
      </w:r>
    </w:p>
    <w:p w:rsidR="00DA1AE5" w:rsidRPr="00840537" w:rsidRDefault="00DA1AE5">
      <w:pPr>
        <w:pStyle w:val="Textoindependiente"/>
        <w:spacing w:before="6"/>
        <w:rPr>
          <w:sz w:val="25"/>
        </w:rPr>
      </w:pPr>
    </w:p>
    <w:p w:rsidR="00DA1AE5" w:rsidRPr="00840537" w:rsidRDefault="00A86177" w:rsidP="004B71BF">
      <w:pPr>
        <w:pStyle w:val="Textoindependiente"/>
        <w:spacing w:line="276" w:lineRule="auto"/>
        <w:ind w:left="100" w:right="107"/>
        <w:jc w:val="both"/>
      </w:pPr>
      <w:r w:rsidRPr="00840537">
        <w:t xml:space="preserve">La calidad de un contrato o convenio interadministrativo no está determinada por la modalidad de selección utilizada para celebrar el respectivo acuerdo de voluntades entre </w:t>
      </w:r>
      <w:r w:rsidR="004B71BF" w:rsidRPr="00840537">
        <w:t xml:space="preserve">entidades </w:t>
      </w:r>
      <w:r w:rsidR="004B71BF" w:rsidRPr="00840537">
        <w:rPr>
          <w:spacing w:val="28"/>
        </w:rPr>
        <w:t>de</w:t>
      </w:r>
      <w:r w:rsidR="004B71BF" w:rsidRPr="00840537">
        <w:t xml:space="preserve"> </w:t>
      </w:r>
      <w:r w:rsidR="004B71BF" w:rsidRPr="00840537">
        <w:rPr>
          <w:spacing w:val="29"/>
        </w:rPr>
        <w:t>derecho</w:t>
      </w:r>
      <w:r w:rsidR="004B71BF" w:rsidRPr="00840537">
        <w:t xml:space="preserve"> </w:t>
      </w:r>
      <w:r w:rsidR="004B71BF" w:rsidRPr="00840537">
        <w:rPr>
          <w:spacing w:val="29"/>
        </w:rPr>
        <w:t>público</w:t>
      </w:r>
      <w:r w:rsidRPr="00840537">
        <w:t xml:space="preserve">. </w:t>
      </w:r>
      <w:r w:rsidRPr="00840537">
        <w:rPr>
          <w:spacing w:val="28"/>
        </w:rPr>
        <w:t xml:space="preserve"> </w:t>
      </w:r>
      <w:r w:rsidR="004B71BF" w:rsidRPr="00840537">
        <w:t xml:space="preserve">La </w:t>
      </w:r>
      <w:r w:rsidR="004B71BF" w:rsidRPr="00840537">
        <w:rPr>
          <w:spacing w:val="28"/>
        </w:rPr>
        <w:t>Ley</w:t>
      </w:r>
      <w:r w:rsidR="004B71BF" w:rsidRPr="00840537">
        <w:t xml:space="preserve"> </w:t>
      </w:r>
      <w:r w:rsidR="004B71BF">
        <w:rPr>
          <w:spacing w:val="27"/>
        </w:rPr>
        <w:t>1150</w:t>
      </w:r>
      <w:r w:rsidRPr="00840537">
        <w:t xml:space="preserve"> </w:t>
      </w:r>
      <w:r w:rsidRPr="00840537">
        <w:rPr>
          <w:spacing w:val="29"/>
        </w:rPr>
        <w:t xml:space="preserve"> </w:t>
      </w:r>
      <w:r w:rsidRPr="00840537">
        <w:t xml:space="preserve">de </w:t>
      </w:r>
      <w:r w:rsidRPr="00840537">
        <w:rPr>
          <w:spacing w:val="29"/>
        </w:rPr>
        <w:t xml:space="preserve"> </w:t>
      </w:r>
      <w:r w:rsidRPr="00840537">
        <w:t xml:space="preserve">2007 </w:t>
      </w:r>
      <w:r w:rsidRPr="00840537">
        <w:rPr>
          <w:spacing w:val="28"/>
        </w:rPr>
        <w:t xml:space="preserve"> </w:t>
      </w:r>
      <w:r w:rsidRPr="00840537">
        <w:t xml:space="preserve">establece </w:t>
      </w:r>
      <w:r w:rsidRPr="00840537">
        <w:rPr>
          <w:spacing w:val="29"/>
        </w:rPr>
        <w:t xml:space="preserve"> </w:t>
      </w:r>
      <w:r w:rsidRPr="00840537">
        <w:t xml:space="preserve">que </w:t>
      </w:r>
      <w:r w:rsidRPr="00840537">
        <w:rPr>
          <w:spacing w:val="27"/>
        </w:rPr>
        <w:t xml:space="preserve"> </w:t>
      </w:r>
      <w:r w:rsidRPr="00840537">
        <w:t xml:space="preserve">los </w:t>
      </w:r>
      <w:r w:rsidRPr="00840537">
        <w:rPr>
          <w:spacing w:val="29"/>
        </w:rPr>
        <w:t xml:space="preserve"> </w:t>
      </w:r>
      <w:r w:rsidRPr="00840537">
        <w:t>contratos</w:t>
      </w:r>
      <w:r w:rsidR="004B71BF">
        <w:t xml:space="preserve"> </w:t>
      </w:r>
      <w:r w:rsidRPr="00840537">
        <w:t>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004B71BF">
        <w:rPr>
          <w:rStyle w:val="Refdenotaalpie"/>
        </w:rPr>
        <w:footnoteReference w:id="12"/>
      </w:r>
      <w:r w:rsidRPr="00840537">
        <w:t>. Nótese que, en este caso, lo que cambia es la modalidad de selección y no la naturaleza de contrato</w:t>
      </w:r>
      <w:r w:rsidRPr="00840537">
        <w:rPr>
          <w:spacing w:val="-20"/>
        </w:rPr>
        <w:t xml:space="preserve"> </w:t>
      </w:r>
      <w:r w:rsidRPr="00840537">
        <w:t>interadministrativo.</w:t>
      </w:r>
    </w:p>
    <w:p w:rsidR="00DA1AE5" w:rsidRPr="00840537" w:rsidRDefault="00DA1AE5">
      <w:pPr>
        <w:pStyle w:val="Textoindependiente"/>
        <w:spacing w:before="6"/>
        <w:rPr>
          <w:sz w:val="25"/>
        </w:rPr>
      </w:pPr>
    </w:p>
    <w:p w:rsidR="00DA1AE5" w:rsidRPr="00840537" w:rsidRDefault="00A86177">
      <w:pPr>
        <w:pStyle w:val="Textoindependiente"/>
        <w:spacing w:line="276" w:lineRule="auto"/>
        <w:ind w:left="100" w:right="108"/>
        <w:jc w:val="both"/>
      </w:pPr>
      <w:r w:rsidRPr="00840537">
        <w:t>Con miras a ilustrar las características fundamentales de los contratos o convenios interadministrativos, se estima conveniente la caracterización que de los mismos realizó el Consejo de Estado:</w:t>
      </w:r>
    </w:p>
    <w:p w:rsidR="00DA1AE5" w:rsidRPr="00840537" w:rsidRDefault="00DA1AE5">
      <w:pPr>
        <w:pStyle w:val="Textoindependiente"/>
        <w:spacing w:before="2"/>
        <w:rPr>
          <w:sz w:val="25"/>
        </w:rPr>
      </w:pPr>
    </w:p>
    <w:p w:rsidR="00DA1AE5" w:rsidRDefault="00A86177" w:rsidP="004B71BF">
      <w:pPr>
        <w:pStyle w:val="Textoindependiente"/>
        <w:ind w:left="808" w:right="813"/>
        <w:jc w:val="both"/>
      </w:pPr>
      <w:r w:rsidRPr="00840537">
        <w:t>En atención a lo anterior y en relación específicamente con lo que interesa para el caso concreto,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w:t>
      </w:r>
      <w:r w:rsidR="004B71BF">
        <w:rPr>
          <w:rStyle w:val="Refdenotaalpie"/>
        </w:rPr>
        <w:footnoteReference w:id="13"/>
      </w:r>
      <w:r w:rsidRPr="00840537">
        <w:rPr>
          <w:vertAlign w:val="superscript"/>
        </w:rPr>
        <w:t>;</w:t>
      </w:r>
      <w:r w:rsidRPr="00840537">
        <w:t xml:space="preserve"> (iv) son contratos atípicos desde la perspectiva legal dado que se advierte la ausencia de unas normas que de manera detallada los disciplinen, los expliquen y los desarrollen, como sí las tienen los contratos típicos, por ejemplo compra venta, arrendamiento, mandato, etc. (v) </w:t>
      </w:r>
      <w:r w:rsidRPr="00840537">
        <w:rPr>
          <w:b/>
        </w:rPr>
        <w:t xml:space="preserve">la normatividad a la cual se encuentran sujetos en principio es la del Estatuto General de Contratación, en atención a que las partes que los celebran son entidades estatales </w:t>
      </w:r>
      <w:r w:rsidRPr="00840537">
        <w:t>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004B71BF">
        <w:rPr>
          <w:rStyle w:val="Refdenotaalpie"/>
        </w:rPr>
        <w:footnoteReference w:id="14"/>
      </w:r>
      <w:r w:rsidRPr="00840537">
        <w:t>. (Negrillas fuera de texto).</w:t>
      </w:r>
    </w:p>
    <w:p w:rsidR="004B71BF" w:rsidRPr="00840537" w:rsidRDefault="004B71BF" w:rsidP="004B71BF">
      <w:pPr>
        <w:pStyle w:val="Textoindependiente"/>
        <w:ind w:left="808" w:right="813"/>
        <w:jc w:val="both"/>
        <w:rPr>
          <w:sz w:val="21"/>
        </w:rPr>
      </w:pPr>
    </w:p>
    <w:p w:rsidR="00DA1AE5" w:rsidRPr="00840537" w:rsidRDefault="00A86177">
      <w:pPr>
        <w:pStyle w:val="Textoindependiente"/>
        <w:spacing w:before="93" w:line="276" w:lineRule="auto"/>
        <w:ind w:left="100" w:right="109"/>
        <w:jc w:val="both"/>
      </w:pPr>
      <w:r w:rsidRPr="00840537">
        <w:t>En resumen, a partir de todo lo expuesto y para efectos de la consulta planteada, los contratos o convenios interadministrativos son aquellos celebrados entre dos o más entidades estatales.</w:t>
      </w:r>
    </w:p>
    <w:p w:rsidR="00DA1AE5" w:rsidRPr="00840537" w:rsidRDefault="00DA1AE5">
      <w:pPr>
        <w:pStyle w:val="Textoindependiente"/>
        <w:spacing w:before="1"/>
        <w:rPr>
          <w:sz w:val="25"/>
        </w:rPr>
      </w:pPr>
    </w:p>
    <w:p w:rsidR="00DA1AE5" w:rsidRPr="00840537" w:rsidRDefault="00A86177">
      <w:pPr>
        <w:pStyle w:val="Ttulo1"/>
        <w:numPr>
          <w:ilvl w:val="0"/>
          <w:numId w:val="1"/>
        </w:numPr>
        <w:tabs>
          <w:tab w:val="left" w:pos="344"/>
        </w:tabs>
        <w:spacing w:before="1"/>
        <w:ind w:left="343" w:hanging="244"/>
        <w:jc w:val="left"/>
      </w:pPr>
      <w:r w:rsidRPr="00840537">
        <w:t>Respuesta</w:t>
      </w:r>
    </w:p>
    <w:p w:rsidR="00DA1AE5" w:rsidRPr="00840537" w:rsidRDefault="00DA1AE5">
      <w:pPr>
        <w:pStyle w:val="Textoindependiente"/>
        <w:spacing w:before="7"/>
        <w:rPr>
          <w:b/>
          <w:sz w:val="28"/>
        </w:rPr>
      </w:pPr>
    </w:p>
    <w:p w:rsidR="00DA1AE5" w:rsidRPr="00840537" w:rsidRDefault="00A86177">
      <w:pPr>
        <w:spacing w:line="276" w:lineRule="auto"/>
        <w:ind w:left="100" w:right="108"/>
        <w:jc w:val="both"/>
      </w:pPr>
      <w:r w:rsidRPr="00840537">
        <w:t>Frente a la primera pregunta, una Empresa Social del Estado, del orden territorial, sí puede celebrar un contrato “</w:t>
      </w:r>
      <w:r w:rsidRPr="00840537">
        <w:rPr>
          <w:i/>
        </w:rPr>
        <w:t>para la reestructuración de la planta de personal y creación de nuevos cargos</w:t>
      </w:r>
      <w:r w:rsidRPr="00840537">
        <w:t>”, durante el período comprendido entre el 27 de junio y 27 de octubre de 2019, siempre que no se trate de un contrato o convenio</w:t>
      </w:r>
      <w:r w:rsidRPr="00840537">
        <w:rPr>
          <w:spacing w:val="-19"/>
        </w:rPr>
        <w:t xml:space="preserve"> </w:t>
      </w:r>
      <w:r w:rsidRPr="00840537">
        <w:t>interadministrativo.</w:t>
      </w:r>
    </w:p>
    <w:p w:rsidR="00DA1AE5" w:rsidRPr="00840537" w:rsidRDefault="00DA1AE5">
      <w:pPr>
        <w:pStyle w:val="Textoindependiente"/>
        <w:spacing w:before="4"/>
        <w:rPr>
          <w:sz w:val="25"/>
        </w:rPr>
      </w:pPr>
    </w:p>
    <w:p w:rsidR="00DA1AE5" w:rsidRPr="00840537" w:rsidRDefault="00A86177">
      <w:pPr>
        <w:pStyle w:val="Textoindependiente"/>
        <w:spacing w:before="1" w:line="276" w:lineRule="auto"/>
        <w:ind w:left="100" w:right="106"/>
        <w:jc w:val="both"/>
      </w:pPr>
      <w:r w:rsidRPr="00840537">
        <w:lastRenderedPageBreak/>
        <w:t>Frente a la segunda pregunta, una Empresa Social del Estado, del orden territorial, sí puede celebrar contratos de prestación de servicios de apoyo a la gestión, durante el período comprendido entre el 27 de junio y 27 de octubre de 2019, siempre que no se trate de un contrato o convenio</w:t>
      </w:r>
      <w:r w:rsidRPr="00840537">
        <w:rPr>
          <w:spacing w:val="-5"/>
        </w:rPr>
        <w:t xml:space="preserve"> </w:t>
      </w:r>
      <w:r w:rsidRPr="00840537">
        <w:t>interadministrativo.</w:t>
      </w:r>
    </w:p>
    <w:p w:rsidR="00DA1AE5" w:rsidRPr="00840537" w:rsidRDefault="00DA1AE5">
      <w:pPr>
        <w:pStyle w:val="Textoindependiente"/>
        <w:spacing w:before="3"/>
        <w:rPr>
          <w:sz w:val="25"/>
        </w:rPr>
      </w:pPr>
    </w:p>
    <w:p w:rsidR="00DA1AE5" w:rsidRPr="00840537" w:rsidRDefault="00A86177">
      <w:pPr>
        <w:pStyle w:val="Textoindependiente"/>
        <w:spacing w:line="276" w:lineRule="auto"/>
        <w:ind w:left="100" w:right="107"/>
        <w:jc w:val="both"/>
      </w:pPr>
      <w:r w:rsidRPr="00840537">
        <w:t>Y frente a la tercera pregunta, una Empresa Social del Estado, del orden territorial, sí puede celebrar contratos para la actualización de su manual de contratación, durante el período comprendido entre el 27 de junio y 27 de octubre de 2019, siempre que no se trate de un contrato o convenio</w:t>
      </w:r>
      <w:r w:rsidRPr="00840537">
        <w:rPr>
          <w:spacing w:val="-5"/>
        </w:rPr>
        <w:t xml:space="preserve"> </w:t>
      </w:r>
      <w:r w:rsidRPr="00840537">
        <w:t>interadministrativo.</w:t>
      </w:r>
    </w:p>
    <w:p w:rsidR="00DA1AE5" w:rsidRPr="00840537" w:rsidRDefault="00DA1AE5">
      <w:pPr>
        <w:pStyle w:val="Textoindependiente"/>
        <w:spacing w:before="5"/>
        <w:rPr>
          <w:sz w:val="25"/>
        </w:rPr>
      </w:pPr>
    </w:p>
    <w:p w:rsidR="00DA1AE5" w:rsidRPr="00840537" w:rsidRDefault="00A86177">
      <w:pPr>
        <w:pStyle w:val="Textoindependiente"/>
        <w:spacing w:line="276" w:lineRule="auto"/>
        <w:ind w:left="100" w:right="112"/>
        <w:jc w:val="both"/>
      </w:pPr>
      <w:r w:rsidRPr="00840537">
        <w:t>Este concepto tiene el alcance previsto en el artículo 28 del Código de Procedimiento Administrativo y de lo Contencioso Administrativo.</w:t>
      </w:r>
    </w:p>
    <w:p w:rsidR="00DA1AE5" w:rsidRPr="00840537" w:rsidRDefault="00EF684A">
      <w:pPr>
        <w:pStyle w:val="Textoindependiente"/>
        <w:spacing w:before="8"/>
      </w:pPr>
      <w:r w:rsidRPr="00840537">
        <w:rPr>
          <w:noProof/>
          <w:lang w:val="en-US"/>
        </w:rPr>
        <mc:AlternateContent>
          <mc:Choice Requires="wps">
            <w:drawing>
              <wp:anchor distT="0" distB="0" distL="0" distR="0" simplePos="0" relativeHeight="487591936" behindDoc="1" locked="0" layoutInCell="1" allowOverlap="1" wp14:anchorId="0FE0DB3D" wp14:editId="404779D1">
                <wp:simplePos x="0" y="0"/>
                <wp:positionH relativeFrom="page">
                  <wp:posOffset>1514475</wp:posOffset>
                </wp:positionH>
                <wp:positionV relativeFrom="paragraph">
                  <wp:posOffset>195580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C3C44" id="Freeform 3" o:spid="_x0000_s1026" style="position:absolute;margin-left:119.25pt;margin-top:15.4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MjOJxfgAAAACQEAAA8AAABkcnMvZG93bnJldi54bWxMj01L&#10;w0AQhu+C/2EZwYvY3bZYa8ymiKUgiEi/QG+b7JiEZmdDdpPGf+940uO88/B+pKvRNWLALtSeNEwn&#10;CgRS4W1NpYbDfnO7BBGiIWsaT6jhGwOsssuL1CTWn2mLwy6Wgk0oJEZDFWObSBmKCp0JE98i8e/L&#10;d85EPrtS2s6c2dw1cqbUQjpTEydUpsXnCovTrnca1i/l+/Ejp/Xbth/2p/q13fibT62vr8anRxAR&#10;x/gHw299rg4Zd8p9TzaIRsNsvrxjVMNc8QQGHu4XLOQsTBXILJX/F2Q/AAAA//8DAFBLAQItABQA&#10;BgAIAAAAIQC2gziS/gAAAOEBAAATAAAAAAAAAAAAAAAAAAAAAABbQ29udGVudF9UeXBlc10ueG1s&#10;UEsBAi0AFAAGAAgAAAAhADj9If/WAAAAlAEAAAsAAAAAAAAAAAAAAAAALwEAAF9yZWxzLy5yZWxz&#10;UEsBAi0AFAAGAAgAAAAhAMRX29wGAwAApAYAAA4AAAAAAAAAAAAAAAAALgIAAGRycy9lMm9Eb2Mu&#10;eG1sUEsBAi0AFAAGAAgAAAAhAMjOJxf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p>
    <w:p w:rsidR="00DA1AE5" w:rsidRPr="00840537" w:rsidRDefault="00A86177">
      <w:pPr>
        <w:pStyle w:val="Textoindependiente"/>
        <w:spacing w:after="61"/>
        <w:ind w:left="100"/>
      </w:pPr>
      <w:r w:rsidRPr="00840537">
        <w:t>Atentamente,</w:t>
      </w:r>
    </w:p>
    <w:p w:rsidR="004B71BF" w:rsidRPr="009D5D6D" w:rsidRDefault="001C2186" w:rsidP="004B71BF">
      <w:pPr>
        <w:pStyle w:val="Textoindependiente"/>
        <w:jc w:val="center"/>
      </w:pPr>
      <w:r>
        <w:rPr>
          <w:noProof/>
          <w:lang w:val="en-US"/>
        </w:rPr>
        <w:drawing>
          <wp:inline distT="0" distB="0" distL="0" distR="0" wp14:anchorId="4E7DB455" wp14:editId="477BF6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DA1AE5" w:rsidRPr="00840537" w:rsidRDefault="00A86177">
      <w:pPr>
        <w:pStyle w:val="Textoindependiente"/>
        <w:spacing w:before="61"/>
        <w:ind w:left="100"/>
      </w:pPr>
      <w:r w:rsidRPr="00840537">
        <w:t>Proyectó: Leider Gómez Caballero.</w:t>
      </w:r>
    </w:p>
    <w:p w:rsidR="00DA1AE5" w:rsidRPr="00840537" w:rsidRDefault="00DA1AE5">
      <w:pPr>
        <w:pStyle w:val="Textoindependiente"/>
        <w:rPr>
          <w:sz w:val="20"/>
        </w:rPr>
      </w:pPr>
    </w:p>
    <w:p w:rsidR="00DA1AE5" w:rsidRPr="00840537" w:rsidRDefault="00DA1AE5">
      <w:pPr>
        <w:pStyle w:val="Textoindependiente"/>
        <w:rPr>
          <w:sz w:val="20"/>
        </w:rPr>
      </w:pPr>
    </w:p>
    <w:p w:rsidR="00DA1AE5" w:rsidRPr="00840537" w:rsidRDefault="00DA1AE5">
      <w:pPr>
        <w:pStyle w:val="Textoindependiente"/>
        <w:rPr>
          <w:sz w:val="20"/>
        </w:rPr>
      </w:pPr>
    </w:p>
    <w:p w:rsidR="00DA1AE5" w:rsidRPr="00840537" w:rsidRDefault="00DA1AE5">
      <w:pPr>
        <w:pStyle w:val="Textoindependiente"/>
        <w:rPr>
          <w:sz w:val="20"/>
        </w:rPr>
      </w:pPr>
    </w:p>
    <w:p w:rsidR="00DA1AE5" w:rsidRPr="00840537" w:rsidRDefault="00DA1AE5">
      <w:pPr>
        <w:pStyle w:val="Textoindependiente"/>
        <w:spacing w:before="9"/>
        <w:rPr>
          <w:sz w:val="14"/>
        </w:rPr>
      </w:pPr>
    </w:p>
    <w:sectPr w:rsidR="00DA1AE5" w:rsidRPr="00840537">
      <w:headerReference w:type="default" r:id="rId14"/>
      <w:footerReference w:type="default" r:id="rId15"/>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C80" w:rsidRDefault="009D7C80">
      <w:r>
        <w:separator/>
      </w:r>
    </w:p>
  </w:endnote>
  <w:endnote w:type="continuationSeparator" w:id="0">
    <w:p w:rsidR="009D7C80" w:rsidRDefault="009D7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E5" w:rsidRDefault="00A86177">
    <w:pPr>
      <w:pStyle w:val="Textoindependiente"/>
      <w:spacing w:line="14" w:lineRule="auto"/>
      <w:rPr>
        <w:sz w:val="20"/>
      </w:rPr>
    </w:pPr>
    <w:r>
      <w:rPr>
        <w:noProof/>
        <w:lang w:val="en-US"/>
      </w:rPr>
      <w:drawing>
        <wp:anchor distT="0" distB="0" distL="0" distR="0" simplePos="0" relativeHeight="487456768" behindDoc="1" locked="0" layoutInCell="1" allowOverlap="1" wp14:anchorId="7E84BD70" wp14:editId="45647E1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E5" w:rsidRDefault="00A86177">
    <w:pPr>
      <w:pStyle w:val="Textoindependiente"/>
      <w:spacing w:line="14" w:lineRule="auto"/>
      <w:rPr>
        <w:sz w:val="20"/>
      </w:rPr>
    </w:pPr>
    <w:r>
      <w:rPr>
        <w:noProof/>
        <w:lang w:val="en-US"/>
      </w:rPr>
      <w:drawing>
        <wp:anchor distT="0" distB="0" distL="0" distR="0" simplePos="0" relativeHeight="487457792" behindDoc="1" locked="0" layoutInCell="1" allowOverlap="1" wp14:anchorId="2F2D79E3" wp14:editId="7EA9C763">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C80" w:rsidRDefault="009D7C80">
      <w:r>
        <w:separator/>
      </w:r>
    </w:p>
  </w:footnote>
  <w:footnote w:type="continuationSeparator" w:id="0">
    <w:p w:rsidR="009D7C80" w:rsidRDefault="009D7C80">
      <w:r>
        <w:continuationSeparator/>
      </w:r>
    </w:p>
  </w:footnote>
  <w:footnote w:id="1">
    <w:p w:rsidR="004B71BF" w:rsidRPr="00840537" w:rsidRDefault="004B71BF" w:rsidP="004B71BF">
      <w:pPr>
        <w:spacing w:before="73"/>
        <w:ind w:left="100" w:firstLine="707"/>
        <w:rPr>
          <w:sz w:val="18"/>
        </w:rPr>
      </w:pPr>
      <w:r>
        <w:rPr>
          <w:rStyle w:val="Refdenotaalpie"/>
        </w:rPr>
        <w:footnoteRef/>
      </w:r>
      <w:r>
        <w:t xml:space="preserve"> </w:t>
      </w:r>
      <w:r w:rsidRPr="00840537">
        <w:rPr>
          <w:sz w:val="18"/>
        </w:rPr>
        <w:t>“Artículo 38. Integración de la Rama Ejecutiva del Poder Público en el orden nacional. La Rama Ejecutiva del Poder Público en el orden nacional, está integrada por los siguientes organismos y entidades:</w:t>
      </w:r>
    </w:p>
    <w:p w:rsidR="004B71BF" w:rsidRPr="00840537" w:rsidRDefault="004B71BF" w:rsidP="004B71BF">
      <w:pPr>
        <w:spacing w:before="1"/>
        <w:ind w:left="100"/>
        <w:rPr>
          <w:sz w:val="18"/>
        </w:rPr>
      </w:pPr>
      <w:r w:rsidRPr="00840537">
        <w:rPr>
          <w:sz w:val="18"/>
        </w:rPr>
        <w:t>(…)</w:t>
      </w:r>
    </w:p>
    <w:p w:rsidR="004B71BF" w:rsidRPr="00840537" w:rsidRDefault="004B71BF" w:rsidP="004B71BF">
      <w:pPr>
        <w:pStyle w:val="Textoindependiente"/>
        <w:spacing w:before="10"/>
        <w:rPr>
          <w:sz w:val="17"/>
        </w:rPr>
      </w:pPr>
    </w:p>
    <w:p w:rsidR="004B71BF" w:rsidRPr="00840537" w:rsidRDefault="004B71BF" w:rsidP="004B71BF">
      <w:pPr>
        <w:ind w:left="100"/>
        <w:rPr>
          <w:sz w:val="18"/>
        </w:rPr>
      </w:pPr>
      <w:r w:rsidRPr="00840537">
        <w:rPr>
          <w:sz w:val="18"/>
        </w:rPr>
        <w:t>“2. Del Sector descentralizado por servicios:</w:t>
      </w:r>
    </w:p>
    <w:p w:rsidR="004B71BF" w:rsidRPr="00840537" w:rsidRDefault="004B71BF" w:rsidP="004B71BF">
      <w:pPr>
        <w:spacing w:before="1"/>
        <w:ind w:left="100"/>
        <w:rPr>
          <w:sz w:val="18"/>
        </w:rPr>
      </w:pPr>
      <w:r w:rsidRPr="00840537">
        <w:rPr>
          <w:sz w:val="18"/>
        </w:rPr>
        <w:t>(…)</w:t>
      </w:r>
    </w:p>
    <w:p w:rsidR="004B71BF" w:rsidRPr="00840537" w:rsidRDefault="004B71BF" w:rsidP="004B71BF">
      <w:pPr>
        <w:pStyle w:val="Textoindependiente"/>
        <w:spacing w:before="1"/>
        <w:rPr>
          <w:sz w:val="18"/>
        </w:rPr>
      </w:pPr>
    </w:p>
    <w:p w:rsidR="004B71BF" w:rsidRPr="00840537" w:rsidRDefault="004B71BF" w:rsidP="004B71BF">
      <w:pPr>
        <w:ind w:left="100"/>
        <w:rPr>
          <w:sz w:val="18"/>
        </w:rPr>
      </w:pPr>
      <w:r w:rsidRPr="00840537">
        <w:rPr>
          <w:sz w:val="18"/>
        </w:rPr>
        <w:t>“d) Las empresas sociales del Estado y las empresas oficiales de servicios públicos domiciliarios (…)”.</w:t>
      </w:r>
    </w:p>
    <w:p w:rsidR="004B71BF" w:rsidRPr="00840537" w:rsidRDefault="004B71BF" w:rsidP="004B71BF">
      <w:pPr>
        <w:pStyle w:val="Textoindependiente"/>
        <w:spacing w:before="10"/>
        <w:rPr>
          <w:sz w:val="17"/>
        </w:rPr>
      </w:pPr>
    </w:p>
    <w:p w:rsidR="004B71BF" w:rsidRPr="00840537" w:rsidRDefault="004B71BF" w:rsidP="004B71BF">
      <w:pPr>
        <w:ind w:left="100" w:right="106"/>
        <w:jc w:val="both"/>
        <w:rPr>
          <w:sz w:val="18"/>
        </w:rPr>
      </w:pPr>
      <w:r w:rsidRPr="00840537">
        <w:rPr>
          <w:sz w:val="18"/>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rsidR="004B71BF" w:rsidRPr="004B71BF" w:rsidRDefault="004B71BF">
      <w:pPr>
        <w:pStyle w:val="Textonotapie"/>
      </w:pPr>
    </w:p>
  </w:footnote>
  <w:footnote w:id="2">
    <w:p w:rsidR="004B71BF" w:rsidRPr="00840537" w:rsidRDefault="004B71BF" w:rsidP="004B71BF">
      <w:pPr>
        <w:spacing w:before="76" w:line="210" w:lineRule="exact"/>
        <w:ind w:left="808"/>
        <w:rPr>
          <w:sz w:val="18"/>
        </w:rPr>
      </w:pPr>
      <w:r>
        <w:rPr>
          <w:rStyle w:val="Refdenotaalpie"/>
        </w:rPr>
        <w:footnoteRef/>
      </w:r>
      <w:r>
        <w:t xml:space="preserve"> </w:t>
      </w:r>
      <w:r w:rsidRPr="00840537">
        <w:rPr>
          <w:position w:val="6"/>
          <w:sz w:val="12"/>
        </w:rPr>
        <w:t xml:space="preserve">2 </w:t>
      </w:r>
      <w:r w:rsidRPr="00840537">
        <w:rPr>
          <w:sz w:val="18"/>
        </w:rPr>
        <w:t>Consejo de Estado. Sección Tercera. Sentencia del 22 de octubre de 2012. C.P. Enrique Gil Botero.</w:t>
      </w:r>
    </w:p>
    <w:p w:rsidR="004B71BF" w:rsidRPr="00840537" w:rsidRDefault="004B71BF" w:rsidP="004B71BF">
      <w:pPr>
        <w:spacing w:line="206" w:lineRule="exact"/>
        <w:ind w:left="100"/>
        <w:rPr>
          <w:sz w:val="18"/>
        </w:rPr>
      </w:pPr>
      <w:r w:rsidRPr="00840537">
        <w:rPr>
          <w:sz w:val="18"/>
        </w:rPr>
        <w:t>Rad. 2010-00074 (39.942).</w:t>
      </w:r>
    </w:p>
    <w:p w:rsidR="004B71BF" w:rsidRPr="004B71BF" w:rsidRDefault="004B71BF">
      <w:pPr>
        <w:pStyle w:val="Textonotapie"/>
        <w:rPr>
          <w:lang w:val="es-MX"/>
        </w:rPr>
      </w:pPr>
    </w:p>
  </w:footnote>
  <w:footnote w:id="3">
    <w:p w:rsidR="004B71BF" w:rsidRPr="00840537" w:rsidRDefault="004B71BF" w:rsidP="004B71BF">
      <w:pPr>
        <w:ind w:left="808"/>
        <w:rPr>
          <w:sz w:val="18"/>
        </w:rPr>
      </w:pPr>
      <w:r>
        <w:rPr>
          <w:rStyle w:val="Refdenotaalpie"/>
        </w:rPr>
        <w:footnoteRef/>
      </w:r>
      <w:r>
        <w:t xml:space="preserve"> </w:t>
      </w:r>
      <w:r w:rsidRPr="00840537">
        <w:rPr>
          <w:position w:val="6"/>
          <w:sz w:val="12"/>
        </w:rPr>
        <w:t xml:space="preserve">3 </w:t>
      </w:r>
      <w:r w:rsidRPr="00840537">
        <w:rPr>
          <w:sz w:val="18"/>
        </w:rPr>
        <w:t>Corte Constitucional. Sentencia C-1153 de 2005. M.P. Marco Gerardo Monroy Cabra.</w:t>
      </w:r>
    </w:p>
    <w:p w:rsidR="004B71BF" w:rsidRPr="004B71BF" w:rsidRDefault="004B71BF">
      <w:pPr>
        <w:pStyle w:val="Textonotapie"/>
      </w:pPr>
    </w:p>
  </w:footnote>
  <w:footnote w:id="4">
    <w:p w:rsidR="004B71BF" w:rsidRPr="00840537" w:rsidRDefault="004B71BF" w:rsidP="004B71BF">
      <w:pPr>
        <w:spacing w:before="73"/>
        <w:ind w:left="100" w:firstLine="707"/>
        <w:rPr>
          <w:sz w:val="18"/>
        </w:rPr>
      </w:pPr>
      <w:r>
        <w:rPr>
          <w:rStyle w:val="Refdenotaalpie"/>
        </w:rPr>
        <w:footnoteRef/>
      </w:r>
      <w:r>
        <w:t xml:space="preserve"> </w:t>
      </w:r>
      <w:r w:rsidRPr="00840537">
        <w:rPr>
          <w:position w:val="6"/>
          <w:sz w:val="12"/>
        </w:rPr>
        <w:t xml:space="preserve">4 </w:t>
      </w:r>
      <w:r w:rsidRPr="00840537">
        <w:rPr>
          <w:sz w:val="18"/>
        </w:rPr>
        <w:t>Consejo de Estado. Sala de Consulta y Servicio Civil. Concepto del 18 de febrero de 2010. C.P. Enrique José Arboleda Perdomo. Radicación número: 11001-03-06-000-2010-00006-00(1985)A.</w:t>
      </w:r>
    </w:p>
    <w:p w:rsidR="004B71BF" w:rsidRPr="00840537" w:rsidRDefault="004B71BF" w:rsidP="004B71BF">
      <w:pPr>
        <w:pStyle w:val="Textoindependiente"/>
        <w:spacing w:before="7"/>
        <w:rPr>
          <w:sz w:val="17"/>
        </w:rPr>
      </w:pPr>
    </w:p>
    <w:p w:rsidR="004B71BF" w:rsidRPr="004B71BF" w:rsidRDefault="004B71BF">
      <w:pPr>
        <w:pStyle w:val="Textonotapie"/>
        <w:rPr>
          <w:lang w:val="es-MX"/>
        </w:rPr>
      </w:pPr>
    </w:p>
  </w:footnote>
  <w:footnote w:id="5">
    <w:p w:rsidR="004B71BF" w:rsidRPr="00840537" w:rsidRDefault="004B71BF" w:rsidP="004B71BF">
      <w:pPr>
        <w:ind w:left="100" w:right="280" w:firstLine="707"/>
        <w:rPr>
          <w:sz w:val="18"/>
        </w:rPr>
      </w:pPr>
      <w:r>
        <w:rPr>
          <w:rStyle w:val="Refdenotaalpie"/>
        </w:rPr>
        <w:footnoteRef/>
      </w:r>
      <w:r>
        <w:t xml:space="preserve"> </w:t>
      </w:r>
      <w:r w:rsidRPr="00840537">
        <w:rPr>
          <w:sz w:val="18"/>
        </w:rPr>
        <w:t>Consejo de Estado. Sala de Consulta y Servicio Civil. Concepto del 17 de febrero de 2015. C.P. William Zambrano Cetina. Radicación No. 11001-03-06-000-2015-00164-00(2269).</w:t>
      </w:r>
    </w:p>
    <w:p w:rsidR="004B71BF" w:rsidRPr="004B71BF" w:rsidRDefault="004B71BF">
      <w:pPr>
        <w:pStyle w:val="Textonotapie"/>
        <w:rPr>
          <w:lang w:val="es-MX"/>
        </w:rPr>
      </w:pPr>
    </w:p>
  </w:footnote>
  <w:footnote w:id="6">
    <w:p w:rsidR="004B71BF" w:rsidRPr="004B71BF" w:rsidRDefault="004B71BF" w:rsidP="004B71BF">
      <w:pPr>
        <w:spacing w:before="73"/>
        <w:ind w:left="100" w:right="107" w:firstLine="707"/>
        <w:jc w:val="both"/>
      </w:pPr>
      <w:r>
        <w:rPr>
          <w:rStyle w:val="Refdenotaalpie"/>
        </w:rPr>
        <w:footnoteRef/>
      </w:r>
      <w:r>
        <w:t xml:space="preserve"> </w:t>
      </w:r>
      <w:r w:rsidRPr="00840537">
        <w:rPr>
          <w:position w:val="6"/>
          <w:sz w:val="12"/>
        </w:rPr>
        <w:t xml:space="preserve">6 </w:t>
      </w:r>
      <w:r w:rsidRPr="00840537">
        <w:rPr>
          <w:sz w:val="18"/>
        </w:rPr>
        <w:t>“Artículo 32. Vinculación a la nómina estatal. Se suspenderá cualquier forma de vinculación que afecte la nómina estatal, en la Rama Ejecutiva del Poder Público, durante los cuatro (4) meses anteriores a la elección presidencial y hasta la realización de la segunda vuelta, si fuere el caso. Se exceptúan de la presente disposición, los casos a que se refiere el inciso segundo del artículo siguiente”.(Negrillas fuera de texto).</w:t>
      </w:r>
    </w:p>
  </w:footnote>
  <w:footnote w:id="7">
    <w:p w:rsidR="004B71BF" w:rsidRPr="00840537" w:rsidRDefault="004B71BF" w:rsidP="004B71BF">
      <w:pPr>
        <w:pStyle w:val="Textoindependiente"/>
        <w:spacing w:before="8"/>
        <w:rPr>
          <w:sz w:val="17"/>
        </w:rPr>
      </w:pPr>
    </w:p>
    <w:p w:rsidR="004B71BF" w:rsidRPr="00840537" w:rsidRDefault="004B71BF" w:rsidP="004B71BF">
      <w:pPr>
        <w:ind w:left="100" w:right="110" w:firstLine="707"/>
        <w:jc w:val="both"/>
        <w:rPr>
          <w:sz w:val="18"/>
        </w:rPr>
      </w:pPr>
      <w:r w:rsidRPr="00840537">
        <w:rPr>
          <w:position w:val="6"/>
          <w:sz w:val="12"/>
        </w:rPr>
        <w:t xml:space="preserve">7 </w:t>
      </w:r>
      <w:r w:rsidRPr="00840537">
        <w:rPr>
          <w:sz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 (Negrillas fuera de</w:t>
      </w:r>
      <w:r w:rsidRPr="00840537">
        <w:rPr>
          <w:spacing w:val="-32"/>
          <w:sz w:val="18"/>
        </w:rPr>
        <w:t xml:space="preserve"> </w:t>
      </w:r>
      <w:r w:rsidRPr="00840537">
        <w:rPr>
          <w:sz w:val="18"/>
        </w:rPr>
        <w:t>texto).</w:t>
      </w:r>
    </w:p>
    <w:p w:rsidR="004B71BF" w:rsidRPr="004B71BF" w:rsidRDefault="004B71BF">
      <w:pPr>
        <w:pStyle w:val="Textonotapie"/>
        <w:rPr>
          <w:lang w:val="es-MX"/>
        </w:rPr>
      </w:pPr>
    </w:p>
  </w:footnote>
  <w:footnote w:id="8">
    <w:p w:rsidR="004B71BF" w:rsidRPr="00840537" w:rsidRDefault="004B71BF" w:rsidP="004B71BF">
      <w:pPr>
        <w:spacing w:before="73"/>
        <w:ind w:left="100" w:right="108" w:firstLine="707"/>
        <w:jc w:val="both"/>
        <w:rPr>
          <w:sz w:val="18"/>
        </w:rPr>
      </w:pPr>
      <w:r>
        <w:rPr>
          <w:rStyle w:val="Refdenotaalpie"/>
        </w:rPr>
        <w:footnoteRef/>
      </w:r>
      <w:r>
        <w:t xml:space="preserve"> </w:t>
      </w:r>
      <w:r w:rsidRPr="00840537">
        <w:rPr>
          <w:sz w:val="18"/>
        </w:rPr>
        <w:t>Decreto 1082 de 2015, artículo 2.2.1.2.1.4: “La modalidad de selección para la contratación entre Entidades Estatales es la contratación directa; y en consecuencia, le es aplicable lo establecido en el artículo 2.2.1.2.1.4.1 del presente decreto.</w:t>
      </w:r>
    </w:p>
    <w:p w:rsidR="004B71BF" w:rsidRPr="00840537" w:rsidRDefault="004B71BF" w:rsidP="004B71BF">
      <w:pPr>
        <w:pStyle w:val="Textoindependiente"/>
        <w:spacing w:before="11"/>
        <w:rPr>
          <w:sz w:val="17"/>
        </w:rPr>
      </w:pPr>
    </w:p>
    <w:p w:rsidR="004B71BF" w:rsidRPr="00840537" w:rsidRDefault="004B71BF" w:rsidP="004B71BF">
      <w:pPr>
        <w:ind w:left="100" w:right="108"/>
        <w:jc w:val="both"/>
        <w:rPr>
          <w:sz w:val="18"/>
        </w:rPr>
      </w:pPr>
      <w:r w:rsidRPr="00840537">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004B71BF" w:rsidRPr="004B71BF" w:rsidRDefault="004B71BF">
      <w:pPr>
        <w:pStyle w:val="Textonotapie"/>
      </w:pPr>
    </w:p>
  </w:footnote>
  <w:footnote w:id="9">
    <w:p w:rsidR="004B71BF" w:rsidRPr="00840537" w:rsidRDefault="004B71BF" w:rsidP="004B71BF">
      <w:pPr>
        <w:spacing w:before="1"/>
        <w:ind w:left="808"/>
        <w:rPr>
          <w:sz w:val="18"/>
        </w:rPr>
      </w:pPr>
      <w:r>
        <w:rPr>
          <w:rStyle w:val="Refdenotaalpie"/>
        </w:rPr>
        <w:footnoteRef/>
      </w:r>
      <w:r>
        <w:t xml:space="preserve"> </w:t>
      </w:r>
      <w:r w:rsidRPr="00840537">
        <w:rPr>
          <w:sz w:val="18"/>
        </w:rPr>
        <w:t>Corte Constitucional. Sentencia T-442 de 2014. M.P. Gabriel Eduardo Mendoza Martelo.</w:t>
      </w:r>
    </w:p>
    <w:p w:rsidR="004B71BF" w:rsidRPr="004B71BF" w:rsidRDefault="004B71BF">
      <w:pPr>
        <w:pStyle w:val="Textonotapie"/>
      </w:pPr>
    </w:p>
  </w:footnote>
  <w:footnote w:id="10">
    <w:p w:rsidR="004B71BF" w:rsidRPr="00840537" w:rsidRDefault="004B71BF" w:rsidP="004B71BF">
      <w:pPr>
        <w:spacing w:before="73"/>
        <w:ind w:left="808"/>
        <w:rPr>
          <w:sz w:val="18"/>
        </w:rPr>
      </w:pPr>
      <w:r>
        <w:rPr>
          <w:rStyle w:val="Refdenotaalpie"/>
        </w:rPr>
        <w:footnoteRef/>
      </w:r>
      <w:r>
        <w:t xml:space="preserve"> </w:t>
      </w:r>
      <w:r w:rsidRPr="00840537">
        <w:rPr>
          <w:sz w:val="18"/>
        </w:rPr>
        <w:t>Consejo</w:t>
      </w:r>
      <w:r w:rsidRPr="00840537">
        <w:rPr>
          <w:spacing w:val="8"/>
          <w:sz w:val="18"/>
        </w:rPr>
        <w:t xml:space="preserve"> </w:t>
      </w:r>
      <w:r w:rsidRPr="00840537">
        <w:rPr>
          <w:sz w:val="18"/>
        </w:rPr>
        <w:t>de</w:t>
      </w:r>
      <w:r w:rsidRPr="00840537">
        <w:rPr>
          <w:spacing w:val="7"/>
          <w:sz w:val="18"/>
        </w:rPr>
        <w:t xml:space="preserve"> </w:t>
      </w:r>
      <w:r w:rsidRPr="00840537">
        <w:rPr>
          <w:sz w:val="18"/>
        </w:rPr>
        <w:t>Estado.</w:t>
      </w:r>
      <w:r w:rsidRPr="00840537">
        <w:rPr>
          <w:spacing w:val="8"/>
          <w:sz w:val="18"/>
        </w:rPr>
        <w:t xml:space="preserve"> </w:t>
      </w:r>
      <w:r w:rsidRPr="00840537">
        <w:rPr>
          <w:sz w:val="18"/>
        </w:rPr>
        <w:t>Sección</w:t>
      </w:r>
      <w:r w:rsidRPr="00840537">
        <w:rPr>
          <w:spacing w:val="7"/>
          <w:sz w:val="18"/>
        </w:rPr>
        <w:t xml:space="preserve"> </w:t>
      </w:r>
      <w:r w:rsidRPr="00840537">
        <w:rPr>
          <w:sz w:val="18"/>
        </w:rPr>
        <w:t>Tercera.</w:t>
      </w:r>
      <w:r w:rsidRPr="00840537">
        <w:rPr>
          <w:spacing w:val="7"/>
          <w:sz w:val="18"/>
        </w:rPr>
        <w:t xml:space="preserve"> </w:t>
      </w:r>
      <w:r w:rsidRPr="00840537">
        <w:rPr>
          <w:sz w:val="18"/>
        </w:rPr>
        <w:t>Sentencia</w:t>
      </w:r>
      <w:r w:rsidRPr="00840537">
        <w:rPr>
          <w:spacing w:val="8"/>
          <w:sz w:val="18"/>
        </w:rPr>
        <w:t xml:space="preserve"> </w:t>
      </w:r>
      <w:r w:rsidRPr="00840537">
        <w:rPr>
          <w:sz w:val="18"/>
        </w:rPr>
        <w:t>del</w:t>
      </w:r>
      <w:r w:rsidRPr="00840537">
        <w:rPr>
          <w:spacing w:val="7"/>
          <w:sz w:val="18"/>
        </w:rPr>
        <w:t xml:space="preserve"> </w:t>
      </w:r>
      <w:r w:rsidRPr="00840537">
        <w:rPr>
          <w:sz w:val="18"/>
        </w:rPr>
        <w:t>7</w:t>
      </w:r>
      <w:r w:rsidRPr="00840537">
        <w:rPr>
          <w:spacing w:val="8"/>
          <w:sz w:val="18"/>
        </w:rPr>
        <w:t xml:space="preserve"> </w:t>
      </w:r>
      <w:r w:rsidRPr="00840537">
        <w:rPr>
          <w:sz w:val="18"/>
        </w:rPr>
        <w:t>de</w:t>
      </w:r>
      <w:r w:rsidRPr="00840537">
        <w:rPr>
          <w:spacing w:val="7"/>
          <w:sz w:val="18"/>
        </w:rPr>
        <w:t xml:space="preserve"> </w:t>
      </w:r>
      <w:r w:rsidRPr="00840537">
        <w:rPr>
          <w:sz w:val="18"/>
        </w:rPr>
        <w:t>octubre</w:t>
      </w:r>
      <w:r w:rsidRPr="00840537">
        <w:rPr>
          <w:spacing w:val="8"/>
          <w:sz w:val="18"/>
        </w:rPr>
        <w:t xml:space="preserve"> </w:t>
      </w:r>
      <w:r w:rsidRPr="00840537">
        <w:rPr>
          <w:sz w:val="18"/>
        </w:rPr>
        <w:t>de</w:t>
      </w:r>
      <w:r w:rsidRPr="00840537">
        <w:rPr>
          <w:spacing w:val="7"/>
          <w:sz w:val="18"/>
        </w:rPr>
        <w:t xml:space="preserve"> </w:t>
      </w:r>
      <w:r w:rsidRPr="00840537">
        <w:rPr>
          <w:sz w:val="18"/>
        </w:rPr>
        <w:t>2009.</w:t>
      </w:r>
      <w:r w:rsidRPr="00840537">
        <w:rPr>
          <w:spacing w:val="8"/>
          <w:sz w:val="18"/>
        </w:rPr>
        <w:t xml:space="preserve"> </w:t>
      </w:r>
      <w:r w:rsidRPr="00840537">
        <w:rPr>
          <w:sz w:val="18"/>
        </w:rPr>
        <w:t>C.P.</w:t>
      </w:r>
      <w:r w:rsidRPr="00840537">
        <w:rPr>
          <w:spacing w:val="8"/>
          <w:sz w:val="18"/>
        </w:rPr>
        <w:t xml:space="preserve"> </w:t>
      </w:r>
      <w:r w:rsidRPr="00840537">
        <w:rPr>
          <w:sz w:val="18"/>
        </w:rPr>
        <w:t>Enrique</w:t>
      </w:r>
      <w:r w:rsidRPr="00840537">
        <w:rPr>
          <w:spacing w:val="7"/>
          <w:sz w:val="18"/>
        </w:rPr>
        <w:t xml:space="preserve"> </w:t>
      </w:r>
      <w:r w:rsidRPr="00840537">
        <w:rPr>
          <w:sz w:val="18"/>
        </w:rPr>
        <w:t>Gil</w:t>
      </w:r>
      <w:r w:rsidRPr="00840537">
        <w:rPr>
          <w:spacing w:val="3"/>
          <w:sz w:val="18"/>
        </w:rPr>
        <w:t xml:space="preserve"> </w:t>
      </w:r>
      <w:r w:rsidRPr="00840537">
        <w:rPr>
          <w:sz w:val="18"/>
        </w:rPr>
        <w:t>Botero.</w:t>
      </w:r>
    </w:p>
    <w:p w:rsidR="004B71BF" w:rsidRPr="00840537" w:rsidRDefault="004B71BF" w:rsidP="004B71BF">
      <w:pPr>
        <w:spacing w:before="1"/>
        <w:ind w:left="100"/>
        <w:rPr>
          <w:sz w:val="18"/>
        </w:rPr>
      </w:pPr>
      <w:r w:rsidRPr="00840537">
        <w:rPr>
          <w:sz w:val="18"/>
        </w:rPr>
        <w:t>Rad. 2000-00754 (35476).</w:t>
      </w:r>
    </w:p>
    <w:p w:rsidR="004B71BF" w:rsidRPr="004B71BF" w:rsidRDefault="004B71BF">
      <w:pPr>
        <w:pStyle w:val="Textonotapie"/>
        <w:rPr>
          <w:lang w:val="es-MX"/>
        </w:rPr>
      </w:pPr>
    </w:p>
  </w:footnote>
  <w:footnote w:id="11">
    <w:p w:rsidR="004B71BF" w:rsidRPr="00840537" w:rsidRDefault="004B71BF" w:rsidP="004B71BF">
      <w:pPr>
        <w:ind w:left="808"/>
        <w:rPr>
          <w:sz w:val="18"/>
        </w:rPr>
      </w:pPr>
      <w:r>
        <w:rPr>
          <w:rStyle w:val="Refdenotaalpie"/>
        </w:rPr>
        <w:footnoteRef/>
      </w:r>
      <w:r>
        <w:t xml:space="preserve"> </w:t>
      </w:r>
      <w:r w:rsidRPr="00840537">
        <w:rPr>
          <w:sz w:val="18"/>
        </w:rPr>
        <w:t>Ley 1150 de 2007, artículo 2, literal 4, numeral c, modificada por el artículo 92 de la Ley 1474 de</w:t>
      </w:r>
    </w:p>
    <w:p w:rsidR="004B71BF" w:rsidRPr="00840537" w:rsidRDefault="004B71BF" w:rsidP="004B71BF">
      <w:pPr>
        <w:ind w:left="100"/>
        <w:rPr>
          <w:sz w:val="18"/>
        </w:rPr>
      </w:pPr>
      <w:r w:rsidRPr="00840537">
        <w:rPr>
          <w:sz w:val="18"/>
        </w:rPr>
        <w:t>2011.</w:t>
      </w:r>
    </w:p>
    <w:p w:rsidR="004B71BF" w:rsidRPr="004B71BF" w:rsidRDefault="004B71BF">
      <w:pPr>
        <w:pStyle w:val="Textonotapie"/>
        <w:rPr>
          <w:lang w:val="es-MX"/>
        </w:rPr>
      </w:pPr>
    </w:p>
  </w:footnote>
  <w:footnote w:id="12">
    <w:p w:rsidR="004B71BF" w:rsidRPr="00840537" w:rsidRDefault="004B71BF" w:rsidP="004B71BF">
      <w:pPr>
        <w:spacing w:before="73"/>
        <w:ind w:left="100" w:right="105" w:firstLine="707"/>
        <w:jc w:val="both"/>
        <w:rPr>
          <w:sz w:val="18"/>
        </w:rPr>
      </w:pPr>
      <w:r>
        <w:rPr>
          <w:rStyle w:val="Refdenotaalpie"/>
        </w:rPr>
        <w:footnoteRef/>
      </w:r>
      <w:r>
        <w:t xml:space="preserve"> </w:t>
      </w:r>
      <w:r w:rsidRPr="00840537">
        <w:rPr>
          <w:position w:val="6"/>
          <w:sz w:val="12"/>
        </w:rPr>
        <w:t xml:space="preserve">12 </w:t>
      </w:r>
      <w:r w:rsidRPr="00840537">
        <w:rPr>
          <w:sz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004B71BF" w:rsidRPr="004B71BF" w:rsidRDefault="004B71BF">
      <w:pPr>
        <w:pStyle w:val="Textonotapie"/>
      </w:pPr>
    </w:p>
  </w:footnote>
  <w:footnote w:id="13">
    <w:p w:rsidR="004B71BF" w:rsidRPr="00840537" w:rsidRDefault="004B71BF" w:rsidP="004B71BF">
      <w:pPr>
        <w:spacing w:before="96"/>
        <w:ind w:left="100" w:right="107" w:firstLine="707"/>
        <w:jc w:val="both"/>
        <w:rPr>
          <w:sz w:val="18"/>
        </w:rPr>
      </w:pPr>
      <w:r>
        <w:rPr>
          <w:rStyle w:val="Refdenotaalpie"/>
        </w:rPr>
        <w:footnoteRef/>
      </w:r>
      <w:r>
        <w:t xml:space="preserve"> </w:t>
      </w:r>
      <w:r w:rsidRPr="00840537">
        <w:rPr>
          <w:sz w:val="18"/>
        </w:rPr>
        <w:t>Ley 489 de 1998: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rsidR="004B71BF" w:rsidRPr="004B71BF" w:rsidRDefault="004B71BF">
      <w:pPr>
        <w:pStyle w:val="Textonotapie"/>
      </w:pPr>
    </w:p>
  </w:footnote>
  <w:footnote w:id="14">
    <w:p w:rsidR="004B71BF" w:rsidRPr="00840537" w:rsidRDefault="004B71BF" w:rsidP="004B71BF">
      <w:pPr>
        <w:ind w:left="100" w:right="280" w:firstLine="707"/>
        <w:rPr>
          <w:sz w:val="18"/>
        </w:rPr>
      </w:pPr>
      <w:r>
        <w:rPr>
          <w:rStyle w:val="Refdenotaalpie"/>
        </w:rPr>
        <w:footnoteRef/>
      </w:r>
      <w:r>
        <w:t xml:space="preserve"> </w:t>
      </w:r>
      <w:r w:rsidRPr="00840537">
        <w:rPr>
          <w:sz w:val="18"/>
        </w:rPr>
        <w:t>Consejo de Estado. Sección Tercera. Sentencia del 23 de junio de 2010. C.P. Mauricio Fajardo Gómez (E) Rad. 1998-00261-01(17860).</w:t>
      </w:r>
    </w:p>
    <w:p w:rsidR="004B71BF" w:rsidRPr="004B71BF" w:rsidRDefault="004B71BF">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E5" w:rsidRDefault="00A86177">
    <w:pPr>
      <w:pStyle w:val="Textoindependiente"/>
      <w:spacing w:line="14" w:lineRule="auto"/>
      <w:rPr>
        <w:sz w:val="20"/>
      </w:rPr>
    </w:pPr>
    <w:r>
      <w:rPr>
        <w:noProof/>
        <w:lang w:val="en-US"/>
      </w:rPr>
      <w:drawing>
        <wp:anchor distT="0" distB="0" distL="0" distR="0" simplePos="0" relativeHeight="487456256" behindDoc="1" locked="0" layoutInCell="1" allowOverlap="1" wp14:anchorId="76466878" wp14:editId="0622C24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E5" w:rsidRDefault="00A86177">
    <w:pPr>
      <w:pStyle w:val="Textoindependiente"/>
      <w:spacing w:line="14" w:lineRule="auto"/>
      <w:rPr>
        <w:sz w:val="20"/>
      </w:rPr>
    </w:pPr>
    <w:r>
      <w:rPr>
        <w:noProof/>
        <w:lang w:val="en-US"/>
      </w:rPr>
      <w:drawing>
        <wp:anchor distT="0" distB="0" distL="0" distR="0" simplePos="0" relativeHeight="487457280" behindDoc="1" locked="0" layoutInCell="1" allowOverlap="1" wp14:anchorId="3B469492" wp14:editId="1DBE78D0">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E5"/>
    <w:rsid w:val="00057381"/>
    <w:rsid w:val="00107395"/>
    <w:rsid w:val="001C2186"/>
    <w:rsid w:val="002304FE"/>
    <w:rsid w:val="002C3FE2"/>
    <w:rsid w:val="004B71BF"/>
    <w:rsid w:val="00652749"/>
    <w:rsid w:val="007D7A4C"/>
    <w:rsid w:val="00840537"/>
    <w:rsid w:val="009D7C80"/>
    <w:rsid w:val="009D7E16"/>
    <w:rsid w:val="00A86177"/>
    <w:rsid w:val="00D30FD1"/>
    <w:rsid w:val="00DA1AE5"/>
    <w:rsid w:val="00EF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9575"/>
  <w15:docId w15:val="{36E82B2A-3D51-45D5-B0DD-5D81407D2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25"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25" w:hanging="42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4B71BF"/>
    <w:rPr>
      <w:sz w:val="20"/>
      <w:szCs w:val="20"/>
    </w:rPr>
  </w:style>
  <w:style w:type="character" w:customStyle="1" w:styleId="TextonotapieCar">
    <w:name w:val="Texto nota pie Car"/>
    <w:basedOn w:val="Fuentedeprrafopredeter"/>
    <w:link w:val="Textonotapie"/>
    <w:uiPriority w:val="99"/>
    <w:semiHidden/>
    <w:rsid w:val="004B71B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4B7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CF192-2EB5-4E0D-A958-E2FFF932D94D}">
  <ds:schemaRefs>
    <ds:schemaRef ds:uri="http://schemas.microsoft.com/sharepoint/v3/contenttype/forms"/>
  </ds:schemaRefs>
</ds:datastoreItem>
</file>

<file path=customXml/itemProps2.xml><?xml version="1.0" encoding="utf-8"?>
<ds:datastoreItem xmlns:ds="http://schemas.openxmlformats.org/officeDocument/2006/customXml" ds:itemID="{7BB449DA-C583-4A71-84A9-6A706A72B23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80D3E7C-654E-4040-8C37-3ED86FEF6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0D9171-5E3F-458F-9632-97F21DC48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3121</Words>
  <Characters>17790</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2020-08-20T05:23:00Z</dcterms:created>
  <dcterms:modified xsi:type="dcterms:W3CDTF">2020-08-20T05:23:00Z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