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007AF" w14:textId="77777777" w:rsidR="00C965F6" w:rsidRPr="009A107A" w:rsidRDefault="00C965F6" w:rsidP="009A107A">
      <w:pPr>
        <w:jc w:val="both"/>
        <w:rPr>
          <w:rFonts w:ascii="Arial" w:eastAsia="Calibri" w:hAnsi="Arial" w:cs="Arial"/>
          <w:b/>
          <w:sz w:val="22"/>
          <w:lang w:val="es-ES_tradnl"/>
        </w:rPr>
      </w:pPr>
      <w:bookmarkStart w:id="0" w:name="_Hlk29752189"/>
      <w:r w:rsidRPr="009A107A">
        <w:rPr>
          <w:rFonts w:ascii="Arial" w:eastAsia="Calibri" w:hAnsi="Arial" w:cs="Arial"/>
          <w:b/>
          <w:sz w:val="22"/>
          <w:lang w:val="es-ES_tradnl"/>
        </w:rPr>
        <w:t xml:space="preserve">SERVICIOS PÚBLICOS DOMICILIARIOS – Liberalización – Operadores </w:t>
      </w:r>
    </w:p>
    <w:p w14:paraId="2F739054" w14:textId="77777777" w:rsidR="00C965F6" w:rsidRPr="009A107A" w:rsidRDefault="00C965F6" w:rsidP="009A107A">
      <w:pPr>
        <w:jc w:val="both"/>
        <w:rPr>
          <w:rFonts w:ascii="Arial" w:hAnsi="Arial" w:cs="Arial"/>
          <w:sz w:val="20"/>
          <w:szCs w:val="20"/>
          <w:lang w:val="es-ES_tradnl"/>
        </w:rPr>
      </w:pPr>
    </w:p>
    <w:p w14:paraId="3AF06CA8" w14:textId="598FAB75" w:rsidR="00C965F6" w:rsidRPr="009A107A" w:rsidRDefault="00C965F6" w:rsidP="009A107A">
      <w:pPr>
        <w:jc w:val="both"/>
        <w:rPr>
          <w:rFonts w:ascii="Arial" w:eastAsia="Calibri" w:hAnsi="Arial" w:cs="Arial"/>
          <w:sz w:val="20"/>
          <w:szCs w:val="20"/>
          <w:lang w:val="es-ES_tradnl"/>
        </w:rPr>
      </w:pPr>
      <w:r w:rsidRPr="009A107A">
        <w:rPr>
          <w:rFonts w:ascii="Arial" w:eastAsia="Calibri" w:hAnsi="Arial" w:cs="Arial"/>
          <w:sz w:val="20"/>
          <w:szCs w:val="20"/>
          <w:lang w:val="es-ES_tradnl"/>
        </w:rPr>
        <w:t>En la Constitución Política de 1991 se previó un régimen de liberalización de los servicios públicos. En tal contexto, el artículo 365 de la Carta establece que los servicios públicos domiciliarios «podrán ser prestados por el Estado, directa o indirectamente, por comunidades organizadas, o por particulares», pero que «[e]n todo caso, el Estado mantendrá la regulación, el control y la vigilancia de dichos servicios». En desarrollo de esta habilitación superior, el artículo 15 de la Ley 142 de 1994 dispone que pueden actuar como operadores de servicios públicos domiciliarios: i) «Las empresas de servicios públicos» –oficiales, mixtas y privadas–, ii) «Las personas naturales o 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34853DA0" w14:textId="77777777" w:rsidR="00C965F6" w:rsidRPr="009A107A" w:rsidRDefault="00C965F6" w:rsidP="009A107A">
      <w:pPr>
        <w:contextualSpacing/>
        <w:jc w:val="both"/>
        <w:rPr>
          <w:rFonts w:ascii="Arial" w:eastAsia="Calibri" w:hAnsi="Arial" w:cs="Arial"/>
          <w:sz w:val="20"/>
          <w:szCs w:val="20"/>
          <w:lang w:val="es-ES_tradnl"/>
        </w:rPr>
      </w:pPr>
    </w:p>
    <w:p w14:paraId="7699FFBC" w14:textId="77777777" w:rsidR="00C965F6" w:rsidRPr="009A107A" w:rsidRDefault="00C965F6" w:rsidP="009A107A">
      <w:pPr>
        <w:jc w:val="both"/>
        <w:rPr>
          <w:rFonts w:ascii="Arial" w:eastAsia="Calibri" w:hAnsi="Arial" w:cs="Arial"/>
          <w:b/>
          <w:sz w:val="22"/>
          <w:lang w:val="es-ES_tradnl"/>
        </w:rPr>
      </w:pPr>
      <w:r w:rsidRPr="009A107A">
        <w:rPr>
          <w:rFonts w:ascii="Arial" w:eastAsia="Calibri" w:hAnsi="Arial" w:cs="Arial"/>
          <w:b/>
          <w:sz w:val="22"/>
          <w:lang w:val="es-ES_tradnl"/>
        </w:rPr>
        <w:t xml:space="preserve">SERVICIOS PÚBLICOS DOMICILIARIOS – Régimen contractual – Derecho privado </w:t>
      </w:r>
    </w:p>
    <w:p w14:paraId="0CF4BC9F" w14:textId="77777777" w:rsidR="00C965F6" w:rsidRPr="009A107A" w:rsidRDefault="00C965F6" w:rsidP="009A107A">
      <w:pPr>
        <w:jc w:val="both"/>
        <w:rPr>
          <w:rFonts w:ascii="Arial" w:hAnsi="Arial" w:cs="Arial"/>
          <w:sz w:val="20"/>
          <w:szCs w:val="20"/>
          <w:lang w:val="es-ES_tradnl"/>
        </w:rPr>
      </w:pPr>
    </w:p>
    <w:p w14:paraId="23F4D3D7" w14:textId="77777777" w:rsidR="00C965F6" w:rsidRPr="009A107A" w:rsidRDefault="00C965F6" w:rsidP="009A107A">
      <w:pPr>
        <w:jc w:val="both"/>
        <w:rPr>
          <w:rFonts w:ascii="Arial" w:eastAsia="Calibri" w:hAnsi="Arial" w:cs="Arial"/>
          <w:sz w:val="20"/>
          <w:szCs w:val="20"/>
          <w:lang w:val="es-ES_tradnl"/>
        </w:rPr>
      </w:pPr>
      <w:r w:rsidRPr="009A107A">
        <w:rPr>
          <w:rFonts w:ascii="Arial" w:eastAsia="Calibri" w:hAnsi="Arial" w:cs="Arial"/>
          <w:sz w:val="20"/>
          <w:szCs w:val="20"/>
          <w:lang w:val="es-ES_tradnl"/>
        </w:rPr>
        <w:t xml:space="preserve">En desarrollo de su libertad de configuración legislativa y en virtud de la naturaleza de la actividad ejercida por los operadores, el Congreso de la República dispuso en la Ley 142 de 1994 que el régimen contractual aplicable a las empresas prestadoras de servicios públicos domiciliarios es el derecho privado. En tal sentido, el primer inciso del artículo 31 de dicha Ley prevé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y, de igual modo, el inciso inicial del artículo 32 del mismo cuerpo normativo establece que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 Lo anterior significa que, salvo los casos especiales en los que la Constitución Política o la Ley establezcan expresamente que los actos y contratos de las empresas prestadoras de servicios públicos domiciliarios deban regularse por el Estatuto General de Contratación de la Administración Pública –Ley 80 de 1993, Ley 1150 de 2007 y normas complementarias–, la actividad contractual de aquellas se rige por el derecho privado, es decir, por las normas civiles y comerciales, las cuales, en todo caso, deben aplicarse en armonía con su manual o reglamento interno de contratación, así como con los principios de la función administrativa y de la gestión fiscal, consagrados, respectivamente, en los artículos 209 y 267 de la Constitución, más el régimen de inhabilidades e incompatibilidades previsto para la contratación estatal, tal como se infiere de la eficacia directa de la norma superior y del artículo 13 de la Ley 1150 de 2007.  </w:t>
      </w:r>
    </w:p>
    <w:p w14:paraId="026F9BCD" w14:textId="77777777" w:rsidR="00C965F6" w:rsidRPr="009A107A" w:rsidRDefault="00C965F6" w:rsidP="009A107A">
      <w:pPr>
        <w:contextualSpacing/>
        <w:jc w:val="both"/>
        <w:rPr>
          <w:rFonts w:ascii="Arial" w:eastAsia="Calibri" w:hAnsi="Arial" w:cs="Arial"/>
          <w:sz w:val="20"/>
          <w:szCs w:val="20"/>
          <w:lang w:val="es-ES_tradnl"/>
        </w:rPr>
      </w:pPr>
    </w:p>
    <w:p w14:paraId="0EB8BFE6" w14:textId="77777777" w:rsidR="00C965F6" w:rsidRPr="009A107A" w:rsidRDefault="00C965F6" w:rsidP="009A107A">
      <w:pPr>
        <w:jc w:val="both"/>
        <w:rPr>
          <w:rFonts w:ascii="Arial" w:eastAsia="Calibri" w:hAnsi="Arial" w:cs="Arial"/>
          <w:b/>
          <w:sz w:val="22"/>
          <w:lang w:val="es-ES_tradnl"/>
        </w:rPr>
      </w:pPr>
      <w:r w:rsidRPr="009A107A">
        <w:rPr>
          <w:rFonts w:ascii="Arial" w:eastAsia="Calibri" w:hAnsi="Arial" w:cs="Arial"/>
          <w:b/>
          <w:sz w:val="22"/>
          <w:lang w:val="es-ES_tradnl"/>
        </w:rPr>
        <w:t>CONTRATACIÓN DE SOCIO OPERADOR – Régimen jurídico</w:t>
      </w:r>
    </w:p>
    <w:p w14:paraId="60A6856A" w14:textId="77777777" w:rsidR="00C965F6" w:rsidRPr="009A107A" w:rsidRDefault="00C965F6" w:rsidP="009A107A">
      <w:pPr>
        <w:jc w:val="both"/>
        <w:rPr>
          <w:rFonts w:ascii="Arial" w:eastAsia="Calibri" w:hAnsi="Arial" w:cs="Arial"/>
          <w:b/>
          <w:sz w:val="22"/>
          <w:lang w:val="es-ES_tradnl"/>
        </w:rPr>
      </w:pPr>
    </w:p>
    <w:p w14:paraId="6F592073" w14:textId="1E80852F" w:rsidR="00C965F6" w:rsidRPr="009A107A" w:rsidRDefault="00C965F6" w:rsidP="009A107A">
      <w:pPr>
        <w:jc w:val="both"/>
        <w:rPr>
          <w:rFonts w:ascii="Arial" w:eastAsia="Calibri" w:hAnsi="Arial" w:cs="Arial"/>
          <w:sz w:val="20"/>
          <w:szCs w:val="20"/>
          <w:lang w:val="es-ES_tradnl"/>
        </w:rPr>
      </w:pPr>
      <w:r w:rsidRPr="009A107A">
        <w:rPr>
          <w:rFonts w:ascii="Arial" w:eastAsia="Calibri" w:hAnsi="Arial" w:cs="Arial"/>
          <w:sz w:val="20"/>
          <w:szCs w:val="20"/>
          <w:lang w:val="es-ES_tradnl"/>
        </w:rPr>
        <w:t xml:space="preserve">Teniendo en cuenta que de los artículos 31 y 32 de la Ley 142 de 1994 se infiere que los actos y contratos de las empresas prestadoras de servicios públicos domiciliarios se rigen por el derecho privado, y que, por regla general, no se someten entonces al Estatuto General de Contratación de la Administración Pública, salvo en lo que dicha ley «disponga otra cosa»; y considerando, por consiguiente, que, en relación con el negocio jurídico concreto que es objeto de consulta la Ley 142 de 1994 no dispuso «otra cosa», se puede concluir que la </w:t>
      </w:r>
      <w:r w:rsidRPr="009A107A">
        <w:rPr>
          <w:rFonts w:ascii="Arial" w:eastAsia="Calibri" w:hAnsi="Arial" w:cs="Arial"/>
          <w:i/>
          <w:iCs/>
          <w:sz w:val="20"/>
          <w:szCs w:val="20"/>
          <w:lang w:val="es-ES_tradnl"/>
        </w:rPr>
        <w:t>contratación de un socio operador</w:t>
      </w:r>
      <w:r w:rsidRPr="009A107A">
        <w:rPr>
          <w:rFonts w:ascii="Arial" w:eastAsia="Calibri" w:hAnsi="Arial" w:cs="Arial"/>
          <w:sz w:val="20"/>
          <w:szCs w:val="20"/>
          <w:lang w:val="es-ES_tradnl"/>
        </w:rPr>
        <w:t xml:space="preserve">  por parte de una empresa prestadora de servicios públicos domiciliarios, independientemente de su naturaleza –oficial, mixta o privada– debe regirse por el derecho privado, salvo que el reglamento o manual interno de contratación de la respectiva empresa haya dispuesto reglas jurídicos especiales; </w:t>
      </w:r>
      <w:r w:rsidRPr="009A107A">
        <w:rPr>
          <w:rFonts w:ascii="Arial" w:eastAsia="Calibri" w:hAnsi="Arial" w:cs="Arial"/>
          <w:sz w:val="20"/>
          <w:szCs w:val="20"/>
          <w:lang w:val="es-ES_tradnl"/>
        </w:rPr>
        <w:lastRenderedPageBreak/>
        <w:t>caso en el cual estas prevalecerán sobre las normas civiles y comerciales comunes. Adicionalmente, en el referido negocio se deberán aplicar los principios de la función administrativa y de la gestión fiscal, consagrados, respectivamente, en los artículos 209 y 267 de la Constitución Política, así como el régimen de inhabilidades e incompatibilidades previsto legalmente para la contratación estatal, según lo exige el artículo 13 de la Ley 1150 de 2007.</w:t>
      </w:r>
    </w:p>
    <w:p w14:paraId="43820E0D" w14:textId="458E876A" w:rsidR="00D5069A" w:rsidRPr="009A107A" w:rsidRDefault="00D5069A" w:rsidP="009A107A">
      <w:pPr>
        <w:jc w:val="both"/>
        <w:rPr>
          <w:rFonts w:ascii="Arial" w:eastAsia="Calibri" w:hAnsi="Arial" w:cs="Arial"/>
          <w:sz w:val="20"/>
          <w:szCs w:val="20"/>
          <w:lang w:val="es-ES_tradnl"/>
        </w:rPr>
      </w:pPr>
    </w:p>
    <w:p w14:paraId="07EDB598" w14:textId="77777777" w:rsidR="009A107A" w:rsidRPr="009A107A" w:rsidRDefault="009A107A" w:rsidP="009A107A">
      <w:pPr>
        <w:jc w:val="both"/>
        <w:rPr>
          <w:rFonts w:ascii="Arial" w:eastAsia="Calibri" w:hAnsi="Arial" w:cs="Arial"/>
          <w:sz w:val="20"/>
          <w:szCs w:val="20"/>
          <w:lang w:val="es-ES_tradnl"/>
        </w:rPr>
      </w:pPr>
    </w:p>
    <w:p w14:paraId="493EE007" w14:textId="77777777" w:rsidR="00C965F6" w:rsidRPr="009A107A" w:rsidRDefault="00C965F6" w:rsidP="009A107A">
      <w:pPr>
        <w:jc w:val="both"/>
        <w:rPr>
          <w:rFonts w:ascii="Arial" w:hAnsi="Arial" w:cs="Arial"/>
          <w:sz w:val="22"/>
          <w:lang w:val="es-ES_tradnl"/>
        </w:rPr>
      </w:pPr>
    </w:p>
    <w:p w14:paraId="0C2536F3" w14:textId="0D209306" w:rsidR="00C965F6" w:rsidRPr="00191148" w:rsidRDefault="00C965F6" w:rsidP="00191148">
      <w:pPr>
        <w:jc w:val="both"/>
        <w:rPr>
          <w:rFonts w:ascii="Arial" w:hAnsi="Arial" w:cs="Arial"/>
          <w:sz w:val="22"/>
          <w:lang w:val="es-ES_tradnl"/>
        </w:rPr>
      </w:pPr>
      <w:r w:rsidRPr="009A107A">
        <w:rPr>
          <w:rFonts w:ascii="Arial" w:hAnsi="Arial" w:cs="Arial"/>
          <w:sz w:val="22"/>
          <w:lang w:val="es-ES_tradnl"/>
        </w:rPr>
        <w:t xml:space="preserve">Bogotá D.C., </w:t>
      </w:r>
      <w:r w:rsidR="00191148" w:rsidRPr="00191148">
        <w:rPr>
          <w:rFonts w:ascii="Arial" w:hAnsi="Arial" w:cs="Arial"/>
          <w:sz w:val="22"/>
          <w:lang w:val="es-ES_tradnl"/>
        </w:rPr>
        <w:t>5-2-2020</w:t>
      </w:r>
      <w:r w:rsidR="00191148" w:rsidRPr="00191148">
        <w:rPr>
          <w:rFonts w:ascii="Arial" w:hAnsi="Arial" w:cs="Arial"/>
          <w:sz w:val="22"/>
          <w:lang w:val="es-ES_tradnl"/>
        </w:rPr>
        <w:tab/>
      </w:r>
    </w:p>
    <w:p w14:paraId="0AB9C9EB" w14:textId="5194252E" w:rsidR="00C965F6" w:rsidRPr="00191148" w:rsidRDefault="00C965F6" w:rsidP="009A107A">
      <w:pPr>
        <w:jc w:val="right"/>
        <w:rPr>
          <w:rFonts w:ascii="Arial" w:hAnsi="Arial" w:cs="Arial"/>
          <w:b/>
          <w:sz w:val="22"/>
          <w:lang w:val="es-ES_tradnl"/>
        </w:rPr>
      </w:pPr>
      <w:r w:rsidRPr="009A107A">
        <w:rPr>
          <w:rFonts w:ascii="Arial" w:hAnsi="Arial" w:cs="Arial"/>
          <w:b/>
          <w:sz w:val="22"/>
          <w:lang w:val="es-ES_tradnl"/>
        </w:rPr>
        <w:t xml:space="preserve">N° Radicado: </w:t>
      </w:r>
      <w:r w:rsidR="00191148" w:rsidRPr="00191148">
        <w:rPr>
          <w:rFonts w:ascii="Arial" w:hAnsi="Arial" w:cs="Arial"/>
          <w:b/>
          <w:sz w:val="22"/>
          <w:lang w:val="es-ES_tradnl"/>
        </w:rPr>
        <w:t>2202013000000704</w:t>
      </w:r>
    </w:p>
    <w:p w14:paraId="1483F458" w14:textId="77777777" w:rsidR="00C965F6" w:rsidRPr="009A107A" w:rsidRDefault="00C965F6" w:rsidP="009A107A">
      <w:pPr>
        <w:jc w:val="both"/>
        <w:rPr>
          <w:rFonts w:ascii="Arial" w:eastAsia="Calibri" w:hAnsi="Arial" w:cs="Arial"/>
          <w:sz w:val="22"/>
          <w:lang w:val="es-ES_tradnl"/>
        </w:rPr>
      </w:pPr>
    </w:p>
    <w:p w14:paraId="2541A1BF"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t xml:space="preserve">Señor </w:t>
      </w:r>
    </w:p>
    <w:p w14:paraId="61E6E4B1" w14:textId="77777777" w:rsidR="00C965F6" w:rsidRPr="009A107A" w:rsidRDefault="00C965F6" w:rsidP="009A107A">
      <w:pPr>
        <w:jc w:val="both"/>
        <w:rPr>
          <w:rFonts w:ascii="Arial" w:eastAsia="Calibri" w:hAnsi="Arial" w:cs="Arial"/>
          <w:b/>
          <w:sz w:val="22"/>
          <w:lang w:val="es-ES_tradnl"/>
        </w:rPr>
      </w:pPr>
      <w:r w:rsidRPr="009A107A">
        <w:rPr>
          <w:rFonts w:ascii="Arial" w:eastAsia="Calibri" w:hAnsi="Arial" w:cs="Arial"/>
          <w:b/>
          <w:sz w:val="22"/>
          <w:lang w:val="es-ES_tradnl"/>
        </w:rPr>
        <w:t xml:space="preserve">Edwin López Fuentes </w:t>
      </w:r>
    </w:p>
    <w:p w14:paraId="71E03F00"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t>Ciudad</w:t>
      </w:r>
    </w:p>
    <w:p w14:paraId="42DDE7FF" w14:textId="77777777" w:rsidR="00C965F6" w:rsidRPr="009A107A" w:rsidRDefault="00C965F6" w:rsidP="009A107A">
      <w:pPr>
        <w:jc w:val="both"/>
        <w:rPr>
          <w:rFonts w:ascii="Arial" w:eastAsia="Calibri" w:hAnsi="Arial" w:cs="Arial"/>
          <w:sz w:val="22"/>
          <w:lang w:val="es-ES_tradnl"/>
        </w:rPr>
      </w:pPr>
    </w:p>
    <w:p w14:paraId="561A0B5C" w14:textId="77777777" w:rsidR="00C965F6" w:rsidRPr="009A107A" w:rsidRDefault="00C965F6" w:rsidP="009A107A">
      <w:pPr>
        <w:jc w:val="center"/>
        <w:rPr>
          <w:rFonts w:ascii="Arial" w:eastAsia="Calibri" w:hAnsi="Arial" w:cs="Arial"/>
          <w:b/>
          <w:sz w:val="22"/>
          <w:lang w:val="es-ES_tradnl"/>
        </w:rPr>
      </w:pPr>
    </w:p>
    <w:p w14:paraId="4032AD93" w14:textId="77777777" w:rsidR="00C965F6" w:rsidRPr="009A107A" w:rsidRDefault="00C965F6" w:rsidP="009A107A">
      <w:pPr>
        <w:jc w:val="center"/>
        <w:rPr>
          <w:rFonts w:ascii="Arial" w:eastAsia="Calibri" w:hAnsi="Arial" w:cs="Arial"/>
          <w:b/>
          <w:sz w:val="22"/>
          <w:lang w:val="es-ES_tradnl"/>
        </w:rPr>
      </w:pPr>
      <w:r w:rsidRPr="009A107A">
        <w:rPr>
          <w:rFonts w:ascii="Arial" w:eastAsia="Calibri" w:hAnsi="Arial" w:cs="Arial"/>
          <w:b/>
          <w:sz w:val="22"/>
          <w:lang w:val="es-ES_tradnl"/>
        </w:rPr>
        <w:t>Concepto C ─ 027 de 2020</w:t>
      </w:r>
    </w:p>
    <w:p w14:paraId="7339C27B" w14:textId="77777777" w:rsidR="00C965F6" w:rsidRPr="009A107A" w:rsidRDefault="00C965F6" w:rsidP="009A107A">
      <w:pPr>
        <w:jc w:val="center"/>
        <w:rPr>
          <w:rFonts w:ascii="Arial" w:eastAsia="Calibri" w:hAnsi="Arial" w:cs="Arial"/>
          <w:b/>
          <w:sz w:val="22"/>
          <w:lang w:val="es-ES_tradnl"/>
        </w:rPr>
      </w:pPr>
    </w:p>
    <w:p w14:paraId="09E6DFF9" w14:textId="77777777" w:rsidR="00C965F6" w:rsidRPr="009A107A" w:rsidRDefault="00C965F6" w:rsidP="009A107A">
      <w:pPr>
        <w:jc w:val="center"/>
        <w:rPr>
          <w:rFonts w:ascii="Arial" w:eastAsia="Calibri" w:hAnsi="Arial" w:cs="Arial"/>
          <w:b/>
          <w:sz w:val="22"/>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107A" w:rsidRPr="009A107A" w14:paraId="7C40D80D" w14:textId="77777777" w:rsidTr="00CE63DC">
        <w:tc>
          <w:tcPr>
            <w:tcW w:w="2689" w:type="dxa"/>
          </w:tcPr>
          <w:p w14:paraId="792B0D86"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b/>
                <w:sz w:val="22"/>
                <w:lang w:val="es-ES_tradnl"/>
              </w:rPr>
              <w:t>Temas:</w:t>
            </w:r>
            <w:r w:rsidRPr="009A107A">
              <w:rPr>
                <w:rFonts w:ascii="Arial" w:eastAsia="Calibri" w:hAnsi="Arial" w:cs="Arial"/>
                <w:sz w:val="22"/>
                <w:lang w:val="es-ES_tradnl"/>
              </w:rPr>
              <w:t xml:space="preserve">                                      </w:t>
            </w:r>
          </w:p>
        </w:tc>
        <w:tc>
          <w:tcPr>
            <w:tcW w:w="6237" w:type="dxa"/>
          </w:tcPr>
          <w:p w14:paraId="03B2C51F" w14:textId="77777777" w:rsidR="00C965F6" w:rsidRPr="009A107A" w:rsidRDefault="00C965F6" w:rsidP="009A107A">
            <w:pPr>
              <w:rPr>
                <w:rFonts w:ascii="Arial" w:eastAsia="Calibri" w:hAnsi="Arial" w:cs="Arial"/>
                <w:sz w:val="22"/>
                <w:highlight w:val="yellow"/>
                <w:lang w:val="es-ES_tradnl"/>
              </w:rPr>
            </w:pPr>
            <w:r w:rsidRPr="009A107A">
              <w:rPr>
                <w:rFonts w:ascii="Arial" w:eastAsia="Calibri" w:hAnsi="Arial" w:cs="Arial"/>
                <w:sz w:val="22"/>
                <w:lang w:val="es-ES_tradnl"/>
              </w:rPr>
              <w:t>SERVICIOS PÚBLICOS DOMICILIARIOS – Liberalización – Operadores / SERVICIOS PÚBLICOS DOMICILIARIOS – Régimen contractual – Derecho privado / CONTRATACIÓN DE SOCIO OPERADOR – Régimen jurídico</w:t>
            </w:r>
          </w:p>
        </w:tc>
      </w:tr>
      <w:tr w:rsidR="00C965F6" w:rsidRPr="009A107A" w14:paraId="7280442D" w14:textId="77777777" w:rsidTr="00CE63DC">
        <w:tc>
          <w:tcPr>
            <w:tcW w:w="2689" w:type="dxa"/>
          </w:tcPr>
          <w:p w14:paraId="5EAD67DA"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b/>
                <w:sz w:val="22"/>
                <w:lang w:val="es-ES_tradnl"/>
              </w:rPr>
              <w:t>Radicación:</w:t>
            </w:r>
            <w:r w:rsidRPr="009A107A">
              <w:rPr>
                <w:rFonts w:ascii="Arial" w:eastAsia="Calibri" w:hAnsi="Arial" w:cs="Arial"/>
                <w:sz w:val="22"/>
                <w:lang w:val="es-ES_tradnl"/>
              </w:rPr>
              <w:t xml:space="preserve">                              </w:t>
            </w:r>
          </w:p>
        </w:tc>
        <w:tc>
          <w:tcPr>
            <w:tcW w:w="6237" w:type="dxa"/>
          </w:tcPr>
          <w:p w14:paraId="3D75FD39"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Respuesta a consulta # 4202012000000018.</w:t>
            </w:r>
          </w:p>
        </w:tc>
      </w:tr>
    </w:tbl>
    <w:p w14:paraId="3DC475B3" w14:textId="77777777" w:rsidR="00C965F6" w:rsidRPr="009A107A" w:rsidRDefault="00C965F6" w:rsidP="009A107A">
      <w:pPr>
        <w:jc w:val="both"/>
        <w:rPr>
          <w:rFonts w:ascii="Arial" w:eastAsia="Calibri" w:hAnsi="Arial" w:cs="Arial"/>
          <w:sz w:val="22"/>
          <w:lang w:val="es-ES_tradnl"/>
        </w:rPr>
      </w:pPr>
    </w:p>
    <w:p w14:paraId="34E4178A" w14:textId="77777777" w:rsidR="00C965F6" w:rsidRPr="009A107A" w:rsidRDefault="00C965F6" w:rsidP="009A107A">
      <w:pPr>
        <w:tabs>
          <w:tab w:val="left" w:pos="3736"/>
        </w:tabs>
        <w:jc w:val="both"/>
        <w:rPr>
          <w:rFonts w:ascii="Arial" w:eastAsia="Calibri" w:hAnsi="Arial" w:cs="Arial"/>
          <w:sz w:val="22"/>
          <w:lang w:val="es-ES_tradnl"/>
        </w:rPr>
      </w:pPr>
      <w:r w:rsidRPr="009A107A">
        <w:rPr>
          <w:rFonts w:ascii="Arial" w:eastAsia="Calibri" w:hAnsi="Arial" w:cs="Arial"/>
          <w:sz w:val="22"/>
          <w:lang w:val="es-ES_tradnl"/>
        </w:rPr>
        <w:t>Estimado señor López,</w:t>
      </w:r>
      <w:r w:rsidRPr="009A107A">
        <w:rPr>
          <w:rFonts w:ascii="Arial" w:eastAsia="Calibri" w:hAnsi="Arial" w:cs="Arial"/>
          <w:sz w:val="22"/>
          <w:lang w:val="es-ES_tradnl"/>
        </w:rPr>
        <w:tab/>
      </w:r>
    </w:p>
    <w:p w14:paraId="2D67D5DC" w14:textId="77777777" w:rsidR="00C965F6" w:rsidRPr="009A107A" w:rsidRDefault="00C965F6" w:rsidP="009A107A">
      <w:pPr>
        <w:jc w:val="both"/>
        <w:rPr>
          <w:rFonts w:ascii="Arial" w:eastAsia="Calibri" w:hAnsi="Arial" w:cs="Arial"/>
          <w:sz w:val="22"/>
          <w:lang w:val="es-ES_tradnl"/>
        </w:rPr>
      </w:pPr>
    </w:p>
    <w:p w14:paraId="038432C4"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t xml:space="preserve">La Agencia Nacional de Contratación Pública ─ Colombia Compra Eficiente responde su consulta del 2 de enero de 2020, en ejercicio de la competencia otorgada por el numeral 8 del artículo 11 y el numeral 5 del artículo 3 del Decreto Ley 4170 de 2011. </w:t>
      </w:r>
    </w:p>
    <w:p w14:paraId="019C3484" w14:textId="77777777" w:rsidR="00C965F6" w:rsidRPr="009A107A" w:rsidRDefault="00C965F6" w:rsidP="009A107A">
      <w:pPr>
        <w:contextualSpacing/>
        <w:jc w:val="both"/>
        <w:rPr>
          <w:rFonts w:ascii="Arial" w:eastAsia="Calibri" w:hAnsi="Arial" w:cs="Arial"/>
          <w:sz w:val="22"/>
          <w:lang w:val="es-ES_tradnl"/>
        </w:rPr>
      </w:pPr>
    </w:p>
    <w:p w14:paraId="60975EFA" w14:textId="77777777" w:rsidR="00C965F6" w:rsidRPr="009A107A" w:rsidRDefault="00C965F6" w:rsidP="009A107A">
      <w:pPr>
        <w:numPr>
          <w:ilvl w:val="0"/>
          <w:numId w:val="7"/>
        </w:numPr>
        <w:tabs>
          <w:tab w:val="left" w:pos="0"/>
        </w:tabs>
        <w:ind w:left="284" w:hanging="284"/>
        <w:contextualSpacing/>
        <w:jc w:val="both"/>
        <w:rPr>
          <w:rFonts w:ascii="Arial" w:eastAsia="Calibri" w:hAnsi="Arial" w:cs="Arial"/>
          <w:b/>
          <w:sz w:val="22"/>
          <w:lang w:val="es-ES_tradnl"/>
        </w:rPr>
      </w:pPr>
      <w:r w:rsidRPr="009A107A">
        <w:rPr>
          <w:rFonts w:ascii="Arial" w:eastAsia="Calibri" w:hAnsi="Arial" w:cs="Arial"/>
          <w:b/>
          <w:sz w:val="22"/>
          <w:lang w:val="es-ES_tradnl"/>
        </w:rPr>
        <w:t>Problema planteado</w:t>
      </w:r>
    </w:p>
    <w:p w14:paraId="2A239169" w14:textId="77777777" w:rsidR="00C965F6" w:rsidRPr="009A107A" w:rsidRDefault="00C965F6" w:rsidP="009A107A">
      <w:pPr>
        <w:jc w:val="both"/>
        <w:rPr>
          <w:rFonts w:ascii="Arial" w:eastAsia="Calibri" w:hAnsi="Arial" w:cs="Arial"/>
          <w:sz w:val="22"/>
          <w:lang w:val="es-ES_tradnl"/>
        </w:rPr>
      </w:pPr>
    </w:p>
    <w:p w14:paraId="318E405D"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t>Usted formula la siguiente pregunta:</w:t>
      </w:r>
      <w:r w:rsidRPr="009A107A">
        <w:rPr>
          <w:rFonts w:ascii="Arial" w:eastAsia="Calibri" w:hAnsi="Arial" w:cs="Arial"/>
          <w:b/>
          <w:sz w:val="22"/>
          <w:lang w:val="es-ES_tradnl"/>
        </w:rPr>
        <w:t xml:space="preserve"> </w:t>
      </w:r>
      <w:r w:rsidRPr="009A107A">
        <w:rPr>
          <w:rFonts w:ascii="Arial" w:eastAsia="Calibri" w:hAnsi="Arial" w:cs="Arial"/>
          <w:sz w:val="22"/>
          <w:lang w:val="es-ES_tradnl"/>
        </w:rPr>
        <w:t>¿qué régimen jurídico debe aplicar una empresa oficial de servicios públicos domiciliarios creada en el año 2018, en virtud de la asociación de varios municipios, para contratar a un socio operador, teniendo en cuenta que dicha empresa de servicios públicos domiciliarios «no presta ni ha prestado servicios públicos y tal actividad materialmente no corresponde a una que esté relacionada con la prestación de los servicios públicos esenciales de Acueducto y Alcantarillado»? Lo anterior, bajo el entendido de que el artículo 31 de la Ley 142 de 1994 exceptúa de la aplicación del Estatuto General de Contratación de la Administración Pública a las entidades estatales «que prestan los servicios públicos a los que se refiere esta ley», es decir que somete sus contratos al régimen de derecho privado solo en consideración a la actividad que desarrollan dichas entidades estatales, consistente en la prestación de servicios públicos domiciliarios, y no en virtud de la naturaleza jurídica que estas adoptan.</w:t>
      </w:r>
    </w:p>
    <w:p w14:paraId="3947F3BF" w14:textId="77777777" w:rsidR="00C965F6" w:rsidRPr="009A107A" w:rsidRDefault="00C965F6" w:rsidP="009A107A">
      <w:pPr>
        <w:jc w:val="both"/>
        <w:rPr>
          <w:rFonts w:ascii="Arial" w:eastAsia="Calibri" w:hAnsi="Arial" w:cs="Arial"/>
          <w:b/>
          <w:sz w:val="22"/>
          <w:lang w:val="es-ES_tradnl"/>
        </w:rPr>
      </w:pPr>
    </w:p>
    <w:p w14:paraId="185EB690" w14:textId="77777777" w:rsidR="00C965F6" w:rsidRPr="009A107A" w:rsidRDefault="00C965F6" w:rsidP="009A107A">
      <w:pPr>
        <w:numPr>
          <w:ilvl w:val="0"/>
          <w:numId w:val="7"/>
        </w:numPr>
        <w:ind w:left="284" w:hanging="284"/>
        <w:contextualSpacing/>
        <w:jc w:val="both"/>
        <w:rPr>
          <w:rFonts w:ascii="Arial" w:eastAsia="Calibri" w:hAnsi="Arial" w:cs="Arial"/>
          <w:sz w:val="22"/>
          <w:lang w:val="es-ES_tradnl"/>
        </w:rPr>
      </w:pPr>
      <w:r w:rsidRPr="009A107A">
        <w:rPr>
          <w:rFonts w:ascii="Arial" w:eastAsia="Calibri" w:hAnsi="Arial" w:cs="Arial"/>
          <w:b/>
          <w:sz w:val="22"/>
          <w:lang w:val="es-ES_tradnl"/>
        </w:rPr>
        <w:t>Consideraciones</w:t>
      </w:r>
    </w:p>
    <w:p w14:paraId="048E736E" w14:textId="77777777" w:rsidR="00C965F6" w:rsidRPr="009A107A" w:rsidRDefault="00C965F6" w:rsidP="009A107A">
      <w:pPr>
        <w:jc w:val="both"/>
        <w:rPr>
          <w:rFonts w:ascii="Arial" w:eastAsia="Calibri" w:hAnsi="Arial" w:cs="Arial"/>
          <w:sz w:val="22"/>
          <w:lang w:val="es-ES_tradnl"/>
        </w:rPr>
      </w:pPr>
    </w:p>
    <w:p w14:paraId="67EEF084"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lastRenderedPageBreak/>
        <w:t>Para desarrollar el problema planteado, se explicará brevemente, i) quiénes pueden ser operadores de los servicios públicos domiciliarios en Colombia, para, ii) precisar cuál es el régimen contractual aplicable a dichos operadores, en vigencia de la Ley 142 de 1994, modificada por la Ley 689 de 2001; iii) luego, se analizará la contratación de un socio operador, con la finalidad de indicar si este tipo de contrato ingresa o no dentro del marco de exclusión del Estatuto General de Contratación de la Administración Pública, dispuesto por los artículos 31 y 32 de la Ley 142 de 1994, y si, en consecuencia, tal contrato se rige por el derecho privado o por el régimen de la Ley 80 de 1993, la Ley 1150 de 2007 y las demás disposiciones que conforman el régimen de derecho administrativo de la contratación estatal.</w:t>
      </w:r>
    </w:p>
    <w:p w14:paraId="548DE293" w14:textId="77777777" w:rsidR="00C965F6" w:rsidRPr="009A107A" w:rsidRDefault="00C965F6" w:rsidP="009A107A">
      <w:pPr>
        <w:tabs>
          <w:tab w:val="left" w:pos="426"/>
        </w:tabs>
        <w:jc w:val="both"/>
        <w:rPr>
          <w:rFonts w:ascii="Arial" w:eastAsia="Calibri" w:hAnsi="Arial" w:cs="Arial"/>
          <w:b/>
          <w:sz w:val="22"/>
          <w:lang w:val="es-ES_tradnl"/>
        </w:rPr>
      </w:pPr>
    </w:p>
    <w:p w14:paraId="623A0D72" w14:textId="77777777" w:rsidR="00C965F6" w:rsidRPr="009A107A" w:rsidRDefault="00C965F6" w:rsidP="009A107A">
      <w:pPr>
        <w:tabs>
          <w:tab w:val="left" w:pos="426"/>
        </w:tabs>
        <w:jc w:val="both"/>
        <w:rPr>
          <w:rFonts w:ascii="Arial" w:eastAsia="Calibri" w:hAnsi="Arial" w:cs="Arial"/>
          <w:b/>
          <w:sz w:val="22"/>
          <w:lang w:val="es-ES_tradnl"/>
        </w:rPr>
      </w:pPr>
      <w:r w:rsidRPr="009A107A">
        <w:rPr>
          <w:rFonts w:ascii="Arial" w:eastAsia="Calibri" w:hAnsi="Arial" w:cs="Arial"/>
          <w:b/>
          <w:sz w:val="22"/>
          <w:lang w:val="es-ES_tradnl"/>
        </w:rPr>
        <w:t>2.1. Operadores autorizados para prestar servicios públicos domiciliarios. Naturaleza jurídica y habilitación normativa</w:t>
      </w:r>
    </w:p>
    <w:p w14:paraId="6822CBC4" w14:textId="77777777" w:rsidR="00C965F6" w:rsidRPr="009A107A" w:rsidRDefault="00C965F6" w:rsidP="009A107A">
      <w:pPr>
        <w:jc w:val="both"/>
        <w:rPr>
          <w:rFonts w:ascii="Arial" w:eastAsia="Calibri" w:hAnsi="Arial" w:cs="Arial"/>
          <w:sz w:val="22"/>
          <w:lang w:val="es-ES_tradnl"/>
        </w:rPr>
      </w:pPr>
    </w:p>
    <w:p w14:paraId="19F019FD"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9A107A">
        <w:rPr>
          <w:rFonts w:ascii="Arial" w:eastAsia="Calibri" w:hAnsi="Arial" w:cs="Arial"/>
          <w:sz w:val="22"/>
          <w:vertAlign w:val="superscript"/>
          <w:lang w:val="es-ES_tradnl"/>
        </w:rPr>
        <w:footnoteReference w:id="1"/>
      </w:r>
      <w:r w:rsidRPr="009A107A">
        <w:rPr>
          <w:rFonts w:ascii="Arial" w:eastAsia="Calibri" w:hAnsi="Arial" w:cs="Arial"/>
          <w:sz w:val="22"/>
          <w:lang w:val="es-ES_tradnl"/>
        </w:rPr>
        <w:t>. En tal sentido, el artículo 365 de la Constitución prevé lo siguiente:</w:t>
      </w:r>
    </w:p>
    <w:p w14:paraId="2B21B516" w14:textId="77777777" w:rsidR="00C965F6" w:rsidRPr="009A107A" w:rsidRDefault="00C965F6" w:rsidP="009A107A">
      <w:pPr>
        <w:ind w:left="709" w:right="709"/>
        <w:jc w:val="both"/>
        <w:rPr>
          <w:rFonts w:ascii="Arial" w:eastAsia="Calibri" w:hAnsi="Arial" w:cs="Arial"/>
          <w:sz w:val="21"/>
          <w:szCs w:val="21"/>
          <w:lang w:val="es-ES_tradnl"/>
        </w:rPr>
      </w:pPr>
      <w:r w:rsidRPr="009A107A">
        <w:rPr>
          <w:rFonts w:ascii="Arial" w:eastAsia="Calibri" w:hAnsi="Arial" w:cs="Arial"/>
          <w:sz w:val="21"/>
          <w:szCs w:val="21"/>
          <w:lang w:val="es-ES_tradnl"/>
        </w:rPr>
        <w:t>Los servicios públicos son inherentes a la finalidad social del Estado. Es deber del Estado asegurar su prestación eficiente a todos los habitantes del territorio nacional.</w:t>
      </w:r>
    </w:p>
    <w:p w14:paraId="472CCCFB" w14:textId="77777777" w:rsidR="00C965F6" w:rsidRPr="009A107A" w:rsidRDefault="00C965F6" w:rsidP="009A107A">
      <w:pPr>
        <w:ind w:left="709" w:right="709"/>
        <w:jc w:val="both"/>
        <w:rPr>
          <w:rFonts w:ascii="Arial" w:eastAsia="Calibri" w:hAnsi="Arial" w:cs="Arial"/>
          <w:sz w:val="21"/>
          <w:szCs w:val="21"/>
          <w:lang w:val="es-ES_tradnl"/>
        </w:rPr>
      </w:pPr>
    </w:p>
    <w:p w14:paraId="1CC097AC" w14:textId="77777777" w:rsidR="00C965F6" w:rsidRPr="009A107A" w:rsidRDefault="00C965F6" w:rsidP="009A107A">
      <w:pPr>
        <w:ind w:left="709" w:right="709"/>
        <w:jc w:val="both"/>
        <w:rPr>
          <w:rFonts w:ascii="Arial" w:eastAsia="Calibri" w:hAnsi="Arial" w:cs="Arial"/>
          <w:sz w:val="21"/>
          <w:szCs w:val="21"/>
          <w:lang w:val="es-ES_tradnl"/>
        </w:rPr>
      </w:pPr>
      <w:r w:rsidRPr="009A107A">
        <w:rPr>
          <w:rFonts w:ascii="Arial" w:eastAsia="Calibri" w:hAnsi="Arial" w:cs="Arial"/>
          <w:sz w:val="21"/>
          <w:szCs w:val="21"/>
          <w:lang w:val="es-ES_tradnl"/>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238756D6" w14:textId="77777777" w:rsidR="00C965F6" w:rsidRPr="009A107A" w:rsidRDefault="00C965F6" w:rsidP="009A107A">
      <w:pPr>
        <w:ind w:firstLine="709"/>
        <w:jc w:val="both"/>
        <w:rPr>
          <w:rFonts w:ascii="Arial" w:eastAsia="Calibri" w:hAnsi="Arial" w:cs="Arial"/>
          <w:sz w:val="22"/>
          <w:lang w:val="es-ES_tradnl"/>
        </w:rPr>
      </w:pPr>
    </w:p>
    <w:p w14:paraId="1A1B0FCF"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En desarrollo de esta habilitación superior, el artículo 15 de la Ley 142 de 1994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r w:rsidRPr="009A107A">
        <w:rPr>
          <w:rFonts w:ascii="Arial" w:eastAsia="Calibri" w:hAnsi="Arial" w:cs="Arial"/>
          <w:sz w:val="22"/>
          <w:vertAlign w:val="superscript"/>
          <w:lang w:val="es-ES_tradnl"/>
        </w:rPr>
        <w:footnoteReference w:id="2"/>
      </w:r>
      <w:r w:rsidRPr="009A107A">
        <w:rPr>
          <w:rFonts w:ascii="Arial" w:eastAsia="Calibri" w:hAnsi="Arial" w:cs="Arial"/>
          <w:sz w:val="22"/>
          <w:lang w:val="es-ES_tradnl"/>
        </w:rPr>
        <w:t>.</w:t>
      </w:r>
    </w:p>
    <w:p w14:paraId="1B3A374B"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Conforme con los artículos 14.5, 14.6 y 14.7 de la Ley 142 de 1994, una empresa de servicios públicos domiciliarios puede ser: i) oficial –«[…] aquella en cuyo capital la Nación, las entidades territoriales, o las entidades descentralizadas de aquella o estas tienen el 100% de los aportes»–, ii) mixta –«[…] aquella en cuyo capital la Nación, las entidades territoriales, o las entidades descentralizadas de aquella o éstas tienen aportes iguales o superiores al 50%»– y iii) privada –«[…] aquella cuyo capital pertenece mayoritariamente a particulares, o a entidades surgidas de convenios internacionales que deseen someterse íntegramente para estos efectos a las reglas a las que se someten los particulares»–.</w:t>
      </w:r>
    </w:p>
    <w:p w14:paraId="2367E97A"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En la consulta que se analiza, el ciudadano informa que la empresa de servicios públicos interesada en contratar a un socio operador es una empresa oficial, derivada de la asociación de municipios, es decir que se trata de una entidad cuyos aportes son 100% públicos. Esta será, entonces, la premisa que se tendrá en cuenta para resolver su interrogante.</w:t>
      </w:r>
    </w:p>
    <w:p w14:paraId="6474ADC2" w14:textId="77777777" w:rsidR="00C965F6" w:rsidRPr="009A107A" w:rsidRDefault="00C965F6" w:rsidP="009A107A">
      <w:pPr>
        <w:jc w:val="both"/>
        <w:rPr>
          <w:rFonts w:ascii="Arial" w:eastAsia="Calibri" w:hAnsi="Arial" w:cs="Arial"/>
          <w:sz w:val="22"/>
          <w:lang w:val="es-ES_tradnl"/>
        </w:rPr>
      </w:pPr>
    </w:p>
    <w:p w14:paraId="6B3ACD68" w14:textId="77777777" w:rsidR="00C965F6" w:rsidRPr="009A107A" w:rsidRDefault="00C965F6" w:rsidP="009A107A">
      <w:pPr>
        <w:tabs>
          <w:tab w:val="left" w:pos="426"/>
        </w:tabs>
        <w:jc w:val="both"/>
        <w:rPr>
          <w:rFonts w:ascii="Arial" w:eastAsia="Calibri" w:hAnsi="Arial" w:cs="Arial"/>
          <w:b/>
          <w:sz w:val="22"/>
          <w:lang w:val="es-ES_tradnl"/>
        </w:rPr>
      </w:pPr>
      <w:r w:rsidRPr="009A107A">
        <w:rPr>
          <w:rFonts w:ascii="Arial" w:eastAsia="Calibri" w:hAnsi="Arial" w:cs="Arial"/>
          <w:b/>
          <w:sz w:val="22"/>
          <w:lang w:val="es-ES_tradnl"/>
        </w:rPr>
        <w:t>2.2. Régimen contractual aplicable a las empresas prestadoras de servicios públicos domiciliarios: por regla general, un régimen de derecho privado, matizado por principios y reglas del derecho administrativo</w:t>
      </w:r>
    </w:p>
    <w:p w14:paraId="49E6F821" w14:textId="77777777" w:rsidR="00C965F6" w:rsidRPr="009A107A" w:rsidRDefault="00C965F6" w:rsidP="009A107A">
      <w:pPr>
        <w:ind w:firstLine="709"/>
        <w:contextualSpacing/>
        <w:jc w:val="both"/>
        <w:rPr>
          <w:rFonts w:ascii="Arial" w:eastAsia="Calibri" w:hAnsi="Arial" w:cs="Arial"/>
          <w:b/>
          <w:sz w:val="22"/>
          <w:lang w:val="es-ES_tradnl"/>
        </w:rPr>
      </w:pPr>
    </w:p>
    <w:p w14:paraId="3CC9F2D0"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t>El artículo 31 de la Ley 142 de 1994, modificado por el artículo 3 de la Ley 689 de 2001, establece que las empresas prestadoras de servicios públicos domiciliarios se rigen, en su actividad contractual, por el derecho privado, salvo en los casos expresaos en los que la Ley 142 de 1994 establezca que deben aplicar las disposiciones del Estatuto General de Contratación de la Administración Pública</w:t>
      </w:r>
      <w:r w:rsidRPr="009A107A">
        <w:rPr>
          <w:rFonts w:ascii="Arial" w:eastAsia="Calibri" w:hAnsi="Arial" w:cs="Arial"/>
          <w:sz w:val="22"/>
          <w:vertAlign w:val="superscript"/>
          <w:lang w:val="es-ES_tradnl"/>
        </w:rPr>
        <w:footnoteReference w:id="3"/>
      </w:r>
      <w:r w:rsidRPr="009A107A">
        <w:rPr>
          <w:rFonts w:ascii="Arial" w:eastAsia="Calibri" w:hAnsi="Arial" w:cs="Arial"/>
          <w:sz w:val="22"/>
          <w:lang w:val="es-ES_tradnl"/>
        </w:rPr>
        <w:t>.</w:t>
      </w:r>
    </w:p>
    <w:p w14:paraId="2A74F3D3"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lastRenderedPageBreak/>
        <w:t>Por su parte, el artículo 32 de la Ley 142 consagra el régimen de derecho privado para las empresas de servicios públicos domiciliarios, indicando que, de manera exclusiva, sus actos se rigen por los principios y reglas aplicables a los particulares</w:t>
      </w:r>
      <w:r w:rsidRPr="009A107A">
        <w:rPr>
          <w:rFonts w:ascii="Arial" w:eastAsia="Calibri" w:hAnsi="Arial" w:cs="Arial"/>
          <w:sz w:val="22"/>
          <w:vertAlign w:val="superscript"/>
          <w:lang w:val="es-ES_tradnl"/>
        </w:rPr>
        <w:footnoteReference w:id="4"/>
      </w:r>
      <w:r w:rsidRPr="009A107A">
        <w:rPr>
          <w:rFonts w:ascii="Arial" w:eastAsia="Calibri" w:hAnsi="Arial" w:cs="Arial"/>
          <w:sz w:val="22"/>
          <w:lang w:val="es-ES_tradnl"/>
        </w:rPr>
        <w:t>.</w:t>
      </w:r>
    </w:p>
    <w:p w14:paraId="63BAAC75"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 xml:space="preserve">En consecuencia,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Tal ha sido la interpretación del máximo órgano de la Jurisdicción de lo Contencioso Administrativo, quien al respecto ha señalado: </w:t>
      </w:r>
    </w:p>
    <w:p w14:paraId="0B76F74C" w14:textId="77777777" w:rsidR="00C965F6" w:rsidRPr="009A107A" w:rsidRDefault="00C965F6" w:rsidP="009A107A">
      <w:pPr>
        <w:jc w:val="both"/>
        <w:rPr>
          <w:rFonts w:ascii="Arial" w:eastAsia="Calibri" w:hAnsi="Arial" w:cs="Arial"/>
          <w:sz w:val="22"/>
          <w:lang w:val="es-ES_tradnl"/>
        </w:rPr>
      </w:pPr>
    </w:p>
    <w:p w14:paraId="6DF9DC93" w14:textId="77777777" w:rsidR="00C965F6" w:rsidRPr="009A107A" w:rsidRDefault="00C965F6" w:rsidP="009A107A">
      <w:pPr>
        <w:ind w:left="709" w:right="709"/>
        <w:jc w:val="both"/>
        <w:rPr>
          <w:rFonts w:ascii="Arial" w:eastAsia="Calibri" w:hAnsi="Arial" w:cs="Arial"/>
          <w:sz w:val="21"/>
          <w:szCs w:val="21"/>
          <w:lang w:val="es-ES_tradnl"/>
        </w:rPr>
      </w:pPr>
      <w:r w:rsidRPr="009A107A">
        <w:rPr>
          <w:rFonts w:ascii="Arial" w:eastAsia="Calibri" w:hAnsi="Arial" w:cs="Arial"/>
          <w:sz w:val="21"/>
          <w:szCs w:val="21"/>
          <w:lang w:val="es-ES_tradnl"/>
        </w:rPr>
        <w:t>En este orden de ideas, el régimen jurídico aplicable a las empresas de servicios públicos domiciliarios en materia contractual es el propio del derecho común y sólo excepcionalmente se aplican las reglas del derecho público, es decir, las reglas de la Ley 80 de 1993.</w:t>
      </w:r>
    </w:p>
    <w:p w14:paraId="258FD58F" w14:textId="77777777" w:rsidR="00C965F6" w:rsidRPr="009A107A" w:rsidRDefault="00C965F6" w:rsidP="009A107A">
      <w:pPr>
        <w:ind w:left="709" w:right="709"/>
        <w:jc w:val="both"/>
        <w:rPr>
          <w:rFonts w:ascii="Arial" w:eastAsia="Calibri" w:hAnsi="Arial" w:cs="Arial"/>
          <w:sz w:val="21"/>
          <w:szCs w:val="21"/>
          <w:lang w:val="es-ES_tradnl"/>
        </w:rPr>
      </w:pPr>
    </w:p>
    <w:p w14:paraId="1A00A6FE" w14:textId="77777777" w:rsidR="00C965F6" w:rsidRPr="009A107A" w:rsidRDefault="00C965F6" w:rsidP="009A107A">
      <w:pPr>
        <w:ind w:left="709" w:right="709"/>
        <w:jc w:val="both"/>
        <w:rPr>
          <w:rFonts w:ascii="Arial" w:eastAsia="Calibri" w:hAnsi="Arial" w:cs="Arial"/>
          <w:sz w:val="21"/>
          <w:szCs w:val="21"/>
          <w:lang w:val="es-ES_tradnl"/>
        </w:rPr>
      </w:pPr>
      <w:r w:rsidRPr="009A107A">
        <w:rPr>
          <w:rFonts w:ascii="Arial" w:eastAsia="Calibri" w:hAnsi="Arial" w:cs="Arial"/>
          <w:sz w:val="21"/>
          <w:szCs w:val="21"/>
          <w:lang w:val="es-ES_tradnl"/>
        </w:rPr>
        <w:t xml:space="preserve">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w:t>
      </w:r>
      <w:r w:rsidRPr="009A107A">
        <w:rPr>
          <w:rFonts w:ascii="Arial" w:eastAsia="Calibri" w:hAnsi="Arial" w:cs="Arial"/>
          <w:sz w:val="21"/>
          <w:szCs w:val="21"/>
          <w:lang w:val="es-ES_tradnl"/>
        </w:rPr>
        <w:lastRenderedPageBreak/>
        <w:t>relacionado con la terminación, ampliación y liquidación de los contratos, deben aplicarse las reglas del derecho común</w:t>
      </w:r>
      <w:r w:rsidRPr="009A107A">
        <w:rPr>
          <w:rFonts w:ascii="Arial" w:eastAsia="Calibri" w:hAnsi="Arial" w:cs="Arial"/>
          <w:sz w:val="21"/>
          <w:szCs w:val="21"/>
          <w:vertAlign w:val="superscript"/>
          <w:lang w:val="es-ES_tradnl"/>
        </w:rPr>
        <w:footnoteReference w:id="5"/>
      </w:r>
      <w:r w:rsidRPr="009A107A">
        <w:rPr>
          <w:rFonts w:ascii="Arial" w:eastAsia="Calibri" w:hAnsi="Arial" w:cs="Arial"/>
          <w:sz w:val="21"/>
          <w:szCs w:val="21"/>
          <w:lang w:val="es-ES_tradnl"/>
        </w:rPr>
        <w:t>.</w:t>
      </w:r>
    </w:p>
    <w:p w14:paraId="26132229" w14:textId="77777777" w:rsidR="00C965F6" w:rsidRPr="009A107A" w:rsidRDefault="00C965F6" w:rsidP="009A107A">
      <w:pPr>
        <w:jc w:val="both"/>
        <w:rPr>
          <w:rFonts w:ascii="Arial" w:eastAsia="Calibri" w:hAnsi="Arial" w:cs="Arial"/>
          <w:sz w:val="22"/>
          <w:lang w:val="es-ES_tradnl"/>
        </w:rPr>
      </w:pPr>
    </w:p>
    <w:p w14:paraId="47124819"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 xml:space="preserve">Esta también ha sido la interpretación de la Superintendencia de Servicios Públicos Domiciliarios, quien en Concepto No. 715 de 2014, reiterando lo expuesto en el Concepto Unificado </w:t>
      </w:r>
      <w:r w:rsidRPr="009A107A">
        <w:rPr>
          <w:rFonts w:ascii="Arial" w:hAnsi="Arial" w:cs="Arial"/>
          <w:sz w:val="22"/>
          <w:lang w:val="es-ES_tradnl"/>
        </w:rPr>
        <w:t>SSPD-OAJ-020-2010, expresó</w:t>
      </w:r>
      <w:r w:rsidRPr="009A107A">
        <w:rPr>
          <w:rFonts w:ascii="Arial" w:eastAsia="Calibri" w:hAnsi="Arial" w:cs="Arial"/>
          <w:sz w:val="22"/>
          <w:lang w:val="es-ES_tradnl"/>
        </w:rPr>
        <w:t xml:space="preserve"> que el Estatuto General de Contratación de la Administración Pública, es decir, las leyes 80 de 1993 y 1150 de 2007, solo se aplican a los contratos celebrados por las empresas de servicios públicos domiciliarios, cuando así lo ordene expresamente la Ley 142 de 1994</w:t>
      </w:r>
      <w:r w:rsidRPr="009A107A">
        <w:rPr>
          <w:rFonts w:ascii="Arial" w:eastAsia="Calibri" w:hAnsi="Arial" w:cs="Arial"/>
          <w:sz w:val="22"/>
          <w:vertAlign w:val="superscript"/>
          <w:lang w:val="es-ES_tradnl"/>
        </w:rPr>
        <w:footnoteReference w:id="6"/>
      </w:r>
      <w:r w:rsidRPr="009A107A">
        <w:rPr>
          <w:rFonts w:ascii="Arial" w:eastAsia="Calibri" w:hAnsi="Arial" w:cs="Arial"/>
          <w:sz w:val="22"/>
          <w:lang w:val="es-ES_tradnl"/>
        </w:rPr>
        <w:t>.</w:t>
      </w:r>
    </w:p>
    <w:p w14:paraId="2364D2AE"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 xml:space="preserve">En otras palabras, las empresas prestadoras de servicios públicos domiciliarios se sujetan, en su actividad contractual, a las disposiciones del derecho privado, salvo en aquellos casos en los que la Constitución, la Ley 142 de 1994 u otras leyes especiales, someten tal conducta al Estatuto General de Contratación de la Administración Pública, es decir, a la Ley 80 de 1993, a la Ley 1150 de 2007 y demás normas complementarias. Estos </w:t>
      </w:r>
      <w:r w:rsidRPr="009A107A">
        <w:rPr>
          <w:rFonts w:ascii="Arial" w:eastAsia="Calibri" w:hAnsi="Arial" w:cs="Arial"/>
          <w:sz w:val="22"/>
          <w:lang w:val="es-ES_tradnl"/>
        </w:rPr>
        <w:lastRenderedPageBreak/>
        <w:t>casos, en los cuales rige dicho Estatuto en la contratación que adelantan tales entidades, se sintetizan a continuación</w:t>
      </w:r>
      <w:r w:rsidRPr="009A107A">
        <w:rPr>
          <w:rFonts w:ascii="Arial" w:eastAsia="Calibri" w:hAnsi="Arial" w:cs="Arial"/>
          <w:sz w:val="22"/>
          <w:vertAlign w:val="superscript"/>
          <w:lang w:val="es-ES_tradnl"/>
        </w:rPr>
        <w:footnoteReference w:id="7"/>
      </w:r>
      <w:r w:rsidRPr="009A107A">
        <w:rPr>
          <w:rFonts w:ascii="Arial" w:eastAsia="Calibri" w:hAnsi="Arial" w:cs="Arial"/>
          <w:sz w:val="22"/>
          <w:lang w:val="es-ES_tradnl"/>
        </w:rPr>
        <w:t>:</w:t>
      </w:r>
    </w:p>
    <w:p w14:paraId="6DF330C1" w14:textId="77777777" w:rsidR="00C965F6" w:rsidRPr="009A107A" w:rsidRDefault="00C965F6" w:rsidP="009A107A">
      <w:pPr>
        <w:ind w:firstLine="709"/>
        <w:jc w:val="both"/>
        <w:rPr>
          <w:rFonts w:ascii="Arial" w:eastAsia="Calibri" w:hAnsi="Arial" w:cs="Arial"/>
          <w:sz w:val="22"/>
          <w:lang w:val="es-ES_tradnl"/>
        </w:rPr>
      </w:pPr>
    </w:p>
    <w:tbl>
      <w:tblPr>
        <w:tblStyle w:val="Tablaconcuadrcula1"/>
        <w:tblW w:w="0" w:type="auto"/>
        <w:tblLook w:val="04A0" w:firstRow="1" w:lastRow="0" w:firstColumn="1" w:lastColumn="0" w:noHBand="0" w:noVBand="1"/>
      </w:tblPr>
      <w:tblGrid>
        <w:gridCol w:w="4389"/>
        <w:gridCol w:w="4390"/>
      </w:tblGrid>
      <w:tr w:rsidR="009A107A" w:rsidRPr="009A107A" w14:paraId="65A1E590" w14:textId="77777777" w:rsidTr="00CE63DC">
        <w:tc>
          <w:tcPr>
            <w:tcW w:w="4460" w:type="dxa"/>
          </w:tcPr>
          <w:p w14:paraId="25A24A43" w14:textId="77777777" w:rsidR="00C965F6" w:rsidRPr="009A107A" w:rsidRDefault="00C965F6" w:rsidP="009A107A">
            <w:pPr>
              <w:rPr>
                <w:rFonts w:ascii="Arial" w:eastAsia="Calibri" w:hAnsi="Arial" w:cs="Arial"/>
                <w:b/>
                <w:bCs/>
                <w:sz w:val="22"/>
                <w:lang w:val="es-ES_tradnl"/>
              </w:rPr>
            </w:pPr>
            <w:r w:rsidRPr="009A107A">
              <w:rPr>
                <w:rFonts w:ascii="Arial" w:eastAsia="Calibri" w:hAnsi="Arial" w:cs="Arial"/>
                <w:b/>
                <w:bCs/>
                <w:sz w:val="22"/>
                <w:lang w:val="es-ES_tradnl"/>
              </w:rPr>
              <w:t>Supuestos de excepción, en los que se aplica el Estatuto General de Contratación de la Administración Pública a la actividad contractual de las empresas de servicios públicos domiciliarios</w:t>
            </w:r>
          </w:p>
        </w:tc>
        <w:tc>
          <w:tcPr>
            <w:tcW w:w="4461" w:type="dxa"/>
          </w:tcPr>
          <w:p w14:paraId="5E07A06A" w14:textId="77777777" w:rsidR="00C965F6" w:rsidRPr="009A107A" w:rsidRDefault="00C965F6" w:rsidP="009A107A">
            <w:pPr>
              <w:rPr>
                <w:rFonts w:ascii="Arial" w:eastAsia="Calibri" w:hAnsi="Arial" w:cs="Arial"/>
                <w:b/>
                <w:bCs/>
                <w:sz w:val="22"/>
                <w:lang w:val="es-ES_tradnl"/>
              </w:rPr>
            </w:pPr>
            <w:r w:rsidRPr="009A107A">
              <w:rPr>
                <w:rFonts w:ascii="Arial" w:eastAsia="Calibri" w:hAnsi="Arial" w:cs="Arial"/>
                <w:b/>
                <w:bCs/>
                <w:sz w:val="22"/>
                <w:lang w:val="es-ES_tradnl"/>
              </w:rPr>
              <w:t>Fundamento normativo</w:t>
            </w:r>
          </w:p>
        </w:tc>
      </w:tr>
      <w:tr w:rsidR="009A107A" w:rsidRPr="009A107A" w14:paraId="78087CBE" w14:textId="77777777" w:rsidTr="00CE63DC">
        <w:tc>
          <w:tcPr>
            <w:tcW w:w="4460" w:type="dxa"/>
          </w:tcPr>
          <w:p w14:paraId="0EF0A41A"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Sustitución de una empresa</w:t>
            </w:r>
          </w:p>
        </w:tc>
        <w:tc>
          <w:tcPr>
            <w:tcW w:w="4461" w:type="dxa"/>
          </w:tcPr>
          <w:p w14:paraId="40D4244E"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 (Parágrafo del artículo 31, de la Ley 142 de 1994).</w:t>
            </w:r>
          </w:p>
          <w:p w14:paraId="25819A48" w14:textId="77777777" w:rsidR="00C965F6" w:rsidRPr="009A107A" w:rsidRDefault="00C965F6" w:rsidP="009A107A">
            <w:pPr>
              <w:rPr>
                <w:rFonts w:ascii="Arial" w:eastAsia="Calibri" w:hAnsi="Arial" w:cs="Arial"/>
                <w:sz w:val="22"/>
                <w:lang w:val="es-ES_tradnl"/>
              </w:rPr>
            </w:pPr>
          </w:p>
        </w:tc>
      </w:tr>
      <w:tr w:rsidR="009A107A" w:rsidRPr="009A107A" w14:paraId="30AC8B41" w14:textId="77777777" w:rsidTr="00CE63DC">
        <w:tc>
          <w:tcPr>
            <w:tcW w:w="4460" w:type="dxa"/>
          </w:tcPr>
          <w:p w14:paraId="78A674E3"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Sustitución de una empresa por liquidación de la existente</w:t>
            </w:r>
          </w:p>
        </w:tc>
        <w:tc>
          <w:tcPr>
            <w:tcW w:w="4461" w:type="dxa"/>
          </w:tcPr>
          <w:p w14:paraId="24DF3003"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«Al ordenar la liquidación de una empresa de servicios públicos del orden municipal que preste el servicio en forma monopolística, el Superintendente de Servicios Públicos fijará un plazo prudencial, que en todo caso no excederá a seis (6) meses, para que el alcalde del respectivo municipio otorgue, mediante contrato y previo cumplimiento de los trámites establecidos para las licitaciones públicas, la prestación del correspondiente servicio a otra empresa.</w:t>
            </w:r>
          </w:p>
          <w:p w14:paraId="2141AD32" w14:textId="77777777" w:rsidR="00C965F6" w:rsidRPr="009A107A" w:rsidRDefault="00C965F6" w:rsidP="009A107A">
            <w:pPr>
              <w:rPr>
                <w:rFonts w:ascii="Arial" w:eastAsia="Calibri" w:hAnsi="Arial" w:cs="Arial"/>
                <w:sz w:val="22"/>
                <w:lang w:val="es-ES_tradnl"/>
              </w:rPr>
            </w:pPr>
          </w:p>
          <w:p w14:paraId="6F9E234A"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 xml:space="preserve">»Si el alcalde no celebrare el respectivo contrato dentro del término fijado, el Superintendente de Servicios Públicos fijará un plazo adicional de cuatro (4) meses, para que el Gobernador adjudique la prestación del servicio, mediante contrato y previo cumplimiento de los </w:t>
            </w:r>
            <w:r w:rsidRPr="009A107A">
              <w:rPr>
                <w:rFonts w:ascii="Arial" w:eastAsia="Calibri" w:hAnsi="Arial" w:cs="Arial"/>
                <w:sz w:val="22"/>
                <w:lang w:val="es-ES_tradnl"/>
              </w:rPr>
              <w:lastRenderedPageBreak/>
              <w:t>trámites establecidos para las licitaciones públicas.</w:t>
            </w:r>
          </w:p>
          <w:p w14:paraId="20BCBCB4" w14:textId="77777777" w:rsidR="00C965F6" w:rsidRPr="009A107A" w:rsidRDefault="00C965F6" w:rsidP="009A107A">
            <w:pPr>
              <w:rPr>
                <w:rFonts w:ascii="Arial" w:eastAsia="Calibri" w:hAnsi="Arial" w:cs="Arial"/>
                <w:sz w:val="22"/>
                <w:lang w:val="es-ES_tradnl"/>
              </w:rPr>
            </w:pPr>
          </w:p>
          <w:p w14:paraId="03A011BF"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»En caso de que el Gobernador no realice la adjudicación, el Superintendente deberá adjudicar la prestación del servicio por el tiempo que considere necesario, mediante contrato y previo cumplimiento de los trámites establecidos para las licitaciones públicas.</w:t>
            </w:r>
          </w:p>
          <w:p w14:paraId="2ED58363" w14:textId="77777777" w:rsidR="00C965F6" w:rsidRPr="009A107A" w:rsidRDefault="00C965F6" w:rsidP="009A107A">
            <w:pPr>
              <w:rPr>
                <w:rFonts w:ascii="Arial" w:eastAsia="Calibri" w:hAnsi="Arial" w:cs="Arial"/>
                <w:sz w:val="22"/>
                <w:lang w:val="es-ES_tradnl"/>
              </w:rPr>
            </w:pPr>
          </w:p>
          <w:p w14:paraId="501E2CE1"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»En todo caso, la adjudicación que haga el Alcalde, el Gobernador o el Superintendente comprenderá la constitución de las servidumbres necesarias sobre todos los bienes afectos al servicio que sean de propiedad del municipio» (Parágrafo del artículo 61 de la Ley 142 de 1994, adicionado por el artículo 9 de la Ley 689 de 2001).</w:t>
            </w:r>
          </w:p>
        </w:tc>
      </w:tr>
      <w:tr w:rsidR="009A107A" w:rsidRPr="009A107A" w14:paraId="52E5E934" w14:textId="77777777" w:rsidTr="00CE63DC">
        <w:tc>
          <w:tcPr>
            <w:tcW w:w="4460" w:type="dxa"/>
          </w:tcPr>
          <w:p w14:paraId="66671C72"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lastRenderedPageBreak/>
              <w:t>Contratos de las empresas que tienen posición dominante</w:t>
            </w:r>
          </w:p>
        </w:tc>
        <w:tc>
          <w:tcPr>
            <w:tcW w:w="4461" w:type="dxa"/>
          </w:tcPr>
          <w:p w14:paraId="1CBB2778"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«Las empresas de servicios públicos que tengan posición dominante en un mercado, y cuya principal actividad sea la distribución de bienes o servicios provistos por terceros, tendrán que adquirir el bien o servicio que distribuyan por medio de procedimientos que aseguren posibilidad de concurrencia a los eventuales contratistas, en igualdad de condiciones. En estos casos, y en los de otros contratos de las empresas, las comisiones de regulación podrán exigir, por vía general, que se celebren previa licitación pública, o por medio de otros procedimientos que estimulen la concurrencia de oferentes» (Artículo 35 de la Ley 142 de 1994).</w:t>
            </w:r>
          </w:p>
        </w:tc>
      </w:tr>
      <w:tr w:rsidR="009A107A" w:rsidRPr="009A107A" w14:paraId="5338DAC5" w14:textId="77777777" w:rsidTr="00CE63DC">
        <w:tc>
          <w:tcPr>
            <w:tcW w:w="4460" w:type="dxa"/>
          </w:tcPr>
          <w:p w14:paraId="59305C16"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Entrega de áreas de servicio exclusivo</w:t>
            </w:r>
          </w:p>
        </w:tc>
        <w:tc>
          <w:tcPr>
            <w:tcW w:w="4461" w:type="dxa"/>
          </w:tcPr>
          <w:p w14:paraId="2F499CEC"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 xml:space="preserve">«Por motivos de interés social y con el propósito de que la cobertura de los servicios públicos de acueducto y alcantarillado, saneamiento ambiental, distribución domiciliaria de gas combustible por red y distribución domiciliaria de energía eléctrica, se pueda extender a las personas de menores ingresos, la entidad o entidades territoriales competentes, podrán establecer mediante invitación pública, áreas de servicio exclusivas, en las cuales podrá acordarse que ninguna </w:t>
            </w:r>
            <w:r w:rsidRPr="009A107A">
              <w:rPr>
                <w:rFonts w:ascii="Arial" w:eastAsia="Calibri" w:hAnsi="Arial" w:cs="Arial"/>
                <w:sz w:val="22"/>
                <w:lang w:val="es-ES_tradnl"/>
              </w:rPr>
              <w:lastRenderedPageBreak/>
              <w:t>otra empresa de servicios públicos pueda ofrecer los mismos servicios en la misma área durante un tiempo determinado. Los contratos que se suscriban deberán en todo caso precisar el espacio geográfico en el cual se prestará el servicio, los niveles de calidad que debe asegurar el contratista y las obligaciones del mismo respecto del servicio. También podrán pactarse nuevos aportes públicos para extender el servicio.</w:t>
            </w:r>
          </w:p>
          <w:p w14:paraId="3615D6E9" w14:textId="77777777" w:rsidR="00C965F6" w:rsidRPr="009A107A" w:rsidRDefault="00C965F6" w:rsidP="009A107A">
            <w:pPr>
              <w:rPr>
                <w:rFonts w:ascii="Arial" w:eastAsia="Calibri" w:hAnsi="Arial" w:cs="Arial"/>
                <w:sz w:val="22"/>
                <w:lang w:val="es-ES_tradnl"/>
              </w:rPr>
            </w:pPr>
          </w:p>
          <w:p w14:paraId="7EE285ED"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»PARÁGRAFO 1o. La comisión de regulación respectiva definirá, por vía general, cómo se verifica la existencia de los motivos que permiten la inclusión de áreas de servicio exclusivo en los contratos; definirá los lineamientos generales y las condiciones a las cuales deben someterse ellos; y, antes de que se abra una licitación que incluya estas cláusulas dentro de los contratos propuestos, verificará que ellas sean indispensables para asegurar la viabilidad financiera de la extensión de la cobertura a las personas de menores ingresos» (artículo 40 de la Ley 142 de 1994).</w:t>
            </w:r>
          </w:p>
        </w:tc>
      </w:tr>
      <w:tr w:rsidR="009A107A" w:rsidRPr="009A107A" w14:paraId="1A64BF1D" w14:textId="77777777" w:rsidTr="00CE63DC">
        <w:tc>
          <w:tcPr>
            <w:tcW w:w="4460" w:type="dxa"/>
          </w:tcPr>
          <w:p w14:paraId="472D9334"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lastRenderedPageBreak/>
              <w:t>Régimen de inhabilidades e incompatibilidades para contratar</w:t>
            </w:r>
          </w:p>
        </w:tc>
        <w:tc>
          <w:tcPr>
            <w:tcW w:w="4461" w:type="dxa"/>
          </w:tcPr>
          <w:p w14:paraId="3A75115A"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«Sin perjuicio de lo dispuesto en otras normas de esta Ley, en los contratos de las entidades estatales que presten servicios públicos se aplicarán las reglas sobre inhabilidades e incompatibilidades previstas en la ley &lt;sic&gt;  80 de 1993, en cuanto sean pertinentes» (artículo 44.4 de la Ley 142 de 1994).</w:t>
            </w:r>
          </w:p>
          <w:p w14:paraId="38276CE8" w14:textId="77777777" w:rsidR="00C965F6" w:rsidRPr="009A107A" w:rsidRDefault="00C965F6" w:rsidP="009A107A">
            <w:pPr>
              <w:rPr>
                <w:rFonts w:ascii="Arial" w:eastAsia="Calibri" w:hAnsi="Arial" w:cs="Arial"/>
                <w:sz w:val="22"/>
                <w:lang w:val="es-ES_tradnl"/>
              </w:rPr>
            </w:pPr>
          </w:p>
          <w:p w14:paraId="5B89D77F"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 xml:space="preserve">«Las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w:t>
            </w:r>
            <w:r w:rsidRPr="009A107A">
              <w:rPr>
                <w:rFonts w:ascii="Arial" w:eastAsia="Calibri" w:hAnsi="Arial" w:cs="Arial"/>
                <w:sz w:val="22"/>
                <w:lang w:val="es-ES_tradnl"/>
              </w:rPr>
              <w:lastRenderedPageBreak/>
              <w:t>legalmente para la contratación estatal» (artículo 13 de la Ley 1150 de 2007).</w:t>
            </w:r>
          </w:p>
          <w:p w14:paraId="521D0D76" w14:textId="77777777" w:rsidR="00C965F6" w:rsidRPr="009A107A" w:rsidRDefault="00C965F6" w:rsidP="009A107A">
            <w:pPr>
              <w:rPr>
                <w:rFonts w:ascii="Arial" w:eastAsia="Calibri" w:hAnsi="Arial" w:cs="Arial"/>
                <w:sz w:val="22"/>
                <w:lang w:val="es-ES_tradnl"/>
              </w:rPr>
            </w:pPr>
          </w:p>
          <w:p w14:paraId="3F9A380A" w14:textId="77777777" w:rsidR="00C965F6" w:rsidRPr="009A107A" w:rsidRDefault="00C965F6" w:rsidP="009A107A">
            <w:pPr>
              <w:rPr>
                <w:rFonts w:ascii="Arial" w:eastAsia="Calibri" w:hAnsi="Arial" w:cs="Arial"/>
                <w:sz w:val="22"/>
                <w:lang w:val="es-ES_tradnl"/>
              </w:rPr>
            </w:pPr>
          </w:p>
        </w:tc>
      </w:tr>
      <w:tr w:rsidR="009A107A" w:rsidRPr="009A107A" w14:paraId="29E9FEA4" w14:textId="77777777" w:rsidTr="00CE63DC">
        <w:tc>
          <w:tcPr>
            <w:tcW w:w="4460" w:type="dxa"/>
          </w:tcPr>
          <w:p w14:paraId="26046918"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lastRenderedPageBreak/>
              <w:t>Cláusulas exorbitantes</w:t>
            </w:r>
          </w:p>
        </w:tc>
        <w:tc>
          <w:tcPr>
            <w:tcW w:w="4461" w:type="dxa"/>
          </w:tcPr>
          <w:p w14:paraId="124081FB"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 (artículo 31, inciso 2º, de la Ley 142 de 1994).</w:t>
            </w:r>
          </w:p>
          <w:p w14:paraId="4FC73FDE" w14:textId="77777777" w:rsidR="00C965F6" w:rsidRPr="009A107A" w:rsidRDefault="00C965F6" w:rsidP="009A107A">
            <w:pPr>
              <w:rPr>
                <w:rFonts w:ascii="Arial" w:eastAsia="Calibri" w:hAnsi="Arial" w:cs="Arial"/>
                <w:sz w:val="22"/>
                <w:lang w:val="es-ES_tradnl"/>
              </w:rPr>
            </w:pPr>
          </w:p>
        </w:tc>
      </w:tr>
      <w:tr w:rsidR="009A107A" w:rsidRPr="009A107A" w14:paraId="2938D8BA" w14:textId="77777777" w:rsidTr="00CE63DC">
        <w:tc>
          <w:tcPr>
            <w:tcW w:w="4460" w:type="dxa"/>
          </w:tcPr>
          <w:p w14:paraId="10DAAF00"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Contratación con entidades privadas sin ánimo de lucro, a la que hace referencia el inciso 2o del artículo 355 de la Constitución Política</w:t>
            </w:r>
          </w:p>
        </w:tc>
        <w:tc>
          <w:tcPr>
            <w:tcW w:w="4461" w:type="dxa"/>
          </w:tcPr>
          <w:p w14:paraId="3078492D" w14:textId="77777777" w:rsidR="00C965F6" w:rsidRPr="009A107A" w:rsidRDefault="00C965F6" w:rsidP="009A107A">
            <w:pPr>
              <w:rPr>
                <w:rFonts w:ascii="Arial" w:eastAsia="Calibri" w:hAnsi="Arial" w:cs="Arial"/>
                <w:sz w:val="22"/>
                <w:lang w:val="es-ES_tradnl"/>
              </w:rPr>
            </w:pPr>
            <w:r w:rsidRPr="009A107A">
              <w:rPr>
                <w:rFonts w:ascii="Arial" w:eastAsia="Calibri" w:hAnsi="Arial" w:cs="Arial"/>
                <w:sz w:val="22"/>
                <w:lang w:val="es-ES_tradnl"/>
              </w:rPr>
              <w:t>«La contratación a la que hace referencia el presente decreto está sujeta a las normas generales aplicables a la contratación pública excepto en lo reglamentado en el presente decreto» (artículo 8 del Decreto 092 de 2017).</w:t>
            </w:r>
          </w:p>
          <w:p w14:paraId="119C0357" w14:textId="77777777" w:rsidR="00C965F6" w:rsidRPr="009A107A" w:rsidRDefault="00C965F6" w:rsidP="009A107A">
            <w:pPr>
              <w:rPr>
                <w:rFonts w:ascii="Arial" w:eastAsia="Calibri" w:hAnsi="Arial" w:cs="Arial"/>
                <w:sz w:val="22"/>
                <w:lang w:val="es-ES_tradnl"/>
              </w:rPr>
            </w:pPr>
          </w:p>
        </w:tc>
      </w:tr>
    </w:tbl>
    <w:p w14:paraId="04DF3349"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t xml:space="preserve"> </w:t>
      </w:r>
    </w:p>
    <w:p w14:paraId="01BF3796"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 xml:space="preserve">Lo anterior no significa que en los casos en los que rige el derecho privado en la actividad contractual de las empresas prestadoras de servicios públicos domiciliarios, se trate de un derecho privado puro, pues este se encuentra dominado por los principios de </w:t>
      </w:r>
      <w:r w:rsidRPr="009A107A">
        <w:rPr>
          <w:rFonts w:ascii="Arial" w:eastAsia="Calibri" w:hAnsi="Arial" w:cs="Arial"/>
          <w:sz w:val="22"/>
          <w:lang w:val="es-ES_tradnl"/>
        </w:rPr>
        <w:lastRenderedPageBreak/>
        <w:t>la función administrativa y de la gestión fiscal, previstos en los artículos 209</w:t>
      </w:r>
      <w:r w:rsidRPr="009A107A">
        <w:rPr>
          <w:rFonts w:ascii="Arial" w:eastAsia="Calibri" w:hAnsi="Arial" w:cs="Arial"/>
          <w:sz w:val="22"/>
          <w:vertAlign w:val="superscript"/>
          <w:lang w:val="es-ES_tradnl"/>
        </w:rPr>
        <w:footnoteReference w:id="8"/>
      </w:r>
      <w:r w:rsidRPr="009A107A">
        <w:rPr>
          <w:rFonts w:ascii="Arial" w:eastAsia="Calibri" w:hAnsi="Arial" w:cs="Arial"/>
          <w:sz w:val="22"/>
          <w:lang w:val="es-ES_tradnl"/>
        </w:rPr>
        <w:t xml:space="preserve"> y 267</w:t>
      </w:r>
      <w:r w:rsidRPr="009A107A">
        <w:rPr>
          <w:rFonts w:ascii="Arial" w:eastAsia="Calibri" w:hAnsi="Arial" w:cs="Arial"/>
          <w:sz w:val="22"/>
          <w:vertAlign w:val="superscript"/>
          <w:lang w:val="es-ES_tradnl"/>
        </w:rPr>
        <w:footnoteReference w:id="9"/>
      </w:r>
      <w:r w:rsidRPr="009A107A">
        <w:rPr>
          <w:rFonts w:ascii="Arial" w:eastAsia="Calibri" w:hAnsi="Arial" w:cs="Arial"/>
          <w:sz w:val="22"/>
          <w:lang w:val="es-ES_tradnl"/>
        </w:rPr>
        <w:t xml:space="preserve"> de la Constitución. Así lo prevé el artículo 13 de la Ley 1150 de 2007</w:t>
      </w:r>
      <w:r w:rsidRPr="009A107A">
        <w:rPr>
          <w:rFonts w:ascii="Arial" w:eastAsia="Calibri" w:hAnsi="Arial" w:cs="Arial"/>
          <w:sz w:val="22"/>
          <w:vertAlign w:val="superscript"/>
          <w:lang w:val="es-ES_tradnl"/>
        </w:rPr>
        <w:footnoteReference w:id="10"/>
      </w:r>
      <w:r w:rsidRPr="009A107A">
        <w:rPr>
          <w:rFonts w:ascii="Arial" w:eastAsia="Calibri" w:hAnsi="Arial" w:cs="Arial"/>
          <w:sz w:val="22"/>
          <w:lang w:val="es-ES_tradnl"/>
        </w:rPr>
        <w:t>.</w:t>
      </w:r>
    </w:p>
    <w:p w14:paraId="1FC43496"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Dicha matización al régimen de derecho privado en la actividad contractual de las empresas prestadoras de servicios públicos domiciliarios, por los principios de la función administrativa y de la gestión fiscal, ha sido reconocida doctrinariamente en los siguientes términos:</w:t>
      </w:r>
    </w:p>
    <w:p w14:paraId="45220FB9" w14:textId="77777777" w:rsidR="00C965F6" w:rsidRPr="009A107A" w:rsidRDefault="00C965F6" w:rsidP="009A107A">
      <w:pPr>
        <w:jc w:val="both"/>
        <w:rPr>
          <w:rFonts w:ascii="Arial" w:hAnsi="Arial" w:cs="Arial"/>
          <w:sz w:val="22"/>
          <w:lang w:val="es-ES_tradnl"/>
        </w:rPr>
      </w:pPr>
    </w:p>
    <w:p w14:paraId="46C203A6" w14:textId="77777777" w:rsidR="00C965F6" w:rsidRPr="009A107A" w:rsidRDefault="00C965F6" w:rsidP="009A107A">
      <w:pPr>
        <w:ind w:left="709" w:right="709"/>
        <w:jc w:val="both"/>
        <w:rPr>
          <w:rFonts w:ascii="Arial" w:eastAsia="Calibri" w:hAnsi="Arial" w:cs="Arial"/>
          <w:sz w:val="21"/>
          <w:szCs w:val="21"/>
          <w:lang w:val="es-ES_tradnl"/>
        </w:rPr>
      </w:pPr>
      <w:r w:rsidRPr="009A107A">
        <w:rPr>
          <w:rFonts w:ascii="Arial" w:eastAsia="Calibri" w:hAnsi="Arial" w:cs="Arial"/>
          <w:sz w:val="21"/>
          <w:szCs w:val="21"/>
          <w:lang w:val="es-ES_tradnl"/>
        </w:rPr>
        <w:t>[…] en materia contractual el régimen aplicable a las empresas públicas prestadoras de servicios públicos domiciliarios, ha sido el derecho privado; y en esto no cabía discusión alguna, por lo menos la jurisprudencia y la doctrina no debaten el asunto, por estar definido claramente en la ley.</w:t>
      </w:r>
    </w:p>
    <w:p w14:paraId="1C12D02C" w14:textId="77777777" w:rsidR="00C965F6" w:rsidRPr="009A107A" w:rsidRDefault="00C965F6" w:rsidP="009A107A">
      <w:pPr>
        <w:ind w:left="709" w:right="709"/>
        <w:jc w:val="both"/>
        <w:rPr>
          <w:rFonts w:ascii="Arial" w:eastAsia="Calibri" w:hAnsi="Arial" w:cs="Arial"/>
          <w:sz w:val="21"/>
          <w:szCs w:val="21"/>
          <w:lang w:val="es-ES_tradnl"/>
        </w:rPr>
      </w:pPr>
    </w:p>
    <w:p w14:paraId="18C8EBCC" w14:textId="77777777" w:rsidR="00C965F6" w:rsidRPr="009A107A" w:rsidRDefault="00C965F6" w:rsidP="009A107A">
      <w:pPr>
        <w:ind w:left="709" w:right="709"/>
        <w:jc w:val="both"/>
        <w:rPr>
          <w:rFonts w:ascii="Arial" w:eastAsia="Calibri" w:hAnsi="Arial" w:cs="Arial"/>
          <w:sz w:val="21"/>
          <w:szCs w:val="21"/>
          <w:lang w:val="es-ES_tradnl"/>
        </w:rPr>
      </w:pPr>
      <w:r w:rsidRPr="009A107A">
        <w:rPr>
          <w:rFonts w:ascii="Arial" w:eastAsia="Calibri" w:hAnsi="Arial" w:cs="Arial"/>
          <w:sz w:val="21"/>
          <w:szCs w:val="21"/>
          <w:lang w:val="es-ES_tradnl"/>
        </w:rPr>
        <w:t>No obstante, tal contundencia en la idea debe matizarse hoy, con la expedición de la Ley 1150 de 2007, que dispuso, en el artículo 13, que este tipo de entidades deben aplicar –en materia contractual– los principios de la función administrativa y los de la gestión fiscal, de manera que se ha combinado su régimen jurídico, pues ya no será tan privado, como lo expresaba en voz alta el 31 citado</w:t>
      </w:r>
      <w:r w:rsidRPr="009A107A">
        <w:rPr>
          <w:rFonts w:ascii="Arial" w:eastAsia="Calibri" w:hAnsi="Arial" w:cs="Arial"/>
          <w:sz w:val="21"/>
          <w:szCs w:val="21"/>
          <w:vertAlign w:val="superscript"/>
          <w:lang w:val="es-ES_tradnl"/>
        </w:rPr>
        <w:footnoteReference w:id="11"/>
      </w:r>
      <w:r w:rsidRPr="009A107A">
        <w:rPr>
          <w:rFonts w:ascii="Arial" w:eastAsia="Calibri" w:hAnsi="Arial" w:cs="Arial"/>
          <w:sz w:val="21"/>
          <w:szCs w:val="21"/>
          <w:lang w:val="es-ES_tradnl"/>
        </w:rPr>
        <w:t>.</w:t>
      </w:r>
    </w:p>
    <w:p w14:paraId="6F0AB358" w14:textId="77777777" w:rsidR="00C965F6" w:rsidRPr="009A107A" w:rsidRDefault="00C965F6" w:rsidP="009A107A">
      <w:pPr>
        <w:jc w:val="both"/>
        <w:rPr>
          <w:rFonts w:ascii="Arial" w:hAnsi="Arial" w:cs="Arial"/>
          <w:sz w:val="22"/>
          <w:lang w:val="es-ES_tradnl"/>
        </w:rPr>
      </w:pPr>
    </w:p>
    <w:p w14:paraId="088F26B1" w14:textId="77777777" w:rsidR="00C965F6" w:rsidRPr="009A107A" w:rsidRDefault="00C965F6" w:rsidP="009A107A">
      <w:pPr>
        <w:tabs>
          <w:tab w:val="left" w:pos="426"/>
        </w:tabs>
        <w:jc w:val="both"/>
        <w:rPr>
          <w:rFonts w:ascii="Arial" w:eastAsia="Calibri" w:hAnsi="Arial" w:cs="Arial"/>
          <w:b/>
          <w:sz w:val="22"/>
          <w:lang w:val="es-ES_tradnl"/>
        </w:rPr>
      </w:pPr>
      <w:r w:rsidRPr="009A107A">
        <w:rPr>
          <w:rFonts w:ascii="Arial" w:eastAsia="Calibri" w:hAnsi="Arial" w:cs="Arial"/>
          <w:b/>
          <w:sz w:val="22"/>
          <w:lang w:val="es-ES_tradnl"/>
        </w:rPr>
        <w:t xml:space="preserve">2.3. La contratación de un socio operador por una empresa prestadora de servicios públicos domiciliarios es un supuesto que ingresa dentro de la regla general de aplicación del derecho privado </w:t>
      </w:r>
    </w:p>
    <w:p w14:paraId="76CC012E" w14:textId="77777777" w:rsidR="00C965F6" w:rsidRPr="009A107A" w:rsidRDefault="00C965F6" w:rsidP="009A107A">
      <w:pPr>
        <w:jc w:val="both"/>
        <w:rPr>
          <w:rFonts w:ascii="Arial" w:eastAsia="Calibri" w:hAnsi="Arial" w:cs="Arial"/>
          <w:sz w:val="20"/>
          <w:szCs w:val="20"/>
          <w:lang w:val="es-ES_tradnl"/>
        </w:rPr>
      </w:pPr>
    </w:p>
    <w:p w14:paraId="0B563A59"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sz w:val="22"/>
          <w:lang w:val="es-ES_tradnl"/>
        </w:rPr>
        <w:t xml:space="preserve">Si, como se indicó en el numeral anterior de este concepto, a las empresas prestadoras de servicios públicos domiciliarios se les debe aplicar el derecho privado –matizado por lo previsto en el artículo 13 de la Ley 1150 de 2007–, salvo en los casos excepcionales en los que rige el Estatuto General de Contratación de la Administración Pública, y si, como se explicó en el cuadro en el que se indicaron los supuestos expresos en los que se debe aplicar dicho Estatuto, la escogencia de un socio operador no se halla dentro de tales </w:t>
      </w:r>
      <w:r w:rsidRPr="009A107A">
        <w:rPr>
          <w:rFonts w:ascii="Arial" w:eastAsia="Calibri" w:hAnsi="Arial" w:cs="Arial"/>
          <w:sz w:val="22"/>
          <w:lang w:val="es-ES_tradnl"/>
        </w:rPr>
        <w:lastRenderedPageBreak/>
        <w:t>eventos excepcionales, se puede deducir válidamente la idea de que la contratación de un socio operador por parte de una empresa de servicios públicos domiciliarios se debe adelantar con arreglo a las normas del derecho privado.</w:t>
      </w:r>
    </w:p>
    <w:p w14:paraId="06092CE5"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La Superintendencia de Servicios Públicos Domiciliarios tuvo oportunidad de pronunciarse en relación con un caso en el que se le preguntó si el procedimiento de invitación pública para la escogencia de un socio operador se encontraba reglamentado, ante lo cual respondió negativamente y, además, indicó que la Ley 142 de 1994 fue clara en señalar los casos en los cuales debe aplicarse el Estatuto General de Contratación de la Administración Pública, dentro de los que no mencionó la invitación pública de la que trata el artículo 6º de dicha Ley; razón por la cual tal invitación se rige por el derecho privado</w:t>
      </w:r>
      <w:r w:rsidRPr="009A107A">
        <w:rPr>
          <w:rFonts w:ascii="Arial" w:eastAsia="Calibri" w:hAnsi="Arial" w:cs="Arial"/>
          <w:sz w:val="21"/>
          <w:szCs w:val="21"/>
          <w:vertAlign w:val="superscript"/>
          <w:lang w:val="es-ES_tradnl"/>
        </w:rPr>
        <w:footnoteReference w:id="12"/>
      </w:r>
      <w:r w:rsidRPr="009A107A">
        <w:rPr>
          <w:rFonts w:ascii="Arial" w:eastAsia="Calibri" w:hAnsi="Arial" w:cs="Arial"/>
          <w:sz w:val="21"/>
          <w:szCs w:val="21"/>
          <w:lang w:val="es-ES_tradnl"/>
        </w:rPr>
        <w:t>.</w:t>
      </w:r>
    </w:p>
    <w:p w14:paraId="290C0863"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Además, el tercer inciso del artículo 18 de la Ley 142 de 1994 establece:</w:t>
      </w:r>
    </w:p>
    <w:p w14:paraId="4DAA8479" w14:textId="77777777" w:rsidR="00C965F6" w:rsidRPr="009A107A" w:rsidRDefault="00C965F6" w:rsidP="009A107A">
      <w:pPr>
        <w:jc w:val="both"/>
        <w:rPr>
          <w:rFonts w:ascii="Arial" w:eastAsia="Calibri" w:hAnsi="Arial" w:cs="Arial"/>
          <w:sz w:val="22"/>
          <w:lang w:val="es-ES_tradnl"/>
        </w:rPr>
      </w:pPr>
    </w:p>
    <w:p w14:paraId="21A8ECE0" w14:textId="77777777" w:rsidR="00C965F6" w:rsidRPr="009A107A" w:rsidRDefault="00C965F6" w:rsidP="009A107A">
      <w:pPr>
        <w:ind w:left="709" w:right="709"/>
        <w:jc w:val="both"/>
        <w:rPr>
          <w:rFonts w:ascii="Arial" w:eastAsia="Calibri" w:hAnsi="Arial" w:cs="Arial"/>
          <w:sz w:val="21"/>
          <w:szCs w:val="21"/>
          <w:lang w:val="es-ES_tradnl"/>
        </w:rPr>
      </w:pPr>
      <w:r w:rsidRPr="009A107A">
        <w:rPr>
          <w:rFonts w:ascii="Arial" w:eastAsia="Calibri" w:hAnsi="Arial" w:cs="Arial"/>
          <w:sz w:val="21"/>
          <w:szCs w:val="21"/>
          <w:lang w:val="es-ES_tradnl"/>
        </w:rPr>
        <w:t>Las empresas de servicios públicos podrán participar como socias en otras empresas de servicios públicos; o en las que tengan como objeto principal la prestación de un servicio o la provisión de un bien indispensable para cumplir su objeto, si no hay ya una amplia oferta de este bien o servicio en el mercado. Podrán también asociarse, en desarrollo de su objeto, con personas nacionales o extranjeras, o formar consorcios con ellas.</w:t>
      </w:r>
    </w:p>
    <w:p w14:paraId="68941BD3" w14:textId="77777777" w:rsidR="00C965F6" w:rsidRPr="009A107A" w:rsidRDefault="00C965F6" w:rsidP="009A107A">
      <w:pPr>
        <w:jc w:val="both"/>
        <w:rPr>
          <w:rFonts w:ascii="Arial" w:eastAsia="Calibri" w:hAnsi="Arial" w:cs="Arial"/>
          <w:sz w:val="20"/>
          <w:szCs w:val="20"/>
          <w:lang w:val="es-ES_tradnl"/>
        </w:rPr>
      </w:pPr>
    </w:p>
    <w:p w14:paraId="14FC4E50"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t xml:space="preserve">Por las razones expuestas, se concluye que la contratación de un socio operador por parte de una empresa prestadora de servicios públicos domiciliarios debe regirse por el derecho privado. Ahora bien, el hecho de que la empresa no haya prestado aún, materialmente, el servicio público no es óbice para que su régimen jurídico contractual sea el derecho privado –salvo en los casos de excepción ya señalados–, pues de la frase contenida en el primer inciso del artículo 31 de la Ley 142 de 1994 –«las entidades estatales </w:t>
      </w:r>
      <w:r w:rsidRPr="009A107A">
        <w:rPr>
          <w:rFonts w:ascii="Arial" w:eastAsia="Calibri" w:hAnsi="Arial" w:cs="Arial"/>
          <w:i/>
          <w:iCs/>
          <w:sz w:val="22"/>
          <w:lang w:val="es-ES_tradnl"/>
        </w:rPr>
        <w:t>que prestan los servicios públicos</w:t>
      </w:r>
      <w:r w:rsidRPr="009A107A">
        <w:rPr>
          <w:rFonts w:ascii="Arial" w:eastAsia="Calibri" w:hAnsi="Arial" w:cs="Arial"/>
          <w:sz w:val="22"/>
          <w:lang w:val="es-ES_tradnl"/>
        </w:rPr>
        <w:t xml:space="preserve">» (cursiva fuera de texto)– no puede interpretarse que para que dichas entidades se rijan por el derecho privado deban encontrarse </w:t>
      </w:r>
      <w:r w:rsidRPr="009A107A">
        <w:rPr>
          <w:rFonts w:ascii="Arial" w:eastAsia="Calibri" w:hAnsi="Arial" w:cs="Arial"/>
          <w:i/>
          <w:iCs/>
          <w:sz w:val="22"/>
          <w:lang w:val="es-ES_tradnl"/>
        </w:rPr>
        <w:t>en la actualidad</w:t>
      </w:r>
      <w:r w:rsidRPr="009A107A">
        <w:rPr>
          <w:rFonts w:ascii="Arial" w:eastAsia="Calibri" w:hAnsi="Arial" w:cs="Arial"/>
          <w:sz w:val="22"/>
          <w:lang w:val="es-ES_tradnl"/>
        </w:rPr>
        <w:t xml:space="preserve"> prestando el servicio, ya que, precisamente, para eso se constituyen y es la finalidad por la cual contratarán. La interpretación razonable consiste, por ende, en considerar que el referido apartado normativo exige que la entidad esté constituida legalmente como una empresa prestadora de servicios públicos domiciliarios; es decir, que tenga dentro de su objeto social la prestación de esta clase de servicios</w:t>
      </w:r>
      <w:r w:rsidRPr="009A107A">
        <w:rPr>
          <w:rFonts w:ascii="Arial" w:eastAsia="Calibri" w:hAnsi="Arial" w:cs="Arial"/>
          <w:sz w:val="22"/>
          <w:vertAlign w:val="superscript"/>
          <w:lang w:val="es-ES_tradnl"/>
        </w:rPr>
        <w:footnoteReference w:id="13"/>
      </w:r>
      <w:r w:rsidRPr="009A107A">
        <w:rPr>
          <w:rFonts w:ascii="Arial" w:eastAsia="Calibri" w:hAnsi="Arial" w:cs="Arial"/>
          <w:sz w:val="22"/>
          <w:lang w:val="es-ES_tradnl"/>
        </w:rPr>
        <w:t xml:space="preserve">. </w:t>
      </w:r>
    </w:p>
    <w:p w14:paraId="2E5512AE" w14:textId="77777777" w:rsidR="00C965F6" w:rsidRPr="009A107A" w:rsidRDefault="00C965F6" w:rsidP="009A107A">
      <w:pPr>
        <w:ind w:firstLine="709"/>
        <w:jc w:val="both"/>
        <w:rPr>
          <w:rFonts w:ascii="Arial" w:eastAsia="Calibri" w:hAnsi="Arial" w:cs="Arial"/>
          <w:sz w:val="22"/>
          <w:lang w:val="es-ES_tradnl"/>
        </w:rPr>
      </w:pPr>
      <w:r w:rsidRPr="009A107A">
        <w:rPr>
          <w:rFonts w:ascii="Arial" w:eastAsia="Calibri" w:hAnsi="Arial" w:cs="Arial"/>
          <w:sz w:val="22"/>
          <w:lang w:val="es-ES_tradnl"/>
        </w:rPr>
        <w:lastRenderedPageBreak/>
        <w:t>No otra interpretación se deduce del Concepto de la Sala de Consulta y Servicio Civil del Consejo de Estado, del 19 de julio de 1995, donde indica que «[…] el régimen de contratación, aplicable a las personas prestadoras de servicios públicos, incluyendo a los municipios y a las entidades descentralizadas cuyo objeto a contratar sea la prestación de uno de dichos servicios, es el previsto por el derecho privado, […]»</w:t>
      </w:r>
      <w:r w:rsidRPr="009A107A">
        <w:rPr>
          <w:rFonts w:ascii="Arial" w:eastAsia="Calibri" w:hAnsi="Arial" w:cs="Arial"/>
          <w:sz w:val="22"/>
          <w:vertAlign w:val="superscript"/>
          <w:lang w:val="es-ES_tradnl"/>
        </w:rPr>
        <w:footnoteReference w:id="14"/>
      </w:r>
      <w:r w:rsidRPr="009A107A">
        <w:rPr>
          <w:rFonts w:ascii="Arial" w:eastAsia="Calibri" w:hAnsi="Arial" w:cs="Arial"/>
          <w:sz w:val="22"/>
          <w:lang w:val="es-ES_tradnl"/>
        </w:rPr>
        <w:t>, pues de esta afirmación no se puede concluir hoy que los contratos que no tengan por objeto la prestación de servicios públicos deban regirse por el Estatuto General de Contratación de la Administración Pública. Lo anterior, por cuanto el mencionado concepto se expidió en un año en el que estaba vigente la redacción inicial del artículo 31 de la Ley 142 de 1994, que había dado lugar a una intensa discusión acerca de si el derecho privado solo podía aplicarse en los casos en los que el contrato celebrado por la empresa tuviera por objeto la prestación de los servicios públicos</w:t>
      </w:r>
      <w:r w:rsidRPr="009A107A">
        <w:rPr>
          <w:rFonts w:ascii="Arial" w:eastAsia="Calibri" w:hAnsi="Arial" w:cs="Arial"/>
          <w:sz w:val="22"/>
          <w:vertAlign w:val="superscript"/>
          <w:lang w:val="es-ES_tradnl"/>
        </w:rPr>
        <w:footnoteReference w:id="15"/>
      </w:r>
      <w:r w:rsidRPr="009A107A">
        <w:rPr>
          <w:rFonts w:ascii="Arial" w:eastAsia="Calibri" w:hAnsi="Arial" w:cs="Arial"/>
          <w:sz w:val="22"/>
          <w:lang w:val="es-ES_tradnl"/>
        </w:rPr>
        <w:t xml:space="preserve">. Sin embargo, esta discusión quedó zanjada con la modificación introducida por el artículo 3 de la Ley 689 de 2001, que, en lugar de referirse a los contratos «[…] que tengan por objeto la prestación de esos servicios […]»–tal como lo decía la norma de la ley 142 inicialmente–, dispuso que el derecho privado se aplicaría de allí en adelante a «Los contratos que celebren las entidades estatales que prestan los servicios públicos a los que se refiere esta ley […]», con lo cual queda claro que las normas civiles y comerciales actualmente rigen los contratos de tales empresas, independientemente de que su contenido lo constituya la prestación del servicio público, pues lo importante es que se trate de empresas que tengan este objeto social.    </w:t>
      </w:r>
    </w:p>
    <w:p w14:paraId="10BA58DB" w14:textId="77777777" w:rsidR="00C965F6" w:rsidRPr="009A107A" w:rsidRDefault="00C965F6" w:rsidP="009A107A">
      <w:pPr>
        <w:jc w:val="both"/>
        <w:rPr>
          <w:rFonts w:ascii="Arial" w:eastAsia="Calibri" w:hAnsi="Arial" w:cs="Arial"/>
          <w:sz w:val="20"/>
          <w:szCs w:val="20"/>
          <w:lang w:val="es-ES_tradnl"/>
        </w:rPr>
      </w:pPr>
    </w:p>
    <w:p w14:paraId="57EF9383" w14:textId="77777777" w:rsidR="00C965F6" w:rsidRPr="009A107A" w:rsidRDefault="00C965F6" w:rsidP="009A107A">
      <w:pPr>
        <w:numPr>
          <w:ilvl w:val="0"/>
          <w:numId w:val="7"/>
        </w:numPr>
        <w:contextualSpacing/>
        <w:jc w:val="both"/>
        <w:rPr>
          <w:rFonts w:ascii="Arial" w:eastAsia="Calibri" w:hAnsi="Arial" w:cs="Arial"/>
          <w:sz w:val="20"/>
          <w:szCs w:val="20"/>
          <w:lang w:val="es-ES_tradnl"/>
        </w:rPr>
      </w:pPr>
      <w:r w:rsidRPr="009A107A">
        <w:rPr>
          <w:rFonts w:ascii="Arial" w:eastAsia="Calibri" w:hAnsi="Arial" w:cs="Arial"/>
          <w:b/>
          <w:sz w:val="22"/>
          <w:szCs w:val="20"/>
          <w:lang w:val="es-ES_tradnl"/>
        </w:rPr>
        <w:t>Respuesta</w:t>
      </w:r>
    </w:p>
    <w:p w14:paraId="1CFAED25" w14:textId="77777777" w:rsidR="00C965F6" w:rsidRPr="009A107A" w:rsidRDefault="00C965F6" w:rsidP="009A107A">
      <w:pPr>
        <w:jc w:val="both"/>
        <w:rPr>
          <w:rFonts w:ascii="Arial" w:eastAsia="Calibri" w:hAnsi="Arial" w:cs="Arial"/>
          <w:sz w:val="20"/>
          <w:szCs w:val="20"/>
          <w:lang w:val="es-ES_tradnl"/>
        </w:rPr>
      </w:pPr>
    </w:p>
    <w:p w14:paraId="61687523" w14:textId="77777777" w:rsidR="00C965F6" w:rsidRPr="009A107A" w:rsidRDefault="00C965F6" w:rsidP="009A107A">
      <w:pPr>
        <w:ind w:left="709" w:right="709"/>
        <w:jc w:val="both"/>
        <w:rPr>
          <w:rFonts w:ascii="Arial" w:eastAsia="Calibri" w:hAnsi="Arial" w:cs="Arial"/>
          <w:sz w:val="21"/>
          <w:szCs w:val="21"/>
          <w:lang w:val="es-ES_tradnl"/>
        </w:rPr>
      </w:pPr>
      <w:r w:rsidRPr="009A107A">
        <w:rPr>
          <w:rFonts w:ascii="Arial" w:eastAsia="Calibri" w:hAnsi="Arial" w:cs="Arial"/>
          <w:sz w:val="21"/>
          <w:szCs w:val="21"/>
          <w:lang w:val="es-ES_tradnl"/>
        </w:rPr>
        <w:t>«¿Qué régimen jurídico debe aplicar una empresa oficial de servicios públicos domiciliarios creada en el año 2018, en virtud de la asociación de varios municipios, para contratar a un socio operador, teniendo en cuenta que dicha empresa de servicios públicos domiciliarios “no presta ni ha prestado servicios públicos y tal actividad materialmente no corresponde a una que esté relacionada con la prestación de los servicios públicos esenciales de Acueducto y Alcantarillado”?»</w:t>
      </w:r>
    </w:p>
    <w:p w14:paraId="7F62B19A" w14:textId="77777777" w:rsidR="00C965F6" w:rsidRPr="009A107A" w:rsidRDefault="00C965F6" w:rsidP="009A107A">
      <w:pPr>
        <w:ind w:firstLine="708"/>
        <w:jc w:val="both"/>
        <w:rPr>
          <w:rFonts w:ascii="Arial" w:eastAsia="Calibri" w:hAnsi="Arial" w:cs="Arial"/>
          <w:sz w:val="22"/>
          <w:lang w:val="es-ES_tradnl"/>
        </w:rPr>
      </w:pPr>
    </w:p>
    <w:p w14:paraId="084464BF" w14:textId="77777777" w:rsidR="00C965F6" w:rsidRPr="009A107A" w:rsidRDefault="00C965F6" w:rsidP="009A107A">
      <w:pPr>
        <w:ind w:firstLine="708"/>
        <w:jc w:val="both"/>
        <w:rPr>
          <w:rFonts w:ascii="Arial" w:eastAsia="Calibri" w:hAnsi="Arial" w:cs="Arial"/>
          <w:sz w:val="22"/>
          <w:lang w:val="es-ES_tradnl"/>
        </w:rPr>
      </w:pPr>
      <w:r w:rsidRPr="009A107A">
        <w:rPr>
          <w:rFonts w:ascii="Arial" w:eastAsia="Calibri" w:hAnsi="Arial" w:cs="Arial"/>
          <w:sz w:val="22"/>
          <w:lang w:val="es-ES_tradnl"/>
        </w:rPr>
        <w:lastRenderedPageBreak/>
        <w:t>Dicha empresa oficial de servicios públicos domiciliarios debe aplicar, para celebrar tal contrato, el régimen jurídico de derecho privado, en armonía con i) los principios de la función administrativa y de la gestión fiscal, consagrados, respectivamente, en los artículos 209 y 267 de la Constitución Política, ii) el régimen de inhabilidades e incompatibilidades previsto para la contratación estatal y iii) las disposiciones del manual o reglamento interno de contratación.</w:t>
      </w:r>
    </w:p>
    <w:p w14:paraId="42D9BA58" w14:textId="77777777" w:rsidR="00C965F6" w:rsidRPr="009A107A" w:rsidRDefault="00C965F6" w:rsidP="009A107A">
      <w:pPr>
        <w:ind w:firstLine="708"/>
        <w:jc w:val="both"/>
        <w:rPr>
          <w:rFonts w:ascii="Arial" w:eastAsia="Calibri" w:hAnsi="Arial" w:cs="Arial"/>
          <w:sz w:val="22"/>
          <w:lang w:val="es-ES_tradnl"/>
        </w:rPr>
      </w:pPr>
      <w:r w:rsidRPr="009A107A">
        <w:rPr>
          <w:rFonts w:ascii="Arial" w:eastAsia="Calibri" w:hAnsi="Arial" w:cs="Arial"/>
          <w:sz w:val="22"/>
          <w:lang w:val="es-ES_tradnl"/>
        </w:rPr>
        <w:t>El hecho de que la empresa de servicios públicos no preste, ni haya prestado materialmente servicios públicos domiciliarios no impide aplicar el régimen indicado en el párrafo anterior, toda vez que, al tenor de los artículos 31 –primer inciso– y 18 de la Ley 142 de 1994, el régimen de derecho privado se aplica a las empresas constituidas legalmente y que tengan por objeto la prestación de dichos servicios.</w:t>
      </w:r>
    </w:p>
    <w:p w14:paraId="35CE9C55" w14:textId="77777777" w:rsidR="00C965F6" w:rsidRPr="009A107A" w:rsidRDefault="00C965F6" w:rsidP="009A107A">
      <w:pPr>
        <w:ind w:firstLine="708"/>
        <w:jc w:val="both"/>
        <w:rPr>
          <w:rFonts w:ascii="Arial" w:eastAsia="Calibri" w:hAnsi="Arial" w:cs="Arial"/>
          <w:sz w:val="22"/>
          <w:lang w:val="es-ES_tradnl"/>
        </w:rPr>
      </w:pPr>
    </w:p>
    <w:p w14:paraId="525044F7" w14:textId="77777777" w:rsidR="00C965F6" w:rsidRPr="009A107A" w:rsidRDefault="00C965F6" w:rsidP="009A107A">
      <w:pPr>
        <w:ind w:firstLine="708"/>
        <w:jc w:val="both"/>
        <w:rPr>
          <w:rFonts w:ascii="Arial" w:eastAsia="Calibri" w:hAnsi="Arial" w:cs="Arial"/>
          <w:sz w:val="22"/>
          <w:lang w:val="es-ES_tradnl"/>
        </w:rPr>
      </w:pPr>
      <w:r w:rsidRPr="009A107A">
        <w:rPr>
          <w:rFonts w:ascii="Arial" w:eastAsia="Calibri" w:hAnsi="Arial" w:cs="Arial"/>
          <w:sz w:val="22"/>
          <w:lang w:val="es-ES_tradnl"/>
        </w:rPr>
        <w:t>Este concepto tiene el alcance previsto en el artículo 28 del Código de Procedimiento Administrativo y de lo Contencioso Administrativo.</w:t>
      </w:r>
    </w:p>
    <w:p w14:paraId="6C729AA2" w14:textId="77777777" w:rsidR="00C965F6" w:rsidRPr="009A107A" w:rsidRDefault="00C965F6" w:rsidP="009A107A">
      <w:pPr>
        <w:jc w:val="both"/>
        <w:rPr>
          <w:rFonts w:ascii="Arial" w:eastAsia="Calibri" w:hAnsi="Arial" w:cs="Arial"/>
          <w:sz w:val="22"/>
          <w:lang w:val="es-ES_tradnl"/>
        </w:rPr>
      </w:pPr>
    </w:p>
    <w:p w14:paraId="03A33011" w14:textId="77777777" w:rsidR="00C965F6" w:rsidRPr="009A107A" w:rsidRDefault="00C965F6" w:rsidP="009A107A">
      <w:pPr>
        <w:jc w:val="both"/>
        <w:rPr>
          <w:rFonts w:ascii="Arial" w:eastAsia="Calibri" w:hAnsi="Arial" w:cs="Arial"/>
          <w:sz w:val="22"/>
          <w:lang w:val="es-ES_tradnl"/>
        </w:rPr>
      </w:pPr>
      <w:r w:rsidRPr="009A107A">
        <w:rPr>
          <w:rFonts w:ascii="Arial" w:eastAsia="Calibri" w:hAnsi="Arial" w:cs="Arial"/>
          <w:noProof/>
          <w:sz w:val="22"/>
          <w:lang w:val="en-US"/>
        </w:rPr>
        <mc:AlternateContent>
          <mc:Choice Requires="wps">
            <w:drawing>
              <wp:anchor distT="0" distB="0" distL="114300" distR="114300" simplePos="0" relativeHeight="251658240" behindDoc="0" locked="0" layoutInCell="1" allowOverlap="1" wp14:anchorId="08112AFD" wp14:editId="15AADEF0">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2EC0C62" id="Conector recto 5"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2677AF5B" w14:textId="77777777" w:rsidR="00C965F6" w:rsidRPr="009A107A" w:rsidRDefault="00C965F6" w:rsidP="009A107A">
      <w:pPr>
        <w:jc w:val="both"/>
        <w:rPr>
          <w:rFonts w:ascii="Arial" w:eastAsia="Times New Roman" w:hAnsi="Arial" w:cs="Arial"/>
          <w:sz w:val="22"/>
          <w:lang w:val="es-ES_tradnl" w:eastAsia="es-CO"/>
        </w:rPr>
      </w:pPr>
      <w:r w:rsidRPr="009A107A">
        <w:rPr>
          <w:rFonts w:ascii="Arial" w:eastAsia="Times New Roman" w:hAnsi="Arial" w:cs="Arial"/>
          <w:sz w:val="22"/>
          <w:lang w:val="es-ES_tradnl" w:eastAsia="es-CO"/>
        </w:rPr>
        <w:t>Atentamente,</w:t>
      </w:r>
    </w:p>
    <w:p w14:paraId="588EEBDB" w14:textId="6822C691" w:rsidR="00C965F6" w:rsidRDefault="000219F2" w:rsidP="009A107A">
      <w:pPr>
        <w:jc w:val="center"/>
        <w:rPr>
          <w:rFonts w:ascii="Arial" w:eastAsia="Times New Roman" w:hAnsi="Arial" w:cs="Arial"/>
          <w:sz w:val="22"/>
          <w:lang w:val="es-ES_tradnl" w:eastAsia="es-CO"/>
        </w:rPr>
      </w:pPr>
      <w:r>
        <w:rPr>
          <w:noProof/>
          <w:lang w:val="en-US"/>
        </w:rPr>
        <w:drawing>
          <wp:inline distT="0" distB="0" distL="0" distR="0" wp14:anchorId="4B3E1767" wp14:editId="281499D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531E10E" w14:textId="77777777" w:rsidR="00C965F6" w:rsidRPr="000219F2" w:rsidRDefault="00C965F6" w:rsidP="009A107A">
      <w:pPr>
        <w:jc w:val="both"/>
        <w:rPr>
          <w:rFonts w:ascii="Arial" w:eastAsia="Times New Roman" w:hAnsi="Arial" w:cs="Arial"/>
          <w:sz w:val="22"/>
          <w:lang w:val="es-ES_tradnl" w:eastAsia="es-CO"/>
        </w:rPr>
      </w:pPr>
      <w:bookmarkStart w:id="1" w:name="_GoBack"/>
      <w:bookmarkEnd w:id="1"/>
      <w:r w:rsidRPr="000219F2">
        <w:rPr>
          <w:rFonts w:ascii="Arial" w:eastAsia="Times New Roman" w:hAnsi="Arial" w:cs="Arial"/>
          <w:sz w:val="22"/>
          <w:lang w:val="es-ES_tradnl" w:eastAsia="es-CO"/>
        </w:rPr>
        <w:t xml:space="preserve">Proyectó: Cristian Andrés Díaz Díez </w:t>
      </w:r>
    </w:p>
    <w:bookmarkEnd w:id="0"/>
    <w:p w14:paraId="05938991" w14:textId="77777777" w:rsidR="00C965F6" w:rsidRPr="009A107A" w:rsidRDefault="00C965F6" w:rsidP="009A107A">
      <w:pPr>
        <w:jc w:val="both"/>
        <w:rPr>
          <w:rFonts w:ascii="Arial" w:hAnsi="Arial" w:cs="Arial"/>
          <w:sz w:val="22"/>
          <w:lang w:val="es-ES_tradnl"/>
        </w:rPr>
      </w:pPr>
    </w:p>
    <w:p w14:paraId="7EBF297E" w14:textId="77777777" w:rsidR="007B0854" w:rsidRPr="009A107A" w:rsidRDefault="007B0854" w:rsidP="009A107A">
      <w:pPr>
        <w:jc w:val="both"/>
        <w:rPr>
          <w:rFonts w:ascii="Arial" w:eastAsia="Calibri" w:hAnsi="Arial" w:cs="Arial"/>
          <w:sz w:val="22"/>
        </w:rPr>
      </w:pPr>
    </w:p>
    <w:sectPr w:rsidR="007B0854" w:rsidRPr="009A107A"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01941" w14:textId="77777777" w:rsidR="00E42317" w:rsidRDefault="00E42317">
      <w:r>
        <w:separator/>
      </w:r>
    </w:p>
  </w:endnote>
  <w:endnote w:type="continuationSeparator" w:id="0">
    <w:p w14:paraId="0D3FA39B" w14:textId="77777777" w:rsidR="00E42317" w:rsidRDefault="00E42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6D0056C3"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615CC3">
      <w:rPr>
        <w:rFonts w:ascii="Arial" w:hAnsi="Arial" w:cs="Arial"/>
        <w:noProof/>
        <w:sz w:val="18"/>
        <w:szCs w:val="18"/>
      </w:rPr>
      <w:t>14</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E1EE8" w14:textId="77777777" w:rsidR="00E42317" w:rsidRDefault="00E42317">
      <w:r>
        <w:separator/>
      </w:r>
    </w:p>
  </w:footnote>
  <w:footnote w:type="continuationSeparator" w:id="0">
    <w:p w14:paraId="67A1F5DA" w14:textId="77777777" w:rsidR="00E42317" w:rsidRDefault="00E42317">
      <w:r>
        <w:continuationSeparator/>
      </w:r>
    </w:p>
  </w:footnote>
  <w:footnote w:id="1">
    <w:p w14:paraId="6FD80F51" w14:textId="77777777" w:rsidR="00C965F6" w:rsidRPr="009A107A" w:rsidRDefault="00C965F6" w:rsidP="009A107A">
      <w:pPr>
        <w:pStyle w:val="Textonotapie"/>
        <w:ind w:firstLine="709"/>
        <w:jc w:val="both"/>
        <w:rPr>
          <w:rFonts w:ascii="Arial" w:hAnsi="Arial" w:cs="Arial"/>
          <w:sz w:val="19"/>
          <w:szCs w:val="19"/>
          <w:lang w:val="es-ES_tradnl"/>
        </w:rPr>
      </w:pPr>
      <w:r w:rsidRPr="009A107A">
        <w:rPr>
          <w:rStyle w:val="Refdenotaalpie"/>
          <w:rFonts w:ascii="Arial" w:hAnsi="Arial" w:cs="Arial"/>
          <w:sz w:val="19"/>
          <w:szCs w:val="19"/>
          <w:lang w:val="es-ES_tradnl"/>
        </w:rPr>
        <w:footnoteRef/>
      </w:r>
      <w:r w:rsidRPr="009A107A">
        <w:rPr>
          <w:rFonts w:ascii="Arial" w:hAnsi="Arial" w:cs="Arial"/>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4ED0774F" w14:textId="77777777" w:rsidR="00C965F6" w:rsidRPr="009A107A" w:rsidRDefault="00C965F6" w:rsidP="009A107A">
      <w:pPr>
        <w:pStyle w:val="Textonotapie"/>
        <w:ind w:firstLine="709"/>
        <w:jc w:val="both"/>
        <w:rPr>
          <w:rFonts w:ascii="Arial" w:hAnsi="Arial" w:cs="Arial"/>
          <w:sz w:val="19"/>
          <w:szCs w:val="19"/>
          <w:lang w:val="es-ES_tradnl"/>
        </w:rPr>
      </w:pPr>
      <w:r w:rsidRPr="009A107A">
        <w:rPr>
          <w:rFonts w:ascii="Arial" w:hAnsi="Arial" w:cs="Arial"/>
          <w:sz w:val="19"/>
          <w:szCs w:val="19"/>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2E7DE64B" w14:textId="77777777" w:rsidR="00C965F6" w:rsidRPr="009A107A" w:rsidRDefault="00C965F6" w:rsidP="009A107A">
      <w:pPr>
        <w:pStyle w:val="Textonotapie"/>
        <w:ind w:firstLine="709"/>
        <w:jc w:val="both"/>
        <w:rPr>
          <w:rFonts w:ascii="Arial" w:hAnsi="Arial" w:cs="Arial"/>
          <w:sz w:val="19"/>
          <w:szCs w:val="19"/>
          <w:lang w:val="es-ES_tradnl"/>
        </w:rPr>
      </w:pPr>
      <w:r w:rsidRPr="009A107A">
        <w:rPr>
          <w:rFonts w:ascii="Arial" w:hAnsi="Arial" w:cs="Arial"/>
          <w:sz w:val="19"/>
          <w:szCs w:val="19"/>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footnote>
  <w:footnote w:id="2">
    <w:p w14:paraId="2EF8A7DC" w14:textId="77777777" w:rsidR="00C965F6" w:rsidRPr="009A107A" w:rsidRDefault="00C965F6" w:rsidP="009A107A">
      <w:pPr>
        <w:pStyle w:val="Textonotapie"/>
        <w:ind w:firstLine="709"/>
        <w:jc w:val="both"/>
        <w:rPr>
          <w:rFonts w:ascii="Arial" w:hAnsi="Arial" w:cs="Arial"/>
          <w:sz w:val="19"/>
          <w:szCs w:val="19"/>
        </w:rPr>
      </w:pPr>
      <w:r w:rsidRPr="009A107A">
        <w:rPr>
          <w:rStyle w:val="Refdenotaalpie"/>
          <w:rFonts w:ascii="Arial" w:hAnsi="Arial" w:cs="Arial"/>
          <w:sz w:val="19"/>
          <w:szCs w:val="19"/>
        </w:rPr>
        <w:footnoteRef/>
      </w:r>
      <w:r w:rsidRPr="009A107A">
        <w:rPr>
          <w:rFonts w:ascii="Arial" w:hAnsi="Arial" w:cs="Arial"/>
          <w:sz w:val="19"/>
          <w:szCs w:val="19"/>
        </w:rPr>
        <w:t xml:space="preserve"> En efecto, dicho artículo establece: «Pueden prestar los servicios públicos:</w:t>
      </w:r>
    </w:p>
    <w:p w14:paraId="144C69E2" w14:textId="77777777" w:rsidR="00C965F6" w:rsidRPr="009A107A" w:rsidRDefault="00C965F6" w:rsidP="009A107A">
      <w:pPr>
        <w:pStyle w:val="Textonotapie"/>
        <w:ind w:firstLine="709"/>
        <w:jc w:val="both"/>
        <w:rPr>
          <w:rFonts w:ascii="Arial" w:hAnsi="Arial" w:cs="Arial"/>
          <w:sz w:val="19"/>
          <w:szCs w:val="19"/>
        </w:rPr>
      </w:pPr>
      <w:r w:rsidRPr="009A107A">
        <w:rPr>
          <w:rFonts w:ascii="Arial" w:hAnsi="Arial" w:cs="Arial"/>
          <w:sz w:val="19"/>
          <w:szCs w:val="19"/>
        </w:rPr>
        <w:t>»15.1. Las empresas de servicios públicos.</w:t>
      </w:r>
    </w:p>
    <w:p w14:paraId="5286B71A" w14:textId="77777777" w:rsidR="00C965F6" w:rsidRPr="009A107A" w:rsidRDefault="00C965F6" w:rsidP="009A107A">
      <w:pPr>
        <w:pStyle w:val="Textonotapie"/>
        <w:ind w:firstLine="709"/>
        <w:jc w:val="both"/>
        <w:rPr>
          <w:rFonts w:ascii="Arial" w:hAnsi="Arial" w:cs="Arial"/>
          <w:sz w:val="19"/>
          <w:szCs w:val="19"/>
        </w:rPr>
      </w:pPr>
      <w:r w:rsidRPr="009A107A">
        <w:rPr>
          <w:rFonts w:ascii="Arial" w:hAnsi="Arial" w:cs="Arial"/>
          <w:sz w:val="19"/>
          <w:szCs w:val="19"/>
        </w:rPr>
        <w:t>»15.2. Las personas naturales o jurídicas que produzcan para ellas mismas, o como consecuencia o complemento de su actividad principal, los bienes y servicios propios del objeto de las empresas de servicios públicos.</w:t>
      </w:r>
    </w:p>
    <w:p w14:paraId="152B3C89" w14:textId="77777777" w:rsidR="00C965F6" w:rsidRPr="009A107A" w:rsidRDefault="00C965F6" w:rsidP="009A107A">
      <w:pPr>
        <w:pStyle w:val="Textonotapie"/>
        <w:ind w:firstLine="709"/>
        <w:jc w:val="both"/>
        <w:rPr>
          <w:rFonts w:ascii="Arial" w:hAnsi="Arial" w:cs="Arial"/>
          <w:sz w:val="19"/>
          <w:szCs w:val="19"/>
        </w:rPr>
      </w:pPr>
      <w:r w:rsidRPr="009A107A">
        <w:rPr>
          <w:rFonts w:ascii="Arial" w:hAnsi="Arial" w:cs="Arial"/>
          <w:sz w:val="19"/>
          <w:szCs w:val="19"/>
        </w:rPr>
        <w:t>»15.3. Los municipios cuando asuman en forma directa, a través de su administración central, la prestación de los servicios públicos, conforme a lo dispuesto en esta Ley.</w:t>
      </w:r>
    </w:p>
    <w:p w14:paraId="36BE1050" w14:textId="77777777" w:rsidR="00C965F6" w:rsidRPr="009A107A" w:rsidRDefault="00C965F6" w:rsidP="009A107A">
      <w:pPr>
        <w:pStyle w:val="Textonotapie"/>
        <w:ind w:firstLine="709"/>
        <w:jc w:val="both"/>
        <w:rPr>
          <w:rFonts w:ascii="Arial" w:hAnsi="Arial" w:cs="Arial"/>
          <w:sz w:val="19"/>
          <w:szCs w:val="19"/>
        </w:rPr>
      </w:pPr>
      <w:r w:rsidRPr="009A107A">
        <w:rPr>
          <w:rFonts w:ascii="Arial" w:hAnsi="Arial" w:cs="Arial"/>
          <w:sz w:val="19"/>
          <w:szCs w:val="19"/>
        </w:rPr>
        <w:t>»15.4. Las organizaciones autorizadas conforme a esta Ley para prestar servicios públicos en municipios menores en zonas rurales y en áreas o zonas urbanas específicas.</w:t>
      </w:r>
    </w:p>
    <w:p w14:paraId="34849DE9" w14:textId="77777777" w:rsidR="00C965F6" w:rsidRPr="009A107A" w:rsidRDefault="00C965F6" w:rsidP="009A107A">
      <w:pPr>
        <w:pStyle w:val="Textonotapie"/>
        <w:ind w:firstLine="709"/>
        <w:jc w:val="both"/>
        <w:rPr>
          <w:rFonts w:ascii="Arial" w:hAnsi="Arial" w:cs="Arial"/>
          <w:sz w:val="19"/>
          <w:szCs w:val="19"/>
        </w:rPr>
      </w:pPr>
      <w:r w:rsidRPr="009A107A">
        <w:rPr>
          <w:rFonts w:ascii="Arial" w:hAnsi="Arial" w:cs="Arial"/>
          <w:sz w:val="19"/>
          <w:szCs w:val="19"/>
        </w:rPr>
        <w:t>»15.5. Las entidades autorizadas para prestar servicios públicos durante los períodos de transición previstos en esta Ley.</w:t>
      </w:r>
    </w:p>
    <w:p w14:paraId="5EAACD1B" w14:textId="77777777" w:rsidR="00C965F6" w:rsidRPr="009A107A" w:rsidRDefault="00C965F6" w:rsidP="009A107A">
      <w:pPr>
        <w:pStyle w:val="Textonotapie"/>
        <w:ind w:firstLine="709"/>
        <w:jc w:val="both"/>
        <w:rPr>
          <w:rFonts w:ascii="Arial" w:hAnsi="Arial" w:cs="Arial"/>
          <w:sz w:val="19"/>
          <w:szCs w:val="19"/>
        </w:rPr>
      </w:pPr>
      <w:r w:rsidRPr="009A107A">
        <w:rPr>
          <w:rFonts w:ascii="Arial" w:hAnsi="Arial" w:cs="Arial"/>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598B805D" w14:textId="77777777" w:rsidR="00C965F6" w:rsidRPr="009A107A" w:rsidRDefault="00C965F6" w:rsidP="009A107A">
      <w:pPr>
        <w:pStyle w:val="Textonotapie"/>
        <w:ind w:firstLine="709"/>
        <w:jc w:val="both"/>
        <w:rPr>
          <w:rFonts w:ascii="Arial" w:hAnsi="Arial" w:cs="Arial"/>
          <w:sz w:val="19"/>
          <w:szCs w:val="19"/>
          <w:lang w:val="es-ES"/>
        </w:rPr>
      </w:pPr>
    </w:p>
  </w:footnote>
  <w:footnote w:id="3">
    <w:p w14:paraId="57C85DC7" w14:textId="77777777" w:rsidR="00C965F6" w:rsidRPr="009A107A" w:rsidRDefault="00C965F6" w:rsidP="009A107A">
      <w:pPr>
        <w:ind w:firstLine="709"/>
        <w:jc w:val="both"/>
        <w:rPr>
          <w:rFonts w:ascii="Arial" w:eastAsia="Calibri" w:hAnsi="Arial" w:cs="Arial"/>
          <w:sz w:val="19"/>
          <w:szCs w:val="19"/>
          <w:lang w:val="es-ES_tradnl"/>
        </w:rPr>
      </w:pPr>
      <w:r w:rsidRPr="009A107A">
        <w:rPr>
          <w:rStyle w:val="Refdenotaalpie"/>
          <w:rFonts w:ascii="Arial" w:hAnsi="Arial" w:cs="Arial"/>
          <w:sz w:val="19"/>
          <w:szCs w:val="19"/>
        </w:rPr>
        <w:footnoteRef/>
      </w:r>
      <w:r w:rsidRPr="009A107A">
        <w:rPr>
          <w:rFonts w:ascii="Arial" w:hAnsi="Arial" w:cs="Arial"/>
          <w:sz w:val="19"/>
          <w:szCs w:val="19"/>
        </w:rPr>
        <w:t xml:space="preserve"> La redacción del artículo 31 de la Ley 142 de 1994, modificado por el artículo 3 de la Ley 689 de 2001 es la siguiente: «</w:t>
      </w:r>
      <w:r w:rsidRPr="009A107A">
        <w:rPr>
          <w:rFonts w:ascii="Arial" w:eastAsia="Calibri" w:hAnsi="Arial" w:cs="Arial"/>
          <w:sz w:val="19"/>
          <w:szCs w:val="19"/>
          <w:lang w:val="es-ES_tradnl"/>
        </w:rPr>
        <w:t xml:space="preserve">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3CC28E02" w14:textId="77777777" w:rsidR="00C965F6" w:rsidRPr="009A107A" w:rsidRDefault="00C965F6" w:rsidP="009A107A">
      <w:pPr>
        <w:ind w:firstLine="709"/>
        <w:jc w:val="both"/>
        <w:rPr>
          <w:rFonts w:ascii="Arial" w:eastAsia="Calibri" w:hAnsi="Arial" w:cs="Arial"/>
          <w:sz w:val="19"/>
          <w:szCs w:val="19"/>
          <w:lang w:val="es-ES_tradnl"/>
        </w:rPr>
      </w:pPr>
      <w:r w:rsidRPr="009A107A">
        <w:rPr>
          <w:rFonts w:ascii="Arial" w:eastAsia="Calibri" w:hAnsi="Arial" w:cs="Arial"/>
          <w:sz w:val="19"/>
          <w:szCs w:val="19"/>
          <w:lang w:val="es-ES_tradnl"/>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0ECEC017" w14:textId="77777777" w:rsidR="00C965F6" w:rsidRPr="009A107A" w:rsidRDefault="00C965F6" w:rsidP="009A107A">
      <w:pPr>
        <w:pStyle w:val="Textonotapie"/>
        <w:ind w:firstLine="709"/>
        <w:jc w:val="both"/>
        <w:rPr>
          <w:rFonts w:ascii="Arial" w:hAnsi="Arial" w:cs="Arial"/>
          <w:sz w:val="19"/>
          <w:szCs w:val="19"/>
          <w:lang w:val="es-ES"/>
        </w:rPr>
      </w:pPr>
      <w:r w:rsidRPr="009A107A">
        <w:rPr>
          <w:rFonts w:ascii="Arial" w:eastAsia="Calibri" w:hAnsi="Arial" w:cs="Arial"/>
          <w:bCs/>
          <w:sz w:val="19"/>
          <w:szCs w:val="19"/>
          <w:lang w:val="es-ES_tradnl"/>
        </w:rPr>
        <w:t>»PARÁGRAFO</w:t>
      </w:r>
      <w:r w:rsidRPr="009A107A">
        <w:rPr>
          <w:rFonts w:ascii="Arial" w:eastAsia="Calibri" w:hAnsi="Arial" w:cs="Arial"/>
          <w:sz w:val="19"/>
          <w:szCs w:val="19"/>
          <w:lang w:val="es-ES_tradnl"/>
        </w:rPr>
        <w:t>.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4">
    <w:p w14:paraId="2CABF245" w14:textId="77777777" w:rsidR="00C965F6" w:rsidRPr="009A107A" w:rsidRDefault="00C965F6" w:rsidP="009A107A">
      <w:pPr>
        <w:pStyle w:val="Textonotapie"/>
        <w:ind w:firstLine="709"/>
        <w:jc w:val="both"/>
        <w:rPr>
          <w:rFonts w:ascii="Arial" w:hAnsi="Arial" w:cs="Arial"/>
          <w:sz w:val="19"/>
          <w:szCs w:val="19"/>
        </w:rPr>
      </w:pPr>
      <w:r w:rsidRPr="009A107A">
        <w:rPr>
          <w:rStyle w:val="Refdenotaalpie"/>
          <w:rFonts w:ascii="Arial" w:hAnsi="Arial" w:cs="Arial"/>
          <w:sz w:val="19"/>
          <w:szCs w:val="19"/>
        </w:rPr>
        <w:footnoteRef/>
      </w:r>
      <w:r w:rsidRPr="009A107A">
        <w:rPr>
          <w:rFonts w:ascii="Arial" w:hAnsi="Arial" w:cs="Arial"/>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5B7A1895" w14:textId="77777777" w:rsidR="00C965F6" w:rsidRPr="009A107A" w:rsidRDefault="00C965F6" w:rsidP="009A107A">
      <w:pPr>
        <w:pStyle w:val="Textonotapie"/>
        <w:ind w:firstLine="709"/>
        <w:jc w:val="both"/>
        <w:rPr>
          <w:rFonts w:ascii="Arial" w:hAnsi="Arial" w:cs="Arial"/>
          <w:sz w:val="19"/>
          <w:szCs w:val="19"/>
        </w:rPr>
      </w:pPr>
      <w:r w:rsidRPr="009A107A">
        <w:rPr>
          <w:rFonts w:ascii="Arial" w:hAnsi="Arial" w:cs="Arial"/>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760DEBF6" w14:textId="77777777" w:rsidR="00C965F6" w:rsidRPr="009A107A" w:rsidRDefault="00C965F6" w:rsidP="009A107A">
      <w:pPr>
        <w:pStyle w:val="Textonotapie"/>
        <w:ind w:firstLine="709"/>
        <w:jc w:val="both"/>
        <w:rPr>
          <w:rFonts w:ascii="Arial" w:hAnsi="Arial" w:cs="Arial"/>
          <w:sz w:val="19"/>
          <w:szCs w:val="19"/>
        </w:rPr>
      </w:pPr>
      <w:r w:rsidRPr="009A107A">
        <w:rPr>
          <w:rFonts w:ascii="Arial" w:hAnsi="Arial" w:cs="Arial"/>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footnote>
  <w:footnote w:id="5">
    <w:p w14:paraId="0F22226C" w14:textId="77777777" w:rsidR="00C965F6" w:rsidRPr="009A107A" w:rsidRDefault="00C965F6" w:rsidP="009A107A">
      <w:pPr>
        <w:ind w:firstLine="709"/>
        <w:jc w:val="both"/>
        <w:rPr>
          <w:rFonts w:ascii="Arial" w:hAnsi="Arial" w:cs="Arial"/>
          <w:sz w:val="19"/>
          <w:szCs w:val="19"/>
          <w:lang w:val="es-ES_tradnl"/>
        </w:rPr>
      </w:pPr>
      <w:r w:rsidRPr="009A107A">
        <w:rPr>
          <w:rStyle w:val="Refdenotaalpie"/>
          <w:rFonts w:ascii="Arial" w:hAnsi="Arial" w:cs="Arial"/>
          <w:sz w:val="19"/>
          <w:szCs w:val="19"/>
          <w:lang w:val="es-ES_tradnl"/>
        </w:rPr>
        <w:footnoteRef/>
      </w:r>
      <w:r w:rsidRPr="009A107A">
        <w:rPr>
          <w:rFonts w:ascii="Arial" w:hAnsi="Arial" w:cs="Arial"/>
          <w:sz w:val="19"/>
          <w:szCs w:val="19"/>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footnote>
  <w:footnote w:id="6">
    <w:p w14:paraId="2B8F4BFF" w14:textId="77777777" w:rsidR="00C965F6" w:rsidRPr="009A107A" w:rsidRDefault="00C965F6" w:rsidP="009A107A">
      <w:pPr>
        <w:pStyle w:val="NormalWeb"/>
        <w:shd w:val="clear" w:color="auto" w:fill="FFFFFF"/>
        <w:spacing w:before="0" w:beforeAutospacing="0" w:after="0" w:afterAutospacing="0"/>
        <w:ind w:firstLine="709"/>
        <w:jc w:val="both"/>
        <w:rPr>
          <w:rFonts w:ascii="Arial" w:hAnsi="Arial" w:cs="Arial"/>
          <w:sz w:val="19"/>
          <w:szCs w:val="19"/>
          <w:lang w:val="es-ES_tradnl"/>
        </w:rPr>
      </w:pPr>
      <w:r w:rsidRPr="009A107A">
        <w:rPr>
          <w:rStyle w:val="Refdenotaalpie"/>
          <w:rFonts w:ascii="Arial" w:hAnsi="Arial" w:cs="Arial"/>
          <w:sz w:val="19"/>
          <w:szCs w:val="19"/>
        </w:rPr>
        <w:footnoteRef/>
      </w:r>
      <w:r w:rsidRPr="009A107A">
        <w:rPr>
          <w:rFonts w:ascii="Arial" w:hAnsi="Arial" w:cs="Arial"/>
          <w:sz w:val="19"/>
          <w:szCs w:val="19"/>
        </w:rPr>
        <w:t xml:space="preserve"> Así lo indicó la Superintendencia: «</w:t>
      </w:r>
      <w:r w:rsidRPr="009A107A">
        <w:rPr>
          <w:rFonts w:ascii="Arial" w:hAnsi="Arial" w:cs="Arial"/>
          <w:sz w:val="19"/>
          <w:szCs w:val="19"/>
          <w:lang w:val="es-ES_tradnl"/>
        </w:rPr>
        <w:t>Ahora bien, pasando al régimen de los actos y contratos de las empresas prestadoras de servicios públicos domiciliarios, es preciso indicar, que de conformidad con lo señalado en el artículo </w:t>
      </w:r>
      <w:hyperlink r:id="rId1" w:anchor="32" w:history="1">
        <w:r w:rsidRPr="009A107A">
          <w:rPr>
            <w:rStyle w:val="Hipervnculo"/>
            <w:rFonts w:ascii="Arial" w:hAnsi="Arial" w:cs="Arial"/>
            <w:color w:val="auto"/>
            <w:sz w:val="19"/>
            <w:szCs w:val="19"/>
            <w:lang w:val="es-ES_tradnl"/>
          </w:rPr>
          <w:t>32</w:t>
        </w:r>
      </w:hyperlink>
      <w:r w:rsidRPr="009A107A">
        <w:rPr>
          <w:rFonts w:ascii="Arial" w:hAnsi="Arial" w:cs="Arial"/>
          <w:sz w:val="19"/>
          <w:szCs w:val="19"/>
          <w:lang w:val="es-ES_tradnl"/>
        </w:rPr>
        <w:t> de la Ley 142 de 1994, la regla general es que dicho régimen es el </w:t>
      </w:r>
      <w:r w:rsidRPr="009A107A">
        <w:rPr>
          <w:rStyle w:val="iaj"/>
          <w:rFonts w:ascii="Arial" w:hAnsi="Arial" w:cs="Arial"/>
          <w:i/>
          <w:iCs/>
          <w:sz w:val="19"/>
          <w:szCs w:val="19"/>
          <w:lang w:val="es-ES_tradnl"/>
        </w:rPr>
        <w:t>“derecho privado”,</w:t>
      </w:r>
      <w:r w:rsidRPr="009A107A">
        <w:rPr>
          <w:rFonts w:ascii="Arial" w:hAnsi="Arial" w:cs="Arial"/>
          <w:sz w:val="19"/>
          <w:szCs w:val="19"/>
          <w:lang w:val="es-ES_tradnl"/>
        </w:rPr>
        <w:t> mientras que solamente aplican las disposiciones de </w:t>
      </w:r>
      <w:r w:rsidRPr="009A107A">
        <w:rPr>
          <w:rStyle w:val="iaj"/>
          <w:rFonts w:ascii="Arial" w:hAnsi="Arial" w:cs="Arial"/>
          <w:i/>
          <w:iCs/>
          <w:sz w:val="19"/>
          <w:szCs w:val="19"/>
          <w:lang w:val="es-ES_tradnl"/>
        </w:rPr>
        <w:t>“derecho público”</w:t>
      </w:r>
      <w:r w:rsidRPr="009A107A">
        <w:rPr>
          <w:rFonts w:ascii="Arial" w:hAnsi="Arial" w:cs="Arial"/>
          <w:sz w:val="19"/>
          <w:szCs w:val="19"/>
          <w:lang w:val="es-ES_tradnl"/>
        </w:rPr>
        <w:t> cuando así lo señale de manera expresa la misma ley </w:t>
      </w:r>
      <w:hyperlink r:id="rId2" w:anchor="INICIO" w:history="1">
        <w:r w:rsidRPr="009A107A">
          <w:rPr>
            <w:rStyle w:val="Hipervnculo"/>
            <w:rFonts w:ascii="Arial" w:hAnsi="Arial" w:cs="Arial"/>
            <w:color w:val="auto"/>
            <w:sz w:val="19"/>
            <w:szCs w:val="19"/>
            <w:lang w:val="es-ES_tradnl"/>
          </w:rPr>
          <w:t>142</w:t>
        </w:r>
      </w:hyperlink>
      <w:r w:rsidRPr="009A107A">
        <w:rPr>
          <w:rFonts w:ascii="Arial" w:hAnsi="Arial" w:cs="Arial"/>
          <w:sz w:val="19"/>
          <w:szCs w:val="19"/>
          <w:lang w:val="es-ES_tradnl"/>
        </w:rPr>
        <w:t> de 1994 o una disposición constitucional.</w:t>
      </w:r>
    </w:p>
    <w:p w14:paraId="33634968" w14:textId="77777777" w:rsidR="00C965F6" w:rsidRPr="009A107A" w:rsidRDefault="00C965F6" w:rsidP="009A107A">
      <w:pPr>
        <w:pStyle w:val="NormalWeb"/>
        <w:shd w:val="clear" w:color="auto" w:fill="FFFFFF"/>
        <w:spacing w:before="0" w:beforeAutospacing="0" w:after="0" w:afterAutospacing="0"/>
        <w:ind w:firstLine="709"/>
        <w:jc w:val="both"/>
        <w:rPr>
          <w:rStyle w:val="iaj"/>
          <w:rFonts w:ascii="Arial" w:hAnsi="Arial" w:cs="Arial"/>
          <w:sz w:val="19"/>
          <w:szCs w:val="19"/>
          <w:lang w:val="es-ES_tradnl"/>
        </w:rPr>
      </w:pPr>
      <w:r w:rsidRPr="009A107A">
        <w:rPr>
          <w:rFonts w:ascii="Arial" w:hAnsi="Arial" w:cs="Arial"/>
          <w:sz w:val="19"/>
          <w:szCs w:val="19"/>
          <w:lang w:val="es-ES_tradnl"/>
        </w:rPr>
        <w:t>»Este tema específico ha sido objeto de desarrollo por parte de la Oficina Asesora Jurídica en diversas oportunidades, razón por la cual se procede a ratificar lo señalado en el Concepto Unificado SSPD-OAJ-020-2010, el cual se encuentra disponible en nuestra página de internet: </w:t>
      </w:r>
      <w:r w:rsidRPr="009A107A">
        <w:rPr>
          <w:rFonts w:ascii="Arial" w:hAnsi="Arial" w:cs="Arial"/>
          <w:sz w:val="19"/>
          <w:szCs w:val="19"/>
          <w:u w:val="single"/>
          <w:lang w:val="es-ES_tradnl"/>
        </w:rPr>
        <w:t>www.superservicios.gov.co</w:t>
      </w:r>
      <w:r w:rsidRPr="009A107A">
        <w:rPr>
          <w:rFonts w:ascii="Arial" w:hAnsi="Arial" w:cs="Arial"/>
          <w:sz w:val="19"/>
          <w:szCs w:val="19"/>
          <w:lang w:val="es-ES_tradnl"/>
        </w:rPr>
        <w:t>, en el cual se manifestó:</w:t>
      </w:r>
    </w:p>
    <w:p w14:paraId="0303F779" w14:textId="77777777" w:rsidR="00C965F6" w:rsidRPr="009A107A" w:rsidRDefault="00C965F6" w:rsidP="009A107A">
      <w:pPr>
        <w:pStyle w:val="NormalWeb"/>
        <w:shd w:val="clear" w:color="auto" w:fill="FFFFFF"/>
        <w:spacing w:before="0" w:beforeAutospacing="0" w:after="0" w:afterAutospacing="0"/>
        <w:ind w:firstLine="709"/>
        <w:jc w:val="both"/>
        <w:rPr>
          <w:rStyle w:val="iaj"/>
          <w:rFonts w:ascii="Arial" w:hAnsi="Arial" w:cs="Arial"/>
          <w:sz w:val="19"/>
          <w:szCs w:val="19"/>
          <w:lang w:val="es-ES_tradnl"/>
        </w:rPr>
      </w:pPr>
      <w:r w:rsidRPr="009A107A">
        <w:rPr>
          <w:rStyle w:val="iaj"/>
          <w:rFonts w:ascii="Arial" w:hAnsi="Arial" w:cs="Arial"/>
          <w:bCs/>
          <w:i/>
          <w:iCs/>
          <w:sz w:val="19"/>
          <w:szCs w:val="19"/>
          <w:lang w:val="es-ES_tradnl"/>
        </w:rPr>
        <w:t>»</w:t>
      </w:r>
      <w:r w:rsidRPr="009A107A">
        <w:rPr>
          <w:rStyle w:val="iaj"/>
          <w:rFonts w:ascii="Arial" w:hAnsi="Arial" w:cs="Arial"/>
          <w:b/>
          <w:bCs/>
          <w:i/>
          <w:iCs/>
          <w:sz w:val="19"/>
          <w:szCs w:val="19"/>
          <w:lang w:val="es-ES_tradnl"/>
        </w:rPr>
        <w:t>“…2. REGLA GENERAL EN MATERIA DE ACTOS Y CONTRATOS DE PRESTADORES DE SERVICIOS PÚBLICOS DOMICILIARIOS.</w:t>
      </w:r>
    </w:p>
    <w:p w14:paraId="4A398485" w14:textId="77777777" w:rsidR="00C965F6" w:rsidRPr="009A107A" w:rsidRDefault="00C965F6" w:rsidP="009A107A">
      <w:pPr>
        <w:pStyle w:val="NormalWeb"/>
        <w:shd w:val="clear" w:color="auto" w:fill="FFFFFF"/>
        <w:spacing w:before="0" w:beforeAutospacing="0" w:after="0" w:afterAutospacing="0"/>
        <w:ind w:firstLine="709"/>
        <w:jc w:val="both"/>
        <w:rPr>
          <w:rStyle w:val="iaj"/>
          <w:rFonts w:ascii="Arial" w:hAnsi="Arial" w:cs="Arial"/>
          <w:sz w:val="19"/>
          <w:szCs w:val="19"/>
          <w:lang w:val="es-ES_tradnl"/>
        </w:rPr>
      </w:pPr>
      <w:r w:rsidRPr="009A107A">
        <w:rPr>
          <w:rStyle w:val="iaj"/>
          <w:rFonts w:ascii="Arial" w:hAnsi="Arial" w:cs="Arial"/>
          <w:i/>
          <w:iCs/>
          <w:sz w:val="19"/>
          <w:szCs w:val="19"/>
          <w:lang w:val="es-ES_tradnl"/>
        </w:rPr>
        <w:t>»De acuerdo con el artículo </w:t>
      </w:r>
      <w:hyperlink r:id="rId3" w:anchor="32" w:history="1">
        <w:r w:rsidRPr="009A107A">
          <w:rPr>
            <w:rStyle w:val="Hipervnculo"/>
            <w:rFonts w:ascii="Arial" w:hAnsi="Arial" w:cs="Arial"/>
            <w:i/>
            <w:iCs/>
            <w:color w:val="auto"/>
            <w:sz w:val="19"/>
            <w:szCs w:val="19"/>
            <w:lang w:val="es-ES_tradnl"/>
          </w:rPr>
          <w:t>32</w:t>
        </w:r>
      </w:hyperlink>
      <w:r w:rsidRPr="009A107A">
        <w:rPr>
          <w:rStyle w:val="iaj"/>
          <w:rFonts w:ascii="Arial" w:hAnsi="Arial" w:cs="Arial"/>
          <w:i/>
          <w:iCs/>
          <w:sz w:val="19"/>
          <w:szCs w:val="19"/>
          <w:lang w:val="es-ES_tradnl"/>
        </w:rPr>
        <w:t> de la ley 142 de 1994: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w:t>
      </w:r>
      <w:r w:rsidRPr="009A107A">
        <w:rPr>
          <w:rStyle w:val="iaj"/>
          <w:rFonts w:ascii="Arial" w:hAnsi="Arial" w:cs="Arial"/>
          <w:b/>
          <w:bCs/>
          <w:i/>
          <w:iCs/>
          <w:sz w:val="19"/>
          <w:szCs w:val="19"/>
          <w:lang w:val="es-ES_tradnl"/>
        </w:rPr>
        <w:t>se regirán exclusivamente por las reglas del derecho privado.” y “La regla precedente se aplicará, inclusive, a las sociedades en las que las entidades públicas sean parte, sin atender al porcentaje que sus aportes representen dentro del capital social, ni a la naturaleza del acto o del derecho que se ejerce</w:t>
      </w:r>
      <w:r w:rsidRPr="009A107A">
        <w:rPr>
          <w:rStyle w:val="iaj"/>
          <w:rFonts w:ascii="Arial" w:hAnsi="Arial" w:cs="Arial"/>
          <w:i/>
          <w:iCs/>
          <w:sz w:val="19"/>
          <w:szCs w:val="19"/>
          <w:lang w:val="es-ES_tradnl"/>
        </w:rPr>
        <w:t>.”</w:t>
      </w:r>
    </w:p>
    <w:p w14:paraId="1B9DB890" w14:textId="77777777" w:rsidR="00C965F6" w:rsidRPr="009A107A" w:rsidRDefault="00C965F6" w:rsidP="009A107A">
      <w:pPr>
        <w:pStyle w:val="NormalWeb"/>
        <w:shd w:val="clear" w:color="auto" w:fill="FFFFFF"/>
        <w:spacing w:before="0" w:beforeAutospacing="0" w:after="0" w:afterAutospacing="0"/>
        <w:ind w:firstLine="709"/>
        <w:jc w:val="both"/>
        <w:rPr>
          <w:rStyle w:val="iaj"/>
          <w:rFonts w:ascii="Arial" w:hAnsi="Arial" w:cs="Arial"/>
          <w:sz w:val="19"/>
          <w:szCs w:val="19"/>
          <w:lang w:val="es-ES_tradnl"/>
        </w:rPr>
      </w:pPr>
      <w:r w:rsidRPr="009A107A">
        <w:rPr>
          <w:rStyle w:val="iaj"/>
          <w:rFonts w:ascii="Arial" w:hAnsi="Arial" w:cs="Arial"/>
          <w:i/>
          <w:iCs/>
          <w:sz w:val="19"/>
          <w:szCs w:val="19"/>
          <w:lang w:val="es-ES_tradnl"/>
        </w:rPr>
        <w:t>»De modo que, para el análisis del régimen de actos y contratos de las empresas prestadoras de servicios públicos domiciliarios, debe partirse de </w:t>
      </w:r>
      <w:r w:rsidRPr="009A107A">
        <w:rPr>
          <w:rStyle w:val="iaj"/>
          <w:rFonts w:ascii="Arial" w:hAnsi="Arial" w:cs="Arial"/>
          <w:b/>
          <w:bCs/>
          <w:i/>
          <w:iCs/>
          <w:sz w:val="19"/>
          <w:szCs w:val="19"/>
          <w:lang w:val="es-ES_tradnl"/>
        </w:rPr>
        <w:t>una regla general: aplica el “derecho privado”. Y sólo deben aplicarse las disposiciones de “derecho público” cuando así lo señale de manera expresa la misma ley </w:t>
      </w:r>
      <w:hyperlink r:id="rId4" w:anchor="INICIO" w:history="1">
        <w:r w:rsidRPr="009A107A">
          <w:rPr>
            <w:rStyle w:val="Hipervnculo"/>
            <w:rFonts w:ascii="Arial" w:hAnsi="Arial" w:cs="Arial"/>
            <w:b/>
            <w:bCs/>
            <w:i/>
            <w:iCs/>
            <w:color w:val="auto"/>
            <w:sz w:val="19"/>
            <w:szCs w:val="19"/>
            <w:lang w:val="es-ES_tradnl"/>
          </w:rPr>
          <w:t>142</w:t>
        </w:r>
      </w:hyperlink>
      <w:r w:rsidRPr="009A107A">
        <w:rPr>
          <w:rStyle w:val="iaj"/>
          <w:rFonts w:ascii="Arial" w:hAnsi="Arial" w:cs="Arial"/>
          <w:b/>
          <w:bCs/>
          <w:i/>
          <w:iCs/>
          <w:sz w:val="19"/>
          <w:szCs w:val="19"/>
          <w:lang w:val="es-ES_tradnl"/>
        </w:rPr>
        <w:t> de 1994 o una disposición constitucional.</w:t>
      </w:r>
      <w:r w:rsidRPr="009A107A">
        <w:rPr>
          <w:rStyle w:val="iaj"/>
          <w:rFonts w:ascii="Arial" w:hAnsi="Arial" w:cs="Arial"/>
          <w:i/>
          <w:iCs/>
          <w:sz w:val="19"/>
          <w:szCs w:val="19"/>
          <w:lang w:val="es-ES_tradnl"/>
        </w:rPr>
        <w:t> Una de estas excepciones, por ejemplo, son los contratos a que se refiere el numeral 1 del artículo </w:t>
      </w:r>
      <w:hyperlink r:id="rId5" w:anchor="39" w:history="1">
        <w:r w:rsidRPr="009A107A">
          <w:rPr>
            <w:rStyle w:val="Hipervnculo"/>
            <w:rFonts w:ascii="Arial" w:hAnsi="Arial" w:cs="Arial"/>
            <w:i/>
            <w:iCs/>
            <w:color w:val="auto"/>
            <w:sz w:val="19"/>
            <w:szCs w:val="19"/>
            <w:lang w:val="es-ES_tradnl"/>
          </w:rPr>
          <w:t>39</w:t>
        </w:r>
      </w:hyperlink>
      <w:r w:rsidRPr="009A107A">
        <w:rPr>
          <w:rStyle w:val="iaj"/>
          <w:rFonts w:ascii="Arial" w:hAnsi="Arial" w:cs="Arial"/>
          <w:i/>
          <w:iCs/>
          <w:sz w:val="19"/>
          <w:szCs w:val="19"/>
          <w:lang w:val="es-ES_tradnl"/>
        </w:rPr>
        <w:t> de la ley 142 de 1994.</w:t>
      </w:r>
    </w:p>
    <w:p w14:paraId="0CBE396B" w14:textId="77777777" w:rsidR="00C965F6" w:rsidRPr="009A107A" w:rsidRDefault="00C965F6" w:rsidP="009A107A">
      <w:pPr>
        <w:pStyle w:val="NormalWeb"/>
        <w:shd w:val="clear" w:color="auto" w:fill="FFFFFF"/>
        <w:spacing w:before="0" w:beforeAutospacing="0" w:after="0" w:afterAutospacing="0"/>
        <w:ind w:firstLine="709"/>
        <w:jc w:val="both"/>
        <w:rPr>
          <w:rStyle w:val="iaj"/>
          <w:rFonts w:ascii="Arial" w:hAnsi="Arial" w:cs="Arial"/>
          <w:sz w:val="19"/>
          <w:szCs w:val="19"/>
          <w:lang w:val="es-ES_tradnl"/>
        </w:rPr>
      </w:pPr>
      <w:r w:rsidRPr="009A107A">
        <w:rPr>
          <w:rStyle w:val="iaj"/>
          <w:rFonts w:ascii="Arial" w:hAnsi="Arial" w:cs="Arial"/>
          <w:i/>
          <w:iCs/>
          <w:sz w:val="19"/>
          <w:szCs w:val="19"/>
          <w:lang w:val="es-ES_tradnl"/>
        </w:rPr>
        <w:t>»De otra parte, </w:t>
      </w:r>
      <w:r w:rsidRPr="009A107A">
        <w:rPr>
          <w:rStyle w:val="iaj"/>
          <w:rFonts w:ascii="Arial" w:hAnsi="Arial" w:cs="Arial"/>
          <w:b/>
          <w:bCs/>
          <w:i/>
          <w:iCs/>
          <w:sz w:val="19"/>
          <w:szCs w:val="19"/>
          <w:lang w:val="es-ES_tradnl"/>
        </w:rPr>
        <w:t>el artículo </w:t>
      </w:r>
      <w:hyperlink r:id="rId6" w:anchor="31" w:history="1">
        <w:r w:rsidRPr="009A107A">
          <w:rPr>
            <w:rStyle w:val="Hipervnculo"/>
            <w:rFonts w:ascii="Arial" w:hAnsi="Arial" w:cs="Arial"/>
            <w:b/>
            <w:bCs/>
            <w:i/>
            <w:iCs/>
            <w:color w:val="auto"/>
            <w:sz w:val="19"/>
            <w:szCs w:val="19"/>
            <w:lang w:val="es-ES_tradnl"/>
          </w:rPr>
          <w:t>31</w:t>
        </w:r>
      </w:hyperlink>
      <w:r w:rsidRPr="009A107A">
        <w:rPr>
          <w:rStyle w:val="iaj"/>
          <w:rFonts w:ascii="Arial" w:hAnsi="Arial" w:cs="Arial"/>
          <w:b/>
          <w:bCs/>
          <w:i/>
          <w:iCs/>
          <w:sz w:val="19"/>
          <w:szCs w:val="19"/>
          <w:lang w:val="es-ES_tradnl"/>
        </w:rPr>
        <w:t> de la ley 142 de 1994, señala que los contratos que celebren las entidades estatales que presten servicios públicos se rigen por el derecho privado, salvo en lo que la ley </w:t>
      </w:r>
      <w:hyperlink r:id="rId7" w:anchor="INICIO" w:history="1">
        <w:r w:rsidRPr="009A107A">
          <w:rPr>
            <w:rStyle w:val="Hipervnculo"/>
            <w:rFonts w:ascii="Arial" w:hAnsi="Arial" w:cs="Arial"/>
            <w:b/>
            <w:bCs/>
            <w:i/>
            <w:iCs/>
            <w:color w:val="auto"/>
            <w:sz w:val="19"/>
            <w:szCs w:val="19"/>
            <w:lang w:val="es-ES_tradnl"/>
          </w:rPr>
          <w:t>142</w:t>
        </w:r>
      </w:hyperlink>
      <w:r w:rsidRPr="009A107A">
        <w:rPr>
          <w:rStyle w:val="iaj"/>
          <w:rFonts w:ascii="Arial" w:hAnsi="Arial" w:cs="Arial"/>
          <w:b/>
          <w:bCs/>
          <w:i/>
          <w:iCs/>
          <w:sz w:val="19"/>
          <w:szCs w:val="19"/>
          <w:lang w:val="es-ES_tradnl"/>
        </w:rPr>
        <w:t> disponga otra cosa.</w:t>
      </w:r>
      <w:r w:rsidRPr="009A107A">
        <w:rPr>
          <w:rStyle w:val="iaj"/>
          <w:rFonts w:ascii="Arial" w:hAnsi="Arial" w:cs="Arial"/>
          <w:i/>
          <w:iCs/>
          <w:sz w:val="19"/>
          <w:szCs w:val="19"/>
          <w:lang w:val="es-ES_tradnl"/>
        </w:rPr>
        <w:t> A su vez, el parágrafo del mismo artículo señala que los contratos que celebren las entidades territoriales con las empresas de servicios públicos, para que estas asuman la prestación de los servicios públicos, o para que sustituyan en la prestación a otra empresa que entre en causal de disolución o liquidación, se regirán por el estatuto general de la contratación pública, y en todo caso el proceso de selección deberá realizarse previa licitación pública.</w:t>
      </w:r>
    </w:p>
    <w:p w14:paraId="78AD6DD2" w14:textId="77777777" w:rsidR="00C965F6" w:rsidRPr="009A107A" w:rsidRDefault="00C965F6" w:rsidP="009A107A">
      <w:pPr>
        <w:pStyle w:val="NormalWeb"/>
        <w:shd w:val="clear" w:color="auto" w:fill="FFFFFF"/>
        <w:spacing w:before="0" w:beforeAutospacing="0" w:after="0" w:afterAutospacing="0"/>
        <w:ind w:firstLine="709"/>
        <w:jc w:val="both"/>
        <w:rPr>
          <w:rFonts w:ascii="Arial" w:hAnsi="Arial" w:cs="Arial"/>
          <w:sz w:val="19"/>
          <w:szCs w:val="19"/>
          <w:lang w:val="es-ES_tradnl"/>
        </w:rPr>
      </w:pPr>
      <w:r w:rsidRPr="009A107A">
        <w:rPr>
          <w:rStyle w:val="iaj"/>
          <w:rFonts w:ascii="Arial" w:hAnsi="Arial" w:cs="Arial"/>
          <w:sz w:val="19"/>
          <w:szCs w:val="19"/>
          <w:lang w:val="es-ES_tradnl"/>
        </w:rPr>
        <w:t>»[…]» (Las negrillas y cursivas son del original). (Superintendencia de Servicios Públicos Domiciliarios. Concepto 715 de 2014. Radicado: 20145290427992).</w:t>
      </w:r>
    </w:p>
  </w:footnote>
  <w:footnote w:id="7">
    <w:p w14:paraId="305B1B15" w14:textId="77777777" w:rsidR="00C965F6" w:rsidRPr="009A107A" w:rsidRDefault="00C965F6" w:rsidP="009A107A">
      <w:pPr>
        <w:pStyle w:val="Textonotapie"/>
        <w:ind w:firstLine="709"/>
        <w:jc w:val="both"/>
        <w:rPr>
          <w:rFonts w:ascii="Arial" w:hAnsi="Arial" w:cs="Arial"/>
          <w:sz w:val="19"/>
          <w:szCs w:val="19"/>
          <w:lang w:val="es-ES_tradnl"/>
        </w:rPr>
      </w:pPr>
      <w:r w:rsidRPr="009A107A">
        <w:rPr>
          <w:rStyle w:val="Refdenotaalpie"/>
          <w:rFonts w:ascii="Arial" w:hAnsi="Arial" w:cs="Arial"/>
          <w:sz w:val="19"/>
          <w:szCs w:val="19"/>
          <w:lang w:val="es-ES_tradnl"/>
        </w:rPr>
        <w:footnoteRef/>
      </w:r>
      <w:r w:rsidRPr="009A107A">
        <w:rPr>
          <w:rFonts w:ascii="Arial" w:hAnsi="Arial" w:cs="Arial"/>
          <w:sz w:val="19"/>
          <w:szCs w:val="19"/>
          <w:lang w:val="es-ES_tradnl"/>
        </w:rPr>
        <w:t xml:space="preserve"> Al respecto, puede consultarse el texto de MARÍN CORTÉS, Fabián G. Los servicios semipúblicos domiciliarios. Bogotá: Temis, 2010. pp. 355-371.</w:t>
      </w:r>
    </w:p>
  </w:footnote>
  <w:footnote w:id="8">
    <w:p w14:paraId="322ACFF8" w14:textId="77777777" w:rsidR="00C965F6" w:rsidRPr="009A107A" w:rsidRDefault="00C965F6" w:rsidP="009A107A">
      <w:pPr>
        <w:ind w:firstLine="709"/>
        <w:jc w:val="both"/>
        <w:rPr>
          <w:rFonts w:ascii="Arial" w:eastAsia="Calibri" w:hAnsi="Arial" w:cs="Arial"/>
          <w:sz w:val="19"/>
          <w:szCs w:val="19"/>
          <w:lang w:val="es-ES_tradnl"/>
        </w:rPr>
      </w:pPr>
      <w:r w:rsidRPr="009A107A">
        <w:rPr>
          <w:rStyle w:val="Refdenotaalpie"/>
          <w:rFonts w:ascii="Arial" w:hAnsi="Arial" w:cs="Arial"/>
          <w:sz w:val="19"/>
          <w:szCs w:val="19"/>
        </w:rPr>
        <w:footnoteRef/>
      </w:r>
      <w:r w:rsidRPr="009A107A">
        <w:rPr>
          <w:rFonts w:ascii="Arial" w:hAnsi="Arial" w:cs="Arial"/>
          <w:sz w:val="19"/>
          <w:szCs w:val="19"/>
        </w:rPr>
        <w:t xml:space="preserve"> </w:t>
      </w:r>
      <w:r w:rsidRPr="009A107A">
        <w:rPr>
          <w:rFonts w:ascii="Arial" w:hAnsi="Arial" w:cs="Arial"/>
          <w:sz w:val="19"/>
          <w:szCs w:val="19"/>
          <w:lang w:val="es-ES"/>
        </w:rPr>
        <w:t>Este artículo consagra los principios de la función administrativa, así: «</w:t>
      </w:r>
      <w:r w:rsidRPr="009A107A">
        <w:rPr>
          <w:rFonts w:ascii="Arial" w:eastAsia="Calibri" w:hAnsi="Arial" w:cs="Arial"/>
          <w:sz w:val="19"/>
          <w:szCs w:val="19"/>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2F7920AE" w14:textId="77777777" w:rsidR="00C965F6" w:rsidRPr="009A107A" w:rsidRDefault="00C965F6" w:rsidP="009A107A">
      <w:pPr>
        <w:pStyle w:val="Textonotapie"/>
        <w:ind w:firstLine="709"/>
        <w:jc w:val="both"/>
        <w:rPr>
          <w:rFonts w:ascii="Arial" w:hAnsi="Arial" w:cs="Arial"/>
          <w:sz w:val="19"/>
          <w:szCs w:val="19"/>
          <w:lang w:val="es-ES"/>
        </w:rPr>
      </w:pPr>
      <w:r w:rsidRPr="009A107A">
        <w:rPr>
          <w:rFonts w:ascii="Arial" w:eastAsia="Calibri" w:hAnsi="Arial" w:cs="Arial"/>
          <w:sz w:val="19"/>
          <w:szCs w:val="19"/>
          <w:lang w:val="es-ES_tradnl"/>
        </w:rPr>
        <w:t>»Las autoridades administrativas deben coordinar sus actuaciones para el adecuado cumplimiento de los fines del Estado. La administración pública, en todos sus órdenes, tendrá un control interno que se ejercerá en los términos que señale la ley».</w:t>
      </w:r>
    </w:p>
  </w:footnote>
  <w:footnote w:id="9">
    <w:p w14:paraId="54E786E8" w14:textId="77777777" w:rsidR="00C965F6" w:rsidRPr="009A107A" w:rsidRDefault="00C965F6" w:rsidP="009A107A">
      <w:pPr>
        <w:pStyle w:val="Textonotapie"/>
        <w:ind w:firstLine="709"/>
        <w:jc w:val="both"/>
        <w:rPr>
          <w:rFonts w:ascii="Arial" w:hAnsi="Arial" w:cs="Arial"/>
          <w:sz w:val="19"/>
          <w:szCs w:val="19"/>
        </w:rPr>
      </w:pPr>
      <w:r w:rsidRPr="009A107A">
        <w:rPr>
          <w:rStyle w:val="Refdenotaalpie"/>
          <w:rFonts w:ascii="Arial" w:hAnsi="Arial" w:cs="Arial"/>
          <w:sz w:val="19"/>
          <w:szCs w:val="19"/>
        </w:rPr>
        <w:footnoteRef/>
      </w:r>
      <w:r w:rsidRPr="009A107A">
        <w:rPr>
          <w:rFonts w:ascii="Arial" w:hAnsi="Arial" w:cs="Arial"/>
          <w:sz w:val="19"/>
          <w:szCs w:val="19"/>
        </w:rPr>
        <w:t xml:space="preserve"> Tal artículo, modificado por el artículo 1 del Acto Legislativo 4 de 2019, expresa en su cuarto inciso: «La vigilancia de la gestión fiscal del Estado incluye el seguimiento permanente al recurso público, sin oponibilidad de reserva legal para el acceso a la información por parte de los órganos de control fiscal, y el control financiero, de gestión y de resultados, fundado en la eficiencia, la economía, la equidad, el desarrollo sostenible y el cumplimiento del principio de valoración de costos ambientales. La Contraloría General de la República tendrá competencia prevalente para ejercer control sobre la gestión de cualquier entidad territorial, de conformidad con lo que reglamente la ley».</w:t>
      </w:r>
    </w:p>
  </w:footnote>
  <w:footnote w:id="10">
    <w:p w14:paraId="512F4800" w14:textId="77777777" w:rsidR="00C965F6" w:rsidRPr="009A107A" w:rsidRDefault="00C965F6" w:rsidP="009A107A">
      <w:pPr>
        <w:ind w:firstLine="709"/>
        <w:jc w:val="both"/>
        <w:rPr>
          <w:rFonts w:ascii="Arial" w:eastAsia="Calibri" w:hAnsi="Arial" w:cs="Arial"/>
          <w:sz w:val="19"/>
          <w:szCs w:val="19"/>
          <w:lang w:val="es-ES_tradnl"/>
        </w:rPr>
      </w:pPr>
      <w:r w:rsidRPr="009A107A">
        <w:rPr>
          <w:rStyle w:val="Refdenotaalpie"/>
          <w:rFonts w:ascii="Arial" w:hAnsi="Arial" w:cs="Arial"/>
          <w:sz w:val="19"/>
          <w:szCs w:val="19"/>
        </w:rPr>
        <w:footnoteRef/>
      </w:r>
      <w:r w:rsidRPr="009A107A">
        <w:rPr>
          <w:rFonts w:ascii="Arial" w:hAnsi="Arial" w:cs="Arial"/>
          <w:sz w:val="19"/>
          <w:szCs w:val="19"/>
        </w:rPr>
        <w:t xml:space="preserve"> </w:t>
      </w:r>
      <w:r w:rsidRPr="009A107A">
        <w:rPr>
          <w:rFonts w:ascii="Arial" w:hAnsi="Arial" w:cs="Arial"/>
          <w:sz w:val="19"/>
          <w:szCs w:val="19"/>
          <w:lang w:val="es-ES"/>
        </w:rPr>
        <w:t>Dicha norma dispone: «</w:t>
      </w:r>
      <w:r w:rsidRPr="009A107A">
        <w:rPr>
          <w:rFonts w:ascii="Arial" w:eastAsia="Calibri" w:hAnsi="Arial" w:cs="Arial"/>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11">
    <w:p w14:paraId="1DE9FA0D" w14:textId="77777777" w:rsidR="00C965F6" w:rsidRPr="009A107A" w:rsidRDefault="00C965F6" w:rsidP="009A107A">
      <w:pPr>
        <w:pStyle w:val="Textonotapie"/>
        <w:ind w:firstLine="709"/>
        <w:jc w:val="both"/>
        <w:rPr>
          <w:rFonts w:ascii="Arial" w:hAnsi="Arial" w:cs="Arial"/>
          <w:sz w:val="19"/>
          <w:szCs w:val="19"/>
          <w:lang w:val="es-ES_tradnl"/>
        </w:rPr>
      </w:pPr>
      <w:r w:rsidRPr="009A107A">
        <w:rPr>
          <w:rStyle w:val="Refdenotaalpie"/>
          <w:rFonts w:ascii="Arial" w:hAnsi="Arial" w:cs="Arial"/>
          <w:sz w:val="19"/>
          <w:szCs w:val="19"/>
          <w:lang w:val="es-ES_tradnl"/>
        </w:rPr>
        <w:footnoteRef/>
      </w:r>
      <w:r w:rsidRPr="009A107A">
        <w:rPr>
          <w:rFonts w:ascii="Arial" w:hAnsi="Arial" w:cs="Arial"/>
          <w:sz w:val="19"/>
          <w:szCs w:val="19"/>
          <w:lang w:val="es-ES_tradnl"/>
        </w:rPr>
        <w:t xml:space="preserve"> MARÍN, </w:t>
      </w:r>
      <w:r w:rsidRPr="009A107A">
        <w:rPr>
          <w:rFonts w:ascii="Arial" w:hAnsi="Arial" w:cs="Arial"/>
          <w:i/>
          <w:sz w:val="19"/>
          <w:szCs w:val="19"/>
          <w:lang w:val="es-ES_tradnl"/>
        </w:rPr>
        <w:t>Op.cit</w:t>
      </w:r>
      <w:r w:rsidRPr="009A107A">
        <w:rPr>
          <w:rFonts w:ascii="Arial" w:hAnsi="Arial" w:cs="Arial"/>
          <w:sz w:val="19"/>
          <w:szCs w:val="19"/>
          <w:lang w:val="es-ES_tradnl"/>
        </w:rPr>
        <w:t>. p. 125.</w:t>
      </w:r>
    </w:p>
  </w:footnote>
  <w:footnote w:id="12">
    <w:p w14:paraId="342A743A" w14:textId="77777777" w:rsidR="00C965F6" w:rsidRPr="009A107A" w:rsidRDefault="00C965F6" w:rsidP="009A107A">
      <w:pPr>
        <w:ind w:firstLine="709"/>
        <w:jc w:val="both"/>
        <w:rPr>
          <w:rFonts w:ascii="Arial" w:hAnsi="Arial" w:cs="Arial"/>
          <w:sz w:val="19"/>
          <w:szCs w:val="19"/>
          <w:lang w:val="es-ES_tradnl"/>
        </w:rPr>
      </w:pPr>
      <w:r w:rsidRPr="009A107A">
        <w:rPr>
          <w:rStyle w:val="Refdenotaalpie"/>
          <w:rFonts w:ascii="Arial" w:hAnsi="Arial" w:cs="Arial"/>
          <w:sz w:val="19"/>
          <w:szCs w:val="19"/>
          <w:lang w:val="es-ES_tradnl"/>
        </w:rPr>
        <w:footnoteRef/>
      </w:r>
      <w:r w:rsidRPr="009A107A">
        <w:rPr>
          <w:rFonts w:ascii="Arial" w:hAnsi="Arial" w:cs="Arial"/>
          <w:sz w:val="19"/>
          <w:szCs w:val="19"/>
          <w:lang w:val="es-ES_tradnl"/>
        </w:rPr>
        <w:t xml:space="preserve"> Concepto 272 de 2013. Radicado 20135290202702. En sitio web: https://normograma.info/ssppdd/docs/concepto_superservicios_0000272_2013.htm</w:t>
      </w:r>
    </w:p>
  </w:footnote>
  <w:footnote w:id="13">
    <w:p w14:paraId="5BB9B50D" w14:textId="77777777" w:rsidR="00C965F6" w:rsidRPr="009A107A" w:rsidRDefault="00C965F6" w:rsidP="009A107A">
      <w:pPr>
        <w:pStyle w:val="Textonotapie"/>
        <w:ind w:firstLine="709"/>
        <w:jc w:val="both"/>
        <w:rPr>
          <w:rFonts w:ascii="Arial" w:hAnsi="Arial" w:cs="Arial"/>
          <w:sz w:val="19"/>
          <w:szCs w:val="19"/>
          <w:lang w:val="es-ES_tradnl"/>
        </w:rPr>
      </w:pPr>
      <w:r w:rsidRPr="009A107A">
        <w:rPr>
          <w:rStyle w:val="Refdenotaalpie"/>
          <w:rFonts w:ascii="Arial" w:hAnsi="Arial" w:cs="Arial"/>
          <w:sz w:val="19"/>
          <w:szCs w:val="19"/>
          <w:lang w:val="es-ES_tradnl"/>
        </w:rPr>
        <w:footnoteRef/>
      </w:r>
      <w:r w:rsidRPr="009A107A">
        <w:rPr>
          <w:rFonts w:ascii="Arial" w:hAnsi="Arial" w:cs="Arial"/>
          <w:sz w:val="19"/>
          <w:szCs w:val="19"/>
          <w:lang w:val="es-ES_tradnl"/>
        </w:rPr>
        <w:t xml:space="preserve"> El artículo 18 de la Ley 142 de 1994 prescribe: «La Empresa de servicios públicos tiene como objeto la prestación de uno o más de los servicios públicos a los que se aplica esta Ley, o realizar una o varias de las actividades complementarias, o una y otra cosa.</w:t>
      </w:r>
    </w:p>
    <w:p w14:paraId="7E63A7B5" w14:textId="77777777" w:rsidR="00C965F6" w:rsidRPr="009A107A" w:rsidRDefault="00C965F6" w:rsidP="009A107A">
      <w:pPr>
        <w:pStyle w:val="Textonotapie"/>
        <w:ind w:firstLine="709"/>
        <w:jc w:val="both"/>
        <w:rPr>
          <w:rFonts w:ascii="Arial" w:hAnsi="Arial" w:cs="Arial"/>
          <w:sz w:val="19"/>
          <w:szCs w:val="19"/>
          <w:lang w:val="es-ES_tradnl"/>
        </w:rPr>
      </w:pPr>
      <w:r w:rsidRPr="009A107A">
        <w:rPr>
          <w:rFonts w:ascii="Arial" w:hAnsi="Arial" w:cs="Arial"/>
          <w:sz w:val="19"/>
          <w:szCs w:val="19"/>
          <w:lang w:val="es-ES_tradnl"/>
        </w:rPr>
        <w:t>»Las comisiones de regulación podrán obligar a una empresa de servicios públicos a tener un objeto exclusivo cuando establezcan que la multiplicidad del objeto limita la competencia y no produce economías de escala o de aglomeración en beneficio del usuario. En todo caso, las empresas de servicios públicos que tengan objeto social múltiple deberán llevar contabilidad separada para cada uno de los servicios que presten; y el costo y la modalidad de las operaciones entre cada servicio deben registrarse de manera explícita.</w:t>
      </w:r>
    </w:p>
    <w:p w14:paraId="5025D1D9" w14:textId="77777777" w:rsidR="00C965F6" w:rsidRPr="009A107A" w:rsidRDefault="00C965F6" w:rsidP="009A107A">
      <w:pPr>
        <w:pStyle w:val="Textonotapie"/>
        <w:ind w:firstLine="709"/>
        <w:jc w:val="both"/>
        <w:rPr>
          <w:rFonts w:ascii="Arial" w:hAnsi="Arial" w:cs="Arial"/>
          <w:sz w:val="19"/>
          <w:szCs w:val="19"/>
          <w:lang w:val="es-ES_tradnl"/>
        </w:rPr>
      </w:pPr>
      <w:r w:rsidRPr="009A107A">
        <w:rPr>
          <w:rFonts w:ascii="Arial" w:hAnsi="Arial" w:cs="Arial"/>
          <w:sz w:val="19"/>
          <w:szCs w:val="19"/>
          <w:lang w:val="es-ES_tradnl"/>
        </w:rPr>
        <w:t>»Las empresas de servicios públicos podrán participar como socias en otras empresas de servicios públicos; o en las que tengan como objeto principal la prestación de un servicio o la provisión de un bien indispensable para cumplir su objeto, si no hay ya una amplia oferta de este bien o servicio en el mercado. Podrán también asociarse, en desarrollo de su objeto, con personas nacionales o extranjeras, o formar consorcios con ellas.</w:t>
      </w:r>
    </w:p>
    <w:p w14:paraId="55F05EDA" w14:textId="77777777" w:rsidR="00C965F6" w:rsidRPr="009A107A" w:rsidRDefault="00C965F6" w:rsidP="009A107A">
      <w:pPr>
        <w:pStyle w:val="Textonotapie"/>
        <w:ind w:firstLine="709"/>
        <w:jc w:val="both"/>
        <w:rPr>
          <w:rFonts w:ascii="Arial" w:hAnsi="Arial" w:cs="Arial"/>
          <w:sz w:val="19"/>
          <w:szCs w:val="19"/>
          <w:lang w:val="es-ES_tradnl"/>
        </w:rPr>
      </w:pPr>
      <w:r w:rsidRPr="009A107A">
        <w:rPr>
          <w:rFonts w:ascii="Arial" w:hAnsi="Arial" w:cs="Arial"/>
          <w:sz w:val="19"/>
          <w:szCs w:val="19"/>
          <w:lang w:val="es-ES_tradnl"/>
        </w:rPr>
        <w:t>»</w:t>
      </w:r>
      <w:r w:rsidRPr="009A107A">
        <w:rPr>
          <w:rFonts w:ascii="Arial" w:hAnsi="Arial" w:cs="Arial"/>
          <w:bCs/>
          <w:sz w:val="19"/>
          <w:szCs w:val="19"/>
          <w:lang w:val="es-ES_tradnl"/>
        </w:rPr>
        <w:t>PARÁGRAFO</w:t>
      </w:r>
      <w:r w:rsidRPr="009A107A">
        <w:rPr>
          <w:rFonts w:ascii="Arial" w:hAnsi="Arial" w:cs="Arial"/>
          <w:sz w:val="19"/>
          <w:szCs w:val="19"/>
          <w:lang w:val="es-ES_tradnl"/>
        </w:rPr>
        <w:t>. Independientemente de su objeto social, todas las personas jurídicas están facultadas para hacer inversiones en empresas de servicios públicos. En el objeto de las comunidades organizadas siempre se entenderá incluida la facultad de promover y constituir empresas de servicios públicos, en las condiciones de esta Ley y de la ley que las regule. En los concursos públicos a los que se refiere esta Ley se preferirá a las empresas en que tales comunidades tengan mayoría, si estas empresas se encuentran en igualdad de condiciones con los demás participantes».</w:t>
      </w:r>
    </w:p>
  </w:footnote>
  <w:footnote w:id="14">
    <w:p w14:paraId="0173B60E" w14:textId="77777777" w:rsidR="00C965F6" w:rsidRPr="009A107A" w:rsidRDefault="00C965F6" w:rsidP="009A107A">
      <w:pPr>
        <w:pStyle w:val="Textonotapie"/>
        <w:ind w:firstLine="709"/>
        <w:jc w:val="both"/>
        <w:rPr>
          <w:rFonts w:ascii="Arial" w:hAnsi="Arial" w:cs="Arial"/>
          <w:sz w:val="19"/>
          <w:szCs w:val="19"/>
          <w:lang w:val="es-ES"/>
        </w:rPr>
      </w:pPr>
      <w:r w:rsidRPr="009A107A">
        <w:rPr>
          <w:rStyle w:val="Refdenotaalpie"/>
          <w:rFonts w:ascii="Arial" w:hAnsi="Arial" w:cs="Arial"/>
          <w:sz w:val="19"/>
          <w:szCs w:val="19"/>
        </w:rPr>
        <w:footnoteRef/>
      </w:r>
      <w:r w:rsidRPr="009A107A">
        <w:rPr>
          <w:rFonts w:ascii="Arial" w:hAnsi="Arial" w:cs="Arial"/>
          <w:sz w:val="19"/>
          <w:szCs w:val="19"/>
        </w:rPr>
        <w:t xml:space="preserve"> </w:t>
      </w:r>
      <w:r w:rsidRPr="009A107A">
        <w:rPr>
          <w:rFonts w:ascii="Arial" w:hAnsi="Arial" w:cs="Arial"/>
          <w:sz w:val="19"/>
          <w:szCs w:val="19"/>
          <w:lang w:val="es-ES"/>
        </w:rPr>
        <w:t>Consejo de Estado. Sala de Consulta y Servicio Civil. Concepto del 19 de julio de 1995. Consejero Ponente: Roberto Suárez Franco. Radicación Número: 704.</w:t>
      </w:r>
    </w:p>
  </w:footnote>
  <w:footnote w:id="15">
    <w:p w14:paraId="4F1BD6EE" w14:textId="77777777" w:rsidR="00C965F6" w:rsidRPr="009A107A" w:rsidRDefault="00C965F6" w:rsidP="009A107A">
      <w:pPr>
        <w:pStyle w:val="Textonotapie"/>
        <w:ind w:firstLine="709"/>
        <w:jc w:val="both"/>
        <w:rPr>
          <w:rFonts w:ascii="Arial" w:hAnsi="Arial" w:cs="Arial"/>
          <w:sz w:val="19"/>
          <w:szCs w:val="19"/>
          <w:lang w:val="es-ES_tradnl"/>
        </w:rPr>
      </w:pPr>
      <w:r w:rsidRPr="009A107A">
        <w:rPr>
          <w:rStyle w:val="Refdenotaalpie"/>
          <w:rFonts w:ascii="Arial" w:hAnsi="Arial" w:cs="Arial"/>
          <w:sz w:val="19"/>
          <w:szCs w:val="19"/>
        </w:rPr>
        <w:footnoteRef/>
      </w:r>
      <w:r w:rsidRPr="009A107A">
        <w:rPr>
          <w:rFonts w:ascii="Arial" w:hAnsi="Arial" w:cs="Arial"/>
          <w:sz w:val="19"/>
          <w:szCs w:val="19"/>
        </w:rPr>
        <w:t xml:space="preserve"> </w:t>
      </w:r>
      <w:r w:rsidRPr="009A107A">
        <w:rPr>
          <w:rFonts w:ascii="Arial" w:hAnsi="Arial" w:cs="Arial"/>
          <w:sz w:val="19"/>
          <w:szCs w:val="19"/>
          <w:lang w:val="es-ES"/>
        </w:rPr>
        <w:t>Ello, en tanto, la redacción original del artículo 31, antes de la modificación que tuvo posteriormente, era esta: «</w:t>
      </w:r>
      <w:r w:rsidRPr="009A107A">
        <w:rPr>
          <w:rFonts w:ascii="Arial" w:hAnsi="Arial" w:cs="Arial"/>
          <w:sz w:val="19"/>
          <w:szCs w:val="19"/>
          <w:lang w:val="es-ES_tradnl"/>
        </w:rPr>
        <w:t>Los contratos que celebren las entidades estatales que prestan los servicios públicos a los que se refiere esta Ley, y que tengan por objeto la prestación de esos servicios, se regirán por el parágrafo 1 del artículo </w:t>
      </w:r>
      <w:hyperlink r:id="rId8" w:anchor="32" w:history="1">
        <w:r w:rsidRPr="009A107A">
          <w:rPr>
            <w:rFonts w:ascii="Arial" w:hAnsi="Arial" w:cs="Arial"/>
            <w:sz w:val="19"/>
            <w:szCs w:val="19"/>
            <w:lang w:val="es-ES_tradnl"/>
          </w:rPr>
          <w:t>32</w:t>
        </w:r>
      </w:hyperlink>
      <w:r w:rsidRPr="009A107A">
        <w:rPr>
          <w:rFonts w:ascii="Arial" w:hAnsi="Arial" w:cs="Arial"/>
          <w:sz w:val="19"/>
          <w:szCs w:val="19"/>
          <w:lang w:val="es-ES_tradnl"/>
        </w:rPr>
        <w:t> de la Ley 80 de 1993 y por la presente Ley, salvo en lo que la presente Ley disponga otra cosa.</w:t>
      </w:r>
    </w:p>
    <w:p w14:paraId="7A1149DE" w14:textId="77777777" w:rsidR="00C965F6" w:rsidRPr="009A107A" w:rsidRDefault="00C965F6" w:rsidP="009A107A">
      <w:pPr>
        <w:pStyle w:val="Textonotapie"/>
        <w:ind w:firstLine="709"/>
        <w:jc w:val="both"/>
        <w:rPr>
          <w:rFonts w:ascii="Arial" w:hAnsi="Arial" w:cs="Arial"/>
          <w:sz w:val="19"/>
          <w:szCs w:val="19"/>
          <w:lang w:val="es-ES_tradnl"/>
        </w:rPr>
      </w:pPr>
      <w:r w:rsidRPr="009A107A">
        <w:rPr>
          <w:rFonts w:ascii="Arial" w:hAnsi="Arial" w:cs="Arial"/>
          <w:sz w:val="19"/>
          <w:szCs w:val="19"/>
          <w:lang w:val="es-ES_tradnl"/>
        </w:rPr>
        <w:t>»Las comisiones de regulación podrán hacer obligatoria la inclusión, en ciertos tipos de contratos de cualquier empresa de servicios públicos, de cláusulas exorbitantes y podrán facultar, previa consulta expresa, que se incluyan en los demás. Cuando la inclusión sea forzosa, todo lo relativo a tales cláusulas se regirá, en cuanto sea pertinente, por lo dispuesto en la Ley 80 de 1993, y los actos en los que se ejerciten esas facultades estarán sujetos al control de la jurisdicción contencioso administrativa».</w:t>
      </w:r>
    </w:p>
    <w:p w14:paraId="044BB40D" w14:textId="77777777" w:rsidR="00C965F6" w:rsidRPr="009A107A" w:rsidRDefault="00C965F6" w:rsidP="00C965F6">
      <w:pPr>
        <w:pStyle w:val="Textonotapie"/>
        <w:ind w:firstLine="709"/>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19F2"/>
    <w:rsid w:val="000942EB"/>
    <w:rsid w:val="000B103F"/>
    <w:rsid w:val="000F14E8"/>
    <w:rsid w:val="00103915"/>
    <w:rsid w:val="00122B23"/>
    <w:rsid w:val="00137FFA"/>
    <w:rsid w:val="00191148"/>
    <w:rsid w:val="00234B84"/>
    <w:rsid w:val="003033BA"/>
    <w:rsid w:val="0034680A"/>
    <w:rsid w:val="00386456"/>
    <w:rsid w:val="003A581E"/>
    <w:rsid w:val="004422D6"/>
    <w:rsid w:val="004A34D2"/>
    <w:rsid w:val="0051074C"/>
    <w:rsid w:val="00513AF2"/>
    <w:rsid w:val="0054413A"/>
    <w:rsid w:val="005564CA"/>
    <w:rsid w:val="00615CC3"/>
    <w:rsid w:val="00655371"/>
    <w:rsid w:val="00697665"/>
    <w:rsid w:val="006A7FD0"/>
    <w:rsid w:val="006D7687"/>
    <w:rsid w:val="006E0572"/>
    <w:rsid w:val="00705631"/>
    <w:rsid w:val="00742DD2"/>
    <w:rsid w:val="00745CC0"/>
    <w:rsid w:val="0075647A"/>
    <w:rsid w:val="007634AD"/>
    <w:rsid w:val="0078122E"/>
    <w:rsid w:val="007B0854"/>
    <w:rsid w:val="007F36F0"/>
    <w:rsid w:val="007F72CB"/>
    <w:rsid w:val="0083119B"/>
    <w:rsid w:val="00836EAB"/>
    <w:rsid w:val="0085092D"/>
    <w:rsid w:val="008E1C15"/>
    <w:rsid w:val="009047C5"/>
    <w:rsid w:val="0095385A"/>
    <w:rsid w:val="009A107A"/>
    <w:rsid w:val="00A24560"/>
    <w:rsid w:val="00A34538"/>
    <w:rsid w:val="00AA442B"/>
    <w:rsid w:val="00B22E22"/>
    <w:rsid w:val="00B525CB"/>
    <w:rsid w:val="00B63CB2"/>
    <w:rsid w:val="00BD78FE"/>
    <w:rsid w:val="00C965F6"/>
    <w:rsid w:val="00CC00CD"/>
    <w:rsid w:val="00D16E39"/>
    <w:rsid w:val="00D5069A"/>
    <w:rsid w:val="00D72E9D"/>
    <w:rsid w:val="00D82CE5"/>
    <w:rsid w:val="00DA5AB1"/>
    <w:rsid w:val="00DC62E5"/>
    <w:rsid w:val="00DD735D"/>
    <w:rsid w:val="00DE3119"/>
    <w:rsid w:val="00DF236B"/>
    <w:rsid w:val="00E0090A"/>
    <w:rsid w:val="00E13AB8"/>
    <w:rsid w:val="00E33B62"/>
    <w:rsid w:val="00E42317"/>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C965F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aj">
    <w:name w:val="i_aj"/>
    <w:basedOn w:val="Fuentedeprrafopredeter"/>
    <w:rsid w:val="00C96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62099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www.secretariasenado.gov.co/senado/basedoc/ley_0080_1993.html" TargetMode="External"/><Relationship Id="rId3" Type="http://schemas.openxmlformats.org/officeDocument/2006/relationships/hyperlink" Target="https://normograma.info/ssppdd/docs/ley_0142_1994.htm" TargetMode="External"/><Relationship Id="rId7" Type="http://schemas.openxmlformats.org/officeDocument/2006/relationships/hyperlink" Target="https://normograma.info/ssppdd/docs/ley_0142_1994.htm" TargetMode="External"/><Relationship Id="rId2" Type="http://schemas.openxmlformats.org/officeDocument/2006/relationships/hyperlink" Target="https://normograma.info/ssppdd/docs/ley_0142_1994.htm" TargetMode="External"/><Relationship Id="rId1" Type="http://schemas.openxmlformats.org/officeDocument/2006/relationships/hyperlink" Target="https://normograma.info/ssppdd/docs/ley_0142_1994.htm" TargetMode="External"/><Relationship Id="rId6" Type="http://schemas.openxmlformats.org/officeDocument/2006/relationships/hyperlink" Target="https://normograma.info/ssppdd/docs/ley_0142_1994.htm" TargetMode="External"/><Relationship Id="rId5" Type="http://schemas.openxmlformats.org/officeDocument/2006/relationships/hyperlink" Target="https://normograma.info/ssppdd/docs/ley_0142_1994.htm" TargetMode="External"/><Relationship Id="rId4" Type="http://schemas.openxmlformats.org/officeDocument/2006/relationships/hyperlink" Target="https://normograma.info/ssppdd/docs/ley_0142_1994.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5030E-0AB3-49B9-8CB7-6A6601388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61547C-E123-456C-80DC-FB44A29F786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FE86B562-5757-4995-BD77-AA9E3365E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14</Pages>
  <Words>4226</Words>
  <Characters>24089</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9</cp:revision>
  <dcterms:created xsi:type="dcterms:W3CDTF">2020-02-13T15:12:00Z</dcterms:created>
  <dcterms:modified xsi:type="dcterms:W3CDTF">2020-07-14T17:15:00Z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