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5B33A" w14:textId="77777777" w:rsidR="00535540" w:rsidRPr="007E7C01" w:rsidRDefault="00535540" w:rsidP="00565A2E">
      <w:pPr>
        <w:spacing w:line="240" w:lineRule="auto"/>
        <w:jc w:val="both"/>
        <w:rPr>
          <w:rFonts w:ascii="Arial" w:hAnsi="Arial" w:cs="Arial"/>
          <w:b/>
          <w:sz w:val="20"/>
          <w:szCs w:val="20"/>
          <w:lang w:val="es-ES_tradnl"/>
        </w:rPr>
      </w:pPr>
      <w:bookmarkStart w:id="0" w:name="_Hlk34951122"/>
      <w:r w:rsidRPr="007E7C01">
        <w:rPr>
          <w:rFonts w:ascii="Arial" w:hAnsi="Arial" w:cs="Arial"/>
          <w:b/>
          <w:sz w:val="20"/>
          <w:szCs w:val="20"/>
          <w:lang w:val="es-ES_tradnl"/>
        </w:rPr>
        <w:t xml:space="preserve">ANTICIPO – Regulación normativa </w:t>
      </w:r>
    </w:p>
    <w:p w14:paraId="00C9B49B" w14:textId="77777777" w:rsidR="00535540" w:rsidRPr="007E7C01" w:rsidRDefault="00535540" w:rsidP="00565A2E">
      <w:pPr>
        <w:spacing w:line="240" w:lineRule="auto"/>
        <w:jc w:val="both"/>
        <w:rPr>
          <w:rFonts w:ascii="Arial" w:hAnsi="Arial" w:cs="Arial"/>
          <w:sz w:val="20"/>
          <w:szCs w:val="20"/>
          <w:lang w:val="es-ES_tradnl"/>
        </w:rPr>
      </w:pPr>
      <w:r w:rsidRPr="007E7C01">
        <w:rPr>
          <w:rFonts w:ascii="Arial" w:hAnsi="Arial"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Por su parte, el artículo 91 de la Ley 1474 de 2011 consagra una regla especial para el manejo del anticipo. </w:t>
      </w:r>
    </w:p>
    <w:p w14:paraId="55224D70" w14:textId="77777777" w:rsidR="00535540" w:rsidRPr="00193825" w:rsidRDefault="00535540" w:rsidP="00565A2E">
      <w:pPr>
        <w:spacing w:line="240" w:lineRule="auto"/>
        <w:jc w:val="both"/>
        <w:rPr>
          <w:rFonts w:ascii="Arial" w:hAnsi="Arial" w:cs="Arial"/>
          <w:b/>
          <w:sz w:val="20"/>
          <w:szCs w:val="20"/>
        </w:rPr>
      </w:pPr>
      <w:r w:rsidRPr="00193825">
        <w:rPr>
          <w:rFonts w:ascii="Arial" w:hAnsi="Arial" w:cs="Arial"/>
          <w:b/>
          <w:sz w:val="20"/>
          <w:szCs w:val="20"/>
        </w:rPr>
        <w:t>ANTICIPO – Definición jurisprudencial</w:t>
      </w:r>
    </w:p>
    <w:p w14:paraId="2001A532" w14:textId="2A83BE74" w:rsidR="00535540" w:rsidRPr="00193825" w:rsidRDefault="00535540" w:rsidP="00565A2E">
      <w:pPr>
        <w:spacing w:line="240" w:lineRule="auto"/>
        <w:jc w:val="both"/>
        <w:rPr>
          <w:rFonts w:ascii="Arial" w:hAnsi="Arial" w:cs="Arial"/>
          <w:sz w:val="20"/>
          <w:szCs w:val="20"/>
          <w:lang w:val="es-ES_tradnl"/>
        </w:rPr>
      </w:pPr>
      <w:r w:rsidRPr="00193825">
        <w:rPr>
          <w:rFonts w:ascii="Arial" w:hAnsi="Arial" w:cs="Arial"/>
          <w:sz w:val="20"/>
          <w:szCs w:val="20"/>
          <w:lang w:val="es-ES_tradnl"/>
        </w:rPr>
        <w:t xml:space="preserve">[…], </w:t>
      </w:r>
      <w:r w:rsidRPr="00193825">
        <w:rPr>
          <w:rFonts w:ascii="Arial" w:hAnsi="Arial" w:cs="Arial"/>
          <w:sz w:val="20"/>
          <w:szCs w:val="20"/>
        </w:rPr>
        <w:t xml:space="preserve">el Consejo de Estado </w:t>
      </w:r>
      <w:r w:rsidR="00193825" w:rsidRPr="00193825">
        <w:rPr>
          <w:rFonts w:ascii="Arial" w:hAnsi="Arial" w:cs="Arial"/>
          <w:sz w:val="20"/>
          <w:szCs w:val="20"/>
        </w:rPr>
        <w:t xml:space="preserve">ha precisado su naturaleza jurídica fijando parámetros para su aplicación. En uno de sus pronunciamientos más recientes, el Consejo de Estado </w:t>
      </w:r>
      <w:r w:rsidRPr="00193825">
        <w:rPr>
          <w:rFonts w:ascii="Arial" w:hAnsi="Arial" w:cs="Arial"/>
          <w:sz w:val="20"/>
          <w:szCs w:val="20"/>
        </w:rPr>
        <w:t xml:space="preserve">se refirió </w:t>
      </w:r>
      <w:r w:rsidR="00193825" w:rsidRPr="00193825">
        <w:rPr>
          <w:rFonts w:ascii="Arial" w:hAnsi="Arial" w:cs="Arial"/>
          <w:sz w:val="20"/>
          <w:szCs w:val="20"/>
        </w:rPr>
        <w:t>al</w:t>
      </w:r>
      <w:r w:rsidRPr="00193825">
        <w:rPr>
          <w:rFonts w:ascii="Arial" w:hAnsi="Arial" w:cs="Arial"/>
          <w:sz w:val="20"/>
          <w:szCs w:val="20"/>
        </w:rPr>
        <w:t xml:space="preserve"> anticipo como </w:t>
      </w:r>
      <w:r w:rsidRPr="00193825">
        <w:rPr>
          <w:rFonts w:ascii="Arial" w:hAnsi="Arial" w:cs="Arial"/>
          <w:color w:val="000000" w:themeColor="text1"/>
          <w:sz w:val="20"/>
          <w:szCs w:val="20"/>
        </w:rPr>
        <w:t>«</w:t>
      </w:r>
      <w:r w:rsidRPr="00193825">
        <w:rPr>
          <w:rFonts w:ascii="Arial" w:hAnsi="Arial" w:cs="Arial"/>
          <w:sz w:val="20"/>
          <w:szCs w:val="20"/>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00193825" w:rsidRPr="00193825">
        <w:rPr>
          <w:rFonts w:ascii="Arial" w:hAnsi="Arial" w:cs="Arial"/>
          <w:color w:val="000000" w:themeColor="text1"/>
          <w:sz w:val="20"/>
          <w:szCs w:val="20"/>
        </w:rPr>
        <w:t>»</w:t>
      </w:r>
    </w:p>
    <w:p w14:paraId="7A2B367E" w14:textId="77777777" w:rsidR="00535540" w:rsidRPr="00257611" w:rsidRDefault="00535540" w:rsidP="00565A2E">
      <w:pPr>
        <w:spacing w:line="240" w:lineRule="auto"/>
        <w:jc w:val="both"/>
        <w:rPr>
          <w:rFonts w:ascii="Arial" w:hAnsi="Arial" w:cs="Arial"/>
          <w:b/>
          <w:color w:val="000000" w:themeColor="text1"/>
          <w:sz w:val="20"/>
          <w:szCs w:val="20"/>
        </w:rPr>
      </w:pPr>
      <w:r w:rsidRPr="00257611">
        <w:rPr>
          <w:rFonts w:ascii="Arial" w:hAnsi="Arial" w:cs="Arial"/>
          <w:b/>
          <w:color w:val="000000" w:themeColor="text1"/>
          <w:sz w:val="20"/>
          <w:szCs w:val="20"/>
        </w:rPr>
        <w:t xml:space="preserve">ANTICIPO – Autonomía de la voluntad – Derechos y obligaciones recíprocas </w:t>
      </w:r>
    </w:p>
    <w:p w14:paraId="66D67CFA" w14:textId="77777777" w:rsidR="00535540" w:rsidRPr="00C948E9" w:rsidRDefault="00535540" w:rsidP="00565A2E">
      <w:pPr>
        <w:spacing w:line="240" w:lineRule="auto"/>
        <w:jc w:val="both"/>
        <w:rPr>
          <w:rFonts w:ascii="Arial" w:hAnsi="Arial" w:cs="Arial"/>
          <w:sz w:val="20"/>
          <w:szCs w:val="20"/>
          <w:lang w:val="es-ES_tradnl"/>
        </w:rPr>
      </w:pPr>
      <w:r w:rsidRPr="00257611">
        <w:rPr>
          <w:rFonts w:ascii="Arial" w:hAnsi="Arial" w:cs="Arial"/>
          <w:sz w:val="20"/>
          <w:szCs w:val="20"/>
          <w:lang w:val="es-ES_tradnl"/>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w:t>
      </w:r>
      <w:r w:rsidRPr="00C948E9">
        <w:rPr>
          <w:rFonts w:ascii="Arial" w:hAnsi="Arial" w:cs="Arial"/>
          <w:sz w:val="20"/>
          <w:szCs w:val="20"/>
          <w:lang w:val="es-ES_tradnl"/>
        </w:rPr>
        <w:t xml:space="preserve">tiene derecho a recibir dicho anticipo y la obligación de destinarlo a la ejecución del contrato. </w:t>
      </w:r>
    </w:p>
    <w:p w14:paraId="495B093E" w14:textId="21B37CE9" w:rsidR="00535540" w:rsidRPr="00C948E9" w:rsidRDefault="00535540" w:rsidP="00565A2E">
      <w:pPr>
        <w:spacing w:line="240" w:lineRule="auto"/>
        <w:jc w:val="both"/>
        <w:rPr>
          <w:rFonts w:ascii="Arial" w:hAnsi="Arial" w:cs="Arial"/>
          <w:b/>
          <w:color w:val="000000" w:themeColor="text1"/>
          <w:sz w:val="20"/>
          <w:szCs w:val="20"/>
        </w:rPr>
      </w:pPr>
      <w:r w:rsidRPr="00C948E9">
        <w:rPr>
          <w:rFonts w:ascii="Arial" w:hAnsi="Arial" w:cs="Arial"/>
          <w:b/>
          <w:color w:val="000000" w:themeColor="text1"/>
          <w:sz w:val="20"/>
          <w:szCs w:val="20"/>
        </w:rPr>
        <w:t>CONSTITUCIÓN DE FIDUCIA O PATRIMONIO AUTÓNOMO IRREVOCABLE – Artículo 91 ley 1474 de 2011</w:t>
      </w:r>
      <w:r w:rsidR="002127B8" w:rsidRPr="00C948E9">
        <w:rPr>
          <w:rFonts w:ascii="Arial" w:hAnsi="Arial" w:cs="Arial"/>
          <w:b/>
          <w:color w:val="000000" w:themeColor="text1"/>
          <w:sz w:val="20"/>
          <w:szCs w:val="20"/>
        </w:rPr>
        <w:t xml:space="preserve"> - </w:t>
      </w:r>
      <w:r w:rsidR="002127B8" w:rsidRPr="00565A2E">
        <w:rPr>
          <w:rFonts w:ascii="Arial" w:hAnsi="Arial" w:cs="Arial"/>
          <w:bCs/>
          <w:sz w:val="20"/>
          <w:szCs w:val="20"/>
        </w:rPr>
        <w:t>Contratos aplicables</w:t>
      </w:r>
    </w:p>
    <w:p w14:paraId="3F19CB31" w14:textId="77777777" w:rsidR="00C948E9" w:rsidRPr="00C948E9" w:rsidRDefault="00C948E9" w:rsidP="00C948E9">
      <w:pPr>
        <w:spacing w:before="120" w:line="240" w:lineRule="auto"/>
        <w:jc w:val="both"/>
        <w:rPr>
          <w:rFonts w:ascii="Arial" w:hAnsi="Arial" w:cs="Arial"/>
          <w:sz w:val="20"/>
          <w:szCs w:val="20"/>
        </w:rPr>
      </w:pPr>
      <w:r w:rsidRPr="00C948E9">
        <w:rPr>
          <w:rFonts w:ascii="Arial" w:hAnsi="Arial" w:cs="Arial"/>
          <w:sz w:val="20"/>
          <w:szCs w:val="20"/>
        </w:rPr>
        <w:t xml:space="preserve">En ese sentido, es claro que 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ii) concesión, iii) salud y </w:t>
      </w:r>
      <w:proofErr w:type="spellStart"/>
      <w:r w:rsidRPr="00C948E9">
        <w:rPr>
          <w:rFonts w:ascii="Arial" w:hAnsi="Arial" w:cs="Arial"/>
          <w:sz w:val="20"/>
          <w:szCs w:val="20"/>
        </w:rPr>
        <w:t>iv</w:t>
      </w:r>
      <w:proofErr w:type="spellEnd"/>
      <w:r w:rsidRPr="00C948E9">
        <w:rPr>
          <w:rFonts w:ascii="Arial" w:hAnsi="Arial" w:cs="Arial"/>
          <w:sz w:val="20"/>
          <w:szCs w:val="20"/>
        </w:rPr>
        <w:t xml:space="preserve">) los contratos derivados de un proceso de licitación pública. </w:t>
      </w:r>
    </w:p>
    <w:p w14:paraId="5B94ECAB" w14:textId="6F6FF4E8" w:rsidR="00C948E9" w:rsidRPr="00C948E9" w:rsidRDefault="00C948E9" w:rsidP="00C948E9">
      <w:pPr>
        <w:spacing w:before="120" w:line="240" w:lineRule="auto"/>
        <w:jc w:val="both"/>
        <w:rPr>
          <w:rFonts w:ascii="Arial" w:hAnsi="Arial" w:cs="Arial"/>
          <w:sz w:val="20"/>
          <w:szCs w:val="20"/>
        </w:rPr>
      </w:pPr>
      <w:r w:rsidRPr="4DB45523">
        <w:rPr>
          <w:rFonts w:ascii="Arial" w:hAnsi="Arial" w:cs="Arial"/>
          <w:sz w:val="20"/>
          <w:szCs w:val="20"/>
        </w:rPr>
        <w:t xml:space="preserve">Aunque la norma menciona la modalidad de selección de licitación pública, también determina una excepción general de su aplicación para </w:t>
      </w:r>
      <w:r w:rsidR="53421789" w:rsidRPr="4DB45523">
        <w:rPr>
          <w:rFonts w:ascii="Arial" w:hAnsi="Arial" w:cs="Arial"/>
          <w:sz w:val="20"/>
          <w:szCs w:val="20"/>
        </w:rPr>
        <w:t>los tipos</w:t>
      </w:r>
      <w:r w:rsidRPr="4DB45523">
        <w:rPr>
          <w:rFonts w:ascii="Arial" w:hAnsi="Arial" w:cs="Arial"/>
          <w:sz w:val="20"/>
          <w:szCs w:val="20"/>
        </w:rPr>
        <w:t xml:space="preserve"> de contratos cuya disposición resulta obligatoria. Ello es así, por cuanto la expresión </w:t>
      </w:r>
      <w:r w:rsidRPr="4DB45523">
        <w:rPr>
          <w:rFonts w:ascii="Arial" w:hAnsi="Arial" w:cs="Arial"/>
          <w:color w:val="000000" w:themeColor="text1"/>
          <w:sz w:val="20"/>
          <w:szCs w:val="20"/>
        </w:rPr>
        <w:t>«</w:t>
      </w:r>
      <w:r w:rsidRPr="4DB45523">
        <w:rPr>
          <w:rFonts w:ascii="Arial" w:hAnsi="Arial" w:cs="Arial"/>
          <w:i/>
          <w:iCs/>
          <w:sz w:val="20"/>
          <w:szCs w:val="20"/>
        </w:rPr>
        <w:t>salvo que el contrato sea de menor o mínima cuantía</w:t>
      </w:r>
      <w:r w:rsidRPr="4DB45523">
        <w:rPr>
          <w:rFonts w:ascii="Arial" w:hAnsi="Arial" w:cs="Arial"/>
          <w:color w:val="000000" w:themeColor="text1"/>
          <w:sz w:val="20"/>
          <w:szCs w:val="20"/>
        </w:rPr>
        <w:t xml:space="preserve">», describe que, a pesar de las enunciaciones anteriores, dicha disposición imperativa no aplica en el supuesto de hecho de que la cuantía del contrato no resulte ser de mayor cuantía. </w:t>
      </w:r>
    </w:p>
    <w:p w14:paraId="5C5DFA9B" w14:textId="77777777" w:rsidR="00535540" w:rsidRPr="00257F4F" w:rsidRDefault="00535540" w:rsidP="00565A2E">
      <w:pPr>
        <w:spacing w:line="276" w:lineRule="auto"/>
        <w:jc w:val="both"/>
        <w:outlineLvl w:val="0"/>
        <w:rPr>
          <w:rFonts w:ascii="Arial" w:hAnsi="Arial" w:cs="Arial"/>
          <w:bCs/>
          <w:color w:val="000000" w:themeColor="text1"/>
          <w:sz w:val="20"/>
          <w:szCs w:val="20"/>
        </w:rPr>
      </w:pPr>
    </w:p>
    <w:p w14:paraId="1C63E4CD" w14:textId="77777777" w:rsidR="00535540" w:rsidRPr="00257F4F" w:rsidRDefault="00535540" w:rsidP="00565A2E">
      <w:pPr>
        <w:spacing w:line="276" w:lineRule="auto"/>
        <w:jc w:val="both"/>
        <w:outlineLvl w:val="0"/>
        <w:rPr>
          <w:rFonts w:ascii="Arial" w:hAnsi="Arial" w:cs="Arial"/>
          <w:bCs/>
          <w:color w:val="000000" w:themeColor="text1"/>
          <w:sz w:val="20"/>
          <w:szCs w:val="20"/>
        </w:rPr>
      </w:pPr>
    </w:p>
    <w:p w14:paraId="3F4D53CE" w14:textId="77777777" w:rsidR="00535540" w:rsidRPr="000F4A3A" w:rsidRDefault="00535540" w:rsidP="00565A2E">
      <w:pPr>
        <w:spacing w:line="276" w:lineRule="auto"/>
        <w:jc w:val="both"/>
        <w:outlineLvl w:val="0"/>
        <w:rPr>
          <w:rFonts w:ascii="Arial" w:hAnsi="Arial" w:cs="Arial"/>
          <w:bCs/>
          <w:color w:val="000000" w:themeColor="text1"/>
        </w:rPr>
      </w:pPr>
    </w:p>
    <w:p w14:paraId="2A07FB6F" w14:textId="63850040" w:rsidR="00535540" w:rsidRPr="00C33398" w:rsidRDefault="00535540" w:rsidP="00565A2E">
      <w:pPr>
        <w:spacing w:line="276" w:lineRule="auto"/>
        <w:jc w:val="both"/>
        <w:rPr>
          <w:rFonts w:ascii="Arial" w:eastAsia="Geomanist Light" w:hAnsi="Arial" w:cs="Arial"/>
          <w:color w:val="201F1E"/>
          <w:lang w:val="es-MX"/>
        </w:rPr>
      </w:pPr>
      <w:r w:rsidRPr="000F4A3A">
        <w:rPr>
          <w:rFonts w:ascii="Arial" w:hAnsi="Arial" w:cs="Arial"/>
          <w:bCs/>
          <w:color w:val="000000" w:themeColor="text1"/>
        </w:rPr>
        <w:br w:type="page"/>
      </w:r>
      <w:r w:rsidR="006141FB" w:rsidRPr="006141FB">
        <w:rPr>
          <w:rFonts w:ascii="Arial" w:hAnsi="Arial" w:cs="Arial"/>
          <w:noProof/>
          <w:color w:val="000000" w:themeColor="text1"/>
        </w:rPr>
        <w:lastRenderedPageBreak/>
        <w:drawing>
          <wp:anchor distT="0" distB="0" distL="114300" distR="114300" simplePos="0" relativeHeight="251658240" behindDoc="1" locked="0" layoutInCell="1" allowOverlap="1" wp14:anchorId="03398DB2" wp14:editId="7A87A90F">
            <wp:simplePos x="0" y="0"/>
            <wp:positionH relativeFrom="margin">
              <wp:posOffset>3811270</wp:posOffset>
            </wp:positionH>
            <wp:positionV relativeFrom="paragraph">
              <wp:posOffset>150495</wp:posOffset>
            </wp:positionV>
            <wp:extent cx="2159000" cy="596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162882" cy="597973"/>
                    </a:xfrm>
                    <a:prstGeom prst="rect">
                      <a:avLst/>
                    </a:prstGeom>
                  </pic:spPr>
                </pic:pic>
              </a:graphicData>
            </a:graphic>
            <wp14:sizeRelH relativeFrom="margin">
              <wp14:pctWidth>0</wp14:pctWidth>
            </wp14:sizeRelH>
            <wp14:sizeRelV relativeFrom="margin">
              <wp14:pctHeight>0</wp14:pctHeight>
            </wp14:sizeRelV>
          </wp:anchor>
        </w:drawing>
      </w:r>
      <w:r w:rsidRPr="00C33398">
        <w:rPr>
          <w:rFonts w:ascii="Arial" w:eastAsia="Geomanist Light" w:hAnsi="Arial" w:cs="Arial"/>
          <w:color w:val="000000" w:themeColor="text1"/>
          <w:lang w:val="es-MX"/>
        </w:rPr>
        <w:t>Bogotá D.C., </w:t>
      </w:r>
      <w:r w:rsidR="006141FB">
        <w:rPr>
          <w:rFonts w:ascii="Arial" w:eastAsia="Geomanist Light" w:hAnsi="Arial" w:cs="Arial"/>
          <w:color w:val="201F1E"/>
          <w:lang w:val="es-MX"/>
        </w:rPr>
        <w:t>13 de Marzo de 2023</w:t>
      </w:r>
    </w:p>
    <w:p w14:paraId="4EDBDF2D" w14:textId="1A8E441B" w:rsidR="00535540" w:rsidRDefault="00535540" w:rsidP="00565A2E">
      <w:pPr>
        <w:spacing w:line="276" w:lineRule="auto"/>
        <w:jc w:val="both"/>
        <w:outlineLvl w:val="0"/>
        <w:rPr>
          <w:rFonts w:ascii="Arial" w:hAnsi="Arial" w:cs="Arial"/>
          <w:color w:val="000000" w:themeColor="text1"/>
        </w:rPr>
      </w:pPr>
    </w:p>
    <w:p w14:paraId="36063724" w14:textId="77777777" w:rsidR="00535540" w:rsidRPr="000F4A3A" w:rsidRDefault="00535540" w:rsidP="00565A2E">
      <w:pPr>
        <w:spacing w:line="276" w:lineRule="auto"/>
        <w:jc w:val="both"/>
        <w:outlineLvl w:val="0"/>
        <w:rPr>
          <w:rFonts w:ascii="Arial" w:hAnsi="Arial" w:cs="Arial"/>
          <w:color w:val="000000" w:themeColor="text1"/>
        </w:rPr>
      </w:pPr>
    </w:p>
    <w:p w14:paraId="7AC95EF4" w14:textId="6D3AB3B6" w:rsidR="005E6DBC" w:rsidRPr="00862F7A" w:rsidRDefault="005E6DBC" w:rsidP="00565A2E">
      <w:pPr>
        <w:spacing w:after="0" w:line="276" w:lineRule="auto"/>
        <w:jc w:val="both"/>
        <w:rPr>
          <w:rFonts w:ascii="Arial" w:hAnsi="Arial" w:cs="Arial"/>
        </w:rPr>
      </w:pPr>
      <w:r w:rsidRPr="00862F7A">
        <w:rPr>
          <w:rFonts w:ascii="Arial" w:hAnsi="Arial" w:cs="Arial"/>
        </w:rPr>
        <w:t>Señor</w:t>
      </w:r>
    </w:p>
    <w:p w14:paraId="640D9FFB" w14:textId="4EEBAF2E" w:rsidR="00535540" w:rsidRDefault="00862F7A" w:rsidP="00565A2E">
      <w:pPr>
        <w:spacing w:after="0" w:line="276" w:lineRule="auto"/>
        <w:jc w:val="both"/>
        <w:rPr>
          <w:rFonts w:ascii="Arial" w:hAnsi="Arial" w:cs="Arial"/>
          <w:b/>
          <w:bCs/>
        </w:rPr>
      </w:pPr>
      <w:r>
        <w:rPr>
          <w:rFonts w:ascii="Arial" w:hAnsi="Arial" w:cs="Arial"/>
          <w:b/>
          <w:bCs/>
        </w:rPr>
        <w:t>Gerson Vega Vargas</w:t>
      </w:r>
    </w:p>
    <w:p w14:paraId="79BF49D4" w14:textId="3ADCA8B2" w:rsidR="00535540" w:rsidRPr="00563DED" w:rsidRDefault="00000000" w:rsidP="00565A2E">
      <w:pPr>
        <w:spacing w:after="0" w:line="276" w:lineRule="auto"/>
        <w:jc w:val="both"/>
        <w:rPr>
          <w:rFonts w:ascii="Arial" w:hAnsi="Arial" w:cs="Arial"/>
        </w:rPr>
      </w:pPr>
      <w:hyperlink r:id="rId12" w:history="1">
        <w:r w:rsidR="00563DED" w:rsidRPr="00767B4E">
          <w:rPr>
            <w:rStyle w:val="Hipervnculo"/>
            <w:rFonts w:ascii="Arial" w:hAnsi="Arial" w:cs="Arial"/>
          </w:rPr>
          <w:t>gersonvega@gmail.com</w:t>
        </w:r>
      </w:hyperlink>
      <w:r w:rsidR="00535540" w:rsidRPr="00563DED">
        <w:rPr>
          <w:rFonts w:ascii="Arial" w:hAnsi="Arial" w:cs="Arial"/>
        </w:rPr>
        <w:t xml:space="preserve"> </w:t>
      </w:r>
    </w:p>
    <w:p w14:paraId="3A804E90" w14:textId="6E12C317" w:rsidR="00535540" w:rsidRPr="000F4A3A" w:rsidRDefault="00563DED" w:rsidP="00565A2E">
      <w:pPr>
        <w:spacing w:after="0" w:line="276" w:lineRule="auto"/>
        <w:jc w:val="both"/>
        <w:rPr>
          <w:rFonts w:ascii="Arial" w:hAnsi="Arial" w:cs="Arial"/>
          <w:color w:val="000000" w:themeColor="text1"/>
        </w:rPr>
      </w:pPr>
      <w:r>
        <w:rPr>
          <w:rFonts w:ascii="Arial" w:hAnsi="Arial" w:cs="Arial"/>
          <w:color w:val="000000" w:themeColor="text1"/>
        </w:rPr>
        <w:t>Florida</w:t>
      </w:r>
      <w:r w:rsidR="00920744">
        <w:rPr>
          <w:rFonts w:ascii="Arial" w:hAnsi="Arial" w:cs="Arial"/>
          <w:color w:val="000000" w:themeColor="text1"/>
        </w:rPr>
        <w:t>blanca</w:t>
      </w:r>
      <w:r w:rsidR="00535540" w:rsidRPr="000F4A3A">
        <w:rPr>
          <w:rFonts w:ascii="Arial" w:hAnsi="Arial" w:cs="Arial"/>
          <w:color w:val="000000" w:themeColor="text1"/>
        </w:rPr>
        <w:t>, Santander</w:t>
      </w:r>
    </w:p>
    <w:p w14:paraId="6752D096" w14:textId="77777777" w:rsidR="00535540" w:rsidRPr="000F4A3A" w:rsidRDefault="00535540" w:rsidP="00565A2E">
      <w:pPr>
        <w:spacing w:line="276" w:lineRule="auto"/>
        <w:jc w:val="both"/>
        <w:rPr>
          <w:rFonts w:ascii="Arial" w:hAnsi="Arial" w:cs="Arial"/>
          <w:color w:val="000000" w:themeColor="text1"/>
        </w:rPr>
      </w:pPr>
    </w:p>
    <w:p w14:paraId="6F19085F" w14:textId="5738AA66" w:rsidR="00535540" w:rsidRPr="000D1127" w:rsidRDefault="00535540" w:rsidP="00565A2E">
      <w:pPr>
        <w:spacing w:line="276" w:lineRule="auto"/>
        <w:ind w:firstLine="2694"/>
        <w:jc w:val="both"/>
        <w:outlineLvl w:val="0"/>
        <w:rPr>
          <w:rFonts w:ascii="Arial" w:hAnsi="Arial" w:cs="Arial"/>
          <w:b/>
        </w:rPr>
      </w:pPr>
      <w:r w:rsidRPr="000D1127">
        <w:rPr>
          <w:rFonts w:ascii="Arial" w:hAnsi="Arial" w:cs="Arial"/>
          <w:b/>
        </w:rPr>
        <w:t xml:space="preserve">Concepto C – </w:t>
      </w:r>
      <w:r w:rsidR="008A5559">
        <w:rPr>
          <w:rFonts w:ascii="Arial" w:hAnsi="Arial" w:cs="Arial"/>
          <w:b/>
        </w:rPr>
        <w:t>003</w:t>
      </w:r>
      <w:r w:rsidRPr="000D1127">
        <w:rPr>
          <w:rFonts w:ascii="Arial" w:hAnsi="Arial" w:cs="Arial"/>
          <w:b/>
        </w:rPr>
        <w:t xml:space="preserve"> de 202</w:t>
      </w:r>
      <w:r w:rsidR="008A5559">
        <w:rPr>
          <w:rFonts w:ascii="Arial" w:hAnsi="Arial" w:cs="Arial"/>
          <w:b/>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35540" w:rsidRPr="000D1127" w14:paraId="671FFD78" w14:textId="77777777" w:rsidTr="0031307F">
        <w:tc>
          <w:tcPr>
            <w:tcW w:w="2689" w:type="dxa"/>
            <w:hideMark/>
          </w:tcPr>
          <w:p w14:paraId="2E630459" w14:textId="77777777" w:rsidR="00535540" w:rsidRPr="000D1127" w:rsidRDefault="00535540" w:rsidP="00565A2E">
            <w:pPr>
              <w:jc w:val="both"/>
              <w:rPr>
                <w:rFonts w:ascii="Arial" w:hAnsi="Arial" w:cs="Arial"/>
              </w:rPr>
            </w:pPr>
            <w:r w:rsidRPr="000D1127">
              <w:rPr>
                <w:rFonts w:ascii="Arial" w:hAnsi="Arial" w:cs="Arial"/>
                <w:b/>
              </w:rPr>
              <w:t>Temas:</w:t>
            </w:r>
            <w:r w:rsidRPr="000D1127">
              <w:rPr>
                <w:rFonts w:ascii="Arial" w:hAnsi="Arial" w:cs="Arial"/>
              </w:rPr>
              <w:t xml:space="preserve">           </w:t>
            </w:r>
          </w:p>
          <w:p w14:paraId="27AA8A19" w14:textId="77777777" w:rsidR="00535540" w:rsidRPr="000D1127" w:rsidRDefault="00535540" w:rsidP="00565A2E">
            <w:pPr>
              <w:jc w:val="both"/>
              <w:rPr>
                <w:rFonts w:ascii="Arial" w:hAnsi="Arial" w:cs="Arial"/>
              </w:rPr>
            </w:pPr>
            <w:r w:rsidRPr="000D1127">
              <w:rPr>
                <w:rFonts w:ascii="Arial" w:hAnsi="Arial" w:cs="Arial"/>
              </w:rPr>
              <w:t xml:space="preserve">                           </w:t>
            </w:r>
          </w:p>
        </w:tc>
        <w:tc>
          <w:tcPr>
            <w:tcW w:w="6237" w:type="dxa"/>
            <w:hideMark/>
          </w:tcPr>
          <w:p w14:paraId="5480AAA9" w14:textId="437298EE" w:rsidR="00535540" w:rsidRPr="000D1127" w:rsidRDefault="00535540" w:rsidP="00565A2E">
            <w:pPr>
              <w:jc w:val="both"/>
              <w:outlineLvl w:val="0"/>
              <w:rPr>
                <w:rFonts w:ascii="Arial" w:hAnsi="Arial" w:cs="Arial"/>
                <w:bCs/>
              </w:rPr>
            </w:pPr>
            <w:r w:rsidRPr="000D1127">
              <w:rPr>
                <w:rFonts w:ascii="Arial" w:hAnsi="Arial" w:cs="Arial"/>
                <w:bCs/>
                <w:lang w:val="es-ES_tradnl"/>
              </w:rPr>
              <w:t xml:space="preserve">ANTICIPO – Regulación normativa </w:t>
            </w:r>
            <w:r w:rsidRPr="000D1127">
              <w:rPr>
                <w:rFonts w:ascii="Arial" w:hAnsi="Arial" w:cs="Arial"/>
                <w:bCs/>
              </w:rPr>
              <w:t>/ ANTICIPO – Definición jurisprudencial / ANTICIPO – Autonomía de la voluntad – Derechos y obligaciones recíprocos / CONSTITUCIÓN DE FIDUCIA O PATRIMONIO AUTÓNOMO IRREVOCABLE – Artículo 91 ley 1474 de 2011- Contratos aplicables</w:t>
            </w:r>
            <w:r w:rsidR="002127B8">
              <w:rPr>
                <w:rFonts w:ascii="Arial" w:hAnsi="Arial" w:cs="Arial"/>
                <w:bCs/>
              </w:rPr>
              <w:t>.</w:t>
            </w:r>
            <w:r w:rsidRPr="000D1127">
              <w:rPr>
                <w:rFonts w:ascii="Arial" w:hAnsi="Arial" w:cs="Arial"/>
                <w:bCs/>
              </w:rPr>
              <w:t xml:space="preserve"> </w:t>
            </w:r>
          </w:p>
        </w:tc>
      </w:tr>
      <w:tr w:rsidR="00535540" w:rsidRPr="000D1127" w14:paraId="3DCB4E4C" w14:textId="77777777" w:rsidTr="0031307F">
        <w:trPr>
          <w:trHeight w:val="215"/>
        </w:trPr>
        <w:tc>
          <w:tcPr>
            <w:tcW w:w="2689" w:type="dxa"/>
          </w:tcPr>
          <w:p w14:paraId="514BC9E5" w14:textId="77777777" w:rsidR="00535540" w:rsidRPr="000D1127" w:rsidRDefault="00535540" w:rsidP="00565A2E">
            <w:pPr>
              <w:spacing w:before="120"/>
              <w:jc w:val="both"/>
              <w:rPr>
                <w:rFonts w:ascii="Arial" w:hAnsi="Arial" w:cs="Arial"/>
                <w:b/>
              </w:rPr>
            </w:pPr>
            <w:r w:rsidRPr="000D1127">
              <w:rPr>
                <w:rFonts w:ascii="Arial" w:hAnsi="Arial" w:cs="Arial"/>
                <w:b/>
              </w:rPr>
              <w:t>Radicación:</w:t>
            </w:r>
            <w:r w:rsidRPr="000D1127">
              <w:rPr>
                <w:rFonts w:ascii="Arial" w:hAnsi="Arial" w:cs="Arial"/>
              </w:rPr>
              <w:t xml:space="preserve">                              </w:t>
            </w:r>
          </w:p>
        </w:tc>
        <w:tc>
          <w:tcPr>
            <w:tcW w:w="6237" w:type="dxa"/>
          </w:tcPr>
          <w:p w14:paraId="638D4635" w14:textId="77777777" w:rsidR="00535540" w:rsidRPr="000D1127" w:rsidRDefault="00535540" w:rsidP="00565A2E">
            <w:pPr>
              <w:spacing w:before="120"/>
              <w:jc w:val="both"/>
              <w:rPr>
                <w:rFonts w:ascii="Arial" w:hAnsi="Arial" w:cs="Arial"/>
              </w:rPr>
            </w:pPr>
            <w:r w:rsidRPr="000D1127">
              <w:rPr>
                <w:rFonts w:ascii="Arial" w:hAnsi="Arial" w:cs="Arial"/>
              </w:rPr>
              <w:t>Respuesta a consulta P20221024010706</w:t>
            </w:r>
          </w:p>
        </w:tc>
      </w:tr>
    </w:tbl>
    <w:p w14:paraId="038D4491" w14:textId="77777777" w:rsidR="00840F76" w:rsidRDefault="00840F76" w:rsidP="00565A2E">
      <w:pPr>
        <w:pStyle w:val="Textoindependiente"/>
        <w:spacing w:before="7" w:line="276" w:lineRule="auto"/>
        <w:jc w:val="both"/>
        <w:rPr>
          <w:rFonts w:ascii="Arial" w:hAnsi="Arial" w:cs="Arial"/>
          <w:sz w:val="22"/>
          <w:szCs w:val="22"/>
        </w:rPr>
      </w:pPr>
    </w:p>
    <w:p w14:paraId="3B879ACB" w14:textId="6162CEF4" w:rsidR="00535540" w:rsidRPr="000F4A3A" w:rsidRDefault="00535540" w:rsidP="00565A2E">
      <w:pPr>
        <w:pStyle w:val="Textoindependiente"/>
        <w:spacing w:before="7" w:line="276" w:lineRule="auto"/>
        <w:jc w:val="both"/>
        <w:rPr>
          <w:rFonts w:ascii="Arial" w:eastAsiaTheme="minorHAnsi" w:hAnsi="Arial" w:cs="Arial"/>
          <w:sz w:val="22"/>
          <w:szCs w:val="22"/>
        </w:rPr>
      </w:pPr>
      <w:r w:rsidRPr="000F4A3A">
        <w:rPr>
          <w:rFonts w:ascii="Arial" w:hAnsi="Arial" w:cs="Arial"/>
          <w:sz w:val="22"/>
          <w:szCs w:val="22"/>
        </w:rPr>
        <w:t>Estimad</w:t>
      </w:r>
      <w:r w:rsidR="00840F76">
        <w:rPr>
          <w:rFonts w:ascii="Arial" w:hAnsi="Arial" w:cs="Arial"/>
          <w:sz w:val="22"/>
          <w:szCs w:val="22"/>
        </w:rPr>
        <w:t>o</w:t>
      </w:r>
      <w:r w:rsidRPr="000F4A3A">
        <w:rPr>
          <w:rFonts w:ascii="Arial" w:hAnsi="Arial" w:cs="Arial"/>
          <w:sz w:val="22"/>
          <w:szCs w:val="22"/>
        </w:rPr>
        <w:t xml:space="preserve"> señor </w:t>
      </w:r>
      <w:r w:rsidR="00840F76">
        <w:rPr>
          <w:rFonts w:ascii="Arial" w:eastAsiaTheme="minorHAnsi" w:hAnsi="Arial" w:cs="Arial"/>
          <w:sz w:val="22"/>
          <w:szCs w:val="22"/>
        </w:rPr>
        <w:t>Vega</w:t>
      </w:r>
      <w:r w:rsidRPr="000F4A3A">
        <w:rPr>
          <w:rFonts w:ascii="Arial" w:eastAsiaTheme="minorHAnsi" w:hAnsi="Arial" w:cs="Arial"/>
          <w:sz w:val="22"/>
          <w:szCs w:val="22"/>
        </w:rPr>
        <w:t xml:space="preserve">, </w:t>
      </w:r>
    </w:p>
    <w:p w14:paraId="5C4A27C6" w14:textId="77777777" w:rsidR="00535540" w:rsidRPr="000F4A3A" w:rsidRDefault="00535540" w:rsidP="00565A2E">
      <w:pPr>
        <w:spacing w:line="276" w:lineRule="auto"/>
        <w:jc w:val="both"/>
        <w:rPr>
          <w:rFonts w:ascii="Arial" w:hAnsi="Arial" w:cs="Arial"/>
        </w:rPr>
      </w:pPr>
      <w:r w:rsidRPr="000F4A3A">
        <w:rPr>
          <w:rFonts w:ascii="Arial" w:hAnsi="Arial" w:cs="Arial"/>
        </w:rPr>
        <w:t>En ejercicio de la competencia otorgada por el numeral 8 del artículo 11 y el numeral 5 del artículo 3 del Decreto Ley 4170 de 2011, la Agencia Nacional de Contratación Pública− Colombia Compra Eficiente responde su consulta de fecha 24 de octubre de 2022.</w:t>
      </w:r>
    </w:p>
    <w:p w14:paraId="23E4C274" w14:textId="77777777" w:rsidR="00535540" w:rsidRPr="000F4A3A" w:rsidRDefault="00535540" w:rsidP="00565A2E">
      <w:pPr>
        <w:pStyle w:val="Ttulo1"/>
        <w:numPr>
          <w:ilvl w:val="0"/>
          <w:numId w:val="4"/>
        </w:numPr>
        <w:tabs>
          <w:tab w:val="num" w:pos="360"/>
          <w:tab w:val="left" w:pos="586"/>
        </w:tabs>
        <w:spacing w:before="0" w:line="276" w:lineRule="auto"/>
        <w:ind w:left="286" w:hanging="286"/>
        <w:jc w:val="both"/>
      </w:pPr>
      <w:r w:rsidRPr="000F4A3A">
        <w:t>Problema</w:t>
      </w:r>
      <w:r w:rsidRPr="000F4A3A">
        <w:rPr>
          <w:spacing w:val="-2"/>
        </w:rPr>
        <w:t xml:space="preserve"> </w:t>
      </w:r>
      <w:r w:rsidRPr="000F4A3A">
        <w:t>planteado</w:t>
      </w:r>
    </w:p>
    <w:p w14:paraId="1A04A8B8" w14:textId="77777777" w:rsidR="00535540" w:rsidRDefault="00535540" w:rsidP="00565A2E">
      <w:pPr>
        <w:adjustRightInd w:val="0"/>
        <w:spacing w:after="0" w:line="276" w:lineRule="auto"/>
        <w:jc w:val="both"/>
        <w:rPr>
          <w:rFonts w:ascii="Arial" w:hAnsi="Arial" w:cs="Arial"/>
        </w:rPr>
      </w:pPr>
    </w:p>
    <w:p w14:paraId="3FC966BF" w14:textId="6D546CAD" w:rsidR="00535540" w:rsidRDefault="00535540" w:rsidP="00565A2E">
      <w:pPr>
        <w:adjustRightInd w:val="0"/>
        <w:spacing w:line="276" w:lineRule="auto"/>
        <w:jc w:val="both"/>
        <w:rPr>
          <w:rFonts w:ascii="Arial" w:hAnsi="Arial" w:cs="Arial"/>
        </w:rPr>
      </w:pPr>
      <w:r w:rsidRPr="000F4A3A">
        <w:rPr>
          <w:rFonts w:ascii="Arial" w:hAnsi="Arial" w:cs="Arial"/>
        </w:rPr>
        <w:t xml:space="preserve">Usted formula la siguiente </w:t>
      </w:r>
      <w:r w:rsidR="00681362">
        <w:rPr>
          <w:rFonts w:ascii="Arial" w:hAnsi="Arial" w:cs="Arial"/>
        </w:rPr>
        <w:t>consulta</w:t>
      </w:r>
      <w:r w:rsidRPr="000F4A3A">
        <w:rPr>
          <w:rFonts w:ascii="Arial" w:hAnsi="Arial" w:cs="Arial"/>
        </w:rPr>
        <w:t xml:space="preserve">: </w:t>
      </w:r>
    </w:p>
    <w:p w14:paraId="008E6D9E" w14:textId="30718F99" w:rsidR="00535540" w:rsidRPr="00565A2E" w:rsidRDefault="00535540" w:rsidP="00565A2E">
      <w:pPr>
        <w:adjustRightInd w:val="0"/>
        <w:spacing w:line="240" w:lineRule="auto"/>
        <w:ind w:left="709" w:right="709"/>
        <w:jc w:val="both"/>
        <w:rPr>
          <w:rFonts w:ascii="Arial" w:hAnsi="Arial" w:cs="Arial"/>
          <w:sz w:val="21"/>
          <w:szCs w:val="21"/>
        </w:rPr>
      </w:pPr>
      <w:r w:rsidRPr="00565A2E">
        <w:rPr>
          <w:rFonts w:ascii="Arial" w:hAnsi="Arial" w:cs="Arial"/>
          <w:sz w:val="21"/>
          <w:szCs w:val="21"/>
        </w:rPr>
        <w:t>«</w:t>
      </w:r>
      <w:r w:rsidR="00565A2E" w:rsidRPr="00565A2E">
        <w:rPr>
          <w:rFonts w:ascii="Arial" w:hAnsi="Arial" w:cs="Arial"/>
          <w:bCs/>
          <w:sz w:val="21"/>
          <w:szCs w:val="21"/>
        </w:rPr>
        <w:t>Si producto de una Licitación de Obra Pública se suscriben varios contratos de obra,</w:t>
      </w:r>
      <w:r w:rsidR="00565A2E">
        <w:rPr>
          <w:rFonts w:ascii="Arial" w:hAnsi="Arial" w:cs="Arial"/>
          <w:bCs/>
          <w:sz w:val="21"/>
          <w:szCs w:val="21"/>
        </w:rPr>
        <w:t xml:space="preserve"> </w:t>
      </w:r>
      <w:r w:rsidR="00565A2E" w:rsidRPr="00565A2E">
        <w:rPr>
          <w:rFonts w:ascii="Arial" w:hAnsi="Arial" w:cs="Arial"/>
          <w:bCs/>
          <w:sz w:val="21"/>
          <w:szCs w:val="21"/>
        </w:rPr>
        <w:t>cuyos valores individualmente considerados corresponden a la menor cuantía de la</w:t>
      </w:r>
      <w:r w:rsidR="00565A2E">
        <w:rPr>
          <w:rFonts w:ascii="Arial" w:hAnsi="Arial" w:cs="Arial"/>
          <w:bCs/>
          <w:sz w:val="21"/>
          <w:szCs w:val="21"/>
        </w:rPr>
        <w:t xml:space="preserve"> </w:t>
      </w:r>
      <w:r w:rsidR="00565A2E" w:rsidRPr="00565A2E">
        <w:rPr>
          <w:rFonts w:ascii="Arial" w:hAnsi="Arial" w:cs="Arial"/>
          <w:bCs/>
          <w:sz w:val="21"/>
          <w:szCs w:val="21"/>
        </w:rPr>
        <w:t>respectiva entidad (se trató de una licitación por lotes), ¿aplica la regla general del art.91 de la ley 1474/2011 según la cual "el contratista deberá constituir una fiducia o un</w:t>
      </w:r>
      <w:r w:rsidR="00244281">
        <w:rPr>
          <w:rFonts w:ascii="Arial" w:hAnsi="Arial" w:cs="Arial"/>
          <w:bCs/>
          <w:sz w:val="21"/>
          <w:szCs w:val="21"/>
        </w:rPr>
        <w:t xml:space="preserve"> </w:t>
      </w:r>
      <w:r w:rsidR="00565A2E" w:rsidRPr="00565A2E">
        <w:rPr>
          <w:rFonts w:ascii="Arial" w:hAnsi="Arial" w:cs="Arial"/>
          <w:bCs/>
          <w:sz w:val="21"/>
          <w:szCs w:val="21"/>
        </w:rPr>
        <w:t>patrimonio autónomo irrevocable para el manejo de los recursos que reciba a título de</w:t>
      </w:r>
      <w:r w:rsidR="00244281">
        <w:rPr>
          <w:rFonts w:ascii="Arial" w:hAnsi="Arial" w:cs="Arial"/>
          <w:bCs/>
          <w:sz w:val="21"/>
          <w:szCs w:val="21"/>
        </w:rPr>
        <w:t xml:space="preserve"> </w:t>
      </w:r>
      <w:r w:rsidR="00565A2E" w:rsidRPr="00565A2E">
        <w:rPr>
          <w:rFonts w:ascii="Arial" w:hAnsi="Arial" w:cs="Arial"/>
          <w:bCs/>
          <w:sz w:val="21"/>
          <w:szCs w:val="21"/>
        </w:rPr>
        <w:t>anticipo"?, o ¿aplica la excepción "salvo que el contrato sea de menor o mínima</w:t>
      </w:r>
      <w:r w:rsidR="00244281">
        <w:rPr>
          <w:rFonts w:ascii="Arial" w:hAnsi="Arial" w:cs="Arial"/>
          <w:bCs/>
          <w:sz w:val="21"/>
          <w:szCs w:val="21"/>
        </w:rPr>
        <w:t xml:space="preserve"> </w:t>
      </w:r>
      <w:r w:rsidR="00565A2E" w:rsidRPr="00565A2E">
        <w:rPr>
          <w:rFonts w:ascii="Arial" w:hAnsi="Arial" w:cs="Arial"/>
          <w:bCs/>
          <w:sz w:val="21"/>
          <w:szCs w:val="21"/>
        </w:rPr>
        <w:t>cuantía</w:t>
      </w:r>
      <w:r w:rsidRPr="00565A2E">
        <w:rPr>
          <w:rFonts w:ascii="Arial" w:hAnsi="Arial" w:cs="Arial"/>
          <w:sz w:val="21"/>
          <w:szCs w:val="21"/>
        </w:rPr>
        <w:t>?»</w:t>
      </w:r>
      <w:r w:rsidR="00244281">
        <w:rPr>
          <w:rFonts w:ascii="Arial" w:hAnsi="Arial" w:cs="Arial"/>
          <w:sz w:val="21"/>
          <w:szCs w:val="21"/>
        </w:rPr>
        <w:t xml:space="preserve"> (Sic)</w:t>
      </w:r>
      <w:r w:rsidRPr="00565A2E">
        <w:rPr>
          <w:rFonts w:ascii="Arial" w:hAnsi="Arial" w:cs="Arial"/>
          <w:sz w:val="21"/>
          <w:szCs w:val="21"/>
        </w:rPr>
        <w:t xml:space="preserve">. </w:t>
      </w:r>
    </w:p>
    <w:p w14:paraId="46427FF0" w14:textId="77777777" w:rsidR="00535540" w:rsidRPr="000F4A3A" w:rsidRDefault="00535540" w:rsidP="00565A2E">
      <w:pPr>
        <w:pStyle w:val="Ttulo1"/>
        <w:numPr>
          <w:ilvl w:val="0"/>
          <w:numId w:val="4"/>
        </w:numPr>
        <w:tabs>
          <w:tab w:val="num" w:pos="360"/>
          <w:tab w:val="left" w:pos="586"/>
        </w:tabs>
        <w:spacing w:before="0" w:after="240" w:line="276" w:lineRule="auto"/>
        <w:ind w:left="286" w:hanging="286"/>
        <w:jc w:val="both"/>
      </w:pPr>
      <w:r w:rsidRPr="000F4A3A">
        <w:t>Consideraciones</w:t>
      </w:r>
    </w:p>
    <w:p w14:paraId="0032EE09" w14:textId="3BCCD28A" w:rsidR="00535540" w:rsidRPr="000F4A3A" w:rsidRDefault="00535540" w:rsidP="00565A2E">
      <w:pPr>
        <w:spacing w:after="240" w:line="276" w:lineRule="auto"/>
        <w:jc w:val="both"/>
        <w:rPr>
          <w:rFonts w:ascii="Arial" w:hAnsi="Arial" w:cs="Arial"/>
          <w:color w:val="000000" w:themeColor="text1"/>
          <w:u w:val="single"/>
        </w:rPr>
      </w:pPr>
      <w:r w:rsidRPr="000F4A3A">
        <w:rPr>
          <w:rFonts w:ascii="Arial" w:hAnsi="Arial" w:cs="Arial"/>
          <w:color w:val="000000" w:themeColor="text1"/>
          <w:lang w:val="es-ES_tradnl"/>
        </w:rPr>
        <w:t>La Subdirección de Gestión Contractual responderá la consulta, luego de analizar los siguientes temas:</w:t>
      </w:r>
      <w:r w:rsidRPr="000F4A3A">
        <w:rPr>
          <w:rFonts w:ascii="Arial" w:eastAsia="Times New Roman" w:hAnsi="Arial" w:cs="Arial"/>
          <w:color w:val="000000" w:themeColor="text1"/>
        </w:rPr>
        <w:t xml:space="preserve"> i) </w:t>
      </w:r>
      <w:r w:rsidR="003572D5" w:rsidRPr="003572D5">
        <w:rPr>
          <w:rFonts w:ascii="Arial" w:eastAsia="Times New Roman" w:hAnsi="Arial" w:cs="Arial"/>
          <w:color w:val="000000" w:themeColor="text1"/>
        </w:rPr>
        <w:t xml:space="preserve">Competencia consultiva de </w:t>
      </w:r>
      <w:r w:rsidRPr="000F4A3A">
        <w:rPr>
          <w:rFonts w:ascii="Arial" w:eastAsia="Times New Roman" w:hAnsi="Arial" w:cs="Arial"/>
          <w:color w:val="000000" w:themeColor="text1"/>
        </w:rPr>
        <w:t xml:space="preserve">la </w:t>
      </w:r>
      <w:r w:rsidR="003572D5" w:rsidRPr="003572D5">
        <w:rPr>
          <w:rFonts w:ascii="Arial" w:eastAsia="Times New Roman" w:hAnsi="Arial" w:cs="Arial"/>
          <w:color w:val="000000" w:themeColor="text1"/>
        </w:rPr>
        <w:t>Agencia Nacional de Contratación Pública – Colombia Compra Eficiente</w:t>
      </w:r>
      <w:r w:rsidR="003572D5">
        <w:rPr>
          <w:rFonts w:ascii="Arial" w:eastAsia="Times New Roman" w:hAnsi="Arial" w:cs="Arial"/>
          <w:color w:val="000000" w:themeColor="text1"/>
        </w:rPr>
        <w:t>; ii)</w:t>
      </w:r>
      <w:r w:rsidRPr="000F4A3A">
        <w:rPr>
          <w:rFonts w:ascii="Arial" w:eastAsia="Times New Roman" w:hAnsi="Arial" w:cs="Arial"/>
          <w:color w:val="000000" w:themeColor="text1"/>
        </w:rPr>
        <w:t xml:space="preserve"> </w:t>
      </w:r>
      <w:r w:rsidRPr="000F4A3A">
        <w:rPr>
          <w:rFonts w:ascii="Arial" w:hAnsi="Arial" w:cs="Arial"/>
          <w:color w:val="000000" w:themeColor="text1"/>
        </w:rPr>
        <w:t>naturaleza jurídica del anticipo</w:t>
      </w:r>
      <w:r w:rsidR="003572D5">
        <w:rPr>
          <w:rFonts w:ascii="Arial" w:hAnsi="Arial" w:cs="Arial"/>
          <w:color w:val="000000" w:themeColor="text1"/>
        </w:rPr>
        <w:t>;</w:t>
      </w:r>
      <w:r w:rsidRPr="000F4A3A">
        <w:rPr>
          <w:rFonts w:ascii="Arial" w:hAnsi="Arial" w:cs="Arial"/>
          <w:color w:val="000000" w:themeColor="text1"/>
        </w:rPr>
        <w:t xml:space="preserve"> y ii) el ámbito de aplicación del artículo 91 de la Ley 1474 de 2011.</w:t>
      </w:r>
    </w:p>
    <w:p w14:paraId="3CE28C90" w14:textId="672031B2" w:rsidR="00535540" w:rsidRDefault="00535540" w:rsidP="00565A2E">
      <w:pPr>
        <w:spacing w:before="120" w:line="276" w:lineRule="auto"/>
        <w:ind w:firstLine="851"/>
        <w:jc w:val="both"/>
        <w:rPr>
          <w:rFonts w:ascii="Arial" w:hAnsi="Arial" w:cs="Arial"/>
          <w:color w:val="000000" w:themeColor="text1"/>
        </w:rPr>
      </w:pPr>
      <w:r w:rsidRPr="000F4A3A">
        <w:rPr>
          <w:rFonts w:ascii="Arial" w:hAnsi="Arial" w:cs="Arial"/>
        </w:rPr>
        <w:t xml:space="preserve">La Agencia Nacional de Contratación Pública – Colombia Compra Eficiente en los conceptos con radicados números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w:t>
      </w:r>
      <w:r w:rsidR="00204F88">
        <w:rPr>
          <w:rFonts w:ascii="Arial" w:hAnsi="Arial" w:cs="Arial"/>
        </w:rPr>
        <w:t xml:space="preserve">C-842 del 7 de diciembre de 2022, </w:t>
      </w:r>
      <w:r w:rsidR="00D17750">
        <w:rPr>
          <w:rFonts w:ascii="Arial" w:hAnsi="Arial" w:cs="Arial"/>
        </w:rPr>
        <w:t>C-825</w:t>
      </w:r>
      <w:r w:rsidR="00204F88">
        <w:rPr>
          <w:rFonts w:ascii="Arial" w:hAnsi="Arial" w:cs="Arial"/>
        </w:rPr>
        <w:t xml:space="preserve"> del 28 de diciembre de 2022 y C-033 de</w:t>
      </w:r>
      <w:r w:rsidR="005029F9">
        <w:rPr>
          <w:rFonts w:ascii="Arial" w:hAnsi="Arial" w:cs="Arial"/>
        </w:rPr>
        <w:t xml:space="preserve"> 27 de febrero de 2023</w:t>
      </w:r>
      <w:r w:rsidR="00D17750">
        <w:rPr>
          <w:rFonts w:ascii="Arial" w:hAnsi="Arial" w:cs="Arial"/>
        </w:rPr>
        <w:t xml:space="preserve"> </w:t>
      </w:r>
      <w:r w:rsidR="005029F9">
        <w:rPr>
          <w:rFonts w:ascii="Arial" w:hAnsi="Arial" w:cs="Arial"/>
        </w:rPr>
        <w:t>se</w:t>
      </w:r>
      <w:r w:rsidR="00D17750">
        <w:rPr>
          <w:rFonts w:ascii="Arial" w:hAnsi="Arial" w:cs="Arial"/>
        </w:rPr>
        <w:t xml:space="preserve"> </w:t>
      </w:r>
      <w:r w:rsidRPr="000F4A3A">
        <w:rPr>
          <w:rFonts w:ascii="Arial" w:hAnsi="Arial" w:cs="Arial"/>
        </w:rPr>
        <w:t>abordó el análisis y estudio de la facultad de las entidades estatales para pactar la entrega de anticipos en los contratos estatales</w:t>
      </w:r>
      <w:r w:rsidR="00994070">
        <w:rPr>
          <w:rFonts w:ascii="Arial" w:hAnsi="Arial" w:cs="Arial"/>
        </w:rPr>
        <w:t xml:space="preserve"> y el ámbito de aplicación del artículo 91 de la Ley 1474 de 2011</w:t>
      </w:r>
      <w:r w:rsidRPr="000F4A3A">
        <w:rPr>
          <w:rFonts w:ascii="Arial" w:hAnsi="Arial" w:cs="Arial"/>
          <w:color w:val="000000" w:themeColor="text1"/>
        </w:rPr>
        <w:t xml:space="preserve">. La tesis propuesta </w:t>
      </w:r>
      <w:r w:rsidR="00994070">
        <w:rPr>
          <w:rFonts w:ascii="Arial" w:hAnsi="Arial" w:cs="Arial"/>
          <w:color w:val="000000" w:themeColor="text1"/>
        </w:rPr>
        <w:t xml:space="preserve">en dichos conceptos </w:t>
      </w:r>
      <w:r w:rsidRPr="000F4A3A">
        <w:rPr>
          <w:rFonts w:ascii="Arial" w:hAnsi="Arial" w:cs="Arial"/>
          <w:color w:val="000000" w:themeColor="text1"/>
        </w:rPr>
        <w:t>se expone a continuación y se complementa en lo pertinente:</w:t>
      </w:r>
    </w:p>
    <w:p w14:paraId="6CA60F54" w14:textId="77777777" w:rsidR="00CA7AF8" w:rsidRPr="009D7080" w:rsidRDefault="00CA7AF8" w:rsidP="00CA7AF8">
      <w:pPr>
        <w:spacing w:line="276" w:lineRule="auto"/>
        <w:jc w:val="both"/>
        <w:rPr>
          <w:rFonts w:ascii="Arial" w:eastAsia="Calibri" w:hAnsi="Arial" w:cs="Arial"/>
          <w:b/>
        </w:rPr>
      </w:pPr>
      <w:r w:rsidRPr="009D7080">
        <w:rPr>
          <w:rFonts w:ascii="Arial" w:eastAsia="Calibri" w:hAnsi="Arial" w:cs="Arial"/>
          <w:b/>
        </w:rPr>
        <w:t>2.1 Competencia consultiva de la Agencia Nacional de Contratación Pública – Colombia Compra Eficiente</w:t>
      </w:r>
    </w:p>
    <w:p w14:paraId="17806448" w14:textId="6071AC53" w:rsidR="00CA7AF8" w:rsidRPr="009D7080" w:rsidRDefault="00CA7AF8" w:rsidP="00CA7AF8">
      <w:pPr>
        <w:tabs>
          <w:tab w:val="left" w:pos="426"/>
        </w:tabs>
        <w:spacing w:before="120" w:line="276" w:lineRule="auto"/>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ejercicio de las competencias consagradas en </w:t>
      </w:r>
      <w:r w:rsidR="00556EBD" w:rsidRPr="009D7080">
        <w:rPr>
          <w:rFonts w:ascii="Arial" w:eastAsia="Times New Roman" w:hAnsi="Arial" w:cs="Arial"/>
          <w:color w:val="000000"/>
          <w:lang w:eastAsia="es-MX"/>
        </w:rPr>
        <w:t>el</w:t>
      </w:r>
      <w:r w:rsidRPr="009D7080">
        <w:rPr>
          <w:rFonts w:ascii="Arial" w:eastAsia="Times New Roman" w:hAnsi="Arial" w:cs="Arial"/>
          <w:color w:val="000000"/>
          <w:lang w:eastAsia="es-MX"/>
        </w:rPr>
        <w:t xml:space="preserve"> numeral 5</w:t>
      </w:r>
      <w:r w:rsidR="00556EBD" w:rsidRPr="009D7080">
        <w:rPr>
          <w:rFonts w:ascii="Arial" w:eastAsia="Times New Roman" w:hAnsi="Arial" w:cs="Arial"/>
          <w:color w:val="000000"/>
          <w:lang w:eastAsia="es-MX"/>
        </w:rPr>
        <w:t xml:space="preserve"> del artículo 3 y</w:t>
      </w:r>
      <w:r w:rsidRPr="009D7080">
        <w:rPr>
          <w:rFonts w:ascii="Arial" w:eastAsia="Times New Roman" w:hAnsi="Arial" w:cs="Arial"/>
          <w:color w:val="000000"/>
          <w:lang w:eastAsia="es-MX"/>
        </w:rPr>
        <w:t xml:space="preserve"> numeral 8, 12, </w:t>
      </w:r>
      <w:r w:rsidR="005E0584" w:rsidRPr="009D7080">
        <w:rPr>
          <w:rFonts w:ascii="Arial" w:eastAsia="Times New Roman" w:hAnsi="Arial" w:cs="Arial"/>
          <w:color w:val="000000"/>
          <w:lang w:eastAsia="es-MX"/>
        </w:rPr>
        <w:t>del artículo 11</w:t>
      </w:r>
      <w:r w:rsidRPr="009D7080">
        <w:rPr>
          <w:rFonts w:ascii="Arial" w:eastAsia="Times New Roman" w:hAnsi="Arial" w:cs="Arial"/>
          <w:color w:val="000000"/>
          <w:lang w:eastAsia="es-MX"/>
        </w:rPr>
        <w:t xml:space="preserve">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9D7080">
        <w:rPr>
          <w:rFonts w:ascii="Arial" w:eastAsia="Calibri" w:hAnsi="Arial" w:cs="Arial"/>
          <w:color w:val="000000"/>
          <w:lang w:eastAsia="es-MX"/>
        </w:rPr>
        <w:t> </w:t>
      </w:r>
    </w:p>
    <w:p w14:paraId="47A7937E" w14:textId="11D622D4" w:rsidR="00CA7AF8" w:rsidRPr="009D7080" w:rsidRDefault="00CA7AF8" w:rsidP="00734EA2">
      <w:pPr>
        <w:tabs>
          <w:tab w:val="left" w:pos="426"/>
        </w:tabs>
        <w:spacing w:line="240" w:lineRule="auto"/>
        <w:ind w:left="709" w:right="709"/>
        <w:jc w:val="both"/>
        <w:rPr>
          <w:rFonts w:ascii="Arial" w:eastAsia="Times New Roman" w:hAnsi="Arial" w:cs="Arial"/>
          <w:color w:val="000000"/>
          <w:sz w:val="21"/>
          <w:szCs w:val="21"/>
          <w:lang w:eastAsia="es-MX"/>
        </w:rPr>
      </w:pPr>
      <w:r w:rsidRPr="009D7080">
        <w:rPr>
          <w:rFonts w:ascii="Arial" w:eastAsia="Calibri" w:hAnsi="Arial" w:cs="Arial"/>
          <w:color w:val="000000"/>
          <w:sz w:val="21"/>
          <w:szCs w:val="21"/>
          <w:lang w:eastAsia="es-MX"/>
        </w:rPr>
        <w:t> </w:t>
      </w:r>
      <w:r w:rsidRPr="009D7080">
        <w:rPr>
          <w:rFonts w:ascii="Arial" w:eastAsia="Times New Roman" w:hAnsi="Arial" w:cs="Arial"/>
          <w:color w:val="000000"/>
          <w:sz w:val="21"/>
          <w:szCs w:val="21"/>
          <w:lang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9D7080">
        <w:rPr>
          <w:rFonts w:ascii="Arial" w:eastAsia="Calibri" w:hAnsi="Arial" w:cs="Arial"/>
          <w:color w:val="000000"/>
          <w:sz w:val="21"/>
          <w:szCs w:val="21"/>
          <w:lang w:eastAsia="es-MX"/>
        </w:rPr>
        <w:t>». </w:t>
      </w:r>
    </w:p>
    <w:p w14:paraId="02D212E2" w14:textId="3E3D56B5" w:rsidR="00CA7AF8" w:rsidRPr="009D7080" w:rsidRDefault="00CA7AF8" w:rsidP="00CA7AF8">
      <w:pPr>
        <w:tabs>
          <w:tab w:val="left" w:pos="426"/>
        </w:tabs>
        <w:spacing w:before="120" w:after="120" w:line="276" w:lineRule="auto"/>
        <w:jc w:val="both"/>
        <w:rPr>
          <w:rFonts w:ascii="Arial" w:eastAsia="Times New Roman" w:hAnsi="Arial" w:cs="Arial"/>
          <w:color w:val="000000"/>
          <w:lang w:eastAsia="es-MX"/>
        </w:rPr>
      </w:pPr>
      <w:r w:rsidRPr="009D7080">
        <w:rPr>
          <w:rFonts w:ascii="Arial" w:eastAsia="Calibri" w:hAnsi="Arial" w:cs="Arial"/>
          <w:color w:val="000000"/>
          <w:lang w:eastAsia="es-MX"/>
        </w:rPr>
        <w:t> </w:t>
      </w:r>
      <w:r w:rsidR="009D7080" w:rsidRPr="009D7080">
        <w:rPr>
          <w:rFonts w:ascii="Arial" w:eastAsia="Calibri" w:hAnsi="Arial" w:cs="Arial"/>
          <w:bCs/>
          <w:color w:val="000000"/>
          <w:lang w:eastAsia="es-MX"/>
        </w:rPr>
        <w:tab/>
      </w:r>
      <w:r w:rsidRPr="009D7080">
        <w:rPr>
          <w:rFonts w:ascii="Arial" w:eastAsia="Calibri" w:hAnsi="Arial" w:cs="Arial"/>
          <w:color w:val="000000"/>
          <w:lang w:eastAsia="es-MX"/>
        </w:rPr>
        <w:tab/>
      </w:r>
      <w:r w:rsidRPr="009D7080">
        <w:rPr>
          <w:rFonts w:ascii="Arial" w:eastAsia="Times New Roman" w:hAnsi="Arial" w:cs="Arial"/>
          <w:color w:val="00000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9D7080">
        <w:rPr>
          <w:rFonts w:ascii="Arial" w:eastAsia="Calibri" w:hAnsi="Arial" w:cs="Arial"/>
          <w:color w:val="000000"/>
          <w:lang w:eastAsia="es-MX"/>
        </w:rPr>
        <w:t> </w:t>
      </w:r>
    </w:p>
    <w:p w14:paraId="502B0DDD" w14:textId="77777777" w:rsidR="00CA7AF8" w:rsidRPr="009D7080" w:rsidRDefault="00CA7AF8" w:rsidP="00CA7AF8">
      <w:pPr>
        <w:spacing w:before="120" w:line="276" w:lineRule="auto"/>
        <w:ind w:firstLine="708"/>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9D7080">
        <w:rPr>
          <w:rFonts w:ascii="Arial" w:eastAsia="Calibri" w:hAnsi="Arial" w:cs="Arial"/>
          <w:color w:val="000000"/>
          <w:lang w:eastAsia="es-MX"/>
        </w:rPr>
        <w:t> </w:t>
      </w:r>
    </w:p>
    <w:p w14:paraId="1EBFC61C" w14:textId="77777777" w:rsidR="00CA7AF8" w:rsidRPr="002D612E" w:rsidRDefault="00CA7AF8" w:rsidP="00CA7AF8">
      <w:pPr>
        <w:tabs>
          <w:tab w:val="left" w:pos="709"/>
        </w:tabs>
        <w:spacing w:before="120" w:line="276" w:lineRule="auto"/>
        <w:jc w:val="both"/>
        <w:rPr>
          <w:rFonts w:ascii="Arial" w:eastAsia="Times New Roman" w:hAnsi="Arial" w:cs="Arial"/>
          <w:color w:val="000000"/>
          <w:lang w:eastAsia="es-MX"/>
        </w:rPr>
      </w:pPr>
      <w:r w:rsidRPr="002D612E">
        <w:rPr>
          <w:rFonts w:ascii="Arial" w:eastAsia="Times New Roman" w:hAnsi="Arial" w:cs="Arial"/>
          <w:color w:val="000000"/>
          <w:shd w:val="clear" w:color="auto" w:fill="FFFFFF"/>
          <w:lang w:eastAsia="es-MX"/>
        </w:rPr>
        <w:tab/>
        <w:t>En concordancia con ello, es importante resaltar que e</w:t>
      </w:r>
      <w:r w:rsidRPr="002D612E">
        <w:rPr>
          <w:rFonts w:ascii="Arial" w:eastAsia="Times New Roman" w:hAnsi="Arial" w:cs="Arial"/>
          <w:color w:val="000000"/>
          <w:lang w:eastAsia="es-MX"/>
        </w:rPr>
        <w:t>sta posición es compartida por varias entidades públicas que ejercen similar función. Por ejemplo, la Procuraduría General de la Nación</w:t>
      </w:r>
      <w:r w:rsidRPr="002D612E">
        <w:rPr>
          <w:rFonts w:ascii="Arial" w:eastAsia="Times New Roman" w:hAnsi="Arial" w:cs="Arial"/>
          <w:color w:val="000000"/>
          <w:vertAlign w:val="superscript"/>
          <w:lang w:eastAsia="es-MX"/>
        </w:rPr>
        <w:footnoteReference w:id="2"/>
      </w:r>
      <w:r w:rsidRPr="002D612E">
        <w:rPr>
          <w:rFonts w:ascii="Arial" w:eastAsia="Times New Roman" w:hAnsi="Arial" w:cs="Arial"/>
          <w:color w:val="000000"/>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2D612E">
        <w:rPr>
          <w:rFonts w:ascii="Arial" w:eastAsia="Times New Roman" w:hAnsi="Arial" w:cs="Arial"/>
          <w:color w:val="000000"/>
          <w:vertAlign w:val="superscript"/>
          <w:lang w:eastAsia="es-MX"/>
        </w:rPr>
        <w:footnoteReference w:id="3"/>
      </w:r>
      <w:r w:rsidRPr="002D612E">
        <w:rPr>
          <w:rFonts w:ascii="Arial" w:eastAsia="Times New Roman" w:hAnsi="Arial" w:cs="Arial"/>
          <w:color w:val="000000"/>
          <w:lang w:eastAsia="es-MX"/>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2D612E">
        <w:rPr>
          <w:rFonts w:ascii="Arial" w:eastAsia="Calibri" w:hAnsi="Arial" w:cs="Arial"/>
          <w:color w:val="000000"/>
          <w:lang w:eastAsia="es-MX"/>
        </w:rPr>
        <w:t> </w:t>
      </w:r>
    </w:p>
    <w:p w14:paraId="3E1FDD17" w14:textId="77777777" w:rsidR="00CA7AF8" w:rsidRPr="007E58B8" w:rsidRDefault="00CA7AF8" w:rsidP="00CA7AF8">
      <w:pPr>
        <w:tabs>
          <w:tab w:val="left" w:pos="709"/>
        </w:tabs>
        <w:spacing w:before="120" w:line="276" w:lineRule="auto"/>
        <w:jc w:val="both"/>
        <w:rPr>
          <w:rFonts w:ascii="Arial" w:eastAsia="Times New Roman" w:hAnsi="Arial" w:cs="Arial"/>
          <w:color w:val="000000"/>
          <w:lang w:eastAsia="es-MX"/>
        </w:rPr>
      </w:pPr>
      <w:r w:rsidRPr="007E58B8">
        <w:rPr>
          <w:rFonts w:ascii="Arial" w:eastAsia="Calibri" w:hAnsi="Arial" w:cs="Arial"/>
          <w:color w:val="000000"/>
          <w:lang w:eastAsia="es-MX"/>
        </w:rPr>
        <w:tab/>
      </w:r>
      <w:r w:rsidRPr="007E58B8">
        <w:rPr>
          <w:rFonts w:ascii="Arial" w:eastAsia="Times New Roman" w:hAnsi="Arial" w:cs="Arial"/>
          <w:color w:val="000000"/>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7E58B8">
        <w:rPr>
          <w:rFonts w:ascii="Arial" w:eastAsia="Times New Roman" w:hAnsi="Arial" w:cs="Arial"/>
          <w:color w:val="000000"/>
          <w:vertAlign w:val="superscript"/>
          <w:lang w:eastAsia="es-MX"/>
        </w:rPr>
        <w:footnoteReference w:id="4"/>
      </w:r>
      <w:r w:rsidRPr="007E58B8">
        <w:rPr>
          <w:rFonts w:ascii="Arial" w:eastAsia="Times New Roman" w:hAnsi="Arial" w:cs="Arial"/>
          <w:color w:val="000000"/>
          <w:lang w:eastAsia="es-MX"/>
        </w:rPr>
        <w:t xml:space="preserve">. </w:t>
      </w:r>
    </w:p>
    <w:p w14:paraId="677188AE" w14:textId="77777777" w:rsidR="00CA7AF8" w:rsidRPr="00193825" w:rsidRDefault="00CA7AF8" w:rsidP="00CA7AF8">
      <w:pPr>
        <w:spacing w:before="120" w:after="120" w:line="276" w:lineRule="auto"/>
        <w:ind w:firstLine="709"/>
        <w:jc w:val="both"/>
        <w:rPr>
          <w:rFonts w:ascii="Arial" w:eastAsia="Times New Roman" w:hAnsi="Arial" w:cs="Arial"/>
          <w:color w:val="000000"/>
          <w:lang w:eastAsia="es-MX"/>
        </w:rPr>
      </w:pPr>
      <w:r w:rsidRPr="00193825">
        <w:rPr>
          <w:rFonts w:ascii="Arial" w:eastAsia="Times New Roman" w:hAnsi="Arial"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09956670" w14:textId="77777777" w:rsidR="00CA7AF8" w:rsidRPr="000A62D7" w:rsidRDefault="00CA7AF8" w:rsidP="00CA7AF8">
      <w:pPr>
        <w:spacing w:line="276" w:lineRule="auto"/>
        <w:ind w:firstLine="708"/>
        <w:jc w:val="both"/>
        <w:rPr>
          <w:rFonts w:ascii="Arial" w:eastAsia="Times New Roman" w:hAnsi="Arial" w:cs="Arial"/>
          <w:color w:val="000000"/>
          <w:szCs w:val="24"/>
          <w:lang w:eastAsia="es-MX"/>
        </w:rPr>
      </w:pPr>
      <w:r w:rsidRPr="00193825">
        <w:rPr>
          <w:rFonts w:ascii="Arial" w:eastAsia="Times New Roman" w:hAnsi="Arial" w:cs="Arial"/>
          <w:color w:val="000000"/>
          <w:lang w:eastAsia="es-MX"/>
        </w:rPr>
        <w:t>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14:paraId="5A373A1E" w14:textId="77777777" w:rsidR="00535540" w:rsidRPr="000F4A3A" w:rsidRDefault="00535540" w:rsidP="00565A2E">
      <w:pPr>
        <w:tabs>
          <w:tab w:val="left" w:pos="0"/>
        </w:tabs>
        <w:spacing w:line="276" w:lineRule="auto"/>
        <w:jc w:val="both"/>
        <w:rPr>
          <w:rFonts w:ascii="Arial" w:hAnsi="Arial" w:cs="Arial"/>
          <w:b/>
          <w:bCs/>
          <w:color w:val="000000"/>
          <w:lang w:eastAsia="en-GB"/>
        </w:rPr>
      </w:pPr>
      <w:r w:rsidRPr="000F4A3A">
        <w:rPr>
          <w:rFonts w:ascii="Arial" w:hAnsi="Arial" w:cs="Arial"/>
          <w:b/>
          <w:color w:val="000000"/>
          <w:lang w:eastAsia="en-GB"/>
        </w:rPr>
        <w:t xml:space="preserve">2.1. </w:t>
      </w:r>
      <w:r w:rsidRPr="000F4A3A">
        <w:rPr>
          <w:rFonts w:ascii="Arial" w:hAnsi="Arial" w:cs="Arial"/>
          <w:b/>
          <w:color w:val="000000" w:themeColor="text1"/>
        </w:rPr>
        <w:t>Naturaleza jurídica del anticipo</w:t>
      </w:r>
    </w:p>
    <w:p w14:paraId="13BD75E8" w14:textId="2B7A378A" w:rsidR="00535540" w:rsidRPr="000F4A3A" w:rsidRDefault="00535540" w:rsidP="00565A2E">
      <w:pPr>
        <w:tabs>
          <w:tab w:val="left" w:pos="0"/>
        </w:tabs>
        <w:spacing w:line="276" w:lineRule="auto"/>
        <w:jc w:val="both"/>
        <w:rPr>
          <w:rFonts w:ascii="Arial" w:hAnsi="Arial" w:cs="Arial"/>
          <w:color w:val="000000" w:themeColor="text1"/>
        </w:rPr>
      </w:pPr>
      <w:r w:rsidRPr="000F4A3A">
        <w:rPr>
          <w:rFonts w:ascii="Arial" w:hAnsi="Arial" w:cs="Arial"/>
          <w:color w:val="000000"/>
          <w:lang w:eastAsia="en-GB"/>
        </w:rPr>
        <w:t>En materia de contratación pública, la figura del anticipo está prevista en dos (2) normas: el</w:t>
      </w:r>
      <w:r w:rsidRPr="000F4A3A">
        <w:rPr>
          <w:rFonts w:ascii="Arial" w:hAnsi="Arial"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6660F30F" w14:textId="28F47320" w:rsidR="00535540" w:rsidRPr="000F4A3A" w:rsidRDefault="00535540" w:rsidP="00565A2E">
      <w:pPr>
        <w:tabs>
          <w:tab w:val="left" w:pos="0"/>
        </w:tabs>
        <w:spacing w:before="120" w:line="276" w:lineRule="auto"/>
        <w:ind w:firstLine="709"/>
        <w:jc w:val="both"/>
        <w:rPr>
          <w:rFonts w:ascii="Arial" w:hAnsi="Arial" w:cs="Arial"/>
          <w:color w:val="000000" w:themeColor="text1"/>
        </w:rPr>
      </w:pPr>
      <w:r w:rsidRPr="000F4A3A">
        <w:rPr>
          <w:rFonts w:ascii="Arial" w:hAnsi="Arial" w:cs="Arial"/>
          <w:color w:val="000000" w:themeColor="text1"/>
        </w:rPr>
        <w:t>Por su parte, el artículo 91 de la Ley 1474 de 2011 consagra una regla especial para el manejo del anticipo. Según esta disposición, el contratista tiene la obligación de constituir una fiducia o un patrimonio autónomo irrevocable</w:t>
      </w:r>
      <w:r w:rsidR="001E2A72">
        <w:rPr>
          <w:rFonts w:ascii="Arial" w:hAnsi="Arial" w:cs="Arial"/>
          <w:color w:val="000000" w:themeColor="text1"/>
        </w:rPr>
        <w:t xml:space="preserve"> para el manejo de los recur</w:t>
      </w:r>
      <w:r w:rsidR="008B18D5">
        <w:rPr>
          <w:rFonts w:ascii="Arial" w:hAnsi="Arial" w:cs="Arial"/>
          <w:color w:val="000000" w:themeColor="text1"/>
        </w:rPr>
        <w:t xml:space="preserve">sos que reciba a título de anticipo, </w:t>
      </w:r>
      <w:r w:rsidR="00F47EBC">
        <w:rPr>
          <w:rFonts w:ascii="Arial" w:hAnsi="Arial" w:cs="Arial"/>
          <w:color w:val="000000" w:themeColor="text1"/>
        </w:rPr>
        <w:t xml:space="preserve">cuando se pacte </w:t>
      </w:r>
      <w:r w:rsidR="008B18D5" w:rsidRPr="000F4A3A">
        <w:rPr>
          <w:rFonts w:ascii="Arial" w:hAnsi="Arial" w:cs="Arial"/>
          <w:color w:val="000000" w:themeColor="text1"/>
        </w:rPr>
        <w:t>en contratos de obra, concesión</w:t>
      </w:r>
      <w:r w:rsidR="005E0765">
        <w:rPr>
          <w:rFonts w:ascii="Arial" w:hAnsi="Arial" w:cs="Arial"/>
          <w:color w:val="000000" w:themeColor="text1"/>
        </w:rPr>
        <w:t>,</w:t>
      </w:r>
      <w:r w:rsidR="008B18D5" w:rsidRPr="000F4A3A">
        <w:rPr>
          <w:rFonts w:ascii="Arial" w:hAnsi="Arial" w:cs="Arial"/>
          <w:color w:val="000000" w:themeColor="text1"/>
        </w:rPr>
        <w:t xml:space="preserve"> salud, o en todos aquellos que se realicen por licitación pública,</w:t>
      </w:r>
      <w:r w:rsidR="00F47EBC">
        <w:rPr>
          <w:rFonts w:ascii="Arial" w:hAnsi="Arial" w:cs="Arial"/>
          <w:color w:val="000000" w:themeColor="text1"/>
        </w:rPr>
        <w:t xml:space="preserve"> </w:t>
      </w:r>
      <w:r w:rsidR="00F47EBC" w:rsidRPr="000F4A3A">
        <w:rPr>
          <w:rFonts w:ascii="Arial" w:hAnsi="Arial" w:cs="Arial"/>
          <w:color w:val="000000" w:themeColor="text1"/>
        </w:rPr>
        <w:t>«</w:t>
      </w:r>
      <w:r w:rsidR="00F47EBC">
        <w:rPr>
          <w:rFonts w:ascii="Arial" w:hAnsi="Arial" w:cs="Arial"/>
          <w:color w:val="000000" w:themeColor="text1"/>
        </w:rPr>
        <w:t xml:space="preserve">salvo que el contrato sea de </w:t>
      </w:r>
      <w:r w:rsidR="00F47EBC" w:rsidRPr="00FE6475">
        <w:rPr>
          <w:rFonts w:ascii="Arial" w:hAnsi="Arial" w:cs="Arial"/>
          <w:color w:val="000000" w:themeColor="text1"/>
        </w:rPr>
        <w:t>menor o mínima cuantía</w:t>
      </w:r>
      <w:r w:rsidR="00F47EBC" w:rsidRPr="000F4A3A">
        <w:rPr>
          <w:rFonts w:ascii="Arial" w:hAnsi="Arial" w:cs="Arial"/>
          <w:color w:val="000000" w:themeColor="text1"/>
        </w:rPr>
        <w:t>»</w:t>
      </w:r>
      <w:r w:rsidRPr="000F4A3A">
        <w:rPr>
          <w:rFonts w:ascii="Arial" w:hAnsi="Arial" w:cs="Arial"/>
          <w:color w:val="000000" w:themeColor="text1"/>
        </w:rPr>
        <w:t>. Lo anterior, con el fin de garantizar que se destinen exclusivamente a la ejecución del contrato.</w:t>
      </w:r>
    </w:p>
    <w:p w14:paraId="305985FA" w14:textId="77777777" w:rsidR="00535540" w:rsidRPr="000F4A3A" w:rsidRDefault="00535540" w:rsidP="00565A2E">
      <w:pPr>
        <w:tabs>
          <w:tab w:val="left" w:pos="0"/>
        </w:tabs>
        <w:spacing w:before="120" w:line="276" w:lineRule="auto"/>
        <w:ind w:firstLine="709"/>
        <w:jc w:val="both"/>
        <w:rPr>
          <w:rFonts w:ascii="Arial" w:hAnsi="Arial" w:cs="Arial"/>
          <w:vertAlign w:val="superscript"/>
        </w:rPr>
      </w:pPr>
      <w:r w:rsidRPr="000F4A3A">
        <w:rPr>
          <w:rFonts w:ascii="Arial" w:hAnsi="Arial" w:cs="Arial"/>
        </w:rPr>
        <w:t>Aunque las normas citadas no definen el anticipo, el Consejo de Estado ha precisado su naturaleza jurídica fijando parámetros para su aplicación</w:t>
      </w:r>
      <w:r w:rsidRPr="000F4A3A">
        <w:rPr>
          <w:rFonts w:ascii="Arial" w:hAnsi="Arial" w:cs="Arial"/>
          <w:vertAlign w:val="superscript"/>
        </w:rPr>
        <w:footnoteReference w:id="5"/>
      </w:r>
      <w:r w:rsidRPr="000F4A3A">
        <w:rPr>
          <w:rFonts w:ascii="Arial" w:hAnsi="Arial" w:cs="Arial"/>
        </w:rPr>
        <w:t xml:space="preserve">. En uno de sus pronunciamientos más recientes, el Consejo de Estado se refirió al anticipo como </w:t>
      </w:r>
      <w:r w:rsidRPr="000F4A3A">
        <w:rPr>
          <w:rFonts w:ascii="Arial" w:hAnsi="Arial" w:cs="Arial"/>
          <w:color w:val="000000" w:themeColor="text1"/>
        </w:rPr>
        <w:t>«</w:t>
      </w:r>
      <w:r w:rsidRPr="000F4A3A">
        <w:rPr>
          <w:rFonts w:ascii="Arial" w:hAnsi="Arial"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0F4A3A">
        <w:rPr>
          <w:rFonts w:ascii="Arial" w:hAnsi="Arial" w:cs="Arial"/>
          <w:color w:val="000000" w:themeColor="text1"/>
        </w:rPr>
        <w:t>»</w:t>
      </w:r>
      <w:r w:rsidRPr="000F4A3A">
        <w:rPr>
          <w:rFonts w:ascii="Arial" w:hAnsi="Arial" w:cs="Arial"/>
          <w:vertAlign w:val="superscript"/>
        </w:rPr>
        <w:footnoteReference w:id="6"/>
      </w:r>
      <w:r w:rsidRPr="000F4A3A">
        <w:rPr>
          <w:rFonts w:ascii="Arial" w:hAnsi="Arial" w:cs="Arial"/>
          <w:color w:val="000000" w:themeColor="text1"/>
        </w:rPr>
        <w:t>.</w:t>
      </w:r>
    </w:p>
    <w:p w14:paraId="7575A780" w14:textId="77777777" w:rsidR="00535540" w:rsidRPr="000F4A3A" w:rsidRDefault="00535540" w:rsidP="00565A2E">
      <w:pPr>
        <w:spacing w:before="120" w:line="276" w:lineRule="auto"/>
        <w:ind w:firstLine="708"/>
        <w:jc w:val="both"/>
        <w:rPr>
          <w:rFonts w:ascii="Arial" w:hAnsi="Arial" w:cs="Arial"/>
        </w:rPr>
      </w:pPr>
      <w:r w:rsidRPr="000F4A3A">
        <w:rPr>
          <w:rFonts w:ascii="Arial" w:hAnsi="Arial" w:cs="Arial"/>
        </w:rPr>
        <w:t xml:space="preserve">Sobre la calidad de recurso público del anticipo, la jurisprudencia ha reiterado que </w:t>
      </w:r>
      <w:r w:rsidRPr="000F4A3A">
        <w:rPr>
          <w:rFonts w:ascii="Arial" w:hAnsi="Arial" w:cs="Arial"/>
          <w:color w:val="000000" w:themeColor="text1"/>
        </w:rPr>
        <w:t>«</w:t>
      </w:r>
      <w:r w:rsidRPr="000F4A3A">
        <w:rPr>
          <w:rFonts w:ascii="Arial" w:hAnsi="Arial"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0F4A3A">
        <w:rPr>
          <w:rFonts w:ascii="Arial" w:hAnsi="Arial" w:cs="Arial"/>
          <w:color w:val="000000" w:themeColor="text1"/>
        </w:rPr>
        <w:t>»</w:t>
      </w:r>
      <w:r w:rsidRPr="000F4A3A">
        <w:rPr>
          <w:rFonts w:ascii="Arial" w:hAnsi="Arial" w:cs="Arial"/>
          <w:vertAlign w:val="superscript"/>
        </w:rPr>
        <w:footnoteReference w:id="7"/>
      </w:r>
      <w:r w:rsidRPr="000F4A3A">
        <w:rPr>
          <w:rFonts w:ascii="Arial" w:hAnsi="Arial" w:cs="Arial"/>
        </w:rPr>
        <w:t>. Igualmente, explica que el anticipo, al facilitar al contratista la financiación de los bienes y servicios que se le han encargado, es un factor determinante para impulsar la ejecución del contrato</w:t>
      </w:r>
      <w:r w:rsidRPr="000F4A3A">
        <w:rPr>
          <w:rFonts w:ascii="Arial" w:hAnsi="Arial" w:cs="Arial"/>
          <w:vertAlign w:val="superscript"/>
        </w:rPr>
        <w:footnoteReference w:id="8"/>
      </w:r>
      <w:r w:rsidRPr="000F4A3A">
        <w:rPr>
          <w:rFonts w:ascii="Arial" w:hAnsi="Arial" w:cs="Arial"/>
        </w:rPr>
        <w:t>. Este también es el entendimiento de la doctrina</w:t>
      </w:r>
      <w:r w:rsidRPr="000F4A3A">
        <w:rPr>
          <w:rFonts w:ascii="Arial" w:hAnsi="Arial" w:cs="Arial"/>
          <w:color w:val="000000" w:themeColor="text1"/>
        </w:rPr>
        <w:t>,</w:t>
      </w:r>
      <w:r w:rsidRPr="000F4A3A">
        <w:rPr>
          <w:rFonts w:ascii="Arial" w:hAnsi="Arial" w:cs="Arial"/>
        </w:rPr>
        <w:t xml:space="preserve"> que ha considerado el anticipo como un dinero entregado al contratista que debe cancelarse mediante descuentos parciales, siendo una práctica común que permite impulsar la ejecución del contrato</w:t>
      </w:r>
      <w:r w:rsidRPr="000F4A3A">
        <w:rPr>
          <w:rFonts w:ascii="Arial" w:hAnsi="Arial" w:cs="Arial"/>
          <w:vertAlign w:val="superscript"/>
        </w:rPr>
        <w:footnoteReference w:id="9"/>
      </w:r>
      <w:r w:rsidRPr="000F4A3A">
        <w:rPr>
          <w:rFonts w:ascii="Arial" w:hAnsi="Arial" w:cs="Arial"/>
        </w:rPr>
        <w:t xml:space="preserve">. </w:t>
      </w:r>
    </w:p>
    <w:p w14:paraId="3DA7D7FB" w14:textId="77777777" w:rsidR="00535540" w:rsidRPr="000F4A3A" w:rsidRDefault="00535540" w:rsidP="00565A2E">
      <w:pPr>
        <w:spacing w:before="120" w:line="276" w:lineRule="auto"/>
        <w:ind w:firstLine="708"/>
        <w:jc w:val="both"/>
        <w:rPr>
          <w:rFonts w:ascii="Arial" w:hAnsi="Arial" w:cs="Arial"/>
          <w:color w:val="000000" w:themeColor="text1"/>
        </w:rPr>
      </w:pPr>
      <w:r w:rsidRPr="000F4A3A">
        <w:rPr>
          <w:rFonts w:ascii="Arial" w:hAnsi="Arial" w:cs="Arial"/>
          <w:color w:val="000000" w:themeColor="text1"/>
        </w:rPr>
        <w:t xml:space="preserve">Así, de acuerdo con las consideraciones de la jurisprudencia y la doctrina, el anticipo es </w:t>
      </w:r>
      <w:r w:rsidRPr="000F4A3A">
        <w:rPr>
          <w:rFonts w:ascii="Arial" w:hAnsi="Arial"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6B158309" w14:textId="77777777" w:rsidR="00535540" w:rsidRPr="000F4A3A" w:rsidRDefault="00535540" w:rsidP="00565A2E">
      <w:pPr>
        <w:spacing w:before="120" w:line="276" w:lineRule="auto"/>
        <w:ind w:firstLine="709"/>
        <w:jc w:val="both"/>
        <w:rPr>
          <w:rFonts w:ascii="Arial" w:hAnsi="Arial" w:cs="Arial"/>
        </w:rPr>
      </w:pPr>
      <w:r w:rsidRPr="000F4A3A">
        <w:rPr>
          <w:rFonts w:ascii="Arial" w:hAnsi="Arial"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3350DBB8" w14:textId="7493542F" w:rsidR="00535540" w:rsidRPr="00477961" w:rsidRDefault="00556F3D" w:rsidP="005E0765">
      <w:pPr>
        <w:spacing w:line="240" w:lineRule="auto"/>
        <w:ind w:left="709" w:right="709"/>
        <w:jc w:val="both"/>
        <w:rPr>
          <w:rFonts w:ascii="Arial" w:hAnsi="Arial" w:cs="Arial"/>
          <w:sz w:val="21"/>
          <w:szCs w:val="21"/>
        </w:rPr>
      </w:pPr>
      <w:r w:rsidRPr="000F4A3A">
        <w:rPr>
          <w:rFonts w:ascii="Arial" w:hAnsi="Arial" w:cs="Arial"/>
          <w:color w:val="000000" w:themeColor="text1"/>
        </w:rPr>
        <w:t>«</w:t>
      </w:r>
      <w:r w:rsidR="00535540" w:rsidRPr="00477961">
        <w:rPr>
          <w:rFonts w:ascii="Arial" w:hAnsi="Arial" w:cs="Arial"/>
          <w:sz w:val="21"/>
          <w:szCs w:val="21"/>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00535540" w:rsidRPr="00477961">
        <w:rPr>
          <w:rFonts w:ascii="Arial" w:hAnsi="Arial" w:cs="Arial"/>
          <w:sz w:val="21"/>
          <w:szCs w:val="21"/>
        </w:rPr>
        <w:t>etc</w:t>
      </w:r>
      <w:proofErr w:type="spellEnd"/>
      <w:r w:rsidR="00535540" w:rsidRPr="00477961">
        <w:rPr>
          <w:rFonts w:ascii="Arial" w:hAnsi="Arial" w:cs="Arial"/>
          <w:sz w:val="21"/>
          <w:szCs w:val="21"/>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00535540" w:rsidRPr="00477961">
        <w:rPr>
          <w:rFonts w:ascii="Arial" w:hAnsi="Arial" w:cs="Arial"/>
          <w:b/>
          <w:bCs/>
          <w:sz w:val="21"/>
          <w:szCs w:val="21"/>
        </w:rPr>
        <w:t xml:space="preserve">, </w:t>
      </w:r>
      <w:r w:rsidR="00535540" w:rsidRPr="00477961">
        <w:rPr>
          <w:rFonts w:ascii="Arial" w:hAnsi="Arial" w:cs="Arial"/>
          <w:sz w:val="21"/>
          <w:szCs w:val="21"/>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00412D4F">
        <w:rPr>
          <w:rFonts w:ascii="Arial" w:hAnsi="Arial" w:cs="Arial"/>
          <w:sz w:val="21"/>
          <w:szCs w:val="21"/>
        </w:rPr>
        <w:t>.</w:t>
      </w:r>
      <w:r w:rsidRPr="000F4A3A">
        <w:rPr>
          <w:rFonts w:ascii="Arial" w:hAnsi="Arial" w:cs="Arial"/>
          <w:color w:val="000000" w:themeColor="text1"/>
        </w:rPr>
        <w:t>»</w:t>
      </w:r>
      <w:r w:rsidR="00535540" w:rsidRPr="00477961">
        <w:rPr>
          <w:rFonts w:ascii="Arial" w:hAnsi="Arial" w:cs="Arial"/>
          <w:sz w:val="21"/>
          <w:szCs w:val="21"/>
          <w:vertAlign w:val="superscript"/>
        </w:rPr>
        <w:footnoteReference w:id="10"/>
      </w:r>
    </w:p>
    <w:p w14:paraId="4009E79A" w14:textId="61D4A726" w:rsidR="00535540" w:rsidRPr="000F4A3A" w:rsidRDefault="00535540" w:rsidP="00565A2E">
      <w:pPr>
        <w:tabs>
          <w:tab w:val="left" w:pos="0"/>
        </w:tabs>
        <w:spacing w:line="276" w:lineRule="auto"/>
        <w:ind w:firstLine="709"/>
        <w:jc w:val="both"/>
        <w:rPr>
          <w:rFonts w:ascii="Arial" w:hAnsi="Arial" w:cs="Arial"/>
        </w:rPr>
      </w:pPr>
      <w:r w:rsidRPr="000F4A3A">
        <w:rPr>
          <w:rFonts w:ascii="Arial" w:hAnsi="Arial" w:cs="Arial"/>
        </w:rPr>
        <w:t xml:space="preserve">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w:t>
      </w:r>
      <w:r w:rsidR="00100997">
        <w:rPr>
          <w:rFonts w:ascii="Arial" w:hAnsi="Arial" w:cs="Arial"/>
        </w:rPr>
        <w:t>cincuenta por ciento (</w:t>
      </w:r>
      <w:r w:rsidRPr="000F4A3A">
        <w:rPr>
          <w:rFonts w:ascii="Arial" w:hAnsi="Arial" w:cs="Arial"/>
        </w:rPr>
        <w:t>50%</w:t>
      </w:r>
      <w:r w:rsidR="00100997">
        <w:rPr>
          <w:rFonts w:ascii="Arial" w:hAnsi="Arial" w:cs="Arial"/>
        </w:rPr>
        <w:t>)</w:t>
      </w:r>
      <w:r w:rsidRPr="000F4A3A">
        <w:rPr>
          <w:rFonts w:ascii="Arial" w:hAnsi="Arial" w:cs="Arial"/>
        </w:rPr>
        <w:t xml:space="preserve"> del valor del contrato–, el plazo de amortización, las condiciones necesarias para su exigibilidad, así como todas las obligaciones para su correcta inversión.</w:t>
      </w:r>
    </w:p>
    <w:p w14:paraId="5706DCE8" w14:textId="77777777" w:rsidR="00535540" w:rsidRPr="000F4A3A" w:rsidRDefault="00535540" w:rsidP="00565A2E">
      <w:pPr>
        <w:tabs>
          <w:tab w:val="left" w:pos="0"/>
        </w:tabs>
        <w:spacing w:before="120" w:line="276" w:lineRule="auto"/>
        <w:ind w:firstLine="709"/>
        <w:jc w:val="both"/>
        <w:rPr>
          <w:rFonts w:ascii="Arial" w:hAnsi="Arial" w:cs="Arial"/>
          <w:color w:val="000000" w:themeColor="text1"/>
        </w:rPr>
      </w:pPr>
      <w:r w:rsidRPr="000F4A3A">
        <w:rPr>
          <w:rFonts w:ascii="Arial" w:hAnsi="Arial"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0F4A3A">
        <w:rPr>
          <w:rFonts w:ascii="Arial" w:hAnsi="Arial" w:cs="Arial"/>
          <w:color w:val="000000" w:themeColor="text1"/>
        </w:rPr>
        <w:t xml:space="preserve">De hecho, el Estatuto General de Contratación de la Administración Pública dispone como única limitación el valor máximo que puede desembolsar la entidad para pactar el anticipo. </w:t>
      </w:r>
    </w:p>
    <w:p w14:paraId="3D558194" w14:textId="77777777" w:rsidR="00535540" w:rsidRPr="00DB237C" w:rsidRDefault="00535540" w:rsidP="00565A2E">
      <w:pPr>
        <w:spacing w:before="120" w:after="120" w:line="276" w:lineRule="auto"/>
        <w:ind w:firstLine="709"/>
        <w:jc w:val="both"/>
        <w:rPr>
          <w:rFonts w:ascii="Arial" w:hAnsi="Arial" w:cs="Arial"/>
        </w:rPr>
      </w:pPr>
      <w:r w:rsidRPr="00DB237C">
        <w:rPr>
          <w:rFonts w:ascii="Arial" w:hAnsi="Arial" w:cs="Arial"/>
          <w:color w:val="000000" w:themeColor="text1"/>
        </w:rPr>
        <w:t xml:space="preserve">Del análisis realizado se desprende que los recursos entregados al contratista en calidad de anticipo son recursos públicos. Por tanto, corresponde a la entidad </w:t>
      </w:r>
      <w:r w:rsidRPr="00DB237C">
        <w:rPr>
          <w:rFonts w:ascii="Arial" w:hAnsi="Arial" w:cs="Arial"/>
        </w:rPr>
        <w:t>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DB237C">
        <w:rPr>
          <w:rFonts w:ascii="Arial" w:hAnsi="Arial" w:cs="Arial"/>
          <w:vertAlign w:val="superscript"/>
        </w:rPr>
        <w:footnoteReference w:id="11"/>
      </w:r>
      <w:r w:rsidRPr="00DB237C">
        <w:rPr>
          <w:rFonts w:ascii="Arial" w:hAnsi="Arial" w:cs="Arial"/>
        </w:rPr>
        <w:t xml:space="preserve">. </w:t>
      </w:r>
    </w:p>
    <w:p w14:paraId="15294FF7" w14:textId="77777777" w:rsidR="00535540" w:rsidRPr="000F4A3A" w:rsidRDefault="00535540" w:rsidP="00565A2E">
      <w:pPr>
        <w:spacing w:line="276" w:lineRule="auto"/>
        <w:jc w:val="both"/>
        <w:rPr>
          <w:rFonts w:ascii="Arial" w:hAnsi="Arial" w:cs="Arial"/>
          <w:b/>
          <w:bCs/>
          <w:color w:val="000000" w:themeColor="text1"/>
          <w:u w:val="single"/>
        </w:rPr>
      </w:pPr>
      <w:r w:rsidRPr="000F4A3A">
        <w:rPr>
          <w:rFonts w:ascii="Arial" w:eastAsia="Times New Roman" w:hAnsi="Arial" w:cs="Arial"/>
          <w:b/>
          <w:bCs/>
          <w:color w:val="000000" w:themeColor="text1"/>
        </w:rPr>
        <w:t xml:space="preserve">2.2. </w:t>
      </w:r>
      <w:r w:rsidRPr="000F4A3A">
        <w:rPr>
          <w:rFonts w:ascii="Arial" w:hAnsi="Arial" w:cs="Arial"/>
          <w:b/>
          <w:bCs/>
          <w:color w:val="000000" w:themeColor="text1"/>
        </w:rPr>
        <w:t>Ámbito de aplicación del artículo 91 de la Ley 1474 de 2011</w:t>
      </w:r>
    </w:p>
    <w:p w14:paraId="6CED6555" w14:textId="77777777" w:rsidR="00535540" w:rsidRPr="000F4A3A" w:rsidRDefault="00535540" w:rsidP="00565A2E">
      <w:pPr>
        <w:spacing w:line="276" w:lineRule="auto"/>
        <w:jc w:val="both"/>
        <w:rPr>
          <w:rFonts w:ascii="Arial" w:hAnsi="Arial" w:cs="Arial"/>
          <w:bCs/>
          <w:color w:val="000000" w:themeColor="text1"/>
          <w:lang w:val="es-ES_tradnl"/>
        </w:rPr>
      </w:pPr>
      <w:r w:rsidRPr="000F4A3A">
        <w:rPr>
          <w:rFonts w:ascii="Arial" w:hAnsi="Arial" w:cs="Arial"/>
          <w:bCs/>
          <w:color w:val="000000" w:themeColor="text1"/>
          <w:lang w:val="es-ES_tradnl"/>
        </w:rPr>
        <w:t xml:space="preserve">Como se expuso en el acápite anterior, una de las normas que regula el anticipo en materia de contratación estatal es el artículo 91 de la Ley 1474 de 2011. Esta norma dispone lo siguiente: </w:t>
      </w:r>
    </w:p>
    <w:p w14:paraId="6A556D54" w14:textId="77777777" w:rsidR="00535540" w:rsidRPr="00477961" w:rsidRDefault="00535540" w:rsidP="00B90503">
      <w:pPr>
        <w:spacing w:after="120" w:line="240" w:lineRule="auto"/>
        <w:ind w:left="709" w:right="709"/>
        <w:jc w:val="both"/>
        <w:rPr>
          <w:rFonts w:ascii="Arial" w:hAnsi="Arial" w:cs="Arial"/>
          <w:sz w:val="21"/>
          <w:szCs w:val="21"/>
        </w:rPr>
      </w:pPr>
      <w:r w:rsidRPr="001C231C">
        <w:rPr>
          <w:rFonts w:ascii="Arial" w:hAnsi="Arial" w:cs="Arial"/>
          <w:sz w:val="21"/>
          <w:szCs w:val="21"/>
        </w:rPr>
        <w:t>«</w:t>
      </w:r>
      <w:r w:rsidRPr="00477961">
        <w:rPr>
          <w:rFonts w:ascii="Arial" w:hAnsi="Arial" w:cs="Arial"/>
          <w:sz w:val="21"/>
          <w:szCs w:val="21"/>
        </w:rPr>
        <w:t xml:space="preserve">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w:t>
      </w:r>
      <w:r w:rsidRPr="006336C3">
        <w:rPr>
          <w:rFonts w:ascii="Arial" w:hAnsi="Arial" w:cs="Arial"/>
          <w:i/>
          <w:sz w:val="21"/>
          <w:szCs w:val="21"/>
        </w:rPr>
        <w:t>salvo que el contrato sea de menor o mínima cuantía.</w:t>
      </w:r>
    </w:p>
    <w:p w14:paraId="6A502EAB" w14:textId="14CDA2C6" w:rsidR="00535540" w:rsidRPr="00477961" w:rsidRDefault="00535540" w:rsidP="00B90503">
      <w:pPr>
        <w:spacing w:line="240" w:lineRule="auto"/>
        <w:ind w:left="709" w:right="709"/>
        <w:jc w:val="both"/>
        <w:rPr>
          <w:rFonts w:ascii="Arial" w:hAnsi="Arial" w:cs="Arial"/>
          <w:sz w:val="21"/>
          <w:szCs w:val="21"/>
        </w:rPr>
      </w:pPr>
      <w:r w:rsidRPr="00477961">
        <w:rPr>
          <w:rFonts w:ascii="Arial" w:hAnsi="Arial" w:cs="Arial"/>
          <w:sz w:val="21"/>
          <w:szCs w:val="21"/>
        </w:rPr>
        <w:t>El costo de la comisión fiduciaria será cubierto directamente por el contratista.»</w:t>
      </w:r>
      <w:r w:rsidR="00D15C69" w:rsidRPr="006336C3">
        <w:rPr>
          <w:rFonts w:ascii="Arial" w:hAnsi="Arial" w:cs="Arial"/>
          <w:sz w:val="20"/>
          <w:szCs w:val="20"/>
          <w:lang w:val="es-ES_tradnl"/>
        </w:rPr>
        <w:t xml:space="preserve"> [Énfasis fuera de texto]</w:t>
      </w:r>
    </w:p>
    <w:p w14:paraId="211B3954" w14:textId="77777777" w:rsidR="00535540" w:rsidRPr="000F4A3A" w:rsidRDefault="00535540" w:rsidP="00565A2E">
      <w:pPr>
        <w:spacing w:line="276" w:lineRule="auto"/>
        <w:ind w:firstLine="709"/>
        <w:jc w:val="both"/>
        <w:rPr>
          <w:rFonts w:ascii="Arial" w:hAnsi="Arial" w:cs="Arial"/>
          <w:bCs/>
          <w:color w:val="000000" w:themeColor="text1"/>
          <w:lang w:val="es-ES_tradnl"/>
        </w:rPr>
      </w:pPr>
      <w:r w:rsidRPr="000F4A3A">
        <w:rPr>
          <w:rFonts w:ascii="Arial" w:hAnsi="Arial" w:cs="Arial"/>
          <w:bCs/>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w:t>
      </w:r>
      <w:r w:rsidRPr="000F4A3A">
        <w:rPr>
          <w:rFonts w:ascii="Arial" w:hAnsi="Arial" w:cs="Arial"/>
          <w:bCs/>
          <w:color w:val="000000" w:themeColor="text1"/>
          <w:vertAlign w:val="superscript"/>
          <w:lang w:val="es-ES_tradnl"/>
        </w:rPr>
        <w:footnoteReference w:id="12"/>
      </w:r>
      <w:r w:rsidRPr="000F4A3A">
        <w:rPr>
          <w:rFonts w:ascii="Arial" w:hAnsi="Arial" w:cs="Arial"/>
          <w:bCs/>
          <w:color w:val="000000" w:themeColor="text1"/>
          <w:lang w:val="es-ES_tradnl"/>
        </w:rPr>
        <w:t xml:space="preserve">. </w:t>
      </w:r>
    </w:p>
    <w:p w14:paraId="2C7311E0" w14:textId="429D6DF3" w:rsidR="00535540" w:rsidRPr="000F4A3A" w:rsidRDefault="00535540" w:rsidP="00565A2E">
      <w:pPr>
        <w:spacing w:before="120" w:line="276" w:lineRule="auto"/>
        <w:ind w:firstLine="709"/>
        <w:jc w:val="both"/>
        <w:rPr>
          <w:rFonts w:ascii="Arial" w:hAnsi="Arial" w:cs="Arial"/>
          <w:bCs/>
          <w:color w:val="000000" w:themeColor="text1"/>
          <w:lang w:val="es-ES_tradnl"/>
        </w:rPr>
      </w:pPr>
      <w:r w:rsidRPr="000F4A3A">
        <w:rPr>
          <w:rFonts w:ascii="Arial" w:hAnsi="Arial" w:cs="Arial"/>
          <w:bCs/>
          <w:color w:val="000000" w:themeColor="text1"/>
          <w:lang w:val="es-ES_tradnl"/>
        </w:rPr>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00F4A3A">
        <w:rPr>
          <w:rFonts w:ascii="Arial" w:hAnsi="Arial" w:cs="Arial"/>
          <w:bCs/>
          <w:color w:val="000000" w:themeColor="text1"/>
          <w:vertAlign w:val="superscript"/>
          <w:lang w:val="es-ES_tradnl"/>
        </w:rPr>
        <w:footnoteReference w:id="13"/>
      </w:r>
      <w:r w:rsidRPr="000F4A3A">
        <w:rPr>
          <w:rFonts w:ascii="Arial" w:hAnsi="Arial" w:cs="Arial"/>
          <w:bCs/>
          <w:color w:val="000000" w:themeColor="text1"/>
          <w:lang w:val="es-ES_tradnl"/>
        </w:rPr>
        <w:t>.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w:t>
      </w:r>
      <w:r>
        <w:rPr>
          <w:rFonts w:ascii="Arial" w:hAnsi="Arial" w:cs="Arial"/>
          <w:bCs/>
          <w:color w:val="000000" w:themeColor="text1"/>
          <w:lang w:val="es-ES_tradnl"/>
        </w:rPr>
        <w:t xml:space="preserve"> Entidad Estatal</w:t>
      </w:r>
      <w:r w:rsidRPr="000F4A3A">
        <w:rPr>
          <w:rFonts w:ascii="Arial" w:hAnsi="Arial" w:cs="Arial"/>
          <w:bCs/>
          <w:color w:val="000000" w:themeColor="text1"/>
          <w:lang w:val="es-ES_tradnl"/>
        </w:rPr>
        <w:t xml:space="preserve">. </w:t>
      </w:r>
    </w:p>
    <w:p w14:paraId="5581875B" w14:textId="3738807E" w:rsidR="00535540" w:rsidRPr="000F4A3A" w:rsidRDefault="00535540" w:rsidP="007276C8">
      <w:pPr>
        <w:spacing w:line="240" w:lineRule="auto"/>
        <w:ind w:firstLine="708"/>
        <w:jc w:val="both"/>
        <w:rPr>
          <w:rFonts w:ascii="Arial" w:hAnsi="Arial" w:cs="Arial"/>
          <w:color w:val="000000" w:themeColor="text1"/>
        </w:rPr>
      </w:pPr>
      <w:r w:rsidRPr="000F4A3A">
        <w:rPr>
          <w:rFonts w:ascii="Arial" w:hAnsi="Arial" w:cs="Arial"/>
          <w:bCs/>
          <w:color w:val="000000" w:themeColor="text1"/>
          <w:lang w:val="es-ES_tradnl"/>
        </w:rPr>
        <w:t xml:space="preserve">Por su parte, Colombia Compra Eficiente </w:t>
      </w:r>
      <w:r w:rsidRPr="006336C3">
        <w:rPr>
          <w:rFonts w:ascii="Arial" w:hAnsi="Arial" w:cs="Arial"/>
          <w:bCs/>
          <w:color w:val="000000" w:themeColor="text1"/>
          <w:lang w:val="es-ES_tradnl"/>
        </w:rPr>
        <w:t>expid</w:t>
      </w:r>
      <w:r w:rsidR="007276C8" w:rsidRPr="006336C3">
        <w:rPr>
          <w:rFonts w:ascii="Arial" w:hAnsi="Arial" w:cs="Arial"/>
          <w:bCs/>
          <w:color w:val="000000" w:themeColor="text1"/>
          <w:lang w:val="es-ES_tradnl"/>
        </w:rPr>
        <w:t>ió</w:t>
      </w:r>
      <w:r w:rsidRPr="000F4A3A">
        <w:rPr>
          <w:rFonts w:ascii="Arial" w:hAnsi="Arial" w:cs="Arial"/>
          <w:bCs/>
          <w:color w:val="000000" w:themeColor="text1"/>
          <w:lang w:val="es-ES_tradnl"/>
        </w:rPr>
        <w:t xml:space="preserve"> la </w:t>
      </w:r>
      <w:r w:rsidRPr="000F4A3A">
        <w:rPr>
          <w:rFonts w:ascii="Arial" w:hAnsi="Arial" w:cs="Arial"/>
          <w:color w:val="000000" w:themeColor="text1"/>
        </w:rPr>
        <w:t>«</w:t>
      </w:r>
      <w:r w:rsidRPr="00477961">
        <w:rPr>
          <w:rFonts w:ascii="Arial" w:hAnsi="Arial" w:cs="Arial"/>
          <w:bCs/>
          <w:i/>
          <w:iCs/>
          <w:color w:val="000000" w:themeColor="text1"/>
          <w:lang w:val="es-ES_tradnl"/>
        </w:rPr>
        <w:t>Guía para el manejo de anticipos mediante contrato de fiducia irrevocable</w:t>
      </w:r>
      <w:bookmarkStart w:id="1" w:name="_Hlk69032549"/>
      <w:r w:rsidRPr="00477961">
        <w:rPr>
          <w:rFonts w:ascii="Arial" w:hAnsi="Arial" w:cs="Arial"/>
          <w:i/>
          <w:iCs/>
          <w:color w:val="000000" w:themeColor="text1"/>
        </w:rPr>
        <w:t>»</w:t>
      </w:r>
      <w:bookmarkEnd w:id="1"/>
      <w:r w:rsidRPr="00477961">
        <w:rPr>
          <w:rFonts w:ascii="Arial" w:hAnsi="Arial" w:cs="Arial"/>
          <w:i/>
          <w:iCs/>
          <w:color w:val="000000" w:themeColor="text1"/>
          <w:vertAlign w:val="superscript"/>
        </w:rPr>
        <w:footnoteReference w:id="14"/>
      </w:r>
      <w:r w:rsidRPr="00477961">
        <w:rPr>
          <w:rFonts w:ascii="Arial" w:hAnsi="Arial" w:cs="Arial"/>
          <w:i/>
          <w:iCs/>
          <w:color w:val="000000" w:themeColor="text1"/>
        </w:rPr>
        <w:t>,</w:t>
      </w:r>
      <w:r w:rsidRPr="000F4A3A">
        <w:rPr>
          <w:rFonts w:ascii="Arial" w:hAnsi="Arial" w:cs="Arial"/>
          <w:color w:val="000000" w:themeColor="text1"/>
        </w:rPr>
        <w:t xml:space="preserve"> que </w:t>
      </w:r>
      <w:r w:rsidRPr="000F4A3A">
        <w:rPr>
          <w:rFonts w:ascii="Arial" w:hAnsi="Arial" w:cs="Arial"/>
          <w:bCs/>
          <w:color w:val="000000" w:themeColor="text1"/>
          <w:lang w:val="es-ES_tradnl"/>
        </w:rPr>
        <w:t xml:space="preserve">tiene como objetivo establecer lineamientos sobre el contrato de fiducia para el manejo de anticipos. En esta se explica que </w:t>
      </w:r>
      <w:r w:rsidRPr="000F4A3A">
        <w:rPr>
          <w:rFonts w:ascii="Arial" w:hAnsi="Arial" w:cs="Arial"/>
          <w:color w:val="000000" w:themeColor="text1"/>
        </w:rPr>
        <w:t>«</w:t>
      </w:r>
      <w:r w:rsidRPr="000F4A3A">
        <w:rPr>
          <w:rFonts w:ascii="Arial" w:hAnsi="Arial" w:cs="Arial"/>
          <w:bCs/>
          <w:color w:val="000000" w:themeColor="text1"/>
        </w:rPr>
        <w:t>el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sidRPr="000F4A3A">
        <w:rPr>
          <w:rFonts w:ascii="Arial" w:hAnsi="Arial" w:cs="Arial"/>
          <w:color w:val="000000" w:themeColor="text1"/>
        </w:rPr>
        <w:t xml:space="preserve">». </w:t>
      </w:r>
      <w:r w:rsidRPr="006336C3">
        <w:rPr>
          <w:rFonts w:ascii="Arial" w:hAnsi="Arial" w:cs="Arial"/>
          <w:color w:val="000000" w:themeColor="text1"/>
        </w:rPr>
        <w:t>Además, indica que</w:t>
      </w:r>
      <w:r w:rsidRPr="000F4A3A">
        <w:rPr>
          <w:rFonts w:ascii="Arial" w:hAnsi="Arial" w:cs="Arial"/>
          <w:color w:val="000000" w:themeColor="text1"/>
        </w:rPr>
        <w:t>, el contratista debe constituir un contrato de fiducia mercantil irrevocable para el manejo de los recursos que recibe a título de anticipo</w:t>
      </w:r>
      <w:r w:rsidR="009B6CEC" w:rsidRPr="006336C3">
        <w:rPr>
          <w:rFonts w:ascii="Arial" w:hAnsi="Arial" w:cs="Arial"/>
          <w:color w:val="000000" w:themeColor="text1"/>
        </w:rPr>
        <w:t xml:space="preserve"> </w:t>
      </w:r>
      <w:r w:rsidRPr="006336C3">
        <w:rPr>
          <w:rFonts w:ascii="Arial" w:hAnsi="Arial" w:cs="Arial"/>
          <w:color w:val="000000" w:themeColor="text1"/>
        </w:rPr>
        <w:t xml:space="preserve">en </w:t>
      </w:r>
      <w:r w:rsidR="009B6CEC" w:rsidRPr="006336C3">
        <w:rPr>
          <w:rFonts w:ascii="Arial" w:hAnsi="Arial" w:cs="Arial"/>
          <w:color w:val="000000" w:themeColor="text1"/>
        </w:rPr>
        <w:t>«</w:t>
      </w:r>
      <w:r w:rsidRPr="006336C3">
        <w:rPr>
          <w:rFonts w:ascii="Arial" w:hAnsi="Arial" w:cs="Arial"/>
          <w:color w:val="000000" w:themeColor="text1"/>
        </w:rPr>
        <w:t xml:space="preserve">los contratos de obra, concesión, salud y los que se realicen por licitación pública </w:t>
      </w:r>
      <w:r w:rsidR="009B6CEC" w:rsidRPr="006336C3">
        <w:rPr>
          <w:rFonts w:ascii="Arial" w:hAnsi="Arial" w:cs="Arial"/>
          <w:color w:val="000000" w:themeColor="text1"/>
        </w:rPr>
        <w:t xml:space="preserve">y </w:t>
      </w:r>
      <w:r w:rsidRPr="006336C3">
        <w:rPr>
          <w:rFonts w:ascii="Arial" w:hAnsi="Arial" w:cs="Arial"/>
          <w:i/>
          <w:iCs/>
          <w:color w:val="000000" w:themeColor="text1"/>
        </w:rPr>
        <w:t xml:space="preserve">siempre que </w:t>
      </w:r>
      <w:r w:rsidRPr="006336C3">
        <w:rPr>
          <w:rFonts w:ascii="Arial" w:hAnsi="Arial" w:cs="Arial"/>
          <w:color w:val="000000" w:themeColor="text1"/>
        </w:rPr>
        <w:t>no sean de menor o mínima cuantía</w:t>
      </w:r>
      <w:r w:rsidR="009B6CEC" w:rsidRPr="006336C3">
        <w:rPr>
          <w:rFonts w:ascii="Arial" w:hAnsi="Arial" w:cs="Arial"/>
          <w:i/>
          <w:iCs/>
          <w:color w:val="000000" w:themeColor="text1"/>
        </w:rPr>
        <w:t xml:space="preserve">» </w:t>
      </w:r>
      <w:r w:rsidR="009B6CEC" w:rsidRPr="006336C3">
        <w:rPr>
          <w:rFonts w:ascii="Arial" w:hAnsi="Arial" w:cs="Arial"/>
          <w:sz w:val="20"/>
          <w:szCs w:val="20"/>
          <w:lang w:val="es-ES_tradnl"/>
        </w:rPr>
        <w:t>[</w:t>
      </w:r>
      <w:r w:rsidR="009B6CEC" w:rsidRPr="006336C3">
        <w:rPr>
          <w:rFonts w:ascii="Arial" w:hAnsi="Arial" w:cs="Arial"/>
          <w:lang w:val="es-ES_tradnl"/>
        </w:rPr>
        <w:t>Énfasis fuera de texto</w:t>
      </w:r>
      <w:r w:rsidR="009B6CEC" w:rsidRPr="006336C3">
        <w:rPr>
          <w:rFonts w:ascii="Arial" w:hAnsi="Arial" w:cs="Arial"/>
          <w:sz w:val="20"/>
          <w:szCs w:val="20"/>
          <w:lang w:val="es-ES_tradnl"/>
        </w:rPr>
        <w:t>]</w:t>
      </w:r>
      <w:r w:rsidRPr="006336C3">
        <w:rPr>
          <w:rFonts w:ascii="Arial" w:hAnsi="Arial" w:cs="Arial"/>
          <w:color w:val="000000" w:themeColor="text1"/>
        </w:rPr>
        <w:t>.</w:t>
      </w:r>
      <w:r w:rsidRPr="000F4A3A">
        <w:rPr>
          <w:rFonts w:ascii="Arial" w:hAnsi="Arial" w:cs="Arial"/>
          <w:color w:val="000000" w:themeColor="text1"/>
        </w:rPr>
        <w:t xml:space="preserve"> Igualmente, expone las condiciones para administrar los recursos del patrimonio autónomo, las obligaciones principales de la fiduciaria, el manejo de los excedentes, entre otros. </w:t>
      </w:r>
    </w:p>
    <w:p w14:paraId="653284C0" w14:textId="77777777" w:rsidR="00535540" w:rsidRPr="000F4A3A" w:rsidRDefault="00535540" w:rsidP="00565A2E">
      <w:pPr>
        <w:spacing w:before="120" w:line="276" w:lineRule="auto"/>
        <w:ind w:firstLine="709"/>
        <w:jc w:val="both"/>
        <w:rPr>
          <w:rFonts w:ascii="Arial" w:hAnsi="Arial" w:cs="Arial"/>
        </w:rPr>
      </w:pPr>
      <w:r w:rsidRPr="000F4A3A">
        <w:rPr>
          <w:rFonts w:ascii="Arial" w:hAnsi="Arial" w:cs="Arial"/>
          <w:bCs/>
          <w:color w:val="000000" w:themeColor="text1"/>
          <w:lang w:val="es-ES_tradnl"/>
        </w:rPr>
        <w:t xml:space="preserve">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0F4A3A">
        <w:rPr>
          <w:rFonts w:ascii="Arial" w:hAnsi="Arial" w:cs="Arial"/>
        </w:rPr>
        <w:t xml:space="preserve">solventar los costos iniciales de la ejecución, de acuerdo con las condiciones pactadas. </w:t>
      </w:r>
    </w:p>
    <w:p w14:paraId="11586807" w14:textId="3DCAE610" w:rsidR="00580DE0" w:rsidRPr="006336C3" w:rsidRDefault="004E6E95" w:rsidP="00580DE0">
      <w:pPr>
        <w:spacing w:before="120" w:line="276" w:lineRule="auto"/>
        <w:ind w:firstLine="709"/>
        <w:jc w:val="both"/>
        <w:rPr>
          <w:rFonts w:ascii="Arial" w:hAnsi="Arial" w:cs="Arial"/>
        </w:rPr>
      </w:pPr>
      <w:r w:rsidRPr="006336C3">
        <w:rPr>
          <w:rFonts w:ascii="Arial" w:hAnsi="Arial" w:cs="Arial"/>
        </w:rPr>
        <w:t>En ese sentido, es claro que e</w:t>
      </w:r>
      <w:r w:rsidR="00535540" w:rsidRPr="006336C3">
        <w:rPr>
          <w:rFonts w:ascii="Arial" w:hAnsi="Arial" w:cs="Arial"/>
        </w:rPr>
        <w:t xml:space="preserv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ii) concesión, iii) salud y </w:t>
      </w:r>
      <w:proofErr w:type="spellStart"/>
      <w:r w:rsidR="00535540" w:rsidRPr="006336C3">
        <w:rPr>
          <w:rFonts w:ascii="Arial" w:hAnsi="Arial" w:cs="Arial"/>
        </w:rPr>
        <w:t>iv</w:t>
      </w:r>
      <w:proofErr w:type="spellEnd"/>
      <w:r w:rsidR="00535540" w:rsidRPr="006336C3">
        <w:rPr>
          <w:rFonts w:ascii="Arial" w:hAnsi="Arial" w:cs="Arial"/>
        </w:rPr>
        <w:t xml:space="preserve">) los contratos derivados de un proceso de licitación pública. </w:t>
      </w:r>
    </w:p>
    <w:p w14:paraId="63E2AF0D" w14:textId="707524AC" w:rsidR="00535540" w:rsidRPr="000F4A3A" w:rsidRDefault="00535540" w:rsidP="00565A2E">
      <w:pPr>
        <w:spacing w:before="120" w:line="276" w:lineRule="auto"/>
        <w:ind w:firstLine="709"/>
        <w:jc w:val="both"/>
        <w:rPr>
          <w:rFonts w:ascii="Arial" w:hAnsi="Arial" w:cs="Arial"/>
        </w:rPr>
      </w:pPr>
      <w:r w:rsidRPr="000F4A3A">
        <w:rPr>
          <w:rFonts w:ascii="Arial" w:hAnsi="Arial" w:cs="Arial"/>
        </w:rPr>
        <w:t xml:space="preserve">Aunque la norma menciona la modalidad de selección de licitación pública, también determina </w:t>
      </w:r>
      <w:r w:rsidR="00F45134" w:rsidRPr="4DB45523">
        <w:rPr>
          <w:rFonts w:ascii="Arial" w:hAnsi="Arial" w:cs="Arial"/>
        </w:rPr>
        <w:t xml:space="preserve">una excepción general </w:t>
      </w:r>
      <w:r w:rsidR="003B5772" w:rsidRPr="4DB45523">
        <w:rPr>
          <w:rFonts w:ascii="Arial" w:hAnsi="Arial" w:cs="Arial"/>
        </w:rPr>
        <w:t xml:space="preserve">de su aplicación </w:t>
      </w:r>
      <w:r w:rsidR="00F45134" w:rsidRPr="4DB45523">
        <w:rPr>
          <w:rFonts w:ascii="Arial" w:hAnsi="Arial" w:cs="Arial"/>
        </w:rPr>
        <w:t xml:space="preserve">para </w:t>
      </w:r>
      <w:r w:rsidRPr="000F4A3A">
        <w:rPr>
          <w:rFonts w:ascii="Arial" w:hAnsi="Arial" w:cs="Arial"/>
        </w:rPr>
        <w:t xml:space="preserve">los </w:t>
      </w:r>
      <w:r w:rsidR="6D822F6B" w:rsidRPr="4DB45523">
        <w:rPr>
          <w:rFonts w:ascii="Arial" w:hAnsi="Arial" w:cs="Arial"/>
        </w:rPr>
        <w:t>tipos</w:t>
      </w:r>
      <w:r w:rsidR="009E77E6" w:rsidRPr="4DB45523">
        <w:rPr>
          <w:rFonts w:ascii="Arial" w:hAnsi="Arial" w:cs="Arial"/>
        </w:rPr>
        <w:t xml:space="preserve"> de</w:t>
      </w:r>
      <w:r w:rsidR="003B5772" w:rsidRPr="4DB45523">
        <w:rPr>
          <w:rFonts w:ascii="Arial" w:hAnsi="Arial" w:cs="Arial"/>
        </w:rPr>
        <w:t xml:space="preserve"> </w:t>
      </w:r>
      <w:r w:rsidRPr="000F4A3A">
        <w:rPr>
          <w:rFonts w:ascii="Arial" w:hAnsi="Arial" w:cs="Arial"/>
        </w:rPr>
        <w:t xml:space="preserve">contratos </w:t>
      </w:r>
      <w:r w:rsidR="009E77E6" w:rsidRPr="4DB45523">
        <w:rPr>
          <w:rFonts w:ascii="Arial" w:hAnsi="Arial" w:cs="Arial"/>
        </w:rPr>
        <w:t>cuya</w:t>
      </w:r>
      <w:r w:rsidRPr="000F4A3A">
        <w:rPr>
          <w:rFonts w:ascii="Arial" w:hAnsi="Arial" w:cs="Arial"/>
        </w:rPr>
        <w:t xml:space="preserve"> disposición </w:t>
      </w:r>
      <w:r w:rsidR="009E77E6" w:rsidRPr="4DB45523">
        <w:rPr>
          <w:rFonts w:ascii="Arial" w:hAnsi="Arial" w:cs="Arial"/>
        </w:rPr>
        <w:t>resulta obligatoria</w:t>
      </w:r>
      <w:r w:rsidRPr="4DB45523">
        <w:rPr>
          <w:rFonts w:ascii="Arial" w:hAnsi="Arial" w:cs="Arial"/>
        </w:rPr>
        <w:t>.</w:t>
      </w:r>
      <w:r w:rsidRPr="000F4A3A">
        <w:rPr>
          <w:rFonts w:ascii="Arial" w:hAnsi="Arial" w:cs="Arial"/>
        </w:rPr>
        <w:t xml:space="preserve"> Ello es así, por cuanto la expresión </w:t>
      </w:r>
      <w:r w:rsidRPr="000F4A3A">
        <w:rPr>
          <w:rFonts w:ascii="Arial" w:hAnsi="Arial" w:cs="Arial"/>
          <w:color w:val="000000" w:themeColor="text1"/>
        </w:rPr>
        <w:t>«</w:t>
      </w:r>
      <w:r w:rsidR="00F45134" w:rsidRPr="4DB45523">
        <w:rPr>
          <w:rFonts w:ascii="Arial" w:hAnsi="Arial" w:cs="Arial"/>
          <w:i/>
          <w:iCs/>
          <w:sz w:val="21"/>
          <w:szCs w:val="21"/>
        </w:rPr>
        <w:t>salvo que el contrato sea de menor o mínima cuantía</w:t>
      </w:r>
      <w:r w:rsidRPr="4DB45523">
        <w:rPr>
          <w:rFonts w:ascii="Arial" w:hAnsi="Arial" w:cs="Arial"/>
          <w:color w:val="000000" w:themeColor="text1"/>
        </w:rPr>
        <w:t xml:space="preserve">», describe que, </w:t>
      </w:r>
      <w:r w:rsidR="00F45134" w:rsidRPr="4DB45523">
        <w:rPr>
          <w:rFonts w:ascii="Arial" w:hAnsi="Arial" w:cs="Arial"/>
          <w:color w:val="000000" w:themeColor="text1"/>
        </w:rPr>
        <w:t>a pesar de las enunciaciones anteriores</w:t>
      </w:r>
      <w:r w:rsidRPr="4DB45523">
        <w:rPr>
          <w:rFonts w:ascii="Arial" w:hAnsi="Arial" w:cs="Arial"/>
          <w:color w:val="000000" w:themeColor="text1"/>
        </w:rPr>
        <w:t xml:space="preserve">, </w:t>
      </w:r>
      <w:r w:rsidR="00F45134" w:rsidRPr="4DB45523">
        <w:rPr>
          <w:rFonts w:ascii="Arial" w:hAnsi="Arial" w:cs="Arial"/>
          <w:color w:val="000000" w:themeColor="text1"/>
        </w:rPr>
        <w:t>dicha disposición imperativa no</w:t>
      </w:r>
      <w:r w:rsidRPr="4DB45523">
        <w:rPr>
          <w:rFonts w:ascii="Arial" w:hAnsi="Arial" w:cs="Arial"/>
          <w:color w:val="000000" w:themeColor="text1"/>
        </w:rPr>
        <w:t xml:space="preserve"> aplica </w:t>
      </w:r>
      <w:r w:rsidR="00A04E4D" w:rsidRPr="4DB45523">
        <w:rPr>
          <w:rFonts w:ascii="Arial" w:hAnsi="Arial" w:cs="Arial"/>
          <w:color w:val="000000" w:themeColor="text1"/>
        </w:rPr>
        <w:t xml:space="preserve">en </w:t>
      </w:r>
      <w:r w:rsidRPr="4DB45523">
        <w:rPr>
          <w:rFonts w:ascii="Arial" w:hAnsi="Arial" w:cs="Arial"/>
          <w:color w:val="000000" w:themeColor="text1"/>
        </w:rPr>
        <w:t>el supuesto de hecho</w:t>
      </w:r>
      <w:r w:rsidR="00A04E4D" w:rsidRPr="4DB45523">
        <w:rPr>
          <w:rFonts w:ascii="Arial" w:hAnsi="Arial" w:cs="Arial"/>
          <w:color w:val="000000" w:themeColor="text1"/>
        </w:rPr>
        <w:t xml:space="preserve"> de que la cuantía del contrato </w:t>
      </w:r>
      <w:r w:rsidR="00431899" w:rsidRPr="4DB45523">
        <w:rPr>
          <w:rFonts w:ascii="Arial" w:hAnsi="Arial" w:cs="Arial"/>
          <w:color w:val="000000" w:themeColor="text1"/>
        </w:rPr>
        <w:t>no resulte ser de mayor cuantía</w:t>
      </w:r>
      <w:r w:rsidRPr="4DB45523">
        <w:rPr>
          <w:rFonts w:ascii="Arial" w:hAnsi="Arial" w:cs="Arial"/>
          <w:color w:val="000000" w:themeColor="text1"/>
        </w:rPr>
        <w:t xml:space="preserve">. </w:t>
      </w:r>
    </w:p>
    <w:p w14:paraId="1CD3F6CB" w14:textId="414DE6E7" w:rsidR="00580DE0" w:rsidRPr="006336C3" w:rsidRDefault="00580DE0" w:rsidP="00580DE0">
      <w:pPr>
        <w:spacing w:line="276" w:lineRule="auto"/>
        <w:ind w:firstLine="709"/>
        <w:jc w:val="both"/>
        <w:rPr>
          <w:rFonts w:ascii="Arial" w:hAnsi="Arial" w:cs="Arial"/>
        </w:rPr>
      </w:pPr>
      <w:r w:rsidRPr="006336C3">
        <w:rPr>
          <w:rFonts w:ascii="Arial" w:hAnsi="Arial" w:cs="Arial"/>
        </w:rPr>
        <w:t xml:space="preserve">Teniendo en cuenta las consideraciones desarrolladas en relación con </w:t>
      </w:r>
      <w:r w:rsidR="008C7CAB" w:rsidRPr="006336C3">
        <w:rPr>
          <w:rFonts w:ascii="Arial" w:hAnsi="Arial" w:cs="Arial"/>
        </w:rPr>
        <w:t>la obligación de constituir una fiducia o un patrimonio autónomo irrevocable para el manejo de los recursos que reciba a título de anticipo</w:t>
      </w:r>
      <w:r w:rsidRPr="006336C3">
        <w:rPr>
          <w:rFonts w:ascii="Arial" w:hAnsi="Arial" w:cs="Arial"/>
        </w:rPr>
        <w:t xml:space="preserve">, en relación la pregunta planteada en </w:t>
      </w:r>
      <w:r w:rsidR="008C7CAB" w:rsidRPr="006336C3">
        <w:rPr>
          <w:rFonts w:ascii="Arial" w:hAnsi="Arial" w:cs="Arial"/>
        </w:rPr>
        <w:t>su</w:t>
      </w:r>
      <w:r w:rsidRPr="006336C3">
        <w:rPr>
          <w:rFonts w:ascii="Arial" w:hAnsi="Arial" w:cs="Arial"/>
        </w:rPr>
        <w:t xml:space="preserve"> solicitud es pertinente mencionar que la Agencia Nacional de Contratación Pública – Colombia Compra Eficiente en</w:t>
      </w:r>
      <w:r w:rsidR="00BC044D" w:rsidRPr="006336C3">
        <w:rPr>
          <w:rFonts w:ascii="Arial" w:hAnsi="Arial" w:cs="Arial"/>
        </w:rPr>
        <w:t xml:space="preserve"> los conceptos </w:t>
      </w:r>
      <w:r w:rsidRPr="006336C3">
        <w:rPr>
          <w:rFonts w:ascii="Arial" w:hAnsi="Arial" w:cs="Arial"/>
        </w:rPr>
        <w:t>C-049 del 21 de febrero de 2020, C-209 del 16 de marzo de 2020, C-693 del 25 de noviembre de 2020, C-154 del 18 de mayo de 2021</w:t>
      </w:r>
      <w:r w:rsidR="00BC044D" w:rsidRPr="006336C3">
        <w:rPr>
          <w:rFonts w:ascii="Arial" w:hAnsi="Arial" w:cs="Arial"/>
        </w:rPr>
        <w:t xml:space="preserve"> y</w:t>
      </w:r>
      <w:r w:rsidRPr="006336C3">
        <w:rPr>
          <w:rFonts w:ascii="Arial" w:hAnsi="Arial" w:cs="Arial"/>
        </w:rPr>
        <w:t xml:space="preserve"> C-825 del 28 de diciembre de 2022, sobre la</w:t>
      </w:r>
      <w:r w:rsidR="00BC044D" w:rsidRPr="006336C3">
        <w:rPr>
          <w:rFonts w:ascii="Arial" w:hAnsi="Arial" w:cs="Arial"/>
        </w:rPr>
        <w:t xml:space="preserve"> expresión  </w:t>
      </w:r>
      <w:r w:rsidR="00BC044D" w:rsidRPr="006336C3">
        <w:rPr>
          <w:rFonts w:ascii="Arial" w:hAnsi="Arial" w:cs="Arial"/>
          <w:color w:val="000000" w:themeColor="text1"/>
        </w:rPr>
        <w:t>«</w:t>
      </w:r>
      <w:r w:rsidR="00BC044D" w:rsidRPr="006336C3">
        <w:rPr>
          <w:rFonts w:ascii="Arial" w:hAnsi="Arial" w:cs="Arial"/>
          <w:i/>
          <w:iCs/>
          <w:sz w:val="21"/>
          <w:szCs w:val="21"/>
        </w:rPr>
        <w:t>salvo que el contrato sea de menor o mínima cuantía</w:t>
      </w:r>
      <w:r w:rsidR="00BC044D" w:rsidRPr="006336C3">
        <w:rPr>
          <w:rFonts w:ascii="Arial" w:hAnsi="Arial" w:cs="Arial"/>
          <w:color w:val="000000" w:themeColor="text1"/>
        </w:rPr>
        <w:t xml:space="preserve">» contenida en la parte final del artículo </w:t>
      </w:r>
      <w:r w:rsidR="00BC044D" w:rsidRPr="006336C3">
        <w:rPr>
          <w:rFonts w:ascii="Arial" w:hAnsi="Arial" w:cs="Arial"/>
        </w:rPr>
        <w:t>91 de la Ley 1474 de 2011</w:t>
      </w:r>
      <w:r w:rsidR="00BC044D" w:rsidRPr="006336C3">
        <w:rPr>
          <w:rFonts w:ascii="Arial" w:hAnsi="Arial" w:cs="Arial"/>
          <w:color w:val="000000" w:themeColor="text1"/>
        </w:rPr>
        <w:t xml:space="preserve">, </w:t>
      </w:r>
      <w:r w:rsidRPr="006336C3">
        <w:rPr>
          <w:rFonts w:ascii="Arial" w:hAnsi="Arial" w:cs="Arial"/>
        </w:rPr>
        <w:t xml:space="preserve">se </w:t>
      </w:r>
      <w:r w:rsidR="00C107F8" w:rsidRPr="006336C3">
        <w:rPr>
          <w:rFonts w:ascii="Arial" w:hAnsi="Arial" w:cs="Arial"/>
        </w:rPr>
        <w:t xml:space="preserve">ha </w:t>
      </w:r>
      <w:r w:rsidRPr="006336C3">
        <w:rPr>
          <w:rFonts w:ascii="Arial" w:hAnsi="Arial" w:cs="Arial"/>
        </w:rPr>
        <w:t>pronunci</w:t>
      </w:r>
      <w:r w:rsidR="00C107F8" w:rsidRPr="006336C3">
        <w:rPr>
          <w:rFonts w:ascii="Arial" w:hAnsi="Arial" w:cs="Arial"/>
        </w:rPr>
        <w:t>ado</w:t>
      </w:r>
      <w:r w:rsidRPr="006336C3">
        <w:rPr>
          <w:rFonts w:ascii="Arial" w:hAnsi="Arial" w:cs="Arial"/>
        </w:rPr>
        <w:t xml:space="preserve"> en los siguientes términos:</w:t>
      </w:r>
    </w:p>
    <w:p w14:paraId="08A60DEB" w14:textId="1854ED3E" w:rsidR="00580DE0" w:rsidRPr="006336C3" w:rsidRDefault="00580DE0" w:rsidP="00E1090A">
      <w:pPr>
        <w:spacing w:after="120" w:line="240" w:lineRule="auto"/>
        <w:ind w:left="709" w:right="709"/>
        <w:jc w:val="both"/>
        <w:rPr>
          <w:rFonts w:ascii="Arial" w:hAnsi="Arial" w:cs="Arial"/>
          <w:sz w:val="21"/>
          <w:szCs w:val="21"/>
        </w:rPr>
      </w:pPr>
      <w:r w:rsidRPr="006336C3">
        <w:rPr>
          <w:rFonts w:ascii="Arial" w:hAnsi="Arial" w:cs="Arial"/>
          <w:sz w:val="21"/>
          <w:szCs w:val="21"/>
        </w:rPr>
        <w:t>«</w:t>
      </w:r>
      <w:r w:rsidR="00E1090A" w:rsidRPr="006336C3">
        <w:rPr>
          <w:rStyle w:val="normaltextrun"/>
          <w:rFonts w:ascii="Arial" w:hAnsi="Arial" w:cs="Arial"/>
          <w:sz w:val="21"/>
          <w:szCs w:val="21"/>
          <w:lang w:val="es-MX"/>
        </w:rPr>
        <w:t xml:space="preserve">La mencionada obligación se aplica a los contratos de obra, concesión, salud, o los que se realicen por licitación pública, </w:t>
      </w:r>
      <w:r w:rsidR="00E1090A" w:rsidRPr="006336C3">
        <w:rPr>
          <w:rStyle w:val="normaltextrun"/>
          <w:rFonts w:ascii="Arial" w:hAnsi="Arial" w:cs="Arial"/>
          <w:i/>
          <w:iCs/>
          <w:sz w:val="21"/>
          <w:szCs w:val="21"/>
          <w:lang w:val="es-MX"/>
        </w:rPr>
        <w:t>salvo que los mismos</w:t>
      </w:r>
      <w:r w:rsidR="00E1090A" w:rsidRPr="006336C3">
        <w:rPr>
          <w:rStyle w:val="normaltextrun"/>
          <w:rFonts w:ascii="Arial" w:hAnsi="Arial" w:cs="Arial"/>
          <w:sz w:val="21"/>
          <w:szCs w:val="21"/>
          <w:lang w:val="es-MX"/>
        </w:rPr>
        <w:t xml:space="preserve"> sean de menor o mínima cuantía.</w:t>
      </w:r>
      <w:r w:rsidRPr="006336C3">
        <w:rPr>
          <w:rFonts w:ascii="Arial" w:hAnsi="Arial" w:cs="Arial"/>
          <w:sz w:val="21"/>
          <w:szCs w:val="21"/>
        </w:rPr>
        <w:t>»</w:t>
      </w:r>
      <w:r w:rsidR="00E1090A" w:rsidRPr="006336C3">
        <w:rPr>
          <w:rFonts w:ascii="Arial" w:hAnsi="Arial" w:cs="Arial"/>
          <w:sz w:val="21"/>
          <w:szCs w:val="21"/>
        </w:rPr>
        <w:t xml:space="preserve"> </w:t>
      </w:r>
      <w:r w:rsidR="00E1090A" w:rsidRPr="006336C3">
        <w:rPr>
          <w:rFonts w:ascii="Arial" w:hAnsi="Arial" w:cs="Arial"/>
          <w:sz w:val="21"/>
          <w:szCs w:val="21"/>
          <w:lang w:val="es-ES_tradnl"/>
        </w:rPr>
        <w:t>[Énfasis fuera de texto]</w:t>
      </w:r>
      <w:r w:rsidRPr="006336C3">
        <w:rPr>
          <w:rFonts w:ascii="Arial" w:hAnsi="Arial" w:cs="Arial"/>
          <w:sz w:val="21"/>
          <w:szCs w:val="21"/>
        </w:rPr>
        <w:t>.</w:t>
      </w:r>
    </w:p>
    <w:p w14:paraId="6570A6D8" w14:textId="367E6E0C" w:rsidR="00580DE0" w:rsidRPr="006336C3" w:rsidRDefault="00580DE0" w:rsidP="00592710">
      <w:pPr>
        <w:spacing w:line="276" w:lineRule="auto"/>
        <w:ind w:firstLine="708"/>
        <w:jc w:val="both"/>
        <w:rPr>
          <w:rFonts w:ascii="Arial" w:hAnsi="Arial" w:cs="Arial"/>
          <w:color w:val="000000" w:themeColor="text1"/>
        </w:rPr>
      </w:pPr>
      <w:r w:rsidRPr="006336C3">
        <w:rPr>
          <w:rFonts w:ascii="Arial" w:hAnsi="Arial" w:cs="Arial"/>
        </w:rPr>
        <w:t xml:space="preserve">De </w:t>
      </w:r>
      <w:r w:rsidR="00592710" w:rsidRPr="006336C3">
        <w:rPr>
          <w:rFonts w:ascii="Arial" w:hAnsi="Arial" w:cs="Arial"/>
        </w:rPr>
        <w:t xml:space="preserve">igual forma, </w:t>
      </w:r>
      <w:r w:rsidRPr="006336C3">
        <w:rPr>
          <w:rFonts w:ascii="Arial" w:hAnsi="Arial" w:cs="Arial"/>
        </w:rPr>
        <w:t xml:space="preserve">la postura adoptada </w:t>
      </w:r>
      <w:r w:rsidR="001878BB" w:rsidRPr="006336C3">
        <w:rPr>
          <w:rFonts w:ascii="Arial" w:hAnsi="Arial" w:cs="Arial"/>
        </w:rPr>
        <w:t xml:space="preserve">en los conceptos emitidos </w:t>
      </w:r>
      <w:r w:rsidRPr="006336C3">
        <w:rPr>
          <w:rFonts w:ascii="Arial" w:hAnsi="Arial" w:cs="Arial"/>
        </w:rPr>
        <w:t xml:space="preserve">por esta Agencia en relación con la </w:t>
      </w:r>
      <w:r w:rsidR="001F7ECB" w:rsidRPr="006336C3">
        <w:rPr>
          <w:rFonts w:ascii="Arial" w:hAnsi="Arial" w:cs="Arial"/>
        </w:rPr>
        <w:t>pregunta</w:t>
      </w:r>
      <w:r w:rsidR="00592710" w:rsidRPr="006336C3">
        <w:rPr>
          <w:rFonts w:ascii="Arial" w:hAnsi="Arial" w:cs="Arial"/>
        </w:rPr>
        <w:t xml:space="preserve"> </w:t>
      </w:r>
      <w:r w:rsidR="00764003" w:rsidRPr="006336C3">
        <w:rPr>
          <w:rFonts w:ascii="Arial" w:hAnsi="Arial" w:cs="Arial"/>
        </w:rPr>
        <w:t>es la misma que contiene</w:t>
      </w:r>
      <w:r w:rsidR="00592710" w:rsidRPr="006336C3">
        <w:rPr>
          <w:rFonts w:ascii="Arial" w:hAnsi="Arial" w:cs="Arial"/>
        </w:rPr>
        <w:t xml:space="preserve"> la </w:t>
      </w:r>
      <w:r w:rsidR="00592710" w:rsidRPr="006336C3">
        <w:rPr>
          <w:rFonts w:ascii="Arial" w:hAnsi="Arial" w:cs="Arial"/>
          <w:sz w:val="21"/>
          <w:szCs w:val="21"/>
        </w:rPr>
        <w:t>«</w:t>
      </w:r>
      <w:r w:rsidR="00592710" w:rsidRPr="006336C3">
        <w:rPr>
          <w:rFonts w:ascii="Arial" w:hAnsi="Arial" w:cs="Arial"/>
          <w:bCs/>
          <w:i/>
          <w:iCs/>
          <w:color w:val="000000" w:themeColor="text1"/>
          <w:lang w:val="es-ES_tradnl"/>
        </w:rPr>
        <w:t>Guía para el manejo de anticipos mediante contrato de fiducia irrevocable</w:t>
      </w:r>
      <w:r w:rsidR="00592710" w:rsidRPr="006336C3">
        <w:rPr>
          <w:rFonts w:ascii="Arial" w:hAnsi="Arial" w:cs="Arial"/>
          <w:i/>
          <w:iCs/>
          <w:color w:val="000000" w:themeColor="text1"/>
        </w:rPr>
        <w:t>»</w:t>
      </w:r>
      <w:r w:rsidR="006733D5" w:rsidRPr="006336C3">
        <w:rPr>
          <w:rFonts w:ascii="Arial" w:hAnsi="Arial" w:cs="Arial"/>
          <w:i/>
          <w:iCs/>
          <w:color w:val="000000" w:themeColor="text1"/>
        </w:rPr>
        <w:t xml:space="preserve">, </w:t>
      </w:r>
      <w:r w:rsidR="001F7ECB" w:rsidRPr="006336C3">
        <w:rPr>
          <w:rFonts w:ascii="Arial" w:hAnsi="Arial" w:cs="Arial"/>
          <w:color w:val="000000" w:themeColor="text1"/>
        </w:rPr>
        <w:t xml:space="preserve">al </w:t>
      </w:r>
      <w:r w:rsidR="00592710" w:rsidRPr="006336C3">
        <w:rPr>
          <w:rFonts w:ascii="Arial" w:hAnsi="Arial" w:cs="Arial"/>
          <w:color w:val="000000" w:themeColor="text1"/>
        </w:rPr>
        <w:t>indica</w:t>
      </w:r>
      <w:r w:rsidR="001F7ECB" w:rsidRPr="006336C3">
        <w:rPr>
          <w:rFonts w:ascii="Arial" w:hAnsi="Arial" w:cs="Arial"/>
          <w:color w:val="000000" w:themeColor="text1"/>
        </w:rPr>
        <w:t>r</w:t>
      </w:r>
      <w:r w:rsidR="00592710" w:rsidRPr="006336C3">
        <w:rPr>
          <w:rFonts w:ascii="Arial" w:hAnsi="Arial" w:cs="Arial"/>
          <w:color w:val="000000" w:themeColor="text1"/>
        </w:rPr>
        <w:t xml:space="preserve"> que, el contratista debe constituir un contrato de fiducia mercantil irrevocable para el manejo de los recursos que recibe a título de anticipo en «los contratos de obra, concesión, salud y los que se realicen por licitación pública y </w:t>
      </w:r>
      <w:r w:rsidR="00592710" w:rsidRPr="006336C3">
        <w:rPr>
          <w:rFonts w:ascii="Arial" w:hAnsi="Arial" w:cs="Arial"/>
          <w:i/>
          <w:iCs/>
          <w:color w:val="000000" w:themeColor="text1"/>
        </w:rPr>
        <w:t xml:space="preserve">siempre que </w:t>
      </w:r>
      <w:r w:rsidR="00592710" w:rsidRPr="006336C3">
        <w:rPr>
          <w:rFonts w:ascii="Arial" w:hAnsi="Arial" w:cs="Arial"/>
          <w:color w:val="000000" w:themeColor="text1"/>
        </w:rPr>
        <w:t>no sean de menor o mínima cuantía</w:t>
      </w:r>
      <w:r w:rsidR="00592710" w:rsidRPr="006336C3">
        <w:rPr>
          <w:rFonts w:ascii="Arial" w:hAnsi="Arial" w:cs="Arial"/>
          <w:i/>
          <w:iCs/>
          <w:color w:val="000000" w:themeColor="text1"/>
        </w:rPr>
        <w:t xml:space="preserve">» </w:t>
      </w:r>
      <w:r w:rsidR="00592710" w:rsidRPr="006336C3">
        <w:rPr>
          <w:rFonts w:ascii="Arial" w:hAnsi="Arial" w:cs="Arial"/>
          <w:lang w:val="es-ES_tradnl"/>
        </w:rPr>
        <w:t>[Énfasis fuera de texto]</w:t>
      </w:r>
      <w:r w:rsidR="00592710" w:rsidRPr="006336C3">
        <w:rPr>
          <w:rFonts w:ascii="Arial" w:hAnsi="Arial" w:cs="Arial"/>
          <w:color w:val="000000" w:themeColor="text1"/>
        </w:rPr>
        <w:t>.</w:t>
      </w:r>
    </w:p>
    <w:p w14:paraId="7C9EBEAE" w14:textId="0BA30A84" w:rsidR="001F7ECB" w:rsidRPr="006336C3" w:rsidRDefault="00186BB9" w:rsidP="001F7ECB">
      <w:pPr>
        <w:spacing w:before="120" w:line="276" w:lineRule="auto"/>
        <w:ind w:firstLine="709"/>
        <w:jc w:val="both"/>
        <w:rPr>
          <w:rFonts w:ascii="Arial" w:hAnsi="Arial" w:cs="Arial"/>
          <w:color w:val="000000" w:themeColor="text1"/>
        </w:rPr>
      </w:pPr>
      <w:r w:rsidRPr="006336C3">
        <w:rPr>
          <w:rFonts w:ascii="Arial" w:hAnsi="Arial" w:cs="Arial"/>
        </w:rPr>
        <w:t xml:space="preserve">Ahora bien, el artículo 26 </w:t>
      </w:r>
      <w:r w:rsidR="00951233" w:rsidRPr="006336C3">
        <w:rPr>
          <w:rFonts w:ascii="Arial" w:hAnsi="Arial" w:cs="Arial"/>
        </w:rPr>
        <w:t xml:space="preserve">y siguientes </w:t>
      </w:r>
      <w:r w:rsidRPr="006336C3">
        <w:rPr>
          <w:rFonts w:ascii="Arial" w:hAnsi="Arial" w:cs="Arial"/>
        </w:rPr>
        <w:t xml:space="preserve">del Código Civil contiene </w:t>
      </w:r>
      <w:r w:rsidR="00951233" w:rsidRPr="006336C3">
        <w:rPr>
          <w:rFonts w:ascii="Arial" w:hAnsi="Arial" w:cs="Arial"/>
        </w:rPr>
        <w:t xml:space="preserve">las reglas de interpretación que deben observar los jueces y los funcionarios </w:t>
      </w:r>
      <w:r w:rsidR="001F7ECB" w:rsidRPr="006336C3">
        <w:rPr>
          <w:rFonts w:ascii="Arial" w:hAnsi="Arial" w:cs="Arial"/>
        </w:rPr>
        <w:t xml:space="preserve">públicos, en la aplicación de las leyes </w:t>
      </w:r>
      <w:r w:rsidR="00A07581" w:rsidRPr="006336C3">
        <w:rPr>
          <w:rFonts w:ascii="Arial" w:hAnsi="Arial" w:cs="Arial"/>
        </w:rPr>
        <w:t xml:space="preserve">con el fin de aplicar </w:t>
      </w:r>
      <w:r w:rsidR="001F7ECB" w:rsidRPr="006336C3">
        <w:rPr>
          <w:rFonts w:ascii="Arial" w:hAnsi="Arial" w:cs="Arial"/>
        </w:rPr>
        <w:t xml:space="preserve">su verdadero sentido, </w:t>
      </w:r>
      <w:r w:rsidR="00A07581" w:rsidRPr="006336C3">
        <w:rPr>
          <w:rFonts w:ascii="Arial" w:hAnsi="Arial" w:cs="Arial"/>
        </w:rPr>
        <w:t>denomi</w:t>
      </w:r>
      <w:r w:rsidR="00563F50" w:rsidRPr="006336C3">
        <w:rPr>
          <w:rFonts w:ascii="Arial" w:hAnsi="Arial" w:cs="Arial"/>
        </w:rPr>
        <w:t xml:space="preserve">nada </w:t>
      </w:r>
      <w:r w:rsidR="00563F50" w:rsidRPr="006336C3">
        <w:rPr>
          <w:rFonts w:ascii="Arial" w:hAnsi="Arial" w:cs="Arial"/>
          <w:sz w:val="21"/>
          <w:szCs w:val="21"/>
        </w:rPr>
        <w:t>«</w:t>
      </w:r>
      <w:r w:rsidR="001F7ECB" w:rsidRPr="006336C3">
        <w:rPr>
          <w:rFonts w:ascii="Arial" w:hAnsi="Arial" w:cs="Arial"/>
        </w:rPr>
        <w:t>interpretación por vía de doctrina</w:t>
      </w:r>
      <w:r w:rsidR="00563F50" w:rsidRPr="006336C3">
        <w:rPr>
          <w:rFonts w:ascii="Arial" w:hAnsi="Arial" w:cs="Arial"/>
          <w:color w:val="000000" w:themeColor="text1"/>
        </w:rPr>
        <w:t>»</w:t>
      </w:r>
      <w:r w:rsidR="00D83255" w:rsidRPr="006336C3">
        <w:rPr>
          <w:rStyle w:val="Refdenotaalpie"/>
          <w:rFonts w:ascii="Arial" w:hAnsi="Arial" w:cs="Arial"/>
          <w:color w:val="000000" w:themeColor="text1"/>
        </w:rPr>
        <w:footnoteReference w:id="15"/>
      </w:r>
      <w:r w:rsidR="00D83255" w:rsidRPr="006336C3">
        <w:rPr>
          <w:rFonts w:ascii="Arial" w:hAnsi="Arial" w:cs="Arial"/>
          <w:color w:val="000000" w:themeColor="text1"/>
        </w:rPr>
        <w:t>. La</w:t>
      </w:r>
      <w:r w:rsidR="006A1B75" w:rsidRPr="006336C3">
        <w:rPr>
          <w:rFonts w:ascii="Arial" w:hAnsi="Arial" w:cs="Arial"/>
          <w:color w:val="000000" w:themeColor="text1"/>
        </w:rPr>
        <w:t>s</w:t>
      </w:r>
      <w:r w:rsidR="00D83255" w:rsidRPr="006336C3">
        <w:rPr>
          <w:rFonts w:ascii="Arial" w:hAnsi="Arial" w:cs="Arial"/>
          <w:color w:val="000000" w:themeColor="text1"/>
        </w:rPr>
        <w:t xml:space="preserve"> primera</w:t>
      </w:r>
      <w:r w:rsidR="006A1B75" w:rsidRPr="006336C3">
        <w:rPr>
          <w:rFonts w:ascii="Arial" w:hAnsi="Arial" w:cs="Arial"/>
          <w:color w:val="000000" w:themeColor="text1"/>
        </w:rPr>
        <w:t>s dos</w:t>
      </w:r>
      <w:r w:rsidR="00D83255" w:rsidRPr="006336C3">
        <w:rPr>
          <w:rFonts w:ascii="Arial" w:hAnsi="Arial" w:cs="Arial"/>
          <w:color w:val="000000" w:themeColor="text1"/>
        </w:rPr>
        <w:t xml:space="preserve"> regla</w:t>
      </w:r>
      <w:r w:rsidR="006A1B75" w:rsidRPr="006336C3">
        <w:rPr>
          <w:rFonts w:ascii="Arial" w:hAnsi="Arial" w:cs="Arial"/>
          <w:color w:val="000000" w:themeColor="text1"/>
        </w:rPr>
        <w:t xml:space="preserve">s de interpretación </w:t>
      </w:r>
      <w:r w:rsidR="00033897" w:rsidRPr="006336C3">
        <w:rPr>
          <w:rFonts w:ascii="Arial" w:hAnsi="Arial" w:cs="Arial"/>
          <w:color w:val="000000" w:themeColor="text1"/>
        </w:rPr>
        <w:t>incorporadas</w:t>
      </w:r>
      <w:r w:rsidR="006A1B75" w:rsidRPr="006336C3">
        <w:rPr>
          <w:rFonts w:ascii="Arial" w:hAnsi="Arial" w:cs="Arial"/>
          <w:color w:val="000000" w:themeColor="text1"/>
        </w:rPr>
        <w:t xml:space="preserve"> son las siguientes</w:t>
      </w:r>
      <w:r w:rsidR="00F74A1C" w:rsidRPr="006336C3">
        <w:rPr>
          <w:rFonts w:ascii="Arial" w:hAnsi="Arial" w:cs="Arial"/>
          <w:color w:val="000000" w:themeColor="text1"/>
        </w:rPr>
        <w:t>:</w:t>
      </w:r>
    </w:p>
    <w:p w14:paraId="7314906B" w14:textId="37915C12" w:rsidR="001F7ECB" w:rsidRPr="006336C3" w:rsidRDefault="006A1B75" w:rsidP="006A1B75">
      <w:pPr>
        <w:spacing w:before="120" w:line="240" w:lineRule="auto"/>
        <w:ind w:left="709" w:right="709"/>
        <w:jc w:val="both"/>
        <w:rPr>
          <w:rFonts w:ascii="Arial" w:hAnsi="Arial" w:cs="Arial"/>
          <w:sz w:val="21"/>
          <w:szCs w:val="21"/>
        </w:rPr>
      </w:pPr>
      <w:r w:rsidRPr="006336C3">
        <w:rPr>
          <w:rFonts w:ascii="Arial" w:hAnsi="Arial" w:cs="Arial"/>
          <w:sz w:val="21"/>
          <w:szCs w:val="21"/>
        </w:rPr>
        <w:t>«</w:t>
      </w:r>
      <w:r w:rsidR="001F7ECB" w:rsidRPr="006336C3">
        <w:rPr>
          <w:rFonts w:ascii="Arial" w:hAnsi="Arial" w:cs="Arial"/>
          <w:sz w:val="21"/>
          <w:szCs w:val="21"/>
        </w:rPr>
        <w:t>ARTICULO 27. &lt;INTERPRETACION GRAMATICAL&gt;. Cuando el sentido de la ley sea claro, no se desatenderá su tenor literal a pretexto de consultar su espíritu.</w:t>
      </w:r>
    </w:p>
    <w:p w14:paraId="7E408147" w14:textId="77777777" w:rsidR="001F7ECB" w:rsidRPr="006336C3" w:rsidRDefault="001F7ECB" w:rsidP="006A1B75">
      <w:pPr>
        <w:spacing w:before="120" w:line="240" w:lineRule="auto"/>
        <w:ind w:left="709" w:right="709"/>
        <w:jc w:val="both"/>
        <w:rPr>
          <w:rFonts w:ascii="Arial" w:hAnsi="Arial" w:cs="Arial"/>
          <w:sz w:val="21"/>
          <w:szCs w:val="21"/>
        </w:rPr>
      </w:pPr>
      <w:r w:rsidRPr="006336C3">
        <w:rPr>
          <w:rFonts w:ascii="Arial" w:hAnsi="Arial" w:cs="Arial"/>
          <w:sz w:val="21"/>
          <w:szCs w:val="21"/>
        </w:rPr>
        <w:t>Pero bien se puede, para interpretar una expresión oscura de la ley, recurrir a su intención o espíritu, claramente manifestados en ella misma o en la historia fidedigna de su establecimiento.</w:t>
      </w:r>
    </w:p>
    <w:p w14:paraId="7399E6FE" w14:textId="398136D3" w:rsidR="001F7ECB" w:rsidRPr="006336C3" w:rsidRDefault="001F7ECB" w:rsidP="006A1B75">
      <w:pPr>
        <w:spacing w:before="120" w:line="240" w:lineRule="auto"/>
        <w:ind w:left="709" w:right="709"/>
        <w:jc w:val="both"/>
        <w:rPr>
          <w:rFonts w:ascii="Arial" w:hAnsi="Arial" w:cs="Arial"/>
          <w:sz w:val="21"/>
          <w:szCs w:val="21"/>
        </w:rPr>
      </w:pPr>
      <w:r w:rsidRPr="006336C3">
        <w:rPr>
          <w:rFonts w:ascii="Arial" w:hAnsi="Arial" w:cs="Arial"/>
          <w:sz w:val="21"/>
          <w:szCs w:val="21"/>
        </w:rPr>
        <w:t>ARTICULO 28. &lt;SIGNIFICADO DE LAS PALABRAS&gt;. Las palabras de la ley se entenderán en su sentido natural y obvio, según el uso general de las mismas palabras; pero</w:t>
      </w:r>
      <w:r w:rsidR="00535540" w:rsidRPr="006336C3">
        <w:rPr>
          <w:rFonts w:ascii="Arial" w:hAnsi="Arial" w:cs="Arial"/>
          <w:sz w:val="21"/>
          <w:szCs w:val="21"/>
        </w:rPr>
        <w:t xml:space="preserve"> cuando </w:t>
      </w:r>
      <w:r w:rsidRPr="006336C3">
        <w:rPr>
          <w:rFonts w:ascii="Arial" w:hAnsi="Arial" w:cs="Arial"/>
          <w:sz w:val="21"/>
          <w:szCs w:val="21"/>
        </w:rPr>
        <w:t xml:space="preserve">el legislador las haya </w:t>
      </w:r>
      <w:r w:rsidR="006A1B75" w:rsidRPr="006336C3">
        <w:rPr>
          <w:rFonts w:ascii="Arial" w:hAnsi="Arial" w:cs="Arial"/>
          <w:sz w:val="21"/>
          <w:szCs w:val="21"/>
        </w:rPr>
        <w:t>definido expresamente</w:t>
      </w:r>
      <w:r w:rsidRPr="006336C3">
        <w:rPr>
          <w:rFonts w:ascii="Arial" w:hAnsi="Arial" w:cs="Arial"/>
          <w:sz w:val="21"/>
          <w:szCs w:val="21"/>
        </w:rPr>
        <w:t xml:space="preserve"> para ciertas materias, se les dará en éstas su significado legal</w:t>
      </w:r>
      <w:r w:rsidR="006A1B75" w:rsidRPr="006336C3">
        <w:rPr>
          <w:rFonts w:ascii="Arial" w:hAnsi="Arial" w:cs="Arial"/>
          <w:sz w:val="21"/>
          <w:szCs w:val="21"/>
        </w:rPr>
        <w:t>.</w:t>
      </w:r>
      <w:r w:rsidR="006A1B75" w:rsidRPr="006336C3">
        <w:rPr>
          <w:rFonts w:ascii="Arial" w:hAnsi="Arial" w:cs="Arial"/>
          <w:color w:val="000000" w:themeColor="text1"/>
        </w:rPr>
        <w:t>»</w:t>
      </w:r>
      <w:r w:rsidR="006A1B75" w:rsidRPr="006336C3">
        <w:rPr>
          <w:rStyle w:val="Refdenotaalpie"/>
          <w:rFonts w:ascii="Arial" w:hAnsi="Arial" w:cs="Arial"/>
          <w:color w:val="000000" w:themeColor="text1"/>
        </w:rPr>
        <w:footnoteReference w:id="16"/>
      </w:r>
    </w:p>
    <w:p w14:paraId="0BF8089F" w14:textId="6659D6CB" w:rsidR="00580DE0" w:rsidRPr="006336C3" w:rsidRDefault="00580DE0" w:rsidP="001F7ECB">
      <w:pPr>
        <w:spacing w:after="120" w:line="276" w:lineRule="auto"/>
        <w:ind w:firstLine="708"/>
        <w:jc w:val="both"/>
        <w:rPr>
          <w:rFonts w:ascii="Arial" w:hAnsi="Arial" w:cs="Arial"/>
          <w:i/>
          <w:iCs/>
        </w:rPr>
      </w:pPr>
      <w:r w:rsidRPr="006336C3">
        <w:rPr>
          <w:rFonts w:ascii="Arial" w:hAnsi="Arial" w:cs="Arial"/>
        </w:rPr>
        <w:t>Teniendo en cuenta l</w:t>
      </w:r>
      <w:r w:rsidR="00CD00E8" w:rsidRPr="006336C3">
        <w:rPr>
          <w:rFonts w:ascii="Arial" w:hAnsi="Arial" w:cs="Arial"/>
        </w:rPr>
        <w:t xml:space="preserve">as reglas interpretativas </w:t>
      </w:r>
      <w:r w:rsidRPr="006336C3">
        <w:rPr>
          <w:rFonts w:ascii="Arial" w:hAnsi="Arial" w:cs="Arial"/>
        </w:rPr>
        <w:t>mencionad</w:t>
      </w:r>
      <w:r w:rsidR="00CD00E8" w:rsidRPr="006336C3">
        <w:rPr>
          <w:rFonts w:ascii="Arial" w:hAnsi="Arial" w:cs="Arial"/>
        </w:rPr>
        <w:t>a</w:t>
      </w:r>
      <w:r w:rsidRPr="006336C3">
        <w:rPr>
          <w:rFonts w:ascii="Arial" w:hAnsi="Arial" w:cs="Arial"/>
        </w:rPr>
        <w:t>s con anterioridad, y en orden a responder la pregunta</w:t>
      </w:r>
      <w:r w:rsidR="0071554F" w:rsidRPr="006336C3">
        <w:rPr>
          <w:rFonts w:ascii="Arial" w:hAnsi="Arial" w:cs="Arial"/>
        </w:rPr>
        <w:t>,</w:t>
      </w:r>
      <w:r w:rsidR="00245AB3" w:rsidRPr="006336C3">
        <w:rPr>
          <w:rFonts w:ascii="Arial" w:hAnsi="Arial" w:cs="Arial"/>
        </w:rPr>
        <w:t xml:space="preserve"> resulta necesario aplicar </w:t>
      </w:r>
      <w:r w:rsidR="00DF69AF" w:rsidRPr="006336C3">
        <w:rPr>
          <w:rFonts w:ascii="Arial" w:hAnsi="Arial" w:cs="Arial"/>
        </w:rPr>
        <w:t>el aforismo</w:t>
      </w:r>
      <w:r w:rsidR="0071554F" w:rsidRPr="006336C3">
        <w:rPr>
          <w:rFonts w:ascii="Arial" w:hAnsi="Arial" w:cs="Arial"/>
        </w:rPr>
        <w:t xml:space="preserve"> </w:t>
      </w:r>
      <w:r w:rsidR="00DF69AF" w:rsidRPr="006336C3">
        <w:rPr>
          <w:rFonts w:ascii="Arial" w:hAnsi="Arial" w:cs="Arial"/>
          <w:i/>
          <w:iCs/>
        </w:rPr>
        <w:t>i</w:t>
      </w:r>
      <w:r w:rsidR="00245AB3" w:rsidRPr="006336C3">
        <w:rPr>
          <w:rFonts w:ascii="Arial" w:hAnsi="Arial" w:cs="Arial"/>
          <w:i/>
          <w:iCs/>
        </w:rPr>
        <w:t xml:space="preserve">n </w:t>
      </w:r>
      <w:proofErr w:type="spellStart"/>
      <w:r w:rsidR="00245AB3" w:rsidRPr="006336C3">
        <w:rPr>
          <w:rFonts w:ascii="Arial" w:hAnsi="Arial" w:cs="Arial"/>
          <w:i/>
          <w:iCs/>
        </w:rPr>
        <w:t>claris</w:t>
      </w:r>
      <w:proofErr w:type="spellEnd"/>
      <w:r w:rsidR="00245AB3" w:rsidRPr="006336C3">
        <w:rPr>
          <w:rFonts w:ascii="Arial" w:hAnsi="Arial" w:cs="Arial"/>
          <w:i/>
          <w:iCs/>
        </w:rPr>
        <w:t xml:space="preserve"> non </w:t>
      </w:r>
      <w:proofErr w:type="spellStart"/>
      <w:r w:rsidR="00245AB3" w:rsidRPr="006336C3">
        <w:rPr>
          <w:rFonts w:ascii="Arial" w:hAnsi="Arial" w:cs="Arial"/>
          <w:i/>
          <w:iCs/>
        </w:rPr>
        <w:t>fit</w:t>
      </w:r>
      <w:proofErr w:type="spellEnd"/>
      <w:r w:rsidR="00245AB3" w:rsidRPr="006336C3">
        <w:rPr>
          <w:rFonts w:ascii="Arial" w:hAnsi="Arial" w:cs="Arial"/>
          <w:i/>
          <w:iCs/>
        </w:rPr>
        <w:t xml:space="preserve"> </w:t>
      </w:r>
      <w:proofErr w:type="spellStart"/>
      <w:r w:rsidR="00245AB3" w:rsidRPr="006336C3">
        <w:rPr>
          <w:rFonts w:ascii="Arial" w:hAnsi="Arial" w:cs="Arial"/>
          <w:i/>
          <w:iCs/>
        </w:rPr>
        <w:t>interpretatio</w:t>
      </w:r>
      <w:proofErr w:type="spellEnd"/>
      <w:r w:rsidR="00DF69AF" w:rsidRPr="006336C3">
        <w:rPr>
          <w:rFonts w:ascii="Arial" w:hAnsi="Arial" w:cs="Arial"/>
        </w:rPr>
        <w:t>, que es el reflejo de lo enunciado en el artículo 27</w:t>
      </w:r>
      <w:r w:rsidR="005808B0">
        <w:rPr>
          <w:rFonts w:ascii="Arial" w:hAnsi="Arial" w:cs="Arial"/>
        </w:rPr>
        <w:t xml:space="preserve"> y 28</w:t>
      </w:r>
      <w:r w:rsidR="00DF69AF" w:rsidRPr="006336C3">
        <w:rPr>
          <w:rFonts w:ascii="Arial" w:hAnsi="Arial" w:cs="Arial"/>
        </w:rPr>
        <w:t xml:space="preserve"> </w:t>
      </w:r>
      <w:r w:rsidR="002055CB" w:rsidRPr="006336C3">
        <w:rPr>
          <w:rFonts w:ascii="Arial" w:hAnsi="Arial" w:cs="Arial"/>
        </w:rPr>
        <w:t>anteriormente citado</w:t>
      </w:r>
      <w:r w:rsidR="005808B0">
        <w:rPr>
          <w:rFonts w:ascii="Arial" w:hAnsi="Arial" w:cs="Arial"/>
        </w:rPr>
        <w:t>s</w:t>
      </w:r>
      <w:r w:rsidR="002055CB" w:rsidRPr="006336C3">
        <w:rPr>
          <w:rFonts w:ascii="Arial" w:hAnsi="Arial" w:cs="Arial"/>
        </w:rPr>
        <w:t xml:space="preserve">, pues desde un criterio interpretativo de esta Agencia el </w:t>
      </w:r>
      <w:r w:rsidR="002055CB" w:rsidRPr="006336C3">
        <w:rPr>
          <w:rFonts w:ascii="Arial" w:hAnsi="Arial" w:cs="Arial"/>
          <w:color w:val="000000" w:themeColor="text1"/>
        </w:rPr>
        <w:t xml:space="preserve">artículo </w:t>
      </w:r>
      <w:r w:rsidR="002055CB" w:rsidRPr="006336C3">
        <w:rPr>
          <w:rFonts w:ascii="Arial" w:hAnsi="Arial" w:cs="Arial"/>
        </w:rPr>
        <w:t xml:space="preserve">91 de la Ley 1474 de 2011 no contiene </w:t>
      </w:r>
      <w:r w:rsidR="00375948" w:rsidRPr="006336C3">
        <w:rPr>
          <w:rFonts w:ascii="Arial" w:hAnsi="Arial" w:cs="Arial"/>
        </w:rPr>
        <w:t xml:space="preserve">una expresión oscura, si no por lo contrario, es clara en señalar que en los contratos cuya cuantía resulte ser de mínima o menor cuantía no será obligatoria la constitución de un patrimonio autónomo o una fiducia para administrar los recursos del </w:t>
      </w:r>
      <w:r w:rsidR="00535540" w:rsidRPr="000F4A3A">
        <w:rPr>
          <w:rFonts w:ascii="Arial" w:hAnsi="Arial" w:cs="Arial"/>
        </w:rPr>
        <w:t>anticipo</w:t>
      </w:r>
      <w:r w:rsidR="00375948" w:rsidRPr="006336C3">
        <w:rPr>
          <w:rFonts w:ascii="Arial" w:hAnsi="Arial" w:cs="Arial"/>
        </w:rPr>
        <w:t xml:space="preserve">, así </w:t>
      </w:r>
      <w:r w:rsidR="00A43FCB" w:rsidRPr="006336C3">
        <w:rPr>
          <w:rFonts w:ascii="Arial" w:hAnsi="Arial" w:cs="Arial"/>
        </w:rPr>
        <w:t>haya surgido a través de un proceso de selección por licitación pública.</w:t>
      </w:r>
    </w:p>
    <w:p w14:paraId="7C9F75F8" w14:textId="185C81BB" w:rsidR="00535540" w:rsidRDefault="00580DE0" w:rsidP="00BC767F">
      <w:pPr>
        <w:tabs>
          <w:tab w:val="left" w:pos="0"/>
        </w:tabs>
        <w:spacing w:before="120" w:after="120" w:line="276" w:lineRule="auto"/>
        <w:ind w:firstLine="709"/>
        <w:jc w:val="both"/>
        <w:rPr>
          <w:rFonts w:ascii="Arial" w:hAnsi="Arial" w:cs="Arial"/>
        </w:rPr>
      </w:pPr>
      <w:r w:rsidRPr="006336C3">
        <w:rPr>
          <w:rFonts w:ascii="Arial" w:hAnsi="Arial" w:cs="Arial"/>
        </w:rPr>
        <w:t xml:space="preserve"> En todo caso</w:t>
      </w:r>
      <w:r w:rsidR="00535540" w:rsidRPr="000F4A3A">
        <w:rPr>
          <w:rFonts w:ascii="Arial" w:hAnsi="Arial" w:cs="Arial"/>
        </w:rPr>
        <w:t xml:space="preserve">, </w:t>
      </w:r>
      <w:r w:rsidR="00535540" w:rsidRPr="006336C3">
        <w:rPr>
          <w:rFonts w:ascii="Arial" w:hAnsi="Arial" w:cs="Arial"/>
          <w:color w:val="000000" w:themeColor="text1"/>
        </w:rPr>
        <w:t xml:space="preserve">la Entidad Estatal </w:t>
      </w:r>
      <w:r w:rsidRPr="006336C3">
        <w:rPr>
          <w:rFonts w:ascii="Arial" w:hAnsi="Arial" w:cs="Arial"/>
          <w:color w:val="000000" w:themeColor="text1"/>
        </w:rPr>
        <w:t>y el contratista podrán disponer</w:t>
      </w:r>
      <w:r w:rsidR="00BC767F" w:rsidRPr="006336C3">
        <w:rPr>
          <w:rFonts w:ascii="Arial" w:hAnsi="Arial" w:cs="Arial"/>
          <w:color w:val="000000" w:themeColor="text1"/>
        </w:rPr>
        <w:t xml:space="preserve"> en dichos contratos de menor y mínima cuantía</w:t>
      </w:r>
      <w:r w:rsidRPr="006336C3">
        <w:rPr>
          <w:rFonts w:ascii="Arial" w:hAnsi="Arial" w:cs="Arial"/>
          <w:color w:val="000000" w:themeColor="text1"/>
        </w:rPr>
        <w:t xml:space="preserve">, en ejercicio de la autonomía de la voluntad, las condiciones que consideren convenientes para otorgar el anticipo de acuerdo con las normas civiles, siempre que no contraríen los parámetros normativos y los principios de la actividad contractual. No obstante, se reitera la importancia de analizar y justificar en cada caso la pertinencia y conveniencia de entregar al contratista recursos en calidad de anticipo. De esta forma, </w:t>
      </w:r>
      <w:r w:rsidRPr="006336C3">
        <w:rPr>
          <w:rFonts w:ascii="Arial" w:hAnsi="Arial" w:cs="Arial"/>
        </w:rPr>
        <w:t>debe ser la administración quien determine la viabilidad o no, de la entrega de un anticipó</w:t>
      </w:r>
      <w:r w:rsidR="00BC767F" w:rsidRPr="006336C3">
        <w:rPr>
          <w:rFonts w:ascii="Arial" w:hAnsi="Arial" w:cs="Arial"/>
        </w:rPr>
        <w:t xml:space="preserve"> y de</w:t>
      </w:r>
      <w:r w:rsidR="00535540" w:rsidRPr="000F4A3A">
        <w:rPr>
          <w:rFonts w:ascii="Arial" w:hAnsi="Arial" w:cs="Arial"/>
        </w:rPr>
        <w:t xml:space="preserve"> la obligación de adoptar las medidas necesarias y razonables para asegurar el buen manejo y la correcta inversión del anticipo, entre las que se encuentra la constitución </w:t>
      </w:r>
      <w:r w:rsidR="0056399A" w:rsidRPr="006336C3">
        <w:rPr>
          <w:rFonts w:ascii="Arial" w:hAnsi="Arial" w:cs="Arial"/>
        </w:rPr>
        <w:t xml:space="preserve">obligatoria de </w:t>
      </w:r>
      <w:r w:rsidR="00535540">
        <w:rPr>
          <w:rFonts w:ascii="Arial" w:hAnsi="Arial" w:cs="Arial"/>
        </w:rPr>
        <w:t>l</w:t>
      </w:r>
      <w:r w:rsidR="00535540" w:rsidRPr="000F4A3A">
        <w:rPr>
          <w:rFonts w:ascii="Arial" w:hAnsi="Arial" w:cs="Arial"/>
        </w:rPr>
        <w:t>a garantía</w:t>
      </w:r>
      <w:r w:rsidR="00535540">
        <w:rPr>
          <w:rFonts w:ascii="Arial" w:hAnsi="Arial" w:cs="Arial"/>
        </w:rPr>
        <w:t xml:space="preserve"> respectiva</w:t>
      </w:r>
      <w:r w:rsidR="00535540" w:rsidRPr="000F4A3A">
        <w:rPr>
          <w:rFonts w:ascii="Arial" w:hAnsi="Arial" w:cs="Arial"/>
        </w:rPr>
        <w:t xml:space="preserve">.  </w:t>
      </w:r>
    </w:p>
    <w:p w14:paraId="0C7DB2DE" w14:textId="77777777" w:rsidR="00535540" w:rsidRPr="000F4A3A" w:rsidRDefault="00535540" w:rsidP="00565A2E">
      <w:pPr>
        <w:spacing w:line="276" w:lineRule="auto"/>
        <w:jc w:val="both"/>
        <w:rPr>
          <w:rFonts w:ascii="Arial" w:hAnsi="Arial" w:cs="Arial"/>
          <w:b/>
          <w:bCs/>
          <w:color w:val="000000" w:themeColor="text1"/>
        </w:rPr>
      </w:pPr>
      <w:r w:rsidRPr="000F4A3A">
        <w:rPr>
          <w:rFonts w:ascii="Arial" w:hAnsi="Arial" w:cs="Arial"/>
          <w:b/>
          <w:bCs/>
          <w:color w:val="000000" w:themeColor="text1"/>
        </w:rPr>
        <w:t>3. Respuesta</w:t>
      </w:r>
    </w:p>
    <w:p w14:paraId="479463E5" w14:textId="77777777" w:rsidR="007D4D9B" w:rsidRPr="00565A2E" w:rsidRDefault="007D4D9B" w:rsidP="007D4D9B">
      <w:pPr>
        <w:adjustRightInd w:val="0"/>
        <w:spacing w:line="240" w:lineRule="auto"/>
        <w:ind w:left="709" w:right="709"/>
        <w:jc w:val="both"/>
        <w:rPr>
          <w:rFonts w:ascii="Arial" w:hAnsi="Arial" w:cs="Arial"/>
          <w:sz w:val="21"/>
          <w:szCs w:val="21"/>
        </w:rPr>
      </w:pPr>
      <w:r w:rsidRPr="00565A2E">
        <w:rPr>
          <w:rFonts w:ascii="Arial" w:hAnsi="Arial" w:cs="Arial"/>
          <w:sz w:val="21"/>
          <w:szCs w:val="21"/>
        </w:rPr>
        <w:t>«</w:t>
      </w:r>
      <w:r w:rsidRPr="00565A2E">
        <w:rPr>
          <w:rFonts w:ascii="Arial" w:hAnsi="Arial" w:cs="Arial"/>
          <w:bCs/>
          <w:sz w:val="21"/>
          <w:szCs w:val="21"/>
        </w:rPr>
        <w:t>Si producto de una Licitación de Obra Pública se suscriben varios contratos de obra,</w:t>
      </w:r>
      <w:r>
        <w:rPr>
          <w:rFonts w:ascii="Arial" w:hAnsi="Arial" w:cs="Arial"/>
          <w:bCs/>
          <w:sz w:val="21"/>
          <w:szCs w:val="21"/>
        </w:rPr>
        <w:t xml:space="preserve"> </w:t>
      </w:r>
      <w:r w:rsidRPr="00565A2E">
        <w:rPr>
          <w:rFonts w:ascii="Arial" w:hAnsi="Arial" w:cs="Arial"/>
          <w:bCs/>
          <w:sz w:val="21"/>
          <w:szCs w:val="21"/>
        </w:rPr>
        <w:t>cuyos valores individualmente considerados corresponden a la menor cuantía de la</w:t>
      </w:r>
      <w:r>
        <w:rPr>
          <w:rFonts w:ascii="Arial" w:hAnsi="Arial" w:cs="Arial"/>
          <w:bCs/>
          <w:sz w:val="21"/>
          <w:szCs w:val="21"/>
        </w:rPr>
        <w:t xml:space="preserve"> </w:t>
      </w:r>
      <w:r w:rsidRPr="00565A2E">
        <w:rPr>
          <w:rFonts w:ascii="Arial" w:hAnsi="Arial" w:cs="Arial"/>
          <w:bCs/>
          <w:sz w:val="21"/>
          <w:szCs w:val="21"/>
        </w:rPr>
        <w:t>respectiva entidad (se trató de una licitación por lotes), ¿aplica la regla general del art.91 de la ley 1474/2011 según la cual "el contratista deberá constituir una fiducia o un</w:t>
      </w:r>
      <w:r>
        <w:rPr>
          <w:rFonts w:ascii="Arial" w:hAnsi="Arial" w:cs="Arial"/>
          <w:bCs/>
          <w:sz w:val="21"/>
          <w:szCs w:val="21"/>
        </w:rPr>
        <w:t xml:space="preserve"> </w:t>
      </w:r>
      <w:r w:rsidRPr="00565A2E">
        <w:rPr>
          <w:rFonts w:ascii="Arial" w:hAnsi="Arial" w:cs="Arial"/>
          <w:bCs/>
          <w:sz w:val="21"/>
          <w:szCs w:val="21"/>
        </w:rPr>
        <w:t>patrimonio autónomo irrevocable para el manejo de los recursos que reciba a título de</w:t>
      </w:r>
      <w:r>
        <w:rPr>
          <w:rFonts w:ascii="Arial" w:hAnsi="Arial" w:cs="Arial"/>
          <w:bCs/>
          <w:sz w:val="21"/>
          <w:szCs w:val="21"/>
        </w:rPr>
        <w:t xml:space="preserve"> </w:t>
      </w:r>
      <w:r w:rsidRPr="00565A2E">
        <w:rPr>
          <w:rFonts w:ascii="Arial" w:hAnsi="Arial" w:cs="Arial"/>
          <w:bCs/>
          <w:sz w:val="21"/>
          <w:szCs w:val="21"/>
        </w:rPr>
        <w:t>anticipo"?, o ¿aplica la excepción "salvo que el contrato sea de menor o mínima</w:t>
      </w:r>
      <w:r>
        <w:rPr>
          <w:rFonts w:ascii="Arial" w:hAnsi="Arial" w:cs="Arial"/>
          <w:bCs/>
          <w:sz w:val="21"/>
          <w:szCs w:val="21"/>
        </w:rPr>
        <w:t xml:space="preserve"> </w:t>
      </w:r>
      <w:r w:rsidRPr="00565A2E">
        <w:rPr>
          <w:rFonts w:ascii="Arial" w:hAnsi="Arial" w:cs="Arial"/>
          <w:bCs/>
          <w:sz w:val="21"/>
          <w:szCs w:val="21"/>
        </w:rPr>
        <w:t>cuantía</w:t>
      </w:r>
      <w:r w:rsidRPr="00565A2E">
        <w:rPr>
          <w:rFonts w:ascii="Arial" w:hAnsi="Arial" w:cs="Arial"/>
          <w:sz w:val="21"/>
          <w:szCs w:val="21"/>
        </w:rPr>
        <w:t>?»</w:t>
      </w:r>
      <w:r>
        <w:rPr>
          <w:rFonts w:ascii="Arial" w:hAnsi="Arial" w:cs="Arial"/>
          <w:sz w:val="21"/>
          <w:szCs w:val="21"/>
        </w:rPr>
        <w:t xml:space="preserve"> (Sic)</w:t>
      </w:r>
      <w:r w:rsidRPr="00565A2E">
        <w:rPr>
          <w:rFonts w:ascii="Arial" w:hAnsi="Arial" w:cs="Arial"/>
          <w:sz w:val="21"/>
          <w:szCs w:val="21"/>
        </w:rPr>
        <w:t xml:space="preserve">. </w:t>
      </w:r>
    </w:p>
    <w:p w14:paraId="2115CC4F" w14:textId="24C02198" w:rsidR="00F24CE3" w:rsidRDefault="00F24CE3" w:rsidP="00F24CE3">
      <w:pPr>
        <w:spacing w:after="120" w:line="276" w:lineRule="auto"/>
        <w:jc w:val="both"/>
        <w:rPr>
          <w:rFonts w:ascii="Arial" w:hAnsi="Arial" w:cs="Arial"/>
        </w:rPr>
      </w:pPr>
      <w:r w:rsidRPr="0244FC6E">
        <w:rPr>
          <w:rFonts w:ascii="Arial" w:hAnsi="Arial" w:cs="Arial"/>
        </w:rPr>
        <w:t>En consideración a lo en</w:t>
      </w:r>
      <w:r w:rsidR="0D768DA1" w:rsidRPr="0244FC6E">
        <w:rPr>
          <w:rFonts w:ascii="Arial" w:hAnsi="Arial" w:cs="Arial"/>
        </w:rPr>
        <w:t xml:space="preserve">unciado previamente, el ejercicio interpretativo </w:t>
      </w:r>
      <w:r w:rsidR="685EB80F" w:rsidRPr="0244FC6E">
        <w:rPr>
          <w:rFonts w:ascii="Arial" w:hAnsi="Arial" w:cs="Arial"/>
        </w:rPr>
        <w:t xml:space="preserve">que esta </w:t>
      </w:r>
      <w:r w:rsidR="0D768DA1" w:rsidRPr="0244FC6E">
        <w:rPr>
          <w:rFonts w:ascii="Arial" w:hAnsi="Arial" w:cs="Arial"/>
        </w:rPr>
        <w:t xml:space="preserve">Agencia </w:t>
      </w:r>
      <w:r w:rsidR="685EB80F" w:rsidRPr="0244FC6E">
        <w:rPr>
          <w:rFonts w:ascii="Arial" w:hAnsi="Arial" w:cs="Arial"/>
        </w:rPr>
        <w:t xml:space="preserve">ha mantenido </w:t>
      </w:r>
      <w:r w:rsidR="0D768DA1" w:rsidRPr="0244FC6E">
        <w:rPr>
          <w:rFonts w:ascii="Arial" w:hAnsi="Arial" w:cs="Arial"/>
        </w:rPr>
        <w:t xml:space="preserve">sobre la sobre la expresión </w:t>
      </w:r>
      <w:r w:rsidR="0D768DA1" w:rsidRPr="0244FC6E">
        <w:rPr>
          <w:rFonts w:ascii="Arial" w:hAnsi="Arial" w:cs="Arial"/>
          <w:color w:val="000000" w:themeColor="text1"/>
        </w:rPr>
        <w:t>«</w:t>
      </w:r>
      <w:r w:rsidR="0D768DA1" w:rsidRPr="0244FC6E">
        <w:rPr>
          <w:rFonts w:ascii="Arial" w:hAnsi="Arial" w:cs="Arial"/>
          <w:i/>
          <w:iCs/>
          <w:sz w:val="21"/>
          <w:szCs w:val="21"/>
        </w:rPr>
        <w:t>salvo que el contrato sea de menor o mínima cuantía</w:t>
      </w:r>
      <w:r w:rsidR="0D768DA1" w:rsidRPr="0244FC6E">
        <w:rPr>
          <w:rFonts w:ascii="Arial" w:hAnsi="Arial" w:cs="Arial"/>
          <w:color w:val="000000" w:themeColor="text1"/>
        </w:rPr>
        <w:t xml:space="preserve">» contenida en la parte final del artículo </w:t>
      </w:r>
      <w:r w:rsidR="0D768DA1" w:rsidRPr="0244FC6E">
        <w:rPr>
          <w:rFonts w:ascii="Arial" w:hAnsi="Arial" w:cs="Arial"/>
        </w:rPr>
        <w:t>91 de la Ley 1474 de 2011</w:t>
      </w:r>
      <w:r w:rsidR="0D768DA1" w:rsidRPr="0244FC6E">
        <w:rPr>
          <w:rFonts w:ascii="Arial" w:hAnsi="Arial" w:cs="Arial"/>
          <w:color w:val="000000" w:themeColor="text1"/>
        </w:rPr>
        <w:t xml:space="preserve">, </w:t>
      </w:r>
      <w:r w:rsidR="7ECB84A3" w:rsidRPr="0244FC6E">
        <w:rPr>
          <w:rFonts w:ascii="Arial" w:hAnsi="Arial" w:cs="Arial"/>
          <w:color w:val="000000" w:themeColor="text1"/>
        </w:rPr>
        <w:t xml:space="preserve">ha sido la de entender que </w:t>
      </w:r>
      <w:r w:rsidRPr="0244FC6E">
        <w:rPr>
          <w:rFonts w:ascii="Arial" w:hAnsi="Arial" w:cs="Arial"/>
        </w:rPr>
        <w:t>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p>
    <w:p w14:paraId="1672FC9F" w14:textId="7BDA27BE" w:rsidR="00776E72" w:rsidRPr="006336C3" w:rsidRDefault="00A53E80" w:rsidP="009C1F1A">
      <w:pPr>
        <w:tabs>
          <w:tab w:val="left" w:pos="0"/>
        </w:tabs>
        <w:spacing w:before="120" w:after="0" w:line="276" w:lineRule="auto"/>
        <w:ind w:firstLine="709"/>
        <w:jc w:val="both"/>
        <w:rPr>
          <w:rFonts w:ascii="Arial" w:hAnsi="Arial" w:cs="Arial"/>
          <w:i/>
          <w:iCs/>
        </w:rPr>
      </w:pPr>
      <w:r>
        <w:rPr>
          <w:rFonts w:ascii="Arial" w:hAnsi="Arial" w:cs="Arial"/>
          <w:color w:val="000000" w:themeColor="text1"/>
        </w:rPr>
        <w:t>A su vez, resulta pertinente reiterar que l</w:t>
      </w:r>
      <w:r w:rsidR="00776E72" w:rsidRPr="006336C3">
        <w:rPr>
          <w:rFonts w:ascii="Arial" w:hAnsi="Arial" w:cs="Arial"/>
          <w:color w:val="000000" w:themeColor="text1"/>
        </w:rPr>
        <w:t>a Entidad Estatal</w:t>
      </w:r>
      <w:r w:rsidR="003663C5">
        <w:rPr>
          <w:rFonts w:ascii="Arial" w:hAnsi="Arial" w:cs="Arial"/>
          <w:color w:val="000000" w:themeColor="text1"/>
        </w:rPr>
        <w:t xml:space="preserve"> </w:t>
      </w:r>
      <w:r w:rsidR="00814F21">
        <w:rPr>
          <w:rFonts w:ascii="Arial" w:hAnsi="Arial" w:cs="Arial"/>
          <w:color w:val="000000" w:themeColor="text1"/>
        </w:rPr>
        <w:t xml:space="preserve">debe </w:t>
      </w:r>
      <w:r w:rsidR="003663C5" w:rsidRPr="006336C3">
        <w:rPr>
          <w:rFonts w:ascii="Arial" w:hAnsi="Arial" w:cs="Arial"/>
          <w:color w:val="000000" w:themeColor="text1"/>
        </w:rPr>
        <w:t>analizar y justificar en cada caso la pertinencia y conveniencia de entregar al contratista recursos en calidad de anticipo</w:t>
      </w:r>
      <w:r w:rsidR="00814F21">
        <w:rPr>
          <w:rFonts w:ascii="Arial" w:hAnsi="Arial" w:cs="Arial"/>
          <w:color w:val="000000" w:themeColor="text1"/>
        </w:rPr>
        <w:t xml:space="preserve"> y </w:t>
      </w:r>
      <w:r w:rsidR="003663C5" w:rsidRPr="006336C3">
        <w:rPr>
          <w:rFonts w:ascii="Arial" w:hAnsi="Arial" w:cs="Arial"/>
        </w:rPr>
        <w:t>la obligación de adoptar las medidas necesarias y razonables para asegurar el buen manejo y la correcta inversión del anticipo, entre las que se encuentra la constitución obligatoria de la garantía respectiva</w:t>
      </w:r>
      <w:r w:rsidR="008F254D">
        <w:rPr>
          <w:rFonts w:ascii="Arial" w:hAnsi="Arial" w:cs="Arial"/>
          <w:color w:val="000000" w:themeColor="text1"/>
        </w:rPr>
        <w:t xml:space="preserve">. </w:t>
      </w:r>
      <w:r w:rsidR="00776E72" w:rsidRPr="000F4A3A">
        <w:rPr>
          <w:rFonts w:ascii="Arial" w:hAnsi="Arial" w:cs="Arial"/>
        </w:rPr>
        <w:t xml:space="preserve">En todo caso, </w:t>
      </w:r>
      <w:r w:rsidR="00776E72" w:rsidRPr="000F4A3A">
        <w:rPr>
          <w:rFonts w:ascii="Arial" w:hAnsi="Arial" w:cs="Arial"/>
          <w:color w:val="000000" w:themeColor="text1"/>
        </w:rPr>
        <w:t xml:space="preserve">la entidad y el contratista podrán disponer, en ejercicio de la autonomía de la voluntad, las condiciones que consideren convenientes para otorgar el anticipo de acuerdo con las normas civiles, siempre que no contraríen los parámetros normativos y los principios de la actividad contractual. </w:t>
      </w:r>
    </w:p>
    <w:p w14:paraId="282E374B" w14:textId="77777777" w:rsidR="003F5F71" w:rsidRDefault="003F5F71" w:rsidP="009C1F1A">
      <w:pPr>
        <w:spacing w:after="0" w:line="276" w:lineRule="auto"/>
        <w:jc w:val="both"/>
        <w:rPr>
          <w:rFonts w:ascii="Arial" w:hAnsi="Arial" w:cs="Arial"/>
        </w:rPr>
      </w:pPr>
    </w:p>
    <w:p w14:paraId="520E0972" w14:textId="2AEB3633" w:rsidR="003F5F71" w:rsidRPr="00781AC2" w:rsidRDefault="003F5F71" w:rsidP="003F5F71">
      <w:pPr>
        <w:spacing w:line="276" w:lineRule="auto"/>
        <w:jc w:val="both"/>
        <w:rPr>
          <w:rFonts w:ascii="Arial" w:hAnsi="Arial" w:cs="Arial"/>
          <w:lang w:val="es-ES_tradnl"/>
        </w:rPr>
      </w:pPr>
      <w:r w:rsidRPr="00781AC2">
        <w:rPr>
          <w:rFonts w:ascii="Arial" w:hAnsi="Arial" w:cs="Arial"/>
          <w:lang w:val="es-ES_tradnl"/>
        </w:rPr>
        <w:t>Este</w:t>
      </w:r>
      <w:r w:rsidR="00535540" w:rsidRPr="00781AC2">
        <w:rPr>
          <w:rFonts w:ascii="Arial" w:hAnsi="Arial" w:cs="Arial"/>
          <w:lang w:val="es-ES_tradnl"/>
        </w:rPr>
        <w:t xml:space="preserve"> concepto tiene el alcance previsto en el artículo 28 del Código de Procedimiento Administrativo y de lo Contencioso Administrativo y las expresiones aquí utilizadas con mayúscula inicial deben ser entendidas con el significado que les otorga el artículo 2.2.1.1.1.3.1. </w:t>
      </w:r>
      <w:r w:rsidRPr="00781AC2">
        <w:rPr>
          <w:rFonts w:ascii="Arial" w:hAnsi="Arial" w:cs="Arial"/>
          <w:lang w:val="es-ES_tradnl"/>
        </w:rPr>
        <w:t>del Decreto 1082 de 2015.</w:t>
      </w:r>
    </w:p>
    <w:p w14:paraId="017FBFEB" w14:textId="46F2E33E" w:rsidR="00535540" w:rsidRPr="000F4A3A" w:rsidRDefault="00535540" w:rsidP="00586244">
      <w:pPr>
        <w:tabs>
          <w:tab w:val="left" w:pos="426"/>
        </w:tabs>
        <w:spacing w:before="120" w:after="120" w:line="276" w:lineRule="auto"/>
        <w:jc w:val="both"/>
        <w:rPr>
          <w:rFonts w:ascii="Arial" w:eastAsia="Times New Roman" w:hAnsi="Arial" w:cs="Arial"/>
          <w:color w:val="000000" w:themeColor="text1"/>
        </w:rPr>
      </w:pPr>
    </w:p>
    <w:p w14:paraId="1CF25245" w14:textId="77777777" w:rsidR="00535540" w:rsidRPr="000F4A3A" w:rsidRDefault="00535540" w:rsidP="00565A2E">
      <w:pPr>
        <w:tabs>
          <w:tab w:val="left" w:pos="426"/>
        </w:tabs>
        <w:spacing w:before="120"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35A382C6" w14:textId="10DAE38D" w:rsidR="00147A8C" w:rsidRPr="00CB70D9" w:rsidRDefault="003F3F92" w:rsidP="00147A8C">
      <w:pPr>
        <w:jc w:val="center"/>
        <w:rPr>
          <w:rFonts w:ascii="Arial" w:eastAsia="Times New Roman" w:hAnsi="Arial" w:cs="Arial"/>
          <w:lang w:eastAsia="es-CO"/>
        </w:rPr>
      </w:pPr>
      <w:r>
        <w:rPr>
          <w:noProof/>
        </w:rPr>
        <w:drawing>
          <wp:inline distT="0" distB="0" distL="0" distR="0" wp14:anchorId="38585FDB" wp14:editId="316220E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47A8C" w:rsidRPr="003F5F71" w14:paraId="4110C940" w14:textId="77777777" w:rsidTr="005165E2">
        <w:trPr>
          <w:trHeight w:val="409"/>
        </w:trPr>
        <w:tc>
          <w:tcPr>
            <w:tcW w:w="817" w:type="dxa"/>
            <w:tcBorders>
              <w:top w:val="nil"/>
              <w:left w:val="nil"/>
              <w:bottom w:val="nil"/>
              <w:right w:val="nil"/>
            </w:tcBorders>
            <w:vAlign w:val="center"/>
            <w:hideMark/>
          </w:tcPr>
          <w:p w14:paraId="5CDCA4B8"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right w:val="nil"/>
            </w:tcBorders>
            <w:vAlign w:val="center"/>
            <w:hideMark/>
          </w:tcPr>
          <w:p w14:paraId="17A808ED"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Any Alejandra Tovar Castillo</w:t>
            </w:r>
          </w:p>
          <w:p w14:paraId="246B3D06"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147A8C" w:rsidRPr="003F5F71" w14:paraId="2D9EDA54" w14:textId="77777777" w:rsidTr="005165E2">
        <w:trPr>
          <w:trHeight w:val="409"/>
        </w:trPr>
        <w:tc>
          <w:tcPr>
            <w:tcW w:w="817" w:type="dxa"/>
            <w:tcBorders>
              <w:top w:val="nil"/>
              <w:left w:val="nil"/>
              <w:bottom w:val="nil"/>
              <w:right w:val="nil"/>
            </w:tcBorders>
            <w:vAlign w:val="center"/>
            <w:hideMark/>
          </w:tcPr>
          <w:p w14:paraId="3C056D53"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Revisó: </w:t>
            </w:r>
          </w:p>
        </w:tc>
        <w:tc>
          <w:tcPr>
            <w:tcW w:w="4937" w:type="dxa"/>
            <w:tcBorders>
              <w:top w:val="dotted" w:sz="6" w:space="0" w:color="7F7F7F"/>
              <w:left w:val="nil"/>
              <w:bottom w:val="dotted" w:sz="6" w:space="0" w:color="7F7F7F"/>
              <w:right w:val="nil"/>
            </w:tcBorders>
            <w:vAlign w:val="center"/>
            <w:hideMark/>
          </w:tcPr>
          <w:p w14:paraId="373FD129"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Alejandro Sarmiento Cantillo</w:t>
            </w:r>
          </w:p>
          <w:p w14:paraId="2647DABA"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Gestor T1 ‒ 15 de la Subdirección de Gestión Contractual</w:t>
            </w:r>
          </w:p>
        </w:tc>
      </w:tr>
      <w:tr w:rsidR="00147A8C" w:rsidRPr="003F5F71" w14:paraId="6229EE4A" w14:textId="77777777" w:rsidTr="005165E2">
        <w:trPr>
          <w:trHeight w:val="389"/>
        </w:trPr>
        <w:tc>
          <w:tcPr>
            <w:tcW w:w="817" w:type="dxa"/>
            <w:tcBorders>
              <w:top w:val="nil"/>
              <w:left w:val="nil"/>
              <w:bottom w:val="nil"/>
              <w:right w:val="nil"/>
            </w:tcBorders>
            <w:vAlign w:val="center"/>
            <w:hideMark/>
          </w:tcPr>
          <w:p w14:paraId="422A8A4E"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left w:val="nil"/>
              <w:bottom w:val="dotted" w:sz="6" w:space="0" w:color="7F7F7F"/>
              <w:right w:val="nil"/>
            </w:tcBorders>
            <w:vAlign w:val="center"/>
            <w:hideMark/>
          </w:tcPr>
          <w:p w14:paraId="7508983E"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65C56E6B" w14:textId="77777777" w:rsidR="00147A8C" w:rsidRPr="009C1F1A" w:rsidRDefault="00147A8C" w:rsidP="005165E2">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tbl>
    <w:p w14:paraId="7DA76A8A" w14:textId="77777777" w:rsidR="00147A8C" w:rsidRPr="00547D0C" w:rsidRDefault="00147A8C" w:rsidP="00147A8C">
      <w:pPr>
        <w:tabs>
          <w:tab w:val="left" w:pos="4922"/>
        </w:tabs>
        <w:spacing w:line="276" w:lineRule="auto"/>
        <w:jc w:val="both"/>
        <w:rPr>
          <w:rFonts w:ascii="Arial" w:eastAsia="Calibri" w:hAnsi="Arial" w:cs="Arial"/>
          <w:color w:val="000000" w:themeColor="text1"/>
          <w:lang w:val="es-ES_tradnl"/>
        </w:rPr>
      </w:pPr>
      <w:r w:rsidRPr="00547D0C">
        <w:rPr>
          <w:rFonts w:ascii="Arial" w:eastAsia="Calibri" w:hAnsi="Arial" w:cs="Arial"/>
          <w:color w:val="000000" w:themeColor="text1"/>
          <w:lang w:val="es-ES_tradnl"/>
        </w:rPr>
        <w:tab/>
      </w:r>
    </w:p>
    <w:p w14:paraId="31D419DD" w14:textId="30F0F96B" w:rsidR="001A1011" w:rsidRPr="00147A8C" w:rsidRDefault="001A1011" w:rsidP="00565A2E">
      <w:pPr>
        <w:spacing w:after="0" w:line="276" w:lineRule="auto"/>
        <w:jc w:val="both"/>
        <w:rPr>
          <w:rFonts w:ascii="Geomanist Light" w:hAnsi="Geomanist Light"/>
          <w:b/>
          <w:color w:val="404040" w:themeColor="text1" w:themeTint="BF"/>
          <w:lang w:val="es-ES_tradnl"/>
        </w:rPr>
      </w:pPr>
    </w:p>
    <w:p w14:paraId="279D5850" w14:textId="5A51B1C1" w:rsidR="001A1011" w:rsidRDefault="001A1011" w:rsidP="00565A2E">
      <w:pPr>
        <w:spacing w:after="0" w:line="276" w:lineRule="auto"/>
        <w:jc w:val="both"/>
        <w:rPr>
          <w:rFonts w:ascii="Geomanist Light" w:hAnsi="Geomanist Light"/>
          <w:b/>
          <w:color w:val="404040" w:themeColor="text1" w:themeTint="BF"/>
          <w:lang w:val="es-ES"/>
        </w:rPr>
      </w:pPr>
    </w:p>
    <w:p w14:paraId="0B1D17E7" w14:textId="762AA3C6" w:rsidR="001A1011" w:rsidRDefault="001A1011" w:rsidP="00565A2E">
      <w:pPr>
        <w:spacing w:after="0" w:line="276" w:lineRule="auto"/>
        <w:jc w:val="both"/>
        <w:rPr>
          <w:rFonts w:ascii="Geomanist Light" w:hAnsi="Geomanist Light"/>
          <w:b/>
          <w:color w:val="404040" w:themeColor="text1" w:themeTint="BF"/>
          <w:lang w:val="es-ES"/>
        </w:rPr>
      </w:pPr>
    </w:p>
    <w:p w14:paraId="5CD9DF3C" w14:textId="2D55E7D3" w:rsidR="001A1011" w:rsidRDefault="001A1011" w:rsidP="00565A2E">
      <w:pPr>
        <w:spacing w:after="0" w:line="276" w:lineRule="auto"/>
        <w:jc w:val="both"/>
        <w:rPr>
          <w:rFonts w:ascii="Geomanist Light" w:hAnsi="Geomanist Light"/>
          <w:b/>
          <w:color w:val="404040" w:themeColor="text1" w:themeTint="BF"/>
          <w:lang w:val="es-ES"/>
        </w:rPr>
      </w:pPr>
    </w:p>
    <w:p w14:paraId="53AB5A20" w14:textId="6FAD5A9C" w:rsidR="001A1011" w:rsidRDefault="001A1011" w:rsidP="00565A2E">
      <w:pPr>
        <w:spacing w:after="0" w:line="276" w:lineRule="auto"/>
        <w:jc w:val="both"/>
        <w:rPr>
          <w:rFonts w:ascii="Geomanist Light" w:hAnsi="Geomanist Light"/>
          <w:b/>
          <w:color w:val="404040" w:themeColor="text1" w:themeTint="BF"/>
          <w:lang w:val="es-ES"/>
        </w:rPr>
      </w:pPr>
    </w:p>
    <w:p w14:paraId="6879FC78" w14:textId="2AD773B8" w:rsidR="001A1011" w:rsidRDefault="001A1011" w:rsidP="00565A2E">
      <w:pPr>
        <w:spacing w:after="0" w:line="276" w:lineRule="auto"/>
        <w:jc w:val="both"/>
        <w:rPr>
          <w:rFonts w:ascii="Geomanist Light" w:hAnsi="Geomanist Light"/>
          <w:b/>
          <w:color w:val="404040" w:themeColor="text1" w:themeTint="BF"/>
          <w:lang w:val="es-ES"/>
        </w:rPr>
      </w:pPr>
    </w:p>
    <w:p w14:paraId="267F1171" w14:textId="73CCED58" w:rsidR="001A1011" w:rsidRDefault="001A1011" w:rsidP="00565A2E">
      <w:pPr>
        <w:spacing w:after="0" w:line="276" w:lineRule="auto"/>
        <w:jc w:val="both"/>
        <w:rPr>
          <w:rFonts w:ascii="Geomanist Light" w:hAnsi="Geomanist Light"/>
          <w:b/>
          <w:color w:val="404040" w:themeColor="text1" w:themeTint="BF"/>
          <w:lang w:val="es-ES"/>
        </w:rPr>
      </w:pPr>
    </w:p>
    <w:p w14:paraId="17BA4C3F" w14:textId="610BC95A" w:rsidR="001A1011" w:rsidRDefault="001A1011" w:rsidP="00565A2E">
      <w:pPr>
        <w:spacing w:after="0" w:line="276" w:lineRule="auto"/>
        <w:jc w:val="both"/>
        <w:rPr>
          <w:rFonts w:ascii="Geomanist Light" w:hAnsi="Geomanist Light"/>
          <w:b/>
          <w:color w:val="404040" w:themeColor="text1" w:themeTint="BF"/>
          <w:lang w:val="es-ES"/>
        </w:rPr>
      </w:pPr>
    </w:p>
    <w:p w14:paraId="1C3871F1" w14:textId="3C77E1C6" w:rsidR="001A1011" w:rsidRDefault="001A1011" w:rsidP="00565A2E">
      <w:pPr>
        <w:spacing w:after="0" w:line="276" w:lineRule="auto"/>
        <w:jc w:val="both"/>
        <w:rPr>
          <w:rFonts w:ascii="Geomanist Light" w:hAnsi="Geomanist Light"/>
          <w:b/>
          <w:color w:val="404040" w:themeColor="text1" w:themeTint="BF"/>
          <w:lang w:val="es-ES"/>
        </w:rPr>
      </w:pPr>
    </w:p>
    <w:p w14:paraId="5E1D3DBF" w14:textId="22D6B9E8" w:rsidR="001A1011" w:rsidRDefault="001A1011" w:rsidP="00565A2E">
      <w:pPr>
        <w:spacing w:after="0" w:line="276" w:lineRule="auto"/>
        <w:jc w:val="both"/>
        <w:rPr>
          <w:rFonts w:ascii="Geomanist Light" w:hAnsi="Geomanist Light"/>
          <w:b/>
          <w:color w:val="404040" w:themeColor="text1" w:themeTint="BF"/>
          <w:lang w:val="es-ES"/>
        </w:rPr>
      </w:pPr>
    </w:p>
    <w:p w14:paraId="22A6B3E1" w14:textId="704F73DC" w:rsidR="001A1011" w:rsidRDefault="001A1011" w:rsidP="00565A2E">
      <w:pPr>
        <w:spacing w:after="0" w:line="276" w:lineRule="auto"/>
        <w:jc w:val="both"/>
        <w:rPr>
          <w:rFonts w:ascii="Geomanist Light" w:hAnsi="Geomanist Light"/>
          <w:b/>
          <w:color w:val="404040" w:themeColor="text1" w:themeTint="BF"/>
          <w:lang w:val="es-ES"/>
        </w:rPr>
      </w:pPr>
    </w:p>
    <w:p w14:paraId="331CB6CF" w14:textId="6F9DEEA6" w:rsidR="001A1011" w:rsidRDefault="001A1011" w:rsidP="00565A2E">
      <w:pPr>
        <w:spacing w:after="0" w:line="276" w:lineRule="auto"/>
        <w:jc w:val="both"/>
        <w:rPr>
          <w:rFonts w:ascii="Geomanist Light" w:hAnsi="Geomanist Light"/>
          <w:b/>
          <w:color w:val="404040" w:themeColor="text1" w:themeTint="BF"/>
          <w:lang w:val="es-ES"/>
        </w:rPr>
      </w:pPr>
    </w:p>
    <w:p w14:paraId="18D95323" w14:textId="645730DE" w:rsidR="001A1011" w:rsidRDefault="001A1011" w:rsidP="00565A2E">
      <w:pPr>
        <w:spacing w:after="0" w:line="276" w:lineRule="auto"/>
        <w:jc w:val="both"/>
        <w:rPr>
          <w:rFonts w:ascii="Geomanist Light" w:hAnsi="Geomanist Light"/>
          <w:b/>
          <w:color w:val="404040" w:themeColor="text1" w:themeTint="BF"/>
          <w:lang w:val="es-ES"/>
        </w:rPr>
      </w:pPr>
    </w:p>
    <w:p w14:paraId="154D43B2" w14:textId="13A83168" w:rsidR="001A1011" w:rsidRDefault="001A1011" w:rsidP="00565A2E">
      <w:pPr>
        <w:spacing w:after="0" w:line="276" w:lineRule="auto"/>
        <w:jc w:val="both"/>
        <w:rPr>
          <w:rFonts w:ascii="Geomanist Light" w:hAnsi="Geomanist Light"/>
          <w:b/>
          <w:color w:val="404040" w:themeColor="text1" w:themeTint="BF"/>
          <w:lang w:val="es-ES"/>
        </w:rPr>
      </w:pPr>
    </w:p>
    <w:p w14:paraId="7B23AD64" w14:textId="22BFE0EC" w:rsidR="00C9405D" w:rsidRDefault="00C9405D" w:rsidP="00565A2E">
      <w:pPr>
        <w:spacing w:after="0" w:line="276" w:lineRule="auto"/>
        <w:jc w:val="both"/>
        <w:rPr>
          <w:rFonts w:ascii="Geomanist Light" w:hAnsi="Geomanist Light"/>
          <w:b/>
          <w:color w:val="002060"/>
          <w:lang w:val="es-ES"/>
        </w:rPr>
      </w:pPr>
    </w:p>
    <w:p w14:paraId="3624807F" w14:textId="31625BE8" w:rsidR="00C9405D" w:rsidRDefault="00C9405D" w:rsidP="00565A2E">
      <w:pPr>
        <w:spacing w:after="0" w:line="276" w:lineRule="auto"/>
        <w:jc w:val="both"/>
        <w:rPr>
          <w:rFonts w:ascii="Geomanist Light" w:hAnsi="Geomanist Light"/>
          <w:b/>
          <w:color w:val="002060"/>
          <w:lang w:val="es-ES"/>
        </w:rPr>
      </w:pPr>
    </w:p>
    <w:bookmarkEnd w:id="0"/>
    <w:p w14:paraId="0F293BF4" w14:textId="0F6FB6C1" w:rsidR="00127233" w:rsidRPr="006219F8" w:rsidRDefault="00127233" w:rsidP="00565A2E">
      <w:pPr>
        <w:spacing w:line="276" w:lineRule="auto"/>
        <w:jc w:val="both"/>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FDF71" w14:textId="77777777" w:rsidR="008E10B7" w:rsidRDefault="008E10B7" w:rsidP="004A1847">
      <w:pPr>
        <w:spacing w:after="0" w:line="240" w:lineRule="auto"/>
      </w:pPr>
      <w:r>
        <w:separator/>
      </w:r>
    </w:p>
  </w:endnote>
  <w:endnote w:type="continuationSeparator" w:id="0">
    <w:p w14:paraId="07B1E924" w14:textId="77777777" w:rsidR="008E10B7" w:rsidRDefault="008E10B7" w:rsidP="004A1847">
      <w:pPr>
        <w:spacing w:after="0" w:line="240" w:lineRule="auto"/>
      </w:pPr>
      <w:r>
        <w:continuationSeparator/>
      </w:r>
    </w:p>
  </w:endnote>
  <w:endnote w:type="continuationNotice" w:id="1">
    <w:p w14:paraId="5972D3D8" w14:textId="77777777" w:rsidR="008E10B7" w:rsidRDefault="008E10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FE0D4" w14:textId="77777777" w:rsidR="008E10B7" w:rsidRDefault="008E10B7" w:rsidP="004A1847">
      <w:pPr>
        <w:spacing w:after="0" w:line="240" w:lineRule="auto"/>
      </w:pPr>
      <w:r>
        <w:separator/>
      </w:r>
    </w:p>
  </w:footnote>
  <w:footnote w:type="continuationSeparator" w:id="0">
    <w:p w14:paraId="7137FE20" w14:textId="77777777" w:rsidR="008E10B7" w:rsidRDefault="008E10B7" w:rsidP="004A1847">
      <w:pPr>
        <w:spacing w:after="0" w:line="240" w:lineRule="auto"/>
      </w:pPr>
      <w:r>
        <w:continuationSeparator/>
      </w:r>
    </w:p>
  </w:footnote>
  <w:footnote w:type="continuationNotice" w:id="1">
    <w:p w14:paraId="524D433F" w14:textId="77777777" w:rsidR="008E10B7" w:rsidRDefault="008E10B7">
      <w:pPr>
        <w:spacing w:after="0" w:line="240" w:lineRule="auto"/>
      </w:pPr>
    </w:p>
  </w:footnote>
  <w:footnote w:id="2">
    <w:p w14:paraId="4161E3B7" w14:textId="77777777" w:rsidR="00CA7AF8" w:rsidRPr="00B126F6" w:rsidRDefault="00CA7AF8" w:rsidP="00CA7AF8">
      <w:pPr>
        <w:pStyle w:val="Textonotapie"/>
        <w:ind w:firstLine="708"/>
        <w:jc w:val="both"/>
        <w:rPr>
          <w:rFonts w:ascii="Arial" w:hAnsi="Arial" w:cs="Arial"/>
          <w:color w:val="000000"/>
          <w:sz w:val="18"/>
          <w:szCs w:val="18"/>
        </w:rPr>
      </w:pPr>
      <w:r w:rsidRPr="00B126F6">
        <w:rPr>
          <w:rStyle w:val="Refdenotaalpie"/>
          <w:rFonts w:ascii="Arial" w:hAnsi="Arial" w:cs="Arial"/>
          <w:sz w:val="18"/>
          <w:szCs w:val="18"/>
        </w:rPr>
        <w:footnoteRef/>
      </w:r>
      <w:r w:rsidRPr="00B126F6">
        <w:rPr>
          <w:rFonts w:ascii="Arial" w:hAnsi="Arial" w:cs="Arial"/>
          <w:sz w:val="18"/>
          <w:szCs w:val="18"/>
        </w:rPr>
        <w:t xml:space="preserve"> </w:t>
      </w:r>
      <w:r w:rsidRPr="00B126F6">
        <w:rPr>
          <w:rFonts w:ascii="Arial" w:hAnsi="Arial" w:cs="Arial"/>
          <w:color w:val="000000"/>
          <w:sz w:val="18"/>
          <w:szCs w:val="18"/>
        </w:rPr>
        <w:t>Procuraduría General de la Nación. Concepto del 15 de octubre de 2014. Procuraduría Delegada para Asuntos Disciplinarios. Radicado PAD C-114-2014.</w:t>
      </w:r>
    </w:p>
    <w:p w14:paraId="6369BBE5" w14:textId="77777777" w:rsidR="00CA7AF8" w:rsidRPr="00B126F6" w:rsidRDefault="00CA7AF8" w:rsidP="00CA7AF8">
      <w:pPr>
        <w:pStyle w:val="Textonotapie"/>
        <w:ind w:firstLine="708"/>
        <w:jc w:val="both"/>
        <w:rPr>
          <w:rFonts w:ascii="Arial" w:hAnsi="Arial" w:cs="Arial"/>
          <w:sz w:val="18"/>
          <w:szCs w:val="18"/>
          <w:lang w:val="es-ES"/>
        </w:rPr>
      </w:pPr>
    </w:p>
  </w:footnote>
  <w:footnote w:id="3">
    <w:p w14:paraId="6A5A26EA" w14:textId="77777777" w:rsidR="00CA7AF8" w:rsidRPr="00B126F6" w:rsidRDefault="00CA7AF8" w:rsidP="00CA7AF8">
      <w:pPr>
        <w:pStyle w:val="Textonotapie"/>
        <w:ind w:firstLine="708"/>
        <w:jc w:val="both"/>
        <w:rPr>
          <w:rFonts w:ascii="Arial" w:hAnsi="Arial" w:cs="Arial"/>
          <w:color w:val="000000"/>
          <w:sz w:val="18"/>
          <w:szCs w:val="18"/>
        </w:rPr>
      </w:pPr>
      <w:r w:rsidRPr="00B126F6">
        <w:rPr>
          <w:rStyle w:val="Refdenotaalpie"/>
          <w:rFonts w:ascii="Arial" w:hAnsi="Arial" w:cs="Arial"/>
          <w:sz w:val="18"/>
          <w:szCs w:val="18"/>
        </w:rPr>
        <w:footnoteRef/>
      </w:r>
      <w:r w:rsidRPr="00B126F6">
        <w:rPr>
          <w:rFonts w:ascii="Arial" w:hAnsi="Arial" w:cs="Arial"/>
          <w:sz w:val="18"/>
          <w:szCs w:val="18"/>
        </w:rPr>
        <w:t xml:space="preserve"> </w:t>
      </w:r>
      <w:r w:rsidRPr="00B126F6">
        <w:rPr>
          <w:rFonts w:ascii="Arial" w:hAnsi="Arial" w:cs="Arial"/>
          <w:color w:val="000000"/>
          <w:sz w:val="18"/>
          <w:szCs w:val="18"/>
        </w:rPr>
        <w:t>Contraloría General de la República. Oficina Jurídica. Concepto 80112-OJ-008 2017.</w:t>
      </w:r>
    </w:p>
    <w:p w14:paraId="1F93E056" w14:textId="77777777" w:rsidR="00CA7AF8" w:rsidRPr="00B126F6" w:rsidRDefault="00CA7AF8" w:rsidP="00CA7AF8">
      <w:pPr>
        <w:pStyle w:val="Textonotapie"/>
        <w:ind w:firstLine="708"/>
        <w:jc w:val="both"/>
        <w:rPr>
          <w:rFonts w:ascii="Arial" w:hAnsi="Arial" w:cs="Arial"/>
          <w:sz w:val="18"/>
          <w:szCs w:val="18"/>
          <w:lang w:val="es-ES"/>
        </w:rPr>
      </w:pPr>
    </w:p>
  </w:footnote>
  <w:footnote w:id="4">
    <w:p w14:paraId="07120A5A" w14:textId="77777777" w:rsidR="00CA7AF8" w:rsidRPr="00B126F6" w:rsidRDefault="00CA7AF8" w:rsidP="00CA7AF8">
      <w:pPr>
        <w:pStyle w:val="Textonotapie"/>
        <w:ind w:firstLine="708"/>
        <w:jc w:val="both"/>
        <w:rPr>
          <w:rFonts w:ascii="Arial" w:hAnsi="Arial" w:cs="Arial"/>
          <w:sz w:val="18"/>
          <w:szCs w:val="18"/>
          <w:lang w:val="es-ES"/>
        </w:rPr>
      </w:pPr>
      <w:r w:rsidRPr="00B126F6">
        <w:rPr>
          <w:rStyle w:val="Refdenotaalpie"/>
          <w:rFonts w:ascii="Arial" w:hAnsi="Arial" w:cs="Arial"/>
          <w:sz w:val="18"/>
          <w:szCs w:val="18"/>
        </w:rPr>
        <w:footnoteRef/>
      </w:r>
      <w:r w:rsidRPr="00B126F6">
        <w:rPr>
          <w:rFonts w:ascii="Arial" w:hAnsi="Arial" w:cs="Arial"/>
          <w:sz w:val="18"/>
          <w:szCs w:val="18"/>
        </w:rPr>
        <w:t xml:space="preserve"> </w:t>
      </w:r>
      <w:r w:rsidRPr="00B126F6">
        <w:rPr>
          <w:rFonts w:ascii="Arial" w:hAnsi="Arial" w:cs="Arial"/>
          <w:color w:val="000000"/>
          <w:sz w:val="18"/>
          <w:szCs w:val="18"/>
        </w:rPr>
        <w:t>ARBOLEDA PERDOMO, Enrique José. Comentarios al Nuevo Código de Procedimiento Administrativo y de lo Contencioso Administrativo (2ª ed.). Editorial Legis. Bogotá. 2012. p. 59</w:t>
      </w:r>
    </w:p>
  </w:footnote>
  <w:footnote w:id="5">
    <w:p w14:paraId="5606597D" w14:textId="4AB74E30" w:rsidR="00535540" w:rsidRPr="00FF6687" w:rsidRDefault="00535540" w:rsidP="00C13AA4">
      <w:pPr>
        <w:pStyle w:val="Textonotapie"/>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color w:val="000000" w:themeColor="text1"/>
          <w:sz w:val="18"/>
          <w:szCs w:val="18"/>
        </w:rPr>
        <w:t>«</w:t>
      </w:r>
      <w:r w:rsidRPr="00FF6687">
        <w:rPr>
          <w:rFonts w:ascii="Arial" w:hAnsi="Arial" w:cs="Arial"/>
          <w:sz w:val="18"/>
          <w:szCs w:val="18"/>
        </w:rPr>
        <w:t xml:space="preserve">Ver, entre otros: </w:t>
      </w:r>
      <w:r w:rsidR="004D45A1" w:rsidRPr="00FF6687">
        <w:rPr>
          <w:rFonts w:ascii="Arial" w:hAnsi="Arial" w:cs="Arial"/>
          <w:sz w:val="18"/>
          <w:szCs w:val="18"/>
        </w:rPr>
        <w:t>CONSEJO DE ESTADO</w:t>
      </w:r>
      <w:r w:rsidRPr="00FF6687">
        <w:rPr>
          <w:rFonts w:ascii="Arial" w:hAnsi="Arial" w:cs="Arial"/>
          <w:sz w:val="18"/>
          <w:szCs w:val="18"/>
        </w:rPr>
        <w:t>.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FF6687">
        <w:rPr>
          <w:rFonts w:ascii="Arial" w:hAnsi="Arial" w:cs="Arial"/>
          <w:color w:val="000000" w:themeColor="text1"/>
          <w:sz w:val="18"/>
          <w:szCs w:val="18"/>
        </w:rPr>
        <w:t>».</w:t>
      </w:r>
      <w:r w:rsidRPr="00FF6687">
        <w:rPr>
          <w:rFonts w:ascii="Arial" w:hAnsi="Arial" w:cs="Arial"/>
          <w:sz w:val="18"/>
          <w:szCs w:val="18"/>
        </w:rPr>
        <w:t xml:space="preserve"> Citado en CONSEJO DE ESTADO. Sala de lo Contencioso Administrativo. Sección Tercera – Subsección A. Sentencia del 16 de mayo de 2019. Rad. (40102). C.P: María Adriana Marín [cita No. 35]. </w:t>
      </w:r>
    </w:p>
  </w:footnote>
  <w:footnote w:id="6">
    <w:p w14:paraId="4CA3FFFA" w14:textId="77777777" w:rsidR="00535540" w:rsidRPr="00FF6687" w:rsidRDefault="00535540" w:rsidP="00C13AA4">
      <w:pPr>
        <w:pStyle w:val="Textonotapie"/>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 xml:space="preserve"> CONSEJO DE ESTADO. Sala de lo Contencioso Administrativo. Sección Tercera – Subsección A. Sentencia del 16 de mayo de 2019. Rad. (40102). C.P: María Adriana Marín</w:t>
      </w:r>
    </w:p>
  </w:footnote>
  <w:footnote w:id="7">
    <w:p w14:paraId="4AA0056B" w14:textId="77777777" w:rsidR="00535540" w:rsidRPr="00FF6687" w:rsidRDefault="00535540" w:rsidP="00C13AA4">
      <w:pPr>
        <w:pStyle w:val="Textonotapie"/>
        <w:ind w:firstLine="709"/>
        <w:jc w:val="both"/>
        <w:rPr>
          <w:rFonts w:ascii="Arial" w:hAnsi="Arial" w:cs="Arial"/>
          <w:sz w:val="18"/>
          <w:szCs w:val="18"/>
          <w:lang w:val="es-CO"/>
        </w:rPr>
      </w:pPr>
      <w:r w:rsidRPr="00FF6687">
        <w:rPr>
          <w:rStyle w:val="Refdenotaalpie"/>
          <w:rFonts w:ascii="Arial" w:hAnsi="Arial" w:cs="Arial"/>
          <w:sz w:val="18"/>
          <w:szCs w:val="18"/>
        </w:rPr>
        <w:footnoteRef/>
      </w:r>
      <w:r w:rsidRPr="00FF6687">
        <w:rPr>
          <w:rFonts w:ascii="Arial" w:hAnsi="Arial" w:cs="Arial"/>
          <w:sz w:val="18"/>
          <w:szCs w:val="18"/>
        </w:rPr>
        <w:t xml:space="preserve"> CONSEJO DE ESTADO. Sala de lo Contencioso Administrativo. Sección Tercera – Subsección C. Sentencia del 2 de octubre del 2020. Rad. 63644. CP. Jaime Enrique Rodríguez Nava. </w:t>
      </w:r>
    </w:p>
  </w:footnote>
  <w:footnote w:id="8">
    <w:p w14:paraId="77FCAD6A" w14:textId="77777777" w:rsidR="00535540" w:rsidRPr="00FF6687" w:rsidRDefault="00535540" w:rsidP="00C13AA4">
      <w:pPr>
        <w:pStyle w:val="Textonotapie"/>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 xml:space="preserve"> </w:t>
      </w:r>
      <w:r w:rsidRPr="00FF6687">
        <w:rPr>
          <w:rFonts w:ascii="Arial" w:hAnsi="Arial" w:cs="Arial"/>
          <w:color w:val="000000" w:themeColor="text1"/>
          <w:sz w:val="18"/>
          <w:szCs w:val="18"/>
        </w:rPr>
        <w:t>CONSEJO DE ESTADO. Sección Tercera. Sentencia de 22 de junio de 2001. Exp. 13436, C.P. Ricardo Hoyos Duque</w:t>
      </w:r>
    </w:p>
  </w:footnote>
  <w:footnote w:id="9">
    <w:p w14:paraId="3395A9A7" w14:textId="77777777" w:rsidR="00535540" w:rsidRPr="00FF6687" w:rsidRDefault="00535540" w:rsidP="00C13AA4">
      <w:pPr>
        <w:pStyle w:val="Textonotapie"/>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FF6687">
        <w:rPr>
          <w:rFonts w:ascii="Arial" w:eastAsia="Calibri" w:hAnsi="Arial" w:cs="Arial"/>
          <w:color w:val="000000" w:themeColor="text1"/>
          <w:sz w:val="18"/>
          <w:szCs w:val="18"/>
        </w:rPr>
        <w:t>» (</w:t>
      </w:r>
      <w:r w:rsidRPr="00FF6687">
        <w:rPr>
          <w:rFonts w:ascii="Arial" w:hAnsi="Arial" w:cs="Arial"/>
          <w:sz w:val="18"/>
          <w:szCs w:val="18"/>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FF6687">
        <w:rPr>
          <w:rFonts w:ascii="Arial" w:eastAsia="Calibri" w:hAnsi="Arial" w:cs="Arial"/>
          <w:color w:val="000000" w:themeColor="text1"/>
          <w:sz w:val="18"/>
          <w:szCs w:val="18"/>
        </w:rPr>
        <w:t>»</w:t>
      </w:r>
      <w:r w:rsidRPr="00FF6687">
        <w:rPr>
          <w:rFonts w:ascii="Arial" w:hAnsi="Arial" w:cs="Arial"/>
          <w:sz w:val="18"/>
          <w:szCs w:val="18"/>
        </w:rPr>
        <w:t xml:space="preserve"> (MATALLANA CAMACHO, Ernesto. Manual de Contratación de la Administración Pública. Reforma de la Ley 80 de 1993. Bogotá: Universidad Externado de Colombia, 4 ed., 2015, p. 921 y ss).</w:t>
      </w:r>
    </w:p>
  </w:footnote>
  <w:footnote w:id="10">
    <w:p w14:paraId="2C805CDE" w14:textId="2A8B673F" w:rsidR="00535540" w:rsidRPr="00FF6687" w:rsidRDefault="00535540" w:rsidP="00C13AA4">
      <w:pPr>
        <w:spacing w:after="0" w:line="240" w:lineRule="auto"/>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 xml:space="preserve"> </w:t>
      </w:r>
      <w:r w:rsidR="00C13AA4" w:rsidRPr="00FF6687">
        <w:rPr>
          <w:rFonts w:ascii="Arial" w:hAnsi="Arial" w:cs="Arial"/>
          <w:sz w:val="18"/>
          <w:szCs w:val="18"/>
        </w:rPr>
        <w:t>CONSEJO DE ESTADO</w:t>
      </w:r>
      <w:r w:rsidRPr="00FF6687">
        <w:rPr>
          <w:rFonts w:ascii="Arial" w:hAnsi="Arial" w:cs="Arial"/>
          <w:sz w:val="18"/>
          <w:szCs w:val="18"/>
        </w:rPr>
        <w:t>. Sala Plena de lo Contencioso Administrativo. Sentencia del 8 de agosto de 2001. Exp. AC-10966 - AC-11274. Consejero Ponente: Reinaldo Chavarro Buriticá.</w:t>
      </w:r>
    </w:p>
  </w:footnote>
  <w:footnote w:id="11">
    <w:p w14:paraId="53776912" w14:textId="77777777" w:rsidR="00535540" w:rsidRPr="00FF6687" w:rsidRDefault="00535540" w:rsidP="00C13AA4">
      <w:pPr>
        <w:pStyle w:val="Sinespaciado"/>
        <w:ind w:firstLine="708"/>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 xml:space="preserve"> ARTÍCULO 2.2.1.2.3.1.7. Garantía de cumplimiento. La garantía de cumplimiento del contrato debe cubrir:</w:t>
      </w:r>
    </w:p>
    <w:p w14:paraId="2706A8C3"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58516C8"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1DC7DD9C"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3. Cumplimiento del contrato. Este amparo cubre a la Entidad Estatal de los perjuicios derivados de:</w:t>
      </w:r>
    </w:p>
    <w:p w14:paraId="178D732E"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3.1. El incumplimiento total o parcial del contrato, cuando el incumplimiento es imputable al contratista;</w:t>
      </w:r>
    </w:p>
    <w:p w14:paraId="28886675"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3.2. El cumplimiento tardío o defectuoso del contrato, cuando el incumplimiento es imputable al contratista;</w:t>
      </w:r>
    </w:p>
    <w:p w14:paraId="13CF5991"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3.3. Los daños imputables al contratista por entregas parciales de la obra, cuando el contrato no prevé entregas parciales; y</w:t>
      </w:r>
    </w:p>
    <w:p w14:paraId="14ABD8F5"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3.4. El pago del valor de las multas y de la cláusula penal pecuniaria.</w:t>
      </w:r>
    </w:p>
    <w:p w14:paraId="1FAEFB35"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16E7EFAE"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La Entidad Estatal no debe exigir una garantía para cubrir este Riesgo en los contratos que se ejecuten fuera del territorio nacional con personal contratado bajo un régimen jurídico distinto al colombiano.</w:t>
      </w:r>
    </w:p>
    <w:p w14:paraId="5AE2AE5E"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5. Estabilidad y calidad de la obra. Este amparo cubre a la Entidad Estatal de los perjuicios ocasionados por cualquier tipo de daño o deterioro, imputable al contratista, sufrido por la obra entregada a satisfacción.</w:t>
      </w:r>
    </w:p>
    <w:p w14:paraId="454822EA"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6. Calidad del servicio. Este amparo cubre a la Entidad Estatal por los perjuicios derivados de la deficiente calidad del servicio prestado.</w:t>
      </w:r>
    </w:p>
    <w:p w14:paraId="7B7051E2" w14:textId="77777777" w:rsidR="00535540" w:rsidRPr="00FF6687" w:rsidRDefault="00535540" w:rsidP="00C13AA4">
      <w:pPr>
        <w:pStyle w:val="Sinespaciado"/>
        <w:ind w:firstLine="708"/>
        <w:jc w:val="both"/>
        <w:rPr>
          <w:rFonts w:ascii="Arial" w:hAnsi="Arial" w:cs="Arial"/>
          <w:sz w:val="18"/>
          <w:szCs w:val="18"/>
        </w:rPr>
      </w:pPr>
      <w:r w:rsidRPr="00FF6687">
        <w:rPr>
          <w:rFonts w:ascii="Arial" w:eastAsia="Calibri" w:hAnsi="Arial" w:cs="Arial"/>
          <w:sz w:val="18"/>
          <w:szCs w:val="18"/>
          <w:lang w:val="es-ES"/>
        </w:rPr>
        <w:t>«</w:t>
      </w:r>
      <w:r w:rsidRPr="00FF6687">
        <w:rPr>
          <w:rFonts w:ascii="Arial" w:hAnsi="Arial" w:cs="Arial"/>
          <w:sz w:val="18"/>
          <w:szCs w:val="18"/>
        </w:rPr>
        <w:t>7. Calidad y correcto funcionamiento de los bienes. Este amparo debe cubrir la calidad y el correcto funcionamiento de los bienes que recibe la Entidad Estatal en cumplimiento de un contrato.</w:t>
      </w:r>
    </w:p>
    <w:p w14:paraId="1F023401" w14:textId="77777777" w:rsidR="00535540" w:rsidRPr="00FF6687" w:rsidRDefault="00535540" w:rsidP="00C13AA4">
      <w:pPr>
        <w:pStyle w:val="Sinespaciado"/>
        <w:ind w:firstLine="708"/>
        <w:jc w:val="both"/>
        <w:rPr>
          <w:rFonts w:ascii="Arial" w:hAnsi="Arial" w:cs="Arial"/>
          <w:sz w:val="18"/>
          <w:szCs w:val="18"/>
          <w:lang w:val="es-CO"/>
        </w:rPr>
      </w:pPr>
      <w:r w:rsidRPr="00FF6687">
        <w:rPr>
          <w:rFonts w:ascii="Arial" w:eastAsia="Calibri" w:hAnsi="Arial" w:cs="Arial"/>
          <w:sz w:val="18"/>
          <w:szCs w:val="18"/>
          <w:lang w:val="es-ES"/>
        </w:rPr>
        <w:t>«</w:t>
      </w:r>
      <w:r w:rsidRPr="00FF6687">
        <w:rPr>
          <w:rFonts w:ascii="Arial" w:hAnsi="Arial" w:cs="Arial"/>
          <w:sz w:val="18"/>
          <w:szCs w:val="18"/>
        </w:rPr>
        <w:t>8. Los demás incumplimientos de obligaciones que la Entidad Estatal considere deben ser amparados de manera proporcional y acorde a la naturaleza del contrato.</w:t>
      </w:r>
    </w:p>
  </w:footnote>
  <w:footnote w:id="12">
    <w:p w14:paraId="3291C93B" w14:textId="77777777" w:rsidR="00535540" w:rsidRPr="00FF6687" w:rsidRDefault="00535540" w:rsidP="00C13AA4">
      <w:pPr>
        <w:pStyle w:val="NormalWeb"/>
        <w:shd w:val="clear" w:color="auto" w:fill="FFFFFF"/>
        <w:spacing w:before="0" w:beforeAutospacing="0" w:after="0" w:afterAutospacing="0"/>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eastAsia="Calibri" w:hAnsi="Arial" w:cs="Arial"/>
          <w:sz w:val="18"/>
          <w:szCs w:val="18"/>
        </w:rPr>
        <w:t>«</w:t>
      </w:r>
      <w:r w:rsidRPr="00FF6687">
        <w:rPr>
          <w:rFonts w:ascii="Arial" w:hAnsi="Arial" w:cs="Arial"/>
          <w:sz w:val="18"/>
          <w:szCs w:val="18"/>
        </w:rPr>
        <w:t>Artículo 2.2.1.1.2.4.1.</w:t>
      </w:r>
      <w:r w:rsidRPr="00FF6687">
        <w:rPr>
          <w:rFonts w:ascii="Arial" w:hAnsi="Arial" w:cs="Arial"/>
          <w:i/>
          <w:iCs/>
          <w:sz w:val="18"/>
          <w:szCs w:val="18"/>
        </w:rPr>
        <w:t> </w:t>
      </w:r>
      <w:r w:rsidRPr="00FF6687">
        <w:rPr>
          <w:rFonts w:ascii="Arial" w:hAnsi="Arial" w:cs="Arial"/>
          <w:sz w:val="18"/>
          <w:szCs w:val="18"/>
        </w:rPr>
        <w:t>Patrimonio autónomo para el manejo de anticipos.</w:t>
      </w:r>
      <w:r w:rsidRPr="00FF6687">
        <w:rPr>
          <w:rFonts w:ascii="Arial" w:hAnsi="Arial" w:cs="Arial"/>
          <w:i/>
          <w:iCs/>
          <w:sz w:val="18"/>
          <w:szCs w:val="18"/>
        </w:rPr>
        <w:t> </w:t>
      </w:r>
      <w:r w:rsidRPr="00FF6687">
        <w:rPr>
          <w:rFonts w:ascii="Arial" w:hAnsi="Arial" w:cs="Arial"/>
          <w:sz w:val="18"/>
          <w:szCs w:val="18"/>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1DE19F1F" w14:textId="77777777" w:rsidR="00535540" w:rsidRPr="00FF6687" w:rsidRDefault="00535540" w:rsidP="00C13AA4">
      <w:pPr>
        <w:pStyle w:val="NormalWeb"/>
        <w:shd w:val="clear" w:color="auto" w:fill="FFFFFF"/>
        <w:spacing w:before="0" w:beforeAutospacing="0" w:after="0" w:afterAutospacing="0"/>
        <w:ind w:firstLine="709"/>
        <w:jc w:val="both"/>
        <w:rPr>
          <w:rFonts w:ascii="Arial" w:hAnsi="Arial" w:cs="Arial"/>
          <w:sz w:val="18"/>
          <w:szCs w:val="18"/>
        </w:rPr>
      </w:pPr>
      <w:r w:rsidRPr="00FF6687">
        <w:rPr>
          <w:rFonts w:ascii="Arial" w:eastAsia="Calibri" w:hAnsi="Arial" w:cs="Arial"/>
          <w:sz w:val="18"/>
          <w:szCs w:val="18"/>
        </w:rPr>
        <w:t>«</w:t>
      </w:r>
      <w:r w:rsidRPr="00FF6687">
        <w:rPr>
          <w:rFonts w:ascii="Arial" w:hAnsi="Arial" w:cs="Arial"/>
          <w:sz w:val="18"/>
          <w:szCs w:val="18"/>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73A2350F" w14:textId="77777777" w:rsidR="00535540" w:rsidRPr="00FF6687" w:rsidRDefault="00535540" w:rsidP="00C13AA4">
      <w:pPr>
        <w:pStyle w:val="NormalWeb"/>
        <w:shd w:val="clear" w:color="auto" w:fill="FFFFFF"/>
        <w:spacing w:before="0" w:beforeAutospacing="0" w:after="0" w:afterAutospacing="0"/>
        <w:ind w:firstLine="709"/>
        <w:jc w:val="both"/>
        <w:rPr>
          <w:rFonts w:ascii="Arial" w:hAnsi="Arial" w:cs="Arial"/>
          <w:sz w:val="18"/>
          <w:szCs w:val="18"/>
        </w:rPr>
      </w:pPr>
      <w:r w:rsidRPr="00FF6687">
        <w:rPr>
          <w:rFonts w:ascii="Arial" w:eastAsia="Calibri" w:hAnsi="Arial" w:cs="Arial"/>
          <w:sz w:val="18"/>
          <w:szCs w:val="18"/>
        </w:rPr>
        <w:t>«</w:t>
      </w:r>
      <w:r w:rsidRPr="00FF6687">
        <w:rPr>
          <w:rFonts w:ascii="Arial" w:hAnsi="Arial" w:cs="Arial"/>
          <w:sz w:val="18"/>
          <w:szCs w:val="18"/>
        </w:rPr>
        <w:t>En los pliegos de condiciones, la Entidad Estatal debe establecer los términos y condiciones de la administración del anticipo a través del patrimonio autónomo.</w:t>
      </w:r>
    </w:p>
    <w:p w14:paraId="30DA879F" w14:textId="77777777" w:rsidR="00535540" w:rsidRPr="00FF6687" w:rsidRDefault="00535540" w:rsidP="00C13AA4">
      <w:pPr>
        <w:pStyle w:val="NormalWeb"/>
        <w:shd w:val="clear" w:color="auto" w:fill="FFFFFF"/>
        <w:spacing w:before="0" w:beforeAutospacing="0" w:after="0" w:afterAutospacing="0"/>
        <w:ind w:firstLine="709"/>
        <w:jc w:val="both"/>
        <w:rPr>
          <w:rFonts w:ascii="Arial" w:eastAsia="Calibri" w:hAnsi="Arial" w:cs="Arial"/>
          <w:sz w:val="18"/>
          <w:szCs w:val="18"/>
        </w:rPr>
      </w:pPr>
      <w:r w:rsidRPr="00FF6687">
        <w:rPr>
          <w:rFonts w:ascii="Arial" w:eastAsia="Calibri" w:hAnsi="Arial" w:cs="Arial"/>
          <w:sz w:val="18"/>
          <w:szCs w:val="18"/>
        </w:rPr>
        <w:t>«</w:t>
      </w:r>
      <w:r w:rsidRPr="00FF6687">
        <w:rPr>
          <w:rFonts w:ascii="Arial" w:hAnsi="Arial" w:cs="Arial"/>
          <w:sz w:val="18"/>
          <w:szCs w:val="18"/>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FF6687">
        <w:rPr>
          <w:rFonts w:ascii="Arial" w:eastAsia="Calibri" w:hAnsi="Arial" w:cs="Arial"/>
          <w:sz w:val="18"/>
          <w:szCs w:val="18"/>
        </w:rPr>
        <w:t>».</w:t>
      </w:r>
    </w:p>
    <w:p w14:paraId="4A91AC50" w14:textId="77777777" w:rsidR="00535540" w:rsidRPr="00FF6687" w:rsidRDefault="00535540" w:rsidP="00C13AA4">
      <w:pPr>
        <w:pStyle w:val="NormalWeb"/>
        <w:shd w:val="clear" w:color="auto" w:fill="FFFFFF"/>
        <w:spacing w:before="0" w:beforeAutospacing="0" w:after="0" w:afterAutospacing="0"/>
        <w:ind w:firstLine="709"/>
        <w:jc w:val="both"/>
        <w:rPr>
          <w:rFonts w:ascii="Arial" w:hAnsi="Arial" w:cs="Arial"/>
          <w:sz w:val="18"/>
          <w:szCs w:val="18"/>
        </w:rPr>
      </w:pPr>
    </w:p>
  </w:footnote>
  <w:footnote w:id="13">
    <w:p w14:paraId="518C52D3" w14:textId="1298B89A" w:rsidR="00535540" w:rsidRPr="00FF6687" w:rsidRDefault="00535540" w:rsidP="00C13AA4">
      <w:pPr>
        <w:pStyle w:val="Textonotapie"/>
        <w:ind w:firstLine="709"/>
        <w:jc w:val="both"/>
        <w:rPr>
          <w:rFonts w:ascii="Arial" w:hAnsi="Arial" w:cs="Arial"/>
          <w:sz w:val="18"/>
          <w:szCs w:val="18"/>
        </w:rPr>
      </w:pPr>
      <w:r w:rsidRPr="00FF6687">
        <w:rPr>
          <w:rStyle w:val="Refdenotaalpie"/>
          <w:rFonts w:ascii="Arial" w:hAnsi="Arial" w:cs="Arial"/>
          <w:sz w:val="18"/>
          <w:szCs w:val="18"/>
        </w:rPr>
        <w:footnoteRef/>
      </w:r>
      <w:r w:rsidRPr="00FF6687">
        <w:rPr>
          <w:rFonts w:ascii="Arial" w:hAnsi="Arial" w:cs="Arial"/>
          <w:sz w:val="18"/>
          <w:szCs w:val="18"/>
        </w:rPr>
        <w:t xml:space="preserve"> Sobre el particular, se puede consultar la exposición de motivos de la Ley 1474 de 2011, Gaceta 607 del 2010, disponible en:  </w:t>
      </w:r>
      <w:hyperlink r:id="rId1" w:history="1">
        <w:r w:rsidRPr="00FF6687">
          <w:rPr>
            <w:rStyle w:val="Hipervnculo"/>
            <w:rFonts w:ascii="Arial" w:hAnsi="Arial" w:cs="Arial"/>
            <w:sz w:val="18"/>
            <w:szCs w:val="18"/>
          </w:rPr>
          <w:t>http://svrpubindc.imprenta.gov.co/senado/index.xhtml;jsessionid=b3ba7213a248bacd37376ffcedca</w:t>
        </w:r>
      </w:hyperlink>
      <w:r w:rsidR="00C07D9F">
        <w:rPr>
          <w:rStyle w:val="Hipervnculo"/>
          <w:rFonts w:ascii="Arial" w:hAnsi="Arial" w:cs="Arial"/>
          <w:sz w:val="18"/>
          <w:szCs w:val="18"/>
        </w:rPr>
        <w:t xml:space="preserve"> </w:t>
      </w:r>
      <w:r w:rsidRPr="00FF6687">
        <w:rPr>
          <w:rFonts w:ascii="Arial" w:hAnsi="Arial" w:cs="Arial"/>
          <w:sz w:val="18"/>
          <w:szCs w:val="18"/>
        </w:rPr>
        <w:t xml:space="preserve"> </w:t>
      </w:r>
    </w:p>
  </w:footnote>
  <w:footnote w:id="14">
    <w:p w14:paraId="0F5259B9" w14:textId="1D9B2B2A" w:rsidR="00535540" w:rsidRPr="00FF6687" w:rsidRDefault="00535540" w:rsidP="00C13AA4">
      <w:pPr>
        <w:pStyle w:val="Sinespaciado"/>
        <w:ind w:firstLine="708"/>
        <w:jc w:val="both"/>
        <w:rPr>
          <w:rFonts w:ascii="Arial" w:hAnsi="Arial" w:cs="Arial"/>
          <w:sz w:val="18"/>
          <w:szCs w:val="18"/>
          <w:lang w:val="es-ES"/>
        </w:rPr>
      </w:pPr>
      <w:r w:rsidRPr="00FF6687">
        <w:rPr>
          <w:rStyle w:val="Refdenotaalpie"/>
          <w:rFonts w:ascii="Arial" w:hAnsi="Arial" w:cs="Arial"/>
          <w:sz w:val="18"/>
          <w:szCs w:val="18"/>
        </w:rPr>
        <w:footnoteRef/>
      </w:r>
      <w:r w:rsidRPr="00FF6687">
        <w:rPr>
          <w:rFonts w:ascii="Arial" w:hAnsi="Arial" w:cs="Arial"/>
          <w:sz w:val="18"/>
          <w:szCs w:val="18"/>
        </w:rPr>
        <w:t xml:space="preserve"> </w:t>
      </w:r>
      <w:r w:rsidRPr="00FF6687">
        <w:rPr>
          <w:rFonts w:ascii="Arial" w:hAnsi="Arial" w:cs="Arial"/>
          <w:sz w:val="18"/>
          <w:szCs w:val="18"/>
          <w:lang w:val="es-ES"/>
        </w:rPr>
        <w:t xml:space="preserve">La Guía para el manejo de anticipos mediante contrato de fiducia irrevocable puede ser consultada en: </w:t>
      </w:r>
      <w:hyperlink r:id="rId2" w:history="1">
        <w:r w:rsidR="00AD3E20" w:rsidRPr="00767B4E">
          <w:rPr>
            <w:rStyle w:val="Hipervnculo"/>
            <w:rFonts w:ascii="Arial" w:hAnsi="Arial" w:cs="Arial"/>
            <w:sz w:val="18"/>
            <w:szCs w:val="18"/>
            <w:lang w:val="es-ES"/>
          </w:rPr>
          <w:t>https://www.colombiacompra.gov.co/sites/cce_public/files/cce_documents/cce_guia_manejo_anticipos.pdf</w:t>
        </w:r>
      </w:hyperlink>
      <w:r w:rsidR="00AD3E20">
        <w:rPr>
          <w:rFonts w:ascii="Arial" w:hAnsi="Arial" w:cs="Arial"/>
          <w:sz w:val="18"/>
          <w:szCs w:val="18"/>
          <w:lang w:val="es-ES"/>
        </w:rPr>
        <w:t xml:space="preserve"> </w:t>
      </w:r>
    </w:p>
  </w:footnote>
  <w:footnote w:id="15">
    <w:p w14:paraId="0053F759" w14:textId="7A0F167E" w:rsidR="00D83255" w:rsidRPr="00B126F6" w:rsidRDefault="00D83255" w:rsidP="00757EEE">
      <w:pPr>
        <w:pStyle w:val="Textonotapie"/>
        <w:ind w:firstLine="708"/>
        <w:jc w:val="both"/>
        <w:rPr>
          <w:rFonts w:ascii="Arial" w:hAnsi="Arial" w:cs="Arial"/>
          <w:sz w:val="18"/>
          <w:szCs w:val="18"/>
          <w:lang w:val="es-ES_tradnl"/>
        </w:rPr>
      </w:pPr>
      <w:r w:rsidRPr="00B126F6">
        <w:rPr>
          <w:rStyle w:val="Refdenotaalpie"/>
          <w:rFonts w:ascii="Arial" w:hAnsi="Arial" w:cs="Arial"/>
          <w:sz w:val="18"/>
          <w:szCs w:val="18"/>
        </w:rPr>
        <w:footnoteRef/>
      </w:r>
      <w:r w:rsidRPr="00B126F6">
        <w:rPr>
          <w:rFonts w:ascii="Arial" w:hAnsi="Arial" w:cs="Arial"/>
          <w:sz w:val="18"/>
          <w:szCs w:val="18"/>
        </w:rPr>
        <w:t xml:space="preserve"> Ver también</w:t>
      </w:r>
      <w:r w:rsidR="005C0F31" w:rsidRPr="00B126F6">
        <w:rPr>
          <w:rFonts w:ascii="Arial" w:hAnsi="Arial" w:cs="Arial"/>
          <w:sz w:val="18"/>
          <w:szCs w:val="18"/>
        </w:rPr>
        <w:t xml:space="preserve">, </w:t>
      </w:r>
      <w:r w:rsidR="00FE5425" w:rsidRPr="00B126F6">
        <w:rPr>
          <w:rFonts w:ascii="Arial" w:hAnsi="Arial" w:cs="Arial"/>
          <w:sz w:val="18"/>
          <w:szCs w:val="18"/>
        </w:rPr>
        <w:t xml:space="preserve">F. </w:t>
      </w:r>
      <w:r w:rsidR="005C0F31" w:rsidRPr="00B126F6">
        <w:rPr>
          <w:rFonts w:ascii="Arial" w:hAnsi="Arial" w:cs="Arial"/>
          <w:sz w:val="18"/>
          <w:szCs w:val="18"/>
        </w:rPr>
        <w:t xml:space="preserve">SAVIGNY, </w:t>
      </w:r>
      <w:r w:rsidR="005C0F31" w:rsidRPr="00B126F6">
        <w:rPr>
          <w:rFonts w:ascii="Arial" w:hAnsi="Arial" w:cs="Arial"/>
          <w:i/>
          <w:iCs/>
          <w:sz w:val="18"/>
          <w:szCs w:val="18"/>
        </w:rPr>
        <w:t>«</w:t>
      </w:r>
      <w:r w:rsidR="00652C67" w:rsidRPr="00B126F6">
        <w:rPr>
          <w:rFonts w:ascii="Arial" w:hAnsi="Arial" w:cs="Arial"/>
          <w:i/>
          <w:iCs/>
          <w:sz w:val="18"/>
          <w:szCs w:val="18"/>
        </w:rPr>
        <w:t>Sistema del derecho romano actual»</w:t>
      </w:r>
      <w:r w:rsidR="00FE5425" w:rsidRPr="00B126F6">
        <w:rPr>
          <w:rFonts w:ascii="Arial" w:hAnsi="Arial" w:cs="Arial"/>
          <w:i/>
          <w:iCs/>
          <w:sz w:val="18"/>
          <w:szCs w:val="18"/>
        </w:rPr>
        <w:t>,</w:t>
      </w:r>
      <w:r w:rsidR="00FE5425" w:rsidRPr="00B126F6">
        <w:rPr>
          <w:rFonts w:ascii="Arial" w:hAnsi="Arial" w:cs="Arial"/>
          <w:sz w:val="18"/>
          <w:szCs w:val="18"/>
        </w:rPr>
        <w:t xml:space="preserve"> referente en torno a la </w:t>
      </w:r>
      <w:r w:rsidR="00114592" w:rsidRPr="00B126F6">
        <w:rPr>
          <w:rFonts w:ascii="Arial" w:hAnsi="Arial" w:cs="Arial"/>
          <w:sz w:val="18"/>
          <w:szCs w:val="18"/>
        </w:rPr>
        <w:t>interpretación de la Ley</w:t>
      </w:r>
      <w:r w:rsidR="004B69F7" w:rsidRPr="00B126F6">
        <w:rPr>
          <w:rFonts w:ascii="Arial" w:hAnsi="Arial" w:cs="Arial"/>
          <w:sz w:val="18"/>
          <w:szCs w:val="18"/>
        </w:rPr>
        <w:t>, específicamente cuando señala: «</w:t>
      </w:r>
      <w:r w:rsidR="006F4B25" w:rsidRPr="00B126F6">
        <w:rPr>
          <w:rFonts w:ascii="Arial" w:hAnsi="Arial" w:cs="Arial"/>
          <w:sz w:val="18"/>
          <w:szCs w:val="18"/>
        </w:rPr>
        <w:t>Se notará, por lo dicho hasta ahora, la interpretación de la Ley en dada difiere de la interpretación de cualquier otro pensamiento expresado por el lenguaje</w:t>
      </w:r>
      <w:r w:rsidR="00DC3AF4" w:rsidRPr="00B126F6">
        <w:rPr>
          <w:rFonts w:ascii="Arial" w:hAnsi="Arial" w:cs="Arial"/>
          <w:sz w:val="18"/>
          <w:szCs w:val="18"/>
        </w:rPr>
        <w:t xml:space="preserve"> </w:t>
      </w:r>
      <w:r w:rsidR="00DC3AF4" w:rsidRPr="00B126F6">
        <w:rPr>
          <w:rFonts w:ascii="Arial" w:hAnsi="Arial" w:cs="Arial"/>
          <w:sz w:val="18"/>
          <w:szCs w:val="18"/>
          <w:lang w:val="es-ES_tradnl"/>
        </w:rPr>
        <w:t>[…]</w:t>
      </w:r>
      <w:r w:rsidR="00DC3AF4" w:rsidRPr="00B126F6">
        <w:rPr>
          <w:rFonts w:ascii="Arial" w:hAnsi="Arial" w:cs="Arial"/>
          <w:color w:val="000000" w:themeColor="text1"/>
          <w:sz w:val="18"/>
          <w:szCs w:val="18"/>
          <w:lang w:val="es-ES_tradnl"/>
        </w:rPr>
        <w:t xml:space="preserve"> Cuatro elementos se distinguen en ella, a saber: el </w:t>
      </w:r>
      <w:r w:rsidR="00757EEE" w:rsidRPr="00B126F6">
        <w:rPr>
          <w:rFonts w:ascii="Arial" w:hAnsi="Arial" w:cs="Arial"/>
          <w:color w:val="000000" w:themeColor="text1"/>
          <w:sz w:val="18"/>
          <w:szCs w:val="18"/>
          <w:lang w:val="es-ES_tradnl"/>
        </w:rPr>
        <w:t>gramatical</w:t>
      </w:r>
      <w:r w:rsidR="00DC3AF4" w:rsidRPr="00B126F6">
        <w:rPr>
          <w:rFonts w:ascii="Arial" w:hAnsi="Arial" w:cs="Arial"/>
          <w:color w:val="000000" w:themeColor="text1"/>
          <w:sz w:val="18"/>
          <w:szCs w:val="18"/>
          <w:lang w:val="es-ES_tradnl"/>
        </w:rPr>
        <w:t xml:space="preserve">, el lógico, el histórico y el </w:t>
      </w:r>
      <w:r w:rsidR="00757EEE" w:rsidRPr="00B126F6">
        <w:rPr>
          <w:rFonts w:ascii="Arial" w:hAnsi="Arial" w:cs="Arial"/>
          <w:color w:val="000000" w:themeColor="text1"/>
          <w:sz w:val="18"/>
          <w:szCs w:val="18"/>
          <w:lang w:val="es-ES_tradnl"/>
        </w:rPr>
        <w:t>sistemático.</w:t>
      </w:r>
      <w:r w:rsidR="00757EEE" w:rsidRPr="00B126F6">
        <w:rPr>
          <w:rFonts w:ascii="Arial" w:hAnsi="Arial" w:cs="Arial"/>
          <w:sz w:val="18"/>
          <w:szCs w:val="18"/>
          <w:lang w:val="es-ES_tradnl"/>
        </w:rPr>
        <w:t xml:space="preserve"> […] El estudio de estos cuatro elementos agota el contenido de la Ley.</w:t>
      </w:r>
    </w:p>
  </w:footnote>
  <w:footnote w:id="16">
    <w:p w14:paraId="2D211A17" w14:textId="4CE9C284" w:rsidR="006A1B75" w:rsidRPr="00B126F6" w:rsidRDefault="006A1B75" w:rsidP="00B126F6">
      <w:pPr>
        <w:pStyle w:val="Textonotapie"/>
        <w:ind w:firstLine="708"/>
        <w:rPr>
          <w:rFonts w:ascii="Arial" w:hAnsi="Arial" w:cs="Arial"/>
          <w:sz w:val="18"/>
          <w:szCs w:val="18"/>
          <w:lang w:val="es-CO"/>
        </w:rPr>
      </w:pPr>
      <w:r w:rsidRPr="00B126F6">
        <w:rPr>
          <w:rStyle w:val="Refdenotaalpie"/>
          <w:rFonts w:ascii="Arial" w:hAnsi="Arial" w:cs="Arial"/>
          <w:sz w:val="18"/>
          <w:szCs w:val="18"/>
        </w:rPr>
        <w:footnoteRef/>
      </w:r>
      <w:r w:rsidRPr="00B126F6">
        <w:rPr>
          <w:rFonts w:ascii="Arial" w:hAnsi="Arial" w:cs="Arial"/>
          <w:sz w:val="18"/>
          <w:szCs w:val="18"/>
        </w:rPr>
        <w:t xml:space="preserve"> </w:t>
      </w:r>
      <w:r w:rsidR="00B126F6" w:rsidRPr="00B126F6">
        <w:rPr>
          <w:rStyle w:val="baj"/>
          <w:rFonts w:ascii="Arial" w:hAnsi="Arial" w:cs="Arial"/>
          <w:sz w:val="18"/>
          <w:szCs w:val="18"/>
        </w:rPr>
        <w:t>Ley 84 de 1873, artículo 27 y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2AE016A"/>
    <w:multiLevelType w:val="multilevel"/>
    <w:tmpl w:val="96C69084"/>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5"/>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500395951">
    <w:abstractNumId w:val="2"/>
  </w:num>
  <w:num w:numId="2" w16cid:durableId="1408454564">
    <w:abstractNumId w:val="0"/>
  </w:num>
  <w:num w:numId="3" w16cid:durableId="1897622572">
    <w:abstractNumId w:val="1"/>
  </w:num>
  <w:num w:numId="4" w16cid:durableId="1408453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1DC"/>
    <w:rsid w:val="00033897"/>
    <w:rsid w:val="00083334"/>
    <w:rsid w:val="00087093"/>
    <w:rsid w:val="000956CF"/>
    <w:rsid w:val="000A683E"/>
    <w:rsid w:val="000D4199"/>
    <w:rsid w:val="000F00F5"/>
    <w:rsid w:val="00100997"/>
    <w:rsid w:val="00114592"/>
    <w:rsid w:val="0011595A"/>
    <w:rsid w:val="001220C5"/>
    <w:rsid w:val="001267F7"/>
    <w:rsid w:val="00127233"/>
    <w:rsid w:val="00130999"/>
    <w:rsid w:val="00147A8C"/>
    <w:rsid w:val="00163FC4"/>
    <w:rsid w:val="00164D81"/>
    <w:rsid w:val="00185E6C"/>
    <w:rsid w:val="00186BB9"/>
    <w:rsid w:val="001878BB"/>
    <w:rsid w:val="00193825"/>
    <w:rsid w:val="001A1011"/>
    <w:rsid w:val="001A48D0"/>
    <w:rsid w:val="001B6B29"/>
    <w:rsid w:val="001E2A72"/>
    <w:rsid w:val="001F7ECB"/>
    <w:rsid w:val="00204F88"/>
    <w:rsid w:val="002055CB"/>
    <w:rsid w:val="002127B8"/>
    <w:rsid w:val="00244281"/>
    <w:rsid w:val="00245AB3"/>
    <w:rsid w:val="00257611"/>
    <w:rsid w:val="002653C1"/>
    <w:rsid w:val="0026611D"/>
    <w:rsid w:val="002951A0"/>
    <w:rsid w:val="002A64FD"/>
    <w:rsid w:val="002D612E"/>
    <w:rsid w:val="002F0839"/>
    <w:rsid w:val="00301469"/>
    <w:rsid w:val="00306EE1"/>
    <w:rsid w:val="00310B9B"/>
    <w:rsid w:val="003572D5"/>
    <w:rsid w:val="0036461C"/>
    <w:rsid w:val="003663C5"/>
    <w:rsid w:val="00367884"/>
    <w:rsid w:val="00375948"/>
    <w:rsid w:val="0039439C"/>
    <w:rsid w:val="003B3AF5"/>
    <w:rsid w:val="003B5772"/>
    <w:rsid w:val="003B69E7"/>
    <w:rsid w:val="003B7D16"/>
    <w:rsid w:val="003C013B"/>
    <w:rsid w:val="003D0F4D"/>
    <w:rsid w:val="003F2432"/>
    <w:rsid w:val="003F3F92"/>
    <w:rsid w:val="003F58A1"/>
    <w:rsid w:val="003F5F71"/>
    <w:rsid w:val="00410DD6"/>
    <w:rsid w:val="00412D4F"/>
    <w:rsid w:val="004134C9"/>
    <w:rsid w:val="0043138C"/>
    <w:rsid w:val="00431899"/>
    <w:rsid w:val="00462A59"/>
    <w:rsid w:val="004A1847"/>
    <w:rsid w:val="004A6524"/>
    <w:rsid w:val="004B69F7"/>
    <w:rsid w:val="004B6B0E"/>
    <w:rsid w:val="004C2F0C"/>
    <w:rsid w:val="004D25B3"/>
    <w:rsid w:val="004D3907"/>
    <w:rsid w:val="004D45A1"/>
    <w:rsid w:val="004E6E95"/>
    <w:rsid w:val="005029F9"/>
    <w:rsid w:val="00511405"/>
    <w:rsid w:val="00526E9D"/>
    <w:rsid w:val="00535540"/>
    <w:rsid w:val="00547856"/>
    <w:rsid w:val="00547A74"/>
    <w:rsid w:val="005566E8"/>
    <w:rsid w:val="00556EBD"/>
    <w:rsid w:val="00556F3D"/>
    <w:rsid w:val="0056399A"/>
    <w:rsid w:val="00563DED"/>
    <w:rsid w:val="00563F50"/>
    <w:rsid w:val="00565A2E"/>
    <w:rsid w:val="005746AB"/>
    <w:rsid w:val="005778E3"/>
    <w:rsid w:val="005808B0"/>
    <w:rsid w:val="00580DE0"/>
    <w:rsid w:val="00582D43"/>
    <w:rsid w:val="00586244"/>
    <w:rsid w:val="00592710"/>
    <w:rsid w:val="0059357F"/>
    <w:rsid w:val="00597A13"/>
    <w:rsid w:val="005A1130"/>
    <w:rsid w:val="005C0F31"/>
    <w:rsid w:val="005D65C8"/>
    <w:rsid w:val="005E0584"/>
    <w:rsid w:val="005E0765"/>
    <w:rsid w:val="005E6DBC"/>
    <w:rsid w:val="006141FB"/>
    <w:rsid w:val="006219F8"/>
    <w:rsid w:val="006336C3"/>
    <w:rsid w:val="00652C67"/>
    <w:rsid w:val="006733D5"/>
    <w:rsid w:val="00681362"/>
    <w:rsid w:val="00681FDB"/>
    <w:rsid w:val="00686626"/>
    <w:rsid w:val="006A1B75"/>
    <w:rsid w:val="006A7DAD"/>
    <w:rsid w:val="006D70BA"/>
    <w:rsid w:val="006F4B25"/>
    <w:rsid w:val="006F79B6"/>
    <w:rsid w:val="00707104"/>
    <w:rsid w:val="0071554F"/>
    <w:rsid w:val="007276C8"/>
    <w:rsid w:val="00734EA2"/>
    <w:rsid w:val="007566FE"/>
    <w:rsid w:val="00757EEE"/>
    <w:rsid w:val="00764003"/>
    <w:rsid w:val="0076726F"/>
    <w:rsid w:val="0077144B"/>
    <w:rsid w:val="00776E72"/>
    <w:rsid w:val="00793403"/>
    <w:rsid w:val="00793742"/>
    <w:rsid w:val="007A644F"/>
    <w:rsid w:val="007C0CDF"/>
    <w:rsid w:val="007D4D9B"/>
    <w:rsid w:val="007E2A2F"/>
    <w:rsid w:val="007E2CD1"/>
    <w:rsid w:val="007E58B8"/>
    <w:rsid w:val="007E7C01"/>
    <w:rsid w:val="007F2B7C"/>
    <w:rsid w:val="00811651"/>
    <w:rsid w:val="00814F21"/>
    <w:rsid w:val="00820F5B"/>
    <w:rsid w:val="00833452"/>
    <w:rsid w:val="00840F76"/>
    <w:rsid w:val="00847D5A"/>
    <w:rsid w:val="008559F4"/>
    <w:rsid w:val="008614E5"/>
    <w:rsid w:val="008622CC"/>
    <w:rsid w:val="00862F7A"/>
    <w:rsid w:val="008678EB"/>
    <w:rsid w:val="00875894"/>
    <w:rsid w:val="008777D0"/>
    <w:rsid w:val="00881C10"/>
    <w:rsid w:val="00890411"/>
    <w:rsid w:val="008A5559"/>
    <w:rsid w:val="008B18D5"/>
    <w:rsid w:val="008C7CAB"/>
    <w:rsid w:val="008D5C70"/>
    <w:rsid w:val="008E10B7"/>
    <w:rsid w:val="008F254D"/>
    <w:rsid w:val="009025AF"/>
    <w:rsid w:val="00904F23"/>
    <w:rsid w:val="00906B3C"/>
    <w:rsid w:val="00920744"/>
    <w:rsid w:val="00951233"/>
    <w:rsid w:val="0095342C"/>
    <w:rsid w:val="0096426C"/>
    <w:rsid w:val="00994070"/>
    <w:rsid w:val="009B6CEC"/>
    <w:rsid w:val="009C1F1A"/>
    <w:rsid w:val="009C4AF7"/>
    <w:rsid w:val="009C6E26"/>
    <w:rsid w:val="009D7080"/>
    <w:rsid w:val="009E77E6"/>
    <w:rsid w:val="009F33F2"/>
    <w:rsid w:val="009F6C77"/>
    <w:rsid w:val="00A04E4D"/>
    <w:rsid w:val="00A07532"/>
    <w:rsid w:val="00A07581"/>
    <w:rsid w:val="00A1085C"/>
    <w:rsid w:val="00A309E2"/>
    <w:rsid w:val="00A43FCB"/>
    <w:rsid w:val="00A53E80"/>
    <w:rsid w:val="00A8066E"/>
    <w:rsid w:val="00A86EC4"/>
    <w:rsid w:val="00AA4B8A"/>
    <w:rsid w:val="00AA6BF7"/>
    <w:rsid w:val="00AD3E20"/>
    <w:rsid w:val="00B01ED6"/>
    <w:rsid w:val="00B05742"/>
    <w:rsid w:val="00B06D09"/>
    <w:rsid w:val="00B126F6"/>
    <w:rsid w:val="00B771A9"/>
    <w:rsid w:val="00B809BB"/>
    <w:rsid w:val="00B8248A"/>
    <w:rsid w:val="00B90503"/>
    <w:rsid w:val="00BB1271"/>
    <w:rsid w:val="00BB7726"/>
    <w:rsid w:val="00BC044D"/>
    <w:rsid w:val="00BC767F"/>
    <w:rsid w:val="00C07D9F"/>
    <w:rsid w:val="00C107F8"/>
    <w:rsid w:val="00C13AA4"/>
    <w:rsid w:val="00C2329E"/>
    <w:rsid w:val="00C30461"/>
    <w:rsid w:val="00C33398"/>
    <w:rsid w:val="00C74071"/>
    <w:rsid w:val="00C754BE"/>
    <w:rsid w:val="00C87572"/>
    <w:rsid w:val="00C9405D"/>
    <w:rsid w:val="00C94634"/>
    <w:rsid w:val="00C948E9"/>
    <w:rsid w:val="00CA7AF8"/>
    <w:rsid w:val="00CC00F2"/>
    <w:rsid w:val="00CC1B26"/>
    <w:rsid w:val="00CD00E8"/>
    <w:rsid w:val="00CD284F"/>
    <w:rsid w:val="00CE0C0C"/>
    <w:rsid w:val="00CF23AA"/>
    <w:rsid w:val="00D01921"/>
    <w:rsid w:val="00D15C69"/>
    <w:rsid w:val="00D17750"/>
    <w:rsid w:val="00D752B7"/>
    <w:rsid w:val="00D75AA8"/>
    <w:rsid w:val="00D83255"/>
    <w:rsid w:val="00D85848"/>
    <w:rsid w:val="00D911E0"/>
    <w:rsid w:val="00DA1854"/>
    <w:rsid w:val="00DB0887"/>
    <w:rsid w:val="00DB237C"/>
    <w:rsid w:val="00DC3AF4"/>
    <w:rsid w:val="00DF1E43"/>
    <w:rsid w:val="00DF69AF"/>
    <w:rsid w:val="00E0671B"/>
    <w:rsid w:val="00E1090A"/>
    <w:rsid w:val="00E20894"/>
    <w:rsid w:val="00E26B7C"/>
    <w:rsid w:val="00E31054"/>
    <w:rsid w:val="00E43021"/>
    <w:rsid w:val="00E76E67"/>
    <w:rsid w:val="00E86D78"/>
    <w:rsid w:val="00E968F2"/>
    <w:rsid w:val="00EA3003"/>
    <w:rsid w:val="00EB3C91"/>
    <w:rsid w:val="00EB66DA"/>
    <w:rsid w:val="00EB697E"/>
    <w:rsid w:val="00F24CE3"/>
    <w:rsid w:val="00F45134"/>
    <w:rsid w:val="00F47EBC"/>
    <w:rsid w:val="00F603DA"/>
    <w:rsid w:val="00F605F2"/>
    <w:rsid w:val="00F74A1C"/>
    <w:rsid w:val="00F76AFC"/>
    <w:rsid w:val="00F8319B"/>
    <w:rsid w:val="00FA5516"/>
    <w:rsid w:val="00FD6F73"/>
    <w:rsid w:val="00FE5425"/>
    <w:rsid w:val="00FE6475"/>
    <w:rsid w:val="00FF62BB"/>
    <w:rsid w:val="00FF6687"/>
    <w:rsid w:val="0244FC6E"/>
    <w:rsid w:val="0D768DA1"/>
    <w:rsid w:val="1CC63BF5"/>
    <w:rsid w:val="2F9951DC"/>
    <w:rsid w:val="3EA2D60F"/>
    <w:rsid w:val="4DB45523"/>
    <w:rsid w:val="4EC85427"/>
    <w:rsid w:val="53421789"/>
    <w:rsid w:val="685EB80F"/>
    <w:rsid w:val="6B8BD3AC"/>
    <w:rsid w:val="6D822F6B"/>
    <w:rsid w:val="777950C3"/>
    <w:rsid w:val="7C03503F"/>
    <w:rsid w:val="7ECB84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C4A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53554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35540"/>
    <w:pPr>
      <w:spacing w:line="240" w:lineRule="exact"/>
      <w:jc w:val="both"/>
    </w:pPr>
    <w:rPr>
      <w:vertAlign w:val="superscript"/>
    </w:rPr>
  </w:style>
  <w:style w:type="character" w:styleId="Hipervnculo">
    <w:name w:val="Hyperlink"/>
    <w:basedOn w:val="Fuentedeprrafopredeter"/>
    <w:uiPriority w:val="99"/>
    <w:unhideWhenUsed/>
    <w:rsid w:val="00535540"/>
    <w:rPr>
      <w:color w:val="0563C1" w:themeColor="hyperlink"/>
      <w:u w:val="single"/>
    </w:rPr>
  </w:style>
  <w:style w:type="paragraph" w:styleId="Textoindependiente">
    <w:name w:val="Body Text"/>
    <w:basedOn w:val="Normal"/>
    <w:link w:val="TextoindependienteCar"/>
    <w:uiPriority w:val="99"/>
    <w:semiHidden/>
    <w:unhideWhenUsed/>
    <w:rsid w:val="0053554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535540"/>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3554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535540"/>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1"/>
    <w:qFormat/>
    <w:rsid w:val="00535540"/>
    <w:pPr>
      <w:spacing w:after="0" w:line="240" w:lineRule="auto"/>
    </w:pPr>
    <w:rPr>
      <w:sz w:val="24"/>
      <w:lang w:val="es-MX"/>
    </w:rPr>
  </w:style>
  <w:style w:type="character" w:customStyle="1" w:styleId="SinespaciadoCar">
    <w:name w:val="Sin espaciado Car"/>
    <w:aliases w:val="No Indent Car"/>
    <w:link w:val="Sinespaciado"/>
    <w:uiPriority w:val="1"/>
    <w:rsid w:val="00535540"/>
    <w:rPr>
      <w:sz w:val="24"/>
      <w:lang w:val="es-MX"/>
    </w:rPr>
  </w:style>
  <w:style w:type="character" w:styleId="Mencinsinresolver">
    <w:name w:val="Unresolved Mention"/>
    <w:basedOn w:val="Fuentedeprrafopredeter"/>
    <w:uiPriority w:val="99"/>
    <w:semiHidden/>
    <w:unhideWhenUsed/>
    <w:rsid w:val="00563DED"/>
    <w:rPr>
      <w:color w:val="605E5C"/>
      <w:shd w:val="clear" w:color="auto" w:fill="E1DFDD"/>
    </w:rPr>
  </w:style>
  <w:style w:type="character" w:styleId="Hipervnculovisitado">
    <w:name w:val="FollowedHyperlink"/>
    <w:basedOn w:val="Fuentedeprrafopredeter"/>
    <w:uiPriority w:val="99"/>
    <w:semiHidden/>
    <w:unhideWhenUsed/>
    <w:rsid w:val="00C74071"/>
    <w:rPr>
      <w:color w:val="954F72" w:themeColor="followedHyperlink"/>
      <w:u w:val="single"/>
    </w:rPr>
  </w:style>
  <w:style w:type="character" w:customStyle="1" w:styleId="Ttulo2Car">
    <w:name w:val="Título 2 Car"/>
    <w:basedOn w:val="Fuentedeprrafopredeter"/>
    <w:link w:val="Ttulo2"/>
    <w:uiPriority w:val="9"/>
    <w:semiHidden/>
    <w:rsid w:val="009C4AF7"/>
    <w:rPr>
      <w:rFonts w:asciiTheme="majorHAnsi" w:eastAsiaTheme="majorEastAsia" w:hAnsiTheme="majorHAnsi" w:cstheme="majorBidi"/>
      <w:color w:val="2F5496" w:themeColor="accent1" w:themeShade="BF"/>
      <w:sz w:val="26"/>
      <w:szCs w:val="26"/>
    </w:rPr>
  </w:style>
  <w:style w:type="character" w:customStyle="1" w:styleId="baj">
    <w:name w:val="b_aj"/>
    <w:basedOn w:val="Fuentedeprrafopredeter"/>
    <w:rsid w:val="009C4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749586">
      <w:bodyDiv w:val="1"/>
      <w:marLeft w:val="0"/>
      <w:marRight w:val="0"/>
      <w:marTop w:val="0"/>
      <w:marBottom w:val="0"/>
      <w:divBdr>
        <w:top w:val="none" w:sz="0" w:space="0" w:color="auto"/>
        <w:left w:val="none" w:sz="0" w:space="0" w:color="auto"/>
        <w:bottom w:val="none" w:sz="0" w:space="0" w:color="auto"/>
        <w:right w:val="none" w:sz="0" w:space="0" w:color="auto"/>
      </w:divBdr>
    </w:div>
    <w:div w:id="1350185204">
      <w:bodyDiv w:val="1"/>
      <w:marLeft w:val="0"/>
      <w:marRight w:val="0"/>
      <w:marTop w:val="0"/>
      <w:marBottom w:val="0"/>
      <w:divBdr>
        <w:top w:val="none" w:sz="0" w:space="0" w:color="auto"/>
        <w:left w:val="none" w:sz="0" w:space="0" w:color="auto"/>
        <w:bottom w:val="none" w:sz="0" w:space="0" w:color="auto"/>
        <w:right w:val="none" w:sz="0" w:space="0" w:color="auto"/>
      </w:divBdr>
    </w:div>
    <w:div w:id="196111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ersonvega@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manejo_anticipos.pdf"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4710C40-D7C2-483C-A1AF-87C61F59F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4370</Words>
  <Characters>24036</Characters>
  <Application>Microsoft Office Word</Application>
  <DocSecurity>0</DocSecurity>
  <Lines>200</Lines>
  <Paragraphs>56</Paragraphs>
  <ScaleCrop>false</ScaleCrop>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2023-07-17T21:02:00Z</cp:lastPrinted>
  <dcterms:created xsi:type="dcterms:W3CDTF">2023-11-20T16:26:00Z</dcterms:created>
  <dcterms:modified xsi:type="dcterms:W3CDTF">2023-11-20T16:26:00Z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