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A82A74" w:rsidRDefault="009F59C2" w:rsidP="00731AD8">
      <w:pPr>
        <w:ind w:left="708" w:hanging="708"/>
        <w:jc w:val="right"/>
        <w:rPr>
          <w:rFonts w:ascii="Arial" w:hAnsi="Arial" w:cs="Arial"/>
          <w:b/>
          <w:color w:val="000000" w:themeColor="text1"/>
          <w:sz w:val="16"/>
          <w:szCs w:val="16"/>
          <w:lang w:eastAsia="es-ES"/>
        </w:rPr>
      </w:pPr>
      <w:bookmarkStart w:id="0" w:name="_Hlk28946138"/>
      <w:bookmarkStart w:id="1" w:name="_Hlk29548183"/>
      <w:r w:rsidRPr="00A82A74">
        <w:rPr>
          <w:rFonts w:ascii="Arial" w:hAnsi="Arial" w:cs="Arial"/>
          <w:b/>
          <w:color w:val="000000" w:themeColor="text1"/>
          <w:sz w:val="16"/>
          <w:szCs w:val="16"/>
          <w:lang w:eastAsia="es-ES"/>
        </w:rPr>
        <w:tab/>
      </w:r>
      <w:r w:rsidR="0034177C" w:rsidRPr="00A82A74">
        <w:rPr>
          <w:rFonts w:ascii="Arial" w:hAnsi="Arial" w:cs="Arial"/>
          <w:b/>
          <w:color w:val="000000" w:themeColor="text1"/>
          <w:sz w:val="16"/>
          <w:szCs w:val="16"/>
          <w:lang w:eastAsia="es-ES"/>
        </w:rPr>
        <w:t>CCE-DES-FM-17</w:t>
      </w:r>
    </w:p>
    <w:p w14:paraId="33FF83A2" w14:textId="77777777" w:rsidR="0034177C" w:rsidRPr="004F7EC5" w:rsidRDefault="0034177C" w:rsidP="007F6B46">
      <w:pPr>
        <w:spacing w:line="276" w:lineRule="auto"/>
        <w:jc w:val="both"/>
        <w:rPr>
          <w:rFonts w:ascii="Arial" w:eastAsia="Calibri" w:hAnsi="Arial" w:cs="Arial"/>
          <w:b/>
          <w:color w:val="000000" w:themeColor="text1"/>
          <w:sz w:val="16"/>
          <w:szCs w:val="16"/>
        </w:rPr>
      </w:pPr>
    </w:p>
    <w:p w14:paraId="64F08AF7" w14:textId="4871471F" w:rsidR="00F1108B" w:rsidRPr="00A82A74" w:rsidRDefault="00702FE3" w:rsidP="00F1108B">
      <w:pPr>
        <w:jc w:val="both"/>
        <w:rPr>
          <w:rFonts w:ascii="Arial" w:eastAsia="Calibri" w:hAnsi="Arial" w:cs="Arial"/>
          <w:b/>
          <w:color w:val="000000" w:themeColor="text1"/>
          <w:sz w:val="22"/>
          <w:lang w:val="es-ES_tradnl"/>
        </w:rPr>
      </w:pPr>
      <w:bookmarkStart w:id="2" w:name="_Hlk35420410"/>
      <w:bookmarkEnd w:id="0"/>
      <w:bookmarkEnd w:id="1"/>
      <w:r w:rsidRPr="00A82A74">
        <w:rPr>
          <w:rFonts w:ascii="Arial" w:eastAsia="Calibri" w:hAnsi="Arial" w:cs="Arial"/>
          <w:b/>
          <w:color w:val="000000" w:themeColor="text1"/>
          <w:sz w:val="22"/>
          <w:lang w:val="es-ES_tradnl"/>
        </w:rPr>
        <w:t>URGENCIA MANIFIESTA</w:t>
      </w:r>
      <w:r w:rsidR="005E1574" w:rsidRPr="00A82A74">
        <w:rPr>
          <w:rFonts w:ascii="Arial" w:eastAsia="Calibri" w:hAnsi="Arial" w:cs="Arial"/>
          <w:b/>
          <w:color w:val="000000" w:themeColor="text1"/>
          <w:sz w:val="22"/>
          <w:lang w:val="es-ES_tradnl"/>
        </w:rPr>
        <w:t xml:space="preserve"> </w:t>
      </w:r>
      <w:bookmarkStart w:id="3" w:name="_Hlk39676694"/>
      <w:r w:rsidR="001F0518" w:rsidRPr="006C15D5">
        <w:rPr>
          <w:rFonts w:ascii="Arial" w:eastAsia="Calibri" w:hAnsi="Arial" w:cs="Arial"/>
          <w:b/>
          <w:color w:val="000000" w:themeColor="text1"/>
          <w:sz w:val="22"/>
        </w:rPr>
        <w:t>–</w:t>
      </w:r>
      <w:bookmarkEnd w:id="3"/>
      <w:r w:rsidRPr="00A82A74">
        <w:rPr>
          <w:rFonts w:ascii="Arial" w:eastAsia="Calibri" w:hAnsi="Arial" w:cs="Arial"/>
          <w:b/>
          <w:color w:val="000000" w:themeColor="text1"/>
          <w:sz w:val="22"/>
          <w:lang w:val="es-ES_tradnl"/>
        </w:rPr>
        <w:t xml:space="preserve"> Definición </w:t>
      </w:r>
      <w:r w:rsidR="001F0518" w:rsidRPr="006C15D5">
        <w:rPr>
          <w:rFonts w:ascii="Arial" w:eastAsia="Calibri" w:hAnsi="Arial" w:cs="Arial"/>
          <w:b/>
          <w:color w:val="000000" w:themeColor="text1"/>
          <w:sz w:val="22"/>
        </w:rPr>
        <w:t>–</w:t>
      </w:r>
      <w:r w:rsidR="005E1574" w:rsidRPr="00A82A74">
        <w:rPr>
          <w:rFonts w:ascii="Arial" w:eastAsia="Calibri" w:hAnsi="Arial" w:cs="Arial"/>
          <w:b/>
          <w:color w:val="000000" w:themeColor="text1"/>
          <w:sz w:val="22"/>
          <w:lang w:val="es-ES_tradnl"/>
        </w:rPr>
        <w:t xml:space="preserve"> </w:t>
      </w:r>
      <w:r w:rsidRPr="00A82A74">
        <w:rPr>
          <w:rFonts w:ascii="Arial" w:eastAsia="Calibri" w:hAnsi="Arial" w:cs="Arial"/>
          <w:b/>
          <w:color w:val="000000" w:themeColor="text1"/>
          <w:sz w:val="22"/>
          <w:lang w:val="es-ES_tradnl"/>
        </w:rPr>
        <w:t xml:space="preserve">Causal </w:t>
      </w:r>
      <w:r w:rsidR="002B4DAB" w:rsidRPr="006C15D5">
        <w:rPr>
          <w:rFonts w:ascii="Arial" w:eastAsia="Calibri" w:hAnsi="Arial" w:cs="Arial"/>
          <w:b/>
          <w:color w:val="000000" w:themeColor="text1"/>
          <w:sz w:val="22"/>
        </w:rPr>
        <w:t>–</w:t>
      </w:r>
      <w:r w:rsidR="002B4DAB">
        <w:rPr>
          <w:rFonts w:ascii="Arial" w:eastAsia="Calibri" w:hAnsi="Arial" w:cs="Arial"/>
          <w:b/>
          <w:color w:val="000000" w:themeColor="text1"/>
          <w:sz w:val="22"/>
        </w:rPr>
        <w:t xml:space="preserve"> </w:t>
      </w:r>
      <w:r w:rsidR="002B4DAB">
        <w:rPr>
          <w:rFonts w:ascii="Arial" w:eastAsia="Calibri" w:hAnsi="Arial" w:cs="Arial"/>
          <w:b/>
          <w:color w:val="000000" w:themeColor="text1"/>
          <w:sz w:val="22"/>
          <w:lang w:val="es-ES_tradnl"/>
        </w:rPr>
        <w:t>C</w:t>
      </w:r>
      <w:r w:rsidRPr="00A82A74">
        <w:rPr>
          <w:rFonts w:ascii="Arial" w:eastAsia="Calibri" w:hAnsi="Arial" w:cs="Arial"/>
          <w:b/>
          <w:color w:val="000000" w:themeColor="text1"/>
          <w:sz w:val="22"/>
          <w:lang w:val="es-ES_tradnl"/>
        </w:rPr>
        <w:t xml:space="preserve">ontratación </w:t>
      </w:r>
      <w:r w:rsidR="00963C15" w:rsidRPr="00A82A74">
        <w:rPr>
          <w:rFonts w:ascii="Arial" w:eastAsia="Calibri" w:hAnsi="Arial" w:cs="Arial"/>
          <w:b/>
          <w:color w:val="000000" w:themeColor="text1"/>
          <w:sz w:val="22"/>
          <w:lang w:val="es-ES_tradnl"/>
        </w:rPr>
        <w:t>directa</w:t>
      </w:r>
    </w:p>
    <w:bookmarkEnd w:id="2"/>
    <w:p w14:paraId="6627C2DB" w14:textId="77777777" w:rsidR="006B4D31" w:rsidRPr="00A82A74" w:rsidRDefault="006B4D31" w:rsidP="00F1108B">
      <w:pPr>
        <w:jc w:val="both"/>
        <w:rPr>
          <w:rFonts w:ascii="Arial" w:eastAsia="Calibri" w:hAnsi="Arial" w:cs="Arial"/>
          <w:color w:val="000000" w:themeColor="text1"/>
          <w:sz w:val="22"/>
          <w:lang w:val="es-ES_tradnl"/>
        </w:rPr>
      </w:pPr>
    </w:p>
    <w:p w14:paraId="427C0956" w14:textId="5C93EFB9" w:rsidR="00F6672A" w:rsidRDefault="00702FE3" w:rsidP="00F6672A">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w:t>
      </w:r>
      <w:r w:rsidR="00963C15" w:rsidRPr="00A82A74">
        <w:rPr>
          <w:rFonts w:ascii="Arial" w:eastAsia="Calibri" w:hAnsi="Arial" w:cs="Arial"/>
          <w:color w:val="000000" w:themeColor="text1"/>
          <w:sz w:val="20"/>
          <w:lang w:val="es-ES_tradnl"/>
        </w:rPr>
        <w:t>.</w:t>
      </w:r>
    </w:p>
    <w:p w14:paraId="326084D8" w14:textId="32CD3011" w:rsidR="000A6CE4" w:rsidRDefault="000A6CE4" w:rsidP="00F6672A">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2B21B937" w14:textId="77777777" w:rsidR="00C902B1" w:rsidRDefault="008D3080" w:rsidP="00C902B1">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0CCBB2C2" w14:textId="47CB39DD" w:rsidR="00963C15" w:rsidRPr="00A82A74" w:rsidRDefault="008D3080" w:rsidP="008D3080">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09F7E976" w14:textId="77777777" w:rsidR="008D3080" w:rsidRPr="00A82A74" w:rsidRDefault="008D3080" w:rsidP="008D3080">
      <w:pPr>
        <w:jc w:val="both"/>
        <w:rPr>
          <w:rFonts w:ascii="Arial" w:eastAsia="Calibri" w:hAnsi="Arial" w:cs="Arial"/>
          <w:b/>
          <w:color w:val="000000" w:themeColor="text1"/>
          <w:sz w:val="22"/>
          <w:lang w:val="es-ES_tradnl"/>
        </w:rPr>
      </w:pPr>
    </w:p>
    <w:p w14:paraId="425E4D16" w14:textId="62B93A75" w:rsidR="006B4D31" w:rsidRPr="00A82A74" w:rsidRDefault="00963C15" w:rsidP="006B4D31">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001F0518" w:rsidRPr="006C15D5">
        <w:rPr>
          <w:rFonts w:ascii="Arial" w:eastAsia="Calibri" w:hAnsi="Arial" w:cs="Arial"/>
          <w:b/>
          <w:color w:val="000000" w:themeColor="text1"/>
          <w:sz w:val="22"/>
        </w:rPr>
        <w:t>–</w:t>
      </w:r>
      <w:r w:rsidR="006B4D31" w:rsidRPr="00A82A74">
        <w:rPr>
          <w:rFonts w:ascii="Arial" w:eastAsia="Calibri" w:hAnsi="Arial" w:cs="Arial"/>
          <w:b/>
          <w:color w:val="000000" w:themeColor="text1"/>
          <w:sz w:val="22"/>
          <w:lang w:val="es-ES_tradnl"/>
        </w:rPr>
        <w:t xml:space="preserve"> </w:t>
      </w:r>
      <w:r w:rsidR="002B4DAB">
        <w:rPr>
          <w:rFonts w:ascii="Arial" w:eastAsia="Calibri" w:hAnsi="Arial" w:cs="Arial"/>
          <w:b/>
          <w:color w:val="000000" w:themeColor="text1"/>
          <w:sz w:val="22"/>
          <w:lang w:val="es-ES_tradnl"/>
        </w:rPr>
        <w:t xml:space="preserve">Diferencia – Relación </w:t>
      </w:r>
      <w:bookmarkStart w:id="4" w:name="_Hlk36233079"/>
      <w:r w:rsidR="002B4DAB">
        <w:rPr>
          <w:rFonts w:ascii="Arial" w:eastAsia="Calibri" w:hAnsi="Arial" w:cs="Arial"/>
          <w:b/>
          <w:color w:val="000000" w:themeColor="text1"/>
          <w:sz w:val="22"/>
          <w:lang w:val="es-ES_tradnl"/>
        </w:rPr>
        <w:t>– Urgencia</w:t>
      </w:r>
      <w:r w:rsidRPr="00A82A74">
        <w:rPr>
          <w:rFonts w:ascii="Arial" w:eastAsia="Calibri" w:hAnsi="Arial" w:cs="Arial"/>
          <w:b/>
          <w:color w:val="000000" w:themeColor="text1"/>
          <w:sz w:val="22"/>
          <w:lang w:val="es-ES_tradnl"/>
        </w:rPr>
        <w:t xml:space="preserve"> manifiesta </w:t>
      </w:r>
    </w:p>
    <w:bookmarkEnd w:id="4"/>
    <w:p w14:paraId="6DEC82EB" w14:textId="77777777" w:rsidR="006B4D31" w:rsidRPr="00A82A74" w:rsidRDefault="006B4D31" w:rsidP="00320D07">
      <w:pPr>
        <w:jc w:val="both"/>
        <w:rPr>
          <w:rFonts w:ascii="Arial" w:eastAsia="Calibri" w:hAnsi="Arial" w:cs="Arial"/>
          <w:color w:val="000000" w:themeColor="text1"/>
          <w:sz w:val="20"/>
          <w:lang w:val="es-ES_tradnl"/>
        </w:rPr>
      </w:pPr>
    </w:p>
    <w:p w14:paraId="7AB6016A" w14:textId="77777777" w:rsidR="00C902B1" w:rsidRDefault="000408FE" w:rsidP="00C902B1">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 </w:t>
      </w:r>
    </w:p>
    <w:p w14:paraId="48910B9B" w14:textId="0E5C88C7" w:rsidR="005E1574" w:rsidRPr="00A82A74" w:rsidRDefault="00C902B1" w:rsidP="000408FE">
      <w:pPr>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000A6CE4">
        <w:rPr>
          <w:rFonts w:ascii="Arial" w:eastAsia="Calibri" w:hAnsi="Arial" w:cs="Arial"/>
          <w:color w:val="000000" w:themeColor="text1"/>
          <w:sz w:val="20"/>
          <w:lang w:val="es-ES_tradnl"/>
        </w:rPr>
        <w:t>l</w:t>
      </w:r>
      <w:r w:rsidR="000408FE" w:rsidRPr="00A82A74">
        <w:rPr>
          <w:rFonts w:ascii="Arial" w:eastAsia="Calibri" w:hAnsi="Arial" w:cs="Arial"/>
          <w:color w:val="000000" w:themeColor="text1"/>
          <w:sz w:val="20"/>
          <w:lang w:val="es-ES_tradnl"/>
        </w:rPr>
        <w:t>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19091BF8" w14:textId="77777777" w:rsidR="00963C15" w:rsidRPr="00A82A74" w:rsidRDefault="00963C15" w:rsidP="00963C15">
      <w:pPr>
        <w:jc w:val="both"/>
        <w:rPr>
          <w:rFonts w:ascii="Arial" w:eastAsia="Calibri" w:hAnsi="Arial" w:cs="Arial"/>
          <w:color w:val="000000" w:themeColor="text1"/>
          <w:sz w:val="20"/>
          <w:lang w:val="es-ES_tradnl"/>
        </w:rPr>
      </w:pPr>
    </w:p>
    <w:p w14:paraId="5C888167" w14:textId="25BE9070" w:rsidR="0005742B" w:rsidRPr="00A82A74" w:rsidRDefault="0005742B" w:rsidP="0005742B">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001F0518"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Declaración previa</w:t>
      </w:r>
    </w:p>
    <w:p w14:paraId="7BD923DB" w14:textId="77777777" w:rsidR="0005742B" w:rsidRPr="00A82A74" w:rsidRDefault="0005742B" w:rsidP="0005742B">
      <w:pPr>
        <w:jc w:val="both"/>
        <w:rPr>
          <w:rFonts w:ascii="Arial" w:eastAsia="Calibri" w:hAnsi="Arial" w:cs="Arial"/>
          <w:color w:val="000000" w:themeColor="text1"/>
          <w:sz w:val="20"/>
          <w:lang w:val="es-ES_tradnl"/>
        </w:rPr>
      </w:pPr>
    </w:p>
    <w:p w14:paraId="6D47E102" w14:textId="690DEDCF" w:rsidR="00E971D4" w:rsidRDefault="00E971D4" w:rsidP="00E971D4">
      <w:pPr>
        <w:tabs>
          <w:tab w:val="left" w:pos="426"/>
        </w:tabs>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002C14CD">
        <w:rPr>
          <w:rFonts w:ascii="Arial" w:eastAsia="Calibri" w:hAnsi="Arial" w:cs="Arial"/>
          <w:color w:val="000000" w:themeColor="text1"/>
          <w:sz w:val="20"/>
          <w:lang w:val="es-ES_tradnl"/>
        </w:rPr>
        <w:t>p</w:t>
      </w:r>
      <w:r w:rsidR="000408FE" w:rsidRPr="00A82A74">
        <w:rPr>
          <w:rFonts w:ascii="Arial" w:eastAsia="Calibri" w:hAnsi="Arial" w:cs="Arial"/>
          <w:color w:val="000000" w:themeColor="text1"/>
          <w:sz w:val="20"/>
          <w:lang w:val="es-ES_tradnl"/>
        </w:rPr>
        <w:t xml:space="preserve">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los artículos comentados de la Ley </w:t>
      </w:r>
      <w:r w:rsidR="000408FE" w:rsidRPr="00A82A74">
        <w:rPr>
          <w:rFonts w:ascii="Arial" w:eastAsia="Calibri" w:hAnsi="Arial" w:cs="Arial"/>
          <w:color w:val="000000" w:themeColor="text1"/>
          <w:sz w:val="20"/>
          <w:lang w:val="es-ES_tradnl"/>
        </w:rPr>
        <w:lastRenderedPageBreak/>
        <w:t xml:space="preserve">1523 de 2012; y </w:t>
      </w:r>
      <w:proofErr w:type="spellStart"/>
      <w:r w:rsidR="000408FE" w:rsidRPr="00A82A74">
        <w:rPr>
          <w:rFonts w:ascii="Arial" w:eastAsia="Calibri" w:hAnsi="Arial" w:cs="Arial"/>
          <w:color w:val="000000" w:themeColor="text1"/>
          <w:sz w:val="20"/>
          <w:lang w:val="es-ES_tradnl"/>
        </w:rPr>
        <w:t>ii</w:t>
      </w:r>
      <w:proofErr w:type="spellEnd"/>
      <w:r w:rsidR="000408FE" w:rsidRPr="00A82A74">
        <w:rPr>
          <w:rFonts w:ascii="Arial" w:eastAsia="Calibri" w:hAnsi="Arial" w:cs="Arial"/>
          <w:color w:val="000000" w:themeColor="text1"/>
          <w:sz w:val="20"/>
          <w:lang w:val="es-ES_tradnl"/>
        </w:rPr>
        <w:t xml:space="preserve">) el segundo, la declaración propiamente dicha de «urgencia manifiesta», de que trata el art. 42 del Estatuto General de Contratación, amparado o fundamentado en la declaración previa del desastre o calamidad. </w:t>
      </w:r>
    </w:p>
    <w:p w14:paraId="44569AF9" w14:textId="77777777" w:rsidR="00E971D4" w:rsidRDefault="000408FE" w:rsidP="00E971D4">
      <w:pPr>
        <w:tabs>
          <w:tab w:val="left" w:pos="426"/>
        </w:tabs>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w:t>
      </w:r>
    </w:p>
    <w:p w14:paraId="3DD59D32" w14:textId="49841674" w:rsidR="00F1108B" w:rsidRPr="00A82A74" w:rsidRDefault="000408FE" w:rsidP="000408FE">
      <w:pPr>
        <w:tabs>
          <w:tab w:val="left" w:pos="426"/>
        </w:tabs>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sidR="00F1108B" w:rsidRPr="00A82A74">
        <w:rPr>
          <w:rFonts w:ascii="Arial" w:eastAsia="Calibri" w:hAnsi="Arial" w:cs="Arial"/>
          <w:color w:val="000000" w:themeColor="text1"/>
          <w:sz w:val="20"/>
          <w:lang w:val="es-ES_tradnl"/>
        </w:rPr>
        <w:tab/>
      </w:r>
    </w:p>
    <w:p w14:paraId="297786DE" w14:textId="697DAE84" w:rsidR="00897F5B" w:rsidRPr="00A82A74" w:rsidRDefault="00897F5B" w:rsidP="000408FE">
      <w:pPr>
        <w:tabs>
          <w:tab w:val="left" w:pos="426"/>
        </w:tabs>
        <w:jc w:val="both"/>
        <w:rPr>
          <w:rFonts w:ascii="Arial" w:eastAsia="Calibri" w:hAnsi="Arial" w:cs="Arial"/>
          <w:color w:val="000000" w:themeColor="text1"/>
          <w:sz w:val="20"/>
          <w:lang w:val="es-ES_tradnl"/>
        </w:rPr>
      </w:pPr>
    </w:p>
    <w:p w14:paraId="49AB9FFC" w14:textId="7C8A2857" w:rsidR="00B94F30" w:rsidRPr="00A82A74" w:rsidRDefault="00B94F30" w:rsidP="00B94F30">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001F0518"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Exclusión parcial </w:t>
      </w:r>
      <w:r w:rsidR="002B4DAB" w:rsidRPr="006C15D5">
        <w:rPr>
          <w:rFonts w:ascii="Arial" w:eastAsia="Calibri" w:hAnsi="Arial" w:cs="Arial"/>
          <w:b/>
          <w:color w:val="000000" w:themeColor="text1"/>
          <w:sz w:val="22"/>
        </w:rPr>
        <w:t>–</w:t>
      </w:r>
      <w:r w:rsidR="002B4DAB">
        <w:rPr>
          <w:rFonts w:ascii="Arial" w:eastAsia="Calibri" w:hAnsi="Arial" w:cs="Arial"/>
          <w:b/>
          <w:color w:val="000000" w:themeColor="text1"/>
          <w:sz w:val="22"/>
        </w:rPr>
        <w:t xml:space="preserve"> </w:t>
      </w:r>
      <w:r w:rsidRPr="00A82A74">
        <w:rPr>
          <w:rFonts w:ascii="Arial" w:eastAsia="Calibri" w:hAnsi="Arial" w:cs="Arial"/>
          <w:b/>
          <w:color w:val="000000" w:themeColor="text1"/>
          <w:sz w:val="22"/>
          <w:lang w:val="es-ES_tradnl"/>
        </w:rPr>
        <w:t>Ley 80 de 1993</w:t>
      </w:r>
    </w:p>
    <w:p w14:paraId="58257571" w14:textId="77777777" w:rsidR="00B94F30" w:rsidRPr="00A82A74" w:rsidRDefault="00B94F30" w:rsidP="00B94F30">
      <w:pPr>
        <w:jc w:val="both"/>
        <w:rPr>
          <w:rFonts w:ascii="Arial" w:eastAsia="Calibri" w:hAnsi="Arial" w:cs="Arial"/>
          <w:color w:val="000000" w:themeColor="text1"/>
          <w:sz w:val="20"/>
          <w:lang w:val="es-ES_tradnl"/>
        </w:rPr>
      </w:pPr>
    </w:p>
    <w:p w14:paraId="6CB46166" w14:textId="1F59DD2E" w:rsidR="009732D1" w:rsidRDefault="00B94F30" w:rsidP="009732D1">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w:t>
      </w:r>
    </w:p>
    <w:p w14:paraId="5586F0D8" w14:textId="0D4AA36D" w:rsidR="002C14CD" w:rsidRDefault="002C14CD" w:rsidP="009732D1">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6D894E72" w14:textId="77777777" w:rsidR="009732D1" w:rsidRDefault="00B94F30" w:rsidP="009732D1">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por las entidades ejecutoras que reciban recursos provenientes de este fondo y </w:t>
      </w:r>
      <w:proofErr w:type="spellStart"/>
      <w:r w:rsidRPr="00A82A74">
        <w:rPr>
          <w:rFonts w:ascii="Arial" w:eastAsia="Calibri" w:hAnsi="Arial" w:cs="Arial"/>
          <w:color w:val="000000" w:themeColor="text1"/>
          <w:sz w:val="20"/>
          <w:lang w:val="es-ES_tradnl"/>
        </w:rPr>
        <w:t>iii</w:t>
      </w:r>
      <w:proofErr w:type="spellEnd"/>
      <w:r w:rsidRPr="00A82A74">
        <w:rPr>
          <w:rFonts w:ascii="Arial" w:eastAsia="Calibri" w:hAnsi="Arial" w:cs="Arial"/>
          <w:color w:val="000000" w:themeColor="text1"/>
          <w:sz w:val="20"/>
          <w:lang w:val="es-ES_tradnl"/>
        </w:rPr>
        <w:t>) los celebrados por las entidades territoriales y sus fondos de gestión del riesgo.</w:t>
      </w:r>
    </w:p>
    <w:p w14:paraId="1965B857" w14:textId="77777777" w:rsidR="00BF5F61" w:rsidRDefault="00B94F30" w:rsidP="002C14CD">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 </w:t>
      </w:r>
    </w:p>
    <w:p w14:paraId="668D64F0" w14:textId="0A04B898" w:rsidR="00F66E9F" w:rsidRPr="004F7EC5" w:rsidRDefault="00F66E9F" w:rsidP="002C14CD">
      <w:pPr>
        <w:pStyle w:val="Default"/>
        <w:rPr>
          <w:color w:val="000000" w:themeColor="text1"/>
          <w:sz w:val="20"/>
          <w:szCs w:val="20"/>
        </w:rPr>
      </w:pPr>
    </w:p>
    <w:p w14:paraId="722A51A5" w14:textId="77777777" w:rsidR="002B4DAB" w:rsidRPr="004F7EC5" w:rsidRDefault="002B4DAB" w:rsidP="002C14CD">
      <w:pPr>
        <w:pStyle w:val="Default"/>
        <w:rPr>
          <w:color w:val="000000" w:themeColor="text1"/>
          <w:sz w:val="20"/>
          <w:szCs w:val="20"/>
        </w:rPr>
      </w:pPr>
    </w:p>
    <w:p w14:paraId="4D433104" w14:textId="61BB392D" w:rsidR="00A82A74" w:rsidRPr="00A82A74" w:rsidRDefault="00A82A74" w:rsidP="002C14CD">
      <w:pPr>
        <w:pStyle w:val="Default"/>
        <w:rPr>
          <w:color w:val="000000" w:themeColor="text1"/>
          <w:sz w:val="22"/>
          <w:szCs w:val="22"/>
        </w:rPr>
      </w:pPr>
      <w:r w:rsidRPr="00A82A74">
        <w:rPr>
          <w:color w:val="000000" w:themeColor="text1"/>
          <w:sz w:val="22"/>
          <w:szCs w:val="22"/>
        </w:rPr>
        <w:t xml:space="preserve">Bogotá D.C., </w:t>
      </w:r>
      <w:r w:rsidRPr="00A82A74">
        <w:rPr>
          <w:b/>
          <w:bCs/>
          <w:color w:val="000000" w:themeColor="text1"/>
          <w:sz w:val="22"/>
          <w:szCs w:val="22"/>
        </w:rPr>
        <w:t xml:space="preserve">25/04/2020 Hora 15:12:13s </w:t>
      </w:r>
    </w:p>
    <w:p w14:paraId="44FC3668" w14:textId="25BC5619" w:rsidR="00F1108B" w:rsidRPr="00A82A74" w:rsidRDefault="00A82A74" w:rsidP="00A82A74">
      <w:pPr>
        <w:jc w:val="right"/>
        <w:rPr>
          <w:rFonts w:ascii="Arial" w:eastAsia="Calibri" w:hAnsi="Arial" w:cs="Arial"/>
          <w:color w:val="000000" w:themeColor="text1"/>
          <w:sz w:val="20"/>
          <w:szCs w:val="20"/>
        </w:rPr>
      </w:pPr>
      <w:proofErr w:type="spellStart"/>
      <w:r w:rsidRPr="00A82A74">
        <w:rPr>
          <w:rFonts w:ascii="Arial" w:hAnsi="Arial" w:cs="Arial"/>
          <w:b/>
          <w:bCs/>
          <w:color w:val="000000" w:themeColor="text1"/>
          <w:sz w:val="22"/>
        </w:rPr>
        <w:t>N°</w:t>
      </w:r>
      <w:proofErr w:type="spellEnd"/>
      <w:r w:rsidRPr="00A82A74">
        <w:rPr>
          <w:rFonts w:ascii="Arial" w:hAnsi="Arial" w:cs="Arial"/>
          <w:b/>
          <w:bCs/>
          <w:color w:val="000000" w:themeColor="text1"/>
          <w:sz w:val="22"/>
        </w:rPr>
        <w:t xml:space="preserve"> Radicado: 2202013000003046</w:t>
      </w:r>
    </w:p>
    <w:p w14:paraId="1F73EC89" w14:textId="77777777" w:rsidR="00F66E9F" w:rsidRDefault="00F66E9F" w:rsidP="00F1108B">
      <w:pPr>
        <w:rPr>
          <w:rFonts w:ascii="Arial" w:eastAsia="Calibri" w:hAnsi="Arial" w:cs="Arial"/>
          <w:color w:val="000000" w:themeColor="text1"/>
          <w:sz w:val="22"/>
          <w:szCs w:val="20"/>
        </w:rPr>
      </w:pPr>
    </w:p>
    <w:p w14:paraId="26E952DC" w14:textId="77777777" w:rsidR="00F66E9F" w:rsidRDefault="00F66E9F" w:rsidP="00F1108B">
      <w:pPr>
        <w:rPr>
          <w:rFonts w:ascii="Arial" w:eastAsia="Calibri" w:hAnsi="Arial" w:cs="Arial"/>
          <w:color w:val="000000" w:themeColor="text1"/>
          <w:sz w:val="22"/>
          <w:szCs w:val="20"/>
        </w:rPr>
      </w:pPr>
    </w:p>
    <w:p w14:paraId="5AFDBA33" w14:textId="77777777" w:rsidR="004F7EC5" w:rsidRDefault="004F7EC5" w:rsidP="00F1108B">
      <w:pPr>
        <w:rPr>
          <w:rFonts w:ascii="Arial" w:eastAsia="Calibri" w:hAnsi="Arial" w:cs="Arial"/>
          <w:color w:val="000000" w:themeColor="text1"/>
          <w:sz w:val="22"/>
          <w:szCs w:val="20"/>
        </w:rPr>
      </w:pPr>
    </w:p>
    <w:p w14:paraId="1AC01C9C" w14:textId="5FEE7B51" w:rsidR="00F1108B" w:rsidRPr="00A82A74" w:rsidRDefault="000A655A" w:rsidP="00F1108B">
      <w:pPr>
        <w:rPr>
          <w:rFonts w:ascii="Arial" w:eastAsia="Calibri" w:hAnsi="Arial" w:cs="Arial"/>
          <w:color w:val="000000" w:themeColor="text1"/>
          <w:sz w:val="22"/>
          <w:szCs w:val="20"/>
        </w:rPr>
      </w:pPr>
      <w:r w:rsidRPr="00A82A74">
        <w:rPr>
          <w:rFonts w:ascii="Arial" w:eastAsia="Calibri" w:hAnsi="Arial" w:cs="Arial"/>
          <w:color w:val="000000" w:themeColor="text1"/>
          <w:sz w:val="22"/>
          <w:szCs w:val="20"/>
        </w:rPr>
        <w:t>Doctor</w:t>
      </w:r>
      <w:r w:rsidR="00231AF0" w:rsidRPr="00A82A74">
        <w:rPr>
          <w:rFonts w:ascii="Arial" w:eastAsia="Calibri" w:hAnsi="Arial" w:cs="Arial"/>
          <w:color w:val="000000" w:themeColor="text1"/>
          <w:sz w:val="22"/>
          <w:szCs w:val="20"/>
        </w:rPr>
        <w:t xml:space="preserve"> </w:t>
      </w:r>
    </w:p>
    <w:p w14:paraId="7E980325" w14:textId="702B3225" w:rsidR="00D33F51" w:rsidRPr="00A82A74" w:rsidRDefault="00D33F51" w:rsidP="00F1108B">
      <w:pPr>
        <w:rPr>
          <w:rFonts w:ascii="Arial" w:eastAsia="Calibri" w:hAnsi="Arial" w:cs="Arial"/>
          <w:b/>
          <w:color w:val="000000" w:themeColor="text1"/>
          <w:sz w:val="22"/>
          <w:szCs w:val="20"/>
        </w:rPr>
      </w:pPr>
      <w:r w:rsidRPr="00A82A74">
        <w:rPr>
          <w:rFonts w:ascii="Arial" w:eastAsia="Calibri" w:hAnsi="Arial" w:cs="Arial"/>
          <w:b/>
          <w:color w:val="000000" w:themeColor="text1"/>
          <w:sz w:val="22"/>
          <w:szCs w:val="20"/>
        </w:rPr>
        <w:t xml:space="preserve">LUIS CARLOS </w:t>
      </w:r>
      <w:bookmarkStart w:id="5" w:name="_Hlk36716671"/>
      <w:r w:rsidRPr="00A82A74">
        <w:rPr>
          <w:rFonts w:ascii="Arial" w:eastAsia="Calibri" w:hAnsi="Arial" w:cs="Arial"/>
          <w:b/>
          <w:color w:val="000000" w:themeColor="text1"/>
          <w:sz w:val="22"/>
          <w:szCs w:val="20"/>
        </w:rPr>
        <w:t>ÁLZATE RÍOS</w:t>
      </w:r>
      <w:bookmarkEnd w:id="5"/>
    </w:p>
    <w:p w14:paraId="0B8EA2DD" w14:textId="06A3DD9E" w:rsidR="00D33F51" w:rsidRPr="00A82A74" w:rsidRDefault="00D33F51" w:rsidP="00F1108B">
      <w:pPr>
        <w:rPr>
          <w:rFonts w:ascii="Arial" w:eastAsia="Calibri" w:hAnsi="Arial" w:cs="Arial"/>
          <w:b/>
          <w:color w:val="000000" w:themeColor="text1"/>
          <w:sz w:val="22"/>
          <w:szCs w:val="20"/>
        </w:rPr>
      </w:pPr>
      <w:r w:rsidRPr="00A82A74">
        <w:rPr>
          <w:rFonts w:ascii="Arial" w:eastAsia="Calibri" w:hAnsi="Arial" w:cs="Arial"/>
          <w:b/>
          <w:color w:val="000000" w:themeColor="text1"/>
          <w:sz w:val="22"/>
          <w:szCs w:val="20"/>
        </w:rPr>
        <w:t xml:space="preserve">Magistrado del Tribunal Administrativo del Quindío </w:t>
      </w:r>
    </w:p>
    <w:p w14:paraId="0C515BDA" w14:textId="3D460F73" w:rsidR="00F1108B" w:rsidRDefault="00F1108B" w:rsidP="00F1108B">
      <w:pPr>
        <w:rPr>
          <w:rFonts w:ascii="Arial" w:eastAsia="Calibri" w:hAnsi="Arial" w:cs="Arial"/>
          <w:color w:val="000000" w:themeColor="text1"/>
          <w:sz w:val="22"/>
          <w:szCs w:val="20"/>
        </w:rPr>
      </w:pPr>
      <w:r w:rsidRPr="00A82A74">
        <w:rPr>
          <w:rFonts w:ascii="Arial" w:eastAsia="Calibri" w:hAnsi="Arial" w:cs="Arial"/>
          <w:color w:val="000000" w:themeColor="text1"/>
          <w:sz w:val="22"/>
          <w:szCs w:val="20"/>
        </w:rPr>
        <w:t>Ciudad</w:t>
      </w:r>
    </w:p>
    <w:p w14:paraId="43CB73C9" w14:textId="6F25CB05" w:rsidR="00F66E9F" w:rsidRDefault="00F66E9F" w:rsidP="00F1108B">
      <w:pPr>
        <w:rPr>
          <w:rFonts w:ascii="Arial" w:eastAsia="Calibri" w:hAnsi="Arial" w:cs="Arial"/>
          <w:color w:val="000000" w:themeColor="text1"/>
          <w:sz w:val="22"/>
          <w:szCs w:val="20"/>
        </w:rPr>
      </w:pPr>
    </w:p>
    <w:p w14:paraId="283D6043" w14:textId="52DD2652" w:rsidR="00F1108B" w:rsidRDefault="00F1108B" w:rsidP="00F1108B">
      <w:pPr>
        <w:jc w:val="center"/>
        <w:rPr>
          <w:rFonts w:ascii="Arial" w:eastAsia="Calibri" w:hAnsi="Arial" w:cs="Arial"/>
          <w:b/>
          <w:color w:val="000000" w:themeColor="text1"/>
          <w:sz w:val="22"/>
        </w:rPr>
      </w:pPr>
      <w:r w:rsidRPr="00A82A74">
        <w:rPr>
          <w:rFonts w:ascii="Arial" w:eastAsia="Calibri" w:hAnsi="Arial" w:cs="Arial"/>
          <w:b/>
          <w:color w:val="000000" w:themeColor="text1"/>
          <w:sz w:val="22"/>
        </w:rPr>
        <w:t xml:space="preserve">Concepto C ─ </w:t>
      </w:r>
      <w:r w:rsidR="00703A72" w:rsidRPr="00A82A74">
        <w:rPr>
          <w:rFonts w:ascii="Arial" w:eastAsia="Calibri" w:hAnsi="Arial" w:cs="Arial"/>
          <w:b/>
          <w:color w:val="000000" w:themeColor="text1"/>
          <w:sz w:val="22"/>
        </w:rPr>
        <w:t>004</w:t>
      </w:r>
      <w:r w:rsidRPr="00A82A74">
        <w:rPr>
          <w:rFonts w:ascii="Arial" w:eastAsia="Calibri" w:hAnsi="Arial" w:cs="Arial"/>
          <w:b/>
          <w:color w:val="000000" w:themeColor="text1"/>
          <w:sz w:val="22"/>
        </w:rPr>
        <w:t xml:space="preserve"> de 2020</w:t>
      </w:r>
    </w:p>
    <w:p w14:paraId="0913F1EE" w14:textId="77777777" w:rsidR="004F7EC5" w:rsidRPr="00A82A74" w:rsidRDefault="004F7EC5" w:rsidP="00F1108B">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82A74" w:rsidRPr="00A82A74" w14:paraId="522C04FC" w14:textId="77777777" w:rsidTr="007C4906">
        <w:tc>
          <w:tcPr>
            <w:tcW w:w="2689" w:type="dxa"/>
            <w:hideMark/>
          </w:tcPr>
          <w:p w14:paraId="5C1F9A7E" w14:textId="77777777" w:rsidR="00F1108B" w:rsidRPr="00A82A74" w:rsidRDefault="00F1108B" w:rsidP="007C4906">
            <w:pPr>
              <w:rPr>
                <w:rFonts w:ascii="Arial" w:eastAsia="Calibri" w:hAnsi="Arial" w:cs="Arial"/>
                <w:color w:val="000000" w:themeColor="text1"/>
                <w:sz w:val="22"/>
              </w:rPr>
            </w:pPr>
            <w:r w:rsidRPr="00A82A74">
              <w:rPr>
                <w:rFonts w:ascii="Arial" w:eastAsia="Calibri" w:hAnsi="Arial" w:cs="Arial"/>
                <w:b/>
                <w:color w:val="000000" w:themeColor="text1"/>
                <w:sz w:val="22"/>
              </w:rPr>
              <w:t>Temas:</w:t>
            </w:r>
            <w:r w:rsidRPr="00A82A74">
              <w:rPr>
                <w:rFonts w:ascii="Arial" w:eastAsia="Calibri" w:hAnsi="Arial" w:cs="Arial"/>
                <w:color w:val="000000" w:themeColor="text1"/>
                <w:sz w:val="22"/>
              </w:rPr>
              <w:t xml:space="preserve">           </w:t>
            </w:r>
          </w:p>
          <w:p w14:paraId="4376ABAA" w14:textId="77777777" w:rsidR="00F1108B" w:rsidRPr="00A82A74" w:rsidRDefault="00F1108B" w:rsidP="007C4906">
            <w:pPr>
              <w:rPr>
                <w:rFonts w:ascii="Arial" w:eastAsia="Calibri" w:hAnsi="Arial" w:cs="Arial"/>
                <w:color w:val="000000" w:themeColor="text1"/>
                <w:sz w:val="22"/>
              </w:rPr>
            </w:pPr>
            <w:r w:rsidRPr="00A82A74">
              <w:rPr>
                <w:rFonts w:ascii="Arial" w:eastAsia="Calibri" w:hAnsi="Arial" w:cs="Arial"/>
                <w:color w:val="000000" w:themeColor="text1"/>
                <w:sz w:val="22"/>
              </w:rPr>
              <w:t xml:space="preserve">                           </w:t>
            </w:r>
          </w:p>
        </w:tc>
        <w:tc>
          <w:tcPr>
            <w:tcW w:w="6237" w:type="dxa"/>
            <w:hideMark/>
          </w:tcPr>
          <w:p w14:paraId="3AA47512" w14:textId="7E5E7558" w:rsidR="00F1108B" w:rsidRPr="00A82A74" w:rsidRDefault="000A6499" w:rsidP="007C4906">
            <w:pPr>
              <w:jc w:val="both"/>
              <w:rPr>
                <w:rFonts w:ascii="Arial" w:eastAsia="Calibri" w:hAnsi="Arial" w:cs="Arial"/>
                <w:color w:val="000000" w:themeColor="text1"/>
                <w:sz w:val="22"/>
              </w:rPr>
            </w:pPr>
            <w:r w:rsidRPr="00A82A74">
              <w:rPr>
                <w:rFonts w:ascii="Arial" w:eastAsia="Calibri" w:hAnsi="Arial" w:cs="Arial"/>
                <w:color w:val="000000" w:themeColor="text1"/>
                <w:sz w:val="22"/>
              </w:rPr>
              <w:t xml:space="preserve">URGENCIA MANIFIESTA ― Definición ― Causal de contratación directa </w:t>
            </w:r>
            <w:r w:rsidR="00F1108B" w:rsidRPr="00A82A74">
              <w:rPr>
                <w:rFonts w:ascii="Arial" w:eastAsia="Calibri" w:hAnsi="Arial" w:cs="Arial"/>
                <w:color w:val="000000" w:themeColor="text1"/>
                <w:sz w:val="22"/>
              </w:rPr>
              <w:t xml:space="preserve">/ </w:t>
            </w:r>
            <w:r w:rsidRPr="00A82A74">
              <w:rPr>
                <w:rFonts w:ascii="Arial" w:eastAsia="Calibri" w:hAnsi="Arial" w:cs="Arial"/>
                <w:color w:val="000000" w:themeColor="text1"/>
                <w:sz w:val="22"/>
              </w:rPr>
              <w:t xml:space="preserve">CALAMIDAD PÚBLICA Y DESASTRE ― Diferencia y relación con la urgencia manifiesta </w:t>
            </w:r>
            <w:r w:rsidR="006B4D31" w:rsidRPr="00A82A74">
              <w:rPr>
                <w:rFonts w:ascii="Arial" w:eastAsia="Calibri" w:hAnsi="Arial" w:cs="Arial"/>
                <w:color w:val="000000" w:themeColor="text1"/>
                <w:sz w:val="22"/>
              </w:rPr>
              <w:t xml:space="preserve">/ </w:t>
            </w:r>
            <w:r w:rsidRPr="00A82A74">
              <w:rPr>
                <w:rFonts w:ascii="Arial" w:eastAsia="Calibri" w:hAnsi="Arial" w:cs="Arial"/>
                <w:color w:val="000000" w:themeColor="text1"/>
                <w:sz w:val="22"/>
              </w:rPr>
              <w:t>CALAMIDAD PÚBLICA Y DESASTRE ― Declaración previa</w:t>
            </w:r>
            <w:r w:rsidR="00897F5B" w:rsidRPr="00A82A74">
              <w:rPr>
                <w:rFonts w:ascii="Arial" w:eastAsia="Calibri" w:hAnsi="Arial" w:cs="Arial"/>
                <w:color w:val="000000" w:themeColor="text1"/>
                <w:sz w:val="22"/>
              </w:rPr>
              <w:t xml:space="preserve"> / </w:t>
            </w:r>
            <w:r w:rsidR="00B94F30" w:rsidRPr="00A82A74">
              <w:rPr>
                <w:rFonts w:ascii="Arial" w:eastAsia="Calibri" w:hAnsi="Arial" w:cs="Arial"/>
                <w:color w:val="000000" w:themeColor="text1"/>
                <w:sz w:val="22"/>
              </w:rPr>
              <w:t>Exclusión parcial de la Ley 80 de 1993</w:t>
            </w:r>
          </w:p>
        </w:tc>
      </w:tr>
      <w:tr w:rsidR="00F1108B" w:rsidRPr="00A82A74" w14:paraId="7D0D2FDB" w14:textId="77777777" w:rsidTr="007C4906">
        <w:tc>
          <w:tcPr>
            <w:tcW w:w="2689" w:type="dxa"/>
          </w:tcPr>
          <w:p w14:paraId="7DC82264" w14:textId="77777777" w:rsidR="00F1108B" w:rsidRPr="00A82A74" w:rsidRDefault="00F1108B" w:rsidP="007C4906">
            <w:pPr>
              <w:rPr>
                <w:rFonts w:ascii="Arial" w:eastAsia="Calibri" w:hAnsi="Arial" w:cs="Arial"/>
                <w:b/>
                <w:color w:val="000000" w:themeColor="text1"/>
                <w:sz w:val="22"/>
              </w:rPr>
            </w:pPr>
            <w:r w:rsidRPr="00A82A74">
              <w:rPr>
                <w:rFonts w:ascii="Arial" w:eastAsia="Calibri" w:hAnsi="Arial" w:cs="Arial"/>
                <w:b/>
                <w:color w:val="000000" w:themeColor="text1"/>
                <w:sz w:val="22"/>
              </w:rPr>
              <w:t>Radicación:</w:t>
            </w:r>
            <w:r w:rsidRPr="00A82A74">
              <w:rPr>
                <w:rFonts w:ascii="Arial" w:eastAsia="Calibri" w:hAnsi="Arial" w:cs="Arial"/>
                <w:color w:val="000000" w:themeColor="text1"/>
                <w:sz w:val="22"/>
              </w:rPr>
              <w:t xml:space="preserve">                              </w:t>
            </w:r>
          </w:p>
        </w:tc>
        <w:tc>
          <w:tcPr>
            <w:tcW w:w="6237" w:type="dxa"/>
          </w:tcPr>
          <w:p w14:paraId="01DC5749" w14:textId="6678AE01" w:rsidR="00F1108B" w:rsidRPr="00A82A74" w:rsidRDefault="00F1108B" w:rsidP="007F785F">
            <w:pPr>
              <w:jc w:val="both"/>
              <w:rPr>
                <w:rFonts w:ascii="Arial" w:eastAsia="Calibri" w:hAnsi="Arial" w:cs="Arial"/>
                <w:color w:val="000000" w:themeColor="text1"/>
                <w:sz w:val="22"/>
              </w:rPr>
            </w:pPr>
            <w:r w:rsidRPr="00A82A74">
              <w:rPr>
                <w:rFonts w:ascii="Arial" w:eastAsia="Calibri" w:hAnsi="Arial" w:cs="Arial"/>
                <w:color w:val="000000" w:themeColor="text1"/>
                <w:sz w:val="22"/>
              </w:rPr>
              <w:t>Respuesta a</w:t>
            </w:r>
            <w:r w:rsidR="00D33F51" w:rsidRPr="00A82A74">
              <w:rPr>
                <w:rFonts w:ascii="Arial" w:eastAsia="Calibri" w:hAnsi="Arial" w:cs="Arial"/>
                <w:color w:val="000000" w:themeColor="text1"/>
                <w:sz w:val="22"/>
              </w:rPr>
              <w:t xml:space="preserve"> la</w:t>
            </w:r>
            <w:r w:rsidRPr="00A82A74">
              <w:rPr>
                <w:rFonts w:ascii="Arial" w:eastAsia="Calibri" w:hAnsi="Arial" w:cs="Arial"/>
                <w:color w:val="000000" w:themeColor="text1"/>
                <w:sz w:val="22"/>
              </w:rPr>
              <w:t xml:space="preserve"> consulta # </w:t>
            </w:r>
            <w:r w:rsidR="00F74317" w:rsidRPr="00A82A74">
              <w:rPr>
                <w:rFonts w:ascii="Arial" w:eastAsia="Calibri" w:hAnsi="Arial" w:cs="Arial"/>
                <w:color w:val="000000" w:themeColor="text1"/>
                <w:sz w:val="22"/>
              </w:rPr>
              <w:t>4202013000002755</w:t>
            </w:r>
          </w:p>
        </w:tc>
      </w:tr>
    </w:tbl>
    <w:p w14:paraId="7DF1E86E" w14:textId="77777777" w:rsidR="00F1108B" w:rsidRPr="00A82A74" w:rsidRDefault="00F1108B" w:rsidP="00F1108B">
      <w:pPr>
        <w:jc w:val="both"/>
        <w:rPr>
          <w:rFonts w:ascii="Arial" w:eastAsia="Calibri" w:hAnsi="Arial" w:cs="Arial"/>
          <w:color w:val="000000" w:themeColor="text1"/>
          <w:sz w:val="22"/>
        </w:rPr>
      </w:pPr>
    </w:p>
    <w:p w14:paraId="446ECF41" w14:textId="18C272F8" w:rsidR="00F1108B" w:rsidRDefault="00F1108B" w:rsidP="00F1108B">
      <w:pPr>
        <w:jc w:val="both"/>
        <w:rPr>
          <w:rFonts w:ascii="Arial" w:eastAsia="Calibri" w:hAnsi="Arial" w:cs="Arial"/>
          <w:color w:val="000000" w:themeColor="text1"/>
          <w:sz w:val="22"/>
        </w:rPr>
      </w:pPr>
    </w:p>
    <w:p w14:paraId="6A11BDDD" w14:textId="60ECFF0C" w:rsidR="00F1108B" w:rsidRPr="00A82A74" w:rsidRDefault="00F1108B" w:rsidP="00F1108B">
      <w:pPr>
        <w:rPr>
          <w:rFonts w:ascii="Arial" w:eastAsia="Calibri" w:hAnsi="Arial" w:cs="Arial"/>
          <w:color w:val="000000" w:themeColor="text1"/>
          <w:sz w:val="22"/>
        </w:rPr>
      </w:pPr>
      <w:r w:rsidRPr="00A82A74">
        <w:rPr>
          <w:rFonts w:ascii="Arial" w:eastAsia="Calibri" w:hAnsi="Arial" w:cs="Arial"/>
          <w:color w:val="000000" w:themeColor="text1"/>
          <w:sz w:val="22"/>
        </w:rPr>
        <w:t xml:space="preserve">Estimado </w:t>
      </w:r>
      <w:r w:rsidR="00D33F51" w:rsidRPr="00A82A74">
        <w:rPr>
          <w:rFonts w:ascii="Arial" w:eastAsia="Calibri" w:hAnsi="Arial" w:cs="Arial"/>
          <w:color w:val="000000" w:themeColor="text1"/>
          <w:sz w:val="22"/>
        </w:rPr>
        <w:t>Doctor Álzate Ríos</w:t>
      </w:r>
      <w:r w:rsidRPr="00A82A74">
        <w:rPr>
          <w:rFonts w:ascii="Arial" w:eastAsia="Calibri" w:hAnsi="Arial" w:cs="Arial"/>
          <w:color w:val="000000" w:themeColor="text1"/>
          <w:sz w:val="22"/>
        </w:rPr>
        <w:t>,</w:t>
      </w:r>
    </w:p>
    <w:p w14:paraId="45ADAB8A" w14:textId="77777777" w:rsidR="00F1108B" w:rsidRPr="00A82A74" w:rsidRDefault="00F1108B" w:rsidP="00F1108B">
      <w:pPr>
        <w:rPr>
          <w:rFonts w:ascii="Arial" w:eastAsia="Calibri" w:hAnsi="Arial" w:cs="Arial"/>
          <w:color w:val="000000" w:themeColor="text1"/>
          <w:sz w:val="22"/>
        </w:rPr>
      </w:pPr>
    </w:p>
    <w:p w14:paraId="329AA852" w14:textId="28DCE5AB" w:rsidR="00F1108B" w:rsidRPr="00A82A74" w:rsidRDefault="00DD464C" w:rsidP="00D65576">
      <w:pPr>
        <w:spacing w:after="120" w:line="276" w:lineRule="auto"/>
        <w:ind w:right="51"/>
        <w:jc w:val="both"/>
        <w:rPr>
          <w:rFonts w:ascii="Arial" w:eastAsia="Calibri" w:hAnsi="Arial" w:cs="Arial"/>
          <w:color w:val="000000" w:themeColor="text1"/>
          <w:sz w:val="22"/>
        </w:rPr>
      </w:pPr>
      <w:r w:rsidRPr="00A82A74">
        <w:rPr>
          <w:rFonts w:ascii="Arial" w:eastAsia="Calibri" w:hAnsi="Arial" w:cs="Arial"/>
          <w:color w:val="000000" w:themeColor="text1"/>
          <w:sz w:val="22"/>
        </w:rPr>
        <w:t xml:space="preserve">La Agencia Nacional de Contratación Pública ―Colombia Compra Eficiente― responde su consulta del </w:t>
      </w:r>
      <w:r w:rsidR="000118ED" w:rsidRPr="00A82A74">
        <w:rPr>
          <w:rFonts w:ascii="Arial" w:eastAsia="Calibri" w:hAnsi="Arial" w:cs="Arial"/>
          <w:color w:val="000000" w:themeColor="text1"/>
          <w:sz w:val="22"/>
        </w:rPr>
        <w:t>16 de abril</w:t>
      </w:r>
      <w:r w:rsidRPr="00A82A74">
        <w:rPr>
          <w:rFonts w:ascii="Arial" w:eastAsia="Calibri" w:hAnsi="Arial" w:cs="Arial"/>
          <w:color w:val="000000" w:themeColor="text1"/>
          <w:sz w:val="22"/>
        </w:rPr>
        <w:t xml:space="preserve"> de 2020, en ejercicio de la competencia otorgada por el numeral 8 del artículo 11 y el numeral 5 del artículo 3 del Decreto Ley 4170 de 2011.</w:t>
      </w:r>
    </w:p>
    <w:p w14:paraId="72382DCC" w14:textId="77777777" w:rsidR="00F1108B" w:rsidRPr="00A82A74" w:rsidRDefault="00F1108B" w:rsidP="00F1108B">
      <w:pPr>
        <w:pStyle w:val="Prrafodelista"/>
        <w:tabs>
          <w:tab w:val="left" w:pos="284"/>
        </w:tabs>
        <w:spacing w:line="276" w:lineRule="auto"/>
        <w:ind w:left="0"/>
        <w:jc w:val="both"/>
        <w:rPr>
          <w:rFonts w:ascii="Arial" w:eastAsia="Calibri" w:hAnsi="Arial" w:cs="Arial"/>
          <w:color w:val="000000" w:themeColor="text1"/>
          <w:sz w:val="22"/>
        </w:rPr>
      </w:pPr>
    </w:p>
    <w:p w14:paraId="7041ED68" w14:textId="77777777" w:rsidR="00F1108B" w:rsidRPr="00A82A74" w:rsidRDefault="00F1108B" w:rsidP="00D65576">
      <w:pPr>
        <w:pStyle w:val="Prrafodelista"/>
        <w:tabs>
          <w:tab w:val="left" w:pos="284"/>
        </w:tabs>
        <w:spacing w:after="120" w:line="276" w:lineRule="auto"/>
        <w:ind w:left="0"/>
        <w:jc w:val="both"/>
        <w:rPr>
          <w:rFonts w:ascii="Arial" w:eastAsia="Calibri" w:hAnsi="Arial" w:cs="Arial"/>
          <w:b/>
          <w:color w:val="000000" w:themeColor="text1"/>
          <w:sz w:val="22"/>
        </w:rPr>
      </w:pPr>
      <w:r w:rsidRPr="00A82A74">
        <w:rPr>
          <w:rFonts w:ascii="Arial" w:eastAsia="Calibri" w:hAnsi="Arial" w:cs="Arial"/>
          <w:b/>
          <w:color w:val="000000" w:themeColor="text1"/>
          <w:sz w:val="22"/>
        </w:rPr>
        <w:t>1.</w:t>
      </w:r>
      <w:r w:rsidRPr="00A82A74">
        <w:rPr>
          <w:rFonts w:ascii="Arial" w:eastAsia="Calibri" w:hAnsi="Arial" w:cs="Arial"/>
          <w:color w:val="000000" w:themeColor="text1"/>
          <w:sz w:val="22"/>
        </w:rPr>
        <w:t xml:space="preserve"> </w:t>
      </w:r>
      <w:r w:rsidRPr="00A82A74">
        <w:rPr>
          <w:rFonts w:ascii="Arial" w:eastAsia="Calibri" w:hAnsi="Arial" w:cs="Arial"/>
          <w:b/>
          <w:color w:val="000000" w:themeColor="text1"/>
          <w:sz w:val="22"/>
        </w:rPr>
        <w:t xml:space="preserve">Problemas planteados </w:t>
      </w:r>
    </w:p>
    <w:p w14:paraId="2C3DAA31" w14:textId="77777777" w:rsidR="00F1108B" w:rsidRPr="00A82A74" w:rsidRDefault="00F1108B" w:rsidP="00F1108B">
      <w:pPr>
        <w:tabs>
          <w:tab w:val="left" w:pos="426"/>
        </w:tabs>
        <w:spacing w:line="276" w:lineRule="auto"/>
        <w:jc w:val="both"/>
        <w:rPr>
          <w:rFonts w:ascii="Arial" w:eastAsia="Calibri" w:hAnsi="Arial" w:cs="Arial"/>
          <w:b/>
          <w:color w:val="000000" w:themeColor="text1"/>
          <w:sz w:val="22"/>
        </w:rPr>
      </w:pPr>
    </w:p>
    <w:p w14:paraId="54B6D392" w14:textId="005DB11E" w:rsidR="00F1108B" w:rsidRPr="00A82A74" w:rsidRDefault="009F1832" w:rsidP="00DA55AD">
      <w:pPr>
        <w:tabs>
          <w:tab w:val="left" w:pos="426"/>
        </w:tabs>
        <w:spacing w:line="276" w:lineRule="auto"/>
        <w:jc w:val="both"/>
        <w:rPr>
          <w:rFonts w:ascii="Arial" w:eastAsia="Calibri" w:hAnsi="Arial" w:cs="Arial"/>
          <w:color w:val="000000" w:themeColor="text1"/>
          <w:sz w:val="22"/>
        </w:rPr>
      </w:pPr>
      <w:r w:rsidRPr="00A82A74">
        <w:rPr>
          <w:rFonts w:ascii="Arial" w:eastAsia="Calibri" w:hAnsi="Arial" w:cs="Arial"/>
          <w:color w:val="000000" w:themeColor="text1"/>
          <w:sz w:val="22"/>
        </w:rPr>
        <w:t xml:space="preserve">Mediante el Auto </w:t>
      </w:r>
      <w:r w:rsidR="00736B69" w:rsidRPr="00A82A74">
        <w:rPr>
          <w:rFonts w:ascii="Arial" w:eastAsia="Calibri" w:hAnsi="Arial" w:cs="Arial"/>
          <w:color w:val="000000" w:themeColor="text1"/>
          <w:sz w:val="22"/>
        </w:rPr>
        <w:t>139</w:t>
      </w:r>
      <w:r w:rsidRPr="00A82A74">
        <w:rPr>
          <w:rFonts w:ascii="Arial" w:eastAsia="Calibri" w:hAnsi="Arial" w:cs="Arial"/>
          <w:color w:val="000000" w:themeColor="text1"/>
          <w:sz w:val="22"/>
        </w:rPr>
        <w:t xml:space="preserve"> del </w:t>
      </w:r>
      <w:r w:rsidR="00736B69" w:rsidRPr="00A82A74">
        <w:rPr>
          <w:rFonts w:ascii="Arial" w:eastAsia="Calibri" w:hAnsi="Arial" w:cs="Arial"/>
          <w:color w:val="000000" w:themeColor="text1"/>
          <w:sz w:val="22"/>
        </w:rPr>
        <w:t>15 de abril</w:t>
      </w:r>
      <w:r w:rsidRPr="00A82A74">
        <w:rPr>
          <w:rFonts w:ascii="Arial" w:eastAsia="Calibri" w:hAnsi="Arial" w:cs="Arial"/>
          <w:color w:val="000000" w:themeColor="text1"/>
          <w:sz w:val="22"/>
        </w:rPr>
        <w:t xml:space="preserve"> de 2020, en ejercicio de la competencia dispuesta en </w:t>
      </w:r>
      <w:r w:rsidR="009F6E43" w:rsidRPr="00A82A74">
        <w:rPr>
          <w:rFonts w:ascii="Arial" w:eastAsia="Calibri" w:hAnsi="Arial" w:cs="Arial"/>
          <w:color w:val="000000" w:themeColor="text1"/>
          <w:sz w:val="22"/>
        </w:rPr>
        <w:t xml:space="preserve">el artículo 151.14 del Código de Procedimiento Administrativo y Contencioso Administrativo, </w:t>
      </w:r>
      <w:r w:rsidR="008E2227" w:rsidRPr="00A82A74">
        <w:rPr>
          <w:rFonts w:ascii="Arial" w:eastAsia="Calibri" w:hAnsi="Arial" w:cs="Arial"/>
          <w:color w:val="000000" w:themeColor="text1"/>
          <w:sz w:val="22"/>
        </w:rPr>
        <w:t>el</w:t>
      </w:r>
      <w:r w:rsidR="009F6E43" w:rsidRPr="00A82A74">
        <w:rPr>
          <w:rFonts w:ascii="Arial" w:eastAsia="Calibri" w:hAnsi="Arial" w:cs="Arial"/>
          <w:color w:val="000000" w:themeColor="text1"/>
          <w:sz w:val="22"/>
        </w:rPr>
        <w:t xml:space="preserve"> Despacho </w:t>
      </w:r>
      <w:r w:rsidR="008E2227" w:rsidRPr="00A82A74">
        <w:rPr>
          <w:rFonts w:ascii="Arial" w:eastAsia="Calibri" w:hAnsi="Arial" w:cs="Arial"/>
          <w:color w:val="000000" w:themeColor="text1"/>
          <w:sz w:val="22"/>
        </w:rPr>
        <w:t>asume</w:t>
      </w:r>
      <w:r w:rsidR="009F6E43" w:rsidRPr="00A82A74">
        <w:rPr>
          <w:rFonts w:ascii="Arial" w:eastAsia="Calibri" w:hAnsi="Arial" w:cs="Arial"/>
          <w:color w:val="000000" w:themeColor="text1"/>
          <w:sz w:val="22"/>
        </w:rPr>
        <w:t xml:space="preserve"> el control inmediato de legalidad </w:t>
      </w:r>
      <w:r w:rsidR="00DA55AD" w:rsidRPr="00A82A74">
        <w:rPr>
          <w:rFonts w:ascii="Arial" w:eastAsia="Calibri" w:hAnsi="Arial" w:cs="Arial"/>
          <w:color w:val="000000" w:themeColor="text1"/>
          <w:sz w:val="22"/>
        </w:rPr>
        <w:t>de la Resolución DG-056 del 18 de marzo de 2020</w:t>
      </w:r>
      <w:r w:rsidR="009F6E43" w:rsidRPr="00A82A74">
        <w:rPr>
          <w:rFonts w:ascii="Arial" w:eastAsia="Calibri" w:hAnsi="Arial" w:cs="Arial"/>
          <w:color w:val="000000" w:themeColor="text1"/>
          <w:sz w:val="22"/>
        </w:rPr>
        <w:t>, «</w:t>
      </w:r>
      <w:r w:rsidR="00DA55AD" w:rsidRPr="00A82A74">
        <w:rPr>
          <w:rFonts w:ascii="Arial" w:eastAsia="Calibri" w:hAnsi="Arial" w:cs="Arial"/>
          <w:color w:val="000000" w:themeColor="text1"/>
          <w:sz w:val="22"/>
        </w:rPr>
        <w:t>Por medio de la cual se declara la urgencia manifiesta para el Instituto Departamental de Tránsito Del Quindío</w:t>
      </w:r>
      <w:r w:rsidR="009F6E43" w:rsidRPr="00A82A74">
        <w:rPr>
          <w:rFonts w:ascii="Arial" w:eastAsia="Calibri" w:hAnsi="Arial" w:cs="Arial"/>
          <w:color w:val="000000" w:themeColor="text1"/>
          <w:sz w:val="22"/>
        </w:rPr>
        <w:t>».</w:t>
      </w:r>
      <w:r w:rsidR="008E2227" w:rsidRPr="00A82A74">
        <w:rPr>
          <w:rFonts w:ascii="Arial" w:eastAsia="Calibri" w:hAnsi="Arial" w:cs="Arial"/>
          <w:color w:val="000000" w:themeColor="text1"/>
          <w:sz w:val="22"/>
        </w:rPr>
        <w:t xml:space="preserve"> En consecuencia</w:t>
      </w:r>
      <w:r w:rsidR="00583580" w:rsidRPr="00A82A74">
        <w:rPr>
          <w:rFonts w:ascii="Arial" w:eastAsia="Calibri" w:hAnsi="Arial" w:cs="Arial"/>
          <w:color w:val="000000" w:themeColor="text1"/>
          <w:sz w:val="22"/>
        </w:rPr>
        <w:t xml:space="preserve">, oficia a la Agencia Nacional de Contratación Pública – Colombia Compra Eficiente a fin de que dentro del término de diez (10) días siguientes a la comunicación del auto, </w:t>
      </w:r>
      <w:r w:rsidR="008E2227" w:rsidRPr="00A82A74">
        <w:rPr>
          <w:rFonts w:ascii="Arial" w:eastAsia="Calibri" w:hAnsi="Arial" w:cs="Arial"/>
          <w:color w:val="000000" w:themeColor="text1"/>
          <w:sz w:val="22"/>
        </w:rPr>
        <w:t>conceptúe sobre el asunto planteado</w:t>
      </w:r>
      <w:r w:rsidR="00583580" w:rsidRPr="00A82A74">
        <w:rPr>
          <w:rFonts w:ascii="Arial" w:eastAsia="Calibri" w:hAnsi="Arial" w:cs="Arial"/>
          <w:color w:val="000000" w:themeColor="text1"/>
          <w:sz w:val="22"/>
        </w:rPr>
        <w:t>.</w:t>
      </w:r>
      <w:r w:rsidR="009F6E43" w:rsidRPr="00A82A74">
        <w:rPr>
          <w:rFonts w:ascii="Arial" w:eastAsia="Calibri" w:hAnsi="Arial" w:cs="Arial"/>
          <w:color w:val="000000" w:themeColor="text1"/>
          <w:sz w:val="22"/>
        </w:rPr>
        <w:t xml:space="preserve"> </w:t>
      </w:r>
    </w:p>
    <w:p w14:paraId="04DF639B" w14:textId="77777777" w:rsidR="00F1108B" w:rsidRPr="00A82A74" w:rsidRDefault="00F1108B" w:rsidP="00D65576">
      <w:pPr>
        <w:tabs>
          <w:tab w:val="left" w:pos="426"/>
        </w:tabs>
        <w:spacing w:after="120" w:line="276" w:lineRule="auto"/>
        <w:jc w:val="both"/>
        <w:rPr>
          <w:rFonts w:ascii="Arial" w:eastAsia="Calibri" w:hAnsi="Arial" w:cs="Arial"/>
          <w:color w:val="000000" w:themeColor="text1"/>
          <w:sz w:val="22"/>
        </w:rPr>
      </w:pPr>
    </w:p>
    <w:p w14:paraId="08FCE370" w14:textId="77777777" w:rsidR="00F1108B" w:rsidRPr="00A82A74" w:rsidRDefault="00F1108B" w:rsidP="00D65576">
      <w:pPr>
        <w:tabs>
          <w:tab w:val="left" w:pos="426"/>
        </w:tabs>
        <w:spacing w:after="120" w:line="276" w:lineRule="auto"/>
        <w:jc w:val="both"/>
        <w:rPr>
          <w:rFonts w:ascii="Arial" w:eastAsia="Calibri" w:hAnsi="Arial" w:cs="Arial"/>
          <w:b/>
          <w:color w:val="000000" w:themeColor="text1"/>
          <w:sz w:val="22"/>
        </w:rPr>
      </w:pPr>
      <w:r w:rsidRPr="00A82A74">
        <w:rPr>
          <w:rFonts w:ascii="Arial" w:eastAsia="Calibri" w:hAnsi="Arial" w:cs="Arial"/>
          <w:b/>
          <w:color w:val="000000" w:themeColor="text1"/>
          <w:sz w:val="22"/>
        </w:rPr>
        <w:t>2.</w:t>
      </w:r>
      <w:r w:rsidRPr="00A82A74">
        <w:rPr>
          <w:rFonts w:ascii="Arial" w:eastAsia="Calibri" w:hAnsi="Arial" w:cs="Arial"/>
          <w:color w:val="000000" w:themeColor="text1"/>
          <w:sz w:val="22"/>
        </w:rPr>
        <w:t xml:space="preserve"> </w:t>
      </w:r>
      <w:r w:rsidRPr="00A82A74">
        <w:rPr>
          <w:rFonts w:ascii="Arial" w:eastAsia="Calibri" w:hAnsi="Arial" w:cs="Arial"/>
          <w:b/>
          <w:color w:val="000000" w:themeColor="text1"/>
          <w:sz w:val="22"/>
        </w:rPr>
        <w:t>Consideraciones</w:t>
      </w:r>
    </w:p>
    <w:p w14:paraId="68AE0704" w14:textId="77777777" w:rsidR="00F1108B" w:rsidRPr="00A82A74"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p>
    <w:p w14:paraId="65B8D1F5" w14:textId="77777777" w:rsidR="003A3557" w:rsidRPr="00A82A74" w:rsidRDefault="00C24913" w:rsidP="00C24913">
      <w:pPr>
        <w:spacing w:after="120" w:line="276" w:lineRule="auto"/>
        <w:jc w:val="both"/>
        <w:rPr>
          <w:rFonts w:ascii="Arial" w:eastAsia="Calibri" w:hAnsi="Arial" w:cs="Arial"/>
          <w:color w:val="000000" w:themeColor="text1"/>
          <w:sz w:val="22"/>
        </w:rPr>
      </w:pPr>
      <w:r w:rsidRPr="00A82A74">
        <w:rPr>
          <w:rFonts w:ascii="Arial" w:eastAsia="Calibri" w:hAnsi="Arial" w:cs="Arial"/>
          <w:color w:val="000000" w:themeColor="text1"/>
          <w:sz w:val="22"/>
          <w:lang w:val="es-ES_tradnl"/>
        </w:rPr>
        <w:t>Para rendir el concepto solicitado</w:t>
      </w:r>
      <w:r w:rsidR="00D32256" w:rsidRPr="00A82A74">
        <w:rPr>
          <w:rFonts w:ascii="Arial" w:eastAsia="Calibri" w:hAnsi="Arial" w:cs="Arial"/>
          <w:color w:val="000000" w:themeColor="text1"/>
          <w:sz w:val="22"/>
          <w:lang w:val="es-ES_tradnl"/>
        </w:rPr>
        <w:t>,</w:t>
      </w:r>
      <w:r w:rsidR="008A796E" w:rsidRPr="00A82A74">
        <w:rPr>
          <w:rFonts w:ascii="Arial" w:eastAsia="Calibri" w:hAnsi="Arial" w:cs="Arial"/>
          <w:color w:val="000000" w:themeColor="text1"/>
          <w:sz w:val="22"/>
          <w:lang w:val="es-ES_tradnl"/>
        </w:rPr>
        <w:t xml:space="preserve"> </w:t>
      </w:r>
      <w:bookmarkStart w:id="6" w:name="_Hlk36735667"/>
      <w:r w:rsidR="00F1108B" w:rsidRPr="00A82A74">
        <w:rPr>
          <w:rFonts w:ascii="Arial" w:eastAsia="Calibri" w:hAnsi="Arial" w:cs="Arial"/>
          <w:color w:val="000000" w:themeColor="text1"/>
          <w:sz w:val="22"/>
          <w:lang w:val="es-ES_tradnl"/>
        </w:rPr>
        <w:t xml:space="preserve">se explicará </w:t>
      </w:r>
      <w:r w:rsidR="00F63FFD" w:rsidRPr="00A82A74">
        <w:rPr>
          <w:rFonts w:ascii="Arial" w:eastAsia="Calibri" w:hAnsi="Arial" w:cs="Arial"/>
          <w:color w:val="000000" w:themeColor="text1"/>
          <w:sz w:val="22"/>
          <w:lang w:val="es-ES_tradnl"/>
        </w:rPr>
        <w:t xml:space="preserve">tanto </w:t>
      </w:r>
      <w:r w:rsidR="008C4864" w:rsidRPr="00A82A74">
        <w:rPr>
          <w:rFonts w:ascii="Arial" w:eastAsia="Calibri" w:hAnsi="Arial" w:cs="Arial"/>
          <w:color w:val="000000" w:themeColor="text1"/>
          <w:sz w:val="22"/>
          <w:lang w:val="es-ES_tradnl"/>
        </w:rPr>
        <w:t xml:space="preserve">el sentido y alcance de la </w:t>
      </w:r>
      <w:r w:rsidR="008C4864" w:rsidRPr="00A82A74">
        <w:rPr>
          <w:rFonts w:ascii="Arial" w:eastAsia="Calibri" w:hAnsi="Arial" w:cs="Arial"/>
          <w:i/>
          <w:iCs/>
          <w:color w:val="000000" w:themeColor="text1"/>
          <w:sz w:val="22"/>
          <w:lang w:val="es-ES_tradnl"/>
        </w:rPr>
        <w:t>urgencia manifiesta</w:t>
      </w:r>
      <w:r w:rsidR="008C4864" w:rsidRPr="00A82A74">
        <w:rPr>
          <w:rFonts w:ascii="Arial" w:eastAsia="Calibri" w:hAnsi="Arial" w:cs="Arial"/>
          <w:color w:val="000000" w:themeColor="text1"/>
          <w:sz w:val="22"/>
          <w:lang w:val="es-ES_tradnl"/>
        </w:rPr>
        <w:t xml:space="preserve"> en los contratos de las entidades sometidas al </w:t>
      </w:r>
      <w:r w:rsidR="008C4864" w:rsidRPr="00A82A74">
        <w:rPr>
          <w:rFonts w:ascii="Arial" w:eastAsia="Calibri" w:hAnsi="Arial" w:cs="Arial"/>
          <w:color w:val="000000" w:themeColor="text1"/>
          <w:sz w:val="22"/>
        </w:rPr>
        <w:t xml:space="preserve">Estatuto General de </w:t>
      </w:r>
      <w:r w:rsidR="00A10365" w:rsidRPr="00A82A74">
        <w:rPr>
          <w:rFonts w:ascii="Arial" w:eastAsia="Calibri" w:hAnsi="Arial" w:cs="Arial"/>
          <w:color w:val="000000" w:themeColor="text1"/>
          <w:sz w:val="22"/>
        </w:rPr>
        <w:t xml:space="preserve">Contratación, </w:t>
      </w:r>
      <w:r w:rsidR="00F63FFD" w:rsidRPr="00A82A74">
        <w:rPr>
          <w:rFonts w:ascii="Arial" w:eastAsia="Calibri" w:hAnsi="Arial" w:cs="Arial"/>
          <w:color w:val="000000" w:themeColor="text1"/>
          <w:sz w:val="22"/>
        </w:rPr>
        <w:t xml:space="preserve">como </w:t>
      </w:r>
      <w:r w:rsidR="00A10365" w:rsidRPr="00A82A74">
        <w:rPr>
          <w:rFonts w:ascii="Arial" w:eastAsia="Calibri" w:hAnsi="Arial" w:cs="Arial"/>
          <w:color w:val="000000" w:themeColor="text1"/>
          <w:sz w:val="22"/>
        </w:rPr>
        <w:t>los</w:t>
      </w:r>
      <w:r w:rsidR="00F63FFD" w:rsidRPr="00A82A74">
        <w:rPr>
          <w:rFonts w:ascii="Arial" w:eastAsia="Calibri" w:hAnsi="Arial" w:cs="Arial"/>
          <w:color w:val="000000" w:themeColor="text1"/>
          <w:sz w:val="22"/>
        </w:rPr>
        <w:t xml:space="preserve"> concepto</w:t>
      </w:r>
      <w:r w:rsidR="00A10365" w:rsidRPr="00A82A74">
        <w:rPr>
          <w:rFonts w:ascii="Arial" w:eastAsia="Calibri" w:hAnsi="Arial" w:cs="Arial"/>
          <w:color w:val="000000" w:themeColor="text1"/>
          <w:sz w:val="22"/>
        </w:rPr>
        <w:t>s</w:t>
      </w:r>
      <w:r w:rsidR="00F63FFD" w:rsidRPr="00A82A74">
        <w:rPr>
          <w:rFonts w:ascii="Arial" w:eastAsia="Calibri" w:hAnsi="Arial" w:cs="Arial"/>
          <w:color w:val="000000" w:themeColor="text1"/>
          <w:sz w:val="22"/>
        </w:rPr>
        <w:t xml:space="preserve"> de </w:t>
      </w:r>
      <w:r w:rsidR="00F63FFD" w:rsidRPr="00A82A74">
        <w:rPr>
          <w:rFonts w:ascii="Arial" w:eastAsia="Calibri" w:hAnsi="Arial" w:cs="Arial"/>
          <w:i/>
          <w:iCs/>
          <w:color w:val="000000" w:themeColor="text1"/>
          <w:sz w:val="22"/>
        </w:rPr>
        <w:t>desastre</w:t>
      </w:r>
      <w:r w:rsidR="00F63FFD" w:rsidRPr="00A82A74">
        <w:rPr>
          <w:rFonts w:ascii="Arial" w:eastAsia="Calibri" w:hAnsi="Arial" w:cs="Arial"/>
          <w:color w:val="000000" w:themeColor="text1"/>
          <w:sz w:val="22"/>
        </w:rPr>
        <w:t xml:space="preserve"> y </w:t>
      </w:r>
      <w:r w:rsidR="00F63FFD" w:rsidRPr="00A82A74">
        <w:rPr>
          <w:rFonts w:ascii="Arial" w:eastAsia="Calibri" w:hAnsi="Arial" w:cs="Arial"/>
          <w:i/>
          <w:iCs/>
          <w:color w:val="000000" w:themeColor="text1"/>
          <w:sz w:val="22"/>
        </w:rPr>
        <w:t>calamidad pública</w:t>
      </w:r>
      <w:r w:rsidR="00F63FFD" w:rsidRPr="00A82A74">
        <w:rPr>
          <w:rFonts w:ascii="Arial" w:eastAsia="Calibri" w:hAnsi="Arial" w:cs="Arial"/>
          <w:color w:val="000000" w:themeColor="text1"/>
          <w:sz w:val="22"/>
        </w:rPr>
        <w:t xml:space="preserve"> en la Ley 1523 de 2012, </w:t>
      </w:r>
      <w:r w:rsidR="00A10365" w:rsidRPr="00A82A74">
        <w:rPr>
          <w:rFonts w:ascii="Arial" w:eastAsia="Calibri" w:hAnsi="Arial" w:cs="Arial"/>
          <w:color w:val="000000" w:themeColor="text1"/>
          <w:sz w:val="22"/>
        </w:rPr>
        <w:t>para</w:t>
      </w:r>
      <w:r w:rsidR="00F63FFD" w:rsidRPr="00A82A74">
        <w:rPr>
          <w:rFonts w:ascii="Arial" w:eastAsia="Calibri" w:hAnsi="Arial" w:cs="Arial"/>
          <w:color w:val="000000" w:themeColor="text1"/>
          <w:sz w:val="22"/>
        </w:rPr>
        <w:t xml:space="preserve"> diferenciar estas nociones</w:t>
      </w:r>
      <w:r w:rsidR="00EF017B" w:rsidRPr="00A82A74">
        <w:rPr>
          <w:rFonts w:ascii="Arial" w:eastAsia="Calibri" w:hAnsi="Arial" w:cs="Arial"/>
          <w:color w:val="000000" w:themeColor="text1"/>
          <w:sz w:val="22"/>
        </w:rPr>
        <w:t xml:space="preserve">, pero también para establecer </w:t>
      </w:r>
      <w:r w:rsidR="00F63FFD" w:rsidRPr="00A82A74">
        <w:rPr>
          <w:rFonts w:ascii="Arial" w:eastAsia="Calibri" w:hAnsi="Arial" w:cs="Arial"/>
          <w:color w:val="000000" w:themeColor="text1"/>
          <w:sz w:val="22"/>
        </w:rPr>
        <w:t xml:space="preserve">la relación que </w:t>
      </w:r>
      <w:r w:rsidR="00A10365" w:rsidRPr="00A82A74">
        <w:rPr>
          <w:rFonts w:ascii="Arial" w:eastAsia="Calibri" w:hAnsi="Arial" w:cs="Arial"/>
          <w:color w:val="000000" w:themeColor="text1"/>
          <w:sz w:val="22"/>
        </w:rPr>
        <w:t>tienen</w:t>
      </w:r>
      <w:r w:rsidR="00F63FFD" w:rsidRPr="00A82A74">
        <w:rPr>
          <w:rFonts w:ascii="Arial" w:eastAsia="Calibri" w:hAnsi="Arial" w:cs="Arial"/>
          <w:color w:val="000000" w:themeColor="text1"/>
          <w:sz w:val="22"/>
        </w:rPr>
        <w:t xml:space="preserve">. </w:t>
      </w:r>
    </w:p>
    <w:p w14:paraId="745CBAC2" w14:textId="12A76067" w:rsidR="00C40C6C" w:rsidRPr="00A82A74" w:rsidRDefault="003A3557" w:rsidP="00C24913">
      <w:pPr>
        <w:spacing w:after="120" w:line="276" w:lineRule="auto"/>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rPr>
        <w:tab/>
      </w:r>
      <w:bookmarkStart w:id="7" w:name="_Hlk38530872"/>
      <w:r w:rsidR="00D63723" w:rsidRPr="00A82A74">
        <w:rPr>
          <w:rFonts w:ascii="Arial" w:eastAsia="Calibri" w:hAnsi="Arial" w:cs="Arial"/>
          <w:color w:val="000000" w:themeColor="text1"/>
          <w:sz w:val="22"/>
        </w:rPr>
        <w:t>Además del comunicado de pre</w:t>
      </w:r>
      <w:r w:rsidR="00E21E30" w:rsidRPr="00A82A74">
        <w:rPr>
          <w:rFonts w:ascii="Arial" w:eastAsia="Calibri" w:hAnsi="Arial" w:cs="Arial"/>
          <w:color w:val="000000" w:themeColor="text1"/>
          <w:sz w:val="22"/>
        </w:rPr>
        <w:t>n</w:t>
      </w:r>
      <w:r w:rsidR="00D63723" w:rsidRPr="00A82A74">
        <w:rPr>
          <w:rFonts w:ascii="Arial" w:eastAsia="Calibri" w:hAnsi="Arial" w:cs="Arial"/>
          <w:color w:val="000000" w:themeColor="text1"/>
          <w:sz w:val="22"/>
        </w:rPr>
        <w:t>sa del 17 de marzo de 2020</w:t>
      </w:r>
      <w:r w:rsidR="00D63723" w:rsidRPr="00A82A74">
        <w:rPr>
          <w:rStyle w:val="Refdenotaalpie"/>
          <w:rFonts w:ascii="Arial" w:eastAsia="Calibri" w:hAnsi="Arial" w:cs="Arial"/>
          <w:color w:val="000000" w:themeColor="text1"/>
          <w:sz w:val="22"/>
        </w:rPr>
        <w:footnoteReference w:id="1"/>
      </w:r>
      <w:r w:rsidR="00D63723" w:rsidRPr="00A82A74">
        <w:rPr>
          <w:rFonts w:ascii="Arial" w:eastAsia="Calibri" w:hAnsi="Arial" w:cs="Arial"/>
          <w:color w:val="000000" w:themeColor="text1"/>
          <w:sz w:val="22"/>
        </w:rPr>
        <w:t xml:space="preserve">, recientemente esta Subdirección expidió los </w:t>
      </w:r>
      <w:r w:rsidRPr="00A82A74">
        <w:rPr>
          <w:rFonts w:ascii="Arial" w:eastAsia="Calibri" w:hAnsi="Arial" w:cs="Arial"/>
          <w:color w:val="000000" w:themeColor="text1"/>
          <w:sz w:val="22"/>
        </w:rPr>
        <w:t>Conceptos C-135, C-241, C-257, C-269 y C-275 del 10 de abril de 2020</w:t>
      </w:r>
      <w:r w:rsidR="009A1607" w:rsidRPr="00A82A74">
        <w:rPr>
          <w:rFonts w:ascii="Arial" w:eastAsia="Calibri" w:hAnsi="Arial" w:cs="Arial"/>
          <w:color w:val="000000" w:themeColor="text1"/>
          <w:sz w:val="22"/>
        </w:rPr>
        <w:t>, donde se explicó que la declaración del estado de emergencia</w:t>
      </w:r>
      <w:r w:rsidR="00157A19" w:rsidRPr="00A82A74">
        <w:rPr>
          <w:rFonts w:ascii="Arial" w:eastAsia="Calibri" w:hAnsi="Arial" w:cs="Arial"/>
          <w:color w:val="000000" w:themeColor="text1"/>
          <w:sz w:val="22"/>
        </w:rPr>
        <w:t xml:space="preserve">, </w:t>
      </w:r>
      <w:r w:rsidR="009A1607" w:rsidRPr="00A82A74">
        <w:rPr>
          <w:rFonts w:ascii="Arial" w:eastAsia="Calibri" w:hAnsi="Arial" w:cs="Arial"/>
          <w:color w:val="000000" w:themeColor="text1"/>
          <w:sz w:val="22"/>
        </w:rPr>
        <w:t xml:space="preserve">calamidad pública o desastre no habilitan la contratación directa por sí solas, ya que la causal prevista en el literal a) del numeral 4 del artículo 2 de la Ley 1150 de 2007 requiere la declaratoria de urgencia manifiesta conforme al artículo 42 de la Ley 80 de 1993. En esta medida, salvo los </w:t>
      </w:r>
      <w:r w:rsidR="009A1607" w:rsidRPr="00A82A74">
        <w:rPr>
          <w:rFonts w:ascii="Arial" w:eastAsia="Calibri" w:hAnsi="Arial" w:cs="Arial"/>
          <w:color w:val="000000" w:themeColor="text1"/>
          <w:sz w:val="22"/>
        </w:rPr>
        <w:lastRenderedPageBreak/>
        <w:t>dispuesto en el artículo 66 de la Ley 1523 de 2012, es necesaria la expedición de dos (2) actos administrativos: el que declara la situación de emergencia, desastre o calamidad, por un lado, y –con fundamento en este– el que declara la urgencia manifiesta, por otro. La tesis propuesta en dichos conceptos se expone a continuación</w:t>
      </w:r>
      <w:r w:rsidRPr="00A82A74">
        <w:rPr>
          <w:rFonts w:ascii="Arial" w:eastAsia="Calibri" w:hAnsi="Arial" w:cs="Arial"/>
          <w:color w:val="000000" w:themeColor="text1"/>
          <w:sz w:val="22"/>
        </w:rPr>
        <w:t xml:space="preserve">: </w:t>
      </w:r>
      <w:r w:rsidR="00F63FFD" w:rsidRPr="00A82A74">
        <w:rPr>
          <w:rFonts w:ascii="Arial" w:eastAsia="Calibri" w:hAnsi="Arial" w:cs="Arial"/>
          <w:color w:val="000000" w:themeColor="text1"/>
          <w:sz w:val="22"/>
        </w:rPr>
        <w:t xml:space="preserve">   </w:t>
      </w:r>
      <w:r w:rsidR="008C4864" w:rsidRPr="00A82A74">
        <w:rPr>
          <w:rFonts w:ascii="Arial" w:eastAsia="Calibri" w:hAnsi="Arial" w:cs="Arial"/>
          <w:color w:val="000000" w:themeColor="text1"/>
          <w:sz w:val="22"/>
        </w:rPr>
        <w:t xml:space="preserve"> </w:t>
      </w:r>
      <w:r w:rsidR="005F5F8F" w:rsidRPr="00A82A74">
        <w:rPr>
          <w:rFonts w:ascii="Arial" w:eastAsia="Calibri" w:hAnsi="Arial" w:cs="Arial"/>
          <w:color w:val="000000" w:themeColor="text1"/>
          <w:sz w:val="22"/>
          <w:lang w:val="es-ES_tradnl"/>
        </w:rPr>
        <w:t xml:space="preserve"> </w:t>
      </w:r>
      <w:r w:rsidR="00F87E29" w:rsidRPr="00A82A74">
        <w:rPr>
          <w:rFonts w:ascii="Arial" w:eastAsia="Calibri" w:hAnsi="Arial" w:cs="Arial"/>
          <w:color w:val="000000" w:themeColor="text1"/>
          <w:sz w:val="22"/>
          <w:lang w:val="es-ES_tradnl"/>
        </w:rPr>
        <w:t xml:space="preserve">  </w:t>
      </w:r>
      <w:bookmarkEnd w:id="6"/>
      <w:bookmarkEnd w:id="7"/>
    </w:p>
    <w:p w14:paraId="380A75F9" w14:textId="77777777" w:rsidR="00C40C6C" w:rsidRPr="00A82A74" w:rsidRDefault="00C40C6C" w:rsidP="00C40C6C">
      <w:pPr>
        <w:jc w:val="both"/>
        <w:rPr>
          <w:rFonts w:ascii="Arial" w:eastAsia="Calibri" w:hAnsi="Arial" w:cs="Arial"/>
          <w:b/>
          <w:bCs/>
          <w:color w:val="000000" w:themeColor="text1"/>
          <w:sz w:val="22"/>
          <w:lang w:val="es-ES_tradnl"/>
        </w:rPr>
      </w:pPr>
    </w:p>
    <w:p w14:paraId="59574497" w14:textId="77777777" w:rsidR="00DD3852" w:rsidRPr="00A82A74" w:rsidRDefault="00DD3852" w:rsidP="00DD3852">
      <w:pPr>
        <w:spacing w:line="276" w:lineRule="auto"/>
        <w:jc w:val="both"/>
        <w:rPr>
          <w:rFonts w:ascii="Arial" w:eastAsia="Calibri" w:hAnsi="Arial" w:cs="Arial"/>
          <w:b/>
          <w:bCs/>
          <w:color w:val="000000" w:themeColor="text1"/>
          <w:sz w:val="22"/>
          <w:lang w:val="es-ES_tradnl"/>
        </w:rPr>
      </w:pPr>
      <w:r w:rsidRPr="00A82A74">
        <w:rPr>
          <w:rFonts w:ascii="Arial" w:eastAsia="Calibri" w:hAnsi="Arial" w:cs="Arial"/>
          <w:b/>
          <w:bCs/>
          <w:color w:val="000000" w:themeColor="text1"/>
          <w:sz w:val="22"/>
          <w:lang w:val="es-ES_tradnl"/>
        </w:rPr>
        <w:t xml:space="preserve">2.1. Urgencia manifiesta como causal de contratación directa </w:t>
      </w:r>
    </w:p>
    <w:p w14:paraId="03EF3FC8" w14:textId="77777777" w:rsidR="00DD3852" w:rsidRPr="00A82A74" w:rsidRDefault="00DD3852" w:rsidP="00DD3852">
      <w:pPr>
        <w:jc w:val="both"/>
        <w:rPr>
          <w:rFonts w:ascii="Arial" w:eastAsia="Calibri" w:hAnsi="Arial" w:cs="Arial"/>
          <w:b/>
          <w:bCs/>
          <w:color w:val="000000" w:themeColor="text1"/>
          <w:sz w:val="22"/>
          <w:lang w:val="es-ES_tradnl"/>
        </w:rPr>
      </w:pPr>
    </w:p>
    <w:p w14:paraId="0C6E96DA" w14:textId="77777777" w:rsidR="00DD3852" w:rsidRPr="00A82A74" w:rsidRDefault="00DD3852" w:rsidP="00DD3852">
      <w:pPr>
        <w:spacing w:before="120" w:line="276" w:lineRule="auto"/>
        <w:jc w:val="both"/>
        <w:rPr>
          <w:rFonts w:ascii="Arial" w:eastAsia="Calibri" w:hAnsi="Arial" w:cs="Arial"/>
          <w:color w:val="000000" w:themeColor="text1"/>
          <w:sz w:val="22"/>
          <w:lang w:val="es-ES_tradnl"/>
        </w:rPr>
      </w:pPr>
      <w:bookmarkStart w:id="8" w:name="_Hlk35882939"/>
      <w:r w:rsidRPr="00A82A74">
        <w:rPr>
          <w:rFonts w:ascii="Arial" w:eastAsia="Calibri" w:hAnsi="Arial" w:cs="Arial"/>
          <w:color w:val="000000" w:themeColor="text1"/>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8"/>
      <w:r w:rsidRPr="00A82A74">
        <w:rPr>
          <w:rFonts w:ascii="Arial" w:eastAsia="Calibri" w:hAnsi="Arial" w:cs="Arial"/>
          <w:color w:val="000000" w:themeColor="text1"/>
          <w:sz w:val="22"/>
          <w:lang w:val="es-ES_tradnl"/>
        </w:rPr>
        <w:t xml:space="preserve">. </w:t>
      </w:r>
    </w:p>
    <w:p w14:paraId="099DEFB5"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0B01A350" w14:textId="77777777" w:rsidR="00DD3852" w:rsidRPr="00A82A74" w:rsidRDefault="00DD3852" w:rsidP="00DD3852">
      <w:pPr>
        <w:spacing w:before="120" w:line="276" w:lineRule="auto"/>
        <w:jc w:val="both"/>
        <w:rPr>
          <w:rFonts w:ascii="Arial" w:eastAsia="Calibri" w:hAnsi="Arial" w:cs="Arial"/>
          <w:color w:val="000000" w:themeColor="text1"/>
          <w:sz w:val="22"/>
          <w:lang w:val="es-ES_tradnl"/>
        </w:rPr>
      </w:pPr>
    </w:p>
    <w:p w14:paraId="58E2DC26" w14:textId="77777777" w:rsidR="00DD3852" w:rsidRPr="00A82A74" w:rsidRDefault="00DD3852" w:rsidP="00DD3852">
      <w:pPr>
        <w:spacing w:before="120"/>
        <w:ind w:left="709" w:right="709"/>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1"/>
          <w:szCs w:val="21"/>
          <w:lang w:val="es-ES_tradnl"/>
        </w:rPr>
        <w:t xml:space="preserve">Art. 42. De la urgencia manifiesta. Existe urgencia manifiesta </w:t>
      </w:r>
      <w:bookmarkStart w:id="9" w:name="_Hlk35851184"/>
      <w:r w:rsidRPr="00A82A74">
        <w:rPr>
          <w:rFonts w:ascii="Arial" w:eastAsia="Calibri" w:hAnsi="Arial" w:cs="Arial"/>
          <w:color w:val="000000" w:themeColor="text1"/>
          <w:sz w:val="21"/>
          <w:szCs w:val="21"/>
          <w:lang w:val="es-ES_tradnl"/>
        </w:rPr>
        <w:t>cuando la continuidad del servicio exige el suministro de bienes, o la prestación de servicios, o la ejecución de obras en el inmediato futuro</w:t>
      </w:r>
      <w:bookmarkEnd w:id="9"/>
      <w:r w:rsidRPr="00A82A74">
        <w:rPr>
          <w:rFonts w:ascii="Arial" w:eastAsia="Calibri" w:hAnsi="Arial" w:cs="Arial"/>
          <w:color w:val="000000" w:themeColor="text1"/>
          <w:sz w:val="21"/>
          <w:szCs w:val="21"/>
          <w:lang w:val="es-ES_tradnl"/>
        </w:rPr>
        <w:t xml:space="preserve">; </w:t>
      </w:r>
      <w:bookmarkStart w:id="10" w:name="_Hlk35857288"/>
      <w:r w:rsidRPr="00A82A74">
        <w:rPr>
          <w:rFonts w:ascii="Arial" w:eastAsia="Calibri" w:hAnsi="Arial" w:cs="Arial"/>
          <w:color w:val="000000" w:themeColor="text1"/>
          <w:sz w:val="21"/>
          <w:szCs w:val="21"/>
          <w:lang w:val="es-ES_tradnl"/>
        </w:rPr>
        <w:t xml:space="preserve">cuando se presenten </w:t>
      </w:r>
      <w:bookmarkStart w:id="11" w:name="_Hlk35857424"/>
      <w:r w:rsidRPr="00A82A74">
        <w:rPr>
          <w:rFonts w:ascii="Arial" w:eastAsia="Calibri" w:hAnsi="Arial" w:cs="Arial"/>
          <w:color w:val="000000" w:themeColor="text1"/>
          <w:sz w:val="21"/>
          <w:szCs w:val="21"/>
          <w:lang w:val="es-ES_tradnl"/>
        </w:rPr>
        <w:t>situaciones relacionadas con los estados de excepción</w:t>
      </w:r>
      <w:bookmarkEnd w:id="10"/>
      <w:bookmarkEnd w:id="11"/>
      <w:r w:rsidRPr="00A82A74">
        <w:rPr>
          <w:rFonts w:ascii="Arial" w:eastAsia="Calibri" w:hAnsi="Arial" w:cs="Arial"/>
          <w:color w:val="000000" w:themeColor="text1"/>
          <w:sz w:val="21"/>
          <w:szCs w:val="21"/>
          <w:lang w:val="es-ES_tradnl"/>
        </w:rPr>
        <w:t xml:space="preserve">; </w:t>
      </w:r>
      <w:bookmarkStart w:id="12" w:name="_Hlk35865550"/>
      <w:r w:rsidRPr="00A82A74">
        <w:rPr>
          <w:rFonts w:ascii="Arial" w:eastAsia="Calibri" w:hAnsi="Arial" w:cs="Arial"/>
          <w:color w:val="000000" w:themeColor="text1"/>
          <w:sz w:val="21"/>
          <w:szCs w:val="21"/>
          <w:lang w:val="es-ES_tradnl"/>
        </w:rPr>
        <w:t xml:space="preserve">cuando se trate de conjurar situaciones excepcionales relacionadas con hechos de calamidad o constitutivos de fuerza mayor o desastre que demanden actuaciones inmediatas </w:t>
      </w:r>
      <w:bookmarkEnd w:id="12"/>
      <w:r w:rsidRPr="00A82A74">
        <w:rPr>
          <w:rFonts w:ascii="Arial" w:eastAsia="Calibri" w:hAnsi="Arial" w:cs="Arial"/>
          <w:color w:val="000000" w:themeColor="text1"/>
          <w:sz w:val="21"/>
          <w:szCs w:val="21"/>
          <w:lang w:val="es-ES_tradnl"/>
        </w:rPr>
        <w:t>y, en general, cuando se trate de situaciones similares que imposibiliten acudir a los procedimientos de selección o concurso públicos.</w:t>
      </w:r>
    </w:p>
    <w:p w14:paraId="12247E77" w14:textId="77777777" w:rsidR="00DD3852" w:rsidRPr="00A82A74" w:rsidRDefault="00DD3852" w:rsidP="00DD3852">
      <w:pPr>
        <w:spacing w:before="120"/>
        <w:ind w:left="709" w:right="709"/>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1"/>
          <w:szCs w:val="21"/>
          <w:lang w:val="es-ES_tradnl"/>
        </w:rPr>
        <w:t>La urgencia manifiesta se declarará mediante acto administrativo motivado.</w:t>
      </w:r>
    </w:p>
    <w:p w14:paraId="1D145AD9" w14:textId="77777777" w:rsidR="00DD3852" w:rsidRPr="00A82A74" w:rsidRDefault="00DD3852" w:rsidP="00DD3852">
      <w:pPr>
        <w:spacing w:before="120"/>
        <w:ind w:left="709" w:right="709"/>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1"/>
          <w:szCs w:val="21"/>
          <w:lang w:val="es-ES_tradnl"/>
        </w:rPr>
        <w:t>Parágrafo. Con el fin de atender las necesidades y los gastos propios de la urgencia manifiesta, se podrán hacer los traslados presupuestales internos que se requieran dentro del presupuesto del organismo o entidad estatal correspondiente</w:t>
      </w:r>
      <w:r w:rsidRPr="00A82A74">
        <w:rPr>
          <w:rStyle w:val="Refdenotaalpie"/>
          <w:rFonts w:ascii="Arial" w:eastAsia="Calibri" w:hAnsi="Arial" w:cs="Arial"/>
          <w:color w:val="000000" w:themeColor="text1"/>
          <w:sz w:val="21"/>
          <w:szCs w:val="21"/>
          <w:lang w:val="es-ES_tradnl"/>
        </w:rPr>
        <w:footnoteReference w:id="2"/>
      </w:r>
      <w:r w:rsidRPr="00A82A74">
        <w:rPr>
          <w:rFonts w:ascii="Arial" w:eastAsia="Calibri" w:hAnsi="Arial" w:cs="Arial"/>
          <w:color w:val="000000" w:themeColor="text1"/>
          <w:sz w:val="21"/>
          <w:szCs w:val="21"/>
          <w:lang w:val="es-ES_tradnl"/>
        </w:rPr>
        <w:t>.</w:t>
      </w:r>
    </w:p>
    <w:p w14:paraId="30EDF27A" w14:textId="77777777" w:rsidR="00DD3852" w:rsidRPr="00A82A74" w:rsidRDefault="00DD3852" w:rsidP="00DD3852">
      <w:pPr>
        <w:spacing w:before="120"/>
        <w:ind w:left="709" w:right="709"/>
        <w:jc w:val="both"/>
        <w:rPr>
          <w:rFonts w:ascii="Arial" w:eastAsia="Calibri" w:hAnsi="Arial" w:cs="Arial"/>
          <w:color w:val="000000" w:themeColor="text1"/>
          <w:sz w:val="21"/>
          <w:szCs w:val="21"/>
          <w:lang w:val="es-ES_tradnl"/>
        </w:rPr>
      </w:pPr>
    </w:p>
    <w:p w14:paraId="337BFC47" w14:textId="77777777" w:rsidR="00DD3852" w:rsidRPr="00A82A74" w:rsidRDefault="00DD3852" w:rsidP="00DD3852">
      <w:pPr>
        <w:spacing w:before="120" w:line="276" w:lineRule="auto"/>
        <w:ind w:firstLine="708"/>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2"/>
          <w:lang w:val="es-ES_tradnl"/>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A82A74">
        <w:rPr>
          <w:color w:val="000000" w:themeColor="text1"/>
        </w:rPr>
        <w:t xml:space="preserve"> </w:t>
      </w:r>
      <w:r w:rsidRPr="00A82A74">
        <w:rPr>
          <w:rFonts w:ascii="Arial" w:eastAsia="Calibri" w:hAnsi="Arial" w:cs="Arial"/>
          <w:color w:val="000000" w:themeColor="text1"/>
          <w:sz w:val="22"/>
          <w:lang w:val="es-ES_tradnl"/>
        </w:rPr>
        <w:t>necesidades actuales o previsibles de orden público, seguridad nacional o calamidad pública»; razón por la cual, los controles para su utilización eran tan evidentes que al declarase por un órgano distinto, el juez debía declarar la nulidad absoluta del contrato, por la falta de competencia</w:t>
      </w:r>
      <w:r w:rsidRPr="00A82A74">
        <w:rPr>
          <w:rStyle w:val="Refdenotaalpie"/>
          <w:rFonts w:ascii="Arial" w:eastAsia="Calibri" w:hAnsi="Arial" w:cs="Arial"/>
          <w:color w:val="000000" w:themeColor="text1"/>
          <w:sz w:val="22"/>
          <w:lang w:val="es-ES_tradnl"/>
        </w:rPr>
        <w:footnoteReference w:id="3"/>
      </w:r>
      <w:r w:rsidRPr="00A82A74">
        <w:rPr>
          <w:rFonts w:ascii="Arial" w:eastAsia="Calibri" w:hAnsi="Arial" w:cs="Arial"/>
          <w:color w:val="000000" w:themeColor="text1"/>
          <w:sz w:val="22"/>
          <w:lang w:val="es-ES_tradnl"/>
        </w:rPr>
        <w:t xml:space="preserve">. En contraste, el </w:t>
      </w:r>
      <w:r w:rsidRPr="00A82A74">
        <w:rPr>
          <w:rFonts w:ascii="Arial" w:eastAsia="Calibri" w:hAnsi="Arial" w:cs="Arial"/>
          <w:color w:val="000000" w:themeColor="text1"/>
          <w:sz w:val="22"/>
        </w:rPr>
        <w:t>Estatuto General de Contratación de la Administración Pública</w:t>
      </w:r>
      <w:r w:rsidRPr="00A82A74">
        <w:rPr>
          <w:rFonts w:ascii="Arial" w:eastAsia="Calibri" w:hAnsi="Arial" w:cs="Arial"/>
          <w:color w:val="000000" w:themeColor="text1"/>
          <w:sz w:val="22"/>
          <w:lang w:val="es-ES_tradnl"/>
        </w:rPr>
        <w:t xml:space="preserve">, interpretando de manera más realista las necesidades de la Administración, autoriza al jefe o representante legal de la entidad estatal para declarar la urgencia, siempre que tenga el carácter de </w:t>
      </w:r>
      <w:r w:rsidRPr="00A82A74">
        <w:rPr>
          <w:rFonts w:ascii="Arial" w:eastAsia="Calibri" w:hAnsi="Arial" w:cs="Arial"/>
          <w:i/>
          <w:iCs/>
          <w:color w:val="000000" w:themeColor="text1"/>
          <w:sz w:val="22"/>
          <w:lang w:val="es-ES_tradnl"/>
        </w:rPr>
        <w:t>manifiesta</w:t>
      </w:r>
      <w:r w:rsidRPr="00A82A74">
        <w:rPr>
          <w:rStyle w:val="Refdenotaalpie"/>
          <w:rFonts w:ascii="Arial" w:eastAsia="Calibri" w:hAnsi="Arial" w:cs="Arial"/>
          <w:color w:val="000000" w:themeColor="text1"/>
          <w:sz w:val="21"/>
          <w:szCs w:val="21"/>
          <w:lang w:val="es-ES_tradnl"/>
        </w:rPr>
        <w:footnoteReference w:id="4"/>
      </w:r>
      <w:r w:rsidRPr="00A82A74">
        <w:rPr>
          <w:rFonts w:ascii="Arial" w:eastAsia="Calibri" w:hAnsi="Arial" w:cs="Arial"/>
          <w:color w:val="000000" w:themeColor="text1"/>
          <w:sz w:val="21"/>
          <w:szCs w:val="21"/>
          <w:lang w:val="es-ES_tradnl"/>
        </w:rPr>
        <w:t>.</w:t>
      </w:r>
      <w:bookmarkStart w:id="13" w:name="_Hlk35882966"/>
    </w:p>
    <w:p w14:paraId="3689EDFC"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bookmarkStart w:id="14" w:name="_Hlk35959309"/>
      <w:r w:rsidRPr="00A82A74">
        <w:rPr>
          <w:rFonts w:ascii="Arial" w:eastAsia="Calibri" w:hAnsi="Arial" w:cs="Arial"/>
          <w:color w:val="000000" w:themeColor="text1"/>
          <w:sz w:val="22"/>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bookmarkEnd w:id="13"/>
      <w:r w:rsidRPr="00A82A74">
        <w:rPr>
          <w:rStyle w:val="Refdenotaalpie"/>
          <w:rFonts w:ascii="Arial" w:eastAsia="Calibri" w:hAnsi="Arial" w:cs="Arial"/>
          <w:color w:val="000000" w:themeColor="text1"/>
          <w:sz w:val="22"/>
          <w:lang w:val="es-ES_tradnl"/>
        </w:rPr>
        <w:footnoteReference w:id="5"/>
      </w:r>
      <w:r w:rsidRPr="00A82A74">
        <w:rPr>
          <w:rFonts w:ascii="Arial" w:eastAsia="Calibri" w:hAnsi="Arial" w:cs="Arial"/>
          <w:color w:val="000000" w:themeColor="text1"/>
          <w:sz w:val="22"/>
          <w:lang w:val="es-ES_tradnl"/>
        </w:rPr>
        <w:t xml:space="preserve">. </w:t>
      </w:r>
    </w:p>
    <w:p w14:paraId="647BAD3E" w14:textId="77777777" w:rsidR="00DD3852" w:rsidRPr="00A82A74" w:rsidRDefault="00DD3852" w:rsidP="00DD3852">
      <w:pPr>
        <w:spacing w:before="120" w:line="276" w:lineRule="auto"/>
        <w:ind w:firstLine="709"/>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w:t>
      </w:r>
      <w:r w:rsidRPr="00A82A74">
        <w:rPr>
          <w:rFonts w:ascii="Arial" w:eastAsia="Calibri" w:hAnsi="Arial" w:cs="Arial"/>
          <w:color w:val="000000" w:themeColor="text1"/>
          <w:sz w:val="22"/>
          <w:lang w:val="es-ES_tradnl"/>
        </w:rPr>
        <w:lastRenderedPageBreak/>
        <w:t>de los derechos e intereses de los administrados que colaboran con entidades y organismos del Estado en la consecución de dichos propósitos, confieren un fundamento adicional a esta causal de contratación directa</w:t>
      </w:r>
      <w:r w:rsidRPr="00A82A74">
        <w:rPr>
          <w:rStyle w:val="Refdenotaalpie"/>
          <w:rFonts w:ascii="Arial" w:eastAsia="Calibri" w:hAnsi="Arial" w:cs="Arial"/>
          <w:color w:val="000000" w:themeColor="text1"/>
          <w:sz w:val="22"/>
          <w:lang w:val="es-ES_tradnl"/>
        </w:rPr>
        <w:footnoteReference w:id="6"/>
      </w:r>
      <w:r w:rsidRPr="00A82A74">
        <w:rPr>
          <w:rFonts w:ascii="Arial" w:eastAsia="Calibri" w:hAnsi="Arial" w:cs="Arial"/>
          <w:color w:val="000000" w:themeColor="text1"/>
          <w:sz w:val="22"/>
          <w:lang w:val="es-ES_tradnl"/>
        </w:rPr>
        <w:t xml:space="preserve">. </w:t>
      </w:r>
    </w:p>
    <w:bookmarkEnd w:id="14"/>
    <w:p w14:paraId="77B21569" w14:textId="77777777" w:rsidR="00DD3852" w:rsidRPr="00A82A74" w:rsidRDefault="00DD3852" w:rsidP="00DD3852">
      <w:pPr>
        <w:spacing w:before="120" w:line="276" w:lineRule="auto"/>
        <w:ind w:firstLine="709"/>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En esta medida, el art. 42 del </w:t>
      </w:r>
      <w:r w:rsidRPr="00A82A74">
        <w:rPr>
          <w:rFonts w:ascii="Arial" w:eastAsia="Calibri" w:hAnsi="Arial" w:cs="Arial"/>
          <w:color w:val="000000" w:themeColor="text1"/>
          <w:sz w:val="22"/>
        </w:rPr>
        <w:t xml:space="preserve">Estatuto General de Contratación, </w:t>
      </w:r>
      <w:r w:rsidRPr="00A82A74">
        <w:rPr>
          <w:rFonts w:ascii="Arial" w:eastAsia="Calibri" w:hAnsi="Arial" w:cs="Arial"/>
          <w:color w:val="000000" w:themeColor="text1"/>
          <w:sz w:val="22"/>
          <w:lang w:val="es-ES_tradnl"/>
        </w:rPr>
        <w:t xml:space="preserve">citado antes, contempla cuatro (4) circunstancias o hechos que configuran la urgencia manifiesta, si así lo declara la entidad: </w:t>
      </w:r>
    </w:p>
    <w:p w14:paraId="05EC60F3" w14:textId="77777777" w:rsidR="00DD3852" w:rsidRPr="00A82A74" w:rsidRDefault="00DD3852" w:rsidP="00DD3852">
      <w:pPr>
        <w:spacing w:before="120" w:line="276" w:lineRule="auto"/>
        <w:ind w:firstLine="709"/>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i) Cuando la continuidad del servicio exige el suministro de bienes, o la prestación de servicios, o la ejecución de obras en el inmediato futuro.</w:t>
      </w:r>
    </w:p>
    <w:p w14:paraId="584FEADF" w14:textId="77777777" w:rsidR="00DD3852" w:rsidRPr="00A82A74" w:rsidRDefault="00DD3852" w:rsidP="00DD3852">
      <w:pPr>
        <w:spacing w:before="120" w:line="276" w:lineRule="auto"/>
        <w:ind w:firstLine="709"/>
        <w:jc w:val="both"/>
        <w:rPr>
          <w:rFonts w:ascii="Arial" w:eastAsia="Calibri" w:hAnsi="Arial" w:cs="Arial"/>
          <w:color w:val="000000" w:themeColor="text1"/>
          <w:sz w:val="22"/>
          <w:lang w:val="es-ES_tradnl"/>
        </w:rPr>
      </w:pPr>
      <w:proofErr w:type="spellStart"/>
      <w:r w:rsidRPr="00A82A74">
        <w:rPr>
          <w:rFonts w:ascii="Arial" w:eastAsia="Calibri" w:hAnsi="Arial" w:cs="Arial"/>
          <w:color w:val="000000" w:themeColor="text1"/>
          <w:sz w:val="22"/>
          <w:lang w:val="es-ES_tradnl"/>
        </w:rPr>
        <w:t>ii</w:t>
      </w:r>
      <w:proofErr w:type="spellEnd"/>
      <w:r w:rsidRPr="00A82A74">
        <w:rPr>
          <w:rFonts w:ascii="Arial" w:eastAsia="Calibri" w:hAnsi="Arial" w:cs="Arial"/>
          <w:color w:val="000000" w:themeColor="text1"/>
          <w:sz w:val="22"/>
          <w:lang w:val="es-ES_tradnl"/>
        </w:rPr>
        <w:t>) Cuando se presenten situaciones relacionadas con los estados de excepción.</w:t>
      </w:r>
    </w:p>
    <w:p w14:paraId="0CF24761" w14:textId="77777777" w:rsidR="00DD3852" w:rsidRPr="00A82A74" w:rsidRDefault="00DD3852" w:rsidP="00DD3852">
      <w:pPr>
        <w:spacing w:before="120" w:line="276" w:lineRule="auto"/>
        <w:ind w:firstLine="709"/>
        <w:jc w:val="both"/>
        <w:rPr>
          <w:rFonts w:ascii="Arial" w:eastAsia="Calibri" w:hAnsi="Arial" w:cs="Arial"/>
          <w:color w:val="000000" w:themeColor="text1"/>
          <w:sz w:val="22"/>
          <w:lang w:val="es-ES_tradnl"/>
        </w:rPr>
      </w:pPr>
      <w:proofErr w:type="spellStart"/>
      <w:r w:rsidRPr="00A82A74">
        <w:rPr>
          <w:rFonts w:ascii="Arial" w:eastAsia="Calibri" w:hAnsi="Arial" w:cs="Arial"/>
          <w:color w:val="000000" w:themeColor="text1"/>
          <w:sz w:val="22"/>
          <w:lang w:val="es-ES_tradnl"/>
        </w:rPr>
        <w:t>iii</w:t>
      </w:r>
      <w:proofErr w:type="spellEnd"/>
      <w:r w:rsidRPr="00A82A74">
        <w:rPr>
          <w:rFonts w:ascii="Arial" w:eastAsia="Calibri" w:hAnsi="Arial" w:cs="Arial"/>
          <w:color w:val="000000" w:themeColor="text1"/>
          <w:sz w:val="22"/>
          <w:lang w:val="es-ES_tradnl"/>
        </w:rPr>
        <w:t>) Cuando se trate de conjurar situaciones excepcionales relacionadas con hechos de calamidad o constitutivos de fuerza mayor o desastre que demanden actuaciones inmediatas.</w:t>
      </w:r>
    </w:p>
    <w:p w14:paraId="45A909F6" w14:textId="77777777" w:rsidR="00DD3852" w:rsidRPr="00A82A74" w:rsidRDefault="00DD3852" w:rsidP="00DD3852">
      <w:pPr>
        <w:spacing w:before="120" w:line="276" w:lineRule="auto"/>
        <w:ind w:firstLine="709"/>
        <w:jc w:val="both"/>
        <w:rPr>
          <w:rFonts w:ascii="Arial" w:eastAsia="Calibri" w:hAnsi="Arial" w:cs="Arial"/>
          <w:color w:val="000000" w:themeColor="text1"/>
          <w:sz w:val="22"/>
          <w:lang w:val="es-ES_tradnl"/>
        </w:rPr>
      </w:pPr>
      <w:proofErr w:type="spellStart"/>
      <w:r w:rsidRPr="00A82A74">
        <w:rPr>
          <w:rFonts w:ascii="Arial" w:eastAsia="Calibri" w:hAnsi="Arial" w:cs="Arial"/>
          <w:color w:val="000000" w:themeColor="text1"/>
          <w:sz w:val="22"/>
          <w:lang w:val="es-ES_tradnl"/>
        </w:rPr>
        <w:t>iv</w:t>
      </w:r>
      <w:proofErr w:type="spellEnd"/>
      <w:r w:rsidRPr="00A82A74">
        <w:rPr>
          <w:rFonts w:ascii="Arial" w:eastAsia="Calibri" w:hAnsi="Arial" w:cs="Arial"/>
          <w:color w:val="000000" w:themeColor="text1"/>
          <w:sz w:val="22"/>
          <w:lang w:val="es-ES_tradnl"/>
        </w:rPr>
        <w:t>) En general, cuando se trate de situaciones similares que imposibiliten acudir a los procedimientos de selección o concurso públicos</w:t>
      </w:r>
    </w:p>
    <w:p w14:paraId="00F00547"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La </w:t>
      </w:r>
      <w:r w:rsidRPr="00A82A74">
        <w:rPr>
          <w:rFonts w:ascii="Arial" w:eastAsia="Calibri" w:hAnsi="Arial" w:cs="Arial"/>
          <w:i/>
          <w:iCs/>
          <w:color w:val="000000" w:themeColor="text1"/>
          <w:sz w:val="22"/>
          <w:lang w:val="es-ES_tradnl"/>
        </w:rPr>
        <w:t>primera circunstancia</w:t>
      </w:r>
      <w:r w:rsidRPr="00A82A74">
        <w:rPr>
          <w:rFonts w:ascii="Arial" w:eastAsia="Calibri" w:hAnsi="Arial" w:cs="Arial"/>
          <w:color w:val="000000" w:themeColor="text1"/>
          <w:sz w:val="22"/>
          <w:lang w:val="es-ES_tradnl"/>
        </w:rPr>
        <w:t xml:space="preserve">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olvidarse que el servicio público responde, por definición, a una necesidad de interés general, razón por la cual no podría ser discontinuo, pues la interrupción ocasiona problemas graves para la vida colectiva. </w:t>
      </w:r>
    </w:p>
    <w:p w14:paraId="13071F48"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En esta causal es secundaria la previsibilidad de la situación, porque –si así fuera– se llegaría al absurdo de permitir que efectivamente se paralizara el servicio, sacrificando el interés general por causa de la inactividad de los servidores</w:t>
      </w:r>
      <w:r w:rsidRPr="00A82A74">
        <w:rPr>
          <w:rStyle w:val="Refdenotaalpie"/>
          <w:rFonts w:ascii="Arial" w:eastAsia="Calibri" w:hAnsi="Arial" w:cs="Arial"/>
          <w:color w:val="000000" w:themeColor="text1"/>
          <w:sz w:val="22"/>
          <w:lang w:val="es-ES_tradnl"/>
        </w:rPr>
        <w:footnoteReference w:id="7"/>
      </w:r>
      <w:r w:rsidRPr="00A82A74">
        <w:rPr>
          <w:rFonts w:ascii="Arial" w:eastAsia="Calibri" w:hAnsi="Arial" w:cs="Arial"/>
          <w:color w:val="000000" w:themeColor="text1"/>
          <w:sz w:val="22"/>
          <w:lang w:val="es-ES_tradnl"/>
        </w:rPr>
        <w:t xml:space="preserve">. En consecuencia, «[…] uno de los elementos esenciales de la urgencia manifiesta lo constituye la obligación de verificar que el objeto del contrato necesita su permanencia, es decir, que se requiere garantizar por </w:t>
      </w:r>
      <w:r w:rsidRPr="00A82A74">
        <w:rPr>
          <w:rFonts w:ascii="Arial" w:eastAsia="Calibri" w:hAnsi="Arial" w:cs="Arial"/>
          <w:color w:val="000000" w:themeColor="text1"/>
          <w:sz w:val="22"/>
          <w:lang w:val="es-ES_tradnl"/>
        </w:rPr>
        <w:lastRenderedPageBreak/>
        <w:t>parte de la Administración la continuidad de un servicio que exige suministro de bienes, ejecución de obras o la propia prestación de servicios»</w:t>
      </w:r>
      <w:r w:rsidRPr="00A82A74">
        <w:rPr>
          <w:rStyle w:val="Refdenotaalpie"/>
          <w:rFonts w:ascii="Arial" w:eastAsia="Calibri" w:hAnsi="Arial" w:cs="Arial"/>
          <w:color w:val="000000" w:themeColor="text1"/>
          <w:sz w:val="22"/>
          <w:lang w:val="es-ES_tradnl"/>
        </w:rPr>
        <w:footnoteReference w:id="8"/>
      </w:r>
      <w:r w:rsidRPr="00A82A74">
        <w:rPr>
          <w:rFonts w:ascii="Arial" w:eastAsia="Calibri" w:hAnsi="Arial" w:cs="Arial"/>
          <w:color w:val="000000" w:themeColor="text1"/>
          <w:sz w:val="22"/>
          <w:lang w:val="es-ES_tradnl"/>
        </w:rPr>
        <w:t xml:space="preserve">. </w:t>
      </w:r>
    </w:p>
    <w:p w14:paraId="1347C043"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La </w:t>
      </w:r>
      <w:r w:rsidRPr="00A82A74">
        <w:rPr>
          <w:rFonts w:ascii="Arial" w:eastAsia="Calibri" w:hAnsi="Arial" w:cs="Arial"/>
          <w:i/>
          <w:iCs/>
          <w:color w:val="000000" w:themeColor="text1"/>
          <w:sz w:val="22"/>
          <w:lang w:val="es-ES_tradnl"/>
        </w:rPr>
        <w:t>segunda circunstancia</w:t>
      </w:r>
      <w:r w:rsidRPr="00A82A74">
        <w:rPr>
          <w:rFonts w:ascii="Arial" w:eastAsia="Calibri" w:hAnsi="Arial" w:cs="Arial"/>
          <w:color w:val="000000" w:themeColor="text1"/>
          <w:sz w:val="22"/>
          <w:lang w:val="es-ES_tradnl"/>
        </w:rPr>
        <w:t xml:space="preserve"> se presenta en las situaciones relacionadas con los estados de excepción, siendo necesaria la remisión a los artículos 212, 213 y 215 superiores. Estas normas se refieren a la declaración de los estados de guerra exterior, conmoción interior y emergencia económica, social y ecológica. De hecho, el uso indiscriminado, excesivo e incontrolado del estado de sitio, durante la vigencia de la Constitución Nacional de 1886</w:t>
      </w:r>
      <w:r w:rsidRPr="00A82A74">
        <w:rPr>
          <w:rStyle w:val="Refdenotaalpie"/>
          <w:rFonts w:ascii="Arial" w:eastAsia="Calibri" w:hAnsi="Arial" w:cs="Arial"/>
          <w:color w:val="000000" w:themeColor="text1"/>
          <w:sz w:val="22"/>
          <w:lang w:val="es-ES_tradnl"/>
        </w:rPr>
        <w:footnoteReference w:id="9"/>
      </w:r>
      <w:r w:rsidRPr="00A82A74">
        <w:rPr>
          <w:rFonts w:ascii="Arial" w:eastAsia="Calibri" w:hAnsi="Arial" w:cs="Arial"/>
          <w:color w:val="000000" w:themeColor="text1"/>
          <w:sz w:val="22"/>
          <w:lang w:val="es-ES_tradnl"/>
        </w:rPr>
        <w:t xml:space="preserve">, llevó a que los supuestos fácticos, las facultades y los controles adscritos a cada uno de ellos fueran específicamente regulados tanto en la Constitución Política como en la Ley Estatutaria 137 de 1994. </w:t>
      </w:r>
    </w:p>
    <w:p w14:paraId="42A784AC"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De conformidad con las normas citadas, los estados de excepción se declaran en caso de situación de anormalidad, y están acompañados de facultades y limitaciones que permiten el retorno a la regularidad. Por eso, mientras subsista la situación que la origina, y sólo en lo relacionado con la declaración previa del presidente de la república, con la firma de todos los ministros, las entidades pueden contratar directamente, por urgencia manifiesta, como medida </w:t>
      </w:r>
      <w:r w:rsidRPr="00A82A74">
        <w:rPr>
          <w:rFonts w:ascii="Arial" w:eastAsia="Calibri" w:hAnsi="Arial" w:cs="Arial"/>
          <w:i/>
          <w:iCs/>
          <w:color w:val="000000" w:themeColor="text1"/>
          <w:sz w:val="22"/>
          <w:lang w:val="es-ES_tradnl"/>
        </w:rPr>
        <w:t>pro tempore</w:t>
      </w:r>
      <w:r w:rsidRPr="00A82A74">
        <w:rPr>
          <w:rFonts w:ascii="Arial" w:eastAsia="Calibri" w:hAnsi="Arial" w:cs="Arial"/>
          <w:color w:val="000000" w:themeColor="text1"/>
          <w:sz w:val="22"/>
          <w:lang w:val="es-ES_tradnl"/>
        </w:rPr>
        <w:t xml:space="preserve"> para adquirir bienes y servicios que permitan superar la crisis. En contraste, cuando cesen las causas, las entidades deben contratar de conformidad con las reglas generales del Estatuto de Contratación.</w:t>
      </w:r>
    </w:p>
    <w:p w14:paraId="2F9990C4"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En este supuesto, cuando se declara un estado de excepción, como sucede actualmente con la emergencia económica, social y ecológica –Decreto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31537BEE" w14:textId="77777777" w:rsidR="00DD3852" w:rsidRPr="00A82A74" w:rsidRDefault="00DD3852" w:rsidP="00DD3852">
      <w:pPr>
        <w:spacing w:before="120" w:line="276" w:lineRule="auto"/>
        <w:ind w:firstLine="708"/>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2"/>
          <w:lang w:val="es-ES_tradnl"/>
        </w:rPr>
        <w:t xml:space="preserve">La </w:t>
      </w:r>
      <w:r w:rsidRPr="00A82A74">
        <w:rPr>
          <w:rFonts w:ascii="Arial" w:eastAsia="Calibri" w:hAnsi="Arial" w:cs="Arial"/>
          <w:i/>
          <w:iCs/>
          <w:color w:val="000000" w:themeColor="text1"/>
          <w:sz w:val="22"/>
          <w:lang w:val="es-ES_tradnl"/>
        </w:rPr>
        <w:t>tercera circunstancia</w:t>
      </w:r>
      <w:r w:rsidRPr="00A82A74">
        <w:rPr>
          <w:rFonts w:ascii="Arial" w:eastAsia="Calibri" w:hAnsi="Arial" w:cs="Arial"/>
          <w:color w:val="000000" w:themeColor="text1"/>
          <w:sz w:val="22"/>
          <w:lang w:val="es-ES_tradnl"/>
        </w:rPr>
        <w:t xml:space="preserve"> surge de la necesidad</w:t>
      </w:r>
      <w:r w:rsidRPr="00A82A74">
        <w:rPr>
          <w:rFonts w:ascii="Arial" w:eastAsia="Calibri" w:hAnsi="Arial" w:cs="Arial"/>
          <w:color w:val="000000" w:themeColor="text1"/>
          <w:sz w:val="21"/>
          <w:szCs w:val="21"/>
          <w:lang w:val="es-ES_tradnl"/>
        </w:rPr>
        <w:t xml:space="preserve"> de conjurar situaciones excepcionales relacionadas con hechos de </w:t>
      </w:r>
      <w:r w:rsidRPr="00A82A74">
        <w:rPr>
          <w:rFonts w:ascii="Arial" w:eastAsia="Calibri" w:hAnsi="Arial" w:cs="Arial"/>
          <w:i/>
          <w:iCs/>
          <w:color w:val="000000" w:themeColor="text1"/>
          <w:sz w:val="21"/>
          <w:szCs w:val="21"/>
          <w:lang w:val="es-ES_tradnl"/>
        </w:rPr>
        <w:t>calamidad</w:t>
      </w:r>
      <w:r w:rsidRPr="00A82A74">
        <w:rPr>
          <w:rFonts w:ascii="Arial" w:eastAsia="Calibri" w:hAnsi="Arial" w:cs="Arial"/>
          <w:color w:val="000000" w:themeColor="text1"/>
          <w:sz w:val="21"/>
          <w:szCs w:val="21"/>
          <w:lang w:val="es-ES_tradnl"/>
        </w:rPr>
        <w:t xml:space="preserve"> o constitutivos de </w:t>
      </w:r>
      <w:r w:rsidRPr="00A82A74">
        <w:rPr>
          <w:rFonts w:ascii="Arial" w:eastAsia="Calibri" w:hAnsi="Arial" w:cs="Arial"/>
          <w:i/>
          <w:iCs/>
          <w:color w:val="000000" w:themeColor="text1"/>
          <w:sz w:val="21"/>
          <w:szCs w:val="21"/>
          <w:lang w:val="es-ES_tradnl"/>
        </w:rPr>
        <w:t>fuerza mayor</w:t>
      </w:r>
      <w:r w:rsidRPr="00A82A74">
        <w:rPr>
          <w:rFonts w:ascii="Arial" w:eastAsia="Calibri" w:hAnsi="Arial" w:cs="Arial"/>
          <w:color w:val="000000" w:themeColor="text1"/>
          <w:sz w:val="21"/>
          <w:szCs w:val="21"/>
          <w:lang w:val="es-ES_tradnl"/>
        </w:rPr>
        <w:t xml:space="preserve"> o </w:t>
      </w:r>
      <w:r w:rsidRPr="00A82A74">
        <w:rPr>
          <w:rFonts w:ascii="Arial" w:eastAsia="Calibri" w:hAnsi="Arial" w:cs="Arial"/>
          <w:i/>
          <w:iCs/>
          <w:color w:val="000000" w:themeColor="text1"/>
          <w:sz w:val="21"/>
          <w:szCs w:val="21"/>
          <w:lang w:val="es-ES_tradnl"/>
        </w:rPr>
        <w:t>desastre</w:t>
      </w:r>
      <w:r w:rsidRPr="00A82A74">
        <w:rPr>
          <w:rFonts w:ascii="Arial" w:eastAsia="Calibri" w:hAnsi="Arial" w:cs="Arial"/>
          <w:color w:val="000000" w:themeColor="text1"/>
          <w:sz w:val="21"/>
          <w:szCs w:val="21"/>
          <w:lang w:val="es-ES_tradnl"/>
        </w:rPr>
        <w:t xml:space="preserve"> que demanden actuaciones inmediatas, causa que –conforme se analiza en el siguiente apartado– exige tener en cuenta lo previsto en la</w:t>
      </w:r>
      <w:r w:rsidRPr="00A82A74">
        <w:rPr>
          <w:rFonts w:ascii="Arial" w:eastAsia="Calibri" w:hAnsi="Arial" w:cs="Arial"/>
          <w:color w:val="000000" w:themeColor="text1"/>
          <w:sz w:val="22"/>
        </w:rPr>
        <w:t xml:space="preserve"> Ley 1523 de 2012</w:t>
      </w:r>
      <w:r w:rsidRPr="00A82A74">
        <w:rPr>
          <w:rFonts w:ascii="Arial" w:eastAsia="Calibri" w:hAnsi="Arial" w:cs="Arial"/>
          <w:color w:val="000000" w:themeColor="text1"/>
          <w:sz w:val="21"/>
          <w:szCs w:val="21"/>
          <w:lang w:val="es-ES_tradnl"/>
        </w:rPr>
        <w:t xml:space="preserve">. </w:t>
      </w:r>
    </w:p>
    <w:p w14:paraId="6AC6334C"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Lo anterior sin perjuicio de que, conforme a la </w:t>
      </w:r>
      <w:r w:rsidRPr="00A82A74">
        <w:rPr>
          <w:rFonts w:ascii="Arial" w:eastAsia="Calibri" w:hAnsi="Arial" w:cs="Arial"/>
          <w:i/>
          <w:iCs/>
          <w:color w:val="000000" w:themeColor="text1"/>
          <w:sz w:val="22"/>
          <w:lang w:val="es-ES_tradnl"/>
        </w:rPr>
        <w:t>cuarta circunstancia</w:t>
      </w:r>
      <w:r w:rsidRPr="00A82A74">
        <w:rPr>
          <w:rFonts w:ascii="Arial" w:eastAsia="Calibri" w:hAnsi="Arial" w:cs="Arial"/>
          <w:color w:val="000000" w:themeColor="text1"/>
          <w:sz w:val="22"/>
          <w:lang w:val="es-ES_tradnl"/>
        </w:rPr>
        <w:t xml:space="preserve">, surjan situaciones similares que imposibiliten acudir a los procedimientos de selección o concurso públicos. </w:t>
      </w:r>
    </w:p>
    <w:p w14:paraId="50AAE2A5"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lastRenderedPageBreak/>
        <w:t>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A82A74">
        <w:rPr>
          <w:rStyle w:val="Refdenotaalpie"/>
          <w:rFonts w:ascii="Arial" w:eastAsia="Calibri" w:hAnsi="Arial" w:cs="Arial"/>
          <w:color w:val="000000" w:themeColor="text1"/>
          <w:sz w:val="21"/>
          <w:szCs w:val="21"/>
          <w:lang w:val="es-ES_tradnl"/>
        </w:rPr>
        <w:footnoteReference w:id="10"/>
      </w:r>
      <w:r w:rsidRPr="00A82A74">
        <w:rPr>
          <w:rFonts w:ascii="Arial" w:eastAsia="Calibri" w:hAnsi="Arial" w:cs="Arial"/>
          <w:color w:val="000000" w:themeColor="text1"/>
          <w:sz w:val="21"/>
          <w:szCs w:val="21"/>
          <w:lang w:val="es-ES_tradnl"/>
        </w:rPr>
        <w:t>.</w:t>
      </w:r>
    </w:p>
    <w:p w14:paraId="46C5AD7B"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Se insiste en que 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de la misma Ley. </w:t>
      </w:r>
    </w:p>
    <w:p w14:paraId="289D23D9"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2F74FF58"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w:t>
      </w:r>
      <w:proofErr w:type="gramStart"/>
      <w:r w:rsidRPr="00A82A74">
        <w:rPr>
          <w:rFonts w:ascii="Arial" w:eastAsia="Calibri" w:hAnsi="Arial" w:cs="Arial"/>
          <w:color w:val="000000" w:themeColor="text1"/>
          <w:sz w:val="22"/>
          <w:lang w:val="es-ES_tradnl"/>
        </w:rPr>
        <w:t>norma,</w:t>
      </w:r>
      <w:proofErr w:type="gramEnd"/>
      <w:r w:rsidRPr="00A82A74">
        <w:rPr>
          <w:rFonts w:ascii="Arial" w:eastAsia="Calibri" w:hAnsi="Arial" w:cs="Arial"/>
          <w:color w:val="000000" w:themeColor="text1"/>
          <w:sz w:val="22"/>
          <w:lang w:val="es-ES_tradnl"/>
        </w:rPr>
        <w:t xml:space="preserve"> se efectúen afectando exclusivamente el anexo del decreto de liquidación del Presupuesto»</w:t>
      </w:r>
      <w:r w:rsidRPr="00A82A74">
        <w:rPr>
          <w:rFonts w:ascii="Arial" w:eastAsia="Calibri" w:hAnsi="Arial" w:cs="Arial"/>
          <w:color w:val="000000" w:themeColor="text1"/>
          <w:sz w:val="22"/>
          <w:vertAlign w:val="superscript"/>
          <w:lang w:val="es-ES_tradnl"/>
        </w:rPr>
        <w:footnoteReference w:id="11"/>
      </w:r>
      <w:r w:rsidRPr="00A82A74">
        <w:rPr>
          <w:rFonts w:ascii="Arial" w:eastAsia="Calibri" w:hAnsi="Arial" w:cs="Arial"/>
          <w:color w:val="000000" w:themeColor="text1"/>
          <w:sz w:val="22"/>
          <w:lang w:val="es-ES_tradnl"/>
        </w:rPr>
        <w:t xml:space="preserve">. </w:t>
      </w:r>
    </w:p>
    <w:p w14:paraId="36749FB2"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lastRenderedPageBreak/>
        <w:t xml:space="preserve">De otro lado, si bien, por regla general, los contratos estatales son solemnes, es decir, para celebrarlos deben constar por escrito –principio que también aplica, en condiciones relativamente normales, a las situaciones de urgencia manifiesta que no revistan tanta gravedad–, hay casos de urgencia manifiesta que por su gravedad no dan tiempo para acordar con precisión el alcance de la obligación principal del contrato y el precio que se pagará al contratista. En tales eventos, de conformidad con los incisos 4 y 5 del artículo 41 de la Ley 80 de 1993, el contrato se puede perfeccionar consensualmente y el precio se puede determinar posteriormente. </w:t>
      </w:r>
    </w:p>
    <w:p w14:paraId="331F4981"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5253AB89"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Finalmente, declarada la urgencia manifiesta, a través del acto administrativo mencionado anteriormente, y celebrado el contrato correspondiente, se debe cumplir la exigencia del artículo 43 de la Ley 80 de 1993. La finalidad de este procedimiento es que la autoridad que ejerce el control fiscal –la Contraloría General de la República, las contralorías departamentales, distritales y municipales, o la Auditoría General de la República -según el caso– revise si son ciertas las razones aducidas por el representante legal de la entidad para declarar la urgencia manifiesta, si tales motivos son constitutivos de urgencia y si la gestión presupuestal adoptada fue la indicada. </w:t>
      </w:r>
    </w:p>
    <w:p w14:paraId="6EE88028" w14:textId="77777777" w:rsidR="00DD3852" w:rsidRPr="00A82A74" w:rsidRDefault="00DD3852" w:rsidP="00DD3852">
      <w:pPr>
        <w:spacing w:before="120" w:line="276" w:lineRule="auto"/>
        <w:jc w:val="both"/>
        <w:rPr>
          <w:rFonts w:ascii="Arial" w:eastAsia="Calibri" w:hAnsi="Arial" w:cs="Arial"/>
          <w:color w:val="000000" w:themeColor="text1"/>
          <w:sz w:val="22"/>
          <w:lang w:val="es-ES_tradnl"/>
        </w:rPr>
      </w:pPr>
    </w:p>
    <w:p w14:paraId="6889731E" w14:textId="77777777" w:rsidR="00DD3852" w:rsidRPr="00A82A74" w:rsidRDefault="00DD3852" w:rsidP="00DD3852">
      <w:pPr>
        <w:spacing w:line="276" w:lineRule="auto"/>
        <w:jc w:val="both"/>
        <w:rPr>
          <w:rFonts w:ascii="Arial" w:eastAsia="Calibri" w:hAnsi="Arial" w:cs="Arial"/>
          <w:b/>
          <w:bCs/>
          <w:color w:val="000000" w:themeColor="text1"/>
          <w:sz w:val="22"/>
          <w:lang w:val="es-ES_tradnl"/>
        </w:rPr>
      </w:pPr>
      <w:r w:rsidRPr="00A82A74">
        <w:rPr>
          <w:rFonts w:ascii="Arial" w:eastAsia="Calibri" w:hAnsi="Arial" w:cs="Arial"/>
          <w:b/>
          <w:bCs/>
          <w:color w:val="000000" w:themeColor="text1"/>
          <w:sz w:val="22"/>
          <w:lang w:val="es-ES_tradnl"/>
        </w:rPr>
        <w:t xml:space="preserve">2.2. </w:t>
      </w:r>
      <w:r w:rsidRPr="00A82A74">
        <w:rPr>
          <w:rFonts w:ascii="Arial" w:eastAsia="Calibri" w:hAnsi="Arial" w:cs="Arial"/>
          <w:b/>
          <w:bCs/>
          <w:i/>
          <w:iCs/>
          <w:color w:val="000000" w:themeColor="text1"/>
          <w:sz w:val="22"/>
          <w:lang w:val="es-ES_tradnl"/>
        </w:rPr>
        <w:t>Situación de desastre</w:t>
      </w:r>
      <w:r w:rsidRPr="00A82A74">
        <w:rPr>
          <w:rFonts w:ascii="Arial" w:eastAsia="Calibri" w:hAnsi="Arial" w:cs="Arial"/>
          <w:b/>
          <w:bCs/>
          <w:color w:val="000000" w:themeColor="text1"/>
          <w:sz w:val="22"/>
          <w:lang w:val="es-ES_tradnl"/>
        </w:rPr>
        <w:t xml:space="preserve"> y situación de </w:t>
      </w:r>
      <w:r w:rsidRPr="00A82A74">
        <w:rPr>
          <w:rFonts w:ascii="Arial" w:eastAsia="Calibri" w:hAnsi="Arial" w:cs="Arial"/>
          <w:b/>
          <w:bCs/>
          <w:i/>
          <w:iCs/>
          <w:color w:val="000000" w:themeColor="text1"/>
          <w:sz w:val="22"/>
          <w:lang w:val="es-ES_tradnl"/>
        </w:rPr>
        <w:t>calamidad pública</w:t>
      </w:r>
      <w:r w:rsidRPr="00A82A74">
        <w:rPr>
          <w:rFonts w:ascii="Arial" w:eastAsia="Calibri" w:hAnsi="Arial" w:cs="Arial"/>
          <w:b/>
          <w:bCs/>
          <w:color w:val="000000" w:themeColor="text1"/>
          <w:sz w:val="22"/>
          <w:lang w:val="es-ES_tradnl"/>
        </w:rPr>
        <w:t xml:space="preserve">: uno de los cuatro (4) supuestos que configura la urgencia manifiesta –regulación en la </w:t>
      </w:r>
      <w:bookmarkStart w:id="15" w:name="_Hlk35869057"/>
      <w:r w:rsidRPr="00A82A74">
        <w:rPr>
          <w:rFonts w:ascii="Arial" w:eastAsia="Calibri" w:hAnsi="Arial" w:cs="Arial"/>
          <w:b/>
          <w:bCs/>
          <w:color w:val="000000" w:themeColor="text1"/>
          <w:sz w:val="22"/>
          <w:lang w:val="es-ES_tradnl"/>
        </w:rPr>
        <w:t>Ley 1523 de 2012–</w:t>
      </w:r>
    </w:p>
    <w:bookmarkEnd w:id="15"/>
    <w:p w14:paraId="7C123803" w14:textId="77777777" w:rsidR="00DD3852" w:rsidRPr="00A82A74" w:rsidRDefault="00DD3852" w:rsidP="00DD3852">
      <w:pPr>
        <w:spacing w:line="276" w:lineRule="auto"/>
        <w:jc w:val="both"/>
        <w:rPr>
          <w:rFonts w:ascii="Arial" w:eastAsia="Calibri" w:hAnsi="Arial" w:cs="Arial"/>
          <w:color w:val="000000" w:themeColor="text1"/>
          <w:sz w:val="22"/>
          <w:lang w:val="es-ES_tradnl"/>
        </w:rPr>
      </w:pPr>
    </w:p>
    <w:p w14:paraId="61FBBD6E" w14:textId="77777777" w:rsidR="00DD3852" w:rsidRPr="00A82A74" w:rsidRDefault="00DD3852" w:rsidP="00DD3852">
      <w:pPr>
        <w:spacing w:before="120" w:line="276" w:lineRule="auto"/>
        <w:jc w:val="both"/>
        <w:rPr>
          <w:rFonts w:ascii="Arial" w:eastAsia="Calibri" w:hAnsi="Arial" w:cs="Arial"/>
          <w:color w:val="000000" w:themeColor="text1"/>
          <w:sz w:val="22"/>
          <w:lang w:val="es-ES_tradnl"/>
        </w:rPr>
      </w:pPr>
      <w:bookmarkStart w:id="16" w:name="_Hlk35876968"/>
      <w:r w:rsidRPr="00A82A74">
        <w:rPr>
          <w:rFonts w:ascii="Arial" w:eastAsia="Calibri" w:hAnsi="Arial" w:cs="Arial"/>
          <w:color w:val="000000" w:themeColor="text1"/>
          <w:sz w:val="22"/>
          <w:lang w:val="es-ES_tradnl"/>
        </w:rPr>
        <w:t>El artículo 42 de la Ley 80 de 1993 dispone que la urgencia manifiesta se declara, entre otras tres (3) circunstancias, con la finalidad de «[…] conjurar situaciones excepcionales relacionadas con hechos de calamidad o constitutivos de fuerza mayor o desastre que demanden actuaciones inmediatas […]»</w:t>
      </w:r>
      <w:bookmarkEnd w:id="16"/>
      <w:r w:rsidRPr="00A82A74">
        <w:rPr>
          <w:rFonts w:ascii="Arial" w:eastAsia="Calibri" w:hAnsi="Arial" w:cs="Arial"/>
          <w:color w:val="000000" w:themeColor="text1"/>
          <w:sz w:val="22"/>
          <w:lang w:val="es-ES_tradnl"/>
        </w:rPr>
        <w:t xml:space="preserve">. </w:t>
      </w:r>
    </w:p>
    <w:p w14:paraId="119F05FF" w14:textId="77777777" w:rsidR="00DD3852" w:rsidRPr="00A82A74" w:rsidRDefault="00DD3852" w:rsidP="00DD3852">
      <w:pPr>
        <w:spacing w:before="120" w:line="276" w:lineRule="auto"/>
        <w:ind w:firstLine="708"/>
        <w:jc w:val="both"/>
        <w:rPr>
          <w:color w:val="000000" w:themeColor="text1"/>
        </w:rPr>
      </w:pPr>
      <w:r w:rsidRPr="00A82A74">
        <w:rPr>
          <w:rFonts w:ascii="Arial" w:eastAsia="Calibri" w:hAnsi="Arial" w:cs="Arial"/>
          <w:color w:val="000000" w:themeColor="text1"/>
          <w:sz w:val="22"/>
          <w:lang w:val="es-ES_tradnl"/>
        </w:rPr>
        <w:t xml:space="preserve">Para delimitar estas expresiones, el </w:t>
      </w:r>
      <w:bookmarkStart w:id="17" w:name="_Hlk35880053"/>
      <w:r w:rsidRPr="00A82A74">
        <w:rPr>
          <w:rFonts w:ascii="Arial" w:eastAsia="Calibri" w:hAnsi="Arial" w:cs="Arial"/>
          <w:color w:val="000000" w:themeColor="text1"/>
          <w:sz w:val="22"/>
          <w:lang w:val="es-ES_tradnl"/>
        </w:rPr>
        <w:t xml:space="preserve">artículo 28 del Código Civil </w:t>
      </w:r>
      <w:bookmarkEnd w:id="17"/>
      <w:r w:rsidRPr="00A82A74">
        <w:rPr>
          <w:rFonts w:ascii="Arial" w:eastAsia="Calibri" w:hAnsi="Arial" w:cs="Arial"/>
          <w:color w:val="000000" w:themeColor="text1"/>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Y resulta que en la medida en que la norma utiliza la conjunción «o», en principio asimilaría la </w:t>
      </w:r>
      <w:r w:rsidRPr="00A82A74">
        <w:rPr>
          <w:rFonts w:ascii="Arial" w:eastAsia="Calibri" w:hAnsi="Arial" w:cs="Arial"/>
          <w:i/>
          <w:iCs/>
          <w:color w:val="000000" w:themeColor="text1"/>
          <w:sz w:val="22"/>
          <w:lang w:val="es-ES_tradnl"/>
        </w:rPr>
        <w:t>calamidad</w:t>
      </w:r>
      <w:r w:rsidRPr="00A82A74">
        <w:rPr>
          <w:rFonts w:ascii="Arial" w:eastAsia="Calibri" w:hAnsi="Arial" w:cs="Arial"/>
          <w:color w:val="000000" w:themeColor="text1"/>
          <w:sz w:val="22"/>
          <w:lang w:val="es-ES_tradnl"/>
        </w:rPr>
        <w:t xml:space="preserve"> y el </w:t>
      </w:r>
      <w:r w:rsidRPr="00A82A74">
        <w:rPr>
          <w:rFonts w:ascii="Arial" w:eastAsia="Calibri" w:hAnsi="Arial" w:cs="Arial"/>
          <w:i/>
          <w:iCs/>
          <w:color w:val="000000" w:themeColor="text1"/>
          <w:sz w:val="22"/>
          <w:lang w:val="es-ES_tradnl"/>
        </w:rPr>
        <w:t xml:space="preserve">desastre </w:t>
      </w:r>
      <w:r w:rsidRPr="00A82A74">
        <w:rPr>
          <w:rFonts w:ascii="Arial" w:eastAsia="Calibri" w:hAnsi="Arial" w:cs="Arial"/>
          <w:color w:val="000000" w:themeColor="text1"/>
          <w:sz w:val="22"/>
          <w:lang w:val="es-ES_tradnl"/>
        </w:rPr>
        <w:t xml:space="preserve">con la </w:t>
      </w:r>
      <w:r w:rsidRPr="00A82A74">
        <w:rPr>
          <w:rFonts w:ascii="Arial" w:eastAsia="Calibri" w:hAnsi="Arial" w:cs="Arial"/>
          <w:i/>
          <w:iCs/>
          <w:color w:val="000000" w:themeColor="text1"/>
          <w:sz w:val="22"/>
          <w:lang w:val="es-ES_tradnl"/>
        </w:rPr>
        <w:t>fuerza mayor</w:t>
      </w:r>
      <w:r w:rsidRPr="00A82A74">
        <w:rPr>
          <w:rFonts w:ascii="Arial" w:eastAsia="Calibri" w:hAnsi="Arial" w:cs="Arial"/>
          <w:color w:val="000000" w:themeColor="text1"/>
          <w:sz w:val="22"/>
          <w:lang w:val="es-ES_tradnl"/>
        </w:rPr>
        <w:t xml:space="preserve"> o el </w:t>
      </w:r>
      <w:r w:rsidRPr="00A82A74">
        <w:rPr>
          <w:rFonts w:ascii="Arial" w:eastAsia="Calibri" w:hAnsi="Arial" w:cs="Arial"/>
          <w:i/>
          <w:iCs/>
          <w:color w:val="000000" w:themeColor="text1"/>
          <w:sz w:val="22"/>
          <w:lang w:val="es-ES_tradnl"/>
        </w:rPr>
        <w:t>caso fortuito</w:t>
      </w:r>
      <w:r w:rsidRPr="00A82A74">
        <w:rPr>
          <w:rFonts w:ascii="Arial" w:eastAsia="Calibri" w:hAnsi="Arial" w:cs="Arial"/>
          <w:color w:val="000000" w:themeColor="text1"/>
          <w:sz w:val="22"/>
          <w:lang w:val="es-ES_tradnl"/>
        </w:rPr>
        <w:t xml:space="preserve">. Al respecto, el artículo 64 del Código Civil define como tal «[…] el imprevisto o que no es posible resistir, como un naufragio, un terremoto, </w:t>
      </w:r>
      <w:bookmarkStart w:id="18" w:name="_Hlk35871146"/>
      <w:r w:rsidRPr="00A82A74">
        <w:rPr>
          <w:rFonts w:ascii="Arial" w:eastAsia="Calibri" w:hAnsi="Arial" w:cs="Arial"/>
          <w:color w:val="000000" w:themeColor="text1"/>
          <w:sz w:val="22"/>
          <w:lang w:val="es-ES_tradnl"/>
        </w:rPr>
        <w:t xml:space="preserve">el </w:t>
      </w:r>
      <w:r w:rsidRPr="00A82A74">
        <w:rPr>
          <w:rFonts w:ascii="Arial" w:eastAsia="Calibri" w:hAnsi="Arial" w:cs="Arial"/>
          <w:color w:val="000000" w:themeColor="text1"/>
          <w:sz w:val="22"/>
          <w:lang w:val="es-ES_tradnl"/>
        </w:rPr>
        <w:lastRenderedPageBreak/>
        <w:t>apresamiento de enemigos, los actos de autoridad ejercidos por un funcionario público</w:t>
      </w:r>
      <w:bookmarkEnd w:id="18"/>
      <w:r w:rsidRPr="00A82A74">
        <w:rPr>
          <w:rFonts w:ascii="Arial" w:eastAsia="Calibri" w:hAnsi="Arial" w:cs="Arial"/>
          <w:color w:val="000000" w:themeColor="text1"/>
          <w:sz w:val="22"/>
          <w:lang w:val="es-ES_tradnl"/>
        </w:rPr>
        <w:t>, etc.»</w:t>
      </w:r>
      <w:r w:rsidRPr="00A82A74">
        <w:rPr>
          <w:rFonts w:ascii="Arial" w:eastAsia="Calibri" w:hAnsi="Arial" w:cs="Arial"/>
          <w:color w:val="000000" w:themeColor="text1"/>
          <w:sz w:val="21"/>
          <w:szCs w:val="21"/>
          <w:vertAlign w:val="superscript"/>
          <w:lang w:val="es-ES_tradnl"/>
        </w:rPr>
        <w:footnoteReference w:id="12"/>
      </w:r>
      <w:r w:rsidRPr="00A82A74">
        <w:rPr>
          <w:rFonts w:ascii="Arial" w:eastAsia="Calibri" w:hAnsi="Arial" w:cs="Arial"/>
          <w:color w:val="000000" w:themeColor="text1"/>
          <w:sz w:val="21"/>
          <w:szCs w:val="21"/>
          <w:lang w:val="es-ES_tradnl"/>
        </w:rPr>
        <w:t>.</w:t>
      </w:r>
    </w:p>
    <w:p w14:paraId="1CB5C3BB"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w:t>
      </w:r>
    </w:p>
    <w:p w14:paraId="0422AA57"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Conforme al significado natural de las palabras, parece que 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los definió </w:t>
      </w:r>
      <w:bookmarkStart w:id="19" w:name="_Hlk35879271"/>
      <w:r w:rsidRPr="00A82A74">
        <w:rPr>
          <w:rFonts w:ascii="Arial" w:eastAsia="Calibri" w:hAnsi="Arial" w:cs="Arial"/>
          <w:color w:val="000000" w:themeColor="text1"/>
          <w:sz w:val="22"/>
          <w:lang w:val="es-ES_tradnl"/>
        </w:rPr>
        <w:t>el artículo 4, numerales 5 y 8, de la Ley 1523 de 2012</w:t>
      </w:r>
      <w:bookmarkEnd w:id="19"/>
      <w:r w:rsidRPr="00A82A74">
        <w:rPr>
          <w:rStyle w:val="Refdenotaalpie"/>
          <w:rFonts w:ascii="Arial" w:eastAsia="Calibri" w:hAnsi="Arial" w:cs="Arial"/>
          <w:color w:val="000000" w:themeColor="text1"/>
          <w:sz w:val="22"/>
          <w:lang w:val="es-ES_tradnl"/>
        </w:rPr>
        <w:footnoteReference w:id="13"/>
      </w:r>
      <w:r w:rsidRPr="00A82A74">
        <w:rPr>
          <w:rFonts w:ascii="Arial" w:eastAsia="Calibri" w:hAnsi="Arial" w:cs="Arial"/>
          <w:color w:val="000000" w:themeColor="text1"/>
          <w:sz w:val="22"/>
          <w:lang w:val="es-ES_tradnl"/>
        </w:rPr>
        <w:t>:</w:t>
      </w:r>
    </w:p>
    <w:p w14:paraId="40ED7112" w14:textId="77777777" w:rsidR="00DD3852" w:rsidRPr="00A82A74" w:rsidRDefault="00DD3852" w:rsidP="00DD3852">
      <w:pPr>
        <w:spacing w:before="120" w:line="276" w:lineRule="auto"/>
        <w:jc w:val="both"/>
        <w:rPr>
          <w:rFonts w:ascii="Arial" w:eastAsia="Calibri" w:hAnsi="Arial" w:cs="Arial"/>
          <w:color w:val="000000" w:themeColor="text1"/>
          <w:sz w:val="22"/>
          <w:lang w:val="es-ES_tradnl"/>
        </w:rPr>
      </w:pPr>
    </w:p>
    <w:p w14:paraId="7017927B" w14:textId="77777777" w:rsidR="00DD3852" w:rsidRPr="00A82A74" w:rsidRDefault="00DD3852" w:rsidP="00DD3852">
      <w:pPr>
        <w:spacing w:before="120"/>
        <w:ind w:left="709" w:right="709"/>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1"/>
          <w:szCs w:val="21"/>
          <w:lang w:val="es-ES_tradnl"/>
        </w:rPr>
        <w:t>Art. 4. Para efectos de la presente ley se entenderá por:</w:t>
      </w:r>
    </w:p>
    <w:p w14:paraId="535B7BCF" w14:textId="77777777" w:rsidR="00DD3852" w:rsidRPr="00A82A74" w:rsidRDefault="00DD3852" w:rsidP="00DD3852">
      <w:pPr>
        <w:spacing w:before="120"/>
        <w:ind w:left="709" w:right="709"/>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1"/>
          <w:szCs w:val="21"/>
          <w:lang w:val="es-ES_tradnl"/>
        </w:rPr>
        <w:t>[…]</w:t>
      </w:r>
    </w:p>
    <w:p w14:paraId="77A9893D" w14:textId="77777777" w:rsidR="00DD3852" w:rsidRPr="00A82A74" w:rsidRDefault="00DD3852" w:rsidP="00DD3852">
      <w:pPr>
        <w:spacing w:before="120"/>
        <w:ind w:left="709" w:right="709"/>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1"/>
          <w:szCs w:val="21"/>
          <w:lang w:val="es-ES_tradnl"/>
        </w:rPr>
        <w:lastRenderedPageBreak/>
        <w:t xml:space="preserve">5. Calamidad pública: Es </w:t>
      </w:r>
      <w:bookmarkStart w:id="20" w:name="_Hlk35879333"/>
      <w:r w:rsidRPr="00A82A74">
        <w:rPr>
          <w:rFonts w:ascii="Arial" w:eastAsia="Calibri" w:hAnsi="Arial" w:cs="Arial"/>
          <w:color w:val="000000" w:themeColor="text1"/>
          <w:sz w:val="21"/>
          <w:szCs w:val="21"/>
          <w:lang w:val="es-ES_tradnl"/>
        </w:rPr>
        <w:t xml:space="preserve">el resultado que se desencadena de la manifestación de uno o varios eventos naturales </w:t>
      </w:r>
      <w:bookmarkStart w:id="21" w:name="_Hlk35870820"/>
      <w:r w:rsidRPr="00A82A74">
        <w:rPr>
          <w:rFonts w:ascii="Arial" w:eastAsia="Calibri" w:hAnsi="Arial" w:cs="Arial"/>
          <w:color w:val="000000" w:themeColor="text1"/>
          <w:sz w:val="21"/>
          <w:szCs w:val="21"/>
          <w:lang w:val="es-ES_tradnl"/>
        </w:rPr>
        <w:t xml:space="preserve">o antropogénicos no intencionales </w:t>
      </w:r>
      <w:bookmarkEnd w:id="21"/>
      <w:r w:rsidRPr="00A82A74">
        <w:rPr>
          <w:rFonts w:ascii="Arial" w:eastAsia="Calibri" w:hAnsi="Arial" w:cs="Arial"/>
          <w:color w:val="000000" w:themeColor="text1"/>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20"/>
      <w:r w:rsidRPr="00A82A74">
        <w:rPr>
          <w:rFonts w:ascii="Arial" w:eastAsia="Calibri" w:hAnsi="Arial" w:cs="Arial"/>
          <w:color w:val="000000" w:themeColor="text1"/>
          <w:sz w:val="21"/>
          <w:szCs w:val="21"/>
          <w:lang w:val="es-ES_tradnl"/>
        </w:rPr>
        <w:t>de la población, en el respectivo territorio, que exige al municipio, distrito o departamento ejecutar acciones de respuesta a la emergencia, rehabilitación y reconstrucción.</w:t>
      </w:r>
    </w:p>
    <w:p w14:paraId="3E02EF95" w14:textId="77777777" w:rsidR="00DD3852" w:rsidRPr="00A82A74" w:rsidRDefault="00DD3852" w:rsidP="00DD3852">
      <w:pPr>
        <w:spacing w:before="120"/>
        <w:ind w:left="709" w:right="709"/>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1"/>
          <w:szCs w:val="21"/>
          <w:lang w:val="es-ES_tradnl"/>
        </w:rPr>
        <w:t xml:space="preserve">[…] </w:t>
      </w:r>
    </w:p>
    <w:p w14:paraId="11ADFBE0" w14:textId="77777777" w:rsidR="00DD3852" w:rsidRPr="00A82A74" w:rsidRDefault="00DD3852" w:rsidP="00DD3852">
      <w:pPr>
        <w:spacing w:before="120"/>
        <w:ind w:left="709" w:right="709"/>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1"/>
          <w:szCs w:val="21"/>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5AA4848F" w14:textId="77777777" w:rsidR="00DD3852" w:rsidRPr="00A82A74" w:rsidRDefault="00DD3852" w:rsidP="00DD3852">
      <w:pPr>
        <w:spacing w:before="120"/>
        <w:ind w:left="709" w:right="709"/>
        <w:jc w:val="both"/>
        <w:rPr>
          <w:rFonts w:ascii="Arial" w:eastAsia="Calibri" w:hAnsi="Arial" w:cs="Arial"/>
          <w:color w:val="000000" w:themeColor="text1"/>
          <w:sz w:val="22"/>
          <w:lang w:val="es-ES_tradnl"/>
        </w:rPr>
      </w:pPr>
    </w:p>
    <w:p w14:paraId="747E4706"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Esta norma se debe armonizar con los artículos 56 y 57 de la misma Ley, que asignan la competencia para declarar la ocurrencia de una situación de </w:t>
      </w:r>
      <w:r w:rsidRPr="00A82A74">
        <w:rPr>
          <w:rFonts w:ascii="Arial" w:eastAsia="Calibri" w:hAnsi="Arial" w:cs="Arial"/>
          <w:i/>
          <w:iCs/>
          <w:color w:val="000000" w:themeColor="text1"/>
          <w:sz w:val="22"/>
          <w:lang w:val="es-ES_tradnl"/>
        </w:rPr>
        <w:t>desastre</w:t>
      </w:r>
      <w:r w:rsidRPr="00A82A74">
        <w:rPr>
          <w:rFonts w:ascii="Arial" w:eastAsia="Calibri" w:hAnsi="Arial" w:cs="Arial"/>
          <w:color w:val="000000" w:themeColor="text1"/>
          <w:sz w:val="22"/>
          <w:lang w:val="es-ES_tradnl"/>
        </w:rPr>
        <w:t xml:space="preserve"> o una situación de </w:t>
      </w:r>
      <w:r w:rsidRPr="00A82A74">
        <w:rPr>
          <w:rFonts w:ascii="Arial" w:eastAsia="Calibri" w:hAnsi="Arial" w:cs="Arial"/>
          <w:i/>
          <w:iCs/>
          <w:color w:val="000000" w:themeColor="text1"/>
          <w:sz w:val="22"/>
          <w:lang w:val="es-ES_tradnl"/>
        </w:rPr>
        <w:t>calamidad pública</w:t>
      </w:r>
      <w:r w:rsidRPr="00A82A74">
        <w:rPr>
          <w:rFonts w:ascii="Arial" w:eastAsia="Calibri" w:hAnsi="Arial" w:cs="Arial"/>
          <w:color w:val="000000" w:themeColor="text1"/>
          <w:sz w:val="22"/>
          <w:lang w:val="es-ES_tradnl"/>
        </w:rPr>
        <w:t xml:space="preserve">. Particularmente, disponen que al Presidente de la República le corresponde declarar la situación de </w:t>
      </w:r>
      <w:r w:rsidRPr="00A82A74">
        <w:rPr>
          <w:rFonts w:ascii="Arial" w:eastAsia="Calibri" w:hAnsi="Arial" w:cs="Arial"/>
          <w:i/>
          <w:iCs/>
          <w:color w:val="000000" w:themeColor="text1"/>
          <w:sz w:val="22"/>
          <w:lang w:val="es-ES_tradnl"/>
        </w:rPr>
        <w:t>desastre</w:t>
      </w:r>
      <w:r w:rsidRPr="00A82A74">
        <w:rPr>
          <w:rFonts w:ascii="Arial" w:eastAsia="Calibri" w:hAnsi="Arial" w:cs="Arial"/>
          <w:color w:val="000000" w:themeColor="text1"/>
          <w:sz w:val="22"/>
          <w:lang w:val="es-ES_tradnl"/>
        </w:rPr>
        <w:t>, tanto en el orden nacional, departamental, como en el municipal y distrital</w:t>
      </w:r>
      <w:r w:rsidRPr="00A82A74">
        <w:rPr>
          <w:rStyle w:val="Refdenotaalpie"/>
          <w:rFonts w:ascii="Arial" w:eastAsia="Calibri" w:hAnsi="Arial" w:cs="Arial"/>
          <w:color w:val="000000" w:themeColor="text1"/>
          <w:sz w:val="22"/>
          <w:lang w:val="es-ES_tradnl"/>
        </w:rPr>
        <w:footnoteReference w:id="14"/>
      </w:r>
      <w:r w:rsidRPr="00A82A74">
        <w:rPr>
          <w:rFonts w:ascii="Arial" w:eastAsia="Calibri" w:hAnsi="Arial" w:cs="Arial"/>
          <w:color w:val="000000" w:themeColor="text1"/>
          <w:sz w:val="22"/>
          <w:lang w:val="es-ES_tradnl"/>
        </w:rPr>
        <w:t xml:space="preserve">, facultad que no pueden ejercer los </w:t>
      </w:r>
      <w:r w:rsidRPr="00A82A74">
        <w:rPr>
          <w:rFonts w:ascii="Arial" w:eastAsia="Calibri" w:hAnsi="Arial" w:cs="Arial"/>
          <w:color w:val="000000" w:themeColor="text1"/>
          <w:sz w:val="22"/>
          <w:lang w:val="es-ES_tradnl"/>
        </w:rPr>
        <w:lastRenderedPageBreak/>
        <w:t xml:space="preserve">gobernadores y alcaldes, porque la norma no les asignó esta competencia; no obstante, a los gobernadores y alcaldes sí les corresponde declarar la </w:t>
      </w:r>
      <w:r w:rsidRPr="00A82A74">
        <w:rPr>
          <w:rFonts w:ascii="Arial" w:eastAsia="Calibri" w:hAnsi="Arial" w:cs="Arial"/>
          <w:i/>
          <w:iCs/>
          <w:color w:val="000000" w:themeColor="text1"/>
          <w:sz w:val="22"/>
          <w:lang w:val="es-ES_tradnl"/>
        </w:rPr>
        <w:t>situación de calamidad pública</w:t>
      </w:r>
      <w:r w:rsidRPr="00A82A74">
        <w:rPr>
          <w:rFonts w:ascii="Arial" w:eastAsia="Calibri" w:hAnsi="Arial" w:cs="Arial"/>
          <w:color w:val="000000" w:themeColor="text1"/>
          <w:sz w:val="22"/>
          <w:lang w:val="es-ES_tradnl"/>
        </w:rPr>
        <w:t>, en los respectivos ámbitos, facultad que, en cambio, no puede ejercer el presidente de la república</w:t>
      </w:r>
      <w:r w:rsidRPr="00A82A74">
        <w:rPr>
          <w:rStyle w:val="Refdenotaalpie"/>
          <w:rFonts w:ascii="Arial" w:eastAsia="Calibri" w:hAnsi="Arial" w:cs="Arial"/>
          <w:color w:val="000000" w:themeColor="text1"/>
          <w:sz w:val="22"/>
          <w:lang w:val="es-ES_tradnl"/>
        </w:rPr>
        <w:footnoteReference w:id="15"/>
      </w:r>
      <w:r w:rsidRPr="00A82A74">
        <w:rPr>
          <w:rFonts w:ascii="Arial" w:eastAsia="Calibri" w:hAnsi="Arial" w:cs="Arial"/>
          <w:color w:val="000000" w:themeColor="text1"/>
          <w:sz w:val="22"/>
          <w:lang w:val="es-ES_tradnl"/>
        </w:rPr>
        <w:t xml:space="preserve">. </w:t>
      </w:r>
    </w:p>
    <w:p w14:paraId="2B77B2A8"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2A0DAC14"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bookmarkStart w:id="22" w:name="_Hlk35959844"/>
      <w:r w:rsidRPr="00A82A74">
        <w:rPr>
          <w:rFonts w:ascii="Arial" w:eastAsia="Calibri" w:hAnsi="Arial" w:cs="Arial"/>
          <w:color w:val="000000" w:themeColor="text1"/>
          <w:sz w:val="22"/>
          <w:lang w:val="es-ES_tradnl"/>
        </w:rPr>
        <w:t xml:space="preserve">Lo anterior significa que </w:t>
      </w:r>
      <w:bookmarkStart w:id="23" w:name="_Hlk35959859"/>
      <w:r w:rsidRPr="00A82A74">
        <w:rPr>
          <w:rFonts w:ascii="Arial" w:eastAsia="Calibri" w:hAnsi="Arial" w:cs="Arial"/>
          <w:color w:val="000000" w:themeColor="text1"/>
          <w:sz w:val="22"/>
          <w:lang w:val="es-ES_tradnl"/>
        </w:rPr>
        <w:t xml:space="preserve">para contratar </w:t>
      </w:r>
      <w:bookmarkEnd w:id="22"/>
      <w:r w:rsidRPr="00A82A74">
        <w:rPr>
          <w:rFonts w:ascii="Arial" w:eastAsia="Calibri" w:hAnsi="Arial" w:cs="Arial"/>
          <w:color w:val="000000" w:themeColor="text1"/>
          <w:sz w:val="22"/>
          <w:lang w:val="es-ES_tradnl"/>
        </w:rPr>
        <w:t xml:space="preserve">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lo establecido en el Capítulo VI de la Ley 1523 de 2012; y </w:t>
      </w:r>
      <w:proofErr w:type="spellStart"/>
      <w:r w:rsidRPr="00A82A74">
        <w:rPr>
          <w:rFonts w:ascii="Arial" w:eastAsia="Calibri" w:hAnsi="Arial" w:cs="Arial"/>
          <w:color w:val="000000" w:themeColor="text1"/>
          <w:sz w:val="22"/>
          <w:lang w:val="es-ES_tradnl"/>
        </w:rPr>
        <w:t>ii</w:t>
      </w:r>
      <w:proofErr w:type="spellEnd"/>
      <w:r w:rsidRPr="00A82A74">
        <w:rPr>
          <w:rFonts w:ascii="Arial" w:eastAsia="Calibri" w:hAnsi="Arial" w:cs="Arial"/>
          <w:color w:val="000000" w:themeColor="text1"/>
          <w:sz w:val="22"/>
          <w:lang w:val="es-ES_tradnl"/>
        </w:rPr>
        <w:t>) el segundo, la declaración propiamente dicha de «urgencia manifiesta», de que trata el artículo 42 del Estatuto General de Contratación, amparado o fundamentado en la declaración previa del desastre o calamidad.</w:t>
      </w:r>
    </w:p>
    <w:p w14:paraId="698F34F5"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 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35EF95F6"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w:t>
      </w:r>
      <w:r w:rsidRPr="00A82A74">
        <w:rPr>
          <w:rFonts w:ascii="Arial" w:eastAsia="Calibri" w:hAnsi="Arial" w:cs="Arial"/>
          <w:color w:val="000000" w:themeColor="text1"/>
          <w:sz w:val="22"/>
          <w:lang w:val="es-ES_tradnl"/>
        </w:rPr>
        <w:lastRenderedPageBreak/>
        <w:t>situación de desastre o en la situación de calamidad</w:t>
      </w:r>
      <w:bookmarkEnd w:id="23"/>
      <w:r w:rsidRPr="00A82A74">
        <w:rPr>
          <w:rFonts w:ascii="Arial" w:eastAsia="Calibri" w:hAnsi="Arial" w:cs="Arial"/>
          <w:color w:val="000000" w:themeColor="text1"/>
          <w:sz w:val="22"/>
          <w:lang w:val="es-ES_tradnl"/>
        </w:rPr>
        <w:t xml:space="preserve">. Por lo anterior, cuando el artículo 42 de la Ley 80 de 1993 dispone que la urgencia manifiesta se declara –entre otras tres (3) causales– para «[…] </w:t>
      </w:r>
      <w:bookmarkStart w:id="24" w:name="_Hlk35879915"/>
      <w:r w:rsidRPr="00A82A74">
        <w:rPr>
          <w:rFonts w:ascii="Arial" w:eastAsia="Calibri" w:hAnsi="Arial" w:cs="Arial"/>
          <w:color w:val="000000" w:themeColor="text1"/>
          <w:sz w:val="22"/>
          <w:lang w:val="es-ES_tradnl"/>
        </w:rPr>
        <w:t>conjurar situaciones excepcionales relacionadas con hechos de calamidad o constitutivos de fuerza mayor o desastre que demanden actuaciones inmediatas</w:t>
      </w:r>
      <w:bookmarkEnd w:id="24"/>
      <w:r w:rsidRPr="00A82A74">
        <w:rPr>
          <w:rFonts w:ascii="Arial" w:eastAsia="Calibri" w:hAnsi="Arial" w:cs="Arial"/>
          <w:color w:val="000000" w:themeColor="text1"/>
          <w:sz w:val="22"/>
          <w:lang w:val="es-ES_tradnl"/>
        </w:rPr>
        <w:t xml:space="preserve"> […]», las circunstancias de calamidad y desastre deben entenderse en los términos de la Ley 1523 de 2012, en la medida que forman una unidad jurídica completa.</w:t>
      </w:r>
    </w:p>
    <w:p w14:paraId="4358DAFB"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p>
    <w:p w14:paraId="42D59624" w14:textId="77777777" w:rsidR="00DD3852" w:rsidRPr="00A82A74" w:rsidRDefault="00DD3852" w:rsidP="00DD3852">
      <w:pPr>
        <w:spacing w:line="276" w:lineRule="auto"/>
        <w:jc w:val="both"/>
        <w:rPr>
          <w:rFonts w:ascii="Arial" w:eastAsia="Calibri" w:hAnsi="Arial" w:cs="Arial"/>
          <w:b/>
          <w:bCs/>
          <w:color w:val="000000" w:themeColor="text1"/>
          <w:sz w:val="22"/>
          <w:lang w:val="es-ES_tradnl"/>
        </w:rPr>
      </w:pPr>
      <w:r w:rsidRPr="00A82A74">
        <w:rPr>
          <w:rFonts w:ascii="Arial" w:eastAsia="Calibri" w:hAnsi="Arial" w:cs="Arial"/>
          <w:b/>
          <w:bCs/>
          <w:color w:val="000000" w:themeColor="text1"/>
          <w:sz w:val="22"/>
          <w:lang w:val="es-ES_tradnl"/>
        </w:rPr>
        <w:t xml:space="preserve">2.3. </w:t>
      </w:r>
      <w:r w:rsidRPr="00A82A74">
        <w:rPr>
          <w:rFonts w:ascii="Arial" w:eastAsia="Calibri" w:hAnsi="Arial" w:cs="Arial"/>
          <w:b/>
          <w:bCs/>
          <w:i/>
          <w:iCs/>
          <w:color w:val="000000" w:themeColor="text1"/>
          <w:sz w:val="22"/>
          <w:lang w:val="es-ES_tradnl"/>
        </w:rPr>
        <w:t>Situación de desastre</w:t>
      </w:r>
      <w:r w:rsidRPr="00A82A74">
        <w:rPr>
          <w:rFonts w:ascii="Arial" w:eastAsia="Calibri" w:hAnsi="Arial" w:cs="Arial"/>
          <w:b/>
          <w:bCs/>
          <w:color w:val="000000" w:themeColor="text1"/>
          <w:sz w:val="22"/>
          <w:lang w:val="es-ES_tradnl"/>
        </w:rPr>
        <w:t xml:space="preserve"> y situación de </w:t>
      </w:r>
      <w:r w:rsidRPr="00A82A74">
        <w:rPr>
          <w:rFonts w:ascii="Arial" w:eastAsia="Calibri" w:hAnsi="Arial" w:cs="Arial"/>
          <w:b/>
          <w:bCs/>
          <w:i/>
          <w:iCs/>
          <w:color w:val="000000" w:themeColor="text1"/>
          <w:sz w:val="22"/>
          <w:lang w:val="es-ES_tradnl"/>
        </w:rPr>
        <w:t>calamidad pública</w:t>
      </w:r>
      <w:r w:rsidRPr="00A82A74">
        <w:rPr>
          <w:rFonts w:ascii="Arial" w:eastAsia="Calibri" w:hAnsi="Arial" w:cs="Arial"/>
          <w:b/>
          <w:bCs/>
          <w:color w:val="000000" w:themeColor="text1"/>
          <w:sz w:val="22"/>
          <w:lang w:val="es-ES_tradnl"/>
        </w:rPr>
        <w:t>: supuesto de exclusión parcial del régimen de contratación de la Administración pública –Ley 80 de 1993–</w:t>
      </w:r>
    </w:p>
    <w:p w14:paraId="16EDBD72" w14:textId="77777777" w:rsidR="00DD3852" w:rsidRPr="00A82A74" w:rsidRDefault="00DD3852" w:rsidP="00DD3852">
      <w:pPr>
        <w:spacing w:line="276" w:lineRule="auto"/>
        <w:jc w:val="both"/>
        <w:rPr>
          <w:rFonts w:ascii="Arial" w:eastAsia="Calibri" w:hAnsi="Arial" w:cs="Arial"/>
          <w:color w:val="000000" w:themeColor="text1"/>
          <w:sz w:val="22"/>
          <w:lang w:val="es-ES_tradnl"/>
        </w:rPr>
      </w:pPr>
    </w:p>
    <w:p w14:paraId="39897423" w14:textId="77777777" w:rsidR="00DD3852" w:rsidRPr="00A82A74" w:rsidRDefault="00DD3852" w:rsidP="00DD3852">
      <w:pPr>
        <w:spacing w:before="120" w:line="276" w:lineRule="auto"/>
        <w:jc w:val="both"/>
        <w:rPr>
          <w:rFonts w:ascii="Arial" w:eastAsia="Calibri" w:hAnsi="Arial" w:cs="Arial"/>
          <w:color w:val="000000" w:themeColor="text1"/>
          <w:sz w:val="22"/>
          <w:lang w:val="es-ES_tradnl"/>
        </w:rPr>
      </w:pPr>
      <w:bookmarkStart w:id="25" w:name="_Hlk37246142"/>
      <w:r w:rsidRPr="00A82A74">
        <w:rPr>
          <w:rFonts w:ascii="Arial" w:eastAsia="Calibri" w:hAnsi="Arial" w:cs="Arial"/>
          <w:color w:val="000000" w:themeColor="text1"/>
          <w:sz w:val="22"/>
          <w:lang w:val="es-ES_tradnl"/>
        </w:rPr>
        <w:t xml:space="preserve">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 </w:t>
      </w:r>
    </w:p>
    <w:bookmarkEnd w:id="25"/>
    <w:p w14:paraId="6939459E"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La interpretación de la norma supone tener en cuenta que, de conformidad con el artículo 47, se constituyó el </w:t>
      </w:r>
      <w:bookmarkStart w:id="26" w:name="_Hlk36225979"/>
      <w:r w:rsidRPr="00A82A74">
        <w:rPr>
          <w:rFonts w:ascii="Arial" w:eastAsia="Calibri" w:hAnsi="Arial" w:cs="Arial"/>
          <w:color w:val="000000" w:themeColor="text1"/>
          <w:sz w:val="22"/>
          <w:lang w:val="es-ES_tradnl"/>
        </w:rPr>
        <w:t>Fondo Nacional de Gestión de Riesgo de Desastres</w:t>
      </w:r>
      <w:bookmarkEnd w:id="26"/>
      <w:r w:rsidRPr="00A82A74">
        <w:rPr>
          <w:rFonts w:ascii="Arial" w:eastAsia="Calibri" w:hAnsi="Arial" w:cs="Arial"/>
          <w:color w:val="000000" w:themeColor="text1"/>
          <w:sz w:val="22"/>
          <w:lang w:val="es-ES_tradnl"/>
        </w:rPr>
        <w:t xml:space="preserve"> como un patrimonio autónomo –artículo 49–, administrado y representado en los términos del artículo 3° del Decreto 1547 de 1984 –modificado por el artículo 70 de Decreto-ley 919 de 1989</w:t>
      </w:r>
      <w:r w:rsidRPr="00A82A74">
        <w:rPr>
          <w:rStyle w:val="Refdenotaalpie"/>
          <w:rFonts w:ascii="Arial" w:eastAsia="Calibri" w:hAnsi="Arial" w:cs="Arial"/>
          <w:color w:val="000000" w:themeColor="text1"/>
          <w:sz w:val="22"/>
          <w:lang w:val="es-ES_tradnl"/>
        </w:rPr>
        <w:footnoteReference w:id="16"/>
      </w:r>
      <w:r w:rsidRPr="00A82A74">
        <w:rPr>
          <w:rFonts w:ascii="Arial" w:eastAsia="Calibri" w:hAnsi="Arial" w:cs="Arial"/>
          <w:color w:val="000000" w:themeColor="text1"/>
          <w:sz w:val="22"/>
          <w:lang w:val="es-ES_tradnl"/>
        </w:rPr>
        <w:t xml:space="preserve"> (artículo 48)–, destinado a adoptar medidas de conocimiento y reducción del riesgo de desastres, preparación, respuesta, rehabilitación y reconstrucción, a través de mecanismos de financiación dirigidos a las entidades involucradas en los procesos y a la población afectada por la ocurrencia de desastres, cuyo régimen contractual es el de las empresas industriales y comerciales, sin perjuicio de las facultades especiales para atender situaciones de desastres y evitar la extensión de los efectos –parágrafo 3 del artículo 50–. </w:t>
      </w:r>
    </w:p>
    <w:p w14:paraId="5530B59C"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La disposición citada también establece que las entidades territoriales deben constituir sus propios </w:t>
      </w:r>
      <w:r w:rsidRPr="00A82A74">
        <w:rPr>
          <w:rFonts w:ascii="Arial" w:eastAsia="Calibri" w:hAnsi="Arial" w:cs="Arial"/>
          <w:i/>
          <w:iCs/>
          <w:color w:val="000000" w:themeColor="text1"/>
          <w:sz w:val="22"/>
          <w:lang w:val="es-ES_tradnl"/>
        </w:rPr>
        <w:t>fondos de gestión del riesgo</w:t>
      </w:r>
      <w:r w:rsidRPr="00A82A74">
        <w:rPr>
          <w:rFonts w:ascii="Arial" w:eastAsia="Calibri" w:hAnsi="Arial" w:cs="Arial"/>
          <w:color w:val="000000" w:themeColor="text1"/>
          <w:sz w:val="22"/>
          <w:lang w:val="es-ES_tradnl"/>
        </w:rPr>
        <w:t>, bajo el mismo esquema del Fondo Nacional, con el propósito de invertir, destinar y ejecutar sus recursos en la adopción de medidas de conocimiento y reducción del riesgo, preparación, respuesta, rehabilitación y reconstrucción en situaciones de desastre o calamidad pública –artículo 54</w:t>
      </w:r>
      <w:r w:rsidRPr="00A82A74">
        <w:rPr>
          <w:rStyle w:val="Refdenotaalpie"/>
          <w:rFonts w:ascii="Arial" w:eastAsia="Calibri" w:hAnsi="Arial" w:cs="Arial"/>
          <w:color w:val="000000" w:themeColor="text1"/>
          <w:sz w:val="22"/>
          <w:lang w:val="es-ES_tradnl"/>
        </w:rPr>
        <w:footnoteReference w:id="17"/>
      </w:r>
      <w:r w:rsidRPr="00A82A74">
        <w:rPr>
          <w:rFonts w:ascii="Arial" w:eastAsia="Calibri" w:hAnsi="Arial" w:cs="Arial"/>
          <w:color w:val="000000" w:themeColor="text1"/>
          <w:sz w:val="22"/>
          <w:lang w:val="es-ES_tradnl"/>
        </w:rPr>
        <w:t>–. En este contexto, el artículo 66 de la Ley 1523 de 2012 dispone lo siguiente:</w:t>
      </w:r>
    </w:p>
    <w:p w14:paraId="48B3FB23"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p>
    <w:p w14:paraId="3BB642E9" w14:textId="77777777" w:rsidR="00DD3852" w:rsidRPr="00A82A74" w:rsidRDefault="00DD3852" w:rsidP="00DD3852">
      <w:pPr>
        <w:spacing w:before="120"/>
        <w:ind w:left="709" w:right="709"/>
        <w:jc w:val="both"/>
        <w:rPr>
          <w:rFonts w:ascii="Arial" w:eastAsia="Calibri" w:hAnsi="Arial" w:cs="Arial"/>
          <w:color w:val="000000" w:themeColor="text1"/>
          <w:sz w:val="21"/>
          <w:szCs w:val="21"/>
          <w:lang w:val="es-ES_tradnl"/>
        </w:rPr>
      </w:pPr>
      <w:r w:rsidRPr="00A82A74">
        <w:rPr>
          <w:rFonts w:ascii="Arial" w:eastAsia="Calibri" w:hAnsi="Arial" w:cs="Arial"/>
          <w:color w:val="000000" w:themeColor="text1"/>
          <w:sz w:val="21"/>
          <w:szCs w:val="21"/>
          <w:lang w:val="es-ES_tradnl"/>
        </w:rPr>
        <w:t xml:space="preserve">“Art. 66. Salvo lo dispuesto para los contratos de empréstito interno y externo, los contratos que celebre la sociedad fiduciaria para la ejecución de los bienes, derechos e intereses del </w:t>
      </w:r>
      <w:bookmarkStart w:id="28" w:name="_Hlk36227796"/>
      <w:r w:rsidRPr="00A82A74">
        <w:rPr>
          <w:rFonts w:ascii="Arial" w:eastAsia="Calibri" w:hAnsi="Arial" w:cs="Arial"/>
          <w:color w:val="000000" w:themeColor="text1"/>
          <w:sz w:val="21"/>
          <w:szCs w:val="21"/>
          <w:lang w:val="es-ES_tradnl"/>
        </w:rPr>
        <w:t>Fondo Nacional de Gestión del Riesgo</w:t>
      </w:r>
      <w:bookmarkEnd w:id="28"/>
      <w:r w:rsidRPr="00A82A74">
        <w:rPr>
          <w:rFonts w:ascii="Arial" w:eastAsia="Calibri" w:hAnsi="Arial" w:cs="Arial"/>
          <w:color w:val="000000" w:themeColor="text1"/>
          <w:sz w:val="21"/>
          <w:szCs w:val="21"/>
          <w:lang w:val="es-ES_tradnl"/>
        </w:rPr>
        <w:t xml:space="preserve"> o los celebrados </w:t>
      </w:r>
      <w:bookmarkStart w:id="29" w:name="_Hlk36227833"/>
      <w:r w:rsidRPr="00A82A74">
        <w:rPr>
          <w:rFonts w:ascii="Arial" w:eastAsia="Calibri" w:hAnsi="Arial" w:cs="Arial"/>
          <w:color w:val="000000" w:themeColor="text1"/>
          <w:sz w:val="21"/>
          <w:szCs w:val="21"/>
          <w:lang w:val="es-ES_tradnl"/>
        </w:rPr>
        <w:t>por las entidades ejecutoras que reciban recursos provenientes de este fondo</w:t>
      </w:r>
      <w:bookmarkEnd w:id="29"/>
      <w:r w:rsidRPr="00A82A74">
        <w:rPr>
          <w:rFonts w:ascii="Arial" w:eastAsia="Calibri" w:hAnsi="Arial" w:cs="Arial"/>
          <w:color w:val="000000" w:themeColor="text1"/>
          <w:sz w:val="21"/>
          <w:szCs w:val="21"/>
          <w:lang w:val="es-ES_tradnl"/>
        </w:rPr>
        <w:t xml:space="preserve"> o </w:t>
      </w:r>
      <w:bookmarkStart w:id="30" w:name="_Hlk36228014"/>
      <w:r w:rsidRPr="00A82A74">
        <w:rPr>
          <w:rFonts w:ascii="Arial" w:eastAsia="Calibri" w:hAnsi="Arial" w:cs="Arial"/>
          <w:color w:val="000000" w:themeColor="text1"/>
          <w:sz w:val="21"/>
          <w:szCs w:val="21"/>
          <w:lang w:val="es-ES_tradnl"/>
        </w:rPr>
        <w:t>los celebrados por las entidades territoriales y sus fondos de gestión del riesgo</w:t>
      </w:r>
      <w:bookmarkEnd w:id="30"/>
      <w:r w:rsidRPr="00A82A74">
        <w:rPr>
          <w:rFonts w:ascii="Arial" w:eastAsia="Calibri" w:hAnsi="Arial" w:cs="Arial"/>
          <w:color w:val="000000" w:themeColor="text1"/>
          <w:sz w:val="21"/>
          <w:szCs w:val="21"/>
          <w:lang w:val="es-ES_tradnl"/>
        </w:rPr>
        <w:t xml:space="preserve">, </w:t>
      </w:r>
      <w:bookmarkStart w:id="31" w:name="_Hlk36228190"/>
      <w:r w:rsidRPr="00A82A74">
        <w:rPr>
          <w:rFonts w:ascii="Arial" w:eastAsia="Calibri" w:hAnsi="Arial" w:cs="Arial"/>
          <w:color w:val="000000" w:themeColor="text1"/>
          <w:sz w:val="21"/>
          <w:szCs w:val="21"/>
          <w:lang w:val="es-ES_tradnl"/>
        </w:rPr>
        <w:t xml:space="preserve">relacionados </w:t>
      </w:r>
      <w:bookmarkStart w:id="32" w:name="_Hlk36229456"/>
      <w:r w:rsidRPr="00A82A74">
        <w:rPr>
          <w:rFonts w:ascii="Arial" w:eastAsia="Calibri" w:hAnsi="Arial" w:cs="Arial"/>
          <w:color w:val="000000" w:themeColor="text1"/>
          <w:sz w:val="21"/>
          <w:szCs w:val="21"/>
          <w:lang w:val="es-ES_tradnl"/>
        </w:rPr>
        <w:t>directamente con las actividades de respuesta, de rehabilitación y reconstrucción</w:t>
      </w:r>
      <w:bookmarkEnd w:id="32"/>
      <w:r w:rsidRPr="00A82A74">
        <w:rPr>
          <w:rFonts w:ascii="Arial" w:eastAsia="Calibri" w:hAnsi="Arial" w:cs="Arial"/>
          <w:color w:val="000000" w:themeColor="text1"/>
          <w:sz w:val="21"/>
          <w:szCs w:val="21"/>
          <w:lang w:val="es-ES_tradnl"/>
        </w:rPr>
        <w:t xml:space="preserve"> de las zonas declaradas en situación de desastre o calamidad pública</w:t>
      </w:r>
      <w:bookmarkEnd w:id="31"/>
      <w:r w:rsidRPr="00A82A74">
        <w:rPr>
          <w:rFonts w:ascii="Arial" w:eastAsia="Calibri" w:hAnsi="Arial" w:cs="Arial"/>
          <w:color w:val="000000" w:themeColor="text1"/>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5A31AC46" w14:textId="77777777" w:rsidR="00DD3852" w:rsidRPr="00A82A74" w:rsidRDefault="00DD3852" w:rsidP="00DD3852">
      <w:pPr>
        <w:spacing w:before="120"/>
        <w:ind w:left="709" w:right="709"/>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1"/>
          <w:szCs w:val="21"/>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3EAAEC25" w14:textId="77777777" w:rsidR="00DD3852" w:rsidRPr="00A82A74" w:rsidRDefault="00DD3852" w:rsidP="00DD3852">
      <w:pPr>
        <w:spacing w:before="120" w:line="276" w:lineRule="auto"/>
        <w:jc w:val="both"/>
        <w:rPr>
          <w:rFonts w:ascii="Arial" w:eastAsia="Calibri" w:hAnsi="Arial" w:cs="Arial"/>
          <w:color w:val="000000" w:themeColor="text1"/>
          <w:sz w:val="22"/>
          <w:lang w:val="es-ES_tradnl"/>
        </w:rPr>
      </w:pPr>
    </w:p>
    <w:p w14:paraId="3E3224CD" w14:textId="77777777" w:rsidR="00DD3852" w:rsidRPr="00A82A74" w:rsidRDefault="00DD3852" w:rsidP="00DD3852">
      <w:pPr>
        <w:spacing w:before="120" w:line="276" w:lineRule="auto"/>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ab/>
      </w:r>
      <w:bookmarkStart w:id="33" w:name="_Hlk37246222"/>
      <w:r w:rsidRPr="00A82A74">
        <w:rPr>
          <w:rFonts w:ascii="Arial" w:eastAsia="Calibri" w:hAnsi="Arial" w:cs="Arial"/>
          <w:color w:val="000000" w:themeColor="text1"/>
          <w:sz w:val="22"/>
          <w:lang w:val="es-ES_tradnl"/>
        </w:rPr>
        <w:t xml:space="preserve">Sin perjuicio de las potestades exorbitantes, la norma precedente exceptúa del Estatuto General de Contratación de la Administración Pública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A82A74">
        <w:rPr>
          <w:rFonts w:ascii="Arial" w:eastAsia="Calibri" w:hAnsi="Arial" w:cs="Arial"/>
          <w:color w:val="000000" w:themeColor="text1"/>
          <w:sz w:val="22"/>
          <w:lang w:val="es-ES_tradnl"/>
        </w:rPr>
        <w:t>ii</w:t>
      </w:r>
      <w:proofErr w:type="spellEnd"/>
      <w:r w:rsidRPr="00A82A74">
        <w:rPr>
          <w:rFonts w:ascii="Arial" w:eastAsia="Calibri" w:hAnsi="Arial" w:cs="Arial"/>
          <w:color w:val="000000" w:themeColor="text1"/>
          <w:sz w:val="22"/>
          <w:lang w:val="es-ES_tradnl"/>
        </w:rPr>
        <w:t xml:space="preserve">) por las entidades ejecutoras que reciban recursos provenientes de este fondo y </w:t>
      </w:r>
      <w:proofErr w:type="spellStart"/>
      <w:r w:rsidRPr="00A82A74">
        <w:rPr>
          <w:rFonts w:ascii="Arial" w:eastAsia="Calibri" w:hAnsi="Arial" w:cs="Arial"/>
          <w:color w:val="000000" w:themeColor="text1"/>
          <w:sz w:val="22"/>
          <w:lang w:val="es-ES_tradnl"/>
        </w:rPr>
        <w:t>iii</w:t>
      </w:r>
      <w:proofErr w:type="spellEnd"/>
      <w:r w:rsidRPr="00A82A74">
        <w:rPr>
          <w:rFonts w:ascii="Arial" w:eastAsia="Calibri" w:hAnsi="Arial" w:cs="Arial"/>
          <w:color w:val="000000" w:themeColor="text1"/>
          <w:sz w:val="22"/>
          <w:lang w:val="es-ES_tradnl"/>
        </w:rPr>
        <w:t xml:space="preserve">) los celebrados por las entidades territoriales y sus fondos de gestión del riesgo. </w:t>
      </w:r>
    </w:p>
    <w:p w14:paraId="24BAB2C0"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 </w:t>
      </w:r>
    </w:p>
    <w:p w14:paraId="29684745"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lastRenderedPageBreak/>
        <w:t xml:space="preserve">Además, según el parágrafo del mismo artículo, solo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2082DB8A"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En otras palabras, la pura y simple declaración de desastre o de calamidad pública conduce a que las autoridades mencionadas atrás se excluyan de la Ley 80, y pasen a formar parte del régimen especial de contratación, siempre que los contratos estén relacionados directamente con las actividades de respuesta, de rehabilitación y reconstrucción para superar la situación de calamidad o desastre declarados, caso en el cual, inclusive, podrán pactar poderes excepcionales. Para las demás entidades es necesaria la declaración de desastre o calamidad pública para fundamentar, a continuación, la declaración de urgencia manifiesta en los términos de la Ley 80 de 1993</w:t>
      </w:r>
      <w:bookmarkStart w:id="34" w:name="_Hlk36232417"/>
      <w:r w:rsidRPr="00A82A74">
        <w:rPr>
          <w:rFonts w:ascii="Arial" w:eastAsia="Calibri" w:hAnsi="Arial" w:cs="Arial"/>
          <w:color w:val="000000" w:themeColor="text1"/>
          <w:sz w:val="22"/>
          <w:lang w:val="es-ES_tradnl"/>
        </w:rPr>
        <w:t>.</w:t>
      </w:r>
      <w:bookmarkEnd w:id="33"/>
      <w:bookmarkEnd w:id="34"/>
      <w:r w:rsidRPr="00A82A74">
        <w:rPr>
          <w:rFonts w:ascii="Arial" w:eastAsia="Calibri" w:hAnsi="Arial" w:cs="Arial"/>
          <w:color w:val="000000" w:themeColor="text1"/>
          <w:sz w:val="22"/>
          <w:lang w:val="es-ES_tradnl"/>
        </w:rPr>
        <w:t xml:space="preserve">          </w:t>
      </w:r>
    </w:p>
    <w:p w14:paraId="572CFCD2" w14:textId="5B2FBE7D"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Con fundamento en las anteriores consideraciones se contesta la </w:t>
      </w:r>
      <w:r w:rsidR="007B0248" w:rsidRPr="00A82A74">
        <w:rPr>
          <w:rFonts w:ascii="Arial" w:eastAsia="Calibri" w:hAnsi="Arial" w:cs="Arial"/>
          <w:color w:val="000000" w:themeColor="text1"/>
          <w:sz w:val="22"/>
          <w:lang w:val="es-ES_tradnl"/>
        </w:rPr>
        <w:t>solicitud</w:t>
      </w:r>
      <w:r w:rsidRPr="00A82A74">
        <w:rPr>
          <w:rFonts w:ascii="Arial" w:eastAsia="Calibri" w:hAnsi="Arial" w:cs="Arial"/>
          <w:color w:val="000000" w:themeColor="text1"/>
          <w:sz w:val="22"/>
          <w:lang w:val="es-ES_tradnl"/>
        </w:rPr>
        <w:t xml:space="preserve"> formulada.</w:t>
      </w:r>
    </w:p>
    <w:p w14:paraId="73EBED43"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p>
    <w:p w14:paraId="3CFA0F89" w14:textId="77777777" w:rsidR="00DD3852" w:rsidRPr="00A82A74" w:rsidRDefault="00DD3852" w:rsidP="00DD3852">
      <w:pPr>
        <w:pStyle w:val="Prrafodelista"/>
        <w:tabs>
          <w:tab w:val="left" w:pos="284"/>
        </w:tabs>
        <w:spacing w:after="120" w:line="276" w:lineRule="auto"/>
        <w:ind w:left="0"/>
        <w:jc w:val="both"/>
        <w:rPr>
          <w:rFonts w:ascii="Arial" w:eastAsia="Calibri" w:hAnsi="Arial" w:cs="Arial"/>
          <w:b/>
          <w:color w:val="000000" w:themeColor="text1"/>
          <w:sz w:val="22"/>
        </w:rPr>
      </w:pPr>
      <w:r w:rsidRPr="00A82A74">
        <w:rPr>
          <w:rFonts w:ascii="Arial" w:eastAsia="Calibri" w:hAnsi="Arial" w:cs="Arial"/>
          <w:b/>
          <w:color w:val="000000" w:themeColor="text1"/>
          <w:sz w:val="22"/>
        </w:rPr>
        <w:t>3. Respuesta</w:t>
      </w:r>
    </w:p>
    <w:p w14:paraId="6032DFB2" w14:textId="77777777" w:rsidR="00DD3852" w:rsidRPr="00A82A74" w:rsidRDefault="00DD3852" w:rsidP="00DD3852">
      <w:pPr>
        <w:spacing w:line="276" w:lineRule="auto"/>
        <w:jc w:val="both"/>
        <w:rPr>
          <w:rFonts w:ascii="Arial" w:eastAsia="Calibri" w:hAnsi="Arial" w:cs="Arial"/>
          <w:color w:val="000000" w:themeColor="text1"/>
          <w:sz w:val="22"/>
          <w:lang w:val="es-ES_tradnl"/>
        </w:rPr>
      </w:pPr>
    </w:p>
    <w:p w14:paraId="1ABCA335" w14:textId="77777777" w:rsidR="00DD3852" w:rsidRPr="00A82A74" w:rsidRDefault="00DD3852" w:rsidP="00DD3852">
      <w:pPr>
        <w:spacing w:line="276" w:lineRule="auto"/>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Después de explicar el sentido y alcance de la </w:t>
      </w:r>
      <w:r w:rsidRPr="00A82A74">
        <w:rPr>
          <w:rFonts w:ascii="Arial" w:eastAsia="Calibri" w:hAnsi="Arial" w:cs="Arial"/>
          <w:i/>
          <w:iCs/>
          <w:color w:val="000000" w:themeColor="text1"/>
          <w:sz w:val="22"/>
          <w:lang w:val="es-ES_tradnl"/>
        </w:rPr>
        <w:t>urgencia manifiesta</w:t>
      </w:r>
      <w:r w:rsidRPr="00A82A74">
        <w:rPr>
          <w:rFonts w:ascii="Arial" w:eastAsia="Calibri" w:hAnsi="Arial" w:cs="Arial"/>
          <w:color w:val="000000" w:themeColor="text1"/>
          <w:sz w:val="22"/>
          <w:lang w:val="es-ES_tradnl"/>
        </w:rPr>
        <w:t xml:space="preserve"> en los contratos de las entidades sometidas al </w:t>
      </w:r>
      <w:r w:rsidRPr="00A82A74">
        <w:rPr>
          <w:rFonts w:ascii="Arial" w:eastAsia="Calibri" w:hAnsi="Arial" w:cs="Arial"/>
          <w:color w:val="000000" w:themeColor="text1"/>
          <w:sz w:val="22"/>
        </w:rPr>
        <w:t xml:space="preserve">Estatuto General de Contratación, así como los conceptos de </w:t>
      </w:r>
      <w:r w:rsidRPr="00A82A74">
        <w:rPr>
          <w:rFonts w:ascii="Arial" w:eastAsia="Calibri" w:hAnsi="Arial" w:cs="Arial"/>
          <w:i/>
          <w:iCs/>
          <w:color w:val="000000" w:themeColor="text1"/>
          <w:sz w:val="22"/>
        </w:rPr>
        <w:t>desastre</w:t>
      </w:r>
      <w:r w:rsidRPr="00A82A74">
        <w:rPr>
          <w:rFonts w:ascii="Arial" w:eastAsia="Calibri" w:hAnsi="Arial" w:cs="Arial"/>
          <w:color w:val="000000" w:themeColor="text1"/>
          <w:sz w:val="22"/>
        </w:rPr>
        <w:t xml:space="preserve"> y </w:t>
      </w:r>
      <w:r w:rsidRPr="00A82A74">
        <w:rPr>
          <w:rFonts w:ascii="Arial" w:eastAsia="Calibri" w:hAnsi="Arial" w:cs="Arial"/>
          <w:i/>
          <w:iCs/>
          <w:color w:val="000000" w:themeColor="text1"/>
          <w:sz w:val="22"/>
        </w:rPr>
        <w:t>calamidad pública</w:t>
      </w:r>
      <w:r w:rsidRPr="00A82A74">
        <w:rPr>
          <w:rFonts w:ascii="Arial" w:eastAsia="Calibri" w:hAnsi="Arial" w:cs="Arial"/>
          <w:color w:val="000000" w:themeColor="text1"/>
          <w:sz w:val="22"/>
        </w:rPr>
        <w:t xml:space="preserve"> en la Ley 1523 de 2012, se concluye lo siguiente:     </w:t>
      </w:r>
      <w:r w:rsidRPr="00A82A74">
        <w:rPr>
          <w:rFonts w:ascii="Arial" w:eastAsia="Calibri" w:hAnsi="Arial" w:cs="Arial"/>
          <w:color w:val="000000" w:themeColor="text1"/>
          <w:sz w:val="22"/>
          <w:lang w:val="es-ES_tradnl"/>
        </w:rPr>
        <w:t xml:space="preserve">   </w:t>
      </w:r>
    </w:p>
    <w:p w14:paraId="51CDDF2D"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bookmarkStart w:id="35" w:name="_Hlk35883101"/>
      <w:r w:rsidRPr="00A82A74">
        <w:rPr>
          <w:rFonts w:ascii="Arial" w:eastAsia="Calibri" w:hAnsi="Arial" w:cs="Arial"/>
          <w:color w:val="000000" w:themeColor="text1"/>
          <w:sz w:val="22"/>
          <w:lang w:val="es-ES_tradnl"/>
        </w:rPr>
        <w:t xml:space="preserve">a) De conformidad con el artículo 2, numeral 4º, literal a), de la Ley 1150 de 2007, la urgencia manifiesta es una causal de contratación directa. Según el artículo 4, numerales 5 y 8, de la Ley 1523 de 2012, las situaciones de </w:t>
      </w:r>
      <w:r w:rsidRPr="00A82A74">
        <w:rPr>
          <w:rFonts w:ascii="Arial" w:eastAsia="Calibri" w:hAnsi="Arial" w:cs="Arial"/>
          <w:i/>
          <w:iCs/>
          <w:color w:val="000000" w:themeColor="text1"/>
          <w:sz w:val="22"/>
          <w:lang w:val="es-ES_tradnl"/>
        </w:rPr>
        <w:t>calamidad pública</w:t>
      </w:r>
      <w:r w:rsidRPr="00A82A74">
        <w:rPr>
          <w:rFonts w:ascii="Arial" w:eastAsia="Calibri" w:hAnsi="Arial" w:cs="Arial"/>
          <w:color w:val="000000" w:themeColor="text1"/>
          <w:sz w:val="22"/>
          <w:lang w:val="es-ES_tradnl"/>
        </w:rPr>
        <w:t xml:space="preserve"> o de </w:t>
      </w:r>
      <w:r w:rsidRPr="00A82A74">
        <w:rPr>
          <w:rFonts w:ascii="Arial" w:eastAsia="Calibri" w:hAnsi="Arial" w:cs="Arial"/>
          <w:i/>
          <w:iCs/>
          <w:color w:val="000000" w:themeColor="text1"/>
          <w:sz w:val="22"/>
          <w:lang w:val="es-ES_tradnl"/>
        </w:rPr>
        <w:t>desastre</w:t>
      </w:r>
      <w:r w:rsidRPr="00A82A74">
        <w:rPr>
          <w:rFonts w:ascii="Arial" w:eastAsia="Calibri" w:hAnsi="Arial" w:cs="Arial"/>
          <w:color w:val="000000" w:themeColor="text1"/>
          <w:sz w:val="22"/>
          <w:lang w:val="es-ES_tradnl"/>
        </w:rPr>
        <w:t xml:space="preserv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w:t>
      </w:r>
    </w:p>
    <w:p w14:paraId="61F7A0A8"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En las entidades que se rigen por la Ley 80 de 1993, la ocurrencia de las dos situaciones mencionadas, por sí mismas, no son causales de contratación directa; aunque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bookmarkEnd w:id="35"/>
    <w:p w14:paraId="73DB28AA"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No obstante, se aclara que, de conformidad con el estado de excepción que declaró el presidente de la república –emergencia económica, social y ecológica, mediante el </w:t>
      </w:r>
      <w:r w:rsidRPr="00A82A74">
        <w:rPr>
          <w:rFonts w:ascii="Arial" w:eastAsia="Calibri" w:hAnsi="Arial" w:cs="Arial"/>
          <w:color w:val="000000" w:themeColor="text1"/>
          <w:sz w:val="22"/>
          <w:lang w:val="es-ES_tradnl"/>
        </w:rPr>
        <w:lastRenderedPageBreak/>
        <w:t>Decreto 417 del 17 de marzo de 2020–, cualquier entidad estatal regida por la Ley 80 de 1993 puede declarar por sí misma la urgencia manifiesta, mediante un acto administrativo autónomo, por la causal de haberse declarado este estado de excepción –art. 42 de la Ley 80–, con la finalidad de contratar directamente las obras, bienes y servicios relacionados con las circunstancias que fundamentan el estado de excepción, y hasta que el Decreto citado pierda vigencia.</w:t>
      </w:r>
    </w:p>
    <w:p w14:paraId="39B40795"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b) El art. 66 de la Ley 1523 exceptúa de aplicar el Estatuto General de contratación la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A82A74">
        <w:rPr>
          <w:rFonts w:ascii="Arial" w:eastAsia="Calibri" w:hAnsi="Arial" w:cs="Arial"/>
          <w:color w:val="000000" w:themeColor="text1"/>
          <w:sz w:val="22"/>
          <w:lang w:val="es-ES_tradnl"/>
        </w:rPr>
        <w:t>ii</w:t>
      </w:r>
      <w:proofErr w:type="spellEnd"/>
      <w:r w:rsidRPr="00A82A74">
        <w:rPr>
          <w:rFonts w:ascii="Arial" w:eastAsia="Calibri" w:hAnsi="Arial" w:cs="Arial"/>
          <w:color w:val="000000" w:themeColor="text1"/>
          <w:sz w:val="22"/>
          <w:lang w:val="es-ES_tradnl"/>
        </w:rPr>
        <w:t xml:space="preserve">) por las entidades ejecutoras que reciban recursos provenientes de este fondo y </w:t>
      </w:r>
      <w:proofErr w:type="spellStart"/>
      <w:r w:rsidRPr="00A82A74">
        <w:rPr>
          <w:rFonts w:ascii="Arial" w:eastAsia="Calibri" w:hAnsi="Arial" w:cs="Arial"/>
          <w:color w:val="000000" w:themeColor="text1"/>
          <w:sz w:val="22"/>
          <w:lang w:val="es-ES_tradnl"/>
        </w:rPr>
        <w:t>iii</w:t>
      </w:r>
      <w:proofErr w:type="spellEnd"/>
      <w:r w:rsidRPr="00A82A74">
        <w:rPr>
          <w:rFonts w:ascii="Arial" w:eastAsia="Calibri" w:hAnsi="Arial" w:cs="Arial"/>
          <w:color w:val="000000" w:themeColor="text1"/>
          <w:sz w:val="22"/>
          <w:lang w:val="es-ES_tradnl"/>
        </w:rPr>
        <w:t>) los celebrados por las entidades territoriales y sus fondos de gestión del riesgo. En este evento, la declaración de urgencia manifiesta es extraña al régimen contractual de derecho privado.</w:t>
      </w:r>
    </w:p>
    <w:p w14:paraId="4A93A27D" w14:textId="77777777" w:rsidR="00DD3852" w:rsidRPr="00A82A74" w:rsidRDefault="00DD3852" w:rsidP="00DD3852">
      <w:pPr>
        <w:spacing w:before="120" w:line="276" w:lineRule="auto"/>
        <w:ind w:firstLine="708"/>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departamentos administrativos, superintendencias, todas las entidades descentralizadas por servicios del orden nacional y territorial, las demás ramas del poder público, los órganos autónomos, y en general casi todas las instituciones públicas del país. </w:t>
      </w:r>
    </w:p>
    <w:p w14:paraId="1CCD7A91" w14:textId="77777777" w:rsidR="00DD3852" w:rsidRPr="00A82A74" w:rsidRDefault="00DD3852" w:rsidP="00DD3852">
      <w:pPr>
        <w:spacing w:line="276" w:lineRule="auto"/>
        <w:ind w:firstLine="708"/>
        <w:jc w:val="both"/>
        <w:rPr>
          <w:rFonts w:ascii="Arial" w:eastAsia="Calibri" w:hAnsi="Arial" w:cs="Arial"/>
          <w:color w:val="000000" w:themeColor="text1"/>
          <w:sz w:val="22"/>
          <w:lang w:val="es-ES_tradnl"/>
        </w:rPr>
      </w:pPr>
    </w:p>
    <w:p w14:paraId="11E3C866" w14:textId="77777777" w:rsidR="00DD3852" w:rsidRPr="00A82A74" w:rsidRDefault="00DD3852" w:rsidP="00DD3852">
      <w:pPr>
        <w:spacing w:before="120" w:line="276" w:lineRule="auto"/>
        <w:jc w:val="both"/>
        <w:rPr>
          <w:rFonts w:ascii="Arial" w:eastAsia="Calibri" w:hAnsi="Arial" w:cs="Arial"/>
          <w:color w:val="000000" w:themeColor="text1"/>
          <w:sz w:val="22"/>
          <w:lang w:val="es-ES_tradnl"/>
        </w:rPr>
      </w:pPr>
      <w:r w:rsidRPr="00A82A74">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6A8B9B9D" w14:textId="77777777" w:rsidR="00DD3852" w:rsidRPr="00A82A74" w:rsidRDefault="00DD3852" w:rsidP="00DD3852">
      <w:pPr>
        <w:spacing w:line="276" w:lineRule="auto"/>
        <w:jc w:val="both"/>
        <w:rPr>
          <w:rFonts w:ascii="Arial" w:eastAsia="Calibri" w:hAnsi="Arial" w:cs="Arial"/>
          <w:color w:val="000000" w:themeColor="text1"/>
          <w:sz w:val="22"/>
        </w:rPr>
      </w:pPr>
    </w:p>
    <w:p w14:paraId="08DDB679" w14:textId="77777777" w:rsidR="00DD3852" w:rsidRPr="00A82A74" w:rsidRDefault="00DD3852" w:rsidP="00DD3852">
      <w:pPr>
        <w:jc w:val="both"/>
        <w:rPr>
          <w:rFonts w:ascii="Arial" w:eastAsia="Calibri" w:hAnsi="Arial" w:cs="Arial"/>
          <w:color w:val="000000" w:themeColor="text1"/>
          <w:sz w:val="22"/>
        </w:rPr>
      </w:pPr>
      <w:r w:rsidRPr="00A82A74">
        <w:rPr>
          <w:noProof/>
          <w:color w:val="000000" w:themeColor="text1"/>
          <w:lang w:val="en-US"/>
        </w:rPr>
        <mc:AlternateContent>
          <mc:Choice Requires="wps">
            <w:drawing>
              <wp:anchor distT="0" distB="0" distL="114300" distR="114300" simplePos="0" relativeHeight="251659264" behindDoc="0" locked="0" layoutInCell="1" allowOverlap="1" wp14:anchorId="150C24C9" wp14:editId="0DEBF7E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72D61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3CADEAAB" w14:textId="77777777" w:rsidR="00DD3852" w:rsidRPr="00A82A74" w:rsidRDefault="00DD3852" w:rsidP="00DD3852">
      <w:pPr>
        <w:rPr>
          <w:rFonts w:ascii="Arial" w:eastAsia="Times New Roman" w:hAnsi="Arial" w:cs="Arial"/>
          <w:color w:val="000000" w:themeColor="text1"/>
          <w:sz w:val="22"/>
          <w:lang w:eastAsia="es-CO"/>
        </w:rPr>
      </w:pPr>
      <w:r w:rsidRPr="27CD76F4">
        <w:rPr>
          <w:rFonts w:ascii="Arial" w:eastAsia="Times New Roman" w:hAnsi="Arial" w:cs="Arial"/>
          <w:color w:val="000000" w:themeColor="text1"/>
          <w:sz w:val="22"/>
          <w:lang w:eastAsia="es-CO"/>
        </w:rPr>
        <w:t>Atentamente,</w:t>
      </w:r>
    </w:p>
    <w:p w14:paraId="77106A20" w14:textId="196CCFA5" w:rsidR="00DD3852" w:rsidRDefault="53588149" w:rsidP="27CD76F4">
      <w:pPr>
        <w:jc w:val="center"/>
      </w:pPr>
      <w:r>
        <w:rPr>
          <w:noProof/>
        </w:rPr>
        <w:drawing>
          <wp:inline distT="0" distB="0" distL="0" distR="0" wp14:anchorId="44D884FF" wp14:editId="2C445D7E">
            <wp:extent cx="2771775" cy="990600"/>
            <wp:effectExtent l="0" t="0" r="0" b="0"/>
            <wp:docPr id="1438304684" name="Imagen 1438304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7E66A61C" w14:textId="77777777" w:rsidR="000A6CE4" w:rsidRPr="00A82A74" w:rsidRDefault="000A6CE4" w:rsidP="27CD76F4">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82A74" w:rsidRPr="00A82A74" w14:paraId="56E142B6" w14:textId="77777777" w:rsidTr="000641B6">
        <w:trPr>
          <w:trHeight w:val="315"/>
        </w:trPr>
        <w:tc>
          <w:tcPr>
            <w:tcW w:w="812" w:type="dxa"/>
            <w:vAlign w:val="center"/>
            <w:hideMark/>
          </w:tcPr>
          <w:p w14:paraId="4BC43CD1" w14:textId="77777777" w:rsidR="00DD3852" w:rsidRPr="00A82A74" w:rsidRDefault="00DD3852" w:rsidP="000641B6">
            <w:pPr>
              <w:rPr>
                <w:rFonts w:ascii="Arial" w:eastAsia="Times New Roman" w:hAnsi="Arial" w:cs="Arial"/>
                <w:color w:val="000000" w:themeColor="text1"/>
                <w:sz w:val="16"/>
                <w:szCs w:val="16"/>
                <w:lang w:eastAsia="es-ES"/>
              </w:rPr>
            </w:pPr>
            <w:r w:rsidRPr="00A82A74">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25E0D0B" w14:textId="77777777" w:rsidR="00DD3852" w:rsidRPr="00A82A74" w:rsidRDefault="00DD3852" w:rsidP="000641B6">
            <w:pPr>
              <w:rPr>
                <w:rFonts w:ascii="Arial" w:eastAsia="Times New Roman" w:hAnsi="Arial" w:cs="Arial"/>
                <w:color w:val="000000" w:themeColor="text1"/>
                <w:sz w:val="16"/>
                <w:szCs w:val="16"/>
                <w:lang w:eastAsia="es-ES"/>
              </w:rPr>
            </w:pPr>
            <w:r w:rsidRPr="00A82A74">
              <w:rPr>
                <w:rFonts w:ascii="Arial" w:eastAsia="Times New Roman" w:hAnsi="Arial" w:cs="Arial"/>
                <w:color w:val="000000" w:themeColor="text1"/>
                <w:sz w:val="16"/>
                <w:szCs w:val="16"/>
                <w:lang w:eastAsia="es-ES"/>
              </w:rPr>
              <w:t xml:space="preserve">Juan David Montoya Penagos </w:t>
            </w:r>
          </w:p>
          <w:p w14:paraId="2D274726" w14:textId="77777777" w:rsidR="00DD3852" w:rsidRPr="00A82A74" w:rsidRDefault="00DD3852" w:rsidP="000641B6">
            <w:pPr>
              <w:rPr>
                <w:rFonts w:ascii="Arial" w:eastAsia="Times New Roman" w:hAnsi="Arial" w:cs="Arial"/>
                <w:color w:val="000000" w:themeColor="text1"/>
                <w:sz w:val="16"/>
                <w:szCs w:val="16"/>
                <w:lang w:eastAsia="es-ES"/>
              </w:rPr>
            </w:pPr>
            <w:r w:rsidRPr="00A82A74">
              <w:rPr>
                <w:rFonts w:ascii="Arial" w:eastAsia="Times New Roman" w:hAnsi="Arial" w:cs="Arial"/>
                <w:color w:val="000000" w:themeColor="text1"/>
                <w:sz w:val="16"/>
                <w:szCs w:val="16"/>
                <w:lang w:eastAsia="es-ES"/>
              </w:rPr>
              <w:t>Contratista – Subdirección de Gestión Contractual</w:t>
            </w:r>
          </w:p>
        </w:tc>
      </w:tr>
      <w:tr w:rsidR="00A82A74" w:rsidRPr="00A82A74" w14:paraId="7428A640" w14:textId="77777777" w:rsidTr="000641B6">
        <w:trPr>
          <w:trHeight w:val="330"/>
        </w:trPr>
        <w:tc>
          <w:tcPr>
            <w:tcW w:w="812" w:type="dxa"/>
            <w:vAlign w:val="center"/>
            <w:hideMark/>
          </w:tcPr>
          <w:p w14:paraId="1AC92C04" w14:textId="77777777" w:rsidR="00DD3852" w:rsidRPr="00A82A74" w:rsidRDefault="00DD3852" w:rsidP="000641B6">
            <w:pPr>
              <w:rPr>
                <w:rFonts w:ascii="Arial" w:eastAsia="Times New Roman" w:hAnsi="Arial" w:cs="Arial"/>
                <w:color w:val="000000" w:themeColor="text1"/>
                <w:sz w:val="16"/>
                <w:szCs w:val="16"/>
                <w:lang w:eastAsia="es-ES"/>
              </w:rPr>
            </w:pPr>
            <w:r w:rsidRPr="00A82A7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AA5E82" w14:textId="77777777" w:rsidR="00DD3852" w:rsidRPr="00A82A74" w:rsidRDefault="00DD3852" w:rsidP="000641B6">
            <w:pPr>
              <w:rPr>
                <w:rFonts w:ascii="Arial" w:eastAsia="Times New Roman" w:hAnsi="Arial" w:cs="Arial"/>
                <w:color w:val="000000" w:themeColor="text1"/>
                <w:sz w:val="16"/>
                <w:szCs w:val="16"/>
                <w:lang w:eastAsia="es-ES"/>
              </w:rPr>
            </w:pPr>
            <w:r w:rsidRPr="00A82A74">
              <w:rPr>
                <w:rFonts w:ascii="Arial" w:eastAsia="Times New Roman" w:hAnsi="Arial" w:cs="Arial"/>
                <w:color w:val="000000" w:themeColor="text1"/>
                <w:sz w:val="16"/>
                <w:szCs w:val="16"/>
                <w:lang w:eastAsia="es-ES"/>
              </w:rPr>
              <w:t>Fabián Gonzalo Marín Cortés</w:t>
            </w:r>
          </w:p>
          <w:p w14:paraId="4CF87EE3" w14:textId="77777777" w:rsidR="00DD3852" w:rsidRPr="00A82A74" w:rsidRDefault="00DD3852" w:rsidP="000641B6">
            <w:pPr>
              <w:rPr>
                <w:rFonts w:ascii="Arial" w:eastAsia="Times New Roman" w:hAnsi="Arial" w:cs="Arial"/>
                <w:color w:val="000000" w:themeColor="text1"/>
                <w:sz w:val="16"/>
                <w:szCs w:val="16"/>
                <w:lang w:eastAsia="es-ES"/>
              </w:rPr>
            </w:pPr>
            <w:r w:rsidRPr="00A82A74">
              <w:rPr>
                <w:rFonts w:ascii="Arial" w:eastAsia="Times New Roman" w:hAnsi="Arial" w:cs="Arial"/>
                <w:color w:val="000000" w:themeColor="text1"/>
                <w:sz w:val="16"/>
                <w:szCs w:val="16"/>
                <w:lang w:eastAsia="es-ES"/>
              </w:rPr>
              <w:t>Subdirector de Gestión Contractual</w:t>
            </w:r>
          </w:p>
        </w:tc>
      </w:tr>
      <w:tr w:rsidR="00DD3852" w:rsidRPr="00A82A74" w14:paraId="7CB3B3F8" w14:textId="77777777" w:rsidTr="000641B6">
        <w:trPr>
          <w:trHeight w:val="300"/>
        </w:trPr>
        <w:tc>
          <w:tcPr>
            <w:tcW w:w="812" w:type="dxa"/>
            <w:vAlign w:val="center"/>
            <w:hideMark/>
          </w:tcPr>
          <w:p w14:paraId="567ED2A5" w14:textId="77777777" w:rsidR="00DD3852" w:rsidRPr="00A82A74" w:rsidRDefault="00DD3852" w:rsidP="000641B6">
            <w:pPr>
              <w:rPr>
                <w:rFonts w:ascii="Arial" w:eastAsia="Times New Roman" w:hAnsi="Arial" w:cs="Arial"/>
                <w:color w:val="000000" w:themeColor="text1"/>
                <w:sz w:val="16"/>
                <w:szCs w:val="16"/>
                <w:lang w:eastAsia="es-ES"/>
              </w:rPr>
            </w:pPr>
            <w:r w:rsidRPr="00A82A7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63E546" w14:textId="77777777" w:rsidR="00DD3852" w:rsidRPr="00A82A74" w:rsidRDefault="00DD3852" w:rsidP="000641B6">
            <w:pPr>
              <w:rPr>
                <w:rFonts w:ascii="Arial" w:eastAsia="Times New Roman" w:hAnsi="Arial" w:cs="Arial"/>
                <w:color w:val="000000" w:themeColor="text1"/>
                <w:sz w:val="16"/>
                <w:szCs w:val="16"/>
                <w:lang w:eastAsia="es-ES"/>
              </w:rPr>
            </w:pPr>
            <w:r w:rsidRPr="00A82A74">
              <w:rPr>
                <w:rFonts w:ascii="Arial" w:eastAsia="Times New Roman" w:hAnsi="Arial" w:cs="Arial"/>
                <w:color w:val="000000" w:themeColor="text1"/>
                <w:sz w:val="16"/>
                <w:szCs w:val="16"/>
                <w:lang w:eastAsia="es-ES"/>
              </w:rPr>
              <w:t>Fabián Gonzalo Marín Cortés</w:t>
            </w:r>
          </w:p>
          <w:p w14:paraId="455F8665" w14:textId="77777777" w:rsidR="00DD3852" w:rsidRPr="00A82A74" w:rsidRDefault="00DD3852" w:rsidP="000641B6">
            <w:pPr>
              <w:rPr>
                <w:rFonts w:ascii="Arial" w:eastAsia="Times New Roman" w:hAnsi="Arial" w:cs="Arial"/>
                <w:color w:val="000000" w:themeColor="text1"/>
                <w:sz w:val="16"/>
                <w:szCs w:val="16"/>
                <w:lang w:eastAsia="es-ES"/>
              </w:rPr>
            </w:pPr>
            <w:r w:rsidRPr="00A82A74">
              <w:rPr>
                <w:rFonts w:ascii="Arial" w:eastAsia="Times New Roman" w:hAnsi="Arial" w:cs="Arial"/>
                <w:color w:val="000000" w:themeColor="text1"/>
                <w:sz w:val="16"/>
                <w:szCs w:val="16"/>
                <w:lang w:eastAsia="es-ES"/>
              </w:rPr>
              <w:t>Subdirector de Gestión Contractual</w:t>
            </w:r>
          </w:p>
        </w:tc>
      </w:tr>
    </w:tbl>
    <w:p w14:paraId="35B56F46" w14:textId="77777777" w:rsidR="00746E08" w:rsidRPr="00A82A74" w:rsidRDefault="00746E08" w:rsidP="00DD3852">
      <w:pPr>
        <w:spacing w:line="276" w:lineRule="auto"/>
        <w:jc w:val="both"/>
        <w:rPr>
          <w:rFonts w:ascii="Arial" w:eastAsia="Times New Roman" w:hAnsi="Arial" w:cs="Arial"/>
          <w:color w:val="000000" w:themeColor="text1"/>
          <w:sz w:val="16"/>
          <w:szCs w:val="16"/>
          <w:lang w:eastAsia="es-ES"/>
        </w:rPr>
      </w:pPr>
    </w:p>
    <w:sectPr w:rsidR="00746E08" w:rsidRPr="00A82A74"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FEAF39" w14:textId="77777777" w:rsidR="00EE0DE7" w:rsidRDefault="00EE0DE7">
      <w:r>
        <w:separator/>
      </w:r>
    </w:p>
  </w:endnote>
  <w:endnote w:type="continuationSeparator" w:id="0">
    <w:p w14:paraId="063DBD56" w14:textId="77777777" w:rsidR="00EE0DE7" w:rsidRDefault="00EE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702FE3" w:rsidRDefault="00702FE3" w:rsidP="00322937">
    <w:pPr>
      <w:pStyle w:val="Sinespaciado"/>
      <w:jc w:val="right"/>
      <w:rPr>
        <w:rFonts w:ascii="Arial" w:hAnsi="Arial" w:cs="Arial"/>
        <w:sz w:val="18"/>
        <w:szCs w:val="18"/>
      </w:rPr>
    </w:pPr>
  </w:p>
  <w:p w14:paraId="7A3785F3" w14:textId="518CAE65" w:rsidR="00702FE3" w:rsidRPr="008217B7" w:rsidRDefault="00702FE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B4DAB">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B4DA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702FE3" w:rsidRDefault="27CD76F4" w:rsidP="00322937">
    <w:pPr>
      <w:pStyle w:val="Piedepgina"/>
      <w:jc w:val="center"/>
      <w:rPr>
        <w:lang w:val="es-ES"/>
      </w:rPr>
    </w:pPr>
    <w:r>
      <w:rPr>
        <w:noProof/>
      </w:rPr>
      <w:drawing>
        <wp:inline distT="0" distB="0" distL="0" distR="0" wp14:anchorId="608B196D" wp14:editId="52E72BE8">
          <wp:extent cx="3700130" cy="519139"/>
          <wp:effectExtent l="0" t="0" r="0" b="0"/>
          <wp:docPr id="99480178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02FE3" w:rsidRPr="004F7EC5" w:rsidRDefault="00702FE3" w:rsidP="007B0854">
    <w:pPr>
      <w:pStyle w:val="Piedepgina"/>
      <w:jc w:val="center"/>
      <w:rPr>
        <w:sz w:val="20"/>
        <w:szCs w:val="20"/>
        <w:lang w:val="es-ES"/>
      </w:rPr>
    </w:pPr>
  </w:p>
  <w:p w14:paraId="6C0EFC49" w14:textId="77777777" w:rsidR="00702FE3" w:rsidRPr="004F7EC5" w:rsidRDefault="00702FE3"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C3E085" w14:textId="77777777" w:rsidR="00EE0DE7" w:rsidRDefault="00EE0DE7">
      <w:r>
        <w:separator/>
      </w:r>
    </w:p>
  </w:footnote>
  <w:footnote w:type="continuationSeparator" w:id="0">
    <w:p w14:paraId="591F0E85" w14:textId="77777777" w:rsidR="00EE0DE7" w:rsidRDefault="00EE0DE7">
      <w:r>
        <w:continuationSeparator/>
      </w:r>
    </w:p>
  </w:footnote>
  <w:footnote w:id="1">
    <w:p w14:paraId="0CC82672" w14:textId="77777777" w:rsidR="00D63723" w:rsidRPr="00A82A74" w:rsidRDefault="00D63723" w:rsidP="00D63723">
      <w:pPr>
        <w:pStyle w:val="Textonotapie"/>
        <w:ind w:firstLine="708"/>
        <w:rPr>
          <w:rFonts w:ascii="Arial" w:eastAsia="Calibri" w:hAnsi="Arial" w:cs="Arial"/>
          <w:color w:val="000000" w:themeColor="text1"/>
          <w:sz w:val="19"/>
          <w:szCs w:val="19"/>
          <w:lang w:val="es-ES_tradnl"/>
        </w:rPr>
      </w:pPr>
      <w:r w:rsidRPr="00A82A74">
        <w:rPr>
          <w:rStyle w:val="Refdenotaalpie"/>
          <w:color w:val="000000" w:themeColor="text1"/>
        </w:rPr>
        <w:footnoteRef/>
      </w:r>
      <w:r w:rsidRPr="00A82A74">
        <w:rPr>
          <w:rFonts w:ascii="Arial" w:eastAsia="Calibri" w:hAnsi="Arial" w:cs="Arial"/>
          <w:color w:val="000000" w:themeColor="text1"/>
          <w:sz w:val="19"/>
          <w:szCs w:val="19"/>
          <w:lang w:val="es-ES_tradnl"/>
        </w:rPr>
        <w:t xml:space="preserve">https://www.colombiacompra.gov.co/sites/cce_public/files/cce_documentos/comunicado_covid_19.pdf. </w:t>
      </w:r>
    </w:p>
  </w:footnote>
  <w:footnote w:id="2">
    <w:p w14:paraId="53B1A31F" w14:textId="77777777" w:rsidR="00DD3852" w:rsidRPr="00A82A74" w:rsidRDefault="00DD3852" w:rsidP="00DD3852">
      <w:pPr>
        <w:ind w:right="49" w:firstLine="709"/>
        <w:jc w:val="both"/>
        <w:rPr>
          <w:rFonts w:ascii="Arial" w:eastAsia="Calibri" w:hAnsi="Arial" w:cs="Arial"/>
          <w:color w:val="000000" w:themeColor="text1"/>
          <w:sz w:val="19"/>
          <w:szCs w:val="19"/>
          <w:lang w:val="es-ES_tradnl"/>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El artículo 43 se relaciona con el citado arriba: «</w:t>
      </w:r>
      <w:r w:rsidRPr="00A82A74">
        <w:rPr>
          <w:rFonts w:ascii="Arial" w:eastAsia="Calibri" w:hAnsi="Arial" w:cs="Arial"/>
          <w:color w:val="000000" w:themeColor="text1"/>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60CBC2FD" w14:textId="77777777" w:rsidR="00DD3852" w:rsidRPr="00A82A74" w:rsidRDefault="00DD3852" w:rsidP="00DD3852">
      <w:pPr>
        <w:ind w:right="49" w:firstLine="709"/>
        <w:jc w:val="both"/>
        <w:rPr>
          <w:rFonts w:ascii="Arial" w:eastAsia="Calibri" w:hAnsi="Arial" w:cs="Arial"/>
          <w:color w:val="000000" w:themeColor="text1"/>
          <w:sz w:val="19"/>
          <w:szCs w:val="19"/>
          <w:lang w:val="es-ES_tradnl"/>
        </w:rPr>
      </w:pPr>
      <w:r w:rsidRPr="00A82A74">
        <w:rPr>
          <w:rFonts w:ascii="Arial" w:eastAsia="Calibri" w:hAnsi="Arial" w:cs="Arial"/>
          <w:color w:val="000000" w:themeColor="text1"/>
          <w:sz w:val="19"/>
          <w:szCs w:val="19"/>
          <w:lang w:val="es-ES_tradnl"/>
        </w:rPr>
        <w:t>»Lo previsto en este artículo se entenderá sin perjuicio de otros mecanismos de control que señale el reglamento para garantizar la adecuada y correcta utilización de la contratación de urgencia».</w:t>
      </w:r>
    </w:p>
    <w:p w14:paraId="04043EE1" w14:textId="77777777" w:rsidR="00DD3852" w:rsidRPr="00A82A74" w:rsidRDefault="00DD3852" w:rsidP="00DD3852">
      <w:pPr>
        <w:ind w:right="49" w:firstLine="709"/>
        <w:jc w:val="both"/>
        <w:rPr>
          <w:rFonts w:ascii="Arial" w:eastAsia="Calibri" w:hAnsi="Arial" w:cs="Arial"/>
          <w:color w:val="000000" w:themeColor="text1"/>
          <w:sz w:val="19"/>
          <w:szCs w:val="19"/>
          <w:lang w:val="es-ES_tradnl"/>
        </w:rPr>
      </w:pPr>
    </w:p>
  </w:footnote>
  <w:footnote w:id="3">
    <w:p w14:paraId="31ECDE7C" w14:textId="77777777" w:rsidR="00DD3852" w:rsidRPr="00A82A74" w:rsidRDefault="00DD3852" w:rsidP="00DD3852">
      <w:pPr>
        <w:pStyle w:val="Textonotapie"/>
        <w:ind w:firstLine="709"/>
        <w:jc w:val="both"/>
        <w:rPr>
          <w:rFonts w:ascii="Arial" w:hAnsi="Arial" w:cs="Arial"/>
          <w:color w:val="000000" w:themeColor="text1"/>
          <w:sz w:val="19"/>
          <w:szCs w:val="19"/>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MATALLANA CAMACHO, Ernesto. Manual de contratación de la administración pública. Segunda Edición. Bogotá: Universidad Externado de Colombia, 2009. p. 705.</w:t>
      </w:r>
    </w:p>
  </w:footnote>
  <w:footnote w:id="4">
    <w:p w14:paraId="671FFCFB" w14:textId="77777777" w:rsidR="00DD3852" w:rsidRPr="00A82A74" w:rsidRDefault="00DD3852" w:rsidP="00DD3852">
      <w:pPr>
        <w:ind w:firstLine="709"/>
        <w:jc w:val="both"/>
        <w:rPr>
          <w:rFonts w:ascii="Arial" w:hAnsi="Arial" w:cs="Arial"/>
          <w:color w:val="000000" w:themeColor="text1"/>
          <w:sz w:val="19"/>
          <w:szCs w:val="19"/>
        </w:rPr>
      </w:pPr>
    </w:p>
    <w:p w14:paraId="51392364" w14:textId="77777777" w:rsidR="00DD3852" w:rsidRPr="00A82A74" w:rsidRDefault="00DD3852" w:rsidP="00DD3852">
      <w:pPr>
        <w:ind w:firstLine="709"/>
        <w:jc w:val="both"/>
        <w:rPr>
          <w:rFonts w:ascii="Arial" w:hAnsi="Arial" w:cs="Arial"/>
          <w:color w:val="000000" w:themeColor="text1"/>
          <w:sz w:val="19"/>
          <w:szCs w:val="19"/>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w:t>
      </w:r>
      <w:r w:rsidRPr="00A82A74">
        <w:rPr>
          <w:rFonts w:ascii="Arial" w:eastAsia="Calibri" w:hAnsi="Arial" w:cs="Arial"/>
          <w:color w:val="000000" w:themeColor="text1"/>
          <w:sz w:val="19"/>
          <w:szCs w:val="19"/>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A82A74">
        <w:rPr>
          <w:rFonts w:ascii="Arial" w:hAnsi="Arial" w:cs="Arial"/>
          <w:color w:val="000000" w:themeColor="text1"/>
          <w:sz w:val="19"/>
          <w:szCs w:val="19"/>
        </w:rPr>
        <w:t>CONGRESO DE LA REPÚBLICA. Exposición de motivos de la Ley 80 de 1993. Gaceta del Congreso No. 75 del 23 de septiembre de 1992).</w:t>
      </w:r>
    </w:p>
  </w:footnote>
  <w:footnote w:id="5">
    <w:p w14:paraId="180F96FC" w14:textId="77777777" w:rsidR="00DD3852" w:rsidRPr="00A82A74" w:rsidRDefault="00DD3852" w:rsidP="00DD3852">
      <w:pPr>
        <w:pStyle w:val="Textonotapie"/>
        <w:ind w:firstLine="708"/>
        <w:jc w:val="both"/>
        <w:rPr>
          <w:rFonts w:ascii="Arial" w:hAnsi="Arial" w:cs="Arial"/>
          <w:color w:val="000000" w:themeColor="text1"/>
          <w:sz w:val="19"/>
          <w:szCs w:val="19"/>
        </w:rPr>
      </w:pPr>
    </w:p>
    <w:p w14:paraId="29200B5A" w14:textId="77777777" w:rsidR="00DD3852" w:rsidRPr="00A82A74" w:rsidRDefault="00DD3852" w:rsidP="00DD3852">
      <w:pPr>
        <w:pStyle w:val="Textonotapie"/>
        <w:ind w:firstLine="708"/>
        <w:jc w:val="both"/>
        <w:rPr>
          <w:rFonts w:ascii="Arial" w:hAnsi="Arial" w:cs="Arial"/>
          <w:color w:val="000000" w:themeColor="text1"/>
          <w:sz w:val="19"/>
          <w:szCs w:val="19"/>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DROMI, José Roberto. La licitación pública. Buenos Aires: Ciudad Argentina, 1980. p. 166-168.</w:t>
      </w:r>
    </w:p>
  </w:footnote>
  <w:footnote w:id="6">
    <w:p w14:paraId="4D605250" w14:textId="77777777" w:rsidR="00DD3852" w:rsidRPr="00A82A74" w:rsidRDefault="00DD3852" w:rsidP="00DD3852">
      <w:pPr>
        <w:pStyle w:val="Textonotapie"/>
        <w:ind w:firstLine="708"/>
        <w:jc w:val="both"/>
        <w:rPr>
          <w:rFonts w:ascii="Arial" w:hAnsi="Arial" w:cs="Arial"/>
          <w:color w:val="000000" w:themeColor="text1"/>
          <w:sz w:val="19"/>
          <w:szCs w:val="19"/>
        </w:rPr>
      </w:pPr>
    </w:p>
    <w:p w14:paraId="0342A002" w14:textId="77777777" w:rsidR="00DD3852" w:rsidRPr="00A82A74" w:rsidRDefault="00DD3852" w:rsidP="00DD3852">
      <w:pPr>
        <w:pStyle w:val="Textonotapie"/>
        <w:ind w:firstLine="708"/>
        <w:jc w:val="both"/>
        <w:rPr>
          <w:rFonts w:ascii="Arial" w:hAnsi="Arial" w:cs="Arial"/>
          <w:color w:val="000000" w:themeColor="text1"/>
          <w:sz w:val="19"/>
          <w:szCs w:val="19"/>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CONSEJO DE ESTADO. Sala de Consulta y de Servicio Civil. Concepto del 28 de enero de 1998. Rad. 1.073. C.P. Javier Henao Hidrón.</w:t>
      </w:r>
    </w:p>
    <w:p w14:paraId="2E011125" w14:textId="77777777" w:rsidR="00DD3852" w:rsidRPr="00A82A74" w:rsidRDefault="00DD3852" w:rsidP="00DD3852">
      <w:pPr>
        <w:pStyle w:val="Textonotapie"/>
        <w:ind w:firstLine="708"/>
        <w:jc w:val="both"/>
        <w:rPr>
          <w:rFonts w:ascii="Arial" w:hAnsi="Arial" w:cs="Arial"/>
          <w:color w:val="000000" w:themeColor="text1"/>
          <w:sz w:val="19"/>
          <w:szCs w:val="19"/>
        </w:rPr>
      </w:pPr>
    </w:p>
  </w:footnote>
  <w:footnote w:id="7">
    <w:p w14:paraId="79FB768E" w14:textId="77777777" w:rsidR="00DD3852" w:rsidRPr="00A82A74" w:rsidRDefault="00DD3852" w:rsidP="00DD3852">
      <w:pPr>
        <w:pStyle w:val="Textonotapie"/>
        <w:ind w:firstLine="708"/>
        <w:jc w:val="both"/>
        <w:rPr>
          <w:rFonts w:ascii="Arial" w:hAnsi="Arial" w:cs="Arial"/>
          <w:color w:val="000000" w:themeColor="text1"/>
          <w:sz w:val="19"/>
          <w:szCs w:val="19"/>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8">
    <w:p w14:paraId="3F002CAF" w14:textId="77777777" w:rsidR="00DD3852" w:rsidRPr="00A82A74" w:rsidRDefault="00DD3852" w:rsidP="00DD3852">
      <w:pPr>
        <w:ind w:firstLine="708"/>
        <w:jc w:val="both"/>
        <w:rPr>
          <w:rFonts w:ascii="Arial" w:hAnsi="Arial" w:cs="Arial"/>
          <w:color w:val="000000" w:themeColor="text1"/>
          <w:sz w:val="19"/>
          <w:szCs w:val="19"/>
        </w:rPr>
      </w:pPr>
    </w:p>
    <w:p w14:paraId="04BEFC3C" w14:textId="77777777" w:rsidR="00DD3852" w:rsidRPr="00A82A74" w:rsidRDefault="00DD3852" w:rsidP="00DD3852">
      <w:pPr>
        <w:ind w:firstLine="708"/>
        <w:jc w:val="both"/>
        <w:rPr>
          <w:rFonts w:ascii="Arial" w:hAnsi="Arial" w:cs="Arial"/>
          <w:color w:val="000000" w:themeColor="text1"/>
          <w:sz w:val="19"/>
          <w:szCs w:val="19"/>
        </w:rPr>
      </w:pPr>
      <w:r w:rsidRPr="00A82A74">
        <w:rPr>
          <w:rStyle w:val="Refdenotaalpie"/>
          <w:rFonts w:ascii="Arial" w:hAnsi="Arial" w:cs="Arial"/>
          <w:color w:val="000000" w:themeColor="text1"/>
          <w:sz w:val="19"/>
          <w:szCs w:val="19"/>
        </w:rPr>
        <w:footnoteRef/>
      </w:r>
      <w:r w:rsidRPr="00A82A74">
        <w:rPr>
          <w:rStyle w:val="Refdenotaalpie"/>
          <w:rFonts w:ascii="Arial" w:hAnsi="Arial" w:cs="Arial"/>
          <w:color w:val="000000" w:themeColor="text1"/>
          <w:sz w:val="19"/>
          <w:szCs w:val="19"/>
        </w:rPr>
        <w:t xml:space="preserve">  </w:t>
      </w:r>
      <w:r w:rsidRPr="00A82A74">
        <w:rPr>
          <w:rFonts w:ascii="Arial" w:hAnsi="Arial" w:cs="Arial"/>
          <w:color w:val="000000" w:themeColor="text1"/>
          <w:sz w:val="19"/>
          <w:szCs w:val="19"/>
        </w:rPr>
        <w:t>CONSEJO DE ESTADO. Sección Tercera. Subsección C. Sentencia del 7 de febrero de 2011. Rad. 34.425. C.P. Jaime Orlando Santofimio Gamboa.</w:t>
      </w:r>
    </w:p>
  </w:footnote>
  <w:footnote w:id="9">
    <w:p w14:paraId="2DDF484A" w14:textId="77777777" w:rsidR="00DD3852" w:rsidRPr="00A82A74" w:rsidRDefault="00DD3852" w:rsidP="00DD3852">
      <w:pPr>
        <w:pStyle w:val="Textonotapie"/>
        <w:ind w:firstLine="708"/>
        <w:jc w:val="both"/>
        <w:rPr>
          <w:rFonts w:ascii="Arial" w:hAnsi="Arial" w:cs="Arial"/>
          <w:color w:val="000000" w:themeColor="text1"/>
          <w:sz w:val="19"/>
          <w:szCs w:val="19"/>
        </w:rPr>
      </w:pPr>
    </w:p>
    <w:p w14:paraId="69E50517" w14:textId="77777777" w:rsidR="00DD3852" w:rsidRPr="00A82A74" w:rsidRDefault="00DD3852" w:rsidP="00DD3852">
      <w:pPr>
        <w:pStyle w:val="Textonotapie"/>
        <w:ind w:firstLine="708"/>
        <w:jc w:val="both"/>
        <w:rPr>
          <w:rFonts w:ascii="Arial" w:hAnsi="Arial" w:cs="Arial"/>
          <w:color w:val="000000" w:themeColor="text1"/>
          <w:sz w:val="19"/>
          <w:szCs w:val="19"/>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Cfr. ASAMBLEA NACIONAL CONSTITUYENTE. Gaceta Constitucional Nº 76 de mayo 18 de 1991. pp. 12-13.</w:t>
      </w:r>
    </w:p>
  </w:footnote>
  <w:footnote w:id="10">
    <w:p w14:paraId="120124C4" w14:textId="77777777" w:rsidR="00DD3852" w:rsidRPr="00A82A74" w:rsidRDefault="00DD3852" w:rsidP="00DD3852">
      <w:pPr>
        <w:ind w:firstLine="708"/>
        <w:jc w:val="both"/>
        <w:rPr>
          <w:rFonts w:ascii="Arial" w:eastAsia="Calibri" w:hAnsi="Arial" w:cs="Arial"/>
          <w:color w:val="000000" w:themeColor="text1"/>
          <w:sz w:val="19"/>
          <w:szCs w:val="19"/>
          <w:lang w:val="es-ES_tradnl"/>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w:t>
      </w:r>
      <w:r w:rsidRPr="00A82A74">
        <w:rPr>
          <w:rFonts w:ascii="Arial" w:eastAsia="Calibri" w:hAnsi="Arial" w:cs="Arial"/>
          <w:color w:val="000000" w:themeColor="text1"/>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A82A74">
        <w:rPr>
          <w:rFonts w:ascii="Arial" w:hAnsi="Arial" w:cs="Arial"/>
          <w:color w:val="000000" w:themeColor="text1"/>
          <w:sz w:val="19"/>
          <w:szCs w:val="19"/>
        </w:rPr>
        <w:t xml:space="preserve">CONSEJO DE ESTADO. Sección Tercera. Sentencia del 27 de abril de 2006. Rad. 5.229. C.P. Ramiro Saavedra Becerra). </w:t>
      </w:r>
    </w:p>
  </w:footnote>
  <w:footnote w:id="11">
    <w:p w14:paraId="50EC2BC6" w14:textId="77777777" w:rsidR="00DD3852" w:rsidRPr="00A82A74" w:rsidRDefault="00DD3852" w:rsidP="00DD3852">
      <w:pPr>
        <w:pStyle w:val="Textonotapie"/>
        <w:ind w:firstLine="709"/>
        <w:jc w:val="both"/>
        <w:rPr>
          <w:rFonts w:ascii="Arial" w:hAnsi="Arial" w:cs="Arial"/>
          <w:color w:val="000000" w:themeColor="text1"/>
          <w:sz w:val="19"/>
          <w:szCs w:val="19"/>
        </w:rPr>
      </w:pPr>
    </w:p>
    <w:p w14:paraId="0F582A18" w14:textId="77777777" w:rsidR="00DD3852" w:rsidRPr="00A82A74" w:rsidRDefault="00DD3852" w:rsidP="00DD3852">
      <w:pPr>
        <w:pStyle w:val="Textonotapie"/>
        <w:ind w:firstLine="709"/>
        <w:jc w:val="both"/>
        <w:rPr>
          <w:rFonts w:ascii="Arial" w:hAnsi="Arial" w:cs="Arial"/>
          <w:color w:val="000000" w:themeColor="text1"/>
          <w:sz w:val="19"/>
          <w:szCs w:val="19"/>
          <w:lang w:val="es-ES"/>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w:t>
      </w:r>
      <w:r w:rsidRPr="00A82A74">
        <w:rPr>
          <w:rFonts w:ascii="Arial" w:hAnsi="Arial" w:cs="Arial"/>
          <w:color w:val="000000" w:themeColor="text1"/>
          <w:sz w:val="19"/>
          <w:szCs w:val="19"/>
          <w:lang w:val="es-ES"/>
        </w:rPr>
        <w:t>CORTE CONSTITUCIONAL. Sentencia C-772 de 1998. M.P. Fabio Morón Díaz.</w:t>
      </w:r>
    </w:p>
  </w:footnote>
  <w:footnote w:id="12">
    <w:p w14:paraId="4453820E" w14:textId="77777777" w:rsidR="00DD3852" w:rsidRPr="00A82A74" w:rsidRDefault="00DD3852" w:rsidP="00DD3852">
      <w:pPr>
        <w:spacing w:before="120"/>
        <w:ind w:firstLine="708"/>
        <w:jc w:val="both"/>
        <w:rPr>
          <w:rFonts w:ascii="Arial" w:eastAsia="Calibri" w:hAnsi="Arial" w:cs="Arial"/>
          <w:color w:val="000000" w:themeColor="text1"/>
          <w:sz w:val="19"/>
          <w:szCs w:val="19"/>
          <w:lang w:val="es-ES_tradnl"/>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w:t>
      </w:r>
      <w:r w:rsidRPr="00A82A74">
        <w:rPr>
          <w:rFonts w:ascii="Arial" w:hAnsi="Arial" w:cs="Arial"/>
          <w:color w:val="000000" w:themeColor="text1"/>
          <w:sz w:val="19"/>
          <w:szCs w:val="19"/>
          <w:lang w:val="es-ES_tradnl"/>
        </w:rPr>
        <w:t>La jurisprudencia delimita su sentido y alcance de la siguiente manera –</w:t>
      </w:r>
      <w:r w:rsidRPr="00A82A74">
        <w:rPr>
          <w:rFonts w:ascii="Arial" w:hAnsi="Arial" w:cs="Arial"/>
          <w:color w:val="000000" w:themeColor="text1"/>
          <w:sz w:val="19"/>
          <w:szCs w:val="19"/>
          <w:lang w:val="es-ES"/>
        </w:rPr>
        <w:t>CORTE SUPREMA DE JUSTICIA. Sala de Casación Civil. Sentencia 20 de noviembre de 1989. MP. Alberto Ospina Botero. Publicada en la Gaceta Judicial. Tomo CXCVI. N° 2435. p. 93</w:t>
      </w:r>
      <w:r w:rsidRPr="00A82A74">
        <w:rPr>
          <w:rFonts w:ascii="Arial" w:hAnsi="Arial" w:cs="Arial"/>
          <w:color w:val="000000" w:themeColor="text1"/>
          <w:sz w:val="19"/>
          <w:szCs w:val="19"/>
          <w:lang w:val="es-ES_tradnl"/>
        </w:rPr>
        <w:t>–:</w:t>
      </w:r>
    </w:p>
    <w:p w14:paraId="52B13AC9" w14:textId="77777777" w:rsidR="00DD3852" w:rsidRPr="00A82A74" w:rsidRDefault="00DD3852" w:rsidP="00DD3852">
      <w:pPr>
        <w:spacing w:before="120"/>
        <w:ind w:right="49"/>
        <w:jc w:val="both"/>
        <w:rPr>
          <w:rFonts w:ascii="Arial" w:eastAsia="Calibri" w:hAnsi="Arial" w:cs="Arial"/>
          <w:color w:val="000000" w:themeColor="text1"/>
          <w:sz w:val="19"/>
          <w:szCs w:val="19"/>
          <w:lang w:val="es-ES_tradnl"/>
        </w:rPr>
      </w:pPr>
      <w:r w:rsidRPr="00A82A74">
        <w:rPr>
          <w:rFonts w:ascii="Arial" w:eastAsia="Calibri" w:hAnsi="Arial" w:cs="Arial"/>
          <w:color w:val="000000" w:themeColor="text1"/>
          <w:sz w:val="19"/>
          <w:szCs w:val="19"/>
          <w:lang w:val="es-ES_tradnl"/>
        </w:rPr>
        <w:t>«6. […] la fuerza mayor o caso fortuito se configura por la concurrencia de dos factores:</w:t>
      </w:r>
    </w:p>
    <w:p w14:paraId="742919D7" w14:textId="77777777" w:rsidR="00DD3852" w:rsidRPr="00A82A74" w:rsidRDefault="00DD3852" w:rsidP="00DD3852">
      <w:pPr>
        <w:spacing w:before="120"/>
        <w:ind w:right="49"/>
        <w:jc w:val="both"/>
        <w:rPr>
          <w:rFonts w:ascii="Arial" w:eastAsia="Calibri" w:hAnsi="Arial" w:cs="Arial"/>
          <w:color w:val="000000" w:themeColor="text1"/>
          <w:sz w:val="19"/>
          <w:szCs w:val="19"/>
          <w:lang w:val="es-ES_tradnl"/>
        </w:rPr>
      </w:pPr>
      <w:r w:rsidRPr="00A82A74">
        <w:rPr>
          <w:rFonts w:ascii="Arial" w:eastAsia="Calibri" w:hAnsi="Arial" w:cs="Arial"/>
          <w:color w:val="000000" w:themeColor="text1"/>
          <w:sz w:val="19"/>
          <w:szCs w:val="19"/>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67D151BA" w14:textId="77777777" w:rsidR="00DD3852" w:rsidRPr="00A82A74" w:rsidRDefault="00DD3852" w:rsidP="00DD3852">
      <w:pPr>
        <w:spacing w:before="120"/>
        <w:ind w:right="49"/>
        <w:jc w:val="both"/>
        <w:rPr>
          <w:rFonts w:ascii="Arial" w:eastAsia="Calibri" w:hAnsi="Arial" w:cs="Arial"/>
          <w:color w:val="000000" w:themeColor="text1"/>
          <w:sz w:val="19"/>
          <w:szCs w:val="19"/>
          <w:lang w:val="es-ES_tradnl"/>
        </w:rPr>
      </w:pPr>
      <w:r w:rsidRPr="00A82A74">
        <w:rPr>
          <w:rFonts w:ascii="Arial" w:eastAsia="Calibri" w:hAnsi="Arial" w:cs="Arial"/>
          <w:color w:val="000000" w:themeColor="text1"/>
          <w:sz w:val="19"/>
          <w:szCs w:val="19"/>
          <w:lang w:val="es-ES_tradnl"/>
        </w:rPr>
        <w:t>»b) Que el hecho sea irresistible, o sea, que el agente no pueda evitar su acaecimiento ni superar sus consecuencias.</w:t>
      </w:r>
    </w:p>
    <w:p w14:paraId="643939E4" w14:textId="77777777" w:rsidR="00DD3852" w:rsidRPr="00A82A74" w:rsidRDefault="00DD3852" w:rsidP="00DD3852">
      <w:pPr>
        <w:spacing w:before="120"/>
        <w:ind w:right="49"/>
        <w:jc w:val="both"/>
        <w:rPr>
          <w:rFonts w:ascii="Arial" w:eastAsia="Calibri" w:hAnsi="Arial" w:cs="Arial"/>
          <w:color w:val="000000" w:themeColor="text1"/>
          <w:sz w:val="19"/>
          <w:szCs w:val="19"/>
          <w:lang w:val="es-ES_tradnl"/>
        </w:rPr>
      </w:pPr>
      <w:r w:rsidRPr="00A82A74">
        <w:rPr>
          <w:rFonts w:ascii="Arial" w:eastAsia="Calibri" w:hAnsi="Arial" w:cs="Arial"/>
          <w:color w:val="000000" w:themeColor="text1"/>
          <w:sz w:val="19"/>
          <w:szCs w:val="19"/>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026EBA32" w14:textId="77777777" w:rsidR="00DD3852" w:rsidRPr="00A82A74" w:rsidRDefault="00DD3852" w:rsidP="00DD3852">
      <w:pPr>
        <w:spacing w:before="120"/>
        <w:ind w:right="49"/>
        <w:jc w:val="both"/>
        <w:rPr>
          <w:rFonts w:ascii="Arial" w:eastAsia="Calibri" w:hAnsi="Arial" w:cs="Arial"/>
          <w:color w:val="000000" w:themeColor="text1"/>
          <w:sz w:val="19"/>
          <w:szCs w:val="19"/>
          <w:lang w:val="es-ES_tradnl"/>
        </w:rPr>
      </w:pPr>
      <w:r w:rsidRPr="00A82A74">
        <w:rPr>
          <w:rFonts w:ascii="Arial" w:eastAsia="Calibri" w:hAnsi="Arial" w:cs="Arial"/>
          <w:color w:val="000000" w:themeColor="text1"/>
          <w:sz w:val="19"/>
          <w:szCs w:val="19"/>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6CE9C5E3" w14:textId="77777777" w:rsidR="00DD3852" w:rsidRPr="00A82A74" w:rsidRDefault="00DD3852" w:rsidP="00DD3852">
      <w:pPr>
        <w:spacing w:before="120"/>
        <w:ind w:right="49"/>
        <w:jc w:val="both"/>
        <w:rPr>
          <w:rFonts w:ascii="Arial" w:eastAsia="Calibri" w:hAnsi="Arial" w:cs="Arial"/>
          <w:color w:val="000000" w:themeColor="text1"/>
          <w:sz w:val="19"/>
          <w:szCs w:val="19"/>
          <w:lang w:val="es-ES_tradnl"/>
        </w:rPr>
      </w:pPr>
      <w:r w:rsidRPr="00A82A74">
        <w:rPr>
          <w:rFonts w:ascii="Arial" w:eastAsia="Calibri" w:hAnsi="Arial" w:cs="Arial"/>
          <w:color w:val="000000" w:themeColor="text1"/>
          <w:sz w:val="19"/>
          <w:szCs w:val="19"/>
          <w:lang w:val="es-ES_tradnl"/>
        </w:rPr>
        <w:t>[…]</w:t>
      </w:r>
    </w:p>
    <w:p w14:paraId="5F59785F" w14:textId="77777777" w:rsidR="00DD3852" w:rsidRPr="00A82A74" w:rsidRDefault="00DD3852" w:rsidP="00DD3852">
      <w:pPr>
        <w:pStyle w:val="Textonotapie"/>
        <w:ind w:right="49"/>
        <w:jc w:val="both"/>
        <w:rPr>
          <w:rFonts w:ascii="Arial" w:hAnsi="Arial" w:cs="Arial"/>
          <w:color w:val="000000" w:themeColor="text1"/>
          <w:sz w:val="19"/>
          <w:szCs w:val="19"/>
          <w:lang w:val="es-CO"/>
        </w:rPr>
      </w:pPr>
      <w:r w:rsidRPr="00A82A74">
        <w:rPr>
          <w:rFonts w:ascii="Arial" w:eastAsia="Calibri" w:hAnsi="Arial" w:cs="Arial"/>
          <w:color w:val="000000" w:themeColor="text1"/>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13">
    <w:p w14:paraId="066BBC71" w14:textId="77777777" w:rsidR="00DD3852" w:rsidRPr="00A82A74" w:rsidRDefault="00DD3852" w:rsidP="00DD3852">
      <w:pPr>
        <w:pStyle w:val="Textonotapie"/>
        <w:ind w:right="49" w:firstLine="709"/>
        <w:rPr>
          <w:rFonts w:ascii="Arial" w:hAnsi="Arial" w:cs="Arial"/>
          <w:color w:val="000000" w:themeColor="text1"/>
          <w:sz w:val="19"/>
          <w:szCs w:val="19"/>
        </w:rPr>
      </w:pPr>
    </w:p>
    <w:p w14:paraId="6E28EC0D" w14:textId="77777777" w:rsidR="00DD3852" w:rsidRPr="00A82A74" w:rsidRDefault="00DD3852" w:rsidP="00DD3852">
      <w:pPr>
        <w:pStyle w:val="Textonotapie"/>
        <w:ind w:right="49" w:firstLine="709"/>
        <w:jc w:val="both"/>
        <w:rPr>
          <w:rFonts w:ascii="Arial" w:hAnsi="Arial" w:cs="Arial"/>
          <w:color w:val="000000" w:themeColor="text1"/>
          <w:sz w:val="19"/>
          <w:szCs w:val="19"/>
          <w:lang w:val="es-CO"/>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w:t>
      </w:r>
      <w:r w:rsidRPr="00A82A74">
        <w:rPr>
          <w:rFonts w:ascii="Arial" w:eastAsia="Calibri" w:hAnsi="Arial" w:cs="Arial"/>
          <w:color w:val="000000" w:themeColor="text1"/>
          <w:sz w:val="19"/>
          <w:szCs w:val="19"/>
          <w:lang w:val="es-ES_tradnl"/>
        </w:rPr>
        <w:t>«Por la cual se adopta la política nacional de gestión del riesgo de desastres y se establece el Sistema Nacional de Gestión del Riesgo de Desastres y se dictan otras disposiciones».</w:t>
      </w:r>
    </w:p>
  </w:footnote>
  <w:footnote w:id="14">
    <w:p w14:paraId="32F4A6FC" w14:textId="77777777" w:rsidR="00DD3852" w:rsidRPr="00A82A74" w:rsidRDefault="00DD3852" w:rsidP="00DD3852">
      <w:pPr>
        <w:pStyle w:val="Textonotapie"/>
        <w:ind w:firstLine="708"/>
        <w:jc w:val="both"/>
        <w:rPr>
          <w:rFonts w:ascii="Arial" w:hAnsi="Arial" w:cs="Arial"/>
          <w:color w:val="000000" w:themeColor="text1"/>
          <w:sz w:val="19"/>
          <w:szCs w:val="19"/>
          <w:lang w:val="es-ES"/>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w:t>
      </w:r>
      <w:r w:rsidRPr="00A82A74">
        <w:rPr>
          <w:rFonts w:ascii="Arial" w:hAnsi="Arial" w:cs="Arial"/>
          <w:color w:val="000000" w:themeColor="text1"/>
          <w:sz w:val="19"/>
          <w:szCs w:val="19"/>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6EB6D98D" w14:textId="77777777" w:rsidR="00DD3852" w:rsidRPr="00A82A74" w:rsidRDefault="00DD3852" w:rsidP="00DD3852">
      <w:pPr>
        <w:pStyle w:val="Textonotapie"/>
        <w:ind w:firstLine="708"/>
        <w:jc w:val="both"/>
        <w:rPr>
          <w:rFonts w:ascii="Arial" w:hAnsi="Arial" w:cs="Arial"/>
          <w:color w:val="000000" w:themeColor="text1"/>
          <w:sz w:val="19"/>
          <w:szCs w:val="19"/>
          <w:lang w:val="es-ES"/>
        </w:rPr>
      </w:pPr>
      <w:r w:rsidRPr="00A82A74">
        <w:rPr>
          <w:rFonts w:ascii="Arial" w:hAnsi="Arial" w:cs="Arial"/>
          <w:color w:val="000000" w:themeColor="text1"/>
          <w:sz w:val="19"/>
          <w:szCs w:val="19"/>
          <w:lang w:val="es-ES"/>
        </w:rPr>
        <w:t>»1. Nacional. Existirá una situación de desastre nacional:</w:t>
      </w:r>
    </w:p>
    <w:p w14:paraId="77C4E56A" w14:textId="77777777" w:rsidR="00DD3852" w:rsidRPr="00A82A74" w:rsidRDefault="00DD3852" w:rsidP="00DD3852">
      <w:pPr>
        <w:pStyle w:val="Textonotapie"/>
        <w:ind w:firstLine="708"/>
        <w:jc w:val="both"/>
        <w:rPr>
          <w:rFonts w:ascii="Arial" w:hAnsi="Arial" w:cs="Arial"/>
          <w:color w:val="000000" w:themeColor="text1"/>
          <w:sz w:val="19"/>
          <w:szCs w:val="19"/>
          <w:lang w:val="es-ES"/>
        </w:rPr>
      </w:pPr>
      <w:r w:rsidRPr="00A82A74">
        <w:rPr>
          <w:rFonts w:ascii="Arial" w:hAnsi="Arial" w:cs="Arial"/>
          <w:color w:val="000000" w:themeColor="text1"/>
          <w:sz w:val="19"/>
          <w:szCs w:val="19"/>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57A202A0" w14:textId="77777777" w:rsidR="00DD3852" w:rsidRPr="00A82A74" w:rsidRDefault="00DD3852" w:rsidP="00DD3852">
      <w:pPr>
        <w:pStyle w:val="Textonotapie"/>
        <w:ind w:firstLine="708"/>
        <w:jc w:val="both"/>
        <w:rPr>
          <w:rFonts w:ascii="Arial" w:hAnsi="Arial" w:cs="Arial"/>
          <w:color w:val="000000" w:themeColor="text1"/>
          <w:sz w:val="19"/>
          <w:szCs w:val="19"/>
          <w:lang w:val="es-ES"/>
        </w:rPr>
      </w:pPr>
      <w:r w:rsidRPr="00A82A74">
        <w:rPr>
          <w:rFonts w:ascii="Arial" w:hAnsi="Arial" w:cs="Arial"/>
          <w:color w:val="000000" w:themeColor="text1"/>
          <w:sz w:val="19"/>
          <w:szCs w:val="19"/>
          <w:lang w:val="es-ES"/>
        </w:rPr>
        <w:t>»b). Cuando se hayan producido efectos adversos en uno (1) o más departamentos y su impacto rebase la capacidad técnica y los recursos de las administraciones departamentales y municipales involucradas.</w:t>
      </w:r>
    </w:p>
    <w:p w14:paraId="7D4B9C59" w14:textId="77777777" w:rsidR="00DD3852" w:rsidRPr="00A82A74" w:rsidRDefault="00DD3852" w:rsidP="00DD3852">
      <w:pPr>
        <w:pStyle w:val="Textonotapie"/>
        <w:ind w:firstLine="708"/>
        <w:jc w:val="both"/>
        <w:rPr>
          <w:rFonts w:ascii="Arial" w:hAnsi="Arial" w:cs="Arial"/>
          <w:color w:val="000000" w:themeColor="text1"/>
          <w:sz w:val="19"/>
          <w:szCs w:val="19"/>
          <w:lang w:val="es-ES"/>
        </w:rPr>
      </w:pPr>
      <w:r w:rsidRPr="00A82A74">
        <w:rPr>
          <w:rFonts w:ascii="Arial" w:hAnsi="Arial" w:cs="Arial"/>
          <w:color w:val="000000" w:themeColor="text1"/>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58B9F592" w14:textId="77777777" w:rsidR="00DD3852" w:rsidRPr="00A82A74" w:rsidRDefault="00DD3852" w:rsidP="00DD3852">
      <w:pPr>
        <w:pStyle w:val="Textonotapie"/>
        <w:ind w:firstLine="708"/>
        <w:jc w:val="both"/>
        <w:rPr>
          <w:rFonts w:ascii="Arial" w:hAnsi="Arial" w:cs="Arial"/>
          <w:color w:val="000000" w:themeColor="text1"/>
          <w:sz w:val="19"/>
          <w:szCs w:val="19"/>
          <w:lang w:val="es-ES"/>
        </w:rPr>
      </w:pPr>
      <w:r w:rsidRPr="00A82A74">
        <w:rPr>
          <w:rFonts w:ascii="Arial" w:hAnsi="Arial" w:cs="Arial"/>
          <w:color w:val="000000" w:themeColor="text1"/>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710EC9F6" w14:textId="77777777" w:rsidR="00DD3852" w:rsidRPr="00A82A74" w:rsidRDefault="00DD3852" w:rsidP="00DD3852">
      <w:pPr>
        <w:pStyle w:val="Textonotapie"/>
        <w:ind w:firstLine="708"/>
        <w:jc w:val="both"/>
        <w:rPr>
          <w:rFonts w:ascii="Arial" w:hAnsi="Arial" w:cs="Arial"/>
          <w:color w:val="000000" w:themeColor="text1"/>
          <w:sz w:val="19"/>
          <w:szCs w:val="19"/>
          <w:lang w:val="es-ES"/>
        </w:rPr>
      </w:pPr>
      <w:r w:rsidRPr="00A82A74">
        <w:rPr>
          <w:rFonts w:ascii="Arial" w:hAnsi="Arial" w:cs="Arial"/>
          <w:color w:val="000000" w:themeColor="text1"/>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15">
    <w:p w14:paraId="5F66E018" w14:textId="77777777" w:rsidR="00DD3852" w:rsidRPr="00A82A74" w:rsidRDefault="00DD3852" w:rsidP="00DD3852">
      <w:pPr>
        <w:pStyle w:val="Textonotapie"/>
        <w:ind w:firstLine="708"/>
        <w:jc w:val="both"/>
        <w:rPr>
          <w:color w:val="000000" w:themeColor="text1"/>
        </w:rPr>
      </w:pPr>
    </w:p>
    <w:p w14:paraId="08AFF122" w14:textId="77777777" w:rsidR="00DD3852" w:rsidRPr="00A82A74" w:rsidRDefault="00DD3852" w:rsidP="00DD3852">
      <w:pPr>
        <w:pStyle w:val="Textonotapie"/>
        <w:ind w:firstLine="708"/>
        <w:jc w:val="both"/>
        <w:rPr>
          <w:color w:val="000000" w:themeColor="text1"/>
          <w:lang w:val="es-CO"/>
        </w:rPr>
      </w:pPr>
      <w:r w:rsidRPr="00A82A74">
        <w:rPr>
          <w:rStyle w:val="Refdenotaalpie"/>
          <w:color w:val="000000" w:themeColor="text1"/>
        </w:rPr>
        <w:footnoteRef/>
      </w:r>
      <w:r w:rsidRPr="00A82A74">
        <w:rPr>
          <w:color w:val="000000" w:themeColor="text1"/>
        </w:rPr>
        <w:t xml:space="preserve"> «</w:t>
      </w:r>
      <w:r w:rsidRPr="00A82A74">
        <w:rPr>
          <w:rFonts w:ascii="Arial" w:hAnsi="Arial" w:cs="Arial"/>
          <w:color w:val="000000" w:themeColor="text1"/>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6">
    <w:p w14:paraId="60C254DB" w14:textId="77777777" w:rsidR="00DD3852" w:rsidRPr="00A82A74" w:rsidRDefault="00DD3852" w:rsidP="00DD3852">
      <w:pPr>
        <w:pStyle w:val="Textonotapie"/>
        <w:ind w:firstLine="708"/>
        <w:jc w:val="both"/>
        <w:rPr>
          <w:rFonts w:ascii="Arial" w:hAnsi="Arial" w:cs="Arial"/>
          <w:color w:val="000000" w:themeColor="text1"/>
          <w:sz w:val="19"/>
          <w:szCs w:val="19"/>
          <w:lang w:val="es-ES"/>
        </w:rPr>
      </w:pPr>
      <w:r w:rsidRPr="00A82A74">
        <w:rPr>
          <w:rStyle w:val="Refdenotaalpie"/>
          <w:color w:val="000000" w:themeColor="text1"/>
        </w:rPr>
        <w:footnoteRef/>
      </w:r>
      <w:r w:rsidRPr="00A82A74">
        <w:rPr>
          <w:color w:val="000000" w:themeColor="text1"/>
        </w:rPr>
        <w:t xml:space="preserve"> </w:t>
      </w:r>
      <w:r w:rsidRPr="00A82A74">
        <w:rPr>
          <w:rFonts w:ascii="Arial" w:hAnsi="Arial" w:cs="Arial"/>
          <w:color w:val="000000" w:themeColor="text1"/>
          <w:sz w:val="19"/>
          <w:szCs w:val="19"/>
          <w:lang w:val="es-ES"/>
        </w:rPr>
        <w:t>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Estado, vinculada al Ministerio de Hacienda y Crédito Público» (Corchetes fuera de texto).</w:t>
      </w:r>
    </w:p>
  </w:footnote>
  <w:footnote w:id="17">
    <w:p w14:paraId="1A3E358B" w14:textId="77777777" w:rsidR="00DD3852" w:rsidRPr="00A82A74" w:rsidRDefault="00DD3852" w:rsidP="00DD3852">
      <w:pPr>
        <w:pStyle w:val="NormalWeb"/>
        <w:spacing w:before="0" w:beforeAutospacing="0" w:after="0" w:afterAutospacing="0"/>
        <w:ind w:firstLine="708"/>
        <w:jc w:val="both"/>
        <w:rPr>
          <w:rFonts w:ascii="Arial" w:hAnsi="Arial" w:cs="Arial"/>
          <w:color w:val="000000" w:themeColor="text1"/>
          <w:sz w:val="19"/>
          <w:szCs w:val="19"/>
        </w:rPr>
      </w:pPr>
    </w:p>
    <w:p w14:paraId="5F98E31F" w14:textId="77777777" w:rsidR="00DD3852" w:rsidRPr="00A82A74" w:rsidRDefault="00DD3852" w:rsidP="00DD3852">
      <w:pPr>
        <w:pStyle w:val="NormalWeb"/>
        <w:spacing w:before="0" w:beforeAutospacing="0" w:after="0" w:afterAutospacing="0"/>
        <w:ind w:firstLine="708"/>
        <w:jc w:val="both"/>
        <w:rPr>
          <w:rFonts w:ascii="Arial" w:hAnsi="Arial" w:cs="Arial"/>
          <w:color w:val="000000" w:themeColor="text1"/>
          <w:sz w:val="19"/>
          <w:szCs w:val="19"/>
          <w:lang w:eastAsia="es-ES_tradnl"/>
        </w:rPr>
      </w:pPr>
      <w:r w:rsidRPr="00A82A74">
        <w:rPr>
          <w:rStyle w:val="Refdenotaalpie"/>
          <w:rFonts w:ascii="Arial" w:hAnsi="Arial" w:cs="Arial"/>
          <w:color w:val="000000" w:themeColor="text1"/>
          <w:sz w:val="19"/>
          <w:szCs w:val="19"/>
        </w:rPr>
        <w:footnoteRef/>
      </w:r>
      <w:r w:rsidRPr="00A82A74">
        <w:rPr>
          <w:rFonts w:ascii="Arial" w:hAnsi="Arial" w:cs="Arial"/>
          <w:color w:val="000000" w:themeColor="text1"/>
          <w:sz w:val="19"/>
          <w:szCs w:val="19"/>
        </w:rPr>
        <w:t xml:space="preserve"> </w:t>
      </w:r>
      <w:bookmarkStart w:id="27" w:name="54"/>
      <w:r w:rsidRPr="00A82A74">
        <w:rPr>
          <w:rFonts w:ascii="Arial" w:hAnsi="Arial" w:cs="Arial"/>
          <w:color w:val="000000" w:themeColor="text1"/>
          <w:sz w:val="19"/>
          <w:szCs w:val="19"/>
        </w:rPr>
        <w:t>«</w:t>
      </w:r>
      <w:r w:rsidRPr="00A82A74">
        <w:rPr>
          <w:rFonts w:ascii="Arial" w:hAnsi="Arial" w:cs="Arial"/>
          <w:color w:val="000000" w:themeColor="text1"/>
          <w:sz w:val="19"/>
          <w:szCs w:val="19"/>
          <w:lang w:eastAsia="es-ES_tradnl"/>
        </w:rPr>
        <w:t>Artículo 54. Fondos territoriales.</w:t>
      </w:r>
      <w:bookmarkEnd w:id="27"/>
      <w:r w:rsidRPr="00A82A74">
        <w:rPr>
          <w:rFonts w:ascii="Arial" w:hAnsi="Arial" w:cs="Arial"/>
          <w:color w:val="000000" w:themeColor="text1"/>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074DFCFF" w14:textId="77777777" w:rsidR="00DD3852" w:rsidRPr="00A82A74" w:rsidRDefault="00DD3852" w:rsidP="00DD3852">
      <w:pPr>
        <w:ind w:firstLine="708"/>
        <w:jc w:val="both"/>
        <w:rPr>
          <w:rFonts w:ascii="Arial" w:eastAsia="Times New Roman" w:hAnsi="Arial" w:cs="Arial"/>
          <w:color w:val="000000" w:themeColor="text1"/>
          <w:sz w:val="19"/>
          <w:szCs w:val="19"/>
          <w:lang w:val="es-CO" w:eastAsia="es-ES_tradnl"/>
        </w:rPr>
      </w:pPr>
      <w:r w:rsidRPr="00A82A74">
        <w:rPr>
          <w:rFonts w:ascii="Arial" w:eastAsia="Times New Roman" w:hAnsi="Arial" w:cs="Arial"/>
          <w:color w:val="000000" w:themeColor="text1"/>
          <w:sz w:val="19"/>
          <w:szCs w:val="19"/>
          <w:lang w:val="es-CO" w:eastAsia="es-ES_tradnl"/>
        </w:rPr>
        <w:t>»Parágrafo.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02FE3" w:rsidRDefault="00702FE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1035E"/>
    <w:rsid w:val="000118ED"/>
    <w:rsid w:val="00025650"/>
    <w:rsid w:val="0003318C"/>
    <w:rsid w:val="000408FE"/>
    <w:rsid w:val="000505E5"/>
    <w:rsid w:val="0005415B"/>
    <w:rsid w:val="0005742B"/>
    <w:rsid w:val="00063DD0"/>
    <w:rsid w:val="000714B0"/>
    <w:rsid w:val="00080ACD"/>
    <w:rsid w:val="00084B97"/>
    <w:rsid w:val="000942EB"/>
    <w:rsid w:val="000A0158"/>
    <w:rsid w:val="000A37B5"/>
    <w:rsid w:val="000A610D"/>
    <w:rsid w:val="000A6499"/>
    <w:rsid w:val="000A655A"/>
    <w:rsid w:val="000A6CE4"/>
    <w:rsid w:val="000B103F"/>
    <w:rsid w:val="000B2C1A"/>
    <w:rsid w:val="000B419B"/>
    <w:rsid w:val="000C0359"/>
    <w:rsid w:val="000C20B0"/>
    <w:rsid w:val="000C251A"/>
    <w:rsid w:val="000C639D"/>
    <w:rsid w:val="000C75EC"/>
    <w:rsid w:val="000C7E7A"/>
    <w:rsid w:val="000D0ED2"/>
    <w:rsid w:val="000E422C"/>
    <w:rsid w:val="000E4937"/>
    <w:rsid w:val="000E6BB0"/>
    <w:rsid w:val="000E6D01"/>
    <w:rsid w:val="000F14E8"/>
    <w:rsid w:val="000F5896"/>
    <w:rsid w:val="000F68C3"/>
    <w:rsid w:val="001019AF"/>
    <w:rsid w:val="00103915"/>
    <w:rsid w:val="001051E5"/>
    <w:rsid w:val="00113705"/>
    <w:rsid w:val="00117D6D"/>
    <w:rsid w:val="00121580"/>
    <w:rsid w:val="00122B23"/>
    <w:rsid w:val="00124E5D"/>
    <w:rsid w:val="00125BED"/>
    <w:rsid w:val="00125C59"/>
    <w:rsid w:val="00127AF2"/>
    <w:rsid w:val="00127D28"/>
    <w:rsid w:val="00135144"/>
    <w:rsid w:val="00135413"/>
    <w:rsid w:val="00136BF7"/>
    <w:rsid w:val="00137FFA"/>
    <w:rsid w:val="00141245"/>
    <w:rsid w:val="0014270C"/>
    <w:rsid w:val="00147497"/>
    <w:rsid w:val="001529B8"/>
    <w:rsid w:val="001548A2"/>
    <w:rsid w:val="00156789"/>
    <w:rsid w:val="00157A19"/>
    <w:rsid w:val="00160401"/>
    <w:rsid w:val="0016200B"/>
    <w:rsid w:val="00165D90"/>
    <w:rsid w:val="00167489"/>
    <w:rsid w:val="00167920"/>
    <w:rsid w:val="00182D22"/>
    <w:rsid w:val="001A009B"/>
    <w:rsid w:val="001A3EC0"/>
    <w:rsid w:val="001A597E"/>
    <w:rsid w:val="001B0444"/>
    <w:rsid w:val="001B2456"/>
    <w:rsid w:val="001C1A48"/>
    <w:rsid w:val="001C26F2"/>
    <w:rsid w:val="001C3E5C"/>
    <w:rsid w:val="001C723E"/>
    <w:rsid w:val="001E1318"/>
    <w:rsid w:val="001F0518"/>
    <w:rsid w:val="001F2356"/>
    <w:rsid w:val="00200BE9"/>
    <w:rsid w:val="0020632A"/>
    <w:rsid w:val="002110EB"/>
    <w:rsid w:val="00211338"/>
    <w:rsid w:val="00211388"/>
    <w:rsid w:val="002133B7"/>
    <w:rsid w:val="00213A1F"/>
    <w:rsid w:val="00214B70"/>
    <w:rsid w:val="002304E7"/>
    <w:rsid w:val="00231AF0"/>
    <w:rsid w:val="00234B84"/>
    <w:rsid w:val="0024107C"/>
    <w:rsid w:val="00245778"/>
    <w:rsid w:val="00247712"/>
    <w:rsid w:val="002813EE"/>
    <w:rsid w:val="002A486B"/>
    <w:rsid w:val="002A6C12"/>
    <w:rsid w:val="002B20A8"/>
    <w:rsid w:val="002B4DAB"/>
    <w:rsid w:val="002C14CD"/>
    <w:rsid w:val="002C257B"/>
    <w:rsid w:val="002C4C0C"/>
    <w:rsid w:val="002D22E7"/>
    <w:rsid w:val="002D46CF"/>
    <w:rsid w:val="002D6698"/>
    <w:rsid w:val="00300138"/>
    <w:rsid w:val="003030DC"/>
    <w:rsid w:val="003033BA"/>
    <w:rsid w:val="003108A3"/>
    <w:rsid w:val="003207AF"/>
    <w:rsid w:val="00320D07"/>
    <w:rsid w:val="00322937"/>
    <w:rsid w:val="003240F4"/>
    <w:rsid w:val="00327A5C"/>
    <w:rsid w:val="0033092C"/>
    <w:rsid w:val="00333B5D"/>
    <w:rsid w:val="00336729"/>
    <w:rsid w:val="003370E7"/>
    <w:rsid w:val="0034177C"/>
    <w:rsid w:val="003424B0"/>
    <w:rsid w:val="00342566"/>
    <w:rsid w:val="003432C8"/>
    <w:rsid w:val="0034680A"/>
    <w:rsid w:val="00347B3D"/>
    <w:rsid w:val="00353DD5"/>
    <w:rsid w:val="00356B1B"/>
    <w:rsid w:val="00357A54"/>
    <w:rsid w:val="00362B43"/>
    <w:rsid w:val="00375C0B"/>
    <w:rsid w:val="00375EB5"/>
    <w:rsid w:val="003856A6"/>
    <w:rsid w:val="00386456"/>
    <w:rsid w:val="003913E6"/>
    <w:rsid w:val="003953D2"/>
    <w:rsid w:val="00397FF0"/>
    <w:rsid w:val="003A0878"/>
    <w:rsid w:val="003A3557"/>
    <w:rsid w:val="003A581E"/>
    <w:rsid w:val="003A753A"/>
    <w:rsid w:val="003B09C2"/>
    <w:rsid w:val="003B1589"/>
    <w:rsid w:val="003B22E0"/>
    <w:rsid w:val="003B3E7C"/>
    <w:rsid w:val="003B7D60"/>
    <w:rsid w:val="003C1AF4"/>
    <w:rsid w:val="003C2370"/>
    <w:rsid w:val="003D2C4D"/>
    <w:rsid w:val="003E093F"/>
    <w:rsid w:val="003E2CDA"/>
    <w:rsid w:val="003E74B7"/>
    <w:rsid w:val="003E7C51"/>
    <w:rsid w:val="003F1468"/>
    <w:rsid w:val="003F14DE"/>
    <w:rsid w:val="003F2195"/>
    <w:rsid w:val="003F2A1B"/>
    <w:rsid w:val="004067A3"/>
    <w:rsid w:val="004068B0"/>
    <w:rsid w:val="00413FFA"/>
    <w:rsid w:val="0042026F"/>
    <w:rsid w:val="00423F9F"/>
    <w:rsid w:val="00434787"/>
    <w:rsid w:val="00435489"/>
    <w:rsid w:val="0043561A"/>
    <w:rsid w:val="00435C73"/>
    <w:rsid w:val="00436CD4"/>
    <w:rsid w:val="004422D6"/>
    <w:rsid w:val="00442B36"/>
    <w:rsid w:val="004526D1"/>
    <w:rsid w:val="0045271D"/>
    <w:rsid w:val="00452803"/>
    <w:rsid w:val="00454217"/>
    <w:rsid w:val="00455354"/>
    <w:rsid w:val="004553BE"/>
    <w:rsid w:val="00460454"/>
    <w:rsid w:val="00460A7F"/>
    <w:rsid w:val="00462125"/>
    <w:rsid w:val="00464030"/>
    <w:rsid w:val="004747DF"/>
    <w:rsid w:val="00474C43"/>
    <w:rsid w:val="00474C5E"/>
    <w:rsid w:val="004808DE"/>
    <w:rsid w:val="0048553D"/>
    <w:rsid w:val="004861B4"/>
    <w:rsid w:val="0049241A"/>
    <w:rsid w:val="004954B2"/>
    <w:rsid w:val="004A08D1"/>
    <w:rsid w:val="004A2AE8"/>
    <w:rsid w:val="004A34D2"/>
    <w:rsid w:val="004A7887"/>
    <w:rsid w:val="004C1DAE"/>
    <w:rsid w:val="004C22F7"/>
    <w:rsid w:val="004C48B3"/>
    <w:rsid w:val="004C6076"/>
    <w:rsid w:val="004D7243"/>
    <w:rsid w:val="004E0352"/>
    <w:rsid w:val="004F0C72"/>
    <w:rsid w:val="004F1ABB"/>
    <w:rsid w:val="004F7EC5"/>
    <w:rsid w:val="0050065A"/>
    <w:rsid w:val="00501464"/>
    <w:rsid w:val="0051032D"/>
    <w:rsid w:val="0051074C"/>
    <w:rsid w:val="00512C4F"/>
    <w:rsid w:val="00513976"/>
    <w:rsid w:val="00513AF2"/>
    <w:rsid w:val="00520CF6"/>
    <w:rsid w:val="005248CF"/>
    <w:rsid w:val="005323F6"/>
    <w:rsid w:val="00534622"/>
    <w:rsid w:val="00534B5D"/>
    <w:rsid w:val="0054311A"/>
    <w:rsid w:val="00543494"/>
    <w:rsid w:val="0054413A"/>
    <w:rsid w:val="00550658"/>
    <w:rsid w:val="0055305B"/>
    <w:rsid w:val="005564CA"/>
    <w:rsid w:val="0056182B"/>
    <w:rsid w:val="0057358E"/>
    <w:rsid w:val="005756AA"/>
    <w:rsid w:val="00580AA3"/>
    <w:rsid w:val="005813DE"/>
    <w:rsid w:val="00581D6D"/>
    <w:rsid w:val="00583580"/>
    <w:rsid w:val="0059165F"/>
    <w:rsid w:val="0059176C"/>
    <w:rsid w:val="00594FFF"/>
    <w:rsid w:val="0059623E"/>
    <w:rsid w:val="0059629E"/>
    <w:rsid w:val="005A1976"/>
    <w:rsid w:val="005A5A3D"/>
    <w:rsid w:val="005A69B5"/>
    <w:rsid w:val="005B5414"/>
    <w:rsid w:val="005C28EC"/>
    <w:rsid w:val="005C4F6F"/>
    <w:rsid w:val="005C5C52"/>
    <w:rsid w:val="005C6398"/>
    <w:rsid w:val="005D1705"/>
    <w:rsid w:val="005D51FA"/>
    <w:rsid w:val="005D5DD2"/>
    <w:rsid w:val="005D791B"/>
    <w:rsid w:val="005E1574"/>
    <w:rsid w:val="005E2ECB"/>
    <w:rsid w:val="005E77AA"/>
    <w:rsid w:val="005F0528"/>
    <w:rsid w:val="005F44D8"/>
    <w:rsid w:val="005F46FD"/>
    <w:rsid w:val="005F5F8F"/>
    <w:rsid w:val="0060057C"/>
    <w:rsid w:val="00614817"/>
    <w:rsid w:val="00623AC2"/>
    <w:rsid w:val="00624829"/>
    <w:rsid w:val="00633DBF"/>
    <w:rsid w:val="00654583"/>
    <w:rsid w:val="00655371"/>
    <w:rsid w:val="0066628C"/>
    <w:rsid w:val="00670B20"/>
    <w:rsid w:val="0067364A"/>
    <w:rsid w:val="00675042"/>
    <w:rsid w:val="00676127"/>
    <w:rsid w:val="0068291D"/>
    <w:rsid w:val="006842AA"/>
    <w:rsid w:val="006908DB"/>
    <w:rsid w:val="00695C98"/>
    <w:rsid w:val="006961D5"/>
    <w:rsid w:val="00697665"/>
    <w:rsid w:val="006A4AD1"/>
    <w:rsid w:val="006A7CB5"/>
    <w:rsid w:val="006A7FD0"/>
    <w:rsid w:val="006B3845"/>
    <w:rsid w:val="006B3BBE"/>
    <w:rsid w:val="006B4D31"/>
    <w:rsid w:val="006D4A67"/>
    <w:rsid w:val="006D6404"/>
    <w:rsid w:val="006D7687"/>
    <w:rsid w:val="006E0181"/>
    <w:rsid w:val="006E0572"/>
    <w:rsid w:val="00702FE3"/>
    <w:rsid w:val="00703A72"/>
    <w:rsid w:val="00705631"/>
    <w:rsid w:val="00711286"/>
    <w:rsid w:val="00715C29"/>
    <w:rsid w:val="00715EAA"/>
    <w:rsid w:val="00722CE7"/>
    <w:rsid w:val="0072427F"/>
    <w:rsid w:val="00725AFD"/>
    <w:rsid w:val="00730800"/>
    <w:rsid w:val="00731AD8"/>
    <w:rsid w:val="00733B32"/>
    <w:rsid w:val="00736500"/>
    <w:rsid w:val="00736B69"/>
    <w:rsid w:val="00736EA4"/>
    <w:rsid w:val="0074040D"/>
    <w:rsid w:val="00742DD2"/>
    <w:rsid w:val="007441A2"/>
    <w:rsid w:val="00745035"/>
    <w:rsid w:val="00745092"/>
    <w:rsid w:val="00746AB6"/>
    <w:rsid w:val="00746E08"/>
    <w:rsid w:val="00747C96"/>
    <w:rsid w:val="00747CB2"/>
    <w:rsid w:val="00747CD5"/>
    <w:rsid w:val="0075094E"/>
    <w:rsid w:val="007522E8"/>
    <w:rsid w:val="00754FC5"/>
    <w:rsid w:val="0075647A"/>
    <w:rsid w:val="007634AD"/>
    <w:rsid w:val="0076544A"/>
    <w:rsid w:val="00772FF8"/>
    <w:rsid w:val="00773BC8"/>
    <w:rsid w:val="00776D12"/>
    <w:rsid w:val="00780C22"/>
    <w:rsid w:val="00780F32"/>
    <w:rsid w:val="0078122E"/>
    <w:rsid w:val="00781CF5"/>
    <w:rsid w:val="0079381F"/>
    <w:rsid w:val="00795647"/>
    <w:rsid w:val="007A3BAB"/>
    <w:rsid w:val="007A40B9"/>
    <w:rsid w:val="007B0248"/>
    <w:rsid w:val="007B0854"/>
    <w:rsid w:val="007B366C"/>
    <w:rsid w:val="007B61A8"/>
    <w:rsid w:val="007B66B1"/>
    <w:rsid w:val="007B6EC8"/>
    <w:rsid w:val="007C2970"/>
    <w:rsid w:val="007C2EB2"/>
    <w:rsid w:val="007C2FC8"/>
    <w:rsid w:val="007C4906"/>
    <w:rsid w:val="007C624E"/>
    <w:rsid w:val="007C6AA3"/>
    <w:rsid w:val="007D0D36"/>
    <w:rsid w:val="007E3EA4"/>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C87"/>
    <w:rsid w:val="0083119B"/>
    <w:rsid w:val="00836EAB"/>
    <w:rsid w:val="0083724E"/>
    <w:rsid w:val="00844948"/>
    <w:rsid w:val="0085092D"/>
    <w:rsid w:val="00850F79"/>
    <w:rsid w:val="00851DFA"/>
    <w:rsid w:val="00856D34"/>
    <w:rsid w:val="00857630"/>
    <w:rsid w:val="008618BB"/>
    <w:rsid w:val="0087039D"/>
    <w:rsid w:val="00892A72"/>
    <w:rsid w:val="0089774F"/>
    <w:rsid w:val="00897F5B"/>
    <w:rsid w:val="008A5552"/>
    <w:rsid w:val="008A796E"/>
    <w:rsid w:val="008B061A"/>
    <w:rsid w:val="008C11F0"/>
    <w:rsid w:val="008C1C06"/>
    <w:rsid w:val="008C3798"/>
    <w:rsid w:val="008C45BD"/>
    <w:rsid w:val="008C4864"/>
    <w:rsid w:val="008C5BC4"/>
    <w:rsid w:val="008C6E19"/>
    <w:rsid w:val="008C7145"/>
    <w:rsid w:val="008D0BEA"/>
    <w:rsid w:val="008D3080"/>
    <w:rsid w:val="008D69B1"/>
    <w:rsid w:val="008E1C15"/>
    <w:rsid w:val="008E2227"/>
    <w:rsid w:val="008E3B9B"/>
    <w:rsid w:val="008E7D6E"/>
    <w:rsid w:val="008F06C1"/>
    <w:rsid w:val="008F538E"/>
    <w:rsid w:val="00902E5C"/>
    <w:rsid w:val="009047C5"/>
    <w:rsid w:val="0090494C"/>
    <w:rsid w:val="00920CF7"/>
    <w:rsid w:val="0093076B"/>
    <w:rsid w:val="00933333"/>
    <w:rsid w:val="009346EE"/>
    <w:rsid w:val="00937401"/>
    <w:rsid w:val="009422A0"/>
    <w:rsid w:val="009426B9"/>
    <w:rsid w:val="00945680"/>
    <w:rsid w:val="009528B3"/>
    <w:rsid w:val="0095385A"/>
    <w:rsid w:val="0095780A"/>
    <w:rsid w:val="009616ED"/>
    <w:rsid w:val="00963A6D"/>
    <w:rsid w:val="00963C15"/>
    <w:rsid w:val="00967F39"/>
    <w:rsid w:val="009715D4"/>
    <w:rsid w:val="009732D1"/>
    <w:rsid w:val="00980DF4"/>
    <w:rsid w:val="0098427D"/>
    <w:rsid w:val="009865D5"/>
    <w:rsid w:val="009874FA"/>
    <w:rsid w:val="009924E0"/>
    <w:rsid w:val="009953AD"/>
    <w:rsid w:val="009A1607"/>
    <w:rsid w:val="009A18E3"/>
    <w:rsid w:val="009A2EE0"/>
    <w:rsid w:val="009A4D58"/>
    <w:rsid w:val="009C118E"/>
    <w:rsid w:val="009D4858"/>
    <w:rsid w:val="009D5FB8"/>
    <w:rsid w:val="009E36B7"/>
    <w:rsid w:val="009E61EA"/>
    <w:rsid w:val="009E69FA"/>
    <w:rsid w:val="009F1832"/>
    <w:rsid w:val="009F209A"/>
    <w:rsid w:val="009F59C2"/>
    <w:rsid w:val="009F6E43"/>
    <w:rsid w:val="00A0188B"/>
    <w:rsid w:val="00A041BC"/>
    <w:rsid w:val="00A06E51"/>
    <w:rsid w:val="00A07011"/>
    <w:rsid w:val="00A10365"/>
    <w:rsid w:val="00A121EC"/>
    <w:rsid w:val="00A127D2"/>
    <w:rsid w:val="00A12928"/>
    <w:rsid w:val="00A13AAC"/>
    <w:rsid w:val="00A1403F"/>
    <w:rsid w:val="00A14DF3"/>
    <w:rsid w:val="00A14E80"/>
    <w:rsid w:val="00A20264"/>
    <w:rsid w:val="00A24560"/>
    <w:rsid w:val="00A25625"/>
    <w:rsid w:val="00A34538"/>
    <w:rsid w:val="00A37FB6"/>
    <w:rsid w:val="00A40A51"/>
    <w:rsid w:val="00A431FE"/>
    <w:rsid w:val="00A45944"/>
    <w:rsid w:val="00A53E79"/>
    <w:rsid w:val="00A5512A"/>
    <w:rsid w:val="00A56873"/>
    <w:rsid w:val="00A6242B"/>
    <w:rsid w:val="00A629B7"/>
    <w:rsid w:val="00A668BA"/>
    <w:rsid w:val="00A67FA8"/>
    <w:rsid w:val="00A72BF0"/>
    <w:rsid w:val="00A72C05"/>
    <w:rsid w:val="00A8043B"/>
    <w:rsid w:val="00A82A74"/>
    <w:rsid w:val="00A91368"/>
    <w:rsid w:val="00A91512"/>
    <w:rsid w:val="00A965EA"/>
    <w:rsid w:val="00AA08E7"/>
    <w:rsid w:val="00AA3064"/>
    <w:rsid w:val="00AA442B"/>
    <w:rsid w:val="00AA669D"/>
    <w:rsid w:val="00AA7416"/>
    <w:rsid w:val="00AD1DBF"/>
    <w:rsid w:val="00AD206A"/>
    <w:rsid w:val="00AE082C"/>
    <w:rsid w:val="00AF26CF"/>
    <w:rsid w:val="00AF3F88"/>
    <w:rsid w:val="00B02BCC"/>
    <w:rsid w:val="00B05A55"/>
    <w:rsid w:val="00B06595"/>
    <w:rsid w:val="00B11C8F"/>
    <w:rsid w:val="00B13EC0"/>
    <w:rsid w:val="00B178C8"/>
    <w:rsid w:val="00B22E22"/>
    <w:rsid w:val="00B23476"/>
    <w:rsid w:val="00B240A3"/>
    <w:rsid w:val="00B2510E"/>
    <w:rsid w:val="00B26936"/>
    <w:rsid w:val="00B3115C"/>
    <w:rsid w:val="00B35F6F"/>
    <w:rsid w:val="00B37C24"/>
    <w:rsid w:val="00B4347D"/>
    <w:rsid w:val="00B45B06"/>
    <w:rsid w:val="00B45B59"/>
    <w:rsid w:val="00B46978"/>
    <w:rsid w:val="00B479E4"/>
    <w:rsid w:val="00B525CB"/>
    <w:rsid w:val="00B530AE"/>
    <w:rsid w:val="00B530B6"/>
    <w:rsid w:val="00B61B3F"/>
    <w:rsid w:val="00B63872"/>
    <w:rsid w:val="00B638DA"/>
    <w:rsid w:val="00B63CB2"/>
    <w:rsid w:val="00B64EDB"/>
    <w:rsid w:val="00B7153E"/>
    <w:rsid w:val="00B7315F"/>
    <w:rsid w:val="00B74455"/>
    <w:rsid w:val="00B83758"/>
    <w:rsid w:val="00B84344"/>
    <w:rsid w:val="00B91B8E"/>
    <w:rsid w:val="00B94F30"/>
    <w:rsid w:val="00BA1382"/>
    <w:rsid w:val="00BA1386"/>
    <w:rsid w:val="00BA22FC"/>
    <w:rsid w:val="00BA28AA"/>
    <w:rsid w:val="00BA4771"/>
    <w:rsid w:val="00BA61A6"/>
    <w:rsid w:val="00BC0F21"/>
    <w:rsid w:val="00BC563E"/>
    <w:rsid w:val="00BD730D"/>
    <w:rsid w:val="00BD78FE"/>
    <w:rsid w:val="00BE4BC5"/>
    <w:rsid w:val="00BF23A3"/>
    <w:rsid w:val="00BF5F61"/>
    <w:rsid w:val="00BF7C52"/>
    <w:rsid w:val="00C01997"/>
    <w:rsid w:val="00C06632"/>
    <w:rsid w:val="00C10BD9"/>
    <w:rsid w:val="00C165FC"/>
    <w:rsid w:val="00C246DB"/>
    <w:rsid w:val="00C24913"/>
    <w:rsid w:val="00C25CC7"/>
    <w:rsid w:val="00C26A34"/>
    <w:rsid w:val="00C30123"/>
    <w:rsid w:val="00C32017"/>
    <w:rsid w:val="00C33259"/>
    <w:rsid w:val="00C40C6C"/>
    <w:rsid w:val="00C419E3"/>
    <w:rsid w:val="00C41E6A"/>
    <w:rsid w:val="00C464FF"/>
    <w:rsid w:val="00C46957"/>
    <w:rsid w:val="00C50CA8"/>
    <w:rsid w:val="00C610FB"/>
    <w:rsid w:val="00C61B53"/>
    <w:rsid w:val="00C6299A"/>
    <w:rsid w:val="00C63E99"/>
    <w:rsid w:val="00C65A73"/>
    <w:rsid w:val="00C7104A"/>
    <w:rsid w:val="00C726A9"/>
    <w:rsid w:val="00C902B1"/>
    <w:rsid w:val="00C91F75"/>
    <w:rsid w:val="00C93D8C"/>
    <w:rsid w:val="00CA35BE"/>
    <w:rsid w:val="00CA383B"/>
    <w:rsid w:val="00CB0062"/>
    <w:rsid w:val="00CB5F4F"/>
    <w:rsid w:val="00CC00CD"/>
    <w:rsid w:val="00CC315F"/>
    <w:rsid w:val="00CD3A34"/>
    <w:rsid w:val="00CD4212"/>
    <w:rsid w:val="00CD7360"/>
    <w:rsid w:val="00CE0566"/>
    <w:rsid w:val="00CF11FC"/>
    <w:rsid w:val="00CF2E59"/>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3F51"/>
    <w:rsid w:val="00D34CE3"/>
    <w:rsid w:val="00D35161"/>
    <w:rsid w:val="00D435FA"/>
    <w:rsid w:val="00D46993"/>
    <w:rsid w:val="00D50F51"/>
    <w:rsid w:val="00D57940"/>
    <w:rsid w:val="00D57B61"/>
    <w:rsid w:val="00D60327"/>
    <w:rsid w:val="00D6115B"/>
    <w:rsid w:val="00D63723"/>
    <w:rsid w:val="00D65576"/>
    <w:rsid w:val="00D72E9D"/>
    <w:rsid w:val="00D74158"/>
    <w:rsid w:val="00D759EC"/>
    <w:rsid w:val="00D75E99"/>
    <w:rsid w:val="00D80BB3"/>
    <w:rsid w:val="00D82CE5"/>
    <w:rsid w:val="00D8342C"/>
    <w:rsid w:val="00D93726"/>
    <w:rsid w:val="00D9515E"/>
    <w:rsid w:val="00D96362"/>
    <w:rsid w:val="00D974C8"/>
    <w:rsid w:val="00DA2E2C"/>
    <w:rsid w:val="00DA348C"/>
    <w:rsid w:val="00DA55AD"/>
    <w:rsid w:val="00DA5AB1"/>
    <w:rsid w:val="00DB1AFF"/>
    <w:rsid w:val="00DC1515"/>
    <w:rsid w:val="00DC4238"/>
    <w:rsid w:val="00DC518A"/>
    <w:rsid w:val="00DC62E5"/>
    <w:rsid w:val="00DC77EE"/>
    <w:rsid w:val="00DD3852"/>
    <w:rsid w:val="00DD464C"/>
    <w:rsid w:val="00DD5EC6"/>
    <w:rsid w:val="00DD735D"/>
    <w:rsid w:val="00DE02B7"/>
    <w:rsid w:val="00DE2198"/>
    <w:rsid w:val="00DE2630"/>
    <w:rsid w:val="00DE3119"/>
    <w:rsid w:val="00DE52D6"/>
    <w:rsid w:val="00DE7335"/>
    <w:rsid w:val="00DF236B"/>
    <w:rsid w:val="00DF4451"/>
    <w:rsid w:val="00DF45AD"/>
    <w:rsid w:val="00DF6A71"/>
    <w:rsid w:val="00E035FB"/>
    <w:rsid w:val="00E1028E"/>
    <w:rsid w:val="00E109DD"/>
    <w:rsid w:val="00E13AB8"/>
    <w:rsid w:val="00E21E30"/>
    <w:rsid w:val="00E248DD"/>
    <w:rsid w:val="00E25CB3"/>
    <w:rsid w:val="00E267B7"/>
    <w:rsid w:val="00E27359"/>
    <w:rsid w:val="00E275C6"/>
    <w:rsid w:val="00E33B62"/>
    <w:rsid w:val="00E356DF"/>
    <w:rsid w:val="00E36CEB"/>
    <w:rsid w:val="00E40117"/>
    <w:rsid w:val="00E4143A"/>
    <w:rsid w:val="00E53189"/>
    <w:rsid w:val="00E547C3"/>
    <w:rsid w:val="00E56090"/>
    <w:rsid w:val="00E565B9"/>
    <w:rsid w:val="00E63F11"/>
    <w:rsid w:val="00E63FF6"/>
    <w:rsid w:val="00E65CB1"/>
    <w:rsid w:val="00E71BD5"/>
    <w:rsid w:val="00E82B19"/>
    <w:rsid w:val="00E82D14"/>
    <w:rsid w:val="00E84E8B"/>
    <w:rsid w:val="00E90553"/>
    <w:rsid w:val="00E909E3"/>
    <w:rsid w:val="00E91178"/>
    <w:rsid w:val="00E91454"/>
    <w:rsid w:val="00E94299"/>
    <w:rsid w:val="00E9556D"/>
    <w:rsid w:val="00E971D4"/>
    <w:rsid w:val="00EA0680"/>
    <w:rsid w:val="00EA30DC"/>
    <w:rsid w:val="00EA3D5B"/>
    <w:rsid w:val="00EA5464"/>
    <w:rsid w:val="00EA559C"/>
    <w:rsid w:val="00EC0E7E"/>
    <w:rsid w:val="00EC1CE7"/>
    <w:rsid w:val="00ED0218"/>
    <w:rsid w:val="00ED0ED8"/>
    <w:rsid w:val="00ED1E6B"/>
    <w:rsid w:val="00ED587F"/>
    <w:rsid w:val="00EE0C5C"/>
    <w:rsid w:val="00EE0DE7"/>
    <w:rsid w:val="00EE5402"/>
    <w:rsid w:val="00EE55E7"/>
    <w:rsid w:val="00EE59B5"/>
    <w:rsid w:val="00EE5D90"/>
    <w:rsid w:val="00EF017B"/>
    <w:rsid w:val="00EF4288"/>
    <w:rsid w:val="00F007D6"/>
    <w:rsid w:val="00F043C8"/>
    <w:rsid w:val="00F071AC"/>
    <w:rsid w:val="00F07FC0"/>
    <w:rsid w:val="00F1108B"/>
    <w:rsid w:val="00F20463"/>
    <w:rsid w:val="00F24082"/>
    <w:rsid w:val="00F25971"/>
    <w:rsid w:val="00F25D33"/>
    <w:rsid w:val="00F30727"/>
    <w:rsid w:val="00F3748D"/>
    <w:rsid w:val="00F4469E"/>
    <w:rsid w:val="00F50605"/>
    <w:rsid w:val="00F50E11"/>
    <w:rsid w:val="00F5717A"/>
    <w:rsid w:val="00F57B72"/>
    <w:rsid w:val="00F63FFD"/>
    <w:rsid w:val="00F6672A"/>
    <w:rsid w:val="00F66E9F"/>
    <w:rsid w:val="00F70542"/>
    <w:rsid w:val="00F71F6B"/>
    <w:rsid w:val="00F74317"/>
    <w:rsid w:val="00F811ED"/>
    <w:rsid w:val="00F83114"/>
    <w:rsid w:val="00F84899"/>
    <w:rsid w:val="00F859F0"/>
    <w:rsid w:val="00F85FFB"/>
    <w:rsid w:val="00F87E29"/>
    <w:rsid w:val="00F90296"/>
    <w:rsid w:val="00F93D77"/>
    <w:rsid w:val="00F94D5C"/>
    <w:rsid w:val="00F957EB"/>
    <w:rsid w:val="00FA2895"/>
    <w:rsid w:val="00FA384F"/>
    <w:rsid w:val="00FA7E91"/>
    <w:rsid w:val="00FA7FA7"/>
    <w:rsid w:val="00FB24E4"/>
    <w:rsid w:val="00FB27B7"/>
    <w:rsid w:val="00FB6738"/>
    <w:rsid w:val="00FC113C"/>
    <w:rsid w:val="00FC1381"/>
    <w:rsid w:val="00FC1644"/>
    <w:rsid w:val="00FC18DC"/>
    <w:rsid w:val="00FC1D91"/>
    <w:rsid w:val="00FC7C7B"/>
    <w:rsid w:val="00FD00EF"/>
    <w:rsid w:val="00FD160E"/>
    <w:rsid w:val="00FE0B48"/>
    <w:rsid w:val="00FE141E"/>
    <w:rsid w:val="00FE3854"/>
    <w:rsid w:val="00FE42ED"/>
    <w:rsid w:val="00FE5C5A"/>
    <w:rsid w:val="00FE700A"/>
    <w:rsid w:val="00FF10C0"/>
    <w:rsid w:val="00FF1611"/>
    <w:rsid w:val="00FF5FA6"/>
    <w:rsid w:val="27CD76F4"/>
    <w:rsid w:val="5358814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A82A7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27C0443F-FC73-4397-B5C3-3445F1214458}">
  <ds:schemaRefs>
    <ds:schemaRef ds:uri="http://schemas.openxmlformats.org/officeDocument/2006/bibliography"/>
  </ds:schemaRefs>
</ds:datastoreItem>
</file>

<file path=customXml/itemProps4.xml><?xml version="1.0" encoding="utf-8"?>
<ds:datastoreItem xmlns:ds="http://schemas.openxmlformats.org/officeDocument/2006/customXml" ds:itemID="{99445DA7-EEC7-49D6-9734-ACF0AF9CA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21</TotalTime>
  <Pages>16</Pages>
  <Words>5754</Words>
  <Characters>31648</Characters>
  <Application>Microsoft Office Word</Application>
  <DocSecurity>0</DocSecurity>
  <Lines>263</Lines>
  <Paragraphs>74</Paragraphs>
  <ScaleCrop>false</ScaleCrop>
  <Company/>
  <LinksUpToDate>false</LinksUpToDate>
  <CharactersWithSpaces>37328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214</cp:revision>
  <cp:lastPrinted>2020-01-30T15:05:00Z</cp:lastPrinted>
  <dcterms:created xsi:type="dcterms:W3CDTF">2020-03-24T16:45:00Z</dcterms:created>
  <dcterms:modified xsi:type="dcterms:W3CDTF">2020-08-04T05:54:00Z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