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F1037F" w14:textId="77777777" w:rsidR="00E419C7" w:rsidRPr="00F95886" w:rsidRDefault="00E419C7" w:rsidP="00E419C7">
      <w:pPr>
        <w:jc w:val="right"/>
        <w:rPr>
          <w:rFonts w:ascii="Arial" w:hAnsi="Arial" w:cs="Arial"/>
          <w:b/>
          <w:color w:val="000000" w:themeColor="text1"/>
          <w:sz w:val="16"/>
          <w:szCs w:val="16"/>
          <w:lang w:eastAsia="es-ES"/>
        </w:rPr>
      </w:pPr>
      <w:bookmarkStart w:id="0" w:name="_Hlk28946138"/>
      <w:bookmarkStart w:id="1" w:name="_Hlk29548183"/>
      <w:r w:rsidRPr="00F95886">
        <w:rPr>
          <w:rFonts w:ascii="Arial" w:hAnsi="Arial" w:cs="Arial"/>
          <w:b/>
          <w:color w:val="000000" w:themeColor="text1"/>
          <w:sz w:val="21"/>
          <w:szCs w:val="21"/>
          <w:lang w:eastAsia="es-ES"/>
        </w:rPr>
        <w:tab/>
      </w:r>
      <w:r w:rsidRPr="00F95886">
        <w:rPr>
          <w:rFonts w:ascii="Arial" w:hAnsi="Arial" w:cs="Arial"/>
          <w:b/>
          <w:color w:val="000000" w:themeColor="text1"/>
          <w:sz w:val="16"/>
          <w:szCs w:val="16"/>
          <w:lang w:eastAsia="es-ES"/>
        </w:rPr>
        <w:t>CCE-DES-FM-17</w:t>
      </w:r>
    </w:p>
    <w:p w14:paraId="75200137" w14:textId="77777777" w:rsidR="00E419C7" w:rsidRPr="00685238" w:rsidRDefault="00E419C7" w:rsidP="00E419C7">
      <w:pPr>
        <w:jc w:val="both"/>
        <w:rPr>
          <w:rFonts w:ascii="Arial" w:eastAsia="Calibri" w:hAnsi="Arial" w:cs="Arial"/>
          <w:b/>
          <w:color w:val="000000" w:themeColor="text1"/>
          <w:sz w:val="16"/>
          <w:szCs w:val="16"/>
        </w:rPr>
      </w:pPr>
    </w:p>
    <w:p w14:paraId="67DB9DE1" w14:textId="77777777" w:rsidR="00E419C7" w:rsidRPr="00F95886" w:rsidRDefault="00E419C7" w:rsidP="00E419C7">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REGIMEN DE </w:t>
      </w:r>
      <w:r w:rsidRPr="00F95886">
        <w:rPr>
          <w:rFonts w:ascii="Arial" w:eastAsia="Calibri" w:hAnsi="Arial" w:cs="Arial"/>
          <w:b/>
          <w:bCs/>
          <w:color w:val="000000" w:themeColor="text1"/>
          <w:sz w:val="22"/>
          <w:lang w:val="es-ES_tradnl"/>
        </w:rPr>
        <w:t xml:space="preserve">INHABILIDADES E INCOMPATIBILIDADES </w:t>
      </w:r>
      <w:r w:rsidRPr="00F95886">
        <w:rPr>
          <w:rFonts w:ascii="Arial" w:eastAsia="Calibri" w:hAnsi="Arial" w:cs="Arial"/>
          <w:b/>
          <w:color w:val="000000" w:themeColor="text1"/>
          <w:sz w:val="22"/>
        </w:rPr>
        <w:t>–</w:t>
      </w:r>
      <w:r w:rsidRPr="00F95886">
        <w:rPr>
          <w:rFonts w:ascii="Arial" w:eastAsia="Calibri" w:hAnsi="Arial" w:cs="Arial"/>
          <w:b/>
          <w:bCs/>
          <w:color w:val="000000" w:themeColor="text1"/>
          <w:sz w:val="22"/>
          <w:lang w:val="es-ES_tradnl"/>
        </w:rPr>
        <w:t xml:space="preserve"> Concepto </w:t>
      </w:r>
      <w:r w:rsidRPr="00F95886">
        <w:rPr>
          <w:rFonts w:ascii="Arial" w:eastAsia="Calibri" w:hAnsi="Arial" w:cs="Arial"/>
          <w:b/>
          <w:color w:val="000000" w:themeColor="text1"/>
          <w:sz w:val="22"/>
        </w:rPr>
        <w:t>–</w:t>
      </w:r>
      <w:r w:rsidRPr="00F95886">
        <w:rPr>
          <w:rFonts w:ascii="Arial" w:eastAsia="Calibri" w:hAnsi="Arial" w:cs="Arial"/>
          <w:b/>
          <w:bCs/>
          <w:color w:val="000000" w:themeColor="text1"/>
          <w:sz w:val="22"/>
          <w:lang w:val="es-ES_tradnl"/>
        </w:rPr>
        <w:t xml:space="preserve"> Principio de legalidad </w:t>
      </w:r>
      <w:r w:rsidRPr="00F95886">
        <w:rPr>
          <w:rFonts w:ascii="Arial" w:eastAsia="Calibri" w:hAnsi="Arial" w:cs="Arial"/>
          <w:b/>
          <w:color w:val="000000" w:themeColor="text1"/>
          <w:sz w:val="22"/>
        </w:rPr>
        <w:t>–</w:t>
      </w:r>
      <w:r w:rsidRPr="00F95886">
        <w:rPr>
          <w:rFonts w:ascii="Arial" w:eastAsia="Calibri" w:hAnsi="Arial" w:cs="Arial"/>
          <w:b/>
          <w:bCs/>
          <w:color w:val="000000" w:themeColor="text1"/>
          <w:sz w:val="22"/>
          <w:lang w:val="es-ES_tradnl"/>
        </w:rPr>
        <w:t xml:space="preserve"> Interpretación restrictiva</w:t>
      </w:r>
    </w:p>
    <w:p w14:paraId="6F44A72A" w14:textId="77777777" w:rsidR="00E419C7" w:rsidRPr="00F95886" w:rsidRDefault="00E419C7" w:rsidP="00E419C7">
      <w:pPr>
        <w:jc w:val="both"/>
        <w:rPr>
          <w:rFonts w:ascii="Arial" w:eastAsia="Calibri" w:hAnsi="Arial" w:cs="Arial"/>
          <w:b/>
          <w:bCs/>
          <w:color w:val="000000" w:themeColor="text1"/>
          <w:sz w:val="20"/>
          <w:szCs w:val="20"/>
          <w:lang w:val="es-ES_tradnl"/>
        </w:rPr>
      </w:pPr>
    </w:p>
    <w:p w14:paraId="6F72ACDB" w14:textId="364FD9AC" w:rsidR="00E419C7" w:rsidRDefault="009025BE" w:rsidP="00E419C7">
      <w:pPr>
        <w:spacing w:after="120"/>
        <w:jc w:val="both"/>
        <w:rPr>
          <w:rFonts w:ascii="Arial" w:eastAsia="Calibri" w:hAnsi="Arial" w:cs="Arial"/>
          <w:color w:val="000000" w:themeColor="text1"/>
          <w:sz w:val="20"/>
          <w:szCs w:val="20"/>
          <w:lang w:val="es-ES_tradnl"/>
        </w:rPr>
      </w:pPr>
      <w:r w:rsidRPr="009025BE">
        <w:rPr>
          <w:rFonts w:ascii="Arial" w:eastAsia="Calibri" w:hAnsi="Arial" w:cs="Arial"/>
          <w:color w:val="000000" w:themeColor="text1"/>
          <w:sz w:val="20"/>
          <w:szCs w:val="20"/>
          <w:lang w:val="es-ES_tradnl"/>
        </w:rPr>
        <w:t>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e incompatibilidades son herramientas en la lucha contra la corrupción, adoptando paulatinamente un carácter sancionatorio o «</w:t>
      </w:r>
      <w:proofErr w:type="spellStart"/>
      <w:r w:rsidRPr="009025BE">
        <w:rPr>
          <w:rFonts w:ascii="Arial" w:eastAsia="Calibri" w:hAnsi="Arial" w:cs="Arial"/>
          <w:color w:val="000000" w:themeColor="text1"/>
          <w:sz w:val="20"/>
          <w:szCs w:val="20"/>
          <w:lang w:val="es-ES_tradnl"/>
        </w:rPr>
        <w:t>neopunitivo</w:t>
      </w:r>
      <w:proofErr w:type="spellEnd"/>
      <w:proofErr w:type="gramStart"/>
      <w:r w:rsidRPr="009025BE">
        <w:rPr>
          <w:rFonts w:ascii="Arial" w:eastAsia="Calibri" w:hAnsi="Arial" w:cs="Arial"/>
          <w:color w:val="000000" w:themeColor="text1"/>
          <w:sz w:val="20"/>
          <w:szCs w:val="20"/>
          <w:lang w:val="es-ES_tradnl"/>
        </w:rPr>
        <w:t>» .</w:t>
      </w:r>
      <w:proofErr w:type="gramEnd"/>
      <w:r w:rsidRPr="009025BE">
        <w:rPr>
          <w:rFonts w:ascii="Arial" w:eastAsia="Calibri" w:hAnsi="Arial" w:cs="Arial"/>
          <w:color w:val="000000" w:themeColor="text1"/>
          <w:sz w:val="20"/>
          <w:szCs w:val="20"/>
          <w:lang w:val="es-ES_tradnl"/>
        </w:rPr>
        <w:t xml:space="preserve">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r w:rsidRPr="009025BE">
        <w:rPr>
          <w:rFonts w:ascii="Arial" w:eastAsia="Calibri" w:hAnsi="Arial" w:cs="Arial"/>
          <w:color w:val="000000" w:themeColor="text1"/>
          <w:sz w:val="20"/>
          <w:szCs w:val="20"/>
          <w:lang w:val="es-ES_tradnl"/>
        </w:rPr>
        <w:t xml:space="preserve"> </w:t>
      </w:r>
      <w:r w:rsidR="00E419C7">
        <w:rPr>
          <w:rFonts w:ascii="Arial" w:eastAsia="Calibri" w:hAnsi="Arial" w:cs="Arial"/>
          <w:color w:val="000000" w:themeColor="text1"/>
          <w:sz w:val="20"/>
          <w:szCs w:val="20"/>
          <w:lang w:val="es-ES_tradnl"/>
        </w:rPr>
        <w:t>[…]</w:t>
      </w:r>
    </w:p>
    <w:p w14:paraId="1D5E424D" w14:textId="77777777" w:rsidR="00E419C7" w:rsidRDefault="00E419C7" w:rsidP="00E419C7">
      <w:pPr>
        <w:spacing w:after="120"/>
        <w:jc w:val="both"/>
        <w:rPr>
          <w:rFonts w:ascii="Arial" w:eastAsia="Calibri" w:hAnsi="Arial" w:cs="Arial"/>
          <w:color w:val="000000" w:themeColor="text1"/>
          <w:sz w:val="20"/>
          <w:szCs w:val="20"/>
          <w:lang w:val="es-ES_tradnl"/>
        </w:rPr>
      </w:pPr>
      <w:r w:rsidRPr="00F95886">
        <w:rPr>
          <w:rFonts w:ascii="Arial" w:eastAsia="Calibri" w:hAnsi="Arial" w:cs="Arial"/>
          <w:color w:val="000000" w:themeColor="text1"/>
          <w:sz w:val="20"/>
          <w:szCs w:val="20"/>
          <w:lang w:val="es-ES_tradnl"/>
        </w:rPr>
        <w:t xml:space="preserve">Las </w:t>
      </w:r>
      <w:r w:rsidRPr="00F95886">
        <w:rPr>
          <w:rFonts w:ascii="Arial" w:eastAsia="Calibri" w:hAnsi="Arial" w:cs="Arial"/>
          <w:i/>
          <w:iCs/>
          <w:color w:val="000000" w:themeColor="text1"/>
          <w:sz w:val="20"/>
          <w:szCs w:val="20"/>
          <w:lang w:val="es-ES_tradnl"/>
        </w:rPr>
        <w:t>inhabilidades</w:t>
      </w:r>
      <w:r w:rsidRPr="00F95886">
        <w:rPr>
          <w:rFonts w:ascii="Arial" w:eastAsia="Calibri" w:hAnsi="Arial" w:cs="Arial"/>
          <w:color w:val="000000" w:themeColor="text1"/>
          <w:sz w:val="20"/>
          <w:szCs w:val="20"/>
          <w:lang w:val="es-ES_tradnl"/>
        </w:rPr>
        <w:t xml:space="preserve">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w:t>
      </w:r>
      <w:r w:rsidRPr="00F95886">
        <w:rPr>
          <w:rFonts w:ascii="Arial" w:eastAsia="Calibri" w:hAnsi="Arial" w:cs="Arial"/>
          <w:i/>
          <w:iCs/>
          <w:color w:val="000000" w:themeColor="text1"/>
          <w:sz w:val="20"/>
          <w:szCs w:val="20"/>
          <w:lang w:val="es-ES_tradnl"/>
        </w:rPr>
        <w:t>incompatibilidades</w:t>
      </w:r>
      <w:r w:rsidRPr="00F95886">
        <w:rPr>
          <w:rFonts w:ascii="Arial" w:eastAsia="Calibri" w:hAnsi="Arial" w:cs="Arial"/>
          <w:color w:val="000000" w:themeColor="text1"/>
          <w:sz w:val="20"/>
          <w:szCs w:val="20"/>
          <w:lang w:val="es-ES_tradn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44223773" w14:textId="77777777" w:rsidR="00E419C7" w:rsidRDefault="00E419C7" w:rsidP="00E419C7">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6FB60872" w14:textId="77777777" w:rsidR="00E419C7" w:rsidRPr="00F95886" w:rsidRDefault="00E419C7" w:rsidP="00E419C7">
      <w:pPr>
        <w:jc w:val="both"/>
        <w:rPr>
          <w:rFonts w:ascii="Arial" w:eastAsia="Calibri" w:hAnsi="Arial" w:cs="Arial"/>
          <w:color w:val="000000" w:themeColor="text1"/>
          <w:sz w:val="20"/>
          <w:szCs w:val="20"/>
          <w:lang w:val="es-ES_tradnl"/>
        </w:rPr>
      </w:pPr>
      <w:r w:rsidRPr="00F95886">
        <w:rPr>
          <w:rFonts w:ascii="Arial" w:eastAsia="Calibri" w:hAnsi="Arial" w:cs="Arial"/>
          <w:color w:val="000000" w:themeColor="text1"/>
          <w:sz w:val="20"/>
          <w:szCs w:val="20"/>
          <w:lang w:val="es-ES_tradn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356EFD2B" w14:textId="77777777" w:rsidR="00E419C7" w:rsidRPr="00F95886" w:rsidRDefault="00E419C7" w:rsidP="00E419C7">
      <w:pPr>
        <w:jc w:val="both"/>
        <w:rPr>
          <w:rFonts w:ascii="Arial" w:eastAsia="Calibri" w:hAnsi="Arial" w:cs="Arial"/>
          <w:color w:val="000000" w:themeColor="text1"/>
          <w:sz w:val="20"/>
          <w:szCs w:val="20"/>
          <w:lang w:val="es-ES_tradnl"/>
        </w:rPr>
      </w:pPr>
    </w:p>
    <w:p w14:paraId="7DF328EB" w14:textId="77777777" w:rsidR="00E419C7" w:rsidRPr="00F95886" w:rsidRDefault="00E419C7" w:rsidP="00E419C7">
      <w:pPr>
        <w:jc w:val="both"/>
        <w:rPr>
          <w:rFonts w:ascii="Arial" w:hAnsi="Arial" w:cs="Arial"/>
          <w:b/>
          <w:bCs/>
          <w:color w:val="000000" w:themeColor="text1"/>
          <w:sz w:val="22"/>
          <w:lang w:val="es-ES_tradnl"/>
        </w:rPr>
      </w:pPr>
      <w:r w:rsidRPr="00F95886">
        <w:rPr>
          <w:rFonts w:ascii="Arial" w:hAnsi="Arial" w:cs="Arial"/>
          <w:b/>
          <w:bCs/>
          <w:color w:val="000000" w:themeColor="text1"/>
          <w:sz w:val="22"/>
          <w:lang w:val="es-ES_tradnl"/>
        </w:rPr>
        <w:t xml:space="preserve">CONTRATO DE PRESTACIÓN DE SERVICIOS PROFESIONALES </w:t>
      </w:r>
      <w:r w:rsidRPr="00F95886">
        <w:rPr>
          <w:rFonts w:ascii="Arial" w:eastAsia="Calibri" w:hAnsi="Arial" w:cs="Arial"/>
          <w:b/>
          <w:color w:val="000000" w:themeColor="text1"/>
          <w:sz w:val="22"/>
        </w:rPr>
        <w:t>–</w:t>
      </w:r>
      <w:r w:rsidRPr="00F95886">
        <w:rPr>
          <w:rFonts w:ascii="Arial" w:hAnsi="Arial" w:cs="Arial"/>
          <w:b/>
          <w:bCs/>
          <w:color w:val="000000" w:themeColor="text1"/>
          <w:sz w:val="22"/>
          <w:lang w:val="es-ES_tradnl"/>
        </w:rPr>
        <w:t xml:space="preserve"> Concepto </w:t>
      </w:r>
      <w:r w:rsidRPr="00F95886">
        <w:rPr>
          <w:rFonts w:ascii="Arial" w:eastAsia="Calibri" w:hAnsi="Arial" w:cs="Arial"/>
          <w:b/>
          <w:color w:val="000000" w:themeColor="text1"/>
          <w:sz w:val="22"/>
        </w:rPr>
        <w:t>–</w:t>
      </w:r>
      <w:r w:rsidRPr="00F95886">
        <w:rPr>
          <w:rFonts w:ascii="Arial" w:hAnsi="Arial" w:cs="Arial"/>
          <w:b/>
          <w:bCs/>
          <w:color w:val="000000" w:themeColor="text1"/>
          <w:sz w:val="22"/>
          <w:lang w:val="es-ES_tradnl"/>
        </w:rPr>
        <w:t xml:space="preserve"> Requisitos y límites para su celebración</w:t>
      </w:r>
    </w:p>
    <w:p w14:paraId="7475B874" w14:textId="77777777" w:rsidR="00E419C7" w:rsidRPr="00F95886" w:rsidRDefault="00E419C7" w:rsidP="00E419C7">
      <w:pPr>
        <w:jc w:val="both"/>
        <w:rPr>
          <w:rFonts w:ascii="Arial" w:hAnsi="Arial" w:cs="Arial"/>
          <w:color w:val="000000" w:themeColor="text1"/>
          <w:sz w:val="20"/>
          <w:szCs w:val="20"/>
          <w:lang w:val="es-ES_tradnl"/>
        </w:rPr>
      </w:pPr>
    </w:p>
    <w:p w14:paraId="6332285C" w14:textId="77777777" w:rsidR="00E419C7" w:rsidRDefault="00E419C7" w:rsidP="00E419C7">
      <w:pPr>
        <w:spacing w:after="120"/>
        <w:jc w:val="both"/>
        <w:rPr>
          <w:rFonts w:ascii="Arial" w:eastAsia="Calibri" w:hAnsi="Arial" w:cs="Arial"/>
          <w:color w:val="000000" w:themeColor="text1"/>
          <w:sz w:val="20"/>
          <w:szCs w:val="20"/>
          <w:lang w:val="es-ES_tradnl"/>
        </w:rPr>
      </w:pPr>
      <w:r w:rsidRPr="003C24CD">
        <w:rPr>
          <w:rFonts w:ascii="Arial" w:eastAsia="Calibri" w:hAnsi="Arial" w:cs="Arial"/>
          <w:color w:val="000000" w:themeColor="text1"/>
          <w:sz w:val="20"/>
          <w:szCs w:val="20"/>
          <w:lang w:val="es-ES_tradnl"/>
        </w:rPr>
        <w:t xml:space="preserve">El contrato de prestación de servicios profesionales es uno de los tipos contractuales consagrados en el Estatuto General de Contratación de la Administración Pública, que pueden celebrar las entidades estatales. </w:t>
      </w:r>
    </w:p>
    <w:p w14:paraId="164332C2" w14:textId="77777777" w:rsidR="00E419C7" w:rsidRPr="003C24CD" w:rsidRDefault="00E419C7" w:rsidP="00E419C7">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2AFEEE15" w14:textId="77777777" w:rsidR="00E419C7" w:rsidRPr="00F95886" w:rsidRDefault="00E419C7" w:rsidP="00E419C7">
      <w:pPr>
        <w:jc w:val="both"/>
        <w:rPr>
          <w:rFonts w:ascii="Arial" w:eastAsia="Calibri" w:hAnsi="Arial" w:cs="Arial"/>
          <w:color w:val="000000" w:themeColor="text1"/>
          <w:sz w:val="20"/>
          <w:szCs w:val="20"/>
          <w:lang w:val="es-ES_tradnl"/>
        </w:rPr>
      </w:pPr>
      <w:r w:rsidRPr="003C24CD">
        <w:rPr>
          <w:rFonts w:ascii="Arial" w:eastAsia="Calibri" w:hAnsi="Arial" w:cs="Arial"/>
          <w:color w:val="000000" w:themeColor="text1"/>
          <w:sz w:val="20"/>
          <w:szCs w:val="20"/>
          <w:lang w:val="es-ES_tradnl"/>
        </w:rPr>
        <w:t>En tal sentido, se trata de un contrato típico, ya que se encuentra definido en la ley. Sus principales características son: i)</w:t>
      </w:r>
      <w:r w:rsidRPr="00F95886">
        <w:rPr>
          <w:rFonts w:ascii="Arial" w:hAnsi="Arial" w:cs="Arial"/>
          <w:color w:val="000000" w:themeColor="text1"/>
          <w:sz w:val="20"/>
          <w:szCs w:val="20"/>
          <w:lang w:val="es-ES_tradnl"/>
        </w:rPr>
        <w:t xml:space="preserve">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w:t>
      </w:r>
      <w:r w:rsidRPr="00F95886">
        <w:rPr>
          <w:rFonts w:ascii="Arial" w:hAnsi="Arial" w:cs="Arial"/>
          <w:color w:val="000000" w:themeColor="text1"/>
          <w:sz w:val="20"/>
          <w:szCs w:val="20"/>
          <w:lang w:val="es-ES_tradnl"/>
        </w:rPr>
        <w:lastRenderedPageBreak/>
        <w:t xml:space="preserve">independencia en la ejecución de la labor, lo que significa que no puede existir la </w:t>
      </w:r>
      <w:r w:rsidRPr="00F95886">
        <w:rPr>
          <w:rFonts w:ascii="Arial" w:hAnsi="Arial" w:cs="Arial"/>
          <w:i/>
          <w:color w:val="000000" w:themeColor="text1"/>
          <w:sz w:val="20"/>
          <w:szCs w:val="20"/>
          <w:lang w:val="es-ES_tradnl"/>
        </w:rPr>
        <w:t>subordinación y dependencia</w:t>
      </w:r>
      <w:r w:rsidRPr="00F95886">
        <w:rPr>
          <w:rFonts w:ascii="Arial" w:hAnsi="Arial" w:cs="Arial"/>
          <w:color w:val="000000" w:themeColor="text1"/>
          <w:sz w:val="20"/>
          <w:szCs w:val="20"/>
          <w:lang w:val="es-ES_tradnl"/>
        </w:rPr>
        <w:t xml:space="preserve"> que es uno de los elementos constitutivos del vínculo laboral; iv) debe ser temporal; v) hacen parte del género denominado </w:t>
      </w:r>
      <w:r w:rsidRPr="00F95886">
        <w:rPr>
          <w:rFonts w:ascii="Arial" w:hAnsi="Arial" w:cs="Arial"/>
          <w:i/>
          <w:color w:val="000000" w:themeColor="text1"/>
          <w:sz w:val="20"/>
          <w:szCs w:val="20"/>
          <w:lang w:val="es-ES_tradnl"/>
        </w:rPr>
        <w:t>contratos de prestación de servicios</w:t>
      </w:r>
      <w:r w:rsidRPr="00F95886">
        <w:rPr>
          <w:rFonts w:ascii="Arial" w:hAnsi="Arial" w:cs="Arial"/>
          <w:color w:val="000000" w:themeColor="text1"/>
          <w:sz w:val="20"/>
          <w:szCs w:val="20"/>
          <w:lang w:val="es-ES_tradnl"/>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1100588C" w14:textId="77777777" w:rsidR="00E419C7" w:rsidRPr="00F95886" w:rsidRDefault="00E419C7" w:rsidP="00E419C7">
      <w:pPr>
        <w:jc w:val="both"/>
        <w:rPr>
          <w:rFonts w:ascii="Arial" w:hAnsi="Arial" w:cs="Arial"/>
          <w:color w:val="000000" w:themeColor="text1"/>
          <w:sz w:val="20"/>
          <w:szCs w:val="20"/>
          <w:lang w:val="es-ES_tradnl"/>
        </w:rPr>
      </w:pPr>
    </w:p>
    <w:p w14:paraId="5551C02F" w14:textId="39C0C918" w:rsidR="00E419C7" w:rsidRPr="00F95886" w:rsidRDefault="00E419C7" w:rsidP="00E419C7">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CONTRATO DE PRESTACION DE SERVICIOS </w:t>
      </w:r>
      <w:r w:rsidRPr="00F95886">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hAnsi="Arial" w:cs="Arial"/>
          <w:b/>
          <w:bCs/>
          <w:color w:val="000000" w:themeColor="text1"/>
          <w:sz w:val="22"/>
          <w:lang w:val="es-ES_tradnl"/>
        </w:rPr>
        <w:t xml:space="preserve">Celebración </w:t>
      </w:r>
      <w:r w:rsidRPr="00F95886">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hAnsi="Arial" w:cs="Arial"/>
          <w:b/>
          <w:bCs/>
          <w:color w:val="000000" w:themeColor="text1"/>
          <w:sz w:val="22"/>
          <w:lang w:val="es-ES_tradnl"/>
        </w:rPr>
        <w:t xml:space="preserve">Simultaneidad </w:t>
      </w:r>
      <w:r w:rsidRPr="00F95886">
        <w:rPr>
          <w:rFonts w:ascii="Arial" w:eastAsia="Calibri" w:hAnsi="Arial" w:cs="Arial"/>
          <w:b/>
          <w:color w:val="000000" w:themeColor="text1"/>
          <w:sz w:val="22"/>
        </w:rPr>
        <w:t>–</w:t>
      </w:r>
      <w:r w:rsidRPr="00F95886">
        <w:rPr>
          <w:rFonts w:ascii="Arial" w:hAnsi="Arial" w:cs="Arial"/>
          <w:b/>
          <w:bCs/>
          <w:color w:val="000000" w:themeColor="text1"/>
          <w:sz w:val="22"/>
          <w:lang w:val="es-ES_tradnl"/>
        </w:rPr>
        <w:t xml:space="preserve"> Posibilidad </w:t>
      </w:r>
      <w:r w:rsidRPr="00F95886">
        <w:rPr>
          <w:rFonts w:ascii="Arial" w:eastAsia="Calibri" w:hAnsi="Arial" w:cs="Arial"/>
          <w:b/>
          <w:color w:val="000000" w:themeColor="text1"/>
          <w:sz w:val="22"/>
        </w:rPr>
        <w:t>–</w:t>
      </w:r>
      <w:r w:rsidRPr="00F95886">
        <w:rPr>
          <w:rFonts w:ascii="Arial" w:hAnsi="Arial" w:cs="Arial"/>
          <w:b/>
          <w:bCs/>
          <w:color w:val="000000" w:themeColor="text1"/>
          <w:sz w:val="22"/>
          <w:lang w:val="es-ES_tradnl"/>
        </w:rPr>
        <w:t xml:space="preserve"> Ausencia </w:t>
      </w:r>
      <w:r w:rsidRPr="00F95886">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00DC2B66">
        <w:rPr>
          <w:rFonts w:ascii="Arial" w:eastAsia="Calibri" w:hAnsi="Arial" w:cs="Arial"/>
          <w:b/>
          <w:color w:val="000000" w:themeColor="text1"/>
          <w:sz w:val="22"/>
        </w:rPr>
        <w:t>Inhabilidad</w:t>
      </w:r>
      <w:r w:rsidRPr="00F95886">
        <w:rPr>
          <w:rFonts w:ascii="Arial" w:hAnsi="Arial" w:cs="Arial"/>
          <w:b/>
          <w:bCs/>
          <w:color w:val="000000" w:themeColor="text1"/>
          <w:sz w:val="22"/>
          <w:lang w:val="es-ES_tradnl"/>
        </w:rPr>
        <w:t xml:space="preserve"> e incompatibilidad</w:t>
      </w:r>
    </w:p>
    <w:p w14:paraId="3C46B64C" w14:textId="77777777" w:rsidR="00E419C7" w:rsidRPr="00F95886" w:rsidRDefault="00E419C7" w:rsidP="00083784">
      <w:pPr>
        <w:jc w:val="both"/>
        <w:rPr>
          <w:rFonts w:ascii="Arial" w:hAnsi="Arial" w:cs="Arial"/>
          <w:color w:val="000000" w:themeColor="text1"/>
          <w:sz w:val="20"/>
          <w:szCs w:val="20"/>
          <w:lang w:val="es-ES_tradnl"/>
        </w:rPr>
      </w:pPr>
    </w:p>
    <w:p w14:paraId="77A671F1" w14:textId="77777777" w:rsidR="00083784" w:rsidRPr="00083784" w:rsidRDefault="00083784" w:rsidP="00083784">
      <w:pPr>
        <w:spacing w:after="200"/>
        <w:jc w:val="both"/>
        <w:rPr>
          <w:rFonts w:ascii="Arial" w:hAnsi="Arial" w:cs="Arial"/>
          <w:color w:val="000000" w:themeColor="text1"/>
          <w:sz w:val="20"/>
          <w:szCs w:val="20"/>
          <w:lang w:val="es-ES_tradnl"/>
        </w:rPr>
      </w:pPr>
      <w:r w:rsidRPr="00083784">
        <w:rPr>
          <w:rFonts w:ascii="Arial" w:hAnsi="Arial" w:cs="Arial"/>
          <w:color w:val="000000" w:themeColor="text1"/>
          <w:sz w:val="20"/>
          <w:szCs w:val="20"/>
          <w:lang w:val="es-ES_tradnl"/>
        </w:rPr>
        <w:t xml:space="preserve">Analizado el régimen de inhabilidades e incompatibilidades previsto para la contratación estatal, así como los requisitos y límites de los contratos de prestación de servicios profesionales, se concluye que no existe una inhabilidad, incompatibilidad o prohibición de otra naturaleza para que una entidad estatal celebre dos o más contratos de prestación de servicios profesionales con una misma persona, así dichos contratos coexistan en el tiempo. </w:t>
      </w:r>
    </w:p>
    <w:p w14:paraId="476E16F9" w14:textId="77777777" w:rsidR="00083784" w:rsidRPr="00083784" w:rsidRDefault="00083784" w:rsidP="00083784">
      <w:pPr>
        <w:spacing w:after="200"/>
        <w:jc w:val="both"/>
        <w:rPr>
          <w:rFonts w:ascii="Arial" w:hAnsi="Arial" w:cs="Arial"/>
          <w:color w:val="000000" w:themeColor="text1"/>
          <w:sz w:val="20"/>
          <w:szCs w:val="20"/>
          <w:lang w:val="es-ES_tradnl"/>
        </w:rPr>
      </w:pPr>
      <w:r w:rsidRPr="00083784">
        <w:rPr>
          <w:rFonts w:ascii="Arial" w:hAnsi="Arial" w:cs="Arial"/>
          <w:color w:val="000000" w:themeColor="text1"/>
          <w:sz w:val="20"/>
          <w:szCs w:val="20"/>
          <w:lang w:val="es-ES_tradnl"/>
        </w:rPr>
        <w:t xml:space="preserve">La anterior conclusión se apoya en la idea de que las inhabilidades e incompatibilidades, al ser limitaciones a la capacidad contractual, y por tanto al afectar derechos como la libre concurrencia o la libertad de ejercicio de la profesión u oficio, es decir, al ser enunciados normativos gravosos, deben interpretarse restrictivamente; o sea, no admiten una interpretación amplia, extensiva o analógica. Precisamente, al leer las causales previstas en la Constitución, así como en el artículo 8 de la Ley 80 de 1993 y en otras disposiciones complementarias, no se observa una prohibición para que una misma persona natural preste sus servicios profesionales a una entidad, a través de contratos distintos y concomitantes. </w:t>
      </w:r>
    </w:p>
    <w:p w14:paraId="0FDBFC0F" w14:textId="33494825" w:rsidR="002640BA" w:rsidRDefault="00083784" w:rsidP="00083784">
      <w:pPr>
        <w:spacing w:after="200"/>
        <w:jc w:val="both"/>
        <w:rPr>
          <w:rFonts w:ascii="Arial" w:hAnsi="Arial" w:cs="Arial"/>
          <w:color w:val="000000" w:themeColor="text1"/>
          <w:sz w:val="20"/>
          <w:szCs w:val="20"/>
          <w:lang w:val="es-ES_tradnl"/>
        </w:rPr>
      </w:pPr>
      <w:r w:rsidRPr="00083784">
        <w:rPr>
          <w:rFonts w:ascii="Arial" w:hAnsi="Arial" w:cs="Arial"/>
          <w:color w:val="000000" w:themeColor="text1"/>
          <w:sz w:val="20"/>
          <w:szCs w:val="20"/>
          <w:lang w:val="es-ES_tradnl"/>
        </w:rPr>
        <w:t xml:space="preserve">Sin embargo, el hecho de que no haya una causal de inhabilidad o de incompatibilidad no significa que siempre se pueda celebrar el contrato de prestación de servicios profesionales. Para que ello sea viable, deben cumplirse los requisitos a los que se hizo referencia en el numeral 2.2. de este concepto, pues se recuerda que la celebración del contrato de prestación de servicios profesionales con una persona natural es excepcional, ya que solo es admisible cuando las «actividades no puedan realizarse con personal de planta o requieran conocimientos especializados», lo cual debe justificarse satisfactoriamente en los estudios previos. Además, dicho contrato debe ser temporal y no puede servir para la creación de nóminas paralelas. </w:t>
      </w:r>
      <w:r w:rsidR="002640BA">
        <w:rPr>
          <w:rFonts w:ascii="Arial" w:hAnsi="Arial" w:cs="Arial"/>
          <w:color w:val="000000" w:themeColor="text1"/>
          <w:sz w:val="20"/>
          <w:szCs w:val="20"/>
          <w:lang w:val="es-ES_tradnl"/>
        </w:rPr>
        <w:br w:type="page"/>
      </w:r>
    </w:p>
    <w:p w14:paraId="032099E2" w14:textId="59A9EC05" w:rsidR="00E419C7" w:rsidRDefault="00E419C7" w:rsidP="00E419C7">
      <w:pPr>
        <w:jc w:val="both"/>
        <w:rPr>
          <w:rFonts w:ascii="Arial" w:hAnsi="Arial" w:cs="Arial"/>
          <w:color w:val="000000" w:themeColor="text1"/>
          <w:sz w:val="20"/>
          <w:szCs w:val="20"/>
          <w:lang w:val="es-ES_tradnl"/>
        </w:rPr>
      </w:pPr>
    </w:p>
    <w:p w14:paraId="66D06623" w14:textId="63EB4340" w:rsidR="00083784" w:rsidRDefault="00083784" w:rsidP="00E419C7">
      <w:pPr>
        <w:jc w:val="both"/>
        <w:rPr>
          <w:rFonts w:ascii="Arial" w:hAnsi="Arial" w:cs="Arial"/>
          <w:color w:val="000000" w:themeColor="text1"/>
          <w:sz w:val="20"/>
          <w:szCs w:val="20"/>
          <w:lang w:val="es-ES_tradnl"/>
        </w:rPr>
      </w:pPr>
    </w:p>
    <w:p w14:paraId="537FD5BA" w14:textId="77777777" w:rsidR="00083784" w:rsidRPr="00F95886" w:rsidRDefault="00083784" w:rsidP="00E419C7">
      <w:pPr>
        <w:jc w:val="both"/>
        <w:rPr>
          <w:rFonts w:ascii="Arial" w:hAnsi="Arial" w:cs="Arial"/>
          <w:color w:val="000000" w:themeColor="text1"/>
          <w:sz w:val="20"/>
          <w:szCs w:val="20"/>
          <w:lang w:val="es-ES_tradnl"/>
        </w:rPr>
      </w:pPr>
    </w:p>
    <w:p w14:paraId="17DD85D3" w14:textId="77777777" w:rsidR="00E419C7" w:rsidRPr="00F95886" w:rsidRDefault="00E419C7" w:rsidP="00E419C7">
      <w:pPr>
        <w:spacing w:line="276" w:lineRule="auto"/>
        <w:jc w:val="both"/>
        <w:rPr>
          <w:rFonts w:ascii="Arial" w:hAnsi="Arial" w:cs="Arial"/>
          <w:color w:val="000000" w:themeColor="text1"/>
          <w:sz w:val="20"/>
          <w:szCs w:val="20"/>
          <w:lang w:val="es-ES_tradnl"/>
        </w:rPr>
      </w:pPr>
    </w:p>
    <w:p w14:paraId="792FBBD8" w14:textId="02B2A5B9" w:rsidR="002D2E4E" w:rsidRDefault="00E419C7" w:rsidP="00E419C7">
      <w:pPr>
        <w:pStyle w:val="Default"/>
        <w:rPr>
          <w:b/>
          <w:bCs/>
          <w:color w:val="000000" w:themeColor="text1"/>
          <w:sz w:val="22"/>
          <w:szCs w:val="22"/>
        </w:rPr>
      </w:pPr>
      <w:bookmarkStart w:id="2" w:name="_Hlk63942304"/>
      <w:r w:rsidRPr="00D50465">
        <w:rPr>
          <w:color w:val="000000" w:themeColor="text1"/>
          <w:sz w:val="22"/>
          <w:szCs w:val="22"/>
        </w:rPr>
        <w:t>Bogotá D.C.</w:t>
      </w:r>
      <w:bookmarkEnd w:id="2"/>
      <w:r w:rsidRPr="00D50465">
        <w:rPr>
          <w:color w:val="000000" w:themeColor="text1"/>
          <w:sz w:val="22"/>
          <w:szCs w:val="22"/>
        </w:rPr>
        <w:t xml:space="preserve">, </w:t>
      </w:r>
      <w:r w:rsidR="00083784">
        <w:rPr>
          <w:b/>
          <w:color w:val="000000" w:themeColor="text1"/>
          <w:sz w:val="22"/>
        </w:rPr>
        <w:t>12/02/2021</w:t>
      </w:r>
      <w:r w:rsidR="002D2E4E" w:rsidRPr="00D50465" w:rsidDel="002D2E4E">
        <w:rPr>
          <w:b/>
          <w:bCs/>
          <w:color w:val="000000" w:themeColor="text1"/>
          <w:sz w:val="22"/>
          <w:szCs w:val="22"/>
        </w:rPr>
        <w:t xml:space="preserve"> </w:t>
      </w:r>
    </w:p>
    <w:p w14:paraId="2863B723" w14:textId="27F63FD0" w:rsidR="00E419C7" w:rsidRPr="00D50465" w:rsidRDefault="00E419C7" w:rsidP="00E419C7">
      <w:pPr>
        <w:pStyle w:val="Default"/>
        <w:rPr>
          <w:color w:val="000000" w:themeColor="text1"/>
          <w:sz w:val="22"/>
          <w:szCs w:val="22"/>
        </w:rPr>
      </w:pPr>
      <w:r w:rsidRPr="00D50465">
        <w:rPr>
          <w:b/>
          <w:bCs/>
          <w:color w:val="000000" w:themeColor="text1"/>
          <w:sz w:val="22"/>
          <w:szCs w:val="22"/>
        </w:rPr>
        <w:t xml:space="preserve"> </w:t>
      </w:r>
    </w:p>
    <w:p w14:paraId="14757822" w14:textId="68562A10" w:rsidR="00E419C7" w:rsidRPr="00D50465" w:rsidRDefault="00E419C7" w:rsidP="00E419C7">
      <w:pPr>
        <w:spacing w:line="276" w:lineRule="auto"/>
        <w:jc w:val="right"/>
        <w:rPr>
          <w:rFonts w:ascii="Arial" w:hAnsi="Arial" w:cs="Arial"/>
          <w:b/>
          <w:color w:val="000000" w:themeColor="text1"/>
          <w:sz w:val="22"/>
        </w:rPr>
      </w:pPr>
      <w:r w:rsidRPr="00D50465">
        <w:rPr>
          <w:rFonts w:ascii="Arial" w:hAnsi="Arial" w:cs="Arial"/>
          <w:b/>
          <w:bCs/>
          <w:color w:val="000000" w:themeColor="text1"/>
          <w:sz w:val="22"/>
        </w:rPr>
        <w:t xml:space="preserve">N° Radicado: </w:t>
      </w:r>
      <w:r w:rsidR="00083784" w:rsidRPr="00083784">
        <w:rPr>
          <w:rFonts w:ascii="Arial" w:hAnsi="Arial" w:cs="Arial"/>
          <w:b/>
          <w:sz w:val="22"/>
          <w:szCs w:val="20"/>
        </w:rPr>
        <w:t>P20210104000008</w:t>
      </w:r>
    </w:p>
    <w:p w14:paraId="798E6F96" w14:textId="77777777" w:rsidR="00E419C7" w:rsidRDefault="00E419C7" w:rsidP="00E419C7">
      <w:pPr>
        <w:tabs>
          <w:tab w:val="left" w:pos="3374"/>
        </w:tabs>
        <w:spacing w:line="276" w:lineRule="auto"/>
        <w:rPr>
          <w:rFonts w:ascii="Arial" w:eastAsia="Calibri" w:hAnsi="Arial" w:cs="Arial"/>
          <w:color w:val="000000" w:themeColor="text1"/>
          <w:sz w:val="22"/>
        </w:rPr>
      </w:pPr>
    </w:p>
    <w:p w14:paraId="685BD962" w14:textId="77777777" w:rsidR="00E419C7" w:rsidRPr="00F95886" w:rsidRDefault="00E419C7" w:rsidP="00E419C7">
      <w:pPr>
        <w:rPr>
          <w:rFonts w:ascii="Arial" w:eastAsia="Calibri" w:hAnsi="Arial" w:cs="Arial"/>
          <w:color w:val="000000" w:themeColor="text1"/>
          <w:sz w:val="22"/>
          <w:szCs w:val="20"/>
          <w:lang w:val="es-ES_tradnl"/>
        </w:rPr>
      </w:pPr>
      <w:r w:rsidRPr="00F95886">
        <w:rPr>
          <w:rFonts w:ascii="Arial" w:eastAsia="Calibri" w:hAnsi="Arial" w:cs="Arial"/>
          <w:color w:val="000000" w:themeColor="text1"/>
          <w:sz w:val="22"/>
          <w:szCs w:val="20"/>
          <w:lang w:val="es-ES_tradnl"/>
        </w:rPr>
        <w:t>Señora</w:t>
      </w:r>
    </w:p>
    <w:p w14:paraId="26AF633D" w14:textId="4E5292CA" w:rsidR="00E419C7" w:rsidRPr="00F95886" w:rsidRDefault="002D2E4E" w:rsidP="00E419C7">
      <w:pPr>
        <w:rPr>
          <w:rFonts w:ascii="Arial" w:eastAsia="Calibri" w:hAnsi="Arial" w:cs="Arial"/>
          <w:b/>
          <w:color w:val="000000" w:themeColor="text1"/>
          <w:sz w:val="22"/>
          <w:szCs w:val="20"/>
          <w:lang w:val="es-ES_tradnl"/>
        </w:rPr>
      </w:pPr>
      <w:r w:rsidRPr="002D2E4E">
        <w:rPr>
          <w:rFonts w:ascii="Arial" w:eastAsia="Calibri" w:hAnsi="Arial" w:cs="Arial"/>
          <w:b/>
          <w:color w:val="000000" w:themeColor="text1"/>
          <w:sz w:val="22"/>
          <w:szCs w:val="20"/>
          <w:lang w:val="es-ES_tradnl"/>
        </w:rPr>
        <w:t xml:space="preserve">Jenny Paola </w:t>
      </w:r>
      <w:bookmarkStart w:id="3" w:name="_Hlk63942442"/>
      <w:r w:rsidRPr="002D2E4E">
        <w:rPr>
          <w:rFonts w:ascii="Arial" w:eastAsia="Calibri" w:hAnsi="Arial" w:cs="Arial"/>
          <w:b/>
          <w:color w:val="000000" w:themeColor="text1"/>
          <w:sz w:val="22"/>
          <w:szCs w:val="20"/>
          <w:lang w:val="es-ES_tradnl"/>
        </w:rPr>
        <w:t xml:space="preserve">Montillo </w:t>
      </w:r>
      <w:proofErr w:type="spellStart"/>
      <w:r w:rsidRPr="002D2E4E">
        <w:rPr>
          <w:rFonts w:ascii="Arial" w:eastAsia="Calibri" w:hAnsi="Arial" w:cs="Arial"/>
          <w:b/>
          <w:color w:val="000000" w:themeColor="text1"/>
          <w:sz w:val="22"/>
          <w:szCs w:val="20"/>
          <w:lang w:val="es-ES_tradnl"/>
        </w:rPr>
        <w:t>Gelvez</w:t>
      </w:r>
      <w:bookmarkEnd w:id="3"/>
      <w:proofErr w:type="spellEnd"/>
    </w:p>
    <w:p w14:paraId="317EDE72" w14:textId="50D63177" w:rsidR="00E419C7" w:rsidRPr="00F95886" w:rsidRDefault="002D2E4E" w:rsidP="00E419C7">
      <w:pPr>
        <w:rPr>
          <w:rFonts w:ascii="Arial" w:eastAsia="Calibri" w:hAnsi="Arial" w:cs="Arial"/>
          <w:b/>
          <w:color w:val="000000" w:themeColor="text1"/>
          <w:sz w:val="22"/>
          <w:szCs w:val="20"/>
          <w:lang w:val="es-ES_tradnl"/>
        </w:rPr>
      </w:pPr>
      <w:r w:rsidRPr="002D2E4E">
        <w:rPr>
          <w:rFonts w:ascii="Arial" w:eastAsia="Calibri" w:hAnsi="Arial" w:cs="Arial"/>
          <w:color w:val="000000" w:themeColor="text1"/>
          <w:sz w:val="22"/>
          <w:szCs w:val="20"/>
          <w:lang w:val="es-ES_tradnl"/>
        </w:rPr>
        <w:t>Bogotá D.C.</w:t>
      </w:r>
    </w:p>
    <w:p w14:paraId="6B289999" w14:textId="77777777" w:rsidR="00E419C7" w:rsidRDefault="00E419C7" w:rsidP="00E419C7">
      <w:pPr>
        <w:jc w:val="center"/>
        <w:rPr>
          <w:rFonts w:ascii="Arial" w:eastAsia="Calibri" w:hAnsi="Arial" w:cs="Arial"/>
          <w:b/>
          <w:color w:val="000000" w:themeColor="text1"/>
          <w:sz w:val="22"/>
          <w:lang w:val="es-ES_tradnl"/>
        </w:rPr>
      </w:pPr>
    </w:p>
    <w:p w14:paraId="0F9968CA" w14:textId="77777777" w:rsidR="00E419C7" w:rsidRPr="00F95886" w:rsidRDefault="00E419C7" w:rsidP="00E419C7">
      <w:pPr>
        <w:jc w:val="center"/>
        <w:rPr>
          <w:rFonts w:ascii="Arial" w:eastAsia="Calibri" w:hAnsi="Arial" w:cs="Arial"/>
          <w:b/>
          <w:color w:val="000000" w:themeColor="text1"/>
          <w:sz w:val="22"/>
          <w:lang w:val="es-ES_tradnl"/>
        </w:rPr>
      </w:pPr>
    </w:p>
    <w:p w14:paraId="0B55B792" w14:textId="4B560804" w:rsidR="00E419C7" w:rsidRDefault="002D2E4E" w:rsidP="00DC2B66">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                                            </w:t>
      </w:r>
      <w:r w:rsidR="00E419C7" w:rsidRPr="00F95886">
        <w:rPr>
          <w:rFonts w:ascii="Arial" w:eastAsia="Calibri" w:hAnsi="Arial" w:cs="Arial"/>
          <w:b/>
          <w:color w:val="000000" w:themeColor="text1"/>
          <w:sz w:val="22"/>
          <w:lang w:val="es-ES_tradnl"/>
        </w:rPr>
        <w:t xml:space="preserve">Concepto C </w:t>
      </w:r>
      <w:r>
        <w:rPr>
          <w:rFonts w:ascii="Arial" w:eastAsia="Calibri" w:hAnsi="Arial" w:cs="Arial"/>
          <w:b/>
          <w:color w:val="000000" w:themeColor="text1"/>
          <w:sz w:val="22"/>
          <w:lang w:val="es-ES_tradnl"/>
        </w:rPr>
        <w:t>–</w:t>
      </w:r>
      <w:r w:rsidR="00E419C7" w:rsidRPr="00F95886">
        <w:rPr>
          <w:rFonts w:ascii="Arial" w:eastAsia="Calibri" w:hAnsi="Arial" w:cs="Arial"/>
          <w:b/>
          <w:color w:val="000000" w:themeColor="text1"/>
          <w:sz w:val="22"/>
          <w:lang w:val="es-ES_tradnl"/>
        </w:rPr>
        <w:t xml:space="preserve"> 0</w:t>
      </w:r>
      <w:r>
        <w:rPr>
          <w:rFonts w:ascii="Arial" w:eastAsia="Calibri" w:hAnsi="Arial" w:cs="Arial"/>
          <w:b/>
          <w:color w:val="000000" w:themeColor="text1"/>
          <w:sz w:val="22"/>
          <w:lang w:val="es-ES_tradnl"/>
        </w:rPr>
        <w:t>04</w:t>
      </w:r>
      <w:r w:rsidR="00E419C7" w:rsidRPr="00F95886">
        <w:rPr>
          <w:rFonts w:ascii="Arial" w:eastAsia="Calibri" w:hAnsi="Arial" w:cs="Arial"/>
          <w:b/>
          <w:color w:val="000000" w:themeColor="text1"/>
          <w:sz w:val="22"/>
          <w:lang w:val="es-ES_tradnl"/>
        </w:rPr>
        <w:t xml:space="preserve"> de 202</w:t>
      </w:r>
      <w:r>
        <w:rPr>
          <w:rFonts w:ascii="Arial" w:eastAsia="Calibri" w:hAnsi="Arial" w:cs="Arial"/>
          <w:b/>
          <w:color w:val="000000" w:themeColor="text1"/>
          <w:sz w:val="22"/>
          <w:lang w:val="es-ES_tradnl"/>
        </w:rPr>
        <w:t>1</w:t>
      </w:r>
    </w:p>
    <w:p w14:paraId="51941B2A" w14:textId="77777777" w:rsidR="00E419C7" w:rsidRPr="00F95886" w:rsidRDefault="00E419C7" w:rsidP="00E419C7">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419C7" w:rsidRPr="00F95886" w14:paraId="5B70DAC7" w14:textId="77777777" w:rsidTr="00A23E4E">
        <w:tc>
          <w:tcPr>
            <w:tcW w:w="2689" w:type="dxa"/>
            <w:hideMark/>
          </w:tcPr>
          <w:p w14:paraId="39E306D4" w14:textId="77777777" w:rsidR="00E419C7" w:rsidRPr="00F95886" w:rsidRDefault="00E419C7" w:rsidP="00A23E4E">
            <w:pPr>
              <w:rPr>
                <w:rFonts w:ascii="Arial" w:eastAsia="Calibri" w:hAnsi="Arial" w:cs="Arial"/>
                <w:color w:val="000000" w:themeColor="text1"/>
                <w:sz w:val="22"/>
                <w:lang w:val="es-ES_tradnl"/>
              </w:rPr>
            </w:pPr>
            <w:r w:rsidRPr="00F95886">
              <w:rPr>
                <w:rFonts w:ascii="Arial" w:eastAsia="Calibri" w:hAnsi="Arial" w:cs="Arial"/>
                <w:b/>
                <w:color w:val="000000" w:themeColor="text1"/>
                <w:sz w:val="22"/>
                <w:lang w:val="es-ES_tradnl"/>
              </w:rPr>
              <w:t>Temas:</w:t>
            </w:r>
            <w:r w:rsidRPr="00F95886">
              <w:rPr>
                <w:rFonts w:ascii="Arial" w:eastAsia="Calibri" w:hAnsi="Arial" w:cs="Arial"/>
                <w:color w:val="000000" w:themeColor="text1"/>
                <w:sz w:val="22"/>
                <w:lang w:val="es-ES_tradnl"/>
              </w:rPr>
              <w:t xml:space="preserve">           </w:t>
            </w:r>
          </w:p>
          <w:p w14:paraId="5589D46C" w14:textId="77777777" w:rsidR="00E419C7" w:rsidRPr="00F95886" w:rsidRDefault="00E419C7" w:rsidP="00A23E4E">
            <w:pPr>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                           </w:t>
            </w:r>
          </w:p>
        </w:tc>
        <w:tc>
          <w:tcPr>
            <w:tcW w:w="6237" w:type="dxa"/>
            <w:hideMark/>
          </w:tcPr>
          <w:p w14:paraId="23A7122C" w14:textId="77777777" w:rsidR="00E419C7" w:rsidRPr="00F95886" w:rsidRDefault="00E419C7" w:rsidP="00DC2B66">
            <w:pPr>
              <w:spacing w:after="120"/>
              <w:jc w:val="both"/>
              <w:rPr>
                <w:rFonts w:ascii="Arial" w:eastAsia="Calibri" w:hAnsi="Arial" w:cs="Arial"/>
                <w:color w:val="000000" w:themeColor="text1"/>
                <w:sz w:val="22"/>
                <w:lang w:val="es-ES_tradnl"/>
              </w:rPr>
            </w:pPr>
            <w:r>
              <w:rPr>
                <w:rFonts w:ascii="Arial" w:hAnsi="Arial" w:cs="Arial"/>
                <w:color w:val="000000" w:themeColor="text1"/>
                <w:sz w:val="22"/>
                <w:lang w:val="es-ES_tradnl"/>
              </w:rPr>
              <w:t xml:space="preserve">REGIMEN DE </w:t>
            </w:r>
            <w:r w:rsidRPr="00F95886">
              <w:rPr>
                <w:rFonts w:ascii="Arial" w:hAnsi="Arial" w:cs="Arial"/>
                <w:color w:val="000000" w:themeColor="text1"/>
                <w:sz w:val="22"/>
                <w:lang w:val="es-ES_tradnl"/>
              </w:rPr>
              <w:t>INHABILIDADES E INCOMPATIBILIDADES ― Concepto ― Principio de legalidad ― Interpretación restrictiva / CONTRATO DE PRESTACIÓN DE SERVICIOS PROFESIONALES ― Concepto ― Requisitos y límites para su celebración /</w:t>
            </w:r>
            <w:r w:rsidRPr="00F95886">
              <w:rPr>
                <w:color w:val="000000" w:themeColor="text1"/>
              </w:rPr>
              <w:t xml:space="preserve"> </w:t>
            </w:r>
            <w:r w:rsidRPr="00705F07">
              <w:rPr>
                <w:rFonts w:ascii="Arial" w:hAnsi="Arial" w:cs="Arial"/>
                <w:color w:val="000000" w:themeColor="text1"/>
                <w:sz w:val="22"/>
                <w:lang w:val="es-ES_tradnl"/>
              </w:rPr>
              <w:t>CONTRATO DE PRESTACION DE SERVICIOS – Celebración – Simultaneidad – Posibilidad – Ausencia – Inhabilidad e incompatibilidad</w:t>
            </w:r>
          </w:p>
        </w:tc>
      </w:tr>
      <w:tr w:rsidR="00E419C7" w:rsidRPr="00F95886" w14:paraId="2891D54E" w14:textId="77777777" w:rsidTr="00A23E4E">
        <w:tc>
          <w:tcPr>
            <w:tcW w:w="2689" w:type="dxa"/>
          </w:tcPr>
          <w:p w14:paraId="1385F85C" w14:textId="77777777" w:rsidR="00E419C7" w:rsidRPr="00F95886" w:rsidRDefault="00E419C7" w:rsidP="00A23E4E">
            <w:pPr>
              <w:rPr>
                <w:rFonts w:ascii="Arial" w:eastAsia="Calibri" w:hAnsi="Arial" w:cs="Arial"/>
                <w:b/>
                <w:color w:val="000000" w:themeColor="text1"/>
                <w:sz w:val="22"/>
                <w:lang w:val="es-ES_tradnl"/>
              </w:rPr>
            </w:pPr>
            <w:r w:rsidRPr="00F95886">
              <w:rPr>
                <w:rFonts w:ascii="Arial" w:eastAsia="Calibri" w:hAnsi="Arial" w:cs="Arial"/>
                <w:b/>
                <w:color w:val="000000" w:themeColor="text1"/>
                <w:sz w:val="22"/>
                <w:lang w:val="es-ES_tradnl"/>
              </w:rPr>
              <w:t>Radicación:</w:t>
            </w:r>
            <w:r w:rsidRPr="00F95886">
              <w:rPr>
                <w:rFonts w:ascii="Arial" w:eastAsia="Calibri" w:hAnsi="Arial" w:cs="Arial"/>
                <w:color w:val="000000" w:themeColor="text1"/>
                <w:sz w:val="22"/>
                <w:lang w:val="es-ES_tradnl"/>
              </w:rPr>
              <w:t xml:space="preserve">                              </w:t>
            </w:r>
          </w:p>
        </w:tc>
        <w:tc>
          <w:tcPr>
            <w:tcW w:w="6237" w:type="dxa"/>
          </w:tcPr>
          <w:p w14:paraId="1595A2C3" w14:textId="1394BA7C" w:rsidR="00E419C7" w:rsidRPr="00F95886" w:rsidRDefault="00E419C7" w:rsidP="00A23E4E">
            <w:pPr>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Respuesta a consulta </w:t>
            </w:r>
            <w:r w:rsidR="001F4336" w:rsidRPr="001F4336">
              <w:rPr>
                <w:rFonts w:ascii="Arial" w:eastAsia="Calibri" w:hAnsi="Arial" w:cs="Arial"/>
                <w:color w:val="000000" w:themeColor="text1"/>
                <w:sz w:val="22"/>
                <w:lang w:val="es-ES_tradnl"/>
              </w:rPr>
              <w:t>P20210104000008</w:t>
            </w:r>
          </w:p>
        </w:tc>
      </w:tr>
    </w:tbl>
    <w:p w14:paraId="7DB0C93B" w14:textId="2A6F45FC" w:rsidR="00E419C7" w:rsidRDefault="00E419C7" w:rsidP="00E419C7">
      <w:pPr>
        <w:jc w:val="both"/>
        <w:rPr>
          <w:rFonts w:ascii="Arial" w:eastAsia="Calibri" w:hAnsi="Arial" w:cs="Arial"/>
          <w:color w:val="000000" w:themeColor="text1"/>
          <w:sz w:val="22"/>
          <w:lang w:val="es-ES_tradnl"/>
        </w:rPr>
      </w:pPr>
    </w:p>
    <w:p w14:paraId="23BF6371" w14:textId="77777777" w:rsidR="001F4336" w:rsidRPr="00F95886" w:rsidRDefault="001F4336" w:rsidP="00E419C7">
      <w:pPr>
        <w:jc w:val="both"/>
        <w:rPr>
          <w:rFonts w:ascii="Arial" w:eastAsia="Calibri" w:hAnsi="Arial" w:cs="Arial"/>
          <w:color w:val="000000" w:themeColor="text1"/>
          <w:sz w:val="22"/>
          <w:lang w:val="es-ES_tradnl"/>
        </w:rPr>
      </w:pPr>
    </w:p>
    <w:p w14:paraId="0224C99C" w14:textId="4BC2EFCD" w:rsidR="00E419C7" w:rsidRPr="00F95886" w:rsidRDefault="00E419C7" w:rsidP="00E419C7">
      <w:pPr>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Estimada señora </w:t>
      </w:r>
      <w:r w:rsidR="001F4336" w:rsidRPr="001F4336">
        <w:rPr>
          <w:rFonts w:ascii="Arial" w:eastAsia="Calibri" w:hAnsi="Arial" w:cs="Arial"/>
          <w:color w:val="000000" w:themeColor="text1"/>
          <w:sz w:val="22"/>
          <w:lang w:val="es-ES_tradnl"/>
        </w:rPr>
        <w:t xml:space="preserve">Montillo </w:t>
      </w:r>
      <w:proofErr w:type="spellStart"/>
      <w:r w:rsidR="001F4336" w:rsidRPr="001F4336">
        <w:rPr>
          <w:rFonts w:ascii="Arial" w:eastAsia="Calibri" w:hAnsi="Arial" w:cs="Arial"/>
          <w:color w:val="000000" w:themeColor="text1"/>
          <w:sz w:val="22"/>
          <w:lang w:val="es-ES_tradnl"/>
        </w:rPr>
        <w:t>Gelvez</w:t>
      </w:r>
      <w:proofErr w:type="spellEnd"/>
      <w:r w:rsidR="001F4336">
        <w:rPr>
          <w:rFonts w:ascii="Arial" w:eastAsia="Calibri" w:hAnsi="Arial" w:cs="Arial"/>
          <w:color w:val="000000" w:themeColor="text1"/>
          <w:sz w:val="22"/>
          <w:lang w:val="es-ES_tradnl"/>
        </w:rPr>
        <w:t>:</w:t>
      </w:r>
    </w:p>
    <w:p w14:paraId="58570BCF" w14:textId="77777777" w:rsidR="00E419C7" w:rsidRPr="00F95886" w:rsidRDefault="00E419C7" w:rsidP="00E419C7">
      <w:pPr>
        <w:rPr>
          <w:rFonts w:ascii="Arial" w:eastAsia="Calibri" w:hAnsi="Arial" w:cs="Arial"/>
          <w:color w:val="000000" w:themeColor="text1"/>
          <w:sz w:val="22"/>
          <w:lang w:val="es-ES_tradnl"/>
        </w:rPr>
      </w:pPr>
    </w:p>
    <w:p w14:paraId="1E6CEF80" w14:textId="1DC5C9E3" w:rsidR="00E419C7" w:rsidRPr="00F95886" w:rsidRDefault="001F4336" w:rsidP="00E419C7">
      <w:pPr>
        <w:spacing w:line="276" w:lineRule="auto"/>
        <w:ind w:right="49"/>
        <w:jc w:val="both"/>
        <w:rPr>
          <w:rFonts w:ascii="Arial" w:eastAsia="Calibri" w:hAnsi="Arial" w:cs="Arial"/>
          <w:color w:val="000000" w:themeColor="text1"/>
          <w:sz w:val="22"/>
          <w:lang w:val="es-ES_tradnl"/>
        </w:rPr>
      </w:pPr>
      <w:r w:rsidRPr="001F4336">
        <w:rPr>
          <w:rFonts w:ascii="Arial" w:eastAsia="Calibri" w:hAnsi="Arial" w:cs="Arial"/>
          <w:color w:val="000000" w:themeColor="text1"/>
          <w:sz w:val="22"/>
          <w:lang w:val="es-ES_tradnl"/>
        </w:rPr>
        <w:t>En ejercicio de la competencia otorgada por los artículos 11, numeral 8º, y 3º, numeral 5º, del Decreto Ley 4170 de 2011, la Agencia Nacional de Contratación Pública―Colombia Compra Eficiente responde su consulta del 4 de enero de 202</w:t>
      </w:r>
      <w:r w:rsidR="00DC2B66">
        <w:rPr>
          <w:rFonts w:ascii="Arial" w:eastAsia="Calibri" w:hAnsi="Arial" w:cs="Arial"/>
          <w:color w:val="000000" w:themeColor="text1"/>
          <w:sz w:val="22"/>
          <w:lang w:val="es-ES_tradnl"/>
        </w:rPr>
        <w:t>1</w:t>
      </w:r>
      <w:r w:rsidR="00E419C7" w:rsidRPr="00F95886">
        <w:rPr>
          <w:rFonts w:ascii="Arial" w:eastAsia="Calibri" w:hAnsi="Arial" w:cs="Arial"/>
          <w:color w:val="000000" w:themeColor="text1"/>
          <w:sz w:val="22"/>
          <w:lang w:val="es-ES_tradnl"/>
        </w:rPr>
        <w:t xml:space="preserve">. </w:t>
      </w:r>
    </w:p>
    <w:p w14:paraId="542CD02C" w14:textId="77777777" w:rsidR="00E419C7" w:rsidRPr="00F95886" w:rsidRDefault="00E419C7" w:rsidP="00E419C7">
      <w:pPr>
        <w:spacing w:line="276" w:lineRule="auto"/>
        <w:jc w:val="both"/>
        <w:rPr>
          <w:rFonts w:ascii="Arial" w:eastAsia="Calibri" w:hAnsi="Arial" w:cs="Arial"/>
          <w:color w:val="000000" w:themeColor="text1"/>
          <w:sz w:val="22"/>
          <w:lang w:val="es-ES_tradnl"/>
        </w:rPr>
      </w:pPr>
    </w:p>
    <w:p w14:paraId="563B1D8C" w14:textId="77777777" w:rsidR="00E419C7" w:rsidRPr="00F95886" w:rsidRDefault="00E419C7" w:rsidP="00E419C7">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F95886">
        <w:rPr>
          <w:rFonts w:ascii="Arial" w:eastAsia="Calibri" w:hAnsi="Arial" w:cs="Arial"/>
          <w:b/>
          <w:color w:val="000000" w:themeColor="text1"/>
          <w:sz w:val="22"/>
        </w:rPr>
        <w:t xml:space="preserve">Problemas planteados </w:t>
      </w:r>
    </w:p>
    <w:p w14:paraId="34E95D7A" w14:textId="77777777" w:rsidR="00E419C7" w:rsidRPr="00F95886" w:rsidRDefault="00E419C7" w:rsidP="00E419C7">
      <w:pPr>
        <w:tabs>
          <w:tab w:val="left" w:pos="426"/>
        </w:tabs>
        <w:spacing w:line="276" w:lineRule="auto"/>
        <w:jc w:val="both"/>
        <w:rPr>
          <w:rFonts w:ascii="Arial" w:eastAsia="Calibri" w:hAnsi="Arial" w:cs="Arial"/>
          <w:b/>
          <w:color w:val="000000" w:themeColor="text1"/>
          <w:sz w:val="22"/>
        </w:rPr>
      </w:pPr>
    </w:p>
    <w:p w14:paraId="77B3CE16" w14:textId="3E0A6B33" w:rsidR="00E419C7" w:rsidRPr="00F95886" w:rsidRDefault="00E419C7" w:rsidP="001F4336">
      <w:pPr>
        <w:tabs>
          <w:tab w:val="left" w:pos="426"/>
        </w:tabs>
        <w:spacing w:line="276" w:lineRule="auto"/>
        <w:jc w:val="both"/>
        <w:rPr>
          <w:rFonts w:ascii="Arial" w:eastAsia="Calibri" w:hAnsi="Arial" w:cs="Arial"/>
          <w:color w:val="000000" w:themeColor="text1"/>
          <w:sz w:val="22"/>
        </w:rPr>
      </w:pPr>
      <w:r w:rsidRPr="00F95886">
        <w:rPr>
          <w:rFonts w:ascii="Arial" w:eastAsia="Calibri" w:hAnsi="Arial" w:cs="Arial"/>
          <w:color w:val="000000" w:themeColor="text1"/>
          <w:sz w:val="22"/>
        </w:rPr>
        <w:t>Usted realiza la</w:t>
      </w:r>
      <w:r w:rsidR="001F4336">
        <w:rPr>
          <w:rFonts w:ascii="Arial" w:eastAsia="Calibri" w:hAnsi="Arial" w:cs="Arial"/>
          <w:color w:val="000000" w:themeColor="text1"/>
          <w:sz w:val="22"/>
        </w:rPr>
        <w:t>s</w:t>
      </w:r>
      <w:r w:rsidRPr="00F95886">
        <w:rPr>
          <w:rFonts w:ascii="Arial" w:eastAsia="Calibri" w:hAnsi="Arial" w:cs="Arial"/>
          <w:color w:val="000000" w:themeColor="text1"/>
          <w:sz w:val="22"/>
        </w:rPr>
        <w:t xml:space="preserve"> siguiente</w:t>
      </w:r>
      <w:r w:rsidR="001F4336">
        <w:rPr>
          <w:rFonts w:ascii="Arial" w:eastAsia="Calibri" w:hAnsi="Arial" w:cs="Arial"/>
          <w:color w:val="000000" w:themeColor="text1"/>
          <w:sz w:val="22"/>
        </w:rPr>
        <w:t>s</w:t>
      </w:r>
      <w:r w:rsidRPr="00F95886">
        <w:rPr>
          <w:rFonts w:ascii="Arial" w:eastAsia="Calibri" w:hAnsi="Arial" w:cs="Arial"/>
          <w:color w:val="000000" w:themeColor="text1"/>
          <w:sz w:val="22"/>
        </w:rPr>
        <w:t xml:space="preserve"> pregunta</w:t>
      </w:r>
      <w:r w:rsidR="001F4336">
        <w:rPr>
          <w:rFonts w:ascii="Arial" w:eastAsia="Calibri" w:hAnsi="Arial" w:cs="Arial"/>
          <w:color w:val="000000" w:themeColor="text1"/>
          <w:sz w:val="22"/>
        </w:rPr>
        <w:t>s</w:t>
      </w:r>
      <w:r w:rsidRPr="00F95886">
        <w:rPr>
          <w:rFonts w:ascii="Arial" w:eastAsia="Calibri" w:hAnsi="Arial" w:cs="Arial"/>
          <w:color w:val="000000" w:themeColor="text1"/>
          <w:sz w:val="22"/>
        </w:rPr>
        <w:t xml:space="preserve">: </w:t>
      </w:r>
      <w:bookmarkStart w:id="4" w:name="_Hlk63944432"/>
      <w:r w:rsidR="001F4336">
        <w:rPr>
          <w:rFonts w:ascii="Arial" w:eastAsia="Calibri" w:hAnsi="Arial" w:cs="Arial"/>
          <w:color w:val="000000" w:themeColor="text1"/>
          <w:sz w:val="22"/>
        </w:rPr>
        <w:t xml:space="preserve">i) «[…] </w:t>
      </w:r>
      <w:r w:rsidR="001F4336" w:rsidRPr="001F4336">
        <w:rPr>
          <w:rFonts w:ascii="Arial" w:eastAsia="Calibri" w:hAnsi="Arial" w:cs="Arial"/>
          <w:color w:val="000000" w:themeColor="text1"/>
          <w:sz w:val="22"/>
        </w:rPr>
        <w:t>hay algún impedimento jurídico para que una persona natural pueda firmar contratos de prestación de servicios con entidades estatales diferentes, durante el mismo periodo de tiempo</w:t>
      </w:r>
      <w:r w:rsidR="001F4336">
        <w:rPr>
          <w:rFonts w:ascii="Arial" w:eastAsia="Calibri" w:hAnsi="Arial" w:cs="Arial"/>
          <w:color w:val="000000" w:themeColor="text1"/>
          <w:sz w:val="22"/>
        </w:rPr>
        <w:t xml:space="preserve">. </w:t>
      </w:r>
      <w:r w:rsidR="001F4336" w:rsidRPr="001F4336">
        <w:rPr>
          <w:rFonts w:ascii="Arial" w:eastAsia="Calibri" w:hAnsi="Arial" w:cs="Arial"/>
          <w:color w:val="000000" w:themeColor="text1"/>
          <w:sz w:val="22"/>
        </w:rPr>
        <w:t>Por ejemplo:</w:t>
      </w:r>
      <w:r w:rsidR="001F4336">
        <w:rPr>
          <w:rFonts w:ascii="Arial" w:eastAsia="Calibri" w:hAnsi="Arial" w:cs="Arial"/>
          <w:color w:val="000000" w:themeColor="text1"/>
          <w:sz w:val="22"/>
        </w:rPr>
        <w:t xml:space="preserve"> u</w:t>
      </w:r>
      <w:r w:rsidR="001F4336" w:rsidRPr="001F4336">
        <w:rPr>
          <w:rFonts w:ascii="Arial" w:eastAsia="Calibri" w:hAnsi="Arial" w:cs="Arial"/>
          <w:color w:val="000000" w:themeColor="text1"/>
          <w:sz w:val="22"/>
        </w:rPr>
        <w:t>n contrato de prestación de servicios de enero a abril de 2021 con una entidad estatal y</w:t>
      </w:r>
      <w:r w:rsidR="001F4336">
        <w:rPr>
          <w:rFonts w:ascii="Arial" w:eastAsia="Calibri" w:hAnsi="Arial" w:cs="Arial"/>
          <w:color w:val="000000" w:themeColor="text1"/>
          <w:sz w:val="22"/>
        </w:rPr>
        <w:t xml:space="preserve"> u</w:t>
      </w:r>
      <w:r w:rsidR="001F4336" w:rsidRPr="001F4336">
        <w:rPr>
          <w:rFonts w:ascii="Arial" w:eastAsia="Calibri" w:hAnsi="Arial" w:cs="Arial"/>
          <w:color w:val="000000" w:themeColor="text1"/>
          <w:sz w:val="22"/>
        </w:rPr>
        <w:t>n contrato de prestación de servicios de febrero a noviembre de 2021 con otra entidad estatal diferente a la anterior</w:t>
      </w:r>
      <w:r w:rsidR="001F4336">
        <w:rPr>
          <w:rFonts w:ascii="Arial" w:eastAsia="Calibri" w:hAnsi="Arial" w:cs="Arial"/>
          <w:color w:val="000000" w:themeColor="text1"/>
          <w:sz w:val="22"/>
        </w:rPr>
        <w:t>», ii) «</w:t>
      </w:r>
      <w:r w:rsidR="001F4336" w:rsidRPr="001F4336">
        <w:rPr>
          <w:rFonts w:ascii="Arial" w:eastAsia="Calibri" w:hAnsi="Arial" w:cs="Arial"/>
          <w:color w:val="000000" w:themeColor="text1"/>
          <w:sz w:val="22"/>
        </w:rPr>
        <w:t>¿La simultaneidad en los contratos genera algún tipo de inhabilidad o impedimento?</w:t>
      </w:r>
      <w:r w:rsidR="001F4336">
        <w:rPr>
          <w:rFonts w:ascii="Arial" w:eastAsia="Calibri" w:hAnsi="Arial" w:cs="Arial"/>
          <w:color w:val="000000" w:themeColor="text1"/>
          <w:sz w:val="22"/>
        </w:rPr>
        <w:t>» y iii) «</w:t>
      </w:r>
      <w:r w:rsidR="001F4336" w:rsidRPr="001F4336">
        <w:rPr>
          <w:rFonts w:ascii="Arial" w:eastAsia="Calibri" w:hAnsi="Arial" w:cs="Arial"/>
          <w:color w:val="000000" w:themeColor="text1"/>
          <w:sz w:val="22"/>
        </w:rPr>
        <w:t>¿Una misma persona podría ejecutar los dos contratos del ejemplo?»</w:t>
      </w:r>
      <w:r w:rsidRPr="00F95886">
        <w:rPr>
          <w:rFonts w:ascii="Arial" w:eastAsia="Calibri" w:hAnsi="Arial" w:cs="Arial"/>
          <w:color w:val="000000" w:themeColor="text1"/>
          <w:sz w:val="22"/>
        </w:rPr>
        <w:t xml:space="preserve">.  </w:t>
      </w:r>
    </w:p>
    <w:bookmarkEnd w:id="4"/>
    <w:p w14:paraId="47F607BF" w14:textId="185ADC8F" w:rsidR="00E419C7" w:rsidRDefault="00E419C7" w:rsidP="00E419C7">
      <w:pPr>
        <w:tabs>
          <w:tab w:val="left" w:pos="426"/>
        </w:tabs>
        <w:spacing w:line="276" w:lineRule="auto"/>
        <w:jc w:val="both"/>
        <w:rPr>
          <w:rFonts w:ascii="Arial" w:eastAsia="Calibri" w:hAnsi="Arial" w:cs="Arial"/>
          <w:color w:val="000000" w:themeColor="text1"/>
          <w:sz w:val="22"/>
        </w:rPr>
      </w:pPr>
    </w:p>
    <w:p w14:paraId="70CC2420" w14:textId="77777777" w:rsidR="00B61357" w:rsidRPr="00F95886" w:rsidRDefault="00B61357" w:rsidP="00E419C7">
      <w:pPr>
        <w:tabs>
          <w:tab w:val="left" w:pos="426"/>
        </w:tabs>
        <w:spacing w:line="276" w:lineRule="auto"/>
        <w:jc w:val="both"/>
        <w:rPr>
          <w:rFonts w:ascii="Arial" w:eastAsia="Calibri" w:hAnsi="Arial" w:cs="Arial"/>
          <w:color w:val="000000" w:themeColor="text1"/>
          <w:sz w:val="22"/>
        </w:rPr>
      </w:pPr>
    </w:p>
    <w:p w14:paraId="4493F7A3" w14:textId="77777777" w:rsidR="00E419C7" w:rsidRPr="00F95886" w:rsidRDefault="00E419C7" w:rsidP="00E419C7">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F95886">
        <w:rPr>
          <w:rFonts w:ascii="Arial" w:eastAsia="Calibri" w:hAnsi="Arial" w:cs="Arial"/>
          <w:b/>
          <w:color w:val="000000" w:themeColor="text1"/>
          <w:sz w:val="22"/>
        </w:rPr>
        <w:lastRenderedPageBreak/>
        <w:t>Consideraciones</w:t>
      </w:r>
    </w:p>
    <w:bookmarkEnd w:id="0"/>
    <w:bookmarkEnd w:id="1"/>
    <w:p w14:paraId="7B900C77" w14:textId="77777777" w:rsidR="00E419C7" w:rsidRPr="00F95886" w:rsidRDefault="00E419C7" w:rsidP="00E419C7">
      <w:pPr>
        <w:spacing w:line="276" w:lineRule="auto"/>
        <w:jc w:val="both"/>
        <w:rPr>
          <w:rFonts w:ascii="Arial" w:hAnsi="Arial" w:cs="Arial"/>
          <w:color w:val="000000" w:themeColor="text1"/>
          <w:sz w:val="22"/>
          <w:lang w:val="es-ES_tradnl"/>
        </w:rPr>
      </w:pPr>
    </w:p>
    <w:p w14:paraId="603B32C8" w14:textId="49D3684E" w:rsidR="00E419C7" w:rsidRDefault="00E419C7" w:rsidP="00DC2B66">
      <w:pPr>
        <w:spacing w:after="120" w:line="276" w:lineRule="auto"/>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Para desarrollar el problema planteado, en primer lugar, se explicarán las características del régimen de inhabilidades e incompatibilidades en la contratación estatal, como límite a la capacidad para participar en procedimientos de selección y para celebrar contratos estatales. De manera especial, se sustentará la idea de que la interpretación restrictiva es un criterio hermenéutico que debe aplicarse, al tratar de desentrañar el sentido de las disposiciones que integran dicho régimen. En segundo lugar, se analizará el concepto, así como los requisitos y límites del contrato de prestación de servicios profesionales. En tercer lugar, se abordará la cuestión de si una entidad estatal puede celebrar dos o más contratos de prestación de servicios profesionales con alguien y si dichos contratos pueden coexistir.</w:t>
      </w:r>
    </w:p>
    <w:p w14:paraId="4B376879" w14:textId="0F216B19" w:rsidR="00783AC5" w:rsidRPr="00783AC5" w:rsidRDefault="00783AC5" w:rsidP="00783AC5">
      <w:pPr>
        <w:spacing w:line="276" w:lineRule="auto"/>
        <w:ind w:firstLine="708"/>
        <w:jc w:val="both"/>
        <w:rPr>
          <w:rFonts w:ascii="Arial" w:eastAsia="Calibri" w:hAnsi="Arial" w:cs="Arial"/>
          <w:color w:val="000000" w:themeColor="text1"/>
          <w:sz w:val="22"/>
        </w:rPr>
      </w:pPr>
      <w:r w:rsidRPr="00783AC5">
        <w:rPr>
          <w:rFonts w:ascii="Arial" w:eastAsia="Calibri" w:hAnsi="Arial" w:cs="Arial"/>
          <w:color w:val="000000" w:themeColor="text1"/>
          <w:sz w:val="22"/>
          <w:lang w:val="es-ES_tradnl"/>
        </w:rPr>
        <w:t xml:space="preserve">La Agencia Nacional de Contratación Pública – Colombia Compra Eficiente, en </w:t>
      </w:r>
      <w:r>
        <w:rPr>
          <w:rFonts w:ascii="Arial" w:eastAsia="Calibri" w:hAnsi="Arial" w:cs="Arial"/>
          <w:color w:val="000000" w:themeColor="text1"/>
          <w:sz w:val="22"/>
          <w:lang w:val="es-ES_tradnl"/>
        </w:rPr>
        <w:t>el</w:t>
      </w:r>
      <w:r w:rsidRPr="00783AC5">
        <w:rPr>
          <w:rFonts w:ascii="Arial" w:eastAsia="Calibri" w:hAnsi="Arial" w:cs="Arial"/>
          <w:color w:val="000000" w:themeColor="text1"/>
          <w:sz w:val="22"/>
          <w:lang w:val="es-ES_tradnl"/>
        </w:rPr>
        <w:t xml:space="preserve"> Concepto </w:t>
      </w:r>
      <w:r w:rsidRPr="00783AC5">
        <w:rPr>
          <w:rFonts w:ascii="Arial" w:eastAsia="Calibri" w:hAnsi="Arial" w:cs="Arial"/>
          <w:color w:val="000000" w:themeColor="text1"/>
          <w:sz w:val="22"/>
        </w:rPr>
        <w:t>C-090 del 24 de febrero de 2020</w:t>
      </w:r>
      <w:r>
        <w:rPr>
          <w:rFonts w:ascii="Arial" w:eastAsia="Calibri" w:hAnsi="Arial" w:cs="Arial"/>
          <w:color w:val="000000" w:themeColor="text1"/>
          <w:sz w:val="22"/>
        </w:rPr>
        <w:t>,</w:t>
      </w:r>
      <w:r w:rsidRPr="00783AC5">
        <w:rPr>
          <w:rFonts w:ascii="Arial" w:eastAsia="Calibri" w:hAnsi="Arial" w:cs="Arial"/>
          <w:color w:val="000000" w:themeColor="text1"/>
          <w:sz w:val="22"/>
        </w:rPr>
        <w:t xml:space="preserve"> se pronunció sobre la posibilidad de que </w:t>
      </w:r>
      <w:r>
        <w:rPr>
          <w:rFonts w:ascii="Arial" w:eastAsia="Calibri" w:hAnsi="Arial" w:cs="Arial"/>
          <w:color w:val="000000" w:themeColor="text1"/>
          <w:sz w:val="22"/>
        </w:rPr>
        <w:t>una persona</w:t>
      </w:r>
      <w:r w:rsidRPr="00783AC5">
        <w:rPr>
          <w:rFonts w:ascii="Arial" w:eastAsia="Calibri" w:hAnsi="Arial" w:cs="Arial"/>
          <w:color w:val="000000" w:themeColor="text1"/>
          <w:sz w:val="22"/>
        </w:rPr>
        <w:t xml:space="preserve"> ejecute </w:t>
      </w:r>
      <w:r>
        <w:rPr>
          <w:rFonts w:ascii="Arial" w:eastAsia="Calibri" w:hAnsi="Arial" w:cs="Arial"/>
          <w:color w:val="000000" w:themeColor="text1"/>
          <w:sz w:val="22"/>
        </w:rPr>
        <w:t>varios</w:t>
      </w:r>
      <w:r w:rsidRPr="00783AC5">
        <w:rPr>
          <w:rFonts w:ascii="Arial" w:eastAsia="Calibri" w:hAnsi="Arial" w:cs="Arial"/>
          <w:color w:val="000000" w:themeColor="text1"/>
          <w:sz w:val="22"/>
        </w:rPr>
        <w:t xml:space="preserve"> contratos </w:t>
      </w:r>
      <w:r>
        <w:rPr>
          <w:rFonts w:ascii="Arial" w:eastAsia="Calibri" w:hAnsi="Arial" w:cs="Arial"/>
          <w:color w:val="000000" w:themeColor="text1"/>
          <w:sz w:val="22"/>
        </w:rPr>
        <w:t>de prestación</w:t>
      </w:r>
      <w:r w:rsidRPr="00783AC5">
        <w:rPr>
          <w:rFonts w:ascii="Arial" w:eastAsia="Calibri" w:hAnsi="Arial" w:cs="Arial"/>
          <w:color w:val="000000" w:themeColor="text1"/>
          <w:sz w:val="22"/>
        </w:rPr>
        <w:t xml:space="preserve"> de</w:t>
      </w:r>
      <w:r>
        <w:rPr>
          <w:rFonts w:ascii="Arial" w:eastAsia="Calibri" w:hAnsi="Arial" w:cs="Arial"/>
          <w:color w:val="000000" w:themeColor="text1"/>
          <w:sz w:val="22"/>
        </w:rPr>
        <w:t xml:space="preserve"> servicios</w:t>
      </w:r>
      <w:r w:rsidRPr="00783AC5">
        <w:rPr>
          <w:rFonts w:ascii="Arial" w:eastAsia="Calibri" w:hAnsi="Arial" w:cs="Arial"/>
          <w:color w:val="000000" w:themeColor="text1"/>
          <w:sz w:val="22"/>
        </w:rPr>
        <w:t xml:space="preserve"> </w:t>
      </w:r>
      <w:r>
        <w:rPr>
          <w:rFonts w:ascii="Arial" w:eastAsia="Calibri" w:hAnsi="Arial" w:cs="Arial"/>
          <w:color w:val="000000" w:themeColor="text1"/>
          <w:sz w:val="22"/>
        </w:rPr>
        <w:t xml:space="preserve">de </w:t>
      </w:r>
      <w:r w:rsidRPr="00783AC5">
        <w:rPr>
          <w:rFonts w:ascii="Arial" w:eastAsia="Calibri" w:hAnsi="Arial" w:cs="Arial"/>
          <w:color w:val="000000" w:themeColor="text1"/>
          <w:sz w:val="22"/>
        </w:rPr>
        <w:t xml:space="preserve">manera simultánea. </w:t>
      </w:r>
      <w:r>
        <w:rPr>
          <w:rFonts w:ascii="Arial" w:eastAsia="Calibri" w:hAnsi="Arial" w:cs="Arial"/>
          <w:color w:val="000000" w:themeColor="text1"/>
          <w:sz w:val="22"/>
        </w:rPr>
        <w:t>L</w:t>
      </w:r>
      <w:r w:rsidRPr="00783AC5">
        <w:rPr>
          <w:rFonts w:ascii="Arial" w:eastAsia="Calibri" w:hAnsi="Arial" w:cs="Arial"/>
          <w:color w:val="000000" w:themeColor="text1"/>
          <w:sz w:val="22"/>
        </w:rPr>
        <w:t>a tesis desarrollada se reitera a continuación:</w:t>
      </w:r>
    </w:p>
    <w:p w14:paraId="5A17FEBE" w14:textId="77777777" w:rsidR="00E419C7" w:rsidRPr="00F95886" w:rsidRDefault="00E419C7" w:rsidP="00E419C7">
      <w:pPr>
        <w:spacing w:line="276" w:lineRule="auto"/>
        <w:jc w:val="both"/>
        <w:rPr>
          <w:rFonts w:ascii="Arial" w:hAnsi="Arial" w:cs="Arial"/>
          <w:color w:val="000000" w:themeColor="text1"/>
          <w:sz w:val="22"/>
          <w:lang w:val="es-ES_tradnl"/>
        </w:rPr>
      </w:pPr>
    </w:p>
    <w:p w14:paraId="6594A1ED" w14:textId="271D167F" w:rsidR="00E419C7" w:rsidRPr="00F95886" w:rsidRDefault="00E419C7" w:rsidP="00E419C7">
      <w:pPr>
        <w:tabs>
          <w:tab w:val="left" w:pos="426"/>
        </w:tabs>
        <w:spacing w:line="276" w:lineRule="auto"/>
        <w:jc w:val="both"/>
        <w:rPr>
          <w:rFonts w:ascii="Arial" w:eastAsia="Calibri" w:hAnsi="Arial" w:cs="Arial"/>
          <w:b/>
          <w:color w:val="000000" w:themeColor="text1"/>
          <w:sz w:val="22"/>
          <w:lang w:val="es-ES_tradnl"/>
        </w:rPr>
      </w:pPr>
      <w:r w:rsidRPr="00F95886">
        <w:rPr>
          <w:rFonts w:ascii="Arial" w:eastAsia="Calibri" w:hAnsi="Arial" w:cs="Arial"/>
          <w:b/>
          <w:color w:val="000000" w:themeColor="text1"/>
          <w:sz w:val="22"/>
          <w:lang w:val="es-ES_tradnl"/>
        </w:rPr>
        <w:t xml:space="preserve">2.1. Régimen de inhabilidades e incompatibilidades en la contratación estatal: un límite a la capacidad contractual. La interpretación restrictiva como criterio hermenéutico de </w:t>
      </w:r>
      <w:r w:rsidR="0099311A">
        <w:rPr>
          <w:rFonts w:ascii="Arial" w:eastAsia="Calibri" w:hAnsi="Arial" w:cs="Arial"/>
          <w:b/>
          <w:color w:val="000000" w:themeColor="text1"/>
          <w:sz w:val="22"/>
          <w:lang w:val="es-ES_tradnl"/>
        </w:rPr>
        <w:t>normas que afectan la capacidad jurídica</w:t>
      </w:r>
      <w:r w:rsidRPr="00F95886">
        <w:rPr>
          <w:rFonts w:ascii="Arial" w:eastAsia="Calibri" w:hAnsi="Arial" w:cs="Arial"/>
          <w:b/>
          <w:color w:val="000000" w:themeColor="text1"/>
          <w:sz w:val="22"/>
          <w:lang w:val="es-ES_tradnl"/>
        </w:rPr>
        <w:t xml:space="preserve"> </w:t>
      </w:r>
    </w:p>
    <w:p w14:paraId="1214F850" w14:textId="77777777" w:rsidR="00E419C7" w:rsidRPr="00F95886" w:rsidRDefault="00E419C7" w:rsidP="00E419C7">
      <w:pPr>
        <w:spacing w:line="276" w:lineRule="auto"/>
        <w:jc w:val="both"/>
        <w:rPr>
          <w:rFonts w:ascii="Arial" w:eastAsia="Calibri" w:hAnsi="Arial" w:cs="Arial"/>
          <w:color w:val="000000" w:themeColor="text1"/>
          <w:sz w:val="22"/>
          <w:lang w:val="es-ES_tradnl"/>
        </w:rPr>
      </w:pPr>
    </w:p>
    <w:p w14:paraId="4986C82A" w14:textId="4F30975E" w:rsidR="00E419C7" w:rsidRPr="00F95886" w:rsidRDefault="00E419C7" w:rsidP="00DC2B66">
      <w:pPr>
        <w:spacing w:after="120" w:line="276" w:lineRule="auto"/>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En la contratación estatal, la </w:t>
      </w:r>
      <w:r w:rsidRPr="00F95886">
        <w:rPr>
          <w:rFonts w:ascii="Arial" w:eastAsia="Calibri" w:hAnsi="Arial" w:cs="Arial"/>
          <w:i/>
          <w:iCs/>
          <w:color w:val="000000" w:themeColor="text1"/>
          <w:sz w:val="22"/>
          <w:lang w:val="es-ES_tradnl"/>
        </w:rPr>
        <w:t>capacidad</w:t>
      </w:r>
      <w:r w:rsidRPr="00F95886">
        <w:rPr>
          <w:rFonts w:ascii="Arial" w:eastAsia="Calibri" w:hAnsi="Arial" w:cs="Arial"/>
          <w:color w:val="000000" w:themeColor="text1"/>
          <w:sz w:val="22"/>
          <w:lang w:val="es-ES_tradnl"/>
        </w:rPr>
        <w:t xml:space="preserve"> también es un requisito de validez de los contratos, tanto en el régimen de las entidades sujetas al Estatuto General de Contratación de la Administración Pública</w:t>
      </w:r>
      <w:r w:rsidRPr="00F95886">
        <w:rPr>
          <w:rFonts w:ascii="Arial" w:eastAsia="Calibri" w:hAnsi="Arial" w:cs="Arial"/>
          <w:color w:val="000000" w:themeColor="text1"/>
          <w:sz w:val="22"/>
          <w:vertAlign w:val="superscript"/>
          <w:lang w:val="es-ES_tradnl"/>
        </w:rPr>
        <w:footnoteReference w:id="2"/>
      </w:r>
      <w:r w:rsidRPr="00F95886">
        <w:rPr>
          <w:rFonts w:ascii="Arial" w:eastAsia="Calibri" w:hAnsi="Arial" w:cs="Arial"/>
          <w:color w:val="000000" w:themeColor="text1"/>
          <w:sz w:val="22"/>
          <w:lang w:val="es-ES_tradnl"/>
        </w:rPr>
        <w:t xml:space="preserve"> como en el de las entidades exceptuadas de aquel</w:t>
      </w:r>
      <w:r w:rsidRPr="00F95886">
        <w:rPr>
          <w:rFonts w:ascii="Arial" w:eastAsia="Calibri" w:hAnsi="Arial" w:cs="Arial"/>
          <w:color w:val="000000" w:themeColor="text1"/>
          <w:sz w:val="22"/>
          <w:vertAlign w:val="superscript"/>
          <w:lang w:val="es-ES_tradnl"/>
        </w:rPr>
        <w:footnoteReference w:id="3"/>
      </w:r>
      <w:r w:rsidRPr="00F95886">
        <w:rPr>
          <w:rFonts w:ascii="Arial" w:eastAsia="Calibri" w:hAnsi="Arial" w:cs="Arial"/>
          <w:color w:val="000000" w:themeColor="text1"/>
          <w:sz w:val="22"/>
          <w:lang w:val="es-ES_tradnl"/>
        </w:rPr>
        <w:t xml:space="preserve">. Si bien la regulación de la capacidad se integra por varias disposiciones y exigencias especiales –como el requisito de inscribirse, por regla general, en el Registro Único de Proponentes RUP), establecido en el artículo 6 de la Ley 1150 de 2007, modificado por el artículo 221 </w:t>
      </w:r>
      <w:r w:rsidRPr="00F95886">
        <w:rPr>
          <w:rFonts w:ascii="Arial" w:eastAsia="Calibri" w:hAnsi="Arial" w:cs="Arial"/>
          <w:color w:val="000000" w:themeColor="text1"/>
          <w:sz w:val="22"/>
          <w:lang w:val="es-ES_tradnl"/>
        </w:rPr>
        <w:lastRenderedPageBreak/>
        <w:t>del Decreto 19 de 2012</w:t>
      </w:r>
      <w:r w:rsidRPr="00F95886">
        <w:rPr>
          <w:rFonts w:ascii="Arial" w:eastAsia="Calibri" w:hAnsi="Arial" w:cs="Arial"/>
          <w:color w:val="000000" w:themeColor="text1"/>
          <w:sz w:val="22"/>
          <w:vertAlign w:val="superscript"/>
          <w:lang w:val="es-ES_tradnl"/>
        </w:rPr>
        <w:footnoteReference w:id="4"/>
      </w:r>
      <w:r w:rsidRPr="00F95886">
        <w:rPr>
          <w:rFonts w:ascii="Arial" w:eastAsia="Calibri" w:hAnsi="Arial" w:cs="Arial"/>
          <w:color w:val="000000" w:themeColor="text1"/>
          <w:sz w:val="22"/>
          <w:lang w:val="es-ES_tradnl"/>
        </w:rPr>
        <w:t>–,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F95886">
        <w:rPr>
          <w:rFonts w:ascii="Arial" w:eastAsia="Calibri" w:hAnsi="Arial" w:cs="Arial"/>
          <w:color w:val="000000" w:themeColor="text1"/>
          <w:sz w:val="22"/>
          <w:vertAlign w:val="superscript"/>
          <w:lang w:val="es-ES_tradnl"/>
        </w:rPr>
        <w:footnoteReference w:id="5"/>
      </w:r>
      <w:r w:rsidRPr="00F95886">
        <w:rPr>
          <w:rFonts w:ascii="Arial" w:eastAsia="Calibri" w:hAnsi="Arial" w:cs="Arial"/>
          <w:color w:val="000000" w:themeColor="text1"/>
          <w:sz w:val="22"/>
          <w:lang w:val="es-ES_tradnl"/>
        </w:rPr>
        <w:t>.</w:t>
      </w:r>
    </w:p>
    <w:p w14:paraId="52B9C873" w14:textId="77777777" w:rsidR="00E419C7" w:rsidRPr="00F95886" w:rsidRDefault="00E419C7" w:rsidP="00DC2B66">
      <w:pPr>
        <w:spacing w:after="120"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Las inhabilidades son prohibiciones para concurrir a los procedimientos de selección y para contratar con el Estado, que se derivan i) de la existencia de comportamientos reprochables o de sanciones anteriormente impuestas</w:t>
      </w:r>
      <w:r w:rsidRPr="00F95886">
        <w:rPr>
          <w:rFonts w:ascii="Arial" w:eastAsia="Calibri" w:hAnsi="Arial" w:cs="Arial"/>
          <w:color w:val="000000" w:themeColor="text1"/>
          <w:sz w:val="22"/>
          <w:vertAlign w:val="superscript"/>
          <w:lang w:val="es-ES_tradnl"/>
        </w:rPr>
        <w:footnoteReference w:id="6"/>
      </w:r>
      <w:r w:rsidRPr="00F95886">
        <w:rPr>
          <w:rFonts w:ascii="Arial" w:eastAsia="Calibri" w:hAnsi="Arial" w:cs="Arial"/>
          <w:color w:val="000000" w:themeColor="text1"/>
          <w:sz w:val="22"/>
          <w:lang w:val="es-ES_tradnl"/>
        </w:rPr>
        <w:t xml:space="preserve">, ii) de vínculos personales relativos </w:t>
      </w:r>
      <w:r w:rsidRPr="00F95886">
        <w:rPr>
          <w:rFonts w:ascii="Arial" w:eastAsia="Calibri" w:hAnsi="Arial" w:cs="Arial"/>
          <w:color w:val="000000" w:themeColor="text1"/>
          <w:sz w:val="22"/>
          <w:lang w:val="es-ES_tradnl"/>
        </w:rPr>
        <w:lastRenderedPageBreak/>
        <w:t>al parentesco o al estado civil</w:t>
      </w:r>
      <w:r w:rsidRPr="00F95886">
        <w:rPr>
          <w:rFonts w:ascii="Arial" w:eastAsia="Calibri" w:hAnsi="Arial" w:cs="Arial"/>
          <w:color w:val="000000" w:themeColor="text1"/>
          <w:sz w:val="22"/>
          <w:vertAlign w:val="superscript"/>
          <w:lang w:val="es-ES_tradnl"/>
        </w:rPr>
        <w:footnoteReference w:id="7"/>
      </w:r>
      <w:r w:rsidRPr="00F95886">
        <w:rPr>
          <w:rFonts w:ascii="Arial" w:eastAsia="Calibri" w:hAnsi="Arial" w:cs="Arial"/>
          <w:color w:val="000000" w:themeColor="text1"/>
          <w:sz w:val="22"/>
          <w:lang w:val="es-ES_tradnl"/>
        </w:rPr>
        <w:t xml:space="preserve"> o iii) de una actividad u oficio que se desempeñó en el pasado</w:t>
      </w:r>
      <w:r w:rsidRPr="00F95886">
        <w:rPr>
          <w:rFonts w:ascii="Arial" w:eastAsia="Calibri" w:hAnsi="Arial" w:cs="Arial"/>
          <w:color w:val="000000" w:themeColor="text1"/>
          <w:sz w:val="22"/>
          <w:vertAlign w:val="superscript"/>
          <w:lang w:val="es-ES_tradnl"/>
        </w:rPr>
        <w:footnoteReference w:id="8"/>
      </w:r>
      <w:r w:rsidRPr="00F95886">
        <w:rPr>
          <w:rFonts w:ascii="Arial" w:eastAsia="Calibri" w:hAnsi="Arial" w:cs="Arial"/>
          <w:color w:val="000000" w:themeColor="text1"/>
          <w:sz w:val="22"/>
          <w:lang w:val="es-ES_tradnl"/>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F95886">
        <w:rPr>
          <w:rFonts w:ascii="Arial" w:eastAsia="Calibri" w:hAnsi="Arial" w:cs="Arial"/>
          <w:color w:val="000000" w:themeColor="text1"/>
          <w:sz w:val="22"/>
          <w:vertAlign w:val="superscript"/>
          <w:lang w:val="es-ES_tradnl"/>
        </w:rPr>
        <w:footnoteReference w:id="9"/>
      </w:r>
      <w:r w:rsidRPr="00F95886">
        <w:rPr>
          <w:rFonts w:ascii="Arial" w:eastAsia="Calibri" w:hAnsi="Arial" w:cs="Arial"/>
          <w:color w:val="000000" w:themeColor="text1"/>
          <w:sz w:val="22"/>
          <w:lang w:val="es-ES_tradnl"/>
        </w:rPr>
        <w:t xml:space="preserve">. </w:t>
      </w:r>
    </w:p>
    <w:p w14:paraId="3C4BD1C6" w14:textId="0190BBF0" w:rsidR="00E419C7" w:rsidRPr="00F95886" w:rsidRDefault="00E419C7" w:rsidP="00DC2B66">
      <w:pPr>
        <w:spacing w:after="120"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lastRenderedPageBreak/>
        <w:t>El régimen de inhabilidades e incompatibilidades en la contratación pública responde a la tendencia</w:t>
      </w:r>
      <w:r w:rsidR="00260F10">
        <w:rPr>
          <w:rFonts w:ascii="Arial" w:eastAsia="Calibri" w:hAnsi="Arial" w:cs="Arial"/>
          <w:color w:val="000000" w:themeColor="text1"/>
          <w:sz w:val="22"/>
          <w:lang w:val="es-ES_tradnl"/>
        </w:rPr>
        <w:t xml:space="preserve"> </w:t>
      </w:r>
      <w:r w:rsidRPr="00F95886">
        <w:rPr>
          <w:rFonts w:ascii="Arial" w:eastAsia="Calibri" w:hAnsi="Arial" w:cs="Arial"/>
          <w:color w:val="000000" w:themeColor="text1"/>
          <w:sz w:val="22"/>
          <w:lang w:val="es-ES_tradnl"/>
        </w:rPr>
        <w:t>de asegurar que la provisión de los bienes y servicios por parte de las entidades estatales se efectúe cumpliendo con los principios de la función administrativa y de la gestión fiscal, especialmente con probidad y transparencia. Es por e</w:t>
      </w:r>
      <w:r w:rsidR="00492A9F">
        <w:rPr>
          <w:rFonts w:ascii="Arial" w:eastAsia="Calibri" w:hAnsi="Arial" w:cs="Arial"/>
          <w:color w:val="000000" w:themeColor="text1"/>
          <w:sz w:val="22"/>
          <w:lang w:val="es-ES_tradnl"/>
        </w:rPr>
        <w:t>so</w:t>
      </w:r>
      <w:r w:rsidRPr="00F95886">
        <w:rPr>
          <w:rFonts w:ascii="Arial" w:eastAsia="Calibri" w:hAnsi="Arial" w:cs="Arial"/>
          <w:color w:val="000000" w:themeColor="text1"/>
          <w:sz w:val="22"/>
          <w:lang w:val="es-ES_tradnl"/>
        </w:rPr>
        <w:t xml:space="preserve"> </w:t>
      </w:r>
      <w:proofErr w:type="gramStart"/>
      <w:r w:rsidRPr="00F95886">
        <w:rPr>
          <w:rFonts w:ascii="Arial" w:eastAsia="Calibri" w:hAnsi="Arial" w:cs="Arial"/>
          <w:color w:val="000000" w:themeColor="text1"/>
          <w:sz w:val="22"/>
          <w:lang w:val="es-ES_tradnl"/>
        </w:rPr>
        <w:t>que</w:t>
      </w:r>
      <w:proofErr w:type="gramEnd"/>
      <w:r w:rsidRPr="00F95886">
        <w:rPr>
          <w:rFonts w:ascii="Arial" w:eastAsia="Calibri" w:hAnsi="Arial" w:cs="Arial"/>
          <w:color w:val="000000" w:themeColor="text1"/>
          <w:sz w:val="22"/>
          <w:lang w:val="es-ES_tradnl"/>
        </w:rPr>
        <w:t xml:space="preserve">, como lo ha destacado la doctrina, las inhabilidades e incompatibilidades </w:t>
      </w:r>
      <w:r w:rsidR="00260F10">
        <w:rPr>
          <w:rFonts w:ascii="Arial" w:eastAsia="Calibri" w:hAnsi="Arial" w:cs="Arial"/>
          <w:color w:val="000000" w:themeColor="text1"/>
          <w:sz w:val="22"/>
          <w:lang w:val="es-ES_tradnl"/>
        </w:rPr>
        <w:t>son</w:t>
      </w:r>
      <w:r w:rsidRPr="00F95886">
        <w:rPr>
          <w:rFonts w:ascii="Arial" w:eastAsia="Calibri" w:hAnsi="Arial" w:cs="Arial"/>
          <w:color w:val="000000" w:themeColor="text1"/>
          <w:sz w:val="22"/>
          <w:lang w:val="es-ES_tradnl"/>
        </w:rPr>
        <w:t xml:space="preserve"> herramientas en la lucha contra la corrupción, adoptando paulatinamente un </w:t>
      </w:r>
      <w:r w:rsidR="00260F10">
        <w:rPr>
          <w:rFonts w:ascii="Arial" w:eastAsia="Calibri" w:hAnsi="Arial" w:cs="Arial"/>
          <w:color w:val="000000" w:themeColor="text1"/>
          <w:sz w:val="22"/>
          <w:lang w:val="es-ES_tradnl"/>
        </w:rPr>
        <w:t>carácter</w:t>
      </w:r>
      <w:r w:rsidR="00260F10" w:rsidRPr="00F95886">
        <w:rPr>
          <w:rFonts w:ascii="Arial" w:eastAsia="Calibri" w:hAnsi="Arial" w:cs="Arial"/>
          <w:color w:val="000000" w:themeColor="text1"/>
          <w:sz w:val="22"/>
          <w:lang w:val="es-ES_tradnl"/>
        </w:rPr>
        <w:t xml:space="preserve"> </w:t>
      </w:r>
      <w:r w:rsidRPr="00F95886">
        <w:rPr>
          <w:rFonts w:ascii="Arial" w:eastAsia="Calibri" w:hAnsi="Arial" w:cs="Arial"/>
          <w:color w:val="000000" w:themeColor="text1"/>
          <w:sz w:val="22"/>
          <w:lang w:val="es-ES_tradnl"/>
        </w:rPr>
        <w:t>sancionatorio o «</w:t>
      </w:r>
      <w:proofErr w:type="spellStart"/>
      <w:r w:rsidRPr="00F95886">
        <w:rPr>
          <w:rFonts w:ascii="Arial" w:eastAsia="Calibri" w:hAnsi="Arial" w:cs="Arial"/>
          <w:color w:val="000000" w:themeColor="text1"/>
          <w:sz w:val="22"/>
          <w:lang w:val="es-ES_tradnl"/>
        </w:rPr>
        <w:t>neopunitivo</w:t>
      </w:r>
      <w:proofErr w:type="spellEnd"/>
      <w:r w:rsidRPr="00F95886">
        <w:rPr>
          <w:rFonts w:ascii="Arial" w:eastAsia="Calibri" w:hAnsi="Arial" w:cs="Arial"/>
          <w:color w:val="000000" w:themeColor="text1"/>
          <w:sz w:val="22"/>
          <w:lang w:val="es-ES_tradnl"/>
        </w:rPr>
        <w:t>»</w:t>
      </w:r>
      <w:r w:rsidRPr="00F95886">
        <w:rPr>
          <w:rFonts w:ascii="Arial" w:eastAsia="Calibri" w:hAnsi="Arial" w:cs="Arial"/>
          <w:color w:val="000000" w:themeColor="text1"/>
          <w:sz w:val="22"/>
          <w:vertAlign w:val="superscript"/>
          <w:lang w:val="es-ES_tradnl"/>
        </w:rPr>
        <w:footnoteReference w:id="10"/>
      </w:r>
      <w:r w:rsidRPr="00F95886">
        <w:rPr>
          <w:rFonts w:ascii="Arial" w:eastAsia="Calibri" w:hAnsi="Arial" w:cs="Arial"/>
          <w:color w:val="000000" w:themeColor="text1"/>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43BB6548" w14:textId="2886A188" w:rsidR="00E419C7" w:rsidRPr="00F95886" w:rsidRDefault="00E419C7" w:rsidP="00DC2B66">
      <w:pPr>
        <w:spacing w:after="120"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F95886">
        <w:rPr>
          <w:rFonts w:ascii="Arial" w:eastAsia="Calibri" w:hAnsi="Arial" w:cs="Arial"/>
          <w:i/>
          <w:iCs/>
          <w:color w:val="000000" w:themeColor="text1"/>
          <w:sz w:val="22"/>
          <w:lang w:val="es-ES_tradnl"/>
        </w:rPr>
        <w:t>restrictiva</w:t>
      </w:r>
      <w:r w:rsidRPr="00F95886">
        <w:rPr>
          <w:rFonts w:ascii="Arial" w:eastAsia="Calibri" w:hAnsi="Arial" w:cs="Arial"/>
          <w:color w:val="000000" w:themeColor="text1"/>
          <w:sz w:val="22"/>
          <w:vertAlign w:val="superscript"/>
          <w:lang w:val="es-ES_tradnl"/>
        </w:rPr>
        <w:footnoteReference w:id="11"/>
      </w:r>
      <w:r w:rsidR="00260F10">
        <w:rPr>
          <w:rFonts w:ascii="Arial" w:eastAsia="Calibri" w:hAnsi="Arial" w:cs="Arial"/>
          <w:color w:val="000000" w:themeColor="text1"/>
          <w:sz w:val="22"/>
          <w:lang w:val="es-ES_tradnl"/>
        </w:rPr>
        <w:t xml:space="preserve">. En efecto, </w:t>
      </w:r>
      <w:r w:rsidRPr="00F95886">
        <w:rPr>
          <w:rFonts w:ascii="Arial" w:eastAsia="Calibri" w:hAnsi="Arial" w:cs="Arial"/>
          <w:color w:val="000000" w:themeColor="text1"/>
          <w:sz w:val="22"/>
          <w:lang w:val="es-ES_tradnl"/>
        </w:rPr>
        <w:t xml:space="preserve">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07295885" w14:textId="77777777" w:rsidR="00E419C7" w:rsidRPr="00F95886" w:rsidRDefault="00E419C7" w:rsidP="00E419C7">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lastRenderedPageBreak/>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F95886">
        <w:rPr>
          <w:rFonts w:ascii="Arial" w:eastAsia="Calibri" w:hAnsi="Arial" w:cs="Arial"/>
          <w:color w:val="000000" w:themeColor="text1"/>
          <w:sz w:val="22"/>
          <w:vertAlign w:val="superscript"/>
          <w:lang w:val="es-ES_tradnl"/>
        </w:rPr>
        <w:footnoteReference w:id="12"/>
      </w:r>
      <w:r w:rsidRPr="00F95886">
        <w:rPr>
          <w:rFonts w:ascii="Arial" w:eastAsia="Calibri" w:hAnsi="Arial" w:cs="Arial"/>
          <w:color w:val="000000" w:themeColor="text1"/>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F95886">
        <w:rPr>
          <w:rFonts w:ascii="Arial" w:eastAsia="Calibri" w:hAnsi="Arial" w:cs="Arial"/>
          <w:color w:val="000000" w:themeColor="text1"/>
          <w:sz w:val="22"/>
          <w:vertAlign w:val="superscript"/>
          <w:lang w:val="es-ES_tradnl"/>
        </w:rPr>
        <w:footnoteReference w:id="13"/>
      </w:r>
      <w:r w:rsidRPr="00F95886">
        <w:rPr>
          <w:rFonts w:ascii="Arial" w:eastAsia="Calibri" w:hAnsi="Arial" w:cs="Arial"/>
          <w:color w:val="000000" w:themeColor="text1"/>
          <w:sz w:val="22"/>
          <w:lang w:val="es-ES_tradnl"/>
        </w:rPr>
        <w:t>. En tal sentido, la Sección Tercera ha señalado que:</w:t>
      </w:r>
    </w:p>
    <w:p w14:paraId="5835A63B" w14:textId="77777777" w:rsidR="00E419C7" w:rsidRPr="00F95886" w:rsidRDefault="00E419C7" w:rsidP="00E419C7">
      <w:pPr>
        <w:spacing w:line="276" w:lineRule="auto"/>
        <w:ind w:firstLine="709"/>
        <w:jc w:val="both"/>
        <w:rPr>
          <w:rFonts w:ascii="Arial" w:eastAsia="Calibri" w:hAnsi="Arial" w:cs="Arial"/>
          <w:color w:val="000000" w:themeColor="text1"/>
          <w:sz w:val="22"/>
          <w:lang w:val="es-ES_tradnl"/>
        </w:rPr>
      </w:pPr>
    </w:p>
    <w:p w14:paraId="1D36FCF4" w14:textId="77777777" w:rsidR="00E419C7" w:rsidRPr="00F95886" w:rsidRDefault="00E419C7" w:rsidP="00E419C7">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F95886">
        <w:rPr>
          <w:rFonts w:ascii="Arial" w:hAnsi="Arial" w:cs="Arial"/>
          <w:color w:val="000000" w:themeColor="text1"/>
          <w:sz w:val="21"/>
          <w:szCs w:val="21"/>
          <w:vertAlign w:val="superscript"/>
          <w:lang w:val="es-ES_tradnl"/>
        </w:rPr>
        <w:footnoteReference w:id="14"/>
      </w:r>
      <w:r w:rsidRPr="00F95886">
        <w:rPr>
          <w:rFonts w:ascii="Arial" w:hAnsi="Arial" w:cs="Arial"/>
          <w:color w:val="000000" w:themeColor="text1"/>
          <w:sz w:val="21"/>
          <w:szCs w:val="21"/>
          <w:lang w:val="es-ES_tradnl"/>
        </w:rPr>
        <w:t>.</w:t>
      </w:r>
    </w:p>
    <w:p w14:paraId="6192D61C" w14:textId="77777777" w:rsidR="00E419C7" w:rsidRPr="00F95886" w:rsidRDefault="00E419C7" w:rsidP="00E419C7">
      <w:pPr>
        <w:ind w:left="709" w:right="709"/>
        <w:jc w:val="both"/>
        <w:rPr>
          <w:rFonts w:ascii="Arial" w:hAnsi="Arial" w:cs="Arial"/>
          <w:bCs/>
          <w:color w:val="000000" w:themeColor="text1"/>
          <w:sz w:val="21"/>
          <w:szCs w:val="21"/>
          <w:lang w:val="es-ES_tradnl"/>
        </w:rPr>
      </w:pPr>
    </w:p>
    <w:p w14:paraId="592CD639" w14:textId="77777777" w:rsidR="00E419C7" w:rsidRPr="00F95886" w:rsidRDefault="00E419C7" w:rsidP="00E419C7">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También ha dicho que:</w:t>
      </w:r>
    </w:p>
    <w:p w14:paraId="282331AF" w14:textId="77777777" w:rsidR="00E419C7" w:rsidRPr="00F95886" w:rsidRDefault="00E419C7" w:rsidP="00E419C7">
      <w:pPr>
        <w:ind w:firstLine="709"/>
        <w:jc w:val="both"/>
        <w:rPr>
          <w:rFonts w:ascii="Arial" w:eastAsia="Calibri" w:hAnsi="Arial" w:cs="Arial"/>
          <w:color w:val="000000" w:themeColor="text1"/>
          <w:sz w:val="21"/>
          <w:szCs w:val="21"/>
          <w:lang w:val="es-ES_tradnl"/>
        </w:rPr>
      </w:pPr>
    </w:p>
    <w:p w14:paraId="6935CC68" w14:textId="77777777" w:rsidR="00E419C7" w:rsidRPr="00F95886" w:rsidRDefault="00E419C7" w:rsidP="00E419C7">
      <w:pPr>
        <w:ind w:left="709" w:right="709"/>
        <w:jc w:val="both"/>
        <w:rPr>
          <w:rFonts w:ascii="Arial" w:hAnsi="Arial" w:cs="Arial"/>
          <w:color w:val="000000" w:themeColor="text1"/>
          <w:sz w:val="21"/>
          <w:szCs w:val="21"/>
          <w:lang w:val="es-ES_tradnl"/>
        </w:rPr>
      </w:pPr>
      <w:r w:rsidRPr="00F95886">
        <w:rPr>
          <w:rFonts w:ascii="Arial" w:hAnsi="Arial" w:cs="Arial"/>
          <w:color w:val="000000" w:themeColor="text1"/>
          <w:sz w:val="21"/>
          <w:szCs w:val="21"/>
          <w:lang w:val="es-ES_tradnl"/>
        </w:rPr>
        <w:t xml:space="preserve">[…] la aplicación de estos preceptos exige una interpretación restrictiva, dado que según el principio hermenéutico </w:t>
      </w:r>
      <w:r w:rsidRPr="00F95886">
        <w:rPr>
          <w:rFonts w:ascii="Arial" w:hAnsi="Arial" w:cs="Arial"/>
          <w:i/>
          <w:iCs/>
          <w:color w:val="000000" w:themeColor="text1"/>
          <w:sz w:val="21"/>
          <w:szCs w:val="21"/>
          <w:lang w:val="es-ES_tradnl"/>
        </w:rPr>
        <w:t xml:space="preserve">pro </w:t>
      </w:r>
      <w:proofErr w:type="spellStart"/>
      <w:r w:rsidRPr="00F95886">
        <w:rPr>
          <w:rFonts w:ascii="Arial" w:hAnsi="Arial" w:cs="Arial"/>
          <w:i/>
          <w:iCs/>
          <w:color w:val="000000" w:themeColor="text1"/>
          <w:sz w:val="21"/>
          <w:szCs w:val="21"/>
          <w:lang w:val="es-ES_tradnl"/>
        </w:rPr>
        <w:t>libertate</w:t>
      </w:r>
      <w:proofErr w:type="spellEnd"/>
      <w:r w:rsidRPr="00F95886">
        <w:rPr>
          <w:rFonts w:ascii="Arial" w:hAnsi="Arial" w:cs="Arial"/>
          <w:color w:val="000000" w:themeColor="text1"/>
          <w:sz w:val="21"/>
          <w:szCs w:val="21"/>
          <w:lang w:val="es-ES_tradnl"/>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w:t>
      </w:r>
      <w:proofErr w:type="spellStart"/>
      <w:r w:rsidRPr="00F95886">
        <w:rPr>
          <w:rFonts w:ascii="Arial" w:hAnsi="Arial" w:cs="Arial"/>
          <w:color w:val="000000" w:themeColor="text1"/>
          <w:sz w:val="21"/>
          <w:szCs w:val="21"/>
          <w:lang w:val="es-ES_tradnl"/>
        </w:rPr>
        <w:t>Ibid</w:t>
      </w:r>
      <w:proofErr w:type="spellEnd"/>
      <w:r w:rsidRPr="00F95886">
        <w:rPr>
          <w:rFonts w:ascii="Arial" w:hAnsi="Arial" w:cs="Arial"/>
          <w:color w:val="000000" w:themeColor="text1"/>
          <w:sz w:val="21"/>
          <w:szCs w:val="21"/>
          <w:lang w:val="es-ES_tradnl"/>
        </w:rPr>
        <w:t>.); […]</w:t>
      </w:r>
      <w:r w:rsidRPr="00F95886">
        <w:rPr>
          <w:rFonts w:ascii="Arial" w:hAnsi="Arial" w:cs="Arial"/>
          <w:color w:val="000000" w:themeColor="text1"/>
          <w:sz w:val="21"/>
          <w:szCs w:val="21"/>
          <w:vertAlign w:val="superscript"/>
          <w:lang w:val="es-ES_tradnl"/>
        </w:rPr>
        <w:footnoteReference w:id="15"/>
      </w:r>
      <w:r w:rsidRPr="00F95886">
        <w:rPr>
          <w:rFonts w:ascii="Arial" w:hAnsi="Arial" w:cs="Arial"/>
          <w:color w:val="000000" w:themeColor="text1"/>
          <w:sz w:val="21"/>
          <w:szCs w:val="21"/>
          <w:lang w:val="es-ES_tradnl"/>
        </w:rPr>
        <w:t>.</w:t>
      </w:r>
    </w:p>
    <w:p w14:paraId="4FEF96B6" w14:textId="77777777" w:rsidR="00E419C7" w:rsidRPr="00F95886" w:rsidRDefault="00E419C7" w:rsidP="00E419C7">
      <w:pPr>
        <w:spacing w:line="276" w:lineRule="auto"/>
        <w:ind w:left="709" w:right="709"/>
        <w:jc w:val="both"/>
        <w:rPr>
          <w:rFonts w:ascii="Arial" w:hAnsi="Arial" w:cs="Arial"/>
          <w:color w:val="000000" w:themeColor="text1"/>
          <w:sz w:val="21"/>
          <w:szCs w:val="21"/>
          <w:lang w:val="es-ES_tradnl"/>
        </w:rPr>
      </w:pPr>
    </w:p>
    <w:p w14:paraId="3575914B" w14:textId="144C433F" w:rsidR="00E419C7" w:rsidRPr="00F95886" w:rsidRDefault="00E419C7" w:rsidP="00E419C7">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Como se aprecia, el principio </w:t>
      </w:r>
      <w:r w:rsidRPr="00F95886">
        <w:rPr>
          <w:rFonts w:ascii="Arial" w:eastAsia="Calibri" w:hAnsi="Arial" w:cs="Arial"/>
          <w:i/>
          <w:iCs/>
          <w:color w:val="000000" w:themeColor="text1"/>
          <w:sz w:val="22"/>
          <w:lang w:val="es-ES_tradnl"/>
        </w:rPr>
        <w:t xml:space="preserve">pro </w:t>
      </w:r>
      <w:proofErr w:type="spellStart"/>
      <w:r w:rsidRPr="00F95886">
        <w:rPr>
          <w:rFonts w:ascii="Arial" w:eastAsia="Calibri" w:hAnsi="Arial" w:cs="Arial"/>
          <w:i/>
          <w:iCs/>
          <w:color w:val="000000" w:themeColor="text1"/>
          <w:sz w:val="22"/>
          <w:lang w:val="es-ES_tradnl"/>
        </w:rPr>
        <w:t>libertate</w:t>
      </w:r>
      <w:proofErr w:type="spellEnd"/>
      <w:r w:rsidRPr="00F95886">
        <w:rPr>
          <w:rFonts w:ascii="Arial" w:eastAsia="Calibri" w:hAnsi="Arial"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w:t>
      </w:r>
      <w:r w:rsidR="007A5851">
        <w:rPr>
          <w:rFonts w:ascii="Arial" w:eastAsia="Calibri" w:hAnsi="Arial" w:cs="Arial"/>
          <w:color w:val="000000" w:themeColor="text1"/>
          <w:sz w:val="22"/>
          <w:lang w:val="es-ES_tradnl"/>
        </w:rPr>
        <w:t xml:space="preserve"> </w:t>
      </w:r>
      <w:r w:rsidR="007A5851" w:rsidRPr="007A5851">
        <w:rPr>
          <w:rFonts w:ascii="Arial" w:eastAsia="Calibri" w:hAnsi="Arial" w:cs="Arial"/>
          <w:color w:val="000000" w:themeColor="text1"/>
          <w:sz w:val="22"/>
          <w:lang w:val="es-ES_tradnl"/>
        </w:rPr>
        <w:t>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w:t>
      </w:r>
    </w:p>
    <w:p w14:paraId="7A53C787" w14:textId="77777777" w:rsidR="00E419C7" w:rsidRPr="00F95886" w:rsidRDefault="00E419C7" w:rsidP="00E419C7">
      <w:pPr>
        <w:spacing w:line="276" w:lineRule="auto"/>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 xml:space="preserve"> </w:t>
      </w:r>
    </w:p>
    <w:p w14:paraId="7B1A8BB6" w14:textId="77777777" w:rsidR="00E419C7" w:rsidRPr="00F95886" w:rsidRDefault="00E419C7" w:rsidP="00E419C7">
      <w:pPr>
        <w:spacing w:line="276" w:lineRule="auto"/>
        <w:jc w:val="both"/>
        <w:rPr>
          <w:rFonts w:ascii="Arial" w:eastAsia="Calibri" w:hAnsi="Arial" w:cs="Arial"/>
          <w:b/>
          <w:bCs/>
          <w:color w:val="000000" w:themeColor="text1"/>
          <w:sz w:val="22"/>
          <w:lang w:val="es-ES_tradnl"/>
        </w:rPr>
      </w:pPr>
      <w:r w:rsidRPr="00F95886">
        <w:rPr>
          <w:rFonts w:ascii="Arial" w:eastAsia="Calibri" w:hAnsi="Arial" w:cs="Arial"/>
          <w:b/>
          <w:bCs/>
          <w:color w:val="000000" w:themeColor="text1"/>
          <w:sz w:val="22"/>
          <w:lang w:val="es-ES_tradnl"/>
        </w:rPr>
        <w:t>2.2. Contrato de prestación de servicios profesionales. Requisitos y límites para su celebración</w:t>
      </w:r>
    </w:p>
    <w:p w14:paraId="446EC71E" w14:textId="77777777" w:rsidR="00E419C7" w:rsidRPr="00F95886" w:rsidRDefault="00E419C7" w:rsidP="00E419C7">
      <w:pPr>
        <w:spacing w:line="276" w:lineRule="auto"/>
        <w:jc w:val="both"/>
        <w:rPr>
          <w:rFonts w:ascii="Arial" w:eastAsia="Calibri" w:hAnsi="Arial" w:cs="Arial"/>
          <w:color w:val="000000" w:themeColor="text1"/>
          <w:sz w:val="22"/>
          <w:lang w:val="es-ES_tradnl"/>
        </w:rPr>
      </w:pPr>
    </w:p>
    <w:p w14:paraId="07A991D5" w14:textId="74E84680" w:rsidR="001C7E97" w:rsidRPr="00986C37" w:rsidRDefault="001C7E97" w:rsidP="001C7E97">
      <w:pPr>
        <w:tabs>
          <w:tab w:val="left" w:pos="8505"/>
        </w:tabs>
        <w:spacing w:line="276" w:lineRule="auto"/>
        <w:ind w:right="142"/>
        <w:jc w:val="both"/>
        <w:rPr>
          <w:rFonts w:ascii="Arial" w:hAnsi="Arial" w:cs="Arial"/>
          <w:bCs/>
          <w:color w:val="000000" w:themeColor="text1"/>
          <w:sz w:val="22"/>
        </w:rPr>
      </w:pPr>
      <w:r>
        <w:rPr>
          <w:rFonts w:ascii="Arial" w:hAnsi="Arial" w:cs="Arial"/>
          <w:bCs/>
          <w:color w:val="000000" w:themeColor="text1"/>
          <w:sz w:val="22"/>
        </w:rPr>
        <w:t>E</w:t>
      </w:r>
      <w:r w:rsidRPr="00986C37">
        <w:rPr>
          <w:rFonts w:ascii="Arial" w:hAnsi="Arial" w:cs="Arial"/>
          <w:color w:val="000000" w:themeColor="text1"/>
          <w:sz w:val="22"/>
          <w:lang w:val="es-ES_tradnl"/>
        </w:rPr>
        <w:t>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0F4C451D" w14:textId="77777777" w:rsidR="001C7E97" w:rsidRPr="00986C37" w:rsidRDefault="001C7E97" w:rsidP="001C7E97">
      <w:pPr>
        <w:spacing w:line="276" w:lineRule="auto"/>
        <w:jc w:val="both"/>
        <w:rPr>
          <w:rFonts w:ascii="Arial" w:hAnsi="Arial" w:cs="Arial"/>
          <w:color w:val="000000" w:themeColor="text1"/>
          <w:sz w:val="22"/>
          <w:lang w:val="es-ES_tradnl"/>
        </w:rPr>
      </w:pPr>
    </w:p>
    <w:p w14:paraId="476090AA" w14:textId="0DE591FE" w:rsidR="001C7E97" w:rsidRPr="00986C37" w:rsidRDefault="001C7E97" w:rsidP="00DC2B66">
      <w:pPr>
        <w:spacing w:after="120"/>
        <w:ind w:left="709" w:right="709"/>
        <w:jc w:val="both"/>
        <w:rPr>
          <w:rFonts w:ascii="Arial" w:eastAsia="Calibri" w:hAnsi="Arial" w:cs="Arial"/>
          <w:color w:val="000000" w:themeColor="text1"/>
          <w:sz w:val="21"/>
          <w:szCs w:val="21"/>
          <w:lang w:val="es-ES_tradnl"/>
        </w:rPr>
      </w:pPr>
      <w:r w:rsidRPr="00986C37">
        <w:rPr>
          <w:rFonts w:ascii="Arial" w:eastAsia="Calibri"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9A9CB4" w14:textId="77777777" w:rsidR="001C7E97" w:rsidRPr="00986C37" w:rsidRDefault="001C7E97" w:rsidP="001C7E97">
      <w:pPr>
        <w:ind w:left="709" w:right="709"/>
        <w:jc w:val="both"/>
        <w:rPr>
          <w:rFonts w:ascii="Arial" w:eastAsia="Calibri" w:hAnsi="Arial" w:cs="Arial"/>
          <w:color w:val="000000" w:themeColor="text1"/>
          <w:sz w:val="21"/>
          <w:szCs w:val="21"/>
          <w:lang w:val="es-ES_tradnl"/>
        </w:rPr>
      </w:pPr>
      <w:r w:rsidRPr="00986C37">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p>
    <w:p w14:paraId="6C7A8226" w14:textId="77777777" w:rsidR="001C7E97" w:rsidRPr="00986C37" w:rsidRDefault="001C7E97" w:rsidP="001C7E97">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32DFE710"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De otro lado, la celebración de dicho contrato se debe efectuar a través de la modalidad de la contratación directa. Así lo prevé el artículo 2, numeral 4º, literal h), de la Ley 1150 de 2007, que dispone:</w:t>
      </w:r>
    </w:p>
    <w:p w14:paraId="52B02302" w14:textId="77777777" w:rsidR="001C7E97" w:rsidRPr="00986C37" w:rsidRDefault="001C7E97" w:rsidP="001C7E97">
      <w:pPr>
        <w:ind w:right="709"/>
        <w:jc w:val="both"/>
        <w:rPr>
          <w:rFonts w:ascii="Arial" w:eastAsia="Calibri" w:hAnsi="Arial" w:cs="Arial"/>
          <w:color w:val="000000" w:themeColor="text1"/>
          <w:sz w:val="21"/>
          <w:szCs w:val="21"/>
          <w:lang w:val="es-ES_tradnl"/>
        </w:rPr>
      </w:pPr>
    </w:p>
    <w:p w14:paraId="4A3BE788" w14:textId="77777777" w:rsidR="001C7E97" w:rsidRPr="00986C37" w:rsidRDefault="001C7E97" w:rsidP="001C7E97">
      <w:pPr>
        <w:ind w:left="709" w:right="758"/>
        <w:jc w:val="both"/>
        <w:rPr>
          <w:rFonts w:ascii="Arial" w:hAnsi="Arial" w:cs="Arial"/>
          <w:color w:val="000000" w:themeColor="text1"/>
          <w:sz w:val="21"/>
          <w:szCs w:val="21"/>
        </w:rPr>
      </w:pPr>
      <w:r w:rsidRPr="00986C37">
        <w:rPr>
          <w:rFonts w:ascii="Arial"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p>
    <w:p w14:paraId="402D942E" w14:textId="1962DC0B" w:rsidR="001C7E97" w:rsidRPr="00986C37" w:rsidRDefault="001C7E97" w:rsidP="00DC2B66">
      <w:pPr>
        <w:spacing w:after="120"/>
        <w:ind w:left="709" w:right="760"/>
        <w:jc w:val="both"/>
        <w:rPr>
          <w:rFonts w:ascii="Arial" w:hAnsi="Arial" w:cs="Arial"/>
          <w:color w:val="000000" w:themeColor="text1"/>
          <w:sz w:val="21"/>
          <w:szCs w:val="21"/>
        </w:rPr>
      </w:pPr>
      <w:r w:rsidRPr="00986C37">
        <w:rPr>
          <w:rFonts w:ascii="Arial" w:hAnsi="Arial" w:cs="Arial"/>
          <w:color w:val="000000" w:themeColor="text1"/>
          <w:sz w:val="21"/>
          <w:szCs w:val="21"/>
        </w:rPr>
        <w:t>[…]</w:t>
      </w:r>
    </w:p>
    <w:p w14:paraId="2F9A828D" w14:textId="77777777" w:rsidR="001C7E97" w:rsidRPr="00986C37" w:rsidRDefault="001C7E97" w:rsidP="001C7E97">
      <w:pPr>
        <w:ind w:left="709" w:right="758"/>
        <w:jc w:val="both"/>
        <w:rPr>
          <w:rFonts w:ascii="Arial" w:hAnsi="Arial" w:cs="Arial"/>
          <w:color w:val="000000" w:themeColor="text1"/>
          <w:sz w:val="21"/>
          <w:szCs w:val="21"/>
        </w:rPr>
      </w:pPr>
      <w:r w:rsidRPr="00986C37">
        <w:rPr>
          <w:rFonts w:ascii="Arial" w:hAnsi="Arial" w:cs="Arial"/>
          <w:color w:val="000000" w:themeColor="text1"/>
          <w:sz w:val="21"/>
          <w:szCs w:val="21"/>
        </w:rPr>
        <w:t>4. Contratación directa. La modalidad de selección de contratación directa, solamente procederá en los siguientes casos:</w:t>
      </w:r>
    </w:p>
    <w:p w14:paraId="70BA2694" w14:textId="00A03E6F" w:rsidR="001C7E97" w:rsidRPr="00986C37" w:rsidRDefault="001C7E97" w:rsidP="00DC2B66">
      <w:pPr>
        <w:spacing w:after="120"/>
        <w:ind w:left="709" w:right="760"/>
        <w:jc w:val="both"/>
        <w:rPr>
          <w:rFonts w:ascii="Arial" w:hAnsi="Arial" w:cs="Arial"/>
          <w:color w:val="000000" w:themeColor="text1"/>
          <w:sz w:val="21"/>
          <w:szCs w:val="21"/>
        </w:rPr>
      </w:pPr>
      <w:r w:rsidRPr="00986C37">
        <w:rPr>
          <w:rFonts w:ascii="Arial" w:hAnsi="Arial" w:cs="Arial"/>
          <w:color w:val="000000" w:themeColor="text1"/>
          <w:sz w:val="21"/>
          <w:szCs w:val="21"/>
        </w:rPr>
        <w:t>[…]</w:t>
      </w:r>
    </w:p>
    <w:p w14:paraId="3066F05B" w14:textId="77777777" w:rsidR="001C7E97" w:rsidRPr="00986C37" w:rsidRDefault="001C7E97" w:rsidP="001C7E97">
      <w:pPr>
        <w:ind w:left="709" w:right="758"/>
        <w:jc w:val="both"/>
        <w:rPr>
          <w:rFonts w:ascii="Arial" w:hAnsi="Arial" w:cs="Arial"/>
          <w:color w:val="000000" w:themeColor="text1"/>
          <w:sz w:val="21"/>
          <w:szCs w:val="21"/>
        </w:rPr>
      </w:pPr>
      <w:r w:rsidRPr="00986C37">
        <w:rPr>
          <w:rFonts w:ascii="Arial"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781F9ECF" w14:textId="77777777" w:rsidR="001C7E97" w:rsidRPr="00986C37" w:rsidRDefault="001C7E97" w:rsidP="001C7E97">
      <w:pPr>
        <w:ind w:right="709"/>
        <w:jc w:val="both"/>
        <w:rPr>
          <w:rFonts w:ascii="Arial" w:eastAsia="Calibri" w:hAnsi="Arial" w:cs="Arial"/>
          <w:color w:val="000000" w:themeColor="text1"/>
          <w:sz w:val="22"/>
          <w:lang w:val="es-ES_tradnl"/>
        </w:rPr>
      </w:pPr>
    </w:p>
    <w:p w14:paraId="701C5D8A"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lastRenderedPageBreak/>
        <w:t>A partir de las disposiciones citadas y de los pronunciamientos judiciales más destacados sobre el tema, es posible señalar las siguientes características del contrato de prestación de servicios:</w:t>
      </w:r>
    </w:p>
    <w:p w14:paraId="0B3D582B" w14:textId="77777777" w:rsidR="001C7E97" w:rsidRPr="00986C37" w:rsidRDefault="001C7E97" w:rsidP="001C7E97">
      <w:pPr>
        <w:spacing w:before="120" w:after="120" w:line="276" w:lineRule="auto"/>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4B6C25CA" w14:textId="77777777" w:rsidR="001C7E97" w:rsidRPr="00986C37" w:rsidRDefault="001C7E97" w:rsidP="001C7E97">
      <w:pPr>
        <w:spacing w:before="120" w:after="120" w:line="276" w:lineRule="auto"/>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0EF28AC1" w14:textId="77777777" w:rsidR="001C7E97" w:rsidRPr="00986C37" w:rsidRDefault="001C7E97" w:rsidP="001C7E97">
      <w:pPr>
        <w:spacing w:before="120" w:after="120" w:line="276" w:lineRule="auto"/>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iii) Si bien se celebran para obtener la prestación personal de un servicio, se diferencian del contrato de trabajo</w:t>
      </w:r>
      <w:r w:rsidRPr="00986C37">
        <w:rPr>
          <w:rStyle w:val="Refdenotaalpie"/>
          <w:rFonts w:ascii="Arial" w:hAnsi="Arial" w:cs="Arial"/>
          <w:color w:val="000000" w:themeColor="text1"/>
          <w:sz w:val="22"/>
          <w:lang w:val="es-ES_tradnl"/>
        </w:rPr>
        <w:footnoteReference w:id="16"/>
      </w:r>
      <w:r w:rsidRPr="00986C37">
        <w:rPr>
          <w:rFonts w:ascii="Arial" w:hAnsi="Arial" w:cs="Arial"/>
          <w:color w:val="000000" w:themeColor="text1"/>
          <w:sz w:val="22"/>
          <w:lang w:val="es-ES_tradnl"/>
        </w:rPr>
        <w:t xml:space="preserve"> en que quien celebra el contrato de prestación de servicios profesionales debe mantener autonomía e independencia en la ejecución de la labor, lo que significa que no puede existir la </w:t>
      </w:r>
      <w:r w:rsidRPr="00986C37">
        <w:rPr>
          <w:rFonts w:ascii="Arial" w:hAnsi="Arial" w:cs="Arial"/>
          <w:i/>
          <w:color w:val="000000" w:themeColor="text1"/>
          <w:sz w:val="22"/>
          <w:lang w:val="es-ES_tradnl"/>
        </w:rPr>
        <w:t>subordinación y dependencia</w:t>
      </w:r>
      <w:r w:rsidRPr="00986C37">
        <w:rPr>
          <w:rFonts w:ascii="Arial" w:hAnsi="Arial" w:cs="Arial"/>
          <w:iCs/>
          <w:color w:val="000000" w:themeColor="text1"/>
          <w:sz w:val="22"/>
          <w:lang w:val="es-ES_tradnl"/>
        </w:rPr>
        <w:t>,</w:t>
      </w:r>
      <w:r w:rsidRPr="00986C37">
        <w:rPr>
          <w:rFonts w:ascii="Arial" w:hAnsi="Arial" w:cs="Arial"/>
          <w:color w:val="000000" w:themeColor="text1"/>
          <w:sz w:val="22"/>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986C37">
        <w:rPr>
          <w:rFonts w:ascii="Arial" w:hAnsi="Arial" w:cs="Arial"/>
          <w:i/>
          <w:color w:val="000000" w:themeColor="text1"/>
          <w:sz w:val="22"/>
          <w:lang w:val="es-ES_tradnl"/>
        </w:rPr>
        <w:t>no pueden</w:t>
      </w:r>
      <w:r w:rsidRPr="00986C37">
        <w:rPr>
          <w:rFonts w:ascii="Arial" w:hAnsi="Arial" w:cs="Arial"/>
          <w:color w:val="000000" w:themeColor="text1"/>
          <w:sz w:val="22"/>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986C37">
        <w:rPr>
          <w:rStyle w:val="Refdenotaalpie"/>
          <w:rFonts w:ascii="Arial" w:hAnsi="Arial" w:cs="Arial"/>
          <w:color w:val="000000" w:themeColor="text1"/>
          <w:sz w:val="22"/>
          <w:lang w:val="es-ES_tradnl"/>
        </w:rPr>
        <w:footnoteReference w:id="17"/>
      </w:r>
      <w:r w:rsidRPr="00986C37">
        <w:rPr>
          <w:rFonts w:ascii="Arial" w:hAnsi="Arial" w:cs="Arial"/>
          <w:color w:val="000000" w:themeColor="text1"/>
          <w:sz w:val="22"/>
          <w:lang w:val="es-ES_tradnl"/>
        </w:rPr>
        <w:t xml:space="preserve">. </w:t>
      </w:r>
    </w:p>
    <w:p w14:paraId="09C1D5D3" w14:textId="77777777" w:rsidR="001C7E97" w:rsidRPr="00986C37" w:rsidRDefault="001C7E97" w:rsidP="001C7E97">
      <w:pPr>
        <w:spacing w:before="120" w:after="120" w:line="276" w:lineRule="auto"/>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lastRenderedPageBreak/>
        <w:t xml:space="preserve">Pero es posible que, a pesar de este mandato deontológico, en la práctica surja la relación laboral, pues, como se sabe, el contrato de trabajo es un </w:t>
      </w:r>
      <w:r w:rsidRPr="00986C37">
        <w:rPr>
          <w:rFonts w:ascii="Arial" w:hAnsi="Arial" w:cs="Arial"/>
          <w:i/>
          <w:color w:val="000000" w:themeColor="text1"/>
          <w:sz w:val="22"/>
          <w:lang w:val="es-ES_tradnl"/>
        </w:rPr>
        <w:t>contrato realidad</w:t>
      </w:r>
      <w:r w:rsidRPr="00986C37">
        <w:rPr>
          <w:rFonts w:ascii="Arial" w:hAnsi="Arial" w:cs="Arial"/>
          <w:color w:val="000000" w:themeColor="text1"/>
          <w:sz w:val="22"/>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986C37">
        <w:rPr>
          <w:rStyle w:val="Refdenotaalpie"/>
          <w:rFonts w:ascii="Arial" w:hAnsi="Arial" w:cs="Arial"/>
          <w:color w:val="000000" w:themeColor="text1"/>
          <w:sz w:val="22"/>
          <w:lang w:val="es-ES_tradnl"/>
        </w:rPr>
        <w:footnoteReference w:id="18"/>
      </w:r>
      <w:r w:rsidRPr="00986C37">
        <w:rPr>
          <w:rFonts w:ascii="Arial" w:hAnsi="Arial" w:cs="Arial"/>
          <w:color w:val="000000" w:themeColor="text1"/>
          <w:sz w:val="22"/>
          <w:lang w:val="es-ES_tradnl"/>
        </w:rPr>
        <w:t>.</w:t>
      </w:r>
    </w:p>
    <w:p w14:paraId="6C34AC9B"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iv) Deben ser temporales. Así lo señaló la Corte Constitucional en la misma providencia citada previamente, expresando que:</w:t>
      </w:r>
    </w:p>
    <w:p w14:paraId="3BCEB5E9"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p>
    <w:p w14:paraId="04259260" w14:textId="77777777" w:rsidR="001C7E97" w:rsidRPr="00986C37" w:rsidRDefault="001C7E97" w:rsidP="001C7E97">
      <w:pPr>
        <w:ind w:left="709" w:right="709"/>
        <w:jc w:val="both"/>
        <w:rPr>
          <w:rFonts w:ascii="Arial" w:hAnsi="Arial" w:cs="Arial"/>
          <w:color w:val="000000" w:themeColor="text1"/>
          <w:sz w:val="21"/>
          <w:szCs w:val="21"/>
          <w:lang w:val="es-ES_tradnl"/>
        </w:rPr>
      </w:pPr>
      <w:r w:rsidRPr="00986C37">
        <w:rPr>
          <w:rFonts w:ascii="Arial"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986C37">
        <w:rPr>
          <w:rStyle w:val="Refdenotaalpie"/>
          <w:rFonts w:ascii="Arial" w:hAnsi="Arial" w:cs="Arial"/>
          <w:color w:val="000000" w:themeColor="text1"/>
          <w:sz w:val="21"/>
          <w:szCs w:val="21"/>
          <w:lang w:val="es-ES_tradnl"/>
        </w:rPr>
        <w:footnoteReference w:id="19"/>
      </w:r>
      <w:r w:rsidRPr="00986C37">
        <w:rPr>
          <w:rFonts w:ascii="Arial" w:hAnsi="Arial" w:cs="Arial"/>
          <w:color w:val="000000" w:themeColor="text1"/>
          <w:sz w:val="21"/>
          <w:szCs w:val="21"/>
          <w:lang w:val="es-ES_tradnl"/>
        </w:rPr>
        <w:t>.</w:t>
      </w:r>
    </w:p>
    <w:p w14:paraId="306D217A"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p>
    <w:p w14:paraId="65AA0C6D"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 xml:space="preserve">v) Los contratos de prestación de servicios profesionales hacen parte del género denominado </w:t>
      </w:r>
      <w:r w:rsidRPr="00986C37">
        <w:rPr>
          <w:rFonts w:ascii="Arial" w:hAnsi="Arial" w:cs="Arial"/>
          <w:i/>
          <w:color w:val="000000" w:themeColor="text1"/>
          <w:sz w:val="22"/>
          <w:lang w:val="es-ES_tradnl"/>
        </w:rPr>
        <w:t>contratos de prestación de servicios</w:t>
      </w:r>
      <w:r w:rsidRPr="00986C37">
        <w:rPr>
          <w:rFonts w:ascii="Arial" w:hAnsi="Arial" w:cs="Arial"/>
          <w:color w:val="000000" w:themeColor="text1"/>
          <w:sz w:val="22"/>
          <w:lang w:val="es-ES_tradnl"/>
        </w:rPr>
        <w:t xml:space="preserve">, dentro del cual también se ubican, como especies, los </w:t>
      </w:r>
      <w:r w:rsidRPr="00986C37">
        <w:rPr>
          <w:rFonts w:ascii="Arial" w:hAnsi="Arial" w:cs="Arial"/>
          <w:i/>
          <w:iCs/>
          <w:color w:val="000000" w:themeColor="text1"/>
          <w:sz w:val="22"/>
          <w:lang w:val="es-ES_tradnl"/>
        </w:rPr>
        <w:t>contratos de prestación de servicios de apoyo a la gestión</w:t>
      </w:r>
      <w:r w:rsidRPr="00986C37">
        <w:rPr>
          <w:rFonts w:ascii="Arial" w:hAnsi="Arial" w:cs="Arial"/>
          <w:color w:val="000000" w:themeColor="text1"/>
          <w:sz w:val="22"/>
          <w:lang w:val="es-ES_tradnl"/>
        </w:rPr>
        <w:t xml:space="preserve"> y los </w:t>
      </w:r>
      <w:r w:rsidRPr="00986C37">
        <w:rPr>
          <w:rFonts w:ascii="Arial" w:hAnsi="Arial" w:cs="Arial"/>
          <w:i/>
          <w:iCs/>
          <w:color w:val="000000" w:themeColor="text1"/>
          <w:sz w:val="22"/>
          <w:lang w:val="es-ES_tradnl"/>
        </w:rPr>
        <w:t xml:space="preserve">contratos de prestación de servicios artísticos que solo pueden encomendarse a determinadas personas </w:t>
      </w:r>
      <w:r w:rsidRPr="00986C37">
        <w:rPr>
          <w:rFonts w:ascii="Arial" w:hAnsi="Arial" w:cs="Arial"/>
          <w:i/>
          <w:iCs/>
          <w:color w:val="000000" w:themeColor="text1"/>
          <w:sz w:val="22"/>
          <w:lang w:val="es-ES_tradnl"/>
        </w:rPr>
        <w:lastRenderedPageBreak/>
        <w:t>naturales</w:t>
      </w:r>
      <w:r w:rsidRPr="00986C37">
        <w:rPr>
          <w:rStyle w:val="Refdenotaalpie"/>
          <w:rFonts w:ascii="Arial" w:hAnsi="Arial" w:cs="Arial"/>
          <w:color w:val="000000" w:themeColor="text1"/>
          <w:sz w:val="22"/>
          <w:lang w:val="es-ES_tradnl"/>
        </w:rPr>
        <w:footnoteReference w:id="20"/>
      </w:r>
      <w:r w:rsidRPr="00986C37">
        <w:rPr>
          <w:rFonts w:ascii="Arial" w:hAnsi="Arial" w:cs="Arial"/>
          <w:color w:val="000000" w:themeColor="text1"/>
          <w:sz w:val="22"/>
          <w:lang w:val="es-ES_tradnl"/>
        </w:rPr>
        <w:t xml:space="preserve">. La diferencia entre el contrato de prestación de servicios </w:t>
      </w:r>
      <w:r w:rsidRPr="00986C37">
        <w:rPr>
          <w:rFonts w:ascii="Arial" w:hAnsi="Arial" w:cs="Arial"/>
          <w:i/>
          <w:color w:val="000000" w:themeColor="text1"/>
          <w:sz w:val="22"/>
          <w:lang w:val="es-ES_tradnl"/>
        </w:rPr>
        <w:t>profesionales</w:t>
      </w:r>
      <w:r w:rsidRPr="00986C37">
        <w:rPr>
          <w:rFonts w:ascii="Arial" w:hAnsi="Arial" w:cs="Arial"/>
          <w:color w:val="000000" w:themeColor="text1"/>
          <w:sz w:val="22"/>
          <w:lang w:val="es-ES_tradnl"/>
        </w:rPr>
        <w:t xml:space="preserve"> con las otras dos especies del género en el cual se </w:t>
      </w:r>
      <w:proofErr w:type="gramStart"/>
      <w:r w:rsidRPr="00986C37">
        <w:rPr>
          <w:rFonts w:ascii="Arial" w:hAnsi="Arial" w:cs="Arial"/>
          <w:color w:val="000000" w:themeColor="text1"/>
          <w:sz w:val="22"/>
          <w:lang w:val="es-ES_tradnl"/>
        </w:rPr>
        <w:t>ubican,</w:t>
      </w:r>
      <w:proofErr w:type="gramEnd"/>
      <w:r w:rsidRPr="00986C37">
        <w:rPr>
          <w:rFonts w:ascii="Arial" w:hAnsi="Arial" w:cs="Arial"/>
          <w:color w:val="000000" w:themeColor="text1"/>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47AB99E6"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p>
    <w:p w14:paraId="1D3BE067" w14:textId="77777777" w:rsidR="001C7E97" w:rsidRPr="00986C37" w:rsidRDefault="001C7E97" w:rsidP="001C7E97">
      <w:pPr>
        <w:ind w:left="709" w:right="709"/>
        <w:jc w:val="both"/>
        <w:rPr>
          <w:rFonts w:ascii="Arial" w:hAnsi="Arial" w:cs="Arial"/>
          <w:color w:val="000000" w:themeColor="text1"/>
          <w:sz w:val="21"/>
          <w:szCs w:val="21"/>
          <w:lang w:val="es-ES_tradnl"/>
        </w:rPr>
      </w:pPr>
      <w:r w:rsidRPr="00986C37">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986C37">
        <w:rPr>
          <w:rStyle w:val="Refdenotaalpie"/>
          <w:rFonts w:ascii="Arial" w:hAnsi="Arial" w:cs="Arial"/>
          <w:color w:val="000000" w:themeColor="text1"/>
          <w:sz w:val="21"/>
          <w:szCs w:val="21"/>
          <w:lang w:val="es-ES_tradnl"/>
        </w:rPr>
        <w:footnoteReference w:id="21"/>
      </w:r>
      <w:r w:rsidRPr="00986C37">
        <w:rPr>
          <w:rFonts w:ascii="Arial" w:hAnsi="Arial" w:cs="Arial"/>
          <w:color w:val="000000" w:themeColor="text1"/>
          <w:sz w:val="21"/>
          <w:szCs w:val="21"/>
          <w:lang w:val="es-ES_tradnl"/>
        </w:rPr>
        <w:t>.</w:t>
      </w:r>
    </w:p>
    <w:p w14:paraId="1D1C8CB6"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p>
    <w:p w14:paraId="6B4EEBEB" w14:textId="39AD2F5F" w:rsidR="001C7E97" w:rsidRPr="00986C37" w:rsidRDefault="00FA3EC5" w:rsidP="001C7E97">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Dicho o</w:t>
      </w:r>
      <w:r w:rsidR="001C7E97" w:rsidRPr="00986C37">
        <w:rPr>
          <w:rFonts w:ascii="Arial" w:hAnsi="Arial" w:cs="Arial"/>
          <w:color w:val="000000" w:themeColor="text1"/>
          <w:sz w:val="22"/>
          <w:lang w:val="es-ES_tradnl"/>
        </w:rPr>
        <w:t xml:space="preserve">bjeto, según la jurisprudencia citada, se diferencia del objeto del </w:t>
      </w:r>
      <w:r w:rsidR="001C7E97" w:rsidRPr="00986C37">
        <w:rPr>
          <w:rFonts w:ascii="Arial" w:hAnsi="Arial" w:cs="Arial"/>
          <w:i/>
          <w:iCs/>
          <w:color w:val="000000" w:themeColor="text1"/>
          <w:sz w:val="22"/>
          <w:lang w:val="es-ES_tradnl"/>
        </w:rPr>
        <w:t>contrato de prestación de servicios de apoyo a la gestión</w:t>
      </w:r>
      <w:r w:rsidR="001C7E97" w:rsidRPr="00986C37">
        <w:rPr>
          <w:rFonts w:ascii="Arial" w:hAnsi="Arial" w:cs="Arial"/>
          <w:color w:val="000000" w:themeColor="text1"/>
          <w:sz w:val="22"/>
          <w:lang w:val="es-ES_tradnl"/>
        </w:rPr>
        <w:t>, porque:</w:t>
      </w:r>
    </w:p>
    <w:p w14:paraId="4DBD935A"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p>
    <w:p w14:paraId="08B383FF" w14:textId="605476DF" w:rsidR="001C7E97" w:rsidRPr="00986C37" w:rsidRDefault="001C7E97" w:rsidP="00DC2B66">
      <w:pPr>
        <w:spacing w:after="120"/>
        <w:ind w:left="709" w:right="709"/>
        <w:jc w:val="both"/>
        <w:rPr>
          <w:rFonts w:ascii="Arial" w:hAnsi="Arial" w:cs="Arial"/>
          <w:color w:val="000000" w:themeColor="text1"/>
          <w:sz w:val="21"/>
          <w:szCs w:val="21"/>
          <w:lang w:val="es-ES_tradnl"/>
        </w:rPr>
      </w:pPr>
      <w:r w:rsidRPr="00986C37">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692F496" w14:textId="23614312" w:rsidR="001C7E97" w:rsidRPr="00986C37" w:rsidRDefault="001C7E97" w:rsidP="00DC2B66">
      <w:pPr>
        <w:spacing w:after="120"/>
        <w:ind w:left="709" w:right="709"/>
        <w:jc w:val="both"/>
        <w:rPr>
          <w:rFonts w:ascii="Arial" w:hAnsi="Arial" w:cs="Arial"/>
          <w:color w:val="000000" w:themeColor="text1"/>
          <w:sz w:val="21"/>
          <w:szCs w:val="21"/>
          <w:lang w:val="es-ES_tradnl"/>
        </w:rPr>
      </w:pPr>
      <w:r w:rsidRPr="00986C37">
        <w:rPr>
          <w:rFonts w:ascii="Arial" w:hAnsi="Arial" w:cs="Arial"/>
          <w:color w:val="000000" w:themeColor="text1"/>
          <w:sz w:val="21"/>
          <w:szCs w:val="21"/>
          <w:lang w:val="es-ES_tradnl"/>
        </w:rPr>
        <w:t xml:space="preserve">Aunque también se caracteriza por el desempeño de actividad intelectiva, ésta </w:t>
      </w:r>
      <w:proofErr w:type="gramStart"/>
      <w:r w:rsidRPr="00986C37">
        <w:rPr>
          <w:rFonts w:ascii="Arial" w:hAnsi="Arial" w:cs="Arial"/>
          <w:color w:val="000000" w:themeColor="text1"/>
          <w:sz w:val="21"/>
          <w:szCs w:val="21"/>
          <w:lang w:val="es-ES_tradnl"/>
        </w:rPr>
        <w:t>se enmarca dentro de</w:t>
      </w:r>
      <w:proofErr w:type="gramEnd"/>
      <w:r w:rsidRPr="00986C37">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0629865E" w14:textId="6556DF41" w:rsidR="001C7E97" w:rsidRPr="00986C37" w:rsidRDefault="001C7E97" w:rsidP="00DC2B66">
      <w:pPr>
        <w:spacing w:after="120"/>
        <w:ind w:left="709" w:right="709"/>
        <w:jc w:val="both"/>
        <w:rPr>
          <w:rFonts w:ascii="Arial" w:hAnsi="Arial" w:cs="Arial"/>
          <w:color w:val="000000" w:themeColor="text1"/>
          <w:sz w:val="21"/>
          <w:szCs w:val="21"/>
          <w:lang w:val="es-ES_tradnl"/>
        </w:rPr>
      </w:pPr>
      <w:r w:rsidRPr="00986C37">
        <w:rPr>
          <w:rFonts w:ascii="Arial" w:hAnsi="Arial" w:cs="Arial"/>
          <w:color w:val="000000" w:themeColor="text1"/>
          <w:sz w:val="21"/>
          <w:szCs w:val="21"/>
          <w:lang w:val="es-ES_tradnl"/>
        </w:rPr>
        <w:lastRenderedPageBreak/>
        <w:t>Dentro de su objeto contractual pueden tener lugar actividades operativas, logísticas o asistenciales, siempre que satisfaga los requisitos antes mencionados y sea acorde con las necesidades de la Administración y el principio de planeación.</w:t>
      </w:r>
    </w:p>
    <w:p w14:paraId="02148783" w14:textId="77777777" w:rsidR="001C7E97" w:rsidRPr="00986C37" w:rsidRDefault="001C7E97" w:rsidP="001C7E97">
      <w:pPr>
        <w:ind w:left="709" w:right="709"/>
        <w:jc w:val="both"/>
        <w:rPr>
          <w:rFonts w:ascii="Arial" w:hAnsi="Arial" w:cs="Arial"/>
          <w:color w:val="000000" w:themeColor="text1"/>
          <w:sz w:val="21"/>
          <w:szCs w:val="21"/>
          <w:lang w:val="es-ES_tradnl"/>
        </w:rPr>
      </w:pPr>
      <w:r w:rsidRPr="00986C37">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986C37">
        <w:rPr>
          <w:rStyle w:val="Refdenotaalpie"/>
          <w:rFonts w:ascii="Arial" w:hAnsi="Arial" w:cs="Arial"/>
          <w:color w:val="000000" w:themeColor="text1"/>
          <w:sz w:val="21"/>
          <w:szCs w:val="21"/>
          <w:lang w:val="es-ES_tradnl"/>
        </w:rPr>
        <w:footnoteReference w:id="22"/>
      </w:r>
      <w:r w:rsidRPr="00986C37">
        <w:rPr>
          <w:rFonts w:ascii="Arial" w:hAnsi="Arial" w:cs="Arial"/>
          <w:color w:val="000000" w:themeColor="text1"/>
          <w:sz w:val="21"/>
          <w:szCs w:val="21"/>
          <w:lang w:val="es-ES_tradnl"/>
        </w:rPr>
        <w:t>.</w:t>
      </w:r>
    </w:p>
    <w:p w14:paraId="689F6B61"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p>
    <w:p w14:paraId="46E74A52" w14:textId="2F7A8C84" w:rsidR="001C7E97" w:rsidRPr="00986C37" w:rsidRDefault="001C7E97" w:rsidP="001C7E97">
      <w:pPr>
        <w:spacing w:line="276" w:lineRule="auto"/>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 xml:space="preserve">En relación con el </w:t>
      </w:r>
      <w:r w:rsidRPr="00986C37">
        <w:rPr>
          <w:rFonts w:ascii="Arial" w:hAnsi="Arial" w:cs="Arial"/>
          <w:i/>
          <w:iCs/>
          <w:color w:val="000000" w:themeColor="text1"/>
          <w:sz w:val="22"/>
          <w:lang w:val="es-ES_tradnl"/>
        </w:rPr>
        <w:t>contrato de prestación de servicios artísticos que solo pueden encomendarse a determinadas personas naturales</w:t>
      </w:r>
      <w:r w:rsidRPr="00986C37">
        <w:rPr>
          <w:rFonts w:ascii="Arial" w:hAnsi="Arial" w:cs="Arial"/>
          <w:color w:val="000000" w:themeColor="text1"/>
          <w:sz w:val="22"/>
          <w:lang w:val="es-ES_tradnl"/>
        </w:rPr>
        <w:t>, señala l</w:t>
      </w:r>
      <w:r w:rsidR="00FA3EC5">
        <w:rPr>
          <w:rFonts w:ascii="Arial" w:hAnsi="Arial" w:cs="Arial"/>
          <w:color w:val="000000" w:themeColor="text1"/>
          <w:sz w:val="22"/>
          <w:lang w:val="es-ES_tradnl"/>
        </w:rPr>
        <w:t>a</w:t>
      </w:r>
      <w:r w:rsidRPr="00986C37">
        <w:rPr>
          <w:rFonts w:ascii="Arial" w:hAnsi="Arial" w:cs="Arial"/>
          <w:color w:val="000000" w:themeColor="text1"/>
          <w:sz w:val="22"/>
          <w:lang w:val="es-ES_tradnl"/>
        </w:rPr>
        <w:t xml:space="preserve"> mencionad</w:t>
      </w:r>
      <w:r w:rsidR="00FA3EC5">
        <w:rPr>
          <w:rFonts w:ascii="Arial" w:hAnsi="Arial" w:cs="Arial"/>
          <w:color w:val="000000" w:themeColor="text1"/>
          <w:sz w:val="22"/>
          <w:lang w:val="es-ES_tradnl"/>
        </w:rPr>
        <w:t>a decisión judicial lo siguiente</w:t>
      </w:r>
      <w:r w:rsidRPr="00986C37">
        <w:rPr>
          <w:rFonts w:ascii="Arial" w:hAnsi="Arial" w:cs="Arial"/>
          <w:color w:val="000000" w:themeColor="text1"/>
          <w:sz w:val="22"/>
          <w:lang w:val="es-ES_tradnl"/>
        </w:rPr>
        <w:t>:</w:t>
      </w:r>
    </w:p>
    <w:p w14:paraId="321B13B7" w14:textId="77777777" w:rsidR="001C7E97" w:rsidRPr="00986C37" w:rsidRDefault="001C7E97" w:rsidP="001C7E97">
      <w:pPr>
        <w:ind w:left="709" w:right="709"/>
        <w:jc w:val="both"/>
        <w:rPr>
          <w:rFonts w:ascii="Arial" w:hAnsi="Arial" w:cs="Arial"/>
          <w:color w:val="000000" w:themeColor="text1"/>
          <w:sz w:val="21"/>
          <w:szCs w:val="21"/>
          <w:lang w:val="es-ES_tradnl"/>
        </w:rPr>
      </w:pPr>
    </w:p>
    <w:p w14:paraId="53D02AD9" w14:textId="77777777" w:rsidR="001C7E97" w:rsidRPr="00986C37" w:rsidRDefault="001C7E97" w:rsidP="001C7E97">
      <w:pPr>
        <w:ind w:left="709" w:right="709"/>
        <w:jc w:val="both"/>
        <w:rPr>
          <w:rFonts w:ascii="Arial" w:hAnsi="Arial" w:cs="Arial"/>
          <w:color w:val="000000" w:themeColor="text1"/>
          <w:sz w:val="21"/>
          <w:szCs w:val="21"/>
          <w:lang w:val="es-ES_tradnl"/>
        </w:rPr>
      </w:pPr>
      <w:r w:rsidRPr="00986C37">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986C37">
        <w:rPr>
          <w:rStyle w:val="Refdenotaalpie"/>
          <w:rFonts w:ascii="Arial" w:hAnsi="Arial" w:cs="Arial"/>
          <w:color w:val="000000" w:themeColor="text1"/>
          <w:sz w:val="21"/>
          <w:szCs w:val="21"/>
          <w:lang w:val="es-ES_tradnl"/>
        </w:rPr>
        <w:footnoteReference w:id="23"/>
      </w:r>
      <w:r w:rsidRPr="00986C37">
        <w:rPr>
          <w:rFonts w:ascii="Arial" w:hAnsi="Arial" w:cs="Arial"/>
          <w:color w:val="000000" w:themeColor="text1"/>
          <w:sz w:val="21"/>
          <w:szCs w:val="21"/>
          <w:lang w:val="es-ES_tradnl"/>
        </w:rPr>
        <w:t>.</w:t>
      </w:r>
    </w:p>
    <w:p w14:paraId="740898BA" w14:textId="77777777" w:rsidR="001C7E97" w:rsidRPr="00986C37" w:rsidRDefault="001C7E97" w:rsidP="001C7E97">
      <w:pPr>
        <w:ind w:left="709" w:right="709"/>
        <w:jc w:val="both"/>
        <w:rPr>
          <w:rFonts w:ascii="Arial" w:hAnsi="Arial" w:cs="Arial"/>
          <w:color w:val="000000" w:themeColor="text1"/>
          <w:sz w:val="21"/>
          <w:szCs w:val="21"/>
          <w:lang w:val="es-ES_tradnl"/>
        </w:rPr>
      </w:pPr>
    </w:p>
    <w:p w14:paraId="08D805DE" w14:textId="77777777" w:rsidR="001C7E97" w:rsidRPr="00986C37" w:rsidRDefault="001C7E97" w:rsidP="001C7E97">
      <w:pPr>
        <w:spacing w:line="276" w:lineRule="auto"/>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986C37">
        <w:rPr>
          <w:rStyle w:val="Refdenotaalpie"/>
          <w:rFonts w:ascii="Arial" w:hAnsi="Arial" w:cs="Arial"/>
          <w:color w:val="000000" w:themeColor="text1"/>
          <w:sz w:val="22"/>
          <w:lang w:val="es-ES_tradnl"/>
        </w:rPr>
        <w:footnoteReference w:id="24"/>
      </w:r>
      <w:r w:rsidRPr="00986C37">
        <w:rPr>
          <w:rFonts w:ascii="Arial" w:hAnsi="Arial" w:cs="Arial"/>
          <w:color w:val="000000" w:themeColor="text1"/>
          <w:sz w:val="22"/>
          <w:lang w:val="es-ES_tradnl"/>
        </w:rPr>
        <w:t xml:space="preserve">. Pero, tampoco puede suscribirse un contrato de prestación de servicios profesionales para que el contratista ejecute labores que </w:t>
      </w:r>
      <w:proofErr w:type="gramStart"/>
      <w:r w:rsidRPr="00986C37">
        <w:rPr>
          <w:rFonts w:ascii="Arial" w:hAnsi="Arial" w:cs="Arial"/>
          <w:color w:val="000000" w:themeColor="text1"/>
          <w:sz w:val="22"/>
          <w:lang w:val="es-ES_tradnl"/>
        </w:rPr>
        <w:t>se enmarcan dentro de</w:t>
      </w:r>
      <w:proofErr w:type="gramEnd"/>
      <w:r w:rsidRPr="00986C37">
        <w:rPr>
          <w:rFonts w:ascii="Arial" w:hAnsi="Arial" w:cs="Arial"/>
          <w:color w:val="000000" w:themeColor="text1"/>
          <w:sz w:val="22"/>
          <w:lang w:val="es-ES_tradnl"/>
        </w:rPr>
        <w:t xml:space="preserve"> los otros </w:t>
      </w:r>
      <w:r w:rsidRPr="00986C37">
        <w:rPr>
          <w:rFonts w:ascii="Arial" w:hAnsi="Arial" w:cs="Arial"/>
          <w:color w:val="000000" w:themeColor="text1"/>
          <w:sz w:val="22"/>
          <w:lang w:val="es-ES_tradnl"/>
        </w:rPr>
        <w:lastRenderedPageBreak/>
        <w:t>contratos tipificados en el artículo 32 de la Ley 80 de 1993, como, por ejemplo, para la construcción o mantenimiento de obras.</w:t>
      </w:r>
    </w:p>
    <w:p w14:paraId="6265D782" w14:textId="77777777" w:rsidR="001C7E97" w:rsidRPr="00986C37" w:rsidRDefault="001C7E97" w:rsidP="001C7E97">
      <w:pPr>
        <w:spacing w:before="120" w:after="120"/>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vii) Para su celebración no se requiere la expedición del acto administrativo de justificación de la contratación directa</w:t>
      </w:r>
      <w:r w:rsidRPr="00986C37">
        <w:rPr>
          <w:rStyle w:val="Refdenotaalpie"/>
          <w:rFonts w:ascii="Arial" w:hAnsi="Arial" w:cs="Arial"/>
          <w:color w:val="000000" w:themeColor="text1"/>
          <w:sz w:val="22"/>
          <w:lang w:val="es-ES_tradnl"/>
        </w:rPr>
        <w:footnoteReference w:id="25"/>
      </w:r>
      <w:r w:rsidRPr="00986C37">
        <w:rPr>
          <w:rFonts w:ascii="Arial" w:hAnsi="Arial" w:cs="Arial"/>
          <w:color w:val="000000" w:themeColor="text1"/>
          <w:sz w:val="22"/>
          <w:lang w:val="es-ES_tradnl"/>
        </w:rPr>
        <w:t xml:space="preserve">. </w:t>
      </w:r>
    </w:p>
    <w:p w14:paraId="78098977" w14:textId="77777777" w:rsidR="001C7E97" w:rsidRPr="00986C37" w:rsidRDefault="001C7E97" w:rsidP="001C7E97">
      <w:pPr>
        <w:spacing w:before="120" w:after="120"/>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viii) Admiten el pacto de cláusulas excepcionales. Es decir, en los contratos de prestación de servicios profesionales es posible pactar la caducidad, así como la modificación, interpretación o terminación unilaterales, como elementos accidentales; es decir, que para el ejercicio de dichas exorbitancias deben incluirse expresamente en el contrato, ya que no se entienden pactadas. Así se infiere del artículo 14, numeral 2º, de la Ley 80 de 1993</w:t>
      </w:r>
      <w:r w:rsidRPr="00986C37">
        <w:rPr>
          <w:rStyle w:val="Refdenotaalpie"/>
          <w:rFonts w:ascii="Arial" w:hAnsi="Arial" w:cs="Arial"/>
          <w:color w:val="000000" w:themeColor="text1"/>
          <w:sz w:val="22"/>
          <w:lang w:val="es-ES_tradnl"/>
        </w:rPr>
        <w:footnoteReference w:id="26"/>
      </w:r>
      <w:r w:rsidRPr="00986C37">
        <w:rPr>
          <w:rFonts w:ascii="Arial" w:hAnsi="Arial" w:cs="Arial"/>
          <w:color w:val="000000" w:themeColor="text1"/>
          <w:sz w:val="22"/>
          <w:lang w:val="es-ES_tradnl"/>
        </w:rPr>
        <w:t>.</w:t>
      </w:r>
    </w:p>
    <w:p w14:paraId="20EB8202" w14:textId="77777777" w:rsidR="001C7E97" w:rsidRPr="00986C37" w:rsidRDefault="001C7E97" w:rsidP="001C7E97">
      <w:pPr>
        <w:spacing w:before="120" w:after="120"/>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ix) En ellos no es obligatoria la liquidación, pues así lo estableció el artículo 217 del Decreto 019 de 2012, que modificó el artículo 60 de la Ley 80 de 1993</w:t>
      </w:r>
      <w:r w:rsidRPr="00986C37">
        <w:rPr>
          <w:rStyle w:val="Refdenotaalpie"/>
          <w:rFonts w:ascii="Arial" w:hAnsi="Arial" w:cs="Arial"/>
          <w:color w:val="000000" w:themeColor="text1"/>
          <w:sz w:val="22"/>
          <w:lang w:val="es-ES_tradnl"/>
        </w:rPr>
        <w:footnoteReference w:id="27"/>
      </w:r>
      <w:r w:rsidRPr="00986C37">
        <w:rPr>
          <w:rFonts w:ascii="Arial" w:hAnsi="Arial" w:cs="Arial"/>
          <w:color w:val="000000" w:themeColor="text1"/>
          <w:sz w:val="22"/>
          <w:lang w:val="es-ES_tradnl"/>
        </w:rPr>
        <w:t>.</w:t>
      </w:r>
    </w:p>
    <w:p w14:paraId="05E7503C" w14:textId="77777777" w:rsidR="001C7E97" w:rsidRPr="00986C37" w:rsidRDefault="001C7E97" w:rsidP="001C7E97">
      <w:pPr>
        <w:spacing w:before="120" w:after="120"/>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t>x) Para su celebración no se requiere inscripción en el Registro Único de Proponentes (RUP), según lo prevé el artículo 6 de la Ley 1150 de 2007</w:t>
      </w:r>
      <w:r w:rsidRPr="00986C37">
        <w:rPr>
          <w:rStyle w:val="Refdenotaalpie"/>
          <w:rFonts w:ascii="Arial" w:hAnsi="Arial" w:cs="Arial"/>
          <w:color w:val="000000" w:themeColor="text1"/>
          <w:sz w:val="22"/>
          <w:lang w:val="es-ES_tradnl"/>
        </w:rPr>
        <w:footnoteReference w:id="28"/>
      </w:r>
      <w:r w:rsidRPr="00986C37">
        <w:rPr>
          <w:rFonts w:ascii="Arial" w:hAnsi="Arial" w:cs="Arial"/>
          <w:color w:val="000000" w:themeColor="text1"/>
          <w:sz w:val="22"/>
          <w:lang w:val="es-ES_tradnl"/>
        </w:rPr>
        <w:t>.</w:t>
      </w:r>
    </w:p>
    <w:p w14:paraId="15FDC88B" w14:textId="77777777" w:rsidR="001C7E97" w:rsidRPr="00986C37" w:rsidRDefault="001C7E97" w:rsidP="001C7E97">
      <w:pPr>
        <w:spacing w:before="120" w:after="120"/>
        <w:ind w:firstLine="709"/>
        <w:jc w:val="both"/>
        <w:rPr>
          <w:rFonts w:ascii="Arial" w:hAnsi="Arial" w:cs="Arial"/>
          <w:color w:val="000000" w:themeColor="text1"/>
          <w:sz w:val="22"/>
          <w:lang w:val="es-ES_tradnl"/>
        </w:rPr>
      </w:pPr>
      <w:r w:rsidRPr="00986C37">
        <w:rPr>
          <w:rFonts w:ascii="Arial" w:hAnsi="Arial" w:cs="Arial"/>
          <w:color w:val="000000" w:themeColor="text1"/>
          <w:sz w:val="22"/>
          <w:lang w:val="es-ES_tradnl"/>
        </w:rPr>
        <w:lastRenderedPageBreak/>
        <w:t>xi) En ellos no son necesarias las garantías</w:t>
      </w:r>
      <w:r w:rsidRPr="00986C37">
        <w:rPr>
          <w:rStyle w:val="Refdenotaalpie"/>
          <w:rFonts w:ascii="Arial" w:hAnsi="Arial" w:cs="Arial"/>
          <w:color w:val="000000" w:themeColor="text1"/>
          <w:sz w:val="22"/>
          <w:lang w:val="es-ES_tradnl"/>
        </w:rPr>
        <w:footnoteReference w:id="29"/>
      </w:r>
      <w:r w:rsidRPr="00986C37">
        <w:rPr>
          <w:rFonts w:ascii="Arial" w:hAnsi="Arial" w:cs="Arial"/>
          <w:color w:val="000000" w:themeColor="text1"/>
          <w:sz w:val="22"/>
          <w:lang w:val="es-ES_tradnl"/>
        </w:rPr>
        <w:t>.</w:t>
      </w:r>
    </w:p>
    <w:p w14:paraId="26BB1211" w14:textId="77777777" w:rsidR="00E419C7" w:rsidRPr="00F95886" w:rsidRDefault="00E419C7" w:rsidP="00DC2B66">
      <w:pPr>
        <w:ind w:right="709"/>
        <w:jc w:val="both"/>
        <w:rPr>
          <w:rFonts w:ascii="Arial" w:hAnsi="Arial" w:cs="Arial"/>
          <w:color w:val="000000" w:themeColor="text1"/>
          <w:sz w:val="21"/>
          <w:szCs w:val="21"/>
          <w:lang w:val="es-ES_tradnl"/>
        </w:rPr>
      </w:pPr>
    </w:p>
    <w:p w14:paraId="71B0E72C" w14:textId="02EF431E" w:rsidR="00E419C7" w:rsidRPr="00F95886" w:rsidRDefault="00E419C7" w:rsidP="00E419C7">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Teniendo en cuenta las anteriores características del contrato de prestación de servicios profesionales, así como el régimen de inhabilidades e incompatibilidades previsto para la contratación estatal, se abordará a continuación la</w:t>
      </w:r>
      <w:r w:rsidR="005A692D">
        <w:rPr>
          <w:rFonts w:ascii="Arial" w:hAnsi="Arial" w:cs="Arial"/>
          <w:color w:val="000000" w:themeColor="text1"/>
          <w:sz w:val="22"/>
          <w:lang w:val="es-ES_tradnl"/>
        </w:rPr>
        <w:t>s</w:t>
      </w:r>
      <w:r w:rsidRPr="00F95886">
        <w:rPr>
          <w:rFonts w:ascii="Arial" w:hAnsi="Arial" w:cs="Arial"/>
          <w:color w:val="000000" w:themeColor="text1"/>
          <w:sz w:val="22"/>
          <w:lang w:val="es-ES_tradnl"/>
        </w:rPr>
        <w:t xml:space="preserve"> inquietud</w:t>
      </w:r>
      <w:r w:rsidR="005A692D">
        <w:rPr>
          <w:rFonts w:ascii="Arial" w:hAnsi="Arial" w:cs="Arial"/>
          <w:color w:val="000000" w:themeColor="text1"/>
          <w:sz w:val="22"/>
          <w:lang w:val="es-ES_tradnl"/>
        </w:rPr>
        <w:t>es</w:t>
      </w:r>
      <w:r w:rsidRPr="00F95886">
        <w:rPr>
          <w:rFonts w:ascii="Arial" w:hAnsi="Arial" w:cs="Arial"/>
          <w:color w:val="000000" w:themeColor="text1"/>
          <w:sz w:val="22"/>
          <w:lang w:val="es-ES_tradnl"/>
        </w:rPr>
        <w:t xml:space="preserve"> formulada</w:t>
      </w:r>
      <w:r w:rsidR="005A692D">
        <w:rPr>
          <w:rFonts w:ascii="Arial" w:hAnsi="Arial" w:cs="Arial"/>
          <w:color w:val="000000" w:themeColor="text1"/>
          <w:sz w:val="22"/>
          <w:lang w:val="es-ES_tradnl"/>
        </w:rPr>
        <w:t>s</w:t>
      </w:r>
      <w:r w:rsidRPr="00F95886">
        <w:rPr>
          <w:rFonts w:ascii="Arial" w:hAnsi="Arial" w:cs="Arial"/>
          <w:color w:val="000000" w:themeColor="text1"/>
          <w:sz w:val="22"/>
          <w:lang w:val="es-ES_tradnl"/>
        </w:rPr>
        <w:t xml:space="preserve"> en la consulta.</w:t>
      </w:r>
    </w:p>
    <w:p w14:paraId="2AA16A63" w14:textId="77777777" w:rsidR="00E419C7" w:rsidRPr="00F95886" w:rsidRDefault="00E419C7" w:rsidP="00E419C7">
      <w:pPr>
        <w:ind w:left="709" w:right="709"/>
        <w:jc w:val="both"/>
        <w:rPr>
          <w:rFonts w:ascii="Arial" w:hAnsi="Arial" w:cs="Arial"/>
          <w:color w:val="000000" w:themeColor="text1"/>
          <w:sz w:val="21"/>
          <w:szCs w:val="21"/>
          <w:lang w:val="es-ES_tradnl"/>
        </w:rPr>
      </w:pPr>
    </w:p>
    <w:p w14:paraId="0D7B24EB" w14:textId="26350ECA" w:rsidR="00E419C7" w:rsidRPr="00F95886" w:rsidRDefault="00E419C7" w:rsidP="00E419C7">
      <w:pPr>
        <w:spacing w:line="276" w:lineRule="auto"/>
        <w:jc w:val="both"/>
        <w:rPr>
          <w:rFonts w:ascii="Arial" w:eastAsia="Calibri" w:hAnsi="Arial" w:cs="Arial"/>
          <w:b/>
          <w:bCs/>
          <w:color w:val="000000" w:themeColor="text1"/>
          <w:sz w:val="22"/>
          <w:lang w:val="es-ES_tradnl"/>
        </w:rPr>
      </w:pPr>
      <w:r w:rsidRPr="00F95886">
        <w:rPr>
          <w:rFonts w:ascii="Arial" w:eastAsia="Calibri" w:hAnsi="Arial" w:cs="Arial"/>
          <w:b/>
          <w:bCs/>
          <w:color w:val="000000" w:themeColor="text1"/>
          <w:sz w:val="22"/>
          <w:lang w:val="es-ES_tradnl"/>
        </w:rPr>
        <w:t xml:space="preserve">2.3. Posibilidad de celebrar </w:t>
      </w:r>
      <w:r w:rsidR="009E2B8D">
        <w:rPr>
          <w:rFonts w:ascii="Arial" w:eastAsia="Calibri" w:hAnsi="Arial" w:cs="Arial"/>
          <w:b/>
          <w:bCs/>
          <w:color w:val="000000" w:themeColor="text1"/>
          <w:sz w:val="22"/>
          <w:lang w:val="es-ES_tradnl"/>
        </w:rPr>
        <w:t>varios</w:t>
      </w:r>
      <w:r w:rsidRPr="00F95886">
        <w:rPr>
          <w:rFonts w:ascii="Arial" w:eastAsia="Calibri" w:hAnsi="Arial" w:cs="Arial"/>
          <w:b/>
          <w:bCs/>
          <w:color w:val="000000" w:themeColor="text1"/>
          <w:sz w:val="22"/>
          <w:lang w:val="es-ES_tradnl"/>
        </w:rPr>
        <w:t xml:space="preserve"> contratos de prestación de servicios profesionales con entidad</w:t>
      </w:r>
      <w:r w:rsidR="009E2B8D">
        <w:rPr>
          <w:rFonts w:ascii="Arial" w:eastAsia="Calibri" w:hAnsi="Arial" w:cs="Arial"/>
          <w:b/>
          <w:bCs/>
          <w:color w:val="000000" w:themeColor="text1"/>
          <w:sz w:val="22"/>
          <w:lang w:val="es-ES_tradnl"/>
        </w:rPr>
        <w:t>es</w:t>
      </w:r>
      <w:r w:rsidR="00CD7ABA">
        <w:rPr>
          <w:rFonts w:ascii="Arial" w:eastAsia="Calibri" w:hAnsi="Arial" w:cs="Arial"/>
          <w:b/>
          <w:bCs/>
          <w:color w:val="000000" w:themeColor="text1"/>
          <w:sz w:val="22"/>
          <w:lang w:val="es-ES_tradnl"/>
        </w:rPr>
        <w:t xml:space="preserve"> diferentes</w:t>
      </w:r>
      <w:r w:rsidRPr="00F95886">
        <w:rPr>
          <w:rFonts w:ascii="Arial" w:eastAsia="Calibri" w:hAnsi="Arial" w:cs="Arial"/>
          <w:b/>
          <w:bCs/>
          <w:color w:val="000000" w:themeColor="text1"/>
          <w:sz w:val="22"/>
          <w:lang w:val="es-ES_tradnl"/>
        </w:rPr>
        <w:t>, y que además coexistan</w:t>
      </w:r>
    </w:p>
    <w:p w14:paraId="484413C0" w14:textId="77777777" w:rsidR="00E419C7" w:rsidRPr="00F95886" w:rsidRDefault="00E419C7" w:rsidP="00E419C7">
      <w:pPr>
        <w:spacing w:line="276" w:lineRule="auto"/>
        <w:jc w:val="both"/>
        <w:rPr>
          <w:rFonts w:ascii="Arial" w:hAnsi="Arial" w:cs="Arial"/>
          <w:color w:val="000000" w:themeColor="text1"/>
          <w:sz w:val="22"/>
          <w:lang w:val="es-ES_tradnl"/>
        </w:rPr>
      </w:pPr>
    </w:p>
    <w:p w14:paraId="76B6986B" w14:textId="77777777" w:rsidR="00E419C7" w:rsidRPr="00F95886" w:rsidRDefault="00E419C7" w:rsidP="00DC2B66">
      <w:pPr>
        <w:spacing w:after="120" w:line="276" w:lineRule="auto"/>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Analizado el régimen de inhabilidades e incompatibilidades previsto para la contratación estatal, así como los requisitos y límites de los contratos de prestación de servicios profesionales, se concluye que no existe una inhabilidad, incompatibilidad o prohibición de otra naturaleza para que una entidad estatal celebre dos o más contratos de prestación de servicios profesionales con una misma persona, así dichos contratos coexistan en el tiempo. </w:t>
      </w:r>
    </w:p>
    <w:p w14:paraId="560241BF" w14:textId="77777777" w:rsidR="00E419C7" w:rsidRPr="00F95886" w:rsidRDefault="00E419C7" w:rsidP="00DC2B66">
      <w:pPr>
        <w:spacing w:after="120"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La anterior conclusión se apoya en la idea de que las inhabilidades e incompatibilidades, al ser limitaciones a la capacidad contractual, y por tanto al afectar derechos como la libre concurrencia o la libertad de ejercicio de la profesión u oficio, es decir, al ser enunciados normativos gravosos, deben interpretarse restrictivamente; o sea, no admiten una interpretación amplia, extensiva o analógica. Precisamente, al leer las causales previstas en la Constitución, así como en el artículo 8 de la Ley 80 de 1993 y en otras disposiciones complementarias, no se observa una prohibición para que una misma persona natural preste sus servicios profesionales a una entidad, a través de contratos distintos y concomitantes. </w:t>
      </w:r>
    </w:p>
    <w:p w14:paraId="2FA12669" w14:textId="77777777" w:rsidR="00E419C7" w:rsidRPr="00F95886" w:rsidRDefault="00E419C7" w:rsidP="00DC2B66">
      <w:pPr>
        <w:spacing w:after="120"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Sin embargo, el hecho de que no haya una causal de inhabilidad o de incompatibilidad no significa que siempre se pueda celebrar el contrato de prestación de </w:t>
      </w:r>
      <w:r w:rsidRPr="00F95886">
        <w:rPr>
          <w:rFonts w:ascii="Arial" w:hAnsi="Arial" w:cs="Arial"/>
          <w:color w:val="000000" w:themeColor="text1"/>
          <w:sz w:val="22"/>
          <w:lang w:val="es-ES_tradnl"/>
        </w:rPr>
        <w:lastRenderedPageBreak/>
        <w:t xml:space="preserve">servicios profesionales. Para que ello sea viable, deben cumplirse los requisitos a los que se hizo referencia en el numeral 2.2. de este concepto, pues se recuerda que la celebración del contrato de prestación de servicios profesionales con una persona natural es </w:t>
      </w:r>
      <w:r w:rsidRPr="00F95886">
        <w:rPr>
          <w:rFonts w:ascii="Arial" w:hAnsi="Arial" w:cs="Arial"/>
          <w:i/>
          <w:iCs/>
          <w:color w:val="000000" w:themeColor="text1"/>
          <w:sz w:val="22"/>
          <w:lang w:val="es-ES_tradnl"/>
        </w:rPr>
        <w:t>excepcional</w:t>
      </w:r>
      <w:r w:rsidRPr="00F95886">
        <w:rPr>
          <w:rFonts w:ascii="Arial" w:hAnsi="Arial" w:cs="Arial"/>
          <w:color w:val="000000" w:themeColor="text1"/>
          <w:sz w:val="22"/>
          <w:lang w:val="es-ES_tradnl"/>
        </w:rPr>
        <w:t xml:space="preserve">, ya que solo es admisible cuando las «actividades no puedan realizarse con personal de planta o requieran conocimientos especializados», lo cual debe justificarse satisfactoriamente en los estudios previos. Además, dicho contrato debe ser </w:t>
      </w:r>
      <w:r w:rsidRPr="00F95886">
        <w:rPr>
          <w:rFonts w:ascii="Arial" w:hAnsi="Arial" w:cs="Arial"/>
          <w:i/>
          <w:iCs/>
          <w:color w:val="000000" w:themeColor="text1"/>
          <w:sz w:val="22"/>
          <w:lang w:val="es-ES_tradnl"/>
        </w:rPr>
        <w:t>temporal</w:t>
      </w:r>
      <w:r w:rsidRPr="00F95886">
        <w:rPr>
          <w:rFonts w:ascii="Arial" w:hAnsi="Arial" w:cs="Arial"/>
          <w:color w:val="000000" w:themeColor="text1"/>
          <w:sz w:val="22"/>
          <w:lang w:val="es-ES_tradnl"/>
        </w:rPr>
        <w:t xml:space="preserve"> y no puede servir para la creación de nóminas paralelas</w:t>
      </w:r>
      <w:r w:rsidRPr="00F95886">
        <w:rPr>
          <w:rStyle w:val="Refdenotaalpie"/>
          <w:rFonts w:ascii="Arial" w:hAnsi="Arial" w:cs="Arial"/>
          <w:color w:val="000000" w:themeColor="text1"/>
          <w:sz w:val="22"/>
          <w:lang w:val="es-ES_tradnl"/>
        </w:rPr>
        <w:footnoteReference w:id="30"/>
      </w:r>
      <w:r w:rsidRPr="00F95886">
        <w:rPr>
          <w:rFonts w:ascii="Arial" w:hAnsi="Arial" w:cs="Arial"/>
          <w:color w:val="000000" w:themeColor="text1"/>
          <w:sz w:val="22"/>
          <w:lang w:val="es-ES_tradnl"/>
        </w:rPr>
        <w:t xml:space="preserve">. </w:t>
      </w:r>
    </w:p>
    <w:p w14:paraId="544B64CF" w14:textId="78CB71C1" w:rsidR="00E419C7" w:rsidRPr="00F95886" w:rsidRDefault="00E419C7" w:rsidP="00E419C7">
      <w:pPr>
        <w:spacing w:line="276" w:lineRule="auto"/>
        <w:ind w:firstLine="709"/>
        <w:jc w:val="both"/>
        <w:rPr>
          <w:rFonts w:ascii="Arial" w:hAnsi="Arial" w:cs="Arial"/>
          <w:color w:val="000000" w:themeColor="text1"/>
          <w:sz w:val="22"/>
          <w:lang w:val="es-ES_tradnl"/>
        </w:rPr>
      </w:pPr>
      <w:r w:rsidRPr="00F95886">
        <w:rPr>
          <w:rFonts w:ascii="Arial" w:hAnsi="Arial" w:cs="Arial"/>
          <w:color w:val="000000" w:themeColor="text1"/>
          <w:sz w:val="22"/>
          <w:lang w:val="es-ES_tradnl"/>
        </w:rPr>
        <w:t xml:space="preserve">Adicionalmente, las entidades estatales deben ser diligentes en el análisis de las condiciones de ejecución del contrato de prestación de servicios profesionales, midiendo la complejidad y al alcance de las labores encomendadas al contratista, pues solo de esta manera pueden determinar razonablemente si el mismo contratista tiene la capacidad, no solo jurídica sino también técnica y económica, para celebrar otro contrato de prestación de servicios. Si tales factores no se tienen en cuenta, existe el riesgo de que el contratista termine incumpliendo sus obligaciones, por la sobrecarga de actividades.   </w:t>
      </w:r>
    </w:p>
    <w:p w14:paraId="6B672ACB" w14:textId="6A37147D" w:rsidR="00E419C7" w:rsidRDefault="00E419C7" w:rsidP="00E419C7">
      <w:pPr>
        <w:spacing w:line="276" w:lineRule="auto"/>
        <w:ind w:firstLine="709"/>
        <w:jc w:val="both"/>
        <w:rPr>
          <w:rFonts w:ascii="Arial" w:hAnsi="Arial" w:cs="Arial"/>
          <w:bCs/>
          <w:color w:val="000000" w:themeColor="text1"/>
          <w:sz w:val="22"/>
          <w:lang w:val="es-ES_tradnl"/>
        </w:rPr>
      </w:pPr>
    </w:p>
    <w:p w14:paraId="5E19EA08" w14:textId="77777777" w:rsidR="00083784" w:rsidRPr="00F95886" w:rsidRDefault="00083784" w:rsidP="00E419C7">
      <w:pPr>
        <w:spacing w:line="276" w:lineRule="auto"/>
        <w:ind w:firstLine="709"/>
        <w:jc w:val="both"/>
        <w:rPr>
          <w:rFonts w:ascii="Arial" w:hAnsi="Arial" w:cs="Arial"/>
          <w:bCs/>
          <w:color w:val="000000" w:themeColor="text1"/>
          <w:sz w:val="22"/>
          <w:lang w:val="es-ES_tradnl"/>
        </w:rPr>
      </w:pPr>
    </w:p>
    <w:p w14:paraId="6FE1A687" w14:textId="77777777" w:rsidR="00E419C7" w:rsidRPr="00F95886" w:rsidRDefault="00E419C7" w:rsidP="00E419C7">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F95886">
        <w:rPr>
          <w:rFonts w:ascii="Arial" w:eastAsia="Calibri" w:hAnsi="Arial" w:cs="Arial"/>
          <w:b/>
          <w:color w:val="000000" w:themeColor="text1"/>
          <w:sz w:val="22"/>
        </w:rPr>
        <w:t>Respuestas</w:t>
      </w:r>
    </w:p>
    <w:p w14:paraId="3EBE81C1" w14:textId="77777777" w:rsidR="00E419C7" w:rsidRPr="00F95886" w:rsidRDefault="00E419C7" w:rsidP="00E419C7">
      <w:pPr>
        <w:spacing w:line="276" w:lineRule="auto"/>
        <w:ind w:left="709" w:right="709"/>
        <w:jc w:val="both"/>
        <w:rPr>
          <w:rFonts w:ascii="Arial" w:eastAsia="Calibri" w:hAnsi="Arial" w:cs="Arial"/>
          <w:i/>
          <w:color w:val="000000" w:themeColor="text1"/>
          <w:sz w:val="22"/>
        </w:rPr>
      </w:pPr>
    </w:p>
    <w:p w14:paraId="3BC1C815" w14:textId="77777777" w:rsidR="009E2B8D" w:rsidRPr="00DC2B66" w:rsidRDefault="009E2B8D" w:rsidP="00DC2B66">
      <w:pPr>
        <w:spacing w:after="60"/>
        <w:ind w:left="709" w:right="709"/>
        <w:jc w:val="both"/>
        <w:rPr>
          <w:rFonts w:ascii="Arial" w:eastAsia="Calibri" w:hAnsi="Arial" w:cs="Arial"/>
          <w:color w:val="000000" w:themeColor="text1"/>
          <w:sz w:val="21"/>
          <w:szCs w:val="21"/>
        </w:rPr>
      </w:pPr>
      <w:r w:rsidRPr="00DC2B66">
        <w:rPr>
          <w:rFonts w:ascii="Arial" w:eastAsia="Calibri" w:hAnsi="Arial" w:cs="Arial"/>
          <w:color w:val="000000" w:themeColor="text1"/>
          <w:sz w:val="21"/>
          <w:szCs w:val="21"/>
        </w:rPr>
        <w:t>i) «[…] hay algún impedimento jurídico para que una persona natural pueda firmar contratos de prestación de servicios con entidades estatales diferentes, durante el mismo periodo de tiempo. Por ejemplo: un contrato de prestación de servicios de enero a abril de 2021 con una entidad estatal y un contrato de prestación de servicios de febrero a noviembre de 2021 con otra entidad estatal diferente a la anterior».</w:t>
      </w:r>
    </w:p>
    <w:p w14:paraId="18B3BABE" w14:textId="77777777" w:rsidR="009E2B8D" w:rsidRPr="00DC2B66" w:rsidRDefault="009E2B8D" w:rsidP="00DC2B66">
      <w:pPr>
        <w:spacing w:after="60"/>
        <w:ind w:left="709" w:right="709"/>
        <w:jc w:val="both"/>
        <w:rPr>
          <w:rFonts w:ascii="Arial" w:eastAsia="Calibri" w:hAnsi="Arial" w:cs="Arial"/>
          <w:color w:val="000000" w:themeColor="text1"/>
          <w:sz w:val="21"/>
          <w:szCs w:val="21"/>
        </w:rPr>
      </w:pPr>
      <w:r w:rsidRPr="00DC2B66">
        <w:rPr>
          <w:rFonts w:ascii="Arial" w:eastAsia="Calibri" w:hAnsi="Arial" w:cs="Arial"/>
          <w:color w:val="000000" w:themeColor="text1"/>
          <w:sz w:val="21"/>
          <w:szCs w:val="21"/>
        </w:rPr>
        <w:t xml:space="preserve">ii) «¿La simultaneidad en los contratos genera algún tipo de inhabilidad o impedimento?». </w:t>
      </w:r>
    </w:p>
    <w:p w14:paraId="2D849491" w14:textId="60A9F8CA" w:rsidR="00E419C7" w:rsidRDefault="009E2B8D" w:rsidP="00DC2B66">
      <w:pPr>
        <w:ind w:left="708" w:right="709"/>
        <w:jc w:val="both"/>
        <w:rPr>
          <w:rFonts w:ascii="Arial" w:eastAsia="Calibri" w:hAnsi="Arial" w:cs="Arial"/>
          <w:color w:val="000000" w:themeColor="text1"/>
          <w:sz w:val="22"/>
        </w:rPr>
      </w:pPr>
      <w:r w:rsidRPr="00DC2B66">
        <w:rPr>
          <w:rFonts w:ascii="Arial" w:eastAsia="Calibri" w:hAnsi="Arial" w:cs="Arial"/>
          <w:color w:val="000000" w:themeColor="text1"/>
          <w:sz w:val="21"/>
          <w:szCs w:val="21"/>
        </w:rPr>
        <w:t>iii) «¿Una misma persona podría ejecutar los dos contratos del ejemplo?».</w:t>
      </w:r>
      <w:r w:rsidRPr="009E2B8D">
        <w:rPr>
          <w:rFonts w:ascii="Arial" w:eastAsia="Calibri" w:hAnsi="Arial" w:cs="Arial"/>
          <w:color w:val="000000" w:themeColor="text1"/>
          <w:sz w:val="22"/>
        </w:rPr>
        <w:t xml:space="preserve">  </w:t>
      </w:r>
    </w:p>
    <w:p w14:paraId="52445524" w14:textId="77777777" w:rsidR="00E419C7" w:rsidRPr="00F95886" w:rsidRDefault="00E419C7" w:rsidP="00E419C7">
      <w:pPr>
        <w:spacing w:line="276" w:lineRule="auto"/>
        <w:ind w:left="708" w:right="709"/>
        <w:jc w:val="both"/>
        <w:rPr>
          <w:rFonts w:ascii="Arial" w:eastAsia="Calibri" w:hAnsi="Arial" w:cs="Arial"/>
          <w:color w:val="000000" w:themeColor="text1"/>
          <w:sz w:val="22"/>
          <w:lang w:val="es-ES_tradnl"/>
        </w:rPr>
      </w:pPr>
    </w:p>
    <w:p w14:paraId="22833772" w14:textId="5F92C926" w:rsidR="00E419C7" w:rsidRPr="00F95886" w:rsidRDefault="00E419C7" w:rsidP="00E419C7">
      <w:pPr>
        <w:spacing w:line="276" w:lineRule="auto"/>
        <w:ind w:firstLine="709"/>
        <w:jc w:val="both"/>
        <w:rPr>
          <w:rFonts w:ascii="Arial" w:eastAsia="Calibri" w:hAnsi="Arial" w:cs="Arial"/>
          <w:color w:val="000000" w:themeColor="text1"/>
          <w:sz w:val="22"/>
          <w:lang w:val="es-ES_tradnl"/>
        </w:rPr>
      </w:pPr>
      <w:r w:rsidRPr="00F95886">
        <w:rPr>
          <w:rFonts w:ascii="Arial" w:eastAsia="Calibri" w:hAnsi="Arial" w:cs="Arial"/>
          <w:color w:val="000000" w:themeColor="text1"/>
          <w:sz w:val="22"/>
          <w:lang w:val="es-ES_tradnl"/>
        </w:rPr>
        <w:t>No existe una causal de inhabilidad o incompatibilidad que lo prohíba</w:t>
      </w:r>
      <w:r w:rsidR="009E2B8D">
        <w:rPr>
          <w:rFonts w:ascii="Arial" w:eastAsia="Calibri" w:hAnsi="Arial" w:cs="Arial"/>
          <w:color w:val="000000" w:themeColor="text1"/>
          <w:sz w:val="22"/>
          <w:lang w:val="es-ES_tradnl"/>
        </w:rPr>
        <w:t xml:space="preserve"> la celebración de dos o </w:t>
      </w:r>
      <w:r w:rsidR="00FB77C8">
        <w:rPr>
          <w:rFonts w:ascii="Arial" w:eastAsia="Calibri" w:hAnsi="Arial" w:cs="Arial"/>
          <w:color w:val="000000" w:themeColor="text1"/>
          <w:sz w:val="22"/>
          <w:lang w:val="es-ES_tradnl"/>
        </w:rPr>
        <w:t>más</w:t>
      </w:r>
      <w:r w:rsidR="009E2B8D">
        <w:rPr>
          <w:rFonts w:ascii="Arial" w:eastAsia="Calibri" w:hAnsi="Arial" w:cs="Arial"/>
          <w:color w:val="000000" w:themeColor="text1"/>
          <w:sz w:val="22"/>
          <w:lang w:val="es-ES_tradnl"/>
        </w:rPr>
        <w:t xml:space="preserve"> contratos de prestación de servicios con diferentes entidades estatales</w:t>
      </w:r>
      <w:r w:rsidRPr="00F95886">
        <w:rPr>
          <w:rFonts w:ascii="Arial" w:eastAsia="Calibri" w:hAnsi="Arial" w:cs="Arial"/>
          <w:color w:val="000000" w:themeColor="text1"/>
          <w:sz w:val="22"/>
          <w:lang w:val="es-ES_tradnl"/>
        </w:rPr>
        <w:t xml:space="preserve">. Sin embargo, </w:t>
      </w:r>
      <w:r w:rsidR="009E2B8D">
        <w:rPr>
          <w:rFonts w:ascii="Arial" w:eastAsia="Calibri" w:hAnsi="Arial" w:cs="Arial"/>
          <w:color w:val="000000" w:themeColor="text1"/>
          <w:sz w:val="22"/>
          <w:lang w:val="es-ES_tradnl"/>
        </w:rPr>
        <w:t>estas últimas</w:t>
      </w:r>
      <w:r w:rsidRPr="00F95886">
        <w:rPr>
          <w:rFonts w:ascii="Arial" w:eastAsia="Calibri" w:hAnsi="Arial" w:cs="Arial"/>
          <w:color w:val="000000" w:themeColor="text1"/>
          <w:sz w:val="22"/>
          <w:lang w:val="es-ES_tradnl"/>
        </w:rPr>
        <w:t xml:space="preserve"> deben ser cuidadosas, en el sentido de verificar que se cumplan los requisitos legales, reglamentarios y jurisprudenciales, dispuestos para los contratos de prestación de servicios profesionales. Adicionalmente, deben analizar en los estudios </w:t>
      </w:r>
      <w:r w:rsidRPr="00F95886">
        <w:rPr>
          <w:rFonts w:ascii="Arial" w:eastAsia="Calibri" w:hAnsi="Arial" w:cs="Arial"/>
          <w:color w:val="000000" w:themeColor="text1"/>
          <w:sz w:val="22"/>
          <w:lang w:val="es-ES_tradnl"/>
        </w:rPr>
        <w:lastRenderedPageBreak/>
        <w:t xml:space="preserve">previos la complejidad y el alcance de las actividades a contratar, de manera que se cercioren de que la persona natural </w:t>
      </w:r>
      <w:r w:rsidR="009E2B8D">
        <w:rPr>
          <w:rFonts w:ascii="Arial" w:eastAsia="Calibri" w:hAnsi="Arial" w:cs="Arial"/>
          <w:color w:val="000000" w:themeColor="text1"/>
          <w:sz w:val="22"/>
          <w:lang w:val="es-ES_tradnl"/>
        </w:rPr>
        <w:t>tenga</w:t>
      </w:r>
      <w:r w:rsidRPr="00F95886">
        <w:rPr>
          <w:rFonts w:ascii="Arial" w:eastAsia="Calibri" w:hAnsi="Arial" w:cs="Arial"/>
          <w:color w:val="000000" w:themeColor="text1"/>
          <w:sz w:val="22"/>
          <w:lang w:val="es-ES_tradnl"/>
        </w:rPr>
        <w:t xml:space="preserve"> la capacidad técnica, jurídica y económica para ejecutarlos satisfactoriamente.</w:t>
      </w:r>
    </w:p>
    <w:p w14:paraId="1EF2E370" w14:textId="77777777" w:rsidR="00E419C7" w:rsidRDefault="00E419C7" w:rsidP="00E419C7">
      <w:pPr>
        <w:spacing w:line="276" w:lineRule="auto"/>
        <w:jc w:val="both"/>
        <w:rPr>
          <w:rFonts w:ascii="Arial" w:eastAsia="Calibri" w:hAnsi="Arial" w:cs="Arial"/>
          <w:color w:val="000000" w:themeColor="text1"/>
          <w:sz w:val="22"/>
        </w:rPr>
      </w:pPr>
    </w:p>
    <w:p w14:paraId="670BFD0D" w14:textId="77777777" w:rsidR="00E419C7" w:rsidRPr="00F95886" w:rsidRDefault="00E419C7" w:rsidP="00E419C7">
      <w:pPr>
        <w:spacing w:line="276" w:lineRule="auto"/>
        <w:jc w:val="both"/>
        <w:rPr>
          <w:rFonts w:ascii="Arial" w:eastAsia="Calibri" w:hAnsi="Arial" w:cs="Arial"/>
          <w:color w:val="000000" w:themeColor="text1"/>
          <w:sz w:val="22"/>
        </w:rPr>
      </w:pPr>
      <w:r w:rsidRPr="00F95886">
        <w:rPr>
          <w:rFonts w:ascii="Arial" w:eastAsia="Calibri" w:hAnsi="Arial" w:cs="Arial"/>
          <w:color w:val="000000" w:themeColor="text1"/>
          <w:sz w:val="22"/>
        </w:rPr>
        <w:t>Este concepto tiene el alcance previsto en el artículo 28 del Código de Procedimiento Administrativo y de lo Contencioso Administrativo.</w:t>
      </w:r>
    </w:p>
    <w:p w14:paraId="51F7D2DC" w14:textId="77777777" w:rsidR="00E419C7" w:rsidRPr="00F95886" w:rsidRDefault="00E419C7" w:rsidP="00E419C7">
      <w:pPr>
        <w:spacing w:line="276" w:lineRule="auto"/>
        <w:jc w:val="both"/>
        <w:rPr>
          <w:rFonts w:ascii="Arial" w:eastAsia="Calibri" w:hAnsi="Arial" w:cs="Arial"/>
          <w:color w:val="000000" w:themeColor="text1"/>
          <w:sz w:val="22"/>
        </w:rPr>
      </w:pPr>
    </w:p>
    <w:p w14:paraId="2B61146B" w14:textId="77777777" w:rsidR="00E419C7" w:rsidRPr="00F95886" w:rsidRDefault="00E419C7" w:rsidP="00E419C7">
      <w:pPr>
        <w:spacing w:line="276" w:lineRule="auto"/>
        <w:jc w:val="both"/>
        <w:rPr>
          <w:rFonts w:ascii="Arial" w:eastAsia="Calibri" w:hAnsi="Arial" w:cs="Arial"/>
          <w:color w:val="000000" w:themeColor="text1"/>
          <w:sz w:val="22"/>
        </w:rPr>
      </w:pPr>
      <w:r w:rsidRPr="00F95886">
        <w:rPr>
          <w:noProof/>
          <w:color w:val="000000" w:themeColor="text1"/>
        </w:rPr>
        <mc:AlternateContent>
          <mc:Choice Requires="wps">
            <w:drawing>
              <wp:anchor distT="0" distB="0" distL="114300" distR="114300" simplePos="0" relativeHeight="251659264" behindDoc="0" locked="0" layoutInCell="1" allowOverlap="1" wp14:anchorId="4C62352E" wp14:editId="6E9EFF19">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606EB35"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35B56F46" w14:textId="3B764A19" w:rsidR="00746E08" w:rsidRDefault="00E419C7" w:rsidP="00E419C7">
      <w:r w:rsidRPr="00F95886">
        <w:rPr>
          <w:rFonts w:ascii="Arial" w:eastAsia="Times New Roman" w:hAnsi="Arial" w:cs="Arial"/>
          <w:color w:val="000000" w:themeColor="text1"/>
          <w:sz w:val="22"/>
          <w:lang w:eastAsia="es-CO"/>
        </w:rPr>
        <w:t>Atentamente,</w:t>
      </w:r>
      <w:r w:rsidR="00CE7E4D" w:rsidRPr="00F95886" w:rsidDel="00CE7E4D">
        <w:rPr>
          <w:rFonts w:ascii="Arial" w:eastAsia="Times New Roman" w:hAnsi="Arial" w:cs="Arial"/>
          <w:color w:val="000000" w:themeColor="text1"/>
          <w:sz w:val="22"/>
          <w:lang w:eastAsia="es-CO"/>
        </w:rPr>
        <w:t xml:space="preserve"> </w:t>
      </w:r>
    </w:p>
    <w:p w14:paraId="5DE28C6D" w14:textId="77777777" w:rsidR="00083784" w:rsidRPr="00083784" w:rsidRDefault="00083784" w:rsidP="00083784">
      <w:pPr>
        <w:jc w:val="center"/>
        <w:rPr>
          <w:rFonts w:ascii="Times New Roman" w:eastAsia="Times New Roman" w:hAnsi="Times New Roman" w:cs="Times New Roman"/>
          <w:szCs w:val="24"/>
          <w:lang w:val="es-CO" w:eastAsia="es-ES_tradnl"/>
        </w:rPr>
      </w:pPr>
      <w:r w:rsidRPr="00083784">
        <w:rPr>
          <w:noProof/>
        </w:rPr>
        <w:drawing>
          <wp:inline distT="0" distB="0" distL="0" distR="0" wp14:anchorId="57321B05" wp14:editId="1A58BF27">
            <wp:extent cx="3192378" cy="1412990"/>
            <wp:effectExtent l="0" t="0" r="0"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7342" cy="1415187"/>
                    </a:xfrm>
                    <a:prstGeom prst="rect">
                      <a:avLst/>
                    </a:prstGeom>
                    <a:noFill/>
                    <a:ln>
                      <a:noFill/>
                    </a:ln>
                  </pic:spPr>
                </pic:pic>
              </a:graphicData>
            </a:graphic>
          </wp:inline>
        </w:drawing>
      </w:r>
    </w:p>
    <w:p w14:paraId="16144F7A" w14:textId="4C98A689" w:rsidR="00CE7E4D" w:rsidRDefault="00CE7E4D" w:rsidP="00CE7E4D">
      <w:pPr>
        <w:jc w:val="center"/>
      </w:pPr>
    </w:p>
    <w:p w14:paraId="4E7DB648" w14:textId="77777777" w:rsidR="00CE7E4D" w:rsidRPr="00DA15BB" w:rsidRDefault="00CE7E4D" w:rsidP="00CE7E4D">
      <w:pP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E7E4D" w:rsidRPr="003F6D32" w14:paraId="5F0BAD65" w14:textId="77777777" w:rsidTr="00C439F6">
        <w:trPr>
          <w:trHeight w:val="315"/>
        </w:trPr>
        <w:tc>
          <w:tcPr>
            <w:tcW w:w="812" w:type="dxa"/>
            <w:vAlign w:val="center"/>
            <w:hideMark/>
          </w:tcPr>
          <w:p w14:paraId="47C6C7D7" w14:textId="77777777" w:rsidR="00CE7E4D" w:rsidRPr="006C15D5" w:rsidRDefault="00CE7E4D" w:rsidP="00C439F6">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FED5B39" w14:textId="5E868575" w:rsidR="00CE7E4D" w:rsidRPr="006C15D5" w:rsidRDefault="00CE7E4D" w:rsidP="00C439F6">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David Torres Rojas</w:t>
            </w:r>
          </w:p>
          <w:p w14:paraId="3FD16490" w14:textId="7A52CBF3" w:rsidR="00CE7E4D" w:rsidRPr="006C15D5" w:rsidRDefault="00CE7E4D" w:rsidP="00C439F6">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w:t>
            </w:r>
            <w:r w:rsidRPr="00CD169B">
              <w:rPr>
                <w:rFonts w:ascii="Arial" w:eastAsia="Times New Roman" w:hAnsi="Arial" w:cs="Arial"/>
                <w:color w:val="000000" w:themeColor="text1"/>
                <w:sz w:val="16"/>
                <w:szCs w:val="16"/>
                <w:lang w:eastAsia="es-ES"/>
              </w:rPr>
              <w:t xml:space="preserve"> de la Subdirección de Gestión Contractual</w:t>
            </w:r>
          </w:p>
        </w:tc>
      </w:tr>
      <w:tr w:rsidR="00CE7E4D" w:rsidRPr="003F6D32" w14:paraId="48627867" w14:textId="77777777" w:rsidTr="00C439F6">
        <w:trPr>
          <w:trHeight w:val="330"/>
        </w:trPr>
        <w:tc>
          <w:tcPr>
            <w:tcW w:w="812" w:type="dxa"/>
            <w:vAlign w:val="center"/>
            <w:hideMark/>
          </w:tcPr>
          <w:p w14:paraId="5E07E7A9" w14:textId="77777777" w:rsidR="00CE7E4D" w:rsidRPr="006C15D5" w:rsidRDefault="00CE7E4D" w:rsidP="00C439F6">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0FE83AE" w14:textId="77777777" w:rsidR="00CE7E4D" w:rsidRPr="006C15D5" w:rsidRDefault="00CE7E4D" w:rsidP="00CE7E4D">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29A8B632" w14:textId="4F0E9AC1" w:rsidR="00CE7E4D" w:rsidRPr="006C15D5" w:rsidRDefault="00CE7E4D" w:rsidP="00CE7E4D">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Gestor T1-15 de la Subdirección de Gestión Contractual</w:t>
            </w:r>
          </w:p>
        </w:tc>
      </w:tr>
      <w:tr w:rsidR="00CE7E4D" w:rsidRPr="003F6D32" w14:paraId="02EBF853" w14:textId="77777777" w:rsidTr="00C439F6">
        <w:trPr>
          <w:trHeight w:val="300"/>
        </w:trPr>
        <w:tc>
          <w:tcPr>
            <w:tcW w:w="812" w:type="dxa"/>
            <w:vAlign w:val="center"/>
            <w:hideMark/>
          </w:tcPr>
          <w:p w14:paraId="04B1D1E7" w14:textId="77777777" w:rsidR="00CE7E4D" w:rsidRPr="006C15D5" w:rsidRDefault="00CE7E4D" w:rsidP="00C439F6">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CE2D29" w14:textId="77777777" w:rsidR="00CE7E4D" w:rsidRPr="00CD169B" w:rsidRDefault="00CE7E4D" w:rsidP="00C439F6">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Jorge Augusto Tirado Navarro</w:t>
            </w:r>
          </w:p>
          <w:p w14:paraId="64A7581B" w14:textId="77777777" w:rsidR="00CE7E4D" w:rsidRPr="006C15D5" w:rsidRDefault="00CE7E4D" w:rsidP="00C439F6">
            <w:pPr>
              <w:rPr>
                <w:rFonts w:ascii="Arial" w:eastAsia="Times New Roman" w:hAnsi="Arial" w:cs="Arial"/>
                <w:color w:val="000000" w:themeColor="text1"/>
                <w:sz w:val="16"/>
                <w:szCs w:val="16"/>
                <w:lang w:eastAsia="es-ES"/>
              </w:rPr>
            </w:pPr>
            <w:r w:rsidRPr="00CD169B">
              <w:rPr>
                <w:rFonts w:ascii="Arial" w:eastAsia="Times New Roman" w:hAnsi="Arial" w:cs="Arial"/>
                <w:color w:val="000000" w:themeColor="text1"/>
                <w:sz w:val="16"/>
                <w:szCs w:val="16"/>
                <w:lang w:eastAsia="es-ES"/>
              </w:rPr>
              <w:t>Subdirector de Gestión Contractual ANCP – CCE</w:t>
            </w:r>
          </w:p>
        </w:tc>
      </w:tr>
    </w:tbl>
    <w:p w14:paraId="3B4483B6" w14:textId="77777777" w:rsidR="00CE7E4D" w:rsidRPr="00E419C7" w:rsidRDefault="00CE7E4D" w:rsidP="00DC2B66">
      <w:pPr>
        <w:jc w:val="center"/>
      </w:pPr>
    </w:p>
    <w:sectPr w:rsidR="00CE7E4D" w:rsidRPr="00E419C7"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F73A66" w14:textId="77777777" w:rsidR="008B047A" w:rsidRDefault="008B047A">
      <w:r>
        <w:separator/>
      </w:r>
    </w:p>
  </w:endnote>
  <w:endnote w:type="continuationSeparator" w:id="0">
    <w:p w14:paraId="6FD4D62D" w14:textId="77777777" w:rsidR="008B047A" w:rsidRDefault="008B047A">
      <w:r>
        <w:continuationSeparator/>
      </w:r>
    </w:p>
  </w:endnote>
  <w:endnote w:type="continuationNotice" w:id="1">
    <w:p w14:paraId="7A5F762C" w14:textId="77777777" w:rsidR="008B047A" w:rsidRDefault="008B04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EEEF958" w:rsidR="008217B7" w:rsidRDefault="008217B7" w:rsidP="00322937">
    <w:pPr>
      <w:pStyle w:val="Sinespaciado"/>
      <w:jc w:val="right"/>
      <w:rPr>
        <w:rFonts w:ascii="Arial" w:hAnsi="Arial" w:cs="Arial"/>
        <w:sz w:val="18"/>
        <w:szCs w:val="18"/>
      </w:rPr>
    </w:pPr>
  </w:p>
  <w:p w14:paraId="30E0A459" w14:textId="77777777" w:rsidR="00F95886" w:rsidRDefault="00F95886" w:rsidP="00322937">
    <w:pPr>
      <w:pStyle w:val="Sinespaciado"/>
      <w:jc w:val="right"/>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45D8F4" w14:textId="77777777" w:rsidR="008B047A" w:rsidRDefault="008B047A">
      <w:r>
        <w:separator/>
      </w:r>
    </w:p>
  </w:footnote>
  <w:footnote w:type="continuationSeparator" w:id="0">
    <w:p w14:paraId="105F4BE0" w14:textId="77777777" w:rsidR="008B047A" w:rsidRDefault="008B047A">
      <w:r>
        <w:continuationSeparator/>
      </w:r>
    </w:p>
  </w:footnote>
  <w:footnote w:type="continuationNotice" w:id="1">
    <w:p w14:paraId="0305D6B7" w14:textId="77777777" w:rsidR="008B047A" w:rsidRDefault="008B047A"/>
  </w:footnote>
  <w:footnote w:id="2">
    <w:p w14:paraId="605B8023" w14:textId="77777777" w:rsidR="00E419C7" w:rsidRPr="007C17EA" w:rsidRDefault="00E419C7" w:rsidP="00E419C7">
      <w:pPr>
        <w:pStyle w:val="Textonotapie"/>
        <w:ind w:firstLine="709"/>
        <w:jc w:val="both"/>
        <w:rPr>
          <w:rFonts w:ascii="Arial" w:hAnsi="Arial" w:cs="Arial"/>
          <w:color w:val="000000" w:themeColor="text1"/>
          <w:sz w:val="19"/>
          <w:szCs w:val="19"/>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314F9F99" w14:textId="77777777" w:rsidR="00E419C7" w:rsidRPr="007C17EA" w:rsidRDefault="00E419C7" w:rsidP="00E419C7">
      <w:pPr>
        <w:pStyle w:val="Textonotapie"/>
        <w:ind w:firstLine="709"/>
        <w:jc w:val="both"/>
        <w:rPr>
          <w:rFonts w:ascii="Arial" w:hAnsi="Arial" w:cs="Arial"/>
          <w:color w:val="000000" w:themeColor="text1"/>
          <w:sz w:val="19"/>
          <w:szCs w:val="19"/>
        </w:rPr>
      </w:pPr>
      <w:r w:rsidRPr="007C17EA">
        <w:rPr>
          <w:rFonts w:ascii="Arial" w:hAnsi="Arial" w:cs="Arial"/>
          <w:color w:val="000000" w:themeColor="text1"/>
          <w:sz w:val="19"/>
          <w:szCs w:val="19"/>
        </w:rPr>
        <w:t>»Las personas jurídicas nacionales y extranjeras deberán acreditar que su duración no será inferior a la del plazo del contrato y un año más».</w:t>
      </w:r>
    </w:p>
    <w:p w14:paraId="56AA851A" w14:textId="77777777" w:rsidR="00E419C7" w:rsidRPr="007C17EA" w:rsidRDefault="00E419C7" w:rsidP="00E419C7">
      <w:pPr>
        <w:pStyle w:val="Textonotapie"/>
        <w:ind w:firstLine="709"/>
        <w:jc w:val="both"/>
        <w:rPr>
          <w:rFonts w:ascii="Arial" w:hAnsi="Arial" w:cs="Arial"/>
          <w:color w:val="000000" w:themeColor="text1"/>
          <w:sz w:val="19"/>
          <w:szCs w:val="19"/>
        </w:rPr>
      </w:pPr>
    </w:p>
  </w:footnote>
  <w:footnote w:id="3">
    <w:p w14:paraId="66C10C16" w14:textId="77777777" w:rsidR="00E419C7" w:rsidRPr="007C17EA" w:rsidRDefault="00E419C7" w:rsidP="00E419C7">
      <w:pPr>
        <w:pStyle w:val="Textonotapie"/>
        <w:ind w:firstLine="709"/>
        <w:jc w:val="both"/>
        <w:rPr>
          <w:rFonts w:ascii="Arial" w:hAnsi="Arial" w:cs="Arial"/>
          <w:color w:val="000000" w:themeColor="text1"/>
          <w:sz w:val="19"/>
          <w:szCs w:val="19"/>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rPr>
        <w:t>El artículo 1502 del Código Civil prevé la capacidad legal como requisito para obligarse contractualmente, en los siguientes términos: «Para que una persona se obligue a otra por un acto o declaración de voluntad, es necesario:</w:t>
      </w:r>
    </w:p>
    <w:p w14:paraId="16F99970" w14:textId="77777777" w:rsidR="00E419C7" w:rsidRPr="007C17EA" w:rsidRDefault="00E419C7" w:rsidP="00E419C7">
      <w:pPr>
        <w:pStyle w:val="Textonotapie"/>
        <w:ind w:firstLine="709"/>
        <w:jc w:val="both"/>
        <w:rPr>
          <w:rFonts w:ascii="Arial" w:hAnsi="Arial" w:cs="Arial"/>
          <w:color w:val="000000" w:themeColor="text1"/>
          <w:sz w:val="19"/>
          <w:szCs w:val="19"/>
        </w:rPr>
      </w:pPr>
      <w:r w:rsidRPr="007C17EA">
        <w:rPr>
          <w:rFonts w:ascii="Arial" w:hAnsi="Arial" w:cs="Arial"/>
          <w:color w:val="000000" w:themeColor="text1"/>
          <w:sz w:val="19"/>
          <w:szCs w:val="19"/>
        </w:rPr>
        <w:t>»1o.) que sea legalmente capaz.</w:t>
      </w:r>
    </w:p>
    <w:p w14:paraId="00801151" w14:textId="77777777" w:rsidR="00E419C7" w:rsidRPr="007C17EA" w:rsidRDefault="00E419C7" w:rsidP="00E419C7">
      <w:pPr>
        <w:pStyle w:val="Textonotapie"/>
        <w:ind w:firstLine="709"/>
        <w:jc w:val="both"/>
        <w:rPr>
          <w:rFonts w:ascii="Arial" w:hAnsi="Arial" w:cs="Arial"/>
          <w:color w:val="000000" w:themeColor="text1"/>
          <w:sz w:val="19"/>
          <w:szCs w:val="19"/>
        </w:rPr>
      </w:pPr>
      <w:r w:rsidRPr="007C17EA">
        <w:rPr>
          <w:rFonts w:ascii="Arial" w:hAnsi="Arial" w:cs="Arial"/>
          <w:color w:val="000000" w:themeColor="text1"/>
          <w:sz w:val="19"/>
          <w:szCs w:val="19"/>
        </w:rPr>
        <w:t>[…]</w:t>
      </w:r>
    </w:p>
    <w:p w14:paraId="4C2509AC" w14:textId="77777777" w:rsidR="00E419C7" w:rsidRPr="007C17EA" w:rsidRDefault="00E419C7" w:rsidP="00E419C7">
      <w:pPr>
        <w:pStyle w:val="Textonotapie"/>
        <w:ind w:firstLine="709"/>
        <w:jc w:val="both"/>
        <w:rPr>
          <w:rFonts w:ascii="Arial" w:hAnsi="Arial" w:cs="Arial"/>
          <w:color w:val="000000" w:themeColor="text1"/>
          <w:sz w:val="19"/>
          <w:szCs w:val="19"/>
        </w:rPr>
      </w:pPr>
      <w:r w:rsidRPr="007C17EA">
        <w:rPr>
          <w:rFonts w:ascii="Arial" w:hAnsi="Arial" w:cs="Arial"/>
          <w:color w:val="000000" w:themeColor="text1"/>
          <w:sz w:val="19"/>
          <w:szCs w:val="19"/>
        </w:rPr>
        <w:t>»La capacidad legal de una persona consiste en poderse obligar por sí misma, sin el ministerio o la autorización de otra».</w:t>
      </w:r>
    </w:p>
    <w:p w14:paraId="43F0DCA2" w14:textId="77777777" w:rsidR="00E419C7" w:rsidRPr="007C17EA" w:rsidRDefault="00E419C7" w:rsidP="00E419C7">
      <w:pPr>
        <w:pStyle w:val="Textonotapie"/>
        <w:ind w:firstLine="709"/>
        <w:jc w:val="both"/>
        <w:rPr>
          <w:rFonts w:ascii="Arial" w:hAnsi="Arial" w:cs="Arial"/>
          <w:color w:val="000000" w:themeColor="text1"/>
          <w:sz w:val="19"/>
          <w:szCs w:val="19"/>
          <w:lang w:val="es-CO"/>
        </w:rPr>
      </w:pPr>
    </w:p>
  </w:footnote>
  <w:footnote w:id="4">
    <w:p w14:paraId="0A4D0D4B"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rPr>
        <w:t xml:space="preserve">Los incisos 1 y 2 de dicho artículo disponen: </w:t>
      </w:r>
      <w:r w:rsidRPr="007C17EA">
        <w:rPr>
          <w:rFonts w:ascii="Arial" w:hAnsi="Arial" w:cs="Arial"/>
          <w:color w:val="000000" w:themeColor="text1"/>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903B2F0"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r w:rsidRPr="007C17EA">
        <w:rPr>
          <w:rFonts w:ascii="Arial" w:hAnsi="Arial" w:cs="Arial"/>
          <w:color w:val="000000" w:themeColor="text1"/>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DF47FF9" w14:textId="77777777" w:rsidR="00E419C7" w:rsidRPr="007C17EA" w:rsidRDefault="00E419C7" w:rsidP="00E419C7">
      <w:pPr>
        <w:pStyle w:val="Textonotapie"/>
        <w:ind w:firstLine="709"/>
        <w:jc w:val="both"/>
        <w:rPr>
          <w:rFonts w:ascii="Arial" w:hAnsi="Arial" w:cs="Arial"/>
          <w:color w:val="000000" w:themeColor="text1"/>
          <w:sz w:val="19"/>
          <w:szCs w:val="19"/>
          <w:lang w:val="es-CO"/>
        </w:rPr>
      </w:pPr>
    </w:p>
  </w:footnote>
  <w:footnote w:id="5">
    <w:p w14:paraId="17DE44AF"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7C17EA">
        <w:rPr>
          <w:rFonts w:ascii="Arial" w:hAnsi="Arial" w:cs="Arial"/>
          <w:i/>
          <w:iCs/>
          <w:color w:val="000000" w:themeColor="text1"/>
          <w:sz w:val="19"/>
          <w:szCs w:val="19"/>
          <w:lang w:val="es-ES"/>
        </w:rPr>
        <w:t>el régimen de inhabilidades e incompatibilidades</w:t>
      </w:r>
      <w:r w:rsidRPr="007C17EA">
        <w:rPr>
          <w:rFonts w:ascii="Arial" w:hAnsi="Arial" w:cs="Arial"/>
          <w:color w:val="000000" w:themeColor="text1"/>
          <w:sz w:val="19"/>
          <w:szCs w:val="19"/>
          <w:lang w:val="es-ES"/>
        </w:rPr>
        <w:t xml:space="preserve"> (1) y la obligación de ciertos proponentes de inscribirse en el </w:t>
      </w:r>
      <w:r w:rsidRPr="007C17EA">
        <w:rPr>
          <w:rFonts w:ascii="Arial" w:hAnsi="Arial" w:cs="Arial"/>
          <w:i/>
          <w:iCs/>
          <w:color w:val="000000" w:themeColor="text1"/>
          <w:sz w:val="19"/>
          <w:szCs w:val="19"/>
          <w:lang w:val="es-ES"/>
        </w:rPr>
        <w:t>registro único</w:t>
      </w:r>
      <w:r w:rsidRPr="007C17EA">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 </w:t>
      </w:r>
    </w:p>
    <w:p w14:paraId="44FD9D27"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p>
  </w:footnote>
  <w:footnote w:id="6">
    <w:p w14:paraId="5082C81E" w14:textId="77777777" w:rsidR="00E419C7" w:rsidRPr="007C17EA" w:rsidRDefault="00E419C7" w:rsidP="00E419C7">
      <w:pPr>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b, Ley 80/93); «Quienes dieron lugar a la declaratoria de caducidad»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d), Ley 80/93); «Quienes sin justa causa se abstengan de suscribir el contrato estatal adjudicado»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a), b) y c), Ley 1474/11, modificado por el art. 43, Ley 1955/19).</w:t>
      </w:r>
    </w:p>
    <w:p w14:paraId="444416C4" w14:textId="77777777" w:rsidR="00E419C7" w:rsidRPr="007C17EA" w:rsidRDefault="00E419C7" w:rsidP="00E419C7">
      <w:pPr>
        <w:ind w:firstLine="709"/>
        <w:jc w:val="both"/>
        <w:rPr>
          <w:rFonts w:ascii="Arial" w:hAnsi="Arial" w:cs="Arial"/>
          <w:color w:val="000000" w:themeColor="text1"/>
          <w:sz w:val="19"/>
          <w:szCs w:val="19"/>
          <w:lang w:val="es-ES"/>
        </w:rPr>
      </w:pPr>
    </w:p>
  </w:footnote>
  <w:footnote w:id="7">
    <w:p w14:paraId="032A3E50"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2º,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2º,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2º,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d), Ley 80/93).</w:t>
      </w:r>
    </w:p>
    <w:p w14:paraId="06A54621" w14:textId="77777777" w:rsidR="00E419C7" w:rsidRPr="007C17EA" w:rsidRDefault="00E419C7" w:rsidP="00E419C7">
      <w:pPr>
        <w:pStyle w:val="Textonotapie"/>
        <w:ind w:firstLine="709"/>
        <w:jc w:val="both"/>
        <w:rPr>
          <w:rFonts w:ascii="Arial" w:hAnsi="Arial" w:cs="Arial"/>
          <w:color w:val="000000" w:themeColor="text1"/>
          <w:sz w:val="19"/>
          <w:szCs w:val="19"/>
          <w:lang w:val="es-CO"/>
        </w:rPr>
      </w:pPr>
    </w:p>
  </w:footnote>
  <w:footnote w:id="8">
    <w:p w14:paraId="0D8002E9"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k), Ley 80/93, modificado por el art. 33, Ley 1778/16); «Quienes fueron miembros de la junta o consejo directivo o servidores públicos de la entidad contratante»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2º,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2º,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f), Ley 80/93, adicionado por el art. 4º, Ley 1474/2011) [a pesar de que la norma la califica como una incompatibilidad, en realidad se trata de una inhabilidad, ya que en dicha causal no existe concurrencia de calidades en un sujeto]. </w:t>
      </w:r>
    </w:p>
    <w:p w14:paraId="02FC617B" w14:textId="77777777" w:rsidR="00E419C7" w:rsidRPr="007C17EA" w:rsidRDefault="00E419C7" w:rsidP="00E419C7">
      <w:pPr>
        <w:pStyle w:val="Textonotapie"/>
        <w:ind w:firstLine="709"/>
        <w:jc w:val="both"/>
        <w:rPr>
          <w:rFonts w:ascii="Arial" w:hAnsi="Arial" w:cs="Arial"/>
          <w:color w:val="000000" w:themeColor="text1"/>
          <w:sz w:val="19"/>
          <w:szCs w:val="19"/>
          <w:lang w:val="es-CO"/>
        </w:rPr>
      </w:pPr>
      <w:r w:rsidRPr="007C17EA">
        <w:rPr>
          <w:rFonts w:ascii="Arial" w:hAnsi="Arial" w:cs="Arial"/>
          <w:color w:val="000000" w:themeColor="text1"/>
          <w:sz w:val="19"/>
          <w:szCs w:val="19"/>
          <w:lang w:val="es-ES"/>
        </w:rPr>
        <w:t xml:space="preserve">  </w:t>
      </w:r>
    </w:p>
  </w:footnote>
  <w:footnote w:id="9">
    <w:p w14:paraId="273462CC" w14:textId="77777777" w:rsidR="00E419C7" w:rsidRPr="007C17EA" w:rsidRDefault="00E419C7" w:rsidP="00E419C7">
      <w:pPr>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Como las señaladas a continuación: «Los servidores públicos»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1º,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2º,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7C17EA">
        <w:rPr>
          <w:rFonts w:ascii="Arial" w:hAnsi="Arial" w:cs="Arial"/>
          <w:color w:val="000000" w:themeColor="text1"/>
          <w:sz w:val="19"/>
          <w:szCs w:val="19"/>
          <w:lang w:val="es-ES"/>
        </w:rPr>
        <w:t>num</w:t>
      </w:r>
      <w:proofErr w:type="spellEnd"/>
      <w:r w:rsidRPr="007C17EA">
        <w:rPr>
          <w:rFonts w:ascii="Arial" w:hAnsi="Arial" w:cs="Arial"/>
          <w:color w:val="000000" w:themeColor="text1"/>
          <w:sz w:val="19"/>
          <w:szCs w:val="19"/>
          <w:lang w:val="es-ES"/>
        </w:rPr>
        <w:t xml:space="preserve">. 2º, </w:t>
      </w:r>
      <w:proofErr w:type="spellStart"/>
      <w:r w:rsidRPr="007C17EA">
        <w:rPr>
          <w:rFonts w:ascii="Arial" w:hAnsi="Arial" w:cs="Arial"/>
          <w:color w:val="000000" w:themeColor="text1"/>
          <w:sz w:val="19"/>
          <w:szCs w:val="19"/>
          <w:lang w:val="es-ES"/>
        </w:rPr>
        <w:t>lit.</w:t>
      </w:r>
      <w:proofErr w:type="spellEnd"/>
      <w:r w:rsidRPr="007C17EA">
        <w:rPr>
          <w:rFonts w:ascii="Arial" w:hAnsi="Arial" w:cs="Arial"/>
          <w:color w:val="000000" w:themeColor="text1"/>
          <w:sz w:val="19"/>
          <w:szCs w:val="19"/>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7C17EA">
        <w:rPr>
          <w:rFonts w:ascii="Arial" w:hAnsi="Arial" w:cs="Arial"/>
          <w:color w:val="000000" w:themeColor="text1"/>
          <w:sz w:val="19"/>
          <w:szCs w:val="19"/>
          <w:lang w:val="es-ES"/>
        </w:rPr>
        <w:t>consaguinidad</w:t>
      </w:r>
      <w:proofErr w:type="spellEnd"/>
      <w:r w:rsidRPr="007C17EA">
        <w:rPr>
          <w:rFonts w:ascii="Arial" w:hAnsi="Arial" w:cs="Arial"/>
          <w:color w:val="000000" w:themeColor="text1"/>
          <w:sz w:val="19"/>
          <w:szCs w:val="19"/>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1FBEE34C" w14:textId="77777777" w:rsidR="00E419C7" w:rsidRPr="007C17EA" w:rsidRDefault="00E419C7" w:rsidP="00E419C7">
      <w:pPr>
        <w:ind w:firstLine="709"/>
        <w:jc w:val="both"/>
        <w:rPr>
          <w:rFonts w:ascii="Arial" w:hAnsi="Arial" w:cs="Arial"/>
          <w:color w:val="000000" w:themeColor="text1"/>
          <w:sz w:val="19"/>
          <w:szCs w:val="19"/>
          <w:lang w:val="es-ES"/>
        </w:rPr>
      </w:pPr>
    </w:p>
  </w:footnote>
  <w:footnote w:id="10">
    <w:p w14:paraId="7922AFC3"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BARRETO ROZO, Antonio Alejandro. Inhabilidades de la contratación estatal, efectos y </w:t>
      </w:r>
      <w:proofErr w:type="spellStart"/>
      <w:r w:rsidRPr="007C17EA">
        <w:rPr>
          <w:rFonts w:ascii="Arial" w:hAnsi="Arial" w:cs="Arial"/>
          <w:color w:val="000000" w:themeColor="text1"/>
          <w:sz w:val="19"/>
          <w:szCs w:val="19"/>
          <w:lang w:val="es-ES"/>
        </w:rPr>
        <w:t>neopunitivismo</w:t>
      </w:r>
      <w:proofErr w:type="spellEnd"/>
      <w:r w:rsidRPr="007C17EA">
        <w:rPr>
          <w:rFonts w:ascii="Arial" w:hAnsi="Arial" w:cs="Arial"/>
          <w:color w:val="000000" w:themeColor="text1"/>
          <w:sz w:val="19"/>
          <w:szCs w:val="19"/>
          <w:lang w:val="es-ES"/>
        </w:rPr>
        <w:t xml:space="preserve"> en el Estatuto Anticorrupción. En: ALVIAR GARCÍA, Helena (Coordinadora). Nuevas tendencias del Derecho administrativo. Bogotá: Universidad de los Andes; Temis, 2016. pp. 63-99.</w:t>
      </w:r>
    </w:p>
    <w:p w14:paraId="42BDC988"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p>
  </w:footnote>
  <w:footnote w:id="11">
    <w:p w14:paraId="05E9480B"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Ibíd., p. 69.</w:t>
      </w:r>
    </w:p>
    <w:p w14:paraId="617D751B"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p>
  </w:footnote>
  <w:footnote w:id="12">
    <w:p w14:paraId="250285F8"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6CDA49EA"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p>
  </w:footnote>
  <w:footnote w:id="13">
    <w:p w14:paraId="0D529983"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Consejo de Estado. Sala de Consulta y Servicio Civil. Concepto del 30 de abril de 2015. Expediente: 2251. Consejero Ponente: Álvaro </w:t>
      </w:r>
      <w:proofErr w:type="spellStart"/>
      <w:r w:rsidRPr="007C17EA">
        <w:rPr>
          <w:rFonts w:ascii="Arial" w:hAnsi="Arial" w:cs="Arial"/>
          <w:color w:val="000000" w:themeColor="text1"/>
          <w:sz w:val="19"/>
          <w:szCs w:val="19"/>
          <w:lang w:val="es-ES"/>
        </w:rPr>
        <w:t>Namén</w:t>
      </w:r>
      <w:proofErr w:type="spellEnd"/>
      <w:r w:rsidRPr="007C17EA">
        <w:rPr>
          <w:rFonts w:ascii="Arial" w:hAnsi="Arial" w:cs="Arial"/>
          <w:color w:val="000000" w:themeColor="text1"/>
          <w:sz w:val="19"/>
          <w:szCs w:val="19"/>
          <w:lang w:val="es-ES"/>
        </w:rPr>
        <w:t xml:space="preserve"> Vargas.</w:t>
      </w:r>
    </w:p>
    <w:p w14:paraId="34D7E1AD"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p>
  </w:footnote>
  <w:footnote w:id="14">
    <w:p w14:paraId="58F96E55" w14:textId="77777777" w:rsidR="00E419C7" w:rsidRPr="007C17EA" w:rsidRDefault="00E419C7" w:rsidP="00E419C7">
      <w:pPr>
        <w:pStyle w:val="Textonotapie"/>
        <w:ind w:firstLine="709"/>
        <w:jc w:val="both"/>
        <w:rPr>
          <w:rFonts w:ascii="Arial" w:hAnsi="Arial" w:cs="Arial"/>
          <w:color w:val="000000" w:themeColor="text1"/>
          <w:sz w:val="19"/>
          <w:szCs w:val="19"/>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rPr>
        <w:t>Consejo de Estado. Sección Tercera. Subsección A. Sentencia del 24 de junio de 2015. Exp. 40.635. Consejero Ponente: Hernán Andrade Rincón (E).</w:t>
      </w:r>
    </w:p>
    <w:p w14:paraId="740A8D77"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p>
  </w:footnote>
  <w:footnote w:id="15">
    <w:p w14:paraId="53E1FF39" w14:textId="77777777" w:rsidR="00E419C7" w:rsidRPr="007C17EA" w:rsidRDefault="00E419C7" w:rsidP="00E419C7">
      <w:pPr>
        <w:pStyle w:val="Textonotapie"/>
        <w:ind w:firstLine="709"/>
        <w:jc w:val="both"/>
        <w:rPr>
          <w:rFonts w:ascii="Arial" w:hAnsi="Arial" w:cs="Arial"/>
          <w:color w:val="000000" w:themeColor="text1"/>
          <w:sz w:val="19"/>
          <w:szCs w:val="19"/>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rPr>
        <w:t xml:space="preserve">Consejo de Estado. Sección Tercera. Subsección C. Sentencia del 22 de mayo de 2013. Exp. 24.057. </w:t>
      </w:r>
      <w:r w:rsidRPr="007C17EA">
        <w:rPr>
          <w:rFonts w:ascii="Arial" w:hAnsi="Arial" w:cs="Arial"/>
          <w:color w:val="000000" w:themeColor="text1"/>
          <w:sz w:val="19"/>
          <w:szCs w:val="19"/>
        </w:rPr>
        <w:t>Consejera Ponente: Olga Melida Valle De De La Hoz.</w:t>
      </w:r>
    </w:p>
    <w:p w14:paraId="20090440"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p>
  </w:footnote>
  <w:footnote w:id="16">
    <w:p w14:paraId="44033F8F"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BAA1A3B"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17">
    <w:p w14:paraId="57BD15A2"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BF3DDA4"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roofErr w:type="gramStart"/>
      <w:r w:rsidRPr="00986C37">
        <w:rPr>
          <w:rFonts w:ascii="Arial" w:hAnsi="Arial" w:cs="Arial"/>
          <w:color w:val="000000" w:themeColor="text1"/>
          <w:sz w:val="19"/>
          <w:szCs w:val="19"/>
          <w:lang w:val="es-ES"/>
        </w:rPr>
        <w:t>»Los</w:t>
      </w:r>
      <w:proofErr w:type="gramEnd"/>
      <w:r w:rsidRPr="00986C37">
        <w:rPr>
          <w:rFonts w:ascii="Arial" w:hAnsi="Arial" w:cs="Arial"/>
          <w:color w:val="000000" w:themeColor="text1"/>
          <w:sz w:val="19"/>
          <w:szCs w:val="19"/>
          <w:lang w:val="es-ES"/>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58AA4BC"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roofErr w:type="gramStart"/>
      <w:r w:rsidRPr="00986C37">
        <w:rPr>
          <w:rFonts w:ascii="Arial" w:hAnsi="Arial" w:cs="Arial"/>
          <w:color w:val="000000" w:themeColor="text1"/>
          <w:sz w:val="19"/>
          <w:szCs w:val="19"/>
          <w:lang w:val="es-ES"/>
        </w:rPr>
        <w:t>»El</w:t>
      </w:r>
      <w:proofErr w:type="gramEnd"/>
      <w:r w:rsidRPr="00986C37">
        <w:rPr>
          <w:rFonts w:ascii="Arial" w:hAnsi="Arial" w:cs="Arial"/>
          <w:color w:val="000000" w:themeColor="text1"/>
          <w:sz w:val="19"/>
          <w:szCs w:val="19"/>
          <w:lang w:val="es-ES"/>
        </w:rPr>
        <w:t xml:space="preserve"> Gobierno nacional reglamentará el mecanismo para realizar la mensualización de que trata el presente artículo».</w:t>
      </w:r>
    </w:p>
    <w:p w14:paraId="52DE9710"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18">
    <w:p w14:paraId="405627B0"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color w:val="000000" w:themeColor="text1"/>
          <w:sz w:val="19"/>
          <w:szCs w:val="19"/>
          <w:lang w:val="es-ES"/>
        </w:rPr>
        <w:t>CORTE CONSTITUCIONAL. Sentencia C-154 de 1997. M.P. Hernando Herrera Vergara.</w:t>
      </w:r>
    </w:p>
    <w:p w14:paraId="443D73D6"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19">
    <w:p w14:paraId="0491BDF9"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i/>
          <w:iCs/>
          <w:color w:val="000000" w:themeColor="text1"/>
          <w:sz w:val="19"/>
          <w:szCs w:val="19"/>
          <w:lang w:val="es-ES"/>
        </w:rPr>
        <w:t>Ibíd</w:t>
      </w:r>
      <w:r w:rsidRPr="00986C37">
        <w:rPr>
          <w:rFonts w:ascii="Arial" w:hAnsi="Arial" w:cs="Arial"/>
          <w:color w:val="000000" w:themeColor="text1"/>
          <w:sz w:val="19"/>
          <w:szCs w:val="19"/>
          <w:lang w:val="es-ES"/>
        </w:rPr>
        <w:t>.</w:t>
      </w:r>
    </w:p>
    <w:p w14:paraId="6631BC24"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20">
    <w:p w14:paraId="1D0BA43F"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2A8BF54"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roofErr w:type="gramStart"/>
      <w:r w:rsidRPr="00986C37">
        <w:rPr>
          <w:rFonts w:ascii="Arial" w:hAnsi="Arial" w:cs="Arial"/>
          <w:color w:val="000000" w:themeColor="text1"/>
          <w:sz w:val="19"/>
          <w:szCs w:val="19"/>
          <w:lang w:val="es-ES"/>
        </w:rPr>
        <w:t>»Los</w:t>
      </w:r>
      <w:proofErr w:type="gramEnd"/>
      <w:r w:rsidRPr="00986C37">
        <w:rPr>
          <w:rFonts w:ascii="Arial" w:hAnsi="Arial" w:cs="Arial"/>
          <w:color w:val="000000" w:themeColor="text1"/>
          <w:sz w:val="19"/>
          <w:szCs w:val="19"/>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EC0ED6D"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roofErr w:type="gramStart"/>
      <w:r w:rsidRPr="00986C37">
        <w:rPr>
          <w:rFonts w:ascii="Arial" w:hAnsi="Arial" w:cs="Arial"/>
          <w:color w:val="000000" w:themeColor="text1"/>
          <w:sz w:val="19"/>
          <w:szCs w:val="19"/>
          <w:lang w:val="es-ES"/>
        </w:rPr>
        <w:t>»La</w:t>
      </w:r>
      <w:proofErr w:type="gramEnd"/>
      <w:r w:rsidRPr="00986C37">
        <w:rPr>
          <w:rFonts w:ascii="Arial" w:hAnsi="Arial" w:cs="Arial"/>
          <w:color w:val="000000" w:themeColor="text1"/>
          <w:sz w:val="19"/>
          <w:szCs w:val="19"/>
          <w:lang w:val="es-ES"/>
        </w:rPr>
        <w:t xml:space="preserve"> Entidad Estatal, para la contratación de trabajos artísticos que solamente puedan en­comendarse a determinadas personas naturales, debe justificar esta situación en los estudios y documentos previos».</w:t>
      </w:r>
    </w:p>
    <w:p w14:paraId="4A616EBA"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21">
    <w:p w14:paraId="16E1A06D"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color w:val="000000" w:themeColor="text1"/>
          <w:sz w:val="19"/>
          <w:szCs w:val="19"/>
          <w:lang w:val="es-ES"/>
        </w:rPr>
        <w:t xml:space="preserve">CONSEJO DE ESTADO. Sección Tercera. Subsección C. Sentencia de Unificación del 2 de diciembre de 2013. </w:t>
      </w:r>
      <w:proofErr w:type="spellStart"/>
      <w:r w:rsidRPr="00986C37">
        <w:rPr>
          <w:rFonts w:ascii="Arial" w:hAnsi="Arial" w:cs="Arial"/>
          <w:color w:val="000000" w:themeColor="text1"/>
          <w:sz w:val="19"/>
          <w:szCs w:val="19"/>
          <w:lang w:val="es-ES"/>
        </w:rPr>
        <w:t>Exp</w:t>
      </w:r>
      <w:proofErr w:type="spellEnd"/>
      <w:r w:rsidRPr="00986C37">
        <w:rPr>
          <w:rFonts w:ascii="Arial" w:hAnsi="Arial" w:cs="Arial"/>
          <w:color w:val="000000" w:themeColor="text1"/>
          <w:sz w:val="19"/>
          <w:szCs w:val="19"/>
          <w:lang w:val="es-ES"/>
        </w:rPr>
        <w:t>. 41.719. C.P. Jaime Orlando Santofimio Gamboa.</w:t>
      </w:r>
    </w:p>
    <w:p w14:paraId="68D43AAE"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22">
    <w:p w14:paraId="30DC112F"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i/>
          <w:iCs/>
          <w:color w:val="000000" w:themeColor="text1"/>
          <w:sz w:val="19"/>
          <w:szCs w:val="19"/>
          <w:lang w:val="es-ES"/>
        </w:rPr>
        <w:t>Ibíd</w:t>
      </w:r>
      <w:r w:rsidRPr="00986C37">
        <w:rPr>
          <w:rFonts w:ascii="Arial" w:hAnsi="Arial" w:cs="Arial"/>
          <w:color w:val="000000" w:themeColor="text1"/>
          <w:sz w:val="19"/>
          <w:szCs w:val="19"/>
          <w:lang w:val="es-ES"/>
        </w:rPr>
        <w:t>.</w:t>
      </w:r>
    </w:p>
    <w:p w14:paraId="058C081A"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23">
    <w:p w14:paraId="681F809F"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i/>
          <w:iCs/>
          <w:color w:val="000000" w:themeColor="text1"/>
          <w:sz w:val="19"/>
          <w:szCs w:val="19"/>
          <w:lang w:val="es-ES"/>
        </w:rPr>
        <w:t>Ibíd</w:t>
      </w:r>
      <w:r w:rsidRPr="00986C37">
        <w:rPr>
          <w:rFonts w:ascii="Arial" w:hAnsi="Arial" w:cs="Arial"/>
          <w:color w:val="000000" w:themeColor="text1"/>
          <w:sz w:val="19"/>
          <w:szCs w:val="19"/>
          <w:lang w:val="es-ES"/>
        </w:rPr>
        <w:t>.</w:t>
      </w:r>
    </w:p>
    <w:p w14:paraId="1B962FED"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24">
    <w:p w14:paraId="6BB95A9B"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i/>
          <w:iCs/>
          <w:color w:val="000000" w:themeColor="text1"/>
          <w:sz w:val="19"/>
          <w:szCs w:val="19"/>
          <w:lang w:val="es-ES"/>
        </w:rPr>
        <w:t>Ibíd</w:t>
      </w:r>
      <w:r w:rsidRPr="00986C37">
        <w:rPr>
          <w:rFonts w:ascii="Arial" w:hAnsi="Arial" w:cs="Arial"/>
          <w:color w:val="000000" w:themeColor="text1"/>
          <w:sz w:val="19"/>
          <w:szCs w:val="19"/>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0D5DF66"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roofErr w:type="gramStart"/>
      <w:r w:rsidRPr="00986C37">
        <w:rPr>
          <w:rFonts w:ascii="Arial" w:hAnsi="Arial" w:cs="Arial"/>
          <w:color w:val="000000" w:themeColor="text1"/>
          <w:sz w:val="19"/>
          <w:szCs w:val="19"/>
          <w:lang w:val="es-ES"/>
        </w:rPr>
        <w:t>»Son</w:t>
      </w:r>
      <w:proofErr w:type="gramEnd"/>
      <w:r w:rsidRPr="00986C37">
        <w:rPr>
          <w:rFonts w:ascii="Arial" w:hAnsi="Arial" w:cs="Arial"/>
          <w:color w:val="000000" w:themeColor="text1"/>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67E825E4"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roofErr w:type="gramStart"/>
      <w:r w:rsidRPr="00986C37">
        <w:rPr>
          <w:rFonts w:ascii="Arial" w:hAnsi="Arial" w:cs="Arial"/>
          <w:color w:val="000000" w:themeColor="text1"/>
          <w:sz w:val="19"/>
          <w:szCs w:val="19"/>
          <w:lang w:val="es-ES"/>
        </w:rPr>
        <w:t>»Ninguna</w:t>
      </w:r>
      <w:proofErr w:type="gramEnd"/>
      <w:r w:rsidRPr="00986C37">
        <w:rPr>
          <w:rFonts w:ascii="Arial" w:hAnsi="Arial" w:cs="Arial"/>
          <w:color w:val="000000" w:themeColor="text1"/>
          <w:sz w:val="19"/>
          <w:szCs w:val="19"/>
          <w:lang w:val="es-ES"/>
        </w:rPr>
        <w:t xml:space="preserve"> orden del interventor de una obra podrá darse verbalmente. Es obligatorio para el interventor entregar por escrito sus órdenes o sugerencias y ellas deben </w:t>
      </w:r>
      <w:proofErr w:type="gramStart"/>
      <w:r w:rsidRPr="00986C37">
        <w:rPr>
          <w:rFonts w:ascii="Arial" w:hAnsi="Arial" w:cs="Arial"/>
          <w:color w:val="000000" w:themeColor="text1"/>
          <w:sz w:val="19"/>
          <w:szCs w:val="19"/>
          <w:lang w:val="es-ES"/>
        </w:rPr>
        <w:t>enmarcarse dentro de</w:t>
      </w:r>
      <w:proofErr w:type="gramEnd"/>
      <w:r w:rsidRPr="00986C37">
        <w:rPr>
          <w:rFonts w:ascii="Arial" w:hAnsi="Arial" w:cs="Arial"/>
          <w:color w:val="000000" w:themeColor="text1"/>
          <w:sz w:val="19"/>
          <w:szCs w:val="19"/>
          <w:lang w:val="es-ES"/>
        </w:rPr>
        <w:t xml:space="preserve"> los términos del respectivo contrato». </w:t>
      </w:r>
    </w:p>
    <w:p w14:paraId="500293DD"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25">
    <w:p w14:paraId="0DEF5EAE"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330FE113"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Fonts w:ascii="Arial" w:hAnsi="Arial" w:cs="Arial"/>
          <w:color w:val="000000" w:themeColor="text1"/>
          <w:sz w:val="19"/>
          <w:szCs w:val="19"/>
          <w:lang w:val="es-ES"/>
        </w:rPr>
        <w:t>»1. La causal que invoca para contratar directamente.</w:t>
      </w:r>
    </w:p>
    <w:p w14:paraId="033A61A9"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Fonts w:ascii="Arial" w:hAnsi="Arial" w:cs="Arial"/>
          <w:color w:val="000000" w:themeColor="text1"/>
          <w:sz w:val="19"/>
          <w:szCs w:val="19"/>
          <w:lang w:val="es-ES"/>
        </w:rPr>
        <w:t>»2. El objeto del contrato.</w:t>
      </w:r>
    </w:p>
    <w:p w14:paraId="71C13601"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Fonts w:ascii="Arial" w:hAnsi="Arial" w:cs="Arial"/>
          <w:color w:val="000000" w:themeColor="text1"/>
          <w:sz w:val="19"/>
          <w:szCs w:val="19"/>
          <w:lang w:val="es-ES"/>
        </w:rPr>
        <w:t>»3. El presupuesto para la contratación y las condiciones que exigirá al contratista.</w:t>
      </w:r>
    </w:p>
    <w:p w14:paraId="1C41CB9D"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Fonts w:ascii="Arial" w:hAnsi="Arial" w:cs="Arial"/>
          <w:color w:val="000000" w:themeColor="text1"/>
          <w:sz w:val="19"/>
          <w:szCs w:val="19"/>
          <w:lang w:val="es-ES"/>
        </w:rPr>
        <w:t>»4. El lugar en el cual los interesados pueden consultar los estudios y documentos previos.</w:t>
      </w:r>
    </w:p>
    <w:p w14:paraId="232D0B32"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roofErr w:type="gramStart"/>
      <w:r w:rsidRPr="00986C37">
        <w:rPr>
          <w:rFonts w:ascii="Arial" w:hAnsi="Arial" w:cs="Arial"/>
          <w:color w:val="000000" w:themeColor="text1"/>
          <w:sz w:val="19"/>
          <w:szCs w:val="19"/>
          <w:lang w:val="es-ES"/>
        </w:rPr>
        <w:t>»Este</w:t>
      </w:r>
      <w:proofErr w:type="gramEnd"/>
      <w:r w:rsidRPr="00986C37">
        <w:rPr>
          <w:rFonts w:ascii="Arial" w:hAnsi="Arial" w:cs="Arial"/>
          <w:color w:val="000000" w:themeColor="text1"/>
          <w:sz w:val="19"/>
          <w:szCs w:val="19"/>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p w14:paraId="121349BE"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26">
    <w:p w14:paraId="0900C9EE"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color w:val="000000" w:themeColor="text1"/>
          <w:sz w:val="19"/>
          <w:szCs w:val="19"/>
          <w:lang w:val="es-ES"/>
        </w:rPr>
        <w:t>Esta norma expresa: «</w:t>
      </w:r>
      <w:r w:rsidRPr="00986C37">
        <w:rPr>
          <w:rFonts w:ascii="Arial" w:hAnsi="Arial" w:cs="Arial"/>
          <w:color w:val="000000" w:themeColor="text1"/>
          <w:sz w:val="19"/>
          <w:szCs w:val="19"/>
        </w:rPr>
        <w:t>P</w:t>
      </w:r>
      <w:r w:rsidRPr="00986C37">
        <w:rPr>
          <w:rFonts w:ascii="Arial" w:hAnsi="Arial" w:cs="Arial"/>
          <w:color w:val="000000" w:themeColor="text1"/>
          <w:sz w:val="19"/>
          <w:szCs w:val="19"/>
          <w:lang w:val="es-ES"/>
        </w:rPr>
        <w:t xml:space="preserve">ara el cumplimiento de los fines de la contratación, las entidades estatales al celebrar un contrato: </w:t>
      </w:r>
    </w:p>
    <w:p w14:paraId="7E4F6302"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Fonts w:ascii="Arial" w:hAnsi="Arial" w:cs="Arial"/>
          <w:color w:val="000000" w:themeColor="text1"/>
          <w:sz w:val="19"/>
          <w:szCs w:val="19"/>
          <w:lang w:val="es-ES"/>
        </w:rPr>
        <w:t xml:space="preserve">»[…] </w:t>
      </w:r>
    </w:p>
    <w:p w14:paraId="469642BB"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roofErr w:type="gramStart"/>
      <w:r w:rsidRPr="00986C37">
        <w:rPr>
          <w:rFonts w:ascii="Arial" w:hAnsi="Arial" w:cs="Arial"/>
          <w:color w:val="000000" w:themeColor="text1"/>
          <w:sz w:val="19"/>
          <w:szCs w:val="19"/>
          <w:lang w:val="es-ES"/>
        </w:rPr>
        <w:t>»2o.</w:t>
      </w:r>
      <w:proofErr w:type="gramEnd"/>
      <w:r w:rsidRPr="00986C37">
        <w:rPr>
          <w:rFonts w:ascii="Arial" w:hAnsi="Arial" w:cs="Arial"/>
          <w:color w:val="000000" w:themeColor="text1"/>
          <w:sz w:val="19"/>
          <w:szCs w:val="19"/>
          <w:lang w:val="es-ES"/>
        </w:rPr>
        <w:t xml:space="preserve">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 </w:t>
      </w:r>
    </w:p>
    <w:p w14:paraId="0D8AD548"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Fonts w:ascii="Arial" w:hAnsi="Arial" w:cs="Arial"/>
          <w:color w:val="000000" w:themeColor="text1"/>
          <w:sz w:val="19"/>
          <w:szCs w:val="19"/>
          <w:lang w:val="es-ES"/>
        </w:rPr>
        <w:t>Las entidades estatales podrán pactar estas cláusulas en los contratos de suministro y de prestación de servicios […]».</w:t>
      </w:r>
    </w:p>
    <w:p w14:paraId="2224DA5D"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27">
    <w:p w14:paraId="7AD9E5E4"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1455604E"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28">
    <w:p w14:paraId="2A5C4935" w14:textId="77777777" w:rsidR="001C7E97" w:rsidRPr="00986C37" w:rsidRDefault="001C7E97" w:rsidP="001C7E97">
      <w:pPr>
        <w:pStyle w:val="Textonotapie"/>
        <w:ind w:firstLine="709"/>
        <w:jc w:val="both"/>
        <w:rPr>
          <w:rFonts w:ascii="Arial" w:hAnsi="Arial" w:cs="Arial"/>
          <w:color w:val="000000" w:themeColor="text1"/>
          <w:sz w:val="19"/>
          <w:szCs w:val="19"/>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color w:val="000000" w:themeColor="text1"/>
          <w:sz w:val="19"/>
          <w:szCs w:val="19"/>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1714AED" w14:textId="77777777" w:rsidR="001C7E97" w:rsidRPr="00986C37" w:rsidRDefault="001C7E97" w:rsidP="001C7E97">
      <w:pPr>
        <w:pStyle w:val="Textonotapie"/>
        <w:ind w:firstLine="709"/>
        <w:jc w:val="both"/>
        <w:rPr>
          <w:rFonts w:ascii="Arial" w:hAnsi="Arial" w:cs="Arial"/>
          <w:color w:val="000000" w:themeColor="text1"/>
          <w:sz w:val="19"/>
          <w:szCs w:val="19"/>
        </w:rPr>
      </w:pPr>
      <w:r w:rsidRPr="00986C37">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62542350" w14:textId="77777777" w:rsidR="001C7E97" w:rsidRPr="00986C37" w:rsidRDefault="001C7E97" w:rsidP="001C7E97">
      <w:pPr>
        <w:pStyle w:val="Textonotapie"/>
        <w:ind w:firstLine="709"/>
        <w:jc w:val="both"/>
        <w:rPr>
          <w:rFonts w:ascii="Arial" w:hAnsi="Arial" w:cs="Arial"/>
          <w:color w:val="000000" w:themeColor="text1"/>
          <w:sz w:val="19"/>
          <w:szCs w:val="19"/>
        </w:rPr>
      </w:pPr>
    </w:p>
  </w:footnote>
  <w:footnote w:id="29">
    <w:p w14:paraId="50DB9D43"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r w:rsidRPr="00986C37">
        <w:rPr>
          <w:rStyle w:val="Refdenotaalpie"/>
          <w:rFonts w:ascii="Arial" w:hAnsi="Arial" w:cs="Arial"/>
          <w:color w:val="000000" w:themeColor="text1"/>
          <w:sz w:val="19"/>
          <w:szCs w:val="19"/>
        </w:rPr>
        <w:footnoteRef/>
      </w:r>
      <w:r w:rsidRPr="00986C37">
        <w:rPr>
          <w:rFonts w:ascii="Arial" w:hAnsi="Arial" w:cs="Arial"/>
          <w:color w:val="000000" w:themeColor="text1"/>
          <w:sz w:val="19"/>
          <w:szCs w:val="19"/>
        </w:rPr>
        <w:t xml:space="preserve"> </w:t>
      </w:r>
      <w:r w:rsidRPr="00986C37">
        <w:rPr>
          <w:rFonts w:ascii="Arial" w:hAnsi="Arial" w:cs="Arial"/>
          <w:color w:val="000000" w:themeColor="text1"/>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142CEE15" w14:textId="77777777" w:rsidR="001C7E97" w:rsidRPr="00986C37" w:rsidRDefault="001C7E97" w:rsidP="001C7E97">
      <w:pPr>
        <w:pStyle w:val="Textonotapie"/>
        <w:ind w:firstLine="709"/>
        <w:jc w:val="both"/>
        <w:rPr>
          <w:rFonts w:ascii="Arial" w:hAnsi="Arial" w:cs="Arial"/>
          <w:color w:val="000000" w:themeColor="text1"/>
          <w:sz w:val="19"/>
          <w:szCs w:val="19"/>
          <w:lang w:val="es-ES"/>
        </w:rPr>
      </w:pPr>
    </w:p>
  </w:footnote>
  <w:footnote w:id="30">
    <w:p w14:paraId="32B21611" w14:textId="77777777" w:rsidR="00E419C7" w:rsidRPr="007C17EA" w:rsidRDefault="00E419C7" w:rsidP="00E419C7">
      <w:pPr>
        <w:pStyle w:val="Textonotapie"/>
        <w:ind w:firstLine="709"/>
        <w:jc w:val="both"/>
        <w:rPr>
          <w:rFonts w:ascii="Arial" w:hAnsi="Arial" w:cs="Arial"/>
          <w:color w:val="000000" w:themeColor="text1"/>
          <w:sz w:val="19"/>
          <w:szCs w:val="19"/>
          <w:lang w:val="es-ES"/>
        </w:rPr>
      </w:pPr>
      <w:r w:rsidRPr="007C17EA">
        <w:rPr>
          <w:rStyle w:val="Refdenotaalpie"/>
          <w:rFonts w:ascii="Arial" w:hAnsi="Arial" w:cs="Arial"/>
          <w:color w:val="000000" w:themeColor="text1"/>
          <w:sz w:val="19"/>
          <w:szCs w:val="19"/>
        </w:rPr>
        <w:footnoteRef/>
      </w:r>
      <w:r w:rsidRPr="007C17EA">
        <w:rPr>
          <w:rFonts w:ascii="Arial" w:hAnsi="Arial" w:cs="Arial"/>
          <w:color w:val="000000" w:themeColor="text1"/>
          <w:sz w:val="19"/>
          <w:szCs w:val="19"/>
        </w:rPr>
        <w:t xml:space="preserve"> </w:t>
      </w:r>
      <w:r w:rsidRPr="007C17EA">
        <w:rPr>
          <w:rFonts w:ascii="Arial" w:hAnsi="Arial" w:cs="Arial"/>
          <w:color w:val="000000" w:themeColor="text1"/>
          <w:sz w:val="19"/>
          <w:szCs w:val="19"/>
          <w:lang w:val="es-ES"/>
        </w:rPr>
        <w:t xml:space="preserve">Así lo ha reconocido la doctrina: «Por otra parte, la reglamentación de la prestación de servicios comprende una paleta normativa que busca limitar la tergiversación de este tipo de contratos en beneficio de las </w:t>
      </w:r>
      <w:r w:rsidRPr="007C17EA">
        <w:rPr>
          <w:rFonts w:ascii="Arial" w:hAnsi="Arial" w:cs="Arial"/>
          <w:i/>
          <w:color w:val="000000" w:themeColor="text1"/>
          <w:sz w:val="19"/>
          <w:szCs w:val="19"/>
          <w:lang w:val="es-ES"/>
        </w:rPr>
        <w:t>nóminas paralelas</w:t>
      </w:r>
      <w:r w:rsidRPr="007C17EA">
        <w:rPr>
          <w:rFonts w:ascii="Arial" w:hAnsi="Arial" w:cs="Arial"/>
          <w:color w:val="000000" w:themeColor="text1"/>
          <w:sz w:val="19"/>
          <w:szCs w:val="19"/>
          <w:lang w:val="es-ES"/>
        </w:rPr>
        <w:t>, como práctica de substitución de los empleos públicos por prestadores de servicios, y las sanciones disciplinarias por entregar a contratistas el ejercicio permanente de funciones administrativas, que implican ejercicio de prerrogativas de poder público, complementadas en la responsabilidad fiscal y personal de los funcionarios» (BENAVIDES, José Luis. Contrato de prestación de servicios. Difícil delimitación frente al contrato realidad. En: Contratos público. Estudios. Bogotá: Universidad Externado de Colombia, 2014. pp. 311-312).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69ACB2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6AF8"/>
    <w:rsid w:val="00027C8A"/>
    <w:rsid w:val="00052E6D"/>
    <w:rsid w:val="0005695F"/>
    <w:rsid w:val="00061CA6"/>
    <w:rsid w:val="00062363"/>
    <w:rsid w:val="0006499F"/>
    <w:rsid w:val="000668F2"/>
    <w:rsid w:val="00083784"/>
    <w:rsid w:val="00083BF8"/>
    <w:rsid w:val="00084AA0"/>
    <w:rsid w:val="00084B97"/>
    <w:rsid w:val="00085147"/>
    <w:rsid w:val="000921C6"/>
    <w:rsid w:val="000942EB"/>
    <w:rsid w:val="00096EE0"/>
    <w:rsid w:val="000B103F"/>
    <w:rsid w:val="000B6F0F"/>
    <w:rsid w:val="000B71E4"/>
    <w:rsid w:val="000C0D40"/>
    <w:rsid w:val="000E3936"/>
    <w:rsid w:val="000F14E8"/>
    <w:rsid w:val="00103915"/>
    <w:rsid w:val="00122B23"/>
    <w:rsid w:val="00137FFA"/>
    <w:rsid w:val="00150BAE"/>
    <w:rsid w:val="00155152"/>
    <w:rsid w:val="00157A04"/>
    <w:rsid w:val="001659D9"/>
    <w:rsid w:val="001704FF"/>
    <w:rsid w:val="00170956"/>
    <w:rsid w:val="00172D04"/>
    <w:rsid w:val="00181317"/>
    <w:rsid w:val="00191592"/>
    <w:rsid w:val="001A7081"/>
    <w:rsid w:val="001B0444"/>
    <w:rsid w:val="001C7E97"/>
    <w:rsid w:val="001E60CB"/>
    <w:rsid w:val="001F34D4"/>
    <w:rsid w:val="001F4336"/>
    <w:rsid w:val="001F71C5"/>
    <w:rsid w:val="001F7D57"/>
    <w:rsid w:val="0020632A"/>
    <w:rsid w:val="002110EB"/>
    <w:rsid w:val="00211338"/>
    <w:rsid w:val="002233B1"/>
    <w:rsid w:val="00234B84"/>
    <w:rsid w:val="00260F08"/>
    <w:rsid w:val="00260F10"/>
    <w:rsid w:val="002640BA"/>
    <w:rsid w:val="00293F87"/>
    <w:rsid w:val="002A11F2"/>
    <w:rsid w:val="002C4C0C"/>
    <w:rsid w:val="002C7F9C"/>
    <w:rsid w:val="002D2E4E"/>
    <w:rsid w:val="002D6C6B"/>
    <w:rsid w:val="002F1A14"/>
    <w:rsid w:val="002F454C"/>
    <w:rsid w:val="00301184"/>
    <w:rsid w:val="003033BA"/>
    <w:rsid w:val="003074AE"/>
    <w:rsid w:val="00314F59"/>
    <w:rsid w:val="00322937"/>
    <w:rsid w:val="00325E6F"/>
    <w:rsid w:val="00336972"/>
    <w:rsid w:val="0034177C"/>
    <w:rsid w:val="0034677C"/>
    <w:rsid w:val="0034680A"/>
    <w:rsid w:val="00353DD5"/>
    <w:rsid w:val="00386456"/>
    <w:rsid w:val="00396FE0"/>
    <w:rsid w:val="003A0878"/>
    <w:rsid w:val="003A2753"/>
    <w:rsid w:val="003A581E"/>
    <w:rsid w:val="003C24CD"/>
    <w:rsid w:val="003C63A9"/>
    <w:rsid w:val="003D000D"/>
    <w:rsid w:val="003D2E2C"/>
    <w:rsid w:val="003F3468"/>
    <w:rsid w:val="00412C63"/>
    <w:rsid w:val="00423F9F"/>
    <w:rsid w:val="00427331"/>
    <w:rsid w:val="004422D6"/>
    <w:rsid w:val="004569DB"/>
    <w:rsid w:val="0045748F"/>
    <w:rsid w:val="004644A2"/>
    <w:rsid w:val="00473979"/>
    <w:rsid w:val="0048136F"/>
    <w:rsid w:val="0049094E"/>
    <w:rsid w:val="0049241A"/>
    <w:rsid w:val="00492A9F"/>
    <w:rsid w:val="004A34D2"/>
    <w:rsid w:val="004E2176"/>
    <w:rsid w:val="004E5EAC"/>
    <w:rsid w:val="0051074C"/>
    <w:rsid w:val="00513AF2"/>
    <w:rsid w:val="005178B0"/>
    <w:rsid w:val="0054413A"/>
    <w:rsid w:val="005564CA"/>
    <w:rsid w:val="0056182B"/>
    <w:rsid w:val="005756AA"/>
    <w:rsid w:val="00596405"/>
    <w:rsid w:val="005A692D"/>
    <w:rsid w:val="005C0573"/>
    <w:rsid w:val="005D0F03"/>
    <w:rsid w:val="005D3341"/>
    <w:rsid w:val="005D51FA"/>
    <w:rsid w:val="005D791B"/>
    <w:rsid w:val="006010F7"/>
    <w:rsid w:val="00611B77"/>
    <w:rsid w:val="00614817"/>
    <w:rsid w:val="00617FF2"/>
    <w:rsid w:val="00622A3C"/>
    <w:rsid w:val="00633DBF"/>
    <w:rsid w:val="006344B7"/>
    <w:rsid w:val="00640AEF"/>
    <w:rsid w:val="006426BC"/>
    <w:rsid w:val="00644C0A"/>
    <w:rsid w:val="00655371"/>
    <w:rsid w:val="00657704"/>
    <w:rsid w:val="00660B1A"/>
    <w:rsid w:val="006636B5"/>
    <w:rsid w:val="00665AA7"/>
    <w:rsid w:val="006911AD"/>
    <w:rsid w:val="006967F3"/>
    <w:rsid w:val="00697665"/>
    <w:rsid w:val="006A7CB5"/>
    <w:rsid w:val="006A7FD0"/>
    <w:rsid w:val="006B3FCA"/>
    <w:rsid w:val="006B60C8"/>
    <w:rsid w:val="006C1C9E"/>
    <w:rsid w:val="006D687F"/>
    <w:rsid w:val="006D7687"/>
    <w:rsid w:val="006E0572"/>
    <w:rsid w:val="006F2A69"/>
    <w:rsid w:val="00700267"/>
    <w:rsid w:val="00705631"/>
    <w:rsid w:val="00705F07"/>
    <w:rsid w:val="00715EAA"/>
    <w:rsid w:val="0072288F"/>
    <w:rsid w:val="0073456B"/>
    <w:rsid w:val="00742DD2"/>
    <w:rsid w:val="00746E08"/>
    <w:rsid w:val="00747C96"/>
    <w:rsid w:val="0075094E"/>
    <w:rsid w:val="00751504"/>
    <w:rsid w:val="007522E8"/>
    <w:rsid w:val="0075647A"/>
    <w:rsid w:val="007634AD"/>
    <w:rsid w:val="0078122E"/>
    <w:rsid w:val="00783AC5"/>
    <w:rsid w:val="00786873"/>
    <w:rsid w:val="00790122"/>
    <w:rsid w:val="00795647"/>
    <w:rsid w:val="007A4609"/>
    <w:rsid w:val="007A5851"/>
    <w:rsid w:val="007B0854"/>
    <w:rsid w:val="007B6F1D"/>
    <w:rsid w:val="007C17EA"/>
    <w:rsid w:val="007C3F63"/>
    <w:rsid w:val="007D7BD9"/>
    <w:rsid w:val="007F4562"/>
    <w:rsid w:val="007F6B46"/>
    <w:rsid w:val="007F72CB"/>
    <w:rsid w:val="00811CB5"/>
    <w:rsid w:val="0081537B"/>
    <w:rsid w:val="008217B7"/>
    <w:rsid w:val="0083119B"/>
    <w:rsid w:val="00836EAB"/>
    <w:rsid w:val="0085092D"/>
    <w:rsid w:val="00850F79"/>
    <w:rsid w:val="00854CFC"/>
    <w:rsid w:val="00870F20"/>
    <w:rsid w:val="00871FD2"/>
    <w:rsid w:val="0089774F"/>
    <w:rsid w:val="008A55BC"/>
    <w:rsid w:val="008B047A"/>
    <w:rsid w:val="008B5B04"/>
    <w:rsid w:val="008C6F27"/>
    <w:rsid w:val="008D6DE0"/>
    <w:rsid w:val="008D7994"/>
    <w:rsid w:val="008E09CF"/>
    <w:rsid w:val="008E1C15"/>
    <w:rsid w:val="008F538E"/>
    <w:rsid w:val="008F6999"/>
    <w:rsid w:val="009025BE"/>
    <w:rsid w:val="009047C5"/>
    <w:rsid w:val="009058E3"/>
    <w:rsid w:val="00905DDA"/>
    <w:rsid w:val="00923BCA"/>
    <w:rsid w:val="009256D5"/>
    <w:rsid w:val="0094362D"/>
    <w:rsid w:val="0095385A"/>
    <w:rsid w:val="00953E0F"/>
    <w:rsid w:val="00960D5C"/>
    <w:rsid w:val="009616AF"/>
    <w:rsid w:val="00962E23"/>
    <w:rsid w:val="0096318D"/>
    <w:rsid w:val="00985EFB"/>
    <w:rsid w:val="0099311A"/>
    <w:rsid w:val="0099575F"/>
    <w:rsid w:val="009A7824"/>
    <w:rsid w:val="009D0BBF"/>
    <w:rsid w:val="009E1BE1"/>
    <w:rsid w:val="009E2B8D"/>
    <w:rsid w:val="009F0BB6"/>
    <w:rsid w:val="009F59C2"/>
    <w:rsid w:val="009F5D34"/>
    <w:rsid w:val="00A006AE"/>
    <w:rsid w:val="00A0570C"/>
    <w:rsid w:val="00A0759B"/>
    <w:rsid w:val="00A114A5"/>
    <w:rsid w:val="00A114CB"/>
    <w:rsid w:val="00A23E4E"/>
    <w:rsid w:val="00A24560"/>
    <w:rsid w:val="00A278BD"/>
    <w:rsid w:val="00A34004"/>
    <w:rsid w:val="00A34538"/>
    <w:rsid w:val="00A346CD"/>
    <w:rsid w:val="00A37FB6"/>
    <w:rsid w:val="00A754E3"/>
    <w:rsid w:val="00A85C07"/>
    <w:rsid w:val="00A910CB"/>
    <w:rsid w:val="00A97D21"/>
    <w:rsid w:val="00AA08E7"/>
    <w:rsid w:val="00AA442B"/>
    <w:rsid w:val="00AA669D"/>
    <w:rsid w:val="00AC21F5"/>
    <w:rsid w:val="00AC7720"/>
    <w:rsid w:val="00AE6036"/>
    <w:rsid w:val="00AE70B1"/>
    <w:rsid w:val="00AF6DAE"/>
    <w:rsid w:val="00B030B1"/>
    <w:rsid w:val="00B05A55"/>
    <w:rsid w:val="00B073F3"/>
    <w:rsid w:val="00B13EC0"/>
    <w:rsid w:val="00B22024"/>
    <w:rsid w:val="00B22E22"/>
    <w:rsid w:val="00B23041"/>
    <w:rsid w:val="00B25ADA"/>
    <w:rsid w:val="00B460E5"/>
    <w:rsid w:val="00B525CB"/>
    <w:rsid w:val="00B61357"/>
    <w:rsid w:val="00B6189A"/>
    <w:rsid w:val="00B63872"/>
    <w:rsid w:val="00B63CB2"/>
    <w:rsid w:val="00B64EDB"/>
    <w:rsid w:val="00B7315F"/>
    <w:rsid w:val="00B75A9B"/>
    <w:rsid w:val="00B91B8E"/>
    <w:rsid w:val="00B92156"/>
    <w:rsid w:val="00BA1266"/>
    <w:rsid w:val="00BD2DDD"/>
    <w:rsid w:val="00BD3394"/>
    <w:rsid w:val="00BD3D51"/>
    <w:rsid w:val="00BD78FE"/>
    <w:rsid w:val="00BD7ABD"/>
    <w:rsid w:val="00BE194E"/>
    <w:rsid w:val="00BE33E3"/>
    <w:rsid w:val="00BE5842"/>
    <w:rsid w:val="00BF4D87"/>
    <w:rsid w:val="00C23295"/>
    <w:rsid w:val="00C358C6"/>
    <w:rsid w:val="00C40E3E"/>
    <w:rsid w:val="00C60414"/>
    <w:rsid w:val="00C61D16"/>
    <w:rsid w:val="00C634EA"/>
    <w:rsid w:val="00C653AC"/>
    <w:rsid w:val="00C707CB"/>
    <w:rsid w:val="00C91FB2"/>
    <w:rsid w:val="00C93443"/>
    <w:rsid w:val="00CA3543"/>
    <w:rsid w:val="00CA4C54"/>
    <w:rsid w:val="00CC00CD"/>
    <w:rsid w:val="00CD078A"/>
    <w:rsid w:val="00CD7ABA"/>
    <w:rsid w:val="00CE7E4D"/>
    <w:rsid w:val="00CF3B21"/>
    <w:rsid w:val="00D01760"/>
    <w:rsid w:val="00D1044A"/>
    <w:rsid w:val="00D16E39"/>
    <w:rsid w:val="00D16FA8"/>
    <w:rsid w:val="00D20AD0"/>
    <w:rsid w:val="00D223B6"/>
    <w:rsid w:val="00D26A74"/>
    <w:rsid w:val="00D361BF"/>
    <w:rsid w:val="00D45313"/>
    <w:rsid w:val="00D4557E"/>
    <w:rsid w:val="00D50465"/>
    <w:rsid w:val="00D60327"/>
    <w:rsid w:val="00D62734"/>
    <w:rsid w:val="00D66CC3"/>
    <w:rsid w:val="00D72E9D"/>
    <w:rsid w:val="00D746FD"/>
    <w:rsid w:val="00D82CE5"/>
    <w:rsid w:val="00D91951"/>
    <w:rsid w:val="00D94962"/>
    <w:rsid w:val="00DA5AB1"/>
    <w:rsid w:val="00DB04D4"/>
    <w:rsid w:val="00DB6633"/>
    <w:rsid w:val="00DC06A6"/>
    <w:rsid w:val="00DC2B66"/>
    <w:rsid w:val="00DC62E5"/>
    <w:rsid w:val="00DD6ABE"/>
    <w:rsid w:val="00DD735D"/>
    <w:rsid w:val="00DE3119"/>
    <w:rsid w:val="00DE6E0C"/>
    <w:rsid w:val="00DE74A8"/>
    <w:rsid w:val="00DF236B"/>
    <w:rsid w:val="00E04179"/>
    <w:rsid w:val="00E10A7E"/>
    <w:rsid w:val="00E11C35"/>
    <w:rsid w:val="00E11ED6"/>
    <w:rsid w:val="00E13AB8"/>
    <w:rsid w:val="00E22816"/>
    <w:rsid w:val="00E25CB3"/>
    <w:rsid w:val="00E33B62"/>
    <w:rsid w:val="00E4143A"/>
    <w:rsid w:val="00E419C7"/>
    <w:rsid w:val="00E6039E"/>
    <w:rsid w:val="00E61AEE"/>
    <w:rsid w:val="00EA0B3F"/>
    <w:rsid w:val="00EC6C6C"/>
    <w:rsid w:val="00ED069A"/>
    <w:rsid w:val="00EE59B5"/>
    <w:rsid w:val="00F132C2"/>
    <w:rsid w:val="00F23E3A"/>
    <w:rsid w:val="00F31A6E"/>
    <w:rsid w:val="00F431BE"/>
    <w:rsid w:val="00F5291B"/>
    <w:rsid w:val="00F603CC"/>
    <w:rsid w:val="00F72043"/>
    <w:rsid w:val="00F84899"/>
    <w:rsid w:val="00F859F0"/>
    <w:rsid w:val="00F95886"/>
    <w:rsid w:val="00FA039C"/>
    <w:rsid w:val="00FA19FB"/>
    <w:rsid w:val="00FA3EC5"/>
    <w:rsid w:val="00FB1417"/>
    <w:rsid w:val="00FB77C8"/>
    <w:rsid w:val="00FB7FA5"/>
    <w:rsid w:val="00FC1D2E"/>
    <w:rsid w:val="00FC53F2"/>
    <w:rsid w:val="00FE141E"/>
    <w:rsid w:val="00FE180D"/>
    <w:rsid w:val="00FE36B6"/>
    <w:rsid w:val="00FE42ED"/>
    <w:rsid w:val="00FE5201"/>
    <w:rsid w:val="00FF0706"/>
    <w:rsid w:val="00FF711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D42E843C-199F-4F61-BCDD-EA6BA7D0D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paragraph" w:customStyle="1" w:styleId="Default">
    <w:name w:val="Default"/>
    <w:rsid w:val="007C3F63"/>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1C7E97"/>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757653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980424358">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874465042">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4E1F5D-82F0-46F7-9230-E4A039A75C60}">
  <ds:schemaRefs>
    <ds:schemaRef ds:uri="http://schemas.openxmlformats.org/officeDocument/2006/bibliography"/>
  </ds:schemaRefs>
</ds:datastoreItem>
</file>

<file path=customXml/itemProps2.xml><?xml version="1.0" encoding="utf-8"?>
<ds:datastoreItem xmlns:ds="http://schemas.openxmlformats.org/officeDocument/2006/customXml" ds:itemID="{8B655760-4F8F-46AA-94C3-A2CC0F8B219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712531EE-BC84-484B-8494-4EA6E9AF0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17</Pages>
  <Words>4791</Words>
  <Characters>25874</Characters>
  <Application>Microsoft Office Word</Application>
  <DocSecurity>0</DocSecurity>
  <Lines>528</Lines>
  <Paragraphs>201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David Torres</cp:lastModifiedBy>
  <cp:revision>3</cp:revision>
  <cp:lastPrinted>2020-01-30T18:05:00Z</cp:lastPrinted>
  <dcterms:created xsi:type="dcterms:W3CDTF">2021-02-12T14:44:00Z</dcterms:created>
  <dcterms:modified xsi:type="dcterms:W3CDTF">2021-02-12T14:45:00Z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