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F12C" w14:textId="77777777" w:rsidR="007C4EC7" w:rsidRDefault="007C4EC7" w:rsidP="00E245AB">
      <w:pPr>
        <w:spacing w:after="0"/>
        <w:rPr>
          <w:rFonts w:ascii="Verdana" w:hAnsi="Verdana"/>
        </w:rPr>
      </w:pPr>
      <w:bookmarkStart w:id="0" w:name="_Hlk143780582"/>
    </w:p>
    <w:p w14:paraId="147434AF" w14:textId="77777777" w:rsidR="007C4EC7" w:rsidRPr="00C40367" w:rsidRDefault="007C4EC7" w:rsidP="007C4EC7">
      <w:pPr>
        <w:spacing w:after="0" w:line="240" w:lineRule="auto"/>
        <w:rPr>
          <w:rFonts w:ascii="Verdana" w:eastAsia="Times New Roman" w:hAnsi="Verdana" w:cs="Arial"/>
          <w:b/>
          <w:bCs/>
          <w:color w:val="000000"/>
        </w:rPr>
      </w:pPr>
      <w:r w:rsidRPr="00C40367">
        <w:rPr>
          <w:rFonts w:ascii="Verdana" w:eastAsia="Times New Roman" w:hAnsi="Verdana" w:cs="Arial"/>
          <w:b/>
          <w:bCs/>
          <w:color w:val="000000"/>
        </w:rPr>
        <w:t xml:space="preserve">CONTRATO DE PRESTACIÓN DE SERVICIOS – </w:t>
      </w:r>
      <w:r w:rsidRPr="00E66338">
        <w:rPr>
          <w:rFonts w:ascii="Verdana" w:hAnsi="Verdana" w:cs="Arial"/>
          <w:b/>
          <w:bCs/>
          <w:color w:val="000000"/>
          <w:lang w:val="es-ES_tradnl" w:eastAsia="es-ES"/>
        </w:rPr>
        <w:t>Características</w:t>
      </w:r>
    </w:p>
    <w:p w14:paraId="4915D5D8" w14:textId="77777777" w:rsidR="007C4EC7" w:rsidRPr="00E66338" w:rsidRDefault="007C4EC7" w:rsidP="007C4EC7">
      <w:pPr>
        <w:spacing w:after="0" w:line="240" w:lineRule="auto"/>
        <w:rPr>
          <w:rFonts w:ascii="Verdana" w:eastAsia="Times New Roman" w:hAnsi="Verdana" w:cs="Arial"/>
          <w:color w:val="000000"/>
        </w:rPr>
      </w:pPr>
    </w:p>
    <w:p w14:paraId="65B9A91E" w14:textId="77777777" w:rsidR="007C4EC7" w:rsidRPr="00C40367" w:rsidRDefault="007C4EC7" w:rsidP="007C4EC7">
      <w:pPr>
        <w:spacing w:after="0" w:line="240" w:lineRule="auto"/>
        <w:jc w:val="both"/>
        <w:rPr>
          <w:rFonts w:ascii="Verdana" w:eastAsia="Times New Roman" w:hAnsi="Verdana" w:cs="Arial"/>
          <w:color w:val="000000"/>
        </w:rPr>
      </w:pPr>
      <w:r w:rsidRPr="00C40367">
        <w:rPr>
          <w:rFonts w:ascii="Verdana" w:eastAsia="Times New Roman" w:hAnsi="Verdana" w:cs="Arial"/>
          <w:color w:val="000000"/>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w:t>
      </w:r>
    </w:p>
    <w:p w14:paraId="1E99C216" w14:textId="77777777" w:rsidR="007C4EC7" w:rsidRPr="00E66338" w:rsidRDefault="007C4EC7" w:rsidP="007C4EC7">
      <w:pPr>
        <w:spacing w:after="0" w:line="240" w:lineRule="auto"/>
        <w:rPr>
          <w:rFonts w:ascii="Verdana" w:eastAsia="Times New Roman" w:hAnsi="Verdana" w:cs="Arial"/>
          <w:color w:val="000000"/>
          <w:lang w:val="es-MX"/>
        </w:rPr>
      </w:pPr>
    </w:p>
    <w:p w14:paraId="0BB785D6"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b/>
          <w:bCs/>
          <w:color w:val="000000"/>
        </w:rPr>
        <w:t>ESTABILIDAD OCUPACIONAL REFORZADA – Corte Constitucional – Condiciones –Alcance</w:t>
      </w:r>
      <w:r w:rsidRPr="00E66338">
        <w:rPr>
          <w:rFonts w:ascii="Verdana" w:eastAsia="Times New Roman" w:hAnsi="Verdana" w:cs="Arial"/>
          <w:color w:val="000000"/>
        </w:rPr>
        <w:t> </w:t>
      </w:r>
    </w:p>
    <w:p w14:paraId="1A960CEE" w14:textId="77777777" w:rsidR="007C4EC7" w:rsidRPr="00E66338" w:rsidRDefault="007C4EC7" w:rsidP="007C4EC7">
      <w:pPr>
        <w:spacing w:after="0" w:line="240" w:lineRule="auto"/>
        <w:jc w:val="both"/>
        <w:rPr>
          <w:rFonts w:ascii="Verdana" w:eastAsia="Times New Roman" w:hAnsi="Verdana" w:cs="Arial"/>
          <w:color w:val="000000"/>
        </w:rPr>
      </w:pPr>
    </w:p>
    <w:p w14:paraId="097AC40E"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Su aplicación en contratos prestación de servicios tiene origen jurisprudencial, a través de sentencias de la Corte Constitucional como la sentencia de Tutela 1210 del 5 de diciembre de 2008, Magistrada ponente Clara Inés Vargas Hernández, que previó la posibilidad que se prediquen ciertas garantías de la relación laboral a los contratos de prestación de servicios tales como, el principio de estabilidad laboral. </w:t>
      </w:r>
    </w:p>
    <w:p w14:paraId="45C00C66"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Posteriormente, en la sentencia T-040 de 2016, Magistrado ponente Alejandro Linares Cantillo, protegió el derecho a la estabilidad laboral reforzada a una persona que se le terminó el contrato de prestación de servicios, mientras estaba afectado su estado de salud por encontrarse en una situación de debilidad manifiesta. Esta situación se ha reiterado en las sentencias T-490 de 2010 y T-988 de 2012, por medio del cual se declara que en los contratos de prestación de servicios no desaparecen los derechos a la estabilidad ocupacional reforzada a quienes se encuentren en una condición de debilidad manifiesta. </w:t>
      </w:r>
    </w:p>
    <w:p w14:paraId="73A8918C" w14:textId="77777777" w:rsidR="007C4EC7" w:rsidRPr="00E66338" w:rsidRDefault="007C4EC7" w:rsidP="007C4EC7">
      <w:pPr>
        <w:spacing w:after="0" w:line="240" w:lineRule="auto"/>
        <w:jc w:val="both"/>
        <w:rPr>
          <w:rFonts w:ascii="Verdana" w:eastAsia="Times New Roman" w:hAnsi="Verdana" w:cs="Arial"/>
          <w:color w:val="000000"/>
        </w:rPr>
      </w:pPr>
    </w:p>
    <w:p w14:paraId="24E4A8AA"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b/>
          <w:bCs/>
          <w:color w:val="000000"/>
        </w:rPr>
        <w:t>ESTABILIDAD OCUPACIONAL REFORZADA DE PERSONAS EN SITUACION DE DEBILIDAD MANIFIESTA POR RAZONES DE SALUD– Fundamento constitucional</w:t>
      </w:r>
      <w:r w:rsidRPr="00E66338">
        <w:rPr>
          <w:rFonts w:ascii="Verdana" w:eastAsia="Times New Roman" w:hAnsi="Verdana" w:cs="Arial"/>
          <w:color w:val="000000"/>
        </w:rPr>
        <w:t> </w:t>
      </w:r>
    </w:p>
    <w:p w14:paraId="73273E86" w14:textId="77777777" w:rsidR="007C4EC7" w:rsidRPr="00E66338" w:rsidRDefault="007C4EC7" w:rsidP="007C4EC7">
      <w:pPr>
        <w:spacing w:after="0" w:line="240" w:lineRule="auto"/>
        <w:jc w:val="both"/>
        <w:rPr>
          <w:rFonts w:ascii="Verdana" w:eastAsia="Times New Roman" w:hAnsi="Verdana" w:cs="Arial"/>
          <w:color w:val="000000"/>
        </w:rPr>
      </w:pPr>
    </w:p>
    <w:p w14:paraId="4396806F"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 xml:space="preserve">Con la expedición de la Constitución Política de 1991, el Estado colombiano reconoció su deber de brindar una protección reforzada a todas las personas que se hallen en circunstancias de debilidad manifiesta y, en particular, a las personas en situación de debilidad manifiesta por razones de salud. No en vano, las cláusulas abiertas contenidas en los artículos 5, 13, 47, 53 y 95 superiores dan cuenta de un compromiso u obligación, producto del principio de igualdad material y acorde con los fines de un Estado Social de Derecho, consistente en </w:t>
      </w:r>
      <w:r w:rsidRPr="00E66338">
        <w:rPr>
          <w:rFonts w:ascii="Verdana" w:eastAsia="Times New Roman" w:hAnsi="Verdana" w:cs="Arial"/>
          <w:color w:val="000000"/>
        </w:rPr>
        <w:lastRenderedPageBreak/>
        <w:t>el otorgamiento de un tratamiento preferencial para quienes se encuentren en situación de vulnerabilidad a través de acciones afirmativas. </w:t>
      </w:r>
    </w:p>
    <w:p w14:paraId="7FC9EF92"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 </w:t>
      </w:r>
    </w:p>
    <w:p w14:paraId="00F8BEA9"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Dentro de dichas acciones afirmativas, encontramos a la estabilidad laboral, vista como un principio mínimo fundamental del derecho al trabajo, que desarrolla el principio de igualdad y el mandato de no discriminación y el principio de solidaridad social, […]. </w:t>
      </w:r>
    </w:p>
    <w:p w14:paraId="61B70E5E" w14:textId="77777777" w:rsidR="007C4EC7" w:rsidRPr="00E66338" w:rsidRDefault="007C4EC7" w:rsidP="007C4EC7">
      <w:pPr>
        <w:spacing w:after="0" w:line="240" w:lineRule="auto"/>
        <w:jc w:val="both"/>
        <w:rPr>
          <w:rFonts w:ascii="Verdana" w:eastAsia="Times New Roman" w:hAnsi="Verdana" w:cs="Arial"/>
          <w:color w:val="000000"/>
        </w:rPr>
      </w:pPr>
    </w:p>
    <w:p w14:paraId="46AF1619"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b/>
          <w:bCs/>
          <w:color w:val="000000"/>
        </w:rPr>
        <w:t>ESTABILIDAD OCUPACIONAL REFORZADA DE PERSONAS EN SITUACION DE DEBILIDAD MANIFIESTA POR RAZONES DE SALUD– Fundamento legal </w:t>
      </w:r>
      <w:r w:rsidRPr="00E66338">
        <w:rPr>
          <w:rFonts w:ascii="Verdana" w:eastAsia="Times New Roman" w:hAnsi="Verdana" w:cs="Arial"/>
          <w:color w:val="000000"/>
        </w:rPr>
        <w:t> </w:t>
      </w:r>
    </w:p>
    <w:p w14:paraId="45EF9C3E" w14:textId="77777777" w:rsidR="007C4EC7" w:rsidRPr="00E66338" w:rsidRDefault="007C4EC7" w:rsidP="007C4EC7">
      <w:pPr>
        <w:spacing w:after="0" w:line="240" w:lineRule="auto"/>
        <w:jc w:val="both"/>
        <w:rPr>
          <w:rFonts w:ascii="Verdana" w:eastAsia="Times New Roman" w:hAnsi="Verdana" w:cs="Arial"/>
          <w:color w:val="000000"/>
        </w:rPr>
      </w:pPr>
    </w:p>
    <w:p w14:paraId="1449C43A"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 xml:space="preserve">[…] la estabilidad ocupacional reforzada de personas en situación de debilidad manifiesta por razones de </w:t>
      </w:r>
      <w:proofErr w:type="gramStart"/>
      <w:r w:rsidRPr="00E66338">
        <w:rPr>
          <w:rFonts w:ascii="Verdana" w:eastAsia="Times New Roman" w:hAnsi="Verdana" w:cs="Arial"/>
          <w:color w:val="000000"/>
        </w:rPr>
        <w:t>salud,</w:t>
      </w:r>
      <w:proofErr w:type="gramEnd"/>
      <w:r w:rsidRPr="00E66338">
        <w:rPr>
          <w:rFonts w:ascii="Verdana" w:eastAsia="Times New Roman" w:hAnsi="Verdana" w:cs="Arial"/>
          <w:color w:val="000000"/>
        </w:rPr>
        <w:t xml:space="preserve"> encuentra sustento en la Ley 361 de 1997, “Por la cual se establecen mecanismos de integración social de las personas en situación de discapacidad y se dictan otras disposiciones”, especialmente en su artículo 26 que dispuso que en ningún caso la discapacidad de una persona podrá ser un motivo para terminar su contrato […]. </w:t>
      </w:r>
    </w:p>
    <w:p w14:paraId="6CF9A668" w14:textId="77777777" w:rsidR="007C4EC7" w:rsidRPr="00E66338" w:rsidRDefault="007C4EC7" w:rsidP="007C4EC7">
      <w:pPr>
        <w:spacing w:after="0" w:line="240" w:lineRule="auto"/>
        <w:jc w:val="both"/>
        <w:rPr>
          <w:rFonts w:ascii="Verdana" w:eastAsia="Times New Roman" w:hAnsi="Verdana" w:cs="Arial"/>
          <w:color w:val="000000"/>
        </w:rPr>
      </w:pPr>
    </w:p>
    <w:p w14:paraId="4071CC9B"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b/>
          <w:bCs/>
          <w:color w:val="000000"/>
        </w:rPr>
        <w:t>ESTABILIDAD OCUPACIONAL REFORZADA DE PERSONAS EN SITUACION DE DEBILIDAD MANIFIESTA POR RAZONES DE SALUD– Fundamento jurisprudencial</w:t>
      </w:r>
      <w:r w:rsidRPr="00E66338">
        <w:rPr>
          <w:rFonts w:ascii="Verdana" w:eastAsia="Times New Roman" w:hAnsi="Verdana" w:cs="Arial"/>
          <w:color w:val="000000"/>
        </w:rPr>
        <w:t> </w:t>
      </w:r>
    </w:p>
    <w:p w14:paraId="68C334A4" w14:textId="77777777" w:rsidR="007C4EC7" w:rsidRPr="00E66338" w:rsidRDefault="007C4EC7" w:rsidP="007C4EC7">
      <w:pPr>
        <w:spacing w:after="0" w:line="240" w:lineRule="auto"/>
        <w:jc w:val="both"/>
        <w:rPr>
          <w:rFonts w:ascii="Verdana" w:eastAsia="Times New Roman" w:hAnsi="Verdana" w:cs="Arial"/>
          <w:color w:val="000000"/>
        </w:rPr>
      </w:pPr>
    </w:p>
    <w:p w14:paraId="23C76BB8"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[E]n sentencia de unificación 049 del 2 de febrero de 2017, magistrada ponente: María Victoria Calle Correa, en Sala Plena, unificó su jurisprudencia sobre la protección de estabilidad laboral reforzada que deben tener las personas en condición de debilidad manifiesta por cuestiones de salud en los contratos de prestación de servicios, con fundamento en el principio de solidaridad que supone asumir como propias causas en principio ajenas, cuando el titular de ellas no puede por razones objetivas ejercer su defensa y la protección individualmente de forma integral y en el mandato de no discriminación que prohíbe establecer tratamientos diferenciales injustificados entre dos personas o situaciones de hecho; y como en principio todas las personas se presumen iguales ante el derecho y en los derechos, cuando se pretende defender un trato distinto entre estas deben existir razones, constitucionalmente válidas, que lo justifiquen. </w:t>
      </w:r>
    </w:p>
    <w:p w14:paraId="347C3A27"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 </w:t>
      </w:r>
    </w:p>
    <w:p w14:paraId="1CCFA883" w14:textId="77777777" w:rsidR="007C4EC7" w:rsidRDefault="007C4EC7" w:rsidP="007C4EC7">
      <w:pPr>
        <w:spacing w:after="0" w:line="240" w:lineRule="auto"/>
        <w:jc w:val="both"/>
        <w:rPr>
          <w:rFonts w:ascii="Verdana" w:eastAsia="Times New Roman" w:hAnsi="Verdana" w:cs="Arial"/>
          <w:color w:val="000000"/>
        </w:rPr>
      </w:pPr>
    </w:p>
    <w:p w14:paraId="658061DC"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En razón a lo anterior, la Corte Constitucional, en adelante, estableció que el derecho a la estabilidad laboral reforzada rige con independencia si la pérdida de calificación laboral es moderada, severa o profunda y además dejo sentada la línea de que dicha figura es aplicable a los contratos de prestación, conociéndose esta como estabilidad ocupacional reforzada. Dicho criterio fue reiterado y complementado en la sentencia SU-380 del 3 de noviembre de 2021, donde indicó que las personas en situación de debilidad manifiesta por razones de salud vinculadas a través de un contrato de prestación de servicios tienen derecho a que se les garantice el derecho fundamental a la estabilidad ocupacional reforzada, y, por lo tanto, se les aplica lo previsto en el artículo 26 de la Ley 361 de 1997.  </w:t>
      </w:r>
    </w:p>
    <w:p w14:paraId="09371E93"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 </w:t>
      </w:r>
    </w:p>
    <w:p w14:paraId="229CA53A" w14:textId="77777777" w:rsidR="007C4EC7" w:rsidRPr="00E66338" w:rsidRDefault="007C4EC7" w:rsidP="007C4EC7">
      <w:pPr>
        <w:spacing w:after="0" w:line="240" w:lineRule="auto"/>
        <w:jc w:val="both"/>
        <w:rPr>
          <w:rFonts w:ascii="Verdana" w:eastAsia="Times New Roman" w:hAnsi="Verdana" w:cs="Arial"/>
          <w:color w:val="000000"/>
        </w:rPr>
      </w:pPr>
      <w:r w:rsidRPr="00E66338">
        <w:rPr>
          <w:rFonts w:ascii="Verdana" w:eastAsia="Times New Roman" w:hAnsi="Verdana" w:cs="Arial"/>
          <w:color w:val="000000"/>
        </w:rPr>
        <w:t>De esta manera, nuestro ordenamiento jurídico actual contempla que una persona en debilidad manifiesta por razones de salud no se le podrá terminar su contrato de prestación de servicios por razón de su discapacidad o enfermedad, salvo que medie autorización de la oficina de Trabajo, teniendo en cuenta que en dichos casos la presunción de discriminación debe ser desvirtuada por la entidad contratante. Ahora bien, si se le termina el contrato sin el permiso requerido, esta tendrá derecho a una indemnización equivalente a ciento ochenta (180) días del pago de honorarios, como también al pago de los honorarios dejados de percibir desde la fecha de la terminación del contrato, hasta la renovación de este. </w:t>
      </w:r>
    </w:p>
    <w:p w14:paraId="6E7B61E8" w14:textId="77777777" w:rsidR="007C4EC7" w:rsidRPr="00E66338" w:rsidRDefault="007C4EC7" w:rsidP="007C4EC7">
      <w:pPr>
        <w:spacing w:after="0" w:line="240" w:lineRule="auto"/>
        <w:rPr>
          <w:rFonts w:ascii="Verdana" w:eastAsia="Times New Roman" w:hAnsi="Verdana" w:cs="Arial"/>
          <w:color w:val="000000"/>
        </w:rPr>
      </w:pPr>
    </w:p>
    <w:p w14:paraId="0E67F832" w14:textId="77777777" w:rsidR="007C4EC7" w:rsidRDefault="007C4EC7" w:rsidP="007C4EC7">
      <w:pPr>
        <w:spacing w:after="0" w:line="240" w:lineRule="auto"/>
        <w:rPr>
          <w:rFonts w:ascii="Verdana" w:eastAsia="Times New Roman" w:hAnsi="Verdana" w:cs="Arial"/>
          <w:color w:val="000000"/>
          <w:lang w:val="es-MX"/>
        </w:rPr>
      </w:pPr>
    </w:p>
    <w:p w14:paraId="45A953D4" w14:textId="77777777" w:rsidR="007C4EC7" w:rsidRDefault="007C4EC7" w:rsidP="007C4EC7">
      <w:pPr>
        <w:spacing w:after="0" w:line="240" w:lineRule="auto"/>
        <w:rPr>
          <w:rFonts w:ascii="Verdana" w:eastAsia="Times New Roman" w:hAnsi="Verdana" w:cs="Arial"/>
          <w:color w:val="000000"/>
          <w:lang w:val="es-MX"/>
        </w:rPr>
      </w:pPr>
    </w:p>
    <w:p w14:paraId="0C01D8AA" w14:textId="77777777" w:rsidR="007C4EC7" w:rsidRDefault="007C4EC7" w:rsidP="007C4EC7">
      <w:pPr>
        <w:spacing w:after="0" w:line="240" w:lineRule="auto"/>
        <w:rPr>
          <w:rFonts w:ascii="Verdana" w:eastAsia="Times New Roman" w:hAnsi="Verdana" w:cs="Arial"/>
          <w:color w:val="000000"/>
          <w:lang w:val="es-MX"/>
        </w:rPr>
      </w:pPr>
    </w:p>
    <w:p w14:paraId="3DE1B3C5" w14:textId="77777777" w:rsidR="007C4EC7" w:rsidRDefault="007C4EC7" w:rsidP="007C4EC7">
      <w:pPr>
        <w:spacing w:after="0" w:line="240" w:lineRule="auto"/>
        <w:rPr>
          <w:rFonts w:ascii="Verdana" w:eastAsia="Times New Roman" w:hAnsi="Verdana" w:cs="Arial"/>
          <w:color w:val="000000"/>
          <w:lang w:val="es-MX"/>
        </w:rPr>
      </w:pPr>
    </w:p>
    <w:p w14:paraId="16BA6762" w14:textId="77777777" w:rsidR="007C4EC7" w:rsidRDefault="007C4EC7" w:rsidP="007C4EC7">
      <w:pPr>
        <w:spacing w:after="0" w:line="240" w:lineRule="auto"/>
        <w:rPr>
          <w:rFonts w:ascii="Verdana" w:eastAsia="Times New Roman" w:hAnsi="Verdana" w:cs="Arial"/>
          <w:color w:val="000000"/>
          <w:lang w:val="es-MX"/>
        </w:rPr>
      </w:pPr>
    </w:p>
    <w:p w14:paraId="081CD3C7" w14:textId="77777777" w:rsidR="007C4EC7" w:rsidRDefault="007C4EC7" w:rsidP="007C4EC7">
      <w:pPr>
        <w:spacing w:after="0" w:line="240" w:lineRule="auto"/>
        <w:rPr>
          <w:rFonts w:ascii="Verdana" w:eastAsia="Times New Roman" w:hAnsi="Verdana" w:cs="Arial"/>
          <w:color w:val="000000"/>
          <w:lang w:val="es-MX"/>
        </w:rPr>
      </w:pPr>
    </w:p>
    <w:p w14:paraId="54F51D1C" w14:textId="77777777" w:rsidR="007C4EC7" w:rsidRDefault="007C4EC7" w:rsidP="007C4EC7">
      <w:pPr>
        <w:spacing w:after="0" w:line="240" w:lineRule="auto"/>
        <w:rPr>
          <w:rFonts w:ascii="Verdana" w:eastAsia="Times New Roman" w:hAnsi="Verdana" w:cs="Arial"/>
          <w:color w:val="000000"/>
          <w:lang w:val="es-MX"/>
        </w:rPr>
      </w:pPr>
    </w:p>
    <w:p w14:paraId="72507A64" w14:textId="77777777" w:rsidR="007C4EC7" w:rsidRDefault="007C4EC7">
      <w:pPr>
        <w:rPr>
          <w:rFonts w:ascii="Verdana" w:hAnsi="Verdana"/>
        </w:rPr>
      </w:pPr>
      <w:r>
        <w:rPr>
          <w:rFonts w:ascii="Verdana" w:hAnsi="Verdana"/>
        </w:rPr>
        <w:br w:type="page"/>
      </w:r>
    </w:p>
    <w:p w14:paraId="3FE2184B" w14:textId="21772198"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 xml:space="preserve">[Día] </w:t>
      </w:r>
      <w:r w:rsidR="001511A0" w:rsidRPr="001511A0">
        <w:rPr>
          <w:rFonts w:ascii="Verdana" w:hAnsi="Verdana"/>
        </w:rPr>
        <w:t>[</w:t>
      </w:r>
      <w:proofErr w:type="spellStart"/>
      <w:r w:rsidR="001511A0" w:rsidRPr="001511A0">
        <w:rPr>
          <w:rFonts w:ascii="Verdana" w:hAnsi="Verdana"/>
        </w:rPr>
        <w:t>Mes.NombreCapitalizado</w:t>
      </w:r>
      <w:proofErr w:type="spellEnd"/>
      <w:r w:rsidR="001511A0" w:rsidRPr="001511A0">
        <w:rPr>
          <w:rFonts w:ascii="Verdana" w:hAnsi="Verdana"/>
        </w:rPr>
        <w:t xml:space="preserve">] </w:t>
      </w:r>
      <w:r w:rsidR="00891928" w:rsidRPr="0044528D">
        <w:rPr>
          <w:rFonts w:ascii="Verdana" w:hAnsi="Verdana"/>
        </w:rPr>
        <w:t>[Año]</w:t>
      </w:r>
      <w:r w:rsidR="00891928" w:rsidRPr="0044528D">
        <w:rPr>
          <w:rFonts w:ascii="Verdana" w:hAnsi="Verdana"/>
        </w:rPr>
        <w:tab/>
      </w:r>
    </w:p>
    <w:p w14:paraId="5FCADBF9" w14:textId="3B37FEC9" w:rsidR="00E245AB" w:rsidRPr="0044528D" w:rsidRDefault="00543F9B" w:rsidP="00E245AB">
      <w:pPr>
        <w:spacing w:after="0"/>
        <w:rPr>
          <w:rFonts w:ascii="Verdana" w:hAnsi="Verdana"/>
        </w:rPr>
      </w:pPr>
      <w:r w:rsidRPr="00543F9B">
        <w:rPr>
          <w:rFonts w:ascii="Verdana" w:hAnsi="Verdana"/>
          <w:noProof/>
        </w:rPr>
        <w:drawing>
          <wp:anchor distT="0" distB="0" distL="114300" distR="114300" simplePos="0" relativeHeight="251658240" behindDoc="1" locked="0" layoutInCell="1" allowOverlap="1" wp14:anchorId="664D2831" wp14:editId="273CA8AA">
            <wp:simplePos x="0" y="0"/>
            <wp:positionH relativeFrom="page">
              <wp:posOffset>4979035</wp:posOffset>
            </wp:positionH>
            <wp:positionV relativeFrom="paragraph">
              <wp:posOffset>86360</wp:posOffset>
            </wp:positionV>
            <wp:extent cx="2122805" cy="675640"/>
            <wp:effectExtent l="0" t="0" r="0" b="0"/>
            <wp:wrapTight wrapText="bothSides">
              <wp:wrapPolygon edited="0">
                <wp:start x="0" y="0"/>
                <wp:lineTo x="0" y="20707"/>
                <wp:lineTo x="21322" y="20707"/>
                <wp:lineTo x="21322" y="0"/>
                <wp:lineTo x="0" y="0"/>
              </wp:wrapPolygon>
            </wp:wrapTight>
            <wp:docPr id="18310025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2805" cy="675640"/>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0"/>
    <w:p w14:paraId="0465BA6D" w14:textId="1F8E9006" w:rsidR="00E245AB" w:rsidRDefault="00BC0058" w:rsidP="00E245AB">
      <w:pPr>
        <w:spacing w:after="0"/>
        <w:rPr>
          <w:rFonts w:ascii="Verdana" w:hAnsi="Verdana"/>
        </w:rPr>
      </w:pPr>
      <w:r>
        <w:rPr>
          <w:rFonts w:ascii="Verdana" w:hAnsi="Verdana"/>
        </w:rPr>
        <w:t xml:space="preserve">Señor </w:t>
      </w:r>
      <w:r w:rsidR="00543F9B">
        <w:rPr>
          <w:rFonts w:ascii="Verdana" w:hAnsi="Verdana"/>
        </w:rPr>
        <w:t xml:space="preserve">  </w:t>
      </w:r>
    </w:p>
    <w:p w14:paraId="078F34A2" w14:textId="3C138C43" w:rsidR="00BC0058" w:rsidRDefault="00BC0058" w:rsidP="00E245AB">
      <w:pPr>
        <w:spacing w:after="0"/>
        <w:rPr>
          <w:rFonts w:ascii="Verdana" w:hAnsi="Verdana"/>
          <w:b/>
          <w:bCs/>
        </w:rPr>
      </w:pPr>
      <w:r>
        <w:rPr>
          <w:rFonts w:ascii="Verdana" w:hAnsi="Verdana"/>
          <w:b/>
          <w:bCs/>
        </w:rPr>
        <w:t>Mario Fernando Varón Parra</w:t>
      </w:r>
    </w:p>
    <w:p w14:paraId="63A710C3" w14:textId="424183A9" w:rsidR="00BC0058" w:rsidRDefault="00417B96" w:rsidP="00E245AB">
      <w:pPr>
        <w:spacing w:after="0"/>
        <w:rPr>
          <w:rFonts w:ascii="Verdana" w:hAnsi="Verdana"/>
        </w:rPr>
      </w:pPr>
      <w:hyperlink r:id="rId11" w:history="1">
        <w:r w:rsidRPr="00CE612B">
          <w:rPr>
            <w:rStyle w:val="Hipervnculo"/>
            <w:rFonts w:ascii="Verdana" w:hAnsi="Verdana"/>
          </w:rPr>
          <w:t>Mariovaron5308@gmail.com</w:t>
        </w:r>
      </w:hyperlink>
    </w:p>
    <w:p w14:paraId="76B6D8F2" w14:textId="2BFA0803" w:rsidR="00417B96" w:rsidRDefault="00417B96" w:rsidP="00E245AB">
      <w:pPr>
        <w:spacing w:after="0"/>
        <w:rPr>
          <w:rFonts w:ascii="Verdana" w:hAnsi="Verdana"/>
        </w:rPr>
      </w:pPr>
      <w:r>
        <w:rPr>
          <w:rFonts w:ascii="Verdana" w:hAnsi="Verdana"/>
        </w:rPr>
        <w:t>Ibagué, Tolima</w:t>
      </w:r>
    </w:p>
    <w:p w14:paraId="7B1E92D3" w14:textId="77777777" w:rsidR="00417B96" w:rsidRDefault="00417B96" w:rsidP="00E245AB">
      <w:pPr>
        <w:spacing w:after="0"/>
        <w:rPr>
          <w:rFonts w:ascii="Verdana" w:hAnsi="Verdana"/>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219C3" w:rsidRPr="00A02C7E" w14:paraId="5D784896" w14:textId="77777777" w:rsidTr="00812FE0">
        <w:trPr>
          <w:trHeight w:val="884"/>
        </w:trPr>
        <w:tc>
          <w:tcPr>
            <w:tcW w:w="2689" w:type="dxa"/>
          </w:tcPr>
          <w:p w14:paraId="076AD5F2" w14:textId="77777777" w:rsidR="00F219C3" w:rsidRPr="00A02C7E" w:rsidRDefault="00F219C3" w:rsidP="00812FE0">
            <w:pPr>
              <w:ind w:left="720"/>
              <w:contextualSpacing/>
              <w:jc w:val="both"/>
              <w:rPr>
                <w:rFonts w:ascii="Verdana" w:hAnsi="Verdana" w:cs="Arial"/>
                <w:b/>
                <w:bCs/>
                <w:color w:val="000000"/>
                <w:lang w:val="es-ES_tradnl" w:eastAsia="es-ES_tradnl"/>
              </w:rPr>
            </w:pPr>
          </w:p>
        </w:tc>
        <w:tc>
          <w:tcPr>
            <w:tcW w:w="6100" w:type="dxa"/>
          </w:tcPr>
          <w:p w14:paraId="289E56E5" w14:textId="4210E298" w:rsidR="00F219C3" w:rsidRPr="00A02C7E" w:rsidRDefault="00F219C3" w:rsidP="00812FE0">
            <w:pPr>
              <w:ind w:left="720"/>
              <w:contextualSpacing/>
              <w:jc w:val="both"/>
              <w:rPr>
                <w:rFonts w:ascii="Verdana" w:hAnsi="Verdana" w:cs="Arial"/>
                <w:b/>
                <w:bCs/>
                <w:color w:val="000000"/>
                <w:lang w:val="es-ES" w:eastAsia="es-ES"/>
              </w:rPr>
            </w:pPr>
            <w:r w:rsidRPr="00A02C7E">
              <w:rPr>
                <w:rFonts w:ascii="Verdana" w:hAnsi="Verdana" w:cs="Arial"/>
                <w:b/>
                <w:bCs/>
                <w:color w:val="000000"/>
                <w:lang w:val="es-ES" w:eastAsia="es-ES"/>
              </w:rPr>
              <w:t xml:space="preserve">Concepto C- </w:t>
            </w:r>
            <w:r w:rsidR="00675E14">
              <w:rPr>
                <w:rFonts w:ascii="Verdana" w:hAnsi="Verdana" w:cs="Arial"/>
                <w:b/>
                <w:bCs/>
                <w:color w:val="000000"/>
                <w:lang w:val="es-ES" w:eastAsia="es-ES"/>
              </w:rPr>
              <w:t>006</w:t>
            </w:r>
            <w:r w:rsidRPr="00A02C7E">
              <w:rPr>
                <w:rFonts w:ascii="Verdana" w:hAnsi="Verdana" w:cs="Arial"/>
                <w:b/>
                <w:bCs/>
                <w:color w:val="000000"/>
                <w:lang w:val="es-ES" w:eastAsia="es-ES"/>
              </w:rPr>
              <w:t xml:space="preserve"> de 202</w:t>
            </w:r>
            <w:r w:rsidR="00675E14">
              <w:rPr>
                <w:rFonts w:ascii="Verdana" w:hAnsi="Verdana" w:cs="Arial"/>
                <w:b/>
                <w:bCs/>
                <w:color w:val="000000"/>
                <w:lang w:val="es-ES" w:eastAsia="es-ES"/>
              </w:rPr>
              <w:t>5</w:t>
            </w:r>
          </w:p>
        </w:tc>
      </w:tr>
      <w:tr w:rsidR="00F219C3" w:rsidRPr="00A02C7E" w14:paraId="10D7FF75" w14:textId="77777777" w:rsidTr="00812FE0">
        <w:trPr>
          <w:trHeight w:val="884"/>
        </w:trPr>
        <w:tc>
          <w:tcPr>
            <w:tcW w:w="2689" w:type="dxa"/>
          </w:tcPr>
          <w:p w14:paraId="6A858193" w14:textId="77777777" w:rsidR="00F219C3" w:rsidRPr="00A02C7E" w:rsidRDefault="00F219C3" w:rsidP="00812FE0">
            <w:pPr>
              <w:ind w:left="720"/>
              <w:contextualSpacing/>
              <w:jc w:val="both"/>
              <w:rPr>
                <w:rFonts w:ascii="Verdana" w:hAnsi="Verdana" w:cs="Arial"/>
                <w:color w:val="000000"/>
                <w:lang w:val="es-ES_tradnl" w:eastAsia="es-ES_tradnl"/>
              </w:rPr>
            </w:pPr>
            <w:r w:rsidRPr="00A02C7E">
              <w:rPr>
                <w:rFonts w:ascii="Verdana" w:hAnsi="Verdana" w:cs="Arial"/>
                <w:b/>
                <w:color w:val="000000"/>
                <w:lang w:val="es-ES_tradnl" w:eastAsia="es-ES_tradnl"/>
              </w:rPr>
              <w:t>Temas:</w:t>
            </w:r>
            <w:r w:rsidRPr="00A02C7E">
              <w:rPr>
                <w:rFonts w:ascii="Verdana" w:hAnsi="Verdana" w:cs="Arial"/>
                <w:color w:val="000000"/>
                <w:lang w:val="es-ES_tradnl" w:eastAsia="es-ES_tradnl"/>
              </w:rPr>
              <w:t xml:space="preserve">                   </w:t>
            </w:r>
          </w:p>
        </w:tc>
        <w:tc>
          <w:tcPr>
            <w:tcW w:w="6100" w:type="dxa"/>
          </w:tcPr>
          <w:p w14:paraId="1EC8D180" w14:textId="77777777" w:rsidR="00F219C3" w:rsidRPr="00A02C7E" w:rsidRDefault="00F219C3" w:rsidP="00812FE0">
            <w:pPr>
              <w:spacing w:line="276" w:lineRule="auto"/>
              <w:ind w:left="720"/>
              <w:contextualSpacing/>
              <w:jc w:val="both"/>
              <w:rPr>
                <w:rFonts w:ascii="Verdana" w:hAnsi="Verdana" w:cs="Arial"/>
                <w:color w:val="000000"/>
                <w:lang w:val="es-ES_tradnl" w:eastAsia="es-ES"/>
              </w:rPr>
            </w:pPr>
            <w:r w:rsidRPr="00A02C7E">
              <w:rPr>
                <w:rFonts w:ascii="Verdana" w:hAnsi="Verdana" w:cs="Arial"/>
                <w:color w:val="000000"/>
                <w:lang w:val="es-ES_tradnl" w:eastAsia="es-ES"/>
              </w:rPr>
              <w:t>CONTRATO DE PRESTACIÓN DE SERVICIOS – Características /</w:t>
            </w:r>
            <w:r w:rsidRPr="00A02C7E">
              <w:rPr>
                <w:rFonts w:ascii="Verdana" w:hAnsi="Verdana" w:cs="Arial"/>
                <w:color w:val="000000"/>
                <w:lang w:val="es-ES" w:eastAsia="es-ES"/>
              </w:rPr>
              <w:t xml:space="preserve"> </w:t>
            </w:r>
            <w:r w:rsidRPr="00A02C7E">
              <w:rPr>
                <w:rFonts w:ascii="Verdana" w:hAnsi="Verdana" w:cs="Arial"/>
                <w:color w:val="000000"/>
                <w:lang w:val="es-ES_tradnl" w:eastAsia="es-ES"/>
              </w:rPr>
              <w:t>ESTABILIDAD OCUPACIONAL REFORZADA – Corte Constitucional – Condiciones - Alcance/ ESTABILIDAD OCUPACIONAL REFORZADA DE PERSONAS EN SITUACION DE DEBILIDAD MANIFIESTA POR RAZONES DE SALUD– Fundamento constitucional, legal y jurisprudencial</w:t>
            </w:r>
          </w:p>
          <w:p w14:paraId="1919E0F6" w14:textId="77777777" w:rsidR="00F219C3" w:rsidRPr="00A02C7E" w:rsidRDefault="00F219C3" w:rsidP="00812FE0">
            <w:pPr>
              <w:spacing w:line="276" w:lineRule="auto"/>
              <w:ind w:left="720"/>
              <w:contextualSpacing/>
              <w:jc w:val="both"/>
              <w:rPr>
                <w:rFonts w:ascii="Verdana" w:hAnsi="Verdana" w:cs="Arial"/>
                <w:color w:val="000000"/>
                <w:lang w:val="es-ES_tradnl" w:eastAsia="es-ES"/>
              </w:rPr>
            </w:pPr>
          </w:p>
        </w:tc>
      </w:tr>
      <w:tr w:rsidR="00F219C3" w:rsidRPr="00A02C7E" w14:paraId="160AE400" w14:textId="77777777" w:rsidTr="00812FE0">
        <w:tc>
          <w:tcPr>
            <w:tcW w:w="2689" w:type="dxa"/>
          </w:tcPr>
          <w:p w14:paraId="496FE6EC" w14:textId="77777777" w:rsidR="00F219C3" w:rsidRPr="00A02C7E" w:rsidRDefault="00F219C3" w:rsidP="00812FE0">
            <w:pPr>
              <w:ind w:left="720"/>
              <w:contextualSpacing/>
              <w:jc w:val="both"/>
              <w:rPr>
                <w:rFonts w:ascii="Verdana" w:hAnsi="Verdana" w:cs="Arial"/>
                <w:bCs/>
                <w:color w:val="000000"/>
                <w:lang w:val="es-ES_tradnl" w:eastAsia="es-ES_tradnl"/>
              </w:rPr>
            </w:pPr>
            <w:r w:rsidRPr="00A02C7E">
              <w:rPr>
                <w:rFonts w:ascii="Verdana" w:hAnsi="Verdana" w:cs="Arial"/>
                <w:bCs/>
                <w:color w:val="000000"/>
                <w:lang w:val="es-ES_tradnl" w:eastAsia="es-ES_tradnl"/>
              </w:rPr>
              <w:t xml:space="preserve">Radicación:               </w:t>
            </w:r>
          </w:p>
        </w:tc>
        <w:tc>
          <w:tcPr>
            <w:tcW w:w="6100" w:type="dxa"/>
          </w:tcPr>
          <w:p w14:paraId="08C11C0C" w14:textId="77777777" w:rsidR="00F7092F" w:rsidRPr="00F7092F" w:rsidRDefault="00F219C3" w:rsidP="00F7092F">
            <w:pPr>
              <w:ind w:left="720"/>
              <w:contextualSpacing/>
              <w:jc w:val="both"/>
              <w:rPr>
                <w:rFonts w:ascii="Verdana" w:hAnsi="Verdana" w:cs="Arial"/>
                <w:bCs/>
                <w:color w:val="000000"/>
                <w:lang w:eastAsia="es-ES_tradnl"/>
              </w:rPr>
            </w:pPr>
            <w:r w:rsidRPr="00A02C7E">
              <w:rPr>
                <w:rFonts w:ascii="Verdana" w:hAnsi="Verdana" w:cs="Arial"/>
                <w:bCs/>
                <w:color w:val="000000"/>
                <w:lang w:val="es-ES_tradnl" w:eastAsia="es-ES_tradnl"/>
              </w:rPr>
              <w:t xml:space="preserve">Respuesta a consulta con radicado No. </w:t>
            </w:r>
            <w:r w:rsidR="00F7092F" w:rsidRPr="00F7092F">
              <w:rPr>
                <w:rFonts w:ascii="Verdana" w:hAnsi="Verdana" w:cs="Arial"/>
                <w:bCs/>
                <w:color w:val="000000"/>
                <w:lang w:eastAsia="es-ES_tradnl"/>
              </w:rPr>
              <w:t>P20250102000018</w:t>
            </w:r>
          </w:p>
          <w:p w14:paraId="64FAC725" w14:textId="735DA457" w:rsidR="00F219C3" w:rsidRPr="00A02C7E" w:rsidRDefault="00F219C3" w:rsidP="00812FE0">
            <w:pPr>
              <w:ind w:left="720"/>
              <w:contextualSpacing/>
              <w:jc w:val="both"/>
              <w:rPr>
                <w:rFonts w:ascii="Verdana" w:hAnsi="Verdana" w:cs="Arial"/>
                <w:bCs/>
                <w:color w:val="000000"/>
                <w:lang w:val="es-ES" w:eastAsia="es-ES_tradnl"/>
              </w:rPr>
            </w:pPr>
          </w:p>
          <w:p w14:paraId="03B6C75D" w14:textId="77777777" w:rsidR="00F219C3" w:rsidRPr="00A02C7E" w:rsidRDefault="00F219C3" w:rsidP="00812FE0">
            <w:pPr>
              <w:ind w:left="720"/>
              <w:contextualSpacing/>
              <w:jc w:val="both"/>
              <w:rPr>
                <w:rFonts w:ascii="Verdana" w:hAnsi="Verdana" w:cs="Arial"/>
                <w:bCs/>
                <w:color w:val="000000"/>
                <w:lang w:val="es-ES_tradnl" w:eastAsia="es-ES_tradnl"/>
              </w:rPr>
            </w:pPr>
          </w:p>
        </w:tc>
      </w:tr>
    </w:tbl>
    <w:p w14:paraId="3AD983BB" w14:textId="77777777" w:rsidR="00F219C3" w:rsidRPr="00A02C7E" w:rsidRDefault="00F219C3" w:rsidP="00F219C3">
      <w:pPr>
        <w:spacing w:after="0" w:line="240" w:lineRule="auto"/>
        <w:jc w:val="both"/>
        <w:rPr>
          <w:rFonts w:ascii="Verdana" w:eastAsia="Times New Roman" w:hAnsi="Verdana" w:cs="Arial"/>
          <w:color w:val="000000"/>
          <w:lang w:val="es-ES_tradnl" w:eastAsia="es-ES_tradnl"/>
        </w:rPr>
      </w:pPr>
    </w:p>
    <w:p w14:paraId="459F6B75" w14:textId="77777777" w:rsidR="00F219C3" w:rsidRPr="00A02C7E" w:rsidRDefault="00F219C3" w:rsidP="00F219C3">
      <w:pPr>
        <w:spacing w:after="0" w:line="240" w:lineRule="auto"/>
        <w:jc w:val="both"/>
        <w:rPr>
          <w:rFonts w:ascii="Verdana" w:eastAsia="Times New Roman" w:hAnsi="Verdana" w:cs="Arial"/>
          <w:color w:val="000000"/>
          <w:lang w:val="es-ES_tradnl" w:eastAsia="es-ES_tradnl"/>
        </w:rPr>
      </w:pPr>
    </w:p>
    <w:p w14:paraId="0FEA4F22" w14:textId="2C1D0AA3" w:rsidR="00F219C3" w:rsidRPr="00A02C7E" w:rsidRDefault="00F219C3" w:rsidP="00F219C3">
      <w:pPr>
        <w:spacing w:after="0" w:line="276" w:lineRule="auto"/>
        <w:jc w:val="both"/>
        <w:rPr>
          <w:rFonts w:ascii="Verdana" w:eastAsia="Times New Roman" w:hAnsi="Verdana" w:cs="Arial"/>
          <w:color w:val="000000"/>
          <w:lang w:val="es-ES" w:eastAsia="es-ES"/>
        </w:rPr>
      </w:pPr>
      <w:r w:rsidRPr="00A02C7E">
        <w:rPr>
          <w:rFonts w:ascii="Verdana" w:eastAsia="Times New Roman" w:hAnsi="Verdana" w:cs="Arial"/>
          <w:color w:val="000000"/>
          <w:lang w:val="es-ES" w:eastAsia="es-ES"/>
        </w:rPr>
        <w:t>Estimad</w:t>
      </w:r>
      <w:r>
        <w:rPr>
          <w:rFonts w:ascii="Verdana" w:eastAsia="Times New Roman" w:hAnsi="Verdana" w:cs="Arial"/>
          <w:color w:val="000000"/>
          <w:lang w:val="es-ES" w:eastAsia="es-ES"/>
        </w:rPr>
        <w:t>o señor Varón:</w:t>
      </w:r>
    </w:p>
    <w:p w14:paraId="2AEA86D9" w14:textId="77777777" w:rsidR="00F219C3" w:rsidRPr="00A02C7E" w:rsidRDefault="00F219C3" w:rsidP="00F219C3">
      <w:pPr>
        <w:tabs>
          <w:tab w:val="left" w:pos="3768"/>
        </w:tabs>
        <w:spacing w:after="0" w:line="276" w:lineRule="auto"/>
        <w:jc w:val="both"/>
        <w:rPr>
          <w:rFonts w:ascii="Verdana" w:eastAsia="Times New Roman" w:hAnsi="Verdana" w:cs="Arial"/>
          <w:color w:val="000000"/>
          <w:lang w:val="es-ES" w:eastAsia="es-ES"/>
        </w:rPr>
      </w:pPr>
      <w:r w:rsidRPr="00A02C7E">
        <w:rPr>
          <w:rFonts w:ascii="Verdana" w:eastAsia="Times New Roman" w:hAnsi="Verdana" w:cs="Arial"/>
          <w:color w:val="000000"/>
          <w:lang w:val="es-ES" w:eastAsia="es-ES"/>
        </w:rPr>
        <w:tab/>
      </w:r>
    </w:p>
    <w:p w14:paraId="0243EEDB" w14:textId="02C92EDC" w:rsidR="00F219C3" w:rsidRPr="00A02C7E" w:rsidRDefault="00F219C3" w:rsidP="00F219C3">
      <w:pPr>
        <w:spacing w:after="0" w:line="276" w:lineRule="auto"/>
        <w:jc w:val="both"/>
        <w:rPr>
          <w:rFonts w:ascii="Verdana" w:eastAsia="Times New Roman" w:hAnsi="Verdana" w:cs="Arial"/>
          <w:color w:val="000000"/>
          <w:lang w:val="es-ES" w:eastAsia="es-ES"/>
        </w:rPr>
      </w:pPr>
      <w:r w:rsidRPr="00A02C7E">
        <w:rPr>
          <w:rFonts w:ascii="Verdana" w:eastAsia="Times New Roman" w:hAnsi="Verdana" w:cs="Arial"/>
          <w:color w:val="000000"/>
          <w:lang w:val="es-ES" w:eastAsia="es-ES"/>
        </w:rPr>
        <w:t>En ejercicio de la competencia otorgada por los artículos 3, numeral 5º, y 11, numeral 8º, del Decreto Ley 4170 de 2011,</w:t>
      </w:r>
      <w:r w:rsidRPr="00A02C7E">
        <w:rPr>
          <w:rFonts w:ascii="Verdana" w:eastAsia="Times New Roman" w:hAnsi="Verdana" w:cs="Arial MT"/>
          <w:color w:val="000000"/>
          <w:lang w:val="es-ES" w:eastAsia="es-ES"/>
        </w:rPr>
        <w:t xml:space="preserve"> </w:t>
      </w:r>
      <w:r w:rsidRPr="00A02C7E">
        <w:rPr>
          <w:rFonts w:ascii="Verdana" w:eastAsia="Times New Roman" w:hAnsi="Verdana" w:cs="Arial"/>
          <w:color w:val="000000"/>
        </w:rPr>
        <w:t xml:space="preserve">así como lo establecido en el artículo 4 de la Resolución 1707 de 2018 expedida por esta Entidad, </w:t>
      </w:r>
      <w:r w:rsidRPr="00A02C7E">
        <w:rPr>
          <w:rFonts w:ascii="Verdana" w:eastAsia="Times New Roman" w:hAnsi="Verdana" w:cs="Arial"/>
          <w:color w:val="000000"/>
          <w:lang w:val="es-ES" w:eastAsia="es-ES"/>
        </w:rPr>
        <w:t xml:space="preserve">la Agencia Nacional de Contratación Pública – Colombia Compra Eficiente– responde su solicitud de consulta de fecha </w:t>
      </w:r>
      <w:r w:rsidR="00E70DEF">
        <w:rPr>
          <w:rFonts w:ascii="Verdana" w:eastAsia="Times New Roman" w:hAnsi="Verdana" w:cs="Arial"/>
          <w:color w:val="000000"/>
          <w:lang w:val="es-ES" w:eastAsia="es-ES"/>
        </w:rPr>
        <w:t>03 de enero de 2025</w:t>
      </w:r>
      <w:r w:rsidRPr="00A02C7E">
        <w:rPr>
          <w:rFonts w:ascii="Verdana" w:eastAsia="Times New Roman" w:hAnsi="Verdana" w:cs="Arial"/>
          <w:color w:val="000000"/>
          <w:lang w:val="es-ES" w:eastAsia="es-ES"/>
        </w:rPr>
        <w:t xml:space="preserve">, en la cual manifiesta lo siguiente: </w:t>
      </w:r>
    </w:p>
    <w:p w14:paraId="032EE7A2" w14:textId="77777777" w:rsidR="00F219C3" w:rsidRPr="00A02C7E" w:rsidRDefault="00F219C3" w:rsidP="00F219C3">
      <w:pPr>
        <w:tabs>
          <w:tab w:val="left" w:pos="142"/>
          <w:tab w:val="left" w:pos="284"/>
        </w:tabs>
        <w:spacing w:line="276" w:lineRule="auto"/>
        <w:contextualSpacing/>
        <w:jc w:val="both"/>
        <w:rPr>
          <w:rFonts w:ascii="Verdana" w:eastAsia="Times New Roman" w:hAnsi="Verdana" w:cs="Century Gothic"/>
          <w:b/>
          <w:bCs/>
          <w:color w:val="000000"/>
          <w:lang w:val="es-ES"/>
        </w:rPr>
      </w:pPr>
    </w:p>
    <w:p w14:paraId="3978DB71" w14:textId="2E67C9C1" w:rsidR="00F219C3" w:rsidRDefault="00F219C3" w:rsidP="00F219C3">
      <w:pPr>
        <w:spacing w:after="0" w:line="240" w:lineRule="auto"/>
        <w:ind w:left="709" w:right="709"/>
        <w:jc w:val="both"/>
        <w:rPr>
          <w:rFonts w:ascii="Verdana" w:eastAsia="Times New Roman" w:hAnsi="Verdana" w:cs="Century Gothic"/>
          <w:color w:val="000000"/>
          <w:sz w:val="20"/>
          <w:szCs w:val="20"/>
        </w:rPr>
      </w:pPr>
      <w:bookmarkStart w:id="1" w:name="_Hlk95313578"/>
      <w:r w:rsidRPr="00A02C7E">
        <w:rPr>
          <w:rFonts w:ascii="Verdana" w:eastAsia="Times New Roman" w:hAnsi="Verdana" w:cs="Century Gothic"/>
          <w:color w:val="000000"/>
          <w:sz w:val="20"/>
          <w:szCs w:val="20"/>
          <w:lang w:val="es-ES"/>
        </w:rPr>
        <w:t>“</w:t>
      </w:r>
      <w:bookmarkEnd w:id="1"/>
      <w:r w:rsidR="00A80075">
        <w:rPr>
          <w:rFonts w:ascii="Verdana" w:eastAsia="Times New Roman" w:hAnsi="Verdana" w:cs="Century Gothic"/>
          <w:color w:val="000000"/>
          <w:sz w:val="20"/>
          <w:szCs w:val="20"/>
        </w:rPr>
        <w:t>[…]</w:t>
      </w:r>
      <w:r w:rsidR="006A7F1E">
        <w:rPr>
          <w:rFonts w:ascii="Verdana" w:eastAsia="Times New Roman" w:hAnsi="Verdana" w:cs="Century Gothic"/>
          <w:color w:val="000000"/>
          <w:sz w:val="20"/>
          <w:szCs w:val="20"/>
        </w:rPr>
        <w:t xml:space="preserve"> </w:t>
      </w:r>
      <w:r w:rsidR="00AD7CFC">
        <w:rPr>
          <w:rFonts w:ascii="Verdana" w:eastAsia="Times New Roman" w:hAnsi="Verdana" w:cs="Century Gothic"/>
          <w:color w:val="000000"/>
          <w:sz w:val="20"/>
          <w:szCs w:val="20"/>
        </w:rPr>
        <w:t xml:space="preserve">Teniendo en cuenta mis derechos y sus obligaciones constitucionales y normativas, requiero, un concepto normativo claro, respecto a la estabilidad laboral de las personas con discapacidad contratadas por prestación de servicios, me indiquen como debo proceder para garantizar esta. </w:t>
      </w:r>
    </w:p>
    <w:p w14:paraId="5614D1A9" w14:textId="77777777" w:rsidR="00AD7CFC" w:rsidRDefault="00AD7CFC" w:rsidP="00F219C3">
      <w:pPr>
        <w:spacing w:after="0" w:line="240" w:lineRule="auto"/>
        <w:ind w:left="709" w:right="709"/>
        <w:jc w:val="both"/>
        <w:rPr>
          <w:rFonts w:ascii="Verdana" w:eastAsia="Times New Roman" w:hAnsi="Verdana" w:cs="Century Gothic"/>
          <w:color w:val="000000"/>
          <w:sz w:val="20"/>
          <w:szCs w:val="20"/>
        </w:rPr>
      </w:pPr>
    </w:p>
    <w:p w14:paraId="0A85D096" w14:textId="250A6175" w:rsidR="00AD7CFC" w:rsidRPr="00A02C7E" w:rsidRDefault="00AD7CFC" w:rsidP="00F219C3">
      <w:pPr>
        <w:spacing w:after="0" w:line="240" w:lineRule="auto"/>
        <w:ind w:left="709" w:right="709"/>
        <w:jc w:val="both"/>
        <w:rPr>
          <w:rFonts w:ascii="Verdana" w:eastAsia="Times New Roman" w:hAnsi="Verdana" w:cs="Century Gothic"/>
          <w:color w:val="000000"/>
          <w:sz w:val="20"/>
          <w:szCs w:val="20"/>
          <w:lang w:val="es-ES"/>
        </w:rPr>
      </w:pPr>
      <w:r>
        <w:rPr>
          <w:rFonts w:ascii="Verdana" w:eastAsia="Times New Roman" w:hAnsi="Verdana" w:cs="Century Gothic"/>
          <w:color w:val="000000"/>
          <w:sz w:val="20"/>
          <w:szCs w:val="20"/>
        </w:rPr>
        <w:t>Se solicita de manera clara me indiquen la jurisprudencia y el marco normativo, de la estabilidad laboral reforzada de las personas con discapacidad, contratadas por entidades públicas</w:t>
      </w:r>
      <w:r w:rsidR="003F500A">
        <w:rPr>
          <w:rFonts w:ascii="Verdana" w:eastAsia="Times New Roman" w:hAnsi="Verdana" w:cs="Century Gothic"/>
          <w:color w:val="000000"/>
          <w:sz w:val="20"/>
          <w:szCs w:val="20"/>
        </w:rPr>
        <w:t>, bajo la figura de prestación de servicios profesionales y/o apoyo a la gestión</w:t>
      </w:r>
      <w:r w:rsidR="006A7F1E">
        <w:rPr>
          <w:rFonts w:ascii="Verdana" w:eastAsia="Times New Roman" w:hAnsi="Verdana" w:cs="Century Gothic"/>
          <w:color w:val="000000"/>
          <w:sz w:val="20"/>
          <w:szCs w:val="20"/>
        </w:rPr>
        <w:t>”</w:t>
      </w:r>
      <w:r w:rsidR="0029408A">
        <w:rPr>
          <w:rFonts w:ascii="Verdana" w:eastAsia="Times New Roman" w:hAnsi="Verdana" w:cs="Century Gothic"/>
          <w:color w:val="000000"/>
          <w:sz w:val="20"/>
          <w:szCs w:val="20"/>
        </w:rPr>
        <w:t>.</w:t>
      </w:r>
    </w:p>
    <w:p w14:paraId="6C874141" w14:textId="77777777" w:rsidR="00F219C3" w:rsidRPr="00A02C7E" w:rsidRDefault="00F219C3" w:rsidP="00F219C3">
      <w:pPr>
        <w:tabs>
          <w:tab w:val="left" w:pos="142"/>
          <w:tab w:val="left" w:pos="284"/>
        </w:tabs>
        <w:spacing w:line="276" w:lineRule="auto"/>
        <w:contextualSpacing/>
        <w:jc w:val="both"/>
        <w:rPr>
          <w:rFonts w:ascii="Verdana" w:eastAsia="Times New Roman" w:hAnsi="Verdana" w:cs="Century Gothic"/>
          <w:b/>
          <w:bCs/>
          <w:color w:val="000000"/>
          <w:lang w:val="es-ES"/>
        </w:rPr>
      </w:pPr>
    </w:p>
    <w:p w14:paraId="1BDF508E" w14:textId="77777777" w:rsidR="00F219C3" w:rsidRPr="00A02C7E" w:rsidRDefault="00F219C3" w:rsidP="00F219C3">
      <w:pPr>
        <w:spacing w:after="120" w:line="276" w:lineRule="auto"/>
        <w:ind w:firstLine="709"/>
        <w:jc w:val="both"/>
        <w:rPr>
          <w:rFonts w:ascii="Verdana" w:eastAsia="Times New Roman" w:hAnsi="Verdana" w:cs="Arial"/>
          <w:color w:val="000000"/>
          <w:szCs w:val="24"/>
          <w:lang w:val="es-ES_tradnl" w:eastAsia="es-ES_tradnl"/>
        </w:rPr>
      </w:pPr>
      <w:r w:rsidRPr="00A02C7E">
        <w:rPr>
          <w:rFonts w:ascii="Verdana" w:eastAsia="Times New Roman"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02C7E">
        <w:rPr>
          <w:rFonts w:ascii="Verdana" w:eastAsia="Times New Roman" w:hAnsi="Verdana" w:cs="Arial"/>
          <w:color w:val="000000"/>
          <w:szCs w:val="24"/>
          <w:lang w:val="es-ES_tradnl" w:eastAsia="es-ES_tradnl"/>
        </w:rPr>
        <w:tab/>
      </w:r>
    </w:p>
    <w:p w14:paraId="61220777" w14:textId="77777777" w:rsidR="00F219C3" w:rsidRPr="00A02C7E" w:rsidRDefault="00F219C3" w:rsidP="00F219C3">
      <w:pPr>
        <w:spacing w:after="0" w:line="276" w:lineRule="auto"/>
        <w:ind w:firstLine="709"/>
        <w:jc w:val="both"/>
        <w:rPr>
          <w:rFonts w:ascii="Verdana" w:eastAsia="Times New Roman" w:hAnsi="Verdana" w:cs="Arial"/>
          <w:color w:val="000000"/>
          <w:lang w:val="es-ES" w:eastAsia="es-ES"/>
        </w:rPr>
      </w:pPr>
      <w:r w:rsidRPr="00A02C7E">
        <w:rPr>
          <w:rFonts w:ascii="Verdana" w:eastAsia="Times New Roman"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71853CB0" w14:textId="77777777" w:rsidR="00F219C3" w:rsidRPr="00A02C7E" w:rsidRDefault="00F219C3" w:rsidP="00F219C3">
      <w:pPr>
        <w:spacing w:after="0" w:line="276" w:lineRule="auto"/>
        <w:ind w:firstLine="709"/>
        <w:jc w:val="both"/>
        <w:rPr>
          <w:rFonts w:ascii="Verdana" w:eastAsia="Times New Roman" w:hAnsi="Verdana" w:cs="Arial"/>
          <w:color w:val="000000"/>
          <w:lang w:val="es-ES" w:eastAsia="es-ES"/>
        </w:rPr>
      </w:pPr>
    </w:p>
    <w:p w14:paraId="1F7631B0" w14:textId="77777777" w:rsidR="00F219C3" w:rsidRPr="00A02C7E" w:rsidRDefault="00F219C3" w:rsidP="00F219C3">
      <w:pPr>
        <w:numPr>
          <w:ilvl w:val="0"/>
          <w:numId w:val="16"/>
        </w:numPr>
        <w:tabs>
          <w:tab w:val="left" w:pos="142"/>
          <w:tab w:val="left" w:pos="284"/>
        </w:tabs>
        <w:spacing w:after="0" w:line="276" w:lineRule="auto"/>
        <w:ind w:left="0" w:firstLine="0"/>
        <w:contextualSpacing/>
        <w:jc w:val="both"/>
        <w:rPr>
          <w:rFonts w:ascii="Verdana" w:eastAsia="Times New Roman" w:hAnsi="Verdana" w:cs="Century Gothic"/>
          <w:b/>
          <w:bCs/>
          <w:color w:val="000000"/>
          <w:lang w:val="es-ES"/>
        </w:rPr>
      </w:pPr>
      <w:r w:rsidRPr="00A02C7E">
        <w:rPr>
          <w:rFonts w:ascii="Verdana" w:eastAsia="Times New Roman" w:hAnsi="Verdana" w:cs="Century Gothic"/>
          <w:b/>
          <w:bCs/>
          <w:color w:val="000000"/>
          <w:lang w:val="es-ES"/>
        </w:rPr>
        <w:t>Problema planteado:</w:t>
      </w:r>
    </w:p>
    <w:p w14:paraId="145CE942" w14:textId="77777777" w:rsidR="00F219C3" w:rsidRPr="00A02C7E" w:rsidRDefault="00F219C3" w:rsidP="00F219C3">
      <w:pPr>
        <w:tabs>
          <w:tab w:val="left" w:pos="426"/>
        </w:tabs>
        <w:spacing w:after="0" w:line="276" w:lineRule="auto"/>
        <w:jc w:val="both"/>
        <w:rPr>
          <w:rFonts w:ascii="Verdana" w:eastAsia="Times New Roman" w:hAnsi="Verdana" w:cs="Century Gothic"/>
          <w:color w:val="000000"/>
          <w:lang w:val="es-ES"/>
        </w:rPr>
      </w:pPr>
    </w:p>
    <w:p w14:paraId="2A757EC1" w14:textId="53B26429" w:rsidR="005661D9" w:rsidRDefault="00F219C3" w:rsidP="00F219C3">
      <w:pPr>
        <w:spacing w:after="0" w:line="276" w:lineRule="auto"/>
        <w:jc w:val="both"/>
        <w:rPr>
          <w:rFonts w:ascii="Verdana" w:eastAsia="Times New Roman" w:hAnsi="Verdana" w:cs="Century Gothic"/>
          <w:color w:val="000000"/>
        </w:rPr>
      </w:pPr>
      <w:r w:rsidRPr="00A02C7E">
        <w:rPr>
          <w:rFonts w:ascii="Verdana" w:eastAsia="Times New Roman" w:hAnsi="Verdana" w:cs="Century Gothic"/>
          <w:color w:val="000000"/>
        </w:rPr>
        <w:t xml:space="preserve">De acuerdo con el contenido de su solicitud, esta Agencia resolverá el (los) siguientes problemas jurídicos: </w:t>
      </w:r>
      <w:r w:rsidR="00607A94">
        <w:rPr>
          <w:rFonts w:ascii="Verdana" w:eastAsia="Times New Roman" w:hAnsi="Verdana" w:cs="Century Gothic"/>
          <w:color w:val="000000"/>
        </w:rPr>
        <w:t>i)</w:t>
      </w:r>
      <w:r w:rsidR="005C24BA">
        <w:rPr>
          <w:rFonts w:ascii="Verdana" w:eastAsia="Times New Roman" w:hAnsi="Verdana" w:cs="Century Gothic"/>
          <w:color w:val="000000"/>
        </w:rPr>
        <w:t xml:space="preserve"> </w:t>
      </w:r>
      <w:r w:rsidR="00391786">
        <w:rPr>
          <w:rFonts w:ascii="Verdana" w:eastAsia="Times New Roman" w:hAnsi="Verdana" w:cs="Century Gothic"/>
          <w:color w:val="000000"/>
        </w:rPr>
        <w:t>¿</w:t>
      </w:r>
      <w:r w:rsidR="00FC0F13">
        <w:rPr>
          <w:rFonts w:ascii="Verdana" w:eastAsia="Times New Roman" w:hAnsi="Verdana" w:cs="Century Gothic"/>
          <w:color w:val="000000"/>
        </w:rPr>
        <w:t xml:space="preserve">Opera la </w:t>
      </w:r>
      <w:r w:rsidR="00D069B8">
        <w:rPr>
          <w:rFonts w:ascii="Verdana" w:eastAsia="Times New Roman" w:hAnsi="Verdana" w:cs="Century Gothic"/>
          <w:color w:val="000000"/>
        </w:rPr>
        <w:t>figura de estabilidad laboral reforzada</w:t>
      </w:r>
      <w:r w:rsidR="00A21F52">
        <w:rPr>
          <w:rFonts w:ascii="Verdana" w:eastAsia="Times New Roman" w:hAnsi="Verdana" w:cs="Century Gothic"/>
          <w:color w:val="000000"/>
        </w:rPr>
        <w:t xml:space="preserve"> </w:t>
      </w:r>
      <w:r w:rsidR="00F2008B">
        <w:rPr>
          <w:rFonts w:ascii="Verdana" w:eastAsia="Times New Roman" w:hAnsi="Verdana" w:cs="Century Gothic"/>
          <w:color w:val="000000"/>
        </w:rPr>
        <w:t xml:space="preserve">en los contratos de prestación de servicios </w:t>
      </w:r>
      <w:r w:rsidR="00257FD5">
        <w:rPr>
          <w:rFonts w:ascii="Verdana" w:eastAsia="Times New Roman" w:hAnsi="Verdana" w:cs="Century Gothic"/>
          <w:color w:val="000000"/>
        </w:rPr>
        <w:t xml:space="preserve">profesionales </w:t>
      </w:r>
      <w:r w:rsidR="00F2008B">
        <w:rPr>
          <w:rFonts w:ascii="Verdana" w:eastAsia="Times New Roman" w:hAnsi="Verdana" w:cs="Century Gothic"/>
          <w:color w:val="000000"/>
        </w:rPr>
        <w:t>celebrados entre personas en situación de discapacidad</w:t>
      </w:r>
      <w:r w:rsidR="005C24BA">
        <w:rPr>
          <w:rFonts w:ascii="Verdana" w:eastAsia="Times New Roman" w:hAnsi="Verdana" w:cs="Century Gothic"/>
          <w:color w:val="000000"/>
        </w:rPr>
        <w:t xml:space="preserve"> por salud y una entidad estatal?</w:t>
      </w:r>
    </w:p>
    <w:p w14:paraId="65763713" w14:textId="017C91EF" w:rsidR="005C24BA" w:rsidRDefault="005C24BA" w:rsidP="005C24BA">
      <w:pPr>
        <w:spacing w:after="0" w:line="276" w:lineRule="auto"/>
        <w:jc w:val="both"/>
        <w:rPr>
          <w:rFonts w:ascii="Verdana" w:eastAsia="Times New Roman" w:hAnsi="Verdana" w:cs="Century Gothic"/>
          <w:color w:val="000000"/>
        </w:rPr>
      </w:pPr>
    </w:p>
    <w:p w14:paraId="01A0745F" w14:textId="77777777" w:rsidR="005C24BA" w:rsidRDefault="005C24BA" w:rsidP="005C24BA">
      <w:pPr>
        <w:spacing w:after="0" w:line="276" w:lineRule="auto"/>
        <w:jc w:val="both"/>
        <w:rPr>
          <w:rFonts w:ascii="Verdana" w:eastAsia="Times New Roman" w:hAnsi="Verdana" w:cs="Century Gothic"/>
          <w:color w:val="000000"/>
        </w:rPr>
      </w:pPr>
    </w:p>
    <w:p w14:paraId="3FD3D537" w14:textId="5D155AA9" w:rsidR="00DE25B6" w:rsidRPr="00A3180E" w:rsidRDefault="00285597" w:rsidP="00A3180E">
      <w:pPr>
        <w:spacing w:after="0" w:line="276" w:lineRule="auto"/>
        <w:jc w:val="both"/>
        <w:rPr>
          <w:rFonts w:ascii="Verdana" w:eastAsia="Times New Roman" w:hAnsi="Verdana" w:cs="Century Gothic"/>
          <w:b/>
          <w:bCs/>
          <w:color w:val="000000"/>
        </w:rPr>
      </w:pPr>
      <w:r w:rsidRPr="00285597">
        <w:rPr>
          <w:rFonts w:ascii="Verdana" w:eastAsia="Times New Roman" w:hAnsi="Verdana" w:cs="Century Gothic"/>
          <w:b/>
          <w:bCs/>
          <w:color w:val="000000"/>
        </w:rPr>
        <w:t>2.</w:t>
      </w:r>
      <w:r>
        <w:rPr>
          <w:rFonts w:ascii="Verdana" w:eastAsia="Times New Roman" w:hAnsi="Verdana" w:cs="Century Gothic"/>
          <w:color w:val="000000"/>
        </w:rPr>
        <w:t xml:space="preserve"> </w:t>
      </w:r>
      <w:r>
        <w:rPr>
          <w:rFonts w:ascii="Verdana" w:eastAsia="Times New Roman" w:hAnsi="Verdana" w:cs="Century Gothic"/>
          <w:b/>
          <w:bCs/>
          <w:color w:val="000000"/>
        </w:rPr>
        <w:t>Respuesta:</w:t>
      </w:r>
    </w:p>
    <w:p w14:paraId="68DF4930" w14:textId="4D93BF43" w:rsidR="00DE25B6" w:rsidRDefault="00DE25B6" w:rsidP="00BB5FAB">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Verdana" w:eastAsia="Times New Roman" w:hAnsi="Verdana" w:cs="Times New Roman"/>
          <w:lang w:eastAsia="es-MX"/>
        </w:rPr>
      </w:pPr>
      <w:r>
        <w:rPr>
          <w:rFonts w:ascii="Verdana" w:eastAsia="Times New Roman" w:hAnsi="Verdana" w:cs="Times New Roman"/>
          <w:lang w:eastAsia="es-MX"/>
        </w:rPr>
        <w:t>De conformidad con el p</w:t>
      </w:r>
      <w:r w:rsidR="00873145">
        <w:rPr>
          <w:rFonts w:ascii="Verdana" w:eastAsia="Times New Roman" w:hAnsi="Verdana" w:cs="Times New Roman"/>
          <w:lang w:eastAsia="es-MX"/>
        </w:rPr>
        <w:t>roblema jurídico</w:t>
      </w:r>
      <w:r w:rsidRPr="00D11A4A">
        <w:rPr>
          <w:rFonts w:ascii="Verdana" w:eastAsia="Times New Roman" w:hAnsi="Verdana" w:cs="Times New Roman"/>
          <w:lang w:eastAsia="es-MX"/>
        </w:rPr>
        <w:t xml:space="preserve">, la </w:t>
      </w:r>
      <w:r w:rsidRPr="00D11A4A">
        <w:rPr>
          <w:rFonts w:ascii="Verdana" w:eastAsia="Times New Roman" w:hAnsi="Verdana" w:cs="Arial"/>
          <w:i/>
          <w:iCs/>
          <w:lang w:eastAsia="es-MX"/>
        </w:rPr>
        <w:t>estabilidad ocupacional reforzada de personas en situación de debilidad manifiesta por razones de salud</w:t>
      </w:r>
      <w:r w:rsidRPr="00D11A4A">
        <w:rPr>
          <w:rFonts w:ascii="Verdana" w:eastAsia="Times New Roman" w:hAnsi="Verdana" w:cs="Times New Roman"/>
          <w:lang w:eastAsia="es-MX"/>
        </w:rPr>
        <w:t xml:space="preserve">, encuentra sustento en la Ley 361 de 1997, </w:t>
      </w:r>
      <w:r w:rsidRPr="00D11A4A">
        <w:rPr>
          <w:rFonts w:ascii="Verdana" w:eastAsia="Times New Roman" w:hAnsi="Verdana" w:cs="Arial"/>
          <w:i/>
          <w:iCs/>
          <w:lang w:eastAsia="es-MX"/>
        </w:rPr>
        <w:t xml:space="preserve">“Por la cual se establecen mecanismos de integración social de las personas en situación de discapacidad y se dictan otras disposiciones”, </w:t>
      </w:r>
      <w:r w:rsidRPr="00D11A4A">
        <w:rPr>
          <w:rFonts w:ascii="Verdana" w:eastAsia="Times New Roman" w:hAnsi="Verdana" w:cs="Times New Roman"/>
          <w:lang w:eastAsia="es-MX"/>
        </w:rPr>
        <w:t xml:space="preserve">especialmente en su artículo 26 que dispuso que en ningún caso la discapacidad de una persona podrá́ ser un motivo para terminar su contrato, en los siguientes términos: </w:t>
      </w:r>
    </w:p>
    <w:p w14:paraId="42366326" w14:textId="3E4DDE0C" w:rsidR="00A4620C" w:rsidRDefault="00DE25B6" w:rsidP="00BB5FAB">
      <w:pPr>
        <w:pStyle w:val="Textoindependiente"/>
        <w:pBdr>
          <w:top w:val="single" w:sz="4" w:space="1" w:color="auto"/>
          <w:left w:val="single" w:sz="4" w:space="4" w:color="auto"/>
          <w:bottom w:val="single" w:sz="4" w:space="1" w:color="auto"/>
          <w:right w:val="single" w:sz="4" w:space="4" w:color="auto"/>
        </w:pBdr>
        <w:jc w:val="both"/>
        <w:rPr>
          <w:spacing w:val="-2"/>
        </w:rPr>
      </w:pPr>
      <w:r>
        <w:t>“Artículo</w:t>
      </w:r>
      <w:r>
        <w:rPr>
          <w:spacing w:val="-17"/>
        </w:rPr>
        <w:t xml:space="preserve"> </w:t>
      </w:r>
      <w:r>
        <w:t>26.</w:t>
      </w:r>
      <w:r>
        <w:rPr>
          <w:spacing w:val="-18"/>
        </w:rPr>
        <w:t xml:space="preserve"> </w:t>
      </w:r>
      <w:r>
        <w:t>No</w:t>
      </w:r>
      <w:r>
        <w:rPr>
          <w:spacing w:val="-19"/>
        </w:rPr>
        <w:t xml:space="preserve"> </w:t>
      </w:r>
      <w:r>
        <w:t>discriminación</w:t>
      </w:r>
      <w:r>
        <w:rPr>
          <w:spacing w:val="-14"/>
        </w:rPr>
        <w:t xml:space="preserve"> </w:t>
      </w:r>
      <w:r>
        <w:t>a</w:t>
      </w:r>
      <w:r>
        <w:rPr>
          <w:spacing w:val="-19"/>
        </w:rPr>
        <w:t xml:space="preserve"> </w:t>
      </w:r>
      <w:r>
        <w:t>persona</w:t>
      </w:r>
      <w:r>
        <w:rPr>
          <w:spacing w:val="-17"/>
        </w:rPr>
        <w:t xml:space="preserve"> </w:t>
      </w:r>
      <w:r>
        <w:t>en</w:t>
      </w:r>
      <w:r>
        <w:rPr>
          <w:spacing w:val="-19"/>
        </w:rPr>
        <w:t xml:space="preserve"> </w:t>
      </w:r>
      <w:r>
        <w:t>situación</w:t>
      </w:r>
      <w:r>
        <w:rPr>
          <w:spacing w:val="-16"/>
        </w:rPr>
        <w:t xml:space="preserve"> </w:t>
      </w:r>
      <w:r>
        <w:t>de</w:t>
      </w:r>
      <w:r>
        <w:rPr>
          <w:spacing w:val="-19"/>
        </w:rPr>
        <w:t xml:space="preserve"> </w:t>
      </w:r>
      <w:r>
        <w:t>discapacidad.</w:t>
      </w:r>
      <w:r>
        <w:rPr>
          <w:spacing w:val="-15"/>
        </w:rPr>
        <w:t xml:space="preserve"> </w:t>
      </w:r>
      <w:r>
        <w:t>En ningún caso la discapacidad de una persona podrá́ ser motivo para obstaculizar</w:t>
      </w:r>
      <w:r>
        <w:rPr>
          <w:spacing w:val="-3"/>
        </w:rPr>
        <w:t xml:space="preserve"> </w:t>
      </w:r>
      <w:r>
        <w:t>una</w:t>
      </w:r>
      <w:r>
        <w:rPr>
          <w:spacing w:val="-6"/>
        </w:rPr>
        <w:t xml:space="preserve"> </w:t>
      </w:r>
      <w:r>
        <w:t>vinculación</w:t>
      </w:r>
      <w:r>
        <w:rPr>
          <w:spacing w:val="-3"/>
        </w:rPr>
        <w:t xml:space="preserve"> </w:t>
      </w:r>
      <w:r>
        <w:t>laboral,</w:t>
      </w:r>
      <w:r>
        <w:rPr>
          <w:spacing w:val="-5"/>
        </w:rPr>
        <w:t xml:space="preserve"> </w:t>
      </w:r>
      <w:r>
        <w:t>a</w:t>
      </w:r>
      <w:r>
        <w:rPr>
          <w:spacing w:val="-7"/>
        </w:rPr>
        <w:t xml:space="preserve"> </w:t>
      </w:r>
      <w:r>
        <w:t>menos</w:t>
      </w:r>
      <w:r>
        <w:rPr>
          <w:spacing w:val="-6"/>
        </w:rPr>
        <w:t xml:space="preserve"> </w:t>
      </w:r>
      <w:r>
        <w:t>que</w:t>
      </w:r>
      <w:r>
        <w:rPr>
          <w:spacing w:val="-6"/>
        </w:rPr>
        <w:t xml:space="preserve"> </w:t>
      </w:r>
      <w:r>
        <w:t>dicha</w:t>
      </w:r>
      <w:r>
        <w:rPr>
          <w:spacing w:val="-5"/>
        </w:rPr>
        <w:t xml:space="preserve"> </w:t>
      </w:r>
      <w:r>
        <w:t>discapacidad</w:t>
      </w:r>
      <w:r>
        <w:rPr>
          <w:spacing w:val="-3"/>
        </w:rPr>
        <w:t xml:space="preserve"> </w:t>
      </w:r>
      <w:r>
        <w:t>sea claramente</w:t>
      </w:r>
      <w:r>
        <w:rPr>
          <w:spacing w:val="-5"/>
        </w:rPr>
        <w:t xml:space="preserve"> </w:t>
      </w:r>
      <w:r>
        <w:t>demostrada</w:t>
      </w:r>
      <w:r>
        <w:rPr>
          <w:spacing w:val="-5"/>
        </w:rPr>
        <w:t xml:space="preserve"> </w:t>
      </w:r>
      <w:r>
        <w:t>como</w:t>
      </w:r>
      <w:r>
        <w:rPr>
          <w:spacing w:val="-7"/>
        </w:rPr>
        <w:t xml:space="preserve"> </w:t>
      </w:r>
      <w:r>
        <w:t>incompatible</w:t>
      </w:r>
      <w:r>
        <w:rPr>
          <w:spacing w:val="-5"/>
        </w:rPr>
        <w:t xml:space="preserve"> </w:t>
      </w:r>
      <w:r>
        <w:t>e</w:t>
      </w:r>
      <w:r>
        <w:rPr>
          <w:spacing w:val="-8"/>
        </w:rPr>
        <w:t xml:space="preserve"> </w:t>
      </w:r>
      <w:r>
        <w:t>insuperable</w:t>
      </w:r>
      <w:r>
        <w:rPr>
          <w:spacing w:val="-5"/>
        </w:rPr>
        <w:t xml:space="preserve"> </w:t>
      </w:r>
      <w:r>
        <w:t>en</w:t>
      </w:r>
      <w:r>
        <w:rPr>
          <w:spacing w:val="-8"/>
        </w:rPr>
        <w:t xml:space="preserve"> </w:t>
      </w:r>
      <w:r>
        <w:t>el</w:t>
      </w:r>
      <w:r>
        <w:rPr>
          <w:spacing w:val="-8"/>
        </w:rPr>
        <w:t xml:space="preserve"> </w:t>
      </w:r>
      <w:r>
        <w:t>cargo</w:t>
      </w:r>
      <w:r>
        <w:rPr>
          <w:spacing w:val="-6"/>
        </w:rPr>
        <w:t xml:space="preserve"> </w:t>
      </w:r>
      <w:r>
        <w:t>que se va a desempeñar. Así́ mismo, ninguna persona en situación de discapacidad podrá́ ser despedida o su contrato terminado por razón de su</w:t>
      </w:r>
      <w:r>
        <w:rPr>
          <w:spacing w:val="-12"/>
        </w:rPr>
        <w:t xml:space="preserve"> </w:t>
      </w:r>
      <w:r>
        <w:t>discapacidad,</w:t>
      </w:r>
      <w:r>
        <w:rPr>
          <w:spacing w:val="-11"/>
        </w:rPr>
        <w:t xml:space="preserve"> </w:t>
      </w:r>
      <w:r>
        <w:t>salvo</w:t>
      </w:r>
      <w:r>
        <w:rPr>
          <w:spacing w:val="-12"/>
        </w:rPr>
        <w:t xml:space="preserve"> </w:t>
      </w:r>
      <w:r>
        <w:t>que</w:t>
      </w:r>
      <w:r>
        <w:rPr>
          <w:spacing w:val="-11"/>
        </w:rPr>
        <w:t xml:space="preserve"> </w:t>
      </w:r>
      <w:r>
        <w:t>medie</w:t>
      </w:r>
      <w:r>
        <w:rPr>
          <w:spacing w:val="-12"/>
        </w:rPr>
        <w:t xml:space="preserve"> </w:t>
      </w:r>
      <w:r>
        <w:t>autorización</w:t>
      </w:r>
      <w:r>
        <w:rPr>
          <w:spacing w:val="-11"/>
        </w:rPr>
        <w:t xml:space="preserve"> </w:t>
      </w:r>
      <w:r>
        <w:t>de</w:t>
      </w:r>
      <w:r>
        <w:rPr>
          <w:spacing w:val="-12"/>
        </w:rPr>
        <w:t xml:space="preserve"> </w:t>
      </w:r>
      <w:r>
        <w:t>la</w:t>
      </w:r>
      <w:r>
        <w:rPr>
          <w:spacing w:val="-11"/>
        </w:rPr>
        <w:t xml:space="preserve"> </w:t>
      </w:r>
      <w:r>
        <w:t>oficina</w:t>
      </w:r>
      <w:r>
        <w:rPr>
          <w:spacing w:val="-12"/>
        </w:rPr>
        <w:t xml:space="preserve"> </w:t>
      </w:r>
      <w:r>
        <w:t>de</w:t>
      </w:r>
      <w:r>
        <w:rPr>
          <w:spacing w:val="-11"/>
        </w:rPr>
        <w:t xml:space="preserve"> </w:t>
      </w:r>
      <w:r>
        <w:rPr>
          <w:spacing w:val="-2"/>
        </w:rPr>
        <w:t>Trabajo.</w:t>
      </w:r>
    </w:p>
    <w:p w14:paraId="7AF4548A" w14:textId="77777777" w:rsidR="00BB5FAB" w:rsidRPr="00BB5FAB" w:rsidRDefault="00A4620C" w:rsidP="00BB5FAB">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Verdana" w:eastAsia="Times New Roman" w:hAnsi="Verdana" w:cs="Arial"/>
          <w:lang w:eastAsia="es-MX"/>
        </w:rPr>
      </w:pPr>
      <w:r w:rsidRPr="00BB5FAB">
        <w:rPr>
          <w:rFonts w:ascii="Verdana" w:hAnsi="Verdana"/>
          <w:spacing w:val="-2"/>
        </w:rPr>
        <w:t xml:space="preserve">Nuestro ordenamiento </w:t>
      </w:r>
      <w:r w:rsidR="00BB5FAB" w:rsidRPr="00BB5FAB">
        <w:rPr>
          <w:rFonts w:ascii="Verdana" w:eastAsia="Times New Roman" w:hAnsi="Verdana" w:cs="Arial"/>
          <w:lang w:eastAsia="es-MX"/>
        </w:rPr>
        <w:t>jurídico actual contempla que una persona en debilidad manifiesta por razones de salud no se le podrá́ terminar su contrato de prestación de servicios por razón de su discapacidad o enfermedad, salvo que medie autorización de la oficina de Trabajo, teniendo en cuenta que en dichos casos la presunción de discriminación debe ser desvirtuada por la entidad contratante.</w:t>
      </w:r>
    </w:p>
    <w:p w14:paraId="0A5C2E4B" w14:textId="77777777" w:rsidR="00BB5FAB" w:rsidRPr="00D11A4A" w:rsidRDefault="00BB5FAB" w:rsidP="00BB5FAB">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Verdana" w:eastAsia="Times New Roman" w:hAnsi="Verdana" w:cs="Arial"/>
          <w:lang w:eastAsia="es-MX"/>
        </w:rPr>
      </w:pPr>
      <w:r w:rsidRPr="00D11A4A">
        <w:rPr>
          <w:rFonts w:ascii="Verdana" w:eastAsia="Times New Roman" w:hAnsi="Verdana" w:cs="Arial"/>
          <w:lang w:eastAsia="es-MX"/>
        </w:rPr>
        <w:t xml:space="preserve">En conclusión, esta Agencia ratifica lo señalado en Concepto 135 de 2023, en donde se indica que “si la Entidad Estatal contratante conoce de la situación de debilidad manifiesta del contratista por razones de su salud y subsiste la causa del contrato, es decir la necesidad que originó la celebración del contrato prestación de servicios sigue existiendo para la Entidad Estatal, no podrá́ dar por terminado el vínculo contractual, sin que medie permiso del inspector del trabajo, aun cuando se haya configurado su terminación por cumplimiento de plazo contractual. </w:t>
      </w:r>
    </w:p>
    <w:p w14:paraId="0D68A5FA" w14:textId="77777777" w:rsidR="00BB5FAB" w:rsidRPr="00D11A4A" w:rsidRDefault="00BB5FAB" w:rsidP="00BB5FAB">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Verdana" w:eastAsia="Times New Roman" w:hAnsi="Verdana" w:cs="Arial"/>
          <w:lang w:eastAsia="es-MX"/>
        </w:rPr>
      </w:pPr>
      <w:r w:rsidRPr="00D11A4A">
        <w:rPr>
          <w:rFonts w:ascii="Verdana" w:eastAsia="Times New Roman" w:hAnsi="Verdana" w:cs="Arial"/>
          <w:lang w:eastAsia="es-MX"/>
        </w:rPr>
        <w:t>El no acatamiento de dichas directrices puede dar a lugar a que un juez ordene, previo estudio de las particularidades del caso en concreto, la procedencia de cada una de las siguientes medidas de protección: i) La renovación de la relación contractual; ii) El pago de los honorarios dejados de percibir desde la fecha de no renovación del contrato, hasta la renovación del mismo; y, iii) El pago por concepto de la indemnización por despido previsto en el artículo 26 de la Ley 361 de 1997”.</w:t>
      </w:r>
    </w:p>
    <w:p w14:paraId="74694815" w14:textId="42BE4A98" w:rsidR="0060494A" w:rsidRDefault="00BB5FAB" w:rsidP="00BB5FAB">
      <w:pPr>
        <w:tabs>
          <w:tab w:val="left" w:pos="142"/>
          <w:tab w:val="left" w:pos="284"/>
        </w:tabs>
        <w:spacing w:after="0" w:line="276" w:lineRule="auto"/>
        <w:jc w:val="both"/>
        <w:rPr>
          <w:rFonts w:ascii="Verdana" w:eastAsia="Century Gothic" w:hAnsi="Verdana" w:cs="Century Gothic"/>
          <w:b/>
          <w:bCs/>
        </w:rPr>
      </w:pPr>
      <w:r w:rsidRPr="00BB5FAB">
        <w:rPr>
          <w:rFonts w:ascii="Verdana" w:eastAsia="Century Gothic" w:hAnsi="Verdana" w:cs="Century Gothic"/>
          <w:b/>
          <w:bCs/>
        </w:rPr>
        <w:t>3.</w:t>
      </w:r>
      <w:r>
        <w:rPr>
          <w:rFonts w:ascii="Verdana" w:eastAsia="Century Gothic" w:hAnsi="Verdana" w:cs="Century Gothic"/>
          <w:b/>
          <w:bCs/>
        </w:rPr>
        <w:t xml:space="preserve"> Razones de la Respuesta: </w:t>
      </w:r>
    </w:p>
    <w:p w14:paraId="59F97EB5" w14:textId="77777777" w:rsidR="00BB5FAB" w:rsidRPr="00BB5FAB" w:rsidRDefault="00BB5FAB" w:rsidP="00BB5FAB">
      <w:pPr>
        <w:tabs>
          <w:tab w:val="left" w:pos="142"/>
          <w:tab w:val="left" w:pos="284"/>
        </w:tabs>
        <w:spacing w:after="0" w:line="276" w:lineRule="auto"/>
        <w:jc w:val="both"/>
        <w:rPr>
          <w:rFonts w:ascii="Verdana" w:eastAsia="Century Gothic" w:hAnsi="Verdana" w:cs="Century Gothic"/>
          <w:b/>
          <w:bCs/>
        </w:rPr>
      </w:pPr>
    </w:p>
    <w:p w14:paraId="6A9533A6" w14:textId="5A0257C7" w:rsidR="0060494A" w:rsidRDefault="0060494A" w:rsidP="0060494A">
      <w:pPr>
        <w:tabs>
          <w:tab w:val="left" w:pos="142"/>
          <w:tab w:val="left" w:pos="284"/>
        </w:tabs>
        <w:spacing w:after="0" w:line="276" w:lineRule="auto"/>
        <w:jc w:val="both"/>
        <w:rPr>
          <w:rFonts w:ascii="Verdana" w:eastAsia="Century Gothic" w:hAnsi="Verdana" w:cs="Century Gothic"/>
        </w:rPr>
      </w:pPr>
      <w:r>
        <w:rPr>
          <w:rFonts w:ascii="Verdana" w:eastAsia="Century Gothic" w:hAnsi="Verdana" w:cs="Century Gothic"/>
        </w:rPr>
        <w:t xml:space="preserve">Lo anterior </w:t>
      </w:r>
      <w:r w:rsidR="001D5E98">
        <w:rPr>
          <w:rFonts w:ascii="Verdana" w:eastAsia="Century Gothic" w:hAnsi="Verdana" w:cs="Century Gothic"/>
        </w:rPr>
        <w:t xml:space="preserve">se sustenta en las siguientes consideraciones: </w:t>
      </w:r>
    </w:p>
    <w:p w14:paraId="1F598772" w14:textId="77777777" w:rsidR="001D5E98" w:rsidRDefault="001D5E98" w:rsidP="0060494A">
      <w:pPr>
        <w:tabs>
          <w:tab w:val="left" w:pos="142"/>
          <w:tab w:val="left" w:pos="284"/>
        </w:tabs>
        <w:spacing w:after="0" w:line="276" w:lineRule="auto"/>
        <w:jc w:val="both"/>
        <w:rPr>
          <w:rFonts w:ascii="Verdana" w:eastAsia="Century Gothic" w:hAnsi="Verdana" w:cs="Century Gothic"/>
        </w:rPr>
      </w:pPr>
    </w:p>
    <w:p w14:paraId="53BA148E" w14:textId="77777777" w:rsidR="001D5E98" w:rsidRPr="0060494A" w:rsidRDefault="001D5E98" w:rsidP="0060494A">
      <w:pPr>
        <w:tabs>
          <w:tab w:val="left" w:pos="142"/>
          <w:tab w:val="left" w:pos="284"/>
        </w:tabs>
        <w:spacing w:after="0" w:line="276" w:lineRule="auto"/>
        <w:jc w:val="both"/>
        <w:rPr>
          <w:rFonts w:ascii="Verdana" w:eastAsia="Century Gothic" w:hAnsi="Verdana" w:cs="Century Gothic"/>
        </w:rPr>
      </w:pPr>
    </w:p>
    <w:p w14:paraId="0DB3BC83" w14:textId="77777777" w:rsidR="0060494A" w:rsidRPr="00D11A4A" w:rsidRDefault="0060494A" w:rsidP="001D5E98">
      <w:pPr>
        <w:spacing w:after="120" w:line="276" w:lineRule="auto"/>
        <w:ind w:firstLine="709"/>
        <w:contextualSpacing/>
        <w:jc w:val="both"/>
        <w:rPr>
          <w:rFonts w:ascii="Verdana" w:eastAsia="Times New Roman" w:hAnsi="Verdana" w:cs="Arial"/>
          <w:color w:val="000000"/>
          <w:lang w:val="es-ES"/>
        </w:rPr>
      </w:pPr>
      <w:r w:rsidRPr="00D11A4A">
        <w:rPr>
          <w:rFonts w:ascii="Verdana" w:eastAsia="Times New Roman" w:hAnsi="Verdana" w:cs="Arial"/>
          <w:color w:val="000000"/>
          <w:lang w:val="es-ES"/>
        </w:rPr>
        <w:t xml:space="preserve">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numeral 3 del </w:t>
      </w:r>
      <w:bookmarkStart w:id="2" w:name="_Hlk176814493"/>
      <w:r w:rsidRPr="00D11A4A">
        <w:rPr>
          <w:rFonts w:ascii="Verdana" w:eastAsia="Times New Roman" w:hAnsi="Verdana" w:cs="Arial"/>
          <w:color w:val="000000"/>
          <w:lang w:val="es-ES"/>
        </w:rPr>
        <w:t xml:space="preserve">artículo 32, de la </w:t>
      </w:r>
      <w:bookmarkStart w:id="3" w:name="_Hlk176438300"/>
      <w:r w:rsidRPr="00D11A4A">
        <w:rPr>
          <w:rFonts w:ascii="Verdana" w:eastAsia="Times New Roman" w:hAnsi="Verdana" w:cs="Arial"/>
          <w:color w:val="000000"/>
          <w:lang w:val="es-ES"/>
        </w:rPr>
        <w:t>Ley 80 de 1993</w:t>
      </w:r>
      <w:bookmarkEnd w:id="2"/>
      <w:bookmarkEnd w:id="3"/>
      <w:r w:rsidRPr="00D11A4A">
        <w:rPr>
          <w:rFonts w:ascii="Verdana" w:eastAsia="Times New Roman" w:hAnsi="Verdana" w:cs="Arial"/>
          <w:color w:val="000000"/>
          <w:lang w:val="es-ES"/>
        </w:rPr>
        <w:t>, el cual establece:</w:t>
      </w:r>
    </w:p>
    <w:p w14:paraId="43539BF8" w14:textId="77777777" w:rsidR="0060494A" w:rsidRPr="00D11A4A" w:rsidRDefault="0060494A" w:rsidP="0060494A">
      <w:pPr>
        <w:spacing w:after="0" w:line="240" w:lineRule="auto"/>
        <w:jc w:val="both"/>
        <w:rPr>
          <w:rFonts w:ascii="Verdana" w:eastAsia="Times New Roman" w:hAnsi="Verdana" w:cs="Arial"/>
          <w:color w:val="000000"/>
          <w:lang w:val="es-ES_tradnl"/>
        </w:rPr>
      </w:pPr>
    </w:p>
    <w:p w14:paraId="799363A3" w14:textId="77777777" w:rsidR="0060494A" w:rsidRPr="00D11A4A" w:rsidRDefault="0060494A" w:rsidP="001D5E98">
      <w:pPr>
        <w:spacing w:after="0" w:line="240" w:lineRule="auto"/>
        <w:ind w:left="709" w:right="709"/>
        <w:jc w:val="both"/>
        <w:rPr>
          <w:rFonts w:ascii="Verdana" w:eastAsia="Times New Roman" w:hAnsi="Verdana" w:cs="Arial"/>
          <w:color w:val="000000"/>
          <w:sz w:val="21"/>
          <w:szCs w:val="21"/>
          <w:lang w:val="es-ES_tradnl"/>
        </w:rPr>
      </w:pPr>
      <w:r w:rsidRPr="00D11A4A">
        <w:rPr>
          <w:rFonts w:ascii="Verdana" w:eastAsia="Times New Roman" w:hAnsi="Verdana"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26626FA9" w14:textId="77777777" w:rsidR="0060494A" w:rsidRPr="00D11A4A" w:rsidRDefault="0060494A" w:rsidP="001D5E98">
      <w:pPr>
        <w:spacing w:after="0" w:line="240" w:lineRule="auto"/>
        <w:ind w:left="709" w:right="709"/>
        <w:jc w:val="both"/>
        <w:rPr>
          <w:rFonts w:ascii="Verdana" w:eastAsia="Times New Roman" w:hAnsi="Verdana" w:cs="Arial"/>
          <w:color w:val="000000"/>
          <w:sz w:val="21"/>
          <w:szCs w:val="21"/>
          <w:lang w:val="es-ES_tradnl"/>
        </w:rPr>
      </w:pPr>
    </w:p>
    <w:p w14:paraId="29625B38" w14:textId="77777777" w:rsidR="0060494A" w:rsidRPr="00D11A4A" w:rsidRDefault="0060494A" w:rsidP="001D5E98">
      <w:pPr>
        <w:spacing w:after="0" w:line="240" w:lineRule="auto"/>
        <w:ind w:left="709" w:right="709"/>
        <w:jc w:val="both"/>
        <w:rPr>
          <w:rFonts w:ascii="Verdana" w:eastAsia="Times New Roman" w:hAnsi="Verdana" w:cs="Arial"/>
          <w:color w:val="000000"/>
          <w:sz w:val="21"/>
          <w:szCs w:val="21"/>
          <w:lang w:val="es-ES_tradnl"/>
        </w:rPr>
      </w:pPr>
      <w:r w:rsidRPr="00D11A4A">
        <w:rPr>
          <w:rFonts w:ascii="Verdana" w:eastAsia="Times New Roman" w:hAnsi="Verdana" w:cs="Arial"/>
          <w:color w:val="000000"/>
          <w:sz w:val="21"/>
          <w:szCs w:val="21"/>
          <w:lang w:val="es-ES_tradnl"/>
        </w:rPr>
        <w:t>En ningún caso estos contratos generan relación laboral ni prestaciones sociales y se celebrarán por el término estrictamente indispensable”.</w:t>
      </w:r>
    </w:p>
    <w:p w14:paraId="3D524F5B" w14:textId="77777777" w:rsidR="0060494A" w:rsidRPr="00D11A4A" w:rsidRDefault="0060494A" w:rsidP="0060494A">
      <w:pPr>
        <w:tabs>
          <w:tab w:val="left" w:pos="284"/>
        </w:tabs>
        <w:spacing w:after="0" w:line="240" w:lineRule="auto"/>
        <w:contextualSpacing/>
        <w:jc w:val="both"/>
        <w:rPr>
          <w:rFonts w:ascii="Verdana" w:eastAsia="Times New Roman" w:hAnsi="Verdana" w:cs="Arial"/>
          <w:b/>
          <w:color w:val="000000"/>
          <w:lang w:val="es-ES_tradnl"/>
        </w:rPr>
      </w:pPr>
    </w:p>
    <w:p w14:paraId="19BB3200" w14:textId="77777777" w:rsidR="0060494A" w:rsidRPr="00D11A4A" w:rsidRDefault="0060494A" w:rsidP="001D5E98">
      <w:pPr>
        <w:spacing w:after="120" w:line="276" w:lineRule="auto"/>
        <w:ind w:firstLine="709"/>
        <w:contextualSpacing/>
        <w:jc w:val="both"/>
        <w:rPr>
          <w:rFonts w:ascii="Verdana" w:eastAsia="Times New Roman" w:hAnsi="Verdana" w:cs="Arial"/>
          <w:color w:val="000000"/>
          <w:lang w:val="es-ES"/>
        </w:rPr>
      </w:pPr>
      <w:r w:rsidRPr="00D11A4A">
        <w:rPr>
          <w:rFonts w:ascii="Verdana" w:eastAsia="Times New Roman" w:hAnsi="Verdana" w:cs="Arial"/>
          <w:color w:val="000000"/>
          <w:lang w:val="es-ES"/>
        </w:rPr>
        <w:t xml:space="preserve">La celebración de dicho contrato se debe efectuar a través de la modalidad de la contratación directa. Así lo prevé el literal </w:t>
      </w:r>
      <w:bookmarkStart w:id="4" w:name="_Hlk176814508"/>
      <w:r w:rsidRPr="00D11A4A">
        <w:rPr>
          <w:rFonts w:ascii="Verdana" w:eastAsia="Times New Roman" w:hAnsi="Verdana" w:cs="Arial"/>
          <w:color w:val="000000"/>
          <w:lang w:val="es-ES"/>
        </w:rPr>
        <w:t xml:space="preserve">h numeral 4 del artículo 2, de </w:t>
      </w:r>
      <w:bookmarkStart w:id="5" w:name="_Hlk176438313"/>
      <w:r w:rsidRPr="00D11A4A">
        <w:rPr>
          <w:rFonts w:ascii="Verdana" w:eastAsia="Times New Roman" w:hAnsi="Verdana" w:cs="Arial"/>
          <w:color w:val="000000"/>
          <w:lang w:val="es-ES"/>
        </w:rPr>
        <w:t>la Ley 1150 de 2007</w:t>
      </w:r>
      <w:bookmarkEnd w:id="4"/>
      <w:bookmarkEnd w:id="5"/>
      <w:r w:rsidRPr="00D11A4A">
        <w:rPr>
          <w:rFonts w:ascii="Verdana" w:eastAsia="Times New Roman" w:hAnsi="Verdana" w:cs="Arial"/>
          <w:color w:val="000000"/>
          <w:lang w:val="es-ES"/>
        </w:rPr>
        <w:t>, que dispone:</w:t>
      </w:r>
    </w:p>
    <w:p w14:paraId="3D79D89B" w14:textId="77777777" w:rsidR="0060494A" w:rsidRPr="00D11A4A" w:rsidRDefault="0060494A" w:rsidP="0060494A">
      <w:pPr>
        <w:spacing w:after="0" w:line="276" w:lineRule="auto"/>
        <w:ind w:firstLine="709"/>
        <w:jc w:val="both"/>
        <w:rPr>
          <w:rFonts w:ascii="Verdana" w:eastAsia="Times New Roman" w:hAnsi="Verdana" w:cs="Arial"/>
          <w:color w:val="000000"/>
          <w:lang w:val="es-ES_tradnl"/>
        </w:rPr>
      </w:pPr>
    </w:p>
    <w:p w14:paraId="06778B67" w14:textId="77777777" w:rsidR="0060494A" w:rsidRPr="00D11A4A" w:rsidRDefault="0060494A" w:rsidP="001D5E98">
      <w:pPr>
        <w:spacing w:after="0" w:line="240" w:lineRule="auto"/>
        <w:ind w:left="709" w:right="709"/>
        <w:jc w:val="both"/>
        <w:rPr>
          <w:rFonts w:ascii="Verdana" w:eastAsia="Times New Roman" w:hAnsi="Verdana" w:cs="Arial"/>
          <w:i/>
          <w:iCs/>
          <w:color w:val="000000"/>
          <w:sz w:val="20"/>
          <w:szCs w:val="20"/>
          <w:lang w:val="es-ES_tradnl"/>
        </w:rPr>
      </w:pPr>
      <w:r w:rsidRPr="00D11A4A">
        <w:rPr>
          <w:rFonts w:ascii="Verdana" w:eastAsia="Times New Roman" w:hAnsi="Verdana" w:cs="Arial"/>
          <w:i/>
          <w:iCs/>
          <w:color w:val="000000"/>
          <w:sz w:val="20"/>
          <w:szCs w:val="20"/>
          <w:lang w:val="es-ES_tradnl"/>
        </w:rPr>
        <w:t xml:space="preserve">“[…] </w:t>
      </w:r>
      <w:r w:rsidRPr="00D11A4A">
        <w:rPr>
          <w:rFonts w:ascii="Verdana" w:eastAsia="Times New Roman" w:hAnsi="Verdana" w:cs="Arial"/>
          <w:i/>
          <w:iCs/>
          <w:color w:val="000000"/>
          <w:sz w:val="20"/>
          <w:szCs w:val="20"/>
          <w:lang w:val="es-ES"/>
        </w:rPr>
        <w:t>Contratación directa. La modalidad de selección de contratación directa solamente procederá en los siguientes casos:</w:t>
      </w:r>
    </w:p>
    <w:p w14:paraId="332BA0C5" w14:textId="77777777" w:rsidR="0060494A" w:rsidRPr="00D11A4A" w:rsidRDefault="0060494A" w:rsidP="001D5E98">
      <w:pPr>
        <w:spacing w:after="0" w:line="240" w:lineRule="auto"/>
        <w:ind w:left="709" w:right="709"/>
        <w:jc w:val="both"/>
        <w:rPr>
          <w:rFonts w:ascii="Verdana" w:eastAsia="Times New Roman" w:hAnsi="Verdana" w:cs="Arial"/>
          <w:i/>
          <w:iCs/>
          <w:color w:val="000000"/>
          <w:sz w:val="20"/>
          <w:szCs w:val="20"/>
          <w:lang w:val="es-ES_tradnl"/>
        </w:rPr>
      </w:pPr>
    </w:p>
    <w:p w14:paraId="2BC381CE" w14:textId="77777777" w:rsidR="0060494A" w:rsidRPr="00D11A4A" w:rsidRDefault="0060494A" w:rsidP="001D5E98">
      <w:pPr>
        <w:spacing w:after="0" w:line="240" w:lineRule="auto"/>
        <w:ind w:left="709" w:right="709"/>
        <w:jc w:val="both"/>
        <w:rPr>
          <w:rFonts w:ascii="Verdana" w:eastAsia="Times New Roman" w:hAnsi="Verdana" w:cs="Arial"/>
          <w:i/>
          <w:iCs/>
          <w:color w:val="000000"/>
          <w:sz w:val="20"/>
          <w:szCs w:val="20"/>
          <w:lang w:val="es-ES_tradnl"/>
        </w:rPr>
      </w:pPr>
      <w:r w:rsidRPr="00D11A4A">
        <w:rPr>
          <w:rFonts w:ascii="Verdana" w:eastAsia="Times New Roman" w:hAnsi="Verdana" w:cs="Arial"/>
          <w:i/>
          <w:iCs/>
          <w:color w:val="000000"/>
          <w:sz w:val="20"/>
          <w:szCs w:val="20"/>
          <w:lang w:val="es-ES_tradnl"/>
        </w:rPr>
        <w:t>[…]</w:t>
      </w:r>
    </w:p>
    <w:p w14:paraId="06578652" w14:textId="77777777" w:rsidR="0060494A" w:rsidRPr="00D11A4A" w:rsidRDefault="0060494A" w:rsidP="001D5E98">
      <w:pPr>
        <w:spacing w:after="0" w:line="240" w:lineRule="auto"/>
        <w:ind w:left="709" w:right="709"/>
        <w:jc w:val="both"/>
        <w:rPr>
          <w:rFonts w:ascii="Verdana" w:eastAsia="Times New Roman" w:hAnsi="Verdana" w:cs="Arial"/>
          <w:i/>
          <w:iCs/>
          <w:color w:val="000000"/>
          <w:sz w:val="20"/>
          <w:szCs w:val="20"/>
          <w:lang w:val="es-ES_tradnl"/>
        </w:rPr>
      </w:pPr>
    </w:p>
    <w:p w14:paraId="66C89A07" w14:textId="77777777" w:rsidR="0060494A" w:rsidRPr="00D11A4A" w:rsidRDefault="0060494A" w:rsidP="001D5E98">
      <w:pPr>
        <w:spacing w:after="0" w:line="240" w:lineRule="auto"/>
        <w:ind w:left="709" w:right="709"/>
        <w:jc w:val="both"/>
        <w:rPr>
          <w:rFonts w:ascii="Verdana" w:eastAsia="Times New Roman" w:hAnsi="Verdana" w:cs="Arial"/>
          <w:i/>
          <w:iCs/>
          <w:color w:val="000000"/>
          <w:sz w:val="20"/>
          <w:szCs w:val="20"/>
          <w:lang w:val="es-ES_tradnl"/>
        </w:rPr>
      </w:pPr>
      <w:r w:rsidRPr="00D11A4A">
        <w:rPr>
          <w:rFonts w:ascii="Verdana" w:eastAsia="Times New Roman" w:hAnsi="Verdana" w:cs="Arial"/>
          <w:i/>
          <w:iCs/>
          <w:color w:val="000000"/>
          <w:sz w:val="20"/>
          <w:szCs w:val="20"/>
          <w:lang w:val="es-ES_tradnl"/>
        </w:rPr>
        <w:t>h) Para la prestación de servicios profesionales y de apoyo a la gestión, o para la ejecución de trabajos artísticos que sólo puedan encomendarse a determinadas personas naturales”.</w:t>
      </w:r>
    </w:p>
    <w:p w14:paraId="38C9FF1F" w14:textId="77777777" w:rsidR="0060494A" w:rsidRPr="00D11A4A" w:rsidRDefault="0060494A" w:rsidP="001D5E98">
      <w:pPr>
        <w:spacing w:after="0" w:line="240" w:lineRule="auto"/>
        <w:ind w:left="709" w:right="709"/>
        <w:jc w:val="both"/>
        <w:rPr>
          <w:rFonts w:ascii="Verdana" w:eastAsia="Times New Roman" w:hAnsi="Verdana" w:cs="Arial"/>
          <w:color w:val="000000"/>
          <w:lang w:val="es-ES_tradnl"/>
        </w:rPr>
      </w:pPr>
    </w:p>
    <w:p w14:paraId="384D166A" w14:textId="77777777" w:rsidR="0060494A" w:rsidRPr="00D11A4A" w:rsidRDefault="0060494A" w:rsidP="001D5E98">
      <w:pPr>
        <w:spacing w:after="0" w:line="276" w:lineRule="auto"/>
        <w:ind w:left="360"/>
        <w:contextualSpacing/>
        <w:jc w:val="both"/>
        <w:rPr>
          <w:rFonts w:ascii="Verdana" w:eastAsia="Times New Roman" w:hAnsi="Verdana" w:cs="Arial"/>
          <w:color w:val="000000"/>
          <w:lang w:val="es-ES_tradnl"/>
        </w:rPr>
      </w:pPr>
      <w:r w:rsidRPr="00D11A4A">
        <w:rPr>
          <w:rFonts w:ascii="Verdana" w:eastAsia="Times New Roman" w:hAnsi="Verdana"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0061A54C" w14:textId="77777777" w:rsidR="0060494A" w:rsidRPr="00D11A4A" w:rsidRDefault="0060494A" w:rsidP="001D5E98">
      <w:pPr>
        <w:spacing w:before="120" w:after="120" w:line="276" w:lineRule="auto"/>
        <w:ind w:firstLine="360"/>
        <w:jc w:val="both"/>
        <w:rPr>
          <w:rFonts w:ascii="Verdana" w:eastAsia="Times New Roman" w:hAnsi="Verdana" w:cs="Arial"/>
          <w:color w:val="000000"/>
          <w:lang w:val="es-ES_tradnl"/>
        </w:rPr>
      </w:pPr>
      <w:r w:rsidRPr="00D11A4A">
        <w:rPr>
          <w:rFonts w:ascii="Verdana" w:eastAsia="Times New Roman" w:hAnsi="Verdana" w:cs="Arial"/>
          <w:color w:val="000000"/>
          <w:lang w:val="es-ES_tradnl"/>
        </w:rPr>
        <w:t>i) Solo puede celebrarse para realizar “actividades relacionadas con la administración o funcionamiento de la entidad”, es decir, que hagan parte de su giro ordinario o quehacer cotidiano.</w:t>
      </w:r>
    </w:p>
    <w:p w14:paraId="3D0EFE58" w14:textId="77777777" w:rsidR="0060494A" w:rsidRPr="00D11A4A" w:rsidRDefault="0060494A" w:rsidP="001D5E98">
      <w:pPr>
        <w:spacing w:before="120" w:after="120" w:line="276" w:lineRule="auto"/>
        <w:ind w:firstLine="360"/>
        <w:jc w:val="both"/>
        <w:rPr>
          <w:rFonts w:ascii="Verdana" w:eastAsia="Times New Roman" w:hAnsi="Verdana" w:cs="Arial"/>
          <w:color w:val="000000"/>
          <w:lang w:val="es-ES"/>
        </w:rPr>
      </w:pPr>
      <w:r w:rsidRPr="00D11A4A">
        <w:rPr>
          <w:rFonts w:ascii="Verdana" w:eastAsia="Times New Roman" w:hAnsi="Verdana" w:cs="Arial"/>
          <w:color w:val="000000"/>
          <w:lang w:val="es-ES"/>
        </w:rPr>
        <w:t>ii)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D11A4A">
        <w:rPr>
          <w:rFonts w:ascii="Verdana" w:eastAsia="Times New Roman" w:hAnsi="Verdana" w:cs="Arial"/>
          <w:color w:val="000000"/>
          <w:vertAlign w:val="superscript"/>
          <w:lang w:val="es-ES"/>
        </w:rPr>
        <w:footnoteReference w:id="2"/>
      </w:r>
      <w:r w:rsidRPr="00D11A4A">
        <w:rPr>
          <w:rFonts w:ascii="Verdana" w:eastAsia="Times New Roman" w:hAnsi="Verdana" w:cs="Arial"/>
          <w:color w:val="000000"/>
          <w:lang w:val="es-ES"/>
        </w:rPr>
        <w:t xml:space="preserve"> </w:t>
      </w:r>
    </w:p>
    <w:p w14:paraId="0340567B" w14:textId="77777777" w:rsidR="0060494A" w:rsidRPr="00D11A4A" w:rsidRDefault="0060494A" w:rsidP="001D5E98">
      <w:pPr>
        <w:spacing w:before="120" w:after="120" w:line="276" w:lineRule="auto"/>
        <w:ind w:firstLine="360"/>
        <w:jc w:val="both"/>
        <w:rPr>
          <w:rFonts w:ascii="Verdana" w:eastAsia="Times New Roman" w:hAnsi="Verdana" w:cs="Arial"/>
          <w:color w:val="000000"/>
          <w:lang w:val="es-ES"/>
        </w:rPr>
      </w:pPr>
      <w:r w:rsidRPr="00D11A4A">
        <w:rPr>
          <w:rFonts w:ascii="Verdana" w:eastAsia="Times New Roman" w:hAnsi="Verdana" w:cs="Arial"/>
          <w:color w:val="000000"/>
          <w:lang w:val="es-ES"/>
        </w:rPr>
        <w:t>iii) Si bien se celebran para obtener la prestación personal de un servicio, se diferencian del contrato de trabajo</w:t>
      </w:r>
      <w:r w:rsidRPr="00D11A4A">
        <w:rPr>
          <w:rFonts w:ascii="Verdana" w:eastAsia="Times New Roman" w:hAnsi="Verdana" w:cs="Arial"/>
          <w:vertAlign w:val="superscript"/>
        </w:rPr>
        <w:footnoteReference w:id="3"/>
      </w:r>
      <w:r w:rsidRPr="00D11A4A">
        <w:rPr>
          <w:rFonts w:ascii="Verdana" w:eastAsia="Times New Roman" w:hAnsi="Verdana" w:cs="Arial"/>
          <w:color w:val="000000"/>
          <w:lang w:val="es-ES"/>
        </w:rPr>
        <w:t xml:space="preserve"> en que quien celebra el contrato de prestación de servicios debe mantener autonomía e independencia en la ejecución de la labor, lo que significa que no puede existir la </w:t>
      </w:r>
      <w:r w:rsidRPr="00D11A4A">
        <w:rPr>
          <w:rFonts w:ascii="Verdana" w:eastAsia="Times New Roman" w:hAnsi="Verdana" w:cs="Arial"/>
          <w:i/>
          <w:color w:val="000000"/>
          <w:lang w:val="es-ES"/>
        </w:rPr>
        <w:t>subordinación y dependencia</w:t>
      </w:r>
      <w:r w:rsidRPr="00D11A4A">
        <w:rPr>
          <w:rFonts w:ascii="Verdana" w:eastAsia="Times New Roman" w:hAnsi="Verdana" w:cs="Arial"/>
          <w:color w:val="000000"/>
          <w:lang w:val="es-ES"/>
        </w:rPr>
        <w:t xml:space="preserve">, que es uno de los elementos constitutivos del vínculo laboral. </w:t>
      </w:r>
    </w:p>
    <w:p w14:paraId="56426CBF" w14:textId="77777777" w:rsidR="0060494A" w:rsidRPr="00D11A4A" w:rsidRDefault="0060494A" w:rsidP="001D5E98">
      <w:pPr>
        <w:spacing w:before="120" w:after="120" w:line="276" w:lineRule="auto"/>
        <w:ind w:firstLine="709"/>
        <w:jc w:val="both"/>
        <w:rPr>
          <w:rFonts w:ascii="Verdana" w:eastAsia="Times New Roman" w:hAnsi="Verdana" w:cs="Arial"/>
          <w:color w:val="000000"/>
          <w:lang w:val="es-ES"/>
        </w:rPr>
      </w:pPr>
      <w:r w:rsidRPr="00D11A4A">
        <w:rPr>
          <w:rFonts w:ascii="Verdana" w:eastAsia="Times New Roman" w:hAnsi="Verdana" w:cs="Arial"/>
          <w:color w:val="000000"/>
          <w:lang w:val="es-ES"/>
        </w:rPr>
        <w:t xml:space="preserve">Por ello el </w:t>
      </w:r>
      <w:bookmarkStart w:id="8" w:name="_Hlk176814532"/>
      <w:r w:rsidRPr="00D11A4A">
        <w:rPr>
          <w:rFonts w:ascii="Verdana" w:eastAsia="Times New Roman" w:hAnsi="Verdana" w:cs="Arial"/>
          <w:color w:val="000000"/>
          <w:lang w:val="es-ES"/>
        </w:rPr>
        <w:t xml:space="preserve">numeral 3º del artículo 32, de la Ley 80 de 1993 </w:t>
      </w:r>
      <w:bookmarkEnd w:id="8"/>
      <w:r w:rsidRPr="00D11A4A">
        <w:rPr>
          <w:rFonts w:ascii="Verdana" w:eastAsia="Times New Roman" w:hAnsi="Verdana" w:cs="Arial"/>
          <w:color w:val="000000"/>
          <w:lang w:val="es-ES"/>
        </w:rPr>
        <w:t xml:space="preserve">establece que “En ningún caso estos contratos generan relación laboral ni prestaciones sociales”, inciso que debe interpretarse en el sentido de que los contratos de prestación de servicios profesionales </w:t>
      </w:r>
      <w:r w:rsidRPr="00D11A4A">
        <w:rPr>
          <w:rFonts w:ascii="Verdana" w:eastAsia="Times New Roman" w:hAnsi="Verdana" w:cs="Arial"/>
          <w:i/>
          <w:color w:val="000000"/>
          <w:lang w:val="es-ES"/>
        </w:rPr>
        <w:t>no pueden</w:t>
      </w:r>
      <w:r w:rsidRPr="00D11A4A">
        <w:rPr>
          <w:rFonts w:ascii="Verdana" w:eastAsia="Times New Roman" w:hAnsi="Verdana" w:cs="Arial"/>
          <w:color w:val="000000"/>
          <w:lang w:val="es-ES"/>
        </w:rPr>
        <w:t xml:space="preserve"> generar relación laboral, ni dar lugar a que las entidades estatales paguen por su cuenta los aportes al Sistema de Seguridad Social Integral del contratista. </w:t>
      </w:r>
    </w:p>
    <w:p w14:paraId="4D52C0D7" w14:textId="77777777" w:rsidR="0060494A" w:rsidRPr="00D11A4A" w:rsidRDefault="0060494A" w:rsidP="001D5E98">
      <w:pPr>
        <w:spacing w:after="120" w:line="276" w:lineRule="auto"/>
        <w:ind w:firstLine="709"/>
        <w:jc w:val="both"/>
        <w:rPr>
          <w:rFonts w:ascii="Verdana" w:eastAsia="Times New Roman" w:hAnsi="Verdana" w:cs="Arial"/>
          <w:color w:val="000000"/>
          <w:sz w:val="21"/>
          <w:szCs w:val="21"/>
          <w:lang w:val="es-ES_tradnl"/>
        </w:rPr>
      </w:pPr>
      <w:r w:rsidRPr="00D11A4A">
        <w:rPr>
          <w:rFonts w:ascii="Verdana" w:eastAsia="Times New Roman" w:hAnsi="Verdana" w:cs="Arial"/>
          <w:color w:val="000000"/>
          <w:lang w:val="es-ES_tradnl"/>
        </w:rPr>
        <w:t>iv) Deben ser temporales. Así lo señaló la Corte Constitucional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D11A4A">
        <w:rPr>
          <w:rFonts w:ascii="Verdana" w:eastAsia="Times New Roman" w:hAnsi="Verdana" w:cs="Arial"/>
          <w:vertAlign w:val="superscript"/>
        </w:rPr>
        <w:footnoteReference w:id="4"/>
      </w:r>
      <w:r w:rsidRPr="00D11A4A">
        <w:rPr>
          <w:rFonts w:ascii="Verdana" w:eastAsia="Times New Roman" w:hAnsi="Verdana" w:cs="Arial"/>
          <w:color w:val="000000"/>
          <w:sz w:val="21"/>
          <w:szCs w:val="21"/>
          <w:lang w:val="es-ES_tradnl"/>
        </w:rPr>
        <w:t>.</w:t>
      </w:r>
    </w:p>
    <w:p w14:paraId="7ABCE6B2" w14:textId="77777777" w:rsidR="0060494A" w:rsidRPr="00D11A4A" w:rsidRDefault="0060494A" w:rsidP="001D5E98">
      <w:pPr>
        <w:spacing w:after="0" w:line="240" w:lineRule="auto"/>
        <w:ind w:right="49" w:firstLine="708"/>
        <w:jc w:val="both"/>
        <w:rPr>
          <w:rFonts w:ascii="Verdana" w:eastAsia="Times New Roman" w:hAnsi="Verdana" w:cs="Arial"/>
          <w:color w:val="000000"/>
          <w:sz w:val="21"/>
          <w:szCs w:val="21"/>
          <w:lang w:val="es-ES_tradnl"/>
        </w:rPr>
      </w:pPr>
      <w:r w:rsidRPr="00D11A4A">
        <w:rPr>
          <w:rFonts w:ascii="Verdana" w:eastAsia="Times New Roman" w:hAnsi="Verdana" w:cs="Arial"/>
          <w:color w:val="000000"/>
          <w:lang w:val="es-ES"/>
        </w:rPr>
        <w:t xml:space="preserve">v) Los contratos de prestación de servicios constituyen un </w:t>
      </w:r>
      <w:r w:rsidRPr="00D11A4A">
        <w:rPr>
          <w:rFonts w:ascii="Verdana" w:eastAsia="Times New Roman" w:hAnsi="Verdana" w:cs="Arial"/>
          <w:i/>
          <w:color w:val="000000"/>
          <w:lang w:val="es-ES"/>
        </w:rPr>
        <w:t>género</w:t>
      </w:r>
      <w:r w:rsidRPr="00D11A4A">
        <w:rPr>
          <w:rFonts w:ascii="Verdana" w:eastAsia="Times New Roman" w:hAnsi="Verdana" w:cs="Arial"/>
          <w:color w:val="000000"/>
          <w:lang w:val="es-ES"/>
        </w:rPr>
        <w:t xml:space="preserve"> que incluye, como </w:t>
      </w:r>
      <w:r w:rsidRPr="00D11A4A">
        <w:rPr>
          <w:rFonts w:ascii="Verdana" w:eastAsia="Times New Roman" w:hAnsi="Verdana" w:cs="Arial"/>
          <w:i/>
          <w:color w:val="000000"/>
          <w:lang w:val="es-ES"/>
        </w:rPr>
        <w:t>especies</w:t>
      </w:r>
      <w:r w:rsidRPr="00D11A4A">
        <w:rPr>
          <w:rFonts w:ascii="Verdana" w:eastAsia="Times New Roman" w:hAnsi="Verdana"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sidRPr="00D11A4A">
        <w:rPr>
          <w:rFonts w:ascii="Verdana" w:eastAsia="Times New Roman" w:hAnsi="Verdana" w:cs="Arial"/>
          <w:vertAlign w:val="superscript"/>
        </w:rPr>
        <w:footnoteReference w:id="5"/>
      </w:r>
      <w:r w:rsidRPr="00D11A4A">
        <w:rPr>
          <w:rFonts w:ascii="Verdana" w:eastAsia="Times New Roman" w:hAnsi="Verdana" w:cs="Arial"/>
          <w:color w:val="000000"/>
          <w:lang w:val="es-ES"/>
        </w:rPr>
        <w:t>.</w:t>
      </w:r>
    </w:p>
    <w:p w14:paraId="3BEB3EC3" w14:textId="77777777" w:rsidR="0060494A" w:rsidRPr="00D11A4A" w:rsidRDefault="0060494A" w:rsidP="0060494A">
      <w:pPr>
        <w:spacing w:after="0" w:line="276" w:lineRule="auto"/>
        <w:ind w:left="709"/>
        <w:jc w:val="both"/>
        <w:rPr>
          <w:rFonts w:ascii="Verdana" w:eastAsia="Times New Roman" w:hAnsi="Verdana" w:cs="Arial"/>
          <w:color w:val="000000"/>
          <w:lang w:val="es-ES_tradnl"/>
        </w:rPr>
      </w:pPr>
    </w:p>
    <w:p w14:paraId="4AD3A1AC" w14:textId="77777777" w:rsidR="0060494A" w:rsidRPr="00D11A4A" w:rsidRDefault="0060494A" w:rsidP="001D5E98">
      <w:pPr>
        <w:spacing w:after="0" w:line="276" w:lineRule="auto"/>
        <w:ind w:firstLine="708"/>
        <w:jc w:val="both"/>
        <w:rPr>
          <w:rFonts w:ascii="Verdana" w:eastAsia="Times New Roman" w:hAnsi="Verdana" w:cs="Arial"/>
          <w:color w:val="000000"/>
          <w:lang w:val="es-ES_tradnl"/>
        </w:rPr>
      </w:pPr>
      <w:r w:rsidRPr="00D11A4A">
        <w:rPr>
          <w:rFonts w:ascii="Verdana" w:eastAsia="Times New Roman" w:hAnsi="Verdana" w:cs="Arial"/>
          <w:color w:val="000000"/>
          <w:lang w:val="es-ES_tradnl"/>
        </w:rPr>
        <w:t>vi) Su celebración debe realizarse a través de la modalidad de contratación directa, independientemente de la cuantía y del tipo de servicio, siempre que este no ingrese dentro del objeto del contrato de consultoría</w:t>
      </w:r>
    </w:p>
    <w:p w14:paraId="33EE0D5D" w14:textId="77777777" w:rsidR="0060494A" w:rsidRPr="00D11A4A" w:rsidRDefault="0060494A" w:rsidP="0060494A">
      <w:pPr>
        <w:spacing w:after="0" w:line="276" w:lineRule="auto"/>
        <w:ind w:left="709"/>
        <w:jc w:val="both"/>
        <w:rPr>
          <w:rFonts w:ascii="Verdana" w:eastAsia="Times New Roman" w:hAnsi="Verdana" w:cs="Arial"/>
          <w:color w:val="000000"/>
          <w:lang w:val="es-ES_tradnl"/>
        </w:rPr>
      </w:pPr>
    </w:p>
    <w:p w14:paraId="4E83865F" w14:textId="77777777" w:rsidR="0060494A" w:rsidRPr="00D11A4A" w:rsidRDefault="0060494A" w:rsidP="001D5E98">
      <w:pPr>
        <w:spacing w:after="0" w:line="276" w:lineRule="auto"/>
        <w:ind w:firstLine="708"/>
        <w:jc w:val="both"/>
        <w:rPr>
          <w:rFonts w:ascii="Verdana" w:eastAsia="Times New Roman" w:hAnsi="Verdana" w:cs="Arial"/>
          <w:color w:val="000000"/>
          <w:lang w:val="es-ES_tradnl"/>
        </w:rPr>
      </w:pPr>
      <w:r w:rsidRPr="00D11A4A">
        <w:rPr>
          <w:rFonts w:ascii="Verdana" w:eastAsia="Times New Roman" w:hAnsi="Verdana" w:cs="Arial"/>
          <w:color w:val="000000"/>
          <w:lang w:val="es-ES_tradnl"/>
        </w:rPr>
        <w:t>vii) Para su celebración no se requiere en algunos casos la expedición del acto administrativo de justificación de la contratación directa</w:t>
      </w:r>
      <w:r w:rsidRPr="00D11A4A">
        <w:rPr>
          <w:rFonts w:ascii="Verdana" w:eastAsia="Times New Roman" w:hAnsi="Verdana" w:cs="Arial"/>
          <w:vertAlign w:val="superscript"/>
        </w:rPr>
        <w:footnoteReference w:id="6"/>
      </w:r>
      <w:r w:rsidRPr="00D11A4A">
        <w:rPr>
          <w:rFonts w:ascii="Verdana" w:eastAsia="Times New Roman" w:hAnsi="Verdana" w:cs="Arial"/>
          <w:color w:val="000000"/>
          <w:lang w:val="es-ES_tradnl"/>
        </w:rPr>
        <w:t xml:space="preserve">. </w:t>
      </w:r>
    </w:p>
    <w:p w14:paraId="26C6BF55" w14:textId="77777777" w:rsidR="0060494A" w:rsidRPr="00D11A4A" w:rsidRDefault="0060494A" w:rsidP="001D5E98">
      <w:pPr>
        <w:spacing w:before="120" w:after="120" w:line="276" w:lineRule="auto"/>
        <w:ind w:firstLine="708"/>
        <w:jc w:val="both"/>
        <w:rPr>
          <w:rFonts w:ascii="Verdana" w:eastAsia="Times New Roman" w:hAnsi="Verdana" w:cs="Arial"/>
          <w:color w:val="000000"/>
          <w:lang w:val="es-ES_tradnl"/>
        </w:rPr>
      </w:pPr>
      <w:r w:rsidRPr="00D11A4A">
        <w:rPr>
          <w:rFonts w:ascii="Verdana" w:eastAsia="Times New Roman" w:hAnsi="Verdana" w:cs="Arial"/>
          <w:color w:val="000000"/>
          <w:lang w:val="es-ES_tradnl"/>
        </w:rPr>
        <w:t>viii)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D11A4A">
        <w:rPr>
          <w:rFonts w:ascii="Verdana" w:eastAsia="Times New Roman" w:hAnsi="Verdana" w:cs="Arial"/>
          <w:vertAlign w:val="superscript"/>
        </w:rPr>
        <w:footnoteReference w:id="7"/>
      </w:r>
      <w:r w:rsidRPr="00D11A4A">
        <w:rPr>
          <w:rFonts w:ascii="Verdana" w:eastAsia="Times New Roman" w:hAnsi="Verdana" w:cs="Arial"/>
          <w:color w:val="000000"/>
          <w:lang w:val="es-ES_tradnl"/>
        </w:rPr>
        <w:t>.</w:t>
      </w:r>
    </w:p>
    <w:p w14:paraId="31A6EB08" w14:textId="77777777" w:rsidR="0060494A" w:rsidRPr="00D11A4A" w:rsidRDefault="0060494A" w:rsidP="001D5E98">
      <w:pPr>
        <w:spacing w:before="120" w:after="120" w:line="276" w:lineRule="auto"/>
        <w:ind w:firstLine="708"/>
        <w:jc w:val="both"/>
        <w:rPr>
          <w:rFonts w:ascii="Verdana" w:eastAsia="Times New Roman" w:hAnsi="Verdana" w:cs="Arial"/>
          <w:color w:val="000000"/>
          <w:lang w:val="es-ES_tradnl"/>
        </w:rPr>
      </w:pPr>
      <w:proofErr w:type="spellStart"/>
      <w:r w:rsidRPr="00D11A4A">
        <w:rPr>
          <w:rFonts w:ascii="Verdana" w:eastAsia="Times New Roman" w:hAnsi="Verdana" w:cs="Arial"/>
          <w:color w:val="000000"/>
          <w:lang w:val="es-ES_tradnl"/>
        </w:rPr>
        <w:t>ix</w:t>
      </w:r>
      <w:proofErr w:type="spellEnd"/>
      <w:r w:rsidRPr="00D11A4A">
        <w:rPr>
          <w:rFonts w:ascii="Verdana" w:eastAsia="Times New Roman" w:hAnsi="Verdana" w:cs="Arial"/>
          <w:color w:val="000000"/>
          <w:lang w:val="es-ES_tradnl"/>
        </w:rPr>
        <w:t xml:space="preserve">) En algunos casos no es obligatoria la liquidación, pues así lo estableció el </w:t>
      </w:r>
      <w:bookmarkStart w:id="11" w:name="_Hlk176814631"/>
      <w:r w:rsidRPr="00D11A4A">
        <w:rPr>
          <w:rFonts w:ascii="Verdana" w:eastAsia="Times New Roman" w:hAnsi="Verdana" w:cs="Arial"/>
          <w:color w:val="000000"/>
          <w:lang w:val="es-ES_tradnl"/>
        </w:rPr>
        <w:t>artículo 217 del Decreto 019 de 2012</w:t>
      </w:r>
      <w:bookmarkEnd w:id="11"/>
      <w:r w:rsidRPr="00D11A4A">
        <w:rPr>
          <w:rFonts w:ascii="Verdana" w:eastAsia="Times New Roman" w:hAnsi="Verdana" w:cs="Arial"/>
          <w:color w:val="000000"/>
          <w:lang w:val="es-ES_tradnl"/>
        </w:rPr>
        <w:t>, que modificó el artículo 60 de la Ley 80 de 1993</w:t>
      </w:r>
      <w:r w:rsidRPr="00D11A4A">
        <w:rPr>
          <w:rFonts w:ascii="Verdana" w:eastAsia="Times New Roman" w:hAnsi="Verdana" w:cs="Arial"/>
          <w:vertAlign w:val="superscript"/>
        </w:rPr>
        <w:footnoteReference w:id="8"/>
      </w:r>
      <w:r w:rsidRPr="00D11A4A">
        <w:rPr>
          <w:rFonts w:ascii="Verdana" w:eastAsia="Times New Roman" w:hAnsi="Verdana" w:cs="Arial"/>
          <w:color w:val="000000"/>
          <w:lang w:val="es-ES_tradnl"/>
        </w:rPr>
        <w:t>, refiriéndose a los contratos de prestación de servicios profesionales y de apoyo a la gestión.</w:t>
      </w:r>
    </w:p>
    <w:p w14:paraId="6B9372DC" w14:textId="77777777" w:rsidR="0060494A" w:rsidRPr="00D11A4A" w:rsidRDefault="0060494A" w:rsidP="001D5E98">
      <w:pPr>
        <w:spacing w:before="120" w:after="120" w:line="276" w:lineRule="auto"/>
        <w:ind w:firstLine="708"/>
        <w:jc w:val="both"/>
        <w:rPr>
          <w:rFonts w:ascii="Verdana" w:eastAsia="Times New Roman" w:hAnsi="Verdana" w:cs="Arial"/>
          <w:color w:val="000000"/>
          <w:lang w:val="es-ES_tradnl"/>
        </w:rPr>
      </w:pPr>
      <w:r w:rsidRPr="00D11A4A">
        <w:rPr>
          <w:rFonts w:ascii="Verdana" w:eastAsia="Times New Roman" w:hAnsi="Verdana" w:cs="Arial"/>
          <w:color w:val="000000"/>
          <w:lang w:val="es-ES_tradnl"/>
        </w:rPr>
        <w:t>x) Para su celebración no se requiere inscripción en el Registro Único de Proponentes (RUP), según lo prevé el artículo 6 de la Ley 1150 de 2007</w:t>
      </w:r>
      <w:r w:rsidRPr="00D11A4A">
        <w:rPr>
          <w:rFonts w:ascii="Verdana" w:eastAsia="Times New Roman" w:hAnsi="Verdana" w:cs="Arial"/>
          <w:vertAlign w:val="superscript"/>
        </w:rPr>
        <w:footnoteReference w:id="9"/>
      </w:r>
      <w:r w:rsidRPr="00D11A4A">
        <w:rPr>
          <w:rFonts w:ascii="Verdana" w:eastAsia="Times New Roman" w:hAnsi="Verdana" w:cs="Arial"/>
          <w:color w:val="000000"/>
          <w:lang w:val="es-ES_tradnl"/>
        </w:rPr>
        <w:t>.</w:t>
      </w:r>
    </w:p>
    <w:p w14:paraId="12AA63C7" w14:textId="77777777" w:rsidR="0060494A" w:rsidRPr="00D11A4A" w:rsidRDefault="0060494A" w:rsidP="001D5E98">
      <w:pPr>
        <w:spacing w:before="120" w:after="120" w:line="276" w:lineRule="auto"/>
        <w:ind w:firstLine="360"/>
        <w:jc w:val="both"/>
        <w:rPr>
          <w:rFonts w:ascii="Verdana" w:eastAsia="Times New Roman" w:hAnsi="Verdana" w:cs="Arial"/>
          <w:color w:val="000000"/>
          <w:lang w:val="es-ES_tradnl"/>
        </w:rPr>
      </w:pPr>
      <w:r w:rsidRPr="00D11A4A">
        <w:rPr>
          <w:rFonts w:ascii="Verdana" w:eastAsia="Times New Roman" w:hAnsi="Verdana" w:cs="Arial"/>
          <w:color w:val="000000"/>
          <w:lang w:val="es-ES_tradnl"/>
        </w:rPr>
        <w:t>xi) En ellos no son necesarias las garantías</w:t>
      </w:r>
      <w:r w:rsidRPr="00D11A4A">
        <w:rPr>
          <w:rFonts w:ascii="Verdana" w:eastAsia="Times New Roman" w:hAnsi="Verdana" w:cs="Arial"/>
          <w:vertAlign w:val="superscript"/>
        </w:rPr>
        <w:footnoteReference w:id="10"/>
      </w:r>
      <w:r w:rsidRPr="00D11A4A">
        <w:rPr>
          <w:rFonts w:ascii="Verdana" w:eastAsia="Times New Roman" w:hAnsi="Verdana" w:cs="Arial"/>
          <w:color w:val="000000"/>
          <w:lang w:val="es-ES_tradnl"/>
        </w:rPr>
        <w:t>.</w:t>
      </w:r>
    </w:p>
    <w:p w14:paraId="48E2C002" w14:textId="77777777" w:rsidR="001D5E98" w:rsidRDefault="001D5E98" w:rsidP="001D5E98">
      <w:pPr>
        <w:spacing w:after="120" w:line="276" w:lineRule="auto"/>
        <w:contextualSpacing/>
        <w:jc w:val="both"/>
        <w:rPr>
          <w:rFonts w:ascii="Verdana" w:eastAsia="Century Gothic" w:hAnsi="Verdana" w:cs="Century Gothic"/>
          <w:b/>
          <w:bCs/>
          <w:lang w:val="es-ES_tradnl"/>
        </w:rPr>
      </w:pPr>
    </w:p>
    <w:p w14:paraId="17FD3178" w14:textId="7FD9280F" w:rsidR="0060494A" w:rsidRDefault="0060494A" w:rsidP="001D5E98">
      <w:pPr>
        <w:spacing w:after="120" w:line="276" w:lineRule="auto"/>
        <w:ind w:firstLine="709"/>
        <w:contextualSpacing/>
        <w:jc w:val="both"/>
        <w:rPr>
          <w:rFonts w:ascii="Verdana" w:eastAsia="Times New Roman" w:hAnsi="Verdana" w:cs="Arial"/>
          <w:lang w:val="es-ES"/>
        </w:rPr>
      </w:pPr>
      <w:r w:rsidRPr="00D11A4A">
        <w:rPr>
          <w:rFonts w:ascii="Verdana" w:eastAsia="Times New Roman" w:hAnsi="Verdana" w:cs="Arial"/>
          <w:color w:val="000000"/>
          <w:lang w:val="es-ES_tradnl" w:eastAsia="es-ES_tradnl"/>
        </w:rPr>
        <w:t xml:space="preserve">Por </w:t>
      </w:r>
      <w:bookmarkStart w:id="12" w:name="_Hlk135923867"/>
      <w:r w:rsidRPr="00D11A4A">
        <w:rPr>
          <w:rFonts w:ascii="Verdana" w:eastAsia="Times New Roman" w:hAnsi="Verdana" w:cs="Arial"/>
          <w:color w:val="000000"/>
          <w:lang w:val="es-ES_tradnl" w:eastAsia="es-ES_tradnl"/>
        </w:rPr>
        <w:t xml:space="preserve">otro lado,  de acuerdo a la situación fáctica que se le presente a una entidad dependiendo del estado de salud del contratista, es dable traer a colación lo referente a la </w:t>
      </w:r>
      <w:r w:rsidRPr="00D11A4A">
        <w:rPr>
          <w:rFonts w:ascii="Verdana" w:eastAsia="Times New Roman" w:hAnsi="Verdana" w:cs="Arial"/>
          <w:color w:val="000000"/>
          <w:lang w:val="es-ES"/>
        </w:rPr>
        <w:t>estabilidad ocupacional reforzada de personas en situación de debilidad manifiesta por razones de salud</w:t>
      </w:r>
      <w:bookmarkEnd w:id="12"/>
      <w:r w:rsidRPr="00D11A4A">
        <w:rPr>
          <w:rFonts w:ascii="Verdana" w:eastAsia="Times New Roman" w:hAnsi="Verdana" w:cs="Arial"/>
          <w:color w:val="000000"/>
          <w:lang w:val="es-ES"/>
        </w:rPr>
        <w:t xml:space="preserve">, que  </w:t>
      </w:r>
      <w:r w:rsidRPr="00D11A4A">
        <w:rPr>
          <w:rFonts w:ascii="Verdana" w:eastAsia="Times New Roman" w:hAnsi="Verdana" w:cs="Arial"/>
          <w:lang w:val="es-ES"/>
        </w:rPr>
        <w:t xml:space="preserve">con la expedición de la Constitución Política de 1991, el Estado colombiano reconoció su deber de brindar una protección reforzada a todas las personas que se hallen en circunstancias de debilidad manifiesta y, en particular, a las personas en situación de debilidad manifiesta por razones de salud. </w:t>
      </w:r>
    </w:p>
    <w:p w14:paraId="675F7493" w14:textId="77777777" w:rsidR="0060494A" w:rsidRPr="00482CE7" w:rsidRDefault="0060494A" w:rsidP="001D5E98">
      <w:pPr>
        <w:spacing w:before="100" w:beforeAutospacing="1" w:after="100" w:afterAutospacing="1" w:line="240" w:lineRule="auto"/>
        <w:ind w:firstLine="360"/>
        <w:jc w:val="both"/>
        <w:rPr>
          <w:rFonts w:ascii="Verdana" w:eastAsia="Times New Roman" w:hAnsi="Verdana" w:cs="Times New Roman"/>
          <w:lang w:eastAsia="es-MX"/>
        </w:rPr>
      </w:pPr>
      <w:r w:rsidRPr="00D11A4A">
        <w:rPr>
          <w:rFonts w:ascii="Verdana" w:eastAsia="Times New Roman" w:hAnsi="Verdana" w:cs="Times New Roman"/>
          <w:lang w:eastAsia="es-MX"/>
        </w:rPr>
        <w:t>En ese orden de ideas, en sentencia de unificación 049 del 2 de febrero de 2017, magistrada ponente: María Victoria Calle Correa, en Sala Plena, se unificó su jurisprudencia sobre la protección de estabilidad laboral reforzada que deben tener las personas en condición de debilidad manifiesta por cuestiones de salud en los contratos de prestación de servicios, con fundamento en el principio de solidaridad que supone asumir como propias causas en principio ajenas, cuando el titular de ellas no puede por razones objetivas ejercer su defensa y la protección individualmente de forma integral y en el mandato de no discriminación que prohíbe establecer tratamientos diferenciales injustificados entre dos personas o situaciones de hecho; y como en principio todas las personas se presumen iguales ante el derecho y en los derechos, cuando se pretende defender un trato distinto entre estas deben existir razones, constitucionalmente validas, que lo justifiquen.</w:t>
      </w:r>
    </w:p>
    <w:p w14:paraId="54081D25" w14:textId="77777777" w:rsidR="0060494A" w:rsidRDefault="0060494A" w:rsidP="001D5E98">
      <w:pPr>
        <w:spacing w:before="100" w:beforeAutospacing="1" w:after="100" w:afterAutospacing="1" w:line="240" w:lineRule="auto"/>
        <w:ind w:firstLine="360"/>
        <w:jc w:val="both"/>
        <w:rPr>
          <w:rFonts w:ascii="Verdana" w:eastAsia="Times New Roman" w:hAnsi="Verdana" w:cs="Times New Roman"/>
          <w:lang w:eastAsia="es-MX"/>
        </w:rPr>
      </w:pPr>
      <w:r w:rsidRPr="00D11A4A">
        <w:rPr>
          <w:rFonts w:ascii="Verdana" w:eastAsia="Times New Roman" w:hAnsi="Verdana" w:cs="Times New Roman"/>
          <w:lang w:eastAsia="es-MX"/>
        </w:rPr>
        <w:t xml:space="preserve">Ahora bien, en lo que respecta al tema de consulta, la </w:t>
      </w:r>
      <w:r w:rsidRPr="00D11A4A">
        <w:rPr>
          <w:rFonts w:ascii="Verdana" w:eastAsia="Times New Roman" w:hAnsi="Verdana" w:cs="Arial"/>
          <w:i/>
          <w:iCs/>
          <w:lang w:eastAsia="es-MX"/>
        </w:rPr>
        <w:t>estabilidad ocupacional reforzada de personas en situación de debilidad manifiesta por razones de salud</w:t>
      </w:r>
      <w:r w:rsidRPr="00D11A4A">
        <w:rPr>
          <w:rFonts w:ascii="Verdana" w:eastAsia="Times New Roman" w:hAnsi="Verdana" w:cs="Times New Roman"/>
          <w:lang w:eastAsia="es-MX"/>
        </w:rPr>
        <w:t xml:space="preserve">, encuentra sustento en la Ley 361 de 1997, </w:t>
      </w:r>
      <w:r w:rsidRPr="00D11A4A">
        <w:rPr>
          <w:rFonts w:ascii="Verdana" w:eastAsia="Times New Roman" w:hAnsi="Verdana" w:cs="Arial"/>
          <w:i/>
          <w:iCs/>
          <w:lang w:eastAsia="es-MX"/>
        </w:rPr>
        <w:t xml:space="preserve">“Por la cual se establecen mecanismos de integración social de las personas en situación de discapacidad y se dictan otras disposiciones”, </w:t>
      </w:r>
      <w:r w:rsidRPr="00D11A4A">
        <w:rPr>
          <w:rFonts w:ascii="Verdana" w:eastAsia="Times New Roman" w:hAnsi="Verdana" w:cs="Times New Roman"/>
          <w:lang w:eastAsia="es-MX"/>
        </w:rPr>
        <w:t xml:space="preserve">especialmente en su artículo 26 que dispuso que en ningún caso la discapacidad de una persona podrá́ ser un motivo para terminar su contrato, en los siguientes términos: </w:t>
      </w:r>
    </w:p>
    <w:p w14:paraId="44FF63AD" w14:textId="115CC3FA" w:rsidR="0060494A" w:rsidRDefault="0060494A" w:rsidP="001D5E98">
      <w:pPr>
        <w:pStyle w:val="Textoindependiente"/>
        <w:ind w:left="709" w:right="709"/>
        <w:jc w:val="both"/>
        <w:rPr>
          <w:spacing w:val="-2"/>
        </w:rPr>
      </w:pPr>
      <w:r>
        <w:t>“Artículo</w:t>
      </w:r>
      <w:r>
        <w:rPr>
          <w:spacing w:val="-17"/>
        </w:rPr>
        <w:t xml:space="preserve"> </w:t>
      </w:r>
      <w:r>
        <w:t>26.</w:t>
      </w:r>
      <w:r>
        <w:rPr>
          <w:spacing w:val="-18"/>
        </w:rPr>
        <w:t xml:space="preserve"> </w:t>
      </w:r>
      <w:r>
        <w:t>No</w:t>
      </w:r>
      <w:r>
        <w:rPr>
          <w:spacing w:val="-19"/>
        </w:rPr>
        <w:t xml:space="preserve"> </w:t>
      </w:r>
      <w:r>
        <w:t>discriminación</w:t>
      </w:r>
      <w:r>
        <w:rPr>
          <w:spacing w:val="-14"/>
        </w:rPr>
        <w:t xml:space="preserve"> </w:t>
      </w:r>
      <w:r>
        <w:t>a</w:t>
      </w:r>
      <w:r>
        <w:rPr>
          <w:spacing w:val="-19"/>
        </w:rPr>
        <w:t xml:space="preserve"> </w:t>
      </w:r>
      <w:r>
        <w:t>persona</w:t>
      </w:r>
      <w:r>
        <w:rPr>
          <w:spacing w:val="-17"/>
        </w:rPr>
        <w:t xml:space="preserve"> </w:t>
      </w:r>
      <w:r>
        <w:t>en</w:t>
      </w:r>
      <w:r>
        <w:rPr>
          <w:spacing w:val="-19"/>
        </w:rPr>
        <w:t xml:space="preserve"> </w:t>
      </w:r>
      <w:r>
        <w:t>situación</w:t>
      </w:r>
      <w:r>
        <w:rPr>
          <w:spacing w:val="-16"/>
        </w:rPr>
        <w:t xml:space="preserve"> </w:t>
      </w:r>
      <w:r>
        <w:t>de</w:t>
      </w:r>
      <w:r>
        <w:rPr>
          <w:spacing w:val="-19"/>
        </w:rPr>
        <w:t xml:space="preserve"> </w:t>
      </w:r>
      <w:r>
        <w:t>discapacidad.</w:t>
      </w:r>
      <w:r>
        <w:rPr>
          <w:spacing w:val="-15"/>
        </w:rPr>
        <w:t xml:space="preserve"> </w:t>
      </w:r>
      <w:r>
        <w:t>En ningún caso la discapacidad de una persona podrá́ ser motivo para obstaculizar</w:t>
      </w:r>
      <w:r>
        <w:rPr>
          <w:spacing w:val="-3"/>
        </w:rPr>
        <w:t xml:space="preserve"> </w:t>
      </w:r>
      <w:r>
        <w:t>una</w:t>
      </w:r>
      <w:r>
        <w:rPr>
          <w:spacing w:val="-6"/>
        </w:rPr>
        <w:t xml:space="preserve"> </w:t>
      </w:r>
      <w:r>
        <w:t>vinculación</w:t>
      </w:r>
      <w:r>
        <w:rPr>
          <w:spacing w:val="-3"/>
        </w:rPr>
        <w:t xml:space="preserve"> </w:t>
      </w:r>
      <w:r>
        <w:t>laboral,</w:t>
      </w:r>
      <w:r>
        <w:rPr>
          <w:spacing w:val="-5"/>
        </w:rPr>
        <w:t xml:space="preserve"> </w:t>
      </w:r>
      <w:r>
        <w:t>a</w:t>
      </w:r>
      <w:r>
        <w:rPr>
          <w:spacing w:val="-7"/>
        </w:rPr>
        <w:t xml:space="preserve"> </w:t>
      </w:r>
      <w:r>
        <w:t>menos</w:t>
      </w:r>
      <w:r>
        <w:rPr>
          <w:spacing w:val="-6"/>
        </w:rPr>
        <w:t xml:space="preserve"> </w:t>
      </w:r>
      <w:r>
        <w:t>que</w:t>
      </w:r>
      <w:r>
        <w:rPr>
          <w:spacing w:val="-6"/>
        </w:rPr>
        <w:t xml:space="preserve"> </w:t>
      </w:r>
      <w:r>
        <w:t>dicha</w:t>
      </w:r>
      <w:r>
        <w:rPr>
          <w:spacing w:val="-5"/>
        </w:rPr>
        <w:t xml:space="preserve"> </w:t>
      </w:r>
      <w:r>
        <w:t>discapacidad</w:t>
      </w:r>
      <w:r>
        <w:rPr>
          <w:spacing w:val="-3"/>
        </w:rPr>
        <w:t xml:space="preserve"> </w:t>
      </w:r>
      <w:r>
        <w:t>sea claramente</w:t>
      </w:r>
      <w:r>
        <w:rPr>
          <w:spacing w:val="-5"/>
        </w:rPr>
        <w:t xml:space="preserve"> </w:t>
      </w:r>
      <w:r>
        <w:t>demostrada</w:t>
      </w:r>
      <w:r>
        <w:rPr>
          <w:spacing w:val="-5"/>
        </w:rPr>
        <w:t xml:space="preserve"> </w:t>
      </w:r>
      <w:r>
        <w:t>como</w:t>
      </w:r>
      <w:r>
        <w:rPr>
          <w:spacing w:val="-7"/>
        </w:rPr>
        <w:t xml:space="preserve"> </w:t>
      </w:r>
      <w:r>
        <w:t>incompatible</w:t>
      </w:r>
      <w:r>
        <w:rPr>
          <w:spacing w:val="-5"/>
        </w:rPr>
        <w:t xml:space="preserve"> </w:t>
      </w:r>
      <w:r>
        <w:t>e</w:t>
      </w:r>
      <w:r>
        <w:rPr>
          <w:spacing w:val="-8"/>
        </w:rPr>
        <w:t xml:space="preserve"> </w:t>
      </w:r>
      <w:r>
        <w:t>insuperable</w:t>
      </w:r>
      <w:r>
        <w:rPr>
          <w:spacing w:val="-5"/>
        </w:rPr>
        <w:t xml:space="preserve"> </w:t>
      </w:r>
      <w:r>
        <w:t>en</w:t>
      </w:r>
      <w:r>
        <w:rPr>
          <w:spacing w:val="-8"/>
        </w:rPr>
        <w:t xml:space="preserve"> </w:t>
      </w:r>
      <w:r>
        <w:t>el</w:t>
      </w:r>
      <w:r>
        <w:rPr>
          <w:spacing w:val="-8"/>
        </w:rPr>
        <w:t xml:space="preserve"> </w:t>
      </w:r>
      <w:r>
        <w:t>cargo</w:t>
      </w:r>
      <w:r>
        <w:rPr>
          <w:spacing w:val="-6"/>
        </w:rPr>
        <w:t xml:space="preserve"> </w:t>
      </w:r>
      <w:r>
        <w:t>que se va a desempeñar. Así́ mismo, ninguna persona en situación de discapacidad podrá́ ser despedida o su contrato terminado por razón de</w:t>
      </w:r>
      <w:r w:rsidR="001D5E98">
        <w:t xml:space="preserve"> </w:t>
      </w:r>
      <w:r>
        <w:t>su</w:t>
      </w:r>
      <w:r>
        <w:rPr>
          <w:spacing w:val="-12"/>
        </w:rPr>
        <w:t xml:space="preserve"> </w:t>
      </w:r>
      <w:r>
        <w:t>discapacidad,</w:t>
      </w:r>
      <w:r>
        <w:rPr>
          <w:spacing w:val="-11"/>
        </w:rPr>
        <w:t xml:space="preserve"> </w:t>
      </w:r>
      <w:r>
        <w:t>salvo</w:t>
      </w:r>
      <w:r>
        <w:rPr>
          <w:spacing w:val="-12"/>
        </w:rPr>
        <w:t xml:space="preserve"> </w:t>
      </w:r>
      <w:r>
        <w:t>que</w:t>
      </w:r>
      <w:r>
        <w:rPr>
          <w:spacing w:val="-11"/>
        </w:rPr>
        <w:t xml:space="preserve"> </w:t>
      </w:r>
      <w:r>
        <w:t>medie</w:t>
      </w:r>
      <w:r>
        <w:rPr>
          <w:spacing w:val="-12"/>
        </w:rPr>
        <w:t xml:space="preserve"> </w:t>
      </w:r>
      <w:r>
        <w:t>autorización</w:t>
      </w:r>
      <w:r>
        <w:rPr>
          <w:spacing w:val="-11"/>
        </w:rPr>
        <w:t xml:space="preserve"> </w:t>
      </w:r>
      <w:r>
        <w:t>de</w:t>
      </w:r>
      <w:r>
        <w:rPr>
          <w:spacing w:val="-12"/>
        </w:rPr>
        <w:t xml:space="preserve"> </w:t>
      </w:r>
      <w:r>
        <w:t>la</w:t>
      </w:r>
      <w:r>
        <w:rPr>
          <w:spacing w:val="-11"/>
        </w:rPr>
        <w:t xml:space="preserve"> </w:t>
      </w:r>
      <w:r>
        <w:t>oficina</w:t>
      </w:r>
      <w:r>
        <w:rPr>
          <w:spacing w:val="-12"/>
        </w:rPr>
        <w:t xml:space="preserve"> </w:t>
      </w:r>
      <w:r>
        <w:t>de</w:t>
      </w:r>
      <w:r>
        <w:rPr>
          <w:spacing w:val="-11"/>
        </w:rPr>
        <w:t xml:space="preserve"> </w:t>
      </w:r>
      <w:r>
        <w:rPr>
          <w:spacing w:val="-2"/>
        </w:rPr>
        <w:t>Trabajo.</w:t>
      </w:r>
    </w:p>
    <w:p w14:paraId="4FFF8CFB" w14:textId="77777777" w:rsidR="001D5E98" w:rsidRDefault="001D5E98" w:rsidP="0060494A">
      <w:pPr>
        <w:pStyle w:val="Textoindependiente"/>
        <w:spacing w:before="90"/>
        <w:ind w:right="227"/>
        <w:jc w:val="both"/>
      </w:pPr>
    </w:p>
    <w:p w14:paraId="149FB67F" w14:textId="2A1703F5" w:rsidR="0060494A" w:rsidRDefault="0060494A" w:rsidP="001D5E98">
      <w:pPr>
        <w:pStyle w:val="Textoindependiente"/>
        <w:spacing w:before="90"/>
        <w:ind w:right="227" w:firstLine="708"/>
        <w:jc w:val="both"/>
      </w:pPr>
      <w:r>
        <w:t>No obstante, quienes fueren despedidos o su contrato terminado por razón</w:t>
      </w:r>
      <w:r>
        <w:rPr>
          <w:spacing w:val="-3"/>
        </w:rPr>
        <w:t xml:space="preserve"> </w:t>
      </w:r>
      <w:r>
        <w:t>de</w:t>
      </w:r>
      <w:r>
        <w:rPr>
          <w:spacing w:val="-4"/>
        </w:rPr>
        <w:t xml:space="preserve"> </w:t>
      </w:r>
      <w:r>
        <w:t>su</w:t>
      </w:r>
      <w:r>
        <w:rPr>
          <w:spacing w:val="-4"/>
        </w:rPr>
        <w:t xml:space="preserve"> </w:t>
      </w:r>
      <w:r>
        <w:t>discapacidad, sin</w:t>
      </w:r>
      <w:r>
        <w:rPr>
          <w:spacing w:val="-3"/>
        </w:rPr>
        <w:t xml:space="preserve"> </w:t>
      </w:r>
      <w:r>
        <w:t>el</w:t>
      </w:r>
      <w:r>
        <w:rPr>
          <w:spacing w:val="-4"/>
        </w:rPr>
        <w:t xml:space="preserve"> </w:t>
      </w:r>
      <w:r>
        <w:t>cumplimiento del</w:t>
      </w:r>
      <w:r>
        <w:rPr>
          <w:spacing w:val="-4"/>
        </w:rPr>
        <w:t xml:space="preserve"> </w:t>
      </w:r>
      <w:r>
        <w:t>requisito</w:t>
      </w:r>
      <w:r>
        <w:rPr>
          <w:spacing w:val="-1"/>
        </w:rPr>
        <w:t xml:space="preserve"> </w:t>
      </w:r>
      <w:r>
        <w:t>previsto</w:t>
      </w:r>
      <w:r>
        <w:rPr>
          <w:spacing w:val="-2"/>
        </w:rPr>
        <w:t xml:space="preserve"> </w:t>
      </w:r>
      <w:r>
        <w:t>en</w:t>
      </w:r>
      <w:r>
        <w:rPr>
          <w:spacing w:val="-4"/>
        </w:rPr>
        <w:t xml:space="preserve"> </w:t>
      </w:r>
      <w:r>
        <w:t>el inciso</w:t>
      </w:r>
      <w:r>
        <w:rPr>
          <w:spacing w:val="-14"/>
        </w:rPr>
        <w:t xml:space="preserve"> </w:t>
      </w:r>
      <w:r>
        <w:t>anterior,</w:t>
      </w:r>
      <w:r>
        <w:rPr>
          <w:spacing w:val="-13"/>
        </w:rPr>
        <w:t xml:space="preserve"> </w:t>
      </w:r>
      <w:r>
        <w:t>tendrán</w:t>
      </w:r>
      <w:r>
        <w:rPr>
          <w:spacing w:val="-14"/>
        </w:rPr>
        <w:t xml:space="preserve"> </w:t>
      </w:r>
      <w:r>
        <w:t>derecho</w:t>
      </w:r>
      <w:r>
        <w:rPr>
          <w:spacing w:val="-14"/>
        </w:rPr>
        <w:t xml:space="preserve"> </w:t>
      </w:r>
      <w:r>
        <w:t>a</w:t>
      </w:r>
      <w:r>
        <w:rPr>
          <w:spacing w:val="-16"/>
        </w:rPr>
        <w:t xml:space="preserve"> </w:t>
      </w:r>
      <w:r>
        <w:t>una</w:t>
      </w:r>
      <w:r>
        <w:rPr>
          <w:spacing w:val="-15"/>
        </w:rPr>
        <w:t xml:space="preserve"> </w:t>
      </w:r>
      <w:r>
        <w:t>indemnización</w:t>
      </w:r>
      <w:r>
        <w:rPr>
          <w:spacing w:val="-12"/>
        </w:rPr>
        <w:t xml:space="preserve"> </w:t>
      </w:r>
      <w:r>
        <w:t>equivalente</w:t>
      </w:r>
      <w:r>
        <w:rPr>
          <w:spacing w:val="-13"/>
        </w:rPr>
        <w:t xml:space="preserve"> </w:t>
      </w:r>
      <w:r>
        <w:t>a</w:t>
      </w:r>
      <w:r>
        <w:rPr>
          <w:spacing w:val="-16"/>
        </w:rPr>
        <w:t xml:space="preserve"> </w:t>
      </w:r>
      <w:r>
        <w:t>ciento ochenta días del salario, sin perjuicio de las demás prestaciones e indemnizaciones</w:t>
      </w:r>
      <w:r>
        <w:rPr>
          <w:spacing w:val="-9"/>
        </w:rPr>
        <w:t xml:space="preserve"> </w:t>
      </w:r>
      <w:r>
        <w:t>a</w:t>
      </w:r>
      <w:r>
        <w:rPr>
          <w:spacing w:val="-12"/>
        </w:rPr>
        <w:t xml:space="preserve"> </w:t>
      </w:r>
      <w:r>
        <w:t>que</w:t>
      </w:r>
      <w:r>
        <w:rPr>
          <w:spacing w:val="-11"/>
        </w:rPr>
        <w:t xml:space="preserve"> </w:t>
      </w:r>
      <w:r>
        <w:t>hubiere</w:t>
      </w:r>
      <w:r>
        <w:rPr>
          <w:spacing w:val="-10"/>
        </w:rPr>
        <w:t xml:space="preserve"> </w:t>
      </w:r>
      <w:r>
        <w:t>lugar</w:t>
      </w:r>
      <w:r>
        <w:rPr>
          <w:spacing w:val="-11"/>
        </w:rPr>
        <w:t xml:space="preserve"> </w:t>
      </w:r>
      <w:r>
        <w:t>de</w:t>
      </w:r>
      <w:r>
        <w:rPr>
          <w:spacing w:val="-12"/>
        </w:rPr>
        <w:t xml:space="preserve"> </w:t>
      </w:r>
      <w:r>
        <w:t>acuerdo</w:t>
      </w:r>
      <w:r>
        <w:rPr>
          <w:spacing w:val="-10"/>
        </w:rPr>
        <w:t xml:space="preserve"> </w:t>
      </w:r>
      <w:r>
        <w:t>con</w:t>
      </w:r>
      <w:r>
        <w:rPr>
          <w:spacing w:val="-11"/>
        </w:rPr>
        <w:t xml:space="preserve"> </w:t>
      </w:r>
      <w:r>
        <w:t>el</w:t>
      </w:r>
      <w:r>
        <w:rPr>
          <w:spacing w:val="-12"/>
        </w:rPr>
        <w:t xml:space="preserve"> </w:t>
      </w:r>
      <w:r>
        <w:t>Código</w:t>
      </w:r>
      <w:r>
        <w:rPr>
          <w:spacing w:val="-11"/>
        </w:rPr>
        <w:t xml:space="preserve"> </w:t>
      </w:r>
      <w:r>
        <w:t>Sustantivo del</w:t>
      </w:r>
      <w:r>
        <w:rPr>
          <w:spacing w:val="-17"/>
        </w:rPr>
        <w:t xml:space="preserve"> </w:t>
      </w:r>
      <w:r>
        <w:t>Trabajo</w:t>
      </w:r>
      <w:r>
        <w:rPr>
          <w:spacing w:val="-16"/>
        </w:rPr>
        <w:t xml:space="preserve"> </w:t>
      </w:r>
      <w:r>
        <w:t>y</w:t>
      </w:r>
      <w:r>
        <w:rPr>
          <w:spacing w:val="-18"/>
        </w:rPr>
        <w:t xml:space="preserve"> </w:t>
      </w:r>
      <w:r>
        <w:t>demás</w:t>
      </w:r>
      <w:r>
        <w:rPr>
          <w:spacing w:val="-16"/>
        </w:rPr>
        <w:t xml:space="preserve"> </w:t>
      </w:r>
      <w:r>
        <w:t>normas</w:t>
      </w:r>
      <w:r>
        <w:rPr>
          <w:spacing w:val="-16"/>
        </w:rPr>
        <w:t xml:space="preserve"> </w:t>
      </w:r>
      <w:r>
        <w:t>que</w:t>
      </w:r>
      <w:r>
        <w:rPr>
          <w:spacing w:val="-17"/>
        </w:rPr>
        <w:t xml:space="preserve"> </w:t>
      </w:r>
      <w:r>
        <w:t>lo</w:t>
      </w:r>
      <w:r>
        <w:rPr>
          <w:spacing w:val="-18"/>
        </w:rPr>
        <w:t xml:space="preserve"> </w:t>
      </w:r>
      <w:r>
        <w:t>modifiquen,</w:t>
      </w:r>
      <w:r>
        <w:rPr>
          <w:spacing w:val="-14"/>
        </w:rPr>
        <w:t xml:space="preserve"> </w:t>
      </w:r>
      <w:r>
        <w:t>adicionen,</w:t>
      </w:r>
      <w:r>
        <w:rPr>
          <w:spacing w:val="-15"/>
        </w:rPr>
        <w:t xml:space="preserve"> </w:t>
      </w:r>
      <w:r>
        <w:t>complementen o aclaren.”</w:t>
      </w:r>
    </w:p>
    <w:p w14:paraId="4E28E706" w14:textId="77777777" w:rsidR="0060494A" w:rsidRDefault="0060494A" w:rsidP="001D5E98">
      <w:pPr>
        <w:spacing w:before="100" w:beforeAutospacing="1" w:after="100" w:afterAutospacing="1" w:line="240" w:lineRule="auto"/>
        <w:ind w:firstLine="360"/>
        <w:jc w:val="both"/>
        <w:rPr>
          <w:rFonts w:ascii="Verdana" w:eastAsia="Times New Roman" w:hAnsi="Verdana" w:cs="Arial"/>
          <w:lang w:eastAsia="es-MX"/>
        </w:rPr>
      </w:pPr>
      <w:r w:rsidRPr="00D11A4A">
        <w:rPr>
          <w:rFonts w:ascii="Verdana" w:eastAsia="Times New Roman" w:hAnsi="Verdana" w:cs="Arial"/>
          <w:lang w:eastAsia="es-MX"/>
        </w:rPr>
        <w:t xml:space="preserve">La aplicación de la norma ibidem, en los contratos prestación de servicios tiene origen jurisprudencial, a través de sentencias de la Corte Constitucional como la sentencia de Tutela 1210 del 5 de diciembre de 2008, Magistrada ponente Clara Inés Vargas Hernández, que previó la posibilidad que se prediquen ciertas garantías de la relación laboral a los contratos de prestación de servicios tales como, el principio de estabilidad laboral. </w:t>
      </w:r>
      <w:r w:rsidRPr="00D11A4A">
        <w:rPr>
          <w:rFonts w:ascii="Verdana" w:eastAsia="Times New Roman" w:hAnsi="Verdana" w:cs="Arial"/>
          <w:vertAlign w:val="superscript"/>
          <w:lang w:eastAsia="es-MX"/>
        </w:rPr>
        <w:footnoteReference w:id="11"/>
      </w:r>
    </w:p>
    <w:p w14:paraId="1233B690" w14:textId="77777777" w:rsidR="0060494A" w:rsidRDefault="0060494A" w:rsidP="001D5E98">
      <w:pPr>
        <w:spacing w:before="100" w:beforeAutospacing="1" w:after="100" w:afterAutospacing="1" w:line="240" w:lineRule="auto"/>
        <w:ind w:firstLine="360"/>
        <w:jc w:val="both"/>
        <w:rPr>
          <w:rFonts w:ascii="Verdana" w:eastAsia="Times New Roman" w:hAnsi="Verdana" w:cs="Arial"/>
          <w:lang w:eastAsia="es-MX"/>
        </w:rPr>
      </w:pPr>
      <w:r w:rsidRPr="00D11A4A">
        <w:rPr>
          <w:rFonts w:ascii="Verdana" w:eastAsia="Times New Roman" w:hAnsi="Verdana" w:cs="Arial"/>
          <w:lang w:eastAsia="es-MX"/>
        </w:rPr>
        <w:t>De esta manera, nuestro ordenamiento jurídico actual contempla que una persona en debilidad manifiesta por razones de salud no se le podrá́ terminar su contrato de prestación de servicios por razón de su discapacidad o enfermedad, salvo que medie autorización de la oficina de Trabajo, teniendo en cuenta que en dichos casos la presunción de discriminación debe ser desvirtuada por la entidad contratante.</w:t>
      </w:r>
    </w:p>
    <w:p w14:paraId="64EF5C92" w14:textId="77777777" w:rsidR="0060494A" w:rsidRPr="00D11A4A" w:rsidRDefault="0060494A" w:rsidP="001D5E98">
      <w:pPr>
        <w:spacing w:before="100" w:beforeAutospacing="1" w:after="100" w:afterAutospacing="1" w:line="240" w:lineRule="auto"/>
        <w:ind w:firstLine="360"/>
        <w:jc w:val="both"/>
        <w:rPr>
          <w:rFonts w:ascii="Verdana" w:eastAsia="Times New Roman" w:hAnsi="Verdana" w:cs="Arial"/>
          <w:lang w:eastAsia="es-MX"/>
        </w:rPr>
      </w:pPr>
      <w:r w:rsidRPr="00D11A4A">
        <w:rPr>
          <w:rFonts w:ascii="Verdana" w:eastAsia="Times New Roman" w:hAnsi="Verdana" w:cs="Arial"/>
          <w:lang w:eastAsia="es-MX"/>
        </w:rPr>
        <w:t xml:space="preserve">En conclusión, esta Agencia ratifica lo señalado en Concepto 135 de 2023, en donde se indica que “si la Entidad Estatal contratante conoce de la situación de debilidad manifiesta del contratista por razones de su salud y subsiste la causa del contrato, es decir la necesidad que originó la celebración del contrato prestación de servicios sigue existiendo para la Entidad Estatal, no podrá́ dar por terminado el vínculo contractual, sin que medie permiso del inspector del trabajo, aun cuando se haya configurado su terminación por cumplimiento de plazo contractual. </w:t>
      </w:r>
    </w:p>
    <w:p w14:paraId="4DBF37F6" w14:textId="77777777" w:rsidR="0060494A" w:rsidRPr="00D11A4A" w:rsidRDefault="0060494A" w:rsidP="001D5E98">
      <w:pPr>
        <w:spacing w:before="100" w:beforeAutospacing="1" w:after="100" w:afterAutospacing="1" w:line="240" w:lineRule="auto"/>
        <w:ind w:firstLine="360"/>
        <w:jc w:val="both"/>
        <w:rPr>
          <w:rFonts w:ascii="Verdana" w:eastAsia="Times New Roman" w:hAnsi="Verdana" w:cs="Arial"/>
          <w:lang w:eastAsia="es-MX"/>
        </w:rPr>
      </w:pPr>
      <w:r w:rsidRPr="00D11A4A">
        <w:rPr>
          <w:rFonts w:ascii="Verdana" w:eastAsia="Times New Roman" w:hAnsi="Verdana" w:cs="Arial"/>
          <w:lang w:eastAsia="es-MX"/>
        </w:rPr>
        <w:t>El no acatamiento de dichas directrices puede dar a lugar a que un juez ordene, previo estudio de las particularidades del caso en concreto, la procedencia de cada una de las siguientes medidas de protección: i) La renovación de la relación contractual; ii) El pago de los honorarios dejados de percibir desde la fecha de no renovación del contrato, hasta la renovación del mismo; y, iii) El pago por concepto de la indemnización por despido previsto en el artículo 26 de la Ley 361 de 1997”.</w:t>
      </w:r>
    </w:p>
    <w:p w14:paraId="3BD2B9ED" w14:textId="77777777" w:rsidR="0060494A" w:rsidRPr="006963F2" w:rsidRDefault="0060494A" w:rsidP="0060494A">
      <w:pPr>
        <w:tabs>
          <w:tab w:val="left" w:pos="142"/>
          <w:tab w:val="left" w:pos="284"/>
        </w:tabs>
        <w:spacing w:after="0" w:line="276" w:lineRule="auto"/>
        <w:jc w:val="both"/>
        <w:rPr>
          <w:rFonts w:ascii="Verdana" w:eastAsia="Century Gothic" w:hAnsi="Verdana" w:cs="Century Gothic"/>
          <w:b/>
          <w:bCs/>
          <w:lang w:val="es-ES"/>
        </w:rPr>
      </w:pPr>
    </w:p>
    <w:p w14:paraId="1E337F9C" w14:textId="77777777" w:rsidR="0060494A" w:rsidRPr="00593A5F" w:rsidRDefault="0060494A" w:rsidP="0060494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38B3343A" w14:textId="77777777" w:rsidR="0060494A" w:rsidRPr="00593A5F" w:rsidRDefault="0060494A" w:rsidP="0060494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0494A" w:rsidRPr="00593A5F" w14:paraId="5D578135" w14:textId="77777777" w:rsidTr="00812FE0">
        <w:trPr>
          <w:trHeight w:val="870"/>
        </w:trPr>
        <w:tc>
          <w:tcPr>
            <w:tcW w:w="8647" w:type="dxa"/>
          </w:tcPr>
          <w:p w14:paraId="4DE76385" w14:textId="77777777" w:rsidR="0060494A" w:rsidRPr="00D11A4A" w:rsidRDefault="0060494A" w:rsidP="0060494A">
            <w:pPr>
              <w:numPr>
                <w:ilvl w:val="0"/>
                <w:numId w:val="20"/>
              </w:numPr>
              <w:spacing w:line="278" w:lineRule="auto"/>
              <w:contextualSpacing/>
              <w:rPr>
                <w:rFonts w:ascii="Verdana" w:hAnsi="Verdana"/>
                <w:lang w:val="es-ES"/>
              </w:rPr>
            </w:pPr>
            <w:r w:rsidRPr="00D11A4A">
              <w:rPr>
                <w:rFonts w:ascii="Verdana" w:hAnsi="Verdana" w:cs="Arial"/>
                <w:color w:val="000000"/>
                <w:lang w:val="es-ES"/>
              </w:rPr>
              <w:t>Artículo 32, de la Ley 80 de 1993</w:t>
            </w:r>
          </w:p>
          <w:p w14:paraId="40E1C5F9" w14:textId="77777777" w:rsidR="0060494A" w:rsidRPr="00D11A4A" w:rsidRDefault="0060494A" w:rsidP="0060494A">
            <w:pPr>
              <w:numPr>
                <w:ilvl w:val="0"/>
                <w:numId w:val="20"/>
              </w:numPr>
              <w:spacing w:line="278" w:lineRule="auto"/>
              <w:contextualSpacing/>
              <w:rPr>
                <w:rFonts w:ascii="Verdana" w:hAnsi="Verdana"/>
                <w:lang w:val="es-ES"/>
              </w:rPr>
            </w:pPr>
            <w:r w:rsidRPr="00D11A4A">
              <w:rPr>
                <w:rFonts w:ascii="Verdana" w:hAnsi="Verdana" w:cs="Arial"/>
                <w:color w:val="000000"/>
                <w:lang w:val="es-ES"/>
              </w:rPr>
              <w:t>Numeral 4 del artículo 2, de la Ley 1150 de 2007</w:t>
            </w:r>
          </w:p>
          <w:p w14:paraId="3074C770" w14:textId="77777777" w:rsidR="0060494A" w:rsidRPr="004779B8" w:rsidRDefault="0060494A" w:rsidP="0060494A">
            <w:pPr>
              <w:numPr>
                <w:ilvl w:val="0"/>
                <w:numId w:val="20"/>
              </w:numPr>
              <w:spacing w:line="278" w:lineRule="auto"/>
              <w:contextualSpacing/>
              <w:rPr>
                <w:rFonts w:ascii="Verdana" w:hAnsi="Verdana"/>
              </w:rPr>
            </w:pPr>
            <w:r w:rsidRPr="00D11A4A">
              <w:rPr>
                <w:rFonts w:ascii="Verdana" w:hAnsi="Verdana" w:cs="Arial"/>
                <w:color w:val="000000"/>
                <w:lang w:val="es-ES"/>
              </w:rPr>
              <w:t xml:space="preserve">Artículo 26 de la </w:t>
            </w:r>
            <w:r w:rsidRPr="00D11A4A">
              <w:rPr>
                <w:rFonts w:ascii="Verdana" w:hAnsi="Verdana"/>
                <w:lang w:val="es-ES"/>
              </w:rPr>
              <w:t>Ley 361 de 1997</w:t>
            </w:r>
          </w:p>
          <w:p w14:paraId="6D59E1D4" w14:textId="77777777" w:rsidR="004779B8" w:rsidRPr="00D11A4A" w:rsidRDefault="004779B8" w:rsidP="004779B8">
            <w:pPr>
              <w:spacing w:line="278" w:lineRule="auto"/>
              <w:ind w:left="720"/>
              <w:contextualSpacing/>
              <w:rPr>
                <w:rFonts w:ascii="Verdana" w:hAnsi="Verdana"/>
              </w:rPr>
            </w:pPr>
          </w:p>
          <w:p w14:paraId="599AC9F7" w14:textId="77777777" w:rsidR="002D6764" w:rsidRDefault="004779B8" w:rsidP="002D6764">
            <w:pPr>
              <w:pStyle w:val="Prrafodelista"/>
              <w:numPr>
                <w:ilvl w:val="0"/>
                <w:numId w:val="23"/>
              </w:numPr>
              <w:spacing w:line="278" w:lineRule="auto"/>
              <w:rPr>
                <w:rFonts w:ascii="Verdana" w:hAnsi="Verdana"/>
              </w:rPr>
            </w:pPr>
            <w:r w:rsidRPr="004779B8">
              <w:rPr>
                <w:rFonts w:ascii="Verdana" w:hAnsi="Verdana" w:cs="Arial"/>
              </w:rPr>
              <w:t>S</w:t>
            </w:r>
            <w:r w:rsidR="0060494A" w:rsidRPr="004779B8">
              <w:rPr>
                <w:rFonts w:ascii="Verdana" w:hAnsi="Verdana" w:cs="Arial"/>
              </w:rPr>
              <w:t xml:space="preserve">entencia de </w:t>
            </w:r>
            <w:r w:rsidR="00ED4531">
              <w:rPr>
                <w:rFonts w:ascii="Verdana" w:hAnsi="Verdana" w:cs="Arial"/>
              </w:rPr>
              <w:t>U</w:t>
            </w:r>
            <w:r w:rsidR="0060494A" w:rsidRPr="004779B8">
              <w:rPr>
                <w:rFonts w:ascii="Verdana" w:hAnsi="Verdana" w:cs="Arial"/>
              </w:rPr>
              <w:t xml:space="preserve">nificación SU-380 del 3 de noviembre de </w:t>
            </w:r>
            <w:r w:rsidR="001D5E98" w:rsidRPr="004779B8">
              <w:rPr>
                <w:rFonts w:ascii="Verdana" w:hAnsi="Verdana" w:cs="Arial"/>
              </w:rPr>
              <w:t>2021 la</w:t>
            </w:r>
            <w:r w:rsidR="0060494A" w:rsidRPr="004779B8">
              <w:rPr>
                <w:rFonts w:ascii="Verdana" w:hAnsi="Verdana" w:cs="Arial"/>
              </w:rPr>
              <w:t xml:space="preserve"> Corte Constitucional </w:t>
            </w:r>
            <w:r w:rsidR="0060494A" w:rsidRPr="001E00C2">
              <w:rPr>
                <w:rFonts w:ascii="Verdana" w:hAnsi="Verdana"/>
              </w:rPr>
              <w:t xml:space="preserve">Jurisprudencia del Consejo de Estado. Disponible en: </w:t>
            </w:r>
          </w:p>
          <w:p w14:paraId="3B6CD411" w14:textId="77777777" w:rsidR="00435D69" w:rsidRDefault="00435D69" w:rsidP="00435D69">
            <w:pPr>
              <w:pStyle w:val="Prrafodelista"/>
              <w:spacing w:line="278" w:lineRule="auto"/>
              <w:rPr>
                <w:rFonts w:ascii="Verdana" w:hAnsi="Verdana"/>
              </w:rPr>
            </w:pPr>
          </w:p>
          <w:p w14:paraId="082F1180" w14:textId="51A22225" w:rsidR="002D6764" w:rsidRDefault="00864327" w:rsidP="00435D69">
            <w:pPr>
              <w:pStyle w:val="Prrafodelista"/>
              <w:spacing w:line="278" w:lineRule="auto"/>
              <w:rPr>
                <w:rFonts w:ascii="Verdana" w:hAnsi="Verdana"/>
              </w:rPr>
            </w:pPr>
            <w:hyperlink r:id="rId12" w:history="1">
              <w:r w:rsidRPr="00CE612B">
                <w:rPr>
                  <w:rStyle w:val="Hipervnculo"/>
                  <w:rFonts w:ascii="Verdana" w:hAnsi="Verdana"/>
                </w:rPr>
                <w:t>https://relatoria.colombiacompra.gov.co/providencias-consejo-de-estado/</w:t>
              </w:r>
            </w:hyperlink>
            <w:r w:rsidR="0060494A" w:rsidRPr="002D6764">
              <w:rPr>
                <w:rFonts w:ascii="Verdana" w:hAnsi="Verdana"/>
              </w:rPr>
              <w:t xml:space="preserve"> </w:t>
            </w:r>
          </w:p>
          <w:p w14:paraId="2C50035F" w14:textId="149E1B39" w:rsidR="002D6764" w:rsidRPr="002D6764" w:rsidRDefault="0060494A" w:rsidP="002D6764">
            <w:pPr>
              <w:pStyle w:val="Prrafodelista"/>
              <w:numPr>
                <w:ilvl w:val="0"/>
                <w:numId w:val="23"/>
              </w:numPr>
              <w:spacing w:line="278" w:lineRule="auto"/>
              <w:rPr>
                <w:rFonts w:ascii="Verdana" w:hAnsi="Verdana"/>
              </w:rPr>
            </w:pPr>
            <w:r w:rsidRPr="002D6764">
              <w:rPr>
                <w:rFonts w:ascii="Verdana" w:hAnsi="Verdana" w:cs="Arial"/>
              </w:rPr>
              <w:t>Guías y manuales expedidos por la ANCP-CCE. Disponible en</w:t>
            </w:r>
            <w:r w:rsidR="002D6764">
              <w:rPr>
                <w:rFonts w:ascii="Verdana" w:hAnsi="Verdana" w:cs="Arial"/>
              </w:rPr>
              <w:t>:</w:t>
            </w:r>
          </w:p>
          <w:p w14:paraId="27178100" w14:textId="77777777" w:rsidR="002D6764" w:rsidRPr="002D6764" w:rsidRDefault="002D6764" w:rsidP="002D6764">
            <w:pPr>
              <w:pStyle w:val="Prrafodelista"/>
              <w:spacing w:line="278" w:lineRule="auto"/>
              <w:rPr>
                <w:rFonts w:ascii="Verdana" w:hAnsi="Verdana"/>
              </w:rPr>
            </w:pPr>
          </w:p>
          <w:p w14:paraId="08451587" w14:textId="4BBC9D4A" w:rsidR="0060494A" w:rsidRPr="002D6764" w:rsidRDefault="0060494A" w:rsidP="002D6764">
            <w:pPr>
              <w:pStyle w:val="Prrafodelista"/>
              <w:spacing w:line="278" w:lineRule="auto"/>
              <w:rPr>
                <w:rFonts w:ascii="Verdana" w:hAnsi="Verdana"/>
              </w:rPr>
            </w:pPr>
            <w:hyperlink r:id="rId13" w:history="1">
              <w:r w:rsidRPr="002D6764">
                <w:rPr>
                  <w:rFonts w:ascii="Verdana" w:hAnsi="Verdana" w:cs="Arial"/>
                </w:rPr>
                <w:t>https://www.colombiacompra.gov.co/manuales-guias-y-pliegos-tipo/manuales-y-guias</w:t>
              </w:r>
            </w:hyperlink>
            <w:r w:rsidR="002D6764">
              <w:rPr>
                <w:rFonts w:ascii="Verdana" w:hAnsi="Verdana"/>
              </w:rPr>
              <w:t xml:space="preserve"> </w:t>
            </w:r>
          </w:p>
        </w:tc>
      </w:tr>
      <w:tr w:rsidR="00ED4531" w:rsidRPr="00593A5F" w14:paraId="3E2B6D7A" w14:textId="77777777" w:rsidTr="00812FE0">
        <w:trPr>
          <w:trHeight w:val="870"/>
        </w:trPr>
        <w:tc>
          <w:tcPr>
            <w:tcW w:w="8647" w:type="dxa"/>
          </w:tcPr>
          <w:p w14:paraId="647A2D5E" w14:textId="77777777" w:rsidR="00ED4531" w:rsidRPr="00D11A4A" w:rsidRDefault="00ED4531" w:rsidP="00ED4531">
            <w:pPr>
              <w:spacing w:line="278" w:lineRule="auto"/>
              <w:contextualSpacing/>
              <w:rPr>
                <w:rFonts w:ascii="Verdana" w:hAnsi="Verdana" w:cs="Arial"/>
                <w:color w:val="000000"/>
                <w:lang w:val="es-ES"/>
              </w:rPr>
            </w:pPr>
          </w:p>
        </w:tc>
      </w:tr>
    </w:tbl>
    <w:p w14:paraId="0104B732" w14:textId="77777777" w:rsidR="0060494A" w:rsidRPr="00593A5F" w:rsidRDefault="0060494A" w:rsidP="0060494A">
      <w:pPr>
        <w:widowControl w:val="0"/>
        <w:autoSpaceDE w:val="0"/>
        <w:autoSpaceDN w:val="0"/>
        <w:spacing w:after="0" w:line="276" w:lineRule="auto"/>
        <w:jc w:val="both"/>
        <w:rPr>
          <w:rFonts w:ascii="Verdana" w:hAnsi="Verdana" w:cs="Arial"/>
        </w:rPr>
      </w:pPr>
    </w:p>
    <w:p w14:paraId="2CF4A85F" w14:textId="77777777" w:rsidR="0060494A" w:rsidRPr="00593A5F" w:rsidRDefault="0060494A" w:rsidP="0060494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0EC089F" w14:textId="77777777" w:rsidR="0060494A" w:rsidRDefault="0060494A" w:rsidP="0060494A">
      <w:pPr>
        <w:widowControl w:val="0"/>
        <w:autoSpaceDE w:val="0"/>
        <w:autoSpaceDN w:val="0"/>
        <w:spacing w:after="0" w:line="276" w:lineRule="auto"/>
        <w:jc w:val="both"/>
        <w:rPr>
          <w:rFonts w:ascii="Verdana" w:hAnsi="Verdana" w:cs="Arial"/>
        </w:rPr>
      </w:pPr>
    </w:p>
    <w:p w14:paraId="3A13A560" w14:textId="77777777" w:rsidR="0060494A" w:rsidRPr="00D11A4A" w:rsidRDefault="0060494A" w:rsidP="0060494A">
      <w:pPr>
        <w:spacing w:after="0" w:line="276" w:lineRule="auto"/>
        <w:jc w:val="both"/>
        <w:rPr>
          <w:rFonts w:ascii="Verdana" w:eastAsia="Times New Roman" w:hAnsi="Verdana" w:cs="Arial"/>
        </w:rPr>
      </w:pPr>
      <w:r w:rsidRPr="00D11A4A">
        <w:rPr>
          <w:rFonts w:ascii="Verdana" w:eastAsia="Times New Roman" w:hAnsi="Verdana" w:cs="Arial"/>
          <w:color w:val="000000"/>
          <w:lang w:val="es-ES"/>
        </w:rPr>
        <w:t xml:space="preserve">La Agencia Nacional de Contratación Pública – Colombia Compra Eficiente se pronunció </w:t>
      </w:r>
      <w:r w:rsidRPr="00D11A4A">
        <w:rPr>
          <w:rFonts w:ascii="Verdana" w:eastAsia="Times New Roman" w:hAnsi="Verdana" w:cs="Arial"/>
        </w:rPr>
        <w:t>en relación a los contratos prestación de servicios en los Concepto 4201912000006026 de 1° de octubre de 2019, C–047 del 18 de febrero de 2020</w:t>
      </w:r>
      <w:r w:rsidRPr="00D11A4A">
        <w:rPr>
          <w:rFonts w:ascii="Verdana" w:eastAsia="Times New Roman" w:hAnsi="Verdana" w:cs="Arial"/>
          <w:noProof/>
          <w:lang w:val="es-ES_tradnl"/>
        </w:rPr>
        <w:t xml:space="preserve">, </w:t>
      </w:r>
      <w:r w:rsidRPr="00D11A4A">
        <w:rPr>
          <w:rFonts w:ascii="Verdana" w:eastAsia="Times New Roman" w:hAnsi="Verdana" w:cs="Arial"/>
        </w:rPr>
        <w:t>C–071 del 4 de marzo de 2020,</w:t>
      </w:r>
      <w:r w:rsidRPr="00D11A4A">
        <w:rPr>
          <w:rFonts w:ascii="Verdana" w:eastAsia="Times New Roman" w:hAnsi="Verdana" w:cs="Arial"/>
          <w:noProof/>
          <w:lang w:val="es-ES_tradnl"/>
        </w:rPr>
        <w:t xml:space="preserve"> </w:t>
      </w:r>
      <w:r w:rsidRPr="00D11A4A">
        <w:rPr>
          <w:rFonts w:ascii="Verdana" w:eastAsia="Times New Roman" w:hAnsi="Verdana" w:cs="Arial"/>
        </w:rPr>
        <w:t xml:space="preserve">C–005, 006, 018 y 138 del 11 de mayo de 2020, </w:t>
      </w:r>
      <w:r w:rsidRPr="00D11A4A">
        <w:rPr>
          <w:rFonts w:ascii="Verdana" w:eastAsia="Times New Roman" w:hAnsi="Verdana" w:cs="Arial"/>
          <w:noProof/>
          <w:lang w:val="es-ES_tradnl"/>
        </w:rPr>
        <w:t>C</w:t>
      </w:r>
      <w:r w:rsidRPr="00D11A4A">
        <w:rPr>
          <w:rFonts w:ascii="Verdana" w:eastAsia="Times New Roman" w:hAnsi="Verdana" w:cs="Arial"/>
        </w:rPr>
        <w:t>–</w:t>
      </w:r>
      <w:r w:rsidRPr="00D11A4A">
        <w:rPr>
          <w:rFonts w:ascii="Verdana" w:eastAsia="Times New Roman" w:hAnsi="Verdana" w:cs="Arial"/>
          <w:noProof/>
          <w:lang w:val="es-ES_tradnl"/>
        </w:rPr>
        <w:t>053, 175, 255, 282, 293 y 320 del 12 de mayo de 2020, C</w:t>
      </w:r>
      <w:r w:rsidRPr="00D11A4A">
        <w:rPr>
          <w:rFonts w:ascii="Verdana" w:eastAsia="Times New Roman" w:hAnsi="Verdana" w:cs="Arial"/>
        </w:rPr>
        <w:t>–</w:t>
      </w:r>
      <w:r w:rsidRPr="00D11A4A">
        <w:rPr>
          <w:rFonts w:ascii="Verdana" w:eastAsia="Times New Roman" w:hAnsi="Verdana" w:cs="Arial"/>
          <w:noProof/>
          <w:lang w:val="es-ES_tradnl"/>
        </w:rPr>
        <w:t>484 del 6 de agosto de 2020, C-491 del 14 de septiembre de 2021, C-517 del 30 de septiembre de 2021, C – 654 de 22 de noveimbre de</w:t>
      </w:r>
      <w:r w:rsidRPr="00D11A4A">
        <w:rPr>
          <w:rFonts w:ascii="Verdana" w:eastAsia="Times New Roman" w:hAnsi="Verdana" w:cs="Arial"/>
        </w:rPr>
        <w:t xml:space="preserve">, C-181 del 7 de abril de 2022, C-773 del 17 de noviembre de 2022, C- 953 del 25 de enero de 2023 y C-966 del 1 de febrero de 2023, entre otros. </w:t>
      </w:r>
    </w:p>
    <w:p w14:paraId="1EBC1B5C" w14:textId="77777777" w:rsidR="0060494A" w:rsidRPr="00D11A4A" w:rsidRDefault="0060494A" w:rsidP="0060494A">
      <w:pPr>
        <w:spacing w:after="0" w:line="276" w:lineRule="auto"/>
        <w:ind w:firstLine="709"/>
        <w:jc w:val="both"/>
        <w:rPr>
          <w:rFonts w:ascii="Verdana" w:eastAsia="Times New Roman" w:hAnsi="Verdana" w:cs="Arial"/>
        </w:rPr>
      </w:pPr>
    </w:p>
    <w:p w14:paraId="317256D7" w14:textId="77777777" w:rsidR="0060494A" w:rsidRPr="00D11A4A" w:rsidRDefault="0060494A" w:rsidP="0060494A">
      <w:pPr>
        <w:spacing w:after="0" w:line="276" w:lineRule="auto"/>
        <w:ind w:firstLine="709"/>
        <w:jc w:val="both"/>
        <w:rPr>
          <w:rFonts w:ascii="Verdana" w:eastAsia="Times New Roman" w:hAnsi="Verdana" w:cs="Arial"/>
          <w:color w:val="000000"/>
        </w:rPr>
      </w:pPr>
      <w:r w:rsidRPr="00D11A4A">
        <w:rPr>
          <w:rFonts w:ascii="Verdana" w:eastAsia="Times New Roman" w:hAnsi="Verdana" w:cs="Arial"/>
        </w:rPr>
        <w:t xml:space="preserve">Por su parte, </w:t>
      </w:r>
      <w:r w:rsidRPr="00D11A4A">
        <w:rPr>
          <w:rFonts w:ascii="Verdana" w:eastAsia="Yu Gothic UI Semibold" w:hAnsi="Verdana" w:cs="Arial"/>
        </w:rPr>
        <w:t xml:space="preserve">sobre la estabilidad ocupacional reforzada esta Agencia ha emitido los siguientes conceptos: 2201913000006142 del 22 de agosto de 2019, </w:t>
      </w:r>
      <w:r w:rsidRPr="00D11A4A">
        <w:rPr>
          <w:rFonts w:ascii="Verdana" w:eastAsia="Times New Roman" w:hAnsi="Verdana" w:cs="Arial"/>
        </w:rPr>
        <w:t xml:space="preserve">2201913000009150 del 11 de diciembre de 2019, 2201913000009571 del 24 de diciembre de 2019, </w:t>
      </w:r>
      <w:r w:rsidRPr="00D11A4A">
        <w:rPr>
          <w:rFonts w:ascii="Verdana" w:eastAsia="Yu Gothic UI Semibold" w:hAnsi="Verdana" w:cs="Arial"/>
          <w:shd w:val="clear" w:color="auto" w:fill="FFFFFF"/>
        </w:rPr>
        <w:t xml:space="preserve">C-712 del 7 de diciembre de 2022, C-789 del 22 de noviembre de 2022, C-920 del 14 de febrero de 2023 y C-031 del 17 de marzo de 2023. </w:t>
      </w:r>
      <w:r w:rsidRPr="00D11A4A">
        <w:rPr>
          <w:rFonts w:ascii="Verdana" w:eastAsia="Times New Roman" w:hAnsi="Verdana" w:cs="Arial"/>
          <w:color w:val="000000"/>
        </w:rPr>
        <w:t>Las tesis expuestas en estos conceptos se reiteran y se complementan en lo pertinente a continuación.</w:t>
      </w:r>
    </w:p>
    <w:p w14:paraId="0A7A3559" w14:textId="77777777" w:rsidR="0060494A" w:rsidRPr="00D11A4A" w:rsidRDefault="0060494A" w:rsidP="0060494A">
      <w:pPr>
        <w:widowControl w:val="0"/>
        <w:autoSpaceDE w:val="0"/>
        <w:autoSpaceDN w:val="0"/>
        <w:spacing w:after="0" w:line="276" w:lineRule="auto"/>
        <w:jc w:val="both"/>
        <w:rPr>
          <w:rFonts w:ascii="Verdana" w:eastAsia="Times New Roman" w:hAnsi="Verdana" w:cs="Arial"/>
        </w:rPr>
      </w:pPr>
    </w:p>
    <w:p w14:paraId="0D5D5680" w14:textId="7AF204EF" w:rsidR="0060494A" w:rsidRPr="00D11A4A" w:rsidRDefault="0060494A" w:rsidP="0060494A">
      <w:pPr>
        <w:widowControl w:val="0"/>
        <w:autoSpaceDE w:val="0"/>
        <w:autoSpaceDN w:val="0"/>
        <w:spacing w:after="0" w:line="276" w:lineRule="auto"/>
        <w:jc w:val="both"/>
        <w:rPr>
          <w:rFonts w:ascii="Verdana" w:eastAsia="Times New Roman" w:hAnsi="Verdana" w:cs="Arial"/>
        </w:rPr>
      </w:pPr>
      <w:r w:rsidRPr="00D11A4A">
        <w:rPr>
          <w:rFonts w:ascii="Verdana" w:eastAsia="Times New Roman" w:hAnsi="Verdana" w:cs="Arial"/>
          <w:lang w:val="es-ES"/>
        </w:rPr>
        <w:t xml:space="preserve">Estos y otros conceptos se encuentran disponibles para consulta en el Sistema de Relatoría de la Agencia, en el </w:t>
      </w:r>
      <w:r w:rsidR="001E00C2" w:rsidRPr="00D11A4A">
        <w:rPr>
          <w:rFonts w:ascii="Verdana" w:eastAsia="Times New Roman" w:hAnsi="Verdana" w:cs="Arial"/>
        </w:rPr>
        <w:t>cual</w:t>
      </w:r>
      <w:r w:rsidRPr="00D11A4A">
        <w:rPr>
          <w:rFonts w:ascii="Verdana" w:eastAsia="Times New Roman" w:hAnsi="Verdana" w:cs="Arial"/>
        </w:rPr>
        <w:t xml:space="preserve">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D11A4A">
          <w:rPr>
            <w:rFonts w:ascii="Verdana" w:eastAsia="Times New Roman" w:hAnsi="Verdana" w:cs="Arial"/>
            <w:color w:val="0563C1"/>
            <w:u w:val="single"/>
          </w:rPr>
          <w:t>https://relatoria.colombiacompra.gov.co/</w:t>
        </w:r>
      </w:hyperlink>
      <w:r w:rsidRPr="00D11A4A">
        <w:rPr>
          <w:rFonts w:ascii="Verdana" w:eastAsia="Times New Roman" w:hAnsi="Verdana" w:cs="Arial"/>
        </w:rPr>
        <w:t> . 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D11A4A">
          <w:rPr>
            <w:rFonts w:ascii="Verdana" w:eastAsia="Times New Roman" w:hAnsi="Verdana" w:cs="Arial"/>
            <w:color w:val="0563C1"/>
            <w:u w:val="single"/>
          </w:rPr>
          <w:t>https://www.colombiacompra.gov.co/sites/cce_public/files/files_2020/boletin_de_realtoria_iii.pdf</w:t>
        </w:r>
      </w:hyperlink>
      <w:r w:rsidRPr="00D11A4A">
        <w:rPr>
          <w:rFonts w:ascii="Verdana" w:eastAsia="Times New Roman" w:hAnsi="Verdana" w:cs="Arial"/>
        </w:rPr>
        <w:t>.</w:t>
      </w:r>
    </w:p>
    <w:p w14:paraId="453164D7" w14:textId="77777777" w:rsidR="00417B96" w:rsidRDefault="00417B96" w:rsidP="00E245AB">
      <w:pPr>
        <w:spacing w:after="0"/>
        <w:rPr>
          <w:rFonts w:ascii="Verdana" w:hAnsi="Verdana"/>
        </w:rPr>
      </w:pPr>
    </w:p>
    <w:p w14:paraId="6D09DD17" w14:textId="77777777" w:rsidR="005F49C6" w:rsidRDefault="005F49C6" w:rsidP="00E245AB">
      <w:pPr>
        <w:spacing w:after="0"/>
        <w:rPr>
          <w:rFonts w:ascii="Verdana" w:hAnsi="Verdana"/>
        </w:rPr>
      </w:pPr>
    </w:p>
    <w:p w14:paraId="0966A28B" w14:textId="77777777" w:rsidR="005F49C6" w:rsidRDefault="005F49C6" w:rsidP="005F49C6">
      <w:pPr>
        <w:shd w:val="clear" w:color="auto" w:fill="FFFFFF"/>
        <w:spacing w:line="276" w:lineRule="auto"/>
        <w:jc w:val="both"/>
        <w:rPr>
          <w:rFonts w:ascii="Verdana" w:hAnsi="Verdana" w:cs="Arial"/>
          <w:color w:val="000000" w:themeColor="text1"/>
          <w:lang w:val="es-ES_tradnl" w:eastAsia="es-ES"/>
        </w:rPr>
      </w:pPr>
      <w:r>
        <w:rPr>
          <w:rFonts w:ascii="Verdana" w:hAnsi="Verdana" w:cs="Arial"/>
          <w:color w:val="000000" w:themeColor="text1"/>
          <w:lang w:val="es-ES_tradnl" w:eastAsia="es-ES"/>
        </w:rPr>
        <w:t xml:space="preserve">Nos complace informarte que ya se están disponibles las nuevas versiones de los Documentos Tipo para Infraestructura de Transporte, recuerda que es de obligatoria observancia por TODAS las entidades sometidas al EGCAP y entidades de régimen especial, con las excepciones de ley: </w:t>
      </w:r>
    </w:p>
    <w:p w14:paraId="41765695" w14:textId="77777777" w:rsidR="005F49C6" w:rsidRPr="007C7E99" w:rsidRDefault="005F49C6" w:rsidP="005F49C6">
      <w:pPr>
        <w:pStyle w:val="Prrafodelista"/>
        <w:numPr>
          <w:ilvl w:val="0"/>
          <w:numId w:val="21"/>
        </w:numPr>
        <w:shd w:val="clear" w:color="auto" w:fill="FFFFFF"/>
        <w:spacing w:line="276" w:lineRule="auto"/>
        <w:jc w:val="both"/>
        <w:rPr>
          <w:rFonts w:ascii="Verdana" w:hAnsi="Verdana" w:cs="Arial"/>
          <w:color w:val="000000" w:themeColor="text1"/>
          <w:lang w:val="es-ES_tradnl" w:eastAsia="es-ES"/>
        </w:rPr>
      </w:pPr>
      <w:r w:rsidRPr="00DB4325">
        <w:rPr>
          <w:rFonts w:ascii="Verdana" w:hAnsi="Verdana" w:cs="Arial"/>
          <w:b/>
          <w:bCs/>
          <w:color w:val="000000" w:themeColor="text1"/>
          <w:lang w:eastAsia="es-ES"/>
        </w:rPr>
        <w:t>Documentos tipo para los procesos de selección de interventoría de obra pública de infraestructura de transporte – versión 3:</w:t>
      </w:r>
      <w:r>
        <w:rPr>
          <w:rFonts w:ascii="Verdana" w:hAnsi="Verdana" w:cs="Arial"/>
          <w:b/>
          <w:bCs/>
          <w:color w:val="000000" w:themeColor="text1"/>
          <w:lang w:eastAsia="es-ES"/>
        </w:rPr>
        <w:t xml:space="preserve"> </w:t>
      </w:r>
      <w:hyperlink r:id="rId16" w:history="1">
        <w:r w:rsidRPr="00DC0BE2">
          <w:rPr>
            <w:rStyle w:val="Hipervnculo"/>
            <w:rFonts w:ascii="Verdana" w:hAnsi="Verdana" w:cs="Arial"/>
            <w:b/>
            <w:bCs/>
            <w:lang w:val="es-CO" w:eastAsia="es-ES"/>
          </w:rPr>
          <w:t>03. Documentos tipo para los procesos de selección de interventoría de obra pública de infraestructura de transporte – versión 3 | Colombia Compra Eficiente | Agencia Nacional de Contratación Pública</w:t>
        </w:r>
      </w:hyperlink>
    </w:p>
    <w:p w14:paraId="73E472C9" w14:textId="77777777" w:rsidR="005F49C6" w:rsidRPr="00DC0BE2" w:rsidRDefault="005F49C6" w:rsidP="005F49C6">
      <w:pPr>
        <w:pStyle w:val="Prrafodelista"/>
        <w:shd w:val="clear" w:color="auto" w:fill="FFFFFF"/>
        <w:spacing w:line="276" w:lineRule="auto"/>
        <w:jc w:val="both"/>
        <w:rPr>
          <w:rFonts w:ascii="Verdana" w:hAnsi="Verdana" w:cs="Arial"/>
          <w:color w:val="000000" w:themeColor="text1"/>
          <w:lang w:val="es-ES_tradnl" w:eastAsia="es-ES"/>
        </w:rPr>
      </w:pPr>
    </w:p>
    <w:p w14:paraId="1E146F00" w14:textId="77777777" w:rsidR="005F49C6" w:rsidRPr="005E1975" w:rsidRDefault="005F49C6" w:rsidP="005F49C6">
      <w:pPr>
        <w:pStyle w:val="Prrafodelista"/>
        <w:numPr>
          <w:ilvl w:val="0"/>
          <w:numId w:val="21"/>
        </w:numPr>
        <w:shd w:val="clear" w:color="auto" w:fill="FFFFFF"/>
        <w:spacing w:line="276" w:lineRule="auto"/>
        <w:jc w:val="both"/>
        <w:rPr>
          <w:rFonts w:ascii="Verdana" w:hAnsi="Verdana" w:cs="Arial"/>
          <w:color w:val="000000" w:themeColor="text1"/>
          <w:lang w:val="es-ES_tradnl" w:eastAsia="es-ES"/>
        </w:rPr>
      </w:pPr>
      <w:r w:rsidRPr="0004271C">
        <w:rPr>
          <w:rFonts w:ascii="Verdana" w:hAnsi="Verdana" w:cs="Arial"/>
          <w:b/>
          <w:bCs/>
          <w:color w:val="000000" w:themeColor="text1"/>
          <w:lang w:val="es-CO" w:eastAsia="es-ES"/>
        </w:rPr>
        <w:t>Documentos tipo para los procesos de selección de consultoría de obra pública de infraestructura de transporte – versión 2:</w:t>
      </w:r>
      <w:r>
        <w:rPr>
          <w:rFonts w:ascii="Verdana" w:hAnsi="Verdana" w:cs="Arial"/>
          <w:b/>
          <w:bCs/>
          <w:color w:val="000000" w:themeColor="text1"/>
          <w:lang w:val="es-CO" w:eastAsia="es-ES"/>
        </w:rPr>
        <w:t xml:space="preserve"> </w:t>
      </w:r>
      <w:hyperlink r:id="rId17" w:history="1">
        <w:r w:rsidRPr="005767B2">
          <w:rPr>
            <w:rStyle w:val="Hipervnculo"/>
            <w:rFonts w:ascii="Verdana" w:hAnsi="Verdana" w:cs="Arial"/>
            <w:b/>
            <w:bCs/>
            <w:lang w:val="es-CO" w:eastAsia="es-ES"/>
          </w:rPr>
          <w:t>02. Documentos tipo para los procesos de selección de consultoría de obra pública de infraestructura de transporte – versión 2. | Colombia Compra Eficiente | Agencia Nacional de Contratación Pública</w:t>
        </w:r>
      </w:hyperlink>
    </w:p>
    <w:p w14:paraId="10F30EB9" w14:textId="77777777" w:rsidR="005F49C6" w:rsidRDefault="005F49C6" w:rsidP="005F49C6">
      <w:pPr>
        <w:shd w:val="clear" w:color="auto" w:fill="FFFFFF"/>
        <w:spacing w:line="276" w:lineRule="auto"/>
        <w:jc w:val="both"/>
        <w:rPr>
          <w:rFonts w:ascii="Verdana" w:hAnsi="Verdana" w:cs="Arial"/>
          <w:color w:val="000000" w:themeColor="text1"/>
          <w:lang w:val="es-ES_tradnl" w:eastAsia="es-ES"/>
        </w:rPr>
      </w:pPr>
    </w:p>
    <w:p w14:paraId="578879C4" w14:textId="77777777" w:rsidR="005F49C6" w:rsidRDefault="005F49C6" w:rsidP="005F49C6">
      <w:pPr>
        <w:shd w:val="clear" w:color="auto" w:fill="FFFFFF"/>
        <w:spacing w:line="276" w:lineRule="auto"/>
        <w:jc w:val="both"/>
        <w:rPr>
          <w:rFonts w:ascii="Verdana" w:hAnsi="Verdana" w:cs="Arial"/>
          <w:color w:val="000000" w:themeColor="text1"/>
          <w:lang w:eastAsia="es-ES"/>
        </w:rPr>
      </w:pPr>
      <w:r w:rsidRPr="005E1975">
        <w:rPr>
          <w:rFonts w:ascii="Verdana" w:hAnsi="Verdana" w:cs="Arial"/>
          <w:color w:val="000000" w:themeColor="text1"/>
          <w:lang w:eastAsia="es-ES"/>
        </w:rPr>
        <w:t xml:space="preserve">También, te contamos que ya publicamos </w:t>
      </w:r>
      <w:r w:rsidRPr="005E1975">
        <w:rPr>
          <w:rFonts w:ascii="Verdana" w:hAnsi="Verdana" w:cs="Arial"/>
          <w:b/>
          <w:bCs/>
          <w:color w:val="000000" w:themeColor="text1"/>
          <w:lang w:eastAsia="es-ES"/>
        </w:rPr>
        <w:t>la nueva Guía de Contratación Pública Sostenible y Socialmente Responsable.</w:t>
      </w:r>
      <w:r w:rsidRPr="005E1975">
        <w:rPr>
          <w:rFonts w:ascii="Verdana" w:hAnsi="Verdana" w:cs="Arial"/>
          <w:color w:val="000000" w:themeColor="text1"/>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w:t>
      </w:r>
      <w:r w:rsidRPr="0098172B">
        <w:t xml:space="preserve"> </w:t>
      </w:r>
      <w:hyperlink r:id="rId18" w:history="1">
        <w:r w:rsidRPr="0098172B">
          <w:rPr>
            <w:rStyle w:val="Hipervnculo"/>
            <w:rFonts w:ascii="Verdana" w:hAnsi="Verdana" w:cs="Arial"/>
            <w:lang w:eastAsia="es-ES"/>
          </w:rPr>
          <w:t>Guía de Contratación Pública Sostenible y Socialmente Responsable | Colombia Compra Eficiente | Agencia Nacional de Contratación Pública</w:t>
        </w:r>
      </w:hyperlink>
    </w:p>
    <w:p w14:paraId="29B434A3" w14:textId="77777777" w:rsidR="005F49C6" w:rsidRDefault="005F49C6" w:rsidP="005F49C6">
      <w:pPr>
        <w:spacing w:after="0" w:line="240" w:lineRule="auto"/>
        <w:jc w:val="both"/>
        <w:textAlignment w:val="baseline"/>
        <w:rPr>
          <w:rFonts w:ascii="Verdana" w:hAnsi="Verdana" w:cs="Arial"/>
          <w:color w:val="000000" w:themeColor="text1"/>
          <w:lang w:eastAsia="es-ES"/>
        </w:rPr>
      </w:pPr>
    </w:p>
    <w:p w14:paraId="0154224B" w14:textId="77777777" w:rsidR="005F49C6" w:rsidRPr="00E34D14" w:rsidRDefault="005F49C6" w:rsidP="005F49C6">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Aprovechamos la oportunidad de manifestar la entera disposición de la Agencia Nacional de Contratación Pública – Colombia Compra Eficiente – para atender las peticiones o solicitudes, así como para brindar el apoyo que se requiera en el marco de nuestras funciones a través de nuestros diferentes canales de atención:</w:t>
      </w:r>
      <w:r w:rsidRPr="00E34D14">
        <w:rPr>
          <w:rFonts w:ascii="Verdana" w:eastAsia="Times New Roman" w:hAnsi="Verdana" w:cs="Segoe UI"/>
          <w:lang w:val="es-ES" w:eastAsia="es-CO"/>
        </w:rPr>
        <w:t> </w:t>
      </w:r>
    </w:p>
    <w:p w14:paraId="13B438E4" w14:textId="77777777" w:rsidR="005F49C6" w:rsidRPr="00E34D14" w:rsidRDefault="005F49C6" w:rsidP="005F49C6">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ES" w:eastAsia="es-CO"/>
        </w:rPr>
        <w:t> </w:t>
      </w:r>
    </w:p>
    <w:p w14:paraId="03F74BAA" w14:textId="77777777" w:rsidR="005F49C6" w:rsidRPr="00E34D14" w:rsidRDefault="005F49C6" w:rsidP="005F49C6">
      <w:pPr>
        <w:numPr>
          <w:ilvl w:val="0"/>
          <w:numId w:val="22"/>
        </w:numPr>
        <w:spacing w:after="0" w:line="240" w:lineRule="auto"/>
        <w:ind w:left="1080" w:firstLine="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Línea nacional gratuita o servicio a la ciudadanía: </w:t>
      </w:r>
      <w:r w:rsidRPr="00E34D14">
        <w:rPr>
          <w:rFonts w:ascii="Verdana" w:eastAsia="Times New Roman" w:hAnsi="Verdana" w:cs="Segoe UI"/>
          <w:color w:val="4472C4" w:themeColor="accent1"/>
          <w:u w:val="single"/>
          <w:lang w:val="es-MX" w:eastAsia="es-CO"/>
        </w:rPr>
        <w:t>01800 0520808</w:t>
      </w:r>
      <w:r w:rsidRPr="00E34D14">
        <w:rPr>
          <w:rFonts w:ascii="Verdana" w:eastAsia="Times New Roman" w:hAnsi="Verdana" w:cs="Segoe UI"/>
          <w:color w:val="4472C4" w:themeColor="accent1"/>
          <w:lang w:val="es-ES" w:eastAsia="es-CO"/>
        </w:rPr>
        <w:t> </w:t>
      </w:r>
    </w:p>
    <w:p w14:paraId="411E66A7" w14:textId="77777777" w:rsidR="005F49C6" w:rsidRPr="00E34D14" w:rsidRDefault="005F49C6" w:rsidP="005F49C6">
      <w:pPr>
        <w:numPr>
          <w:ilvl w:val="0"/>
          <w:numId w:val="22"/>
        </w:numPr>
        <w:spacing w:after="0" w:line="240" w:lineRule="auto"/>
        <w:ind w:left="1080" w:firstLine="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Línea en Bogotá (Mesa de servicio): </w:t>
      </w:r>
      <w:r w:rsidRPr="00E34D14">
        <w:rPr>
          <w:rFonts w:ascii="Verdana" w:eastAsia="Times New Roman" w:hAnsi="Verdana" w:cs="Segoe UI"/>
          <w:lang w:val="es-MX" w:eastAsia="es-CO"/>
        </w:rPr>
        <w:tab/>
      </w:r>
      <w:r w:rsidRPr="00E34D14">
        <w:rPr>
          <w:rFonts w:ascii="Verdana" w:eastAsia="Times New Roman" w:hAnsi="Verdana" w:cs="Segoe UI"/>
          <w:lang w:val="es-MX" w:eastAsia="es-CO"/>
        </w:rPr>
        <w:tab/>
      </w:r>
      <w:r w:rsidRPr="00E34D14">
        <w:rPr>
          <w:rFonts w:ascii="Verdana" w:eastAsia="Times New Roman" w:hAnsi="Verdana" w:cs="Segoe UI"/>
          <w:color w:val="4472C4" w:themeColor="accent1"/>
          <w:u w:val="single"/>
          <w:lang w:val="es-MX" w:eastAsia="es-CO"/>
        </w:rPr>
        <w:t>+57 601 7456788</w:t>
      </w:r>
      <w:r w:rsidRPr="00E34D14">
        <w:rPr>
          <w:rFonts w:ascii="Verdana" w:eastAsia="Times New Roman" w:hAnsi="Verdana" w:cs="Segoe UI"/>
          <w:color w:val="4472C4" w:themeColor="accent1"/>
          <w:lang w:val="es-ES" w:eastAsia="es-CO"/>
        </w:rPr>
        <w:t> </w:t>
      </w:r>
    </w:p>
    <w:p w14:paraId="4654E51A" w14:textId="77777777" w:rsidR="005F49C6" w:rsidRPr="00E34D14" w:rsidRDefault="005F49C6" w:rsidP="005F49C6">
      <w:pPr>
        <w:numPr>
          <w:ilvl w:val="0"/>
          <w:numId w:val="22"/>
        </w:numPr>
        <w:spacing w:after="0" w:line="240" w:lineRule="auto"/>
        <w:ind w:left="1080" w:firstLine="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Línea de servicio y atención al ciudadano: </w:t>
      </w:r>
      <w:r w:rsidRPr="00E34D14">
        <w:rPr>
          <w:rFonts w:ascii="Verdana" w:eastAsia="Times New Roman" w:hAnsi="Verdana" w:cs="Segoe UI"/>
          <w:lang w:val="es-MX" w:eastAsia="es-CO"/>
        </w:rPr>
        <w:tab/>
      </w:r>
      <w:r w:rsidRPr="00E34D14">
        <w:rPr>
          <w:rFonts w:ascii="Verdana" w:eastAsia="Times New Roman" w:hAnsi="Verdana" w:cs="Segoe UI"/>
          <w:color w:val="4472C4" w:themeColor="accent1"/>
          <w:u w:val="single"/>
          <w:lang w:val="es-MX" w:eastAsia="es-CO"/>
        </w:rPr>
        <w:t>+57 601 7956600</w:t>
      </w:r>
      <w:r w:rsidRPr="00E34D14">
        <w:rPr>
          <w:rFonts w:ascii="Verdana" w:eastAsia="Times New Roman" w:hAnsi="Verdana" w:cs="Segoe UI"/>
          <w:color w:val="4472C4" w:themeColor="accent1"/>
          <w:lang w:val="es-ES" w:eastAsia="es-CO"/>
        </w:rPr>
        <w:t> </w:t>
      </w:r>
    </w:p>
    <w:p w14:paraId="41E60317" w14:textId="77777777" w:rsidR="005F49C6" w:rsidRPr="00E34D14" w:rsidRDefault="005F49C6" w:rsidP="005F49C6">
      <w:pPr>
        <w:numPr>
          <w:ilvl w:val="0"/>
          <w:numId w:val="22"/>
        </w:numPr>
        <w:spacing w:after="0" w:line="240" w:lineRule="auto"/>
        <w:ind w:left="1080" w:firstLine="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Correo de PQRSD:</w:t>
      </w:r>
      <w:r>
        <w:rPr>
          <w:rFonts w:ascii="Verdana" w:eastAsia="Times New Roman" w:hAnsi="Verdana" w:cs="Segoe UI"/>
          <w:lang w:val="es-MX" w:eastAsia="es-CO"/>
        </w:rPr>
        <w:t xml:space="preserve"> </w:t>
      </w:r>
      <w:hyperlink r:id="rId19" w:history="1">
        <w:r w:rsidRPr="00635235">
          <w:rPr>
            <w:rStyle w:val="Hipervnculo"/>
            <w:rFonts w:ascii="Verdana" w:eastAsia="Times New Roman" w:hAnsi="Verdana" w:cs="Segoe UI"/>
            <w:lang w:val="es-MX" w:eastAsia="es-CO"/>
          </w:rPr>
          <w:t>ventanilladeradicacion@colombiacompra.gov.co</w:t>
        </w:r>
      </w:hyperlink>
    </w:p>
    <w:p w14:paraId="301171BB" w14:textId="77777777" w:rsidR="005F49C6" w:rsidRPr="00E34D14" w:rsidRDefault="005F49C6" w:rsidP="005F49C6">
      <w:pPr>
        <w:numPr>
          <w:ilvl w:val="0"/>
          <w:numId w:val="22"/>
        </w:numPr>
        <w:spacing w:after="0" w:line="240" w:lineRule="auto"/>
        <w:ind w:left="1080" w:firstLine="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Página web:</w:t>
      </w:r>
      <w:r w:rsidRPr="00E34D14">
        <w:rPr>
          <w:rFonts w:ascii="Verdana" w:eastAsia="Times New Roman" w:hAnsi="Verdana" w:cs="Segoe UI"/>
          <w:color w:val="4472C4" w:themeColor="accent1"/>
          <w:lang w:val="es-MX" w:eastAsia="es-CO"/>
        </w:rPr>
        <w:t xml:space="preserve"> </w:t>
      </w:r>
      <w:hyperlink r:id="rId20" w:tgtFrame="_blank" w:history="1">
        <w:r w:rsidRPr="00E34D14">
          <w:rPr>
            <w:rFonts w:ascii="Verdana" w:eastAsia="Times New Roman" w:hAnsi="Verdana" w:cs="Segoe UI"/>
            <w:color w:val="4472C4" w:themeColor="accent1"/>
            <w:u w:val="single"/>
            <w:lang w:val="es-MX" w:eastAsia="es-CO"/>
          </w:rPr>
          <w:t>www.colombiacompra.gov.co</w:t>
        </w:r>
      </w:hyperlink>
    </w:p>
    <w:p w14:paraId="2844EDC0" w14:textId="77777777" w:rsidR="005F49C6" w:rsidRPr="00E34D14" w:rsidRDefault="005F49C6" w:rsidP="005F49C6">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ES" w:eastAsia="es-CO"/>
        </w:rPr>
        <w:t> </w:t>
      </w:r>
    </w:p>
    <w:p w14:paraId="776197EB" w14:textId="77777777" w:rsidR="005F49C6" w:rsidRPr="00E34D14" w:rsidRDefault="005F49C6" w:rsidP="005F49C6">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Por último, lo invitamos a seguirnos en las redes sociales en las cuales se difunde</w:t>
      </w:r>
      <w:r w:rsidRPr="00E34D14">
        <w:rPr>
          <w:rFonts w:ascii="Verdana" w:eastAsia="Times New Roman" w:hAnsi="Verdana" w:cs="Segoe UI"/>
          <w:lang w:val="es-ES" w:eastAsia="es-CO"/>
        </w:rPr>
        <w:t> </w:t>
      </w:r>
      <w:r w:rsidRPr="00E34D14">
        <w:rPr>
          <w:rFonts w:ascii="Verdana" w:eastAsia="Times New Roman" w:hAnsi="Verdana" w:cs="Segoe UI"/>
          <w:lang w:val="es-MX" w:eastAsia="es-CO"/>
        </w:rPr>
        <w:t>información institucional:</w:t>
      </w:r>
      <w:r w:rsidRPr="00E34D14">
        <w:rPr>
          <w:rFonts w:ascii="Verdana" w:eastAsia="Times New Roman" w:hAnsi="Verdana" w:cs="Segoe UI"/>
          <w:lang w:val="es-ES" w:eastAsia="es-CO"/>
        </w:rPr>
        <w:t> </w:t>
      </w:r>
    </w:p>
    <w:p w14:paraId="760E02E9" w14:textId="77777777" w:rsidR="005F49C6" w:rsidRPr="00E34D14" w:rsidRDefault="005F49C6" w:rsidP="005F49C6">
      <w:pPr>
        <w:spacing w:after="0" w:line="240" w:lineRule="auto"/>
        <w:jc w:val="both"/>
        <w:textAlignment w:val="baseline"/>
        <w:rPr>
          <w:rFonts w:ascii="Verdana" w:eastAsia="Times New Roman" w:hAnsi="Verdana" w:cs="Segoe UI"/>
          <w:lang w:val="es-MX" w:eastAsia="es-CO"/>
        </w:rPr>
      </w:pPr>
    </w:p>
    <w:p w14:paraId="12929E42" w14:textId="77777777" w:rsidR="005F49C6" w:rsidRPr="00E34D14" w:rsidRDefault="005F49C6" w:rsidP="005F49C6">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Twitter: </w:t>
      </w:r>
      <w:r w:rsidRPr="00E34D14">
        <w:rPr>
          <w:rFonts w:ascii="Verdana" w:eastAsia="Times New Roman" w:hAnsi="Verdana" w:cs="Segoe UI"/>
          <w:lang w:val="es-MX" w:eastAsia="es-CO"/>
        </w:rPr>
        <w:tab/>
      </w:r>
      <w:r w:rsidRPr="00E34D14">
        <w:rPr>
          <w:rFonts w:ascii="Verdana" w:eastAsia="Times New Roman" w:hAnsi="Verdana" w:cs="Segoe UI"/>
          <w:color w:val="4472C4" w:themeColor="accent1"/>
          <w:u w:val="single"/>
          <w:lang w:val="es-MX" w:eastAsia="es-CO"/>
        </w:rPr>
        <w:t>@colombiacompra</w:t>
      </w:r>
      <w:r w:rsidRPr="00E34D14">
        <w:rPr>
          <w:rFonts w:ascii="Verdana" w:eastAsia="Times New Roman" w:hAnsi="Verdana" w:cs="Segoe UI"/>
          <w:color w:val="4472C4" w:themeColor="accent1"/>
          <w:lang w:val="es-ES" w:eastAsia="es-CO"/>
        </w:rPr>
        <w:t> </w:t>
      </w:r>
    </w:p>
    <w:p w14:paraId="1DCDF5F6" w14:textId="77777777" w:rsidR="005F49C6" w:rsidRPr="00E34D14" w:rsidRDefault="005F49C6" w:rsidP="005F49C6">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Facebook: </w:t>
      </w:r>
      <w:r w:rsidRPr="00E34D14">
        <w:rPr>
          <w:rFonts w:ascii="Verdana" w:eastAsia="Times New Roman" w:hAnsi="Verdana" w:cs="Segoe UI"/>
          <w:lang w:val="es-MX" w:eastAsia="es-CO"/>
        </w:rPr>
        <w:tab/>
      </w:r>
      <w:proofErr w:type="spellStart"/>
      <w:r w:rsidRPr="00E34D14">
        <w:rPr>
          <w:rFonts w:ascii="Verdana" w:eastAsia="Times New Roman" w:hAnsi="Verdana" w:cs="Segoe UI"/>
          <w:color w:val="4472C4" w:themeColor="accent1"/>
          <w:u w:val="single"/>
          <w:lang w:val="es-MX" w:eastAsia="es-CO"/>
        </w:rPr>
        <w:t>ColombiaCompraEficiente</w:t>
      </w:r>
      <w:proofErr w:type="spellEnd"/>
      <w:r w:rsidRPr="00E34D14">
        <w:rPr>
          <w:rFonts w:ascii="Verdana" w:eastAsia="Times New Roman" w:hAnsi="Verdana" w:cs="Segoe UI"/>
          <w:color w:val="0000FF"/>
          <w:lang w:val="es-ES" w:eastAsia="es-CO"/>
        </w:rPr>
        <w:t> </w:t>
      </w:r>
    </w:p>
    <w:p w14:paraId="0161A9C0" w14:textId="77777777" w:rsidR="005F49C6" w:rsidRPr="00E34D14" w:rsidRDefault="005F49C6" w:rsidP="005F49C6">
      <w:pPr>
        <w:spacing w:after="0" w:line="240" w:lineRule="auto"/>
        <w:ind w:left="1410" w:hanging="141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LinkedIn: </w:t>
      </w:r>
      <w:r w:rsidRPr="00E34D14">
        <w:rPr>
          <w:rFonts w:ascii="Verdana" w:eastAsia="Times New Roman" w:hAnsi="Verdana" w:cs="Segoe UI"/>
          <w:lang w:val="es-MX" w:eastAsia="es-CO"/>
        </w:rPr>
        <w:tab/>
      </w:r>
      <w:r w:rsidRPr="00E34D14">
        <w:rPr>
          <w:rFonts w:ascii="Verdana" w:eastAsia="Times New Roman" w:hAnsi="Verdana" w:cs="Segoe UI"/>
          <w:color w:val="4472C4" w:themeColor="accent1"/>
          <w:u w:val="single"/>
          <w:lang w:val="es-MX" w:eastAsia="es-CO"/>
        </w:rPr>
        <w:t>Agencia Nacional de Contratación Pública - Colombia Compra Eficiente</w:t>
      </w:r>
      <w:r w:rsidRPr="00E34D14">
        <w:rPr>
          <w:rFonts w:ascii="Verdana" w:eastAsia="Times New Roman" w:hAnsi="Verdana" w:cs="Segoe UI"/>
          <w:color w:val="4472C4" w:themeColor="accent1"/>
          <w:lang w:val="es-ES" w:eastAsia="es-CO"/>
        </w:rPr>
        <w:t> </w:t>
      </w:r>
    </w:p>
    <w:p w14:paraId="1AB9D3E3" w14:textId="77777777" w:rsidR="005F49C6" w:rsidRDefault="005F49C6" w:rsidP="005F49C6">
      <w:pPr>
        <w:spacing w:after="0" w:line="240" w:lineRule="auto"/>
        <w:jc w:val="both"/>
        <w:textAlignment w:val="baseline"/>
        <w:rPr>
          <w:rFonts w:ascii="Verdana" w:eastAsia="Times New Roman" w:hAnsi="Verdana" w:cs="Segoe UI"/>
          <w:color w:val="4472C4" w:themeColor="accent1"/>
          <w:lang w:val="es-ES" w:eastAsia="es-CO"/>
        </w:rPr>
      </w:pPr>
      <w:r w:rsidRPr="00E34D14">
        <w:rPr>
          <w:rFonts w:ascii="Verdana" w:eastAsia="Times New Roman" w:hAnsi="Verdana" w:cs="Segoe UI"/>
          <w:lang w:val="es-MX" w:eastAsia="es-CO"/>
        </w:rPr>
        <w:t xml:space="preserve">Instagram: </w:t>
      </w:r>
      <w:r w:rsidRPr="00E34D14">
        <w:rPr>
          <w:rFonts w:ascii="Verdana" w:eastAsia="Times New Roman" w:hAnsi="Verdana" w:cs="Segoe UI"/>
          <w:lang w:val="es-MX" w:eastAsia="es-CO"/>
        </w:rPr>
        <w:tab/>
      </w:r>
      <w:r w:rsidRPr="00E34D14">
        <w:rPr>
          <w:rFonts w:ascii="Verdana" w:eastAsia="Times New Roman" w:hAnsi="Verdana" w:cs="Segoe UI"/>
          <w:color w:val="4472C4" w:themeColor="accent1"/>
          <w:u w:val="single"/>
          <w:lang w:val="es-MX" w:eastAsia="es-CO"/>
        </w:rPr>
        <w:t>@colombiacompraeficiente_cce</w:t>
      </w:r>
      <w:r w:rsidRPr="00E34D14">
        <w:rPr>
          <w:rFonts w:ascii="Verdana" w:eastAsia="Times New Roman" w:hAnsi="Verdana" w:cs="Segoe UI"/>
          <w:color w:val="4472C4" w:themeColor="accent1"/>
          <w:lang w:val="es-ES" w:eastAsia="es-CO"/>
        </w:rPr>
        <w:t> </w:t>
      </w:r>
    </w:p>
    <w:p w14:paraId="66027A97" w14:textId="77777777" w:rsidR="005F49C6" w:rsidRDefault="005F49C6" w:rsidP="005F49C6">
      <w:pPr>
        <w:spacing w:after="0" w:line="240" w:lineRule="auto"/>
        <w:jc w:val="both"/>
        <w:textAlignment w:val="baseline"/>
        <w:rPr>
          <w:rFonts w:ascii="Verdana" w:eastAsia="Times New Roman" w:hAnsi="Verdana" w:cs="Segoe UI"/>
          <w:color w:val="4472C4" w:themeColor="accent1"/>
          <w:lang w:val="es-ES" w:eastAsia="es-CO"/>
        </w:rPr>
      </w:pPr>
    </w:p>
    <w:p w14:paraId="0825D102" w14:textId="77777777" w:rsidR="005F49C6" w:rsidRPr="00B8328F" w:rsidRDefault="005F49C6" w:rsidP="005F49C6">
      <w:pPr>
        <w:spacing w:before="120" w:after="0" w:line="276" w:lineRule="auto"/>
        <w:jc w:val="both"/>
        <w:textAlignment w:val="baseline"/>
        <w:rPr>
          <w:rFonts w:ascii="Verdana" w:eastAsia="Times New Roman" w:hAnsi="Verdana"/>
          <w:bCs/>
          <w:lang w:val="es-ES_tradnl" w:eastAsia="es-CO"/>
        </w:rPr>
      </w:pPr>
      <w:r w:rsidRPr="00B8328F">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DCFE2F0" w14:textId="77777777" w:rsidR="005F49C6" w:rsidRPr="007C7E99" w:rsidRDefault="005F49C6" w:rsidP="005F49C6">
      <w:pPr>
        <w:spacing w:after="0" w:line="240" w:lineRule="auto"/>
        <w:jc w:val="both"/>
        <w:textAlignment w:val="baseline"/>
        <w:rPr>
          <w:rFonts w:ascii="Verdana" w:eastAsia="Times New Roman" w:hAnsi="Verdana" w:cs="Segoe UI"/>
          <w:color w:val="4472C4" w:themeColor="accent1"/>
          <w:lang w:val="es-ES_tradnl" w:eastAsia="es-CO"/>
        </w:rPr>
      </w:pPr>
    </w:p>
    <w:p w14:paraId="1B41E748" w14:textId="77777777" w:rsidR="005F49C6" w:rsidRDefault="005F49C6" w:rsidP="005F49C6">
      <w:pPr>
        <w:spacing w:after="0" w:line="240" w:lineRule="auto"/>
        <w:jc w:val="both"/>
        <w:textAlignment w:val="baseline"/>
        <w:rPr>
          <w:rFonts w:ascii="Verdana" w:eastAsia="Times New Roman" w:hAnsi="Verdana" w:cs="Segoe UI"/>
          <w:lang w:val="es-ES" w:eastAsia="es-CO"/>
        </w:rPr>
      </w:pPr>
    </w:p>
    <w:p w14:paraId="4A5283AE" w14:textId="77777777" w:rsidR="005F49C6" w:rsidRPr="00E34D14" w:rsidRDefault="005F49C6" w:rsidP="005F49C6">
      <w:pPr>
        <w:spacing w:after="0" w:line="240" w:lineRule="auto"/>
        <w:jc w:val="both"/>
        <w:textAlignment w:val="baseline"/>
        <w:rPr>
          <w:rFonts w:ascii="Verdana" w:eastAsia="Times New Roman" w:hAnsi="Verdana" w:cs="Segoe UI"/>
          <w:lang w:val="es-MX" w:eastAsia="es-CO"/>
        </w:rPr>
      </w:pPr>
    </w:p>
    <w:p w14:paraId="5A9291D6" w14:textId="77777777" w:rsidR="005F49C6" w:rsidRPr="00E34D14" w:rsidRDefault="005F49C6" w:rsidP="005F49C6">
      <w:pPr>
        <w:spacing w:after="0" w:line="240" w:lineRule="auto"/>
        <w:jc w:val="both"/>
        <w:textAlignment w:val="baseline"/>
        <w:rPr>
          <w:rFonts w:ascii="Verdana" w:eastAsia="Times New Roman" w:hAnsi="Verdana" w:cs="Segoe UI"/>
          <w:lang w:eastAsia="es-CO"/>
        </w:rPr>
      </w:pPr>
      <w:r>
        <w:rPr>
          <w:rFonts w:ascii="Verdana" w:eastAsia="Times New Roman" w:hAnsi="Verdana" w:cs="Segoe UI"/>
          <w:lang w:val="es-MX" w:eastAsia="es-CO"/>
        </w:rPr>
        <w:t>Atentamente</w:t>
      </w:r>
      <w:r w:rsidRPr="00E34D14">
        <w:rPr>
          <w:rFonts w:ascii="Verdana" w:eastAsia="Times New Roman" w:hAnsi="Verdana" w:cs="Segoe UI"/>
          <w:lang w:val="es-MX" w:eastAsia="es-CO"/>
        </w:rPr>
        <w:t>,</w:t>
      </w:r>
      <w:r w:rsidRPr="00E34D14">
        <w:rPr>
          <w:rFonts w:ascii="Verdana" w:eastAsia="Times New Roman" w:hAnsi="Verdana" w:cs="Segoe UI"/>
          <w:lang w:eastAsia="es-CO"/>
        </w:rPr>
        <w:t> </w:t>
      </w:r>
    </w:p>
    <w:p w14:paraId="43F1A099" w14:textId="77777777" w:rsidR="005F49C6" w:rsidRPr="00E34D14" w:rsidRDefault="005F49C6" w:rsidP="005F49C6">
      <w:pPr>
        <w:spacing w:after="0" w:line="240" w:lineRule="auto"/>
        <w:jc w:val="both"/>
        <w:textAlignment w:val="baseline"/>
        <w:rPr>
          <w:rFonts w:ascii="Verdana" w:eastAsia="Times New Roman" w:hAnsi="Verdana" w:cs="Segoe UI"/>
          <w:lang w:eastAsia="es-CO"/>
        </w:rPr>
      </w:pPr>
      <w:r w:rsidRPr="00E34D14">
        <w:rPr>
          <w:rFonts w:ascii="Verdana" w:eastAsia="Times New Roman" w:hAnsi="Verdana" w:cs="Segoe UI"/>
          <w:lang w:eastAsia="es-CO"/>
        </w:rPr>
        <w:t> </w:t>
      </w:r>
    </w:p>
    <w:p w14:paraId="27AAEFF7" w14:textId="77777777" w:rsidR="005F49C6" w:rsidRDefault="005F49C6" w:rsidP="005F49C6">
      <w:pPr>
        <w:autoSpaceDE w:val="0"/>
        <w:autoSpaceDN w:val="0"/>
        <w:adjustRightInd w:val="0"/>
        <w:spacing w:after="0" w:line="276" w:lineRule="auto"/>
        <w:jc w:val="center"/>
        <w:rPr>
          <w:rFonts w:ascii="Verdana" w:eastAsia="Times New Roman" w:hAnsi="Verdana" w:cs="Segoe UI"/>
          <w:lang w:eastAsia="es-CO"/>
        </w:rPr>
      </w:pPr>
    </w:p>
    <w:p w14:paraId="63C49D29" w14:textId="5CA1D8FF" w:rsidR="005F49C6" w:rsidRPr="00B45B4E" w:rsidRDefault="005F49C6" w:rsidP="005F49C6">
      <w:pPr>
        <w:autoSpaceDE w:val="0"/>
        <w:autoSpaceDN w:val="0"/>
        <w:adjustRightInd w:val="0"/>
        <w:spacing w:after="0" w:line="276" w:lineRule="auto"/>
        <w:jc w:val="center"/>
        <w:rPr>
          <w:rFonts w:ascii="Verdana" w:eastAsia="Times New Roman" w:hAnsi="Verdana" w:cs="Arial"/>
          <w:noProof/>
          <w:lang w:eastAsia="es-MX"/>
        </w:rPr>
      </w:pPr>
      <w:r w:rsidRPr="00E34D14">
        <w:rPr>
          <w:rFonts w:ascii="Verdana" w:eastAsia="Times New Roman" w:hAnsi="Verdana" w:cs="Segoe UI"/>
          <w:lang w:eastAsia="es-CO"/>
        </w:rPr>
        <w:t> </w:t>
      </w:r>
      <w:r w:rsidR="00543F9B">
        <w:rPr>
          <w:noProof/>
        </w:rPr>
        <w:drawing>
          <wp:inline distT="0" distB="0" distL="0" distR="0" wp14:anchorId="480EA985" wp14:editId="758A28F5">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1"/>
                    <a:stretch>
                      <a:fillRect/>
                    </a:stretch>
                  </pic:blipFill>
                  <pic:spPr>
                    <a:xfrm>
                      <a:off x="0" y="0"/>
                      <a:ext cx="3771900" cy="1400175"/>
                    </a:xfrm>
                    <a:prstGeom prst="rect">
                      <a:avLst/>
                    </a:prstGeom>
                  </pic:spPr>
                </pic:pic>
              </a:graphicData>
            </a:graphic>
          </wp:inline>
        </w:drawing>
      </w:r>
    </w:p>
    <w:p w14:paraId="08CE2436" w14:textId="77777777" w:rsidR="005F49C6" w:rsidRDefault="005F49C6" w:rsidP="005F49C6">
      <w:pPr>
        <w:autoSpaceDE w:val="0"/>
        <w:autoSpaceDN w:val="0"/>
        <w:adjustRightInd w:val="0"/>
        <w:spacing w:after="0" w:line="276" w:lineRule="auto"/>
        <w:jc w:val="center"/>
        <w:rPr>
          <w:rFonts w:ascii="Verdana" w:eastAsia="Calibri" w:hAnsi="Verdana" w:cs="Arial"/>
          <w:sz w:val="16"/>
          <w:szCs w:val="16"/>
        </w:rPr>
      </w:pPr>
    </w:p>
    <w:p w14:paraId="674FD7D3" w14:textId="77777777" w:rsidR="005F49C6" w:rsidRPr="00B45B4E" w:rsidRDefault="005F49C6" w:rsidP="005F49C6">
      <w:pPr>
        <w:autoSpaceDE w:val="0"/>
        <w:autoSpaceDN w:val="0"/>
        <w:adjustRightInd w:val="0"/>
        <w:spacing w:after="0" w:line="276" w:lineRule="auto"/>
        <w:jc w:val="center"/>
        <w:rPr>
          <w:rFonts w:ascii="Verdana" w:eastAsia="Calibri" w:hAnsi="Verdana" w:cs="Arial"/>
          <w:sz w:val="16"/>
          <w:szCs w:val="16"/>
        </w:rPr>
      </w:pP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7"/>
        <w:gridCol w:w="4363"/>
      </w:tblGrid>
      <w:tr w:rsidR="005F49C6" w:rsidRPr="00B45B4E" w14:paraId="475A7E80" w14:textId="77777777" w:rsidTr="00812FE0">
        <w:trPr>
          <w:trHeight w:val="315"/>
        </w:trPr>
        <w:tc>
          <w:tcPr>
            <w:tcW w:w="857" w:type="dxa"/>
            <w:tcBorders>
              <w:top w:val="nil"/>
              <w:left w:val="nil"/>
              <w:bottom w:val="nil"/>
              <w:right w:val="nil"/>
            </w:tcBorders>
            <w:shd w:val="clear" w:color="auto" w:fill="auto"/>
            <w:vAlign w:val="center"/>
            <w:hideMark/>
          </w:tcPr>
          <w:p w14:paraId="7D1799EF" w14:textId="77777777" w:rsidR="005F49C6" w:rsidRPr="00B45B4E" w:rsidRDefault="005F49C6" w:rsidP="00812FE0">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Elaboró: </w:t>
            </w:r>
          </w:p>
        </w:tc>
        <w:tc>
          <w:tcPr>
            <w:tcW w:w="4363" w:type="dxa"/>
            <w:tcBorders>
              <w:top w:val="nil"/>
              <w:left w:val="nil"/>
              <w:bottom w:val="dotted" w:sz="6" w:space="0" w:color="7F7F7F" w:themeColor="text1" w:themeTint="80"/>
              <w:right w:val="nil"/>
            </w:tcBorders>
            <w:shd w:val="clear" w:color="auto" w:fill="auto"/>
            <w:vAlign w:val="center"/>
            <w:hideMark/>
          </w:tcPr>
          <w:p w14:paraId="0D794F54" w14:textId="77777777" w:rsidR="005F49C6" w:rsidRPr="00B45B4E" w:rsidRDefault="005F49C6" w:rsidP="00812FE0">
            <w:pPr>
              <w:spacing w:after="0" w:line="240" w:lineRule="auto"/>
              <w:jc w:val="both"/>
              <w:rPr>
                <w:rFonts w:ascii="Verdana" w:hAnsi="Verdana" w:cs="Arial"/>
                <w:sz w:val="16"/>
                <w:szCs w:val="16"/>
              </w:rPr>
            </w:pPr>
            <w:r w:rsidRPr="00B45B4E">
              <w:rPr>
                <w:rFonts w:ascii="Verdana" w:hAnsi="Verdana" w:cs="Arial"/>
                <w:sz w:val="16"/>
                <w:szCs w:val="16"/>
              </w:rPr>
              <w:t xml:space="preserve">Kelmis Yirama Brugés Alvarado </w:t>
            </w:r>
          </w:p>
          <w:p w14:paraId="01E4F368" w14:textId="77777777" w:rsidR="005F49C6" w:rsidRPr="00B45B4E" w:rsidRDefault="005F49C6" w:rsidP="00812FE0">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Analista T2-04 de la Subdirección de Gestión Contractual</w:t>
            </w:r>
          </w:p>
        </w:tc>
      </w:tr>
      <w:tr w:rsidR="005F49C6" w:rsidRPr="00B45B4E" w14:paraId="461B1C6F" w14:textId="77777777" w:rsidTr="00812FE0">
        <w:trPr>
          <w:trHeight w:val="315"/>
        </w:trPr>
        <w:tc>
          <w:tcPr>
            <w:tcW w:w="857" w:type="dxa"/>
            <w:tcBorders>
              <w:top w:val="nil"/>
              <w:left w:val="nil"/>
              <w:bottom w:val="nil"/>
              <w:right w:val="nil"/>
            </w:tcBorders>
            <w:shd w:val="clear" w:color="auto" w:fill="auto"/>
            <w:vAlign w:val="center"/>
            <w:hideMark/>
          </w:tcPr>
          <w:p w14:paraId="75B3C44C" w14:textId="77777777" w:rsidR="005F49C6" w:rsidRPr="00B45B4E" w:rsidRDefault="005F49C6" w:rsidP="00812FE0">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Revisó: </w:t>
            </w:r>
          </w:p>
        </w:tc>
        <w:tc>
          <w:tcPr>
            <w:tcW w:w="4363"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0C7E999D" w14:textId="58ABCC21" w:rsidR="005F49C6" w:rsidRPr="00B45B4E" w:rsidRDefault="00A13C6C" w:rsidP="00812FE0">
            <w:pPr>
              <w:spacing w:after="0" w:line="240" w:lineRule="auto"/>
              <w:jc w:val="both"/>
              <w:rPr>
                <w:rFonts w:ascii="Verdana" w:hAnsi="Verdana" w:cs="Arial"/>
                <w:sz w:val="16"/>
                <w:szCs w:val="16"/>
              </w:rPr>
            </w:pPr>
            <w:r>
              <w:rPr>
                <w:rFonts w:ascii="Verdana" w:hAnsi="Verdana" w:cs="Arial"/>
                <w:sz w:val="16"/>
                <w:szCs w:val="16"/>
              </w:rPr>
              <w:t>Juan David Cárdenas</w:t>
            </w:r>
          </w:p>
          <w:p w14:paraId="6FD7D534" w14:textId="749172A5" w:rsidR="005F49C6" w:rsidRPr="00B45B4E" w:rsidRDefault="00A13C6C" w:rsidP="00812FE0">
            <w:pPr>
              <w:spacing w:after="0" w:line="240" w:lineRule="auto"/>
              <w:jc w:val="both"/>
              <w:rPr>
                <w:rFonts w:ascii="Verdana" w:hAnsi="Verdana" w:cs="Arial"/>
                <w:sz w:val="16"/>
                <w:szCs w:val="16"/>
              </w:rPr>
            </w:pPr>
            <w:r>
              <w:rPr>
                <w:rFonts w:ascii="Verdana" w:eastAsia="Calibri" w:hAnsi="Verdana" w:cs="Arial"/>
                <w:sz w:val="16"/>
                <w:szCs w:val="16"/>
              </w:rPr>
              <w:t>Contratista</w:t>
            </w:r>
            <w:r w:rsidR="005F49C6">
              <w:rPr>
                <w:rFonts w:ascii="Verdana" w:eastAsia="Calibri" w:hAnsi="Verdana" w:cs="Arial"/>
                <w:sz w:val="16"/>
                <w:szCs w:val="16"/>
              </w:rPr>
              <w:t xml:space="preserve"> </w:t>
            </w:r>
            <w:r w:rsidR="005F49C6" w:rsidRPr="00B45B4E">
              <w:rPr>
                <w:rFonts w:ascii="Verdana" w:eastAsia="Calibri" w:hAnsi="Verdana" w:cs="Arial"/>
                <w:sz w:val="16"/>
                <w:szCs w:val="16"/>
              </w:rPr>
              <w:t>de la Subdirección de Gestión Contractual</w:t>
            </w:r>
          </w:p>
        </w:tc>
      </w:tr>
      <w:tr w:rsidR="005F49C6" w:rsidRPr="00B45B4E" w14:paraId="3789C294" w14:textId="77777777" w:rsidTr="00812FE0">
        <w:trPr>
          <w:trHeight w:val="300"/>
        </w:trPr>
        <w:tc>
          <w:tcPr>
            <w:tcW w:w="857" w:type="dxa"/>
            <w:tcBorders>
              <w:top w:val="nil"/>
              <w:left w:val="nil"/>
              <w:bottom w:val="nil"/>
              <w:right w:val="nil"/>
            </w:tcBorders>
            <w:shd w:val="clear" w:color="auto" w:fill="auto"/>
            <w:vAlign w:val="center"/>
            <w:hideMark/>
          </w:tcPr>
          <w:p w14:paraId="191EA192" w14:textId="77777777" w:rsidR="005F49C6" w:rsidRPr="00B45B4E" w:rsidRDefault="005F49C6" w:rsidP="00812FE0">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Aprobó: </w:t>
            </w:r>
          </w:p>
        </w:tc>
        <w:tc>
          <w:tcPr>
            <w:tcW w:w="4363"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4729304F" w14:textId="77777777" w:rsidR="005F49C6" w:rsidRPr="00B45B4E" w:rsidRDefault="005F49C6" w:rsidP="00812FE0">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Carolina Quintero Gacharná</w:t>
            </w:r>
          </w:p>
          <w:p w14:paraId="122F317A" w14:textId="77777777" w:rsidR="005F49C6" w:rsidRPr="00B45B4E" w:rsidRDefault="005F49C6" w:rsidP="00812FE0">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 xml:space="preserve">Subdirectora de Gestión Contractual </w:t>
            </w:r>
          </w:p>
        </w:tc>
      </w:tr>
    </w:tbl>
    <w:p w14:paraId="3AFA7684" w14:textId="77777777" w:rsidR="005F49C6" w:rsidRPr="003E4ED7" w:rsidRDefault="005F49C6" w:rsidP="005F49C6">
      <w:pPr>
        <w:autoSpaceDE w:val="0"/>
        <w:autoSpaceDN w:val="0"/>
        <w:adjustRightInd w:val="0"/>
        <w:spacing w:after="0" w:line="276" w:lineRule="auto"/>
        <w:jc w:val="center"/>
        <w:rPr>
          <w:rFonts w:ascii="Verdana" w:eastAsia="Times New Roman" w:hAnsi="Verdana" w:cs="Arial"/>
          <w:noProof/>
          <w:lang w:eastAsia="es-MX"/>
        </w:rPr>
      </w:pPr>
    </w:p>
    <w:p w14:paraId="35A17C1F" w14:textId="77777777" w:rsidR="005F49C6" w:rsidRPr="00BC202D" w:rsidRDefault="005F49C6" w:rsidP="005F49C6">
      <w:pPr>
        <w:spacing w:after="0"/>
        <w:rPr>
          <w:rFonts w:ascii="Verdana" w:hAnsi="Verdana"/>
        </w:rPr>
      </w:pPr>
    </w:p>
    <w:p w14:paraId="2477222B" w14:textId="77777777" w:rsidR="005F49C6" w:rsidRPr="00BC0058" w:rsidRDefault="005F49C6" w:rsidP="00E245AB">
      <w:pPr>
        <w:spacing w:after="0"/>
        <w:rPr>
          <w:rFonts w:ascii="Verdana" w:hAnsi="Verdana"/>
        </w:rPr>
      </w:pPr>
    </w:p>
    <w:sectPr w:rsidR="005F49C6" w:rsidRPr="00BC0058"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7F95E" w14:textId="77777777" w:rsidR="00E205DF" w:rsidRDefault="00E205DF" w:rsidP="004A1847">
      <w:pPr>
        <w:spacing w:after="0" w:line="240" w:lineRule="auto"/>
      </w:pPr>
      <w:r>
        <w:separator/>
      </w:r>
    </w:p>
  </w:endnote>
  <w:endnote w:type="continuationSeparator" w:id="0">
    <w:p w14:paraId="45909757" w14:textId="77777777" w:rsidR="00E205DF" w:rsidRDefault="00E205DF" w:rsidP="004A1847">
      <w:pPr>
        <w:spacing w:after="0" w:line="240" w:lineRule="auto"/>
      </w:pPr>
      <w:r>
        <w:continuationSeparator/>
      </w:r>
    </w:p>
  </w:endnote>
  <w:endnote w:type="continuationNotice" w:id="1">
    <w:p w14:paraId="54BCD01E" w14:textId="77777777" w:rsidR="00E205DF" w:rsidRDefault="00E205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9200D" w14:textId="77777777" w:rsidR="00E205DF" w:rsidRDefault="00E205DF" w:rsidP="004A1847">
      <w:pPr>
        <w:spacing w:after="0" w:line="240" w:lineRule="auto"/>
      </w:pPr>
      <w:r>
        <w:separator/>
      </w:r>
    </w:p>
  </w:footnote>
  <w:footnote w:type="continuationSeparator" w:id="0">
    <w:p w14:paraId="1E54150E" w14:textId="77777777" w:rsidR="00E205DF" w:rsidRDefault="00E205DF" w:rsidP="004A1847">
      <w:pPr>
        <w:spacing w:after="0" w:line="240" w:lineRule="auto"/>
      </w:pPr>
      <w:r>
        <w:continuationSeparator/>
      </w:r>
    </w:p>
  </w:footnote>
  <w:footnote w:type="continuationNotice" w:id="1">
    <w:p w14:paraId="31BFEE6F" w14:textId="77777777" w:rsidR="00E205DF" w:rsidRDefault="00E205DF">
      <w:pPr>
        <w:spacing w:after="0" w:line="240" w:lineRule="auto"/>
      </w:pPr>
    </w:p>
  </w:footnote>
  <w:footnote w:id="2">
    <w:p w14:paraId="50CC24B2" w14:textId="77777777" w:rsidR="0060494A" w:rsidRPr="00D11A4A" w:rsidRDefault="0060494A" w:rsidP="0060494A">
      <w:pPr>
        <w:pStyle w:val="Textonotapie"/>
        <w:ind w:firstLine="709"/>
        <w:jc w:val="both"/>
        <w:rPr>
          <w:rFonts w:ascii="Verdana" w:hAnsi="Verdana" w:cs="Arial"/>
          <w:color w:val="000000"/>
          <w:sz w:val="10"/>
          <w:szCs w:val="10"/>
        </w:rPr>
      </w:pPr>
      <w:r w:rsidRPr="0070557D">
        <w:rPr>
          <w:rFonts w:ascii="Verdana" w:hAnsi="Verdana" w:cs="Arial"/>
          <w:sz w:val="10"/>
          <w:szCs w:val="10"/>
          <w:vertAlign w:val="superscript"/>
        </w:rPr>
        <w:footnoteRef/>
      </w:r>
      <w:r w:rsidRPr="0070557D">
        <w:rPr>
          <w:rFonts w:ascii="Verdana" w:hAnsi="Verdana" w:cs="Arial"/>
          <w:sz w:val="10"/>
          <w:szCs w:val="10"/>
        </w:rPr>
        <w:t xml:space="preserve"> </w:t>
      </w:r>
      <w:bookmarkStart w:id="6" w:name="_Hlk176814547"/>
      <w:r w:rsidRPr="0070557D">
        <w:rPr>
          <w:rFonts w:ascii="Verdana" w:hAnsi="Verdana" w:cs="Arial"/>
          <w:sz w:val="10"/>
          <w:szCs w:val="10"/>
        </w:rPr>
        <w:t>Decreto 1068 de 2015: “</w:t>
      </w:r>
      <w:r w:rsidRPr="00D11A4A">
        <w:rPr>
          <w:rFonts w:ascii="Verdana" w:hAnsi="Verdana" w:cs="Arial"/>
          <w:color w:val="000000"/>
          <w:sz w:val="10"/>
          <w:szCs w:val="10"/>
        </w:rPr>
        <w:t>Artículo 2.8.4.4.5</w:t>
      </w:r>
      <w:bookmarkEnd w:id="6"/>
      <w:r w:rsidRPr="00D11A4A">
        <w:rPr>
          <w:rFonts w:ascii="Verdana" w:hAnsi="Verdana" w:cs="Arial"/>
          <w:color w:val="000000"/>
          <w:sz w:val="10"/>
          <w:szCs w:val="10"/>
        </w:rPr>
        <w:t xml:space="preserve">.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42A8A358" w14:textId="77777777" w:rsidR="0060494A" w:rsidRPr="00D11A4A" w:rsidRDefault="0060494A" w:rsidP="0060494A">
      <w:pPr>
        <w:pStyle w:val="Textonotapie"/>
        <w:ind w:firstLine="709"/>
        <w:jc w:val="both"/>
        <w:rPr>
          <w:rFonts w:ascii="Verdana" w:hAnsi="Verdana" w:cs="Arial"/>
          <w:color w:val="000000"/>
          <w:sz w:val="10"/>
          <w:szCs w:val="10"/>
        </w:rPr>
      </w:pPr>
      <w:r w:rsidRPr="00D11A4A">
        <w:rPr>
          <w:rFonts w:ascii="Verdana" w:hAnsi="Verdana" w:cs="Arial"/>
          <w:color w:val="000000"/>
          <w:sz w:val="10"/>
          <w:szCs w:val="10"/>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A8F4946" w14:textId="77777777" w:rsidR="0060494A" w:rsidRPr="00D11A4A" w:rsidRDefault="0060494A" w:rsidP="0060494A">
      <w:pPr>
        <w:pStyle w:val="Textonotapie"/>
        <w:ind w:firstLine="708"/>
        <w:jc w:val="both"/>
        <w:rPr>
          <w:rFonts w:ascii="Verdana" w:hAnsi="Verdana" w:cs="Arial"/>
          <w:color w:val="000000"/>
          <w:sz w:val="10"/>
          <w:szCs w:val="10"/>
        </w:rPr>
      </w:pPr>
      <w:r w:rsidRPr="00D11A4A">
        <w:rPr>
          <w:rFonts w:ascii="Verdana" w:hAnsi="Verdana" w:cs="Arial"/>
          <w:color w:val="000000"/>
          <w:sz w:val="10"/>
          <w:szCs w:val="10"/>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45FAE842" w14:textId="77777777" w:rsidR="0060494A" w:rsidRPr="0037075B" w:rsidRDefault="0060494A" w:rsidP="0060494A">
      <w:pPr>
        <w:pStyle w:val="Textonotapie"/>
        <w:ind w:firstLine="708"/>
        <w:jc w:val="both"/>
        <w:rPr>
          <w:sz w:val="8"/>
          <w:szCs w:val="8"/>
        </w:rPr>
      </w:pPr>
    </w:p>
  </w:footnote>
  <w:footnote w:id="3">
    <w:p w14:paraId="45AD000C" w14:textId="77777777" w:rsidR="0060494A" w:rsidRPr="0070557D" w:rsidRDefault="0060494A" w:rsidP="0060494A">
      <w:pPr>
        <w:pStyle w:val="Textonotapie"/>
        <w:snapToGrid w:val="0"/>
        <w:ind w:firstLine="709"/>
        <w:jc w:val="both"/>
        <w:rPr>
          <w:rFonts w:ascii="Verdana" w:hAnsi="Verdana" w:cs="Arial"/>
          <w:color w:val="000000"/>
          <w:sz w:val="10"/>
          <w:szCs w:val="10"/>
          <w:lang w:val="es-ES"/>
        </w:rPr>
      </w:pPr>
      <w:r w:rsidRPr="0070557D">
        <w:rPr>
          <w:rFonts w:ascii="Verdana" w:hAnsi="Verdana" w:cs="Arial"/>
          <w:sz w:val="10"/>
          <w:szCs w:val="10"/>
          <w:vertAlign w:val="superscript"/>
        </w:rPr>
        <w:footnoteRef/>
      </w:r>
      <w:r w:rsidRPr="0070557D">
        <w:rPr>
          <w:rFonts w:ascii="Verdana" w:hAnsi="Verdana" w:cs="Arial"/>
          <w:color w:val="000000"/>
          <w:sz w:val="10"/>
          <w:szCs w:val="10"/>
        </w:rPr>
        <w:t xml:space="preserve"> </w:t>
      </w:r>
      <w:r w:rsidRPr="0070557D">
        <w:rPr>
          <w:rFonts w:ascii="Verdana" w:hAnsi="Verdana" w:cs="Arial"/>
          <w:color w:val="000000"/>
          <w:sz w:val="10"/>
          <w:szCs w:val="10"/>
          <w:lang w:val="es-ES"/>
        </w:rPr>
        <w:t xml:space="preserve">El </w:t>
      </w:r>
      <w:bookmarkStart w:id="7" w:name="_Hlk176814562"/>
      <w:r w:rsidRPr="0070557D">
        <w:rPr>
          <w:rFonts w:ascii="Verdana" w:hAnsi="Verdana" w:cs="Arial"/>
          <w:color w:val="000000"/>
          <w:sz w:val="10"/>
          <w:szCs w:val="10"/>
          <w:lang w:val="es-ES"/>
        </w:rPr>
        <w:t xml:space="preserve">artículo 22 del Código Sustantivo del Trabajo </w:t>
      </w:r>
      <w:bookmarkEnd w:id="7"/>
      <w:r w:rsidRPr="0070557D">
        <w:rPr>
          <w:rFonts w:ascii="Verdana" w:hAnsi="Verdana" w:cs="Arial"/>
          <w:color w:val="000000"/>
          <w:sz w:val="10"/>
          <w:szCs w:val="10"/>
          <w:lang w:val="es-ES"/>
        </w:rPr>
        <w:t>establece: “1. Contrato de trabajo es aquel por el cual una persona natural se obliga a prestar un servicio personal a otra persona, natural o jurídica, bajo la continuada dependencia o subordinación de la segunda y mediante remuneración.</w:t>
      </w:r>
    </w:p>
    <w:p w14:paraId="18E79E8F" w14:textId="77777777" w:rsidR="0060494A" w:rsidRPr="0070557D" w:rsidRDefault="0060494A" w:rsidP="0060494A">
      <w:pPr>
        <w:pStyle w:val="Textonotapie"/>
        <w:snapToGrid w:val="0"/>
        <w:ind w:firstLine="709"/>
        <w:jc w:val="both"/>
        <w:rPr>
          <w:rFonts w:ascii="Verdana" w:hAnsi="Verdana" w:cs="Arial"/>
          <w:color w:val="000000"/>
          <w:sz w:val="10"/>
          <w:szCs w:val="10"/>
          <w:lang w:val="es-ES"/>
        </w:rPr>
      </w:pPr>
      <w:r w:rsidRPr="0070557D">
        <w:rPr>
          <w:rFonts w:ascii="Verdana" w:hAnsi="Verdana" w:cs="Arial"/>
          <w:color w:val="000000"/>
          <w:sz w:val="10"/>
          <w:szCs w:val="10"/>
          <w:lang w:val="es-ES"/>
        </w:rPr>
        <w:t>2. Quien presta el servicio se denomina trabajador, quien lo recibe y remunera, empleador, y la remuneración, cualquiera que sea su forma, salario”.</w:t>
      </w:r>
    </w:p>
    <w:p w14:paraId="08BA9165" w14:textId="77777777" w:rsidR="0060494A" w:rsidRPr="0037075B" w:rsidRDefault="0060494A" w:rsidP="0060494A">
      <w:pPr>
        <w:pStyle w:val="Textonotapie"/>
        <w:snapToGrid w:val="0"/>
        <w:ind w:firstLine="709"/>
        <w:jc w:val="both"/>
        <w:rPr>
          <w:sz w:val="8"/>
          <w:szCs w:val="8"/>
        </w:rPr>
      </w:pPr>
    </w:p>
  </w:footnote>
  <w:footnote w:id="4">
    <w:p w14:paraId="78688111"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r w:rsidRPr="00C977E0">
        <w:rPr>
          <w:rFonts w:ascii="Arial" w:hAnsi="Arial" w:cs="Arial"/>
          <w:color w:val="000000"/>
          <w:sz w:val="10"/>
          <w:szCs w:val="10"/>
          <w:lang w:val="es-ES"/>
        </w:rPr>
        <w:t>Corte Constitucional Sentencia C-154 de 1997, Magistrado Ponente Dr. Hernando Herrera Vergara</w:t>
      </w:r>
    </w:p>
    <w:p w14:paraId="5C2C5DEA" w14:textId="77777777" w:rsidR="0060494A" w:rsidRPr="0037075B" w:rsidRDefault="0060494A" w:rsidP="0060494A">
      <w:pPr>
        <w:pStyle w:val="Textonotapie"/>
        <w:snapToGrid w:val="0"/>
        <w:ind w:firstLine="709"/>
        <w:jc w:val="both"/>
        <w:rPr>
          <w:sz w:val="8"/>
          <w:szCs w:val="8"/>
        </w:rPr>
      </w:pPr>
    </w:p>
  </w:footnote>
  <w:footnote w:id="5">
    <w:p w14:paraId="2D1BB3D9"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bookmarkStart w:id="9" w:name="_Hlk176814586"/>
      <w:r w:rsidRPr="00C977E0">
        <w:rPr>
          <w:rFonts w:ascii="Arial" w:hAnsi="Arial" w:cs="Arial"/>
          <w:color w:val="000000"/>
          <w:sz w:val="10"/>
          <w:szCs w:val="10"/>
          <w:lang w:val="es-ES"/>
        </w:rPr>
        <w:t xml:space="preserve">El Decreto 1082 de 2015 lo establece así: “Artículo 2.2.1.2.1.4.9. </w:t>
      </w:r>
      <w:bookmarkEnd w:id="9"/>
      <w:r w:rsidRPr="00C977E0">
        <w:rPr>
          <w:rFonts w:ascii="Arial" w:hAnsi="Arial" w:cs="Arial"/>
          <w:color w:val="000000"/>
          <w:sz w:val="10"/>
          <w:szCs w:val="10"/>
          <w:lang w:val="es-ES"/>
        </w:rPr>
        <w:t>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ACF5D82"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042F741" w14:textId="77777777" w:rsidR="0060494A" w:rsidRDefault="0060494A" w:rsidP="0060494A">
      <w:pPr>
        <w:pStyle w:val="Textonotapie"/>
        <w:snapToGrid w:val="0"/>
        <w:ind w:firstLine="709"/>
        <w:jc w:val="both"/>
      </w:pPr>
      <w:r w:rsidRPr="00C977E0">
        <w:rPr>
          <w:rFonts w:ascii="Arial" w:hAnsi="Arial" w:cs="Arial"/>
          <w:color w:val="000000"/>
          <w:sz w:val="10"/>
          <w:szCs w:val="10"/>
          <w:lang w:val="es-ES"/>
        </w:rPr>
        <w:t>La Entidad Estatal, para la contratación de trabajos artísticos que solamente puedan en­comendarse a determinadas personas naturales, debe justificar esta situación en los estudios y documentos previos”.</w:t>
      </w:r>
    </w:p>
  </w:footnote>
  <w:footnote w:id="6">
    <w:p w14:paraId="441446D7" w14:textId="77777777" w:rsidR="0060494A" w:rsidRPr="00C977E0" w:rsidRDefault="0060494A" w:rsidP="0060494A">
      <w:pPr>
        <w:pStyle w:val="Textonotapie"/>
        <w:snapToGrid w:val="0"/>
        <w:ind w:firstLine="709"/>
        <w:jc w:val="both"/>
        <w:rPr>
          <w:rFonts w:ascii="Arial" w:hAnsi="Arial" w:cs="Arial"/>
          <w:color w:val="000000"/>
          <w:sz w:val="10"/>
          <w:szCs w:val="10"/>
        </w:rPr>
      </w:pPr>
    </w:p>
    <w:p w14:paraId="58EE71DB"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r w:rsidRPr="00C977E0">
        <w:rPr>
          <w:rFonts w:ascii="Arial" w:hAnsi="Arial" w:cs="Arial"/>
          <w:color w:val="000000"/>
          <w:sz w:val="10"/>
          <w:szCs w:val="10"/>
          <w:lang w:val="es-ES"/>
        </w:rPr>
        <w:t xml:space="preserve">Así lo prevé el </w:t>
      </w:r>
      <w:bookmarkStart w:id="10" w:name="_Hlk176814610"/>
      <w:r w:rsidRPr="00C977E0">
        <w:rPr>
          <w:rFonts w:ascii="Arial" w:hAnsi="Arial" w:cs="Arial"/>
          <w:color w:val="000000"/>
          <w:sz w:val="10"/>
          <w:szCs w:val="10"/>
          <w:lang w:val="es-ES"/>
        </w:rPr>
        <w:t>artículo 2.2.1.2.1.4.1. del Decreto 1082 de 2015</w:t>
      </w:r>
      <w:bookmarkEnd w:id="10"/>
      <w:r w:rsidRPr="00C977E0">
        <w:rPr>
          <w:rFonts w:ascii="Arial" w:hAnsi="Arial" w:cs="Arial"/>
          <w:color w:val="000000"/>
          <w:sz w:val="10"/>
          <w:szCs w:val="10"/>
          <w:lang w:val="es-ES"/>
        </w:rPr>
        <w:t>: “La Entidad Estatal debe señalar en un acto administrativo la justificación para contratar bajo la modalidad de contratación directa, el cual debe contener:</w:t>
      </w:r>
    </w:p>
    <w:p w14:paraId="4E92D0E6"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1. La causal que invoca para contratar directamente.</w:t>
      </w:r>
    </w:p>
    <w:p w14:paraId="7164E86F"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2. El objeto del contrato.</w:t>
      </w:r>
    </w:p>
    <w:p w14:paraId="4735E535"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3. El presupuesto para la contratación y las condiciones que exigirá al contratista.</w:t>
      </w:r>
    </w:p>
    <w:p w14:paraId="79A6F7E5"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4. El lugar en el cual los interesados pueden consultar los estudios y documentos previos.</w:t>
      </w:r>
    </w:p>
    <w:p w14:paraId="1580FDA3" w14:textId="77777777" w:rsidR="0060494A" w:rsidRDefault="0060494A" w:rsidP="0060494A">
      <w:pPr>
        <w:pStyle w:val="Textonotapie"/>
        <w:snapToGrid w:val="0"/>
        <w:ind w:firstLine="709"/>
        <w:jc w:val="both"/>
      </w:pPr>
      <w:r w:rsidRPr="00C977E0">
        <w:rPr>
          <w:rFonts w:ascii="Arial" w:hAnsi="Arial" w:cs="Arial"/>
          <w:color w:val="000000"/>
          <w:sz w:val="10"/>
          <w:szCs w:val="10"/>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7">
    <w:p w14:paraId="108F09FE" w14:textId="77777777" w:rsidR="0060494A" w:rsidRPr="00C977E0" w:rsidRDefault="0060494A" w:rsidP="0060494A">
      <w:pPr>
        <w:pStyle w:val="Textonotapie"/>
        <w:snapToGrid w:val="0"/>
        <w:ind w:firstLine="709"/>
        <w:jc w:val="both"/>
        <w:rPr>
          <w:rFonts w:ascii="Arial" w:hAnsi="Arial" w:cs="Arial"/>
          <w:color w:val="000000"/>
          <w:sz w:val="10"/>
          <w:szCs w:val="10"/>
        </w:rPr>
      </w:pPr>
    </w:p>
    <w:p w14:paraId="5A7F1C74"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r w:rsidRPr="00C977E0">
        <w:rPr>
          <w:rFonts w:ascii="Arial" w:hAnsi="Arial" w:cs="Arial"/>
          <w:color w:val="000000"/>
          <w:sz w:val="10"/>
          <w:szCs w:val="10"/>
          <w:lang w:val="es-ES"/>
        </w:rPr>
        <w:t>Esta norma expresa: “</w:t>
      </w:r>
      <w:r w:rsidRPr="00C977E0">
        <w:rPr>
          <w:rFonts w:ascii="Arial" w:hAnsi="Arial" w:cs="Arial"/>
          <w:color w:val="000000"/>
          <w:sz w:val="10"/>
          <w:szCs w:val="10"/>
        </w:rPr>
        <w:t>P</w:t>
      </w:r>
      <w:r w:rsidRPr="00C977E0">
        <w:rPr>
          <w:rFonts w:ascii="Arial" w:hAnsi="Arial" w:cs="Arial"/>
          <w:color w:val="000000"/>
          <w:sz w:val="10"/>
          <w:szCs w:val="10"/>
          <w:lang w:val="es-ES"/>
        </w:rPr>
        <w:t>ara el cumplimiento de los fines de la contratación, las entidades estatales al celebrar un contrato:</w:t>
      </w:r>
    </w:p>
    <w:p w14:paraId="59737D68"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w:t>
      </w:r>
    </w:p>
    <w:p w14:paraId="3E9EF4DE"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w:t>
      </w:r>
      <w:r w:rsidRPr="00DF359B">
        <w:rPr>
          <w:rFonts w:ascii="Arial" w:hAnsi="Arial" w:cs="Arial"/>
          <w:color w:val="000000"/>
          <w:sz w:val="14"/>
          <w:szCs w:val="14"/>
          <w:lang w:val="es-ES"/>
        </w:rPr>
        <w:t xml:space="preserve"> </w:t>
      </w:r>
      <w:r w:rsidRPr="00C977E0">
        <w:rPr>
          <w:rFonts w:ascii="Arial" w:hAnsi="Arial" w:cs="Arial"/>
          <w:color w:val="000000"/>
          <w:sz w:val="10"/>
          <w:szCs w:val="10"/>
          <w:lang w:val="es-ES"/>
        </w:rPr>
        <w:t>estatal, la prestación de servicios públicos o la explotación y concesión de bienes del Estado, así como en los contratos de obra. En los contratos de explotación y concesión de bienes del Estado se incluirá la cláusula de reversión.</w:t>
      </w:r>
    </w:p>
    <w:p w14:paraId="7324CCAD"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Las entidades estatales podrán pactar estas cláusulas en los contratos de suministro y de prestación de servicios.</w:t>
      </w:r>
    </w:p>
    <w:p w14:paraId="65CCF57E" w14:textId="77777777" w:rsidR="0060494A" w:rsidRDefault="0060494A" w:rsidP="0060494A">
      <w:pPr>
        <w:pStyle w:val="Textonotapie"/>
        <w:snapToGrid w:val="0"/>
        <w:ind w:firstLine="709"/>
        <w:jc w:val="both"/>
      </w:pPr>
      <w:r w:rsidRPr="00C977E0">
        <w:rPr>
          <w:rFonts w:ascii="Arial" w:hAnsi="Arial" w:cs="Arial"/>
          <w:color w:val="000000"/>
          <w:sz w:val="10"/>
          <w:szCs w:val="10"/>
          <w:lang w:val="es-ES"/>
        </w:rPr>
        <w:t>[…]”.</w:t>
      </w:r>
    </w:p>
  </w:footnote>
  <w:footnote w:id="8">
    <w:p w14:paraId="02F2CB4D"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r w:rsidRPr="00C977E0">
        <w:rPr>
          <w:rFonts w:ascii="Arial" w:hAnsi="Arial" w:cs="Arial"/>
          <w:color w:val="000000"/>
          <w:sz w:val="10"/>
          <w:szCs w:val="10"/>
          <w:lang w:val="es-ES"/>
        </w:rPr>
        <w:t>La norma dispone: “La liquidación a que se refiere el presente artículo no será obligatoria en los contratos de prestación de servicios profesionales y de apoyo a la gestión”.</w:t>
      </w:r>
    </w:p>
    <w:p w14:paraId="376E0B5C" w14:textId="77777777" w:rsidR="0060494A" w:rsidRPr="00B617C0" w:rsidRDefault="0060494A" w:rsidP="0060494A">
      <w:pPr>
        <w:pStyle w:val="Textonotapie"/>
        <w:snapToGrid w:val="0"/>
        <w:ind w:firstLine="709"/>
        <w:jc w:val="both"/>
        <w:rPr>
          <w:sz w:val="8"/>
          <w:szCs w:val="8"/>
        </w:rPr>
      </w:pPr>
    </w:p>
  </w:footnote>
  <w:footnote w:id="9">
    <w:p w14:paraId="13B69FB8" w14:textId="77777777" w:rsidR="0060494A" w:rsidRPr="00C977E0" w:rsidRDefault="0060494A" w:rsidP="0060494A">
      <w:pPr>
        <w:pStyle w:val="Textonotapie"/>
        <w:snapToGrid w:val="0"/>
        <w:ind w:firstLine="709"/>
        <w:jc w:val="both"/>
        <w:rPr>
          <w:rFonts w:ascii="Arial" w:hAnsi="Arial" w:cs="Arial"/>
          <w:color w:val="000000"/>
          <w:sz w:val="10"/>
          <w:szCs w:val="10"/>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01A1169" w14:textId="77777777" w:rsidR="0060494A" w:rsidRPr="00C977E0" w:rsidRDefault="0060494A" w:rsidP="0060494A">
      <w:pPr>
        <w:pStyle w:val="Textonotapie"/>
        <w:snapToGrid w:val="0"/>
        <w:ind w:firstLine="709"/>
        <w:jc w:val="both"/>
        <w:rPr>
          <w:rFonts w:ascii="Arial" w:hAnsi="Arial" w:cs="Arial"/>
          <w:color w:val="000000"/>
          <w:sz w:val="10"/>
          <w:szCs w:val="10"/>
        </w:rPr>
      </w:pPr>
      <w:r w:rsidRPr="00C977E0">
        <w:rPr>
          <w:rFonts w:ascii="Arial" w:hAnsi="Arial" w:cs="Arial"/>
          <w:color w:val="000000"/>
          <w:sz w:val="10"/>
          <w:szCs w:val="10"/>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31AD27E" w14:textId="77777777" w:rsidR="0060494A" w:rsidRPr="00C977E0" w:rsidRDefault="0060494A" w:rsidP="0060494A">
      <w:pPr>
        <w:pStyle w:val="Textonotapie"/>
        <w:snapToGrid w:val="0"/>
        <w:ind w:firstLine="709"/>
        <w:jc w:val="both"/>
        <w:rPr>
          <w:rFonts w:ascii="Arial" w:hAnsi="Arial" w:cs="Arial"/>
          <w:color w:val="000000"/>
          <w:sz w:val="10"/>
          <w:szCs w:val="10"/>
        </w:rPr>
      </w:pPr>
      <w:r w:rsidRPr="00C977E0">
        <w:rPr>
          <w:rFonts w:ascii="Arial" w:hAnsi="Arial" w:cs="Arial"/>
          <w:color w:val="000000"/>
          <w:sz w:val="10"/>
          <w:szCs w:val="10"/>
        </w:rPr>
        <w:t>[…]”.</w:t>
      </w:r>
    </w:p>
    <w:p w14:paraId="170A1473" w14:textId="77777777" w:rsidR="0060494A" w:rsidRPr="00A70447" w:rsidRDefault="0060494A" w:rsidP="0060494A">
      <w:pPr>
        <w:pStyle w:val="Textonotapie"/>
        <w:snapToGrid w:val="0"/>
        <w:ind w:firstLine="709"/>
        <w:jc w:val="both"/>
        <w:rPr>
          <w:sz w:val="8"/>
          <w:szCs w:val="8"/>
        </w:rPr>
      </w:pPr>
    </w:p>
  </w:footnote>
  <w:footnote w:id="10">
    <w:p w14:paraId="78BF5019" w14:textId="77777777" w:rsidR="0060494A" w:rsidRPr="00C977E0" w:rsidRDefault="0060494A" w:rsidP="006049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r w:rsidRPr="00C977E0">
        <w:rPr>
          <w:rFonts w:ascii="Arial" w:hAnsi="Arial" w:cs="Arial"/>
          <w:color w:val="000000"/>
          <w:sz w:val="10"/>
          <w:szCs w:val="10"/>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5E70C47E" w14:textId="77777777" w:rsidR="0060494A" w:rsidRDefault="0060494A" w:rsidP="0060494A">
      <w:pPr>
        <w:pStyle w:val="Textonotapie"/>
        <w:snapToGrid w:val="0"/>
        <w:ind w:firstLine="709"/>
        <w:jc w:val="both"/>
      </w:pPr>
    </w:p>
  </w:footnote>
  <w:footnote w:id="11">
    <w:p w14:paraId="272F07E4" w14:textId="77777777" w:rsidR="0060494A" w:rsidRPr="00194AC4" w:rsidRDefault="0060494A" w:rsidP="0060494A">
      <w:pPr>
        <w:pStyle w:val="Textonotapie"/>
        <w:jc w:val="both"/>
        <w:rPr>
          <w:sz w:val="16"/>
          <w:szCs w:val="16"/>
          <w:lang w:val="es-CO"/>
        </w:rPr>
      </w:pPr>
      <w:r w:rsidRPr="00194AC4">
        <w:rPr>
          <w:sz w:val="16"/>
          <w:szCs w:val="16"/>
          <w:vertAlign w:val="superscript"/>
        </w:rPr>
        <w:footnoteRef/>
      </w:r>
      <w:r w:rsidRPr="00194AC4">
        <w:rPr>
          <w:sz w:val="16"/>
          <w:szCs w:val="16"/>
        </w:rPr>
        <w:t xml:space="preserve"> </w:t>
      </w:r>
      <w:r w:rsidRPr="00194AC4">
        <w:rPr>
          <w:sz w:val="16"/>
          <w:szCs w:val="16"/>
          <w:lang w:val="es-CO"/>
        </w:rPr>
        <w:t xml:space="preserve">Corte Constitucional. Sentencia T-1210 del 2008 “Desde este panorama, puede concluirse que, aún en el seno del contrato de prestación de servicios, puede predicarse ciertas garantías de la que gozan las relaciones laborales, al cobrar importancia los principios de estabilidad laboral a ciertos sujetos y de primacía de la realidad sobre las formalidades establecidas por las partes del contrato laboral, y en los eventos en que se pueda advertir la desnaturalización del contrato de prestación de servicios”. </w:t>
      </w:r>
    </w:p>
    <w:p w14:paraId="524E81CE" w14:textId="77777777" w:rsidR="0060494A" w:rsidRPr="007B0F3E" w:rsidRDefault="0060494A" w:rsidP="0060494A">
      <w:pPr>
        <w:pStyle w:val="Textonotapie"/>
        <w:jc w:val="both"/>
        <w:rPr>
          <w:lang w:val="es-CO"/>
        </w:rPr>
      </w:pPr>
    </w:p>
    <w:p w14:paraId="28D69CB8" w14:textId="77777777" w:rsidR="0060494A" w:rsidRDefault="0060494A" w:rsidP="0060494A">
      <w:pPr>
        <w:pStyle w:val="Textonotapi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29689191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2024543119" name="Imagen 202454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30" type="#_x0000_t75" style="width:11.25pt;height:11.25pt" o:bullet="t">
        <v:imagedata r:id="rId1" o:title="mso1B13"/>
      </v:shape>
    </w:pict>
  </w:numPicBullet>
  <w:abstractNum w:abstractNumId="0" w15:restartNumberingAfterBreak="0">
    <w:nsid w:val="01C06310"/>
    <w:multiLevelType w:val="multilevel"/>
    <w:tmpl w:val="FFFFFFFF"/>
    <w:lvl w:ilvl="0">
      <w:start w:val="1"/>
      <w:numFmt w:val="decimal"/>
      <w:lvlText w:val="%1."/>
      <w:lvlJc w:val="left"/>
      <w:pPr>
        <w:ind w:left="6601" w:hanging="360"/>
      </w:pPr>
      <w:rPr>
        <w:rFonts w:cs="Times New Roman"/>
        <w:b/>
        <w:color w:val="000000" w:themeColor="text1"/>
      </w:rPr>
    </w:lvl>
    <w:lvl w:ilvl="1">
      <w:start w:val="2"/>
      <w:numFmt w:val="decimal"/>
      <w:isLgl/>
      <w:lvlText w:val="%1.%2"/>
      <w:lvlJc w:val="left"/>
      <w:pPr>
        <w:ind w:left="6241" w:hanging="360"/>
      </w:pPr>
      <w:rPr>
        <w:rFonts w:cs="Times New Roman"/>
      </w:rPr>
    </w:lvl>
    <w:lvl w:ilvl="2">
      <w:start w:val="1"/>
      <w:numFmt w:val="decimal"/>
      <w:isLgl/>
      <w:lvlText w:val="%1.%2.%3"/>
      <w:lvlJc w:val="left"/>
      <w:pPr>
        <w:ind w:left="6961" w:hanging="720"/>
      </w:pPr>
      <w:rPr>
        <w:rFonts w:cs="Times New Roman"/>
      </w:rPr>
    </w:lvl>
    <w:lvl w:ilvl="3">
      <w:start w:val="1"/>
      <w:numFmt w:val="decimal"/>
      <w:isLgl/>
      <w:lvlText w:val="%1.%2.%3.%4"/>
      <w:lvlJc w:val="left"/>
      <w:pPr>
        <w:ind w:left="6961" w:hanging="720"/>
      </w:pPr>
      <w:rPr>
        <w:rFonts w:cs="Times New Roman"/>
      </w:rPr>
    </w:lvl>
    <w:lvl w:ilvl="4">
      <w:start w:val="1"/>
      <w:numFmt w:val="decimal"/>
      <w:isLgl/>
      <w:lvlText w:val="%1.%2.%3.%4.%5"/>
      <w:lvlJc w:val="left"/>
      <w:pPr>
        <w:ind w:left="7321" w:hanging="1080"/>
      </w:pPr>
      <w:rPr>
        <w:rFonts w:cs="Times New Roman"/>
      </w:rPr>
    </w:lvl>
    <w:lvl w:ilvl="5">
      <w:start w:val="1"/>
      <w:numFmt w:val="decimal"/>
      <w:isLgl/>
      <w:lvlText w:val="%1.%2.%3.%4.%5.%6"/>
      <w:lvlJc w:val="left"/>
      <w:pPr>
        <w:ind w:left="7321" w:hanging="1080"/>
      </w:pPr>
      <w:rPr>
        <w:rFonts w:cs="Times New Roman"/>
      </w:rPr>
    </w:lvl>
    <w:lvl w:ilvl="6">
      <w:start w:val="1"/>
      <w:numFmt w:val="decimal"/>
      <w:isLgl/>
      <w:lvlText w:val="%1.%2.%3.%4.%5.%6.%7"/>
      <w:lvlJc w:val="left"/>
      <w:pPr>
        <w:ind w:left="7681" w:hanging="1440"/>
      </w:pPr>
      <w:rPr>
        <w:rFonts w:cs="Times New Roman"/>
      </w:rPr>
    </w:lvl>
    <w:lvl w:ilvl="7">
      <w:start w:val="1"/>
      <w:numFmt w:val="decimal"/>
      <w:isLgl/>
      <w:lvlText w:val="%1.%2.%3.%4.%5.%6.%7.%8"/>
      <w:lvlJc w:val="left"/>
      <w:pPr>
        <w:ind w:left="7681" w:hanging="1440"/>
      </w:pPr>
      <w:rPr>
        <w:rFonts w:cs="Times New Roman"/>
      </w:rPr>
    </w:lvl>
    <w:lvl w:ilvl="8">
      <w:start w:val="1"/>
      <w:numFmt w:val="decimal"/>
      <w:isLgl/>
      <w:lvlText w:val="%1.%2.%3.%4.%5.%6.%7.%8.%9"/>
      <w:lvlJc w:val="left"/>
      <w:pPr>
        <w:ind w:left="8041" w:hanging="1800"/>
      </w:pPr>
      <w:rPr>
        <w:rFonts w:cs="Times New Roman"/>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37355C9"/>
    <w:multiLevelType w:val="hybridMultilevel"/>
    <w:tmpl w:val="7C38CD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E13884"/>
    <w:multiLevelType w:val="hybridMultilevel"/>
    <w:tmpl w:val="D80A76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C05C6B"/>
    <w:multiLevelType w:val="hybridMultilevel"/>
    <w:tmpl w:val="D8A6E2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876159E"/>
    <w:multiLevelType w:val="multilevel"/>
    <w:tmpl w:val="1E4E097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5D6710E3"/>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D3394C"/>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7"/>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1"/>
  </w:num>
  <w:num w:numId="13" w16cid:durableId="1512908409">
    <w:abstractNumId w:val="4"/>
  </w:num>
  <w:num w:numId="14" w16cid:durableId="895897244">
    <w:abstractNumId w:val="19"/>
  </w:num>
  <w:num w:numId="15" w16cid:durableId="390349800">
    <w:abstractNumId w:val="15"/>
  </w:num>
  <w:num w:numId="16" w16cid:durableId="293803248">
    <w:abstractNumId w:val="0"/>
  </w:num>
  <w:num w:numId="17" w16cid:durableId="1421289862">
    <w:abstractNumId w:val="5"/>
  </w:num>
  <w:num w:numId="18" w16cid:durableId="193731864">
    <w:abstractNumId w:val="14"/>
  </w:num>
  <w:num w:numId="19" w16cid:durableId="2110152555">
    <w:abstractNumId w:val="20"/>
  </w:num>
  <w:num w:numId="20" w16cid:durableId="679089576">
    <w:abstractNumId w:val="12"/>
  </w:num>
  <w:num w:numId="21" w16cid:durableId="633340128">
    <w:abstractNumId w:val="11"/>
  </w:num>
  <w:num w:numId="22" w16cid:durableId="1032001315">
    <w:abstractNumId w:val="13"/>
  </w:num>
  <w:num w:numId="23" w16cid:durableId="96098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17B"/>
    <w:rsid w:val="00016F78"/>
    <w:rsid w:val="00046945"/>
    <w:rsid w:val="00061B2A"/>
    <w:rsid w:val="000817E2"/>
    <w:rsid w:val="00082362"/>
    <w:rsid w:val="00093D34"/>
    <w:rsid w:val="000A683E"/>
    <w:rsid w:val="000B0A30"/>
    <w:rsid w:val="000B19B9"/>
    <w:rsid w:val="000B4D7E"/>
    <w:rsid w:val="000D0334"/>
    <w:rsid w:val="000E0832"/>
    <w:rsid w:val="000F6486"/>
    <w:rsid w:val="00106F23"/>
    <w:rsid w:val="001223DA"/>
    <w:rsid w:val="00125105"/>
    <w:rsid w:val="00127233"/>
    <w:rsid w:val="0013255A"/>
    <w:rsid w:val="001511A0"/>
    <w:rsid w:val="001924AA"/>
    <w:rsid w:val="00197581"/>
    <w:rsid w:val="001A663E"/>
    <w:rsid w:val="001B1022"/>
    <w:rsid w:val="001D5E98"/>
    <w:rsid w:val="001E00C2"/>
    <w:rsid w:val="001E4177"/>
    <w:rsid w:val="001F7DC6"/>
    <w:rsid w:val="00220CB6"/>
    <w:rsid w:val="00236FC1"/>
    <w:rsid w:val="002421BB"/>
    <w:rsid w:val="00242741"/>
    <w:rsid w:val="0025796E"/>
    <w:rsid w:val="00257FD5"/>
    <w:rsid w:val="00262A08"/>
    <w:rsid w:val="002707A2"/>
    <w:rsid w:val="00284522"/>
    <w:rsid w:val="00285597"/>
    <w:rsid w:val="00287C46"/>
    <w:rsid w:val="00293526"/>
    <w:rsid w:val="0029408A"/>
    <w:rsid w:val="002942CC"/>
    <w:rsid w:val="002951A0"/>
    <w:rsid w:val="002962BC"/>
    <w:rsid w:val="002A093D"/>
    <w:rsid w:val="002A0DD0"/>
    <w:rsid w:val="002A49AC"/>
    <w:rsid w:val="002A64FD"/>
    <w:rsid w:val="002C7A84"/>
    <w:rsid w:val="002D6764"/>
    <w:rsid w:val="002E4FD9"/>
    <w:rsid w:val="002F34F0"/>
    <w:rsid w:val="00322A85"/>
    <w:rsid w:val="00324168"/>
    <w:rsid w:val="003448F4"/>
    <w:rsid w:val="00361831"/>
    <w:rsid w:val="00374F5E"/>
    <w:rsid w:val="00377E3E"/>
    <w:rsid w:val="00391786"/>
    <w:rsid w:val="003A5AC0"/>
    <w:rsid w:val="003A779E"/>
    <w:rsid w:val="003C35AA"/>
    <w:rsid w:val="003C3BF3"/>
    <w:rsid w:val="003D0F4D"/>
    <w:rsid w:val="003D5B0D"/>
    <w:rsid w:val="003E0499"/>
    <w:rsid w:val="003E6827"/>
    <w:rsid w:val="003F21DD"/>
    <w:rsid w:val="003F3941"/>
    <w:rsid w:val="003F500A"/>
    <w:rsid w:val="00406575"/>
    <w:rsid w:val="004146AA"/>
    <w:rsid w:val="00414C74"/>
    <w:rsid w:val="00417B96"/>
    <w:rsid w:val="0042722E"/>
    <w:rsid w:val="00435D69"/>
    <w:rsid w:val="0044528D"/>
    <w:rsid w:val="00462899"/>
    <w:rsid w:val="00470A1E"/>
    <w:rsid w:val="004779B8"/>
    <w:rsid w:val="00496511"/>
    <w:rsid w:val="00497873"/>
    <w:rsid w:val="004A1847"/>
    <w:rsid w:val="004A305D"/>
    <w:rsid w:val="004C2EC3"/>
    <w:rsid w:val="004D6E4E"/>
    <w:rsid w:val="004D7F6B"/>
    <w:rsid w:val="004E65DA"/>
    <w:rsid w:val="004F21C4"/>
    <w:rsid w:val="004F685F"/>
    <w:rsid w:val="00513DC2"/>
    <w:rsid w:val="00515618"/>
    <w:rsid w:val="005162FF"/>
    <w:rsid w:val="0052196E"/>
    <w:rsid w:val="00533B89"/>
    <w:rsid w:val="00543F9B"/>
    <w:rsid w:val="005566E8"/>
    <w:rsid w:val="005661D9"/>
    <w:rsid w:val="00574867"/>
    <w:rsid w:val="00591460"/>
    <w:rsid w:val="00596E73"/>
    <w:rsid w:val="005B3816"/>
    <w:rsid w:val="005C24BA"/>
    <w:rsid w:val="005C3777"/>
    <w:rsid w:val="005C5CDC"/>
    <w:rsid w:val="005D3705"/>
    <w:rsid w:val="005D476C"/>
    <w:rsid w:val="005F02BC"/>
    <w:rsid w:val="005F49C6"/>
    <w:rsid w:val="0060494A"/>
    <w:rsid w:val="00607A94"/>
    <w:rsid w:val="006219F8"/>
    <w:rsid w:val="00665D70"/>
    <w:rsid w:val="00675E14"/>
    <w:rsid w:val="006900D9"/>
    <w:rsid w:val="00691CD3"/>
    <w:rsid w:val="006A021D"/>
    <w:rsid w:val="006A5DF4"/>
    <w:rsid w:val="006A7F1E"/>
    <w:rsid w:val="00706C16"/>
    <w:rsid w:val="00714847"/>
    <w:rsid w:val="00732195"/>
    <w:rsid w:val="00742579"/>
    <w:rsid w:val="0074386E"/>
    <w:rsid w:val="00756841"/>
    <w:rsid w:val="007649AB"/>
    <w:rsid w:val="00766694"/>
    <w:rsid w:val="007709B3"/>
    <w:rsid w:val="00771D0C"/>
    <w:rsid w:val="007833AC"/>
    <w:rsid w:val="00784FB9"/>
    <w:rsid w:val="007A5ACF"/>
    <w:rsid w:val="007B129D"/>
    <w:rsid w:val="007B1F06"/>
    <w:rsid w:val="007B268C"/>
    <w:rsid w:val="007B7171"/>
    <w:rsid w:val="007C0C0F"/>
    <w:rsid w:val="007C3DC2"/>
    <w:rsid w:val="007C4EC7"/>
    <w:rsid w:val="007D2CF0"/>
    <w:rsid w:val="007E5497"/>
    <w:rsid w:val="007E67F1"/>
    <w:rsid w:val="007E7AA1"/>
    <w:rsid w:val="007F2507"/>
    <w:rsid w:val="00806F5F"/>
    <w:rsid w:val="00815494"/>
    <w:rsid w:val="00820278"/>
    <w:rsid w:val="0083144A"/>
    <w:rsid w:val="00847A84"/>
    <w:rsid w:val="00864327"/>
    <w:rsid w:val="00867F95"/>
    <w:rsid w:val="00871967"/>
    <w:rsid w:val="00873145"/>
    <w:rsid w:val="008843B6"/>
    <w:rsid w:val="00891928"/>
    <w:rsid w:val="008A446D"/>
    <w:rsid w:val="008C5538"/>
    <w:rsid w:val="008D180B"/>
    <w:rsid w:val="008E202E"/>
    <w:rsid w:val="008F0EA7"/>
    <w:rsid w:val="00923EEF"/>
    <w:rsid w:val="009419F9"/>
    <w:rsid w:val="00942270"/>
    <w:rsid w:val="0095685E"/>
    <w:rsid w:val="00961B09"/>
    <w:rsid w:val="00965334"/>
    <w:rsid w:val="00965D43"/>
    <w:rsid w:val="0097093E"/>
    <w:rsid w:val="00986AC5"/>
    <w:rsid w:val="0099240C"/>
    <w:rsid w:val="009A0DFA"/>
    <w:rsid w:val="009A5786"/>
    <w:rsid w:val="009B2D26"/>
    <w:rsid w:val="009C5CC0"/>
    <w:rsid w:val="009C71FA"/>
    <w:rsid w:val="009C72E7"/>
    <w:rsid w:val="009C7F18"/>
    <w:rsid w:val="009D3058"/>
    <w:rsid w:val="009D4057"/>
    <w:rsid w:val="009F3A13"/>
    <w:rsid w:val="009F72C1"/>
    <w:rsid w:val="00A122D3"/>
    <w:rsid w:val="00A13C6C"/>
    <w:rsid w:val="00A17F13"/>
    <w:rsid w:val="00A20739"/>
    <w:rsid w:val="00A21F52"/>
    <w:rsid w:val="00A3180E"/>
    <w:rsid w:val="00A33C78"/>
    <w:rsid w:val="00A4620C"/>
    <w:rsid w:val="00A63B96"/>
    <w:rsid w:val="00A80075"/>
    <w:rsid w:val="00A81374"/>
    <w:rsid w:val="00AA1BB4"/>
    <w:rsid w:val="00AB0ADB"/>
    <w:rsid w:val="00AD7CFC"/>
    <w:rsid w:val="00B01B1A"/>
    <w:rsid w:val="00B06EFB"/>
    <w:rsid w:val="00B54C97"/>
    <w:rsid w:val="00B55836"/>
    <w:rsid w:val="00B66319"/>
    <w:rsid w:val="00B72CD3"/>
    <w:rsid w:val="00B72FFF"/>
    <w:rsid w:val="00BB5FAB"/>
    <w:rsid w:val="00BC0058"/>
    <w:rsid w:val="00BC3D36"/>
    <w:rsid w:val="00BD7F72"/>
    <w:rsid w:val="00C04FB3"/>
    <w:rsid w:val="00C065EB"/>
    <w:rsid w:val="00C17A68"/>
    <w:rsid w:val="00C330EB"/>
    <w:rsid w:val="00C3498A"/>
    <w:rsid w:val="00C41061"/>
    <w:rsid w:val="00C754BE"/>
    <w:rsid w:val="00C76B1C"/>
    <w:rsid w:val="00C8081E"/>
    <w:rsid w:val="00C856D3"/>
    <w:rsid w:val="00CB6357"/>
    <w:rsid w:val="00CC1B26"/>
    <w:rsid w:val="00D050A8"/>
    <w:rsid w:val="00D069B8"/>
    <w:rsid w:val="00D423A2"/>
    <w:rsid w:val="00D44F65"/>
    <w:rsid w:val="00D520D8"/>
    <w:rsid w:val="00D541E6"/>
    <w:rsid w:val="00D63AC2"/>
    <w:rsid w:val="00D73609"/>
    <w:rsid w:val="00D7383B"/>
    <w:rsid w:val="00D76E28"/>
    <w:rsid w:val="00D91559"/>
    <w:rsid w:val="00DA231B"/>
    <w:rsid w:val="00DB6925"/>
    <w:rsid w:val="00DC39FC"/>
    <w:rsid w:val="00DE25B6"/>
    <w:rsid w:val="00DE418E"/>
    <w:rsid w:val="00DE56E2"/>
    <w:rsid w:val="00DF5254"/>
    <w:rsid w:val="00E15164"/>
    <w:rsid w:val="00E15328"/>
    <w:rsid w:val="00E16408"/>
    <w:rsid w:val="00E205DF"/>
    <w:rsid w:val="00E20894"/>
    <w:rsid w:val="00E245AB"/>
    <w:rsid w:val="00E2764C"/>
    <w:rsid w:val="00E27F2E"/>
    <w:rsid w:val="00E42B35"/>
    <w:rsid w:val="00E50AFE"/>
    <w:rsid w:val="00E70DEF"/>
    <w:rsid w:val="00E75C92"/>
    <w:rsid w:val="00E771DC"/>
    <w:rsid w:val="00E8772A"/>
    <w:rsid w:val="00E90F6B"/>
    <w:rsid w:val="00E92C27"/>
    <w:rsid w:val="00E92CE8"/>
    <w:rsid w:val="00E97952"/>
    <w:rsid w:val="00EA0E3D"/>
    <w:rsid w:val="00EB4EA3"/>
    <w:rsid w:val="00EC38A7"/>
    <w:rsid w:val="00ED4531"/>
    <w:rsid w:val="00ED7384"/>
    <w:rsid w:val="00EE1AA8"/>
    <w:rsid w:val="00F02F33"/>
    <w:rsid w:val="00F06B96"/>
    <w:rsid w:val="00F2008B"/>
    <w:rsid w:val="00F219C3"/>
    <w:rsid w:val="00F31EDC"/>
    <w:rsid w:val="00F3546F"/>
    <w:rsid w:val="00F462B3"/>
    <w:rsid w:val="00F5664F"/>
    <w:rsid w:val="00F666C4"/>
    <w:rsid w:val="00F7092F"/>
    <w:rsid w:val="00F769B1"/>
    <w:rsid w:val="00F76AFC"/>
    <w:rsid w:val="00F96992"/>
    <w:rsid w:val="00FA47C0"/>
    <w:rsid w:val="00FB5DD1"/>
    <w:rsid w:val="00FC0F13"/>
    <w:rsid w:val="00FC2B5D"/>
    <w:rsid w:val="00FC35DB"/>
    <w:rsid w:val="00FD4937"/>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F219C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0494A"/>
    <w:rPr>
      <w:rFonts w:ascii="Geomanist Light" w:hAnsi="Geomanist Light"/>
      <w:lang w:val="es-ES"/>
    </w:rPr>
  </w:style>
  <w:style w:type="paragraph" w:styleId="Textoindependiente">
    <w:name w:val="Body Text"/>
    <w:basedOn w:val="Normal"/>
    <w:link w:val="TextoindependienteCar"/>
    <w:uiPriority w:val="1"/>
    <w:qFormat/>
    <w:rsid w:val="0060494A"/>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60494A"/>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4686300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0071287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hyperlink" Target="https://www.colombiacompra.gov.co/manuales-guias-y-pliegos-tipo/manuales-y-guias/guia-de-contratacion-publica-sostenible-y-socialmente"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www.colombiacompra.gov.co/content/02-documentos-tipo-para-los-procesos-de-seleccion-de-consultoria-de-obra-publica-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content/03-documentos-tipo-para-los-procesos-de-seleccion-de-interventoria-de-obra-publica-de" TargetMode="External"/><Relationship Id="rId20" Type="http://schemas.openxmlformats.org/officeDocument/2006/relationships/hyperlink" Target="https://word-edit.officeapps.live.com/we/www.colombiacompra.gov.c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ovaron5308@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mailto:ventanilladeradicacion@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7553A52-FAF9-4284-864D-77885E7340B8}"/>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4536</Words>
  <Characters>24951</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29429</CharactersWithSpaces>
  <SharedDoc>false</SharedDoc>
  <HLinks>
    <vt:vector size="60" baseType="variant">
      <vt:variant>
        <vt:i4>3604513</vt:i4>
      </vt:variant>
      <vt:variant>
        <vt:i4>27</vt:i4>
      </vt:variant>
      <vt:variant>
        <vt:i4>0</vt:i4>
      </vt:variant>
      <vt:variant>
        <vt:i4>5</vt:i4>
      </vt:variant>
      <vt:variant>
        <vt:lpwstr>https://word-edit.officeapps.live.com/we/www.colombiacompra.gov.co</vt:lpwstr>
      </vt:variant>
      <vt:variant>
        <vt:lpwstr/>
      </vt:variant>
      <vt:variant>
        <vt:i4>4980779</vt:i4>
      </vt:variant>
      <vt:variant>
        <vt:i4>24</vt:i4>
      </vt:variant>
      <vt:variant>
        <vt:i4>0</vt:i4>
      </vt:variant>
      <vt:variant>
        <vt:i4>5</vt:i4>
      </vt:variant>
      <vt:variant>
        <vt:lpwstr>mailto:ventanilladeradicacion@colombiacompra.gov.co</vt:lpwstr>
      </vt:variant>
      <vt:variant>
        <vt:lpwstr/>
      </vt:variant>
      <vt:variant>
        <vt:i4>6881336</vt:i4>
      </vt:variant>
      <vt:variant>
        <vt:i4>21</vt:i4>
      </vt:variant>
      <vt:variant>
        <vt:i4>0</vt:i4>
      </vt:variant>
      <vt:variant>
        <vt:i4>5</vt:i4>
      </vt:variant>
      <vt:variant>
        <vt:lpwstr>https://www.colombiacompra.gov.co/manuales-guias-y-pliegos-tipo/manuales-y-guias/guia-de-contratacion-publica-sostenible-y-socialmente</vt:lpwstr>
      </vt:variant>
      <vt:variant>
        <vt:lpwstr/>
      </vt:variant>
      <vt:variant>
        <vt:i4>1704014</vt:i4>
      </vt:variant>
      <vt:variant>
        <vt:i4>18</vt:i4>
      </vt:variant>
      <vt:variant>
        <vt:i4>0</vt:i4>
      </vt:variant>
      <vt:variant>
        <vt:i4>5</vt:i4>
      </vt:variant>
      <vt:variant>
        <vt:lpwstr>https://www.colombiacompra.gov.co/content/02-documentos-tipo-para-los-procesos-de-seleccion-de-consultoria-de-obra-publica-de</vt:lpwstr>
      </vt:variant>
      <vt:variant>
        <vt:lpwstr/>
      </vt:variant>
      <vt:variant>
        <vt:i4>6881325</vt:i4>
      </vt:variant>
      <vt:variant>
        <vt:i4>15</vt:i4>
      </vt:variant>
      <vt:variant>
        <vt:i4>0</vt:i4>
      </vt:variant>
      <vt:variant>
        <vt:i4>5</vt:i4>
      </vt:variant>
      <vt:variant>
        <vt:lpwstr>https://www.colombiacompra.gov.co/content/03-documentos-tipo-para-los-procesos-de-seleccion-de-interventoria-de-obra-publica-de</vt:lpwstr>
      </vt:variant>
      <vt:variant>
        <vt:lpwstr/>
      </vt:variant>
      <vt:variant>
        <vt:i4>3538959</vt:i4>
      </vt:variant>
      <vt:variant>
        <vt:i4>12</vt:i4>
      </vt:variant>
      <vt:variant>
        <vt:i4>0</vt:i4>
      </vt:variant>
      <vt:variant>
        <vt:i4>5</vt:i4>
      </vt:variant>
      <vt:variant>
        <vt:lpwstr>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vt:lpwstr>
      </vt:variant>
      <vt:variant>
        <vt:lpwstr/>
      </vt:variant>
      <vt:variant>
        <vt:i4>7667813</vt:i4>
      </vt:variant>
      <vt:variant>
        <vt:i4>9</vt:i4>
      </vt:variant>
      <vt:variant>
        <vt:i4>0</vt:i4>
      </vt:variant>
      <vt:variant>
        <vt:i4>5</vt:i4>
      </vt:variant>
      <vt:variant>
        <vt:lpwstr>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vt:lpwstr>
      </vt:variant>
      <vt:variant>
        <vt:lpwstr/>
      </vt:variant>
      <vt:variant>
        <vt:i4>5111895</vt:i4>
      </vt:variant>
      <vt:variant>
        <vt:i4>6</vt:i4>
      </vt:variant>
      <vt:variant>
        <vt:i4>0</vt:i4>
      </vt:variant>
      <vt:variant>
        <vt:i4>5</vt:i4>
      </vt:variant>
      <vt:variant>
        <vt:lpwstr>https://www.colombiacompra.gov.co/manuales-guias-y-pliegos-tipo/manuales-y-guias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1835050</vt:i4>
      </vt:variant>
      <vt:variant>
        <vt:i4>0</vt:i4>
      </vt:variant>
      <vt:variant>
        <vt:i4>0</vt:i4>
      </vt:variant>
      <vt:variant>
        <vt:i4>5</vt:i4>
      </vt:variant>
      <vt:variant>
        <vt:lpwstr>mailto:Mariovaron5308@gmail.com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4</cp:revision>
  <cp:lastPrinted>2023-01-10T21:18:00Z</cp:lastPrinted>
  <dcterms:created xsi:type="dcterms:W3CDTF">2025-02-14T16:56:00Z</dcterms:created>
  <dcterms:modified xsi:type="dcterms:W3CDTF">2025-02-17T16:34:00Z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