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4230B" w14:textId="77777777" w:rsidR="00EA6187" w:rsidRPr="007430F7" w:rsidRDefault="00EA6187" w:rsidP="00EA6187">
      <w:pPr>
        <w:jc w:val="right"/>
        <w:rPr>
          <w:rFonts w:ascii="Arial" w:hAnsi="Arial" w:cs="Arial"/>
          <w:b/>
          <w:color w:val="000000" w:themeColor="text1"/>
          <w:sz w:val="16"/>
          <w:szCs w:val="16"/>
          <w:lang w:eastAsia="es-ES"/>
        </w:rPr>
      </w:pPr>
      <w:bookmarkStart w:id="0" w:name="_Hlk28946138"/>
      <w:bookmarkStart w:id="1" w:name="_Hlk29548183"/>
      <w:r w:rsidRPr="007430F7">
        <w:rPr>
          <w:rFonts w:ascii="Arial" w:hAnsi="Arial" w:cs="Arial"/>
          <w:b/>
          <w:color w:val="000000" w:themeColor="text1"/>
          <w:sz w:val="16"/>
          <w:szCs w:val="16"/>
          <w:lang w:eastAsia="es-ES"/>
        </w:rPr>
        <w:tab/>
        <w:t>CCE-DES-FM-17</w:t>
      </w:r>
    </w:p>
    <w:p w14:paraId="26911B30" w14:textId="77777777" w:rsidR="00EA6187" w:rsidRPr="00A709A5" w:rsidRDefault="00EA6187" w:rsidP="00EA6187">
      <w:pPr>
        <w:jc w:val="both"/>
        <w:rPr>
          <w:rFonts w:ascii="Arial" w:eastAsia="Calibri" w:hAnsi="Arial" w:cs="Arial"/>
          <w:b/>
          <w:color w:val="000000" w:themeColor="text1"/>
          <w:sz w:val="16"/>
          <w:szCs w:val="16"/>
        </w:rPr>
      </w:pPr>
    </w:p>
    <w:p w14:paraId="27CCD123" w14:textId="3B3C1011" w:rsidR="00EA6187" w:rsidRPr="007430F7" w:rsidRDefault="00EA6187" w:rsidP="06E1C25B">
      <w:pPr>
        <w:jc w:val="both"/>
        <w:rPr>
          <w:rFonts w:ascii="Arial" w:eastAsia="Calibri" w:hAnsi="Arial" w:cs="Arial"/>
          <w:b/>
          <w:bCs/>
          <w:color w:val="000000" w:themeColor="text1"/>
          <w:sz w:val="22"/>
        </w:rPr>
      </w:pPr>
      <w:r w:rsidRPr="06E1C25B">
        <w:rPr>
          <w:rFonts w:ascii="Arial" w:eastAsia="Calibri" w:hAnsi="Arial" w:cs="Arial"/>
          <w:b/>
          <w:bCs/>
          <w:color w:val="000000" w:themeColor="text1"/>
          <w:sz w:val="22"/>
        </w:rPr>
        <w:t xml:space="preserve">SELECCIÓN DE CONTRATISTA </w:t>
      </w:r>
      <w:r w:rsidR="00540E8F"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Procedimiento reglado </w:t>
      </w:r>
      <w:r w:rsidR="00540E8F" w:rsidRPr="06E1C25B">
        <w:rPr>
          <w:rFonts w:ascii="Arial" w:eastAsia="Calibri" w:hAnsi="Arial" w:cs="Arial"/>
          <w:b/>
          <w:bCs/>
          <w:color w:val="000000" w:themeColor="text1"/>
          <w:sz w:val="22"/>
        </w:rPr>
        <w:t>–</w:t>
      </w:r>
      <w:r w:rsidR="00635388" w:rsidRPr="06E1C25B">
        <w:rPr>
          <w:rFonts w:ascii="Arial" w:eastAsia="Calibri" w:hAnsi="Arial" w:cs="Arial"/>
          <w:b/>
          <w:bCs/>
          <w:color w:val="000000" w:themeColor="text1"/>
          <w:sz w:val="22"/>
        </w:rPr>
        <w:t xml:space="preserve"> </w:t>
      </w:r>
      <w:r w:rsidR="007F5FEC" w:rsidRPr="06E1C25B">
        <w:rPr>
          <w:rFonts w:ascii="Arial" w:eastAsia="Calibri" w:hAnsi="Arial" w:cs="Arial"/>
          <w:b/>
          <w:bCs/>
          <w:color w:val="000000" w:themeColor="text1"/>
          <w:sz w:val="22"/>
        </w:rPr>
        <w:t>E</w:t>
      </w:r>
      <w:r w:rsidRPr="06E1C25B">
        <w:rPr>
          <w:rFonts w:ascii="Arial" w:eastAsia="Calibri" w:hAnsi="Arial" w:cs="Arial"/>
          <w:b/>
          <w:bCs/>
          <w:color w:val="000000" w:themeColor="text1"/>
          <w:sz w:val="22"/>
        </w:rPr>
        <w:t xml:space="preserve">tapas </w:t>
      </w:r>
      <w:r w:rsidR="00540E8F"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007F5FEC" w:rsidRPr="06E1C25B">
        <w:rPr>
          <w:rFonts w:ascii="Arial" w:eastAsia="Calibri" w:hAnsi="Arial" w:cs="Arial"/>
          <w:b/>
          <w:bCs/>
          <w:color w:val="000000" w:themeColor="text1"/>
          <w:sz w:val="22"/>
        </w:rPr>
        <w:t>T</w:t>
      </w:r>
      <w:r w:rsidRPr="06E1C25B">
        <w:rPr>
          <w:rFonts w:ascii="Arial" w:eastAsia="Calibri" w:hAnsi="Arial" w:cs="Arial"/>
          <w:b/>
          <w:bCs/>
          <w:color w:val="000000" w:themeColor="text1"/>
          <w:sz w:val="22"/>
        </w:rPr>
        <w:t>érminos</w:t>
      </w:r>
      <w:r w:rsidR="35369A63" w:rsidRPr="06E1C25B">
        <w:rPr>
          <w:rFonts w:ascii="Arial" w:eastAsia="Calibri" w:hAnsi="Arial" w:cs="Arial"/>
          <w:b/>
          <w:bCs/>
          <w:color w:val="000000" w:themeColor="text1"/>
          <w:sz w:val="22"/>
        </w:rPr>
        <w:t xml:space="preserve"> – </w:t>
      </w:r>
      <w:r w:rsidR="375969C3" w:rsidRPr="06E1C25B">
        <w:rPr>
          <w:rFonts w:ascii="Arial" w:eastAsia="Calibri" w:hAnsi="Arial" w:cs="Arial"/>
          <w:b/>
          <w:bCs/>
          <w:color w:val="000000" w:themeColor="text1"/>
          <w:sz w:val="22"/>
        </w:rPr>
        <w:t>P</w:t>
      </w:r>
      <w:r w:rsidR="00567812">
        <w:rPr>
          <w:rFonts w:ascii="Arial" w:eastAsia="Calibri" w:hAnsi="Arial" w:cs="Arial"/>
          <w:b/>
          <w:bCs/>
          <w:color w:val="000000" w:themeColor="text1"/>
          <w:sz w:val="22"/>
        </w:rPr>
        <w:t xml:space="preserve">erentorios </w:t>
      </w:r>
      <w:r w:rsidR="00567812" w:rsidRPr="06E1C25B">
        <w:rPr>
          <w:rFonts w:ascii="Arial" w:eastAsia="Calibri" w:hAnsi="Arial" w:cs="Arial"/>
          <w:b/>
          <w:bCs/>
          <w:color w:val="000000" w:themeColor="text1"/>
          <w:sz w:val="22"/>
        </w:rPr>
        <w:t>–</w:t>
      </w:r>
      <w:r w:rsidR="00567812">
        <w:rPr>
          <w:rFonts w:ascii="Arial" w:eastAsia="Calibri" w:hAnsi="Arial" w:cs="Arial"/>
          <w:b/>
          <w:bCs/>
          <w:color w:val="000000" w:themeColor="text1"/>
          <w:sz w:val="22"/>
        </w:rPr>
        <w:t xml:space="preserve"> P</w:t>
      </w:r>
      <w:r w:rsidRPr="06E1C25B">
        <w:rPr>
          <w:rFonts w:ascii="Arial" w:eastAsia="Calibri" w:hAnsi="Arial" w:cs="Arial"/>
          <w:b/>
          <w:bCs/>
          <w:color w:val="000000" w:themeColor="text1"/>
          <w:sz w:val="22"/>
        </w:rPr>
        <w:t xml:space="preserve">reclusivos </w:t>
      </w:r>
    </w:p>
    <w:p w14:paraId="777FF73D" w14:textId="77777777" w:rsidR="00EA6187" w:rsidRPr="007430F7" w:rsidRDefault="00EA6187" w:rsidP="00F45CB4">
      <w:pPr>
        <w:jc w:val="both"/>
        <w:rPr>
          <w:rFonts w:ascii="Arial" w:eastAsia="Calibri" w:hAnsi="Arial" w:cs="Arial"/>
          <w:b/>
          <w:color w:val="000000" w:themeColor="text1"/>
          <w:sz w:val="20"/>
          <w:szCs w:val="20"/>
        </w:rPr>
      </w:pPr>
    </w:p>
    <w:p w14:paraId="1C537B30" w14:textId="77777777" w:rsidR="00142D22" w:rsidRPr="007430F7" w:rsidRDefault="00A77858" w:rsidP="00142D22">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 2.2.1.1.2.1.1. y siguientes del Decreto 1082 de 2015, que concreta cada modalidad de selección, señalando reglas o pasos a seguir para adjudicar y celebrar el contrato estatal.</w:t>
      </w:r>
    </w:p>
    <w:p w14:paraId="51DBBE53" w14:textId="20763F98" w:rsidR="00EA6187" w:rsidRPr="007430F7" w:rsidRDefault="00A77858" w:rsidP="00F45CB4">
      <w:pPr>
        <w:jc w:val="both"/>
        <w:rPr>
          <w:rFonts w:ascii="Arial" w:eastAsia="Calibri" w:hAnsi="Arial" w:cs="Arial"/>
          <w:color w:val="000000" w:themeColor="text1"/>
          <w:sz w:val="20"/>
          <w:szCs w:val="20"/>
          <w:highlight w:val="yellow"/>
        </w:rPr>
      </w:pPr>
      <w:r w:rsidRPr="007430F7">
        <w:rPr>
          <w:rFonts w:ascii="Arial" w:eastAsia="Calibri" w:hAnsi="Arial" w:cs="Arial"/>
          <w:color w:val="000000" w:themeColor="text1"/>
          <w:sz w:val="20"/>
          <w:szCs w:val="20"/>
        </w:rPr>
        <w:t>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w:t>
      </w:r>
      <w:r w:rsidR="00D0013D">
        <w:rPr>
          <w:rFonts w:ascii="Arial" w:eastAsia="Calibri" w:hAnsi="Arial" w:cs="Arial"/>
          <w:color w:val="000000" w:themeColor="text1"/>
          <w:sz w:val="20"/>
          <w:szCs w:val="20"/>
        </w:rPr>
        <w:t xml:space="preserve"> […]</w:t>
      </w:r>
      <w:r w:rsidRPr="007430F7">
        <w:rPr>
          <w:rFonts w:ascii="Arial" w:eastAsia="Calibri" w:hAnsi="Arial" w:cs="Arial"/>
          <w:color w:val="000000" w:themeColor="text1"/>
          <w:sz w:val="20"/>
          <w:szCs w:val="20"/>
        </w:rPr>
        <w:t>.</w:t>
      </w:r>
    </w:p>
    <w:p w14:paraId="4431228F" w14:textId="77777777" w:rsidR="00201C5B" w:rsidRPr="007430F7" w:rsidRDefault="00201C5B" w:rsidP="00F45CB4">
      <w:pPr>
        <w:jc w:val="both"/>
        <w:rPr>
          <w:rFonts w:ascii="Arial" w:eastAsia="Calibri" w:hAnsi="Arial" w:cs="Arial"/>
          <w:b/>
          <w:color w:val="000000" w:themeColor="text1"/>
          <w:sz w:val="22"/>
        </w:rPr>
      </w:pPr>
    </w:p>
    <w:p w14:paraId="277065DE" w14:textId="652D3A45" w:rsidR="00BD55A7" w:rsidRPr="007430F7" w:rsidRDefault="00BD55A7" w:rsidP="06E1C25B">
      <w:pPr>
        <w:jc w:val="both"/>
        <w:rPr>
          <w:rFonts w:ascii="Arial" w:eastAsia="Calibri" w:hAnsi="Arial" w:cs="Arial"/>
          <w:b/>
          <w:bCs/>
          <w:color w:val="000000" w:themeColor="text1"/>
          <w:sz w:val="22"/>
        </w:rPr>
      </w:pPr>
      <w:r w:rsidRPr="06E1C25B">
        <w:rPr>
          <w:rFonts w:ascii="Arial" w:eastAsia="Calibri" w:hAnsi="Arial" w:cs="Arial"/>
          <w:b/>
          <w:bCs/>
          <w:color w:val="000000" w:themeColor="text1"/>
          <w:sz w:val="22"/>
        </w:rPr>
        <w:t xml:space="preserve">LICITACIÓN PÚBLICA </w:t>
      </w:r>
      <w:r w:rsidR="00540E8F"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00635388" w:rsidRPr="06E1C25B">
        <w:rPr>
          <w:rFonts w:ascii="Arial" w:eastAsia="Calibri" w:hAnsi="Arial" w:cs="Arial"/>
          <w:b/>
          <w:bCs/>
          <w:color w:val="000000" w:themeColor="text1"/>
          <w:sz w:val="22"/>
        </w:rPr>
        <w:t xml:space="preserve">Procedimiento </w:t>
      </w:r>
      <w:r w:rsidR="00540E8F" w:rsidRPr="06E1C25B">
        <w:rPr>
          <w:rFonts w:ascii="Arial" w:eastAsia="Calibri" w:hAnsi="Arial" w:cs="Arial"/>
          <w:b/>
          <w:bCs/>
          <w:color w:val="000000" w:themeColor="text1"/>
          <w:sz w:val="22"/>
        </w:rPr>
        <w:t>–</w:t>
      </w:r>
      <w:r w:rsidR="00635388" w:rsidRPr="06E1C25B">
        <w:rPr>
          <w:rFonts w:ascii="Arial" w:eastAsia="Calibri" w:hAnsi="Arial" w:cs="Arial"/>
          <w:b/>
          <w:bCs/>
          <w:color w:val="000000" w:themeColor="text1"/>
          <w:sz w:val="22"/>
        </w:rPr>
        <w:t xml:space="preserve"> </w:t>
      </w:r>
      <w:r w:rsidRPr="06E1C25B">
        <w:rPr>
          <w:rFonts w:ascii="Arial" w:eastAsia="Calibri" w:hAnsi="Arial" w:cs="Arial"/>
          <w:b/>
          <w:bCs/>
          <w:color w:val="000000" w:themeColor="text1"/>
          <w:sz w:val="22"/>
        </w:rPr>
        <w:t xml:space="preserve">Estructura </w:t>
      </w:r>
      <w:r w:rsidR="682CA272" w:rsidRPr="06E1C25B">
        <w:rPr>
          <w:rFonts w:ascii="Arial" w:eastAsia="Calibri" w:hAnsi="Arial" w:cs="Arial"/>
          <w:b/>
          <w:bCs/>
          <w:color w:val="000000" w:themeColor="text1"/>
          <w:sz w:val="22"/>
        </w:rPr>
        <w:t>– E</w:t>
      </w:r>
      <w:r w:rsidRPr="06E1C25B">
        <w:rPr>
          <w:rFonts w:ascii="Arial" w:eastAsia="Calibri" w:hAnsi="Arial" w:cs="Arial"/>
          <w:b/>
          <w:bCs/>
          <w:color w:val="000000" w:themeColor="text1"/>
          <w:sz w:val="22"/>
        </w:rPr>
        <w:t>tapas generales</w:t>
      </w:r>
    </w:p>
    <w:p w14:paraId="64844762" w14:textId="77777777" w:rsidR="00BD55A7" w:rsidRPr="007430F7" w:rsidRDefault="00BD55A7" w:rsidP="00F45CB4">
      <w:pPr>
        <w:jc w:val="both"/>
        <w:rPr>
          <w:rFonts w:ascii="Arial" w:eastAsia="Calibri" w:hAnsi="Arial" w:cs="Arial"/>
          <w:b/>
          <w:color w:val="000000" w:themeColor="text1"/>
          <w:sz w:val="20"/>
          <w:szCs w:val="20"/>
        </w:rPr>
      </w:pPr>
    </w:p>
    <w:p w14:paraId="135F1F34" w14:textId="6938085E" w:rsidR="00E944B9" w:rsidRPr="007430F7" w:rsidRDefault="00A77858" w:rsidP="00F45CB4">
      <w:pPr>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w:t>
      </w:r>
    </w:p>
    <w:p w14:paraId="25A5EBD8" w14:textId="77777777" w:rsidR="00A77858" w:rsidRPr="007430F7" w:rsidRDefault="00A77858" w:rsidP="00F45CB4">
      <w:pPr>
        <w:jc w:val="both"/>
        <w:rPr>
          <w:rFonts w:ascii="Arial" w:eastAsia="Calibri" w:hAnsi="Arial" w:cs="Arial"/>
          <w:color w:val="000000" w:themeColor="text1"/>
          <w:sz w:val="20"/>
          <w:szCs w:val="20"/>
        </w:rPr>
      </w:pPr>
    </w:p>
    <w:p w14:paraId="5ACC1992" w14:textId="60BA608F" w:rsidR="0038547E" w:rsidRPr="007430F7" w:rsidRDefault="0038547E" w:rsidP="06E1C25B">
      <w:pPr>
        <w:jc w:val="both"/>
        <w:rPr>
          <w:rFonts w:ascii="Arial" w:eastAsia="Calibri" w:hAnsi="Arial" w:cs="Arial"/>
          <w:b/>
          <w:bCs/>
          <w:color w:val="000000" w:themeColor="text1"/>
          <w:sz w:val="22"/>
        </w:rPr>
      </w:pPr>
      <w:r w:rsidRPr="06E1C25B">
        <w:rPr>
          <w:rFonts w:ascii="Arial" w:eastAsia="Calibri" w:hAnsi="Arial" w:cs="Arial"/>
          <w:b/>
          <w:bCs/>
          <w:color w:val="000000" w:themeColor="text1"/>
          <w:sz w:val="22"/>
        </w:rPr>
        <w:t xml:space="preserve">LICITACIÓN PÚBLICA </w:t>
      </w:r>
      <w:r w:rsidR="00540E8F" w:rsidRPr="06E1C25B">
        <w:rPr>
          <w:rFonts w:ascii="Arial" w:eastAsia="Calibri" w:hAnsi="Arial" w:cs="Arial"/>
          <w:b/>
          <w:bCs/>
          <w:color w:val="000000" w:themeColor="text1"/>
          <w:sz w:val="22"/>
        </w:rPr>
        <w:t xml:space="preserve">– </w:t>
      </w:r>
      <w:r w:rsidRPr="06E1C25B">
        <w:rPr>
          <w:rFonts w:ascii="Arial" w:eastAsia="Calibri" w:hAnsi="Arial" w:cs="Arial"/>
          <w:b/>
          <w:bCs/>
          <w:color w:val="000000" w:themeColor="text1"/>
          <w:sz w:val="22"/>
        </w:rPr>
        <w:t>Evaluación de ofertas</w:t>
      </w:r>
      <w:r w:rsidR="006F6782" w:rsidRPr="06E1C25B">
        <w:rPr>
          <w:rFonts w:ascii="Arial" w:eastAsia="Calibri" w:hAnsi="Arial" w:cs="Arial"/>
          <w:b/>
          <w:bCs/>
          <w:color w:val="000000" w:themeColor="text1"/>
          <w:sz w:val="22"/>
        </w:rPr>
        <w:t xml:space="preserve"> </w:t>
      </w:r>
      <w:r w:rsidR="06A6E54D" w:rsidRPr="06E1C25B">
        <w:rPr>
          <w:rFonts w:ascii="Arial" w:eastAsia="Calibri" w:hAnsi="Arial" w:cs="Arial"/>
          <w:b/>
          <w:bCs/>
          <w:color w:val="000000" w:themeColor="text1"/>
          <w:sz w:val="22"/>
        </w:rPr>
        <w:t>–</w:t>
      </w:r>
      <w:r w:rsidR="006F6782" w:rsidRPr="06E1C25B">
        <w:rPr>
          <w:rFonts w:ascii="Arial" w:eastAsia="Calibri" w:hAnsi="Arial" w:cs="Arial"/>
          <w:b/>
          <w:bCs/>
          <w:color w:val="000000" w:themeColor="text1"/>
          <w:sz w:val="22"/>
        </w:rPr>
        <w:t xml:space="preserve"> </w:t>
      </w:r>
      <w:r w:rsidR="6E5E2292" w:rsidRPr="06E1C25B">
        <w:rPr>
          <w:rFonts w:ascii="Arial" w:eastAsia="Calibri" w:hAnsi="Arial" w:cs="Arial"/>
          <w:b/>
          <w:bCs/>
          <w:color w:val="000000" w:themeColor="text1"/>
          <w:sz w:val="22"/>
        </w:rPr>
        <w:t>O</w:t>
      </w:r>
      <w:r w:rsidR="006F6782" w:rsidRPr="06E1C25B">
        <w:rPr>
          <w:rFonts w:ascii="Arial" w:eastAsia="Calibri" w:hAnsi="Arial" w:cs="Arial"/>
          <w:b/>
          <w:bCs/>
          <w:color w:val="000000" w:themeColor="text1"/>
          <w:sz w:val="22"/>
        </w:rPr>
        <w:t>b</w:t>
      </w:r>
      <w:r w:rsidR="00473232" w:rsidRPr="06E1C25B">
        <w:rPr>
          <w:rFonts w:ascii="Arial" w:eastAsia="Calibri" w:hAnsi="Arial" w:cs="Arial"/>
          <w:b/>
          <w:bCs/>
          <w:color w:val="000000" w:themeColor="text1"/>
          <w:sz w:val="22"/>
        </w:rPr>
        <w:t>s</w:t>
      </w:r>
      <w:r w:rsidR="006F6782" w:rsidRPr="06E1C25B">
        <w:rPr>
          <w:rFonts w:ascii="Arial" w:eastAsia="Calibri" w:hAnsi="Arial" w:cs="Arial"/>
          <w:b/>
          <w:bCs/>
          <w:color w:val="000000" w:themeColor="text1"/>
          <w:sz w:val="22"/>
        </w:rPr>
        <w:t>ervaciones</w:t>
      </w:r>
    </w:p>
    <w:p w14:paraId="62FDE767" w14:textId="77777777" w:rsidR="0038547E" w:rsidRPr="007430F7" w:rsidRDefault="0038547E" w:rsidP="00F45CB4">
      <w:pPr>
        <w:jc w:val="both"/>
        <w:rPr>
          <w:rFonts w:ascii="Arial" w:eastAsia="Calibri" w:hAnsi="Arial" w:cs="Arial"/>
          <w:b/>
          <w:color w:val="000000" w:themeColor="text1"/>
          <w:sz w:val="20"/>
          <w:szCs w:val="20"/>
        </w:rPr>
      </w:pPr>
    </w:p>
    <w:p w14:paraId="17A94E33" w14:textId="77777777" w:rsidR="00142D22" w:rsidRPr="007430F7" w:rsidRDefault="00A77858" w:rsidP="00142D22">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Una vez precluida la oportunidad para presentar ofertas, en el plazo que señala el pliego de condiciones −numeral 7−, el comité evaluador de la entidad realizará «los estudios técnicos, económicos y jurídicos necesarios para la evaluación de las propuestas» y además podrá pedir a los proponentes las aclaraciones y explicaciones que considere pertinentes.</w:t>
      </w:r>
    </w:p>
    <w:p w14:paraId="08F2BEA9" w14:textId="77777777" w:rsidR="00142D22" w:rsidRPr="007430F7" w:rsidRDefault="00A77858" w:rsidP="00142D22">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w:t>
      </w:r>
    </w:p>
    <w:p w14:paraId="28BC3CA2" w14:textId="77777777" w:rsidR="00BB47E7" w:rsidRPr="007430F7" w:rsidRDefault="00A77858" w:rsidP="008A1BD6">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 xml:space="preserve">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 </w:t>
      </w:r>
    </w:p>
    <w:p w14:paraId="11C0918B" w14:textId="254A26B9" w:rsidR="009A19CB" w:rsidRPr="007430F7" w:rsidRDefault="00A77858" w:rsidP="00F45CB4">
      <w:pPr>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lastRenderedPageBreak/>
        <w:t>En la primera hipótesis, regulada por el parágrafo 3 del artículo 30 de la Ley 80 de 1993, adicionado por el artículo 1 de la Ley 1882 de 2018, la entidad deberá publicar el informe de evaluación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informe final de evaluación de los requisitos habilitantes y los requisitos objeto de puntuación, distintos a la oferta económica.</w:t>
      </w:r>
    </w:p>
    <w:p w14:paraId="7268FC1D" w14:textId="77777777" w:rsidR="003A0090" w:rsidRPr="007430F7" w:rsidRDefault="003A0090" w:rsidP="00F45CB4">
      <w:pPr>
        <w:jc w:val="both"/>
        <w:rPr>
          <w:rFonts w:ascii="Arial" w:eastAsia="Calibri" w:hAnsi="Arial" w:cs="Arial"/>
          <w:color w:val="000000" w:themeColor="text1"/>
          <w:sz w:val="20"/>
          <w:szCs w:val="20"/>
        </w:rPr>
      </w:pPr>
    </w:p>
    <w:p w14:paraId="7B997DA9" w14:textId="3ACA2669" w:rsidR="00A838B1" w:rsidRPr="007430F7" w:rsidRDefault="00A838B1" w:rsidP="00F45CB4">
      <w:pPr>
        <w:jc w:val="both"/>
        <w:rPr>
          <w:rFonts w:ascii="Arial" w:eastAsia="Calibri" w:hAnsi="Arial" w:cs="Arial"/>
          <w:b/>
          <w:color w:val="000000" w:themeColor="text1"/>
          <w:sz w:val="22"/>
        </w:rPr>
      </w:pPr>
      <w:r w:rsidRPr="007430F7">
        <w:rPr>
          <w:rFonts w:ascii="Arial" w:eastAsia="Calibri" w:hAnsi="Arial" w:cs="Arial"/>
          <w:b/>
          <w:color w:val="000000" w:themeColor="text1"/>
          <w:sz w:val="22"/>
        </w:rPr>
        <w:t xml:space="preserve">LICITACIÓN PÚBLICA </w:t>
      </w:r>
      <w:r w:rsidR="00540E8F" w:rsidRPr="007430F7">
        <w:rPr>
          <w:rFonts w:ascii="Arial" w:eastAsia="Calibri" w:hAnsi="Arial" w:cs="Arial"/>
          <w:b/>
          <w:color w:val="000000" w:themeColor="text1"/>
          <w:sz w:val="22"/>
        </w:rPr>
        <w:t>–</w:t>
      </w:r>
      <w:r w:rsidRPr="007430F7">
        <w:rPr>
          <w:rFonts w:ascii="Arial" w:eastAsia="Calibri" w:hAnsi="Arial" w:cs="Arial"/>
          <w:b/>
          <w:color w:val="000000" w:themeColor="text1"/>
          <w:sz w:val="22"/>
        </w:rPr>
        <w:t xml:space="preserve"> </w:t>
      </w:r>
      <w:r w:rsidR="00635388" w:rsidRPr="007430F7">
        <w:rPr>
          <w:rFonts w:ascii="Arial" w:eastAsia="Calibri" w:hAnsi="Arial" w:cs="Arial"/>
          <w:b/>
          <w:color w:val="000000" w:themeColor="text1"/>
          <w:sz w:val="22"/>
        </w:rPr>
        <w:t>Licitación de obra</w:t>
      </w:r>
      <w:r w:rsidR="00E94DE6">
        <w:rPr>
          <w:rFonts w:ascii="Arial" w:eastAsia="Calibri" w:hAnsi="Arial" w:cs="Arial"/>
          <w:b/>
          <w:color w:val="000000" w:themeColor="text1"/>
          <w:sz w:val="22"/>
        </w:rPr>
        <w:t xml:space="preserve"> pública</w:t>
      </w:r>
      <w:r w:rsidR="00635388" w:rsidRPr="007430F7">
        <w:rPr>
          <w:rFonts w:ascii="Arial" w:eastAsia="Calibri" w:hAnsi="Arial" w:cs="Arial"/>
          <w:b/>
          <w:color w:val="000000" w:themeColor="text1"/>
          <w:sz w:val="22"/>
        </w:rPr>
        <w:t xml:space="preserve"> </w:t>
      </w:r>
      <w:r w:rsidR="00540E8F" w:rsidRPr="007430F7">
        <w:rPr>
          <w:rFonts w:ascii="Arial" w:eastAsia="Calibri" w:hAnsi="Arial" w:cs="Arial"/>
          <w:b/>
          <w:color w:val="000000" w:themeColor="text1"/>
          <w:sz w:val="22"/>
        </w:rPr>
        <w:t>–</w:t>
      </w:r>
      <w:r w:rsidR="00635388" w:rsidRPr="007430F7">
        <w:rPr>
          <w:rFonts w:ascii="Arial" w:eastAsia="Calibri" w:hAnsi="Arial" w:cs="Arial"/>
          <w:b/>
          <w:color w:val="000000" w:themeColor="text1"/>
          <w:sz w:val="22"/>
        </w:rPr>
        <w:t xml:space="preserve"> </w:t>
      </w:r>
      <w:r w:rsidRPr="007430F7">
        <w:rPr>
          <w:rFonts w:ascii="Arial" w:eastAsia="Calibri" w:hAnsi="Arial" w:cs="Arial"/>
          <w:b/>
          <w:color w:val="000000" w:themeColor="text1"/>
          <w:sz w:val="22"/>
        </w:rPr>
        <w:t>Audiencia de adjudicación</w:t>
      </w:r>
      <w:r w:rsidR="00DB59A5">
        <w:rPr>
          <w:rFonts w:ascii="Arial" w:eastAsia="Calibri" w:hAnsi="Arial" w:cs="Arial"/>
          <w:b/>
          <w:color w:val="000000" w:themeColor="text1"/>
          <w:sz w:val="22"/>
        </w:rPr>
        <w:t xml:space="preserve"> </w:t>
      </w:r>
      <w:r w:rsidR="00DB59A5" w:rsidRPr="007430F7">
        <w:rPr>
          <w:rFonts w:ascii="Arial" w:eastAsia="Calibri" w:hAnsi="Arial" w:cs="Arial"/>
          <w:b/>
          <w:color w:val="000000" w:themeColor="text1"/>
          <w:sz w:val="22"/>
        </w:rPr>
        <w:t>–</w:t>
      </w:r>
      <w:r w:rsidR="00DB59A5">
        <w:rPr>
          <w:rFonts w:ascii="Arial" w:eastAsia="Calibri" w:hAnsi="Arial" w:cs="Arial"/>
          <w:b/>
          <w:color w:val="000000" w:themeColor="text1"/>
          <w:sz w:val="22"/>
        </w:rPr>
        <w:t xml:space="preserve"> Observaciones </w:t>
      </w:r>
    </w:p>
    <w:p w14:paraId="4A76BF4B" w14:textId="77777777" w:rsidR="00A838B1" w:rsidRPr="007430F7" w:rsidRDefault="00A838B1" w:rsidP="00F45CB4">
      <w:pPr>
        <w:jc w:val="both"/>
        <w:rPr>
          <w:rFonts w:ascii="Arial" w:eastAsia="Calibri" w:hAnsi="Arial" w:cs="Arial"/>
          <w:b/>
          <w:color w:val="000000" w:themeColor="text1"/>
          <w:sz w:val="20"/>
          <w:szCs w:val="20"/>
        </w:rPr>
      </w:pPr>
    </w:p>
    <w:p w14:paraId="62C45CEB" w14:textId="77777777" w:rsidR="00EE66F8" w:rsidRPr="007430F7" w:rsidRDefault="003A0090" w:rsidP="00EE66F8">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 xml:space="preserve">En el caso de las licitaciones públicas para seleccionar contratistas de obra pública, en la audiencia efectiva de adjudicación, por disposición del inciso final del parágrafo 3º del artículo 30 de la Ley 80 de 1993, adicionado por el artículo 1 de la Ley 1882 de 2018, se deben llevar a cabo tres actuaciones adicionales a la adjudicación del contrato: primero, la entidad debe permitir a los proponentes que realicen observaciones en relación con el informe final de evaluación. Resulta del caso precisar que a pesar de que la norma en comento hace referencia al informe de evaluación, lo cierto es que lo procedente es entender que está haciendo mención al informe final de evaluación, es decir, el que resulte luego de presentadas las observaciones por los proponentes y que sean resueltas por la entidad. Tal interpretación encuentra fundamento en tres argumentos: por un lado, en que la misma norma ya contiene un término para presentar observaciones en relación con el informe de evaluación –inicial–, esto es, dentro de los cinco días siguientes a su publicación en el SECOP; por otro, que aceptar lo contrario implicaría asumir que es posible reabrir el debate en relación con el informe de evaluación, pese a que el mismo se cerró al expedir el informe final de evaluación y, por último, que una interpretación literal de la norma implica que no hay una etapa procesal para presentar observaciones en relación con el informe final de evaluación, lo cual, conduce a restringir los derechos de participación que les asiste a todos los proponentes. </w:t>
      </w:r>
    </w:p>
    <w:p w14:paraId="60C27A2A" w14:textId="6E6C5A4F" w:rsidR="00B2602F" w:rsidRPr="007430F7" w:rsidRDefault="003A0090" w:rsidP="00F45CB4">
      <w:pPr>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Segundo, se abre el sobre número dos (2), que contienen la oferta económica, y se evalúan las propuestas mediante el método establecido en el pliego de condiciones y, tercero, a los proponentes habilitados se les corre traslado de la evaluación de las ofertas económicas, solo para la revisión «del aspecto económico», luego de lo cual la entidad debe proceder a establecer el orden de elegibilidad y, finalmente, a adjudicar el contrato estatal</w:t>
      </w:r>
      <w:r w:rsidR="00D0013D">
        <w:rPr>
          <w:rFonts w:ascii="Arial" w:eastAsia="Calibri" w:hAnsi="Arial" w:cs="Arial"/>
          <w:color w:val="000000" w:themeColor="text1"/>
          <w:sz w:val="20"/>
          <w:szCs w:val="20"/>
        </w:rPr>
        <w:t xml:space="preserve"> […]</w:t>
      </w:r>
      <w:r w:rsidRPr="007430F7">
        <w:rPr>
          <w:rFonts w:ascii="Arial" w:eastAsia="Calibri" w:hAnsi="Arial" w:cs="Arial"/>
          <w:color w:val="000000" w:themeColor="text1"/>
          <w:sz w:val="20"/>
          <w:szCs w:val="20"/>
        </w:rPr>
        <w:t>.</w:t>
      </w:r>
    </w:p>
    <w:p w14:paraId="674A7D0A" w14:textId="77777777" w:rsidR="003A0090" w:rsidRPr="007430F7" w:rsidRDefault="003A0090" w:rsidP="00F45CB4">
      <w:pPr>
        <w:jc w:val="both"/>
        <w:rPr>
          <w:rFonts w:ascii="Arial" w:eastAsia="Calibri" w:hAnsi="Arial" w:cs="Arial"/>
          <w:color w:val="000000" w:themeColor="text1"/>
          <w:sz w:val="20"/>
          <w:szCs w:val="20"/>
        </w:rPr>
      </w:pPr>
    </w:p>
    <w:p w14:paraId="6C23BB82" w14:textId="750DB2FD" w:rsidR="001A5B19" w:rsidRPr="007430F7" w:rsidRDefault="00473232" w:rsidP="06E1C25B">
      <w:pPr>
        <w:jc w:val="both"/>
        <w:rPr>
          <w:rFonts w:ascii="Arial" w:eastAsia="Calibri" w:hAnsi="Arial" w:cs="Arial"/>
          <w:b/>
          <w:bCs/>
          <w:color w:val="000000" w:themeColor="text1"/>
          <w:sz w:val="22"/>
        </w:rPr>
      </w:pPr>
      <w:r w:rsidRPr="06E1C25B">
        <w:rPr>
          <w:rFonts w:ascii="Arial" w:eastAsia="Calibri" w:hAnsi="Arial" w:cs="Arial"/>
          <w:b/>
          <w:bCs/>
          <w:color w:val="000000" w:themeColor="text1"/>
          <w:sz w:val="22"/>
        </w:rPr>
        <w:t>LICITACIÓN PÚBLICA</w:t>
      </w:r>
      <w:r w:rsidR="789B48D9" w:rsidRPr="06E1C25B">
        <w:rPr>
          <w:rFonts w:ascii="Arial" w:eastAsia="Calibri" w:hAnsi="Arial" w:cs="Arial"/>
          <w:b/>
          <w:bCs/>
          <w:color w:val="000000" w:themeColor="text1"/>
          <w:sz w:val="22"/>
        </w:rPr>
        <w:t xml:space="preserve"> </w:t>
      </w:r>
      <w:r w:rsidR="00540E8F" w:rsidRPr="06E1C25B">
        <w:rPr>
          <w:rFonts w:ascii="Arial" w:eastAsia="Calibri" w:hAnsi="Arial" w:cs="Arial"/>
          <w:b/>
          <w:bCs/>
          <w:color w:val="000000" w:themeColor="text1"/>
          <w:sz w:val="22"/>
        </w:rPr>
        <w:t>–</w:t>
      </w:r>
      <w:r w:rsidR="001A5B19" w:rsidRPr="06E1C25B">
        <w:rPr>
          <w:rFonts w:ascii="Arial" w:eastAsia="Calibri" w:hAnsi="Arial" w:cs="Arial"/>
          <w:b/>
          <w:bCs/>
          <w:color w:val="000000" w:themeColor="text1"/>
          <w:sz w:val="22"/>
        </w:rPr>
        <w:t xml:space="preserve"> </w:t>
      </w:r>
      <w:r w:rsidR="39A5E7CF" w:rsidRPr="06E1C25B">
        <w:rPr>
          <w:rFonts w:ascii="Arial" w:eastAsia="Calibri" w:hAnsi="Arial" w:cs="Arial"/>
          <w:b/>
          <w:bCs/>
          <w:color w:val="000000" w:themeColor="text1"/>
          <w:sz w:val="22"/>
        </w:rPr>
        <w:t xml:space="preserve">Contrato de obra pública – </w:t>
      </w:r>
      <w:r w:rsidR="61BCA9E9" w:rsidRPr="06E1C25B">
        <w:rPr>
          <w:rFonts w:ascii="Arial" w:eastAsia="Calibri" w:hAnsi="Arial" w:cs="Arial"/>
          <w:b/>
          <w:bCs/>
          <w:color w:val="000000" w:themeColor="text1"/>
          <w:sz w:val="22"/>
        </w:rPr>
        <w:t xml:space="preserve">Observaciones – </w:t>
      </w:r>
      <w:r w:rsidR="001A5B19" w:rsidRPr="06E1C25B">
        <w:rPr>
          <w:rFonts w:ascii="Arial" w:eastAsia="Calibri" w:hAnsi="Arial" w:cs="Arial"/>
          <w:b/>
          <w:bCs/>
          <w:color w:val="000000" w:themeColor="text1"/>
          <w:sz w:val="22"/>
        </w:rPr>
        <w:t>Término</w:t>
      </w:r>
      <w:r w:rsidR="001618EC" w:rsidRPr="06E1C25B">
        <w:rPr>
          <w:rFonts w:ascii="Arial" w:eastAsia="Calibri" w:hAnsi="Arial" w:cs="Arial"/>
          <w:b/>
          <w:bCs/>
          <w:color w:val="000000" w:themeColor="text1"/>
          <w:sz w:val="22"/>
        </w:rPr>
        <w:t>s</w:t>
      </w:r>
      <w:r w:rsidR="001A5B19" w:rsidRPr="06E1C25B">
        <w:rPr>
          <w:rFonts w:ascii="Arial" w:eastAsia="Calibri" w:hAnsi="Arial" w:cs="Arial"/>
          <w:b/>
          <w:bCs/>
          <w:color w:val="000000" w:themeColor="text1"/>
          <w:sz w:val="22"/>
        </w:rPr>
        <w:t xml:space="preserve"> para resolver </w:t>
      </w:r>
    </w:p>
    <w:p w14:paraId="31DD67F5" w14:textId="77777777" w:rsidR="001A5B19" w:rsidRPr="007430F7" w:rsidRDefault="001A5B19" w:rsidP="00F45CB4">
      <w:pPr>
        <w:jc w:val="both"/>
        <w:rPr>
          <w:rFonts w:ascii="Arial" w:eastAsia="Calibri" w:hAnsi="Arial" w:cs="Arial"/>
          <w:b/>
          <w:color w:val="000000" w:themeColor="text1"/>
          <w:sz w:val="20"/>
          <w:szCs w:val="20"/>
        </w:rPr>
      </w:pPr>
    </w:p>
    <w:p w14:paraId="60DDFDEC" w14:textId="32B2C92A" w:rsidR="001A6DAA" w:rsidRPr="007430F7" w:rsidRDefault="001A6DAA" w:rsidP="000A2214">
      <w:pPr>
        <w:spacing w:after="120"/>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w:t>
      </w:r>
      <w:r w:rsidR="008C0638">
        <w:rPr>
          <w:rFonts w:ascii="Arial" w:eastAsia="Calibri" w:hAnsi="Arial" w:cs="Arial"/>
          <w:color w:val="000000" w:themeColor="text1"/>
          <w:sz w:val="20"/>
          <w:szCs w:val="20"/>
        </w:rPr>
        <w:t>,</w:t>
      </w:r>
      <w:r w:rsidRPr="007430F7">
        <w:rPr>
          <w:rFonts w:ascii="Arial" w:eastAsia="Calibri" w:hAnsi="Arial" w:cs="Arial"/>
          <w:color w:val="000000" w:themeColor="text1"/>
          <w:sz w:val="20"/>
          <w:szCs w:val="20"/>
        </w:rPr>
        <w:t xml:space="preserve"> </w:t>
      </w:r>
      <w:r w:rsidR="1D3A8370" w:rsidRPr="007430F7">
        <w:rPr>
          <w:rFonts w:ascii="Arial" w:eastAsia="Calibri" w:hAnsi="Arial" w:cs="Arial"/>
          <w:color w:val="000000" w:themeColor="text1"/>
          <w:sz w:val="20"/>
          <w:szCs w:val="20"/>
        </w:rPr>
        <w:t>a</w:t>
      </w:r>
      <w:r w:rsidR="00361A57" w:rsidRPr="007430F7">
        <w:rPr>
          <w:rFonts w:ascii="Arial" w:eastAsia="Calibri" w:hAnsi="Arial" w:cs="Arial"/>
          <w:color w:val="000000" w:themeColor="text1"/>
          <w:sz w:val="20"/>
          <w:szCs w:val="20"/>
        </w:rPr>
        <w:t>unque la norma c</w:t>
      </w:r>
      <w:r w:rsidR="003A0090" w:rsidRPr="007430F7">
        <w:rPr>
          <w:rFonts w:ascii="Arial" w:eastAsia="Calibri" w:hAnsi="Arial" w:cs="Arial"/>
          <w:color w:val="000000" w:themeColor="text1"/>
          <w:sz w:val="20"/>
          <w:szCs w:val="20"/>
        </w:rPr>
        <w:t xml:space="preserve">ontempla el término para resolver las observaciones presentadas en relación con el informe final de evaluación,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 </w:t>
      </w:r>
      <w:r w:rsidR="003A0090" w:rsidRPr="007430F7">
        <w:rPr>
          <w:rFonts w:ascii="Arial" w:eastAsia="Calibri" w:hAnsi="Arial" w:cs="Arial"/>
          <w:color w:val="000000" w:themeColor="text1"/>
          <w:sz w:val="20"/>
          <w:szCs w:val="20"/>
        </w:rPr>
        <w:tab/>
      </w:r>
    </w:p>
    <w:p w14:paraId="71DDDA49" w14:textId="74D66B44" w:rsidR="00E0521D" w:rsidRPr="007430F7" w:rsidRDefault="003A0090" w:rsidP="00F45CB4">
      <w:pPr>
        <w:jc w:val="both"/>
        <w:rPr>
          <w:rFonts w:ascii="Arial" w:eastAsia="Calibri" w:hAnsi="Arial" w:cs="Arial"/>
          <w:color w:val="000000" w:themeColor="text1"/>
          <w:sz w:val="20"/>
          <w:szCs w:val="20"/>
        </w:rPr>
      </w:pPr>
      <w:r w:rsidRPr="007430F7">
        <w:rPr>
          <w:rFonts w:ascii="Arial" w:eastAsia="Calibri" w:hAnsi="Arial" w:cs="Arial"/>
          <w:color w:val="000000" w:themeColor="text1"/>
          <w:sz w:val="20"/>
          <w:szCs w:val="20"/>
        </w:rPr>
        <w:t>A juicio de la Agencia Nacional de Contratación tal vacío normativo debe suplirse con la aplicación analógica del término para resolver las observaciones de los proponentes frente al informe final de evaluación,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proponentes, resulta imposible materialmente que el término sub lite se extienda más allá de la diligencia.</w:t>
      </w:r>
    </w:p>
    <w:p w14:paraId="34C75FB2" w14:textId="77777777" w:rsidR="003A0090" w:rsidRPr="007430F7" w:rsidRDefault="003A0090" w:rsidP="00F45CB4">
      <w:pPr>
        <w:jc w:val="both"/>
        <w:rPr>
          <w:rFonts w:ascii="Arial" w:eastAsia="Calibri" w:hAnsi="Arial" w:cs="Arial"/>
          <w:color w:val="000000" w:themeColor="text1"/>
          <w:sz w:val="20"/>
          <w:szCs w:val="20"/>
        </w:rPr>
      </w:pPr>
    </w:p>
    <w:p w14:paraId="375F9B26" w14:textId="3A34B38B" w:rsidR="00E0521D" w:rsidRPr="007430F7" w:rsidRDefault="00AA2F28" w:rsidP="06E1C25B">
      <w:pPr>
        <w:jc w:val="both"/>
        <w:rPr>
          <w:rFonts w:ascii="Arial" w:eastAsia="Calibri" w:hAnsi="Arial" w:cs="Arial"/>
          <w:b/>
          <w:bCs/>
          <w:color w:val="000000" w:themeColor="text1"/>
          <w:sz w:val="22"/>
        </w:rPr>
      </w:pPr>
      <w:r w:rsidRPr="06E1C25B">
        <w:rPr>
          <w:rFonts w:ascii="Arial" w:eastAsia="Calibri" w:hAnsi="Arial" w:cs="Arial"/>
          <w:b/>
          <w:bCs/>
          <w:color w:val="000000" w:themeColor="text1"/>
          <w:sz w:val="22"/>
        </w:rPr>
        <w:t xml:space="preserve">OBSERVACIONES </w:t>
      </w:r>
      <w:r w:rsidR="00540E8F" w:rsidRPr="06E1C25B">
        <w:rPr>
          <w:rFonts w:ascii="Arial" w:eastAsia="Calibri" w:hAnsi="Arial" w:cs="Arial"/>
          <w:b/>
          <w:bCs/>
          <w:color w:val="000000" w:themeColor="text1"/>
          <w:sz w:val="22"/>
        </w:rPr>
        <w:t>–</w:t>
      </w:r>
      <w:r w:rsidR="004D4D9C" w:rsidRPr="06E1C25B">
        <w:rPr>
          <w:rFonts w:ascii="Arial" w:eastAsia="Calibri" w:hAnsi="Arial" w:cs="Arial"/>
          <w:b/>
          <w:bCs/>
          <w:color w:val="000000" w:themeColor="text1"/>
          <w:sz w:val="22"/>
        </w:rPr>
        <w:t xml:space="preserve"> </w:t>
      </w:r>
      <w:r w:rsidR="68F2E9B9" w:rsidRPr="06E1C25B">
        <w:rPr>
          <w:rFonts w:ascii="Arial" w:eastAsia="Calibri" w:hAnsi="Arial" w:cs="Arial"/>
          <w:b/>
          <w:bCs/>
          <w:color w:val="000000" w:themeColor="text1"/>
          <w:sz w:val="22"/>
        </w:rPr>
        <w:t xml:space="preserve">Traslado – Término – </w:t>
      </w:r>
      <w:r w:rsidR="006F4A15" w:rsidRPr="06E1C25B">
        <w:rPr>
          <w:rFonts w:ascii="Arial" w:eastAsia="Calibri" w:hAnsi="Arial" w:cs="Arial"/>
          <w:b/>
          <w:bCs/>
          <w:color w:val="000000" w:themeColor="text1"/>
          <w:sz w:val="22"/>
        </w:rPr>
        <w:t xml:space="preserve">Ofertas económicas </w:t>
      </w:r>
      <w:r w:rsidR="00540E8F" w:rsidRPr="06E1C25B">
        <w:rPr>
          <w:rFonts w:ascii="Arial" w:eastAsia="Calibri" w:hAnsi="Arial" w:cs="Arial"/>
          <w:b/>
          <w:bCs/>
          <w:color w:val="000000" w:themeColor="text1"/>
          <w:sz w:val="22"/>
        </w:rPr>
        <w:t>–</w:t>
      </w:r>
      <w:r w:rsidR="006F4A15" w:rsidRPr="06E1C25B">
        <w:rPr>
          <w:rFonts w:ascii="Arial" w:eastAsia="Calibri" w:hAnsi="Arial" w:cs="Arial"/>
          <w:b/>
          <w:bCs/>
          <w:color w:val="000000" w:themeColor="text1"/>
          <w:sz w:val="22"/>
        </w:rPr>
        <w:t xml:space="preserve"> Proporcionalidad </w:t>
      </w:r>
      <w:r w:rsidR="37298A0F" w:rsidRPr="06E1C25B">
        <w:rPr>
          <w:rFonts w:ascii="Arial" w:eastAsia="Calibri" w:hAnsi="Arial" w:cs="Arial"/>
          <w:b/>
          <w:bCs/>
          <w:color w:val="000000" w:themeColor="text1"/>
          <w:sz w:val="22"/>
        </w:rPr>
        <w:t>–</w:t>
      </w:r>
      <w:r w:rsidR="004D4D9C" w:rsidRPr="06E1C25B">
        <w:rPr>
          <w:rFonts w:ascii="Arial" w:eastAsia="Calibri" w:hAnsi="Arial" w:cs="Arial"/>
          <w:b/>
          <w:bCs/>
          <w:color w:val="000000" w:themeColor="text1"/>
          <w:sz w:val="22"/>
        </w:rPr>
        <w:t xml:space="preserve"> </w:t>
      </w:r>
      <w:r w:rsidR="21F8367C" w:rsidRPr="06E1C25B">
        <w:rPr>
          <w:rFonts w:ascii="Arial" w:eastAsia="Calibri" w:hAnsi="Arial" w:cs="Arial"/>
          <w:b/>
          <w:bCs/>
          <w:color w:val="000000" w:themeColor="text1"/>
          <w:sz w:val="22"/>
        </w:rPr>
        <w:t>R</w:t>
      </w:r>
      <w:r w:rsidR="004D4D9C" w:rsidRPr="06E1C25B">
        <w:rPr>
          <w:rFonts w:ascii="Arial" w:eastAsia="Calibri" w:hAnsi="Arial" w:cs="Arial"/>
          <w:b/>
          <w:bCs/>
          <w:color w:val="000000" w:themeColor="text1"/>
          <w:sz w:val="22"/>
        </w:rPr>
        <w:t>azonabilidad</w:t>
      </w:r>
    </w:p>
    <w:p w14:paraId="10D58A82" w14:textId="77777777" w:rsidR="008971F6" w:rsidRPr="007430F7" w:rsidRDefault="008971F6" w:rsidP="00F45CB4">
      <w:pPr>
        <w:jc w:val="both"/>
        <w:rPr>
          <w:rFonts w:ascii="Arial" w:eastAsia="Calibri" w:hAnsi="Arial" w:cs="Arial"/>
          <w:b/>
          <w:color w:val="000000" w:themeColor="text1"/>
          <w:sz w:val="20"/>
          <w:szCs w:val="20"/>
        </w:rPr>
      </w:pPr>
    </w:p>
    <w:p w14:paraId="3F488F7E" w14:textId="77777777" w:rsidR="00361A57" w:rsidRDefault="003A0090" w:rsidP="007D3914">
      <w:pPr>
        <w:spacing w:after="120"/>
        <w:jc w:val="both"/>
        <w:rPr>
          <w:rFonts w:ascii="Arial" w:eastAsia="Calibri" w:hAnsi="Arial" w:cs="Arial"/>
          <w:bCs/>
          <w:color w:val="000000" w:themeColor="text1"/>
          <w:sz w:val="20"/>
          <w:szCs w:val="20"/>
        </w:rPr>
      </w:pPr>
      <w:r w:rsidRPr="007430F7">
        <w:rPr>
          <w:rFonts w:ascii="Arial" w:eastAsia="Calibri" w:hAnsi="Arial" w:cs="Arial"/>
          <w:bCs/>
          <w:color w:val="000000" w:themeColor="text1"/>
          <w:sz w:val="20"/>
          <w:szCs w:val="20"/>
        </w:rPr>
        <w:t xml:space="preserve">En ese sentido, el término para resolver las observaciones frente a los aspectos económicos de las propuestas de los otros proponentes es el mismo que se consagra para resolver las observaciones frente al informe final de evaluación,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término concedido no exceda de su duración. Le corresponde, pues, a la entidad establecer el término por el cual dará dicho traslado. </w:t>
      </w:r>
    </w:p>
    <w:p w14:paraId="0E56AB7A" w14:textId="5F14E990" w:rsidR="008C0638" w:rsidRPr="007430F7" w:rsidRDefault="008C0638" w:rsidP="007D3914">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p>
    <w:p w14:paraId="55BFBA6C" w14:textId="54335E4E" w:rsidR="00E0521D" w:rsidRPr="007430F7" w:rsidRDefault="004D4D9C" w:rsidP="5CF41876">
      <w:pPr>
        <w:jc w:val="both"/>
        <w:rPr>
          <w:rFonts w:ascii="Arial" w:eastAsia="Calibri" w:hAnsi="Arial" w:cs="Arial"/>
          <w:color w:val="000000" w:themeColor="text1"/>
          <w:sz w:val="20"/>
          <w:szCs w:val="20"/>
        </w:rPr>
      </w:pPr>
      <w:r w:rsidRPr="53C8392C">
        <w:rPr>
          <w:rFonts w:ascii="Arial" w:eastAsia="Calibri" w:hAnsi="Arial" w:cs="Arial"/>
          <w:color w:val="000000" w:themeColor="text1"/>
          <w:sz w:val="20"/>
          <w:szCs w:val="20"/>
        </w:rPr>
        <w:t>[…]</w:t>
      </w:r>
      <w:r w:rsidR="2D9416EC" w:rsidRPr="53C8392C">
        <w:rPr>
          <w:rFonts w:ascii="Arial" w:eastAsia="Calibri" w:hAnsi="Arial" w:cs="Arial"/>
          <w:color w:val="000000" w:themeColor="text1"/>
          <w:sz w:val="20"/>
          <w:szCs w:val="20"/>
        </w:rPr>
        <w:t xml:space="preserve"> </w:t>
      </w:r>
      <w:r w:rsidR="66D39C4E" w:rsidRPr="53C8392C">
        <w:rPr>
          <w:rFonts w:ascii="Arial" w:eastAsia="Calibri" w:hAnsi="Arial" w:cs="Arial"/>
          <w:color w:val="000000" w:themeColor="text1"/>
          <w:sz w:val="20"/>
          <w:szCs w:val="20"/>
        </w:rPr>
        <w:t>l</w:t>
      </w:r>
      <w:r w:rsidR="003A0090" w:rsidRPr="53C8392C">
        <w:rPr>
          <w:rFonts w:ascii="Arial" w:eastAsia="Calibri" w:hAnsi="Arial" w:cs="Arial"/>
          <w:color w:val="000000" w:themeColor="text1"/>
          <w:sz w:val="20"/>
          <w:szCs w:val="20"/>
        </w:rPr>
        <w:t>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 Incluso, en la Circular Externa Única de Colombia Compra Eficiente, se establece como parámetro la razonabilidad […]</w:t>
      </w:r>
      <w:r w:rsidRPr="53C8392C">
        <w:rPr>
          <w:rFonts w:ascii="Arial" w:eastAsia="Calibri" w:hAnsi="Arial" w:cs="Arial"/>
          <w:color w:val="000000" w:themeColor="text1"/>
          <w:sz w:val="20"/>
          <w:szCs w:val="20"/>
        </w:rPr>
        <w:t>.</w:t>
      </w:r>
    </w:p>
    <w:p w14:paraId="13FB1BFF" w14:textId="236DB658" w:rsidR="00FC2928" w:rsidRPr="007430F7" w:rsidRDefault="00FC2928" w:rsidP="00F45CB4">
      <w:pPr>
        <w:jc w:val="both"/>
        <w:rPr>
          <w:rFonts w:ascii="Arial" w:eastAsia="Calibri" w:hAnsi="Arial" w:cs="Arial"/>
          <w:bCs/>
          <w:color w:val="000000" w:themeColor="text1"/>
          <w:sz w:val="20"/>
          <w:szCs w:val="20"/>
        </w:rPr>
      </w:pPr>
    </w:p>
    <w:p w14:paraId="34CFE9AA" w14:textId="16671AF0" w:rsidR="00FC2928" w:rsidRPr="007430F7" w:rsidRDefault="00FC2928" w:rsidP="06E1C25B">
      <w:pPr>
        <w:jc w:val="both"/>
        <w:rPr>
          <w:rFonts w:ascii="Arial" w:eastAsia="Calibri" w:hAnsi="Arial" w:cs="Arial"/>
          <w:b/>
          <w:bCs/>
          <w:color w:val="000000" w:themeColor="text1"/>
          <w:sz w:val="20"/>
          <w:szCs w:val="20"/>
        </w:rPr>
      </w:pPr>
      <w:r w:rsidRPr="06E1C25B">
        <w:rPr>
          <w:rFonts w:ascii="Arial" w:eastAsia="Calibri" w:hAnsi="Arial" w:cs="Arial"/>
          <w:b/>
          <w:bCs/>
          <w:color w:val="000000" w:themeColor="text1"/>
          <w:sz w:val="22"/>
        </w:rPr>
        <w:t xml:space="preserve">OBSERVACIONES </w:t>
      </w:r>
      <w:r w:rsidR="00E00105"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553536B9" w:rsidRPr="06E1C25B">
        <w:rPr>
          <w:rFonts w:ascii="Arial" w:eastAsia="Calibri" w:hAnsi="Arial" w:cs="Arial"/>
          <w:b/>
          <w:bCs/>
          <w:color w:val="000000" w:themeColor="text1"/>
          <w:sz w:val="22"/>
        </w:rPr>
        <w:t xml:space="preserve">Traslado – Término – </w:t>
      </w:r>
      <w:r w:rsidR="006F4A15" w:rsidRPr="06E1C25B">
        <w:rPr>
          <w:rFonts w:ascii="Arial" w:eastAsia="Calibri" w:hAnsi="Arial" w:cs="Arial"/>
          <w:b/>
          <w:bCs/>
          <w:color w:val="000000" w:themeColor="text1"/>
          <w:sz w:val="22"/>
        </w:rPr>
        <w:t xml:space="preserve">Ofertas económicas </w:t>
      </w:r>
      <w:r w:rsidR="00E00105"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006F4A15" w:rsidRPr="06E1C25B">
        <w:rPr>
          <w:rFonts w:ascii="Arial" w:eastAsia="Calibri" w:hAnsi="Arial" w:cs="Arial"/>
          <w:b/>
          <w:bCs/>
          <w:color w:val="000000" w:themeColor="text1"/>
          <w:sz w:val="22"/>
        </w:rPr>
        <w:t xml:space="preserve">Proporcionalidad </w:t>
      </w:r>
      <w:r w:rsidR="28777026"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0DDCEAD5" w:rsidRPr="06E1C25B">
        <w:rPr>
          <w:rFonts w:ascii="Arial" w:eastAsia="Calibri" w:hAnsi="Arial" w:cs="Arial"/>
          <w:b/>
          <w:bCs/>
          <w:color w:val="000000" w:themeColor="text1"/>
          <w:sz w:val="22"/>
        </w:rPr>
        <w:t>R</w:t>
      </w:r>
      <w:r w:rsidRPr="06E1C25B">
        <w:rPr>
          <w:rFonts w:ascii="Arial" w:eastAsia="Calibri" w:hAnsi="Arial" w:cs="Arial"/>
          <w:b/>
          <w:bCs/>
          <w:color w:val="000000" w:themeColor="text1"/>
          <w:sz w:val="22"/>
        </w:rPr>
        <w:t xml:space="preserve">azonabilidad </w:t>
      </w:r>
      <w:r w:rsidR="00E00105" w:rsidRPr="06E1C25B">
        <w:rPr>
          <w:rFonts w:ascii="Arial" w:eastAsia="Calibri" w:hAnsi="Arial" w:cs="Arial"/>
          <w:b/>
          <w:bCs/>
          <w:color w:val="000000" w:themeColor="text1"/>
          <w:sz w:val="22"/>
        </w:rPr>
        <w:t>–</w:t>
      </w:r>
      <w:r w:rsidRPr="06E1C25B">
        <w:rPr>
          <w:rFonts w:ascii="Arial" w:eastAsia="Calibri" w:hAnsi="Arial" w:cs="Arial"/>
          <w:b/>
          <w:bCs/>
          <w:color w:val="000000" w:themeColor="text1"/>
          <w:sz w:val="22"/>
        </w:rPr>
        <w:t xml:space="preserve"> </w:t>
      </w:r>
      <w:r w:rsidR="006F4A15" w:rsidRPr="06E1C25B">
        <w:rPr>
          <w:rFonts w:ascii="Arial" w:eastAsia="Calibri" w:hAnsi="Arial" w:cs="Arial"/>
          <w:b/>
          <w:bCs/>
          <w:color w:val="000000" w:themeColor="text1"/>
          <w:sz w:val="22"/>
        </w:rPr>
        <w:t>Límites</w:t>
      </w:r>
    </w:p>
    <w:p w14:paraId="18CAA6DA" w14:textId="77777777" w:rsidR="006F4A15" w:rsidRPr="007430F7" w:rsidRDefault="006F4A15" w:rsidP="00F45CB4">
      <w:pPr>
        <w:jc w:val="both"/>
        <w:rPr>
          <w:rFonts w:ascii="Arial" w:eastAsia="Calibri" w:hAnsi="Arial" w:cs="Arial"/>
          <w:b/>
          <w:color w:val="000000" w:themeColor="text1"/>
          <w:sz w:val="20"/>
          <w:szCs w:val="20"/>
        </w:rPr>
      </w:pPr>
    </w:p>
    <w:p w14:paraId="03AB2097" w14:textId="618A3D64" w:rsidR="00FC2928" w:rsidRPr="007430F7" w:rsidRDefault="007430F7" w:rsidP="5CF41876">
      <w:pPr>
        <w:jc w:val="both"/>
        <w:rPr>
          <w:rFonts w:ascii="Arial" w:eastAsia="Calibri" w:hAnsi="Arial" w:cs="Arial"/>
          <w:color w:val="000000" w:themeColor="text1"/>
          <w:sz w:val="19"/>
          <w:szCs w:val="19"/>
        </w:rPr>
      </w:pPr>
      <w:r w:rsidRPr="53C8392C">
        <w:rPr>
          <w:rFonts w:ascii="Arial" w:eastAsia="Calibri" w:hAnsi="Arial" w:cs="Arial"/>
          <w:color w:val="000000" w:themeColor="text1"/>
          <w:sz w:val="20"/>
          <w:szCs w:val="20"/>
        </w:rPr>
        <w:t xml:space="preserve">[…] </w:t>
      </w:r>
      <w:r w:rsidR="7FE7E10F" w:rsidRPr="53C8392C">
        <w:rPr>
          <w:rFonts w:ascii="Arial" w:eastAsia="Calibri" w:hAnsi="Arial" w:cs="Arial"/>
          <w:color w:val="000000" w:themeColor="text1"/>
          <w:sz w:val="20"/>
          <w:szCs w:val="20"/>
        </w:rPr>
        <w:t>p</w:t>
      </w:r>
      <w:r w:rsidR="00E34D3E" w:rsidRPr="53C8392C">
        <w:rPr>
          <w:rFonts w:ascii="Arial" w:eastAsia="Calibri" w:hAnsi="Arial" w:cs="Arial"/>
          <w:color w:val="000000" w:themeColor="text1"/>
          <w:sz w:val="20"/>
          <w:szCs w:val="20"/>
        </w:rPr>
        <w:t xml:space="preserve">or </w:t>
      </w:r>
      <w:r w:rsidR="00C9325F" w:rsidRPr="53C8392C">
        <w:rPr>
          <w:rFonts w:ascii="Arial" w:eastAsia="Calibri" w:hAnsi="Arial" w:cs="Arial"/>
          <w:color w:val="000000" w:themeColor="text1"/>
          <w:sz w:val="20"/>
          <w:szCs w:val="20"/>
        </w:rPr>
        <w:t>tratarse de un acto discrecional, el establecimiento del término sub examine no puede exceder los límites legales, pues, como bien lo señalan los profesores Eduardo García de Enterría y Tomás-Ramón Fernández, la discrecionalidad «no es una facultad extralegal»,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 audiencia efectiva de adjudicación, lo que implica que el término discrecional que fije la entidad para el traslado a los proponentes no podrá exceder, bajo ninguna circunstancia, la duración de esa diligencia.</w:t>
      </w:r>
    </w:p>
    <w:p w14:paraId="4DCCFEFC" w14:textId="77777777" w:rsidR="00EA6187" w:rsidRPr="007430F7" w:rsidRDefault="00EA6187" w:rsidP="00EA6187">
      <w:pPr>
        <w:jc w:val="both"/>
        <w:rPr>
          <w:rFonts w:ascii="Arial" w:eastAsia="Calibri" w:hAnsi="Arial" w:cs="Arial"/>
          <w:bCs/>
          <w:color w:val="000000" w:themeColor="text1"/>
          <w:sz w:val="20"/>
          <w:szCs w:val="20"/>
        </w:rPr>
      </w:pPr>
    </w:p>
    <w:p w14:paraId="1A98F82C" w14:textId="1A2B68EE" w:rsidR="00A124B8" w:rsidRPr="00A124B8" w:rsidRDefault="00A124B8" w:rsidP="00A124B8">
      <w:pPr>
        <w:autoSpaceDE w:val="0"/>
        <w:autoSpaceDN w:val="0"/>
        <w:adjustRightInd w:val="0"/>
        <w:rPr>
          <w:rFonts w:ascii="Arial" w:hAnsi="Arial" w:cs="Arial"/>
          <w:color w:val="000000" w:themeColor="text1"/>
          <w:sz w:val="20"/>
          <w:szCs w:val="20"/>
          <w:lang w:val="es-CO"/>
        </w:rPr>
      </w:pPr>
      <w:r w:rsidRPr="00A124B8">
        <w:rPr>
          <w:rFonts w:ascii="Arial" w:hAnsi="Arial" w:cs="Arial"/>
          <w:color w:val="000000" w:themeColor="text1"/>
          <w:szCs w:val="24"/>
          <w:lang w:val="es-CO"/>
        </w:rPr>
        <w:t xml:space="preserve"> </w:t>
      </w:r>
    </w:p>
    <w:p w14:paraId="79757FEE" w14:textId="77777777" w:rsidR="00A124B8" w:rsidRPr="00A124B8" w:rsidRDefault="00A124B8" w:rsidP="00A124B8">
      <w:pPr>
        <w:autoSpaceDE w:val="0"/>
        <w:autoSpaceDN w:val="0"/>
        <w:adjustRightInd w:val="0"/>
        <w:rPr>
          <w:rFonts w:ascii="Arial" w:hAnsi="Arial" w:cs="Arial"/>
          <w:color w:val="000000" w:themeColor="text1"/>
          <w:sz w:val="22"/>
          <w:lang w:val="es-CO"/>
        </w:rPr>
      </w:pPr>
      <w:r w:rsidRPr="00A124B8">
        <w:rPr>
          <w:rFonts w:ascii="Arial" w:hAnsi="Arial" w:cs="Arial"/>
          <w:color w:val="000000" w:themeColor="text1"/>
          <w:sz w:val="22"/>
          <w:lang w:val="es-CO"/>
        </w:rPr>
        <w:t xml:space="preserve">Bogotá D.C., </w:t>
      </w:r>
      <w:r w:rsidRPr="00A124B8">
        <w:rPr>
          <w:rFonts w:ascii="Arial" w:hAnsi="Arial" w:cs="Arial"/>
          <w:b/>
          <w:bCs/>
          <w:color w:val="000000" w:themeColor="text1"/>
          <w:sz w:val="22"/>
          <w:lang w:val="es-CO"/>
        </w:rPr>
        <w:t xml:space="preserve">04/05/2020 Hora 17:8:52s </w:t>
      </w:r>
    </w:p>
    <w:p w14:paraId="7123492A" w14:textId="2BB9C666" w:rsidR="00EA6187" w:rsidRPr="007430F7" w:rsidRDefault="00A124B8" w:rsidP="00A124B8">
      <w:pPr>
        <w:jc w:val="right"/>
        <w:rPr>
          <w:rFonts w:ascii="Arial" w:hAnsi="Arial" w:cs="Arial"/>
          <w:b/>
          <w:color w:val="000000" w:themeColor="text1"/>
          <w:sz w:val="22"/>
        </w:rPr>
      </w:pPr>
      <w:r w:rsidRPr="007430F7">
        <w:rPr>
          <w:rFonts w:ascii="Arial" w:hAnsi="Arial" w:cs="Arial"/>
          <w:b/>
          <w:bCs/>
          <w:color w:val="000000" w:themeColor="text1"/>
          <w:sz w:val="22"/>
          <w:lang w:val="es-CO"/>
        </w:rPr>
        <w:t>N° Radicado: 2202013000003334</w:t>
      </w:r>
    </w:p>
    <w:p w14:paraId="71AE2A26" w14:textId="77777777" w:rsidR="007430F7" w:rsidRPr="007430F7" w:rsidRDefault="007430F7" w:rsidP="00EA6187">
      <w:pPr>
        <w:rPr>
          <w:rFonts w:ascii="Arial" w:eastAsia="Calibri" w:hAnsi="Arial" w:cs="Arial"/>
          <w:color w:val="000000" w:themeColor="text1"/>
          <w:sz w:val="22"/>
        </w:rPr>
      </w:pPr>
    </w:p>
    <w:p w14:paraId="5113D7E3" w14:textId="77777777" w:rsidR="00EA6187" w:rsidRPr="007430F7" w:rsidRDefault="00EA6187" w:rsidP="00EA6187">
      <w:pPr>
        <w:rPr>
          <w:rFonts w:ascii="Arial" w:eastAsia="Calibri" w:hAnsi="Arial" w:cs="Arial"/>
          <w:color w:val="000000" w:themeColor="text1"/>
          <w:sz w:val="22"/>
        </w:rPr>
      </w:pPr>
      <w:r w:rsidRPr="007430F7">
        <w:rPr>
          <w:rFonts w:ascii="Arial" w:eastAsia="Calibri" w:hAnsi="Arial" w:cs="Arial"/>
          <w:color w:val="000000" w:themeColor="text1"/>
          <w:sz w:val="22"/>
        </w:rPr>
        <w:t>Señor</w:t>
      </w:r>
    </w:p>
    <w:p w14:paraId="014E00A7" w14:textId="77777777" w:rsidR="00EA6187" w:rsidRPr="007430F7" w:rsidRDefault="00EA6187" w:rsidP="00EA6187">
      <w:pPr>
        <w:rPr>
          <w:rFonts w:ascii="Arial" w:eastAsia="Calibri" w:hAnsi="Arial" w:cs="Arial"/>
          <w:b/>
          <w:color w:val="000000" w:themeColor="text1"/>
          <w:sz w:val="22"/>
        </w:rPr>
      </w:pPr>
      <w:r w:rsidRPr="007430F7">
        <w:rPr>
          <w:rFonts w:ascii="Arial" w:eastAsia="Calibri" w:hAnsi="Arial" w:cs="Arial"/>
          <w:b/>
          <w:color w:val="000000" w:themeColor="text1"/>
          <w:sz w:val="22"/>
        </w:rPr>
        <w:t>Lucas Jaramillo Cadavid</w:t>
      </w:r>
    </w:p>
    <w:p w14:paraId="2B426A67" w14:textId="235EBDED" w:rsidR="00EA6187" w:rsidRPr="007430F7" w:rsidRDefault="00EA6187" w:rsidP="00EA6187">
      <w:pPr>
        <w:rPr>
          <w:rFonts w:ascii="Arial" w:eastAsia="Calibri" w:hAnsi="Arial" w:cs="Arial"/>
          <w:color w:val="000000" w:themeColor="text1"/>
          <w:sz w:val="22"/>
        </w:rPr>
      </w:pPr>
      <w:r w:rsidRPr="007430F7">
        <w:rPr>
          <w:rFonts w:ascii="Arial" w:eastAsia="Calibri" w:hAnsi="Arial" w:cs="Arial"/>
          <w:color w:val="000000" w:themeColor="text1"/>
          <w:sz w:val="22"/>
        </w:rPr>
        <w:t>Bogotá</w:t>
      </w:r>
    </w:p>
    <w:p w14:paraId="3C56E7B0" w14:textId="77777777" w:rsidR="00EA6187" w:rsidRPr="007430F7" w:rsidRDefault="00EA6187" w:rsidP="00EA6187">
      <w:pPr>
        <w:rPr>
          <w:rFonts w:ascii="Arial" w:eastAsia="Calibri" w:hAnsi="Arial" w:cs="Arial"/>
          <w:color w:val="000000" w:themeColor="text1"/>
          <w:sz w:val="22"/>
        </w:rPr>
      </w:pPr>
    </w:p>
    <w:p w14:paraId="6D032543" w14:textId="77777777" w:rsidR="00EA6187" w:rsidRPr="007430F7" w:rsidRDefault="00EA6187" w:rsidP="00EA6187">
      <w:pPr>
        <w:ind w:firstLine="2694"/>
        <w:rPr>
          <w:rFonts w:ascii="Arial" w:eastAsia="Calibri" w:hAnsi="Arial" w:cs="Arial"/>
          <w:b/>
          <w:color w:val="000000" w:themeColor="text1"/>
          <w:sz w:val="22"/>
        </w:rPr>
      </w:pPr>
      <w:r w:rsidRPr="007430F7">
        <w:rPr>
          <w:rFonts w:ascii="Arial" w:eastAsia="Calibri" w:hAnsi="Arial" w:cs="Arial"/>
          <w:b/>
          <w:color w:val="000000" w:themeColor="text1"/>
          <w:sz w:val="22"/>
        </w:rPr>
        <w:t>Concepto C ─ 007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430F7" w:rsidRPr="007430F7" w14:paraId="4E0D89BE" w14:textId="77777777" w:rsidTr="007430F7">
        <w:tc>
          <w:tcPr>
            <w:tcW w:w="2689" w:type="dxa"/>
            <w:hideMark/>
          </w:tcPr>
          <w:p w14:paraId="5FB4989F" w14:textId="77777777" w:rsidR="00EA6187" w:rsidRPr="007430F7" w:rsidRDefault="00EA6187" w:rsidP="007430F7">
            <w:pPr>
              <w:rPr>
                <w:rFonts w:ascii="Arial" w:eastAsia="Calibri" w:hAnsi="Arial" w:cs="Arial"/>
                <w:color w:val="000000" w:themeColor="text1"/>
                <w:sz w:val="22"/>
              </w:rPr>
            </w:pPr>
            <w:r w:rsidRPr="007430F7">
              <w:rPr>
                <w:rFonts w:ascii="Arial" w:eastAsia="Calibri" w:hAnsi="Arial" w:cs="Arial"/>
                <w:b/>
                <w:color w:val="000000" w:themeColor="text1"/>
                <w:sz w:val="22"/>
              </w:rPr>
              <w:t>Temas:</w:t>
            </w:r>
            <w:r w:rsidRPr="007430F7">
              <w:rPr>
                <w:rFonts w:ascii="Arial" w:eastAsia="Calibri" w:hAnsi="Arial" w:cs="Arial"/>
                <w:color w:val="000000" w:themeColor="text1"/>
                <w:sz w:val="22"/>
              </w:rPr>
              <w:t xml:space="preserve">   </w:t>
            </w:r>
          </w:p>
        </w:tc>
        <w:tc>
          <w:tcPr>
            <w:tcW w:w="6237" w:type="dxa"/>
            <w:hideMark/>
          </w:tcPr>
          <w:p w14:paraId="48E9D5F3" w14:textId="4295FF9F" w:rsidR="00201C5B" w:rsidRPr="007430F7" w:rsidRDefault="00201C5B" w:rsidP="00201C5B">
            <w:pPr>
              <w:jc w:val="both"/>
              <w:rPr>
                <w:rFonts w:ascii="Arial" w:eastAsia="Calibri" w:hAnsi="Arial" w:cs="Arial"/>
                <w:color w:val="000000" w:themeColor="text1"/>
                <w:sz w:val="22"/>
              </w:rPr>
            </w:pPr>
            <w:r w:rsidRPr="007430F7">
              <w:rPr>
                <w:rFonts w:ascii="Arial" w:eastAsia="Calibri" w:hAnsi="Arial" w:cs="Arial"/>
                <w:color w:val="000000" w:themeColor="text1"/>
                <w:sz w:val="22"/>
              </w:rPr>
              <w:t>SELECCIÓN DE CONTRATISTA ─ Procedimiento reglado – Etapas – Términos perentorios y preclusivos / LICITACIÓN PÚBLICA – Procedimiento – Estructura y etapas generales / LICITACIÓN PÚBLICA – Evaluación de ofertas y observaciones</w:t>
            </w:r>
          </w:p>
          <w:p w14:paraId="2E4FFF9A" w14:textId="68E46D4F" w:rsidR="00EA6187" w:rsidRPr="007430F7" w:rsidRDefault="00201C5B" w:rsidP="00201C5B">
            <w:pPr>
              <w:jc w:val="both"/>
              <w:rPr>
                <w:rFonts w:ascii="Arial" w:eastAsia="Calibri" w:hAnsi="Arial" w:cs="Arial"/>
                <w:color w:val="000000" w:themeColor="text1"/>
                <w:sz w:val="22"/>
              </w:rPr>
            </w:pPr>
            <w:r w:rsidRPr="007430F7">
              <w:rPr>
                <w:rFonts w:ascii="Arial" w:eastAsia="Calibri" w:hAnsi="Arial" w:cs="Arial"/>
                <w:color w:val="000000" w:themeColor="text1"/>
                <w:sz w:val="22"/>
              </w:rPr>
              <w:lastRenderedPageBreak/>
              <w:t>LICITACIÓN PÚBLICA – Licitación de obra</w:t>
            </w:r>
            <w:r w:rsidR="00E94DE6">
              <w:rPr>
                <w:rFonts w:ascii="Arial" w:eastAsia="Calibri" w:hAnsi="Arial" w:cs="Arial"/>
                <w:color w:val="000000" w:themeColor="text1"/>
                <w:sz w:val="22"/>
              </w:rPr>
              <w:t xml:space="preserve"> pública</w:t>
            </w:r>
            <w:bookmarkStart w:id="2" w:name="_GoBack"/>
            <w:bookmarkEnd w:id="2"/>
            <w:r w:rsidRPr="007430F7">
              <w:rPr>
                <w:rFonts w:ascii="Arial" w:eastAsia="Calibri" w:hAnsi="Arial" w:cs="Arial"/>
                <w:color w:val="000000" w:themeColor="text1"/>
                <w:sz w:val="22"/>
              </w:rPr>
              <w:t xml:space="preserve"> – Audiencia de adjudicación / LICITACIÓN PÚBLICA PARA CONTRATISTAS DE OBRA – Términos para resolver observaciones / TÉRMINO DEL TRASLADO PARA OBSERVACIONES – Ofertas económicas – Proporcionalidad y razonabilidad / TÉRMINO DEL TRASLADO PARA OBSERVACIONES – Ofertas económicas – Proporcionalidad y razonabilidad – Límites</w:t>
            </w:r>
          </w:p>
        </w:tc>
      </w:tr>
      <w:tr w:rsidR="00EA6187" w:rsidRPr="007430F7" w14:paraId="0133A48C" w14:textId="77777777" w:rsidTr="007430F7">
        <w:tc>
          <w:tcPr>
            <w:tcW w:w="2689" w:type="dxa"/>
          </w:tcPr>
          <w:p w14:paraId="786A0CD8" w14:textId="77777777" w:rsidR="00EA6187" w:rsidRPr="007430F7" w:rsidRDefault="00EA6187" w:rsidP="007430F7">
            <w:pPr>
              <w:spacing w:before="120"/>
              <w:rPr>
                <w:rFonts w:ascii="Arial" w:eastAsia="Calibri" w:hAnsi="Arial" w:cs="Arial"/>
                <w:b/>
                <w:color w:val="000000" w:themeColor="text1"/>
                <w:sz w:val="22"/>
              </w:rPr>
            </w:pPr>
            <w:r w:rsidRPr="007430F7">
              <w:rPr>
                <w:rFonts w:ascii="Arial" w:eastAsia="Calibri" w:hAnsi="Arial" w:cs="Arial"/>
                <w:b/>
                <w:color w:val="000000" w:themeColor="text1"/>
                <w:sz w:val="22"/>
              </w:rPr>
              <w:lastRenderedPageBreak/>
              <w:t>Radicación:</w:t>
            </w:r>
            <w:r w:rsidRPr="007430F7">
              <w:rPr>
                <w:rFonts w:ascii="Arial" w:eastAsia="Calibri" w:hAnsi="Arial" w:cs="Arial"/>
                <w:color w:val="000000" w:themeColor="text1"/>
                <w:sz w:val="22"/>
              </w:rPr>
              <w:t xml:space="preserve">                              </w:t>
            </w:r>
          </w:p>
        </w:tc>
        <w:tc>
          <w:tcPr>
            <w:tcW w:w="6237" w:type="dxa"/>
          </w:tcPr>
          <w:p w14:paraId="177BBDF9" w14:textId="77777777" w:rsidR="00EA6187" w:rsidRPr="007430F7" w:rsidRDefault="00EA6187" w:rsidP="007430F7">
            <w:pPr>
              <w:spacing w:before="120"/>
              <w:jc w:val="both"/>
              <w:rPr>
                <w:rFonts w:ascii="Arial" w:eastAsia="Calibri" w:hAnsi="Arial" w:cs="Arial"/>
                <w:color w:val="000000" w:themeColor="text1"/>
                <w:sz w:val="22"/>
              </w:rPr>
            </w:pPr>
            <w:r w:rsidRPr="007430F7">
              <w:rPr>
                <w:rFonts w:ascii="Arial" w:eastAsia="Calibri" w:hAnsi="Arial" w:cs="Arial"/>
                <w:color w:val="000000" w:themeColor="text1"/>
                <w:sz w:val="22"/>
              </w:rPr>
              <w:t xml:space="preserve">Respuesta a consulta 4202012000002276 </w:t>
            </w:r>
          </w:p>
        </w:tc>
      </w:tr>
    </w:tbl>
    <w:p w14:paraId="609673C5" w14:textId="3CAF9C62" w:rsidR="00EA6187" w:rsidRDefault="00EA6187" w:rsidP="00EA6187">
      <w:pPr>
        <w:jc w:val="both"/>
        <w:rPr>
          <w:rFonts w:ascii="Arial" w:eastAsia="Calibri" w:hAnsi="Arial" w:cs="Arial"/>
          <w:color w:val="000000" w:themeColor="text1"/>
          <w:sz w:val="22"/>
        </w:rPr>
      </w:pPr>
    </w:p>
    <w:p w14:paraId="380F1FA3" w14:textId="77777777" w:rsidR="0048094C" w:rsidRPr="007430F7" w:rsidRDefault="0048094C" w:rsidP="00EA6187">
      <w:pPr>
        <w:jc w:val="both"/>
        <w:rPr>
          <w:rFonts w:ascii="Arial" w:eastAsia="Calibri" w:hAnsi="Arial" w:cs="Arial"/>
          <w:color w:val="000000" w:themeColor="text1"/>
          <w:sz w:val="22"/>
        </w:rPr>
      </w:pPr>
    </w:p>
    <w:p w14:paraId="06E44910" w14:textId="44E72F0F" w:rsidR="00EA6187" w:rsidRPr="007430F7" w:rsidRDefault="00EA6187" w:rsidP="00EA6187">
      <w:pPr>
        <w:rPr>
          <w:rFonts w:ascii="Arial" w:eastAsia="Calibri" w:hAnsi="Arial" w:cs="Arial"/>
          <w:color w:val="000000" w:themeColor="text1"/>
          <w:sz w:val="22"/>
        </w:rPr>
      </w:pPr>
      <w:r w:rsidRPr="007430F7">
        <w:rPr>
          <w:rFonts w:ascii="Arial" w:eastAsia="Calibri" w:hAnsi="Arial" w:cs="Arial"/>
          <w:color w:val="000000" w:themeColor="text1"/>
          <w:sz w:val="22"/>
        </w:rPr>
        <w:t>Estimad</w:t>
      </w:r>
      <w:r w:rsidR="000D348F" w:rsidRPr="007430F7">
        <w:rPr>
          <w:rFonts w:ascii="Arial" w:eastAsia="Calibri" w:hAnsi="Arial" w:cs="Arial"/>
          <w:color w:val="000000" w:themeColor="text1"/>
          <w:sz w:val="22"/>
        </w:rPr>
        <w:t>o</w:t>
      </w:r>
      <w:r w:rsidRPr="007430F7">
        <w:rPr>
          <w:rFonts w:ascii="Arial" w:eastAsia="Calibri" w:hAnsi="Arial" w:cs="Arial"/>
          <w:color w:val="000000" w:themeColor="text1"/>
          <w:sz w:val="22"/>
        </w:rPr>
        <w:t xml:space="preserve"> señor </w:t>
      </w:r>
      <w:r w:rsidR="000D348F" w:rsidRPr="007430F7">
        <w:rPr>
          <w:rFonts w:ascii="Arial" w:eastAsia="Calibri" w:hAnsi="Arial" w:cs="Arial"/>
          <w:color w:val="000000" w:themeColor="text1"/>
          <w:sz w:val="22"/>
        </w:rPr>
        <w:t>Jaramillo Cadavid</w:t>
      </w:r>
      <w:r w:rsidRPr="007430F7">
        <w:rPr>
          <w:rFonts w:ascii="Arial" w:eastAsia="Calibri" w:hAnsi="Arial" w:cs="Arial"/>
          <w:color w:val="000000" w:themeColor="text1"/>
          <w:sz w:val="22"/>
        </w:rPr>
        <w:t>,</w:t>
      </w:r>
    </w:p>
    <w:p w14:paraId="7ED3A999" w14:textId="77777777" w:rsidR="00EA6187" w:rsidRPr="007430F7" w:rsidRDefault="00EA6187" w:rsidP="00EA6187">
      <w:pPr>
        <w:rPr>
          <w:rFonts w:ascii="Arial" w:eastAsia="Calibri" w:hAnsi="Arial" w:cs="Arial"/>
          <w:color w:val="000000" w:themeColor="text1"/>
          <w:sz w:val="22"/>
        </w:rPr>
      </w:pPr>
    </w:p>
    <w:p w14:paraId="191E5B07" w14:textId="77777777" w:rsidR="00EA6187" w:rsidRPr="007430F7" w:rsidRDefault="00EA6187" w:rsidP="00EA6187">
      <w:pPr>
        <w:spacing w:line="276" w:lineRule="auto"/>
        <w:jc w:val="both"/>
        <w:rPr>
          <w:rFonts w:ascii="Arial" w:eastAsia="Calibri" w:hAnsi="Arial" w:cs="Arial"/>
          <w:color w:val="000000" w:themeColor="text1"/>
          <w:sz w:val="22"/>
        </w:rPr>
      </w:pPr>
      <w:r w:rsidRPr="007430F7">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30 de marzo de 2020. </w:t>
      </w:r>
    </w:p>
    <w:p w14:paraId="3C96EC8A" w14:textId="77777777" w:rsidR="00EA6187" w:rsidRPr="007430F7" w:rsidRDefault="00EA6187" w:rsidP="00EA6187">
      <w:pPr>
        <w:spacing w:line="276" w:lineRule="auto"/>
        <w:jc w:val="both"/>
        <w:rPr>
          <w:rFonts w:ascii="Arial" w:eastAsia="Calibri" w:hAnsi="Arial" w:cs="Arial"/>
          <w:color w:val="000000" w:themeColor="text1"/>
          <w:sz w:val="22"/>
        </w:rPr>
      </w:pPr>
    </w:p>
    <w:p w14:paraId="04FD518A" w14:textId="77777777" w:rsidR="00EA6187" w:rsidRPr="007430F7" w:rsidRDefault="00EA6187" w:rsidP="00EA6187">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7430F7">
        <w:rPr>
          <w:rFonts w:ascii="Arial" w:eastAsia="Calibri" w:hAnsi="Arial" w:cs="Arial"/>
          <w:b/>
          <w:color w:val="000000" w:themeColor="text1"/>
          <w:sz w:val="22"/>
        </w:rPr>
        <w:t xml:space="preserve">Problemas planteados </w:t>
      </w:r>
    </w:p>
    <w:p w14:paraId="052DC1BA" w14:textId="77777777" w:rsidR="00EA6187" w:rsidRPr="007430F7" w:rsidRDefault="00EA6187" w:rsidP="00EA6187">
      <w:pPr>
        <w:tabs>
          <w:tab w:val="left" w:pos="426"/>
        </w:tabs>
        <w:spacing w:line="276" w:lineRule="auto"/>
        <w:jc w:val="both"/>
        <w:rPr>
          <w:rFonts w:ascii="Arial" w:eastAsia="Calibri" w:hAnsi="Arial" w:cs="Arial"/>
          <w:b/>
          <w:color w:val="000000" w:themeColor="text1"/>
          <w:sz w:val="22"/>
        </w:rPr>
      </w:pPr>
    </w:p>
    <w:p w14:paraId="476D9E96" w14:textId="27A50B26" w:rsidR="00EA6187" w:rsidRPr="007430F7" w:rsidRDefault="00EA6187" w:rsidP="00EA6187">
      <w:pPr>
        <w:tabs>
          <w:tab w:val="left" w:pos="426"/>
        </w:tabs>
        <w:spacing w:line="276" w:lineRule="auto"/>
        <w:jc w:val="both"/>
        <w:rPr>
          <w:rFonts w:ascii="Arial" w:eastAsia="Calibri" w:hAnsi="Arial" w:cs="Arial"/>
          <w:color w:val="000000" w:themeColor="text1"/>
          <w:sz w:val="22"/>
        </w:rPr>
      </w:pPr>
      <w:r w:rsidRPr="007430F7">
        <w:rPr>
          <w:rFonts w:ascii="Arial" w:eastAsia="Calibri" w:hAnsi="Arial" w:cs="Arial"/>
          <w:color w:val="000000" w:themeColor="text1"/>
          <w:sz w:val="22"/>
        </w:rPr>
        <w:t xml:space="preserve">Usted realiza la siguiente pregunta: «[…] ¿cuál debe ser el termino razonable que deben dar las entidades al traslado que determina la norma para la revisión de los aspectos económicos y de elegibilidad?». A nuestro juicio, este interrogante se hace en relación con el procedimiento </w:t>
      </w:r>
      <w:r w:rsidR="00616502" w:rsidRPr="007430F7">
        <w:rPr>
          <w:rFonts w:ascii="Arial" w:eastAsia="Calibri" w:hAnsi="Arial" w:cs="Arial"/>
          <w:color w:val="000000" w:themeColor="text1"/>
          <w:sz w:val="22"/>
        </w:rPr>
        <w:t xml:space="preserve">de selección </w:t>
      </w:r>
      <w:r w:rsidRPr="007430F7">
        <w:rPr>
          <w:rFonts w:ascii="Arial" w:eastAsia="Calibri" w:hAnsi="Arial" w:cs="Arial"/>
          <w:color w:val="000000" w:themeColor="text1"/>
          <w:sz w:val="22"/>
        </w:rPr>
        <w:t xml:space="preserve">y las </w:t>
      </w:r>
      <w:r w:rsidR="00616502" w:rsidRPr="007430F7">
        <w:rPr>
          <w:rFonts w:ascii="Arial" w:eastAsia="Calibri" w:hAnsi="Arial" w:cs="Arial"/>
          <w:color w:val="000000" w:themeColor="text1"/>
          <w:sz w:val="22"/>
        </w:rPr>
        <w:t>actuaciones</w:t>
      </w:r>
      <w:r w:rsidRPr="007430F7">
        <w:rPr>
          <w:rFonts w:ascii="Arial" w:eastAsia="Calibri" w:hAnsi="Arial" w:cs="Arial"/>
          <w:color w:val="000000" w:themeColor="text1"/>
          <w:sz w:val="22"/>
        </w:rPr>
        <w:t xml:space="preserve"> reguladas en artículo 1 de la Ley 1882 de 2018. Frente a la misma, se pide tener en cuenta que «[…] con la aplicación del [P]liego [T]ipo el numero de propuestas promedio es de 50 y muchas entidades solo dan traslado de 2 horas promedio para dicha revisión, situación que hace imposible una verificación juiciosa de dicho traslado».</w:t>
      </w:r>
    </w:p>
    <w:p w14:paraId="5369CC2A" w14:textId="77777777" w:rsidR="00EA6187" w:rsidRPr="007430F7" w:rsidRDefault="00EA6187" w:rsidP="00EA6187">
      <w:pPr>
        <w:tabs>
          <w:tab w:val="left" w:pos="709"/>
        </w:tabs>
        <w:spacing w:before="120" w:line="276" w:lineRule="auto"/>
        <w:jc w:val="both"/>
        <w:rPr>
          <w:rFonts w:ascii="Arial" w:eastAsia="Calibri" w:hAnsi="Arial" w:cs="Arial"/>
          <w:color w:val="000000" w:themeColor="text1"/>
          <w:sz w:val="22"/>
        </w:rPr>
      </w:pPr>
    </w:p>
    <w:p w14:paraId="1CCA41C6" w14:textId="77777777" w:rsidR="00EA6187" w:rsidRPr="007430F7" w:rsidRDefault="00EA6187" w:rsidP="00EA618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7430F7">
        <w:rPr>
          <w:rFonts w:ascii="Arial" w:eastAsia="Calibri" w:hAnsi="Arial" w:cs="Arial"/>
          <w:b/>
          <w:color w:val="000000" w:themeColor="text1"/>
          <w:sz w:val="22"/>
        </w:rPr>
        <w:t>Consideraciones</w:t>
      </w:r>
    </w:p>
    <w:p w14:paraId="164A0C98" w14:textId="77777777" w:rsidR="00EA6187" w:rsidRPr="007430F7" w:rsidRDefault="00EA6187" w:rsidP="00EA6187">
      <w:pPr>
        <w:spacing w:line="276" w:lineRule="auto"/>
        <w:jc w:val="both"/>
        <w:rPr>
          <w:rFonts w:ascii="Arial" w:eastAsia="Calibri" w:hAnsi="Arial" w:cs="Arial"/>
          <w:color w:val="000000" w:themeColor="text1"/>
          <w:sz w:val="22"/>
        </w:rPr>
      </w:pPr>
    </w:p>
    <w:p w14:paraId="31D1D785" w14:textId="76561FF0" w:rsidR="00EA6187" w:rsidRPr="007430F7" w:rsidRDefault="00EA6187" w:rsidP="00EA6187">
      <w:pPr>
        <w:spacing w:line="276" w:lineRule="auto"/>
        <w:jc w:val="both"/>
        <w:rPr>
          <w:rFonts w:ascii="Arial" w:eastAsia="Calibri" w:hAnsi="Arial" w:cs="Arial"/>
          <w:color w:val="000000" w:themeColor="text1"/>
          <w:sz w:val="22"/>
        </w:rPr>
      </w:pPr>
      <w:r w:rsidRPr="007430F7">
        <w:rPr>
          <w:rFonts w:ascii="Arial" w:eastAsia="Calibri" w:hAnsi="Arial" w:cs="Arial"/>
          <w:color w:val="000000" w:themeColor="text1"/>
          <w:sz w:val="22"/>
        </w:rPr>
        <w:t xml:space="preserve">La Agencia Nacional de Contratación Pública − Colombia Compra Eficiente se ha pronunciado en diferentes conceptos sobre las </w:t>
      </w:r>
      <w:r w:rsidR="00F93762" w:rsidRPr="007430F7">
        <w:rPr>
          <w:rFonts w:ascii="Arial" w:eastAsia="Calibri" w:hAnsi="Arial" w:cs="Arial"/>
          <w:color w:val="000000" w:themeColor="text1"/>
          <w:sz w:val="22"/>
        </w:rPr>
        <w:t xml:space="preserve">etapas de las </w:t>
      </w:r>
      <w:r w:rsidRPr="007430F7">
        <w:rPr>
          <w:rFonts w:ascii="Arial" w:eastAsia="Calibri" w:hAnsi="Arial" w:cs="Arial"/>
          <w:color w:val="000000" w:themeColor="text1"/>
          <w:sz w:val="22"/>
        </w:rPr>
        <w:t xml:space="preserve">actuaciones adelantadas por las entidades estatales, en materia contractual, en el concepto C-201 de 2020 lo hizo en relación con las fases o etapas del proceso </w:t>
      </w:r>
      <w:r w:rsidR="00AD7406" w:rsidRPr="007430F7">
        <w:rPr>
          <w:rFonts w:ascii="Arial" w:eastAsia="Calibri" w:hAnsi="Arial" w:cs="Arial"/>
          <w:color w:val="000000" w:themeColor="text1"/>
          <w:sz w:val="22"/>
        </w:rPr>
        <w:t>de selección</w:t>
      </w:r>
      <w:r w:rsidR="00F93762" w:rsidRPr="007430F7">
        <w:rPr>
          <w:rFonts w:ascii="Arial" w:eastAsia="Calibri" w:hAnsi="Arial" w:cs="Arial"/>
          <w:color w:val="000000" w:themeColor="text1"/>
          <w:sz w:val="22"/>
        </w:rPr>
        <w:t xml:space="preserve">, y en el concepto del 23 de diciembre de 2019 −radicado No. 2201913000009524−, lo hizo frente a la </w:t>
      </w:r>
      <w:r w:rsidR="007A29E8" w:rsidRPr="007430F7">
        <w:rPr>
          <w:rFonts w:ascii="Arial" w:eastAsia="Calibri" w:hAnsi="Arial" w:cs="Arial"/>
          <w:color w:val="000000" w:themeColor="text1"/>
          <w:sz w:val="22"/>
        </w:rPr>
        <w:t>audiencia</w:t>
      </w:r>
      <w:r w:rsidR="00F93762" w:rsidRPr="007430F7">
        <w:rPr>
          <w:rFonts w:ascii="Arial" w:eastAsia="Calibri" w:hAnsi="Arial" w:cs="Arial"/>
          <w:color w:val="000000" w:themeColor="text1"/>
          <w:sz w:val="22"/>
        </w:rPr>
        <w:t xml:space="preserve"> de adjudicación en licitaciones púbicas</w:t>
      </w:r>
      <w:r w:rsidRPr="007430F7">
        <w:rPr>
          <w:rFonts w:ascii="Arial" w:eastAsia="Calibri" w:hAnsi="Arial" w:cs="Arial"/>
          <w:color w:val="000000" w:themeColor="text1"/>
          <w:sz w:val="22"/>
        </w:rPr>
        <w:t xml:space="preserve">. Las tesis propuestas se exponen a continuación y se complementan en lo necesario, particularmente en lo que tiene que ver con los contratos de obra y el término para presentar observaciones </w:t>
      </w:r>
      <w:r w:rsidR="00AD7406" w:rsidRPr="007430F7">
        <w:rPr>
          <w:rFonts w:ascii="Arial" w:eastAsia="Calibri" w:hAnsi="Arial" w:cs="Arial"/>
          <w:color w:val="000000" w:themeColor="text1"/>
          <w:sz w:val="22"/>
        </w:rPr>
        <w:t>frente a la evaluación</w:t>
      </w:r>
      <w:r w:rsidRPr="007430F7">
        <w:rPr>
          <w:rFonts w:ascii="Arial" w:eastAsia="Calibri" w:hAnsi="Arial" w:cs="Arial"/>
          <w:color w:val="000000" w:themeColor="text1"/>
          <w:sz w:val="22"/>
        </w:rPr>
        <w:t xml:space="preserve"> de las </w:t>
      </w:r>
      <w:r w:rsidR="00AD7406" w:rsidRPr="007430F7">
        <w:rPr>
          <w:rFonts w:ascii="Arial" w:eastAsia="Calibri" w:hAnsi="Arial" w:cs="Arial"/>
          <w:color w:val="000000" w:themeColor="text1"/>
          <w:sz w:val="22"/>
        </w:rPr>
        <w:t xml:space="preserve">ofertas </w:t>
      </w:r>
      <w:r w:rsidRPr="007430F7">
        <w:rPr>
          <w:rFonts w:ascii="Arial" w:eastAsia="Calibri" w:hAnsi="Arial" w:cs="Arial"/>
          <w:color w:val="000000" w:themeColor="text1"/>
          <w:sz w:val="22"/>
        </w:rPr>
        <w:t>económicas.</w:t>
      </w:r>
    </w:p>
    <w:p w14:paraId="5A45DAE9" w14:textId="77777777" w:rsidR="00EA6187" w:rsidRPr="007430F7" w:rsidRDefault="00EA6187" w:rsidP="00EA6187">
      <w:pPr>
        <w:spacing w:before="120" w:line="276" w:lineRule="auto"/>
        <w:ind w:firstLine="709"/>
        <w:jc w:val="both"/>
        <w:rPr>
          <w:rFonts w:ascii="Arial" w:eastAsia="Calibri" w:hAnsi="Arial" w:cs="Arial"/>
          <w:color w:val="000000" w:themeColor="text1"/>
          <w:sz w:val="22"/>
        </w:rPr>
      </w:pPr>
      <w:r w:rsidRPr="007430F7">
        <w:rPr>
          <w:rFonts w:ascii="Arial" w:eastAsia="Calibri" w:hAnsi="Arial" w:cs="Arial"/>
          <w:color w:val="000000" w:themeColor="text1"/>
          <w:sz w:val="22"/>
        </w:rPr>
        <w:t xml:space="preserve">Para adquirir bienes y servicios las entidades deben estructurar un procedimiento de contratación que es reglado, es decir, el procedimiento no es discrecional, y se deben consultar las normas que lo rigen, para determinar la forma que la ley prevé para </w:t>
      </w:r>
      <w:r w:rsidRPr="007430F7">
        <w:rPr>
          <w:rFonts w:ascii="Arial" w:eastAsia="Calibri" w:hAnsi="Arial" w:cs="Arial"/>
          <w:color w:val="000000" w:themeColor="text1"/>
          <w:sz w:val="22"/>
        </w:rPr>
        <w:lastRenderedPageBreak/>
        <w:t>adelantarlo. Las principales normas son: la Ley 80 de 1993, la Ley 1150 de 2007 ─que, entre otras disposiciones, regula las modalidades de selección para la escogencia del contratista─; y los artículos</w:t>
      </w:r>
      <w:r w:rsidRPr="007430F7">
        <w:rPr>
          <w:rFonts w:ascii="Arial" w:eastAsia="Calibri" w:hAnsi="Arial" w:cs="Arial"/>
          <w:b/>
          <w:bCs/>
          <w:color w:val="000000" w:themeColor="text1"/>
          <w:sz w:val="22"/>
        </w:rPr>
        <w:t xml:space="preserve"> </w:t>
      </w:r>
      <w:r w:rsidRPr="007430F7">
        <w:rPr>
          <w:rFonts w:ascii="Arial" w:eastAsia="Calibri" w:hAnsi="Arial" w:cs="Arial"/>
          <w:color w:val="000000" w:themeColor="text1"/>
          <w:sz w:val="22"/>
        </w:rPr>
        <w:t>2.2.1.1.2.1.1. y siguientes del Decreto 1082 de 2015, que concreta cada modalidad de selección, señalando reglas o pasos a seguir para adjudicar y celebrar el contrato estatal.</w:t>
      </w:r>
    </w:p>
    <w:p w14:paraId="44EC156E" w14:textId="5D1A0237" w:rsidR="00EA6187" w:rsidRPr="007430F7" w:rsidRDefault="00EA6187" w:rsidP="00EA6187">
      <w:pPr>
        <w:spacing w:before="120" w:after="120" w:line="276" w:lineRule="auto"/>
        <w:ind w:firstLine="708"/>
        <w:jc w:val="both"/>
        <w:rPr>
          <w:rFonts w:ascii="Arial" w:eastAsia="Calibri" w:hAnsi="Arial" w:cs="Arial"/>
          <w:color w:val="000000" w:themeColor="text1"/>
          <w:sz w:val="22"/>
        </w:rPr>
      </w:pPr>
      <w:r w:rsidRPr="007430F7">
        <w:rPr>
          <w:rFonts w:ascii="Arial" w:eastAsia="Calibri" w:hAnsi="Arial" w:cs="Arial"/>
          <w:color w:val="000000" w:themeColor="text1"/>
          <w:sz w:val="22"/>
        </w:rPr>
        <w:t>El artículo 25 de la Ley 80 de 1993</w:t>
      </w:r>
      <w:r w:rsidRPr="007430F7">
        <w:rPr>
          <w:rStyle w:val="Refdenotaalpie"/>
          <w:rFonts w:ascii="Arial" w:eastAsia="Calibri" w:hAnsi="Arial" w:cs="Arial"/>
          <w:color w:val="000000" w:themeColor="text1"/>
          <w:sz w:val="22"/>
        </w:rPr>
        <w:footnoteReference w:id="2"/>
      </w:r>
      <w:r w:rsidRPr="007430F7">
        <w:rPr>
          <w:rFonts w:ascii="Arial" w:eastAsia="Calibri" w:hAnsi="Arial" w:cs="Arial"/>
          <w:color w:val="000000" w:themeColor="text1"/>
          <w:sz w:val="22"/>
        </w:rPr>
        <w:t xml:space="preserve"> consagra el principio de economía, en virtud del cual, las normas de selección y el pliego de condiciones deben establecer términos perentorios y preclusivos para cada una de las etapas de los procesos de selección, a fin de asegurar la selección objetiva del contratista. Puede decirse, entonces, que la adquisición de bienes y servicios por parte del Estado debe gestionarse, por un lado, dentro de las etapas del proceso contractual, lo cual variará dependiendo de la modalidad de selección de contratistas y, en cierta medida, del objeto del contrato a suscribir, y, por el otro, dentro de los términos establecidos para cada una de esas etapas, bien por la ley</w:t>
      </w:r>
      <w:r w:rsidR="00E34F81" w:rsidRPr="007430F7">
        <w:rPr>
          <w:rFonts w:ascii="Arial" w:eastAsia="Calibri" w:hAnsi="Arial" w:cs="Arial"/>
          <w:color w:val="000000" w:themeColor="text1"/>
          <w:sz w:val="22"/>
        </w:rPr>
        <w:t>,</w:t>
      </w:r>
      <w:r w:rsidRPr="007430F7">
        <w:rPr>
          <w:rFonts w:ascii="Arial" w:eastAsia="Calibri" w:hAnsi="Arial" w:cs="Arial"/>
          <w:color w:val="000000" w:themeColor="text1"/>
          <w:sz w:val="22"/>
        </w:rPr>
        <w:t xml:space="preserve"> el reglamento o </w:t>
      </w:r>
      <w:r w:rsidR="00E34F81" w:rsidRPr="007430F7">
        <w:rPr>
          <w:rFonts w:ascii="Arial" w:eastAsia="Calibri" w:hAnsi="Arial" w:cs="Arial"/>
          <w:color w:val="000000" w:themeColor="text1"/>
          <w:sz w:val="22"/>
        </w:rPr>
        <w:t>el definido por</w:t>
      </w:r>
      <w:r w:rsidRPr="007430F7">
        <w:rPr>
          <w:rFonts w:ascii="Arial" w:eastAsia="Calibri" w:hAnsi="Arial" w:cs="Arial"/>
          <w:color w:val="000000" w:themeColor="text1"/>
          <w:sz w:val="22"/>
        </w:rPr>
        <w:t xml:space="preserve"> la entidad contratante.</w:t>
      </w:r>
    </w:p>
    <w:p w14:paraId="2FFEEF4F" w14:textId="091B4BA8" w:rsidR="00EA6187" w:rsidRPr="007430F7" w:rsidRDefault="00EA6187" w:rsidP="00EA6187">
      <w:pPr>
        <w:tabs>
          <w:tab w:val="left" w:pos="851"/>
          <w:tab w:val="left" w:pos="1134"/>
        </w:tabs>
        <w:spacing w:before="120" w:after="120" w:line="276" w:lineRule="auto"/>
        <w:jc w:val="both"/>
        <w:rPr>
          <w:rFonts w:ascii="Arial" w:hAnsi="Arial" w:cs="Arial"/>
          <w:color w:val="000000" w:themeColor="text1"/>
          <w:sz w:val="22"/>
        </w:rPr>
      </w:pPr>
      <w:r w:rsidRPr="007430F7">
        <w:rPr>
          <w:rFonts w:ascii="Arial" w:hAnsi="Arial" w:cs="Arial"/>
          <w:color w:val="000000" w:themeColor="text1"/>
          <w:sz w:val="22"/>
        </w:rPr>
        <w:tab/>
        <w:t>En lo que tiene que ver con la licitación pública</w:t>
      </w:r>
      <w:r w:rsidR="00E34F81" w:rsidRPr="007430F7">
        <w:rPr>
          <w:rFonts w:ascii="Arial" w:hAnsi="Arial" w:cs="Arial"/>
          <w:color w:val="000000" w:themeColor="text1"/>
          <w:sz w:val="22"/>
        </w:rPr>
        <w:t xml:space="preserve">, procedimiento que constituye la </w:t>
      </w:r>
      <w:r w:rsidRPr="007430F7">
        <w:rPr>
          <w:rFonts w:ascii="Arial" w:hAnsi="Arial" w:cs="Arial"/>
          <w:color w:val="000000" w:themeColor="text1"/>
          <w:sz w:val="22"/>
        </w:rPr>
        <w:t>«regla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w:t>
      </w:r>
      <w:r w:rsidR="0025690A" w:rsidRPr="007430F7">
        <w:rPr>
          <w:rFonts w:ascii="Arial" w:hAnsi="Arial" w:cs="Arial"/>
          <w:color w:val="000000" w:themeColor="text1"/>
          <w:sz w:val="22"/>
        </w:rPr>
        <w:t>,</w:t>
      </w:r>
      <w:r w:rsidRPr="007430F7">
        <w:rPr>
          <w:rFonts w:ascii="Arial" w:hAnsi="Arial" w:cs="Arial"/>
          <w:color w:val="000000" w:themeColor="text1"/>
          <w:sz w:val="22"/>
        </w:rPr>
        <w:t xml:space="preserve"> concurren en una misma etapa: de un lado, uno relacionado con la planeación, al </w:t>
      </w:r>
      <w:r w:rsidR="0025690A" w:rsidRPr="007430F7">
        <w:rPr>
          <w:rFonts w:ascii="Arial" w:hAnsi="Arial" w:cs="Arial"/>
          <w:color w:val="000000" w:themeColor="text1"/>
          <w:sz w:val="22"/>
        </w:rPr>
        <w:t xml:space="preserve">establecer </w:t>
      </w:r>
      <w:r w:rsidRPr="007430F7">
        <w:rPr>
          <w:rFonts w:ascii="Arial" w:hAnsi="Arial" w:cs="Arial"/>
          <w:color w:val="000000" w:themeColor="text1"/>
          <w:sz w:val="22"/>
        </w:rPr>
        <w:t>que la entidad, previo a</w:t>
      </w:r>
      <w:r w:rsidR="0025690A" w:rsidRPr="007430F7">
        <w:rPr>
          <w:rFonts w:ascii="Arial" w:hAnsi="Arial" w:cs="Arial"/>
          <w:color w:val="000000" w:themeColor="text1"/>
          <w:sz w:val="22"/>
        </w:rPr>
        <w:t>l inicio del procedimiento de selección</w:t>
      </w:r>
      <w:r w:rsidRPr="007430F7">
        <w:rPr>
          <w:rFonts w:ascii="Arial" w:hAnsi="Arial" w:cs="Arial"/>
          <w:color w:val="000000" w:themeColor="text1"/>
          <w:sz w:val="22"/>
        </w:rPr>
        <w:t xml:space="preserve">,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w:t>
      </w:r>
      <w:r w:rsidR="0025690A" w:rsidRPr="007430F7">
        <w:rPr>
          <w:rFonts w:ascii="Arial" w:hAnsi="Arial" w:cs="Arial"/>
          <w:color w:val="000000" w:themeColor="text1"/>
          <w:sz w:val="22"/>
        </w:rPr>
        <w:t>l</w:t>
      </w:r>
      <w:r w:rsidRPr="007430F7">
        <w:rPr>
          <w:rFonts w:ascii="Arial" w:hAnsi="Arial" w:cs="Arial"/>
          <w:color w:val="000000" w:themeColor="text1"/>
          <w:sz w:val="22"/>
        </w:rPr>
        <w:t xml:space="preserve">ey y del artículo 2.2.1.1.2.1.3. del Decreto 1082 de 2015. </w:t>
      </w:r>
    </w:p>
    <w:p w14:paraId="622F7513" w14:textId="1BA03D42"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Por su parte, el numeral 3 señala que dentro de los 10 o 20 días calendario antes de la apertura de la licitación, la entidad debe publicar hasta 3 avisos para invitar a participar en el proceso de licitación. </w:t>
      </w:r>
      <w:r w:rsidR="0025690A" w:rsidRPr="007430F7">
        <w:rPr>
          <w:rFonts w:ascii="Arial" w:hAnsi="Arial" w:cs="Arial"/>
          <w:color w:val="000000" w:themeColor="text1"/>
          <w:sz w:val="22"/>
        </w:rPr>
        <w:t xml:space="preserve">Los avisos deberán publicarse con intervalos de 2 a 5 días calendario entre cada uno, en la página web de la entidad y en el SECOP; en defecto de los mecanismos anteriores, en los pequeños poblados, esta publicación debe realizarse por bando o en los principales lugares públicos, por un término de 7 días calendario, uno de los cuales será en el «día de mercado» de la respectiva población. </w:t>
      </w:r>
      <w:r w:rsidRPr="007430F7">
        <w:rPr>
          <w:rFonts w:ascii="Arial" w:hAnsi="Arial" w:cs="Arial"/>
          <w:color w:val="000000" w:themeColor="text1"/>
          <w:sz w:val="22"/>
        </w:rPr>
        <w:t xml:space="preserve">Además, se debe publicar </w:t>
      </w:r>
      <w:r w:rsidRPr="007430F7">
        <w:rPr>
          <w:rFonts w:ascii="Arial" w:hAnsi="Arial" w:cs="Arial"/>
          <w:color w:val="000000" w:themeColor="text1"/>
          <w:sz w:val="22"/>
        </w:rPr>
        <w:lastRenderedPageBreak/>
        <w:t xml:space="preserve">otro aviso que contendrá la información señalada en el artículo 2.2.1.1.2.1.2. del Decreto 1082 de 2015. </w:t>
      </w:r>
    </w:p>
    <w:p w14:paraId="51AB4FC4" w14:textId="7710D09B"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De igual manera,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conjuntamente con los estudios y documentos previos, por no menos de 10 días hábiles anteriores a la apertura del proceso de licitación</w:t>
      </w:r>
      <w:r w:rsidR="0025690A" w:rsidRPr="007430F7">
        <w:rPr>
          <w:rFonts w:ascii="Arial" w:hAnsi="Arial" w:cs="Arial"/>
          <w:color w:val="000000" w:themeColor="text1"/>
          <w:sz w:val="22"/>
        </w:rPr>
        <w:t>, –artículos 8 de la Ley 1150 de 2007 y 2.2.1.1.2.1.4. del Decreto 1082 de 2015–</w:t>
      </w:r>
      <w:r w:rsidRPr="007430F7">
        <w:rPr>
          <w:rFonts w:ascii="Arial" w:hAnsi="Arial" w:cs="Arial"/>
          <w:color w:val="000000" w:themeColor="text1"/>
          <w:sz w:val="22"/>
        </w:rPr>
        <w:t xml:space="preserve">. </w:t>
      </w:r>
    </w:p>
    <w:p w14:paraId="341FE154" w14:textId="25F3486D" w:rsidR="00EA6187" w:rsidRPr="007430F7" w:rsidRDefault="005C1FE1"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En armonía con lo anterior</w:t>
      </w:r>
      <w:r w:rsidR="00EA6187" w:rsidRPr="007430F7">
        <w:rPr>
          <w:rFonts w:ascii="Arial" w:hAnsi="Arial" w:cs="Arial"/>
          <w:color w:val="000000" w:themeColor="text1"/>
          <w:sz w:val="22"/>
        </w:rPr>
        <w:t xml:space="preserve">, los artículos 2.2.1.1.1.7.1. y 2.2.1.1.2.1.4.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w:t>
      </w:r>
      <w:r w:rsidRPr="007430F7">
        <w:rPr>
          <w:rFonts w:ascii="Arial" w:hAnsi="Arial" w:cs="Arial"/>
          <w:color w:val="000000" w:themeColor="text1"/>
          <w:sz w:val="22"/>
        </w:rPr>
        <w:t>cronograma del proceso contenido en el «aviso de convocatoria» y en el «proyecto de pliego de condiciones»</w:t>
      </w:r>
      <w:r w:rsidR="00EA6187" w:rsidRPr="007430F7">
        <w:rPr>
          <w:rFonts w:ascii="Arial" w:hAnsi="Arial" w:cs="Arial"/>
          <w:color w:val="000000" w:themeColor="text1"/>
          <w:sz w:val="22"/>
        </w:rPr>
        <w:t>, la entidad debe resp</w:t>
      </w:r>
      <w:r w:rsidRPr="007430F7">
        <w:rPr>
          <w:rFonts w:ascii="Arial" w:hAnsi="Arial" w:cs="Arial"/>
          <w:color w:val="000000" w:themeColor="text1"/>
          <w:sz w:val="22"/>
        </w:rPr>
        <w:t>onder, de forma</w:t>
      </w:r>
      <w:r w:rsidR="00EA6187" w:rsidRPr="007430F7">
        <w:rPr>
          <w:rFonts w:ascii="Arial" w:hAnsi="Arial" w:cs="Arial"/>
          <w:color w:val="000000" w:themeColor="text1"/>
          <w:sz w:val="22"/>
        </w:rPr>
        <w:t xml:space="preserve"> motivada</w:t>
      </w:r>
      <w:r w:rsidRPr="007430F7">
        <w:rPr>
          <w:rFonts w:ascii="Arial" w:hAnsi="Arial" w:cs="Arial"/>
          <w:color w:val="000000" w:themeColor="text1"/>
          <w:sz w:val="22"/>
        </w:rPr>
        <w:t>,</w:t>
      </w:r>
      <w:r w:rsidR="00EA6187" w:rsidRPr="007430F7">
        <w:rPr>
          <w:rFonts w:ascii="Arial" w:hAnsi="Arial" w:cs="Arial"/>
          <w:color w:val="000000" w:themeColor="text1"/>
          <w:sz w:val="22"/>
        </w:rPr>
        <w:t xml:space="preserve"> cada una de las observaciones y publicarlas en el SECOP. Posteriormente, la entidad ajustará el pliego de condiciones,</w:t>
      </w:r>
      <w:r w:rsidRPr="007430F7">
        <w:rPr>
          <w:rFonts w:ascii="Arial" w:hAnsi="Arial" w:cs="Arial"/>
          <w:color w:val="000000" w:themeColor="text1"/>
          <w:sz w:val="22"/>
        </w:rPr>
        <w:t xml:space="preserve"> de ser procedente,</w:t>
      </w:r>
      <w:r w:rsidR="00EA6187" w:rsidRPr="007430F7">
        <w:rPr>
          <w:rFonts w:ascii="Arial" w:hAnsi="Arial" w:cs="Arial"/>
          <w:color w:val="000000" w:themeColor="text1"/>
          <w:sz w:val="22"/>
        </w:rPr>
        <w:t xml:space="preserve"> tomando en cuenta, en lo pertinente, las aclaraciones que fueron solicitadas por los interesados y las observaciones.</w:t>
      </w:r>
      <w:r w:rsidRPr="007430F7">
        <w:rPr>
          <w:rFonts w:ascii="Arial" w:hAnsi="Arial" w:cs="Arial"/>
          <w:color w:val="000000" w:themeColor="text1"/>
          <w:sz w:val="22"/>
        </w:rPr>
        <w:t xml:space="preserve"> Debe tenerse en cuenta que las respuestas a dichas observaciones se integran al pliego de condiciones, en tanto precisan su alcance y se constituye en una fuente interpretativa del mismo.</w:t>
      </w:r>
      <w:r w:rsidR="00EA6187" w:rsidRPr="007430F7">
        <w:rPr>
          <w:rFonts w:ascii="Arial" w:hAnsi="Arial" w:cs="Arial"/>
          <w:color w:val="000000" w:themeColor="text1"/>
          <w:sz w:val="22"/>
        </w:rPr>
        <w:t xml:space="preserve"> </w:t>
      </w:r>
    </w:p>
    <w:p w14:paraId="0E08DA26" w14:textId="18113556" w:rsidR="00EA6187" w:rsidRPr="007430F7" w:rsidRDefault="005C1FE1"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El artículo 30.1 de la Ley 80 establece que </w:t>
      </w:r>
      <w:r w:rsidR="00EA6187" w:rsidRPr="007430F7">
        <w:rPr>
          <w:rFonts w:ascii="Arial" w:hAnsi="Arial" w:cs="Arial"/>
          <w:color w:val="000000" w:themeColor="text1"/>
          <w:sz w:val="22"/>
        </w:rPr>
        <w:t xml:space="preserve">el jefe o representante de la entidad ordenará la apertura mediante un acto administrativo, en la forma prevista en el artículo 2.2.1.1.2.1.5. del Decreto 1082 de 2015, y deberá expedirse el pliego de condiciones definitivo. </w:t>
      </w:r>
      <w:r w:rsidRPr="007430F7">
        <w:rPr>
          <w:rFonts w:ascii="Arial" w:hAnsi="Arial" w:cs="Arial"/>
          <w:color w:val="000000" w:themeColor="text1"/>
          <w:sz w:val="22"/>
        </w:rPr>
        <w:t xml:space="preserve">Con este acto de </w:t>
      </w:r>
      <w:r w:rsidR="00EA6187" w:rsidRPr="007430F7">
        <w:rPr>
          <w:rFonts w:ascii="Arial" w:hAnsi="Arial" w:cs="Arial"/>
          <w:color w:val="000000" w:themeColor="text1"/>
          <w:sz w:val="22"/>
        </w:rPr>
        <w:t xml:space="preserve">apertura inicia la etapa de licitación propiamente dicha, en la que los interesados podrán presentar ofertas. Esta etapa fue denominada por el legislador como </w:t>
      </w:r>
      <w:r w:rsidR="00EA6187" w:rsidRPr="007430F7">
        <w:rPr>
          <w:rFonts w:ascii="Arial" w:hAnsi="Arial" w:cs="Arial"/>
          <w:i/>
          <w:iCs/>
          <w:color w:val="000000" w:themeColor="text1"/>
          <w:sz w:val="22"/>
        </w:rPr>
        <w:t>p</w:t>
      </w:r>
      <w:r w:rsidR="00EA6187" w:rsidRPr="007430F7">
        <w:rPr>
          <w:rFonts w:ascii="Arial" w:hAnsi="Arial" w:cs="Arial"/>
          <w:i/>
          <w:color w:val="000000" w:themeColor="text1"/>
          <w:sz w:val="22"/>
        </w:rPr>
        <w:t xml:space="preserve">lazo de licitación, </w:t>
      </w:r>
      <w:r w:rsidR="00EA6187" w:rsidRPr="007430F7">
        <w:rPr>
          <w:rFonts w:ascii="Arial" w:hAnsi="Arial" w:cs="Arial"/>
          <w:color w:val="000000" w:themeColor="text1"/>
          <w:sz w:val="22"/>
        </w:rPr>
        <w:t xml:space="preserve">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04A5A2D3" w14:textId="06FEC764"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Así las cosas, la entidad pública es quien define el término con que contarán los oferentes para </w:t>
      </w:r>
      <w:r w:rsidR="00927F1A" w:rsidRPr="007430F7">
        <w:rPr>
          <w:rFonts w:ascii="Arial" w:hAnsi="Arial" w:cs="Arial"/>
          <w:color w:val="000000" w:themeColor="text1"/>
          <w:sz w:val="22"/>
        </w:rPr>
        <w:t xml:space="preserve">preparar y </w:t>
      </w:r>
      <w:r w:rsidRPr="007430F7">
        <w:rPr>
          <w:rFonts w:ascii="Arial" w:hAnsi="Arial" w:cs="Arial"/>
          <w:color w:val="000000" w:themeColor="text1"/>
          <w:sz w:val="22"/>
        </w:rPr>
        <w:t xml:space="preserve">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w:t>
      </w:r>
      <w:r w:rsidRPr="007430F7">
        <w:rPr>
          <w:rFonts w:ascii="Arial" w:hAnsi="Arial" w:cs="Arial"/>
          <w:i/>
          <w:color w:val="000000" w:themeColor="text1"/>
          <w:sz w:val="22"/>
        </w:rPr>
        <w:t>adenda</w:t>
      </w:r>
      <w:r w:rsidRPr="007430F7">
        <w:rPr>
          <w:rFonts w:ascii="Arial" w:hAnsi="Arial" w:cs="Arial"/>
          <w:color w:val="000000" w:themeColor="text1"/>
          <w:sz w:val="22"/>
        </w:rPr>
        <w:t xml:space="preserve"> dentro de los 3 días anteriores al cierre de la </w:t>
      </w:r>
      <w:r w:rsidRPr="007430F7">
        <w:rPr>
          <w:rFonts w:ascii="Arial" w:hAnsi="Arial" w:cs="Arial"/>
          <w:color w:val="000000" w:themeColor="text1"/>
          <w:sz w:val="22"/>
        </w:rPr>
        <w:lastRenderedPageBreak/>
        <w:t>licitación. De todos modos, el término fijado es perentorio y de obligatorio cumplimiento de para los oferentes, como se explicará más adelante en el numeral b de este documento.</w:t>
      </w:r>
    </w:p>
    <w:p w14:paraId="616422E9" w14:textId="77777777"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Es pertinente señalar que en esta etapa de presentación de ofertas se surtirán otras actuaciones. El numeral 4 de la misma disposición establece una de ellas: la audiencia para precisar el alcance de los pliegos de condiciones y de asignación de riesgos. La oportunidad para celebrar esta audiencia es dentro de los 3 días hábiles siguientes al inicio del plazo de licitación.</w:t>
      </w:r>
    </w:p>
    <w:p w14:paraId="599C2F91" w14:textId="237A6845"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Una vez precluida la oportunidad para presentar ofertas, en el plazo que señala el pliego de condiciones </w:t>
      </w:r>
      <w:r w:rsidRPr="007430F7">
        <w:rPr>
          <w:rFonts w:ascii="Arial" w:eastAsia="Calibri" w:hAnsi="Arial" w:cs="Arial"/>
          <w:bCs/>
          <w:color w:val="000000" w:themeColor="text1"/>
          <w:sz w:val="22"/>
        </w:rPr>
        <w:t>−</w:t>
      </w:r>
      <w:r w:rsidRPr="007430F7">
        <w:rPr>
          <w:rFonts w:ascii="Arial" w:hAnsi="Arial" w:cs="Arial"/>
          <w:bCs/>
          <w:color w:val="000000" w:themeColor="text1"/>
          <w:sz w:val="22"/>
        </w:rPr>
        <w:t>numeral 7</w:t>
      </w:r>
      <w:r w:rsidRPr="007430F7">
        <w:rPr>
          <w:rFonts w:ascii="Arial" w:eastAsia="Calibri" w:hAnsi="Arial" w:cs="Arial"/>
          <w:bCs/>
          <w:color w:val="000000" w:themeColor="text1"/>
          <w:sz w:val="22"/>
        </w:rPr>
        <w:t>−</w:t>
      </w:r>
      <w:r w:rsidRPr="007430F7">
        <w:rPr>
          <w:rFonts w:ascii="Arial" w:hAnsi="Arial" w:cs="Arial"/>
          <w:bCs/>
          <w:color w:val="000000" w:themeColor="text1"/>
          <w:sz w:val="22"/>
        </w:rPr>
        <w:t>,</w:t>
      </w:r>
      <w:r w:rsidRPr="007430F7">
        <w:rPr>
          <w:rFonts w:ascii="Arial" w:hAnsi="Arial" w:cs="Arial"/>
          <w:color w:val="000000" w:themeColor="text1"/>
          <w:sz w:val="22"/>
        </w:rPr>
        <w:t xml:space="preserve"> el comité evaluador de la entidad realizará «los estudios técnicos, económicos y jurídicos necesarios para la evaluación de las propuestas» y además podrá pedir a los proponentes </w:t>
      </w:r>
      <w:r w:rsidR="004808F8" w:rsidRPr="007430F7">
        <w:rPr>
          <w:rFonts w:ascii="Arial" w:hAnsi="Arial" w:cs="Arial"/>
          <w:color w:val="000000" w:themeColor="text1"/>
          <w:sz w:val="22"/>
        </w:rPr>
        <w:t xml:space="preserve">las </w:t>
      </w:r>
      <w:r w:rsidRPr="007430F7">
        <w:rPr>
          <w:rFonts w:ascii="Arial" w:hAnsi="Arial" w:cs="Arial"/>
          <w:color w:val="000000" w:themeColor="text1"/>
          <w:sz w:val="22"/>
        </w:rPr>
        <w:t>aclaraciones y explicaciones</w:t>
      </w:r>
      <w:r w:rsidR="004808F8" w:rsidRPr="007430F7">
        <w:rPr>
          <w:rFonts w:ascii="Arial" w:hAnsi="Arial" w:cs="Arial"/>
          <w:color w:val="000000" w:themeColor="text1"/>
          <w:sz w:val="22"/>
        </w:rPr>
        <w:t xml:space="preserve"> que considere pertinentes</w:t>
      </w:r>
      <w:r w:rsidRPr="007430F7">
        <w:rPr>
          <w:rFonts w:ascii="Arial" w:hAnsi="Arial" w:cs="Arial"/>
          <w:color w:val="000000" w:themeColor="text1"/>
          <w:sz w:val="22"/>
        </w:rPr>
        <w:t xml:space="preserve">.  </w:t>
      </w:r>
    </w:p>
    <w:p w14:paraId="57D9AF3B" w14:textId="77777777"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 </w:t>
      </w:r>
    </w:p>
    <w:p w14:paraId="5524574E" w14:textId="6737E581" w:rsidR="00EA6187" w:rsidRPr="007430F7" w:rsidRDefault="00EA6187" w:rsidP="00EA6187">
      <w:pPr>
        <w:spacing w:line="276" w:lineRule="auto"/>
        <w:jc w:val="both"/>
        <w:rPr>
          <w:rFonts w:ascii="Arial" w:hAnsi="Arial" w:cs="Arial"/>
          <w:color w:val="000000" w:themeColor="text1"/>
          <w:sz w:val="22"/>
        </w:rPr>
      </w:pPr>
      <w:r w:rsidRPr="007430F7">
        <w:rPr>
          <w:rFonts w:ascii="Arial" w:hAnsi="Arial" w:cs="Arial"/>
          <w:color w:val="000000" w:themeColor="text1"/>
          <w:sz w:val="22"/>
        </w:rPr>
        <w:t xml:space="preserve"> </w:t>
      </w:r>
      <w:r w:rsidRPr="007430F7">
        <w:rPr>
          <w:rFonts w:ascii="Arial" w:hAnsi="Arial" w:cs="Arial"/>
          <w:color w:val="000000" w:themeColor="text1"/>
          <w:sz w:val="22"/>
        </w:rPr>
        <w:tab/>
      </w:r>
      <w:r w:rsidR="004808F8" w:rsidRPr="007430F7">
        <w:rPr>
          <w:rFonts w:ascii="Arial" w:hAnsi="Arial" w:cs="Arial"/>
          <w:color w:val="000000" w:themeColor="text1"/>
          <w:sz w:val="22"/>
        </w:rPr>
        <w:t xml:space="preserve">Evaluadas </w:t>
      </w:r>
      <w:r w:rsidRPr="007430F7">
        <w:rPr>
          <w:rFonts w:ascii="Arial" w:hAnsi="Arial" w:cs="Arial"/>
          <w:color w:val="000000" w:themeColor="text1"/>
          <w:sz w:val="22"/>
        </w:rPr>
        <w:t>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7430F7">
        <w:rPr>
          <w:rStyle w:val="Refdenotaalpie"/>
          <w:rFonts w:ascii="Arial" w:hAnsi="Arial" w:cs="Arial"/>
          <w:color w:val="000000" w:themeColor="text1"/>
          <w:sz w:val="22"/>
        </w:rPr>
        <w:footnoteReference w:id="3"/>
      </w:r>
      <w:r w:rsidRPr="007430F7">
        <w:rPr>
          <w:rFonts w:ascii="Arial" w:hAnsi="Arial" w:cs="Arial"/>
          <w:color w:val="000000" w:themeColor="text1"/>
          <w:sz w:val="22"/>
        </w:rPr>
        <w:t>.</w:t>
      </w:r>
    </w:p>
    <w:p w14:paraId="6E362240" w14:textId="464DD781" w:rsidR="00EA6187" w:rsidRPr="007430F7" w:rsidRDefault="00EA6187" w:rsidP="00EA6187">
      <w:pPr>
        <w:spacing w:before="120" w:line="276" w:lineRule="auto"/>
        <w:jc w:val="both"/>
        <w:rPr>
          <w:rFonts w:ascii="Arial" w:hAnsi="Arial" w:cs="Arial"/>
          <w:color w:val="000000" w:themeColor="text1"/>
          <w:sz w:val="22"/>
        </w:rPr>
      </w:pPr>
      <w:r w:rsidRPr="007430F7">
        <w:rPr>
          <w:rFonts w:ascii="Arial" w:hAnsi="Arial" w:cs="Arial"/>
          <w:color w:val="000000" w:themeColor="text1"/>
          <w:sz w:val="22"/>
        </w:rPr>
        <w:tab/>
        <w:t xml:space="preserve">En la primera hipótesis, regulada por el parágrafo 3 del artículo 30 de la Ley 80 de 1993, adicionado por el artículo 1 de la Ley 1882 de 2018, la entidad deberá publicar el </w:t>
      </w:r>
      <w:r w:rsidRPr="007430F7">
        <w:rPr>
          <w:rFonts w:ascii="Arial" w:hAnsi="Arial" w:cs="Arial"/>
          <w:i/>
          <w:iCs/>
          <w:color w:val="000000" w:themeColor="text1"/>
          <w:sz w:val="22"/>
        </w:rPr>
        <w:t>informe de evaluación</w:t>
      </w:r>
      <w:r w:rsidRPr="007430F7">
        <w:rPr>
          <w:rFonts w:ascii="Arial" w:hAnsi="Arial" w:cs="Arial"/>
          <w:color w:val="000000" w:themeColor="text1"/>
          <w:sz w:val="22"/>
        </w:rPr>
        <w:t xml:space="preserve"> relacionado con los documentos de los requisitos habilitantes y los requisitos que sean objeto de puntuación, diferentes a la oferta económica</w:t>
      </w:r>
      <w:r w:rsidR="00B114D5" w:rsidRPr="007430F7">
        <w:rPr>
          <w:rFonts w:ascii="Arial" w:hAnsi="Arial" w:cs="Arial"/>
          <w:color w:val="000000" w:themeColor="text1"/>
          <w:sz w:val="22"/>
        </w:rPr>
        <w:t xml:space="preserve">, </w:t>
      </w:r>
      <w:r w:rsidRPr="007430F7">
        <w:rPr>
          <w:rFonts w:ascii="Arial" w:hAnsi="Arial" w:cs="Arial"/>
          <w:color w:val="000000" w:themeColor="text1"/>
          <w:sz w:val="22"/>
        </w:rPr>
        <w:t xml:space="preserve">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7430F7">
        <w:rPr>
          <w:rFonts w:ascii="Arial" w:hAnsi="Arial" w:cs="Arial"/>
          <w:i/>
          <w:iCs/>
          <w:color w:val="000000" w:themeColor="text1"/>
          <w:sz w:val="22"/>
        </w:rPr>
        <w:t xml:space="preserve">informe final </w:t>
      </w:r>
      <w:r w:rsidRPr="007430F7">
        <w:rPr>
          <w:rFonts w:ascii="Arial" w:hAnsi="Arial" w:cs="Arial"/>
          <w:i/>
          <w:iCs/>
          <w:color w:val="000000" w:themeColor="text1"/>
          <w:sz w:val="22"/>
        </w:rPr>
        <w:lastRenderedPageBreak/>
        <w:t>de evaluación</w:t>
      </w:r>
      <w:r w:rsidRPr="007430F7">
        <w:rPr>
          <w:rFonts w:ascii="Arial" w:hAnsi="Arial" w:cs="Arial"/>
          <w:color w:val="000000" w:themeColor="text1"/>
          <w:sz w:val="22"/>
        </w:rPr>
        <w:t xml:space="preserve"> de los requisitos habilitantes y los requisitos objeto de puntuación, distintos a la oferta económica.</w:t>
      </w:r>
    </w:p>
    <w:p w14:paraId="2DCCE611" w14:textId="03089A85" w:rsidR="00EA6187" w:rsidRPr="007430F7" w:rsidRDefault="00EA6187" w:rsidP="00EA6187">
      <w:pPr>
        <w:spacing w:before="120" w:line="276" w:lineRule="auto"/>
        <w:ind w:firstLine="708"/>
        <w:jc w:val="both"/>
        <w:rPr>
          <w:rFonts w:ascii="Arial" w:hAnsi="Arial" w:cs="Arial"/>
          <w:color w:val="000000" w:themeColor="text1"/>
          <w:sz w:val="22"/>
        </w:rPr>
      </w:pPr>
      <w:r w:rsidRPr="007430F7">
        <w:rPr>
          <w:rFonts w:ascii="Arial" w:hAnsi="Arial" w:cs="Arial"/>
          <w:color w:val="000000" w:themeColor="text1"/>
          <w:sz w:val="22"/>
        </w:rPr>
        <w:t>Es del caso precisar que</w:t>
      </w:r>
      <w:r w:rsidR="0038547E" w:rsidRPr="007430F7">
        <w:rPr>
          <w:rFonts w:ascii="Arial" w:hAnsi="Arial" w:cs="Arial"/>
          <w:color w:val="000000" w:themeColor="text1"/>
          <w:sz w:val="22"/>
        </w:rPr>
        <w:t>,</w:t>
      </w:r>
      <w:r w:rsidRPr="007430F7">
        <w:rPr>
          <w:rFonts w:ascii="Arial" w:hAnsi="Arial" w:cs="Arial"/>
          <w:color w:val="000000" w:themeColor="text1"/>
          <w:sz w:val="22"/>
        </w:rPr>
        <w:t xml:space="preserv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28A2D48C" w14:textId="490EB5A2" w:rsidR="00EA6187" w:rsidRPr="007430F7" w:rsidRDefault="00EA6187" w:rsidP="00EA6187">
      <w:pPr>
        <w:spacing w:before="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En cualquiera de las dos hipótesis, vencido el término para presentar observaciones al </w:t>
      </w:r>
      <w:r w:rsidRPr="007430F7">
        <w:rPr>
          <w:rFonts w:ascii="Arial" w:hAnsi="Arial" w:cs="Arial"/>
          <w:i/>
          <w:iCs/>
          <w:color w:val="000000" w:themeColor="text1"/>
          <w:sz w:val="22"/>
        </w:rPr>
        <w:t>informe de evaluación</w:t>
      </w:r>
      <w:r w:rsidRPr="007430F7">
        <w:rPr>
          <w:rFonts w:ascii="Arial" w:hAnsi="Arial" w:cs="Arial"/>
          <w:color w:val="000000" w:themeColor="text1"/>
          <w:sz w:val="22"/>
        </w:rPr>
        <w:t xml:space="preserve">, empieza a correr el </w:t>
      </w:r>
      <w:r w:rsidRPr="007430F7">
        <w:rPr>
          <w:rFonts w:ascii="Arial" w:hAnsi="Arial" w:cs="Arial"/>
          <w:i/>
          <w:color w:val="000000" w:themeColor="text1"/>
          <w:sz w:val="22"/>
        </w:rPr>
        <w:t>plazo para adjudicar el contrato,</w:t>
      </w:r>
      <w:r w:rsidRPr="007430F7">
        <w:rPr>
          <w:rFonts w:ascii="Arial" w:hAnsi="Arial" w:cs="Arial"/>
          <w:b/>
          <w:color w:val="000000" w:themeColor="text1"/>
          <w:sz w:val="22"/>
        </w:rPr>
        <w:t xml:space="preserve"> </w:t>
      </w:r>
      <w:r w:rsidRPr="007430F7">
        <w:rPr>
          <w:rFonts w:ascii="Arial" w:hAnsi="Arial" w:cs="Arial"/>
          <w:color w:val="000000" w:themeColor="text1"/>
          <w:sz w:val="22"/>
        </w:rPr>
        <w:t>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responder</w:t>
      </w:r>
      <w:r w:rsidR="00763F1B" w:rsidRPr="007430F7">
        <w:rPr>
          <w:rFonts w:ascii="Arial" w:hAnsi="Arial" w:cs="Arial"/>
          <w:color w:val="000000" w:themeColor="text1"/>
          <w:sz w:val="22"/>
        </w:rPr>
        <w:t>á</w:t>
      </w:r>
      <w:r w:rsidRPr="007430F7">
        <w:rPr>
          <w:rFonts w:ascii="Arial" w:hAnsi="Arial" w:cs="Arial"/>
          <w:color w:val="000000" w:themeColor="text1"/>
          <w:sz w:val="22"/>
        </w:rPr>
        <w:t xml:space="preserve"> las observaciones durante esta oportunidad y a más tardar hasta el momento </w:t>
      </w:r>
      <w:r w:rsidR="00A53D7C" w:rsidRPr="007430F7">
        <w:rPr>
          <w:rFonts w:ascii="Arial" w:hAnsi="Arial" w:cs="Arial"/>
          <w:color w:val="000000" w:themeColor="text1"/>
          <w:sz w:val="22"/>
        </w:rPr>
        <w:t>de</w:t>
      </w:r>
      <w:r w:rsidRPr="007430F7">
        <w:rPr>
          <w:rFonts w:ascii="Arial" w:hAnsi="Arial" w:cs="Arial"/>
          <w:color w:val="000000" w:themeColor="text1"/>
          <w:sz w:val="22"/>
        </w:rPr>
        <w:t xml:space="preserve"> la adjudicación. </w:t>
      </w:r>
    </w:p>
    <w:p w14:paraId="09C0C572" w14:textId="77777777"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 </w:t>
      </w:r>
    </w:p>
    <w:p w14:paraId="43635DF0" w14:textId="161E64C9"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Dentro del </w:t>
      </w:r>
      <w:r w:rsidRPr="007430F7">
        <w:rPr>
          <w:rFonts w:ascii="Arial" w:hAnsi="Arial" w:cs="Arial"/>
          <w:i/>
          <w:iCs/>
          <w:color w:val="000000" w:themeColor="text1"/>
          <w:sz w:val="22"/>
        </w:rPr>
        <w:t>plazo para adjudicar el contrato</w:t>
      </w:r>
      <w:r w:rsidRPr="007430F7">
        <w:rPr>
          <w:rFonts w:ascii="Arial" w:hAnsi="Arial" w:cs="Arial"/>
          <w:color w:val="000000" w:themeColor="text1"/>
          <w:sz w:val="22"/>
        </w:rPr>
        <w:t>,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w:t>
      </w:r>
      <w:r w:rsidR="003D46FF" w:rsidRPr="007430F7">
        <w:rPr>
          <w:rFonts w:ascii="Arial" w:hAnsi="Arial" w:cs="Arial"/>
          <w:color w:val="000000" w:themeColor="text1"/>
          <w:sz w:val="22"/>
        </w:rPr>
        <w:t>rá</w:t>
      </w:r>
      <w:r w:rsidRPr="007430F7">
        <w:rPr>
          <w:rFonts w:ascii="Arial" w:hAnsi="Arial" w:cs="Arial"/>
          <w:color w:val="000000" w:themeColor="text1"/>
          <w:sz w:val="22"/>
        </w:rPr>
        <w:t xml:space="preserve"> un acta en el que se dejará constancia de las deliberaciones y decisiones de la misma.</w:t>
      </w:r>
    </w:p>
    <w:p w14:paraId="56178A84" w14:textId="545AF15A"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En el caso de las licitaciones públicas para seleccionar contratistas de obra pública, en la </w:t>
      </w:r>
      <w:r w:rsidRPr="007430F7">
        <w:rPr>
          <w:rFonts w:ascii="Arial" w:hAnsi="Arial" w:cs="Arial"/>
          <w:i/>
          <w:iCs/>
          <w:color w:val="000000" w:themeColor="text1"/>
          <w:sz w:val="22"/>
        </w:rPr>
        <w:t>audiencia efectiva de adjudicación</w:t>
      </w:r>
      <w:r w:rsidRPr="007430F7">
        <w:rPr>
          <w:rFonts w:ascii="Arial" w:hAnsi="Arial" w:cs="Arial"/>
          <w:color w:val="000000" w:themeColor="text1"/>
          <w:sz w:val="22"/>
        </w:rPr>
        <w:t xml:space="preserve">, por disposición del inciso final del parágrafo 3º del artículo 30 de la Ley 80 de 1993, adicionado por el artículo 1 de la Ley 1882 de 2018, se </w:t>
      </w:r>
      <w:r w:rsidRPr="007430F7">
        <w:rPr>
          <w:rFonts w:ascii="Arial" w:hAnsi="Arial" w:cs="Arial"/>
          <w:color w:val="000000" w:themeColor="text1"/>
          <w:sz w:val="22"/>
        </w:rPr>
        <w:lastRenderedPageBreak/>
        <w:t xml:space="preserve">deben llevar a cabo tres actuaciones adicionales a la adjudicación del contrato: </w:t>
      </w:r>
      <w:r w:rsidRPr="007430F7">
        <w:rPr>
          <w:rFonts w:ascii="Arial" w:hAnsi="Arial" w:cs="Arial"/>
          <w:i/>
          <w:iCs/>
          <w:color w:val="000000" w:themeColor="text1"/>
          <w:sz w:val="22"/>
        </w:rPr>
        <w:t>primero</w:t>
      </w:r>
      <w:r w:rsidRPr="007430F7">
        <w:rPr>
          <w:rFonts w:ascii="Arial" w:hAnsi="Arial" w:cs="Arial"/>
          <w:color w:val="000000" w:themeColor="text1"/>
          <w:sz w:val="22"/>
        </w:rPr>
        <w:t xml:space="preserve">, la entidad debe permitir a los proponentes que realicen observaciones en relación con el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xml:space="preserve">. Resulta del caso precisar que a pesar de que la norma en comento hace referencia al </w:t>
      </w:r>
      <w:r w:rsidRPr="007430F7">
        <w:rPr>
          <w:rFonts w:ascii="Arial" w:hAnsi="Arial" w:cs="Arial"/>
          <w:i/>
          <w:iCs/>
          <w:color w:val="000000" w:themeColor="text1"/>
          <w:sz w:val="22"/>
        </w:rPr>
        <w:t>informe de evaluación</w:t>
      </w:r>
      <w:r w:rsidRPr="007430F7">
        <w:rPr>
          <w:rFonts w:ascii="Arial" w:hAnsi="Arial" w:cs="Arial"/>
          <w:color w:val="000000" w:themeColor="text1"/>
          <w:sz w:val="22"/>
        </w:rPr>
        <w:t xml:space="preserve">, lo cierto es que lo procedente es entender que está haciendo mención al </w:t>
      </w:r>
      <w:r w:rsidRPr="007430F7">
        <w:rPr>
          <w:rFonts w:ascii="Arial" w:hAnsi="Arial" w:cs="Arial"/>
          <w:i/>
          <w:iCs/>
          <w:color w:val="000000" w:themeColor="text1"/>
          <w:sz w:val="22"/>
        </w:rPr>
        <w:t>informe final de evaluación</w:t>
      </w:r>
      <w:r w:rsidR="003D46FF" w:rsidRPr="007430F7">
        <w:rPr>
          <w:rFonts w:ascii="Arial" w:hAnsi="Arial" w:cs="Arial"/>
          <w:i/>
          <w:iCs/>
          <w:color w:val="000000" w:themeColor="text1"/>
          <w:sz w:val="22"/>
        </w:rPr>
        <w:t xml:space="preserve">, </w:t>
      </w:r>
      <w:r w:rsidR="003D46FF" w:rsidRPr="007430F7">
        <w:rPr>
          <w:rFonts w:ascii="Arial" w:hAnsi="Arial" w:cs="Arial"/>
          <w:color w:val="000000" w:themeColor="text1"/>
          <w:sz w:val="22"/>
        </w:rPr>
        <w:t>es decir, el que resulte luego de presentadas las observaciones por los proponentes y que sean resueltas por la entidad</w:t>
      </w:r>
      <w:r w:rsidRPr="007430F7">
        <w:rPr>
          <w:rFonts w:ascii="Arial" w:hAnsi="Arial" w:cs="Arial"/>
          <w:color w:val="000000" w:themeColor="text1"/>
          <w:sz w:val="22"/>
        </w:rPr>
        <w:t xml:space="preserve">. Tal interpretación encuentra fundamento en tres argumentos: por un lado, en que la misma norma ya contiene un término para presentar observaciones en relación con el </w:t>
      </w:r>
      <w:r w:rsidRPr="007430F7">
        <w:rPr>
          <w:rFonts w:ascii="Arial" w:hAnsi="Arial" w:cs="Arial"/>
          <w:i/>
          <w:iCs/>
          <w:color w:val="000000" w:themeColor="text1"/>
          <w:sz w:val="22"/>
        </w:rPr>
        <w:t>informe de evaluación</w:t>
      </w:r>
      <w:r w:rsidR="003D46FF" w:rsidRPr="007430F7">
        <w:rPr>
          <w:rFonts w:ascii="Arial" w:hAnsi="Arial" w:cs="Arial"/>
          <w:i/>
          <w:iCs/>
          <w:color w:val="000000" w:themeColor="text1"/>
          <w:sz w:val="22"/>
        </w:rPr>
        <w:t xml:space="preserve"> </w:t>
      </w:r>
      <w:r w:rsidR="003D46FF" w:rsidRPr="007430F7">
        <w:rPr>
          <w:rFonts w:ascii="Arial" w:hAnsi="Arial" w:cs="Arial"/>
          <w:color w:val="000000" w:themeColor="text1"/>
          <w:sz w:val="22"/>
        </w:rPr>
        <w:t>–inicial–</w:t>
      </w:r>
      <w:r w:rsidRPr="007430F7">
        <w:rPr>
          <w:rFonts w:ascii="Arial" w:hAnsi="Arial" w:cs="Arial"/>
          <w:color w:val="000000" w:themeColor="text1"/>
          <w:sz w:val="22"/>
        </w:rPr>
        <w:t xml:space="preserve">, esto es, dentro de los cinco días siguientes a su publicación en el SECOP; por otro, que aceptar lo contrario implicaría asumir que es posible reabrir el debate en relación con el </w:t>
      </w:r>
      <w:r w:rsidRPr="007430F7">
        <w:rPr>
          <w:rFonts w:ascii="Arial" w:hAnsi="Arial" w:cs="Arial"/>
          <w:i/>
          <w:iCs/>
          <w:color w:val="000000" w:themeColor="text1"/>
          <w:sz w:val="22"/>
        </w:rPr>
        <w:t>informe de evaluación</w:t>
      </w:r>
      <w:r w:rsidRPr="007430F7">
        <w:rPr>
          <w:rFonts w:ascii="Arial" w:hAnsi="Arial" w:cs="Arial"/>
          <w:color w:val="000000" w:themeColor="text1"/>
          <w:sz w:val="22"/>
        </w:rPr>
        <w:t xml:space="preserve">, pese a que el mismo se cerró al expedir el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xml:space="preserve"> y, por último, que una interpretación literal de la norma implica que no hay una etapa procesal para presentar observaciones en relación con el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lo cual, conduce a restringir los derechos de participación que les asiste a todos los proponentes.</w:t>
      </w:r>
    </w:p>
    <w:p w14:paraId="6029CAFC" w14:textId="1F449B53"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i/>
          <w:iCs/>
          <w:color w:val="000000" w:themeColor="text1"/>
          <w:sz w:val="22"/>
        </w:rPr>
        <w:t>Segundo</w:t>
      </w:r>
      <w:r w:rsidRPr="007430F7">
        <w:rPr>
          <w:rFonts w:ascii="Arial" w:hAnsi="Arial" w:cs="Arial"/>
          <w:color w:val="000000" w:themeColor="text1"/>
          <w:sz w:val="22"/>
        </w:rPr>
        <w:t xml:space="preserve">, se abre el sobre número dos (2), que contienen la oferta económica, y se evalúan las propuestas mediante el método establecido en el pliego de condiciones y, </w:t>
      </w:r>
      <w:r w:rsidRPr="007430F7">
        <w:rPr>
          <w:rFonts w:ascii="Arial" w:hAnsi="Arial" w:cs="Arial"/>
          <w:i/>
          <w:iCs/>
          <w:color w:val="000000" w:themeColor="text1"/>
          <w:sz w:val="22"/>
        </w:rPr>
        <w:t xml:space="preserve">tercero, </w:t>
      </w:r>
      <w:r w:rsidRPr="007430F7">
        <w:rPr>
          <w:rFonts w:ascii="Arial" w:hAnsi="Arial" w:cs="Arial"/>
          <w:color w:val="000000" w:themeColor="text1"/>
          <w:sz w:val="22"/>
        </w:rPr>
        <w:t xml:space="preserve">a los proponentes habilitados se les corre traslado de </w:t>
      </w:r>
      <w:r w:rsidR="00AB182F" w:rsidRPr="007430F7">
        <w:rPr>
          <w:rFonts w:ascii="Arial" w:hAnsi="Arial" w:cs="Arial"/>
          <w:color w:val="000000" w:themeColor="text1"/>
          <w:sz w:val="22"/>
        </w:rPr>
        <w:t xml:space="preserve">la evaluación de las </w:t>
      </w:r>
      <w:r w:rsidRPr="007430F7">
        <w:rPr>
          <w:rFonts w:ascii="Arial" w:hAnsi="Arial" w:cs="Arial"/>
          <w:color w:val="000000" w:themeColor="text1"/>
          <w:sz w:val="22"/>
        </w:rPr>
        <w:t>ofertas económicas, solo para la revisión</w:t>
      </w:r>
      <w:r w:rsidR="00AB182F" w:rsidRPr="007430F7">
        <w:rPr>
          <w:rFonts w:ascii="Arial" w:hAnsi="Arial" w:cs="Arial"/>
          <w:color w:val="000000" w:themeColor="text1"/>
          <w:sz w:val="22"/>
        </w:rPr>
        <w:t xml:space="preserve"> «del aspecto económico»</w:t>
      </w:r>
      <w:r w:rsidRPr="007430F7">
        <w:rPr>
          <w:rFonts w:ascii="Arial" w:hAnsi="Arial" w:cs="Arial"/>
          <w:color w:val="000000" w:themeColor="text1"/>
          <w:sz w:val="22"/>
        </w:rPr>
        <w:t xml:space="preserve">, luego de lo cual la entidad debe proceder a establecer el </w:t>
      </w:r>
      <w:r w:rsidRPr="007430F7">
        <w:rPr>
          <w:rFonts w:ascii="Arial" w:hAnsi="Arial" w:cs="Arial"/>
          <w:i/>
          <w:iCs/>
          <w:color w:val="000000" w:themeColor="text1"/>
          <w:sz w:val="22"/>
        </w:rPr>
        <w:t>orden de elegibilidad</w:t>
      </w:r>
      <w:r w:rsidRPr="007430F7">
        <w:rPr>
          <w:rFonts w:ascii="Arial" w:hAnsi="Arial" w:cs="Arial"/>
          <w:color w:val="000000" w:themeColor="text1"/>
          <w:sz w:val="22"/>
        </w:rPr>
        <w:t xml:space="preserve"> y, finalmente, a adjudicar el contrato estatal. En efecto, el parágrafo que se comenta establece lo siguiente:</w:t>
      </w:r>
    </w:p>
    <w:p w14:paraId="3E5D0801" w14:textId="77777777" w:rsidR="00EA6187" w:rsidRPr="007430F7" w:rsidRDefault="00EA6187" w:rsidP="00EA6187">
      <w:pPr>
        <w:ind w:firstLine="709"/>
        <w:jc w:val="both"/>
        <w:rPr>
          <w:rFonts w:ascii="Arial" w:hAnsi="Arial" w:cs="Arial"/>
          <w:color w:val="000000" w:themeColor="text1"/>
          <w:sz w:val="22"/>
        </w:rPr>
      </w:pPr>
    </w:p>
    <w:p w14:paraId="1208DBC4" w14:textId="26078151" w:rsidR="00EA6187" w:rsidRPr="007430F7" w:rsidRDefault="00EA6187" w:rsidP="00BE763C">
      <w:pPr>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Parágrafo 3</w:t>
      </w:r>
      <w:r w:rsidR="00AB182F" w:rsidRPr="007430F7">
        <w:rPr>
          <w:rFonts w:ascii="Arial" w:hAnsi="Arial" w:cs="Arial"/>
          <w:color w:val="000000" w:themeColor="text1"/>
          <w:sz w:val="21"/>
          <w:szCs w:val="21"/>
        </w:rPr>
        <w:t>.</w:t>
      </w:r>
      <w:r w:rsidRPr="007430F7">
        <w:rPr>
          <w:rFonts w:ascii="Arial" w:hAnsi="Arial" w:cs="Arial"/>
          <w:color w:val="000000" w:themeColor="text1"/>
          <w:sz w:val="21"/>
          <w:szCs w:val="21"/>
        </w:rPr>
        <w:t xml:space="preserve">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78E3BA07" w14:textId="77777777" w:rsidR="00EA6187" w:rsidRPr="007430F7" w:rsidRDefault="00EA6187" w:rsidP="00BE763C">
      <w:pPr>
        <w:ind w:left="709" w:right="709"/>
        <w:jc w:val="both"/>
        <w:rPr>
          <w:rFonts w:ascii="Arial" w:hAnsi="Arial" w:cs="Arial"/>
          <w:color w:val="000000" w:themeColor="text1"/>
          <w:sz w:val="21"/>
          <w:szCs w:val="21"/>
        </w:rPr>
      </w:pPr>
    </w:p>
    <w:p w14:paraId="536497DA" w14:textId="77777777" w:rsidR="00EA6187" w:rsidRPr="007430F7" w:rsidRDefault="00EA6187" w:rsidP="00BE763C">
      <w:pPr>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 xml:space="preserve">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55226308" w14:textId="77777777" w:rsidR="00EA6187" w:rsidRPr="007430F7" w:rsidRDefault="00EA6187" w:rsidP="00BE763C">
      <w:pPr>
        <w:ind w:left="709" w:right="709"/>
        <w:jc w:val="both"/>
        <w:rPr>
          <w:rFonts w:ascii="Arial" w:hAnsi="Arial" w:cs="Arial"/>
          <w:color w:val="000000" w:themeColor="text1"/>
          <w:sz w:val="21"/>
          <w:szCs w:val="21"/>
        </w:rPr>
      </w:pPr>
    </w:p>
    <w:p w14:paraId="233E05C5" w14:textId="7300A87C" w:rsidR="00EA6187" w:rsidRPr="007430F7" w:rsidRDefault="00EA6187" w:rsidP="00BE763C">
      <w:pPr>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 xml:space="preserve">Para estos procesos, el segundo sobre, que contiene la oferta económica, se mantendrá cerrado hasta la audiencia efectiva de adjudicación, </w:t>
      </w:r>
      <w:r w:rsidRPr="007430F7">
        <w:rPr>
          <w:rFonts w:ascii="Arial" w:hAnsi="Arial" w:cs="Arial"/>
          <w:i/>
          <w:iCs/>
          <w:color w:val="000000" w:themeColor="text1"/>
          <w:sz w:val="21"/>
          <w:szCs w:val="21"/>
        </w:rPr>
        <w:t>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w:t>
      </w:r>
      <w:r w:rsidR="00AB182F" w:rsidRPr="007430F7">
        <w:rPr>
          <w:rFonts w:ascii="Arial" w:hAnsi="Arial" w:cs="Arial"/>
          <w:i/>
          <w:iCs/>
          <w:color w:val="000000" w:themeColor="text1"/>
          <w:sz w:val="21"/>
          <w:szCs w:val="21"/>
        </w:rPr>
        <w:t>s</w:t>
      </w:r>
      <w:r w:rsidRPr="007430F7">
        <w:rPr>
          <w:rFonts w:ascii="Arial" w:hAnsi="Arial" w:cs="Arial"/>
          <w:i/>
          <w:iCs/>
          <w:color w:val="000000" w:themeColor="text1"/>
          <w:sz w:val="21"/>
          <w:szCs w:val="21"/>
        </w:rPr>
        <w:t xml:space="preserve"> en la misma diligencia solo para la revisión </w:t>
      </w:r>
      <w:r w:rsidRPr="007430F7">
        <w:rPr>
          <w:rFonts w:ascii="Arial" w:hAnsi="Arial" w:cs="Arial"/>
          <w:i/>
          <w:iCs/>
          <w:color w:val="000000" w:themeColor="text1"/>
          <w:sz w:val="21"/>
          <w:szCs w:val="21"/>
        </w:rPr>
        <w:lastRenderedPageBreak/>
        <w:t>del aspecto económico y se establecerá el orden de elegibilidad</w:t>
      </w:r>
      <w:r w:rsidRPr="007430F7">
        <w:rPr>
          <w:rFonts w:ascii="Arial" w:hAnsi="Arial" w:cs="Arial"/>
          <w:color w:val="000000" w:themeColor="text1"/>
          <w:sz w:val="21"/>
          <w:szCs w:val="21"/>
        </w:rPr>
        <w:t xml:space="preserve">. </w:t>
      </w:r>
      <w:r w:rsidR="00DA75B9" w:rsidRPr="007430F7">
        <w:rPr>
          <w:rFonts w:ascii="Arial" w:hAnsi="Arial" w:cs="Arial"/>
          <w:color w:val="000000" w:themeColor="text1"/>
          <w:sz w:val="21"/>
          <w:szCs w:val="21"/>
        </w:rPr>
        <w:t>(</w:t>
      </w:r>
      <w:r w:rsidRPr="007430F7">
        <w:rPr>
          <w:rFonts w:ascii="Arial" w:hAnsi="Arial" w:cs="Arial"/>
          <w:color w:val="000000" w:themeColor="text1"/>
          <w:sz w:val="21"/>
          <w:szCs w:val="21"/>
        </w:rPr>
        <w:t>Cursivas propias</w:t>
      </w:r>
      <w:r w:rsidR="00DA75B9" w:rsidRPr="007430F7">
        <w:rPr>
          <w:rFonts w:ascii="Arial" w:hAnsi="Arial" w:cs="Arial"/>
          <w:color w:val="000000" w:themeColor="text1"/>
          <w:sz w:val="21"/>
          <w:szCs w:val="21"/>
        </w:rPr>
        <w:t>)</w:t>
      </w:r>
    </w:p>
    <w:p w14:paraId="1D702492" w14:textId="77777777" w:rsidR="00EA6187" w:rsidRPr="007430F7" w:rsidRDefault="00EA6187" w:rsidP="00EA6187">
      <w:pPr>
        <w:ind w:firstLine="709"/>
        <w:jc w:val="both"/>
        <w:rPr>
          <w:rFonts w:ascii="Arial" w:hAnsi="Arial" w:cs="Arial"/>
          <w:color w:val="000000" w:themeColor="text1"/>
          <w:sz w:val="22"/>
        </w:rPr>
      </w:pPr>
    </w:p>
    <w:p w14:paraId="7237ABE2" w14:textId="77777777" w:rsidR="00EA6187" w:rsidRPr="007430F7" w:rsidRDefault="00EA6187" w:rsidP="00EA6187">
      <w:pPr>
        <w:spacing w:before="120" w:after="120" w:line="276" w:lineRule="auto"/>
        <w:jc w:val="both"/>
        <w:rPr>
          <w:rFonts w:ascii="Arial" w:hAnsi="Arial" w:cs="Arial"/>
          <w:color w:val="000000" w:themeColor="text1"/>
          <w:sz w:val="22"/>
        </w:rPr>
      </w:pPr>
      <w:r w:rsidRPr="007430F7">
        <w:rPr>
          <w:rFonts w:ascii="Arial" w:hAnsi="Arial" w:cs="Arial"/>
          <w:color w:val="000000" w:themeColor="text1"/>
          <w:sz w:val="22"/>
        </w:rPr>
        <w:t xml:space="preserve">Nótese que, aunque la norma contempla el término para resolver las observaciones presentadas en relación con el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w:t>
      </w:r>
    </w:p>
    <w:p w14:paraId="5CC9FBCE" w14:textId="77777777" w:rsidR="00EA6187" w:rsidRPr="007430F7" w:rsidRDefault="00EA6187" w:rsidP="00EA6187">
      <w:pPr>
        <w:spacing w:before="120" w:after="120" w:line="276" w:lineRule="auto"/>
        <w:jc w:val="both"/>
        <w:rPr>
          <w:rFonts w:ascii="Arial" w:hAnsi="Arial" w:cs="Arial"/>
          <w:color w:val="000000" w:themeColor="text1"/>
          <w:sz w:val="22"/>
        </w:rPr>
      </w:pPr>
      <w:r w:rsidRPr="007430F7">
        <w:rPr>
          <w:rFonts w:ascii="Arial" w:hAnsi="Arial" w:cs="Arial"/>
          <w:color w:val="000000" w:themeColor="text1"/>
          <w:sz w:val="22"/>
        </w:rPr>
        <w:tab/>
        <w:t xml:space="preserve">A juicio de la Agencia Nacional de Contratación tal vacío normativo debe suplirse con la aplicación analógica del término para resolver las observaciones de los proponentes frente al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xml:space="preserve">,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proponentes, resulta imposible materialmente que el término </w:t>
      </w:r>
      <w:r w:rsidRPr="007430F7">
        <w:rPr>
          <w:rFonts w:ascii="Arial" w:hAnsi="Arial" w:cs="Arial"/>
          <w:i/>
          <w:iCs/>
          <w:color w:val="000000" w:themeColor="text1"/>
          <w:sz w:val="22"/>
        </w:rPr>
        <w:t>sub lite</w:t>
      </w:r>
      <w:r w:rsidRPr="007430F7">
        <w:rPr>
          <w:rFonts w:ascii="Arial" w:hAnsi="Arial" w:cs="Arial"/>
          <w:color w:val="000000" w:themeColor="text1"/>
          <w:sz w:val="22"/>
        </w:rPr>
        <w:t xml:space="preserve"> se extienda más allá de la diligencia.</w:t>
      </w:r>
    </w:p>
    <w:p w14:paraId="4BCDEDAB" w14:textId="131D5E26" w:rsidR="00EA6187" w:rsidRPr="007430F7" w:rsidRDefault="00EA6187" w:rsidP="00EA6187">
      <w:pPr>
        <w:spacing w:before="120" w:after="120" w:line="276" w:lineRule="auto"/>
        <w:ind w:firstLine="708"/>
        <w:jc w:val="both"/>
        <w:rPr>
          <w:rFonts w:ascii="Arial" w:hAnsi="Arial" w:cs="Arial"/>
          <w:color w:val="000000" w:themeColor="text1"/>
          <w:sz w:val="22"/>
        </w:rPr>
      </w:pPr>
      <w:r w:rsidRPr="007430F7">
        <w:rPr>
          <w:rFonts w:ascii="Arial" w:hAnsi="Arial" w:cs="Arial"/>
          <w:color w:val="000000" w:themeColor="text1"/>
          <w:sz w:val="22"/>
        </w:rPr>
        <w:t xml:space="preserve">En ese sentido, el término para resolver las observaciones frente a los aspectos económicos de las propuestas de los otros proponentes </w:t>
      </w:r>
      <w:r w:rsidR="00AB182F" w:rsidRPr="007430F7">
        <w:rPr>
          <w:rFonts w:ascii="Arial" w:hAnsi="Arial" w:cs="Arial"/>
          <w:color w:val="000000" w:themeColor="text1"/>
          <w:sz w:val="22"/>
        </w:rPr>
        <w:t>es</w:t>
      </w:r>
      <w:r w:rsidRPr="007430F7">
        <w:rPr>
          <w:rFonts w:ascii="Arial" w:hAnsi="Arial" w:cs="Arial"/>
          <w:color w:val="000000" w:themeColor="text1"/>
          <w:sz w:val="22"/>
        </w:rPr>
        <w:t xml:space="preserve"> el mismo que se consagra para resolver las observaciones frente al </w:t>
      </w:r>
      <w:r w:rsidRPr="007430F7">
        <w:rPr>
          <w:rFonts w:ascii="Arial" w:hAnsi="Arial" w:cs="Arial"/>
          <w:i/>
          <w:iCs/>
          <w:color w:val="000000" w:themeColor="text1"/>
          <w:sz w:val="22"/>
        </w:rPr>
        <w:t>informe final de evaluación</w:t>
      </w:r>
      <w:r w:rsidRPr="007430F7">
        <w:rPr>
          <w:rFonts w:ascii="Arial" w:hAnsi="Arial" w:cs="Arial"/>
          <w:color w:val="000000" w:themeColor="text1"/>
          <w:sz w:val="22"/>
        </w:rPr>
        <w:t xml:space="preserve">, esto es, </w:t>
      </w:r>
      <w:r w:rsidR="00AB182F" w:rsidRPr="007430F7">
        <w:rPr>
          <w:rFonts w:ascii="Arial" w:hAnsi="Arial" w:cs="Arial"/>
          <w:color w:val="000000" w:themeColor="text1"/>
          <w:sz w:val="22"/>
        </w:rPr>
        <w:t xml:space="preserve">que debe hacerse </w:t>
      </w:r>
      <w:r w:rsidRPr="007430F7">
        <w:rPr>
          <w:rFonts w:ascii="Arial" w:hAnsi="Arial" w:cs="Arial"/>
          <w:color w:val="000000" w:themeColor="text1"/>
          <w:sz w:val="22"/>
        </w:rPr>
        <w:t>dentro de la misma diligencia. Esto, adicionalmente, marca un límite para la determinación del término del traslado a los proponentes de las ofertas económicas, pues si las observaciones deben resolverse en la misma diligencia, el t</w:t>
      </w:r>
      <w:r w:rsidR="00AB182F" w:rsidRPr="007430F7">
        <w:rPr>
          <w:rFonts w:ascii="Arial" w:hAnsi="Arial" w:cs="Arial"/>
          <w:color w:val="000000" w:themeColor="text1"/>
          <w:sz w:val="22"/>
        </w:rPr>
        <w:t>é</w:t>
      </w:r>
      <w:r w:rsidRPr="007430F7">
        <w:rPr>
          <w:rFonts w:ascii="Arial" w:hAnsi="Arial" w:cs="Arial"/>
          <w:color w:val="000000" w:themeColor="text1"/>
          <w:sz w:val="22"/>
        </w:rPr>
        <w:t xml:space="preserve">rmino del traslado debe tener como límite la duración de la misma </w:t>
      </w:r>
      <w:r w:rsidR="00AB182F" w:rsidRPr="007430F7">
        <w:rPr>
          <w:rFonts w:ascii="Arial" w:hAnsi="Arial" w:cs="Arial"/>
          <w:color w:val="000000" w:themeColor="text1"/>
          <w:sz w:val="22"/>
        </w:rPr>
        <w:t>audiencia</w:t>
      </w:r>
      <w:r w:rsidRPr="007430F7">
        <w:rPr>
          <w:rFonts w:ascii="Arial" w:hAnsi="Arial" w:cs="Arial"/>
          <w:color w:val="000000" w:themeColor="text1"/>
          <w:sz w:val="22"/>
        </w:rPr>
        <w:t>, de tal forma que el término concedido no exceda de su duración. Le corresponde, pues, a la entidad establecer el término por el cual dará dicho traslado.</w:t>
      </w:r>
    </w:p>
    <w:p w14:paraId="36239F2D" w14:textId="026ECEB6" w:rsidR="00EA6187" w:rsidRPr="007430F7" w:rsidRDefault="00EA6187" w:rsidP="00EA6187">
      <w:pPr>
        <w:spacing w:before="120" w:after="120" w:line="276" w:lineRule="auto"/>
        <w:jc w:val="both"/>
        <w:rPr>
          <w:rFonts w:ascii="Arial" w:hAnsi="Arial" w:cs="Arial"/>
          <w:color w:val="000000" w:themeColor="text1"/>
          <w:sz w:val="22"/>
        </w:rPr>
      </w:pPr>
      <w:r w:rsidRPr="007430F7">
        <w:rPr>
          <w:rFonts w:ascii="Arial" w:hAnsi="Arial" w:cs="Arial"/>
          <w:color w:val="000000" w:themeColor="text1"/>
          <w:sz w:val="22"/>
        </w:rPr>
        <w:tab/>
        <w:t>Es del caso precisar que, pese a que es cierto que el principal llamado a establecer los términos procesales es el legislador</w:t>
      </w:r>
      <w:r w:rsidRPr="007430F7">
        <w:rPr>
          <w:rStyle w:val="Refdenotaalpie"/>
          <w:rFonts w:ascii="Arial" w:hAnsi="Arial" w:cs="Arial"/>
          <w:color w:val="000000" w:themeColor="text1"/>
          <w:sz w:val="22"/>
        </w:rPr>
        <w:footnoteReference w:id="4"/>
      </w:r>
      <w:r w:rsidRPr="007430F7">
        <w:rPr>
          <w:rFonts w:ascii="Arial" w:hAnsi="Arial" w:cs="Arial"/>
          <w:color w:val="000000" w:themeColor="text1"/>
          <w:sz w:val="22"/>
        </w:rPr>
        <w:t xml:space="preserve">, también lo es que las partes, especialmente la entidad contratante, también han sido habilitada por el mismo legislador para establecer el término de duración de algunas etapas del trámite contractual, como </w:t>
      </w:r>
      <w:r w:rsidR="001C3870" w:rsidRPr="007430F7">
        <w:rPr>
          <w:rFonts w:ascii="Arial" w:hAnsi="Arial" w:cs="Arial"/>
          <w:color w:val="000000" w:themeColor="text1"/>
          <w:sz w:val="22"/>
        </w:rPr>
        <w:t>sucede</w:t>
      </w:r>
      <w:r w:rsidRPr="007430F7">
        <w:rPr>
          <w:rFonts w:ascii="Arial" w:hAnsi="Arial" w:cs="Arial"/>
          <w:color w:val="000000" w:themeColor="text1"/>
          <w:sz w:val="22"/>
        </w:rPr>
        <w:t xml:space="preserve">, por ejemplo, con el </w:t>
      </w:r>
      <w:r w:rsidRPr="007430F7">
        <w:rPr>
          <w:rFonts w:ascii="Arial" w:hAnsi="Arial" w:cs="Arial"/>
          <w:i/>
          <w:iCs/>
          <w:color w:val="000000" w:themeColor="text1"/>
          <w:sz w:val="22"/>
        </w:rPr>
        <w:t>plazo de la licitación</w:t>
      </w:r>
      <w:r w:rsidRPr="007430F7">
        <w:rPr>
          <w:rFonts w:ascii="Arial" w:hAnsi="Arial" w:cs="Arial"/>
          <w:color w:val="000000" w:themeColor="text1"/>
          <w:sz w:val="22"/>
        </w:rPr>
        <w:t>, cuya determinación, como se dijo antes, le corresponde a la entidad contratante, o como ocurre con los términos objeto de las presentes consideraciones.</w:t>
      </w:r>
    </w:p>
    <w:p w14:paraId="0F9E43F6" w14:textId="4A212283"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En todo caso, los términos legales o reglamentarios, así como también los términos que establece la entidad, encuentran como limitante, por un lado, las garantías </w:t>
      </w:r>
      <w:r w:rsidR="001C3870" w:rsidRPr="007430F7">
        <w:rPr>
          <w:rFonts w:ascii="Arial" w:hAnsi="Arial" w:cs="Arial"/>
          <w:color w:val="000000" w:themeColor="text1"/>
          <w:sz w:val="22"/>
        </w:rPr>
        <w:t xml:space="preserve">constitucionales </w:t>
      </w:r>
      <w:r w:rsidRPr="007430F7">
        <w:rPr>
          <w:rFonts w:ascii="Arial" w:hAnsi="Arial" w:cs="Arial"/>
          <w:color w:val="000000" w:themeColor="text1"/>
          <w:sz w:val="22"/>
        </w:rPr>
        <w:t xml:space="preserve">fundamentales y, por el otro, los principios de proporcionalidad y razonabilidad. En relación con los primeros, así lo ha reconocido la Corte Constitucional, entre otras, en las sentencias C-127 de 2011 y C-315 de 2012, mientras que, frente a los </w:t>
      </w:r>
      <w:r w:rsidRPr="007430F7">
        <w:rPr>
          <w:rFonts w:ascii="Arial" w:hAnsi="Arial" w:cs="Arial"/>
          <w:color w:val="000000" w:themeColor="text1"/>
          <w:sz w:val="22"/>
        </w:rPr>
        <w:lastRenderedPageBreak/>
        <w:t>segundos, así lo dispone el artículo 44 de la Ley 1437 de 2011</w:t>
      </w:r>
      <w:r w:rsidRPr="007430F7">
        <w:rPr>
          <w:rStyle w:val="Refdenotaalpie"/>
          <w:rFonts w:ascii="Arial" w:hAnsi="Arial" w:cs="Arial"/>
          <w:color w:val="000000" w:themeColor="text1"/>
          <w:sz w:val="22"/>
        </w:rPr>
        <w:footnoteReference w:id="5"/>
      </w:r>
      <w:r w:rsidRPr="007430F7">
        <w:rPr>
          <w:rFonts w:ascii="Arial" w:hAnsi="Arial" w:cs="Arial"/>
          <w:color w:val="000000" w:themeColor="text1"/>
          <w:sz w:val="22"/>
        </w:rPr>
        <w:t xml:space="preserve">. Incluso, en la Circular Externa Única de Colombia Compra Eficiente, </w:t>
      </w:r>
      <w:r w:rsidR="001C3870" w:rsidRPr="007430F7">
        <w:rPr>
          <w:rFonts w:ascii="Arial" w:hAnsi="Arial" w:cs="Arial"/>
          <w:color w:val="000000" w:themeColor="text1"/>
          <w:sz w:val="22"/>
        </w:rPr>
        <w:t>se</w:t>
      </w:r>
      <w:r w:rsidRPr="007430F7">
        <w:rPr>
          <w:rFonts w:ascii="Arial" w:hAnsi="Arial" w:cs="Arial"/>
          <w:color w:val="000000" w:themeColor="text1"/>
          <w:sz w:val="22"/>
        </w:rPr>
        <w:t xml:space="preserve"> establece como parámetro la razonabilidad, diciendo que:</w:t>
      </w:r>
    </w:p>
    <w:p w14:paraId="45A1FA33" w14:textId="77777777" w:rsidR="00EA6187" w:rsidRPr="007430F7" w:rsidRDefault="00EA6187" w:rsidP="00EA6187">
      <w:pPr>
        <w:jc w:val="both"/>
        <w:rPr>
          <w:rFonts w:ascii="Arial" w:hAnsi="Arial" w:cs="Arial"/>
          <w:color w:val="000000" w:themeColor="text1"/>
          <w:sz w:val="22"/>
        </w:rPr>
      </w:pPr>
    </w:p>
    <w:p w14:paraId="72085B74" w14:textId="7435C970" w:rsidR="00EA6187" w:rsidRPr="007430F7" w:rsidRDefault="00EA6187" w:rsidP="00FB4EF9">
      <w:pPr>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 xml:space="preserve">En la audiencia de adjudicación, una vez ha quedado en firme el informe final de evaluación del primer sobre correspondiente a los requisitos habilitantes y los requisitos objeto de puntuación distintos a la oferta económica, la Entidad Estatal dará apertura al segundo sobre que contiene la oferta económica y </w:t>
      </w:r>
      <w:r w:rsidRPr="007430F7">
        <w:rPr>
          <w:rFonts w:ascii="Arial" w:hAnsi="Arial" w:cs="Arial"/>
          <w:i/>
          <w:iCs/>
          <w:color w:val="000000" w:themeColor="text1"/>
          <w:sz w:val="21"/>
          <w:szCs w:val="21"/>
        </w:rPr>
        <w:t>correrá traslado a los proponentes habilitados dentro de la misma audiencia por un término razonable para que los proponentes realicen observaciones solamente acerca de la oferta económica</w:t>
      </w:r>
      <w:r w:rsidRPr="007430F7">
        <w:rPr>
          <w:rFonts w:ascii="Arial" w:hAnsi="Arial" w:cs="Arial"/>
          <w:color w:val="000000" w:themeColor="text1"/>
          <w:sz w:val="21"/>
          <w:szCs w:val="21"/>
        </w:rPr>
        <w:t>. [Cursivas propias]</w:t>
      </w:r>
    </w:p>
    <w:p w14:paraId="45A964AE" w14:textId="77777777" w:rsidR="00EA6187" w:rsidRPr="007430F7" w:rsidRDefault="00EA6187" w:rsidP="00EA6187">
      <w:pPr>
        <w:spacing w:line="276" w:lineRule="auto"/>
        <w:jc w:val="both"/>
        <w:rPr>
          <w:rFonts w:ascii="Arial" w:hAnsi="Arial" w:cs="Arial"/>
          <w:color w:val="000000" w:themeColor="text1"/>
          <w:sz w:val="22"/>
        </w:rPr>
      </w:pPr>
    </w:p>
    <w:p w14:paraId="0E8844A6" w14:textId="77777777" w:rsidR="00EA6187" w:rsidRPr="007430F7" w:rsidRDefault="00EA6187" w:rsidP="00FB4EF9">
      <w:pPr>
        <w:spacing w:before="120" w:after="120" w:line="276" w:lineRule="auto"/>
        <w:ind w:firstLine="708"/>
        <w:jc w:val="both"/>
        <w:rPr>
          <w:rFonts w:ascii="Arial" w:hAnsi="Arial" w:cs="Arial"/>
          <w:color w:val="000000" w:themeColor="text1"/>
          <w:sz w:val="22"/>
        </w:rPr>
      </w:pPr>
      <w:r w:rsidRPr="007430F7">
        <w:rPr>
          <w:rFonts w:ascii="Arial" w:hAnsi="Arial" w:cs="Arial"/>
          <w:color w:val="000000" w:themeColor="text1"/>
          <w:sz w:val="22"/>
        </w:rPr>
        <w:t xml:space="preserve">En la práctica, entonces, para establecer el término de duración del traslado para presentar observaciones frente a las ofertas económicas, la entidad debe tener como faro orientador los fines de la norma que lo autoriza −artículo 30, parágrafo 3, inciso 3, de la Ley 80 de 1993−, esto es, permitir que los proponentes presenten sus observaciones frente a los aspectos económicos de las propuestas de los otros oferentes, así como también la proporcionalidad y la razonabilidad del término establecido, lo cual se debe valorar, primero, en cada caso concreto y, segundo, atendiendo al análisis de la </w:t>
      </w:r>
      <w:r w:rsidRPr="007430F7">
        <w:rPr>
          <w:rFonts w:ascii="Arial" w:hAnsi="Arial" w:cs="Arial"/>
          <w:i/>
          <w:iCs/>
          <w:color w:val="000000" w:themeColor="text1"/>
          <w:sz w:val="22"/>
        </w:rPr>
        <w:t xml:space="preserve">complejidad </w:t>
      </w:r>
      <w:r w:rsidRPr="007430F7">
        <w:rPr>
          <w:rFonts w:ascii="Arial" w:hAnsi="Arial" w:cs="Arial"/>
          <w:color w:val="000000" w:themeColor="text1"/>
          <w:sz w:val="22"/>
        </w:rPr>
        <w:t xml:space="preserve">de cada caso. </w:t>
      </w:r>
    </w:p>
    <w:p w14:paraId="1CBE5B30" w14:textId="49A56CEB" w:rsidR="00EA6187" w:rsidRPr="007430F7" w:rsidRDefault="00EA6187" w:rsidP="00EA6187">
      <w:pPr>
        <w:spacing w:before="120" w:after="120" w:line="276" w:lineRule="auto"/>
        <w:ind w:firstLine="708"/>
        <w:jc w:val="both"/>
        <w:rPr>
          <w:rFonts w:ascii="Arial" w:hAnsi="Arial" w:cs="Arial"/>
          <w:color w:val="000000" w:themeColor="text1"/>
          <w:sz w:val="22"/>
        </w:rPr>
      </w:pPr>
      <w:r w:rsidRPr="007430F7">
        <w:rPr>
          <w:rFonts w:ascii="Arial" w:hAnsi="Arial" w:cs="Arial"/>
          <w:color w:val="000000" w:themeColor="text1"/>
          <w:sz w:val="22"/>
        </w:rPr>
        <w:t xml:space="preserve">Para esto último, es necesario que la entidad analice los aspectos técnicos, económicos y jurídicos del proceso de contratación, así como también el número de oferentes habilitados, por supuesto, sin dejar de valorar los principios de celeridad y eficacia, propios de la función administrativa, según el artículo 209 de la Constitución Política, los cuales le imponen la obligación </w:t>
      </w:r>
      <w:r w:rsidR="00163F2D" w:rsidRPr="007430F7">
        <w:rPr>
          <w:rFonts w:ascii="Arial" w:hAnsi="Arial" w:cs="Arial"/>
          <w:color w:val="000000" w:themeColor="text1"/>
          <w:sz w:val="22"/>
        </w:rPr>
        <w:t>de velar</w:t>
      </w:r>
      <w:r w:rsidRPr="007430F7">
        <w:rPr>
          <w:rFonts w:ascii="Arial" w:hAnsi="Arial" w:cs="Arial"/>
          <w:color w:val="000000" w:themeColor="text1"/>
          <w:sz w:val="22"/>
        </w:rPr>
        <w:t xml:space="preserve"> porque los procesos administrativos sean tramitados de forma ágil y expedita y teniendo como horizonte el interés general, por supuesto, sin sacrificar las garantías de los implicados en tales actuaciones. </w:t>
      </w:r>
    </w:p>
    <w:p w14:paraId="4DBD13D5" w14:textId="6CEDD603" w:rsidR="00EA6187" w:rsidRPr="007430F7" w:rsidRDefault="00EA6187" w:rsidP="00EA6187">
      <w:pPr>
        <w:tabs>
          <w:tab w:val="left" w:pos="709"/>
        </w:tabs>
        <w:spacing w:before="120" w:after="120" w:line="276" w:lineRule="auto"/>
        <w:jc w:val="both"/>
        <w:rPr>
          <w:rFonts w:ascii="Arial" w:hAnsi="Arial" w:cs="Arial"/>
          <w:color w:val="000000" w:themeColor="text1"/>
          <w:sz w:val="22"/>
        </w:rPr>
      </w:pPr>
      <w:r w:rsidRPr="007430F7">
        <w:rPr>
          <w:rFonts w:ascii="Arial" w:hAnsi="Arial" w:cs="Arial"/>
          <w:color w:val="000000" w:themeColor="text1"/>
          <w:sz w:val="22"/>
        </w:rPr>
        <w:tab/>
        <w:t>No existe, pues, un término genérico al que se le puedan atribuir características de razonabilidad y proporcionalidad. Puede pasar, por ejemplo, que un término de dos horas resulte desproporcionado por tratarse de un caso de complejidad muy baja, pero también puede ocurrir que el mismo término sea proporcional y razonable en otro caso, habida cuenta de la complejidad del proceso contractual. En esa medida, como ya se dijo, la razonabilidad y proporcionalidad del término establecido por la entidad debe valora</w:t>
      </w:r>
      <w:r w:rsidR="001C3870" w:rsidRPr="007430F7">
        <w:rPr>
          <w:rFonts w:ascii="Arial" w:hAnsi="Arial" w:cs="Arial"/>
          <w:color w:val="000000" w:themeColor="text1"/>
          <w:sz w:val="22"/>
        </w:rPr>
        <w:t xml:space="preserve">rse en cada </w:t>
      </w:r>
      <w:r w:rsidRPr="007430F7">
        <w:rPr>
          <w:rFonts w:ascii="Arial" w:hAnsi="Arial" w:cs="Arial"/>
          <w:color w:val="000000" w:themeColor="text1"/>
          <w:sz w:val="22"/>
        </w:rPr>
        <w:t>caso</w:t>
      </w:r>
      <w:r w:rsidR="001C3870" w:rsidRPr="007430F7">
        <w:rPr>
          <w:rFonts w:ascii="Arial" w:hAnsi="Arial" w:cs="Arial"/>
          <w:color w:val="000000" w:themeColor="text1"/>
          <w:sz w:val="22"/>
        </w:rPr>
        <w:t>, de acuerdo a</w:t>
      </w:r>
      <w:r w:rsidRPr="007430F7">
        <w:rPr>
          <w:rFonts w:ascii="Arial" w:hAnsi="Arial" w:cs="Arial"/>
          <w:color w:val="000000" w:themeColor="text1"/>
          <w:sz w:val="22"/>
        </w:rPr>
        <w:t xml:space="preserve"> las particularidades del proceso de contratación.</w:t>
      </w:r>
    </w:p>
    <w:p w14:paraId="79C9B81A" w14:textId="595AC6BB" w:rsidR="007A29E8" w:rsidRPr="007430F7" w:rsidRDefault="00EA6187" w:rsidP="002A4350">
      <w:pPr>
        <w:tabs>
          <w:tab w:val="left" w:pos="709"/>
        </w:tabs>
        <w:spacing w:before="120" w:line="276" w:lineRule="auto"/>
        <w:jc w:val="both"/>
        <w:rPr>
          <w:rFonts w:ascii="Arial" w:hAnsi="Arial" w:cs="Arial"/>
          <w:color w:val="000000" w:themeColor="text1"/>
          <w:sz w:val="22"/>
        </w:rPr>
      </w:pPr>
      <w:r w:rsidRPr="007430F7">
        <w:rPr>
          <w:rFonts w:ascii="Arial" w:hAnsi="Arial" w:cs="Arial"/>
          <w:color w:val="000000" w:themeColor="text1"/>
          <w:sz w:val="22"/>
        </w:rPr>
        <w:tab/>
        <w:t xml:space="preserve">De todas formas, por tratarse de un acto discrecional, el establecimiento del término </w:t>
      </w:r>
      <w:r w:rsidRPr="007430F7">
        <w:rPr>
          <w:rFonts w:ascii="Arial" w:hAnsi="Arial" w:cs="Arial"/>
          <w:i/>
          <w:iCs/>
          <w:color w:val="000000" w:themeColor="text1"/>
          <w:sz w:val="22"/>
        </w:rPr>
        <w:t xml:space="preserve">sub examine </w:t>
      </w:r>
      <w:r w:rsidRPr="007430F7">
        <w:rPr>
          <w:rFonts w:ascii="Arial" w:hAnsi="Arial" w:cs="Arial"/>
          <w:color w:val="000000" w:themeColor="text1"/>
          <w:sz w:val="22"/>
        </w:rPr>
        <w:t xml:space="preserve">no puede exceder los límites legales, pues, como bien lo señalan los </w:t>
      </w:r>
      <w:r w:rsidRPr="007430F7">
        <w:rPr>
          <w:rFonts w:ascii="Arial" w:hAnsi="Arial" w:cs="Arial"/>
          <w:color w:val="000000" w:themeColor="text1"/>
          <w:sz w:val="22"/>
        </w:rPr>
        <w:lastRenderedPageBreak/>
        <w:t>profesores Eduardo García de Enterría y Tomás</w:t>
      </w:r>
      <w:r w:rsidR="001C3870" w:rsidRPr="007430F7">
        <w:rPr>
          <w:rFonts w:ascii="Arial" w:hAnsi="Arial" w:cs="Arial"/>
          <w:color w:val="000000" w:themeColor="text1"/>
          <w:sz w:val="22"/>
        </w:rPr>
        <w:t>-</w:t>
      </w:r>
      <w:r w:rsidRPr="007430F7">
        <w:rPr>
          <w:rFonts w:ascii="Arial" w:hAnsi="Arial" w:cs="Arial"/>
          <w:color w:val="000000" w:themeColor="text1"/>
          <w:sz w:val="22"/>
        </w:rPr>
        <w:t>Ramón Fernández</w:t>
      </w:r>
      <w:r w:rsidRPr="007430F7">
        <w:rPr>
          <w:rStyle w:val="Refdenotaalpie"/>
          <w:rFonts w:ascii="Arial" w:hAnsi="Arial" w:cs="Arial"/>
          <w:color w:val="000000" w:themeColor="text1"/>
          <w:sz w:val="22"/>
        </w:rPr>
        <w:footnoteReference w:id="6"/>
      </w:r>
      <w:r w:rsidRPr="007430F7">
        <w:rPr>
          <w:rFonts w:ascii="Arial" w:hAnsi="Arial" w:cs="Arial"/>
          <w:color w:val="000000" w:themeColor="text1"/>
          <w:sz w:val="22"/>
        </w:rPr>
        <w:t>, la discrecionalidad «no es una facultad extralegal»</w:t>
      </w:r>
      <w:r w:rsidRPr="007430F7">
        <w:rPr>
          <w:rStyle w:val="Refdenotaalpie"/>
          <w:rFonts w:ascii="Arial" w:hAnsi="Arial" w:cs="Arial"/>
          <w:color w:val="000000" w:themeColor="text1"/>
          <w:sz w:val="22"/>
        </w:rPr>
        <w:footnoteReference w:id="7"/>
      </w:r>
      <w:r w:rsidRPr="007430F7">
        <w:rPr>
          <w:rFonts w:ascii="Arial" w:hAnsi="Arial" w:cs="Arial"/>
          <w:color w:val="000000" w:themeColor="text1"/>
          <w:sz w:val="22"/>
        </w:rPr>
        <w:t>,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w:t>
      </w:r>
      <w:r w:rsidRPr="007430F7">
        <w:rPr>
          <w:rFonts w:ascii="Arial" w:hAnsi="Arial" w:cs="Arial"/>
          <w:i/>
          <w:iCs/>
          <w:color w:val="000000" w:themeColor="text1"/>
          <w:sz w:val="22"/>
        </w:rPr>
        <w:t xml:space="preserve"> audiencia efectiva de adjudicación</w:t>
      </w:r>
      <w:r w:rsidRPr="007430F7">
        <w:rPr>
          <w:rFonts w:ascii="Arial" w:hAnsi="Arial" w:cs="Arial"/>
          <w:color w:val="000000" w:themeColor="text1"/>
          <w:sz w:val="22"/>
        </w:rPr>
        <w:t>, lo que implica que el término discrecional que fije la entidad para el traslado a los proponentes no podrá exceder, bajo ninguna circunstancia, la duración de esa diligencia.</w:t>
      </w:r>
      <w:r w:rsidR="001C3870" w:rsidRPr="007430F7">
        <w:rPr>
          <w:rFonts w:ascii="Arial" w:hAnsi="Arial" w:cs="Arial"/>
          <w:color w:val="000000" w:themeColor="text1"/>
          <w:sz w:val="22"/>
        </w:rPr>
        <w:t xml:space="preserve"> A</w:t>
      </w:r>
      <w:r w:rsidR="007A29E8" w:rsidRPr="007430F7">
        <w:rPr>
          <w:rFonts w:ascii="Arial" w:hAnsi="Arial" w:cs="Arial"/>
          <w:color w:val="000000" w:themeColor="text1"/>
          <w:sz w:val="22"/>
        </w:rPr>
        <w:t>l respecto, en concepto del 23 de diciembre de 2019 −radicado No. 2201913000009524−, esta Subdirección consideró y argumentó lo siguiente:</w:t>
      </w:r>
    </w:p>
    <w:p w14:paraId="35C01CEE" w14:textId="2622ADC1" w:rsidR="00B6099D" w:rsidRPr="007430F7" w:rsidRDefault="00B6099D" w:rsidP="002A4350">
      <w:pPr>
        <w:tabs>
          <w:tab w:val="left" w:pos="709"/>
        </w:tabs>
        <w:spacing w:before="120" w:line="276" w:lineRule="auto"/>
        <w:jc w:val="both"/>
        <w:rPr>
          <w:rFonts w:ascii="Arial" w:hAnsi="Arial" w:cs="Arial"/>
          <w:color w:val="000000" w:themeColor="text1"/>
          <w:sz w:val="22"/>
        </w:rPr>
      </w:pPr>
    </w:p>
    <w:p w14:paraId="1B70900B" w14:textId="6297BF9E" w:rsidR="00B6099D" w:rsidRPr="007430F7" w:rsidRDefault="00B6099D" w:rsidP="00FB4EF9">
      <w:pPr>
        <w:tabs>
          <w:tab w:val="left" w:pos="709"/>
        </w:tabs>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 5. cuando la ley dispone que sea “durante” la audiencia cuando se evalúa la oferta económica y posteriormente se establezca el orden de elegibilidad de las ofertas, está señalando que son actos y decisiones que deben surtirse dentro de la audiencia pública y no por fuera de ella.</w:t>
      </w:r>
    </w:p>
    <w:p w14:paraId="0E7E8F4F" w14:textId="284C838C" w:rsidR="00B6099D" w:rsidRPr="007430F7" w:rsidRDefault="00B6099D" w:rsidP="00FB4EF9">
      <w:pPr>
        <w:tabs>
          <w:tab w:val="left" w:pos="709"/>
        </w:tabs>
        <w:ind w:left="709" w:right="709"/>
        <w:jc w:val="both"/>
        <w:rPr>
          <w:rFonts w:ascii="Arial" w:hAnsi="Arial" w:cs="Arial"/>
          <w:color w:val="000000" w:themeColor="text1"/>
          <w:sz w:val="21"/>
          <w:szCs w:val="21"/>
        </w:rPr>
      </w:pPr>
    </w:p>
    <w:p w14:paraId="41E476B7" w14:textId="6DC326E6" w:rsidR="00B6099D" w:rsidRPr="007430F7" w:rsidRDefault="00B6099D" w:rsidP="00FB4EF9">
      <w:pPr>
        <w:autoSpaceDE w:val="0"/>
        <w:autoSpaceDN w:val="0"/>
        <w:adjustRightInd w:val="0"/>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En el contexto expuesto, esta Subdirección considera que es factible, así mismo, realizar una interpretación armónica y sistemática de las dos normas en cita -artículo 30 de la Ley 57 de 1887-, para entender que las reglas de la audiencia de adjudicación del artículo 2.2.1.2.1.1.2. Decreto 1082 de 2015 y las adicionadas por el artículo 1 de la Ley 1882 de 2018, tratándose de licitación pública para celebrar un contrato de obra, pueden compaginarse, en el entendido de que la suspensión de la audiencia de adjudicación procede aun a instancias del momento posterior a la apertura del segundo sobre que contiene la oferta económica, siempre y cuando, dicha suspensión tenga origen en observaciones de los proponentes habilitados que fueron formuladas con ocasión del traslado previsto en la ley para la revisión del aspecto económico de la evaluación, previo a establecer el orden de elegibilidad.</w:t>
      </w:r>
    </w:p>
    <w:p w14:paraId="72B834AC" w14:textId="77777777" w:rsidR="00B6099D" w:rsidRPr="007430F7" w:rsidRDefault="00B6099D" w:rsidP="00FB4EF9">
      <w:pPr>
        <w:autoSpaceDE w:val="0"/>
        <w:autoSpaceDN w:val="0"/>
        <w:adjustRightInd w:val="0"/>
        <w:ind w:left="709" w:right="709"/>
        <w:jc w:val="both"/>
        <w:rPr>
          <w:rFonts w:ascii="Arial" w:hAnsi="Arial" w:cs="Arial"/>
          <w:color w:val="000000" w:themeColor="text1"/>
          <w:sz w:val="21"/>
          <w:szCs w:val="21"/>
        </w:rPr>
      </w:pPr>
    </w:p>
    <w:p w14:paraId="1A5F4E08" w14:textId="4C82F64D" w:rsidR="00B6099D" w:rsidRPr="007430F7" w:rsidRDefault="00B6099D" w:rsidP="00FB4EF9">
      <w:pPr>
        <w:tabs>
          <w:tab w:val="left" w:pos="709"/>
        </w:tabs>
        <w:ind w:left="709" w:right="709"/>
        <w:jc w:val="both"/>
        <w:rPr>
          <w:rFonts w:ascii="Arial" w:hAnsi="Arial" w:cs="Arial"/>
          <w:color w:val="000000" w:themeColor="text1"/>
          <w:sz w:val="21"/>
          <w:szCs w:val="21"/>
        </w:rPr>
      </w:pPr>
      <w:r w:rsidRPr="007430F7">
        <w:rPr>
          <w:rFonts w:ascii="Arial" w:hAnsi="Arial" w:cs="Arial"/>
          <w:color w:val="000000" w:themeColor="text1"/>
          <w:sz w:val="21"/>
          <w:szCs w:val="21"/>
        </w:rPr>
        <w:t xml:space="preserve">De igual manera, </w:t>
      </w:r>
      <w:r w:rsidRPr="007430F7">
        <w:rPr>
          <w:rFonts w:ascii="Arial" w:hAnsi="Arial" w:cs="Arial"/>
          <w:i/>
          <w:iCs/>
          <w:color w:val="000000" w:themeColor="text1"/>
          <w:sz w:val="21"/>
          <w:szCs w:val="21"/>
        </w:rPr>
        <w:t>la suspensión de la audiencia no puede efectuarse si los actos que se pretenden realizar son los que la ley prevé que ocurran durante la audiencia, como es el caso de la apertura de segundo sobre que contiene la oferta económica, la evaluación según el método previsto en el pliego de condiciones y la definición del orden de elegibilidad de ofertas para adoptar la decisión de adjudicación de la licitación</w:t>
      </w:r>
      <w:r w:rsidR="000271CE" w:rsidRPr="007430F7">
        <w:rPr>
          <w:rFonts w:ascii="Arial" w:hAnsi="Arial" w:cs="Arial"/>
          <w:color w:val="000000" w:themeColor="text1"/>
          <w:sz w:val="21"/>
          <w:szCs w:val="21"/>
        </w:rPr>
        <w:t xml:space="preserve"> </w:t>
      </w:r>
      <w:r w:rsidR="00BB669C" w:rsidRPr="007430F7">
        <w:rPr>
          <w:rFonts w:ascii="Arial" w:hAnsi="Arial" w:cs="Arial"/>
          <w:color w:val="000000" w:themeColor="text1"/>
          <w:sz w:val="21"/>
          <w:szCs w:val="21"/>
        </w:rPr>
        <w:t>(</w:t>
      </w:r>
      <w:r w:rsidR="000271CE" w:rsidRPr="007430F7">
        <w:rPr>
          <w:rFonts w:ascii="Arial" w:hAnsi="Arial" w:cs="Arial"/>
          <w:color w:val="000000" w:themeColor="text1"/>
          <w:sz w:val="21"/>
          <w:szCs w:val="21"/>
        </w:rPr>
        <w:t>Cursivas propias</w:t>
      </w:r>
      <w:r w:rsidR="00BB669C" w:rsidRPr="007430F7">
        <w:rPr>
          <w:rFonts w:ascii="Arial" w:hAnsi="Arial" w:cs="Arial"/>
          <w:color w:val="000000" w:themeColor="text1"/>
          <w:sz w:val="21"/>
          <w:szCs w:val="21"/>
        </w:rPr>
        <w:t>)</w:t>
      </w:r>
      <w:r w:rsidR="00F37F51" w:rsidRPr="007430F7">
        <w:rPr>
          <w:rFonts w:ascii="Arial" w:hAnsi="Arial" w:cs="Arial"/>
          <w:color w:val="000000" w:themeColor="text1"/>
          <w:sz w:val="21"/>
          <w:szCs w:val="21"/>
        </w:rPr>
        <w:t>.</w:t>
      </w:r>
    </w:p>
    <w:p w14:paraId="02DF3210" w14:textId="77777777" w:rsidR="00B6099D" w:rsidRPr="007430F7" w:rsidRDefault="00B6099D" w:rsidP="00B6099D">
      <w:pPr>
        <w:spacing w:before="120" w:after="120" w:line="276" w:lineRule="auto"/>
        <w:jc w:val="both"/>
        <w:rPr>
          <w:rFonts w:ascii="Arial" w:hAnsi="Arial" w:cs="Arial"/>
          <w:color w:val="000000" w:themeColor="text1"/>
          <w:sz w:val="22"/>
        </w:rPr>
      </w:pPr>
    </w:p>
    <w:p w14:paraId="130E1D12" w14:textId="5F3F0DD1" w:rsidR="00B6099D" w:rsidRPr="007430F7" w:rsidRDefault="00B6099D" w:rsidP="00FB4EF9">
      <w:pPr>
        <w:spacing w:before="120" w:after="120" w:line="276" w:lineRule="auto"/>
        <w:ind w:firstLine="708"/>
        <w:jc w:val="both"/>
        <w:rPr>
          <w:rFonts w:ascii="Arial" w:hAnsi="Arial" w:cs="Arial"/>
          <w:color w:val="000000" w:themeColor="text1"/>
          <w:sz w:val="22"/>
        </w:rPr>
      </w:pPr>
      <w:r w:rsidRPr="007430F7">
        <w:rPr>
          <w:rFonts w:ascii="Arial" w:hAnsi="Arial" w:cs="Arial"/>
          <w:color w:val="000000" w:themeColor="text1"/>
          <w:sz w:val="22"/>
        </w:rPr>
        <w:t xml:space="preserve">Nótese que, según el criterio expuesto previamente por la Agencia Nacional de Contratación Pública, la </w:t>
      </w:r>
      <w:r w:rsidRPr="007430F7">
        <w:rPr>
          <w:rFonts w:ascii="Arial" w:hAnsi="Arial" w:cs="Arial"/>
          <w:i/>
          <w:iCs/>
          <w:color w:val="000000" w:themeColor="text1"/>
          <w:sz w:val="22"/>
        </w:rPr>
        <w:t>audiencia efectiva de adjudicación</w:t>
      </w:r>
      <w:r w:rsidRPr="007430F7">
        <w:rPr>
          <w:rFonts w:ascii="Arial" w:hAnsi="Arial" w:cs="Arial"/>
          <w:color w:val="000000" w:themeColor="text1"/>
          <w:sz w:val="22"/>
        </w:rPr>
        <w:t xml:space="preserve"> no se puede suspender</w:t>
      </w:r>
      <w:r w:rsidR="00F37F51" w:rsidRPr="007430F7">
        <w:rPr>
          <w:rFonts w:ascii="Arial" w:hAnsi="Arial" w:cs="Arial"/>
          <w:color w:val="000000" w:themeColor="text1"/>
          <w:sz w:val="22"/>
        </w:rPr>
        <w:t>, para efectos de realizar una actuación que debe realizarse durante la audiencia, por ejemplo,</w:t>
      </w:r>
      <w:r w:rsidRPr="007430F7">
        <w:rPr>
          <w:rFonts w:ascii="Arial" w:hAnsi="Arial" w:cs="Arial"/>
          <w:color w:val="000000" w:themeColor="text1"/>
          <w:sz w:val="22"/>
        </w:rPr>
        <w:t xml:space="preserve"> si el acto que se pretende realizar es la definición del orden de elegibilidad, de lo que se sigue que tampoco puede hacerse para darle traslado a los proponentes para que presenten sus observaciones frente a las propuestas económicas,</w:t>
      </w:r>
      <w:r w:rsidR="00F37F51" w:rsidRPr="007430F7">
        <w:rPr>
          <w:rFonts w:ascii="Arial" w:hAnsi="Arial" w:cs="Arial"/>
          <w:color w:val="000000" w:themeColor="text1"/>
          <w:sz w:val="22"/>
        </w:rPr>
        <w:t xml:space="preserve"> las cuales se deben presentar durante el curso de la audiencia</w:t>
      </w:r>
      <w:r w:rsidRPr="007430F7">
        <w:rPr>
          <w:rFonts w:ascii="Arial" w:hAnsi="Arial" w:cs="Arial"/>
          <w:color w:val="000000" w:themeColor="text1"/>
          <w:sz w:val="22"/>
        </w:rPr>
        <w:t>.</w:t>
      </w:r>
    </w:p>
    <w:p w14:paraId="6E060705" w14:textId="14949822" w:rsidR="00EA6187" w:rsidRPr="007430F7" w:rsidRDefault="00EA6187" w:rsidP="00EA6187">
      <w:pPr>
        <w:spacing w:before="120" w:after="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Finalmente, una vez se adjudica, empieza a correr el </w:t>
      </w:r>
      <w:r w:rsidRPr="007430F7">
        <w:rPr>
          <w:rFonts w:ascii="Arial" w:hAnsi="Arial" w:cs="Arial"/>
          <w:i/>
          <w:color w:val="000000" w:themeColor="text1"/>
          <w:sz w:val="22"/>
        </w:rPr>
        <w:t>plazo para firmar el contrato</w:t>
      </w:r>
      <w:r w:rsidRPr="007430F7">
        <w:rPr>
          <w:rFonts w:ascii="Arial" w:hAnsi="Arial" w:cs="Arial"/>
          <w:b/>
          <w:color w:val="000000" w:themeColor="text1"/>
          <w:sz w:val="22"/>
        </w:rPr>
        <w:t xml:space="preserve">, </w:t>
      </w:r>
      <w:r w:rsidRPr="007430F7">
        <w:rPr>
          <w:rFonts w:ascii="Arial" w:hAnsi="Arial" w:cs="Arial"/>
          <w:color w:val="000000" w:themeColor="text1"/>
          <w:sz w:val="22"/>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7848458C" w14:textId="239CFCF0" w:rsidR="00EA6187" w:rsidRPr="007430F7" w:rsidRDefault="00EA6187" w:rsidP="00EA6187">
      <w:pPr>
        <w:spacing w:before="120" w:line="276" w:lineRule="auto"/>
        <w:ind w:firstLine="709"/>
        <w:jc w:val="both"/>
        <w:rPr>
          <w:rFonts w:ascii="Arial" w:hAnsi="Arial" w:cs="Arial"/>
          <w:color w:val="000000" w:themeColor="text1"/>
          <w:sz w:val="22"/>
        </w:rPr>
      </w:pPr>
      <w:r w:rsidRPr="007430F7">
        <w:rPr>
          <w:rFonts w:ascii="Arial" w:hAnsi="Arial" w:cs="Arial"/>
          <w:color w:val="000000" w:themeColor="text1"/>
          <w:sz w:val="22"/>
        </w:rPr>
        <w:t xml:space="preserve">Resulta del caso precisar que las otras modalidades de selección tienen otras etapas, las cuales se encuentras reguladas en el artículo 2 de la Ley 1150 de 2007, así como también en los artículos 2.2.1.2.1.2.1. a 2.2.1.2.1.2.26. del Decreto 1082 de 2015, en lo que tiene que ver con la </w:t>
      </w:r>
      <w:r w:rsidRPr="007430F7">
        <w:rPr>
          <w:rFonts w:ascii="Arial" w:hAnsi="Arial" w:cs="Arial"/>
          <w:i/>
          <w:iCs/>
          <w:color w:val="000000" w:themeColor="text1"/>
          <w:sz w:val="22"/>
        </w:rPr>
        <w:t>selección abreviada</w:t>
      </w:r>
      <w:r w:rsidRPr="007430F7">
        <w:rPr>
          <w:rFonts w:ascii="Arial" w:hAnsi="Arial" w:cs="Arial"/>
          <w:color w:val="000000" w:themeColor="text1"/>
          <w:sz w:val="22"/>
        </w:rPr>
        <w:t xml:space="preserve">; los artículos 2.2.1.2.1.3.1. a 2.2.1.2.1.3.25. </w:t>
      </w:r>
      <w:r w:rsidRPr="007430F7">
        <w:rPr>
          <w:rFonts w:ascii="Arial" w:hAnsi="Arial" w:cs="Arial"/>
          <w:i/>
          <w:iCs/>
          <w:color w:val="000000" w:themeColor="text1"/>
          <w:sz w:val="22"/>
        </w:rPr>
        <w:t>ibidem</w:t>
      </w:r>
      <w:r w:rsidRPr="007430F7">
        <w:rPr>
          <w:rFonts w:ascii="Arial" w:hAnsi="Arial" w:cs="Arial"/>
          <w:color w:val="000000" w:themeColor="text1"/>
          <w:sz w:val="22"/>
        </w:rPr>
        <w:t xml:space="preserve">, frente al </w:t>
      </w:r>
      <w:r w:rsidRPr="007430F7">
        <w:rPr>
          <w:rFonts w:ascii="Arial" w:hAnsi="Arial" w:cs="Arial"/>
          <w:i/>
          <w:iCs/>
          <w:color w:val="000000" w:themeColor="text1"/>
          <w:sz w:val="22"/>
        </w:rPr>
        <w:t>concurso de méritos</w:t>
      </w:r>
      <w:r w:rsidRPr="007430F7">
        <w:rPr>
          <w:rFonts w:ascii="Arial" w:hAnsi="Arial" w:cs="Arial"/>
          <w:color w:val="000000" w:themeColor="text1"/>
          <w:sz w:val="22"/>
        </w:rPr>
        <w:t xml:space="preserve">; los artículos 2.2.1.2.1.4.1. a 2.2.1.2.1.4.11. </w:t>
      </w:r>
      <w:r w:rsidRPr="007430F7">
        <w:rPr>
          <w:rFonts w:ascii="Arial" w:hAnsi="Arial" w:cs="Arial"/>
          <w:i/>
          <w:iCs/>
          <w:color w:val="000000" w:themeColor="text1"/>
          <w:sz w:val="22"/>
        </w:rPr>
        <w:t>ejusdem</w:t>
      </w:r>
      <w:r w:rsidRPr="007430F7">
        <w:rPr>
          <w:rFonts w:ascii="Arial" w:hAnsi="Arial" w:cs="Arial"/>
          <w:color w:val="000000" w:themeColor="text1"/>
          <w:sz w:val="22"/>
        </w:rPr>
        <w:t xml:space="preserve">, en relación con la </w:t>
      </w:r>
      <w:r w:rsidRPr="007430F7">
        <w:rPr>
          <w:rFonts w:ascii="Arial" w:hAnsi="Arial" w:cs="Arial"/>
          <w:i/>
          <w:iCs/>
          <w:color w:val="000000" w:themeColor="text1"/>
          <w:sz w:val="22"/>
        </w:rPr>
        <w:t>contratación directa</w:t>
      </w:r>
      <w:r w:rsidRPr="007430F7">
        <w:rPr>
          <w:rFonts w:ascii="Arial" w:hAnsi="Arial" w:cs="Arial"/>
          <w:color w:val="000000" w:themeColor="text1"/>
          <w:sz w:val="22"/>
        </w:rPr>
        <w:t xml:space="preserve">; y los artículos 2.2.1.2.1.5.1. a 2.2.1.2.1.5.4. del referido decreto, sobre la </w:t>
      </w:r>
      <w:r w:rsidRPr="007430F7">
        <w:rPr>
          <w:rFonts w:ascii="Arial" w:hAnsi="Arial" w:cs="Arial"/>
          <w:i/>
          <w:iCs/>
          <w:color w:val="000000" w:themeColor="text1"/>
          <w:sz w:val="22"/>
        </w:rPr>
        <w:t>mínima cuantía</w:t>
      </w:r>
      <w:r w:rsidRPr="007430F7">
        <w:rPr>
          <w:rFonts w:ascii="Arial" w:hAnsi="Arial" w:cs="Arial"/>
          <w:color w:val="000000" w:themeColor="text1"/>
          <w:sz w:val="22"/>
        </w:rPr>
        <w:t>, entre otras normas concordantes y complementarias. Igualmente, en las diferentes versiones de los «Documentos Tipo» elaborados por Colombia Compra Eficiente, se desarrollaron algunos aspectos especiales para las etapas a seguir en los procesos para contratar obras públicas de infraestructura de transporte.</w:t>
      </w:r>
    </w:p>
    <w:p w14:paraId="07A0FA15" w14:textId="0DE024E2" w:rsidR="00EA6187" w:rsidRPr="007430F7" w:rsidRDefault="00EA6187" w:rsidP="002055BF">
      <w:pPr>
        <w:pStyle w:val="Prrafodelista"/>
        <w:spacing w:line="276" w:lineRule="auto"/>
        <w:ind w:left="0" w:right="51" w:firstLine="708"/>
        <w:contextualSpacing w:val="0"/>
        <w:jc w:val="both"/>
        <w:rPr>
          <w:rFonts w:ascii="Arial" w:hAnsi="Arial" w:cs="Arial"/>
          <w:color w:val="000000" w:themeColor="text1"/>
          <w:sz w:val="22"/>
        </w:rPr>
      </w:pPr>
      <w:r w:rsidRPr="007430F7">
        <w:rPr>
          <w:rFonts w:ascii="Arial" w:hAnsi="Arial" w:cs="Arial"/>
          <w:color w:val="000000" w:themeColor="text1"/>
          <w:sz w:val="22"/>
        </w:rPr>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puede decirse que, en virtud de los principios de preclusión y perentoriedad, establecidos en el inciso primero </w:t>
      </w:r>
      <w:r w:rsidRPr="007430F7">
        <w:rPr>
          <w:rFonts w:ascii="Arial" w:hAnsi="Arial" w:cs="Arial"/>
          <w:i/>
          <w:iCs/>
          <w:color w:val="000000" w:themeColor="text1"/>
          <w:sz w:val="22"/>
        </w:rPr>
        <w:t>ibidem</w:t>
      </w:r>
      <w:r w:rsidRPr="007430F7">
        <w:rPr>
          <w:rFonts w:ascii="Arial" w:hAnsi="Arial" w:cs="Arial"/>
          <w:color w:val="000000" w:themeColor="text1"/>
          <w:sz w:val="22"/>
        </w:rPr>
        <w:t>, las partes del proceso de contratación, así como los funcionarios públicos, se encuentran obligados a respetar y acatar tales etapas y términos, sin que</w:t>
      </w:r>
      <w:r w:rsidR="00625B92" w:rsidRPr="007430F7">
        <w:rPr>
          <w:rFonts w:ascii="Arial" w:hAnsi="Arial" w:cs="Arial"/>
          <w:color w:val="000000" w:themeColor="text1"/>
          <w:sz w:val="22"/>
        </w:rPr>
        <w:t xml:space="preserve"> </w:t>
      </w:r>
      <w:r w:rsidRPr="007430F7">
        <w:rPr>
          <w:rFonts w:ascii="Arial" w:hAnsi="Arial" w:cs="Arial"/>
          <w:color w:val="000000" w:themeColor="text1"/>
          <w:sz w:val="22"/>
        </w:rPr>
        <w:t>puedan desconocerlos o pasarlos por alto.</w:t>
      </w:r>
    </w:p>
    <w:p w14:paraId="45A6B299" w14:textId="77777777" w:rsidR="00EA6187" w:rsidRPr="007430F7" w:rsidRDefault="00EA6187" w:rsidP="002055BF">
      <w:pPr>
        <w:pStyle w:val="Prrafodelista"/>
        <w:spacing w:line="276" w:lineRule="auto"/>
        <w:ind w:left="0" w:right="51"/>
        <w:contextualSpacing w:val="0"/>
        <w:jc w:val="both"/>
        <w:rPr>
          <w:rFonts w:ascii="Arial" w:hAnsi="Arial" w:cs="Arial"/>
          <w:color w:val="000000" w:themeColor="text1"/>
          <w:sz w:val="22"/>
        </w:rPr>
      </w:pPr>
    </w:p>
    <w:p w14:paraId="271E6F8D" w14:textId="77777777" w:rsidR="00EA6187" w:rsidRPr="007430F7" w:rsidRDefault="00EA6187" w:rsidP="002055BF">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7430F7">
        <w:rPr>
          <w:rFonts w:ascii="Arial" w:hAnsi="Arial" w:cs="Arial"/>
          <w:b/>
          <w:bCs/>
          <w:color w:val="000000" w:themeColor="text1"/>
          <w:sz w:val="22"/>
          <w:lang w:val="es-CO"/>
        </w:rPr>
        <w:t xml:space="preserve">Respuesta </w:t>
      </w:r>
    </w:p>
    <w:p w14:paraId="55AA3123" w14:textId="77777777" w:rsidR="00EA6187" w:rsidRPr="007430F7" w:rsidRDefault="00EA6187" w:rsidP="002055BF">
      <w:pPr>
        <w:spacing w:line="276" w:lineRule="auto"/>
        <w:ind w:right="709"/>
        <w:jc w:val="both"/>
        <w:rPr>
          <w:rFonts w:ascii="Arial" w:hAnsi="Arial" w:cs="Arial"/>
          <w:color w:val="000000" w:themeColor="text1"/>
          <w:sz w:val="21"/>
          <w:szCs w:val="21"/>
          <w:lang w:val="es-CO"/>
        </w:rPr>
      </w:pPr>
    </w:p>
    <w:p w14:paraId="7D2BFF67" w14:textId="77777777" w:rsidR="00EA6187" w:rsidRPr="007430F7" w:rsidRDefault="00EA6187" w:rsidP="002055BF">
      <w:pPr>
        <w:ind w:left="709" w:right="758"/>
        <w:jc w:val="both"/>
        <w:rPr>
          <w:rFonts w:ascii="Arial" w:eastAsia="Calibri" w:hAnsi="Arial" w:cs="Arial"/>
          <w:color w:val="000000" w:themeColor="text1"/>
          <w:sz w:val="21"/>
          <w:szCs w:val="21"/>
        </w:rPr>
      </w:pPr>
      <w:r w:rsidRPr="007430F7">
        <w:rPr>
          <w:rFonts w:ascii="Arial" w:eastAsia="Calibri" w:hAnsi="Arial" w:cs="Arial"/>
          <w:color w:val="000000" w:themeColor="text1"/>
          <w:sz w:val="21"/>
          <w:szCs w:val="21"/>
        </w:rPr>
        <w:t>«[…] ¿cuál debe ser el termino razonable que deben dar las entidades al traslado que determina la norma para la revisión de los aspectos económicos y de elegibilidad?»</w:t>
      </w:r>
    </w:p>
    <w:p w14:paraId="1BF1FDA5" w14:textId="77777777" w:rsidR="00EA6187" w:rsidRPr="007430F7" w:rsidRDefault="00EA6187" w:rsidP="002055BF">
      <w:pPr>
        <w:spacing w:line="276" w:lineRule="auto"/>
        <w:jc w:val="both"/>
        <w:rPr>
          <w:rFonts w:ascii="Arial" w:hAnsi="Arial" w:cs="Arial"/>
          <w:color w:val="000000" w:themeColor="text1"/>
          <w:sz w:val="22"/>
        </w:rPr>
      </w:pPr>
    </w:p>
    <w:p w14:paraId="2D9C53B9" w14:textId="2FB90A70" w:rsidR="00EA6187" w:rsidRPr="007430F7" w:rsidRDefault="00EA6187" w:rsidP="002055BF">
      <w:pPr>
        <w:spacing w:line="276" w:lineRule="auto"/>
        <w:ind w:firstLine="708"/>
        <w:jc w:val="both"/>
        <w:rPr>
          <w:rFonts w:ascii="Arial" w:hAnsi="Arial" w:cs="Arial"/>
          <w:color w:val="000000" w:themeColor="text1"/>
          <w:sz w:val="22"/>
        </w:rPr>
      </w:pPr>
      <w:r w:rsidRPr="007430F7">
        <w:rPr>
          <w:rFonts w:ascii="Arial" w:hAnsi="Arial" w:cs="Arial"/>
          <w:color w:val="000000" w:themeColor="text1"/>
          <w:sz w:val="22"/>
        </w:rPr>
        <w:t xml:space="preserve">No existe, pues, un término genérico al que se le puedan atribuir características de razonabilidad y proporcionalidad. Puede pasar, por ejemplo, que un término de dos horas resulte desproporcionado por tratarse de un caso de complejidad muy baja, pero también puede ocurrir que el mismo término sea proporcional y razonable en otro caso, habida cuenta de la complejidad del proceso contractual. Para tales fines, es necesario que la entidad analice, caso por caso, los aspectos técnicos, económicos y jurídicos del proceso de contratación, así como también el número de oferentes habilitados, por supuesto, sin dejar de valorar los principios de celeridad y eficacia, que le imponen la obligación de velar porque los procesos administrativos sean tramitados de forma ágil y expedita y teniendo como horizonte el interés general, por supuesto, sin sacrificar las garantías de los implicados en tales actuaciones. </w:t>
      </w:r>
    </w:p>
    <w:p w14:paraId="204F81D3" w14:textId="3A2B37DD" w:rsidR="00EA6187" w:rsidRPr="007430F7" w:rsidRDefault="00EA6187" w:rsidP="002055BF">
      <w:pPr>
        <w:tabs>
          <w:tab w:val="left" w:pos="709"/>
        </w:tabs>
        <w:spacing w:line="276" w:lineRule="auto"/>
        <w:jc w:val="both"/>
        <w:rPr>
          <w:rFonts w:ascii="Arial" w:hAnsi="Arial" w:cs="Arial"/>
          <w:color w:val="000000" w:themeColor="text1"/>
          <w:sz w:val="22"/>
        </w:rPr>
      </w:pPr>
      <w:r w:rsidRPr="007430F7">
        <w:rPr>
          <w:rFonts w:ascii="Arial" w:hAnsi="Arial" w:cs="Arial"/>
          <w:color w:val="000000" w:themeColor="text1"/>
          <w:sz w:val="22"/>
        </w:rPr>
        <w:tab/>
        <w:t xml:space="preserve">De todas formas, por tratarse de un acto discrecional, el establecimiento del término </w:t>
      </w:r>
      <w:r w:rsidRPr="007430F7">
        <w:rPr>
          <w:rFonts w:ascii="Arial" w:hAnsi="Arial" w:cs="Arial"/>
          <w:i/>
          <w:iCs/>
          <w:color w:val="000000" w:themeColor="text1"/>
          <w:sz w:val="22"/>
        </w:rPr>
        <w:t xml:space="preserve">sub examine </w:t>
      </w:r>
      <w:r w:rsidRPr="007430F7">
        <w:rPr>
          <w:rFonts w:ascii="Arial" w:hAnsi="Arial" w:cs="Arial"/>
          <w:color w:val="000000" w:themeColor="text1"/>
          <w:sz w:val="22"/>
        </w:rPr>
        <w:t>no puede exceder los límites legales. En ese sentido, la discrecionalidad no puede desconocer los límites establecidos por la ley o el reglamento, en este caso, de la norma que habilitó a la entidad tácitamente para ejercer la potestad discrecional, esto es, el artículo 30, parágrafo 3, inciso 3, de la Ley 80 de 1993, el cual, como se explicó en las consideraciones de este documento, impone que las observaciones de los proponentes en relación con las otras ofertas económicas, deban ser resueltas en la</w:t>
      </w:r>
      <w:r w:rsidRPr="007430F7">
        <w:rPr>
          <w:rFonts w:ascii="Arial" w:hAnsi="Arial" w:cs="Arial"/>
          <w:i/>
          <w:iCs/>
          <w:color w:val="000000" w:themeColor="text1"/>
          <w:sz w:val="22"/>
        </w:rPr>
        <w:t xml:space="preserve"> audiencia efectiva de adjudicación</w:t>
      </w:r>
      <w:r w:rsidRPr="007430F7">
        <w:rPr>
          <w:rFonts w:ascii="Arial" w:hAnsi="Arial" w:cs="Arial"/>
          <w:color w:val="000000" w:themeColor="text1"/>
          <w:sz w:val="22"/>
        </w:rPr>
        <w:t>, lo que implica que el término discrecional que fije la entidad para el traslado a los proponentes no podrá exceder, bajo ninguna circunstancia, la duración de esa diligencia.</w:t>
      </w:r>
    </w:p>
    <w:p w14:paraId="7A28A2BD" w14:textId="133BDB4C" w:rsidR="00071E81" w:rsidRPr="007430F7" w:rsidRDefault="000E02A5" w:rsidP="002055BF">
      <w:pPr>
        <w:jc w:val="both"/>
        <w:rPr>
          <w:rFonts w:ascii="Arial" w:eastAsia="Calibri" w:hAnsi="Arial" w:cs="Arial"/>
          <w:color w:val="000000" w:themeColor="text1"/>
          <w:sz w:val="22"/>
        </w:rPr>
      </w:pPr>
      <w:r w:rsidRPr="007430F7">
        <w:rPr>
          <w:rFonts w:ascii="Arial" w:hAnsi="Arial" w:cs="Arial"/>
          <w:color w:val="000000" w:themeColor="text1"/>
          <w:sz w:val="22"/>
        </w:rPr>
        <w:tab/>
      </w:r>
    </w:p>
    <w:p w14:paraId="5FFD9FC5" w14:textId="72E945D3" w:rsidR="00EA6187" w:rsidRPr="007430F7" w:rsidRDefault="00EA6187" w:rsidP="002055BF">
      <w:pPr>
        <w:spacing w:line="276" w:lineRule="auto"/>
        <w:jc w:val="both"/>
        <w:rPr>
          <w:rFonts w:ascii="Arial" w:eastAsia="Calibri" w:hAnsi="Arial" w:cs="Arial"/>
          <w:color w:val="000000" w:themeColor="text1"/>
          <w:sz w:val="22"/>
        </w:rPr>
      </w:pPr>
      <w:r w:rsidRPr="007430F7">
        <w:rPr>
          <w:rFonts w:ascii="Arial" w:eastAsia="Calibri" w:hAnsi="Arial" w:cs="Arial"/>
          <w:color w:val="000000" w:themeColor="text1"/>
          <w:sz w:val="22"/>
        </w:rPr>
        <w:t>Este concepto tiene el alcance previsto en el artículo 28 del Código de Procedimiento Administrativo y de lo Contencioso Administrativo.</w:t>
      </w:r>
    </w:p>
    <w:p w14:paraId="1FE7216F" w14:textId="77777777" w:rsidR="00EA6187" w:rsidRPr="007430F7" w:rsidRDefault="00EA6187" w:rsidP="00EA6187">
      <w:pPr>
        <w:ind w:firstLine="709"/>
        <w:jc w:val="both"/>
        <w:rPr>
          <w:rFonts w:ascii="Arial" w:eastAsia="Calibri" w:hAnsi="Arial" w:cs="Arial"/>
          <w:color w:val="000000" w:themeColor="text1"/>
          <w:sz w:val="22"/>
        </w:rPr>
      </w:pPr>
    </w:p>
    <w:p w14:paraId="00FA6323" w14:textId="77777777" w:rsidR="00EA6187" w:rsidRPr="007430F7" w:rsidRDefault="00EA6187" w:rsidP="00EA6187">
      <w:pPr>
        <w:jc w:val="both"/>
        <w:rPr>
          <w:rFonts w:ascii="Arial" w:eastAsia="Times New Roman" w:hAnsi="Arial" w:cs="Arial"/>
          <w:color w:val="000000" w:themeColor="text1"/>
          <w:sz w:val="22"/>
          <w:lang w:eastAsia="es-CO"/>
        </w:rPr>
      </w:pPr>
      <w:r w:rsidRPr="007430F7">
        <w:rPr>
          <w:rFonts w:ascii="Arial" w:eastAsia="Times New Roman" w:hAnsi="Arial" w:cs="Arial"/>
          <w:color w:val="000000" w:themeColor="text1"/>
          <w:sz w:val="22"/>
          <w:lang w:eastAsia="es-CO"/>
        </w:rPr>
        <w:t>Atentamente,</w:t>
      </w:r>
    </w:p>
    <w:bookmarkEnd w:id="0"/>
    <w:bookmarkEnd w:id="1"/>
    <w:p w14:paraId="20B9F7F4" w14:textId="2ACEFA3D" w:rsidR="00EA6187" w:rsidRDefault="002055BF" w:rsidP="00EA6187">
      <w:pPr>
        <w:jc w:val="center"/>
        <w:rPr>
          <w:rFonts w:ascii="Arial" w:eastAsia="Times New Roman" w:hAnsi="Arial" w:cs="Arial"/>
          <w:color w:val="000000" w:themeColor="text1"/>
          <w:sz w:val="18"/>
          <w:szCs w:val="20"/>
          <w:lang w:eastAsia="es-CO"/>
        </w:rPr>
      </w:pPr>
      <w:r>
        <w:rPr>
          <w:noProof/>
          <w:lang w:val="en-US"/>
        </w:rPr>
        <w:drawing>
          <wp:inline distT="0" distB="0" distL="0" distR="0" wp14:anchorId="17920BD8" wp14:editId="453E2A68">
            <wp:extent cx="2773045" cy="988695"/>
            <wp:effectExtent l="0" t="0" r="0" b="0"/>
            <wp:docPr id="46683054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162B1F4" w14:textId="77777777" w:rsidR="002055BF" w:rsidRPr="007430F7" w:rsidRDefault="002055BF" w:rsidP="00EA6187">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430F7" w:rsidRPr="007430F7" w14:paraId="348CA09D" w14:textId="77777777" w:rsidTr="007430F7">
        <w:trPr>
          <w:trHeight w:val="315"/>
        </w:trPr>
        <w:tc>
          <w:tcPr>
            <w:tcW w:w="812" w:type="dxa"/>
            <w:vAlign w:val="center"/>
            <w:hideMark/>
          </w:tcPr>
          <w:p w14:paraId="196A1500"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5B45950"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David Castellanos Carreño</w:t>
            </w:r>
          </w:p>
          <w:p w14:paraId="42D305A7" w14:textId="0559F566"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Contratista</w:t>
            </w:r>
            <w:r w:rsidR="00FB4EF9" w:rsidRPr="007430F7">
              <w:rPr>
                <w:rFonts w:ascii="Arial" w:eastAsia="Times New Roman" w:hAnsi="Arial" w:cs="Arial"/>
                <w:color w:val="000000" w:themeColor="text1"/>
                <w:sz w:val="16"/>
                <w:szCs w:val="16"/>
                <w:lang w:eastAsia="es-ES"/>
              </w:rPr>
              <w:t xml:space="preserve"> –</w:t>
            </w:r>
            <w:r w:rsidRPr="007430F7">
              <w:rPr>
                <w:rFonts w:ascii="Arial" w:eastAsia="Times New Roman" w:hAnsi="Arial" w:cs="Arial"/>
                <w:color w:val="000000" w:themeColor="text1"/>
                <w:sz w:val="16"/>
                <w:szCs w:val="16"/>
                <w:lang w:eastAsia="es-ES"/>
              </w:rPr>
              <w:t xml:space="preserve"> Subdirección de Gestión Contractual</w:t>
            </w:r>
          </w:p>
        </w:tc>
      </w:tr>
      <w:tr w:rsidR="007430F7" w:rsidRPr="007430F7" w14:paraId="2B88AA06" w14:textId="77777777" w:rsidTr="007430F7">
        <w:trPr>
          <w:trHeight w:val="330"/>
        </w:trPr>
        <w:tc>
          <w:tcPr>
            <w:tcW w:w="812" w:type="dxa"/>
            <w:vAlign w:val="center"/>
            <w:hideMark/>
          </w:tcPr>
          <w:p w14:paraId="11FA6707"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206E4C" w14:textId="7A58B4B1" w:rsidR="00FC20BB" w:rsidRPr="007430F7" w:rsidRDefault="00071E81" w:rsidP="00FC20BB">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Sebastián Ramírez Grisales</w:t>
            </w:r>
          </w:p>
          <w:p w14:paraId="4EE46878" w14:textId="6AEFA170" w:rsidR="00EA6187" w:rsidRPr="007430F7" w:rsidRDefault="00071E81" w:rsidP="00FC20BB">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Contratista – Subdirección de Gestión Contractual</w:t>
            </w:r>
          </w:p>
        </w:tc>
      </w:tr>
      <w:tr w:rsidR="00EA6187" w:rsidRPr="007430F7" w14:paraId="4921D54F" w14:textId="77777777" w:rsidTr="007430F7">
        <w:trPr>
          <w:trHeight w:val="300"/>
        </w:trPr>
        <w:tc>
          <w:tcPr>
            <w:tcW w:w="812" w:type="dxa"/>
            <w:vAlign w:val="center"/>
            <w:hideMark/>
          </w:tcPr>
          <w:p w14:paraId="34EF6745"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5999A8"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Fabián Gonzalo Marín Cortés</w:t>
            </w:r>
          </w:p>
          <w:p w14:paraId="0B68A8D6" w14:textId="77777777" w:rsidR="00EA6187" w:rsidRPr="007430F7" w:rsidRDefault="00EA6187" w:rsidP="007430F7">
            <w:pPr>
              <w:rPr>
                <w:rFonts w:ascii="Arial" w:eastAsia="Times New Roman" w:hAnsi="Arial" w:cs="Arial"/>
                <w:color w:val="000000" w:themeColor="text1"/>
                <w:sz w:val="16"/>
                <w:szCs w:val="16"/>
                <w:lang w:eastAsia="es-ES"/>
              </w:rPr>
            </w:pPr>
            <w:r w:rsidRPr="007430F7">
              <w:rPr>
                <w:rFonts w:ascii="Arial" w:eastAsia="Times New Roman" w:hAnsi="Arial" w:cs="Arial"/>
                <w:color w:val="000000" w:themeColor="text1"/>
                <w:sz w:val="16"/>
                <w:szCs w:val="16"/>
                <w:lang w:eastAsia="es-ES"/>
              </w:rPr>
              <w:t>Subdirector de Gestión Contractual</w:t>
            </w:r>
          </w:p>
        </w:tc>
      </w:tr>
    </w:tbl>
    <w:p w14:paraId="085A31AB" w14:textId="77777777" w:rsidR="006C5955" w:rsidRPr="007430F7" w:rsidRDefault="006C5955" w:rsidP="00EA6187">
      <w:pPr>
        <w:rPr>
          <w:color w:val="000000" w:themeColor="text1"/>
        </w:rPr>
      </w:pPr>
    </w:p>
    <w:sectPr w:rsidR="006C5955" w:rsidRPr="007430F7" w:rsidSect="00B017CC">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8BE1B" w14:textId="77777777" w:rsidR="006F6A8A" w:rsidRDefault="006F6A8A" w:rsidP="008C487C">
      <w:r>
        <w:separator/>
      </w:r>
    </w:p>
  </w:endnote>
  <w:endnote w:type="continuationSeparator" w:id="0">
    <w:p w14:paraId="50209E1D" w14:textId="77777777" w:rsidR="006F6A8A" w:rsidRDefault="006F6A8A" w:rsidP="008C487C">
      <w:r>
        <w:continuationSeparator/>
      </w:r>
    </w:p>
  </w:endnote>
  <w:endnote w:type="continuationNotice" w:id="1">
    <w:p w14:paraId="6144474D" w14:textId="77777777" w:rsidR="006F6A8A" w:rsidRDefault="006F6A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352A1" w14:textId="77777777" w:rsidR="006149EB" w:rsidRDefault="006149EB" w:rsidP="00B017CC">
    <w:pPr>
      <w:pStyle w:val="Sinespaciado"/>
      <w:jc w:val="right"/>
      <w:rPr>
        <w:rFonts w:ascii="Arial" w:hAnsi="Arial" w:cs="Arial"/>
        <w:sz w:val="18"/>
        <w:szCs w:val="18"/>
      </w:rPr>
    </w:pPr>
  </w:p>
  <w:p w14:paraId="3D3EB348" w14:textId="328C4FDA" w:rsidR="006149EB" w:rsidRPr="008217B7" w:rsidRDefault="006149EB" w:rsidP="00B017C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6781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67812">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9709EEF" w14:textId="77777777" w:rsidR="006149EB" w:rsidRDefault="06E1C25B" w:rsidP="00B017CC">
    <w:pPr>
      <w:pStyle w:val="Piedepgina"/>
      <w:jc w:val="center"/>
      <w:rPr>
        <w:lang w:val="es-ES"/>
      </w:rPr>
    </w:pPr>
    <w:r>
      <w:rPr>
        <w:noProof/>
        <w:lang w:val="en-US"/>
      </w:rPr>
      <w:drawing>
        <wp:inline distT="0" distB="0" distL="0" distR="0" wp14:anchorId="0323F87D" wp14:editId="3F7DB724">
          <wp:extent cx="3700130" cy="519139"/>
          <wp:effectExtent l="0" t="0" r="0" b="0"/>
          <wp:docPr id="16667655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6149EB" w:rsidRPr="00E756AC" w:rsidRDefault="006149EB" w:rsidP="00B017C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85E0A" w14:textId="77777777" w:rsidR="006F6A8A" w:rsidRDefault="006F6A8A" w:rsidP="008C487C">
      <w:r>
        <w:separator/>
      </w:r>
    </w:p>
  </w:footnote>
  <w:footnote w:type="continuationSeparator" w:id="0">
    <w:p w14:paraId="0F39618E" w14:textId="77777777" w:rsidR="006F6A8A" w:rsidRDefault="006F6A8A" w:rsidP="008C487C">
      <w:r>
        <w:continuationSeparator/>
      </w:r>
    </w:p>
  </w:footnote>
  <w:footnote w:type="continuationNotice" w:id="1">
    <w:p w14:paraId="348C8A5E" w14:textId="77777777" w:rsidR="006F6A8A" w:rsidRDefault="006F6A8A"/>
  </w:footnote>
  <w:footnote w:id="2">
    <w:p w14:paraId="23904BBF" w14:textId="77777777" w:rsidR="00EA6187" w:rsidRPr="007430F7"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bookmarkStart w:id="3" w:name="25"/>
      <w:r w:rsidRPr="007430F7">
        <w:rPr>
          <w:rFonts w:ascii="Arial" w:hAnsi="Arial" w:cs="Arial"/>
          <w:bCs/>
          <w:color w:val="000000" w:themeColor="text1"/>
          <w:sz w:val="19"/>
          <w:szCs w:val="19"/>
        </w:rPr>
        <w:t xml:space="preserve"> «Artículo 25. Del principio de economía</w:t>
      </w:r>
      <w:bookmarkEnd w:id="3"/>
      <w:r w:rsidRPr="007430F7">
        <w:rPr>
          <w:rFonts w:ascii="Arial" w:hAnsi="Arial" w:cs="Arial"/>
          <w:bCs/>
          <w:color w:val="000000" w:themeColor="text1"/>
          <w:sz w:val="19"/>
          <w:szCs w:val="19"/>
        </w:rPr>
        <w:t xml:space="preserve">. </w:t>
      </w:r>
      <w:r w:rsidRPr="007430F7">
        <w:rPr>
          <w:rFonts w:ascii="Arial" w:hAnsi="Arial" w:cs="Arial"/>
          <w:color w:val="000000" w:themeColor="text1"/>
          <w:sz w:val="19"/>
          <w:szCs w:val="19"/>
        </w:rPr>
        <w:t>En virtud de este principio:</w:t>
      </w:r>
    </w:p>
    <w:p w14:paraId="71B6A365" w14:textId="77777777" w:rsidR="00EA6187" w:rsidRPr="007430F7"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w:t>
      </w:r>
    </w:p>
    <w:p w14:paraId="06A73EB3" w14:textId="77777777" w:rsidR="00EA6187" w:rsidRPr="007430F7"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91D06CF" w14:textId="77777777" w:rsidR="00EA6187" w:rsidRPr="007430F7" w:rsidRDefault="00EA6187" w:rsidP="00EA6187">
      <w:pPr>
        <w:pStyle w:val="Textonotapie"/>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 xml:space="preserve"> </w:t>
      </w:r>
    </w:p>
  </w:footnote>
  <w:footnote w:id="3">
    <w:p w14:paraId="499B0C5D" w14:textId="77777777" w:rsidR="00EA6187" w:rsidRPr="007430F7" w:rsidRDefault="00EA6187" w:rsidP="00EA6187">
      <w:pPr>
        <w:pStyle w:val="Textonotapie"/>
        <w:tabs>
          <w:tab w:val="left" w:pos="1830"/>
        </w:tabs>
        <w:ind w:left="709"/>
        <w:jc w:val="both"/>
        <w:rPr>
          <w:rFonts w:ascii="Arial" w:hAnsi="Arial" w:cs="Arial"/>
          <w:color w:val="000000" w:themeColor="text1"/>
          <w:sz w:val="19"/>
          <w:szCs w:val="19"/>
          <w:lang w:val="es-CO"/>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color w:val="000000" w:themeColor="text1"/>
          <w:sz w:val="19"/>
          <w:szCs w:val="19"/>
          <w:lang w:val="es-CO"/>
        </w:rPr>
        <w:t>DÁVILA VINUEZA, Luis Guillermo. Régimen Jurídico de la Contratación Estatal. Bogotá: Ed.</w:t>
      </w:r>
    </w:p>
    <w:p w14:paraId="5C362B78" w14:textId="77777777" w:rsidR="00EA6187" w:rsidRPr="007430F7" w:rsidRDefault="00EA6187" w:rsidP="00EA6187">
      <w:pPr>
        <w:pStyle w:val="Textonotapie"/>
        <w:tabs>
          <w:tab w:val="left" w:pos="1830"/>
        </w:tabs>
        <w:jc w:val="both"/>
        <w:rPr>
          <w:rFonts w:ascii="Arial" w:hAnsi="Arial" w:cs="Arial"/>
          <w:color w:val="000000" w:themeColor="text1"/>
          <w:sz w:val="19"/>
          <w:szCs w:val="19"/>
          <w:lang w:val="es-CO"/>
        </w:rPr>
      </w:pPr>
      <w:r w:rsidRPr="007430F7">
        <w:rPr>
          <w:rFonts w:ascii="Arial" w:hAnsi="Arial" w:cs="Arial"/>
          <w:color w:val="000000" w:themeColor="text1"/>
          <w:sz w:val="19"/>
          <w:szCs w:val="19"/>
          <w:lang w:val="es-CO"/>
        </w:rPr>
        <w:t xml:space="preserve">Legis, 2016. P. 440.  </w:t>
      </w:r>
      <w:r w:rsidRPr="007430F7">
        <w:rPr>
          <w:rFonts w:ascii="Arial" w:hAnsi="Arial" w:cs="Arial"/>
          <w:color w:val="000000" w:themeColor="text1"/>
          <w:sz w:val="19"/>
          <w:szCs w:val="19"/>
          <w:lang w:val="es-CO"/>
        </w:rPr>
        <w:tab/>
      </w:r>
    </w:p>
    <w:p w14:paraId="252E72B6" w14:textId="77777777" w:rsidR="00EA6187" w:rsidRPr="007430F7" w:rsidRDefault="00EA6187" w:rsidP="00EA6187">
      <w:pPr>
        <w:pStyle w:val="Textonotapie"/>
        <w:jc w:val="both"/>
        <w:rPr>
          <w:rFonts w:ascii="Arial" w:hAnsi="Arial" w:cs="Arial"/>
          <w:color w:val="000000" w:themeColor="text1"/>
          <w:sz w:val="19"/>
          <w:szCs w:val="19"/>
          <w:lang w:val="es-CO"/>
        </w:rPr>
      </w:pPr>
    </w:p>
  </w:footnote>
  <w:footnote w:id="4">
    <w:p w14:paraId="01F37AFA" w14:textId="06113782" w:rsidR="00EA6187" w:rsidRPr="007430F7" w:rsidRDefault="00EA6187" w:rsidP="00EA6187">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Cfr. </w:t>
      </w:r>
      <w:r w:rsidRPr="007430F7">
        <w:rPr>
          <w:rFonts w:ascii="Arial" w:hAnsi="Arial" w:cs="Arial"/>
          <w:i/>
          <w:iCs/>
          <w:color w:val="000000" w:themeColor="text1"/>
          <w:sz w:val="19"/>
          <w:szCs w:val="19"/>
        </w:rPr>
        <w:t>Mutatis mutandi</w:t>
      </w:r>
      <w:r w:rsidR="00AB182F" w:rsidRPr="007430F7">
        <w:rPr>
          <w:rFonts w:ascii="Arial" w:hAnsi="Arial" w:cs="Arial"/>
          <w:i/>
          <w:iCs/>
          <w:color w:val="000000" w:themeColor="text1"/>
          <w:sz w:val="19"/>
          <w:szCs w:val="19"/>
        </w:rPr>
        <w:t>,</w:t>
      </w:r>
      <w:r w:rsidRPr="007430F7">
        <w:rPr>
          <w:rFonts w:ascii="Arial" w:hAnsi="Arial" w:cs="Arial"/>
          <w:color w:val="000000" w:themeColor="text1"/>
          <w:sz w:val="19"/>
          <w:szCs w:val="19"/>
        </w:rPr>
        <w:t xml:space="preserve"> Corte Constitucional. Sentencias C-728 de 2000 y C-437 de 2013. M</w:t>
      </w:r>
      <w:r w:rsidR="00AB182F" w:rsidRPr="007430F7">
        <w:rPr>
          <w:rFonts w:ascii="Arial" w:hAnsi="Arial" w:cs="Arial"/>
          <w:color w:val="000000" w:themeColor="text1"/>
          <w:sz w:val="19"/>
          <w:szCs w:val="19"/>
        </w:rPr>
        <w:t>.P</w:t>
      </w:r>
      <w:r w:rsidRPr="007430F7">
        <w:rPr>
          <w:rFonts w:ascii="Arial" w:hAnsi="Arial" w:cs="Arial"/>
          <w:color w:val="000000" w:themeColor="text1"/>
          <w:sz w:val="19"/>
          <w:szCs w:val="19"/>
        </w:rPr>
        <w:t>. Eduardo Cifuentes Muñoz y Jorge Ignacio Pretelt Chaljub, respectivamente.</w:t>
      </w:r>
    </w:p>
    <w:p w14:paraId="74C1678A" w14:textId="77777777" w:rsidR="00EA6187" w:rsidRPr="007430F7" w:rsidRDefault="00EA6187" w:rsidP="00EA6187">
      <w:pPr>
        <w:pStyle w:val="Textonotapie"/>
        <w:ind w:firstLine="708"/>
        <w:jc w:val="both"/>
        <w:rPr>
          <w:rFonts w:ascii="Arial" w:hAnsi="Arial" w:cs="Arial"/>
          <w:color w:val="000000" w:themeColor="text1"/>
          <w:sz w:val="19"/>
          <w:szCs w:val="19"/>
        </w:rPr>
      </w:pPr>
    </w:p>
  </w:footnote>
  <w:footnote w:id="5">
    <w:p w14:paraId="3AAE051C" w14:textId="77777777" w:rsidR="00EA6187" w:rsidRPr="007430F7" w:rsidRDefault="00EA6187" w:rsidP="00EA6187">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6">
    <w:p w14:paraId="4106C3D6" w14:textId="5D8B2667" w:rsidR="00EA6187" w:rsidRPr="007430F7" w:rsidRDefault="00EA6187" w:rsidP="00EA6187">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GARCÍA DE ENTERRÍA, Eduardo y FERNÁNDEZ, Tomás</w:t>
      </w:r>
      <w:r w:rsidR="001C3870" w:rsidRPr="007430F7">
        <w:rPr>
          <w:rFonts w:ascii="Arial" w:hAnsi="Arial" w:cs="Arial"/>
          <w:color w:val="000000" w:themeColor="text1"/>
          <w:sz w:val="19"/>
          <w:szCs w:val="19"/>
        </w:rPr>
        <w:t>-</w:t>
      </w:r>
      <w:r w:rsidRPr="007430F7">
        <w:rPr>
          <w:rFonts w:ascii="Arial" w:hAnsi="Arial" w:cs="Arial"/>
          <w:color w:val="000000" w:themeColor="text1"/>
          <w:sz w:val="19"/>
          <w:szCs w:val="19"/>
        </w:rPr>
        <w:t>Ramón. Curso de derecho administrativo (16ª Ed.). Tomo I. España. 2013, p. 498.</w:t>
      </w:r>
    </w:p>
    <w:p w14:paraId="3B93B937" w14:textId="77777777" w:rsidR="00EA6187" w:rsidRPr="007430F7" w:rsidRDefault="00EA6187" w:rsidP="00EA6187">
      <w:pPr>
        <w:pStyle w:val="Textonotapie"/>
        <w:ind w:firstLine="708"/>
        <w:jc w:val="both"/>
        <w:rPr>
          <w:rFonts w:ascii="Arial" w:hAnsi="Arial" w:cs="Arial"/>
          <w:color w:val="000000" w:themeColor="text1"/>
          <w:sz w:val="19"/>
          <w:szCs w:val="19"/>
        </w:rPr>
      </w:pPr>
    </w:p>
  </w:footnote>
  <w:footnote w:id="7">
    <w:p w14:paraId="2D354FF8" w14:textId="4993C26A" w:rsidR="00EA6187" w:rsidRPr="007430F7" w:rsidRDefault="00EA6187" w:rsidP="00EA6187">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i/>
          <w:iCs/>
          <w:color w:val="000000" w:themeColor="text1"/>
          <w:sz w:val="19"/>
          <w:szCs w:val="19"/>
        </w:rPr>
        <w:t>Ibidem</w:t>
      </w:r>
      <w:r w:rsidRPr="007430F7">
        <w:rPr>
          <w:rFonts w:ascii="Arial" w:hAnsi="Arial" w:cs="Arial"/>
          <w:color w:val="000000" w:themeColor="text1"/>
          <w:sz w:val="19"/>
          <w:szCs w:val="19"/>
        </w:rPr>
        <w:t xml:space="preserve">. El argumento completo es el siguiente: «[…] el ejercicio de las potestades discrecionales de la administración comporta un elemento sustancialmente diferente: la inclusión en el proceso aplicativo de la Ley de una estimación subjetiva de la propia administración con la que se completa el cuadro legal que condiciona el ejercicio de la potestad o su contenido particular. Ha de notarse, sin embargo, que esa estimación subjetiva </w:t>
      </w:r>
      <w:r w:rsidRPr="007430F7">
        <w:rPr>
          <w:rFonts w:ascii="Arial" w:hAnsi="Arial" w:cs="Arial"/>
          <w:i/>
          <w:iCs/>
          <w:color w:val="000000" w:themeColor="text1"/>
          <w:sz w:val="19"/>
          <w:szCs w:val="19"/>
        </w:rPr>
        <w:t>no es una facultad extralegal</w:t>
      </w:r>
      <w:r w:rsidRPr="007430F7">
        <w:rPr>
          <w:rFonts w:ascii="Arial" w:hAnsi="Arial" w:cs="Arial"/>
          <w:color w:val="000000" w:themeColor="text1"/>
          <w:sz w:val="19"/>
          <w:szCs w:val="19"/>
        </w:rPr>
        <w:t xml:space="preserve">, que surja de un supuesto poder originario de la Administración anterior o marginal al Derecho; es, por el contrario, una estimación cuya relevancia viene de haber sido llamada expresamente por la Ley que ha configurado la potestad y que se le ha atribuido a la administración justamente con ese carácter. Por eso la discrecionalidad, frente a lo que pretendía la antigua doctrina, no es un supuesto de libertad de la administración frente a la norma; más bien, por el contrario, la discrecionalidad es un caso típico de remisión legal: la norma remite parciamente para completar el cuadro regulativo de la potestad y de sus condiciones de ejercicio a una estimación administrativa, sólo que no realizada </w:t>
      </w:r>
      <w:r w:rsidR="001C3870" w:rsidRPr="007430F7">
        <w:rPr>
          <w:rFonts w:ascii="Arial" w:hAnsi="Arial" w:cs="Arial"/>
          <w:color w:val="000000" w:themeColor="text1"/>
          <w:sz w:val="19"/>
          <w:szCs w:val="19"/>
        </w:rPr>
        <w:t>[</w:t>
      </w:r>
      <w:r w:rsidRPr="007430F7">
        <w:rPr>
          <w:rFonts w:ascii="Arial" w:hAnsi="Arial" w:cs="Arial"/>
          <w:color w:val="000000" w:themeColor="text1"/>
          <w:sz w:val="19"/>
          <w:szCs w:val="19"/>
        </w:rPr>
        <w:t>…</w:t>
      </w:r>
      <w:r w:rsidR="001C3870" w:rsidRPr="007430F7">
        <w:rPr>
          <w:rFonts w:ascii="Arial" w:hAnsi="Arial" w:cs="Arial"/>
          <w:color w:val="000000" w:themeColor="text1"/>
          <w:sz w:val="19"/>
          <w:szCs w:val="19"/>
        </w:rPr>
        <w:t>]</w:t>
      </w:r>
      <w:r w:rsidRPr="007430F7">
        <w:rPr>
          <w:rFonts w:ascii="Arial" w:hAnsi="Arial" w:cs="Arial"/>
          <w:color w:val="000000" w:themeColor="text1"/>
          <w:sz w:val="19"/>
          <w:szCs w:val="19"/>
        </w:rPr>
        <w:t xml:space="preserve"> por vía general, sino analíticamente, caso por caso, mediante una apreciación de circunstancias singulares, realizable a la vez que precede al proceso aplicativo» </w:t>
      </w:r>
      <w:r w:rsidR="001C3870" w:rsidRPr="007430F7">
        <w:rPr>
          <w:rFonts w:ascii="Arial" w:hAnsi="Arial" w:cs="Arial"/>
          <w:color w:val="000000" w:themeColor="text1"/>
          <w:sz w:val="19"/>
          <w:szCs w:val="19"/>
        </w:rPr>
        <w:t>(</w:t>
      </w:r>
      <w:r w:rsidRPr="007430F7">
        <w:rPr>
          <w:rFonts w:ascii="Arial" w:hAnsi="Arial" w:cs="Arial"/>
          <w:color w:val="000000" w:themeColor="text1"/>
          <w:sz w:val="19"/>
          <w:szCs w:val="19"/>
        </w:rPr>
        <w:t>cursivas propias</w:t>
      </w:r>
      <w:r w:rsidR="001C3870" w:rsidRPr="007430F7">
        <w:rPr>
          <w:rFonts w:ascii="Arial" w:hAnsi="Arial" w:cs="Arial"/>
          <w:color w:val="000000" w:themeColor="text1"/>
          <w:sz w:val="19"/>
          <w:szCs w:val="19"/>
        </w:rPr>
        <w:t>)</w:t>
      </w:r>
      <w:r w:rsidRPr="007430F7">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8637" w14:textId="77777777" w:rsidR="006149EB" w:rsidRDefault="006149EB">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933C0DF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0ED5AB7"/>
    <w:multiLevelType w:val="hybridMultilevel"/>
    <w:tmpl w:val="7392359C"/>
    <w:lvl w:ilvl="0" w:tplc="28EEAF08">
      <w:start w:val="1"/>
      <w:numFmt w:val="lowerLetter"/>
      <w:lvlText w:val="%1)"/>
      <w:lvlJc w:val="left"/>
      <w:pPr>
        <w:ind w:left="2912" w:hanging="360"/>
      </w:pPr>
      <w:rPr>
        <w:rFonts w:hint="default"/>
        <w:b/>
        <w:bCs/>
        <w:i/>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613E"/>
    <w:rsid w:val="00010D30"/>
    <w:rsid w:val="00012104"/>
    <w:rsid w:val="00014A78"/>
    <w:rsid w:val="000271CE"/>
    <w:rsid w:val="0003091B"/>
    <w:rsid w:val="000333A2"/>
    <w:rsid w:val="00040D6E"/>
    <w:rsid w:val="00042C0C"/>
    <w:rsid w:val="00044FF2"/>
    <w:rsid w:val="000570F0"/>
    <w:rsid w:val="00061EE4"/>
    <w:rsid w:val="00062B0D"/>
    <w:rsid w:val="0006519B"/>
    <w:rsid w:val="000707ED"/>
    <w:rsid w:val="00071E81"/>
    <w:rsid w:val="00074D43"/>
    <w:rsid w:val="00086A16"/>
    <w:rsid w:val="00092392"/>
    <w:rsid w:val="00093173"/>
    <w:rsid w:val="00097CD6"/>
    <w:rsid w:val="000A1DBA"/>
    <w:rsid w:val="000A2214"/>
    <w:rsid w:val="000A6338"/>
    <w:rsid w:val="000A677B"/>
    <w:rsid w:val="000C0E39"/>
    <w:rsid w:val="000D088F"/>
    <w:rsid w:val="000D264A"/>
    <w:rsid w:val="000D348F"/>
    <w:rsid w:val="000E02A5"/>
    <w:rsid w:val="000E4A3C"/>
    <w:rsid w:val="000E6867"/>
    <w:rsid w:val="000F5077"/>
    <w:rsid w:val="00107607"/>
    <w:rsid w:val="00107E89"/>
    <w:rsid w:val="00112597"/>
    <w:rsid w:val="001160AC"/>
    <w:rsid w:val="001213AC"/>
    <w:rsid w:val="001266E3"/>
    <w:rsid w:val="001321AB"/>
    <w:rsid w:val="00134575"/>
    <w:rsid w:val="00140E57"/>
    <w:rsid w:val="00141732"/>
    <w:rsid w:val="00141C64"/>
    <w:rsid w:val="00141D89"/>
    <w:rsid w:val="00142183"/>
    <w:rsid w:val="00142D22"/>
    <w:rsid w:val="0014462B"/>
    <w:rsid w:val="00152810"/>
    <w:rsid w:val="001618EC"/>
    <w:rsid w:val="00163F2D"/>
    <w:rsid w:val="00164E79"/>
    <w:rsid w:val="0017603D"/>
    <w:rsid w:val="00181A3E"/>
    <w:rsid w:val="00194C50"/>
    <w:rsid w:val="001A113F"/>
    <w:rsid w:val="001A5B19"/>
    <w:rsid w:val="001A6DAA"/>
    <w:rsid w:val="001B2E5D"/>
    <w:rsid w:val="001B4EA4"/>
    <w:rsid w:val="001B538B"/>
    <w:rsid w:val="001C3870"/>
    <w:rsid w:val="001E1085"/>
    <w:rsid w:val="001E5DBB"/>
    <w:rsid w:val="001F1051"/>
    <w:rsid w:val="001F34A8"/>
    <w:rsid w:val="0020066F"/>
    <w:rsid w:val="00201C5B"/>
    <w:rsid w:val="002034AD"/>
    <w:rsid w:val="00203E2B"/>
    <w:rsid w:val="002055BF"/>
    <w:rsid w:val="00214B97"/>
    <w:rsid w:val="00222CC2"/>
    <w:rsid w:val="002239B4"/>
    <w:rsid w:val="00234C6C"/>
    <w:rsid w:val="0025690A"/>
    <w:rsid w:val="002622D7"/>
    <w:rsid w:val="00265031"/>
    <w:rsid w:val="00266277"/>
    <w:rsid w:val="00280DDD"/>
    <w:rsid w:val="00284C12"/>
    <w:rsid w:val="00286834"/>
    <w:rsid w:val="00287D21"/>
    <w:rsid w:val="00292CCD"/>
    <w:rsid w:val="00292E05"/>
    <w:rsid w:val="002A4350"/>
    <w:rsid w:val="002B282F"/>
    <w:rsid w:val="002B4B30"/>
    <w:rsid w:val="002C552E"/>
    <w:rsid w:val="002D2F5D"/>
    <w:rsid w:val="002D36E0"/>
    <w:rsid w:val="002D7CE0"/>
    <w:rsid w:val="002E1097"/>
    <w:rsid w:val="002E7BC2"/>
    <w:rsid w:val="002F63BB"/>
    <w:rsid w:val="002F701E"/>
    <w:rsid w:val="00302F9F"/>
    <w:rsid w:val="00304386"/>
    <w:rsid w:val="003053E5"/>
    <w:rsid w:val="00321547"/>
    <w:rsid w:val="00334CC6"/>
    <w:rsid w:val="00336431"/>
    <w:rsid w:val="003401FE"/>
    <w:rsid w:val="00340A7A"/>
    <w:rsid w:val="0034361C"/>
    <w:rsid w:val="00343FCD"/>
    <w:rsid w:val="00351F00"/>
    <w:rsid w:val="00361A57"/>
    <w:rsid w:val="00366253"/>
    <w:rsid w:val="00372E41"/>
    <w:rsid w:val="00374540"/>
    <w:rsid w:val="0037533A"/>
    <w:rsid w:val="0037535A"/>
    <w:rsid w:val="0038547E"/>
    <w:rsid w:val="00387166"/>
    <w:rsid w:val="00390DCF"/>
    <w:rsid w:val="003A0090"/>
    <w:rsid w:val="003A2944"/>
    <w:rsid w:val="003A2C41"/>
    <w:rsid w:val="003A6A1D"/>
    <w:rsid w:val="003B0DEF"/>
    <w:rsid w:val="003C056D"/>
    <w:rsid w:val="003C2074"/>
    <w:rsid w:val="003C3ADB"/>
    <w:rsid w:val="003D11B5"/>
    <w:rsid w:val="003D134C"/>
    <w:rsid w:val="003D1F69"/>
    <w:rsid w:val="003D46FF"/>
    <w:rsid w:val="003D69A5"/>
    <w:rsid w:val="003E095E"/>
    <w:rsid w:val="003E14F9"/>
    <w:rsid w:val="003E42F1"/>
    <w:rsid w:val="003F3119"/>
    <w:rsid w:val="003F6D32"/>
    <w:rsid w:val="00411CF0"/>
    <w:rsid w:val="004144E7"/>
    <w:rsid w:val="00417BAA"/>
    <w:rsid w:val="00430B5A"/>
    <w:rsid w:val="0044207D"/>
    <w:rsid w:val="00447FE5"/>
    <w:rsid w:val="00455427"/>
    <w:rsid w:val="004617B8"/>
    <w:rsid w:val="00471290"/>
    <w:rsid w:val="004712BD"/>
    <w:rsid w:val="00473232"/>
    <w:rsid w:val="004758FE"/>
    <w:rsid w:val="004808F8"/>
    <w:rsid w:val="0048094C"/>
    <w:rsid w:val="00482829"/>
    <w:rsid w:val="004830C8"/>
    <w:rsid w:val="004837AB"/>
    <w:rsid w:val="00483A2F"/>
    <w:rsid w:val="004A6EE1"/>
    <w:rsid w:val="004B1BEE"/>
    <w:rsid w:val="004B349C"/>
    <w:rsid w:val="004B549B"/>
    <w:rsid w:val="004C0A6D"/>
    <w:rsid w:val="004C117F"/>
    <w:rsid w:val="004D4D9C"/>
    <w:rsid w:val="004D770C"/>
    <w:rsid w:val="004E1E64"/>
    <w:rsid w:val="004E34DF"/>
    <w:rsid w:val="004E370E"/>
    <w:rsid w:val="004E6329"/>
    <w:rsid w:val="004F2F41"/>
    <w:rsid w:val="004F35A7"/>
    <w:rsid w:val="004F4387"/>
    <w:rsid w:val="004F593E"/>
    <w:rsid w:val="00510BF5"/>
    <w:rsid w:val="00521BA7"/>
    <w:rsid w:val="005252E2"/>
    <w:rsid w:val="005272BB"/>
    <w:rsid w:val="005356A4"/>
    <w:rsid w:val="005403A9"/>
    <w:rsid w:val="00540E8F"/>
    <w:rsid w:val="005511D5"/>
    <w:rsid w:val="005553B7"/>
    <w:rsid w:val="005640BE"/>
    <w:rsid w:val="00567812"/>
    <w:rsid w:val="00585FB5"/>
    <w:rsid w:val="00587240"/>
    <w:rsid w:val="00591586"/>
    <w:rsid w:val="005A319F"/>
    <w:rsid w:val="005C1FE1"/>
    <w:rsid w:val="005C24AF"/>
    <w:rsid w:val="005D3BAE"/>
    <w:rsid w:val="005E0A1D"/>
    <w:rsid w:val="005E6347"/>
    <w:rsid w:val="005F0D54"/>
    <w:rsid w:val="005F5D19"/>
    <w:rsid w:val="005F690F"/>
    <w:rsid w:val="005F6CBF"/>
    <w:rsid w:val="00604F2C"/>
    <w:rsid w:val="006135E6"/>
    <w:rsid w:val="006149EB"/>
    <w:rsid w:val="00616502"/>
    <w:rsid w:val="00625B92"/>
    <w:rsid w:val="006277F4"/>
    <w:rsid w:val="00632EA5"/>
    <w:rsid w:val="00635388"/>
    <w:rsid w:val="006404D0"/>
    <w:rsid w:val="0065701C"/>
    <w:rsid w:val="00661DAB"/>
    <w:rsid w:val="00665AB5"/>
    <w:rsid w:val="006818B6"/>
    <w:rsid w:val="006824B8"/>
    <w:rsid w:val="00684381"/>
    <w:rsid w:val="006932E8"/>
    <w:rsid w:val="00696EBE"/>
    <w:rsid w:val="006A1397"/>
    <w:rsid w:val="006A1FD3"/>
    <w:rsid w:val="006A4471"/>
    <w:rsid w:val="006A7743"/>
    <w:rsid w:val="006B17BB"/>
    <w:rsid w:val="006B222D"/>
    <w:rsid w:val="006B6C6A"/>
    <w:rsid w:val="006C234F"/>
    <w:rsid w:val="006C5955"/>
    <w:rsid w:val="006C72A7"/>
    <w:rsid w:val="006E6C93"/>
    <w:rsid w:val="006F38E2"/>
    <w:rsid w:val="006F39D0"/>
    <w:rsid w:val="006F4A15"/>
    <w:rsid w:val="006F6782"/>
    <w:rsid w:val="006F6A8A"/>
    <w:rsid w:val="006F7746"/>
    <w:rsid w:val="0070377C"/>
    <w:rsid w:val="00710A86"/>
    <w:rsid w:val="00711157"/>
    <w:rsid w:val="007121E2"/>
    <w:rsid w:val="00734A14"/>
    <w:rsid w:val="00736888"/>
    <w:rsid w:val="00736C89"/>
    <w:rsid w:val="007430F7"/>
    <w:rsid w:val="00745744"/>
    <w:rsid w:val="007502A7"/>
    <w:rsid w:val="0075032A"/>
    <w:rsid w:val="00750AF6"/>
    <w:rsid w:val="007512F2"/>
    <w:rsid w:val="00753C3B"/>
    <w:rsid w:val="00762DEB"/>
    <w:rsid w:val="00763147"/>
    <w:rsid w:val="00763F1B"/>
    <w:rsid w:val="00770D7D"/>
    <w:rsid w:val="00772497"/>
    <w:rsid w:val="0078009B"/>
    <w:rsid w:val="00787208"/>
    <w:rsid w:val="00791377"/>
    <w:rsid w:val="0079467F"/>
    <w:rsid w:val="007978E0"/>
    <w:rsid w:val="007A29E8"/>
    <w:rsid w:val="007D3894"/>
    <w:rsid w:val="007D3914"/>
    <w:rsid w:val="007D62C7"/>
    <w:rsid w:val="007E078E"/>
    <w:rsid w:val="007F5566"/>
    <w:rsid w:val="007F5FEC"/>
    <w:rsid w:val="007F7AC6"/>
    <w:rsid w:val="00803061"/>
    <w:rsid w:val="00803764"/>
    <w:rsid w:val="00807EEE"/>
    <w:rsid w:val="008135F4"/>
    <w:rsid w:val="00813893"/>
    <w:rsid w:val="0082266E"/>
    <w:rsid w:val="008234E2"/>
    <w:rsid w:val="00824361"/>
    <w:rsid w:val="008326E9"/>
    <w:rsid w:val="008327EE"/>
    <w:rsid w:val="00842E74"/>
    <w:rsid w:val="00843BE5"/>
    <w:rsid w:val="00847CB6"/>
    <w:rsid w:val="00850956"/>
    <w:rsid w:val="0085527A"/>
    <w:rsid w:val="00856C08"/>
    <w:rsid w:val="00863DD9"/>
    <w:rsid w:val="00863FC1"/>
    <w:rsid w:val="00866446"/>
    <w:rsid w:val="0086741B"/>
    <w:rsid w:val="00886F29"/>
    <w:rsid w:val="008971F6"/>
    <w:rsid w:val="008A0633"/>
    <w:rsid w:val="008A1B7A"/>
    <w:rsid w:val="008A1BD6"/>
    <w:rsid w:val="008A53F2"/>
    <w:rsid w:val="008A57F1"/>
    <w:rsid w:val="008B09B1"/>
    <w:rsid w:val="008B65CC"/>
    <w:rsid w:val="008B7DD2"/>
    <w:rsid w:val="008C0638"/>
    <w:rsid w:val="008C24B6"/>
    <w:rsid w:val="008C487C"/>
    <w:rsid w:val="008C4C28"/>
    <w:rsid w:val="008C5502"/>
    <w:rsid w:val="008C67C4"/>
    <w:rsid w:val="008E0FCC"/>
    <w:rsid w:val="008E2FE3"/>
    <w:rsid w:val="008E3D49"/>
    <w:rsid w:val="008E412C"/>
    <w:rsid w:val="008E5F34"/>
    <w:rsid w:val="008F2267"/>
    <w:rsid w:val="008F3EE2"/>
    <w:rsid w:val="008F4CA7"/>
    <w:rsid w:val="009074CF"/>
    <w:rsid w:val="0091154B"/>
    <w:rsid w:val="00914B43"/>
    <w:rsid w:val="009231E0"/>
    <w:rsid w:val="00927F1A"/>
    <w:rsid w:val="009358EE"/>
    <w:rsid w:val="0094508D"/>
    <w:rsid w:val="009506A7"/>
    <w:rsid w:val="009568A0"/>
    <w:rsid w:val="0096427D"/>
    <w:rsid w:val="00964916"/>
    <w:rsid w:val="00967230"/>
    <w:rsid w:val="00972C13"/>
    <w:rsid w:val="00974057"/>
    <w:rsid w:val="009811A5"/>
    <w:rsid w:val="009812D7"/>
    <w:rsid w:val="00982E99"/>
    <w:rsid w:val="009832D0"/>
    <w:rsid w:val="009A19CB"/>
    <w:rsid w:val="009A5714"/>
    <w:rsid w:val="009A5DA7"/>
    <w:rsid w:val="009B1AEC"/>
    <w:rsid w:val="009C3779"/>
    <w:rsid w:val="009D1D57"/>
    <w:rsid w:val="009E2544"/>
    <w:rsid w:val="009E2770"/>
    <w:rsid w:val="009E4A43"/>
    <w:rsid w:val="009F2261"/>
    <w:rsid w:val="009F3537"/>
    <w:rsid w:val="009F73A0"/>
    <w:rsid w:val="00A03DCA"/>
    <w:rsid w:val="00A124B8"/>
    <w:rsid w:val="00A14C94"/>
    <w:rsid w:val="00A25657"/>
    <w:rsid w:val="00A329B6"/>
    <w:rsid w:val="00A367A1"/>
    <w:rsid w:val="00A415D2"/>
    <w:rsid w:val="00A460BA"/>
    <w:rsid w:val="00A510F6"/>
    <w:rsid w:val="00A53D7C"/>
    <w:rsid w:val="00A665B1"/>
    <w:rsid w:val="00A709A5"/>
    <w:rsid w:val="00A77858"/>
    <w:rsid w:val="00A80739"/>
    <w:rsid w:val="00A83829"/>
    <w:rsid w:val="00A838B1"/>
    <w:rsid w:val="00A95100"/>
    <w:rsid w:val="00AA2A39"/>
    <w:rsid w:val="00AA2F28"/>
    <w:rsid w:val="00AA57D3"/>
    <w:rsid w:val="00AA615B"/>
    <w:rsid w:val="00AB182F"/>
    <w:rsid w:val="00AB69C7"/>
    <w:rsid w:val="00AC0C81"/>
    <w:rsid w:val="00AC3E1A"/>
    <w:rsid w:val="00AD7406"/>
    <w:rsid w:val="00AD7725"/>
    <w:rsid w:val="00AE1F17"/>
    <w:rsid w:val="00AE28E9"/>
    <w:rsid w:val="00AE668A"/>
    <w:rsid w:val="00AE6858"/>
    <w:rsid w:val="00AF2E26"/>
    <w:rsid w:val="00AF4AFD"/>
    <w:rsid w:val="00AF5C62"/>
    <w:rsid w:val="00AF5D24"/>
    <w:rsid w:val="00AF7270"/>
    <w:rsid w:val="00B017CC"/>
    <w:rsid w:val="00B114D5"/>
    <w:rsid w:val="00B17BC5"/>
    <w:rsid w:val="00B2158C"/>
    <w:rsid w:val="00B22FE3"/>
    <w:rsid w:val="00B24E57"/>
    <w:rsid w:val="00B2602F"/>
    <w:rsid w:val="00B42DEC"/>
    <w:rsid w:val="00B46400"/>
    <w:rsid w:val="00B5123E"/>
    <w:rsid w:val="00B522C4"/>
    <w:rsid w:val="00B52B0E"/>
    <w:rsid w:val="00B5337D"/>
    <w:rsid w:val="00B538D9"/>
    <w:rsid w:val="00B5595A"/>
    <w:rsid w:val="00B6099D"/>
    <w:rsid w:val="00B65290"/>
    <w:rsid w:val="00B70E26"/>
    <w:rsid w:val="00B87912"/>
    <w:rsid w:val="00B97D95"/>
    <w:rsid w:val="00BA7E78"/>
    <w:rsid w:val="00BB0EA7"/>
    <w:rsid w:val="00BB22C8"/>
    <w:rsid w:val="00BB47E7"/>
    <w:rsid w:val="00BB59F9"/>
    <w:rsid w:val="00BB669C"/>
    <w:rsid w:val="00BC15B8"/>
    <w:rsid w:val="00BC5279"/>
    <w:rsid w:val="00BC6C4E"/>
    <w:rsid w:val="00BD1E7F"/>
    <w:rsid w:val="00BD55A7"/>
    <w:rsid w:val="00BD58A7"/>
    <w:rsid w:val="00BD7579"/>
    <w:rsid w:val="00BE1E33"/>
    <w:rsid w:val="00BE2AD3"/>
    <w:rsid w:val="00BE36F7"/>
    <w:rsid w:val="00BE5995"/>
    <w:rsid w:val="00BE763C"/>
    <w:rsid w:val="00BF0CB4"/>
    <w:rsid w:val="00BF2443"/>
    <w:rsid w:val="00C04CFD"/>
    <w:rsid w:val="00C12201"/>
    <w:rsid w:val="00C1405A"/>
    <w:rsid w:val="00C20B87"/>
    <w:rsid w:val="00C24008"/>
    <w:rsid w:val="00C24DAD"/>
    <w:rsid w:val="00C50B1B"/>
    <w:rsid w:val="00C52801"/>
    <w:rsid w:val="00C6210F"/>
    <w:rsid w:val="00C71B78"/>
    <w:rsid w:val="00C74022"/>
    <w:rsid w:val="00C745C6"/>
    <w:rsid w:val="00C9325F"/>
    <w:rsid w:val="00C964DE"/>
    <w:rsid w:val="00CA5790"/>
    <w:rsid w:val="00CA634C"/>
    <w:rsid w:val="00CC1E07"/>
    <w:rsid w:val="00CC760C"/>
    <w:rsid w:val="00CF326B"/>
    <w:rsid w:val="00CF3D56"/>
    <w:rsid w:val="00D0013D"/>
    <w:rsid w:val="00D002E1"/>
    <w:rsid w:val="00D05E5F"/>
    <w:rsid w:val="00D0763E"/>
    <w:rsid w:val="00D10871"/>
    <w:rsid w:val="00D24682"/>
    <w:rsid w:val="00D24F06"/>
    <w:rsid w:val="00D25AEF"/>
    <w:rsid w:val="00D26746"/>
    <w:rsid w:val="00D31311"/>
    <w:rsid w:val="00D345AC"/>
    <w:rsid w:val="00D349EE"/>
    <w:rsid w:val="00D37CF9"/>
    <w:rsid w:val="00D43C07"/>
    <w:rsid w:val="00D56D47"/>
    <w:rsid w:val="00D70FB4"/>
    <w:rsid w:val="00D717E8"/>
    <w:rsid w:val="00D74A1C"/>
    <w:rsid w:val="00D76E24"/>
    <w:rsid w:val="00D815C1"/>
    <w:rsid w:val="00D85C85"/>
    <w:rsid w:val="00D92F6C"/>
    <w:rsid w:val="00D95879"/>
    <w:rsid w:val="00D97A6B"/>
    <w:rsid w:val="00DA2FA3"/>
    <w:rsid w:val="00DA75B9"/>
    <w:rsid w:val="00DB0A6E"/>
    <w:rsid w:val="00DB0B85"/>
    <w:rsid w:val="00DB59A5"/>
    <w:rsid w:val="00DB751D"/>
    <w:rsid w:val="00DC0213"/>
    <w:rsid w:val="00DC0CC6"/>
    <w:rsid w:val="00DC5C8C"/>
    <w:rsid w:val="00DC6351"/>
    <w:rsid w:val="00DC679E"/>
    <w:rsid w:val="00DD0580"/>
    <w:rsid w:val="00DD0E98"/>
    <w:rsid w:val="00DE64DE"/>
    <w:rsid w:val="00DE7AB4"/>
    <w:rsid w:val="00DF4D86"/>
    <w:rsid w:val="00DF5C7D"/>
    <w:rsid w:val="00E00105"/>
    <w:rsid w:val="00E0184E"/>
    <w:rsid w:val="00E01D84"/>
    <w:rsid w:val="00E044F0"/>
    <w:rsid w:val="00E0521D"/>
    <w:rsid w:val="00E137BB"/>
    <w:rsid w:val="00E3199C"/>
    <w:rsid w:val="00E34D3E"/>
    <w:rsid w:val="00E34F81"/>
    <w:rsid w:val="00E64988"/>
    <w:rsid w:val="00E64A38"/>
    <w:rsid w:val="00E67AF6"/>
    <w:rsid w:val="00E756AC"/>
    <w:rsid w:val="00E8381A"/>
    <w:rsid w:val="00E87596"/>
    <w:rsid w:val="00E87794"/>
    <w:rsid w:val="00E91498"/>
    <w:rsid w:val="00E944B9"/>
    <w:rsid w:val="00E94DE6"/>
    <w:rsid w:val="00E96422"/>
    <w:rsid w:val="00EA5A59"/>
    <w:rsid w:val="00EA6187"/>
    <w:rsid w:val="00EB3D8F"/>
    <w:rsid w:val="00EB4A50"/>
    <w:rsid w:val="00EB53AC"/>
    <w:rsid w:val="00EC5529"/>
    <w:rsid w:val="00ED0FE3"/>
    <w:rsid w:val="00ED439C"/>
    <w:rsid w:val="00EE2ACD"/>
    <w:rsid w:val="00EE66F8"/>
    <w:rsid w:val="00EF2CA6"/>
    <w:rsid w:val="00EF7888"/>
    <w:rsid w:val="00F117B1"/>
    <w:rsid w:val="00F134F9"/>
    <w:rsid w:val="00F13E6D"/>
    <w:rsid w:val="00F24C62"/>
    <w:rsid w:val="00F34138"/>
    <w:rsid w:val="00F35F3A"/>
    <w:rsid w:val="00F37F51"/>
    <w:rsid w:val="00F42B58"/>
    <w:rsid w:val="00F45CB4"/>
    <w:rsid w:val="00F46990"/>
    <w:rsid w:val="00F47FCE"/>
    <w:rsid w:val="00F501D2"/>
    <w:rsid w:val="00F5174B"/>
    <w:rsid w:val="00F5266F"/>
    <w:rsid w:val="00F56447"/>
    <w:rsid w:val="00F64055"/>
    <w:rsid w:val="00F70563"/>
    <w:rsid w:val="00F710C6"/>
    <w:rsid w:val="00F8574D"/>
    <w:rsid w:val="00F93762"/>
    <w:rsid w:val="00FA523E"/>
    <w:rsid w:val="00FB4EF9"/>
    <w:rsid w:val="00FC16C2"/>
    <w:rsid w:val="00FC20BB"/>
    <w:rsid w:val="00FC2928"/>
    <w:rsid w:val="00FC755D"/>
    <w:rsid w:val="00FD222A"/>
    <w:rsid w:val="06A6E54D"/>
    <w:rsid w:val="06E1C25B"/>
    <w:rsid w:val="0DDCEAD5"/>
    <w:rsid w:val="143929F2"/>
    <w:rsid w:val="1D3A8370"/>
    <w:rsid w:val="20811794"/>
    <w:rsid w:val="21F8367C"/>
    <w:rsid w:val="26F420F3"/>
    <w:rsid w:val="28777026"/>
    <w:rsid w:val="2D9416EC"/>
    <w:rsid w:val="2F11D0D3"/>
    <w:rsid w:val="35369A63"/>
    <w:rsid w:val="364D23CD"/>
    <w:rsid w:val="37298A0F"/>
    <w:rsid w:val="375969C3"/>
    <w:rsid w:val="39A5E7CF"/>
    <w:rsid w:val="3CEC0481"/>
    <w:rsid w:val="44C4F136"/>
    <w:rsid w:val="47581779"/>
    <w:rsid w:val="524B6C86"/>
    <w:rsid w:val="530C35A7"/>
    <w:rsid w:val="53C8392C"/>
    <w:rsid w:val="553536B9"/>
    <w:rsid w:val="5CF41876"/>
    <w:rsid w:val="61BCA9E9"/>
    <w:rsid w:val="62A670AE"/>
    <w:rsid w:val="66D39C4E"/>
    <w:rsid w:val="682CA272"/>
    <w:rsid w:val="68B507C2"/>
    <w:rsid w:val="68F2E9B9"/>
    <w:rsid w:val="6E5E2292"/>
    <w:rsid w:val="7477F772"/>
    <w:rsid w:val="789B48D9"/>
    <w:rsid w:val="7FE7E1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A38204AE-9F44-4878-A274-295CD358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NormalWeb">
    <w:name w:val="Normal (Web)"/>
    <w:basedOn w:val="Normal"/>
    <w:uiPriority w:val="99"/>
    <w:unhideWhenUsed/>
    <w:rsid w:val="00DC0CC6"/>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DC0CC6"/>
    <w:rPr>
      <w:b/>
      <w:bCs/>
    </w:rPr>
  </w:style>
  <w:style w:type="character" w:styleId="nfasis">
    <w:name w:val="Emphasis"/>
    <w:basedOn w:val="Fuentedeprrafopredeter"/>
    <w:uiPriority w:val="20"/>
    <w:qFormat/>
    <w:rsid w:val="00DC0CC6"/>
    <w:rPr>
      <w:i/>
      <w:iCs/>
    </w:rPr>
  </w:style>
  <w:style w:type="character" w:styleId="Refdecomentario">
    <w:name w:val="annotation reference"/>
    <w:basedOn w:val="Fuentedeprrafopredeter"/>
    <w:uiPriority w:val="99"/>
    <w:semiHidden/>
    <w:unhideWhenUsed/>
    <w:rsid w:val="00635388"/>
    <w:rPr>
      <w:sz w:val="16"/>
      <w:szCs w:val="16"/>
    </w:rPr>
  </w:style>
  <w:style w:type="paragraph" w:styleId="Textocomentario">
    <w:name w:val="annotation text"/>
    <w:basedOn w:val="Normal"/>
    <w:link w:val="TextocomentarioCar"/>
    <w:uiPriority w:val="99"/>
    <w:semiHidden/>
    <w:unhideWhenUsed/>
    <w:rsid w:val="00635388"/>
    <w:rPr>
      <w:sz w:val="20"/>
      <w:szCs w:val="20"/>
    </w:rPr>
  </w:style>
  <w:style w:type="character" w:customStyle="1" w:styleId="TextocomentarioCar">
    <w:name w:val="Texto comentario Car"/>
    <w:basedOn w:val="Fuentedeprrafopredeter"/>
    <w:link w:val="Textocomentario"/>
    <w:uiPriority w:val="99"/>
    <w:semiHidden/>
    <w:rsid w:val="006353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35388"/>
    <w:rPr>
      <w:b/>
      <w:bCs/>
    </w:rPr>
  </w:style>
  <w:style w:type="character" w:customStyle="1" w:styleId="AsuntodelcomentarioCar">
    <w:name w:val="Asunto del comentario Car"/>
    <w:basedOn w:val="TextocomentarioCar"/>
    <w:link w:val="Asuntodelcomentario"/>
    <w:uiPriority w:val="99"/>
    <w:semiHidden/>
    <w:rsid w:val="00635388"/>
    <w:rPr>
      <w:b/>
      <w:bCs/>
      <w:sz w:val="20"/>
      <w:szCs w:val="20"/>
      <w:lang w:val="es-MX"/>
    </w:rPr>
  </w:style>
  <w:style w:type="character" w:customStyle="1" w:styleId="UnresolvedMention1">
    <w:name w:val="Unresolved Mention1"/>
    <w:basedOn w:val="Fuentedeprrafopredeter"/>
    <w:uiPriority w:val="99"/>
    <w:semiHidden/>
    <w:unhideWhenUsed/>
    <w:rsid w:val="008F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68919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6439</Words>
  <Characters>35418</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Manuel Castillo López</cp:lastModifiedBy>
  <cp:revision>3</cp:revision>
  <cp:lastPrinted>2020-04-16T03:53:00Z</cp:lastPrinted>
  <dcterms:created xsi:type="dcterms:W3CDTF">2020-08-13T23:07:00Z</dcterms:created>
  <dcterms:modified xsi:type="dcterms:W3CDTF">2020-08-22T14:06:00Z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