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C440B6"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C440B6">
        <w:rPr>
          <w:rFonts w:ascii="Arial" w:hAnsi="Arial" w:cs="Arial"/>
          <w:bCs/>
          <w:color w:val="000000" w:themeColor="text1"/>
          <w:sz w:val="16"/>
          <w:szCs w:val="16"/>
          <w:lang w:val="es-ES_tradnl" w:eastAsia="es-ES"/>
        </w:rPr>
        <w:t>CCE-DES-FM-17</w:t>
      </w:r>
      <w:bookmarkEnd w:id="0"/>
      <w:bookmarkEnd w:id="1"/>
    </w:p>
    <w:p w14:paraId="55FBD910" w14:textId="77777777" w:rsidR="008536BB" w:rsidRPr="00C440B6" w:rsidRDefault="008536BB" w:rsidP="00B95C30">
      <w:pPr>
        <w:spacing w:line="276" w:lineRule="auto"/>
        <w:jc w:val="both"/>
        <w:rPr>
          <w:rFonts w:ascii="Arial" w:hAnsi="Arial" w:cs="Arial"/>
          <w:noProof/>
          <w:color w:val="000000" w:themeColor="text1"/>
          <w:sz w:val="22"/>
          <w:lang w:val="es-ES_tradnl"/>
        </w:rPr>
      </w:pPr>
    </w:p>
    <w:p w14:paraId="6A654097" w14:textId="523CAACE" w:rsidR="00C978D4" w:rsidRPr="00C440B6" w:rsidRDefault="00272945" w:rsidP="00C978D4">
      <w:pPr>
        <w:jc w:val="both"/>
        <w:rPr>
          <w:rFonts w:ascii="Arial" w:eastAsia="Calibri" w:hAnsi="Arial" w:cs="Arial"/>
          <w:b/>
          <w:sz w:val="22"/>
          <w:lang w:val="es-ES_tradnl"/>
        </w:rPr>
      </w:pPr>
      <w:r w:rsidRPr="00C440B6">
        <w:rPr>
          <w:rFonts w:ascii="Arial" w:eastAsia="Calibri" w:hAnsi="Arial" w:cs="Arial"/>
          <w:b/>
          <w:sz w:val="22"/>
          <w:lang w:val="es-ES_tradnl"/>
        </w:rPr>
        <w:t>SELECCIÓN OBJETIVA</w:t>
      </w:r>
      <w:r w:rsidR="00C978D4" w:rsidRPr="00C440B6">
        <w:rPr>
          <w:rFonts w:ascii="Arial" w:eastAsia="Calibri" w:hAnsi="Arial" w:cs="Arial"/>
          <w:b/>
          <w:sz w:val="22"/>
          <w:lang w:val="es-ES_tradnl"/>
        </w:rPr>
        <w:t xml:space="preserve"> </w:t>
      </w:r>
      <w:r w:rsidR="00C978D4" w:rsidRPr="00C440B6">
        <w:rPr>
          <w:rFonts w:ascii="Arial" w:eastAsia="Calibri" w:hAnsi="Arial" w:cs="Arial"/>
          <w:b/>
          <w:color w:val="000000" w:themeColor="text1"/>
          <w:sz w:val="22"/>
          <w:lang w:val="es-ES_tradnl"/>
        </w:rPr>
        <w:t>–</w:t>
      </w:r>
      <w:r w:rsidR="00C978D4" w:rsidRPr="00C440B6">
        <w:rPr>
          <w:rFonts w:ascii="Arial" w:eastAsia="Calibri" w:hAnsi="Arial" w:cs="Arial"/>
          <w:b/>
          <w:sz w:val="22"/>
          <w:lang w:val="es-ES_tradnl"/>
        </w:rPr>
        <w:t xml:space="preserve"> </w:t>
      </w:r>
      <w:r w:rsidR="00003D39" w:rsidRPr="00C440B6">
        <w:rPr>
          <w:rFonts w:ascii="Arial" w:eastAsia="Calibri" w:hAnsi="Arial" w:cs="Arial"/>
          <w:b/>
          <w:sz w:val="22"/>
          <w:lang w:val="es-ES_tradnl"/>
        </w:rPr>
        <w:t>Contratación estatal</w:t>
      </w:r>
      <w:r w:rsidR="00616D7F" w:rsidRPr="00C440B6">
        <w:rPr>
          <w:rFonts w:ascii="Arial" w:eastAsia="Calibri" w:hAnsi="Arial" w:cs="Arial"/>
          <w:b/>
          <w:sz w:val="22"/>
          <w:lang w:val="es-ES_tradnl"/>
        </w:rPr>
        <w:t xml:space="preserve"> </w:t>
      </w:r>
      <w:r w:rsidR="00C978D4" w:rsidRPr="00C440B6">
        <w:rPr>
          <w:rFonts w:ascii="Arial" w:eastAsia="Calibri" w:hAnsi="Arial" w:cs="Arial"/>
          <w:b/>
          <w:color w:val="000000" w:themeColor="text1"/>
          <w:sz w:val="22"/>
          <w:lang w:val="es-ES_tradnl"/>
        </w:rPr>
        <w:t xml:space="preserve">– </w:t>
      </w:r>
      <w:r w:rsidRPr="00C440B6">
        <w:rPr>
          <w:rFonts w:ascii="Arial" w:eastAsia="Calibri" w:hAnsi="Arial" w:cs="Arial"/>
          <w:b/>
          <w:color w:val="000000" w:themeColor="text1"/>
          <w:sz w:val="22"/>
          <w:lang w:val="es-ES_tradnl"/>
        </w:rPr>
        <w:t>Concepto</w:t>
      </w:r>
    </w:p>
    <w:p w14:paraId="4AAB8DDD" w14:textId="537B898C" w:rsidR="00C978D4" w:rsidRPr="00C440B6" w:rsidRDefault="00C978D4" w:rsidP="0099531F">
      <w:pPr>
        <w:jc w:val="both"/>
        <w:rPr>
          <w:rFonts w:ascii="Arial" w:eastAsia="Calibri" w:hAnsi="Arial" w:cs="Arial"/>
          <w:b/>
          <w:sz w:val="22"/>
          <w:lang w:val="es-ES_tradnl"/>
        </w:rPr>
      </w:pPr>
    </w:p>
    <w:p w14:paraId="51D76961" w14:textId="77777777" w:rsidR="0098709E" w:rsidRPr="005419DA" w:rsidRDefault="0098709E" w:rsidP="0098709E">
      <w:pPr>
        <w:jc w:val="both"/>
        <w:rPr>
          <w:rFonts w:ascii="Arial" w:eastAsia="Calibri" w:hAnsi="Arial" w:cs="Arial"/>
          <w:sz w:val="20"/>
          <w:szCs w:val="20"/>
          <w:lang w:val="es-ES_tradnl"/>
        </w:rPr>
      </w:pPr>
      <w:r w:rsidRPr="005419DA">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33E10CCB" w14:textId="73477A66" w:rsidR="00636F88" w:rsidRPr="00C440B6" w:rsidRDefault="00636F88" w:rsidP="0099531F">
      <w:pPr>
        <w:jc w:val="both"/>
        <w:rPr>
          <w:rFonts w:ascii="Arial" w:eastAsia="Calibri" w:hAnsi="Arial" w:cs="Arial"/>
          <w:b/>
          <w:sz w:val="22"/>
          <w:lang w:val="es-ES_tradnl"/>
        </w:rPr>
      </w:pPr>
    </w:p>
    <w:p w14:paraId="73365DCF" w14:textId="63E2A713" w:rsidR="00272945" w:rsidRPr="00C440B6" w:rsidRDefault="00B54215" w:rsidP="00272945">
      <w:pPr>
        <w:jc w:val="both"/>
        <w:rPr>
          <w:rFonts w:ascii="Arial" w:eastAsia="Calibri" w:hAnsi="Arial" w:cs="Arial"/>
          <w:b/>
          <w:sz w:val="22"/>
          <w:lang w:val="es-ES_tradnl"/>
        </w:rPr>
      </w:pPr>
      <w:r w:rsidRPr="00C440B6">
        <w:rPr>
          <w:rFonts w:ascii="Arial" w:eastAsia="Calibri" w:hAnsi="Arial" w:cs="Arial"/>
          <w:b/>
          <w:sz w:val="22"/>
          <w:lang w:val="es-ES_tradnl"/>
        </w:rPr>
        <w:t>EMPATE</w:t>
      </w:r>
      <w:r w:rsidR="00272945" w:rsidRPr="00C440B6">
        <w:rPr>
          <w:rFonts w:ascii="Arial" w:eastAsia="Calibri" w:hAnsi="Arial" w:cs="Arial"/>
          <w:b/>
          <w:sz w:val="22"/>
          <w:lang w:val="es-ES_tradnl"/>
        </w:rPr>
        <w:t xml:space="preserve"> </w:t>
      </w:r>
      <w:r w:rsidR="00272945" w:rsidRPr="00C440B6">
        <w:rPr>
          <w:rFonts w:ascii="Arial" w:eastAsia="Calibri" w:hAnsi="Arial" w:cs="Arial"/>
          <w:b/>
          <w:color w:val="000000" w:themeColor="text1"/>
          <w:sz w:val="22"/>
          <w:lang w:val="es-ES_tradnl"/>
        </w:rPr>
        <w:t>–</w:t>
      </w:r>
      <w:r w:rsidR="00272945" w:rsidRPr="00C440B6">
        <w:rPr>
          <w:rFonts w:ascii="Arial" w:eastAsia="Calibri" w:hAnsi="Arial" w:cs="Arial"/>
          <w:b/>
          <w:sz w:val="22"/>
          <w:lang w:val="es-ES_tradnl"/>
        </w:rPr>
        <w:t xml:space="preserve"> </w:t>
      </w:r>
      <w:r w:rsidRPr="00C440B6">
        <w:rPr>
          <w:rFonts w:ascii="Arial" w:eastAsia="Calibri" w:hAnsi="Arial" w:cs="Arial"/>
          <w:b/>
          <w:sz w:val="22"/>
          <w:lang w:val="es-ES_tradnl"/>
        </w:rPr>
        <w:t>Procedimiento de selección</w:t>
      </w:r>
      <w:r w:rsidR="00272945" w:rsidRPr="00C440B6">
        <w:rPr>
          <w:rFonts w:ascii="Arial" w:eastAsia="Calibri" w:hAnsi="Arial" w:cs="Arial"/>
          <w:b/>
          <w:sz w:val="22"/>
          <w:lang w:val="es-ES_tradnl"/>
        </w:rPr>
        <w:t xml:space="preserve"> </w:t>
      </w:r>
      <w:r w:rsidR="00272945" w:rsidRPr="00C440B6">
        <w:rPr>
          <w:rFonts w:ascii="Arial" w:eastAsia="Calibri" w:hAnsi="Arial" w:cs="Arial"/>
          <w:b/>
          <w:color w:val="000000" w:themeColor="text1"/>
          <w:sz w:val="22"/>
          <w:lang w:val="es-ES_tradnl"/>
        </w:rPr>
        <w:t>– Concepto</w:t>
      </w:r>
    </w:p>
    <w:p w14:paraId="182F8CB9" w14:textId="246E5B50" w:rsidR="00272945" w:rsidRPr="00C440B6" w:rsidRDefault="00272945" w:rsidP="0099531F">
      <w:pPr>
        <w:jc w:val="both"/>
        <w:rPr>
          <w:rFonts w:ascii="Arial" w:eastAsia="Calibri" w:hAnsi="Arial" w:cs="Arial"/>
          <w:b/>
          <w:sz w:val="22"/>
          <w:lang w:val="es-ES_tradnl"/>
        </w:rPr>
      </w:pPr>
    </w:p>
    <w:p w14:paraId="3AD8423B" w14:textId="77777777" w:rsidR="007342BB" w:rsidRPr="005419DA" w:rsidRDefault="007342BB" w:rsidP="007342BB">
      <w:pPr>
        <w:jc w:val="both"/>
        <w:rPr>
          <w:rFonts w:ascii="Arial" w:hAnsi="Arial" w:cs="Arial"/>
          <w:noProof/>
          <w:color w:val="000000" w:themeColor="text1"/>
          <w:sz w:val="22"/>
          <w:lang w:val="es-ES_tradnl"/>
        </w:rPr>
      </w:pPr>
      <w:r w:rsidRPr="005419DA">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9DD8E0A" w14:textId="5F79A1BF" w:rsidR="006F71F5" w:rsidRPr="00C440B6" w:rsidRDefault="006F71F5" w:rsidP="00B95C30">
      <w:pPr>
        <w:spacing w:line="276" w:lineRule="auto"/>
        <w:jc w:val="both"/>
        <w:rPr>
          <w:rFonts w:ascii="Arial" w:hAnsi="Arial" w:cs="Arial"/>
          <w:noProof/>
          <w:color w:val="000000" w:themeColor="text1"/>
          <w:sz w:val="22"/>
          <w:lang w:val="es-ES_tradnl"/>
        </w:rPr>
      </w:pPr>
    </w:p>
    <w:p w14:paraId="04086EC5" w14:textId="04F7FF6D" w:rsidR="00DF71EA" w:rsidRPr="00C440B6" w:rsidRDefault="00D73881" w:rsidP="00DF71EA">
      <w:pPr>
        <w:jc w:val="both"/>
        <w:rPr>
          <w:rFonts w:ascii="Arial" w:eastAsia="Calibri" w:hAnsi="Arial" w:cs="Arial"/>
          <w:b/>
          <w:sz w:val="22"/>
          <w:lang w:val="es-ES_tradnl"/>
        </w:rPr>
      </w:pPr>
      <w:r w:rsidRPr="00C440B6">
        <w:rPr>
          <w:rFonts w:ascii="Arial" w:eastAsia="Calibri" w:hAnsi="Arial" w:cs="Arial"/>
          <w:b/>
          <w:sz w:val="22"/>
          <w:lang w:val="es-ES_tradnl"/>
        </w:rPr>
        <w:t>FACTORES DE DESEMPATE</w:t>
      </w:r>
      <w:r w:rsidR="00DF71EA" w:rsidRPr="00C440B6">
        <w:rPr>
          <w:rFonts w:ascii="Arial" w:eastAsia="Calibri" w:hAnsi="Arial" w:cs="Arial"/>
          <w:b/>
          <w:sz w:val="22"/>
          <w:lang w:val="es-ES_tradnl"/>
        </w:rPr>
        <w:t xml:space="preserve"> </w:t>
      </w:r>
      <w:r w:rsidR="00DF71EA" w:rsidRPr="00C440B6">
        <w:rPr>
          <w:rFonts w:ascii="Arial" w:eastAsia="Calibri" w:hAnsi="Arial" w:cs="Arial"/>
          <w:b/>
          <w:color w:val="000000" w:themeColor="text1"/>
          <w:sz w:val="22"/>
          <w:lang w:val="es-ES_tradnl"/>
        </w:rPr>
        <w:t>–</w:t>
      </w:r>
      <w:r w:rsidR="00DF71EA" w:rsidRPr="00C440B6">
        <w:rPr>
          <w:rFonts w:ascii="Arial" w:eastAsia="Calibri" w:hAnsi="Arial" w:cs="Arial"/>
          <w:b/>
          <w:sz w:val="22"/>
          <w:lang w:val="es-ES_tradnl"/>
        </w:rPr>
        <w:t xml:space="preserve"> </w:t>
      </w:r>
      <w:r w:rsidRPr="00C440B6">
        <w:rPr>
          <w:rFonts w:ascii="Arial" w:eastAsia="Calibri" w:hAnsi="Arial" w:cs="Arial"/>
          <w:b/>
          <w:sz w:val="22"/>
          <w:lang w:val="es-ES_tradnl"/>
        </w:rPr>
        <w:t>Características</w:t>
      </w:r>
      <w:r w:rsidR="00DF71EA" w:rsidRPr="00C440B6">
        <w:rPr>
          <w:rFonts w:ascii="Arial" w:eastAsia="Calibri" w:hAnsi="Arial" w:cs="Arial"/>
          <w:b/>
          <w:sz w:val="22"/>
          <w:lang w:val="es-ES_tradnl"/>
        </w:rPr>
        <w:t xml:space="preserve"> </w:t>
      </w:r>
      <w:r w:rsidR="00DF71EA" w:rsidRPr="00C440B6">
        <w:rPr>
          <w:rFonts w:ascii="Arial" w:eastAsia="Calibri" w:hAnsi="Arial" w:cs="Arial"/>
          <w:b/>
          <w:color w:val="000000" w:themeColor="text1"/>
          <w:sz w:val="22"/>
          <w:lang w:val="es-ES_tradnl"/>
        </w:rPr>
        <w:t xml:space="preserve">– </w:t>
      </w:r>
      <w:r w:rsidRPr="00C440B6">
        <w:rPr>
          <w:rFonts w:ascii="Arial" w:eastAsia="Calibri" w:hAnsi="Arial" w:cs="Arial"/>
          <w:b/>
          <w:color w:val="000000" w:themeColor="text1"/>
          <w:sz w:val="22"/>
          <w:lang w:val="es-ES_tradnl"/>
        </w:rPr>
        <w:t>Límites</w:t>
      </w:r>
    </w:p>
    <w:p w14:paraId="583F00A4" w14:textId="390EB1EB" w:rsidR="00DF71EA" w:rsidRPr="00C440B6" w:rsidRDefault="00DF71EA" w:rsidP="00B95C30">
      <w:pPr>
        <w:spacing w:line="276" w:lineRule="auto"/>
        <w:jc w:val="both"/>
        <w:rPr>
          <w:rFonts w:ascii="Arial" w:hAnsi="Arial" w:cs="Arial"/>
          <w:noProof/>
          <w:color w:val="000000" w:themeColor="text1"/>
          <w:sz w:val="22"/>
          <w:lang w:val="es-ES_tradnl"/>
        </w:rPr>
      </w:pPr>
    </w:p>
    <w:p w14:paraId="3C240600" w14:textId="77777777" w:rsidR="0026051E" w:rsidRPr="005419DA" w:rsidRDefault="0026051E" w:rsidP="0026051E">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xml:space="preserve"> de 2020. La </w:t>
      </w:r>
      <w:r>
        <w:rPr>
          <w:rFonts w:ascii="Arial" w:eastAsia="Calibri" w:hAnsi="Arial" w:cs="Arial"/>
          <w:sz w:val="20"/>
          <w:szCs w:val="20"/>
          <w:lang w:val="es-ES_tradnl"/>
        </w:rPr>
        <w:t>jurisprudencia</w:t>
      </w:r>
      <w:r w:rsidRPr="005419DA">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4D06F5C8" w14:textId="77777777" w:rsidR="0026051E" w:rsidRPr="005419DA" w:rsidRDefault="0026051E" w:rsidP="0026051E">
      <w:pPr>
        <w:jc w:val="both"/>
        <w:rPr>
          <w:rFonts w:ascii="Arial" w:eastAsia="Calibri" w:hAnsi="Arial" w:cs="Arial"/>
          <w:sz w:val="20"/>
          <w:szCs w:val="20"/>
          <w:lang w:val="es-ES_tradnl"/>
        </w:rPr>
      </w:pPr>
    </w:p>
    <w:p w14:paraId="1F0FD3F2" w14:textId="77777777" w:rsidR="0026051E" w:rsidRPr="005419DA" w:rsidRDefault="0026051E" w:rsidP="0026051E">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 </w:t>
      </w:r>
    </w:p>
    <w:p w14:paraId="03CC5C7E" w14:textId="460BCC05" w:rsidR="00D73881" w:rsidRPr="00C440B6" w:rsidRDefault="00D73881" w:rsidP="00B95C30">
      <w:pPr>
        <w:spacing w:line="276" w:lineRule="auto"/>
        <w:jc w:val="both"/>
        <w:rPr>
          <w:rFonts w:ascii="Arial" w:hAnsi="Arial" w:cs="Arial"/>
          <w:noProof/>
          <w:color w:val="000000" w:themeColor="text1"/>
          <w:sz w:val="22"/>
          <w:lang w:val="es-ES_tradnl"/>
        </w:rPr>
      </w:pPr>
    </w:p>
    <w:p w14:paraId="197D1E99" w14:textId="77777777" w:rsidR="0026051E" w:rsidRDefault="0026051E" w:rsidP="00D73881">
      <w:pPr>
        <w:jc w:val="both"/>
        <w:rPr>
          <w:rFonts w:ascii="Arial" w:eastAsia="Calibri" w:hAnsi="Arial" w:cs="Arial"/>
          <w:b/>
          <w:sz w:val="22"/>
          <w:lang w:val="es-ES_tradnl"/>
        </w:rPr>
      </w:pPr>
    </w:p>
    <w:p w14:paraId="07AD6094" w14:textId="77777777" w:rsidR="0026051E" w:rsidRDefault="0026051E" w:rsidP="00D73881">
      <w:pPr>
        <w:jc w:val="both"/>
        <w:rPr>
          <w:rFonts w:ascii="Arial" w:eastAsia="Calibri" w:hAnsi="Arial" w:cs="Arial"/>
          <w:b/>
          <w:sz w:val="22"/>
          <w:lang w:val="es-ES_tradnl"/>
        </w:rPr>
      </w:pPr>
    </w:p>
    <w:p w14:paraId="7144E95B" w14:textId="76DD9ABA" w:rsidR="00D73881" w:rsidRPr="00C440B6" w:rsidRDefault="00D73881" w:rsidP="00D73881">
      <w:pPr>
        <w:jc w:val="both"/>
        <w:rPr>
          <w:rFonts w:ascii="Arial" w:eastAsia="Calibri" w:hAnsi="Arial" w:cs="Arial"/>
          <w:b/>
          <w:sz w:val="22"/>
          <w:lang w:val="es-ES_tradnl"/>
        </w:rPr>
      </w:pPr>
      <w:r w:rsidRPr="00C440B6">
        <w:rPr>
          <w:rFonts w:ascii="Arial" w:eastAsia="Calibri" w:hAnsi="Arial" w:cs="Arial"/>
          <w:b/>
          <w:sz w:val="22"/>
          <w:lang w:val="es-ES_tradnl"/>
        </w:rPr>
        <w:lastRenderedPageBreak/>
        <w:t xml:space="preserve">LEY DE EMPRENDIMIENTO </w:t>
      </w:r>
      <w:r w:rsidRPr="00C440B6">
        <w:rPr>
          <w:rFonts w:ascii="Arial" w:eastAsia="Calibri" w:hAnsi="Arial" w:cs="Arial"/>
          <w:b/>
          <w:color w:val="000000" w:themeColor="text1"/>
          <w:sz w:val="22"/>
          <w:lang w:val="es-ES_tradnl"/>
        </w:rPr>
        <w:t>–</w:t>
      </w:r>
      <w:r w:rsidRPr="00C440B6">
        <w:rPr>
          <w:rFonts w:ascii="Arial" w:eastAsia="Calibri" w:hAnsi="Arial" w:cs="Arial"/>
          <w:b/>
          <w:sz w:val="22"/>
          <w:lang w:val="es-ES_tradnl"/>
        </w:rPr>
        <w:t xml:space="preserve"> Ley </w:t>
      </w:r>
      <w:r w:rsidR="006F0F34">
        <w:rPr>
          <w:rFonts w:ascii="Arial" w:eastAsia="Calibri" w:hAnsi="Arial" w:cs="Arial"/>
          <w:b/>
          <w:sz w:val="22"/>
          <w:lang w:val="es-ES_tradnl"/>
        </w:rPr>
        <w:t>2069</w:t>
      </w:r>
      <w:r w:rsidRPr="00C440B6">
        <w:rPr>
          <w:rFonts w:ascii="Arial" w:eastAsia="Calibri" w:hAnsi="Arial" w:cs="Arial"/>
          <w:b/>
          <w:sz w:val="22"/>
          <w:lang w:val="es-ES_tradnl"/>
        </w:rPr>
        <w:t xml:space="preserve"> de 2020 </w:t>
      </w:r>
      <w:r w:rsidRPr="00C440B6">
        <w:rPr>
          <w:rFonts w:ascii="Arial" w:eastAsia="Calibri" w:hAnsi="Arial" w:cs="Arial"/>
          <w:b/>
          <w:color w:val="000000" w:themeColor="text1"/>
          <w:sz w:val="22"/>
          <w:lang w:val="es-ES_tradnl"/>
        </w:rPr>
        <w:t xml:space="preserve">– Vigencia </w:t>
      </w:r>
    </w:p>
    <w:p w14:paraId="0D3B8DEB" w14:textId="33C83BCF" w:rsidR="00D73881" w:rsidRPr="00C440B6" w:rsidRDefault="00D73881" w:rsidP="00D73881">
      <w:pPr>
        <w:jc w:val="both"/>
        <w:rPr>
          <w:rFonts w:ascii="Arial" w:eastAsia="Calibri" w:hAnsi="Arial" w:cs="Arial"/>
          <w:b/>
          <w:sz w:val="22"/>
          <w:lang w:val="es-ES_tradnl"/>
        </w:rPr>
      </w:pPr>
    </w:p>
    <w:p w14:paraId="097E383C" w14:textId="77777777" w:rsidR="006A2829" w:rsidRPr="005419DA" w:rsidRDefault="006A2829" w:rsidP="006A2829">
      <w:pPr>
        <w:jc w:val="both"/>
        <w:rPr>
          <w:rFonts w:ascii="Arial" w:eastAsia="Calibri" w:hAnsi="Arial" w:cs="Arial"/>
          <w:sz w:val="20"/>
          <w:szCs w:val="20"/>
          <w:lang w:val="es-ES_tradnl"/>
        </w:rPr>
      </w:pPr>
      <w:r w:rsidRPr="005419DA">
        <w:rPr>
          <w:rFonts w:ascii="Arial" w:eastAsia="Calibri" w:hAnsi="Arial" w:cs="Arial"/>
          <w:sz w:val="20"/>
          <w:szCs w:val="20"/>
          <w:lang w:val="es-ES_tradnl"/>
        </w:rPr>
        <w:t xml:space="preserve">El 31 de diciembre de 2020 se promulgó la Ley </w:t>
      </w:r>
      <w:r>
        <w:rPr>
          <w:rFonts w:ascii="Arial" w:eastAsia="Calibri" w:hAnsi="Arial" w:cs="Arial"/>
          <w:sz w:val="20"/>
          <w:szCs w:val="20"/>
          <w:lang w:val="es-ES_tradnl"/>
        </w:rPr>
        <w:t>2069</w:t>
      </w:r>
      <w:r w:rsidRPr="005419DA">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4A4015B6" w14:textId="77777777" w:rsidR="006A2829" w:rsidRPr="005419DA" w:rsidRDefault="006A2829" w:rsidP="006A2829">
      <w:pPr>
        <w:jc w:val="both"/>
        <w:rPr>
          <w:rFonts w:ascii="Arial" w:eastAsia="Calibri" w:hAnsi="Arial" w:cs="Arial"/>
          <w:sz w:val="20"/>
          <w:szCs w:val="20"/>
          <w:lang w:val="es-ES_tradnl"/>
        </w:rPr>
      </w:pPr>
    </w:p>
    <w:p w14:paraId="178DBEA3" w14:textId="77777777" w:rsidR="006A2829" w:rsidRPr="005419DA" w:rsidRDefault="006A2829" w:rsidP="006A2829">
      <w:pPr>
        <w:jc w:val="both"/>
        <w:rPr>
          <w:rFonts w:ascii="Arial" w:eastAsia="Calibri" w:hAnsi="Arial" w:cs="Arial"/>
          <w:sz w:val="20"/>
          <w:szCs w:val="20"/>
          <w:lang w:val="es-ES_tradnl"/>
        </w:rPr>
      </w:pPr>
      <w:r w:rsidRPr="005419DA">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B24A529" w14:textId="77777777" w:rsidR="008410B1" w:rsidRPr="00C440B6" w:rsidRDefault="008410B1" w:rsidP="008410B1">
      <w:pPr>
        <w:jc w:val="both"/>
        <w:rPr>
          <w:rFonts w:ascii="Arial" w:eastAsia="Calibri" w:hAnsi="Arial" w:cs="Arial"/>
          <w:b/>
          <w:sz w:val="22"/>
          <w:lang w:val="es-ES_tradnl"/>
        </w:rPr>
      </w:pPr>
    </w:p>
    <w:p w14:paraId="5C894141" w14:textId="27D48B57" w:rsidR="00D73881" w:rsidRPr="009F0312" w:rsidRDefault="00D06CA3" w:rsidP="00D73881">
      <w:pPr>
        <w:jc w:val="both"/>
        <w:rPr>
          <w:rFonts w:ascii="Arial" w:eastAsia="Calibri" w:hAnsi="Arial" w:cs="Arial"/>
          <w:b/>
          <w:sz w:val="22"/>
          <w:lang w:val="es-ES_tradnl"/>
        </w:rPr>
      </w:pPr>
      <w:r w:rsidRPr="009F0312">
        <w:rPr>
          <w:rFonts w:ascii="Arial" w:eastAsia="Calibri" w:hAnsi="Arial" w:cs="Arial"/>
          <w:b/>
          <w:sz w:val="22"/>
          <w:lang w:val="es-ES_tradnl"/>
        </w:rPr>
        <w:t>DECRETO 1082 DE 2015</w:t>
      </w:r>
      <w:r w:rsidR="00D73881" w:rsidRPr="009F0312">
        <w:rPr>
          <w:rFonts w:ascii="Arial" w:eastAsia="Calibri" w:hAnsi="Arial" w:cs="Arial"/>
          <w:b/>
          <w:sz w:val="22"/>
          <w:lang w:val="es-ES_tradnl"/>
        </w:rPr>
        <w:t xml:space="preserve"> </w:t>
      </w:r>
      <w:r w:rsidR="00D73881" w:rsidRPr="009F0312">
        <w:rPr>
          <w:rFonts w:ascii="Arial" w:eastAsia="Calibri" w:hAnsi="Arial" w:cs="Arial"/>
          <w:b/>
          <w:color w:val="000000" w:themeColor="text1"/>
          <w:sz w:val="22"/>
          <w:lang w:val="es-ES_tradnl"/>
        </w:rPr>
        <w:t>–</w:t>
      </w:r>
      <w:r w:rsidR="00D73881" w:rsidRPr="009F0312">
        <w:rPr>
          <w:rFonts w:ascii="Arial" w:eastAsia="Calibri" w:hAnsi="Arial" w:cs="Arial"/>
          <w:b/>
          <w:sz w:val="22"/>
          <w:lang w:val="es-ES_tradnl"/>
        </w:rPr>
        <w:t xml:space="preserve"> </w:t>
      </w:r>
      <w:r w:rsidR="008120AC">
        <w:rPr>
          <w:rFonts w:ascii="Arial" w:eastAsia="Calibri" w:hAnsi="Arial" w:cs="Arial"/>
          <w:b/>
          <w:sz w:val="22"/>
          <w:lang w:val="es-ES_tradnl"/>
        </w:rPr>
        <w:t>Factores de desempate – Mínima cuantía</w:t>
      </w:r>
      <w:r w:rsidR="00D73881" w:rsidRPr="009F0312">
        <w:rPr>
          <w:rFonts w:ascii="Arial" w:eastAsia="Calibri" w:hAnsi="Arial" w:cs="Arial"/>
          <w:b/>
          <w:sz w:val="22"/>
          <w:lang w:val="es-ES_tradnl"/>
        </w:rPr>
        <w:t xml:space="preserve"> </w:t>
      </w:r>
      <w:r w:rsidR="00D73881" w:rsidRPr="009F0312">
        <w:rPr>
          <w:rFonts w:ascii="Arial" w:eastAsia="Calibri" w:hAnsi="Arial" w:cs="Arial"/>
          <w:b/>
          <w:color w:val="000000" w:themeColor="text1"/>
          <w:sz w:val="22"/>
          <w:lang w:val="es-ES_tradnl"/>
        </w:rPr>
        <w:t xml:space="preserve">– </w:t>
      </w:r>
      <w:r w:rsidRPr="009F0312">
        <w:rPr>
          <w:rFonts w:ascii="Arial" w:eastAsia="Calibri" w:hAnsi="Arial" w:cs="Arial"/>
          <w:b/>
          <w:color w:val="000000" w:themeColor="text1"/>
          <w:sz w:val="22"/>
          <w:lang w:val="es-ES_tradnl"/>
        </w:rPr>
        <w:t>Derogatoria</w:t>
      </w:r>
      <w:r w:rsidR="00D73881" w:rsidRPr="009F0312">
        <w:rPr>
          <w:rFonts w:ascii="Arial" w:eastAsia="Calibri" w:hAnsi="Arial" w:cs="Arial"/>
          <w:b/>
          <w:color w:val="000000" w:themeColor="text1"/>
          <w:sz w:val="22"/>
          <w:lang w:val="es-ES_tradnl"/>
        </w:rPr>
        <w:t xml:space="preserve"> – </w:t>
      </w:r>
      <w:r w:rsidRPr="009F0312">
        <w:rPr>
          <w:rFonts w:ascii="Arial" w:eastAsia="Calibri" w:hAnsi="Arial" w:cs="Arial"/>
          <w:b/>
          <w:color w:val="000000" w:themeColor="text1"/>
          <w:sz w:val="22"/>
          <w:lang w:val="es-ES_tradnl"/>
        </w:rPr>
        <w:t>Decaimiento</w:t>
      </w:r>
    </w:p>
    <w:p w14:paraId="4D9EB4C1" w14:textId="20D03020" w:rsidR="00D73881" w:rsidRPr="009F0312" w:rsidRDefault="00D73881" w:rsidP="00B95C30">
      <w:pPr>
        <w:spacing w:line="276" w:lineRule="auto"/>
        <w:jc w:val="both"/>
        <w:rPr>
          <w:rFonts w:ascii="Arial" w:hAnsi="Arial" w:cs="Arial"/>
          <w:noProof/>
          <w:color w:val="000000" w:themeColor="text1"/>
          <w:sz w:val="22"/>
          <w:lang w:val="es-ES_tradnl"/>
        </w:rPr>
      </w:pPr>
    </w:p>
    <w:p w14:paraId="2CA58020" w14:textId="26F01600" w:rsidR="00D06CA3" w:rsidRPr="009F0312" w:rsidRDefault="00D06CA3" w:rsidP="00D06CA3">
      <w:pPr>
        <w:jc w:val="both"/>
        <w:rPr>
          <w:rFonts w:ascii="Arial" w:hAnsi="Arial" w:cs="Arial"/>
          <w:color w:val="000000" w:themeColor="text1"/>
          <w:sz w:val="20"/>
          <w:szCs w:val="20"/>
          <w:lang w:val="es-ES_tradnl"/>
        </w:rPr>
      </w:pPr>
      <w:r w:rsidRPr="009F0312">
        <w:rPr>
          <w:rFonts w:ascii="Arial" w:hAnsi="Arial" w:cs="Arial"/>
          <w:color w:val="000000" w:themeColor="text1"/>
          <w:sz w:val="20"/>
          <w:szCs w:val="20"/>
          <w:lang w:val="es-ES_tradnl"/>
        </w:rPr>
        <w:t xml:space="preserve">Ahora bien, hasta la promulgación de la Ley </w:t>
      </w:r>
      <w:r w:rsidR="006F0F34">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el artículo 2.2.1.1.2.2.9. del Decreto 1082 de 2015 regulaba los factores de desempate que debían aplicarse en los procesos de selección. En criterio de esta </w:t>
      </w:r>
      <w:r w:rsidR="00D7536A">
        <w:rPr>
          <w:rFonts w:ascii="Arial" w:hAnsi="Arial" w:cs="Arial"/>
          <w:color w:val="000000" w:themeColor="text1"/>
          <w:sz w:val="20"/>
          <w:szCs w:val="20"/>
          <w:lang w:val="es-ES_tradnl"/>
        </w:rPr>
        <w:t>Agencia</w:t>
      </w:r>
      <w:r w:rsidRPr="009F0312">
        <w:rPr>
          <w:rFonts w:ascii="Arial" w:hAnsi="Arial" w:cs="Arial"/>
          <w:color w:val="000000" w:themeColor="text1"/>
          <w:sz w:val="20"/>
          <w:szCs w:val="20"/>
          <w:lang w:val="es-ES_tradnl"/>
        </w:rPr>
        <w:t xml:space="preserve">, dicha norma debe entenderse derogada por el artículo 35 de la Ley </w:t>
      </w:r>
      <w:r w:rsidR="006F0F34">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Ello no solo porque el artículo 84 de esta Ley dice que «rige a partir del momento de su promulgación», es decir, desde el 31 de diciembre de 2020, sino además porque la misma disposición señala que la Ley </w:t>
      </w:r>
      <w:r w:rsidR="006F0F34">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deroga «[…] todas las disposiciones que le sean contrarias». Se presenta una antinomia o contradicción normativa cuando dos o más disposiciones normativas regulan en sentido diferente un tema. Bajo esta consideración, como el artículo 35 de la Ley </w:t>
      </w:r>
      <w:r w:rsidR="006F0F34">
        <w:rPr>
          <w:rFonts w:ascii="Arial" w:hAnsi="Arial" w:cs="Arial"/>
          <w:color w:val="000000" w:themeColor="text1"/>
          <w:sz w:val="20"/>
          <w:szCs w:val="20"/>
          <w:lang w:val="es-ES_tradnl"/>
        </w:rPr>
        <w:t>2069</w:t>
      </w:r>
      <w:r w:rsidRPr="009F0312">
        <w:rPr>
          <w:rFonts w:ascii="Arial" w:hAnsi="Arial" w:cs="Arial"/>
          <w:color w:val="000000" w:themeColor="text1"/>
          <w:sz w:val="20"/>
          <w:szCs w:val="20"/>
          <w:lang w:val="es-ES_tradnl"/>
        </w:rPr>
        <w:t xml:space="preserve"> de 2020 regula en forma distinta a como lo hacía el artículo 2.2.1.1.2.2.9. del Decreto 1082 de 2015 la aplicación de los factores de desempate, aquel debe entenderse derogado. </w:t>
      </w:r>
    </w:p>
    <w:p w14:paraId="44FA67DF" w14:textId="77777777" w:rsidR="00D06CA3" w:rsidRPr="009F0312" w:rsidRDefault="00D06CA3" w:rsidP="00D06CA3">
      <w:pPr>
        <w:jc w:val="both"/>
        <w:rPr>
          <w:rFonts w:ascii="Arial" w:hAnsi="Arial" w:cs="Arial"/>
          <w:color w:val="000000" w:themeColor="text1"/>
          <w:sz w:val="20"/>
          <w:szCs w:val="20"/>
          <w:lang w:val="es-ES_tradnl"/>
        </w:rPr>
      </w:pPr>
    </w:p>
    <w:p w14:paraId="643109D0" w14:textId="08DA97B3" w:rsidR="00D06CA3" w:rsidRPr="00D06CA3" w:rsidRDefault="00D06CA3" w:rsidP="00D06CA3">
      <w:pPr>
        <w:jc w:val="both"/>
        <w:rPr>
          <w:rFonts w:ascii="Arial" w:hAnsi="Arial" w:cs="Arial"/>
          <w:color w:val="000000" w:themeColor="text1"/>
          <w:sz w:val="20"/>
          <w:szCs w:val="20"/>
          <w:lang w:val="es-ES_tradnl"/>
        </w:rPr>
      </w:pPr>
      <w:r w:rsidRPr="009F0312">
        <w:rPr>
          <w:rFonts w:ascii="Arial" w:hAnsi="Arial" w:cs="Arial"/>
          <w:color w:val="000000" w:themeColor="text1"/>
          <w:sz w:val="20"/>
          <w:szCs w:val="20"/>
          <w:lang w:val="es-ES_tradnl"/>
        </w:rPr>
        <w:t xml:space="preserve">Un argumento adicional para sostener esta tesis tiene que ver con el fenómeno de la pérdida de fuerza ejecutoria –o decaimiento– de los actos administrativos, regulado en el numeral 2 del artículo 91 de la Ley 1437 de 2011. Esta norma señala que los actos administrativos pierden fuerza ejecutoria «Cuando desaparezcan sus fundamentos de hecho o de derecho». Dado que el Decreto 1082 de 2015 es un reglamento </w:t>
      </w:r>
      <w:r w:rsidRPr="009F0312">
        <w:rPr>
          <w:rFonts w:ascii="Arial" w:hAnsi="Arial" w:cs="Arial"/>
          <w:i/>
          <w:iCs/>
          <w:color w:val="000000" w:themeColor="text1"/>
          <w:sz w:val="20"/>
          <w:szCs w:val="20"/>
          <w:lang w:val="es-ES_tradnl"/>
        </w:rPr>
        <w:t>secundum legem</w:t>
      </w:r>
      <w:r w:rsidRPr="009F0312">
        <w:rPr>
          <w:rFonts w:ascii="Arial" w:hAnsi="Arial" w:cs="Arial"/>
          <w:color w:val="000000" w:themeColor="text1"/>
          <w:sz w:val="20"/>
          <w:szCs w:val="20"/>
          <w:lang w:val="es-ES_tradnl"/>
        </w:rPr>
        <w:t xml:space="preserve"> –es decir, que desarrolla la ley–, la expedición de una ley en sentido formal –es decir, de un precepto que se ubica en un nivel superior de la jerarquía normativa–, que modifica la materia reglamentada, hace que la disposición reglamentaria decaiga.</w:t>
      </w:r>
      <w:r w:rsidRPr="00D06CA3">
        <w:rPr>
          <w:rFonts w:ascii="Arial" w:hAnsi="Arial" w:cs="Arial"/>
          <w:color w:val="000000" w:themeColor="text1"/>
          <w:sz w:val="20"/>
          <w:szCs w:val="20"/>
          <w:lang w:val="es-ES_tradnl"/>
        </w:rPr>
        <w:t xml:space="preserve">      </w:t>
      </w:r>
    </w:p>
    <w:p w14:paraId="53B8D6C5" w14:textId="7A55D90A" w:rsidR="003C5E8A" w:rsidRDefault="003C5E8A" w:rsidP="003C5E8A">
      <w:pPr>
        <w:jc w:val="both"/>
        <w:rPr>
          <w:rFonts w:ascii="Arial" w:eastAsia="Calibri" w:hAnsi="Arial" w:cs="Arial"/>
          <w:sz w:val="20"/>
          <w:szCs w:val="20"/>
          <w:lang w:val="es-ES_tradnl"/>
        </w:rPr>
      </w:pPr>
    </w:p>
    <w:p w14:paraId="0EC7CCA7" w14:textId="77777777" w:rsidR="00C5587F" w:rsidRDefault="00C5587F" w:rsidP="00C5587F">
      <w:pPr>
        <w:jc w:val="both"/>
        <w:rPr>
          <w:rFonts w:ascii="Arial" w:eastAsia="Calibri" w:hAnsi="Arial" w:cs="Arial"/>
          <w:sz w:val="20"/>
          <w:szCs w:val="20"/>
          <w:lang w:val="es-ES_tradnl"/>
        </w:rPr>
      </w:pPr>
      <w:r w:rsidRPr="00C5587F">
        <w:rPr>
          <w:rFonts w:ascii="Arial" w:eastAsia="Calibri" w:hAnsi="Arial" w:cs="Arial"/>
          <w:sz w:val="20"/>
          <w:szCs w:val="20"/>
          <w:lang w:val="es-ES_tradnl"/>
        </w:rPr>
        <w:t xml:space="preserve">Lo explicado en los párrafos precedentes también aplica </w:t>
      </w:r>
      <w:r w:rsidRPr="00C5587F">
        <w:rPr>
          <w:rFonts w:ascii="Arial" w:eastAsia="Calibri" w:hAnsi="Arial" w:cs="Arial"/>
          <w:i/>
          <w:iCs/>
          <w:sz w:val="20"/>
          <w:szCs w:val="20"/>
          <w:lang w:val="es-ES_tradnl"/>
        </w:rPr>
        <w:t>mutatis mutandis</w:t>
      </w:r>
      <w:r w:rsidRPr="00C5587F">
        <w:rPr>
          <w:rFonts w:ascii="Arial" w:eastAsia="Calibri" w:hAnsi="Arial" w:cs="Arial"/>
          <w:sz w:val="20"/>
          <w:szCs w:val="20"/>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w:t>
      </w:r>
      <w:r w:rsidRPr="00C5587F">
        <w:rPr>
          <w:rFonts w:ascii="Arial" w:eastAsia="Calibri" w:hAnsi="Arial" w:cs="Arial"/>
          <w:sz w:val="20"/>
          <w:szCs w:val="20"/>
          <w:lang w:val="es-ES_tradnl"/>
        </w:rPr>
        <w:lastRenderedPageBreak/>
        <w:t xml:space="preserve">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En consecuencia, por tratarse de una norma transversal al sistema de compras y contratación pública, el artículo 35 de la Ley 2069 de 2020 es aplicable al procedimiento de mínima cuantía, presentándose tanto la derogación como el decaimiento de los criterios de desempate previstos en el Decreto 1082 de 2015 para esta modalidad de selección. </w:t>
      </w:r>
    </w:p>
    <w:p w14:paraId="61D57B80" w14:textId="77777777" w:rsidR="00C5587F" w:rsidRDefault="00C5587F">
      <w:pPr>
        <w:spacing w:after="200" w:line="276" w:lineRule="auto"/>
        <w:rPr>
          <w:rFonts w:ascii="Arial" w:eastAsia="Calibri" w:hAnsi="Arial" w:cs="Arial"/>
          <w:sz w:val="20"/>
          <w:szCs w:val="20"/>
          <w:lang w:val="es-ES_tradnl"/>
        </w:rPr>
      </w:pPr>
      <w:r>
        <w:rPr>
          <w:rFonts w:ascii="Arial" w:eastAsia="Calibri" w:hAnsi="Arial" w:cs="Arial"/>
          <w:sz w:val="20"/>
          <w:szCs w:val="20"/>
          <w:lang w:val="es-ES_tradnl"/>
        </w:rPr>
        <w:br w:type="page"/>
      </w:r>
    </w:p>
    <w:p w14:paraId="48252F19" w14:textId="247033FF" w:rsidR="009172B1" w:rsidRDefault="009172B1" w:rsidP="009172B1">
      <w:pPr>
        <w:rPr>
          <w:rFonts w:ascii="Arial" w:hAnsi="Arial" w:cs="Arial"/>
          <w:sz w:val="22"/>
          <w:szCs w:val="20"/>
        </w:rPr>
      </w:pPr>
    </w:p>
    <w:p w14:paraId="7F8781BE" w14:textId="77777777" w:rsidR="00C5587F" w:rsidRDefault="00C5587F" w:rsidP="009172B1">
      <w:pPr>
        <w:rPr>
          <w:rFonts w:ascii="Arial" w:hAnsi="Arial" w:cs="Arial"/>
          <w:sz w:val="22"/>
          <w:szCs w:val="20"/>
        </w:rPr>
      </w:pPr>
    </w:p>
    <w:p w14:paraId="7C09F79D" w14:textId="1CFD3AE3" w:rsidR="009172B1" w:rsidRDefault="009172B1" w:rsidP="009172B1">
      <w:pPr>
        <w:rPr>
          <w:rFonts w:ascii="Arial" w:hAnsi="Arial" w:cs="Arial"/>
          <w:b/>
          <w:sz w:val="22"/>
          <w:szCs w:val="20"/>
          <w:lang w:eastAsia="en-US"/>
        </w:rPr>
      </w:pPr>
      <w:bookmarkStart w:id="2" w:name="_Hlk64030265"/>
      <w:r>
        <w:rPr>
          <w:rFonts w:ascii="Arial" w:hAnsi="Arial" w:cs="Arial"/>
          <w:sz w:val="22"/>
          <w:szCs w:val="20"/>
        </w:rPr>
        <w:t>Bogotá D.C.</w:t>
      </w:r>
      <w:bookmarkEnd w:id="2"/>
      <w:r>
        <w:rPr>
          <w:rFonts w:ascii="Arial" w:hAnsi="Arial" w:cs="Arial"/>
          <w:sz w:val="22"/>
          <w:szCs w:val="20"/>
        </w:rPr>
        <w:t xml:space="preserve">, </w:t>
      </w:r>
      <w:r w:rsidR="00035CEE" w:rsidRPr="00035CEE">
        <w:rPr>
          <w:rFonts w:ascii="Arial" w:hAnsi="Arial" w:cs="Arial"/>
          <w:b/>
          <w:color w:val="000000" w:themeColor="text1"/>
          <w:sz w:val="22"/>
        </w:rPr>
        <w:t>16/02/2021</w:t>
      </w:r>
      <w:r w:rsidR="00035CEE">
        <w:rPr>
          <w:rFonts w:ascii="Arial" w:hAnsi="Arial" w:cs="Arial"/>
          <w:b/>
          <w:color w:val="000000" w:themeColor="text1"/>
          <w:sz w:val="22"/>
        </w:rPr>
        <w:t xml:space="preserve"> 13:54:23s</w:t>
      </w:r>
    </w:p>
    <w:p w14:paraId="256D362D" w14:textId="77777777" w:rsidR="009172B1" w:rsidRDefault="009172B1" w:rsidP="009172B1">
      <w:pPr>
        <w:rPr>
          <w:rFonts w:ascii="Arial" w:hAnsi="Arial" w:cs="Arial"/>
          <w:bCs/>
          <w:sz w:val="22"/>
          <w:szCs w:val="20"/>
        </w:rPr>
      </w:pPr>
    </w:p>
    <w:p w14:paraId="69C424CD" w14:textId="3E62B8DE" w:rsidR="009172B1" w:rsidRDefault="009172B1" w:rsidP="009172B1">
      <w:pPr>
        <w:jc w:val="right"/>
        <w:rPr>
          <w:rFonts w:ascii="Arial" w:hAnsi="Arial" w:cs="Arial"/>
          <w:b/>
          <w:sz w:val="22"/>
          <w:szCs w:val="20"/>
        </w:rPr>
      </w:pPr>
      <w:r>
        <w:rPr>
          <w:rFonts w:ascii="Arial" w:hAnsi="Arial" w:cs="Arial"/>
          <w:b/>
          <w:sz w:val="22"/>
          <w:szCs w:val="20"/>
        </w:rPr>
        <w:t xml:space="preserve">N° Radicado: </w:t>
      </w:r>
      <w:r w:rsidR="00035CEE" w:rsidRPr="00035CEE">
        <w:rPr>
          <w:rFonts w:ascii="Arial" w:hAnsi="Arial" w:cs="Arial"/>
          <w:b/>
          <w:sz w:val="22"/>
          <w:szCs w:val="20"/>
        </w:rPr>
        <w:t>RS20210216001057</w:t>
      </w:r>
    </w:p>
    <w:p w14:paraId="6A8A869B" w14:textId="52C72B05" w:rsidR="00B95C30" w:rsidRDefault="00B95C30" w:rsidP="00B95C30">
      <w:pPr>
        <w:jc w:val="both"/>
        <w:rPr>
          <w:rFonts w:ascii="Arial" w:hAnsi="Arial" w:cs="Arial"/>
          <w:b/>
          <w:color w:val="000000" w:themeColor="text1"/>
          <w:sz w:val="22"/>
          <w:lang w:val="es-ES_tradnl"/>
        </w:rPr>
      </w:pPr>
    </w:p>
    <w:p w14:paraId="3DCA4D09" w14:textId="77777777" w:rsidR="0031674D" w:rsidRPr="00C440B6" w:rsidRDefault="0031674D" w:rsidP="00B95C30">
      <w:pPr>
        <w:jc w:val="both"/>
        <w:rPr>
          <w:rFonts w:ascii="Arial" w:hAnsi="Arial" w:cs="Arial"/>
          <w:b/>
          <w:color w:val="000000" w:themeColor="text1"/>
          <w:sz w:val="22"/>
          <w:lang w:val="es-ES_tradnl"/>
        </w:rPr>
      </w:pPr>
    </w:p>
    <w:p w14:paraId="5F5AE9EF" w14:textId="5BA24542" w:rsidR="00B95C30" w:rsidRPr="00C440B6" w:rsidRDefault="00BE4FBF" w:rsidP="00B95C30">
      <w:pPr>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Señor</w:t>
      </w:r>
    </w:p>
    <w:p w14:paraId="136B4744" w14:textId="34A1A821" w:rsidR="00043399" w:rsidRPr="00C440B6" w:rsidRDefault="009172B1"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Carlos Lara Arias</w:t>
      </w:r>
    </w:p>
    <w:p w14:paraId="09D4AEA8" w14:textId="41376EE5" w:rsidR="00B95C30" w:rsidRPr="00C440B6" w:rsidRDefault="009172B1" w:rsidP="00B95C30">
      <w:pPr>
        <w:jc w:val="both"/>
        <w:rPr>
          <w:rFonts w:ascii="Arial" w:eastAsia="Calibri" w:hAnsi="Arial" w:cs="Arial"/>
          <w:color w:val="000000" w:themeColor="text1"/>
          <w:sz w:val="22"/>
          <w:lang w:val="es-ES_tradnl"/>
        </w:rPr>
      </w:pPr>
      <w:r w:rsidRPr="009172B1">
        <w:rPr>
          <w:rFonts w:ascii="Arial" w:eastAsia="Calibri" w:hAnsi="Arial" w:cs="Arial"/>
          <w:color w:val="000000" w:themeColor="text1"/>
          <w:sz w:val="22"/>
          <w:lang w:val="es-ES_tradnl"/>
        </w:rPr>
        <w:t>Bogotá D.C.</w:t>
      </w:r>
    </w:p>
    <w:p w14:paraId="3F3D1203" w14:textId="087EB4C8" w:rsidR="00B95C30" w:rsidRDefault="00B95C30" w:rsidP="00B95C30">
      <w:pPr>
        <w:jc w:val="both"/>
        <w:rPr>
          <w:rFonts w:ascii="Arial" w:eastAsia="Calibri" w:hAnsi="Arial" w:cs="Arial"/>
          <w:color w:val="000000" w:themeColor="text1"/>
          <w:sz w:val="22"/>
          <w:lang w:val="es-ES_tradnl"/>
        </w:rPr>
      </w:pPr>
    </w:p>
    <w:p w14:paraId="7FEA18D2" w14:textId="77777777" w:rsidR="0031674D" w:rsidRPr="00C440B6" w:rsidRDefault="0031674D" w:rsidP="00B95C30">
      <w:pPr>
        <w:jc w:val="both"/>
        <w:rPr>
          <w:rFonts w:ascii="Arial" w:eastAsia="Calibri" w:hAnsi="Arial" w:cs="Arial"/>
          <w:color w:val="000000" w:themeColor="text1"/>
          <w:sz w:val="22"/>
          <w:lang w:val="es-ES_tradnl"/>
        </w:rPr>
      </w:pPr>
    </w:p>
    <w:p w14:paraId="12E66182" w14:textId="6737F0FF" w:rsidR="00B95C30" w:rsidRPr="00C440B6" w:rsidRDefault="0031674D" w:rsidP="006E3937">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B95C30" w:rsidRPr="00C440B6">
        <w:rPr>
          <w:rFonts w:ascii="Arial" w:eastAsia="Calibri" w:hAnsi="Arial" w:cs="Arial"/>
          <w:b/>
          <w:bCs/>
          <w:color w:val="000000" w:themeColor="text1"/>
          <w:sz w:val="22"/>
          <w:lang w:val="es-ES_tradnl"/>
        </w:rPr>
        <w:t xml:space="preserve">Concepto C ‒ </w:t>
      </w:r>
      <w:r w:rsidR="00195F02" w:rsidRPr="00C440B6">
        <w:rPr>
          <w:rFonts w:ascii="Arial" w:eastAsia="Calibri" w:hAnsi="Arial" w:cs="Arial"/>
          <w:b/>
          <w:bCs/>
          <w:color w:val="000000" w:themeColor="text1"/>
          <w:sz w:val="22"/>
          <w:lang w:val="es-ES_tradnl"/>
        </w:rPr>
        <w:t>0</w:t>
      </w:r>
      <w:r w:rsidR="009172B1">
        <w:rPr>
          <w:rFonts w:ascii="Arial" w:eastAsia="Calibri" w:hAnsi="Arial" w:cs="Arial"/>
          <w:b/>
          <w:bCs/>
          <w:color w:val="000000" w:themeColor="text1"/>
          <w:sz w:val="22"/>
          <w:lang w:val="es-ES_tradnl"/>
        </w:rPr>
        <w:t>07</w:t>
      </w:r>
      <w:r w:rsidR="00B95C30" w:rsidRPr="00C440B6">
        <w:rPr>
          <w:rFonts w:ascii="Arial" w:eastAsia="Calibri" w:hAnsi="Arial" w:cs="Arial"/>
          <w:b/>
          <w:bCs/>
          <w:color w:val="000000" w:themeColor="text1"/>
          <w:sz w:val="22"/>
          <w:lang w:val="es-ES_tradnl"/>
        </w:rPr>
        <w:t xml:space="preserve"> de 202</w:t>
      </w:r>
      <w:r w:rsidR="005E781C" w:rsidRPr="00C440B6">
        <w:rPr>
          <w:rFonts w:ascii="Arial" w:eastAsia="Calibri" w:hAnsi="Arial" w:cs="Arial"/>
          <w:b/>
          <w:bCs/>
          <w:color w:val="000000" w:themeColor="text1"/>
          <w:sz w:val="22"/>
          <w:lang w:val="es-ES_tradnl"/>
        </w:rPr>
        <w:t>1</w:t>
      </w:r>
    </w:p>
    <w:p w14:paraId="1BD594F9" w14:textId="77777777" w:rsidR="00B95C30" w:rsidRPr="00C440B6"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C440B6" w14:paraId="19DFC051" w14:textId="77777777" w:rsidTr="008F4163">
        <w:tc>
          <w:tcPr>
            <w:tcW w:w="2689" w:type="dxa"/>
          </w:tcPr>
          <w:p w14:paraId="6BC0D1AC" w14:textId="77777777" w:rsidR="00B95C30" w:rsidRPr="00C440B6" w:rsidRDefault="00B95C30" w:rsidP="008F4163">
            <w:pPr>
              <w:jc w:val="both"/>
              <w:rPr>
                <w:rFonts w:ascii="Arial" w:eastAsia="Calibri" w:hAnsi="Arial" w:cs="Arial"/>
                <w:color w:val="000000" w:themeColor="text1"/>
                <w:sz w:val="22"/>
                <w:lang w:val="es-ES_tradnl"/>
              </w:rPr>
            </w:pPr>
            <w:r w:rsidRPr="00C440B6">
              <w:rPr>
                <w:rFonts w:ascii="Arial" w:eastAsia="Calibri" w:hAnsi="Arial" w:cs="Arial"/>
                <w:b/>
                <w:color w:val="000000" w:themeColor="text1"/>
                <w:sz w:val="22"/>
                <w:lang w:val="es-ES_tradnl"/>
              </w:rPr>
              <w:t>Temas:</w:t>
            </w:r>
            <w:r w:rsidRPr="00C440B6">
              <w:rPr>
                <w:rFonts w:ascii="Arial" w:eastAsia="Calibri" w:hAnsi="Arial" w:cs="Arial"/>
                <w:color w:val="000000" w:themeColor="text1"/>
                <w:sz w:val="22"/>
                <w:lang w:val="es-ES_tradnl"/>
              </w:rPr>
              <w:t xml:space="preserve">                                      </w:t>
            </w:r>
          </w:p>
        </w:tc>
        <w:tc>
          <w:tcPr>
            <w:tcW w:w="6237" w:type="dxa"/>
          </w:tcPr>
          <w:p w14:paraId="5F389CAF" w14:textId="1FF25F99" w:rsidR="00B95C30" w:rsidRPr="00C440B6" w:rsidRDefault="008B63FE" w:rsidP="008F4163">
            <w:pPr>
              <w:jc w:val="both"/>
              <w:rPr>
                <w:rFonts w:ascii="Arial" w:eastAsia="Calibri" w:hAnsi="Arial" w:cs="Arial"/>
                <w:color w:val="000000" w:themeColor="text1"/>
                <w:sz w:val="22"/>
                <w:lang w:val="es-ES_tradnl"/>
              </w:rPr>
            </w:pPr>
            <w:r w:rsidRPr="00C440B6">
              <w:rPr>
                <w:rFonts w:ascii="Arial" w:eastAsia="Calibri" w:hAnsi="Arial" w:cs="Arial"/>
                <w:bCs/>
                <w:sz w:val="22"/>
                <w:lang w:val="es-ES_tradnl"/>
              </w:rPr>
              <w:t xml:space="preserve">SELECCIÓN OBJETIVA – Contratación estatal – Concepto </w:t>
            </w:r>
            <w:r w:rsidR="00B95C30" w:rsidRPr="00C440B6">
              <w:rPr>
                <w:rFonts w:ascii="Arial" w:eastAsia="Calibri" w:hAnsi="Arial" w:cs="Arial"/>
                <w:bCs/>
                <w:sz w:val="22"/>
                <w:lang w:val="es-ES_tradnl"/>
              </w:rPr>
              <w:t>/</w:t>
            </w:r>
            <w:r w:rsidRPr="00C440B6">
              <w:rPr>
                <w:rFonts w:ascii="Arial" w:eastAsia="Calibri" w:hAnsi="Arial" w:cs="Arial"/>
                <w:bCs/>
                <w:sz w:val="22"/>
                <w:lang w:val="es-ES_tradnl"/>
              </w:rPr>
              <w:t xml:space="preserve"> EMPATE – Procedimiento de selección – Concepto / FACTORES DE DESEMPATE – Características – Límites / LEY DE EMPRENDIMIENTO – Ley </w:t>
            </w:r>
            <w:r w:rsidR="006F0F34">
              <w:rPr>
                <w:rFonts w:ascii="Arial" w:eastAsia="Calibri" w:hAnsi="Arial" w:cs="Arial"/>
                <w:bCs/>
                <w:sz w:val="22"/>
                <w:lang w:val="es-ES_tradnl"/>
              </w:rPr>
              <w:t>2069</w:t>
            </w:r>
            <w:r w:rsidRPr="00C440B6">
              <w:rPr>
                <w:rFonts w:ascii="Arial" w:eastAsia="Calibri" w:hAnsi="Arial" w:cs="Arial"/>
                <w:bCs/>
                <w:sz w:val="22"/>
                <w:lang w:val="es-ES_tradnl"/>
              </w:rPr>
              <w:t xml:space="preserve"> de 2020 – Vigencia / </w:t>
            </w:r>
            <w:r w:rsidR="008120AC" w:rsidRPr="008120AC">
              <w:rPr>
                <w:rFonts w:ascii="Arial" w:eastAsia="Calibri" w:hAnsi="Arial" w:cs="Arial"/>
                <w:bCs/>
                <w:sz w:val="22"/>
                <w:lang w:val="es-ES_tradnl"/>
              </w:rPr>
              <w:t>DECRETO 1082 DE 2015 – Factores de desempate – Mínima cuantía – Derogatoria – Decaimiento</w:t>
            </w:r>
            <w:r w:rsidR="00B95C30" w:rsidRPr="00C440B6">
              <w:rPr>
                <w:rFonts w:ascii="Arial" w:eastAsia="Arial" w:hAnsi="Arial" w:cs="Arial"/>
                <w:sz w:val="22"/>
                <w:lang w:val="es-ES_tradnl"/>
              </w:rPr>
              <w:t>.</w:t>
            </w:r>
          </w:p>
        </w:tc>
      </w:tr>
      <w:tr w:rsidR="00B95C30" w:rsidRPr="00C440B6" w14:paraId="27CD52AB" w14:textId="77777777" w:rsidTr="008F4163">
        <w:tc>
          <w:tcPr>
            <w:tcW w:w="2689" w:type="dxa"/>
          </w:tcPr>
          <w:p w14:paraId="37E195A1" w14:textId="1BA218D5" w:rsidR="00B95C30" w:rsidRPr="00C440B6" w:rsidRDefault="00B95C30" w:rsidP="008F4163">
            <w:pPr>
              <w:spacing w:before="12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Radicación:</w:t>
            </w:r>
            <w:r w:rsidRPr="00C440B6">
              <w:rPr>
                <w:rFonts w:ascii="Arial" w:eastAsia="Calibri" w:hAnsi="Arial" w:cs="Arial"/>
                <w:color w:val="000000" w:themeColor="text1"/>
                <w:sz w:val="22"/>
                <w:lang w:val="es-ES_tradnl"/>
              </w:rPr>
              <w:t xml:space="preserve">                              </w:t>
            </w:r>
          </w:p>
        </w:tc>
        <w:tc>
          <w:tcPr>
            <w:tcW w:w="6237" w:type="dxa"/>
          </w:tcPr>
          <w:p w14:paraId="09088B1B" w14:textId="0F1E3ECB" w:rsidR="00B95C30" w:rsidRPr="00C440B6" w:rsidRDefault="00B95C30" w:rsidP="008F4163">
            <w:pPr>
              <w:spacing w:before="120"/>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Respuesta a consulta # </w:t>
            </w:r>
            <w:r w:rsidR="009172B1" w:rsidRPr="009172B1">
              <w:rPr>
                <w:rFonts w:ascii="Arial" w:eastAsia="Calibri" w:hAnsi="Arial" w:cs="Arial"/>
                <w:color w:val="000000" w:themeColor="text1"/>
                <w:sz w:val="22"/>
                <w:lang w:val="es-ES_tradnl"/>
              </w:rPr>
              <w:t>P20210105000029</w:t>
            </w:r>
          </w:p>
        </w:tc>
      </w:tr>
    </w:tbl>
    <w:p w14:paraId="69729BEF" w14:textId="77777777" w:rsidR="00096D30" w:rsidRDefault="00096D30" w:rsidP="003C3339">
      <w:pPr>
        <w:jc w:val="both"/>
        <w:rPr>
          <w:rFonts w:ascii="Arial" w:eastAsia="Calibri" w:hAnsi="Arial" w:cs="Arial"/>
          <w:color w:val="000000" w:themeColor="text1"/>
          <w:sz w:val="22"/>
          <w:lang w:val="es-ES_tradnl"/>
        </w:rPr>
      </w:pPr>
    </w:p>
    <w:p w14:paraId="43664A51" w14:textId="77777777" w:rsidR="00096D30" w:rsidRDefault="00096D30" w:rsidP="003C3339">
      <w:pPr>
        <w:jc w:val="both"/>
        <w:rPr>
          <w:rFonts w:ascii="Arial" w:eastAsia="Calibri" w:hAnsi="Arial" w:cs="Arial"/>
          <w:color w:val="000000" w:themeColor="text1"/>
          <w:sz w:val="22"/>
          <w:lang w:val="es-ES_tradnl"/>
        </w:rPr>
      </w:pPr>
    </w:p>
    <w:p w14:paraId="1CF4AEA0" w14:textId="383354C7" w:rsidR="003C3339" w:rsidRPr="00C440B6" w:rsidRDefault="003C3339" w:rsidP="003C3339">
      <w:pPr>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Estimad</w:t>
      </w:r>
      <w:r w:rsidR="00C018F7" w:rsidRPr="00C440B6">
        <w:rPr>
          <w:rFonts w:ascii="Arial" w:eastAsia="Calibri" w:hAnsi="Arial" w:cs="Arial"/>
          <w:color w:val="000000" w:themeColor="text1"/>
          <w:sz w:val="22"/>
          <w:lang w:val="es-ES_tradnl"/>
        </w:rPr>
        <w:t>o</w:t>
      </w:r>
      <w:r w:rsidRPr="00C440B6">
        <w:rPr>
          <w:rFonts w:ascii="Arial" w:eastAsia="Calibri" w:hAnsi="Arial" w:cs="Arial"/>
          <w:color w:val="000000" w:themeColor="text1"/>
          <w:sz w:val="22"/>
          <w:lang w:val="es-ES_tradnl"/>
        </w:rPr>
        <w:t xml:space="preserve"> </w:t>
      </w:r>
      <w:r w:rsidR="0063732C" w:rsidRPr="00C440B6">
        <w:rPr>
          <w:rFonts w:ascii="Arial" w:eastAsia="Calibri" w:hAnsi="Arial" w:cs="Arial"/>
          <w:color w:val="000000" w:themeColor="text1"/>
          <w:sz w:val="22"/>
          <w:lang w:val="es-ES_tradnl"/>
        </w:rPr>
        <w:t>señor</w:t>
      </w:r>
      <w:r w:rsidR="00BE4FBF" w:rsidRPr="00C440B6">
        <w:rPr>
          <w:rFonts w:ascii="Arial" w:eastAsia="Calibri" w:hAnsi="Arial" w:cs="Arial"/>
          <w:color w:val="000000" w:themeColor="text1"/>
          <w:sz w:val="22"/>
          <w:lang w:val="es-ES_tradnl"/>
        </w:rPr>
        <w:t xml:space="preserve"> </w:t>
      </w:r>
      <w:r w:rsidR="009172B1">
        <w:rPr>
          <w:rFonts w:ascii="Arial" w:eastAsia="Calibri" w:hAnsi="Arial" w:cs="Arial"/>
          <w:color w:val="000000" w:themeColor="text1"/>
          <w:sz w:val="22"/>
          <w:lang w:val="es-ES_tradnl"/>
        </w:rPr>
        <w:t>Lara Arias</w:t>
      </w:r>
      <w:r w:rsidRPr="00C440B6">
        <w:rPr>
          <w:rFonts w:ascii="Arial" w:eastAsia="Calibri" w:hAnsi="Arial" w:cs="Arial"/>
          <w:color w:val="000000" w:themeColor="text1"/>
          <w:sz w:val="22"/>
          <w:lang w:val="es-ES_tradnl"/>
        </w:rPr>
        <w:t>:</w:t>
      </w:r>
    </w:p>
    <w:p w14:paraId="1EAE5543" w14:textId="77777777" w:rsidR="00DD5B04" w:rsidRPr="00C440B6" w:rsidRDefault="00DD5B04" w:rsidP="00DF76A2">
      <w:pPr>
        <w:jc w:val="both"/>
        <w:rPr>
          <w:rFonts w:ascii="Arial" w:eastAsia="Calibri" w:hAnsi="Arial" w:cs="Arial"/>
          <w:color w:val="000000" w:themeColor="text1"/>
          <w:sz w:val="22"/>
          <w:lang w:val="es-ES_tradnl"/>
        </w:rPr>
      </w:pPr>
    </w:p>
    <w:p w14:paraId="2109B2D3" w14:textId="01BE8AC4" w:rsidR="00DD5B04" w:rsidRPr="00C440B6" w:rsidRDefault="00DD5B04" w:rsidP="00DF76A2">
      <w:pPr>
        <w:spacing w:line="276" w:lineRule="auto"/>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1674D">
        <w:rPr>
          <w:rFonts w:ascii="Arial" w:eastAsia="Calibri" w:hAnsi="Arial" w:cs="Arial"/>
          <w:color w:val="000000" w:themeColor="text1"/>
          <w:sz w:val="22"/>
          <w:lang w:val="es-ES_tradnl"/>
        </w:rPr>
        <w:t>–</w:t>
      </w:r>
      <w:r w:rsidRPr="00C440B6">
        <w:rPr>
          <w:rFonts w:ascii="Arial" w:eastAsia="Calibri" w:hAnsi="Arial" w:cs="Arial"/>
          <w:color w:val="000000" w:themeColor="text1"/>
          <w:sz w:val="22"/>
          <w:lang w:val="es-ES_tradnl"/>
        </w:rPr>
        <w:t xml:space="preserve"> Colombia Compra Eficiente</w:t>
      </w:r>
      <w:r w:rsidR="008C3C57"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 xml:space="preserve">responde su consulta del </w:t>
      </w:r>
      <w:r w:rsidR="009172B1">
        <w:rPr>
          <w:rFonts w:ascii="Arial" w:eastAsia="Calibri" w:hAnsi="Arial" w:cs="Arial"/>
          <w:color w:val="000000" w:themeColor="text1"/>
          <w:sz w:val="22"/>
          <w:lang w:val="es-ES_tradnl"/>
        </w:rPr>
        <w:t>5</w:t>
      </w:r>
      <w:r w:rsidR="00FD4AF3" w:rsidRPr="00C440B6">
        <w:rPr>
          <w:rFonts w:ascii="Arial" w:eastAsia="Calibri" w:hAnsi="Arial" w:cs="Arial"/>
          <w:color w:val="000000" w:themeColor="text1"/>
          <w:sz w:val="22"/>
          <w:lang w:val="es-ES_tradnl"/>
        </w:rPr>
        <w:t xml:space="preserve"> de </w:t>
      </w:r>
      <w:r w:rsidR="00FB0880" w:rsidRPr="00C440B6">
        <w:rPr>
          <w:rFonts w:ascii="Arial" w:eastAsia="Calibri" w:hAnsi="Arial" w:cs="Arial"/>
          <w:color w:val="000000" w:themeColor="text1"/>
          <w:sz w:val="22"/>
          <w:lang w:val="es-ES_tradnl"/>
        </w:rPr>
        <w:t>enero</w:t>
      </w:r>
      <w:r w:rsidRPr="00C440B6">
        <w:rPr>
          <w:rFonts w:ascii="Arial" w:eastAsia="Calibri" w:hAnsi="Arial" w:cs="Arial"/>
          <w:color w:val="000000" w:themeColor="text1"/>
          <w:sz w:val="22"/>
          <w:lang w:val="es-ES_tradnl"/>
        </w:rPr>
        <w:t xml:space="preserve"> del</w:t>
      </w:r>
      <w:r w:rsidR="007E74BF" w:rsidRPr="00C440B6">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202</w:t>
      </w:r>
      <w:r w:rsidR="00FB0880" w:rsidRPr="00C440B6">
        <w:rPr>
          <w:rFonts w:ascii="Arial" w:eastAsia="Calibri" w:hAnsi="Arial" w:cs="Arial"/>
          <w:color w:val="000000" w:themeColor="text1"/>
          <w:sz w:val="22"/>
          <w:lang w:val="es-ES_tradnl"/>
        </w:rPr>
        <w:t>1</w:t>
      </w:r>
      <w:r w:rsidR="008C3C57" w:rsidRPr="00C440B6">
        <w:rPr>
          <w:rFonts w:ascii="Arial" w:eastAsia="Calibri" w:hAnsi="Arial" w:cs="Arial"/>
          <w:color w:val="000000" w:themeColor="text1"/>
          <w:sz w:val="22"/>
          <w:lang w:val="es-ES_tradnl"/>
        </w:rPr>
        <w:t>.</w:t>
      </w:r>
    </w:p>
    <w:p w14:paraId="0C1E0712" w14:textId="77777777" w:rsidR="00DD5B04" w:rsidRPr="00C440B6"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C440B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 xml:space="preserve">Problema planteado </w:t>
      </w:r>
    </w:p>
    <w:p w14:paraId="224B43D3" w14:textId="77777777" w:rsidR="00DD5B04" w:rsidRPr="00C440B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385BE9D6" w:rsidR="00443B55" w:rsidRPr="00C440B6" w:rsidRDefault="00DD5B04" w:rsidP="009172B1">
      <w:pPr>
        <w:spacing w:line="276" w:lineRule="auto"/>
        <w:jc w:val="both"/>
        <w:rPr>
          <w:rFonts w:ascii="Arial" w:hAnsi="Arial" w:cs="Arial"/>
          <w:color w:val="000000" w:themeColor="text1"/>
          <w:sz w:val="22"/>
          <w:lang w:val="es-ES_tradnl"/>
        </w:rPr>
      </w:pPr>
      <w:r w:rsidRPr="00C440B6">
        <w:rPr>
          <w:rFonts w:ascii="Arial" w:hAnsi="Arial" w:cs="Arial"/>
          <w:color w:val="000000" w:themeColor="text1"/>
          <w:sz w:val="22"/>
          <w:lang w:val="es-ES_tradnl"/>
        </w:rPr>
        <w:t xml:space="preserve">Usted </w:t>
      </w:r>
      <w:r w:rsidR="00B422C0" w:rsidRPr="00C440B6">
        <w:rPr>
          <w:rFonts w:ascii="Arial" w:hAnsi="Arial" w:cs="Arial"/>
          <w:color w:val="000000" w:themeColor="text1"/>
          <w:sz w:val="22"/>
          <w:lang w:val="es-ES_tradnl"/>
        </w:rPr>
        <w:t>formula</w:t>
      </w:r>
      <w:r w:rsidR="006D46A3" w:rsidRPr="00C440B6">
        <w:rPr>
          <w:rFonts w:ascii="Arial" w:hAnsi="Arial" w:cs="Arial"/>
          <w:color w:val="000000" w:themeColor="text1"/>
          <w:sz w:val="22"/>
          <w:lang w:val="es-ES_tradnl"/>
        </w:rPr>
        <w:t xml:space="preserve"> la siguiente</w:t>
      </w:r>
      <w:r w:rsidR="00C028F5" w:rsidRPr="00C440B6">
        <w:rPr>
          <w:rFonts w:ascii="Arial" w:hAnsi="Arial" w:cs="Arial"/>
          <w:color w:val="000000" w:themeColor="text1"/>
          <w:sz w:val="22"/>
          <w:lang w:val="es-ES_tradnl"/>
        </w:rPr>
        <w:t xml:space="preserve"> </w:t>
      </w:r>
      <w:r w:rsidR="009172B1">
        <w:rPr>
          <w:rFonts w:ascii="Arial" w:hAnsi="Arial" w:cs="Arial"/>
          <w:color w:val="000000" w:themeColor="text1"/>
          <w:sz w:val="22"/>
          <w:lang w:val="es-ES_tradnl"/>
        </w:rPr>
        <w:t>consulta</w:t>
      </w:r>
      <w:r w:rsidR="00B422C0" w:rsidRPr="00C440B6">
        <w:rPr>
          <w:rFonts w:ascii="Arial" w:hAnsi="Arial" w:cs="Arial"/>
          <w:color w:val="000000" w:themeColor="text1"/>
          <w:sz w:val="22"/>
          <w:lang w:val="es-ES_tradnl"/>
        </w:rPr>
        <w:t>:</w:t>
      </w:r>
      <w:r w:rsidR="009172B1">
        <w:rPr>
          <w:rFonts w:ascii="Arial" w:hAnsi="Arial" w:cs="Arial"/>
          <w:color w:val="000000" w:themeColor="text1"/>
          <w:sz w:val="22"/>
          <w:lang w:val="es-ES_tradnl"/>
        </w:rPr>
        <w:t xml:space="preserve"> </w:t>
      </w:r>
      <w:bookmarkStart w:id="3" w:name="_Hlk64300916"/>
      <w:r w:rsidR="009172B1">
        <w:rPr>
          <w:rFonts w:ascii="Arial" w:hAnsi="Arial" w:cs="Arial"/>
          <w:color w:val="000000" w:themeColor="text1"/>
          <w:sz w:val="22"/>
          <w:lang w:val="es-ES_tradnl"/>
        </w:rPr>
        <w:t>«</w:t>
      </w:r>
      <w:r w:rsidR="009172B1" w:rsidRPr="009172B1">
        <w:rPr>
          <w:rFonts w:ascii="Arial" w:hAnsi="Arial" w:cs="Arial"/>
          <w:color w:val="000000" w:themeColor="text1"/>
          <w:sz w:val="22"/>
          <w:lang w:val="es-ES_tradnl"/>
        </w:rPr>
        <w:t>Con la vigencia de la ley 2069 de 2020, que en su artículo 35 establece los criterios de desempate en los Procesos de Contratación realizados con cargo a</w:t>
      </w:r>
      <w:r w:rsidR="009172B1">
        <w:rPr>
          <w:rFonts w:ascii="Arial" w:hAnsi="Arial" w:cs="Arial"/>
          <w:color w:val="000000" w:themeColor="text1"/>
          <w:sz w:val="22"/>
          <w:lang w:val="es-ES_tradnl"/>
        </w:rPr>
        <w:t xml:space="preserve"> </w:t>
      </w:r>
      <w:r w:rsidR="009172B1" w:rsidRPr="009172B1">
        <w:rPr>
          <w:rFonts w:ascii="Arial" w:hAnsi="Arial" w:cs="Arial"/>
          <w:color w:val="000000" w:themeColor="text1"/>
          <w:sz w:val="22"/>
          <w:lang w:val="es-ES_tradnl"/>
        </w:rPr>
        <w:t>recursos públicos, se pregunta, y dado que la norma no distingue sino que habla de los procesos en general, si estos criterios aplican también para los de mínima cuantía, o si para éstos siguen vigentes los criterios establecidos en el artículo 2.2.1.2.1.5.3. el decreto 1082 de 2015</w:t>
      </w:r>
      <w:r w:rsidR="009172B1">
        <w:rPr>
          <w:rFonts w:ascii="Arial" w:hAnsi="Arial" w:cs="Arial"/>
          <w:color w:val="000000" w:themeColor="text1"/>
          <w:sz w:val="22"/>
          <w:lang w:val="es-ES_tradnl"/>
        </w:rPr>
        <w:t>»</w:t>
      </w:r>
      <w:r w:rsidR="00CC3995">
        <w:rPr>
          <w:rFonts w:ascii="Arial" w:hAnsi="Arial" w:cs="Arial"/>
          <w:color w:val="000000" w:themeColor="text1"/>
          <w:sz w:val="22"/>
          <w:lang w:val="es-ES_tradnl"/>
        </w:rPr>
        <w:t>.</w:t>
      </w:r>
      <w:bookmarkEnd w:id="3"/>
      <w:r w:rsidR="007E18DF" w:rsidRPr="00C440B6">
        <w:rPr>
          <w:rFonts w:ascii="Arial" w:hAnsi="Arial" w:cs="Arial"/>
          <w:color w:val="000000" w:themeColor="text1"/>
          <w:sz w:val="22"/>
          <w:lang w:val="es-ES_tradnl"/>
        </w:rPr>
        <w:t xml:space="preserve"> </w:t>
      </w:r>
    </w:p>
    <w:p w14:paraId="5E7EF83A" w14:textId="77777777" w:rsidR="00F80411" w:rsidRPr="005419DA" w:rsidRDefault="00F80411" w:rsidP="009172B1">
      <w:pPr>
        <w:ind w:right="709"/>
        <w:jc w:val="both"/>
        <w:rPr>
          <w:rFonts w:ascii="Arial" w:hAnsi="Arial" w:cs="Arial"/>
          <w:color w:val="000000" w:themeColor="text1"/>
          <w:sz w:val="21"/>
          <w:szCs w:val="21"/>
          <w:lang w:val="es-ES_tradnl"/>
        </w:rPr>
      </w:pPr>
    </w:p>
    <w:p w14:paraId="4805B484" w14:textId="77777777" w:rsidR="00F80411" w:rsidRPr="005419DA"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419DA">
        <w:rPr>
          <w:rFonts w:ascii="Arial" w:eastAsia="Calibri" w:hAnsi="Arial" w:cs="Arial"/>
          <w:b/>
          <w:color w:val="000000" w:themeColor="text1"/>
          <w:sz w:val="22"/>
          <w:lang w:val="es-ES_tradnl"/>
        </w:rPr>
        <w:t>Consideraciones</w:t>
      </w:r>
    </w:p>
    <w:p w14:paraId="1DEB17ED"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5F01AF1F" w14:textId="77777777" w:rsidR="00F80411" w:rsidRPr="005419DA" w:rsidRDefault="00F80411" w:rsidP="00191AE3">
      <w:pPr>
        <w:spacing w:after="120"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La Subdirección de Gestión Contractual responderá la consulta, luego de analizar los siguientes temas: i) definición de los criterios de desempate en la contratación estatal, ii) </w:t>
      </w:r>
      <w:r w:rsidRPr="005419DA">
        <w:rPr>
          <w:rFonts w:ascii="Arial" w:eastAsia="Calibri" w:hAnsi="Arial" w:cs="Arial"/>
          <w:color w:val="000000" w:themeColor="text1"/>
          <w:sz w:val="22"/>
          <w:szCs w:val="22"/>
          <w:lang w:val="es-ES_tradnl"/>
        </w:rPr>
        <w:lastRenderedPageBreak/>
        <w:t xml:space="preserve">vigencia y ámbito de aplicación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y iii) forma de acreditación de los factores de desempate consagrados en el artículo 35 de la mencionada Ley.</w:t>
      </w:r>
    </w:p>
    <w:p w14:paraId="5EA811CD" w14:textId="0F74F78E" w:rsidR="00F80411" w:rsidRPr="00035FA2" w:rsidRDefault="00191AE3" w:rsidP="00035FA2">
      <w:pPr>
        <w:tabs>
          <w:tab w:val="left" w:pos="426"/>
        </w:tabs>
        <w:spacing w:line="276" w:lineRule="auto"/>
        <w:jc w:val="both"/>
        <w:rPr>
          <w:rFonts w:ascii="Arial" w:eastAsia="Calibri" w:hAnsi="Arial" w:cs="Arial"/>
          <w:bCs/>
          <w:color w:val="000000" w:themeColor="text1"/>
          <w:sz w:val="22"/>
          <w:szCs w:val="22"/>
          <w:lang w:eastAsia="en-US"/>
        </w:rPr>
      </w:pPr>
      <w:r>
        <w:rPr>
          <w:rFonts w:ascii="Arial" w:eastAsia="Calibri" w:hAnsi="Arial" w:cs="Arial"/>
          <w:color w:val="000000" w:themeColor="text1"/>
          <w:sz w:val="22"/>
          <w:szCs w:val="22"/>
          <w:lang w:val="es-ES_tradnl"/>
        </w:rPr>
        <w:tab/>
      </w:r>
      <w:r>
        <w:rPr>
          <w:rFonts w:ascii="Arial" w:eastAsia="Calibri" w:hAnsi="Arial" w:cs="Arial"/>
          <w:color w:val="000000" w:themeColor="text1"/>
          <w:sz w:val="22"/>
          <w:szCs w:val="22"/>
          <w:lang w:val="es-ES_tradnl"/>
        </w:rPr>
        <w:tab/>
      </w:r>
      <w:r w:rsidR="00F80411" w:rsidRPr="005419DA">
        <w:rPr>
          <w:rFonts w:ascii="Arial" w:eastAsia="Calibri" w:hAnsi="Arial" w:cs="Arial"/>
          <w:color w:val="000000" w:themeColor="text1"/>
          <w:sz w:val="22"/>
          <w:szCs w:val="22"/>
          <w:lang w:val="es-ES_tradnl"/>
        </w:rPr>
        <w:t>Es importante destacar que 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w:t>
      </w:r>
      <w:r w:rsidR="00035FA2">
        <w:rPr>
          <w:rFonts w:ascii="Arial" w:eastAsia="Calibri" w:hAnsi="Arial" w:cs="Arial"/>
          <w:color w:val="000000" w:themeColor="text1"/>
          <w:sz w:val="22"/>
          <w:szCs w:val="22"/>
          <w:lang w:val="es-ES_tradnl"/>
        </w:rPr>
        <w:t xml:space="preserve"> </w:t>
      </w:r>
      <w:r w:rsidR="00035FA2">
        <w:rPr>
          <w:rFonts w:ascii="Arial" w:eastAsia="Calibri" w:hAnsi="Arial" w:cs="Arial"/>
          <w:bCs/>
          <w:color w:val="000000" w:themeColor="text1"/>
          <w:sz w:val="22"/>
        </w:rPr>
        <w:t>Igualmente, en los Conceptos C-009, 012, 013, 015, 016, 026 del 4 de febrero de 2021, así como en los Conceptos C-006 del 5 de febrero de 2021 y C-043 del 9 de febrero de 2021, se analizaron algunos aspectos sobre la aplicación de la Ley de Emprendimiento.</w:t>
      </w:r>
      <w:r w:rsidR="00F80411" w:rsidRPr="005419DA">
        <w:rPr>
          <w:rFonts w:ascii="Arial" w:eastAsia="Calibri" w:hAnsi="Arial" w:cs="Arial"/>
          <w:color w:val="000000" w:themeColor="text1"/>
          <w:sz w:val="22"/>
          <w:szCs w:val="22"/>
          <w:lang w:val="es-ES_tradnl"/>
        </w:rPr>
        <w:t xml:space="preserve"> </w:t>
      </w:r>
      <w:r w:rsidR="00035FA2">
        <w:rPr>
          <w:rFonts w:ascii="Arial" w:eastAsia="Calibri" w:hAnsi="Arial" w:cs="Arial"/>
          <w:bCs/>
          <w:color w:val="000000" w:themeColor="text1"/>
          <w:sz w:val="22"/>
        </w:rPr>
        <w:t>En lo pertinente, la tesis desarrollada en estos conceptos se reitera a continuación:</w:t>
      </w:r>
    </w:p>
    <w:p w14:paraId="70BFC1A2"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07744DBB" w14:textId="77777777" w:rsidR="00F80411" w:rsidRPr="005419DA" w:rsidRDefault="00F80411" w:rsidP="00F80411">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2.1. Factores de desempate en la contratación estatal: concepto y características</w:t>
      </w:r>
    </w:p>
    <w:p w14:paraId="13D6A560"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2C930E52"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20992D58"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F6D3C5F"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Pero, ni siquiera los casos de empate limitan el alcance de la selección objetiva en la contratación estatal. Por el contrario, en estos supuestos también debe mantenerse </w:t>
      </w:r>
      <w:r w:rsidRPr="005419DA">
        <w:rPr>
          <w:rFonts w:ascii="Arial" w:eastAsia="Calibri" w:hAnsi="Arial" w:cs="Arial"/>
          <w:color w:val="000000" w:themeColor="text1"/>
          <w:sz w:val="22"/>
          <w:szCs w:val="22"/>
          <w:lang w:val="es-ES_tradnl"/>
        </w:rPr>
        <w:lastRenderedPageBreak/>
        <w:t xml:space="preserve">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La </w:t>
      </w:r>
      <w:r>
        <w:rPr>
          <w:rFonts w:ascii="Arial" w:eastAsia="Calibri" w:hAnsi="Arial" w:cs="Arial"/>
          <w:color w:val="000000" w:themeColor="text1"/>
          <w:sz w:val="22"/>
          <w:szCs w:val="22"/>
          <w:lang w:val="es-ES_tradnl"/>
        </w:rPr>
        <w:t>jurisprudencia</w:t>
      </w:r>
      <w:r w:rsidRPr="005419DA">
        <w:rPr>
          <w:rFonts w:ascii="Arial" w:eastAsia="Calibri" w:hAnsi="Arial" w:cs="Arial"/>
          <w:color w:val="000000" w:themeColor="text1"/>
          <w:sz w:val="22"/>
          <w:szCs w:val="22"/>
          <w:lang w:val="es-ES_tradnl"/>
        </w:rPr>
        <w:t xml:space="preserve"> comparte la idea de que los criterios de desempate deben estar establecidos de antemano y constituyen un límite a la discrecionalidad administrativa en los procedimientos de selección</w:t>
      </w:r>
      <w:r w:rsidRPr="005419DA">
        <w:rPr>
          <w:rStyle w:val="Refdenotaalpie"/>
          <w:rFonts w:ascii="Arial" w:hAnsi="Arial" w:cs="Arial"/>
          <w:sz w:val="21"/>
          <w:szCs w:val="21"/>
          <w:lang w:val="es-ES_tradnl"/>
        </w:rPr>
        <w:footnoteReference w:id="2"/>
      </w:r>
      <w:r w:rsidRPr="005419DA">
        <w:rPr>
          <w:rFonts w:ascii="Arial" w:eastAsia="Calibri" w:hAnsi="Arial" w:cs="Arial"/>
          <w:color w:val="000000" w:themeColor="text1"/>
          <w:sz w:val="22"/>
          <w:szCs w:val="22"/>
          <w:lang w:val="es-ES_tradnl"/>
        </w:rPr>
        <w:t xml:space="preserve">. </w:t>
      </w:r>
    </w:p>
    <w:p w14:paraId="0CB1D338"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5419DA">
        <w:rPr>
          <w:rStyle w:val="Refdenotaalpie"/>
          <w:rFonts w:ascii="Arial" w:eastAsia="Calibri" w:hAnsi="Arial" w:cs="Arial"/>
          <w:color w:val="000000" w:themeColor="text1"/>
          <w:sz w:val="22"/>
          <w:szCs w:val="22"/>
          <w:lang w:val="es-ES_tradnl"/>
        </w:rPr>
        <w:footnoteReference w:id="3"/>
      </w:r>
      <w:r w:rsidRPr="005419DA">
        <w:rPr>
          <w:rFonts w:ascii="Arial" w:eastAsia="Calibri" w:hAnsi="Arial" w:cs="Arial"/>
          <w:color w:val="000000" w:themeColor="text1"/>
          <w:sz w:val="22"/>
          <w:szCs w:val="22"/>
          <w:lang w:val="es-ES_tradnl"/>
        </w:rPr>
        <w:t>. Es más, según el Consejo de Estado, ir en contra de los factores de desempate establecidos expresamente genera la nulidad del contrato, conforme al artículo 44, inciso 1º de la Ley 80 de 1993</w:t>
      </w:r>
      <w:r w:rsidRPr="005419DA">
        <w:rPr>
          <w:rStyle w:val="Refdenotaalpie"/>
          <w:rFonts w:ascii="Arial" w:eastAsia="Calibri" w:hAnsi="Arial" w:cs="Arial"/>
          <w:color w:val="000000" w:themeColor="text1"/>
          <w:sz w:val="22"/>
          <w:szCs w:val="22"/>
          <w:lang w:val="es-ES_tradnl"/>
        </w:rPr>
        <w:footnoteReference w:id="4"/>
      </w:r>
      <w:r w:rsidRPr="005419DA">
        <w:rPr>
          <w:rFonts w:ascii="Arial" w:eastAsia="Calibri" w:hAnsi="Arial" w:cs="Arial"/>
          <w:color w:val="000000" w:themeColor="text1"/>
          <w:sz w:val="22"/>
          <w:szCs w:val="22"/>
          <w:lang w:val="es-ES_tradnl"/>
        </w:rPr>
        <w:t>.</w:t>
      </w:r>
    </w:p>
    <w:p w14:paraId="1D00C27E"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Ahora bien, en cumplimiento de los principios de reciprocidad y de </w:t>
      </w:r>
      <w:r w:rsidRPr="005419DA">
        <w:rPr>
          <w:rFonts w:ascii="Arial" w:eastAsia="Calibri" w:hAnsi="Arial" w:cs="Arial"/>
          <w:i/>
          <w:iCs/>
          <w:color w:val="000000" w:themeColor="text1"/>
          <w:sz w:val="22"/>
          <w:szCs w:val="22"/>
          <w:lang w:val="es-ES_tradnl"/>
        </w:rPr>
        <w:t>pacta sunt servanda</w:t>
      </w:r>
      <w:r w:rsidRPr="005419DA">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413229A0" w14:textId="77777777" w:rsidR="00F80411" w:rsidRPr="005419DA" w:rsidRDefault="00F80411" w:rsidP="00F80411">
      <w:pPr>
        <w:spacing w:line="276" w:lineRule="auto"/>
        <w:rPr>
          <w:rFonts w:ascii="Arial" w:eastAsia="Calibri" w:hAnsi="Arial" w:cs="Arial"/>
          <w:color w:val="000000" w:themeColor="text1"/>
          <w:sz w:val="22"/>
          <w:szCs w:val="22"/>
          <w:lang w:val="es-ES_tradnl"/>
        </w:rPr>
      </w:pPr>
    </w:p>
    <w:p w14:paraId="3C73AE66" w14:textId="77777777" w:rsidR="00F80411" w:rsidRPr="005419DA" w:rsidRDefault="00F80411" w:rsidP="00F80411">
      <w:pPr>
        <w:spacing w:line="276" w:lineRule="auto"/>
        <w:jc w:val="both"/>
        <w:rPr>
          <w:rFonts w:ascii="Arial" w:eastAsia="Calibri" w:hAnsi="Arial" w:cs="Arial"/>
          <w:b/>
          <w:bCs/>
          <w:color w:val="000000" w:themeColor="text1"/>
          <w:sz w:val="22"/>
          <w:szCs w:val="22"/>
          <w:lang w:val="es-ES_tradnl"/>
        </w:rPr>
      </w:pPr>
      <w:r w:rsidRPr="005419DA">
        <w:rPr>
          <w:rFonts w:ascii="Arial" w:eastAsia="Calibri" w:hAnsi="Arial" w:cs="Arial"/>
          <w:b/>
          <w:bCs/>
          <w:color w:val="000000" w:themeColor="text1"/>
          <w:sz w:val="22"/>
          <w:szCs w:val="22"/>
          <w:lang w:val="es-ES_tradnl"/>
        </w:rPr>
        <w:t xml:space="preserve">2.2. Vigencia y ámbito de aplicación de la Ley </w:t>
      </w:r>
      <w:r>
        <w:rPr>
          <w:rFonts w:ascii="Arial" w:eastAsia="Calibri" w:hAnsi="Arial" w:cs="Arial"/>
          <w:b/>
          <w:bCs/>
          <w:color w:val="000000" w:themeColor="text1"/>
          <w:sz w:val="22"/>
          <w:szCs w:val="22"/>
          <w:lang w:val="es-ES_tradnl"/>
        </w:rPr>
        <w:t>2069</w:t>
      </w:r>
      <w:r w:rsidRPr="005419DA">
        <w:rPr>
          <w:rFonts w:ascii="Arial" w:eastAsia="Calibri" w:hAnsi="Arial" w:cs="Arial"/>
          <w:b/>
          <w:bCs/>
          <w:color w:val="000000" w:themeColor="text1"/>
          <w:sz w:val="22"/>
          <w:szCs w:val="22"/>
          <w:lang w:val="es-ES_tradnl"/>
        </w:rPr>
        <w:t xml:space="preserve"> de 2020</w:t>
      </w:r>
    </w:p>
    <w:p w14:paraId="3CF65FA3"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p>
    <w:p w14:paraId="52BFCF39" w14:textId="77777777" w:rsidR="00F80411" w:rsidRPr="005419DA" w:rsidRDefault="00F80411" w:rsidP="00F80411">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El 31 de diciembre de 2020 se promulgó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w:t>
      </w:r>
      <w:r w:rsidRPr="005419DA">
        <w:rPr>
          <w:rFonts w:ascii="Arial" w:eastAsia="Calibri" w:hAnsi="Arial" w:cs="Arial"/>
          <w:color w:val="000000" w:themeColor="text1"/>
          <w:sz w:val="22"/>
          <w:szCs w:val="22"/>
          <w:lang w:val="es-ES_tradnl"/>
        </w:rPr>
        <w:lastRenderedPageBreak/>
        <w:t>confiere el artículo 189, numeral 11, de la Constitución Política, expida el decreto correspondiente que permita la cumplida ejecución de esta Ley.</w:t>
      </w:r>
    </w:p>
    <w:p w14:paraId="237DA3D6" w14:textId="77777777" w:rsidR="00F80411" w:rsidRPr="005419DA" w:rsidRDefault="00F80411" w:rsidP="00F8041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En cuando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5419DA">
        <w:rPr>
          <w:rStyle w:val="Refdenotaalpie"/>
          <w:rFonts w:ascii="Arial" w:eastAsia="Calibri" w:hAnsi="Arial" w:cs="Arial"/>
          <w:color w:val="000000" w:themeColor="text1"/>
          <w:sz w:val="22"/>
          <w:szCs w:val="22"/>
          <w:lang w:val="es-ES_tradnl"/>
        </w:rPr>
        <w:footnoteReference w:id="5"/>
      </w:r>
      <w:r w:rsidRPr="005419DA">
        <w:rPr>
          <w:rFonts w:ascii="Arial" w:eastAsia="Calibri" w:hAnsi="Arial" w:cs="Arial"/>
          <w:color w:val="000000" w:themeColor="text1"/>
          <w:sz w:val="22"/>
          <w:szCs w:val="22"/>
          <w:lang w:val="es-ES_tradnl"/>
        </w:rPr>
        <w:t>, así como incentivos a favor de aquellas dentro del sistema de compras y contratación pública</w:t>
      </w:r>
      <w:r w:rsidRPr="005419DA">
        <w:rPr>
          <w:rStyle w:val="Refdenotaalpie"/>
          <w:rFonts w:ascii="Arial" w:eastAsia="Calibri" w:hAnsi="Arial" w:cs="Arial"/>
          <w:color w:val="000000" w:themeColor="text1"/>
          <w:sz w:val="22"/>
          <w:szCs w:val="22"/>
          <w:lang w:val="es-ES_tradnl"/>
        </w:rPr>
        <w:footnoteReference w:id="6"/>
      </w:r>
      <w:r w:rsidRPr="005419DA">
        <w:rPr>
          <w:rFonts w:ascii="Arial" w:eastAsia="Calibri" w:hAnsi="Arial" w:cs="Arial"/>
          <w:color w:val="000000" w:themeColor="text1"/>
          <w:sz w:val="22"/>
          <w:szCs w:val="22"/>
          <w:lang w:val="es-ES_tradnl"/>
        </w:rPr>
        <w:t>. También se consagran mecanismos de acceso al financiamiento</w:t>
      </w:r>
      <w:r w:rsidRPr="005419DA">
        <w:rPr>
          <w:rStyle w:val="Refdenotaalpie"/>
          <w:rFonts w:ascii="Arial" w:eastAsia="Calibri" w:hAnsi="Arial" w:cs="Arial"/>
          <w:color w:val="000000" w:themeColor="text1"/>
          <w:sz w:val="22"/>
          <w:szCs w:val="22"/>
          <w:lang w:val="es-ES_tradnl"/>
        </w:rPr>
        <w:footnoteReference w:id="7"/>
      </w:r>
      <w:r w:rsidRPr="005419DA">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5419DA">
        <w:rPr>
          <w:rStyle w:val="Refdenotaalpie"/>
          <w:rFonts w:ascii="Arial" w:eastAsia="Calibri" w:hAnsi="Arial" w:cs="Arial"/>
          <w:color w:val="000000" w:themeColor="text1"/>
          <w:sz w:val="22"/>
          <w:szCs w:val="22"/>
          <w:lang w:val="es-ES_tradnl"/>
        </w:rPr>
        <w:footnoteReference w:id="8"/>
      </w:r>
      <w:r w:rsidRPr="005419DA">
        <w:rPr>
          <w:rFonts w:ascii="Arial" w:eastAsia="Calibri" w:hAnsi="Arial" w:cs="Arial"/>
          <w:color w:val="000000" w:themeColor="text1"/>
          <w:sz w:val="22"/>
          <w:szCs w:val="22"/>
          <w:lang w:val="es-ES_tradnl"/>
        </w:rPr>
        <w:t xml:space="preserve"> y se prevén medidas de educación para el emprendimiento y la innovación</w:t>
      </w:r>
      <w:r w:rsidRPr="005419DA">
        <w:rPr>
          <w:rStyle w:val="Refdenotaalpie"/>
          <w:rFonts w:ascii="Arial" w:eastAsia="Calibri" w:hAnsi="Arial" w:cs="Arial"/>
          <w:color w:val="000000" w:themeColor="text1"/>
          <w:sz w:val="22"/>
          <w:szCs w:val="22"/>
          <w:lang w:val="es-ES_tradnl"/>
        </w:rPr>
        <w:footnoteReference w:id="9"/>
      </w:r>
      <w:r w:rsidRPr="005419DA">
        <w:rPr>
          <w:rFonts w:ascii="Arial" w:eastAsia="Calibri" w:hAnsi="Arial" w:cs="Arial"/>
          <w:color w:val="000000" w:themeColor="text1"/>
          <w:sz w:val="22"/>
          <w:szCs w:val="22"/>
          <w:lang w:val="es-ES_tradnl"/>
        </w:rPr>
        <w:t>.</w:t>
      </w:r>
    </w:p>
    <w:p w14:paraId="3F42E22F" w14:textId="3B893FF7" w:rsidR="001B0F40" w:rsidRPr="009B0101" w:rsidRDefault="00F80411" w:rsidP="009B0101">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indicó, parte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0F9968F1" w14:textId="77777777" w:rsidR="001B0F40" w:rsidRDefault="001B0F40" w:rsidP="00833ADA">
      <w:pPr>
        <w:spacing w:line="276" w:lineRule="auto"/>
        <w:jc w:val="both"/>
        <w:rPr>
          <w:rFonts w:ascii="Arial" w:eastAsia="Calibri" w:hAnsi="Arial" w:cs="Arial"/>
          <w:b/>
          <w:bCs/>
          <w:color w:val="000000" w:themeColor="text1"/>
          <w:sz w:val="22"/>
          <w:szCs w:val="22"/>
          <w:lang w:val="es-ES_tradnl"/>
        </w:rPr>
      </w:pPr>
    </w:p>
    <w:p w14:paraId="2C2833A6" w14:textId="37CA57A2" w:rsidR="00833ADA" w:rsidRPr="00C440B6" w:rsidRDefault="00523F41" w:rsidP="00833ADA">
      <w:pPr>
        <w:spacing w:line="276" w:lineRule="auto"/>
        <w:jc w:val="both"/>
        <w:rPr>
          <w:rFonts w:ascii="Arial" w:eastAsia="Calibri" w:hAnsi="Arial" w:cs="Arial"/>
          <w:b/>
          <w:bCs/>
          <w:color w:val="000000" w:themeColor="text1"/>
          <w:sz w:val="22"/>
          <w:szCs w:val="22"/>
          <w:lang w:val="es-ES_tradnl"/>
        </w:rPr>
      </w:pPr>
      <w:r w:rsidRPr="00C440B6">
        <w:rPr>
          <w:rFonts w:ascii="Arial" w:eastAsia="Calibri" w:hAnsi="Arial" w:cs="Arial"/>
          <w:b/>
          <w:bCs/>
          <w:color w:val="000000" w:themeColor="text1"/>
          <w:sz w:val="22"/>
          <w:szCs w:val="22"/>
          <w:lang w:val="es-ES_tradnl"/>
        </w:rPr>
        <w:t>2.3.</w:t>
      </w:r>
      <w:r w:rsidR="00833ADA" w:rsidRPr="00C440B6">
        <w:rPr>
          <w:rFonts w:ascii="Arial" w:eastAsia="Calibri" w:hAnsi="Arial" w:cs="Arial"/>
          <w:b/>
          <w:bCs/>
          <w:color w:val="000000" w:themeColor="text1"/>
          <w:sz w:val="22"/>
          <w:szCs w:val="22"/>
          <w:lang w:val="es-ES_tradnl"/>
        </w:rPr>
        <w:t xml:space="preserve"> </w:t>
      </w:r>
      <w:r w:rsidR="000A43B0">
        <w:rPr>
          <w:rFonts w:ascii="Arial" w:eastAsia="Calibri" w:hAnsi="Arial" w:cs="Arial"/>
          <w:b/>
          <w:bCs/>
          <w:color w:val="000000" w:themeColor="text1"/>
          <w:sz w:val="22"/>
          <w:szCs w:val="22"/>
          <w:lang w:val="es-ES_tradnl"/>
        </w:rPr>
        <w:t>D</w:t>
      </w:r>
      <w:r w:rsidR="000A43B0" w:rsidRPr="000A43B0">
        <w:rPr>
          <w:rFonts w:ascii="Arial" w:eastAsia="Calibri" w:hAnsi="Arial" w:cs="Arial"/>
          <w:b/>
          <w:bCs/>
          <w:color w:val="000000" w:themeColor="text1"/>
          <w:sz w:val="22"/>
          <w:szCs w:val="22"/>
          <w:lang w:val="es-ES_tradnl"/>
        </w:rPr>
        <w:t>erogatoria producida por el artículo 35 de la Ley</w:t>
      </w:r>
      <w:r w:rsidR="000A43B0">
        <w:rPr>
          <w:rFonts w:ascii="Arial" w:eastAsia="Calibri" w:hAnsi="Arial" w:cs="Arial"/>
          <w:b/>
          <w:bCs/>
          <w:color w:val="000000" w:themeColor="text1"/>
          <w:sz w:val="22"/>
          <w:szCs w:val="22"/>
          <w:lang w:val="es-ES_tradnl"/>
        </w:rPr>
        <w:t xml:space="preserve"> </w:t>
      </w:r>
      <w:r w:rsidR="006F0F34">
        <w:rPr>
          <w:rFonts w:ascii="Arial" w:eastAsia="Calibri" w:hAnsi="Arial" w:cs="Arial"/>
          <w:b/>
          <w:bCs/>
          <w:color w:val="000000" w:themeColor="text1"/>
          <w:sz w:val="22"/>
          <w:szCs w:val="22"/>
          <w:lang w:val="es-ES_tradnl"/>
        </w:rPr>
        <w:t>2069</w:t>
      </w:r>
      <w:r w:rsidR="000A43B0">
        <w:rPr>
          <w:rFonts w:ascii="Arial" w:eastAsia="Calibri" w:hAnsi="Arial" w:cs="Arial"/>
          <w:b/>
          <w:bCs/>
          <w:color w:val="000000" w:themeColor="text1"/>
          <w:sz w:val="22"/>
          <w:szCs w:val="22"/>
          <w:lang w:val="es-ES_tradnl"/>
        </w:rPr>
        <w:t xml:space="preserve"> de 2020</w:t>
      </w:r>
      <w:r w:rsidR="000A43B0" w:rsidRPr="000A43B0">
        <w:rPr>
          <w:rFonts w:ascii="Arial" w:eastAsia="Calibri" w:hAnsi="Arial" w:cs="Arial"/>
          <w:b/>
          <w:bCs/>
          <w:color w:val="000000" w:themeColor="text1"/>
          <w:sz w:val="22"/>
          <w:szCs w:val="22"/>
          <w:lang w:val="es-ES_tradnl"/>
        </w:rPr>
        <w:t xml:space="preserve"> </w:t>
      </w:r>
      <w:r w:rsidR="00035FA2">
        <w:rPr>
          <w:rFonts w:ascii="Arial" w:eastAsia="Calibri" w:hAnsi="Arial" w:cs="Arial"/>
          <w:b/>
          <w:bCs/>
          <w:color w:val="000000" w:themeColor="text1"/>
          <w:sz w:val="22"/>
          <w:szCs w:val="22"/>
          <w:lang w:val="es-ES_tradnl"/>
        </w:rPr>
        <w:t>a los factores de desempate del Decreto</w:t>
      </w:r>
      <w:r w:rsidR="000A43B0" w:rsidRPr="000A43B0">
        <w:rPr>
          <w:rFonts w:ascii="Arial" w:eastAsia="Calibri" w:hAnsi="Arial" w:cs="Arial"/>
          <w:b/>
          <w:bCs/>
          <w:color w:val="000000" w:themeColor="text1"/>
          <w:sz w:val="22"/>
          <w:szCs w:val="22"/>
          <w:lang w:val="es-ES_tradnl"/>
        </w:rPr>
        <w:t xml:space="preserve"> 1082 de 2015.</w:t>
      </w:r>
    </w:p>
    <w:p w14:paraId="39B77F09" w14:textId="77777777" w:rsidR="00FC6DB9" w:rsidRPr="00C440B6" w:rsidRDefault="00FC6DB9" w:rsidP="00271230">
      <w:pPr>
        <w:spacing w:line="276" w:lineRule="auto"/>
        <w:jc w:val="both"/>
        <w:rPr>
          <w:rFonts w:ascii="Arial" w:eastAsia="Calibri" w:hAnsi="Arial" w:cs="Arial"/>
          <w:color w:val="000000" w:themeColor="text1"/>
          <w:sz w:val="22"/>
          <w:szCs w:val="22"/>
          <w:lang w:val="es-ES_tradnl"/>
        </w:rPr>
      </w:pPr>
    </w:p>
    <w:p w14:paraId="5A4EC232" w14:textId="38BF6B8D" w:rsidR="008C6A49" w:rsidRPr="005419DA" w:rsidRDefault="008C6A49" w:rsidP="008C6A49">
      <w:pPr>
        <w:spacing w:line="276" w:lineRule="auto"/>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lastRenderedPageBreak/>
        <w:t xml:space="preserve">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w:t>
      </w:r>
      <w:r w:rsidR="00035FA2">
        <w:rPr>
          <w:rFonts w:ascii="Arial" w:eastAsia="Calibri" w:hAnsi="Arial" w:cs="Arial"/>
          <w:color w:val="000000" w:themeColor="text1"/>
          <w:sz w:val="22"/>
          <w:szCs w:val="22"/>
          <w:lang w:val="es-ES_tradnl"/>
        </w:rPr>
        <w:t>.</w:t>
      </w:r>
      <w:r w:rsidRPr="005419DA">
        <w:rPr>
          <w:rFonts w:ascii="Arial" w:eastAsia="Calibri" w:hAnsi="Arial" w:cs="Arial"/>
          <w:color w:val="000000" w:themeColor="text1"/>
          <w:sz w:val="22"/>
          <w:szCs w:val="22"/>
          <w:lang w:val="es-ES_tradnl"/>
        </w:rPr>
        <w:t xml:space="preserve"> </w:t>
      </w:r>
      <w:r w:rsidR="00035FA2">
        <w:rPr>
          <w:rFonts w:ascii="Arial" w:eastAsia="Calibri" w:hAnsi="Arial" w:cs="Arial"/>
          <w:color w:val="000000" w:themeColor="text1"/>
          <w:sz w:val="22"/>
          <w:szCs w:val="22"/>
          <w:lang w:val="es-ES_tradnl"/>
        </w:rPr>
        <w:t>L</w:t>
      </w:r>
      <w:r w:rsidRPr="005419DA">
        <w:rPr>
          <w:rFonts w:ascii="Arial" w:eastAsia="Calibri" w:hAnsi="Arial" w:cs="Arial"/>
          <w:color w:val="000000" w:themeColor="text1"/>
          <w:sz w:val="22"/>
          <w:szCs w:val="22"/>
          <w:lang w:val="es-ES_tradnl"/>
        </w:rPr>
        <w:t xml:space="preserve">a </w:t>
      </w:r>
      <w:r w:rsidR="00D7536A">
        <w:rPr>
          <w:rFonts w:ascii="Arial" w:eastAsia="Calibri" w:hAnsi="Arial" w:cs="Arial"/>
          <w:color w:val="000000" w:themeColor="text1"/>
          <w:sz w:val="22"/>
          <w:szCs w:val="22"/>
          <w:lang w:val="es-ES_tradnl"/>
        </w:rPr>
        <w:t>Agencia</w:t>
      </w:r>
      <w:r w:rsidRPr="005419DA">
        <w:rPr>
          <w:rFonts w:ascii="Arial" w:eastAsia="Calibri" w:hAnsi="Arial" w:cs="Arial"/>
          <w:color w:val="000000" w:themeColor="text1"/>
          <w:sz w:val="22"/>
          <w:szCs w:val="22"/>
          <w:lang w:val="es-ES_tradnl"/>
        </w:rPr>
        <w:t xml:space="preserve"> se pronunciará sobre el alcance que otorga a tales disposiciones, sin pasar por alto la novedad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–dada su reciente entrada en vigencia– y la ausencia de pronunciamientos jurisprudenciales o estudios doctrinarios sobre el tema, que seguramente contribuirán a decantar la interpretación de las normas en comento.</w:t>
      </w:r>
    </w:p>
    <w:p w14:paraId="7041E5AE" w14:textId="0D5CCB0F" w:rsidR="00337296" w:rsidRDefault="00337296" w:rsidP="00337296">
      <w:pPr>
        <w:spacing w:before="120" w:line="276" w:lineRule="auto"/>
        <w:ind w:firstLine="709"/>
        <w:jc w:val="both"/>
        <w:rPr>
          <w:rFonts w:ascii="Arial" w:eastAsia="Calibri" w:hAnsi="Arial" w:cs="Arial"/>
          <w:color w:val="000000" w:themeColor="text1"/>
          <w:sz w:val="22"/>
          <w:szCs w:val="22"/>
          <w:lang w:val="es-ES_tradnl"/>
        </w:rPr>
      </w:pPr>
      <w:r w:rsidRPr="00337296">
        <w:rPr>
          <w:rFonts w:ascii="Arial" w:eastAsia="Calibri" w:hAnsi="Arial" w:cs="Arial"/>
          <w:color w:val="000000" w:themeColor="text1"/>
          <w:sz w:val="22"/>
          <w:szCs w:val="22"/>
          <w:lang w:val="es-ES_tradnl"/>
        </w:rPr>
        <w:t xml:space="preserve">Al respecto, </w:t>
      </w:r>
      <w:r w:rsidRPr="00337296">
        <w:rPr>
          <w:rFonts w:ascii="Arial" w:eastAsia="Calibri" w:hAnsi="Arial" w:cs="Arial"/>
          <w:sz w:val="22"/>
          <w:szCs w:val="22"/>
          <w:lang w:val="es-ES_tradnl"/>
        </w:rPr>
        <w:t>pese a que el parágrafo 3 dispone que el Gobierno Nacional podrá regular los supuestos en que concurran dos o más factores de desempate,</w:t>
      </w:r>
      <w:r w:rsidRPr="00337296">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w:t>
      </w:r>
      <w:r w:rsidRPr="005E4B72">
        <w:rPr>
          <w:rFonts w:ascii="Arial" w:eastAsia="Calibri" w:hAnsi="Arial" w:cs="Arial"/>
          <w:color w:val="000000" w:themeColor="text1"/>
          <w:sz w:val="22"/>
          <w:szCs w:val="22"/>
          <w:lang w:val="es-ES_tradnl"/>
        </w:rPr>
        <w:t xml:space="preserve"> </w:t>
      </w:r>
    </w:p>
    <w:p w14:paraId="42911686" w14:textId="77777777"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Por ejemplo, en lo que a las compras públicas se refiere, el parágrafo primero del artículo 30, que alude a la participación de mipymes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5319FCED" w14:textId="77777777"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Así mismo,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indica que en los pliegos de condiciones las entidades estatales deben prever mecanismos que garanticen la provisión de bienes y servicios por parte de sujetos de especial protección constitucional «[…] en las condiciones que señale el reglamento».</w:t>
      </w:r>
    </w:p>
    <w:p w14:paraId="021F0A3C" w14:textId="77777777" w:rsidR="0047771F" w:rsidRPr="00F00AF1" w:rsidRDefault="0047771F" w:rsidP="0047771F">
      <w:pPr>
        <w:spacing w:before="120" w:line="276" w:lineRule="auto"/>
        <w:ind w:firstLine="708"/>
        <w:jc w:val="both"/>
        <w:rPr>
          <w:rFonts w:ascii="Arial" w:eastAsia="Calibri" w:hAnsi="Arial" w:cs="Arial"/>
          <w:sz w:val="22"/>
          <w:szCs w:val="22"/>
          <w:lang w:val="es-ES_tradnl"/>
        </w:rPr>
      </w:pPr>
      <w:r w:rsidRPr="0047771F">
        <w:rPr>
          <w:rFonts w:ascii="Arial" w:eastAsia="Calibri" w:hAnsi="Arial" w:cs="Arial"/>
          <w:color w:val="000000" w:themeColor="text1"/>
          <w:sz w:val="22"/>
          <w:szCs w:val="22"/>
          <w:lang w:val="es-ES_tradnl"/>
        </w:rPr>
        <w:t xml:space="preserve">Lo mismo no sucede con el artículo 35. </w:t>
      </w:r>
      <w:r w:rsidRPr="0047771F">
        <w:rPr>
          <w:rFonts w:ascii="Arial" w:eastAsia="Calibri" w:hAnsi="Arial" w:cs="Arial"/>
          <w:sz w:val="22"/>
          <w:szCs w:val="22"/>
          <w:lang w:val="es-ES_tradnl"/>
        </w:rPr>
        <w:t xml:space="preserve">En efecto, </w:t>
      </w:r>
      <w:r w:rsidRPr="0047771F">
        <w:rPr>
          <w:rFonts w:ascii="Arial" w:hAnsi="Arial" w:cs="Arial"/>
          <w:color w:val="000000" w:themeColor="text1"/>
          <w:sz w:val="22"/>
          <w:szCs w:val="22"/>
          <w:lang w:val="es-ES_tradnl"/>
        </w:rPr>
        <w:t>si bien los factores de desempate regulados en el artículo 35 deben aplicarse «</w:t>
      </w:r>
      <w:r w:rsidRPr="0047771F">
        <w:rPr>
          <w:rFonts w:ascii="Arial" w:hAnsi="Arial" w:cs="Arial"/>
          <w:lang w:val="es-ES_tradnl"/>
        </w:rPr>
        <w:t xml:space="preserve">[…] </w:t>
      </w:r>
      <w:r w:rsidRPr="0047771F">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w:t>
      </w:r>
      <w:r w:rsidRPr="0047771F">
        <w:rPr>
          <w:rFonts w:ascii="Arial" w:hAnsi="Arial" w:cs="Arial"/>
          <w:color w:val="000000" w:themeColor="text1"/>
          <w:sz w:val="22"/>
          <w:szCs w:val="22"/>
          <w:lang w:val="es-ES_tradnl"/>
        </w:rPr>
        <w:lastRenderedPageBreak/>
        <w:t>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r w:rsidRPr="00E87B1F">
        <w:rPr>
          <w:rFonts w:ascii="Arial"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 xml:space="preserve"> </w:t>
      </w:r>
    </w:p>
    <w:p w14:paraId="1F45085B" w14:textId="77777777"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5419DA">
        <w:rPr>
          <w:rFonts w:ascii="Arial" w:eastAsia="Calibri" w:hAnsi="Arial" w:cs="Arial"/>
          <w:i/>
          <w:iCs/>
          <w:color w:val="000000" w:themeColor="text1"/>
          <w:sz w:val="22"/>
          <w:szCs w:val="22"/>
          <w:lang w:val="es-ES_tradnl"/>
        </w:rPr>
        <w:t>podrá reglamentar</w:t>
      </w:r>
      <w:r w:rsidRPr="005419DA">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365E5E9B" w14:textId="0AFFD78A" w:rsidR="008C6A49" w:rsidRPr="005419DA" w:rsidRDefault="008C6A49" w:rsidP="008C6A49">
      <w:pPr>
        <w:spacing w:before="120" w:line="276" w:lineRule="auto"/>
        <w:ind w:firstLine="709"/>
        <w:jc w:val="both"/>
        <w:rPr>
          <w:rFonts w:ascii="Arial" w:eastAsia="Calibri" w:hAnsi="Arial" w:cs="Arial"/>
          <w:color w:val="000000" w:themeColor="text1"/>
          <w:sz w:val="22"/>
          <w:szCs w:val="22"/>
          <w:lang w:val="es-ES_tradnl"/>
        </w:rPr>
      </w:pPr>
      <w:r w:rsidRPr="005419DA">
        <w:rPr>
          <w:rFonts w:ascii="Arial" w:eastAsia="Calibri" w:hAnsi="Arial" w:cs="Arial"/>
          <w:color w:val="000000" w:themeColor="text1"/>
          <w:sz w:val="22"/>
          <w:szCs w:val="22"/>
          <w:lang w:val="es-ES_tradnl"/>
        </w:rPr>
        <w:t xml:space="preserve">Como se observa se trata de una competencia que, en concordancia con el artículo 189.11 superior, el gobierno nacional puede ejercer discrecionalmente para la ejecución de las leyes. Por tanto, </w:t>
      </w:r>
      <w:r w:rsidR="00E65A79" w:rsidRPr="00E65A79">
        <w:rPr>
          <w:rFonts w:ascii="Arial" w:eastAsia="Calibri" w:hAnsi="Arial" w:cs="Arial"/>
          <w:color w:val="000000" w:themeColor="text1"/>
          <w:sz w:val="22"/>
          <w:szCs w:val="22"/>
          <w:lang w:val="es-ES_tradnl"/>
        </w:rPr>
        <w:t xml:space="preserve">sin perjuicio de que el Gobierno Nacional ejerza la potestad reglamentaria para regular los casos en que concurren dos o más de los factores de desempate, </w:t>
      </w:r>
      <w:r w:rsidRPr="005419DA">
        <w:rPr>
          <w:rFonts w:ascii="Arial" w:eastAsia="Calibri" w:hAnsi="Arial" w:cs="Arial"/>
          <w:color w:val="000000" w:themeColor="text1"/>
          <w:sz w:val="22"/>
          <w:szCs w:val="22"/>
          <w:lang w:val="es-ES_tradnl"/>
        </w:rPr>
        <w:t xml:space="preserve">no es necesaria la existencia del reglamento como presupuesto necesario para aplicar el artículo 35 de la Ley </w:t>
      </w:r>
      <w:r>
        <w:rPr>
          <w:rFonts w:ascii="Arial" w:eastAsia="Calibri" w:hAnsi="Arial" w:cs="Arial"/>
          <w:color w:val="000000" w:themeColor="text1"/>
          <w:sz w:val="22"/>
          <w:szCs w:val="22"/>
          <w:lang w:val="es-ES_tradnl"/>
        </w:rPr>
        <w:t>2069</w:t>
      </w:r>
      <w:r w:rsidRPr="005419DA">
        <w:rPr>
          <w:rFonts w:ascii="Arial" w:eastAsia="Calibri" w:hAnsi="Arial" w:cs="Arial"/>
          <w:color w:val="000000" w:themeColor="text1"/>
          <w:sz w:val="22"/>
          <w:szCs w:val="22"/>
          <w:lang w:val="es-ES_tradnl"/>
        </w:rPr>
        <w:t xml:space="preserve"> de 2020. De este modo, se concluye que los factores de desempate del artículo citado son exigibles desde la fecha de su promulgación, es decir, deben tenerse en cuenta en los procesos de selección que se inicien después del 31 de diciembre de 2020.</w:t>
      </w:r>
    </w:p>
    <w:p w14:paraId="2739984E" w14:textId="60A496B2" w:rsidR="006A4F85" w:rsidRPr="00C440B6" w:rsidRDefault="0018007F" w:rsidP="00AC4AD2">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Además, s</w:t>
      </w:r>
      <w:r w:rsidR="00FD5443" w:rsidRPr="00C440B6">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6F0F34">
        <w:rPr>
          <w:rFonts w:ascii="Arial" w:hAnsi="Arial" w:cs="Arial"/>
          <w:color w:val="000000" w:themeColor="text1"/>
          <w:sz w:val="22"/>
          <w:szCs w:val="22"/>
          <w:lang w:val="es-ES_tradnl"/>
        </w:rPr>
        <w:t>2069</w:t>
      </w:r>
      <w:r w:rsidR="00FD5443" w:rsidRPr="00C440B6">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p>
    <w:p w14:paraId="041BB6BB" w14:textId="79A3C805" w:rsidR="008E26D9" w:rsidRPr="00462E1D" w:rsidRDefault="006A4F85" w:rsidP="00AC4AD2">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Ahora bien, </w:t>
      </w:r>
      <w:r w:rsidR="00A46B4B" w:rsidRPr="00462E1D">
        <w:rPr>
          <w:rFonts w:ascii="Arial" w:hAnsi="Arial" w:cs="Arial"/>
          <w:color w:val="000000" w:themeColor="text1"/>
          <w:sz w:val="22"/>
          <w:szCs w:val="22"/>
          <w:lang w:val="es-ES_tradnl"/>
        </w:rPr>
        <w:t xml:space="preserve">hasta la promulgación de la Ley </w:t>
      </w:r>
      <w:r w:rsidR="006F0F34">
        <w:rPr>
          <w:rFonts w:ascii="Arial" w:hAnsi="Arial" w:cs="Arial"/>
          <w:color w:val="000000" w:themeColor="text1"/>
          <w:sz w:val="22"/>
          <w:szCs w:val="22"/>
          <w:lang w:val="es-ES_tradnl"/>
        </w:rPr>
        <w:t>2069</w:t>
      </w:r>
      <w:r w:rsidR="00530059" w:rsidRPr="00462E1D">
        <w:rPr>
          <w:rFonts w:ascii="Arial" w:hAnsi="Arial" w:cs="Arial"/>
          <w:color w:val="000000" w:themeColor="text1"/>
          <w:sz w:val="22"/>
          <w:szCs w:val="22"/>
          <w:lang w:val="es-ES_tradnl"/>
        </w:rPr>
        <w:t xml:space="preserve"> de 2020</w:t>
      </w:r>
      <w:r w:rsidR="00D65861" w:rsidRPr="00462E1D">
        <w:rPr>
          <w:rFonts w:ascii="Arial" w:hAnsi="Arial" w:cs="Arial"/>
          <w:color w:val="000000" w:themeColor="text1"/>
          <w:sz w:val="22"/>
          <w:szCs w:val="22"/>
          <w:lang w:val="es-ES_tradnl"/>
        </w:rPr>
        <w:t>,</w:t>
      </w:r>
      <w:r w:rsidR="00530059" w:rsidRPr="00462E1D">
        <w:rPr>
          <w:rFonts w:ascii="Arial" w:hAnsi="Arial" w:cs="Arial"/>
          <w:color w:val="000000" w:themeColor="text1"/>
          <w:sz w:val="22"/>
          <w:szCs w:val="22"/>
          <w:lang w:val="es-ES_tradnl"/>
        </w:rPr>
        <w:t xml:space="preserve"> </w:t>
      </w:r>
      <w:r w:rsidRPr="00462E1D">
        <w:rPr>
          <w:rFonts w:ascii="Arial" w:hAnsi="Arial" w:cs="Arial"/>
          <w:color w:val="000000" w:themeColor="text1"/>
          <w:sz w:val="22"/>
          <w:szCs w:val="22"/>
          <w:lang w:val="es-ES_tradnl"/>
        </w:rPr>
        <w:t xml:space="preserve">el artículo </w:t>
      </w:r>
      <w:r w:rsidR="00A46B4B" w:rsidRPr="00462E1D">
        <w:rPr>
          <w:rFonts w:ascii="Arial" w:hAnsi="Arial" w:cs="Arial"/>
          <w:color w:val="000000" w:themeColor="text1"/>
          <w:sz w:val="22"/>
          <w:szCs w:val="22"/>
          <w:lang w:val="es-ES_tradnl"/>
        </w:rPr>
        <w:t xml:space="preserve">2.2.1.1.2.2.9. del Decreto 1082 de 2015 </w:t>
      </w:r>
      <w:r w:rsidR="001F10BD" w:rsidRPr="00462E1D">
        <w:rPr>
          <w:rFonts w:ascii="Arial" w:hAnsi="Arial" w:cs="Arial"/>
          <w:color w:val="000000" w:themeColor="text1"/>
          <w:sz w:val="22"/>
          <w:szCs w:val="22"/>
          <w:lang w:val="es-ES_tradnl"/>
        </w:rPr>
        <w:t>regulaba</w:t>
      </w:r>
      <w:r w:rsidR="00530059" w:rsidRPr="00462E1D">
        <w:rPr>
          <w:rFonts w:ascii="Arial" w:hAnsi="Arial" w:cs="Arial"/>
          <w:color w:val="000000" w:themeColor="text1"/>
          <w:sz w:val="22"/>
          <w:szCs w:val="22"/>
          <w:lang w:val="es-ES_tradnl"/>
        </w:rPr>
        <w:t xml:space="preserve"> los factores de desempate que debían aplicarse en los procesos de selección</w:t>
      </w:r>
      <w:r w:rsidR="00530059" w:rsidRPr="00462E1D">
        <w:rPr>
          <w:rStyle w:val="Refdenotaalpie"/>
          <w:rFonts w:ascii="Arial" w:hAnsi="Arial" w:cs="Arial"/>
          <w:color w:val="000000" w:themeColor="text1"/>
          <w:sz w:val="22"/>
          <w:szCs w:val="22"/>
          <w:lang w:val="es-ES_tradnl"/>
        </w:rPr>
        <w:footnoteReference w:id="10"/>
      </w:r>
      <w:r w:rsidR="00530059" w:rsidRPr="00462E1D">
        <w:rPr>
          <w:rFonts w:ascii="Arial" w:hAnsi="Arial" w:cs="Arial"/>
          <w:color w:val="000000" w:themeColor="text1"/>
          <w:sz w:val="22"/>
          <w:szCs w:val="22"/>
          <w:lang w:val="es-ES_tradnl"/>
        </w:rPr>
        <w:t>.</w:t>
      </w:r>
      <w:r w:rsidR="00D65861" w:rsidRPr="00462E1D">
        <w:rPr>
          <w:rFonts w:ascii="Arial" w:hAnsi="Arial" w:cs="Arial"/>
          <w:color w:val="000000" w:themeColor="text1"/>
          <w:sz w:val="22"/>
          <w:szCs w:val="22"/>
          <w:lang w:val="es-ES_tradnl"/>
        </w:rPr>
        <w:t xml:space="preserve"> En </w:t>
      </w:r>
      <w:r w:rsidR="00817661" w:rsidRPr="00462E1D">
        <w:rPr>
          <w:rFonts w:ascii="Arial" w:hAnsi="Arial" w:cs="Arial"/>
          <w:color w:val="000000" w:themeColor="text1"/>
          <w:sz w:val="22"/>
          <w:szCs w:val="22"/>
          <w:lang w:val="es-ES_tradnl"/>
        </w:rPr>
        <w:t xml:space="preserve">criterio de esta </w:t>
      </w:r>
      <w:r w:rsidR="009962B0">
        <w:rPr>
          <w:rFonts w:ascii="Arial" w:hAnsi="Arial" w:cs="Arial"/>
          <w:color w:val="000000" w:themeColor="text1"/>
          <w:sz w:val="22"/>
          <w:szCs w:val="22"/>
          <w:lang w:val="es-ES_tradnl"/>
        </w:rPr>
        <w:t>Agencia</w:t>
      </w:r>
      <w:r w:rsidR="00817661" w:rsidRPr="00462E1D">
        <w:rPr>
          <w:rFonts w:ascii="Arial" w:hAnsi="Arial" w:cs="Arial"/>
          <w:color w:val="000000" w:themeColor="text1"/>
          <w:sz w:val="22"/>
          <w:szCs w:val="22"/>
          <w:lang w:val="es-ES_tradnl"/>
        </w:rPr>
        <w:t xml:space="preserve">, dicha norma debe entenderse </w:t>
      </w:r>
      <w:r w:rsidR="00817661" w:rsidRPr="00462E1D">
        <w:rPr>
          <w:rFonts w:ascii="Arial" w:hAnsi="Arial" w:cs="Arial"/>
          <w:color w:val="000000" w:themeColor="text1"/>
          <w:sz w:val="22"/>
          <w:szCs w:val="22"/>
          <w:lang w:val="es-ES_tradnl"/>
        </w:rPr>
        <w:lastRenderedPageBreak/>
        <w:t xml:space="preserve">derogada por el artículo 35 de la Ley </w:t>
      </w:r>
      <w:r w:rsidR="006F0F34">
        <w:rPr>
          <w:rFonts w:ascii="Arial" w:hAnsi="Arial" w:cs="Arial"/>
          <w:color w:val="000000" w:themeColor="text1"/>
          <w:sz w:val="22"/>
          <w:szCs w:val="22"/>
          <w:lang w:val="es-ES_tradnl"/>
        </w:rPr>
        <w:t>2069</w:t>
      </w:r>
      <w:r w:rsidR="00817661" w:rsidRPr="00462E1D">
        <w:rPr>
          <w:rFonts w:ascii="Arial" w:hAnsi="Arial" w:cs="Arial"/>
          <w:color w:val="000000" w:themeColor="text1"/>
          <w:sz w:val="22"/>
          <w:szCs w:val="22"/>
          <w:lang w:val="es-ES_tradnl"/>
        </w:rPr>
        <w:t xml:space="preserve"> de 2020.</w:t>
      </w:r>
      <w:r w:rsidR="008D021B" w:rsidRPr="00462E1D">
        <w:rPr>
          <w:rFonts w:ascii="Arial" w:hAnsi="Arial" w:cs="Arial"/>
          <w:color w:val="000000" w:themeColor="text1"/>
          <w:sz w:val="22"/>
          <w:szCs w:val="22"/>
          <w:lang w:val="es-ES_tradnl"/>
        </w:rPr>
        <w:t xml:space="preserve"> Ello no solo porque el artículo </w:t>
      </w:r>
      <w:r w:rsidR="000B1057" w:rsidRPr="00462E1D">
        <w:rPr>
          <w:rFonts w:ascii="Arial" w:hAnsi="Arial" w:cs="Arial"/>
          <w:color w:val="000000" w:themeColor="text1"/>
          <w:sz w:val="22"/>
          <w:szCs w:val="22"/>
          <w:lang w:val="es-ES_tradnl"/>
        </w:rPr>
        <w:t xml:space="preserve">84 de esta Ley dice que «rige a partir del momento de su promulgación», es decir, desde el 31 de diciembre de 2020, sino además porque </w:t>
      </w:r>
      <w:r w:rsidR="00AE5899" w:rsidRPr="00462E1D">
        <w:rPr>
          <w:rFonts w:ascii="Arial" w:hAnsi="Arial" w:cs="Arial"/>
          <w:color w:val="000000" w:themeColor="text1"/>
          <w:sz w:val="22"/>
          <w:szCs w:val="22"/>
          <w:lang w:val="es-ES_tradnl"/>
        </w:rPr>
        <w:t xml:space="preserve">la misma disposición señala que </w:t>
      </w:r>
      <w:r w:rsidR="00EF07FB" w:rsidRPr="00462E1D">
        <w:rPr>
          <w:rFonts w:ascii="Arial" w:hAnsi="Arial" w:cs="Arial"/>
          <w:color w:val="000000" w:themeColor="text1"/>
          <w:sz w:val="22"/>
          <w:szCs w:val="22"/>
          <w:lang w:val="es-ES_tradnl"/>
        </w:rPr>
        <w:t xml:space="preserve">la Ley </w:t>
      </w:r>
      <w:r w:rsidR="006F0F34">
        <w:rPr>
          <w:rFonts w:ascii="Arial" w:hAnsi="Arial" w:cs="Arial"/>
          <w:color w:val="000000" w:themeColor="text1"/>
          <w:sz w:val="22"/>
          <w:szCs w:val="22"/>
          <w:lang w:val="es-ES_tradnl"/>
        </w:rPr>
        <w:t>2069</w:t>
      </w:r>
      <w:r w:rsidR="00EF07FB" w:rsidRPr="00462E1D">
        <w:rPr>
          <w:rFonts w:ascii="Arial" w:hAnsi="Arial" w:cs="Arial"/>
          <w:color w:val="000000" w:themeColor="text1"/>
          <w:sz w:val="22"/>
          <w:szCs w:val="22"/>
          <w:lang w:val="es-ES_tradnl"/>
        </w:rPr>
        <w:t xml:space="preserve"> de 2020 deroga «[…] todas las disposiciones que le sean contrarias». Se presenta una antinomia o contradicción normativa cuando dos o más disposiciones normativas regulan en sentido diferente un tema.</w:t>
      </w:r>
      <w:r w:rsidR="00583E07" w:rsidRPr="00462E1D">
        <w:rPr>
          <w:rFonts w:ascii="Arial" w:hAnsi="Arial" w:cs="Arial"/>
          <w:color w:val="000000" w:themeColor="text1"/>
          <w:sz w:val="22"/>
          <w:szCs w:val="22"/>
          <w:lang w:val="es-ES_tradnl"/>
        </w:rPr>
        <w:t xml:space="preserve"> Bajo esta consideración, como el artículo 35 de la Ley </w:t>
      </w:r>
      <w:r w:rsidR="006F0F34">
        <w:rPr>
          <w:rFonts w:ascii="Arial" w:hAnsi="Arial" w:cs="Arial"/>
          <w:color w:val="000000" w:themeColor="text1"/>
          <w:sz w:val="22"/>
          <w:szCs w:val="22"/>
          <w:lang w:val="es-ES_tradnl"/>
        </w:rPr>
        <w:t>2069</w:t>
      </w:r>
      <w:r w:rsidR="00583E07" w:rsidRPr="00462E1D">
        <w:rPr>
          <w:rFonts w:ascii="Arial" w:hAnsi="Arial" w:cs="Arial"/>
          <w:color w:val="000000" w:themeColor="text1"/>
          <w:sz w:val="22"/>
          <w:szCs w:val="22"/>
          <w:lang w:val="es-ES_tradnl"/>
        </w:rPr>
        <w:t xml:space="preserve"> de 2020 regula en forma distinta</w:t>
      </w:r>
      <w:r w:rsidR="00AB24F8" w:rsidRPr="00462E1D">
        <w:rPr>
          <w:rFonts w:ascii="Arial" w:hAnsi="Arial" w:cs="Arial"/>
          <w:color w:val="000000" w:themeColor="text1"/>
          <w:sz w:val="22"/>
          <w:szCs w:val="22"/>
          <w:lang w:val="es-ES_tradnl"/>
        </w:rPr>
        <w:t xml:space="preserve"> a como lo hacía el artículo 2.2.1.1.2.2.9. del Decreto 1082 de 2015 </w:t>
      </w:r>
      <w:r w:rsidR="00397C34" w:rsidRPr="00462E1D">
        <w:rPr>
          <w:rFonts w:ascii="Arial" w:hAnsi="Arial" w:cs="Arial"/>
          <w:color w:val="000000" w:themeColor="text1"/>
          <w:sz w:val="22"/>
          <w:szCs w:val="22"/>
          <w:lang w:val="es-ES_tradnl"/>
        </w:rPr>
        <w:t>la aplicación de los factores de desempate,</w:t>
      </w:r>
      <w:r w:rsidR="00AB24F8" w:rsidRPr="00462E1D">
        <w:rPr>
          <w:rFonts w:ascii="Arial" w:hAnsi="Arial" w:cs="Arial"/>
          <w:color w:val="000000" w:themeColor="text1"/>
          <w:sz w:val="22"/>
          <w:szCs w:val="22"/>
          <w:lang w:val="es-ES_tradnl"/>
        </w:rPr>
        <w:t xml:space="preserve"> </w:t>
      </w:r>
      <w:r w:rsidR="0018007F" w:rsidRPr="00462E1D">
        <w:rPr>
          <w:rFonts w:ascii="Arial" w:hAnsi="Arial" w:cs="Arial"/>
          <w:color w:val="000000" w:themeColor="text1"/>
          <w:sz w:val="22"/>
          <w:szCs w:val="22"/>
          <w:lang w:val="es-ES_tradnl"/>
        </w:rPr>
        <w:t xml:space="preserve">este último </w:t>
      </w:r>
      <w:r w:rsidR="00AB24F8" w:rsidRPr="00462E1D">
        <w:rPr>
          <w:rFonts w:ascii="Arial" w:hAnsi="Arial" w:cs="Arial"/>
          <w:color w:val="000000" w:themeColor="text1"/>
          <w:sz w:val="22"/>
          <w:szCs w:val="22"/>
          <w:lang w:val="es-ES_tradnl"/>
        </w:rPr>
        <w:t xml:space="preserve">debe entenderse derogado. </w:t>
      </w:r>
    </w:p>
    <w:p w14:paraId="06AA9677" w14:textId="77777777" w:rsidR="006C572F" w:rsidRDefault="00AB24F8" w:rsidP="00AC4AD2">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w:t>
      </w:r>
      <w:r w:rsidR="00A639A9" w:rsidRPr="00462E1D">
        <w:rPr>
          <w:rFonts w:ascii="Arial" w:hAnsi="Arial" w:cs="Arial"/>
          <w:color w:val="000000" w:themeColor="text1"/>
          <w:sz w:val="22"/>
          <w:szCs w:val="22"/>
          <w:lang w:val="es-ES_tradnl"/>
        </w:rPr>
        <w:t>2 del artículo 91 de la Ley 1437 de 2011.</w:t>
      </w:r>
      <w:r w:rsidR="005907D4" w:rsidRPr="00462E1D">
        <w:rPr>
          <w:rFonts w:ascii="Arial" w:hAnsi="Arial" w:cs="Arial"/>
          <w:color w:val="000000" w:themeColor="text1"/>
          <w:sz w:val="22"/>
          <w:szCs w:val="22"/>
          <w:lang w:val="es-ES_tradnl"/>
        </w:rPr>
        <w:t xml:space="preserve"> </w:t>
      </w:r>
      <w:r w:rsidR="00A639A9" w:rsidRPr="00462E1D">
        <w:rPr>
          <w:rFonts w:ascii="Arial" w:hAnsi="Arial" w:cs="Arial"/>
          <w:color w:val="000000" w:themeColor="text1"/>
          <w:sz w:val="22"/>
          <w:szCs w:val="22"/>
          <w:lang w:val="es-ES_tradnl"/>
        </w:rPr>
        <w:t xml:space="preserve">Esta norma señala que los actos administrativos pierden fuerza ejecutoria </w:t>
      </w:r>
      <w:r w:rsidR="0064194F" w:rsidRPr="00462E1D">
        <w:rPr>
          <w:rFonts w:ascii="Arial" w:hAnsi="Arial" w:cs="Arial"/>
          <w:color w:val="000000" w:themeColor="text1"/>
          <w:sz w:val="22"/>
          <w:szCs w:val="22"/>
          <w:lang w:val="es-ES_tradnl"/>
        </w:rPr>
        <w:t xml:space="preserve">«Cuando desaparezcan sus fundamentos de hecho o de derecho». </w:t>
      </w:r>
      <w:bookmarkStart w:id="4" w:name="_Hlk62546732"/>
      <w:r w:rsidR="0064194F" w:rsidRPr="00462E1D">
        <w:rPr>
          <w:rFonts w:ascii="Arial" w:hAnsi="Arial" w:cs="Arial"/>
          <w:color w:val="000000" w:themeColor="text1"/>
          <w:sz w:val="22"/>
          <w:szCs w:val="22"/>
          <w:lang w:val="es-ES_tradnl"/>
        </w:rPr>
        <w:t xml:space="preserve">Dado que el Decreto 1082 de 2015 es un reglamento </w:t>
      </w:r>
      <w:r w:rsidR="0064194F" w:rsidRPr="00462E1D">
        <w:rPr>
          <w:rFonts w:ascii="Arial" w:hAnsi="Arial" w:cs="Arial"/>
          <w:i/>
          <w:iCs/>
          <w:color w:val="000000" w:themeColor="text1"/>
          <w:sz w:val="22"/>
          <w:szCs w:val="22"/>
          <w:lang w:val="es-ES_tradnl"/>
        </w:rPr>
        <w:t>secundum legem</w:t>
      </w:r>
      <w:r w:rsidR="0064194F" w:rsidRPr="00462E1D">
        <w:rPr>
          <w:rFonts w:ascii="Arial" w:hAnsi="Arial" w:cs="Arial"/>
          <w:color w:val="000000" w:themeColor="text1"/>
          <w:sz w:val="22"/>
          <w:szCs w:val="22"/>
          <w:lang w:val="es-ES_tradnl"/>
        </w:rPr>
        <w:t xml:space="preserve"> </w:t>
      </w:r>
      <w:r w:rsidR="00E305A8" w:rsidRPr="00462E1D">
        <w:rPr>
          <w:rFonts w:ascii="Arial" w:hAnsi="Arial" w:cs="Arial"/>
          <w:color w:val="000000" w:themeColor="text1"/>
          <w:sz w:val="22"/>
          <w:szCs w:val="22"/>
          <w:lang w:val="es-ES_tradnl"/>
        </w:rPr>
        <w:t xml:space="preserve">–es decir, que desarrolla </w:t>
      </w:r>
      <w:r w:rsidR="00F44120" w:rsidRPr="00462E1D">
        <w:rPr>
          <w:rFonts w:ascii="Arial" w:hAnsi="Arial" w:cs="Arial"/>
          <w:color w:val="000000" w:themeColor="text1"/>
          <w:sz w:val="22"/>
          <w:szCs w:val="22"/>
          <w:lang w:val="es-ES_tradnl"/>
        </w:rPr>
        <w:t>una norma de mayor jerarquía</w:t>
      </w:r>
      <w:r w:rsidR="00E305A8" w:rsidRPr="00462E1D">
        <w:rPr>
          <w:rFonts w:ascii="Arial" w:hAnsi="Arial" w:cs="Arial"/>
          <w:color w:val="000000" w:themeColor="text1"/>
          <w:sz w:val="22"/>
          <w:szCs w:val="22"/>
          <w:lang w:val="es-ES_tradnl"/>
        </w:rPr>
        <w:t>–</w:t>
      </w:r>
      <w:r w:rsidR="004B6EF5" w:rsidRPr="00462E1D">
        <w:rPr>
          <w:rFonts w:ascii="Arial" w:hAnsi="Arial" w:cs="Arial"/>
          <w:color w:val="000000" w:themeColor="text1"/>
          <w:sz w:val="22"/>
          <w:szCs w:val="22"/>
          <w:lang w:val="es-ES_tradnl"/>
        </w:rPr>
        <w:t>, la expedición de una ley</w:t>
      </w:r>
      <w:r w:rsidR="008E26D9" w:rsidRPr="00462E1D">
        <w:rPr>
          <w:rFonts w:ascii="Arial" w:hAnsi="Arial" w:cs="Arial"/>
          <w:color w:val="000000" w:themeColor="text1"/>
          <w:sz w:val="22"/>
          <w:szCs w:val="22"/>
          <w:lang w:val="es-ES_tradnl"/>
        </w:rPr>
        <w:t xml:space="preserve"> en sentido formal</w:t>
      </w:r>
      <w:r w:rsidR="00C03664" w:rsidRPr="00462E1D">
        <w:rPr>
          <w:rFonts w:ascii="Arial" w:hAnsi="Arial" w:cs="Arial"/>
          <w:color w:val="000000" w:themeColor="text1"/>
          <w:sz w:val="22"/>
          <w:szCs w:val="22"/>
          <w:lang w:val="es-ES_tradnl"/>
        </w:rPr>
        <w:t xml:space="preserve"> –</w:t>
      </w:r>
      <w:r w:rsidR="008E26D9" w:rsidRPr="00462E1D">
        <w:rPr>
          <w:rFonts w:ascii="Arial" w:hAnsi="Arial" w:cs="Arial"/>
          <w:color w:val="000000" w:themeColor="text1"/>
          <w:sz w:val="22"/>
          <w:szCs w:val="22"/>
          <w:lang w:val="es-ES_tradnl"/>
        </w:rPr>
        <w:t xml:space="preserve">es decir, </w:t>
      </w:r>
      <w:r w:rsidR="00F44120" w:rsidRPr="00462E1D">
        <w:rPr>
          <w:rFonts w:ascii="Arial" w:hAnsi="Arial" w:cs="Arial"/>
          <w:color w:val="000000" w:themeColor="text1"/>
          <w:sz w:val="22"/>
          <w:szCs w:val="22"/>
          <w:lang w:val="es-ES_tradnl"/>
        </w:rPr>
        <w:t>una fuente que condiciona el contenido de este último</w:t>
      </w:r>
      <w:r w:rsidR="00C03664" w:rsidRPr="00462E1D">
        <w:rPr>
          <w:rFonts w:ascii="Arial" w:hAnsi="Arial" w:cs="Arial"/>
          <w:color w:val="000000" w:themeColor="text1"/>
          <w:sz w:val="22"/>
          <w:szCs w:val="22"/>
          <w:lang w:val="es-ES_tradnl"/>
        </w:rPr>
        <w:t>–</w:t>
      </w:r>
      <w:r w:rsidR="008E26D9" w:rsidRPr="00462E1D">
        <w:rPr>
          <w:rFonts w:ascii="Arial" w:hAnsi="Arial" w:cs="Arial"/>
          <w:color w:val="000000" w:themeColor="text1"/>
          <w:sz w:val="22"/>
          <w:szCs w:val="22"/>
          <w:lang w:val="es-ES_tradnl"/>
        </w:rPr>
        <w:t>, hace que la disposición reglamentaria decaiga</w:t>
      </w:r>
      <w:bookmarkEnd w:id="4"/>
      <w:r w:rsidR="008E26D9" w:rsidRPr="00462E1D">
        <w:rPr>
          <w:rFonts w:ascii="Arial" w:hAnsi="Arial" w:cs="Arial"/>
          <w:color w:val="000000" w:themeColor="text1"/>
          <w:sz w:val="22"/>
          <w:szCs w:val="22"/>
          <w:lang w:val="es-ES_tradnl"/>
        </w:rPr>
        <w:t>.</w:t>
      </w:r>
      <w:r w:rsidR="008E26D9" w:rsidRPr="00C440B6">
        <w:rPr>
          <w:rFonts w:ascii="Arial" w:hAnsi="Arial" w:cs="Arial"/>
          <w:color w:val="000000" w:themeColor="text1"/>
          <w:sz w:val="22"/>
          <w:szCs w:val="22"/>
          <w:lang w:val="es-ES_tradnl"/>
        </w:rPr>
        <w:t xml:space="preserve"> </w:t>
      </w:r>
      <w:r w:rsidR="00397C34" w:rsidRPr="00C440B6">
        <w:rPr>
          <w:rFonts w:ascii="Arial" w:hAnsi="Arial" w:cs="Arial"/>
          <w:color w:val="000000" w:themeColor="text1"/>
          <w:sz w:val="22"/>
          <w:szCs w:val="22"/>
          <w:lang w:val="es-ES_tradnl"/>
        </w:rPr>
        <w:t xml:space="preserve"> </w:t>
      </w:r>
      <w:r w:rsidR="00817661" w:rsidRPr="00C440B6">
        <w:rPr>
          <w:rFonts w:ascii="Arial" w:hAnsi="Arial" w:cs="Arial"/>
          <w:color w:val="000000" w:themeColor="text1"/>
          <w:sz w:val="22"/>
          <w:szCs w:val="22"/>
          <w:lang w:val="es-ES_tradnl"/>
        </w:rPr>
        <w:t xml:space="preserve"> </w:t>
      </w:r>
    </w:p>
    <w:p w14:paraId="2C6C13B2" w14:textId="3034A28D" w:rsidR="00AA3088" w:rsidRPr="0071708A" w:rsidRDefault="006C572F" w:rsidP="00AC4AD2">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Lo expuesto en los dos (2) párrafos precedentes también aplica </w:t>
      </w:r>
      <w:r w:rsidRPr="0071708A">
        <w:rPr>
          <w:rFonts w:ascii="Arial" w:hAnsi="Arial" w:cs="Arial"/>
          <w:i/>
          <w:iCs/>
          <w:color w:val="000000" w:themeColor="text1"/>
          <w:sz w:val="22"/>
          <w:szCs w:val="22"/>
          <w:lang w:val="es-ES_tradnl"/>
        </w:rPr>
        <w:t>mutatis mutandis</w:t>
      </w:r>
      <w:r w:rsidRPr="0071708A">
        <w:rPr>
          <w:rFonts w:ascii="Arial" w:hAnsi="Arial" w:cs="Arial"/>
          <w:color w:val="000000" w:themeColor="text1"/>
          <w:sz w:val="22"/>
          <w:szCs w:val="22"/>
          <w:lang w:val="es-ES_tradnl"/>
        </w:rPr>
        <w:t xml:space="preserve"> a</w:t>
      </w:r>
      <w:r w:rsidR="00CC3995" w:rsidRPr="0071708A">
        <w:rPr>
          <w:rFonts w:ascii="Arial" w:hAnsi="Arial" w:cs="Arial"/>
          <w:color w:val="000000" w:themeColor="text1"/>
          <w:sz w:val="22"/>
          <w:szCs w:val="22"/>
          <w:lang w:val="es-ES_tradnl"/>
        </w:rPr>
        <w:t xml:space="preserve"> </w:t>
      </w:r>
      <w:r w:rsidRPr="0071708A">
        <w:rPr>
          <w:rFonts w:ascii="Arial" w:hAnsi="Arial" w:cs="Arial"/>
          <w:color w:val="000000" w:themeColor="text1"/>
          <w:sz w:val="22"/>
          <w:szCs w:val="22"/>
          <w:lang w:val="es-ES_tradnl"/>
        </w:rPr>
        <w:t>l</w:t>
      </w:r>
      <w:r w:rsidR="00CC3995" w:rsidRPr="0071708A">
        <w:rPr>
          <w:rFonts w:ascii="Arial" w:hAnsi="Arial" w:cs="Arial"/>
          <w:color w:val="000000" w:themeColor="text1"/>
          <w:sz w:val="22"/>
          <w:szCs w:val="22"/>
          <w:lang w:val="es-ES_tradnl"/>
        </w:rPr>
        <w:t>os</w:t>
      </w:r>
      <w:r w:rsidRPr="0071708A">
        <w:rPr>
          <w:rFonts w:ascii="Arial" w:hAnsi="Arial" w:cs="Arial"/>
          <w:color w:val="000000" w:themeColor="text1"/>
          <w:sz w:val="22"/>
          <w:szCs w:val="22"/>
          <w:lang w:val="es-ES_tradnl"/>
        </w:rPr>
        <w:t xml:space="preserve"> </w:t>
      </w:r>
      <w:r w:rsidR="00CC3995" w:rsidRPr="0071708A">
        <w:rPr>
          <w:rFonts w:ascii="Arial" w:hAnsi="Arial" w:cs="Arial"/>
          <w:color w:val="000000" w:themeColor="text1"/>
          <w:sz w:val="22"/>
          <w:szCs w:val="22"/>
          <w:lang w:val="es-ES_tradnl"/>
        </w:rPr>
        <w:t>factores de desempate previstos en el Decreto</w:t>
      </w:r>
      <w:r w:rsidR="00AA3088" w:rsidRPr="0071708A">
        <w:rPr>
          <w:rFonts w:ascii="Arial" w:hAnsi="Arial" w:cs="Arial"/>
          <w:color w:val="000000" w:themeColor="text1"/>
          <w:sz w:val="22"/>
          <w:szCs w:val="22"/>
          <w:lang w:val="es-ES_tradnl"/>
        </w:rPr>
        <w:t xml:space="preserve"> Único Reglamentario del Sector Administrativo de Planeación Nacional</w:t>
      </w:r>
      <w:r w:rsidR="00CC3995" w:rsidRPr="0071708A">
        <w:rPr>
          <w:rFonts w:ascii="Arial" w:hAnsi="Arial" w:cs="Arial"/>
          <w:color w:val="000000" w:themeColor="text1"/>
          <w:sz w:val="22"/>
          <w:szCs w:val="22"/>
          <w:lang w:val="es-ES_tradnl"/>
        </w:rPr>
        <w:t xml:space="preserve"> para el procedimiento de mínima cuantía</w:t>
      </w:r>
      <w:r w:rsidRPr="0071708A">
        <w:rPr>
          <w:rFonts w:ascii="Arial" w:hAnsi="Arial" w:cs="Arial"/>
          <w:color w:val="000000" w:themeColor="text1"/>
          <w:sz w:val="22"/>
          <w:szCs w:val="22"/>
          <w:lang w:val="es-ES_tradnl"/>
        </w:rPr>
        <w:t xml:space="preserve">. En efecto, </w:t>
      </w:r>
      <w:r w:rsidRPr="0071708A">
        <w:rPr>
          <w:rFonts w:ascii="Arial" w:hAnsi="Arial" w:cs="Arial"/>
          <w:color w:val="000000" w:themeColor="text1"/>
          <w:sz w:val="22"/>
          <w:szCs w:val="22"/>
          <w:lang w:val="es-ES_tradnl"/>
        </w:rPr>
        <w:lastRenderedPageBreak/>
        <w:t xml:space="preserve">si bien </w:t>
      </w:r>
      <w:r w:rsidR="00CC3995" w:rsidRPr="0071708A">
        <w:rPr>
          <w:rFonts w:ascii="Arial" w:hAnsi="Arial" w:cs="Arial"/>
          <w:color w:val="000000" w:themeColor="text1"/>
          <w:sz w:val="22"/>
          <w:szCs w:val="22"/>
          <w:lang w:val="es-ES_tradnl"/>
        </w:rPr>
        <w:t>el parágrafo 2 del artículo 30 de la Ley de Emprendimiento dispone que «La contratación a que se refiere el presente artículo se realizará exclusivamente con las reglas en él contempladas y en su reglamentación […]</w:t>
      </w:r>
      <w:r w:rsidR="00010F9A" w:rsidRPr="0071708A">
        <w:rPr>
          <w:rFonts w:ascii="Arial" w:hAnsi="Arial" w:cs="Arial"/>
          <w:color w:val="000000" w:themeColor="text1"/>
          <w:sz w:val="22"/>
          <w:szCs w:val="22"/>
          <w:lang w:val="es-ES_tradnl"/>
        </w:rPr>
        <w:t xml:space="preserve">, </w:t>
      </w:r>
      <w:r w:rsidR="00615875" w:rsidRPr="0071708A">
        <w:rPr>
          <w:rFonts w:ascii="Arial" w:hAnsi="Arial" w:cs="Arial"/>
          <w:color w:val="000000" w:themeColor="text1"/>
          <w:sz w:val="22"/>
          <w:szCs w:val="22"/>
          <w:lang w:val="es-ES_tradnl"/>
        </w:rPr>
        <w:t>las causales</w:t>
      </w:r>
      <w:r w:rsidR="00010F9A" w:rsidRPr="0071708A">
        <w:rPr>
          <w:rFonts w:ascii="Arial" w:hAnsi="Arial" w:cs="Arial"/>
          <w:color w:val="000000" w:themeColor="text1"/>
          <w:sz w:val="22"/>
          <w:szCs w:val="22"/>
          <w:lang w:val="es-ES_tradnl"/>
        </w:rPr>
        <w:t xml:space="preserve"> del artículo 35 de la Ley </w:t>
      </w:r>
      <w:r w:rsidR="00AA3088" w:rsidRPr="0071708A">
        <w:rPr>
          <w:rFonts w:ascii="Arial" w:hAnsi="Arial" w:cs="Arial"/>
          <w:color w:val="000000" w:themeColor="text1"/>
          <w:sz w:val="22"/>
          <w:szCs w:val="22"/>
          <w:lang w:val="es-ES_tradnl"/>
        </w:rPr>
        <w:t>2069 de 2020</w:t>
      </w:r>
      <w:r w:rsidR="00010F9A" w:rsidRPr="0071708A">
        <w:rPr>
          <w:rFonts w:ascii="Arial" w:hAnsi="Arial" w:cs="Arial"/>
          <w:color w:val="000000" w:themeColor="text1"/>
          <w:sz w:val="22"/>
          <w:szCs w:val="22"/>
          <w:lang w:val="es-ES_tradnl"/>
        </w:rPr>
        <w:t xml:space="preserve"> </w:t>
      </w:r>
      <w:r w:rsidR="00B53899" w:rsidRPr="0071708A">
        <w:rPr>
          <w:rFonts w:ascii="Arial" w:hAnsi="Arial" w:cs="Arial"/>
          <w:color w:val="000000" w:themeColor="text1"/>
          <w:sz w:val="22"/>
          <w:szCs w:val="22"/>
          <w:lang w:val="es-ES_tradnl"/>
        </w:rPr>
        <w:t>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w:t>
      </w:r>
      <w:r w:rsidR="00CF6296" w:rsidRPr="0071708A">
        <w:rPr>
          <w:rFonts w:ascii="Arial" w:hAnsi="Arial" w:cs="Arial"/>
          <w:color w:val="000000" w:themeColor="text1"/>
          <w:sz w:val="22"/>
          <w:szCs w:val="22"/>
          <w:lang w:val="es-ES_tradnl"/>
        </w:rPr>
        <w:t>.</w:t>
      </w:r>
      <w:r w:rsidRPr="0071708A">
        <w:rPr>
          <w:rFonts w:ascii="Arial" w:hAnsi="Arial" w:cs="Arial"/>
          <w:color w:val="000000" w:themeColor="text1"/>
          <w:sz w:val="22"/>
          <w:szCs w:val="22"/>
          <w:lang w:val="es-ES_tradnl"/>
        </w:rPr>
        <w:t xml:space="preserve">  </w:t>
      </w:r>
    </w:p>
    <w:p w14:paraId="56199B0C" w14:textId="72A0BF82" w:rsidR="00F77DD4" w:rsidRPr="0071708A" w:rsidRDefault="00AA3088" w:rsidP="00F77DD4">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En efecto, una interpretación exegética del parágrafo 2 del artículo 30 de la Ley de Emprendimiento desconoce</w:t>
      </w:r>
      <w:r w:rsidR="004F4D5A" w:rsidRPr="0071708A">
        <w:rPr>
          <w:rFonts w:ascii="Arial" w:hAnsi="Arial" w:cs="Arial"/>
          <w:color w:val="000000" w:themeColor="text1"/>
          <w:sz w:val="22"/>
          <w:szCs w:val="22"/>
          <w:lang w:val="es-ES_tradnl"/>
        </w:rPr>
        <w:t>ría</w:t>
      </w:r>
      <w:r w:rsidRPr="0071708A">
        <w:rPr>
          <w:rFonts w:ascii="Arial" w:hAnsi="Arial" w:cs="Arial"/>
          <w:color w:val="000000" w:themeColor="text1"/>
          <w:sz w:val="22"/>
          <w:szCs w:val="22"/>
          <w:lang w:val="es-ES_tradnl"/>
        </w:rPr>
        <w:t xml:space="preserve"> la aplicación de normas transversales al sistema de compras y contratación pública, tales como </w:t>
      </w:r>
      <w:r w:rsidR="00513170" w:rsidRPr="0071708A">
        <w:rPr>
          <w:rFonts w:ascii="Arial" w:hAnsi="Arial" w:cs="Arial"/>
          <w:color w:val="000000" w:themeColor="text1"/>
          <w:sz w:val="22"/>
          <w:szCs w:val="22"/>
          <w:lang w:val="es-ES_tradnl"/>
        </w:rPr>
        <w:t xml:space="preserve">la capacidad de los consorcios y las uniones temporales, </w:t>
      </w:r>
      <w:r w:rsidRPr="0071708A">
        <w:rPr>
          <w:rFonts w:ascii="Arial" w:hAnsi="Arial" w:cs="Arial"/>
          <w:color w:val="000000" w:themeColor="text1"/>
          <w:sz w:val="22"/>
          <w:szCs w:val="22"/>
          <w:lang w:val="es-ES_tradnl"/>
        </w:rPr>
        <w:t>el régimen de inhabilidades e incompatibilidades</w:t>
      </w:r>
      <w:r w:rsidR="00513170" w:rsidRPr="0071708A">
        <w:rPr>
          <w:rFonts w:ascii="Arial" w:hAnsi="Arial" w:cs="Arial"/>
          <w:color w:val="000000" w:themeColor="text1"/>
          <w:sz w:val="22"/>
          <w:szCs w:val="22"/>
          <w:lang w:val="es-ES_tradnl"/>
        </w:rPr>
        <w:t xml:space="preserve">, </w:t>
      </w:r>
      <w:r w:rsidR="00F77DD4" w:rsidRPr="0071708A">
        <w:rPr>
          <w:rFonts w:ascii="Arial" w:hAnsi="Arial" w:cs="Arial"/>
          <w:color w:val="000000" w:themeColor="text1"/>
          <w:sz w:val="22"/>
          <w:szCs w:val="22"/>
          <w:lang w:val="es-ES_tradnl"/>
        </w:rPr>
        <w:t>los requisitos para ejercer</w:t>
      </w:r>
      <w:r w:rsidR="00513170" w:rsidRPr="0071708A">
        <w:rPr>
          <w:rFonts w:ascii="Arial" w:hAnsi="Arial" w:cs="Arial"/>
          <w:color w:val="000000" w:themeColor="text1"/>
          <w:sz w:val="22"/>
          <w:szCs w:val="22"/>
          <w:lang w:val="es-ES_tradnl"/>
        </w:rPr>
        <w:t xml:space="preserve"> las potestades exorbitantes</w:t>
      </w:r>
      <w:r w:rsidRPr="0071708A">
        <w:rPr>
          <w:rFonts w:ascii="Arial" w:hAnsi="Arial" w:cs="Arial"/>
          <w:color w:val="000000" w:themeColor="text1"/>
          <w:sz w:val="22"/>
          <w:szCs w:val="22"/>
          <w:lang w:val="es-ES_tradnl"/>
        </w:rPr>
        <w:t xml:space="preserve"> o los principios de la contratación estatal –art</w:t>
      </w:r>
      <w:r w:rsidR="00513170" w:rsidRPr="0071708A">
        <w:rPr>
          <w:rFonts w:ascii="Arial" w:hAnsi="Arial" w:cs="Arial"/>
          <w:color w:val="000000" w:themeColor="text1"/>
          <w:sz w:val="22"/>
          <w:szCs w:val="22"/>
          <w:lang w:val="es-ES_tradnl"/>
        </w:rPr>
        <w:t>s</w:t>
      </w:r>
      <w:r w:rsidRPr="0071708A">
        <w:rPr>
          <w:rFonts w:ascii="Arial" w:hAnsi="Arial" w:cs="Arial"/>
          <w:color w:val="000000" w:themeColor="text1"/>
          <w:sz w:val="22"/>
          <w:szCs w:val="22"/>
          <w:lang w:val="es-ES_tradnl"/>
        </w:rPr>
        <w:t xml:space="preserve">. </w:t>
      </w:r>
      <w:r w:rsidR="00513170" w:rsidRPr="0071708A">
        <w:rPr>
          <w:rFonts w:ascii="Arial" w:hAnsi="Arial" w:cs="Arial"/>
          <w:color w:val="000000" w:themeColor="text1"/>
          <w:sz w:val="22"/>
          <w:szCs w:val="22"/>
          <w:lang w:val="es-ES_tradnl"/>
        </w:rPr>
        <w:t xml:space="preserve">6, 8, 14.2 y </w:t>
      </w:r>
      <w:r w:rsidRPr="0071708A">
        <w:rPr>
          <w:rFonts w:ascii="Arial" w:hAnsi="Arial" w:cs="Arial"/>
          <w:color w:val="000000" w:themeColor="text1"/>
          <w:sz w:val="22"/>
          <w:szCs w:val="22"/>
          <w:lang w:val="es-ES_tradnl"/>
        </w:rPr>
        <w:t>23 de la Ley 80 de 1993</w:t>
      </w:r>
      <w:r w:rsidR="00513170" w:rsidRPr="0071708A">
        <w:rPr>
          <w:rFonts w:ascii="Arial" w:hAnsi="Arial" w:cs="Arial"/>
          <w:color w:val="000000" w:themeColor="text1"/>
          <w:sz w:val="22"/>
          <w:szCs w:val="22"/>
          <w:lang w:val="es-ES_tradnl"/>
        </w:rPr>
        <w:t xml:space="preserve">, respectivamente–. Llevada al </w:t>
      </w:r>
      <w:r w:rsidR="00850C34" w:rsidRPr="0071708A">
        <w:rPr>
          <w:rFonts w:ascii="Arial" w:hAnsi="Arial" w:cs="Arial"/>
          <w:color w:val="000000" w:themeColor="text1"/>
          <w:sz w:val="22"/>
          <w:szCs w:val="22"/>
          <w:lang w:val="es-ES_tradnl"/>
        </w:rPr>
        <w:t>extremo</w:t>
      </w:r>
      <w:r w:rsidR="00513170" w:rsidRPr="0071708A">
        <w:rPr>
          <w:rFonts w:ascii="Arial" w:hAnsi="Arial" w:cs="Arial"/>
          <w:color w:val="000000" w:themeColor="text1"/>
          <w:sz w:val="22"/>
          <w:szCs w:val="22"/>
          <w:lang w:val="es-ES_tradnl"/>
        </w:rPr>
        <w:t>, la idea de que el procedimiento de mínima cuantía solo se regula por el artículo 30 de la Ley 2069 de 2020 y su correspondiente reglamentación genera consecuencia</w:t>
      </w:r>
      <w:r w:rsidR="00F77DD4" w:rsidRPr="0071708A">
        <w:rPr>
          <w:rFonts w:ascii="Arial" w:hAnsi="Arial" w:cs="Arial"/>
          <w:color w:val="000000" w:themeColor="text1"/>
          <w:sz w:val="22"/>
          <w:szCs w:val="22"/>
          <w:lang w:val="es-ES_tradnl"/>
        </w:rPr>
        <w:t>s</w:t>
      </w:r>
      <w:r w:rsidR="00513170" w:rsidRPr="0071708A">
        <w:rPr>
          <w:rFonts w:ascii="Arial" w:hAnsi="Arial" w:cs="Arial"/>
          <w:color w:val="000000" w:themeColor="text1"/>
          <w:sz w:val="22"/>
          <w:szCs w:val="22"/>
          <w:lang w:val="es-ES_tradnl"/>
        </w:rPr>
        <w:t xml:space="preserve"> absurdas</w:t>
      </w:r>
      <w:r w:rsidR="00F77DD4" w:rsidRPr="0071708A">
        <w:rPr>
          <w:rFonts w:ascii="Arial" w:hAnsi="Arial" w:cs="Arial"/>
          <w:color w:val="000000" w:themeColor="text1"/>
          <w:sz w:val="22"/>
          <w:szCs w:val="22"/>
          <w:lang w:val="es-ES_tradnl"/>
        </w:rPr>
        <w:t>, pues da</w:t>
      </w:r>
      <w:r w:rsidR="007B2820" w:rsidRPr="0071708A">
        <w:rPr>
          <w:rFonts w:ascii="Arial" w:hAnsi="Arial" w:cs="Arial"/>
          <w:color w:val="000000" w:themeColor="text1"/>
          <w:sz w:val="22"/>
          <w:szCs w:val="22"/>
          <w:lang w:val="es-ES_tradnl"/>
        </w:rPr>
        <w:t>ría</w:t>
      </w:r>
      <w:r w:rsidR="00F77DD4" w:rsidRPr="0071708A">
        <w:rPr>
          <w:rFonts w:ascii="Arial" w:hAnsi="Arial" w:cs="Arial"/>
          <w:color w:val="000000" w:themeColor="text1"/>
          <w:sz w:val="22"/>
          <w:szCs w:val="22"/>
          <w:lang w:val="es-ES_tradnl"/>
        </w:rPr>
        <w:t xml:space="preserve"> a entender que el reglamento p</w:t>
      </w:r>
      <w:r w:rsidR="007B2820" w:rsidRPr="0071708A">
        <w:rPr>
          <w:rFonts w:ascii="Arial" w:hAnsi="Arial" w:cs="Arial"/>
          <w:color w:val="000000" w:themeColor="text1"/>
          <w:sz w:val="22"/>
          <w:szCs w:val="22"/>
          <w:lang w:val="es-ES_tradnl"/>
        </w:rPr>
        <w:t>odría llegar a</w:t>
      </w:r>
      <w:r w:rsidR="00F77DD4" w:rsidRPr="0071708A">
        <w:rPr>
          <w:rFonts w:ascii="Arial" w:hAnsi="Arial" w:cs="Arial"/>
          <w:color w:val="000000" w:themeColor="text1"/>
          <w:sz w:val="22"/>
          <w:szCs w:val="22"/>
          <w:lang w:val="es-ES_tradnl"/>
        </w:rPr>
        <w:t xml:space="preserve"> modificar aspectos elevados a rango de ley</w:t>
      </w:r>
      <w:r w:rsidR="007B2820" w:rsidRPr="0071708A">
        <w:rPr>
          <w:rFonts w:ascii="Arial" w:hAnsi="Arial" w:cs="Arial"/>
          <w:color w:val="000000" w:themeColor="text1"/>
          <w:sz w:val="22"/>
          <w:szCs w:val="22"/>
          <w:lang w:val="es-ES_tradnl"/>
        </w:rPr>
        <w:t>, como lo son los criterios de desempate previstos en el artículo 35 de la Ley 2069 de 2020</w:t>
      </w:r>
      <w:r w:rsidR="00F77DD4" w:rsidRPr="0071708A">
        <w:rPr>
          <w:rFonts w:ascii="Arial" w:hAnsi="Arial" w:cs="Arial"/>
          <w:color w:val="000000" w:themeColor="text1"/>
          <w:sz w:val="22"/>
          <w:szCs w:val="22"/>
          <w:lang w:val="es-ES_tradnl"/>
        </w:rPr>
        <w:t xml:space="preserve">. </w:t>
      </w:r>
    </w:p>
    <w:p w14:paraId="7B114987" w14:textId="77777777" w:rsidR="003165A4" w:rsidRPr="0071708A" w:rsidRDefault="00F77DD4" w:rsidP="00F77DD4">
      <w:pPr>
        <w:spacing w:before="120"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Además, aunque el artículo 5.1 de la Ley 57 de 1887 consagra la regla </w:t>
      </w:r>
      <w:r w:rsidRPr="0071708A">
        <w:rPr>
          <w:rFonts w:ascii="Arial" w:hAnsi="Arial" w:cs="Arial"/>
          <w:i/>
          <w:iCs/>
          <w:color w:val="000000" w:themeColor="text1"/>
          <w:sz w:val="22"/>
          <w:szCs w:val="22"/>
          <w:lang w:val="es-ES_tradnl"/>
        </w:rPr>
        <w:t>lex specialis derogat legi generali</w:t>
      </w:r>
      <w:r w:rsidR="00231293" w:rsidRPr="0071708A">
        <w:rPr>
          <w:rStyle w:val="Refdenotaalpie"/>
          <w:rFonts w:ascii="Arial" w:hAnsi="Arial" w:cs="Arial"/>
          <w:color w:val="000000" w:themeColor="text1"/>
          <w:sz w:val="22"/>
          <w:szCs w:val="22"/>
          <w:lang w:val="es-ES_tradnl"/>
        </w:rPr>
        <w:footnoteReference w:id="11"/>
      </w:r>
      <w:r w:rsidRPr="0071708A">
        <w:rPr>
          <w:rFonts w:ascii="Arial" w:hAnsi="Arial" w:cs="Arial"/>
          <w:color w:val="000000" w:themeColor="text1"/>
          <w:sz w:val="22"/>
          <w:szCs w:val="22"/>
          <w:lang w:val="es-ES_tradnl"/>
        </w:rPr>
        <w:t xml:space="preserve">, este criterio para la resolución de antinomias carece de aplicación matemática para concluir que los factores de desempate </w:t>
      </w:r>
      <w:r w:rsidR="00D56A53" w:rsidRPr="0071708A">
        <w:rPr>
          <w:rFonts w:ascii="Arial" w:hAnsi="Arial" w:cs="Arial"/>
          <w:color w:val="000000" w:themeColor="text1"/>
          <w:sz w:val="22"/>
          <w:szCs w:val="22"/>
          <w:lang w:val="es-ES_tradnl"/>
        </w:rPr>
        <w:t xml:space="preserve">para la mínima cuantía </w:t>
      </w:r>
      <w:r w:rsidRPr="0071708A">
        <w:rPr>
          <w:rFonts w:ascii="Arial" w:hAnsi="Arial" w:cs="Arial"/>
          <w:color w:val="000000" w:themeColor="text1"/>
          <w:sz w:val="22"/>
          <w:szCs w:val="22"/>
          <w:lang w:val="es-ES_tradnl"/>
        </w:rPr>
        <w:t>se rigen por las normas especiales previstas en el reglamento</w:t>
      </w:r>
      <w:r w:rsidR="00231293" w:rsidRPr="0071708A">
        <w:rPr>
          <w:rFonts w:ascii="Arial" w:hAnsi="Arial" w:cs="Arial"/>
          <w:color w:val="000000" w:themeColor="text1"/>
          <w:sz w:val="22"/>
          <w:szCs w:val="22"/>
          <w:lang w:val="es-ES_tradnl"/>
        </w:rPr>
        <w:t xml:space="preserve">. </w:t>
      </w:r>
      <w:r w:rsidR="00FF5E27" w:rsidRPr="0071708A">
        <w:rPr>
          <w:rFonts w:ascii="Arial" w:hAnsi="Arial" w:cs="Arial"/>
          <w:color w:val="000000" w:themeColor="text1"/>
          <w:sz w:val="22"/>
          <w:szCs w:val="22"/>
          <w:lang w:val="es-ES_tradnl"/>
        </w:rPr>
        <w:t>De esta manera, los</w:t>
      </w:r>
      <w:r w:rsidR="00231293" w:rsidRPr="0071708A">
        <w:rPr>
          <w:rFonts w:ascii="Arial" w:hAnsi="Arial" w:cs="Arial"/>
          <w:color w:val="000000" w:themeColor="text1"/>
          <w:sz w:val="22"/>
          <w:szCs w:val="22"/>
          <w:lang w:val="es-ES_tradnl"/>
        </w:rPr>
        <w:t xml:space="preserve"> límites de esta regla hay que verificarlos en cada caso teniendo en cuenta la intención del legislador, por lo cual es posible </w:t>
      </w:r>
      <w:r w:rsidR="00FF5E27" w:rsidRPr="0071708A">
        <w:rPr>
          <w:rFonts w:ascii="Arial" w:hAnsi="Arial" w:cs="Arial"/>
          <w:color w:val="000000" w:themeColor="text1"/>
          <w:sz w:val="22"/>
          <w:szCs w:val="22"/>
          <w:lang w:val="es-ES_tradnl"/>
        </w:rPr>
        <w:t>la existencia de una regla general que no tolere excepciones</w:t>
      </w:r>
      <w:r w:rsidR="00231293" w:rsidRPr="0071708A">
        <w:rPr>
          <w:rStyle w:val="Refdenotaalpie"/>
          <w:rFonts w:ascii="Arial" w:hAnsi="Arial" w:cs="Arial"/>
          <w:color w:val="000000" w:themeColor="text1"/>
          <w:sz w:val="22"/>
          <w:szCs w:val="22"/>
          <w:lang w:val="es-ES_tradnl"/>
        </w:rPr>
        <w:footnoteReference w:id="12"/>
      </w:r>
      <w:r w:rsidRPr="0071708A">
        <w:rPr>
          <w:rFonts w:ascii="Arial" w:hAnsi="Arial" w:cs="Arial"/>
          <w:color w:val="000000" w:themeColor="text1"/>
          <w:sz w:val="22"/>
          <w:szCs w:val="22"/>
          <w:lang w:val="es-ES_tradnl"/>
        </w:rPr>
        <w:t>.</w:t>
      </w:r>
      <w:r w:rsidR="00231293" w:rsidRPr="0071708A">
        <w:rPr>
          <w:rFonts w:ascii="Arial" w:hAnsi="Arial" w:cs="Arial"/>
          <w:color w:val="000000" w:themeColor="text1"/>
          <w:sz w:val="22"/>
          <w:szCs w:val="22"/>
          <w:lang w:val="es-ES_tradnl"/>
        </w:rPr>
        <w:t xml:space="preserve"> Al respecto, la doctrina considera que:</w:t>
      </w:r>
      <w:r w:rsidRPr="0071708A">
        <w:rPr>
          <w:rFonts w:ascii="Arial" w:hAnsi="Arial" w:cs="Arial"/>
          <w:color w:val="000000" w:themeColor="text1"/>
          <w:sz w:val="22"/>
          <w:szCs w:val="22"/>
          <w:lang w:val="es-ES_tradnl"/>
        </w:rPr>
        <w:t xml:space="preserve"> </w:t>
      </w:r>
    </w:p>
    <w:p w14:paraId="7A90DE71" w14:textId="4937C1C4" w:rsidR="00FF5E27" w:rsidRPr="0071708A" w:rsidRDefault="00513170" w:rsidP="003165A4">
      <w:pPr>
        <w:spacing w:line="276" w:lineRule="auto"/>
        <w:ind w:firstLine="709"/>
        <w:jc w:val="both"/>
        <w:rPr>
          <w:rFonts w:ascii="Arial" w:hAnsi="Arial" w:cs="Arial"/>
          <w:color w:val="000000" w:themeColor="text1"/>
          <w:sz w:val="22"/>
          <w:szCs w:val="22"/>
          <w:lang w:val="es-ES_tradnl"/>
        </w:rPr>
      </w:pPr>
      <w:r w:rsidRPr="0071708A">
        <w:rPr>
          <w:rFonts w:ascii="Arial" w:hAnsi="Arial" w:cs="Arial"/>
          <w:color w:val="000000" w:themeColor="text1"/>
          <w:sz w:val="22"/>
          <w:szCs w:val="22"/>
          <w:lang w:val="es-ES_tradnl"/>
        </w:rPr>
        <w:t xml:space="preserve">  </w:t>
      </w:r>
    </w:p>
    <w:p w14:paraId="180D3A54" w14:textId="77DB4E67" w:rsidR="003165A4" w:rsidRPr="0071708A" w:rsidRDefault="00FF5E27" w:rsidP="003165A4">
      <w:pPr>
        <w:ind w:left="709" w:right="758"/>
        <w:jc w:val="both"/>
        <w:rPr>
          <w:rFonts w:ascii="Arial" w:hAnsi="Arial" w:cs="Arial"/>
          <w:color w:val="000000" w:themeColor="text1"/>
          <w:sz w:val="21"/>
          <w:szCs w:val="21"/>
          <w:lang w:val="es-ES_tradnl"/>
        </w:rPr>
      </w:pPr>
      <w:r w:rsidRPr="0071708A">
        <w:rPr>
          <w:rFonts w:ascii="Arial" w:hAnsi="Arial" w:cs="Arial"/>
          <w:color w:val="000000" w:themeColor="text1"/>
          <w:sz w:val="21"/>
          <w:szCs w:val="21"/>
        </w:rPr>
        <w:t xml:space="preserve">[…] la preferencia por la norma especial sobre la norma posterior no puede tener jamás un valor absoluto, porque razones de orden teleológico pueden impeler a dar prioridad a la </w:t>
      </w:r>
      <w:r w:rsidRPr="0071708A">
        <w:rPr>
          <w:rFonts w:ascii="Arial" w:hAnsi="Arial" w:cs="Arial"/>
          <w:i/>
          <w:iCs/>
          <w:color w:val="000000" w:themeColor="text1"/>
          <w:sz w:val="21"/>
          <w:szCs w:val="21"/>
        </w:rPr>
        <w:t>lex posterior generalis</w:t>
      </w:r>
      <w:r w:rsidRPr="0071708A">
        <w:rPr>
          <w:rFonts w:ascii="Arial" w:hAnsi="Arial" w:cs="Arial"/>
          <w:color w:val="000000" w:themeColor="text1"/>
          <w:sz w:val="21"/>
          <w:szCs w:val="21"/>
        </w:rPr>
        <w:t xml:space="preserve">. Piénsese en las hipótesis de nueva </w:t>
      </w:r>
      <w:r w:rsidRPr="0071708A">
        <w:rPr>
          <w:rFonts w:ascii="Arial" w:hAnsi="Arial" w:cs="Arial"/>
          <w:color w:val="000000" w:themeColor="text1"/>
          <w:sz w:val="21"/>
          <w:szCs w:val="21"/>
        </w:rPr>
        <w:lastRenderedPageBreak/>
        <w:t xml:space="preserve">regulación integral de la materia, por reducida que la materia sea: parece que la vocación de regulación uniforme debe prevalecer sobre las diferencias sectoriales preexistentes. Por ello, incluso quienes defienden la primacía del criterio de la especialidad en caso de conflicto con el criterio cronológico lo hacen con reservas y sin atribuir a esta afirmación un valor absoluto. Ha sido sugerido, en este sentido, que el aforismo </w:t>
      </w:r>
      <w:r w:rsidRPr="0071708A">
        <w:rPr>
          <w:rFonts w:ascii="Arial" w:hAnsi="Arial" w:cs="Arial"/>
          <w:i/>
          <w:iCs/>
          <w:color w:val="000000" w:themeColor="text1"/>
          <w:sz w:val="21"/>
          <w:szCs w:val="21"/>
        </w:rPr>
        <w:t>lex posterior generalis non derogat legi priori speciali</w:t>
      </w:r>
      <w:r w:rsidRPr="0071708A">
        <w:rPr>
          <w:rFonts w:ascii="Arial" w:hAnsi="Arial" w:cs="Arial"/>
          <w:color w:val="000000" w:themeColor="text1"/>
          <w:sz w:val="21"/>
          <w:szCs w:val="21"/>
        </w:rPr>
        <w:t xml:space="preserve"> opera como una mera presunción hermenéutica, que puede ser destruida por una clara </w:t>
      </w:r>
      <w:r w:rsidRPr="0071708A">
        <w:rPr>
          <w:rFonts w:ascii="Arial" w:hAnsi="Arial" w:cs="Arial"/>
          <w:i/>
          <w:iCs/>
          <w:color w:val="000000" w:themeColor="text1"/>
          <w:sz w:val="21"/>
          <w:szCs w:val="21"/>
        </w:rPr>
        <w:t>voluntas legis</w:t>
      </w:r>
      <w:r w:rsidRPr="0071708A">
        <w:rPr>
          <w:rFonts w:ascii="Arial" w:hAnsi="Arial" w:cs="Arial"/>
          <w:color w:val="000000" w:themeColor="text1"/>
          <w:sz w:val="21"/>
          <w:szCs w:val="21"/>
        </w:rPr>
        <w:t xml:space="preserve"> de sentido contrario</w:t>
      </w:r>
      <w:r w:rsidRPr="0071708A">
        <w:rPr>
          <w:rStyle w:val="Refdenotaalpie"/>
          <w:rFonts w:ascii="Arial" w:hAnsi="Arial" w:cs="Arial"/>
          <w:color w:val="000000" w:themeColor="text1"/>
          <w:sz w:val="21"/>
          <w:szCs w:val="21"/>
        </w:rPr>
        <w:footnoteReference w:id="13"/>
      </w:r>
      <w:r w:rsidRPr="0071708A">
        <w:rPr>
          <w:rFonts w:ascii="Arial" w:hAnsi="Arial" w:cs="Arial"/>
          <w:color w:val="000000" w:themeColor="text1"/>
          <w:sz w:val="21"/>
          <w:szCs w:val="21"/>
        </w:rPr>
        <w:t>.</w:t>
      </w:r>
      <w:r w:rsidR="00AA3088" w:rsidRPr="0071708A">
        <w:rPr>
          <w:rFonts w:ascii="Arial" w:hAnsi="Arial" w:cs="Arial"/>
          <w:color w:val="000000" w:themeColor="text1"/>
          <w:sz w:val="21"/>
          <w:szCs w:val="21"/>
          <w:lang w:val="es-ES_tradnl"/>
        </w:rPr>
        <w:t xml:space="preserve"> </w:t>
      </w:r>
    </w:p>
    <w:p w14:paraId="335BABD9" w14:textId="77777777" w:rsidR="003165A4" w:rsidRPr="0071708A" w:rsidRDefault="003165A4" w:rsidP="003165A4">
      <w:pPr>
        <w:spacing w:line="276" w:lineRule="auto"/>
        <w:jc w:val="both"/>
        <w:rPr>
          <w:rFonts w:ascii="Arial" w:hAnsi="Arial" w:cs="Arial"/>
          <w:color w:val="000000" w:themeColor="text1"/>
          <w:sz w:val="22"/>
          <w:szCs w:val="22"/>
          <w:lang w:val="es-ES_tradnl"/>
        </w:rPr>
      </w:pPr>
    </w:p>
    <w:p w14:paraId="1523A9FF" w14:textId="1BDFC3AF" w:rsidR="0016204B" w:rsidRPr="0071708A" w:rsidRDefault="003165A4" w:rsidP="00623346">
      <w:pPr>
        <w:spacing w:after="120" w:line="276" w:lineRule="auto"/>
        <w:jc w:val="both"/>
        <w:rPr>
          <w:rFonts w:ascii="Arial" w:eastAsia="Calibri" w:hAnsi="Arial" w:cs="Arial"/>
          <w:bCs/>
          <w:color w:val="000000" w:themeColor="text1"/>
          <w:sz w:val="22"/>
        </w:rPr>
      </w:pPr>
      <w:r w:rsidRPr="0071708A">
        <w:rPr>
          <w:rFonts w:ascii="Arial" w:hAnsi="Arial" w:cs="Arial"/>
          <w:color w:val="000000" w:themeColor="text1"/>
          <w:sz w:val="22"/>
          <w:szCs w:val="22"/>
          <w:lang w:val="es-ES_tradnl"/>
        </w:rPr>
        <w:tab/>
        <w:t xml:space="preserve">Tratándose de los factores de desempate, la intención del legislador es que el artículo 35 de la Ley de Emprendimiento sea una norma transversal al sistema de compras y contratación pública. Particularmente, </w:t>
      </w:r>
      <w:r w:rsidRPr="0071708A">
        <w:rPr>
          <w:rFonts w:ascii="Arial" w:eastAsia="Calibri" w:hAnsi="Arial" w:cs="Arial"/>
          <w:bCs/>
          <w:color w:val="000000" w:themeColor="text1"/>
          <w:sz w:val="22"/>
        </w:rPr>
        <w:t>conforme a la exposición de motivos, la ley «</w:t>
      </w:r>
      <w:r w:rsidRPr="0071708A">
        <w:rPr>
          <w:rFonts w:ascii="Arial" w:hAnsi="Arial" w:cs="Arial"/>
          <w:sz w:val="22"/>
        </w:rPr>
        <w:t xml:space="preserve">[…] </w:t>
      </w:r>
      <w:r w:rsidRPr="0071708A">
        <w:rPr>
          <w:rFonts w:ascii="Arial" w:eastAsia="Calibri" w:hAnsi="Arial" w:cs="Arial"/>
          <w:bCs/>
          <w:color w:val="000000" w:themeColor="text1"/>
          <w:sz w:val="22"/>
        </w:rPr>
        <w:t xml:space="preserve">propone facilitar el acceso de las Mipymes a la modalidad de contratación de mínima cuantía, la limitación de estos procesos a Mipymes, […] y </w:t>
      </w:r>
      <w:r w:rsidRPr="0071708A">
        <w:rPr>
          <w:rFonts w:ascii="Arial" w:eastAsia="Calibri" w:hAnsi="Arial" w:cs="Arial"/>
          <w:bCs/>
          <w:i/>
          <w:iCs/>
          <w:color w:val="000000" w:themeColor="text1"/>
          <w:sz w:val="22"/>
        </w:rPr>
        <w:t>define la inclusión de factores de desempate en los procesos de contratación pública que priorizan este segmento</w:t>
      </w:r>
      <w:r w:rsidRPr="0071708A">
        <w:rPr>
          <w:rFonts w:ascii="Arial" w:eastAsia="Calibri" w:hAnsi="Arial" w:cs="Arial"/>
          <w:bCs/>
          <w:color w:val="000000" w:themeColor="text1"/>
          <w:sz w:val="22"/>
        </w:rPr>
        <w:t>» (Énfasis fuera de texto)</w:t>
      </w:r>
      <w:r w:rsidRPr="0071708A">
        <w:rPr>
          <w:rStyle w:val="Refdenotaalpie"/>
          <w:rFonts w:ascii="Arial" w:eastAsia="Calibri" w:hAnsi="Arial" w:cs="Arial"/>
          <w:bCs/>
          <w:color w:val="000000" w:themeColor="text1"/>
          <w:sz w:val="22"/>
        </w:rPr>
        <w:footnoteReference w:id="14"/>
      </w:r>
      <w:r w:rsidRPr="0071708A">
        <w:rPr>
          <w:rFonts w:ascii="Arial" w:eastAsia="Calibri" w:hAnsi="Arial" w:cs="Arial"/>
          <w:bCs/>
          <w:color w:val="000000" w:themeColor="text1"/>
          <w:sz w:val="22"/>
        </w:rPr>
        <w:t xml:space="preserve">. En esta medida, carece de sentido </w:t>
      </w:r>
      <w:r w:rsidR="00623346" w:rsidRPr="0071708A">
        <w:rPr>
          <w:rFonts w:ascii="Arial" w:eastAsia="Calibri" w:hAnsi="Arial" w:cs="Arial"/>
          <w:bCs/>
          <w:color w:val="000000" w:themeColor="text1"/>
          <w:sz w:val="22"/>
        </w:rPr>
        <w:t>que los criterios de desempate</w:t>
      </w:r>
      <w:r w:rsidRPr="0071708A">
        <w:rPr>
          <w:rFonts w:ascii="Arial" w:eastAsia="Calibri" w:hAnsi="Arial" w:cs="Arial"/>
          <w:bCs/>
          <w:color w:val="000000" w:themeColor="text1"/>
          <w:sz w:val="22"/>
        </w:rPr>
        <w:t xml:space="preserve"> sean inaplicables </w:t>
      </w:r>
      <w:r w:rsidR="00623346" w:rsidRPr="0071708A">
        <w:rPr>
          <w:rFonts w:ascii="Arial" w:eastAsia="Calibri" w:hAnsi="Arial" w:cs="Arial"/>
          <w:bCs/>
          <w:color w:val="000000" w:themeColor="text1"/>
          <w:sz w:val="22"/>
        </w:rPr>
        <w:t>a la</w:t>
      </w:r>
      <w:r w:rsidRPr="0071708A">
        <w:rPr>
          <w:rFonts w:ascii="Arial" w:eastAsia="Calibri" w:hAnsi="Arial" w:cs="Arial"/>
          <w:bCs/>
          <w:color w:val="000000" w:themeColor="text1"/>
          <w:sz w:val="22"/>
        </w:rPr>
        <w:t xml:space="preserve"> mínima cuantía, cuando la regla revista en el artículo citado </w:t>
      </w:r>
      <w:r w:rsidR="00623346" w:rsidRPr="0071708A">
        <w:rPr>
          <w:rFonts w:ascii="Arial" w:eastAsia="Calibri" w:hAnsi="Arial" w:cs="Arial"/>
          <w:bCs/>
          <w:color w:val="000000" w:themeColor="text1"/>
          <w:sz w:val="22"/>
        </w:rPr>
        <w:t>obliga</w:t>
      </w:r>
      <w:r w:rsidRPr="0071708A">
        <w:rPr>
          <w:rFonts w:ascii="Arial" w:eastAsia="Calibri" w:hAnsi="Arial" w:cs="Arial"/>
          <w:bCs/>
          <w:color w:val="000000" w:themeColor="text1"/>
          <w:sz w:val="22"/>
        </w:rPr>
        <w:t xml:space="preserve"> a todas las entidades exceptuadas sin consideración al valor del presupuesto oficial estimado. </w:t>
      </w:r>
      <w:bookmarkStart w:id="5" w:name="_Hlk64307901"/>
      <w:r w:rsidRPr="0071708A">
        <w:rPr>
          <w:rFonts w:ascii="Arial" w:eastAsia="Calibri" w:hAnsi="Arial" w:cs="Arial"/>
          <w:bCs/>
          <w:color w:val="000000" w:themeColor="text1"/>
          <w:sz w:val="22"/>
        </w:rPr>
        <w:t>Teniendo en cuenta lo anterior, se concluye</w:t>
      </w:r>
      <w:r w:rsidR="00623346" w:rsidRPr="0071708A">
        <w:rPr>
          <w:rFonts w:ascii="Arial" w:eastAsia="Calibri" w:hAnsi="Arial" w:cs="Arial"/>
          <w:bCs/>
          <w:color w:val="000000" w:themeColor="text1"/>
          <w:sz w:val="22"/>
        </w:rPr>
        <w:t xml:space="preserve"> que el artículo </w:t>
      </w:r>
      <w:r w:rsidR="00623346" w:rsidRPr="0071708A">
        <w:rPr>
          <w:rFonts w:ascii="Arial" w:hAnsi="Arial" w:cs="Arial"/>
          <w:color w:val="000000" w:themeColor="text1"/>
          <w:sz w:val="22"/>
          <w:szCs w:val="22"/>
          <w:lang w:val="es-ES_tradnl"/>
        </w:rPr>
        <w:t xml:space="preserve">35 de la Ley 2069 de 2020 es aplicable al procedimiento de mínima cuantía, por lo que se presenta tanto la derogación como el decaimiento de </w:t>
      </w:r>
      <w:r w:rsidR="00850C34" w:rsidRPr="0071708A">
        <w:rPr>
          <w:rFonts w:ascii="Arial" w:hAnsi="Arial" w:cs="Arial"/>
          <w:color w:val="000000" w:themeColor="text1"/>
          <w:sz w:val="22"/>
          <w:szCs w:val="22"/>
          <w:lang w:val="es-ES_tradnl"/>
        </w:rPr>
        <w:t>los criterios de desempate previstos</w:t>
      </w:r>
      <w:r w:rsidR="00623346" w:rsidRPr="0071708A">
        <w:rPr>
          <w:rFonts w:ascii="Arial" w:hAnsi="Arial" w:cs="Arial"/>
          <w:color w:val="000000" w:themeColor="text1"/>
          <w:sz w:val="22"/>
          <w:szCs w:val="22"/>
          <w:lang w:val="es-ES_tradnl"/>
        </w:rPr>
        <w:t xml:space="preserve"> en el Decreto 1082 de 2015 para esta modalidad de selección.</w:t>
      </w:r>
      <w:r w:rsidR="00623346" w:rsidRPr="008120AC">
        <w:rPr>
          <w:rFonts w:ascii="Arial" w:hAnsi="Arial" w:cs="Arial"/>
          <w:color w:val="000000" w:themeColor="text1"/>
          <w:sz w:val="22"/>
          <w:szCs w:val="22"/>
          <w:lang w:val="es-ES_tradnl"/>
        </w:rPr>
        <w:t xml:space="preserve"> </w:t>
      </w:r>
      <w:r w:rsidR="00623346" w:rsidRPr="0071708A">
        <w:rPr>
          <w:rFonts w:ascii="Arial" w:eastAsia="Calibri" w:hAnsi="Arial" w:cs="Arial"/>
          <w:bCs/>
          <w:color w:val="000000" w:themeColor="text1"/>
          <w:sz w:val="22"/>
        </w:rPr>
        <w:t xml:space="preserve"> </w:t>
      </w:r>
      <w:r w:rsidRPr="0071708A">
        <w:rPr>
          <w:rFonts w:ascii="Arial" w:eastAsia="Calibri" w:hAnsi="Arial" w:cs="Arial"/>
          <w:bCs/>
          <w:color w:val="000000" w:themeColor="text1"/>
          <w:sz w:val="22"/>
        </w:rPr>
        <w:t xml:space="preserve">  </w:t>
      </w:r>
      <w:r w:rsidRPr="0071708A">
        <w:rPr>
          <w:rFonts w:ascii="Arial" w:hAnsi="Arial" w:cs="Arial"/>
          <w:color w:val="000000" w:themeColor="text1"/>
          <w:sz w:val="22"/>
          <w:szCs w:val="22"/>
          <w:lang w:val="es-ES_tradnl"/>
        </w:rPr>
        <w:t xml:space="preserve">  </w:t>
      </w:r>
      <w:r w:rsidR="00AA3088" w:rsidRPr="0071708A">
        <w:rPr>
          <w:rFonts w:ascii="Arial" w:hAnsi="Arial" w:cs="Arial"/>
          <w:color w:val="000000" w:themeColor="text1"/>
          <w:sz w:val="22"/>
          <w:szCs w:val="22"/>
          <w:lang w:val="es-ES_tradnl"/>
        </w:rPr>
        <w:t xml:space="preserve">   </w:t>
      </w:r>
    </w:p>
    <w:bookmarkEnd w:id="5"/>
    <w:p w14:paraId="29CE965B" w14:textId="77777777" w:rsidR="00AC4AD2" w:rsidRPr="00C440B6" w:rsidRDefault="00AC4AD2" w:rsidP="00510DE9">
      <w:pPr>
        <w:tabs>
          <w:tab w:val="left" w:pos="0"/>
        </w:tabs>
        <w:jc w:val="both"/>
        <w:rPr>
          <w:rFonts w:ascii="Arial" w:eastAsia="Calibri" w:hAnsi="Arial" w:cs="Arial"/>
          <w:b/>
          <w:color w:val="000000" w:themeColor="text1"/>
          <w:sz w:val="22"/>
          <w:lang w:val="es-ES_tradnl"/>
        </w:rPr>
      </w:pPr>
    </w:p>
    <w:p w14:paraId="37CA9805" w14:textId="74A99BE5" w:rsidR="00DD5B04" w:rsidRPr="00C440B6" w:rsidRDefault="004177A6" w:rsidP="00510DE9">
      <w:pPr>
        <w:tabs>
          <w:tab w:val="left" w:pos="0"/>
        </w:tabs>
        <w:jc w:val="both"/>
        <w:rPr>
          <w:rFonts w:ascii="Arial" w:eastAsia="Calibri" w:hAnsi="Arial" w:cs="Arial"/>
          <w:b/>
          <w:color w:val="000000" w:themeColor="text1"/>
          <w:sz w:val="22"/>
          <w:lang w:val="es-ES_tradnl"/>
        </w:rPr>
      </w:pPr>
      <w:r w:rsidRPr="00C440B6">
        <w:rPr>
          <w:rFonts w:ascii="Arial" w:eastAsia="Calibri" w:hAnsi="Arial" w:cs="Arial"/>
          <w:b/>
          <w:color w:val="000000" w:themeColor="text1"/>
          <w:sz w:val="22"/>
          <w:lang w:val="es-ES_tradnl"/>
        </w:rPr>
        <w:t>3</w:t>
      </w:r>
      <w:r w:rsidR="00B011A9" w:rsidRPr="00C440B6">
        <w:rPr>
          <w:rFonts w:ascii="Arial" w:eastAsia="Calibri" w:hAnsi="Arial" w:cs="Arial"/>
          <w:b/>
          <w:color w:val="000000" w:themeColor="text1"/>
          <w:sz w:val="22"/>
          <w:lang w:val="es-ES_tradnl"/>
        </w:rPr>
        <w:t xml:space="preserve">. </w:t>
      </w:r>
      <w:r w:rsidR="00DD5B04" w:rsidRPr="00C440B6">
        <w:rPr>
          <w:rFonts w:ascii="Arial" w:eastAsia="Calibri" w:hAnsi="Arial" w:cs="Arial"/>
          <w:b/>
          <w:color w:val="000000" w:themeColor="text1"/>
          <w:sz w:val="22"/>
          <w:lang w:val="es-ES_tradnl"/>
        </w:rPr>
        <w:t>Respuesta</w:t>
      </w:r>
      <w:r w:rsidR="002A7D84" w:rsidRPr="00C440B6">
        <w:rPr>
          <w:rFonts w:ascii="Arial" w:eastAsia="Calibri" w:hAnsi="Arial" w:cs="Arial"/>
          <w:b/>
          <w:color w:val="000000" w:themeColor="text1"/>
          <w:sz w:val="22"/>
          <w:lang w:val="es-ES_tradnl"/>
        </w:rPr>
        <w:t>s</w:t>
      </w:r>
    </w:p>
    <w:p w14:paraId="0B74D5B8" w14:textId="7F0A7F13" w:rsidR="00C4581D" w:rsidRPr="00C440B6" w:rsidRDefault="00C4581D" w:rsidP="00510DE9">
      <w:pPr>
        <w:tabs>
          <w:tab w:val="left" w:pos="0"/>
        </w:tabs>
        <w:jc w:val="both"/>
        <w:rPr>
          <w:rFonts w:ascii="Arial" w:eastAsia="Calibri" w:hAnsi="Arial" w:cs="Arial"/>
          <w:color w:val="000000" w:themeColor="text1"/>
          <w:sz w:val="22"/>
          <w:lang w:val="es-ES_tradnl"/>
        </w:rPr>
      </w:pPr>
    </w:p>
    <w:p w14:paraId="3EB5F4C3" w14:textId="64FAC8F8" w:rsidR="00905336" w:rsidRPr="00C440B6" w:rsidRDefault="00CC3995" w:rsidP="00905336">
      <w:pPr>
        <w:ind w:left="709" w:right="709"/>
        <w:jc w:val="both"/>
        <w:rPr>
          <w:rFonts w:ascii="Arial" w:hAnsi="Arial" w:cs="Arial"/>
          <w:color w:val="000000" w:themeColor="text1"/>
          <w:sz w:val="21"/>
          <w:szCs w:val="21"/>
          <w:lang w:val="es-ES_tradnl"/>
        </w:rPr>
      </w:pPr>
      <w:r w:rsidRPr="00CC3995">
        <w:rPr>
          <w:rFonts w:ascii="Arial" w:hAnsi="Arial" w:cs="Arial"/>
          <w:color w:val="000000" w:themeColor="text1"/>
          <w:sz w:val="21"/>
          <w:szCs w:val="21"/>
          <w:lang w:val="es-ES_tradnl"/>
        </w:rPr>
        <w:t>«Con la vigencia de la ley 2069 de 2020, que en su artículo 35 establece los criterios de desempate en los Procesos de Contratación realizados con cargo a recursos públicos, se pregunta, y dado que la norma no distingue sino que habla de los procesos en general, si estos criterios aplican también para los de mínima cuantía, o si para éstos siguen vigentes los criterios establecidos en el artículo 2.2.1.2.1.5.3. el decreto 1082 de 2015».</w:t>
      </w:r>
    </w:p>
    <w:p w14:paraId="35D2EB08" w14:textId="77777777" w:rsidR="00F740A0" w:rsidRPr="00C440B6" w:rsidRDefault="00F740A0" w:rsidP="00DF76A2">
      <w:pPr>
        <w:spacing w:line="276" w:lineRule="auto"/>
        <w:jc w:val="both"/>
        <w:rPr>
          <w:rFonts w:ascii="Arial" w:eastAsia="Calibri" w:hAnsi="Arial" w:cs="Arial"/>
          <w:color w:val="000000" w:themeColor="text1"/>
          <w:sz w:val="22"/>
          <w:szCs w:val="22"/>
          <w:lang w:val="es-ES_tradnl"/>
        </w:rPr>
      </w:pPr>
    </w:p>
    <w:p w14:paraId="43708F48" w14:textId="052A1613" w:rsidR="00CA5E65" w:rsidRPr="00C440B6" w:rsidRDefault="00F740A0" w:rsidP="00DF76A2">
      <w:pPr>
        <w:spacing w:line="276" w:lineRule="auto"/>
        <w:jc w:val="both"/>
        <w:rPr>
          <w:rFonts w:ascii="Arial" w:eastAsia="Calibri" w:hAnsi="Arial" w:cs="Arial"/>
          <w:color w:val="000000" w:themeColor="text1"/>
          <w:sz w:val="22"/>
          <w:szCs w:val="22"/>
          <w:lang w:val="es-ES_tradnl"/>
        </w:rPr>
      </w:pPr>
      <w:r w:rsidRPr="00C440B6">
        <w:rPr>
          <w:rFonts w:ascii="Arial" w:eastAsia="Calibri" w:hAnsi="Arial" w:cs="Arial"/>
          <w:color w:val="000000" w:themeColor="text1"/>
          <w:sz w:val="22"/>
          <w:szCs w:val="22"/>
          <w:lang w:val="es-ES_tradnl"/>
        </w:rPr>
        <w:t xml:space="preserve">El artículo 35 de la Ley </w:t>
      </w:r>
      <w:r w:rsidR="006F0F34">
        <w:rPr>
          <w:rFonts w:ascii="Arial" w:eastAsia="Calibri" w:hAnsi="Arial" w:cs="Arial"/>
          <w:color w:val="000000" w:themeColor="text1"/>
          <w:sz w:val="22"/>
          <w:szCs w:val="22"/>
          <w:lang w:val="es-ES_tradnl"/>
        </w:rPr>
        <w:t>2069</w:t>
      </w:r>
      <w:r w:rsidRPr="00C440B6">
        <w:rPr>
          <w:rFonts w:ascii="Arial" w:eastAsia="Calibri" w:hAnsi="Arial" w:cs="Arial"/>
          <w:color w:val="000000" w:themeColor="text1"/>
          <w:sz w:val="22"/>
          <w:szCs w:val="22"/>
          <w:lang w:val="es-ES_tradnl"/>
        </w:rPr>
        <w:t xml:space="preserve"> de 2020, que modifica el régimen de los factores de desempate en la contratación estatal, se encuentra vigente y goza de aplicación directa desde la fecha de su promulgación, </w:t>
      </w:r>
      <w:r w:rsidR="0018007F">
        <w:rPr>
          <w:rFonts w:ascii="Arial" w:eastAsia="Calibri" w:hAnsi="Arial" w:cs="Arial"/>
          <w:color w:val="000000" w:themeColor="text1"/>
          <w:sz w:val="22"/>
          <w:szCs w:val="22"/>
          <w:lang w:val="es-ES_tradnl"/>
        </w:rPr>
        <w:t>es decir,</w:t>
      </w:r>
      <w:r w:rsidRPr="00C440B6">
        <w:rPr>
          <w:rFonts w:ascii="Arial" w:eastAsia="Calibri" w:hAnsi="Arial" w:cs="Arial"/>
          <w:color w:val="000000" w:themeColor="text1"/>
          <w:sz w:val="22"/>
          <w:szCs w:val="22"/>
          <w:lang w:val="es-ES_tradnl"/>
        </w:rPr>
        <w:t xml:space="preserve"> no requiere de una reglamentación previa como presupuesto para su eficacia.</w:t>
      </w:r>
      <w:r w:rsidR="00470552" w:rsidRPr="00C440B6">
        <w:rPr>
          <w:rFonts w:ascii="Arial" w:eastAsia="Calibri" w:hAnsi="Arial" w:cs="Arial"/>
          <w:color w:val="000000" w:themeColor="text1"/>
          <w:sz w:val="22"/>
          <w:szCs w:val="22"/>
          <w:lang w:val="es-ES_tradnl"/>
        </w:rPr>
        <w:t xml:space="preserve"> </w:t>
      </w:r>
      <w:r w:rsidR="0018007F">
        <w:rPr>
          <w:rFonts w:ascii="Arial" w:eastAsia="Calibri" w:hAnsi="Arial" w:cs="Arial"/>
          <w:color w:val="000000" w:themeColor="text1"/>
          <w:sz w:val="22"/>
          <w:szCs w:val="22"/>
          <w:lang w:val="es-ES_tradnl"/>
        </w:rPr>
        <w:t>Estos</w:t>
      </w:r>
      <w:r w:rsidR="009E41E5" w:rsidRPr="00C440B6">
        <w:rPr>
          <w:rFonts w:ascii="Arial" w:eastAsia="Calibri" w:hAnsi="Arial" w:cs="Arial"/>
          <w:color w:val="000000" w:themeColor="text1"/>
          <w:sz w:val="22"/>
          <w:szCs w:val="22"/>
          <w:lang w:val="es-ES_tradnl"/>
        </w:rPr>
        <w:t xml:space="preserve"> criterios de desempate </w:t>
      </w:r>
      <w:r w:rsidR="0018007F" w:rsidRPr="00C440B6">
        <w:rPr>
          <w:rFonts w:ascii="Arial" w:eastAsia="Calibri" w:hAnsi="Arial" w:cs="Arial"/>
          <w:color w:val="000000" w:themeColor="text1"/>
          <w:sz w:val="22"/>
          <w:szCs w:val="22"/>
          <w:lang w:val="es-ES_tradnl"/>
        </w:rPr>
        <w:t>actualmente</w:t>
      </w:r>
      <w:r w:rsidR="0018007F" w:rsidRPr="00C440B6" w:rsidDel="0018007F">
        <w:rPr>
          <w:rFonts w:ascii="Arial" w:eastAsia="Calibri" w:hAnsi="Arial" w:cs="Arial"/>
          <w:color w:val="000000" w:themeColor="text1"/>
          <w:sz w:val="22"/>
          <w:szCs w:val="22"/>
          <w:lang w:val="es-ES_tradnl"/>
        </w:rPr>
        <w:t xml:space="preserve"> </w:t>
      </w:r>
      <w:r w:rsidR="009E41E5" w:rsidRPr="00C440B6">
        <w:rPr>
          <w:rFonts w:ascii="Arial" w:eastAsia="Calibri" w:hAnsi="Arial" w:cs="Arial"/>
          <w:color w:val="000000" w:themeColor="text1"/>
          <w:sz w:val="22"/>
          <w:szCs w:val="22"/>
          <w:lang w:val="es-ES_tradnl"/>
        </w:rPr>
        <w:t>son</w:t>
      </w:r>
      <w:r w:rsidR="00DB31EE" w:rsidRPr="00C440B6">
        <w:rPr>
          <w:rFonts w:ascii="Arial" w:eastAsia="Calibri" w:hAnsi="Arial" w:cs="Arial"/>
          <w:color w:val="000000" w:themeColor="text1"/>
          <w:sz w:val="22"/>
          <w:szCs w:val="22"/>
          <w:lang w:val="es-ES_tradnl"/>
        </w:rPr>
        <w:t xml:space="preserve"> </w:t>
      </w:r>
      <w:r w:rsidR="009E41E5" w:rsidRPr="00C440B6">
        <w:rPr>
          <w:rFonts w:ascii="Arial" w:eastAsia="Calibri" w:hAnsi="Arial" w:cs="Arial"/>
          <w:color w:val="000000" w:themeColor="text1"/>
          <w:sz w:val="22"/>
          <w:szCs w:val="22"/>
          <w:lang w:val="es-ES_tradnl"/>
        </w:rPr>
        <w:t>aplicables</w:t>
      </w:r>
      <w:r w:rsidR="00DB31EE" w:rsidRPr="00C440B6">
        <w:rPr>
          <w:rFonts w:ascii="Arial" w:eastAsia="Calibri" w:hAnsi="Arial" w:cs="Arial"/>
          <w:color w:val="000000" w:themeColor="text1"/>
          <w:sz w:val="22"/>
          <w:szCs w:val="22"/>
          <w:lang w:val="es-ES_tradnl"/>
        </w:rPr>
        <w:t xml:space="preserve"> </w:t>
      </w:r>
      <w:r w:rsidR="009E41E5" w:rsidRPr="00C440B6">
        <w:rPr>
          <w:rFonts w:ascii="Arial" w:eastAsia="Calibri" w:hAnsi="Arial" w:cs="Arial"/>
          <w:color w:val="000000" w:themeColor="text1"/>
          <w:sz w:val="22"/>
          <w:szCs w:val="22"/>
          <w:lang w:val="es-ES_tradnl"/>
        </w:rPr>
        <w:t>a todas las entidades estatales</w:t>
      </w:r>
      <w:r w:rsidR="00DB31EE" w:rsidRPr="00C440B6">
        <w:rPr>
          <w:rFonts w:ascii="Arial" w:eastAsia="Calibri" w:hAnsi="Arial" w:cs="Arial"/>
          <w:color w:val="000000" w:themeColor="text1"/>
          <w:sz w:val="22"/>
          <w:szCs w:val="22"/>
          <w:lang w:val="es-ES_tradnl"/>
        </w:rPr>
        <w:t>, independientemente de su régimen de contratación.</w:t>
      </w:r>
    </w:p>
    <w:p w14:paraId="18FD7E98" w14:textId="4827E9F1" w:rsidR="00791744" w:rsidRPr="00C440B6" w:rsidRDefault="00C440B6" w:rsidP="00791744">
      <w:pPr>
        <w:spacing w:before="120" w:line="276" w:lineRule="auto"/>
        <w:ind w:firstLine="709"/>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Además, s</w:t>
      </w:r>
      <w:r w:rsidR="00791744" w:rsidRPr="00C440B6">
        <w:rPr>
          <w:rFonts w:ascii="Arial" w:hAnsi="Arial" w:cs="Arial"/>
          <w:color w:val="000000" w:themeColor="text1"/>
          <w:sz w:val="22"/>
          <w:szCs w:val="22"/>
          <w:lang w:val="es-ES_tradnl"/>
        </w:rPr>
        <w:t>i bien los factores de desempate regulados en el artículo 35 deben aplicarse «</w:t>
      </w:r>
      <w:r w:rsidR="00791744" w:rsidRPr="00C440B6">
        <w:rPr>
          <w:rFonts w:ascii="Arial" w:hAnsi="Arial" w:cs="Arial"/>
          <w:sz w:val="22"/>
          <w:szCs w:val="22"/>
          <w:lang w:val="es-ES_tradnl"/>
        </w:rPr>
        <w:t xml:space="preserve">[…] </w:t>
      </w:r>
      <w:r w:rsidR="00791744" w:rsidRPr="00C440B6">
        <w:rPr>
          <w:rFonts w:ascii="Arial" w:hAnsi="Arial" w:cs="Arial"/>
          <w:color w:val="000000" w:themeColor="text1"/>
          <w:sz w:val="22"/>
          <w:szCs w:val="22"/>
          <w:lang w:val="es-ES_tradnl"/>
        </w:rPr>
        <w:t xml:space="preserve">de forma sucesiva y excluyente para seleccionar al oferente favorecido, </w:t>
      </w:r>
      <w:r w:rsidR="00791744" w:rsidRPr="00C440B6">
        <w:rPr>
          <w:rFonts w:ascii="Arial" w:hAnsi="Arial" w:cs="Arial"/>
          <w:color w:val="000000" w:themeColor="text1"/>
          <w:sz w:val="22"/>
          <w:szCs w:val="22"/>
          <w:lang w:val="es-ES_tradnl"/>
        </w:rPr>
        <w:lastRenderedPageBreak/>
        <w:t>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355AC078" w14:textId="3297D5E3" w:rsidR="00C440B6" w:rsidRPr="00462E1D" w:rsidRDefault="00C440B6" w:rsidP="00C440B6">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Ahora bien, hasta la promulgación de la Ley </w:t>
      </w:r>
      <w:r w:rsidR="006F0F34">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 artículo 2.2.1.1.2.2.9. del Decreto 1082 de 2015 </w:t>
      </w:r>
      <w:r w:rsidR="001F10BD" w:rsidRPr="00462E1D">
        <w:rPr>
          <w:rFonts w:ascii="Arial" w:hAnsi="Arial" w:cs="Arial"/>
          <w:color w:val="000000" w:themeColor="text1"/>
          <w:sz w:val="22"/>
          <w:szCs w:val="22"/>
          <w:lang w:val="es-ES_tradnl"/>
        </w:rPr>
        <w:t>regulaba</w:t>
      </w:r>
      <w:r w:rsidRPr="00462E1D">
        <w:rPr>
          <w:rFonts w:ascii="Arial" w:hAnsi="Arial" w:cs="Arial"/>
          <w:color w:val="000000" w:themeColor="text1"/>
          <w:sz w:val="22"/>
          <w:szCs w:val="22"/>
          <w:lang w:val="es-ES_tradnl"/>
        </w:rPr>
        <w:t xml:space="preserve"> los factores de desempate que debían aplicarse en los procesos de selección. En criterio de esta </w:t>
      </w:r>
      <w:r w:rsidR="009962B0">
        <w:rPr>
          <w:rFonts w:ascii="Arial" w:hAnsi="Arial" w:cs="Arial"/>
          <w:color w:val="000000" w:themeColor="text1"/>
          <w:sz w:val="22"/>
          <w:szCs w:val="22"/>
          <w:lang w:val="es-ES_tradnl"/>
        </w:rPr>
        <w:t>Agencia</w:t>
      </w:r>
      <w:r w:rsidRPr="00462E1D">
        <w:rPr>
          <w:rFonts w:ascii="Arial" w:hAnsi="Arial" w:cs="Arial"/>
          <w:color w:val="000000" w:themeColor="text1"/>
          <w:sz w:val="22"/>
          <w:szCs w:val="22"/>
          <w:lang w:val="es-ES_tradnl"/>
        </w:rPr>
        <w:t xml:space="preserve">, dicha norma debe entenderse derogada por el artículo 35 de la Ley </w:t>
      </w:r>
      <w:r w:rsidR="006F0F34">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Ello no solo porque el artículo 84 de esta Ley dice que «rige a partir del momento de su promulgación», es decir, desde el 31 de diciembre de 2020, sino además porque la misma disposición señala que la Ley </w:t>
      </w:r>
      <w:r w:rsidR="006F0F34">
        <w:rPr>
          <w:rFonts w:ascii="Arial" w:hAnsi="Arial" w:cs="Arial"/>
          <w:color w:val="000000" w:themeColor="text1"/>
          <w:sz w:val="22"/>
          <w:szCs w:val="22"/>
          <w:lang w:val="es-ES_tradnl"/>
        </w:rPr>
        <w:t>2069</w:t>
      </w:r>
      <w:r w:rsidRPr="00462E1D">
        <w:rPr>
          <w:rFonts w:ascii="Arial" w:hAnsi="Arial" w:cs="Arial"/>
          <w:color w:val="000000" w:themeColor="text1"/>
          <w:sz w:val="22"/>
          <w:szCs w:val="22"/>
          <w:lang w:val="es-ES_tradnl"/>
        </w:rPr>
        <w:t xml:space="preserve"> de 2020 deroga «[…] todas las disposiciones que le sean contrarias». </w:t>
      </w:r>
    </w:p>
    <w:p w14:paraId="749640EA" w14:textId="6233E8F2" w:rsidR="00623346" w:rsidRDefault="00C440B6" w:rsidP="00C440B6">
      <w:pPr>
        <w:spacing w:before="120" w:line="276" w:lineRule="auto"/>
        <w:ind w:firstLine="709"/>
        <w:jc w:val="both"/>
        <w:rPr>
          <w:rFonts w:ascii="Arial" w:hAnsi="Arial" w:cs="Arial"/>
          <w:color w:val="000000" w:themeColor="text1"/>
          <w:sz w:val="22"/>
          <w:szCs w:val="22"/>
          <w:lang w:val="es-ES_tradnl"/>
        </w:rPr>
      </w:pPr>
      <w:r w:rsidRPr="00462E1D">
        <w:rPr>
          <w:rFonts w:ascii="Arial" w:hAnsi="Arial" w:cs="Arial"/>
          <w:color w:val="000000" w:themeColor="text1"/>
          <w:sz w:val="22"/>
          <w:szCs w:val="22"/>
          <w:lang w:val="es-ES_tradnl"/>
        </w:rPr>
        <w:t xml:space="preserve">Un argumento adicional para sostener esta tesis tiene que ver con el fenómeno de la pérdida de fuerza ejecutoria –o decaimiento– de los actos administrativos, regulado en el numeral 2 del artículo 91 de la Ley 1437 de 2011. </w:t>
      </w:r>
      <w:r w:rsidR="005F5694" w:rsidRPr="00462E1D">
        <w:rPr>
          <w:rFonts w:ascii="Arial" w:hAnsi="Arial" w:cs="Arial"/>
          <w:color w:val="000000" w:themeColor="text1"/>
          <w:sz w:val="22"/>
          <w:szCs w:val="22"/>
          <w:lang w:val="es-ES_tradnl"/>
        </w:rPr>
        <w:t xml:space="preserve">Dado que el Decreto 1082 de 2015 es un reglamento </w:t>
      </w:r>
      <w:r w:rsidR="005F5694" w:rsidRPr="00462E1D">
        <w:rPr>
          <w:rFonts w:ascii="Arial" w:hAnsi="Arial" w:cs="Arial"/>
          <w:i/>
          <w:iCs/>
          <w:color w:val="000000" w:themeColor="text1"/>
          <w:sz w:val="22"/>
          <w:szCs w:val="22"/>
          <w:lang w:val="es-ES_tradnl"/>
        </w:rPr>
        <w:t>secundum legem</w:t>
      </w:r>
      <w:r w:rsidR="005F5694" w:rsidRPr="00462E1D">
        <w:rPr>
          <w:rFonts w:ascii="Arial" w:hAnsi="Arial" w:cs="Arial"/>
          <w:color w:val="000000" w:themeColor="text1"/>
          <w:sz w:val="22"/>
          <w:szCs w:val="22"/>
          <w:lang w:val="es-ES_tradnl"/>
        </w:rPr>
        <w:t xml:space="preserve"> –es decir, que desarrolla una norma de mayor jerarquía–, la expedición de una ley en sentido formal –es decir, una fuente que condiciona el contenido de este último–, hace que la disposición reglamentaria decaiga</w:t>
      </w:r>
      <w:r w:rsidRPr="00462E1D">
        <w:rPr>
          <w:rFonts w:ascii="Arial" w:hAnsi="Arial" w:cs="Arial"/>
          <w:color w:val="000000" w:themeColor="text1"/>
          <w:sz w:val="22"/>
          <w:szCs w:val="22"/>
          <w:lang w:val="es-ES_tradnl"/>
        </w:rPr>
        <w:t>.</w:t>
      </w:r>
      <w:r w:rsidRPr="00C440B6">
        <w:rPr>
          <w:rFonts w:ascii="Arial" w:hAnsi="Arial" w:cs="Arial"/>
          <w:color w:val="000000" w:themeColor="text1"/>
          <w:sz w:val="22"/>
          <w:szCs w:val="22"/>
          <w:lang w:val="es-ES_tradnl"/>
        </w:rPr>
        <w:t xml:space="preserve">  </w:t>
      </w:r>
    </w:p>
    <w:p w14:paraId="5F044810" w14:textId="3E1CD3EB" w:rsidR="00623346" w:rsidRPr="00C5587F" w:rsidRDefault="00623346" w:rsidP="00C5587F">
      <w:pPr>
        <w:spacing w:before="120" w:line="276" w:lineRule="auto"/>
        <w:ind w:firstLine="709"/>
        <w:jc w:val="both"/>
        <w:rPr>
          <w:rFonts w:ascii="Arial" w:hAnsi="Arial" w:cs="Arial"/>
          <w:color w:val="000000" w:themeColor="text1"/>
          <w:sz w:val="22"/>
          <w:szCs w:val="22"/>
          <w:highlight w:val="yellow"/>
          <w:lang w:val="es-ES_tradnl"/>
        </w:rPr>
      </w:pPr>
      <w:bookmarkStart w:id="6" w:name="_Hlk64308251"/>
      <w:r w:rsidRPr="0071708A">
        <w:rPr>
          <w:rFonts w:ascii="Arial" w:hAnsi="Arial" w:cs="Arial"/>
          <w:color w:val="000000" w:themeColor="text1"/>
          <w:sz w:val="22"/>
          <w:szCs w:val="22"/>
          <w:lang w:val="es-ES_tradnl"/>
        </w:rPr>
        <w:t xml:space="preserve">Lo explicado en los párrafos precedentes también aplica </w:t>
      </w:r>
      <w:r w:rsidRPr="0071708A">
        <w:rPr>
          <w:rFonts w:ascii="Arial" w:hAnsi="Arial" w:cs="Arial"/>
          <w:i/>
          <w:iCs/>
          <w:color w:val="000000" w:themeColor="text1"/>
          <w:sz w:val="22"/>
          <w:szCs w:val="22"/>
          <w:lang w:val="es-ES_tradnl"/>
        </w:rPr>
        <w:t>mutatis mutandis</w:t>
      </w:r>
      <w:r w:rsidRPr="0071708A">
        <w:rPr>
          <w:rFonts w:ascii="Arial" w:hAnsi="Arial" w:cs="Arial"/>
          <w:color w:val="000000" w:themeColor="text1"/>
          <w:sz w:val="22"/>
          <w:szCs w:val="22"/>
          <w:lang w:val="es-ES_tradnl"/>
        </w:rPr>
        <w:t xml:space="preserve"> a los factores de desempate previstos en el Decreto Único Reglamentario del Sector Administrativo de Planeación Nacional para la mínima cuantía. En efecto, si bien el parágrafo 2 del artículo 30 de la Ley de Emprendimiento dispone que «La contratación a que se refiere el presente artículo se realizará exclusivamente con las reglas en él contempladas y en su reglamentación […], las causales del artículo 35 de la Ley 2069 de 2020 aplican a los «[…]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 sin distinguir entre modalidades de selección. </w:t>
      </w:r>
      <w:r w:rsidR="00C5587F" w:rsidRPr="0071708A">
        <w:rPr>
          <w:rFonts w:ascii="Arial" w:hAnsi="Arial" w:cs="Arial"/>
          <w:color w:val="000000" w:themeColor="text1"/>
          <w:sz w:val="22"/>
          <w:szCs w:val="22"/>
          <w:lang w:val="es-ES_tradnl"/>
        </w:rPr>
        <w:t>En consecuencia</w:t>
      </w:r>
      <w:r w:rsidRPr="0071708A">
        <w:rPr>
          <w:rFonts w:ascii="Arial" w:hAnsi="Arial" w:cs="Arial"/>
          <w:color w:val="000000" w:themeColor="text1"/>
          <w:sz w:val="22"/>
          <w:szCs w:val="22"/>
          <w:lang w:val="es-ES_tradnl"/>
        </w:rPr>
        <w:t xml:space="preserve">, </w:t>
      </w:r>
      <w:r w:rsidR="00C5587F" w:rsidRPr="0071708A">
        <w:rPr>
          <w:rFonts w:ascii="Arial" w:hAnsi="Arial" w:cs="Arial"/>
          <w:color w:val="000000" w:themeColor="text1"/>
          <w:sz w:val="22"/>
          <w:szCs w:val="22"/>
          <w:lang w:val="es-ES_tradnl"/>
        </w:rPr>
        <w:t>por tratarse de</w:t>
      </w:r>
      <w:r w:rsidRPr="0071708A">
        <w:rPr>
          <w:rFonts w:ascii="Arial" w:hAnsi="Arial" w:cs="Arial"/>
          <w:color w:val="000000" w:themeColor="text1"/>
          <w:sz w:val="22"/>
          <w:szCs w:val="22"/>
          <w:lang w:val="es-ES_tradnl"/>
        </w:rPr>
        <w:t xml:space="preserve"> una norma transversal al sistema de compras y contratación pública</w:t>
      </w:r>
      <w:r w:rsidR="00C5587F" w:rsidRPr="0071708A">
        <w:rPr>
          <w:rFonts w:ascii="Arial" w:hAnsi="Arial" w:cs="Arial"/>
          <w:color w:val="000000" w:themeColor="text1"/>
          <w:sz w:val="22"/>
          <w:szCs w:val="22"/>
          <w:lang w:val="es-ES_tradnl"/>
        </w:rPr>
        <w:t xml:space="preserve">, </w:t>
      </w:r>
      <w:r w:rsidRPr="0071708A">
        <w:rPr>
          <w:rFonts w:ascii="Arial" w:hAnsi="Arial" w:cs="Arial"/>
          <w:color w:val="000000" w:themeColor="text1"/>
          <w:sz w:val="22"/>
          <w:szCs w:val="22"/>
          <w:lang w:val="es-ES_tradnl"/>
        </w:rPr>
        <w:t xml:space="preserve">el artículo 35 de la Ley 2069 de 2020 es aplicable al procedimiento de mínima cuantía, </w:t>
      </w:r>
      <w:r w:rsidR="00C5587F" w:rsidRPr="0071708A">
        <w:rPr>
          <w:rFonts w:ascii="Arial" w:hAnsi="Arial" w:cs="Arial"/>
          <w:color w:val="000000" w:themeColor="text1"/>
          <w:sz w:val="22"/>
          <w:szCs w:val="22"/>
          <w:lang w:val="es-ES_tradnl"/>
        </w:rPr>
        <w:t>presentándose</w:t>
      </w:r>
      <w:r w:rsidRPr="0071708A">
        <w:rPr>
          <w:rFonts w:ascii="Arial" w:hAnsi="Arial" w:cs="Arial"/>
          <w:color w:val="000000" w:themeColor="text1"/>
          <w:sz w:val="22"/>
          <w:szCs w:val="22"/>
          <w:lang w:val="es-ES_tradnl"/>
        </w:rPr>
        <w:t xml:space="preserve"> tanto la derogación como el decaimiento de </w:t>
      </w:r>
      <w:r w:rsidR="00C5587F" w:rsidRPr="0071708A">
        <w:rPr>
          <w:rFonts w:ascii="Arial" w:hAnsi="Arial" w:cs="Arial"/>
          <w:color w:val="000000" w:themeColor="text1"/>
          <w:sz w:val="22"/>
          <w:szCs w:val="22"/>
          <w:lang w:val="es-ES_tradnl"/>
        </w:rPr>
        <w:t>los criterios de desempate previstos</w:t>
      </w:r>
      <w:r w:rsidRPr="0071708A">
        <w:rPr>
          <w:rFonts w:ascii="Arial" w:hAnsi="Arial" w:cs="Arial"/>
          <w:color w:val="000000" w:themeColor="text1"/>
          <w:sz w:val="22"/>
          <w:szCs w:val="22"/>
          <w:lang w:val="es-ES_tradnl"/>
        </w:rPr>
        <w:t xml:space="preserve"> en el Decreto 1082 de 2015 para esta modalidad de selección.</w:t>
      </w:r>
      <w:r w:rsidRPr="00623346">
        <w:rPr>
          <w:rFonts w:ascii="Arial" w:hAnsi="Arial" w:cs="Arial"/>
          <w:color w:val="000000" w:themeColor="text1"/>
          <w:sz w:val="22"/>
          <w:szCs w:val="22"/>
          <w:lang w:val="es-ES_tradnl"/>
        </w:rPr>
        <w:t xml:space="preserve">         </w:t>
      </w:r>
    </w:p>
    <w:bookmarkEnd w:id="6"/>
    <w:p w14:paraId="37091687" w14:textId="1DE1AD53" w:rsidR="00F740A0" w:rsidRPr="00C440B6" w:rsidRDefault="00C440B6" w:rsidP="00C5587F">
      <w:pPr>
        <w:spacing w:before="120" w:line="276" w:lineRule="auto"/>
        <w:ind w:firstLine="709"/>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 xml:space="preserve">    </w:t>
      </w:r>
    </w:p>
    <w:p w14:paraId="7B2C921D" w14:textId="6360A462" w:rsidR="00DD5B04" w:rsidRPr="00C440B6" w:rsidRDefault="00DD5B04" w:rsidP="00DF76A2">
      <w:pPr>
        <w:spacing w:line="276" w:lineRule="auto"/>
        <w:jc w:val="both"/>
        <w:rPr>
          <w:rFonts w:ascii="Arial" w:hAnsi="Arial" w:cs="Arial"/>
          <w:color w:val="000000" w:themeColor="text1"/>
          <w:sz w:val="22"/>
          <w:lang w:val="es-ES_tradnl"/>
        </w:rPr>
      </w:pPr>
      <w:r w:rsidRPr="00C440B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C440B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440B6">
        <w:rPr>
          <w:rFonts w:ascii="Arial" w:hAnsi="Arial" w:cs="Arial"/>
          <w:color w:val="000000" w:themeColor="text1"/>
          <w:sz w:val="22"/>
          <w:szCs w:val="22"/>
          <w:lang w:val="es-ES_tradnl"/>
        </w:rPr>
        <w:t>Atentamente,</w:t>
      </w:r>
    </w:p>
    <w:p w14:paraId="692FC307" w14:textId="210AA6B5" w:rsidR="00921304" w:rsidRPr="00C440B6"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0AA3DC7" w14:textId="71C84B64" w:rsidR="00921304" w:rsidRPr="00C440B6" w:rsidRDefault="00966ACB"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43D2EED" wp14:editId="2A3DFE95">
            <wp:extent cx="2514600" cy="1114425"/>
            <wp:effectExtent l="0" t="0" r="0" b="9525"/>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1"/>
                    <a:stretch>
                      <a:fillRect/>
                    </a:stretch>
                  </pic:blipFill>
                  <pic:spPr>
                    <a:xfrm>
                      <a:off x="0" y="0"/>
                      <a:ext cx="2514600" cy="1114425"/>
                    </a:xfrm>
                    <a:prstGeom prst="rect">
                      <a:avLst/>
                    </a:prstGeom>
                  </pic:spPr>
                </pic:pic>
              </a:graphicData>
            </a:graphic>
          </wp:inline>
        </w:drawing>
      </w:r>
    </w:p>
    <w:p w14:paraId="5CBAE239" w14:textId="77777777" w:rsidR="00425C43" w:rsidRPr="00C440B6" w:rsidRDefault="00425C43" w:rsidP="00B37657">
      <w:pPr>
        <w:jc w:val="center"/>
        <w:rPr>
          <w:rFonts w:ascii="Arial" w:hAnsi="Arial" w:cs="Arial"/>
          <w:color w:val="000000" w:themeColor="text1"/>
          <w:sz w:val="18"/>
          <w:szCs w:val="20"/>
          <w:lang w:val="es-ES_tradnl" w:eastAsia="es-CO"/>
        </w:rPr>
      </w:pPr>
    </w:p>
    <w:p w14:paraId="49730030" w14:textId="217D35F3" w:rsidR="00DD5B04" w:rsidRPr="00C440B6"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C440B6" w14:paraId="0C7DC5F7" w14:textId="77777777" w:rsidTr="008F4163">
        <w:trPr>
          <w:trHeight w:val="315"/>
        </w:trPr>
        <w:tc>
          <w:tcPr>
            <w:tcW w:w="812" w:type="dxa"/>
            <w:vAlign w:val="center"/>
            <w:hideMark/>
          </w:tcPr>
          <w:p w14:paraId="5BDB1AC9"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664EE7D" w14:textId="77777777" w:rsidR="00B253CE" w:rsidRPr="00C440B6" w:rsidRDefault="00B253CE" w:rsidP="00B253CE">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Juan David Montoya Penagos</w:t>
            </w:r>
          </w:p>
          <w:p w14:paraId="240C71FD" w14:textId="2B0872C4" w:rsidR="00DD5B04" w:rsidRPr="00C440B6" w:rsidRDefault="00B253CE"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Gestor T1</w:t>
            </w:r>
            <w:r>
              <w:rPr>
                <w:rFonts w:ascii="Arial" w:hAnsi="Arial" w:cs="Arial"/>
                <w:color w:val="000000" w:themeColor="text1"/>
                <w:sz w:val="16"/>
                <w:szCs w:val="16"/>
                <w:lang w:val="es-ES_tradnl" w:eastAsia="es-ES"/>
              </w:rPr>
              <w:t>-</w:t>
            </w:r>
            <w:r w:rsidRPr="00C440B6">
              <w:rPr>
                <w:rFonts w:ascii="Arial" w:hAnsi="Arial" w:cs="Arial"/>
                <w:color w:val="000000" w:themeColor="text1"/>
                <w:sz w:val="16"/>
                <w:szCs w:val="16"/>
                <w:lang w:val="es-ES_tradnl" w:eastAsia="es-ES"/>
              </w:rPr>
              <w:t>15</w:t>
            </w:r>
            <w:r>
              <w:rPr>
                <w:rFonts w:ascii="Arial" w:hAnsi="Arial" w:cs="Arial"/>
                <w:color w:val="000000" w:themeColor="text1"/>
                <w:sz w:val="16"/>
                <w:szCs w:val="16"/>
                <w:lang w:val="es-ES_tradnl" w:eastAsia="es-ES"/>
              </w:rPr>
              <w:t xml:space="preserve"> de la </w:t>
            </w:r>
            <w:r w:rsidRPr="005F5694">
              <w:rPr>
                <w:rFonts w:ascii="Arial" w:hAnsi="Arial" w:cs="Arial"/>
                <w:color w:val="000000" w:themeColor="text1"/>
                <w:sz w:val="16"/>
                <w:szCs w:val="16"/>
                <w:lang w:val="es-ES_tradnl" w:eastAsia="es-ES"/>
              </w:rPr>
              <w:t>Subdirección de Gestión Contractual</w:t>
            </w:r>
          </w:p>
        </w:tc>
      </w:tr>
      <w:tr w:rsidR="00DD5B04" w:rsidRPr="00C440B6" w14:paraId="2F8FD650" w14:textId="77777777" w:rsidTr="008F4163">
        <w:trPr>
          <w:trHeight w:val="330"/>
        </w:trPr>
        <w:tc>
          <w:tcPr>
            <w:tcW w:w="812" w:type="dxa"/>
            <w:vAlign w:val="center"/>
            <w:hideMark/>
          </w:tcPr>
          <w:p w14:paraId="50203A0B"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644C63" w14:textId="77777777" w:rsidR="00B253CE" w:rsidRPr="00C440B6" w:rsidRDefault="00B253CE" w:rsidP="00B253CE">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Jorge Augusto Tirado Navarro</w:t>
            </w:r>
          </w:p>
          <w:p w14:paraId="130B3228" w14:textId="1489CC90" w:rsidR="00DD5B04" w:rsidRPr="00C440B6" w:rsidRDefault="00B253CE" w:rsidP="00C05A61">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w:t>
            </w:r>
            <w:r w:rsidRPr="00C440B6" w:rsidDel="00B253CE">
              <w:rPr>
                <w:rFonts w:ascii="Arial" w:hAnsi="Arial" w:cs="Arial"/>
                <w:color w:val="000000" w:themeColor="text1"/>
                <w:sz w:val="16"/>
                <w:szCs w:val="16"/>
                <w:lang w:val="es-ES_tradnl" w:eastAsia="es-ES"/>
              </w:rPr>
              <w:t xml:space="preserve"> </w:t>
            </w:r>
          </w:p>
        </w:tc>
      </w:tr>
      <w:tr w:rsidR="00DD5B04" w:rsidRPr="00C440B6" w14:paraId="0FCBCA4A" w14:textId="77777777" w:rsidTr="008F4163">
        <w:trPr>
          <w:trHeight w:val="300"/>
        </w:trPr>
        <w:tc>
          <w:tcPr>
            <w:tcW w:w="812" w:type="dxa"/>
            <w:vAlign w:val="center"/>
            <w:hideMark/>
          </w:tcPr>
          <w:p w14:paraId="3C1D943A" w14:textId="77777777"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C440B6" w:rsidRDefault="00C05A61"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 xml:space="preserve">Jorge </w:t>
            </w:r>
            <w:r w:rsidR="00647A36" w:rsidRPr="00C440B6">
              <w:rPr>
                <w:rFonts w:ascii="Arial" w:hAnsi="Arial" w:cs="Arial"/>
                <w:color w:val="000000" w:themeColor="text1"/>
                <w:sz w:val="16"/>
                <w:szCs w:val="16"/>
                <w:lang w:val="es-ES_tradnl" w:eastAsia="es-ES"/>
              </w:rPr>
              <w:t xml:space="preserve">Augusto </w:t>
            </w:r>
            <w:r w:rsidRPr="00C440B6">
              <w:rPr>
                <w:rFonts w:ascii="Arial" w:hAnsi="Arial" w:cs="Arial"/>
                <w:color w:val="000000" w:themeColor="text1"/>
                <w:sz w:val="16"/>
                <w:szCs w:val="16"/>
                <w:lang w:val="es-ES_tradnl" w:eastAsia="es-ES"/>
              </w:rPr>
              <w:t>Tirado Navarro</w:t>
            </w:r>
          </w:p>
          <w:p w14:paraId="1ADC483B" w14:textId="0B6A3583" w:rsidR="00DD5B04" w:rsidRPr="00C440B6" w:rsidRDefault="00DD5B04" w:rsidP="00DF76A2">
            <w:pPr>
              <w:jc w:val="both"/>
              <w:rPr>
                <w:rFonts w:ascii="Arial" w:hAnsi="Arial" w:cs="Arial"/>
                <w:color w:val="000000" w:themeColor="text1"/>
                <w:sz w:val="16"/>
                <w:szCs w:val="16"/>
                <w:lang w:val="es-ES_tradnl" w:eastAsia="es-ES"/>
              </w:rPr>
            </w:pPr>
            <w:r w:rsidRPr="00C440B6">
              <w:rPr>
                <w:rFonts w:ascii="Arial" w:hAnsi="Arial" w:cs="Arial"/>
                <w:color w:val="000000" w:themeColor="text1"/>
                <w:sz w:val="16"/>
                <w:szCs w:val="16"/>
                <w:lang w:val="es-ES_tradnl" w:eastAsia="es-ES"/>
              </w:rPr>
              <w:t>Subdirector de Gestión Contractual</w:t>
            </w:r>
            <w:r w:rsidR="005F5694">
              <w:rPr>
                <w:rFonts w:ascii="Arial" w:hAnsi="Arial" w:cs="Arial"/>
                <w:color w:val="000000" w:themeColor="text1"/>
                <w:sz w:val="16"/>
                <w:szCs w:val="16"/>
                <w:lang w:val="es-ES_tradnl" w:eastAsia="es-ES"/>
              </w:rPr>
              <w:t xml:space="preserve"> ANCP – CCE</w:t>
            </w:r>
          </w:p>
        </w:tc>
      </w:tr>
    </w:tbl>
    <w:p w14:paraId="35B56F46" w14:textId="77777777" w:rsidR="00746E08" w:rsidRPr="00C440B6" w:rsidRDefault="00746E08" w:rsidP="00215B8E">
      <w:pPr>
        <w:jc w:val="both"/>
        <w:rPr>
          <w:rFonts w:ascii="Arial" w:hAnsi="Arial" w:cs="Arial"/>
          <w:lang w:val="es-ES_tradnl"/>
        </w:rPr>
      </w:pPr>
    </w:p>
    <w:sectPr w:rsidR="00746E08" w:rsidRPr="00C440B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54D5F5" w14:textId="77777777" w:rsidR="00C45AC2" w:rsidRDefault="00C45AC2">
      <w:r>
        <w:separator/>
      </w:r>
    </w:p>
  </w:endnote>
  <w:endnote w:type="continuationSeparator" w:id="0">
    <w:p w14:paraId="565109D0" w14:textId="77777777" w:rsidR="00C45AC2" w:rsidRDefault="00C45AC2">
      <w:r>
        <w:continuationSeparator/>
      </w:r>
    </w:p>
  </w:endnote>
  <w:endnote w:type="continuationNotice" w:id="1">
    <w:p w14:paraId="561400F2" w14:textId="77777777" w:rsidR="00C45AC2" w:rsidRDefault="00C45A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29FA7D" w14:textId="77777777" w:rsidR="00C45AC2" w:rsidRDefault="00C45AC2">
      <w:r>
        <w:separator/>
      </w:r>
    </w:p>
  </w:footnote>
  <w:footnote w:type="continuationSeparator" w:id="0">
    <w:p w14:paraId="2ED75445" w14:textId="77777777" w:rsidR="00C45AC2" w:rsidRDefault="00C45AC2">
      <w:r>
        <w:continuationSeparator/>
      </w:r>
    </w:p>
  </w:footnote>
  <w:footnote w:type="continuationNotice" w:id="1">
    <w:p w14:paraId="4FEAD8CA" w14:textId="77777777" w:rsidR="00C45AC2" w:rsidRDefault="00C45AC2"/>
  </w:footnote>
  <w:footnote w:id="2">
    <w:p w14:paraId="5EE2BBDD" w14:textId="77777777" w:rsidR="00F80411" w:rsidRPr="00EA10E4" w:rsidRDefault="00F80411" w:rsidP="00F80411">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3B4DF297" w14:textId="77777777" w:rsidR="00F80411" w:rsidRPr="00EA10E4" w:rsidRDefault="00F80411" w:rsidP="00F80411">
      <w:pPr>
        <w:pStyle w:val="Textonotapie"/>
        <w:ind w:firstLine="709"/>
        <w:jc w:val="both"/>
        <w:rPr>
          <w:rFonts w:ascii="Arial" w:hAnsi="Arial" w:cs="Arial"/>
          <w:sz w:val="19"/>
          <w:szCs w:val="19"/>
          <w:lang w:val="es-ES"/>
        </w:rPr>
      </w:pPr>
    </w:p>
  </w:footnote>
  <w:footnote w:id="3">
    <w:p w14:paraId="3860548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6296EE45" w14:textId="77777777" w:rsidR="00F80411" w:rsidRPr="008640C4" w:rsidRDefault="00F80411" w:rsidP="00F80411">
      <w:pPr>
        <w:pStyle w:val="Textonotapie"/>
        <w:ind w:firstLine="709"/>
        <w:jc w:val="both"/>
        <w:rPr>
          <w:rFonts w:ascii="Arial" w:hAnsi="Arial" w:cs="Arial"/>
          <w:sz w:val="19"/>
          <w:szCs w:val="19"/>
          <w:lang w:val="es-ES"/>
        </w:rPr>
      </w:pPr>
    </w:p>
  </w:footnote>
  <w:footnote w:id="4">
    <w:p w14:paraId="533FAE3F"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D0C9747" w14:textId="77777777" w:rsidR="00F80411" w:rsidRPr="008640C4" w:rsidRDefault="00F80411" w:rsidP="00F80411">
      <w:pPr>
        <w:pStyle w:val="Textonotapie"/>
        <w:ind w:firstLine="709"/>
        <w:jc w:val="both"/>
        <w:rPr>
          <w:rFonts w:ascii="Arial" w:hAnsi="Arial" w:cs="Arial"/>
          <w:sz w:val="19"/>
          <w:szCs w:val="19"/>
          <w:lang w:val="es-CO"/>
        </w:rPr>
      </w:pPr>
    </w:p>
  </w:footnote>
  <w:footnote w:id="5">
    <w:p w14:paraId="77146A50"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653F7200" w14:textId="77777777" w:rsidR="00F80411" w:rsidRPr="008640C4" w:rsidRDefault="00F80411" w:rsidP="00F80411">
      <w:pPr>
        <w:pStyle w:val="Textonotapie"/>
        <w:ind w:firstLine="709"/>
        <w:jc w:val="both"/>
        <w:rPr>
          <w:rFonts w:ascii="Arial" w:hAnsi="Arial" w:cs="Arial"/>
          <w:sz w:val="19"/>
          <w:szCs w:val="19"/>
          <w:lang w:val="es-ES"/>
        </w:rPr>
      </w:pPr>
    </w:p>
  </w:footnote>
  <w:footnote w:id="6">
    <w:p w14:paraId="4E055C6A"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3EB7365C" w14:textId="77777777" w:rsidR="00F80411" w:rsidRPr="008640C4" w:rsidRDefault="00F80411" w:rsidP="00F80411">
      <w:pPr>
        <w:pStyle w:val="Textonotapie"/>
        <w:ind w:firstLine="709"/>
        <w:jc w:val="both"/>
        <w:rPr>
          <w:rFonts w:ascii="Arial" w:hAnsi="Arial" w:cs="Arial"/>
          <w:sz w:val="19"/>
          <w:szCs w:val="19"/>
          <w:lang w:val="es-ES"/>
        </w:rPr>
      </w:pPr>
    </w:p>
  </w:footnote>
  <w:footnote w:id="7">
    <w:p w14:paraId="15AD37D3"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3143494F" w14:textId="77777777" w:rsidR="00F80411" w:rsidRPr="008640C4" w:rsidRDefault="00F80411" w:rsidP="00F80411">
      <w:pPr>
        <w:pStyle w:val="Textonotapie"/>
        <w:ind w:firstLine="709"/>
        <w:jc w:val="both"/>
        <w:rPr>
          <w:rFonts w:ascii="Arial" w:hAnsi="Arial" w:cs="Arial"/>
          <w:sz w:val="19"/>
          <w:szCs w:val="19"/>
          <w:lang w:val="es-ES"/>
        </w:rPr>
      </w:pPr>
    </w:p>
  </w:footnote>
  <w:footnote w:id="8">
    <w:p w14:paraId="7D602341"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6C35605C" w14:textId="77777777" w:rsidR="00F80411" w:rsidRPr="008640C4" w:rsidRDefault="00F80411" w:rsidP="00F80411">
      <w:pPr>
        <w:pStyle w:val="Textonotapie"/>
        <w:ind w:firstLine="709"/>
        <w:jc w:val="both"/>
        <w:rPr>
          <w:rFonts w:ascii="Arial" w:hAnsi="Arial" w:cs="Arial"/>
          <w:sz w:val="19"/>
          <w:szCs w:val="19"/>
          <w:lang w:val="es-ES"/>
        </w:rPr>
      </w:pPr>
    </w:p>
  </w:footnote>
  <w:footnote w:id="9">
    <w:p w14:paraId="56BE8B0D" w14:textId="77777777" w:rsidR="00F80411" w:rsidRPr="008640C4" w:rsidRDefault="00F80411" w:rsidP="00F80411">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66E965A2" w14:textId="77777777" w:rsidR="00F80411" w:rsidRPr="008640C4" w:rsidRDefault="00F80411" w:rsidP="00F80411">
      <w:pPr>
        <w:pStyle w:val="Textonotapie"/>
        <w:ind w:firstLine="709"/>
        <w:jc w:val="both"/>
        <w:rPr>
          <w:rFonts w:ascii="Arial" w:hAnsi="Arial" w:cs="Arial"/>
          <w:sz w:val="19"/>
          <w:szCs w:val="19"/>
          <w:lang w:val="es-ES"/>
        </w:rPr>
      </w:pPr>
    </w:p>
  </w:footnote>
  <w:footnote w:id="10">
    <w:p w14:paraId="7BEBE4BC" w14:textId="0B820A13" w:rsidR="00530059" w:rsidRPr="0064696D" w:rsidRDefault="00530059" w:rsidP="009949CE">
      <w:pPr>
        <w:pStyle w:val="Textonotapie"/>
        <w:ind w:firstLine="709"/>
        <w:jc w:val="both"/>
        <w:rPr>
          <w:rFonts w:ascii="Arial" w:hAnsi="Arial" w:cs="Arial"/>
          <w:sz w:val="19"/>
          <w:szCs w:val="19"/>
          <w:lang w:val="es-ES"/>
        </w:rPr>
      </w:pPr>
      <w:r w:rsidRPr="0064696D">
        <w:rPr>
          <w:rStyle w:val="Refdenotaalpie"/>
          <w:rFonts w:ascii="Arial" w:hAnsi="Arial" w:cs="Arial"/>
          <w:sz w:val="19"/>
          <w:szCs w:val="19"/>
        </w:rPr>
        <w:footnoteRef/>
      </w:r>
      <w:r w:rsidRPr="0064696D">
        <w:rPr>
          <w:rFonts w:ascii="Arial" w:hAnsi="Arial" w:cs="Arial"/>
          <w:sz w:val="19"/>
          <w:szCs w:val="19"/>
        </w:rPr>
        <w:t xml:space="preserve"> </w:t>
      </w:r>
      <w:r w:rsidRPr="0064696D">
        <w:rPr>
          <w:rFonts w:ascii="Arial" w:hAnsi="Arial" w:cs="Arial"/>
          <w:sz w:val="19"/>
          <w:szCs w:val="19"/>
          <w:lang w:val="es-ES"/>
        </w:rPr>
        <w:t>En efecto, esta disposición reglamentaria indicaba: «En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2186A106" w14:textId="03EE071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Si persiste el empate, la Entidad Estatal debe utilizar las siguientes reglas de forma sucesiva y excluyente para seleccionar el oferente favorecido, respetando los compromisos adquiridos por Acuerdos Comerciales:</w:t>
      </w:r>
    </w:p>
    <w:p w14:paraId="4DFE72EE" w14:textId="07C46650"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1.</w:t>
      </w:r>
      <w:r>
        <w:rPr>
          <w:rFonts w:ascii="Arial" w:hAnsi="Arial" w:cs="Arial"/>
          <w:sz w:val="19"/>
          <w:szCs w:val="19"/>
          <w:lang w:val="es-ES"/>
        </w:rPr>
        <w:t xml:space="preserve"> </w:t>
      </w:r>
      <w:r w:rsidR="00530059" w:rsidRPr="0064696D">
        <w:rPr>
          <w:rFonts w:ascii="Arial" w:hAnsi="Arial" w:cs="Arial"/>
          <w:sz w:val="19"/>
          <w:szCs w:val="19"/>
          <w:lang w:val="es-ES"/>
        </w:rPr>
        <w:t>Preferir la oferta de bienes o servicios nacionales frente a la oferta de bienes o servicios extranjeros.</w:t>
      </w:r>
    </w:p>
    <w:p w14:paraId="55EE1E60" w14:textId="019C69CF"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2.</w:t>
      </w:r>
      <w:r>
        <w:rPr>
          <w:rFonts w:ascii="Arial" w:hAnsi="Arial" w:cs="Arial"/>
          <w:sz w:val="19"/>
          <w:szCs w:val="19"/>
          <w:lang w:val="es-ES"/>
        </w:rPr>
        <w:t xml:space="preserve"> </w:t>
      </w:r>
      <w:r w:rsidR="00530059" w:rsidRPr="0064696D">
        <w:rPr>
          <w:rFonts w:ascii="Arial" w:hAnsi="Arial" w:cs="Arial"/>
          <w:sz w:val="19"/>
          <w:szCs w:val="19"/>
          <w:lang w:val="es-ES"/>
        </w:rPr>
        <w:t>Preferir las ofertas presentada por una Mipyme nacional.</w:t>
      </w:r>
    </w:p>
    <w:p w14:paraId="24F6B951" w14:textId="78F6340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3.</w:t>
      </w:r>
      <w:r>
        <w:rPr>
          <w:rFonts w:ascii="Arial" w:hAnsi="Arial" w:cs="Arial"/>
          <w:sz w:val="19"/>
          <w:szCs w:val="19"/>
          <w:lang w:val="es-ES"/>
        </w:rPr>
        <w:t xml:space="preserve"> </w:t>
      </w:r>
      <w:r w:rsidR="00530059" w:rsidRPr="0064696D">
        <w:rPr>
          <w:rFonts w:ascii="Arial" w:hAnsi="Arial" w:cs="Arial"/>
          <w:sz w:val="19"/>
          <w:szCs w:val="19"/>
          <w:lang w:val="es-ES"/>
        </w:rPr>
        <w:t>Preferir la oferta presentada por un consorcio, unión temporal o promesa de sociedad futura siempre que: (a) esté conformado por al menos una Mipyme nacional que tenga una participación de por lo menos el veinticinco por ciento (25%); (b) la Mipyme aporte mínimo el veinticinco por ciento (25%) de la experiencia acreditada en la oferta; y (c) ni la Mipyme, ni sus accionistas, socios o representantes legales sean empleados, socios o accionistas de los miembros del consorcio, unión temporal o promesa de sociedad futura.</w:t>
      </w:r>
    </w:p>
    <w:p w14:paraId="5BC30F59" w14:textId="518BE03D" w:rsidR="00530059" w:rsidRPr="0064696D" w:rsidRDefault="009949CE" w:rsidP="009949CE">
      <w:pPr>
        <w:pStyle w:val="Textonotapie"/>
        <w:ind w:firstLine="709"/>
        <w:jc w:val="both"/>
        <w:rPr>
          <w:rFonts w:ascii="Arial" w:hAnsi="Arial" w:cs="Arial"/>
          <w:sz w:val="19"/>
          <w:szCs w:val="19"/>
          <w:lang w:val="es-ES"/>
        </w:rPr>
      </w:pPr>
      <w:r>
        <w:rPr>
          <w:rFonts w:ascii="Arial" w:hAnsi="Arial" w:cs="Arial"/>
          <w:sz w:val="19"/>
          <w:szCs w:val="19"/>
          <w:lang w:val="es-ES"/>
        </w:rPr>
        <w:t>»</w:t>
      </w:r>
      <w:r w:rsidR="00530059" w:rsidRPr="0064696D">
        <w:rPr>
          <w:rFonts w:ascii="Arial" w:hAnsi="Arial" w:cs="Arial"/>
          <w:sz w:val="19"/>
          <w:szCs w:val="19"/>
          <w:lang w:val="es-ES"/>
        </w:rPr>
        <w:t>4.</w:t>
      </w:r>
      <w:r>
        <w:rPr>
          <w:rFonts w:ascii="Arial" w:hAnsi="Arial" w:cs="Arial"/>
          <w:sz w:val="19"/>
          <w:szCs w:val="19"/>
          <w:lang w:val="es-ES"/>
        </w:rPr>
        <w:t xml:space="preserve"> </w:t>
      </w:r>
      <w:r w:rsidR="00530059" w:rsidRPr="0064696D">
        <w:rPr>
          <w:rFonts w:ascii="Arial" w:hAnsi="Arial" w:cs="Arial"/>
          <w:sz w:val="19"/>
          <w:szCs w:val="19"/>
          <w:lang w:val="es-ES"/>
        </w:rPr>
        <w:t>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762F4336" w14:textId="04C31981" w:rsidR="00530059" w:rsidRPr="0064696D" w:rsidRDefault="009949CE" w:rsidP="0064696D">
      <w:pPr>
        <w:pStyle w:val="Textonotapie"/>
        <w:ind w:firstLine="709"/>
        <w:jc w:val="both"/>
        <w:rPr>
          <w:rFonts w:ascii="Arial" w:hAnsi="Arial" w:cs="Arial"/>
          <w:sz w:val="19"/>
          <w:szCs w:val="19"/>
          <w:lang w:val="es-CO"/>
        </w:rPr>
      </w:pPr>
      <w:r>
        <w:rPr>
          <w:rFonts w:ascii="Arial" w:hAnsi="Arial" w:cs="Arial"/>
          <w:sz w:val="19"/>
          <w:szCs w:val="19"/>
          <w:lang w:val="es-ES"/>
        </w:rPr>
        <w:t>»</w:t>
      </w:r>
      <w:r w:rsidR="00530059" w:rsidRPr="0064696D">
        <w:rPr>
          <w:rFonts w:ascii="Arial" w:hAnsi="Arial" w:cs="Arial"/>
          <w:sz w:val="19"/>
          <w:szCs w:val="19"/>
          <w:lang w:val="es-ES"/>
        </w:rPr>
        <w:t>5.</w:t>
      </w:r>
      <w:r>
        <w:rPr>
          <w:rFonts w:ascii="Arial" w:hAnsi="Arial" w:cs="Arial"/>
          <w:sz w:val="19"/>
          <w:szCs w:val="19"/>
          <w:lang w:val="es-ES"/>
        </w:rPr>
        <w:t xml:space="preserve"> </w:t>
      </w:r>
      <w:r w:rsidR="00530059" w:rsidRPr="0064696D">
        <w:rPr>
          <w:rFonts w:ascii="Arial" w:hAnsi="Arial" w:cs="Arial"/>
          <w:sz w:val="19"/>
          <w:szCs w:val="19"/>
          <w:lang w:val="es-ES"/>
        </w:rPr>
        <w:t>Utilizar un método aleatorio para seleccionar el oferente, método que deberá haber sido previsto en los pliegos de condiciones del Proceso de Contratación</w:t>
      </w:r>
      <w:r>
        <w:rPr>
          <w:rFonts w:ascii="Arial" w:hAnsi="Arial" w:cs="Arial"/>
          <w:sz w:val="19"/>
          <w:szCs w:val="19"/>
          <w:lang w:val="es-ES"/>
        </w:rPr>
        <w:t>»</w:t>
      </w:r>
      <w:r w:rsidR="00530059" w:rsidRPr="0064696D">
        <w:rPr>
          <w:rFonts w:ascii="Arial" w:hAnsi="Arial" w:cs="Arial"/>
          <w:sz w:val="19"/>
          <w:szCs w:val="19"/>
          <w:lang w:val="es-ES"/>
        </w:rPr>
        <w:t>.</w:t>
      </w:r>
    </w:p>
  </w:footnote>
  <w:footnote w:id="11">
    <w:p w14:paraId="5847D64B" w14:textId="77777777" w:rsidR="00231293" w:rsidRPr="00F175E1" w:rsidRDefault="00231293" w:rsidP="00231293">
      <w:pPr>
        <w:jc w:val="both"/>
        <w:rPr>
          <w:rFonts w:ascii="Arial" w:hAnsi="Arial" w:cs="Arial"/>
          <w:sz w:val="19"/>
          <w:szCs w:val="19"/>
        </w:rPr>
      </w:pPr>
      <w:r w:rsidRPr="00F77DD4">
        <w:rPr>
          <w:rStyle w:val="Refdenotaalpie"/>
          <w:rFonts w:ascii="Arial" w:hAnsi="Arial" w:cs="Arial"/>
          <w:sz w:val="19"/>
          <w:szCs w:val="19"/>
        </w:rPr>
        <w:footnoteRef/>
      </w:r>
      <w:r w:rsidRPr="00F77DD4">
        <w:rPr>
          <w:rFonts w:ascii="Arial" w:hAnsi="Arial" w:cs="Arial"/>
          <w:sz w:val="19"/>
          <w:szCs w:val="19"/>
        </w:rPr>
        <w:t xml:space="preserve"> </w:t>
      </w:r>
      <w:r>
        <w:rPr>
          <w:rFonts w:ascii="Arial" w:hAnsi="Arial" w:cs="Arial"/>
          <w:sz w:val="19"/>
          <w:szCs w:val="19"/>
        </w:rPr>
        <w:t xml:space="preserve">El artículo 5 de la Ley 57 de 1887 dispone que </w:t>
      </w:r>
      <w:r w:rsidRPr="00F175E1">
        <w:rPr>
          <w:rFonts w:ascii="Arial" w:hAnsi="Arial" w:cs="Arial"/>
          <w:sz w:val="19"/>
          <w:szCs w:val="19"/>
        </w:rPr>
        <w:t xml:space="preserve">«Cuando haya incompatibilidad entre una disposición constitucional y una legal, preferirá aquélla. </w:t>
      </w:r>
    </w:p>
    <w:p w14:paraId="56F4D349"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»Si en los Códigos que se adoptan se hallaren algunas disposiciones incompatibles entre sí, se observarán en su aplicación las reglas siguientes: </w:t>
      </w:r>
    </w:p>
    <w:p w14:paraId="095A81C6" w14:textId="77777777" w:rsidR="00231293" w:rsidRPr="00F175E1" w:rsidRDefault="00231293" w:rsidP="00231293">
      <w:pPr>
        <w:ind w:firstLine="708"/>
        <w:jc w:val="both"/>
        <w:rPr>
          <w:rFonts w:ascii="Arial" w:hAnsi="Arial" w:cs="Arial"/>
          <w:sz w:val="19"/>
          <w:szCs w:val="19"/>
        </w:rPr>
      </w:pPr>
      <w:r w:rsidRPr="00F175E1">
        <w:rPr>
          <w:rFonts w:ascii="Arial" w:hAnsi="Arial" w:cs="Arial"/>
          <w:sz w:val="19"/>
          <w:szCs w:val="19"/>
        </w:rPr>
        <w:t xml:space="preserve">»1ª La disposición relativa a un asunto especial prefiere a la que tenga carácter general; </w:t>
      </w:r>
    </w:p>
    <w:p w14:paraId="70312BC5" w14:textId="3B167DC8" w:rsidR="00231293" w:rsidRDefault="00231293" w:rsidP="00231293">
      <w:pPr>
        <w:ind w:firstLine="708"/>
        <w:jc w:val="both"/>
        <w:rPr>
          <w:rFonts w:ascii="Arial" w:hAnsi="Arial" w:cs="Arial"/>
          <w:sz w:val="19"/>
          <w:szCs w:val="19"/>
        </w:rPr>
      </w:pPr>
      <w:r w:rsidRPr="00F175E1">
        <w:rPr>
          <w:rFonts w:ascii="Arial" w:hAnsi="Arial" w:cs="Arial"/>
          <w:sz w:val="19"/>
          <w:szCs w:val="19"/>
        </w:rPr>
        <w:t xml:space="preserve">»2ª Cuando las disposiciones tengan una misma especialidad </w:t>
      </w:r>
      <w:r w:rsidR="003165A4">
        <w:rPr>
          <w:rFonts w:ascii="Arial" w:hAnsi="Arial" w:cs="Arial"/>
          <w:sz w:val="19"/>
          <w:szCs w:val="19"/>
        </w:rPr>
        <w:t>o</w:t>
      </w:r>
      <w:r w:rsidRPr="00F175E1">
        <w:rPr>
          <w:rFonts w:ascii="Arial" w:hAnsi="Arial" w:cs="Arial"/>
          <w:sz w:val="19"/>
          <w:szCs w:val="19"/>
        </w:rPr>
        <w:t xml:space="preserve"> generalidad, y se hallen en un mismo Código, preferirá la disposición consignada en artículo posterior; y si estuvieren en diversos Códigos preferirán, por razón de éstos, en el orden siguiente: Civil, de Comercio, Penal. Judicial, Administrativo, Fiscal, de Elecciones, Militar, de Policía, de Fomento, de Minas, de Beneficencia y de Instrucción Pública».</w:t>
      </w:r>
    </w:p>
    <w:p w14:paraId="5608D3C2" w14:textId="77777777" w:rsidR="00231293" w:rsidRPr="00D56A53" w:rsidRDefault="00231293" w:rsidP="00231293">
      <w:pPr>
        <w:ind w:firstLine="708"/>
        <w:jc w:val="both"/>
        <w:rPr>
          <w:rFonts w:ascii="Arial" w:hAnsi="Arial" w:cs="Arial"/>
          <w:sz w:val="19"/>
          <w:szCs w:val="19"/>
        </w:rPr>
      </w:pPr>
    </w:p>
  </w:footnote>
  <w:footnote w:id="12">
    <w:p w14:paraId="44CA3952" w14:textId="0EE90D48" w:rsidR="00231293" w:rsidRPr="00231293" w:rsidRDefault="00231293" w:rsidP="00231293">
      <w:pPr>
        <w:pStyle w:val="Textonotapie"/>
        <w:ind w:firstLine="708"/>
        <w:jc w:val="both"/>
        <w:rPr>
          <w:rFonts w:ascii="Arial" w:hAnsi="Arial" w:cs="Arial"/>
          <w:sz w:val="19"/>
          <w:szCs w:val="19"/>
          <w:lang w:val="es-ES"/>
        </w:rPr>
      </w:pPr>
      <w:r w:rsidRPr="00231293">
        <w:rPr>
          <w:rStyle w:val="Refdenotaalpie"/>
          <w:rFonts w:ascii="Arial" w:hAnsi="Arial" w:cs="Arial"/>
          <w:sz w:val="19"/>
          <w:szCs w:val="19"/>
        </w:rPr>
        <w:footnoteRef/>
      </w:r>
      <w:r w:rsidRPr="00231293">
        <w:rPr>
          <w:rFonts w:ascii="Arial" w:hAnsi="Arial" w:cs="Arial"/>
          <w:sz w:val="19"/>
          <w:szCs w:val="19"/>
        </w:rPr>
        <w:t xml:space="preserve"> </w:t>
      </w:r>
      <w:r>
        <w:rPr>
          <w:rFonts w:ascii="Arial" w:hAnsi="Arial" w:cs="Arial"/>
          <w:sz w:val="19"/>
          <w:szCs w:val="19"/>
        </w:rPr>
        <w:t xml:space="preserve">Cfr. </w:t>
      </w:r>
      <w:r w:rsidRPr="00231293">
        <w:rPr>
          <w:rFonts w:ascii="Arial" w:hAnsi="Arial" w:cs="Arial"/>
          <w:sz w:val="19"/>
          <w:szCs w:val="19"/>
        </w:rPr>
        <w:t>GUASTINI, Riccardo</w:t>
      </w:r>
      <w:r>
        <w:rPr>
          <w:rFonts w:ascii="Arial" w:hAnsi="Arial" w:cs="Arial"/>
          <w:sz w:val="19"/>
          <w:szCs w:val="19"/>
        </w:rPr>
        <w:t>. Interpretar y argumentar. Madrid: Centro de Estudios Constitucionales, 2014. p. 134.</w:t>
      </w:r>
    </w:p>
  </w:footnote>
  <w:footnote w:id="13">
    <w:p w14:paraId="3CDBBF78" w14:textId="6FCD0856" w:rsidR="00FF5E27" w:rsidRPr="00FF5E27" w:rsidRDefault="00FF5E27" w:rsidP="00FF5E27">
      <w:pPr>
        <w:pStyle w:val="Textonotapie"/>
        <w:ind w:firstLine="708"/>
        <w:jc w:val="both"/>
        <w:rPr>
          <w:rFonts w:ascii="Arial" w:hAnsi="Arial" w:cs="Arial"/>
          <w:sz w:val="19"/>
          <w:szCs w:val="19"/>
          <w:lang w:val="es-ES"/>
        </w:rPr>
      </w:pPr>
      <w:r w:rsidRPr="00FF5E27">
        <w:rPr>
          <w:rStyle w:val="Refdenotaalpie"/>
          <w:rFonts w:ascii="Arial" w:hAnsi="Arial" w:cs="Arial"/>
          <w:sz w:val="19"/>
          <w:szCs w:val="19"/>
        </w:rPr>
        <w:footnoteRef/>
      </w:r>
      <w:r w:rsidRPr="00FF5E27">
        <w:rPr>
          <w:rFonts w:ascii="Arial" w:hAnsi="Arial" w:cs="Arial"/>
          <w:sz w:val="19"/>
          <w:szCs w:val="19"/>
        </w:rPr>
        <w:t xml:space="preserve"> </w:t>
      </w:r>
      <w:r>
        <w:rPr>
          <w:rFonts w:ascii="Arial" w:hAnsi="Arial" w:cs="Arial"/>
          <w:sz w:val="19"/>
          <w:szCs w:val="19"/>
        </w:rPr>
        <w:t>DÍEZ-PICAZO, Luis María. La derogación de las leyes. Madrid: Editorial Civita, 1990. p. 363.</w:t>
      </w:r>
    </w:p>
  </w:footnote>
  <w:footnote w:id="14">
    <w:p w14:paraId="30F85CFC" w14:textId="77777777" w:rsidR="003165A4" w:rsidRDefault="003165A4" w:rsidP="003165A4">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4314050A" w14:textId="77777777" w:rsidR="003165A4" w:rsidRPr="00F32C99" w:rsidRDefault="003165A4" w:rsidP="003165A4">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4DE"/>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11A4"/>
    <w:rsid w:val="00271230"/>
    <w:rsid w:val="00271F13"/>
    <w:rsid w:val="00272945"/>
    <w:rsid w:val="00272E89"/>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C44"/>
    <w:rsid w:val="0031040A"/>
    <w:rsid w:val="0031088E"/>
    <w:rsid w:val="00310D01"/>
    <w:rsid w:val="00311376"/>
    <w:rsid w:val="00311A1F"/>
    <w:rsid w:val="00311B47"/>
    <w:rsid w:val="00311D52"/>
    <w:rsid w:val="00312190"/>
    <w:rsid w:val="003125E0"/>
    <w:rsid w:val="0031271D"/>
    <w:rsid w:val="003132BB"/>
    <w:rsid w:val="00313337"/>
    <w:rsid w:val="00313447"/>
    <w:rsid w:val="00313748"/>
    <w:rsid w:val="00313EA3"/>
    <w:rsid w:val="003151FE"/>
    <w:rsid w:val="00315365"/>
    <w:rsid w:val="00315457"/>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EAD"/>
    <w:rsid w:val="004533D1"/>
    <w:rsid w:val="004534D1"/>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AF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F97"/>
    <w:rsid w:val="00874607"/>
    <w:rsid w:val="008747E9"/>
    <w:rsid w:val="00874915"/>
    <w:rsid w:val="00874B89"/>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DD9"/>
    <w:rsid w:val="008F4163"/>
    <w:rsid w:val="008F4814"/>
    <w:rsid w:val="008F4B18"/>
    <w:rsid w:val="008F4DA6"/>
    <w:rsid w:val="008F538E"/>
    <w:rsid w:val="008F5A20"/>
    <w:rsid w:val="008F5ABA"/>
    <w:rsid w:val="008F6157"/>
    <w:rsid w:val="008F71AB"/>
    <w:rsid w:val="008F7905"/>
    <w:rsid w:val="008F7989"/>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4990"/>
    <w:rsid w:val="009F4F25"/>
    <w:rsid w:val="009F59C2"/>
    <w:rsid w:val="009F7263"/>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B0F"/>
    <w:rsid w:val="00A25BBB"/>
    <w:rsid w:val="00A27FB6"/>
    <w:rsid w:val="00A30121"/>
    <w:rsid w:val="00A30368"/>
    <w:rsid w:val="00A3043A"/>
    <w:rsid w:val="00A30E02"/>
    <w:rsid w:val="00A30F6A"/>
    <w:rsid w:val="00A31060"/>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E82"/>
    <w:rsid w:val="00C14FF6"/>
    <w:rsid w:val="00C15A85"/>
    <w:rsid w:val="00C1637C"/>
    <w:rsid w:val="00C1641B"/>
    <w:rsid w:val="00C165FC"/>
    <w:rsid w:val="00C16DCE"/>
    <w:rsid w:val="00C176D5"/>
    <w:rsid w:val="00C17D24"/>
    <w:rsid w:val="00C2082C"/>
    <w:rsid w:val="00C20EB0"/>
    <w:rsid w:val="00C21004"/>
    <w:rsid w:val="00C21005"/>
    <w:rsid w:val="00C218DF"/>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E0"/>
    <w:rsid w:val="00D04B9F"/>
    <w:rsid w:val="00D04D43"/>
    <w:rsid w:val="00D04FFB"/>
    <w:rsid w:val="00D055FE"/>
    <w:rsid w:val="00D058E9"/>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35</TotalTime>
  <Pages>14</Pages>
  <Words>5102</Words>
  <Characters>28065</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David Montoya Penagos</cp:lastModifiedBy>
  <cp:revision>16</cp:revision>
  <cp:lastPrinted>2020-01-30T15:05:00Z</cp:lastPrinted>
  <dcterms:created xsi:type="dcterms:W3CDTF">2021-02-16T01:48:00Z</dcterms:created>
  <dcterms:modified xsi:type="dcterms:W3CDTF">2021-02-16T18:57:00Z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