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54FE324E" w:rsidR="00DE5124" w:rsidRPr="00EB302B" w:rsidRDefault="00DE5124" w:rsidP="00DE5124">
      <w:pPr>
        <w:jc w:val="right"/>
        <w:rPr>
          <w:rFonts w:ascii="Arial" w:hAnsi="Arial" w:cs="Arial"/>
          <w:b/>
          <w:color w:val="000000" w:themeColor="text1"/>
          <w:sz w:val="16"/>
          <w:szCs w:val="16"/>
          <w:lang w:eastAsia="es-ES"/>
        </w:rPr>
      </w:pPr>
      <w:bookmarkStart w:id="0" w:name="_Hlk29548183"/>
      <w:bookmarkStart w:id="1" w:name="_Hlk28946138"/>
      <w:r w:rsidRPr="00EB302B">
        <w:rPr>
          <w:rFonts w:ascii="Arial" w:hAnsi="Arial" w:cs="Arial"/>
          <w:b/>
          <w:color w:val="000000" w:themeColor="text1"/>
          <w:sz w:val="16"/>
          <w:szCs w:val="16"/>
          <w:lang w:eastAsia="es-ES"/>
        </w:rPr>
        <w:t>CCE-DES-FM-17</w:t>
      </w:r>
      <w:bookmarkEnd w:id="0"/>
      <w:bookmarkEnd w:id="1"/>
    </w:p>
    <w:p w14:paraId="36DCAA96" w14:textId="77777777" w:rsidR="00DB06D2" w:rsidRPr="00EB302B" w:rsidRDefault="00DB06D2" w:rsidP="00DE5124">
      <w:pPr>
        <w:jc w:val="right"/>
        <w:rPr>
          <w:rFonts w:ascii="Arial" w:hAnsi="Arial" w:cs="Arial"/>
          <w:b/>
          <w:color w:val="000000" w:themeColor="text1"/>
          <w:sz w:val="16"/>
          <w:szCs w:val="16"/>
          <w:lang w:eastAsia="es-ES"/>
        </w:rPr>
      </w:pPr>
    </w:p>
    <w:p w14:paraId="41AE6394" w14:textId="5201A90B" w:rsidR="008F6ABB" w:rsidRPr="00801108" w:rsidRDefault="008F6ABB" w:rsidP="00801108">
      <w:pPr>
        <w:jc w:val="both"/>
        <w:rPr>
          <w:rFonts w:ascii="Arial" w:eastAsia="Calibri" w:hAnsi="Arial" w:cs="Arial"/>
          <w:color w:val="000000" w:themeColor="text1"/>
          <w:sz w:val="22"/>
          <w:lang w:val="es-ES_tradnl"/>
        </w:rPr>
      </w:pPr>
      <w:r w:rsidRPr="00801108">
        <w:rPr>
          <w:rFonts w:ascii="Arial" w:eastAsia="Calibri" w:hAnsi="Arial" w:cs="Arial"/>
          <w:b/>
          <w:color w:val="000000" w:themeColor="text1"/>
          <w:sz w:val="22"/>
          <w:lang w:val="es-ES_tradnl"/>
        </w:rPr>
        <w:t xml:space="preserve">PRINCIPIO DE SELECCIÓN OBJETIVA </w:t>
      </w:r>
      <w:bookmarkStart w:id="2" w:name="_Hlk39676694"/>
      <w:r w:rsidR="00B40EDA" w:rsidRPr="006C15D5">
        <w:rPr>
          <w:rFonts w:ascii="Arial" w:eastAsia="Calibri" w:hAnsi="Arial" w:cs="Arial"/>
          <w:b/>
          <w:color w:val="000000" w:themeColor="text1"/>
          <w:sz w:val="22"/>
        </w:rPr>
        <w:t>–</w:t>
      </w:r>
      <w:bookmarkEnd w:id="2"/>
      <w:r w:rsidRPr="00801108">
        <w:rPr>
          <w:rFonts w:ascii="Arial" w:eastAsia="Calibri" w:hAnsi="Arial" w:cs="Arial"/>
          <w:b/>
          <w:color w:val="000000" w:themeColor="text1"/>
          <w:sz w:val="22"/>
          <w:lang w:val="es-ES_tradnl"/>
        </w:rPr>
        <w:t xml:space="preserve"> </w:t>
      </w:r>
      <w:r w:rsidR="00A5144E" w:rsidRPr="00801108">
        <w:rPr>
          <w:rFonts w:ascii="Arial" w:eastAsia="Calibri" w:hAnsi="Arial" w:cs="Arial"/>
          <w:b/>
          <w:color w:val="000000" w:themeColor="text1"/>
          <w:sz w:val="22"/>
          <w:lang w:val="es-ES_tradnl"/>
        </w:rPr>
        <w:t>Rechazo de ofertas</w:t>
      </w:r>
      <w:r w:rsidRPr="00801108">
        <w:rPr>
          <w:rFonts w:ascii="Arial" w:eastAsia="Calibri" w:hAnsi="Arial" w:cs="Arial"/>
          <w:b/>
          <w:color w:val="000000" w:themeColor="text1"/>
          <w:sz w:val="22"/>
          <w:lang w:val="es-ES_tradnl"/>
        </w:rPr>
        <w:t xml:space="preserve"> </w:t>
      </w:r>
      <w:r w:rsidR="00B40EDA" w:rsidRPr="006C15D5">
        <w:rPr>
          <w:rFonts w:ascii="Arial" w:eastAsia="Calibri" w:hAnsi="Arial" w:cs="Arial"/>
          <w:b/>
          <w:color w:val="000000" w:themeColor="text1"/>
          <w:sz w:val="22"/>
        </w:rPr>
        <w:t>–</w:t>
      </w:r>
      <w:r w:rsidRPr="00801108">
        <w:rPr>
          <w:rFonts w:ascii="Arial" w:eastAsia="Calibri" w:hAnsi="Arial" w:cs="Arial"/>
          <w:b/>
          <w:color w:val="000000" w:themeColor="text1"/>
          <w:sz w:val="22"/>
          <w:lang w:val="es-ES_tradnl"/>
        </w:rPr>
        <w:t xml:space="preserve"> </w:t>
      </w:r>
      <w:r w:rsidR="00A5144E" w:rsidRPr="00801108">
        <w:rPr>
          <w:rFonts w:ascii="Arial" w:eastAsia="Calibri" w:hAnsi="Arial" w:cs="Arial"/>
          <w:b/>
          <w:color w:val="000000" w:themeColor="text1"/>
          <w:sz w:val="22"/>
          <w:lang w:val="es-ES_tradnl"/>
        </w:rPr>
        <w:t>Subsanabilidad</w:t>
      </w:r>
    </w:p>
    <w:p w14:paraId="5A2F04D3" w14:textId="77777777" w:rsidR="008F6ABB" w:rsidRPr="00801108" w:rsidRDefault="008F6ABB" w:rsidP="00801108">
      <w:pPr>
        <w:jc w:val="both"/>
        <w:rPr>
          <w:rFonts w:ascii="Arial" w:eastAsia="Calibri" w:hAnsi="Arial" w:cs="Arial"/>
          <w:color w:val="000000" w:themeColor="text1"/>
          <w:sz w:val="20"/>
          <w:szCs w:val="20"/>
          <w:lang w:val="es-ES_tradnl"/>
        </w:rPr>
      </w:pPr>
    </w:p>
    <w:p w14:paraId="142C3880" w14:textId="7E6A3DD9" w:rsidR="008F6ABB" w:rsidRPr="00801108" w:rsidRDefault="00A5144E" w:rsidP="2AEA3E2A">
      <w:pPr>
        <w:jc w:val="both"/>
        <w:rPr>
          <w:rFonts w:ascii="Arial" w:eastAsia="Calibri" w:hAnsi="Arial" w:cs="Arial"/>
          <w:color w:val="000000" w:themeColor="text1"/>
          <w:sz w:val="20"/>
          <w:szCs w:val="20"/>
          <w:lang w:val="es-ES"/>
        </w:rPr>
      </w:pPr>
      <w:r w:rsidRPr="43BBE174">
        <w:rPr>
          <w:rFonts w:ascii="Arial" w:eastAsia="Calibri" w:hAnsi="Arial" w:cs="Arial"/>
          <w:color w:val="000000" w:themeColor="text1"/>
          <w:sz w:val="20"/>
          <w:szCs w:val="20"/>
          <w:lang w:val="es-ES"/>
        </w:rPr>
        <w:t>[</w:t>
      </w:r>
      <w:r w:rsidR="00EB302B" w:rsidRPr="43BBE174">
        <w:rPr>
          <w:rFonts w:ascii="Arial" w:eastAsia="Calibri" w:hAnsi="Arial" w:cs="Arial"/>
          <w:color w:val="000000" w:themeColor="text1"/>
          <w:sz w:val="20"/>
          <w:szCs w:val="20"/>
          <w:lang w:val="es-ES"/>
        </w:rPr>
        <w:t>…</w:t>
      </w:r>
      <w:r w:rsidRPr="43BBE174">
        <w:rPr>
          <w:rFonts w:ascii="Arial" w:eastAsia="Calibri" w:hAnsi="Arial" w:cs="Arial"/>
          <w:color w:val="000000" w:themeColor="text1"/>
          <w:sz w:val="20"/>
          <w:szCs w:val="20"/>
          <w:lang w:val="es-ES"/>
        </w:rPr>
        <w:t>]</w:t>
      </w:r>
      <w:r w:rsidR="00EB302B" w:rsidRPr="43BBE174">
        <w:rPr>
          <w:rFonts w:ascii="Arial" w:eastAsia="Calibri" w:hAnsi="Arial" w:cs="Arial"/>
          <w:color w:val="000000" w:themeColor="text1"/>
          <w:sz w:val="20"/>
          <w:szCs w:val="20"/>
          <w:lang w:val="es-ES"/>
        </w:rPr>
        <w:t xml:space="preserve"> </w:t>
      </w:r>
      <w:r w:rsidR="42CA2299" w:rsidRPr="43BBE174">
        <w:rPr>
          <w:rFonts w:ascii="Arial" w:eastAsia="Calibri" w:hAnsi="Arial" w:cs="Arial"/>
          <w:color w:val="000000" w:themeColor="text1"/>
          <w:sz w:val="20"/>
          <w:szCs w:val="20"/>
          <w:lang w:val="es-ES"/>
        </w:rPr>
        <w:t>p</w:t>
      </w:r>
      <w:r w:rsidRPr="43BBE174">
        <w:rPr>
          <w:rFonts w:ascii="Arial" w:eastAsia="Calibri" w:hAnsi="Arial" w:cs="Arial"/>
          <w:color w:val="000000" w:themeColor="text1"/>
          <w:sz w:val="20"/>
          <w:szCs w:val="20"/>
          <w:lang w:val="es-ES"/>
        </w:rPr>
        <w:t>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76B6C72E" w14:textId="77777777" w:rsidR="00A5144E" w:rsidRPr="00801108" w:rsidRDefault="00A5144E" w:rsidP="00801108">
      <w:pPr>
        <w:jc w:val="both"/>
        <w:rPr>
          <w:rFonts w:ascii="Arial" w:eastAsia="Calibri" w:hAnsi="Arial" w:cs="Arial"/>
          <w:color w:val="000000" w:themeColor="text1"/>
          <w:sz w:val="20"/>
          <w:szCs w:val="20"/>
          <w:lang w:val="es-ES_tradnl"/>
        </w:rPr>
      </w:pPr>
    </w:p>
    <w:p w14:paraId="7F804D74" w14:textId="44728FBA" w:rsidR="008F6ABB" w:rsidRPr="00801108" w:rsidRDefault="008F6ABB" w:rsidP="2FF48F0C">
      <w:pPr>
        <w:jc w:val="both"/>
        <w:rPr>
          <w:rFonts w:ascii="Arial" w:eastAsia="Calibri" w:hAnsi="Arial" w:cs="Arial"/>
          <w:b/>
          <w:bCs/>
          <w:color w:val="000000" w:themeColor="text1"/>
          <w:sz w:val="22"/>
          <w:lang w:val="es-ES"/>
        </w:rPr>
      </w:pPr>
      <w:r w:rsidRPr="2FF48F0C">
        <w:rPr>
          <w:rFonts w:ascii="Arial" w:eastAsia="Calibri" w:hAnsi="Arial" w:cs="Arial"/>
          <w:b/>
          <w:bCs/>
          <w:color w:val="000000" w:themeColor="text1"/>
          <w:sz w:val="22"/>
          <w:lang w:val="es-ES"/>
        </w:rPr>
        <w:t xml:space="preserve">SUBSANABILIDAD </w:t>
      </w:r>
      <w:r w:rsidR="00B40EDA" w:rsidRPr="2FF48F0C">
        <w:rPr>
          <w:rFonts w:ascii="Arial" w:eastAsia="Calibri" w:hAnsi="Arial" w:cs="Arial"/>
          <w:b/>
          <w:bCs/>
          <w:color w:val="000000" w:themeColor="text1"/>
          <w:sz w:val="22"/>
        </w:rPr>
        <w:t>–</w:t>
      </w:r>
      <w:r w:rsidRPr="2FF48F0C">
        <w:rPr>
          <w:rFonts w:ascii="Arial" w:eastAsia="Calibri" w:hAnsi="Arial" w:cs="Arial"/>
          <w:b/>
          <w:bCs/>
          <w:color w:val="000000" w:themeColor="text1"/>
          <w:sz w:val="22"/>
          <w:lang w:val="es-ES"/>
        </w:rPr>
        <w:t xml:space="preserve"> Concepto de unificación </w:t>
      </w:r>
      <w:r w:rsidR="00B40EDA" w:rsidRPr="2FF48F0C">
        <w:rPr>
          <w:rFonts w:ascii="Arial" w:eastAsia="Calibri" w:hAnsi="Arial" w:cs="Arial"/>
          <w:b/>
          <w:bCs/>
          <w:color w:val="000000" w:themeColor="text1"/>
          <w:sz w:val="22"/>
        </w:rPr>
        <w:t>–</w:t>
      </w:r>
      <w:r w:rsidRPr="2FF48F0C">
        <w:rPr>
          <w:rFonts w:ascii="Arial" w:eastAsia="Calibri" w:hAnsi="Arial" w:cs="Arial"/>
          <w:b/>
          <w:bCs/>
          <w:color w:val="000000" w:themeColor="text1"/>
          <w:sz w:val="22"/>
          <w:lang w:val="es-ES"/>
        </w:rPr>
        <w:t xml:space="preserve"> Aplicación </w:t>
      </w:r>
      <w:r w:rsidR="00B40EDA" w:rsidRPr="2FF48F0C">
        <w:rPr>
          <w:rFonts w:ascii="Arial" w:eastAsia="Calibri" w:hAnsi="Arial" w:cs="Arial"/>
          <w:b/>
          <w:bCs/>
          <w:color w:val="000000" w:themeColor="text1"/>
          <w:sz w:val="22"/>
        </w:rPr>
        <w:t>–</w:t>
      </w:r>
      <w:r w:rsidRPr="2FF48F0C">
        <w:rPr>
          <w:rFonts w:ascii="Arial" w:eastAsia="Calibri" w:hAnsi="Arial" w:cs="Arial"/>
          <w:b/>
          <w:bCs/>
          <w:color w:val="000000" w:themeColor="text1"/>
          <w:sz w:val="22"/>
          <w:lang w:val="es-ES"/>
        </w:rPr>
        <w:t xml:space="preserve"> Improcedencia </w:t>
      </w:r>
      <w:r w:rsidR="00B40EDA" w:rsidRPr="2FF48F0C">
        <w:rPr>
          <w:rFonts w:ascii="Arial" w:eastAsia="Calibri" w:hAnsi="Arial" w:cs="Arial"/>
          <w:b/>
          <w:bCs/>
          <w:color w:val="000000" w:themeColor="text1"/>
          <w:sz w:val="22"/>
        </w:rPr>
        <w:t>–</w:t>
      </w:r>
      <w:r w:rsidRPr="2FF48F0C">
        <w:rPr>
          <w:rFonts w:ascii="Arial" w:eastAsia="Calibri" w:hAnsi="Arial" w:cs="Arial"/>
          <w:b/>
          <w:bCs/>
          <w:color w:val="000000" w:themeColor="text1"/>
          <w:sz w:val="22"/>
          <w:lang w:val="es-ES"/>
        </w:rPr>
        <w:t xml:space="preserve"> Circunstancias posteriores </w:t>
      </w:r>
      <w:r w:rsidR="287C1479" w:rsidRPr="2FF48F0C">
        <w:rPr>
          <w:rFonts w:ascii="Arial" w:eastAsia="Calibri" w:hAnsi="Arial" w:cs="Arial"/>
          <w:b/>
          <w:bCs/>
          <w:color w:val="000000" w:themeColor="text1"/>
          <w:sz w:val="22"/>
        </w:rPr>
        <w:t>– Cierre del proceso</w:t>
      </w:r>
    </w:p>
    <w:p w14:paraId="78285BDD" w14:textId="77777777" w:rsidR="008F6ABB" w:rsidRPr="00801108" w:rsidRDefault="008F6ABB" w:rsidP="00801108">
      <w:pPr>
        <w:jc w:val="both"/>
        <w:rPr>
          <w:rFonts w:ascii="Arial" w:eastAsia="Calibri" w:hAnsi="Arial" w:cs="Arial"/>
          <w:color w:val="000000" w:themeColor="text1"/>
          <w:sz w:val="20"/>
          <w:szCs w:val="20"/>
          <w:lang w:val="es-ES_tradnl"/>
        </w:rPr>
      </w:pPr>
    </w:p>
    <w:p w14:paraId="3F592FE3" w14:textId="0E0156A7" w:rsidR="008F6ABB" w:rsidRPr="00801108" w:rsidRDefault="008F6ABB" w:rsidP="00801108">
      <w:pPr>
        <w:jc w:val="both"/>
        <w:rPr>
          <w:rFonts w:ascii="Arial" w:eastAsia="Calibri" w:hAnsi="Arial" w:cs="Arial"/>
          <w:color w:val="000000" w:themeColor="text1"/>
          <w:sz w:val="20"/>
          <w:szCs w:val="20"/>
          <w:lang w:val="es-ES_tradnl"/>
        </w:rPr>
      </w:pPr>
      <w:r w:rsidRPr="00801108">
        <w:rPr>
          <w:rFonts w:ascii="Arial" w:eastAsia="Calibri" w:hAnsi="Arial" w:cs="Arial"/>
          <w:color w:val="000000" w:themeColor="text1"/>
          <w:sz w:val="20"/>
          <w:szCs w:val="20"/>
          <w:lang w:val="es-ES_tradnl"/>
        </w:rPr>
        <w:t>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p>
    <w:p w14:paraId="3F632A85" w14:textId="77777777" w:rsidR="009F7B0A" w:rsidRPr="00801108" w:rsidRDefault="009F7B0A" w:rsidP="00801108">
      <w:pPr>
        <w:jc w:val="both"/>
        <w:rPr>
          <w:rFonts w:ascii="Arial" w:eastAsia="Calibri" w:hAnsi="Arial" w:cs="Arial"/>
          <w:color w:val="000000" w:themeColor="text1"/>
          <w:sz w:val="20"/>
          <w:szCs w:val="20"/>
          <w:lang w:val="es-ES_tradnl"/>
        </w:rPr>
      </w:pPr>
    </w:p>
    <w:p w14:paraId="2EEE31BA" w14:textId="35CDF5BB" w:rsidR="009F7B0A" w:rsidRPr="00801108" w:rsidRDefault="009F7B0A" w:rsidP="2FF48F0C">
      <w:pPr>
        <w:jc w:val="both"/>
        <w:rPr>
          <w:rFonts w:ascii="Arial" w:eastAsia="Calibri" w:hAnsi="Arial" w:cs="Arial"/>
          <w:b/>
          <w:bCs/>
          <w:color w:val="000000" w:themeColor="text1"/>
          <w:sz w:val="22"/>
          <w:lang w:val="es-ES"/>
        </w:rPr>
      </w:pPr>
      <w:r w:rsidRPr="2FF48F0C">
        <w:rPr>
          <w:rFonts w:ascii="Arial" w:eastAsia="Calibri" w:hAnsi="Arial" w:cs="Arial"/>
          <w:b/>
          <w:bCs/>
          <w:color w:val="000000" w:themeColor="text1"/>
          <w:sz w:val="22"/>
          <w:lang w:val="es-ES"/>
        </w:rPr>
        <w:t xml:space="preserve">SUBASTA </w:t>
      </w:r>
      <w:r w:rsidR="00ED7D3C" w:rsidRPr="2FF48F0C">
        <w:rPr>
          <w:rFonts w:ascii="Arial" w:eastAsia="Calibri" w:hAnsi="Arial" w:cs="Arial"/>
          <w:b/>
          <w:bCs/>
          <w:color w:val="000000" w:themeColor="text1"/>
          <w:sz w:val="22"/>
          <w:lang w:val="es-ES"/>
        </w:rPr>
        <w:t xml:space="preserve">INVERSA </w:t>
      </w:r>
      <w:r w:rsidR="00B40EDA" w:rsidRPr="2FF48F0C">
        <w:rPr>
          <w:rFonts w:ascii="Arial" w:eastAsia="Calibri" w:hAnsi="Arial" w:cs="Arial"/>
          <w:b/>
          <w:bCs/>
          <w:color w:val="000000" w:themeColor="text1"/>
          <w:sz w:val="22"/>
        </w:rPr>
        <w:t>–</w:t>
      </w:r>
      <w:r w:rsidRPr="2FF48F0C">
        <w:rPr>
          <w:rFonts w:ascii="Arial" w:eastAsia="Calibri" w:hAnsi="Arial" w:cs="Arial"/>
          <w:b/>
          <w:bCs/>
          <w:color w:val="000000" w:themeColor="text1"/>
          <w:sz w:val="22"/>
          <w:lang w:val="es-ES"/>
        </w:rPr>
        <w:t xml:space="preserve"> </w:t>
      </w:r>
      <w:r w:rsidR="6E609E53" w:rsidRPr="2FF48F0C">
        <w:rPr>
          <w:rFonts w:ascii="Arial" w:eastAsia="Calibri" w:hAnsi="Arial" w:cs="Arial"/>
          <w:b/>
          <w:bCs/>
          <w:color w:val="000000" w:themeColor="text1"/>
          <w:sz w:val="22"/>
          <w:lang w:val="es-ES"/>
        </w:rPr>
        <w:t xml:space="preserve">Mecanismo </w:t>
      </w:r>
      <w:r w:rsidR="6E609E53" w:rsidRPr="2FF48F0C">
        <w:rPr>
          <w:rFonts w:ascii="Arial" w:eastAsia="Calibri" w:hAnsi="Arial" w:cs="Arial"/>
          <w:b/>
          <w:bCs/>
          <w:color w:val="000000" w:themeColor="text1"/>
          <w:sz w:val="22"/>
        </w:rPr>
        <w:t>–</w:t>
      </w:r>
      <w:r w:rsidR="6E609E53" w:rsidRPr="2FF48F0C">
        <w:rPr>
          <w:rFonts w:ascii="Arial" w:eastAsia="Calibri" w:hAnsi="Arial" w:cs="Arial"/>
          <w:b/>
          <w:bCs/>
          <w:color w:val="000000" w:themeColor="text1"/>
          <w:sz w:val="22"/>
          <w:lang w:val="es-ES"/>
        </w:rPr>
        <w:t xml:space="preserve"> </w:t>
      </w:r>
      <w:r w:rsidRPr="2FF48F0C">
        <w:rPr>
          <w:rFonts w:ascii="Arial" w:eastAsia="Calibri" w:hAnsi="Arial" w:cs="Arial"/>
          <w:b/>
          <w:bCs/>
          <w:color w:val="000000" w:themeColor="text1"/>
          <w:sz w:val="22"/>
          <w:lang w:val="es-ES"/>
        </w:rPr>
        <w:t xml:space="preserve">Regla de subsanabilidad </w:t>
      </w:r>
    </w:p>
    <w:p w14:paraId="31626472" w14:textId="5A6306C8" w:rsidR="003144A3" w:rsidRPr="00801108" w:rsidRDefault="003144A3" w:rsidP="00801108">
      <w:pPr>
        <w:jc w:val="both"/>
        <w:rPr>
          <w:rFonts w:ascii="Arial" w:hAnsi="Arial" w:cs="Arial"/>
          <w:b/>
          <w:bCs/>
          <w:color w:val="000000" w:themeColor="text1"/>
          <w:sz w:val="20"/>
          <w:szCs w:val="20"/>
          <w:lang w:val="es-ES_tradnl"/>
        </w:rPr>
      </w:pPr>
    </w:p>
    <w:p w14:paraId="7541D32A" w14:textId="77777777" w:rsidR="0045437C" w:rsidRDefault="00A43FA8" w:rsidP="0045437C">
      <w:pPr>
        <w:spacing w:after="120"/>
        <w:jc w:val="both"/>
        <w:rPr>
          <w:rFonts w:ascii="Arial" w:hAnsi="Arial" w:cs="Arial"/>
          <w:color w:val="000000" w:themeColor="text1"/>
          <w:sz w:val="20"/>
          <w:szCs w:val="20"/>
          <w:lang w:val="es-ES_tradnl"/>
        </w:rPr>
      </w:pPr>
      <w:r w:rsidRPr="00801108">
        <w:rPr>
          <w:rFonts w:ascii="Arial" w:hAnsi="Arial" w:cs="Arial"/>
          <w:color w:val="000000" w:themeColor="text1"/>
          <w:sz w:val="20"/>
          <w:szCs w:val="20"/>
        </w:rPr>
        <w:t xml:space="preserve">De conformidad con lo anterior, la regla </w:t>
      </w:r>
      <w:r w:rsidR="0001254D" w:rsidRPr="00801108">
        <w:rPr>
          <w:rFonts w:ascii="Arial" w:hAnsi="Arial" w:cs="Arial"/>
          <w:color w:val="000000" w:themeColor="text1"/>
          <w:sz w:val="20"/>
          <w:szCs w:val="20"/>
        </w:rPr>
        <w:t xml:space="preserve">especial </w:t>
      </w:r>
      <w:r w:rsidRPr="00801108">
        <w:rPr>
          <w:rFonts w:ascii="Arial" w:hAnsi="Arial" w:cs="Arial"/>
          <w:color w:val="000000" w:themeColor="text1"/>
          <w:sz w:val="20"/>
          <w:szCs w:val="20"/>
        </w:rPr>
        <w:t xml:space="preserve">de subsanabilidad establecida </w:t>
      </w:r>
      <w:r w:rsidR="0001254D" w:rsidRPr="00801108">
        <w:rPr>
          <w:rFonts w:ascii="Arial" w:hAnsi="Arial" w:cs="Arial"/>
          <w:color w:val="000000" w:themeColor="text1"/>
          <w:sz w:val="20"/>
          <w:szCs w:val="20"/>
        </w:rPr>
        <w:t>en</w:t>
      </w:r>
      <w:r w:rsidRPr="00801108">
        <w:rPr>
          <w:rFonts w:ascii="Arial" w:hAnsi="Arial" w:cs="Arial"/>
          <w:color w:val="000000" w:themeColor="text1"/>
          <w:sz w:val="20"/>
          <w:szCs w:val="20"/>
        </w:rPr>
        <w:t xml:space="preserve"> el parágrafo 4° del artículo 5 de la Ley 1150 de 2007 para el mecanismo de subasta inversa</w:t>
      </w:r>
      <w:r w:rsidR="007C4C04" w:rsidRPr="00801108">
        <w:rPr>
          <w:rFonts w:ascii="Arial" w:hAnsi="Arial" w:cs="Arial"/>
          <w:color w:val="000000" w:themeColor="text1"/>
          <w:sz w:val="20"/>
          <w:szCs w:val="20"/>
        </w:rPr>
        <w:t>,</w:t>
      </w:r>
      <w:r w:rsidRPr="00801108">
        <w:rPr>
          <w:rFonts w:ascii="Arial" w:hAnsi="Arial" w:cs="Arial"/>
          <w:color w:val="000000" w:themeColor="text1"/>
          <w:sz w:val="20"/>
          <w:szCs w:val="20"/>
        </w:rPr>
        <w:t xml:space="preserve"> permite a los oferentes subsanar</w:t>
      </w:r>
      <w:r w:rsidR="007C4C04" w:rsidRPr="00801108">
        <w:rPr>
          <w:rFonts w:ascii="Arial" w:hAnsi="Arial" w:cs="Arial"/>
          <w:color w:val="000000" w:themeColor="text1"/>
          <w:sz w:val="20"/>
          <w:szCs w:val="20"/>
        </w:rPr>
        <w:t>, es decir, que las entidades soliciten</w:t>
      </w:r>
      <w:r w:rsidRPr="00801108">
        <w:rPr>
          <w:rFonts w:ascii="Arial" w:hAnsi="Arial" w:cs="Arial"/>
          <w:color w:val="000000" w:themeColor="text1"/>
          <w:sz w:val="20"/>
          <w:szCs w:val="20"/>
        </w:rPr>
        <w:t xml:space="preserve"> los documentos referentes a la futura contratación o al proponente no necesarios para la comparación de las propuestas, hasta el momento previo a la realización a la audiencia a la que hace referencia el artículo </w:t>
      </w:r>
      <w:r w:rsidRPr="00801108">
        <w:rPr>
          <w:rFonts w:ascii="Arial" w:hAnsi="Arial" w:cs="Arial"/>
          <w:color w:val="000000" w:themeColor="text1"/>
          <w:sz w:val="20"/>
          <w:szCs w:val="20"/>
          <w:lang w:val="es-ES_tradnl"/>
        </w:rPr>
        <w:t xml:space="preserve">2.2.1.2.1.2.2 del Decreto 1082 de 2015, momento que además deberá estar señalado en el pliego de condiciones, independientemente de </w:t>
      </w:r>
      <w:r w:rsidRPr="00801108">
        <w:rPr>
          <w:rFonts w:ascii="Arial" w:hAnsi="Arial" w:cs="Arial"/>
          <w:color w:val="000000" w:themeColor="text1"/>
          <w:sz w:val="20"/>
          <w:szCs w:val="20"/>
          <w:lang w:val="es-ES_tradnl"/>
        </w:rPr>
        <w:lastRenderedPageBreak/>
        <w:t>que la entidad opte para desarrollar la audiencia de manera presencial o través del algún mecanismos electrónico</w:t>
      </w:r>
      <w:r w:rsidR="0045437C">
        <w:rPr>
          <w:rFonts w:ascii="Arial" w:hAnsi="Arial" w:cs="Arial"/>
          <w:color w:val="000000" w:themeColor="text1"/>
          <w:sz w:val="20"/>
          <w:szCs w:val="20"/>
          <w:lang w:val="es-ES_tradnl"/>
        </w:rPr>
        <w:t>.</w:t>
      </w:r>
    </w:p>
    <w:p w14:paraId="3F2166CB" w14:textId="6E0E5D6A" w:rsidR="0033606D" w:rsidRDefault="00A43FA8" w:rsidP="0033606D">
      <w:pPr>
        <w:spacing w:after="120"/>
        <w:jc w:val="both"/>
        <w:rPr>
          <w:rFonts w:ascii="Arial" w:hAnsi="Arial" w:cs="Arial"/>
          <w:color w:val="000000" w:themeColor="text1"/>
          <w:sz w:val="20"/>
          <w:szCs w:val="20"/>
          <w:lang w:val="es-ES_tradnl"/>
        </w:rPr>
      </w:pPr>
      <w:r w:rsidRPr="00801108">
        <w:rPr>
          <w:rFonts w:ascii="Arial" w:hAnsi="Arial" w:cs="Arial"/>
          <w:color w:val="000000" w:themeColor="text1"/>
          <w:sz w:val="20"/>
          <w:szCs w:val="20"/>
          <w:lang w:val="es-ES_tradnl"/>
        </w:rPr>
        <w:t>Esto sin perjuicio de que las entidades</w:t>
      </w:r>
      <w:r w:rsidR="0001254D" w:rsidRPr="00801108">
        <w:rPr>
          <w:rFonts w:ascii="Arial" w:hAnsi="Arial" w:cs="Arial"/>
          <w:color w:val="000000" w:themeColor="text1"/>
          <w:sz w:val="20"/>
          <w:szCs w:val="20"/>
          <w:lang w:val="es-ES_tradnl"/>
        </w:rPr>
        <w:t>,</w:t>
      </w:r>
      <w:r w:rsidRPr="00801108">
        <w:rPr>
          <w:rFonts w:ascii="Arial" w:hAnsi="Arial" w:cs="Arial"/>
          <w:color w:val="000000" w:themeColor="text1"/>
          <w:sz w:val="20"/>
          <w:szCs w:val="20"/>
          <w:lang w:val="es-ES_tradnl"/>
        </w:rPr>
        <w:t xml:space="preserve"> de conformidad con el numeral 3 del artículo 2.2.1.2.1.2.2 del Decreto 1082 de 2015, antes de la realización de la subasta deb</w:t>
      </w:r>
      <w:r w:rsidR="0001254D" w:rsidRPr="00801108">
        <w:rPr>
          <w:rFonts w:ascii="Arial" w:hAnsi="Arial" w:cs="Arial"/>
          <w:color w:val="000000" w:themeColor="text1"/>
          <w:sz w:val="20"/>
          <w:szCs w:val="20"/>
          <w:lang w:val="es-ES_tradnl"/>
        </w:rPr>
        <w:t>a</w:t>
      </w:r>
      <w:r w:rsidRPr="00801108">
        <w:rPr>
          <w:rFonts w:ascii="Arial" w:hAnsi="Arial" w:cs="Arial"/>
          <w:color w:val="000000" w:themeColor="text1"/>
          <w:sz w:val="20"/>
          <w:szCs w:val="20"/>
          <w:lang w:val="es-ES_tradnl"/>
        </w:rPr>
        <w:t xml:space="preserve">n «publicar un informe de habilitación de los oferentes, en el cual debe indicar si los bienes o servicios ofrecidos por el interesado cumplen con la ficha técnica y si el oferente se encuentra habilitado», publicación que si bien no pone fin a la oportunidad de los proponentes para percatarse de los yerros susceptibles de subsanación, si corresponde </w:t>
      </w:r>
      <w:r w:rsidR="00471772" w:rsidRPr="00801108">
        <w:rPr>
          <w:rFonts w:ascii="Arial" w:hAnsi="Arial" w:cs="Arial"/>
          <w:color w:val="000000" w:themeColor="text1"/>
          <w:sz w:val="20"/>
          <w:szCs w:val="20"/>
          <w:lang w:val="es-ES_tradnl"/>
        </w:rPr>
        <w:t xml:space="preserve">a </w:t>
      </w:r>
      <w:r w:rsidRPr="00801108">
        <w:rPr>
          <w:rFonts w:ascii="Arial" w:hAnsi="Arial" w:cs="Arial"/>
          <w:color w:val="000000" w:themeColor="text1"/>
          <w:sz w:val="20"/>
          <w:szCs w:val="20"/>
          <w:lang w:val="es-ES_tradnl"/>
        </w:rPr>
        <w:t>la oportunidad idónea para</w:t>
      </w:r>
      <w:r w:rsidR="00471772" w:rsidRPr="00801108">
        <w:rPr>
          <w:rFonts w:ascii="Arial" w:hAnsi="Arial" w:cs="Arial"/>
          <w:color w:val="000000" w:themeColor="text1"/>
          <w:sz w:val="20"/>
          <w:szCs w:val="20"/>
          <w:lang w:val="es-ES_tradnl"/>
        </w:rPr>
        <w:t xml:space="preserve"> que los</w:t>
      </w:r>
      <w:r w:rsidRPr="00801108">
        <w:rPr>
          <w:rFonts w:ascii="Arial" w:hAnsi="Arial" w:cs="Arial"/>
          <w:color w:val="000000" w:themeColor="text1"/>
          <w:sz w:val="20"/>
          <w:szCs w:val="20"/>
          <w:lang w:val="es-ES_tradnl"/>
        </w:rPr>
        <w:t xml:space="preserve"> </w:t>
      </w:r>
      <w:r w:rsidR="00471772" w:rsidRPr="00801108">
        <w:rPr>
          <w:rFonts w:ascii="Arial" w:hAnsi="Arial" w:cs="Arial"/>
          <w:color w:val="000000" w:themeColor="text1"/>
          <w:sz w:val="20"/>
          <w:szCs w:val="20"/>
          <w:lang w:val="es-ES_tradnl"/>
        </w:rPr>
        <w:t xml:space="preserve">proponentes se </w:t>
      </w:r>
      <w:r w:rsidRPr="00801108">
        <w:rPr>
          <w:rFonts w:ascii="Arial" w:hAnsi="Arial" w:cs="Arial"/>
          <w:color w:val="000000" w:themeColor="text1"/>
          <w:sz w:val="20"/>
          <w:szCs w:val="20"/>
          <w:lang w:val="es-ES_tradnl"/>
        </w:rPr>
        <w:t>percat</w:t>
      </w:r>
      <w:r w:rsidR="00471772" w:rsidRPr="00801108">
        <w:rPr>
          <w:rFonts w:ascii="Arial" w:hAnsi="Arial" w:cs="Arial"/>
          <w:color w:val="000000" w:themeColor="text1"/>
          <w:sz w:val="20"/>
          <w:szCs w:val="20"/>
          <w:lang w:val="es-ES_tradnl"/>
        </w:rPr>
        <w:t>en</w:t>
      </w:r>
      <w:r w:rsidRPr="00801108">
        <w:rPr>
          <w:rFonts w:ascii="Arial" w:hAnsi="Arial" w:cs="Arial"/>
          <w:color w:val="000000" w:themeColor="text1"/>
          <w:sz w:val="20"/>
          <w:szCs w:val="20"/>
          <w:lang w:val="es-ES_tradnl"/>
        </w:rPr>
        <w:t xml:space="preserve"> de los mismos y proced</w:t>
      </w:r>
      <w:r w:rsidR="00471772" w:rsidRPr="00801108">
        <w:rPr>
          <w:rFonts w:ascii="Arial" w:hAnsi="Arial" w:cs="Arial"/>
          <w:color w:val="000000" w:themeColor="text1"/>
          <w:sz w:val="20"/>
          <w:szCs w:val="20"/>
          <w:lang w:val="es-ES_tradnl"/>
        </w:rPr>
        <w:t>an</w:t>
      </w:r>
      <w:r w:rsidRPr="00801108">
        <w:rPr>
          <w:rFonts w:ascii="Arial" w:hAnsi="Arial" w:cs="Arial"/>
          <w:color w:val="000000" w:themeColor="text1"/>
          <w:sz w:val="20"/>
          <w:szCs w:val="20"/>
          <w:lang w:val="es-ES_tradnl"/>
        </w:rPr>
        <w:t xml:space="preserve"> a su corrección</w:t>
      </w:r>
      <w:r w:rsidR="0033606D">
        <w:rPr>
          <w:rFonts w:ascii="Arial" w:hAnsi="Arial" w:cs="Arial"/>
          <w:color w:val="000000" w:themeColor="text1"/>
          <w:sz w:val="20"/>
          <w:szCs w:val="20"/>
          <w:lang w:val="es-ES_tradnl"/>
        </w:rPr>
        <w:t>.</w:t>
      </w:r>
    </w:p>
    <w:p w14:paraId="3822A03F" w14:textId="4290948F" w:rsidR="00766AD1" w:rsidRDefault="00766AD1" w:rsidP="0033606D">
      <w:pPr>
        <w:spacing w:after="120"/>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w:t>
      </w:r>
    </w:p>
    <w:p w14:paraId="24081806" w14:textId="58FD0FC7" w:rsidR="009F7B0A" w:rsidRPr="00801108" w:rsidRDefault="009F7B0A" w:rsidP="00801108">
      <w:pPr>
        <w:jc w:val="both"/>
        <w:rPr>
          <w:rFonts w:ascii="Arial" w:hAnsi="Arial" w:cs="Arial"/>
          <w:color w:val="000000" w:themeColor="text1"/>
          <w:sz w:val="20"/>
          <w:szCs w:val="20"/>
          <w:lang w:val="es-ES_tradnl"/>
        </w:rPr>
      </w:pPr>
      <w:r w:rsidRPr="00801108">
        <w:rPr>
          <w:rFonts w:ascii="Arial" w:hAnsi="Arial" w:cs="Arial"/>
          <w:color w:val="000000" w:themeColor="text1"/>
          <w:sz w:val="20"/>
          <w:szCs w:val="20"/>
          <w:lang w:val="es-ES_tradnl"/>
        </w:rPr>
        <w:t>En los procesos de escogencia de licitación pública, selección abreviada para la adquisición o suministro de bienes y servicios de características técnicas uniformes y común utilización, así como en los de enajenación de bienes del Estado, en los que se use el mecanismos de subasta, de conformidad con el parágrafo 4° del artículo 5° de la Ley 1150 de 2007, modificado por el artículo 5° de la Ley 1882 de 2018, los documentos referentes a la futura contratación o al proponente, no necesarios para la comparación de ofertas, podrán ser objeto de subsanación hasta antes de la fecha prevista en el pliego de condiciones para el inicio de la subasta.</w:t>
      </w:r>
    </w:p>
    <w:p w14:paraId="52FB23E1" w14:textId="718CBE4B" w:rsidR="003144A3" w:rsidRPr="00801108" w:rsidRDefault="003144A3" w:rsidP="00B10353">
      <w:pPr>
        <w:spacing w:after="18"/>
        <w:rPr>
          <w:rFonts w:ascii="Arial" w:hAnsi="Arial" w:cs="Arial"/>
          <w:color w:val="000000" w:themeColor="text1"/>
          <w:sz w:val="20"/>
          <w:szCs w:val="20"/>
        </w:rPr>
      </w:pPr>
    </w:p>
    <w:p w14:paraId="633E0CDC" w14:textId="77777777" w:rsidR="00801108" w:rsidRPr="00801108" w:rsidRDefault="00801108" w:rsidP="00801108">
      <w:pPr>
        <w:autoSpaceDE w:val="0"/>
        <w:autoSpaceDN w:val="0"/>
        <w:adjustRightInd w:val="0"/>
        <w:rPr>
          <w:rFonts w:ascii="Arial" w:hAnsi="Arial" w:cs="Arial"/>
          <w:color w:val="000000" w:themeColor="text1"/>
          <w:sz w:val="20"/>
          <w:szCs w:val="20"/>
          <w:lang w:val="es-CO"/>
        </w:rPr>
      </w:pPr>
    </w:p>
    <w:p w14:paraId="5E804822" w14:textId="4A0D209F" w:rsidR="00801108" w:rsidRPr="00801108" w:rsidRDefault="00801108" w:rsidP="00801108">
      <w:pPr>
        <w:autoSpaceDE w:val="0"/>
        <w:autoSpaceDN w:val="0"/>
        <w:adjustRightInd w:val="0"/>
        <w:rPr>
          <w:rFonts w:ascii="Arial" w:hAnsi="Arial" w:cs="Arial"/>
          <w:color w:val="000000" w:themeColor="text1"/>
          <w:sz w:val="22"/>
          <w:lang w:val="es-CO"/>
        </w:rPr>
      </w:pPr>
      <w:r w:rsidRPr="00801108">
        <w:rPr>
          <w:rFonts w:ascii="Arial" w:hAnsi="Arial" w:cs="Arial"/>
          <w:color w:val="000000" w:themeColor="text1"/>
          <w:sz w:val="22"/>
          <w:lang w:val="es-CO"/>
        </w:rPr>
        <w:t xml:space="preserve">Bogotá D.C., </w:t>
      </w:r>
      <w:r w:rsidRPr="00801108">
        <w:rPr>
          <w:rFonts w:ascii="Arial" w:hAnsi="Arial" w:cs="Arial"/>
          <w:b/>
          <w:bCs/>
          <w:color w:val="000000" w:themeColor="text1"/>
          <w:sz w:val="22"/>
          <w:lang w:val="es-CO"/>
        </w:rPr>
        <w:t xml:space="preserve">04/05/2020 Hora 11:17:2s </w:t>
      </w:r>
    </w:p>
    <w:p w14:paraId="39C90A81" w14:textId="7A5C35FC" w:rsidR="000D6359" w:rsidRPr="00801108" w:rsidRDefault="00801108" w:rsidP="00801108">
      <w:pPr>
        <w:jc w:val="right"/>
        <w:rPr>
          <w:rFonts w:ascii="Arial" w:eastAsia="Calibri" w:hAnsi="Arial" w:cs="Arial"/>
          <w:color w:val="000000" w:themeColor="text1"/>
          <w:sz w:val="22"/>
        </w:rPr>
      </w:pPr>
      <w:r w:rsidRPr="00801108">
        <w:rPr>
          <w:rFonts w:ascii="Arial" w:hAnsi="Arial" w:cs="Arial"/>
          <w:b/>
          <w:bCs/>
          <w:color w:val="000000" w:themeColor="text1"/>
          <w:sz w:val="22"/>
          <w:lang w:val="es-CO"/>
        </w:rPr>
        <w:t>N° Radicado: 2202013000003313</w:t>
      </w:r>
    </w:p>
    <w:p w14:paraId="61FA099F" w14:textId="77777777" w:rsidR="000D6359" w:rsidRPr="00801108" w:rsidRDefault="000D6359" w:rsidP="00B10353">
      <w:pPr>
        <w:rPr>
          <w:rFonts w:ascii="Arial" w:eastAsia="Calibri" w:hAnsi="Arial" w:cs="Arial"/>
          <w:color w:val="000000" w:themeColor="text1"/>
          <w:sz w:val="22"/>
        </w:rPr>
      </w:pPr>
    </w:p>
    <w:p w14:paraId="20147739" w14:textId="22D7F34A" w:rsidR="00BA22A9" w:rsidRPr="00801108" w:rsidRDefault="00BA22A9" w:rsidP="00B10353">
      <w:pPr>
        <w:rPr>
          <w:rFonts w:ascii="Arial" w:eastAsia="Calibri" w:hAnsi="Arial" w:cs="Arial"/>
          <w:color w:val="000000" w:themeColor="text1"/>
          <w:sz w:val="22"/>
        </w:rPr>
      </w:pPr>
      <w:r w:rsidRPr="00801108">
        <w:rPr>
          <w:rFonts w:ascii="Arial" w:eastAsia="Calibri" w:hAnsi="Arial" w:cs="Arial"/>
          <w:color w:val="000000" w:themeColor="text1"/>
          <w:sz w:val="22"/>
        </w:rPr>
        <w:t>Señor</w:t>
      </w:r>
      <w:r w:rsidR="00A90C55" w:rsidRPr="00801108">
        <w:rPr>
          <w:rFonts w:ascii="Arial" w:eastAsia="Calibri" w:hAnsi="Arial" w:cs="Arial"/>
          <w:color w:val="000000" w:themeColor="text1"/>
          <w:sz w:val="22"/>
        </w:rPr>
        <w:t>a</w:t>
      </w:r>
    </w:p>
    <w:p w14:paraId="7C15AD01" w14:textId="709C9FB8" w:rsidR="00875469" w:rsidRPr="00801108" w:rsidRDefault="00A90C55" w:rsidP="00B10353">
      <w:pPr>
        <w:rPr>
          <w:rFonts w:ascii="Arial" w:eastAsia="Calibri" w:hAnsi="Arial" w:cs="Arial"/>
          <w:b/>
          <w:color w:val="000000" w:themeColor="text1"/>
          <w:sz w:val="22"/>
        </w:rPr>
      </w:pPr>
      <w:r w:rsidRPr="00801108">
        <w:rPr>
          <w:rFonts w:ascii="Arial" w:eastAsia="Calibri" w:hAnsi="Arial" w:cs="Arial"/>
          <w:b/>
          <w:color w:val="000000" w:themeColor="text1"/>
          <w:sz w:val="22"/>
        </w:rPr>
        <w:t>Jessica Stefania Gutiérrez Agudelo</w:t>
      </w:r>
    </w:p>
    <w:p w14:paraId="31138D68" w14:textId="3BDD6AF6" w:rsidR="00BA22A9" w:rsidRPr="00801108" w:rsidRDefault="00875469" w:rsidP="00B10353">
      <w:pPr>
        <w:rPr>
          <w:rFonts w:ascii="Arial" w:eastAsia="Calibri" w:hAnsi="Arial" w:cs="Arial"/>
          <w:color w:val="000000" w:themeColor="text1"/>
          <w:sz w:val="22"/>
        </w:rPr>
      </w:pPr>
      <w:r w:rsidRPr="00801108">
        <w:rPr>
          <w:rFonts w:ascii="Arial" w:eastAsia="Calibri" w:hAnsi="Arial" w:cs="Arial"/>
          <w:color w:val="000000" w:themeColor="text1"/>
          <w:sz w:val="22"/>
        </w:rPr>
        <w:t>Ciudad</w:t>
      </w:r>
    </w:p>
    <w:p w14:paraId="1C76F001" w14:textId="4876DFB9" w:rsidR="00765694" w:rsidRPr="00801108" w:rsidRDefault="00765694" w:rsidP="00B10353">
      <w:pPr>
        <w:rPr>
          <w:rFonts w:ascii="Arial" w:eastAsia="Calibri" w:hAnsi="Arial" w:cs="Arial"/>
          <w:color w:val="000000" w:themeColor="text1"/>
          <w:sz w:val="22"/>
        </w:rPr>
      </w:pPr>
    </w:p>
    <w:p w14:paraId="56435A7F" w14:textId="5D566FCB" w:rsidR="00BA22A9" w:rsidRPr="00801108" w:rsidRDefault="00BA22A9" w:rsidP="00B10353">
      <w:pPr>
        <w:jc w:val="center"/>
        <w:rPr>
          <w:rFonts w:ascii="Arial" w:eastAsia="Calibri" w:hAnsi="Arial" w:cs="Arial"/>
          <w:b/>
          <w:color w:val="000000" w:themeColor="text1"/>
          <w:sz w:val="22"/>
        </w:rPr>
      </w:pPr>
      <w:r w:rsidRPr="00801108">
        <w:rPr>
          <w:rFonts w:ascii="Arial" w:eastAsia="Calibri" w:hAnsi="Arial" w:cs="Arial"/>
          <w:b/>
          <w:color w:val="000000" w:themeColor="text1"/>
          <w:sz w:val="22"/>
        </w:rPr>
        <w:t>Concepto C</w:t>
      </w:r>
      <w:r w:rsidR="00FA3B3B" w:rsidRPr="00801108">
        <w:rPr>
          <w:rFonts w:ascii="Arial" w:eastAsia="Calibri" w:hAnsi="Arial" w:cs="Arial"/>
          <w:b/>
          <w:color w:val="000000" w:themeColor="text1"/>
          <w:sz w:val="22"/>
        </w:rPr>
        <w:t xml:space="preserve"> ― </w:t>
      </w:r>
      <w:r w:rsidR="00D737D8" w:rsidRPr="00801108">
        <w:rPr>
          <w:rFonts w:ascii="Arial" w:eastAsia="Calibri" w:hAnsi="Arial" w:cs="Arial"/>
          <w:b/>
          <w:color w:val="000000" w:themeColor="text1"/>
          <w:sz w:val="22"/>
        </w:rPr>
        <w:t>008</w:t>
      </w:r>
      <w:r w:rsidRPr="00801108">
        <w:rPr>
          <w:rFonts w:ascii="Arial" w:eastAsia="Calibri" w:hAnsi="Arial" w:cs="Arial"/>
          <w:b/>
          <w:color w:val="000000" w:themeColor="text1"/>
          <w:sz w:val="22"/>
        </w:rPr>
        <w:t xml:space="preserve"> de 2020</w:t>
      </w:r>
    </w:p>
    <w:p w14:paraId="70F38DC1" w14:textId="7AEBF63B" w:rsidR="00BA22A9" w:rsidRPr="00801108" w:rsidRDefault="00BA22A9" w:rsidP="00B10353">
      <w:pPr>
        <w:rPr>
          <w:rFonts w:ascii="Arial" w:eastAsia="Calibri" w:hAnsi="Arial" w:cs="Arial"/>
          <w:color w:val="000000" w:themeColor="text1"/>
          <w:sz w:val="22"/>
        </w:rPr>
      </w:pPr>
    </w:p>
    <w:p w14:paraId="49523BB4" w14:textId="72C95569" w:rsidR="000D6359" w:rsidRPr="00801108" w:rsidRDefault="000D6359" w:rsidP="00B10353">
      <w:pPr>
        <w:rPr>
          <w:rFonts w:ascii="Arial" w:eastAsia="Calibri" w:hAnsi="Arial" w:cs="Arial"/>
          <w:color w:val="000000" w:themeColor="text1"/>
          <w:sz w:val="22"/>
        </w:rPr>
      </w:pPr>
    </w:p>
    <w:p w14:paraId="30DE8200" w14:textId="77777777" w:rsidR="000D6359" w:rsidRPr="00801108" w:rsidRDefault="000D6359" w:rsidP="00B1035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01108" w:rsidRPr="00801108" w14:paraId="73DD4E85" w14:textId="77777777" w:rsidTr="00B10353">
        <w:tc>
          <w:tcPr>
            <w:tcW w:w="2689" w:type="dxa"/>
            <w:hideMark/>
          </w:tcPr>
          <w:p w14:paraId="4A921A3A" w14:textId="77777777" w:rsidR="00BA22A9" w:rsidRPr="00801108" w:rsidRDefault="00BA22A9" w:rsidP="00BA22A9">
            <w:pPr>
              <w:rPr>
                <w:rFonts w:ascii="Arial" w:eastAsia="Calibri" w:hAnsi="Arial" w:cs="Arial"/>
                <w:color w:val="000000" w:themeColor="text1"/>
                <w:sz w:val="22"/>
              </w:rPr>
            </w:pPr>
            <w:r w:rsidRPr="00801108">
              <w:rPr>
                <w:rFonts w:ascii="Arial" w:eastAsia="Calibri" w:hAnsi="Arial" w:cs="Arial"/>
                <w:b/>
                <w:color w:val="000000" w:themeColor="text1"/>
                <w:sz w:val="22"/>
              </w:rPr>
              <w:t>Temas:</w:t>
            </w:r>
            <w:r w:rsidRPr="00801108">
              <w:rPr>
                <w:rFonts w:ascii="Arial" w:eastAsia="Calibri" w:hAnsi="Arial" w:cs="Arial"/>
                <w:color w:val="000000" w:themeColor="text1"/>
                <w:sz w:val="22"/>
              </w:rPr>
              <w:t xml:space="preserve">              </w:t>
            </w:r>
          </w:p>
        </w:tc>
        <w:tc>
          <w:tcPr>
            <w:tcW w:w="6237" w:type="dxa"/>
            <w:hideMark/>
          </w:tcPr>
          <w:p w14:paraId="6204F950" w14:textId="6BC7DABD" w:rsidR="00BA22A9" w:rsidRPr="00801108" w:rsidRDefault="00A43FA8" w:rsidP="00FB781F">
            <w:pPr>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rPr>
              <w:t xml:space="preserve">PRINCIPIO DE SELECCIÓN OBJETIVA ― Fundamento ― Alcance / SUBSANABILIDAD ― Concepto de unificación ― Aplicación ― Improcedencia ― Circunstancias posteriores al cierre / MECANISMO DE SUBASTA </w:t>
            </w:r>
            <w:r w:rsidR="00ED7D3C">
              <w:rPr>
                <w:rFonts w:ascii="Arial" w:eastAsia="Calibri" w:hAnsi="Arial" w:cs="Arial"/>
                <w:color w:val="000000" w:themeColor="text1"/>
                <w:sz w:val="22"/>
              </w:rPr>
              <w:t>INVERSA</w:t>
            </w:r>
            <w:r w:rsidRPr="00801108">
              <w:rPr>
                <w:rFonts w:ascii="Arial" w:eastAsia="Calibri" w:hAnsi="Arial" w:cs="Arial"/>
                <w:color w:val="000000" w:themeColor="text1"/>
                <w:sz w:val="22"/>
              </w:rPr>
              <w:t>— Regla de subsanabilidad</w:t>
            </w:r>
          </w:p>
        </w:tc>
      </w:tr>
      <w:tr w:rsidR="00A43FA8" w:rsidRPr="00801108" w14:paraId="53A30614" w14:textId="77777777" w:rsidTr="00C313BC">
        <w:trPr>
          <w:trHeight w:val="225"/>
        </w:trPr>
        <w:tc>
          <w:tcPr>
            <w:tcW w:w="2689" w:type="dxa"/>
          </w:tcPr>
          <w:p w14:paraId="0C1A4A11" w14:textId="77777777" w:rsidR="00BA22A9" w:rsidRPr="00801108" w:rsidRDefault="00BA22A9" w:rsidP="00BA22A9">
            <w:pPr>
              <w:rPr>
                <w:rFonts w:ascii="Arial" w:eastAsia="Calibri" w:hAnsi="Arial" w:cs="Arial"/>
                <w:b/>
                <w:color w:val="000000" w:themeColor="text1"/>
                <w:sz w:val="22"/>
              </w:rPr>
            </w:pPr>
            <w:r w:rsidRPr="00801108">
              <w:rPr>
                <w:rFonts w:ascii="Arial" w:eastAsia="Calibri" w:hAnsi="Arial" w:cs="Arial"/>
                <w:b/>
                <w:color w:val="000000" w:themeColor="text1"/>
                <w:sz w:val="22"/>
              </w:rPr>
              <w:t>Radicación:</w:t>
            </w:r>
            <w:r w:rsidRPr="00801108">
              <w:rPr>
                <w:rFonts w:ascii="Arial" w:eastAsia="Calibri" w:hAnsi="Arial" w:cs="Arial"/>
                <w:color w:val="000000" w:themeColor="text1"/>
                <w:sz w:val="22"/>
              </w:rPr>
              <w:t xml:space="preserve">                              </w:t>
            </w:r>
          </w:p>
        </w:tc>
        <w:tc>
          <w:tcPr>
            <w:tcW w:w="6237" w:type="dxa"/>
          </w:tcPr>
          <w:p w14:paraId="67982A7E" w14:textId="4E9C0DF1" w:rsidR="00BA22A9" w:rsidRPr="00801108" w:rsidRDefault="00BA22A9" w:rsidP="00BA22A9">
            <w:pPr>
              <w:jc w:val="both"/>
              <w:rPr>
                <w:rFonts w:ascii="Arial" w:eastAsia="Calibri" w:hAnsi="Arial" w:cs="Arial"/>
                <w:color w:val="000000" w:themeColor="text1"/>
                <w:sz w:val="22"/>
              </w:rPr>
            </w:pPr>
            <w:r w:rsidRPr="00801108">
              <w:rPr>
                <w:rFonts w:ascii="Arial" w:eastAsia="Calibri" w:hAnsi="Arial" w:cs="Arial"/>
                <w:color w:val="000000" w:themeColor="text1"/>
                <w:sz w:val="22"/>
              </w:rPr>
              <w:t>Respuesta consulta # 420201</w:t>
            </w:r>
            <w:r w:rsidR="00A90C55" w:rsidRPr="00801108">
              <w:rPr>
                <w:rFonts w:ascii="Arial" w:eastAsia="Calibri" w:hAnsi="Arial" w:cs="Arial"/>
                <w:color w:val="000000" w:themeColor="text1"/>
                <w:sz w:val="22"/>
              </w:rPr>
              <w:t>2</w:t>
            </w:r>
            <w:r w:rsidRPr="00801108">
              <w:rPr>
                <w:rFonts w:ascii="Arial" w:eastAsia="Calibri" w:hAnsi="Arial" w:cs="Arial"/>
                <w:color w:val="000000" w:themeColor="text1"/>
                <w:sz w:val="22"/>
              </w:rPr>
              <w:t>00000</w:t>
            </w:r>
            <w:r w:rsidR="00A90C55" w:rsidRPr="00801108">
              <w:rPr>
                <w:rFonts w:ascii="Arial" w:eastAsia="Calibri" w:hAnsi="Arial" w:cs="Arial"/>
                <w:color w:val="000000" w:themeColor="text1"/>
                <w:sz w:val="22"/>
              </w:rPr>
              <w:t>2275</w:t>
            </w:r>
            <w:r w:rsidRPr="00801108">
              <w:rPr>
                <w:rFonts w:ascii="Arial" w:eastAsia="Calibri" w:hAnsi="Arial" w:cs="Arial"/>
                <w:color w:val="000000" w:themeColor="text1"/>
                <w:sz w:val="22"/>
              </w:rPr>
              <w:t xml:space="preserve"> </w:t>
            </w:r>
          </w:p>
        </w:tc>
      </w:tr>
    </w:tbl>
    <w:p w14:paraId="3E569C76" w14:textId="632E005B" w:rsidR="000D6359" w:rsidRPr="00801108" w:rsidRDefault="000D6359" w:rsidP="00E549E9">
      <w:pPr>
        <w:spacing w:before="120" w:line="276" w:lineRule="auto"/>
        <w:rPr>
          <w:rFonts w:ascii="Arial" w:eastAsia="Calibri" w:hAnsi="Arial" w:cs="Arial"/>
          <w:color w:val="000000" w:themeColor="text1"/>
          <w:sz w:val="22"/>
        </w:rPr>
      </w:pPr>
    </w:p>
    <w:p w14:paraId="4C4253CA" w14:textId="24C251A3" w:rsidR="00BA22A9" w:rsidRPr="00801108" w:rsidRDefault="00BA22A9" w:rsidP="00E549E9">
      <w:pPr>
        <w:spacing w:before="120" w:line="276" w:lineRule="auto"/>
        <w:rPr>
          <w:rFonts w:ascii="Arial" w:eastAsia="Calibri" w:hAnsi="Arial" w:cs="Arial"/>
          <w:color w:val="000000" w:themeColor="text1"/>
          <w:sz w:val="22"/>
        </w:rPr>
      </w:pPr>
      <w:r w:rsidRPr="00801108">
        <w:rPr>
          <w:rFonts w:ascii="Arial" w:eastAsia="Calibri" w:hAnsi="Arial" w:cs="Arial"/>
          <w:color w:val="000000" w:themeColor="text1"/>
          <w:sz w:val="22"/>
        </w:rPr>
        <w:t>Estimad</w:t>
      </w:r>
      <w:r w:rsidR="00A90C55" w:rsidRPr="00801108">
        <w:rPr>
          <w:rFonts w:ascii="Arial" w:eastAsia="Calibri" w:hAnsi="Arial" w:cs="Arial"/>
          <w:color w:val="000000" w:themeColor="text1"/>
          <w:sz w:val="22"/>
        </w:rPr>
        <w:t>a</w:t>
      </w:r>
      <w:r w:rsidRPr="00801108">
        <w:rPr>
          <w:rFonts w:ascii="Arial" w:eastAsia="Calibri" w:hAnsi="Arial" w:cs="Arial"/>
          <w:color w:val="000000" w:themeColor="text1"/>
          <w:sz w:val="22"/>
        </w:rPr>
        <w:t xml:space="preserve"> señ</w:t>
      </w:r>
      <w:r w:rsidR="003F1E6F" w:rsidRPr="00801108">
        <w:rPr>
          <w:rFonts w:ascii="Arial" w:eastAsia="Calibri" w:hAnsi="Arial" w:cs="Arial"/>
          <w:color w:val="000000" w:themeColor="text1"/>
          <w:sz w:val="22"/>
        </w:rPr>
        <w:t>or</w:t>
      </w:r>
      <w:r w:rsidR="00A90C55" w:rsidRPr="00801108">
        <w:rPr>
          <w:rFonts w:ascii="Arial" w:eastAsia="Calibri" w:hAnsi="Arial" w:cs="Arial"/>
          <w:color w:val="000000" w:themeColor="text1"/>
          <w:sz w:val="22"/>
        </w:rPr>
        <w:t>a</w:t>
      </w:r>
      <w:r w:rsidR="003F1E6F" w:rsidRPr="00801108">
        <w:rPr>
          <w:rFonts w:ascii="Arial" w:eastAsia="Calibri" w:hAnsi="Arial" w:cs="Arial"/>
          <w:color w:val="000000" w:themeColor="text1"/>
          <w:sz w:val="22"/>
        </w:rPr>
        <w:t xml:space="preserve"> </w:t>
      </w:r>
      <w:r w:rsidR="00A90C55" w:rsidRPr="00801108">
        <w:rPr>
          <w:rFonts w:ascii="Arial" w:eastAsia="Calibri" w:hAnsi="Arial" w:cs="Arial"/>
          <w:color w:val="000000" w:themeColor="text1"/>
          <w:sz w:val="22"/>
        </w:rPr>
        <w:t>Gutiérrez</w:t>
      </w:r>
    </w:p>
    <w:p w14:paraId="7E0DDA0E" w14:textId="77777777" w:rsidR="00D2522E" w:rsidRPr="00801108" w:rsidRDefault="00D2522E" w:rsidP="00D2522E">
      <w:pPr>
        <w:spacing w:line="276" w:lineRule="auto"/>
        <w:jc w:val="both"/>
        <w:rPr>
          <w:rFonts w:ascii="Arial" w:eastAsia="Calibri" w:hAnsi="Arial" w:cs="Arial"/>
          <w:color w:val="000000" w:themeColor="text1"/>
          <w:sz w:val="22"/>
        </w:rPr>
      </w:pPr>
    </w:p>
    <w:p w14:paraId="27953E95" w14:textId="43F896DF" w:rsidR="00BA22A9" w:rsidRPr="00801108" w:rsidRDefault="00BA22A9" w:rsidP="00D2522E">
      <w:pPr>
        <w:spacing w:line="276" w:lineRule="auto"/>
        <w:jc w:val="both"/>
        <w:rPr>
          <w:rFonts w:ascii="Arial" w:eastAsia="Calibri" w:hAnsi="Arial" w:cs="Arial"/>
          <w:color w:val="000000" w:themeColor="text1"/>
          <w:sz w:val="22"/>
        </w:rPr>
      </w:pPr>
      <w:r w:rsidRPr="00801108">
        <w:rPr>
          <w:rFonts w:ascii="Arial" w:eastAsia="Calibri" w:hAnsi="Arial" w:cs="Arial"/>
          <w:color w:val="000000" w:themeColor="text1"/>
          <w:sz w:val="22"/>
        </w:rPr>
        <w:t>La Agencia Nacional de Contratación Pública — Colombia Compra Eficiente responde su</w:t>
      </w:r>
      <w:r w:rsidR="00017D43" w:rsidRPr="00801108">
        <w:rPr>
          <w:rFonts w:ascii="Arial" w:eastAsia="Calibri" w:hAnsi="Arial" w:cs="Arial"/>
          <w:color w:val="000000" w:themeColor="text1"/>
          <w:sz w:val="22"/>
        </w:rPr>
        <w:t>s</w:t>
      </w:r>
      <w:r w:rsidRPr="00801108">
        <w:rPr>
          <w:rFonts w:ascii="Arial" w:eastAsia="Calibri" w:hAnsi="Arial" w:cs="Arial"/>
          <w:color w:val="000000" w:themeColor="text1"/>
          <w:sz w:val="22"/>
        </w:rPr>
        <w:t xml:space="preserve"> consulta</w:t>
      </w:r>
      <w:r w:rsidR="00A219D9" w:rsidRPr="00801108">
        <w:rPr>
          <w:rFonts w:ascii="Arial" w:eastAsia="Calibri" w:hAnsi="Arial" w:cs="Arial"/>
          <w:color w:val="000000" w:themeColor="text1"/>
          <w:sz w:val="22"/>
        </w:rPr>
        <w:t>s</w:t>
      </w:r>
      <w:r w:rsidR="00B4236B" w:rsidRPr="00801108">
        <w:rPr>
          <w:rFonts w:ascii="Arial" w:eastAsia="Calibri" w:hAnsi="Arial" w:cs="Arial"/>
          <w:color w:val="000000" w:themeColor="text1"/>
          <w:sz w:val="22"/>
        </w:rPr>
        <w:t xml:space="preserve"> </w:t>
      </w:r>
      <w:r w:rsidRPr="00801108">
        <w:rPr>
          <w:rFonts w:ascii="Arial" w:eastAsia="Calibri" w:hAnsi="Arial" w:cs="Arial"/>
          <w:color w:val="000000" w:themeColor="text1"/>
          <w:sz w:val="22"/>
        </w:rPr>
        <w:t>con radicado</w:t>
      </w:r>
      <w:r w:rsidR="00B4236B" w:rsidRPr="00801108">
        <w:rPr>
          <w:rFonts w:ascii="Arial" w:eastAsia="Calibri" w:hAnsi="Arial" w:cs="Arial"/>
          <w:color w:val="000000" w:themeColor="text1"/>
          <w:sz w:val="22"/>
        </w:rPr>
        <w:t>s</w:t>
      </w:r>
      <w:r w:rsidRPr="00801108">
        <w:rPr>
          <w:rFonts w:ascii="Arial" w:eastAsia="Calibri" w:hAnsi="Arial" w:cs="Arial"/>
          <w:color w:val="000000" w:themeColor="text1"/>
          <w:sz w:val="22"/>
        </w:rPr>
        <w:t xml:space="preserve"> No. </w:t>
      </w:r>
      <w:r w:rsidR="00A90C55" w:rsidRPr="00801108">
        <w:rPr>
          <w:rFonts w:ascii="Arial" w:eastAsia="Calibri" w:hAnsi="Arial" w:cs="Arial"/>
          <w:color w:val="000000" w:themeColor="text1"/>
          <w:sz w:val="22"/>
        </w:rPr>
        <w:t xml:space="preserve">4202012000002275 </w:t>
      </w:r>
      <w:r w:rsidRPr="00801108">
        <w:rPr>
          <w:rFonts w:ascii="Arial" w:eastAsia="Calibri" w:hAnsi="Arial" w:cs="Arial"/>
          <w:color w:val="000000" w:themeColor="text1"/>
          <w:sz w:val="22"/>
        </w:rPr>
        <w:t>de</w:t>
      </w:r>
      <w:r w:rsidR="007E6773" w:rsidRPr="00801108">
        <w:rPr>
          <w:rFonts w:ascii="Arial" w:eastAsia="Calibri" w:hAnsi="Arial" w:cs="Arial"/>
          <w:color w:val="000000" w:themeColor="text1"/>
          <w:sz w:val="22"/>
        </w:rPr>
        <w:t xml:space="preserve"> </w:t>
      </w:r>
      <w:r w:rsidR="00A90C55" w:rsidRPr="00801108">
        <w:rPr>
          <w:rFonts w:ascii="Arial" w:eastAsia="Calibri" w:hAnsi="Arial" w:cs="Arial"/>
          <w:color w:val="000000" w:themeColor="text1"/>
          <w:sz w:val="22"/>
        </w:rPr>
        <w:t>30</w:t>
      </w:r>
      <w:r w:rsidRPr="00801108">
        <w:rPr>
          <w:rFonts w:ascii="Arial" w:eastAsia="Calibri" w:hAnsi="Arial" w:cs="Arial"/>
          <w:color w:val="000000" w:themeColor="text1"/>
          <w:sz w:val="22"/>
        </w:rPr>
        <w:t xml:space="preserve"> de </w:t>
      </w:r>
      <w:r w:rsidR="00A90C55" w:rsidRPr="00801108">
        <w:rPr>
          <w:rFonts w:ascii="Arial" w:eastAsia="Calibri" w:hAnsi="Arial" w:cs="Arial"/>
          <w:color w:val="000000" w:themeColor="text1"/>
          <w:sz w:val="22"/>
        </w:rPr>
        <w:t>marzo</w:t>
      </w:r>
      <w:r w:rsidRPr="00801108">
        <w:rPr>
          <w:rFonts w:ascii="Arial" w:eastAsia="Calibri" w:hAnsi="Arial" w:cs="Arial"/>
          <w:color w:val="000000" w:themeColor="text1"/>
          <w:sz w:val="22"/>
        </w:rPr>
        <w:t xml:space="preserve"> de 2020</w:t>
      </w:r>
      <w:r w:rsidR="00C25D13" w:rsidRPr="00801108">
        <w:rPr>
          <w:rFonts w:ascii="Arial" w:eastAsia="Calibri" w:hAnsi="Arial" w:cs="Arial"/>
          <w:color w:val="000000" w:themeColor="text1"/>
          <w:sz w:val="22"/>
        </w:rPr>
        <w:t>, en ejercicio de la competencia otorgada por el numeral</w:t>
      </w:r>
      <w:r w:rsidR="003A6C1F" w:rsidRPr="00801108">
        <w:rPr>
          <w:rFonts w:ascii="Arial" w:eastAsia="Calibri" w:hAnsi="Arial" w:cs="Arial"/>
          <w:color w:val="000000" w:themeColor="text1"/>
          <w:sz w:val="22"/>
        </w:rPr>
        <w:t xml:space="preserve"> 5 del </w:t>
      </w:r>
      <w:r w:rsidR="00F55B6E" w:rsidRPr="00801108">
        <w:rPr>
          <w:rFonts w:ascii="Arial" w:eastAsia="Calibri" w:hAnsi="Arial" w:cs="Arial"/>
          <w:color w:val="000000" w:themeColor="text1"/>
          <w:sz w:val="22"/>
        </w:rPr>
        <w:t xml:space="preserve">artículo </w:t>
      </w:r>
      <w:r w:rsidR="00AF2089" w:rsidRPr="00801108">
        <w:rPr>
          <w:rFonts w:ascii="Arial" w:eastAsia="Calibri" w:hAnsi="Arial" w:cs="Arial"/>
          <w:color w:val="000000" w:themeColor="text1"/>
          <w:sz w:val="22"/>
        </w:rPr>
        <w:t xml:space="preserve">3 y </w:t>
      </w:r>
      <w:r w:rsidR="00BB4E71" w:rsidRPr="00801108">
        <w:rPr>
          <w:rFonts w:ascii="Arial" w:eastAsia="Calibri" w:hAnsi="Arial" w:cs="Arial"/>
          <w:color w:val="000000" w:themeColor="text1"/>
          <w:sz w:val="22"/>
        </w:rPr>
        <w:t xml:space="preserve">por </w:t>
      </w:r>
      <w:r w:rsidR="00AF2089" w:rsidRPr="00801108">
        <w:rPr>
          <w:rFonts w:ascii="Arial" w:eastAsia="Calibri" w:hAnsi="Arial" w:cs="Arial"/>
          <w:color w:val="000000" w:themeColor="text1"/>
          <w:sz w:val="22"/>
        </w:rPr>
        <w:t>el numeral 8 del artículo</w:t>
      </w:r>
      <w:r w:rsidR="0038689A" w:rsidRPr="00801108">
        <w:rPr>
          <w:rFonts w:ascii="Arial" w:eastAsia="Calibri" w:hAnsi="Arial" w:cs="Arial"/>
          <w:color w:val="000000" w:themeColor="text1"/>
          <w:sz w:val="22"/>
        </w:rPr>
        <w:t xml:space="preserve"> 11</w:t>
      </w:r>
      <w:r w:rsidR="005C5EB0" w:rsidRPr="00801108">
        <w:rPr>
          <w:rFonts w:ascii="Arial" w:eastAsia="Calibri" w:hAnsi="Arial" w:cs="Arial"/>
          <w:color w:val="000000" w:themeColor="text1"/>
          <w:sz w:val="22"/>
        </w:rPr>
        <w:t xml:space="preserve"> del Decreto 4170 de 2011.</w:t>
      </w:r>
    </w:p>
    <w:p w14:paraId="0E342EE3" w14:textId="4CD3BB39" w:rsidR="00A90C55" w:rsidRDefault="00A90C55" w:rsidP="00610361">
      <w:pPr>
        <w:spacing w:line="276" w:lineRule="auto"/>
        <w:jc w:val="both"/>
        <w:rPr>
          <w:rFonts w:ascii="Arial" w:eastAsia="Calibri" w:hAnsi="Arial" w:cs="Arial"/>
          <w:color w:val="000000" w:themeColor="text1"/>
          <w:sz w:val="22"/>
        </w:rPr>
      </w:pPr>
    </w:p>
    <w:p w14:paraId="71C24A41" w14:textId="45A78391" w:rsidR="0088138E" w:rsidRDefault="0088138E" w:rsidP="00610361">
      <w:pPr>
        <w:spacing w:line="276" w:lineRule="auto"/>
        <w:jc w:val="both"/>
        <w:rPr>
          <w:rFonts w:ascii="Arial" w:eastAsia="Calibri" w:hAnsi="Arial" w:cs="Arial"/>
          <w:color w:val="000000" w:themeColor="text1"/>
          <w:sz w:val="22"/>
        </w:rPr>
      </w:pPr>
    </w:p>
    <w:p w14:paraId="466F3781" w14:textId="77777777" w:rsidR="0088138E" w:rsidRPr="00801108" w:rsidRDefault="0088138E" w:rsidP="00610361">
      <w:pPr>
        <w:spacing w:line="276" w:lineRule="auto"/>
        <w:jc w:val="both"/>
        <w:rPr>
          <w:rFonts w:ascii="Arial" w:eastAsia="Calibri" w:hAnsi="Arial" w:cs="Arial"/>
          <w:color w:val="000000" w:themeColor="text1"/>
          <w:sz w:val="22"/>
        </w:rPr>
      </w:pPr>
    </w:p>
    <w:p w14:paraId="238E9792" w14:textId="77777777" w:rsidR="00BA22A9" w:rsidRPr="00801108" w:rsidRDefault="00BA22A9" w:rsidP="006B4A03">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801108">
        <w:rPr>
          <w:rFonts w:ascii="Arial" w:eastAsia="Calibri" w:hAnsi="Arial" w:cs="Arial"/>
          <w:b/>
          <w:color w:val="000000" w:themeColor="text1"/>
          <w:sz w:val="22"/>
        </w:rPr>
        <w:t>Problemas planteados</w:t>
      </w:r>
    </w:p>
    <w:p w14:paraId="7399FB97" w14:textId="61F94BDF" w:rsidR="00EE22BA" w:rsidRPr="00801108" w:rsidRDefault="007E6773" w:rsidP="00A90C55">
      <w:pPr>
        <w:spacing w:before="120" w:line="276" w:lineRule="auto"/>
        <w:jc w:val="both"/>
        <w:rPr>
          <w:rFonts w:ascii="Arial" w:eastAsia="Calibri" w:hAnsi="Arial" w:cs="Arial"/>
          <w:color w:val="000000" w:themeColor="text1"/>
          <w:sz w:val="21"/>
          <w:szCs w:val="21"/>
        </w:rPr>
      </w:pPr>
      <w:r w:rsidRPr="00801108">
        <w:rPr>
          <w:rFonts w:ascii="Arial" w:eastAsia="Calibri" w:hAnsi="Arial" w:cs="Arial"/>
          <w:color w:val="000000" w:themeColor="text1"/>
          <w:sz w:val="22"/>
        </w:rPr>
        <w:t xml:space="preserve">Usted plantea </w:t>
      </w:r>
      <w:r w:rsidR="00A90C55" w:rsidRPr="00801108">
        <w:rPr>
          <w:rFonts w:ascii="Arial" w:eastAsia="Calibri" w:hAnsi="Arial" w:cs="Arial"/>
          <w:color w:val="000000" w:themeColor="text1"/>
          <w:sz w:val="22"/>
        </w:rPr>
        <w:t xml:space="preserve">el </w:t>
      </w:r>
      <w:r w:rsidRPr="00801108">
        <w:rPr>
          <w:rFonts w:ascii="Arial" w:eastAsia="Calibri" w:hAnsi="Arial" w:cs="Arial"/>
          <w:color w:val="000000" w:themeColor="text1"/>
          <w:sz w:val="22"/>
        </w:rPr>
        <w:t>siguiente interrogante:</w:t>
      </w:r>
      <w:r w:rsidR="00A90C55" w:rsidRPr="00801108">
        <w:rPr>
          <w:rFonts w:ascii="Arial" w:eastAsia="Calibri" w:hAnsi="Arial" w:cs="Arial"/>
          <w:color w:val="000000" w:themeColor="text1"/>
          <w:sz w:val="22"/>
        </w:rPr>
        <w:t xml:space="preserve"> «</w:t>
      </w:r>
      <w:r w:rsidR="00037BB7" w:rsidRPr="00801108">
        <w:rPr>
          <w:rFonts w:ascii="Arial" w:eastAsia="Calibri" w:hAnsi="Arial" w:cs="Arial"/>
          <w:color w:val="000000" w:themeColor="text1"/>
          <w:sz w:val="22"/>
        </w:rPr>
        <w:t>Hasta qué etapa tiene los proponentes para subsanar sus propuestas en un proceso de selección abreviada de subasta inversa</w:t>
      </w:r>
      <w:r w:rsidR="00A90C55" w:rsidRPr="00801108">
        <w:rPr>
          <w:rFonts w:ascii="Arial" w:eastAsia="Calibri" w:hAnsi="Arial" w:cs="Arial"/>
          <w:color w:val="000000" w:themeColor="text1"/>
          <w:sz w:val="22"/>
        </w:rPr>
        <w:t>?».</w:t>
      </w:r>
    </w:p>
    <w:p w14:paraId="4A33A6E6" w14:textId="77777777" w:rsidR="00EE22BA" w:rsidRPr="00801108" w:rsidRDefault="00EE22BA" w:rsidP="009A2449">
      <w:pPr>
        <w:spacing w:line="276" w:lineRule="auto"/>
        <w:ind w:left="709" w:right="709"/>
        <w:jc w:val="both"/>
        <w:rPr>
          <w:rFonts w:ascii="Arial" w:eastAsia="Calibri" w:hAnsi="Arial" w:cs="Arial"/>
          <w:color w:val="000000" w:themeColor="text1"/>
          <w:sz w:val="21"/>
          <w:szCs w:val="21"/>
        </w:rPr>
      </w:pPr>
    </w:p>
    <w:p w14:paraId="6D620AD0" w14:textId="77777777" w:rsidR="00BA22A9" w:rsidRPr="00801108"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801108">
        <w:rPr>
          <w:rFonts w:ascii="Arial" w:eastAsia="Calibri" w:hAnsi="Arial" w:cs="Arial"/>
          <w:b/>
          <w:color w:val="000000" w:themeColor="text1"/>
          <w:sz w:val="22"/>
        </w:rPr>
        <w:t>Consideraciones</w:t>
      </w:r>
    </w:p>
    <w:p w14:paraId="272943D1" w14:textId="23FC15B7" w:rsidR="00484856" w:rsidRPr="00801108" w:rsidRDefault="00484856" w:rsidP="00B10353">
      <w:pPr>
        <w:spacing w:line="276" w:lineRule="auto"/>
        <w:jc w:val="both"/>
        <w:rPr>
          <w:rFonts w:ascii="Arial" w:eastAsia="Calibri" w:hAnsi="Arial" w:cs="Arial"/>
          <w:color w:val="000000" w:themeColor="text1"/>
          <w:sz w:val="22"/>
        </w:rPr>
      </w:pPr>
    </w:p>
    <w:p w14:paraId="02D60E6A" w14:textId="22115346" w:rsidR="00A90C55" w:rsidRPr="00801108" w:rsidRDefault="00504CFE" w:rsidP="00A90C55">
      <w:pPr>
        <w:spacing w:line="276" w:lineRule="auto"/>
        <w:jc w:val="both"/>
        <w:rPr>
          <w:rFonts w:ascii="Arial" w:eastAsia="Calibri" w:hAnsi="Arial" w:cs="Arial"/>
          <w:color w:val="000000" w:themeColor="text1"/>
          <w:sz w:val="22"/>
          <w:lang w:val="es-ES_tradnl"/>
        </w:rPr>
      </w:pPr>
      <w:r w:rsidRPr="00801108">
        <w:rPr>
          <w:rFonts w:ascii="Arial" w:hAnsi="Arial" w:cs="Arial"/>
          <w:color w:val="000000" w:themeColor="text1"/>
          <w:sz w:val="22"/>
        </w:rPr>
        <w:t xml:space="preserve">Para responder </w:t>
      </w:r>
      <w:r w:rsidR="00666303" w:rsidRPr="00801108">
        <w:rPr>
          <w:rFonts w:ascii="Arial" w:hAnsi="Arial" w:cs="Arial"/>
          <w:color w:val="000000" w:themeColor="text1"/>
          <w:sz w:val="22"/>
        </w:rPr>
        <w:t>el</w:t>
      </w:r>
      <w:r w:rsidRPr="00801108">
        <w:rPr>
          <w:rFonts w:ascii="Arial" w:hAnsi="Arial" w:cs="Arial"/>
          <w:color w:val="000000" w:themeColor="text1"/>
          <w:sz w:val="22"/>
        </w:rPr>
        <w:t xml:space="preserve"> interrogante</w:t>
      </w:r>
      <w:r w:rsidR="00702675" w:rsidRPr="00801108">
        <w:rPr>
          <w:rFonts w:ascii="Arial" w:hAnsi="Arial" w:cs="Arial"/>
          <w:color w:val="000000" w:themeColor="text1"/>
          <w:sz w:val="22"/>
        </w:rPr>
        <w:t xml:space="preserve"> s</w:t>
      </w:r>
      <w:r w:rsidRPr="00801108">
        <w:rPr>
          <w:rFonts w:ascii="Arial" w:hAnsi="Arial" w:cs="Arial"/>
          <w:color w:val="000000" w:themeColor="text1"/>
          <w:sz w:val="22"/>
        </w:rPr>
        <w:t xml:space="preserve">e </w:t>
      </w:r>
      <w:r w:rsidR="00731CBB" w:rsidRPr="00801108">
        <w:rPr>
          <w:rFonts w:ascii="Arial" w:hAnsi="Arial" w:cs="Arial"/>
          <w:color w:val="000000" w:themeColor="text1"/>
          <w:sz w:val="22"/>
        </w:rPr>
        <w:t>realizarán</w:t>
      </w:r>
      <w:r w:rsidRPr="00801108">
        <w:rPr>
          <w:rFonts w:ascii="Arial" w:hAnsi="Arial" w:cs="Arial"/>
          <w:color w:val="000000" w:themeColor="text1"/>
          <w:sz w:val="22"/>
        </w:rPr>
        <w:t xml:space="preserve"> algunas consideraciones en torno a</w:t>
      </w:r>
      <w:r w:rsidR="001A6036" w:rsidRPr="00801108">
        <w:rPr>
          <w:rFonts w:ascii="Arial" w:hAnsi="Arial" w:cs="Arial"/>
          <w:color w:val="000000" w:themeColor="text1"/>
          <w:sz w:val="22"/>
        </w:rPr>
        <w:t>:</w:t>
      </w:r>
      <w:r w:rsidRPr="00801108">
        <w:rPr>
          <w:rFonts w:ascii="Arial" w:hAnsi="Arial" w:cs="Arial"/>
          <w:color w:val="000000" w:themeColor="text1"/>
          <w:sz w:val="22"/>
        </w:rPr>
        <w:t xml:space="preserve"> </w:t>
      </w:r>
      <w:r w:rsidR="007B2571" w:rsidRPr="00801108">
        <w:rPr>
          <w:rFonts w:ascii="Arial" w:hAnsi="Arial" w:cs="Arial"/>
          <w:color w:val="000000" w:themeColor="text1"/>
          <w:sz w:val="22"/>
        </w:rPr>
        <w:t>i)</w:t>
      </w:r>
      <w:r w:rsidR="007027E7" w:rsidRPr="00801108">
        <w:rPr>
          <w:rFonts w:ascii="Arial" w:hAnsi="Arial" w:cs="Arial"/>
          <w:color w:val="000000" w:themeColor="text1"/>
          <w:sz w:val="22"/>
        </w:rPr>
        <w:t xml:space="preserve"> </w:t>
      </w:r>
      <w:r w:rsidR="00666303" w:rsidRPr="00801108">
        <w:rPr>
          <w:rFonts w:ascii="Arial" w:hAnsi="Arial" w:cs="Arial"/>
          <w:color w:val="000000" w:themeColor="text1"/>
          <w:sz w:val="22"/>
        </w:rPr>
        <w:t>El principio de selección objetiva en la contratación estatal</w:t>
      </w:r>
      <w:r w:rsidR="00C227EF" w:rsidRPr="00801108">
        <w:rPr>
          <w:rFonts w:ascii="Arial" w:hAnsi="Arial" w:cs="Arial"/>
          <w:color w:val="000000" w:themeColor="text1"/>
          <w:sz w:val="22"/>
        </w:rPr>
        <w:t>; ii)</w:t>
      </w:r>
      <w:r w:rsidR="00E67609" w:rsidRPr="00801108">
        <w:rPr>
          <w:rFonts w:ascii="Arial" w:hAnsi="Arial" w:cs="Arial"/>
          <w:color w:val="000000" w:themeColor="text1"/>
          <w:sz w:val="22"/>
        </w:rPr>
        <w:t xml:space="preserve"> </w:t>
      </w:r>
      <w:r w:rsidR="00666303" w:rsidRPr="00801108">
        <w:rPr>
          <w:rFonts w:ascii="Arial" w:eastAsia="Calibri" w:hAnsi="Arial" w:cs="Arial"/>
          <w:color w:val="000000" w:themeColor="text1"/>
          <w:sz w:val="22"/>
          <w:lang w:val="es-ES_tradnl"/>
        </w:rPr>
        <w:t>el alcance de la regla de la subsanabilidad</w:t>
      </w:r>
      <w:r w:rsidR="00DC63AA" w:rsidRPr="00801108">
        <w:rPr>
          <w:rFonts w:ascii="Arial" w:eastAsia="Calibri" w:hAnsi="Arial" w:cs="Arial"/>
          <w:color w:val="000000" w:themeColor="text1"/>
          <w:sz w:val="22"/>
          <w:lang w:val="es-ES_tradnl"/>
        </w:rPr>
        <w:t xml:space="preserve">; </w:t>
      </w:r>
      <w:r w:rsidR="00060FA9" w:rsidRPr="00801108">
        <w:rPr>
          <w:rFonts w:ascii="Arial" w:eastAsia="Calibri" w:hAnsi="Arial" w:cs="Arial"/>
          <w:color w:val="000000" w:themeColor="text1"/>
          <w:sz w:val="22"/>
          <w:lang w:val="es-ES_tradnl"/>
        </w:rPr>
        <w:t>y iii) subsanabilidad en procedimientos de subasta</w:t>
      </w:r>
      <w:r w:rsidR="00666303" w:rsidRPr="00801108">
        <w:rPr>
          <w:rFonts w:ascii="Arial" w:eastAsia="Calibri" w:hAnsi="Arial" w:cs="Arial"/>
          <w:color w:val="000000" w:themeColor="text1"/>
          <w:sz w:val="22"/>
          <w:lang w:val="es-ES_tradnl"/>
        </w:rPr>
        <w:t>.</w:t>
      </w:r>
      <w:r w:rsidR="00A90C55" w:rsidRPr="00801108">
        <w:rPr>
          <w:rFonts w:ascii="Arial" w:eastAsia="Calibri" w:hAnsi="Arial" w:cs="Arial"/>
          <w:color w:val="000000" w:themeColor="text1"/>
          <w:sz w:val="22"/>
          <w:lang w:val="es-ES_tradnl"/>
        </w:rPr>
        <w:t xml:space="preserve"> Se r</w:t>
      </w:r>
      <w:r w:rsidR="00F443D6" w:rsidRPr="00801108">
        <w:rPr>
          <w:rFonts w:ascii="Arial" w:eastAsia="Calibri" w:hAnsi="Arial" w:cs="Arial"/>
          <w:color w:val="000000" w:themeColor="text1"/>
          <w:sz w:val="22"/>
          <w:lang w:val="es-ES_tradnl"/>
        </w:rPr>
        <w:t>atificará</w:t>
      </w:r>
      <w:r w:rsidR="00A90C55" w:rsidRPr="00801108">
        <w:rPr>
          <w:rFonts w:ascii="Arial" w:eastAsia="Calibri" w:hAnsi="Arial" w:cs="Arial"/>
          <w:color w:val="000000" w:themeColor="text1"/>
          <w:sz w:val="22"/>
          <w:lang w:val="es-ES_tradnl"/>
        </w:rPr>
        <w:t xml:space="preserve"> la tesis expuesta en los conceptos con radicado No. 4201913000006471 del 28 de octubre de 2019, 4201912000006711 del 12 de noviembre de 2019</w:t>
      </w:r>
      <w:r w:rsidR="00F443D6" w:rsidRPr="00801108">
        <w:rPr>
          <w:rFonts w:ascii="Arial" w:eastAsia="Calibri" w:hAnsi="Arial" w:cs="Arial"/>
          <w:color w:val="000000" w:themeColor="text1"/>
          <w:sz w:val="22"/>
          <w:lang w:val="es-ES_tradnl"/>
        </w:rPr>
        <w:t>,</w:t>
      </w:r>
      <w:r w:rsidR="00A90C55" w:rsidRPr="00801108">
        <w:rPr>
          <w:rFonts w:ascii="Arial" w:eastAsia="Calibri" w:hAnsi="Arial" w:cs="Arial"/>
          <w:color w:val="000000" w:themeColor="text1"/>
          <w:sz w:val="22"/>
          <w:lang w:val="es-ES_tradnl"/>
        </w:rPr>
        <w:t xml:space="preserve"> 4201912000006496 del 15 de noviembre de 2019</w:t>
      </w:r>
      <w:r w:rsidR="00F443D6" w:rsidRPr="00801108">
        <w:rPr>
          <w:rFonts w:ascii="Arial" w:eastAsia="Calibri" w:hAnsi="Arial" w:cs="Arial"/>
          <w:color w:val="000000" w:themeColor="text1"/>
          <w:sz w:val="22"/>
          <w:lang w:val="es-ES_tradnl"/>
        </w:rPr>
        <w:t xml:space="preserve">, CU— 060 de 16 de enero de 2020, </w:t>
      </w:r>
      <w:r w:rsidR="00F443D6" w:rsidRPr="00801108">
        <w:rPr>
          <w:rFonts w:ascii="Arial" w:eastAsia="Calibri" w:hAnsi="Arial" w:cs="Arial"/>
          <w:color w:val="000000" w:themeColor="text1"/>
          <w:sz w:val="22"/>
        </w:rPr>
        <w:t xml:space="preserve">C — 082 de 27 de enero de 2020 y C — 127 de 12 de febrero de 2020. </w:t>
      </w:r>
      <w:r w:rsidR="00F443D6" w:rsidRPr="00801108">
        <w:rPr>
          <w:rFonts w:ascii="Arial" w:eastAsia="Calibri" w:hAnsi="Arial" w:cs="Arial"/>
          <w:color w:val="000000" w:themeColor="text1"/>
          <w:sz w:val="22"/>
          <w:lang w:val="es-ES_tradnl"/>
        </w:rPr>
        <w:t xml:space="preserve"> </w:t>
      </w:r>
    </w:p>
    <w:p w14:paraId="4DA33E7E" w14:textId="77777777" w:rsidR="008F6ABB" w:rsidRPr="00801108" w:rsidRDefault="008F6ABB" w:rsidP="00A90C55">
      <w:pPr>
        <w:spacing w:line="276" w:lineRule="auto"/>
        <w:jc w:val="both"/>
        <w:rPr>
          <w:rFonts w:ascii="Arial" w:eastAsia="Calibri" w:hAnsi="Arial" w:cs="Arial"/>
          <w:color w:val="000000" w:themeColor="text1"/>
          <w:sz w:val="22"/>
          <w:lang w:val="es-ES_tradnl"/>
        </w:rPr>
      </w:pPr>
    </w:p>
    <w:p w14:paraId="6789CF2D" w14:textId="77777777" w:rsidR="00A90C55" w:rsidRPr="00801108" w:rsidRDefault="00A90C55" w:rsidP="00A90C55">
      <w:pPr>
        <w:spacing w:line="276" w:lineRule="auto"/>
        <w:jc w:val="both"/>
        <w:rPr>
          <w:rFonts w:ascii="Arial" w:eastAsia="Calibri" w:hAnsi="Arial" w:cs="Arial"/>
          <w:b/>
          <w:bCs/>
          <w:color w:val="000000" w:themeColor="text1"/>
          <w:sz w:val="22"/>
          <w:lang w:val="es-ES_tradnl"/>
        </w:rPr>
      </w:pPr>
      <w:r w:rsidRPr="00801108">
        <w:rPr>
          <w:rFonts w:ascii="Arial" w:eastAsia="Calibri" w:hAnsi="Arial" w:cs="Arial"/>
          <w:b/>
          <w:bCs/>
          <w:color w:val="000000" w:themeColor="text1"/>
          <w:sz w:val="22"/>
          <w:lang w:val="es-ES_tradnl"/>
        </w:rPr>
        <w:t>2.1. Principio de selección objetiva en la contratación estatal</w:t>
      </w:r>
    </w:p>
    <w:p w14:paraId="2CDDDA79" w14:textId="77777777" w:rsidR="00A90C55" w:rsidRPr="00801108" w:rsidRDefault="00A90C55" w:rsidP="00A90C55">
      <w:pPr>
        <w:spacing w:line="276" w:lineRule="auto"/>
        <w:jc w:val="both"/>
        <w:rPr>
          <w:rFonts w:ascii="Arial" w:eastAsia="Calibri" w:hAnsi="Arial" w:cs="Arial"/>
          <w:color w:val="000000" w:themeColor="text1"/>
          <w:sz w:val="22"/>
          <w:lang w:val="es-ES_tradnl"/>
        </w:rPr>
      </w:pPr>
    </w:p>
    <w:p w14:paraId="561327BA" w14:textId="77777777" w:rsidR="00A90C55" w:rsidRPr="00801108" w:rsidRDefault="00A90C55" w:rsidP="00A90C55">
      <w:pPr>
        <w:spacing w:line="276" w:lineRule="auto"/>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t xml:space="preserve">Uno de los principios transversales de los procedimientos de selección es el de </w:t>
      </w:r>
      <w:r w:rsidRPr="00801108">
        <w:rPr>
          <w:rFonts w:ascii="Arial" w:eastAsia="Calibri" w:hAnsi="Arial" w:cs="Arial"/>
          <w:i/>
          <w:iCs/>
          <w:color w:val="000000" w:themeColor="text1"/>
          <w:sz w:val="22"/>
          <w:lang w:val="es-ES_tradnl"/>
        </w:rPr>
        <w:t>selección objetiva</w:t>
      </w:r>
      <w:r w:rsidRPr="00801108">
        <w:rPr>
          <w:rFonts w:ascii="Arial" w:eastAsia="Calibri" w:hAnsi="Arial" w:cs="Arial"/>
          <w:color w:val="000000" w:themeColor="text1"/>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37E7E742" w14:textId="77777777" w:rsidR="00A90C55" w:rsidRPr="00801108" w:rsidRDefault="00A90C55" w:rsidP="00A90C55">
      <w:pPr>
        <w:spacing w:before="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t>Si bien dentro de la historia de la contratación pública en Colombia, se vislumbran antecedentes normativos que consagraban dicho principio</w:t>
      </w:r>
      <w:r w:rsidRPr="00801108">
        <w:rPr>
          <w:rStyle w:val="Refdenotaalpie"/>
          <w:rFonts w:ascii="Arial" w:eastAsia="Calibri" w:hAnsi="Arial" w:cs="Arial"/>
          <w:color w:val="000000" w:themeColor="text1"/>
          <w:sz w:val="22"/>
          <w:lang w:val="es-ES_tradnl"/>
        </w:rPr>
        <w:footnoteReference w:id="1"/>
      </w:r>
      <w:r w:rsidRPr="00801108">
        <w:rPr>
          <w:rFonts w:ascii="Arial" w:eastAsia="Calibri" w:hAnsi="Arial" w:cs="Arial"/>
          <w:color w:val="000000" w:themeColor="text1"/>
          <w:sz w:val="22"/>
          <w:lang w:val="es-ES_tradnl"/>
        </w:rPr>
        <w:t>, en la actualidad la disposición legal que lo prevé de manera más clara y contundente es el artículo 5 de la Ley 1150 de 2007, modificado por el artículo 88 de la Ley 1474 de 2011 y por el artículo 5 de la Ley 1882 de 2018; enunciado normativo en el que se lee:</w:t>
      </w:r>
    </w:p>
    <w:p w14:paraId="569F9CE7" w14:textId="77777777" w:rsidR="00A90C55" w:rsidRPr="00801108" w:rsidRDefault="00A90C55" w:rsidP="00A90C55">
      <w:pPr>
        <w:spacing w:line="276" w:lineRule="auto"/>
        <w:jc w:val="both"/>
        <w:rPr>
          <w:rFonts w:ascii="Arial" w:eastAsia="Calibri" w:hAnsi="Arial" w:cs="Arial"/>
          <w:color w:val="000000" w:themeColor="text1"/>
          <w:sz w:val="22"/>
          <w:lang w:val="es-ES_tradnl"/>
        </w:rPr>
      </w:pPr>
    </w:p>
    <w:p w14:paraId="44532029" w14:textId="3BDA982D" w:rsidR="00A90C55" w:rsidRPr="00801108" w:rsidRDefault="008F6ABB"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Artículo</w:t>
      </w:r>
      <w:r w:rsidR="00A90C55" w:rsidRPr="00801108">
        <w:rPr>
          <w:rFonts w:ascii="Arial" w:eastAsia="Calibri" w:hAnsi="Arial" w:cs="Arial"/>
          <w:color w:val="000000" w:themeColor="text1"/>
          <w:sz w:val="21"/>
          <w:szCs w:val="21"/>
          <w:lang w:val="es-ES_tradnl"/>
        </w:rPr>
        <w:t xml:space="preserve"> 5o. </w:t>
      </w:r>
      <w:r w:rsidRPr="00801108">
        <w:rPr>
          <w:rFonts w:ascii="Arial" w:eastAsia="Calibri" w:hAnsi="Arial" w:cs="Arial"/>
          <w:color w:val="000000" w:themeColor="text1"/>
          <w:sz w:val="21"/>
          <w:szCs w:val="21"/>
          <w:lang w:val="es-ES_tradnl"/>
        </w:rPr>
        <w:t xml:space="preserve">De la selección objetiva. </w:t>
      </w:r>
      <w:r w:rsidR="00A90C55" w:rsidRPr="00801108">
        <w:rPr>
          <w:rFonts w:ascii="Arial" w:eastAsia="Calibri" w:hAnsi="Arial" w:cs="Arial"/>
          <w:color w:val="000000" w:themeColor="text1"/>
          <w:sz w:val="21"/>
          <w:szCs w:val="21"/>
          <w:lang w:val="es-ES_tradnl"/>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405A15B"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270BFF72"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25374A9"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26AF2C5F"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2945FC19"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7CE51EC6"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En los procesos de selección en los que se tenga en cuenta los factores técnicos y económicos, la oferta más ventajosa será la que resulte de aplicar alguna de las siguientes alternativas:</w:t>
      </w:r>
    </w:p>
    <w:p w14:paraId="7CDA8E02"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6786DB22"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a) La ponderación de los elementos de calidad y precio soportados en puntajes o fórmulas señaladas en el pliego de condiciones; o</w:t>
      </w:r>
    </w:p>
    <w:p w14:paraId="3B91A3A8"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5D404AFB"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b) La ponderación de los elementos de calidad y precio que representen la mejor relación de costo-beneficio para la entidad.</w:t>
      </w:r>
    </w:p>
    <w:p w14:paraId="06896F0E"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617626D4"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0CBC7C71"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35FEC455"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 xml:space="preserve">4. En los procesos para la selección de consultores se hará uso de factores de calificación destinados a valorar los aspectos técnicos de la oferta o proyecto. De conformidad con las condiciones que señale el reglamento, se podrán utilizar </w:t>
      </w:r>
      <w:r w:rsidRPr="00801108">
        <w:rPr>
          <w:rFonts w:ascii="Arial" w:eastAsia="Calibri" w:hAnsi="Arial" w:cs="Arial"/>
          <w:color w:val="000000" w:themeColor="text1"/>
          <w:sz w:val="21"/>
          <w:szCs w:val="21"/>
          <w:lang w:val="es-ES_tradnl"/>
        </w:rPr>
        <w:lastRenderedPageBreak/>
        <w:t>criterios de experiencia específica del oferente y del equipo de trabajo, en el campo de que se trate.</w:t>
      </w:r>
    </w:p>
    <w:p w14:paraId="09BEBD16"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75689E0D"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En ningún caso se podrá incluir el precio, como factor de escogencia para la selección de consultores.</w:t>
      </w:r>
    </w:p>
    <w:p w14:paraId="4984473E"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72ADEC5D"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155199A2"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767F9A6A"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Durante el término otorgado para subsanar las ofertas, los proponentes no podrán acreditar circunstancias ocurridas con posterioridad al cierre del proceso.</w:t>
      </w:r>
    </w:p>
    <w:p w14:paraId="1853C80D"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612E51CB"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PARÁGRAFO 2o. Las certificaciones de sistemas de gestión de calidad no serán objeto de calificación, ni podrán establecerse como documento habilitante para participar en licitaciones o concursos.</w:t>
      </w:r>
    </w:p>
    <w:p w14:paraId="4904C5FE"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572C74AB"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PARÁGRAFO 3o. &lt;Parágrafo adicionado por el artículo 5 de la Ley 1882 de 2018. El nuevo texto es el siguiente:&gt; La no entrega de la garantía de seriedad junto con la propuesta no será subsanable y será causal de rechazo de la misma.</w:t>
      </w:r>
    </w:p>
    <w:p w14:paraId="5F84A454"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7EA10D0B"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r w:rsidRPr="00801108">
        <w:rPr>
          <w:rFonts w:ascii="Arial" w:eastAsia="Calibri" w:hAnsi="Arial" w:cs="Arial"/>
          <w:color w:val="000000" w:themeColor="text1"/>
          <w:sz w:val="21"/>
          <w:szCs w:val="21"/>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037E59BC" w14:textId="77777777" w:rsidR="00A90C55" w:rsidRPr="00801108" w:rsidRDefault="00A90C55" w:rsidP="00A90C55">
      <w:pPr>
        <w:ind w:left="709" w:right="709"/>
        <w:jc w:val="both"/>
        <w:rPr>
          <w:rFonts w:ascii="Arial" w:eastAsia="Calibri" w:hAnsi="Arial" w:cs="Arial"/>
          <w:color w:val="000000" w:themeColor="text1"/>
          <w:sz w:val="21"/>
          <w:szCs w:val="21"/>
          <w:lang w:val="es-ES_tradnl"/>
        </w:rPr>
      </w:pPr>
    </w:p>
    <w:p w14:paraId="214522CB" w14:textId="77777777" w:rsidR="00A90C55" w:rsidRPr="00801108" w:rsidRDefault="00A90C55" w:rsidP="00A90C55">
      <w:pPr>
        <w:ind w:left="709" w:right="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1"/>
          <w:szCs w:val="21"/>
          <w:lang w:val="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801108">
        <w:rPr>
          <w:rFonts w:ascii="Arial" w:eastAsia="Calibri" w:hAnsi="Arial" w:cs="Arial"/>
          <w:color w:val="000000" w:themeColor="text1"/>
          <w:sz w:val="22"/>
          <w:lang w:val="es-ES_tradnl"/>
        </w:rPr>
        <w:t xml:space="preserve"> </w:t>
      </w:r>
    </w:p>
    <w:p w14:paraId="745480A3" w14:textId="77777777" w:rsidR="00A90C55" w:rsidRPr="00801108" w:rsidRDefault="00A90C55" w:rsidP="00A90C55">
      <w:pPr>
        <w:spacing w:line="276" w:lineRule="auto"/>
        <w:jc w:val="both"/>
        <w:rPr>
          <w:rFonts w:ascii="Arial" w:eastAsia="Calibri" w:hAnsi="Arial" w:cs="Arial"/>
          <w:color w:val="000000" w:themeColor="text1"/>
          <w:sz w:val="22"/>
          <w:lang w:val="es-ES_tradnl"/>
        </w:rPr>
      </w:pPr>
    </w:p>
    <w:p w14:paraId="68D7E493" w14:textId="77777777" w:rsidR="00A90C55" w:rsidRPr="00801108" w:rsidRDefault="00A90C55" w:rsidP="00A90C55">
      <w:pPr>
        <w:spacing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t xml:space="preserve">Así mismo, la Ley 80 de 1993 se refiere a la </w:t>
      </w:r>
      <w:r w:rsidRPr="00801108">
        <w:rPr>
          <w:rFonts w:ascii="Arial" w:eastAsia="Calibri" w:hAnsi="Arial" w:cs="Arial"/>
          <w:i/>
          <w:iCs/>
          <w:color w:val="000000" w:themeColor="text1"/>
          <w:sz w:val="22"/>
          <w:lang w:val="es-ES_tradnl"/>
        </w:rPr>
        <w:t>selección objetiva</w:t>
      </w:r>
      <w:r w:rsidRPr="00801108">
        <w:rPr>
          <w:rFonts w:ascii="Arial" w:eastAsia="Calibri" w:hAnsi="Arial" w:cs="Arial"/>
          <w:color w:val="000000" w:themeColor="text1"/>
          <w:sz w:val="22"/>
          <w:lang w:val="es-ES_tradnl"/>
        </w:rPr>
        <w:t xml:space="preserve"> en varios apartados,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w:t>
      </w:r>
      <w:r w:rsidRPr="00801108">
        <w:rPr>
          <w:rFonts w:ascii="Arial" w:eastAsia="Calibri" w:hAnsi="Arial" w:cs="Arial"/>
          <w:color w:val="000000" w:themeColor="text1"/>
          <w:sz w:val="22"/>
          <w:lang w:val="es-ES_tradnl"/>
        </w:rPr>
        <w:lastRenderedPageBreak/>
        <w:t xml:space="preserve">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3D68C2E1" w14:textId="77777777" w:rsidR="00A90C55" w:rsidRPr="00801108" w:rsidRDefault="00A90C55" w:rsidP="00A90C55">
      <w:pPr>
        <w:spacing w:before="120" w:after="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ii)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 o iii)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770905A8" w14:textId="77777777" w:rsidR="00A90C55" w:rsidRPr="00801108" w:rsidRDefault="00A90C55" w:rsidP="00A90C55">
      <w:pPr>
        <w:spacing w:before="120" w:after="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lastRenderedPageBreak/>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801108">
        <w:rPr>
          <w:rStyle w:val="Refdenotaalpie"/>
          <w:rFonts w:ascii="Arial" w:eastAsia="Calibri" w:hAnsi="Arial" w:cs="Arial"/>
          <w:color w:val="000000" w:themeColor="text1"/>
          <w:sz w:val="22"/>
          <w:lang w:val="es-ES_tradnl"/>
        </w:rPr>
        <w:footnoteReference w:id="2"/>
      </w:r>
      <w:r w:rsidRPr="00801108">
        <w:rPr>
          <w:rFonts w:ascii="Arial" w:eastAsia="Calibri" w:hAnsi="Arial" w:cs="Arial"/>
          <w:color w:val="000000" w:themeColor="text1"/>
          <w:sz w:val="22"/>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801108">
        <w:rPr>
          <w:rStyle w:val="Refdenotaalpie"/>
          <w:rFonts w:ascii="Arial" w:eastAsia="Calibri" w:hAnsi="Arial" w:cs="Arial"/>
          <w:color w:val="000000" w:themeColor="text1"/>
          <w:sz w:val="22"/>
          <w:lang w:val="es-ES_tradnl"/>
        </w:rPr>
        <w:footnoteReference w:id="3"/>
      </w:r>
      <w:r w:rsidRPr="00801108">
        <w:rPr>
          <w:rFonts w:ascii="Arial" w:eastAsia="Calibri" w:hAnsi="Arial" w:cs="Arial"/>
          <w:color w:val="000000" w:themeColor="text1"/>
          <w:sz w:val="22"/>
          <w:lang w:val="es-ES_tradnl"/>
        </w:rPr>
        <w:t>.</w:t>
      </w:r>
    </w:p>
    <w:p w14:paraId="302AE8A8" w14:textId="77777777" w:rsidR="00A90C55" w:rsidRPr="00801108" w:rsidRDefault="00A90C55" w:rsidP="00A90C55">
      <w:pPr>
        <w:spacing w:before="120" w:after="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792C3AC9" w14:textId="77777777" w:rsidR="00A90C55" w:rsidRPr="00801108" w:rsidRDefault="00A90C55" w:rsidP="00A90C55">
      <w:pPr>
        <w:spacing w:line="276" w:lineRule="auto"/>
        <w:ind w:firstLine="709"/>
        <w:jc w:val="both"/>
        <w:rPr>
          <w:rFonts w:ascii="Arial" w:eastAsia="Calibri" w:hAnsi="Arial" w:cs="Arial"/>
          <w:color w:val="000000" w:themeColor="text1"/>
          <w:sz w:val="22"/>
          <w:lang w:val="es-CO"/>
        </w:rPr>
      </w:pPr>
      <w:r w:rsidRPr="00801108">
        <w:rPr>
          <w:rFonts w:ascii="Arial" w:eastAsia="Calibri" w:hAnsi="Arial" w:cs="Arial"/>
          <w:color w:val="000000" w:themeColor="text1"/>
          <w:sz w:val="22"/>
          <w:lang w:val="es-ES_tradnl"/>
        </w:rPr>
        <w:t>Esta regla se explica a continuación.</w:t>
      </w:r>
    </w:p>
    <w:p w14:paraId="30D83558" w14:textId="77777777" w:rsidR="00A90C55" w:rsidRPr="00801108" w:rsidRDefault="00A90C55" w:rsidP="00A90C55">
      <w:pPr>
        <w:spacing w:line="276" w:lineRule="auto"/>
        <w:jc w:val="both"/>
        <w:rPr>
          <w:rFonts w:ascii="Arial" w:eastAsia="Calibri" w:hAnsi="Arial" w:cs="Arial"/>
          <w:color w:val="000000" w:themeColor="text1"/>
          <w:sz w:val="22"/>
          <w:lang w:val="es-ES_tradnl"/>
        </w:rPr>
      </w:pPr>
    </w:p>
    <w:p w14:paraId="7183426A" w14:textId="0DB45656" w:rsidR="00A90C55" w:rsidRPr="00801108" w:rsidRDefault="00A90C55" w:rsidP="00A90C55">
      <w:pPr>
        <w:spacing w:line="276" w:lineRule="auto"/>
        <w:jc w:val="both"/>
        <w:rPr>
          <w:rFonts w:ascii="Arial" w:eastAsia="Calibri" w:hAnsi="Arial" w:cs="Arial"/>
          <w:b/>
          <w:bCs/>
          <w:color w:val="000000" w:themeColor="text1"/>
          <w:sz w:val="22"/>
          <w:lang w:val="es-ES_tradnl"/>
        </w:rPr>
      </w:pPr>
      <w:r w:rsidRPr="00801108">
        <w:rPr>
          <w:rFonts w:ascii="Arial" w:eastAsia="Calibri" w:hAnsi="Arial" w:cs="Arial"/>
          <w:b/>
          <w:bCs/>
          <w:color w:val="000000" w:themeColor="text1"/>
          <w:sz w:val="22"/>
          <w:lang w:val="es-ES_tradnl"/>
        </w:rPr>
        <w:t xml:space="preserve">2.2. Alcance de la regla de la subsanabilidad de las ofertas </w:t>
      </w:r>
    </w:p>
    <w:p w14:paraId="5397C75B" w14:textId="77777777" w:rsidR="00A90C55" w:rsidRPr="00801108" w:rsidRDefault="00A90C55" w:rsidP="00A90C55">
      <w:pPr>
        <w:spacing w:line="276" w:lineRule="auto"/>
        <w:jc w:val="both"/>
        <w:rPr>
          <w:rFonts w:ascii="Arial" w:eastAsia="Calibri" w:hAnsi="Arial" w:cs="Arial"/>
          <w:color w:val="000000" w:themeColor="text1"/>
          <w:sz w:val="22"/>
          <w:lang w:val="es-ES_tradnl"/>
        </w:rPr>
      </w:pPr>
    </w:p>
    <w:p w14:paraId="637EB788" w14:textId="643DC859" w:rsidR="00B56B4F" w:rsidRPr="00801108" w:rsidRDefault="00B56B4F" w:rsidP="008F6ABB">
      <w:pPr>
        <w:spacing w:after="120" w:line="276" w:lineRule="auto"/>
        <w:jc w:val="both"/>
        <w:rPr>
          <w:rFonts w:ascii="Arial" w:hAnsi="Arial" w:cs="Arial"/>
          <w:color w:val="000000" w:themeColor="text1"/>
          <w:sz w:val="22"/>
          <w:lang w:val="es-ES_tradnl"/>
        </w:rPr>
      </w:pPr>
      <w:r w:rsidRPr="00801108">
        <w:rPr>
          <w:rFonts w:ascii="Arial" w:hAnsi="Arial" w:cs="Arial"/>
          <w:color w:val="000000" w:themeColor="text1"/>
          <w:sz w:val="22"/>
          <w:lang w:val="es-ES_tradnl"/>
        </w:rPr>
        <w:lastRenderedPageBreak/>
        <w:t xml:space="preserve">Esta Subdirección se ha pronunciado en diversas oportunidades acerca del alcance de la regla de la subsanabilidad, contenida actualmente en el artículo 5 de la Ley 1150 de 2007. Al respecto, la postura que se reitera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00C7C8CD" w14:textId="00F0F5EB" w:rsidR="00A90C55" w:rsidRPr="00801108" w:rsidRDefault="00B56B4F" w:rsidP="008F6ABB">
      <w:pPr>
        <w:spacing w:before="120" w:after="120" w:line="276" w:lineRule="auto"/>
        <w:ind w:firstLine="708"/>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efecto, la Agencia Nacional de Contratación Pública – Colombia Compra Eficiente, </w:t>
      </w:r>
      <w:r w:rsidR="00962706" w:rsidRPr="00801108">
        <w:rPr>
          <w:rFonts w:ascii="Arial" w:hAnsi="Arial" w:cs="Arial"/>
          <w:color w:val="000000" w:themeColor="text1"/>
          <w:sz w:val="22"/>
          <w:lang w:val="es-ES_tradnl"/>
        </w:rPr>
        <w:t xml:space="preserve">en el concepto CU — 060 de 16 de enero de 2020, unificó </w:t>
      </w:r>
      <w:r w:rsidR="00A90C55" w:rsidRPr="00801108">
        <w:rPr>
          <w:rFonts w:ascii="Arial" w:hAnsi="Arial" w:cs="Arial"/>
          <w:color w:val="000000" w:themeColor="text1"/>
          <w:sz w:val="22"/>
          <w:lang w:val="es-ES_tradnl"/>
        </w:rPr>
        <w:t xml:space="preserve">el concepto de </w:t>
      </w:r>
      <w:r w:rsidR="00962706" w:rsidRPr="00801108">
        <w:rPr>
          <w:rFonts w:ascii="Arial" w:hAnsi="Arial" w:cs="Arial"/>
          <w:color w:val="000000" w:themeColor="text1"/>
          <w:sz w:val="22"/>
          <w:lang w:val="es-ES_tradnl"/>
        </w:rPr>
        <w:t xml:space="preserve">la Agencia Nacional de Contratación Pública – Colombia Compra Eficiente </w:t>
      </w:r>
      <w:r w:rsidR="00A90C55" w:rsidRPr="00801108">
        <w:rPr>
          <w:rFonts w:ascii="Arial" w:hAnsi="Arial" w:cs="Arial"/>
          <w:color w:val="000000" w:themeColor="text1"/>
          <w:sz w:val="22"/>
          <w:lang w:val="es-ES_tradnl"/>
        </w:rPr>
        <w:t>en torno al alcance de la regla de la subsanabilidad, contenida actualmente en el artículo 5 de la Ley 1150 de 2007</w:t>
      </w:r>
      <w:r w:rsidR="00962706" w:rsidRPr="00801108">
        <w:rPr>
          <w:rFonts w:ascii="Arial" w:hAnsi="Arial" w:cs="Arial"/>
          <w:color w:val="000000" w:themeColor="text1"/>
          <w:sz w:val="22"/>
          <w:lang w:val="es-ES_tradnl"/>
        </w:rPr>
        <w:t xml:space="preserve">. En dicho concepto se unificó la </w:t>
      </w:r>
      <w:r w:rsidR="00962706" w:rsidRPr="00801108">
        <w:rPr>
          <w:rFonts w:ascii="Arial" w:eastAsia="Calibri" w:hAnsi="Arial" w:cs="Arial"/>
          <w:color w:val="000000" w:themeColor="text1"/>
          <w:sz w:val="22"/>
          <w:lang w:val="es-ES_tradnl"/>
        </w:rPr>
        <w:t xml:space="preserve">tesis expuesta en los conceptos con radicado No. 4201913000006471 del 28 de octubre de 2019, 4201912000006711 del 12 de noviembre de 2019 y 4201912000006496 del 15 de noviembre de 2019, la cual fue reiterada en los conceptos </w:t>
      </w:r>
      <w:r w:rsidR="00962706" w:rsidRPr="00801108">
        <w:rPr>
          <w:rFonts w:ascii="Arial" w:eastAsia="Calibri" w:hAnsi="Arial" w:cs="Arial"/>
          <w:color w:val="000000" w:themeColor="text1"/>
          <w:sz w:val="22"/>
        </w:rPr>
        <w:t>C — 082 de 27 de enero de 2020 y C — 127 de 12 de febrero de 2020.</w:t>
      </w:r>
      <w:r w:rsidR="00A90C55" w:rsidRPr="00801108">
        <w:rPr>
          <w:rFonts w:ascii="Arial" w:hAnsi="Arial" w:cs="Arial"/>
          <w:color w:val="000000" w:themeColor="text1"/>
          <w:sz w:val="22"/>
          <w:lang w:val="es-ES_tradnl"/>
        </w:rPr>
        <w:t xml:space="preserve"> </w:t>
      </w:r>
      <w:r w:rsidR="00962706" w:rsidRPr="00801108">
        <w:rPr>
          <w:rFonts w:ascii="Arial" w:hAnsi="Arial" w:cs="Arial"/>
          <w:color w:val="000000" w:themeColor="text1"/>
          <w:sz w:val="22"/>
          <w:lang w:val="es-ES_tradnl"/>
        </w:rPr>
        <w:t xml:space="preserve">De la tesis desarrollada se </w:t>
      </w:r>
      <w:r w:rsidRPr="00801108">
        <w:rPr>
          <w:rFonts w:ascii="Arial" w:hAnsi="Arial" w:cs="Arial"/>
          <w:color w:val="000000" w:themeColor="text1"/>
          <w:sz w:val="22"/>
          <w:lang w:val="es-ES_tradnl"/>
        </w:rPr>
        <w:t>tomarán</w:t>
      </w:r>
      <w:r w:rsidR="00962706" w:rsidRPr="00801108">
        <w:rPr>
          <w:rFonts w:ascii="Arial" w:hAnsi="Arial" w:cs="Arial"/>
          <w:color w:val="000000" w:themeColor="text1"/>
          <w:sz w:val="22"/>
          <w:lang w:val="es-ES_tradnl"/>
        </w:rPr>
        <w:t xml:space="preserve"> algunas consideraciones para ilustrar el alcance de la regla de subsanabilidad en procesos de selección en los que se use el mecanismo de subasta</w:t>
      </w:r>
      <w:r w:rsidRPr="00801108">
        <w:rPr>
          <w:rFonts w:ascii="Arial" w:hAnsi="Arial" w:cs="Arial"/>
          <w:color w:val="000000" w:themeColor="text1"/>
          <w:sz w:val="22"/>
          <w:lang w:val="es-ES_tradnl"/>
        </w:rPr>
        <w:t>.</w:t>
      </w:r>
    </w:p>
    <w:p w14:paraId="406797D2"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61383645"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un </w:t>
      </w:r>
      <w:r w:rsidRPr="00801108">
        <w:rPr>
          <w:rFonts w:ascii="Arial" w:hAnsi="Arial" w:cs="Arial"/>
          <w:i/>
          <w:color w:val="000000" w:themeColor="text1"/>
          <w:sz w:val="22"/>
          <w:lang w:val="es-ES_tradnl"/>
        </w:rPr>
        <w:t>primer momento</w:t>
      </w:r>
      <w:r w:rsidRPr="00801108">
        <w:rPr>
          <w:rFonts w:ascii="Arial" w:hAnsi="Arial" w:cs="Arial"/>
          <w:color w:val="000000" w:themeColor="text1"/>
          <w:sz w:val="22"/>
          <w:lang w:val="es-ES_tradnl"/>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4486CCE2"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un </w:t>
      </w:r>
      <w:r w:rsidRPr="00801108">
        <w:rPr>
          <w:rFonts w:ascii="Arial" w:hAnsi="Arial" w:cs="Arial"/>
          <w:i/>
          <w:color w:val="000000" w:themeColor="text1"/>
          <w:sz w:val="22"/>
          <w:lang w:val="es-ES_tradnl"/>
        </w:rPr>
        <w:t>segundo momento</w:t>
      </w:r>
      <w:r w:rsidRPr="00801108">
        <w:rPr>
          <w:rFonts w:ascii="Arial" w:hAnsi="Arial" w:cs="Arial"/>
          <w:color w:val="000000" w:themeColor="text1"/>
          <w:sz w:val="22"/>
          <w:lang w:val="es-ES_tradnl"/>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w:t>
      </w:r>
    </w:p>
    <w:p w14:paraId="026ECF73" w14:textId="77777777" w:rsidR="00B56B4F" w:rsidRPr="00801108" w:rsidRDefault="00B56B4F" w:rsidP="008F6ABB">
      <w:pPr>
        <w:spacing w:before="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este nuevo escenario constitucional, el numeral 15 del artículo 25 de la Ley 80 de 1993 dispuso lo siguiente: </w:t>
      </w:r>
    </w:p>
    <w:p w14:paraId="0EA010AA" w14:textId="77777777" w:rsidR="00B56B4F" w:rsidRPr="00801108" w:rsidRDefault="00B56B4F" w:rsidP="00A5144E">
      <w:pPr>
        <w:spacing w:before="120" w:after="120"/>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38754B9C" w14:textId="77777777" w:rsidR="00B56B4F" w:rsidRPr="00801108" w:rsidRDefault="00B56B4F" w:rsidP="00A5144E">
      <w:pPr>
        <w:spacing w:before="120"/>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lastRenderedPageBreak/>
        <w:t xml:space="preserve">La ausencia de requisitos o la falta de documentos referentes a la futura contratación o al proponente, no necesarios para la comparación de propuestas, no servirá de título suficiente para el rechazo de los ofrecimientos hechos. </w:t>
      </w:r>
    </w:p>
    <w:p w14:paraId="09836AB6" w14:textId="77777777" w:rsidR="008F6ABB" w:rsidRPr="00801108" w:rsidRDefault="008F6ABB" w:rsidP="008F6ABB">
      <w:pPr>
        <w:spacing w:line="276" w:lineRule="auto"/>
        <w:ind w:firstLine="709"/>
        <w:jc w:val="both"/>
        <w:rPr>
          <w:rFonts w:ascii="Arial" w:hAnsi="Arial" w:cs="Arial"/>
          <w:color w:val="000000" w:themeColor="text1"/>
          <w:sz w:val="22"/>
          <w:lang w:val="es-ES_tradnl"/>
        </w:rPr>
      </w:pPr>
    </w:p>
    <w:p w14:paraId="38B5AFC3" w14:textId="3586A562" w:rsidR="00B56B4F" w:rsidRPr="00801108" w:rsidRDefault="00B56B4F" w:rsidP="008F6ABB">
      <w:pPr>
        <w:spacing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Bajo el amparo de esta norma, el régimen jurídico de subsanabilidad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2D24AE13"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Esta norma debía leerse en conjunto con otras de la Ley 80 de 1993, particularmente con el artículo 30.7</w:t>
      </w:r>
      <w:r w:rsidRPr="00801108">
        <w:rPr>
          <w:rStyle w:val="Refdenotaalpie"/>
          <w:rFonts w:ascii="Arial" w:hAnsi="Arial" w:cs="Arial"/>
          <w:color w:val="000000" w:themeColor="text1"/>
          <w:sz w:val="22"/>
          <w:lang w:val="es-ES_tradnl"/>
        </w:rPr>
        <w:footnoteReference w:id="4"/>
      </w:r>
      <w:r w:rsidRPr="00801108">
        <w:rPr>
          <w:rFonts w:ascii="Arial" w:hAnsi="Arial" w:cs="Arial"/>
          <w:color w:val="000000" w:themeColor="text1"/>
          <w:sz w:val="22"/>
          <w:lang w:val="es-ES_tradnl"/>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801108">
        <w:rPr>
          <w:rStyle w:val="Refdenotaalpie"/>
          <w:rFonts w:ascii="Arial" w:hAnsi="Arial" w:cs="Arial"/>
          <w:color w:val="000000" w:themeColor="text1"/>
          <w:sz w:val="22"/>
          <w:lang w:val="es-ES_tradnl"/>
        </w:rPr>
        <w:footnoteReference w:id="5"/>
      </w:r>
      <w:r w:rsidRPr="00801108">
        <w:rPr>
          <w:rFonts w:ascii="Arial" w:hAnsi="Arial" w:cs="Arial"/>
          <w:color w:val="000000" w:themeColor="text1"/>
          <w:sz w:val="22"/>
          <w:lang w:val="es-ES_tradnl"/>
        </w:rPr>
        <w:t xml:space="preserve">, que consagró el término de 5 días hábiles para que los oferentes presenten observaciones al informe de evaluación de las propuestas, sin que sea posible completar, adicionar, modificar o mejorar su oferta.  </w:t>
      </w:r>
    </w:p>
    <w:p w14:paraId="7336C765"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178C6C40" w14:textId="77777777" w:rsidR="00B56B4F" w:rsidRPr="00801108" w:rsidRDefault="00B56B4F" w:rsidP="008F6ABB">
      <w:pPr>
        <w:spacing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un </w:t>
      </w:r>
      <w:r w:rsidRPr="00801108">
        <w:rPr>
          <w:rFonts w:ascii="Arial" w:hAnsi="Arial" w:cs="Arial"/>
          <w:i/>
          <w:color w:val="000000" w:themeColor="text1"/>
          <w:sz w:val="22"/>
          <w:lang w:val="es-ES_tradnl"/>
        </w:rPr>
        <w:t>tercer momento</w:t>
      </w:r>
      <w:r w:rsidRPr="00801108">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14:paraId="01217ECA" w14:textId="77777777" w:rsidR="00B56B4F" w:rsidRPr="00801108" w:rsidRDefault="00B56B4F" w:rsidP="008F6ABB">
      <w:pPr>
        <w:spacing w:line="276" w:lineRule="auto"/>
        <w:jc w:val="both"/>
        <w:rPr>
          <w:rFonts w:ascii="Arial" w:hAnsi="Arial" w:cs="Arial"/>
          <w:color w:val="000000" w:themeColor="text1"/>
          <w:sz w:val="22"/>
          <w:lang w:val="es-ES_tradnl"/>
        </w:rPr>
      </w:pPr>
    </w:p>
    <w:p w14:paraId="7D09ACF3" w14:textId="77777777" w:rsidR="00B56B4F" w:rsidRPr="00801108" w:rsidRDefault="00B56B4F" w:rsidP="00A5144E">
      <w:pPr>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801108">
        <w:rPr>
          <w:rFonts w:ascii="Arial" w:hAnsi="Arial" w:cs="Arial"/>
          <w:b/>
          <w:color w:val="000000" w:themeColor="text1"/>
          <w:sz w:val="21"/>
          <w:szCs w:val="21"/>
          <w:lang w:val="es-ES_tradnl"/>
        </w:rPr>
        <w:t xml:space="preserve">, </w:t>
      </w:r>
      <w:r w:rsidRPr="00801108">
        <w:rPr>
          <w:rFonts w:ascii="Arial" w:hAnsi="Arial" w:cs="Arial"/>
          <w:color w:val="000000" w:themeColor="text1"/>
          <w:sz w:val="21"/>
          <w:szCs w:val="21"/>
          <w:lang w:val="es-ES_tradnl"/>
        </w:rPr>
        <w:t xml:space="preserve">todos aquellos requisitos de la propuesta que no afecten la asignación de puntaje, podrán ser solicitados por las entidades en cualquier momento, hasta la adjudicación. No obstante lo anterior, en aquellos </w:t>
      </w:r>
      <w:r w:rsidRPr="00801108">
        <w:rPr>
          <w:rFonts w:ascii="Arial" w:hAnsi="Arial" w:cs="Arial"/>
          <w:color w:val="000000" w:themeColor="text1"/>
          <w:sz w:val="21"/>
          <w:szCs w:val="21"/>
          <w:lang w:val="es-ES_tradnl"/>
        </w:rPr>
        <w:lastRenderedPageBreak/>
        <w:t xml:space="preserve">procesos de selección en los que se utilice el mecanismo de subasta, deberán ser solicitados hasta el momento previo a su realización. </w:t>
      </w:r>
    </w:p>
    <w:p w14:paraId="773CCE80" w14:textId="77777777" w:rsidR="00B56B4F" w:rsidRPr="00801108" w:rsidRDefault="00B56B4F" w:rsidP="00A5144E">
      <w:pPr>
        <w:spacing w:line="276" w:lineRule="auto"/>
        <w:jc w:val="both"/>
        <w:rPr>
          <w:rFonts w:ascii="Arial" w:hAnsi="Arial" w:cs="Arial"/>
          <w:b/>
          <w:color w:val="000000" w:themeColor="text1"/>
          <w:sz w:val="22"/>
          <w:lang w:val="es-ES_tradnl"/>
        </w:rPr>
      </w:pPr>
    </w:p>
    <w:p w14:paraId="72CB035A"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714C8176"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14:paraId="1F0F901E"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Si, al verificar la Administración, encuentra que lo omitido por el proponente es un aspecto que otorga puntaje, no es posible subsanarlo; pero, si lo omitido no otorga puntaje, la Administración debe requerir al proponente para que lo subsane.  </w:t>
      </w:r>
    </w:p>
    <w:p w14:paraId="3318994E" w14:textId="77777777" w:rsidR="00B56B4F" w:rsidRPr="00801108" w:rsidRDefault="00B56B4F" w:rsidP="008F6ABB">
      <w:pPr>
        <w:spacing w:before="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El artículo 5 de la Ley 1150 de 2007, además de consagrar un criterio más claro, y, de paso, reducir la discrecionalidad de la Administración, fijó un ámbito temporal para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51BE06F9" w14:textId="77777777" w:rsidR="00B56B4F" w:rsidRPr="00801108" w:rsidRDefault="00B56B4F" w:rsidP="008F6ABB">
      <w:pPr>
        <w:spacing w:line="276" w:lineRule="auto"/>
        <w:jc w:val="both"/>
        <w:rPr>
          <w:rFonts w:ascii="Arial" w:hAnsi="Arial" w:cs="Arial"/>
          <w:color w:val="000000" w:themeColor="text1"/>
          <w:sz w:val="22"/>
          <w:lang w:val="es-ES_tradnl"/>
        </w:rPr>
      </w:pPr>
    </w:p>
    <w:p w14:paraId="021E5CCC" w14:textId="696B6947" w:rsidR="00B56B4F" w:rsidRPr="00801108" w:rsidRDefault="00B56B4F" w:rsidP="00A5144E">
      <w:pPr>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801108">
        <w:rPr>
          <w:rStyle w:val="Refdenotaalpie"/>
          <w:rFonts w:ascii="Arial" w:hAnsi="Arial" w:cs="Arial"/>
          <w:color w:val="000000" w:themeColor="text1"/>
          <w:sz w:val="21"/>
          <w:szCs w:val="21"/>
          <w:lang w:val="es-ES_tradnl"/>
        </w:rPr>
        <w:footnoteReference w:id="6"/>
      </w:r>
      <w:r w:rsidRPr="00801108">
        <w:rPr>
          <w:rFonts w:ascii="Arial" w:hAnsi="Arial" w:cs="Arial"/>
          <w:color w:val="000000" w:themeColor="text1"/>
          <w:sz w:val="21"/>
          <w:szCs w:val="21"/>
          <w:lang w:val="es-ES_tradnl"/>
        </w:rPr>
        <w:t>.</w:t>
      </w:r>
    </w:p>
    <w:p w14:paraId="4F8E89B6" w14:textId="77777777" w:rsidR="008F6ABB" w:rsidRPr="00801108" w:rsidRDefault="008F6ABB" w:rsidP="008F6ABB">
      <w:pPr>
        <w:pStyle w:val="Textoindependiente"/>
        <w:tabs>
          <w:tab w:val="left" w:pos="284"/>
        </w:tabs>
        <w:spacing w:before="0" w:beforeAutospacing="0" w:after="0" w:afterAutospacing="0" w:line="276" w:lineRule="auto"/>
        <w:ind w:firstLine="709"/>
        <w:jc w:val="both"/>
        <w:rPr>
          <w:rFonts w:ascii="Arial" w:eastAsiaTheme="minorHAnsi" w:hAnsi="Arial" w:cs="Arial"/>
          <w:color w:val="000000" w:themeColor="text1"/>
          <w:sz w:val="22"/>
          <w:szCs w:val="22"/>
          <w:lang w:val="es-ES_tradnl" w:eastAsia="en-US"/>
        </w:rPr>
      </w:pPr>
    </w:p>
    <w:p w14:paraId="66E31081" w14:textId="1604C1E1" w:rsidR="00C65C9D" w:rsidRPr="00801108" w:rsidRDefault="00B56B4F" w:rsidP="008F6ABB">
      <w:pPr>
        <w:pStyle w:val="Textoindependiente"/>
        <w:tabs>
          <w:tab w:val="left" w:pos="284"/>
        </w:tabs>
        <w:spacing w:before="120" w:beforeAutospacing="0" w:after="120" w:afterAutospacing="0" w:line="276" w:lineRule="auto"/>
        <w:ind w:firstLine="709"/>
        <w:jc w:val="both"/>
        <w:rPr>
          <w:rFonts w:ascii="Arial" w:eastAsiaTheme="minorHAnsi" w:hAnsi="Arial" w:cs="Arial"/>
          <w:color w:val="000000" w:themeColor="text1"/>
          <w:sz w:val="22"/>
          <w:szCs w:val="22"/>
          <w:lang w:val="es-ES_tradnl" w:eastAsia="en-US"/>
        </w:rPr>
      </w:pPr>
      <w:r w:rsidRPr="00801108">
        <w:rPr>
          <w:rFonts w:ascii="Arial" w:eastAsiaTheme="minorHAnsi" w:hAnsi="Arial" w:cs="Arial"/>
          <w:color w:val="000000" w:themeColor="text1"/>
          <w:sz w:val="22"/>
          <w:szCs w:val="22"/>
          <w:lang w:val="es-ES_tradnl" w:eastAsia="en-US"/>
        </w:rPr>
        <w:t xml:space="preserve">Esa interpretación fue compartida por la </w:t>
      </w:r>
      <w:r w:rsidRPr="00801108">
        <w:rPr>
          <w:rFonts w:ascii="Arial" w:hAnsi="Arial" w:cs="Arial"/>
          <w:color w:val="000000" w:themeColor="text1"/>
          <w:sz w:val="22"/>
          <w:szCs w:val="22"/>
          <w:lang w:val="es-ES_tradnl"/>
        </w:rPr>
        <w:t>Agencia Nacional de Contratación Pública – Colombia Compra Eficiente –</w:t>
      </w:r>
      <w:r w:rsidRPr="00801108">
        <w:rPr>
          <w:rFonts w:ascii="Arial" w:eastAsiaTheme="minorHAnsi" w:hAnsi="Arial" w:cs="Arial"/>
          <w:color w:val="000000" w:themeColor="text1"/>
          <w:sz w:val="22"/>
          <w:szCs w:val="22"/>
          <w:lang w:val="es-ES_tradnl" w:eastAsia="en-US"/>
        </w:rPr>
        <w:t xml:space="preserve">, pues en la Circular Externa Única se precisó que si durante un proceso de contratación hay proponentes que no acreditaron en sus ofertas requisitos que no afectan la asignación de puntaje o la comparación de las mismas, la entidad estatal </w:t>
      </w:r>
      <w:r w:rsidRPr="00801108">
        <w:rPr>
          <w:rFonts w:ascii="Arial" w:eastAsiaTheme="minorHAnsi" w:hAnsi="Arial" w:cs="Arial"/>
          <w:color w:val="000000" w:themeColor="text1"/>
          <w:sz w:val="22"/>
          <w:szCs w:val="22"/>
          <w:lang w:val="es-ES_tradnl" w:eastAsia="en-US"/>
        </w:rPr>
        <w:lastRenderedPageBreak/>
        <w:t>deberá indicarlo en el informe de evaluación y advertir que la correspondiente oferta no será evaluada hasta que se subsane.</w:t>
      </w:r>
    </w:p>
    <w:p w14:paraId="32473841" w14:textId="2CDE4AA9" w:rsidR="00B56B4F" w:rsidRPr="00801108" w:rsidRDefault="00B56B4F" w:rsidP="00A5144E">
      <w:pPr>
        <w:pStyle w:val="Textoindependiente"/>
        <w:tabs>
          <w:tab w:val="left" w:pos="284"/>
        </w:tabs>
        <w:spacing w:before="120" w:beforeAutospacing="0" w:after="0" w:afterAutospacing="0" w:line="276" w:lineRule="auto"/>
        <w:ind w:firstLine="709"/>
        <w:jc w:val="both"/>
        <w:rPr>
          <w:rFonts w:ascii="Arial" w:eastAsiaTheme="minorHAnsi" w:hAnsi="Arial" w:cs="Arial"/>
          <w:color w:val="000000" w:themeColor="text1"/>
          <w:sz w:val="22"/>
          <w:szCs w:val="22"/>
          <w:lang w:val="es-ES_tradnl" w:eastAsia="en-US"/>
        </w:rPr>
      </w:pPr>
      <w:r w:rsidRPr="00801108">
        <w:rPr>
          <w:rFonts w:ascii="Arial" w:hAnsi="Arial" w:cs="Arial"/>
          <w:color w:val="000000" w:themeColor="text1"/>
          <w:sz w:val="22"/>
          <w:szCs w:val="22"/>
          <w:lang w:val="es-ES_tradnl"/>
        </w:rPr>
        <w:t xml:space="preserve">En un </w:t>
      </w:r>
      <w:r w:rsidRPr="00801108">
        <w:rPr>
          <w:rFonts w:ascii="Arial" w:hAnsi="Arial" w:cs="Arial"/>
          <w:i/>
          <w:color w:val="000000" w:themeColor="text1"/>
          <w:sz w:val="22"/>
          <w:szCs w:val="22"/>
          <w:lang w:val="es-ES_tradnl"/>
        </w:rPr>
        <w:t>cuarto momento</w:t>
      </w:r>
      <w:r w:rsidRPr="00801108">
        <w:rPr>
          <w:rFonts w:ascii="Arial" w:hAnsi="Arial" w:cs="Arial"/>
          <w:color w:val="000000" w:themeColor="text1"/>
          <w:sz w:val="22"/>
          <w:szCs w:val="22"/>
          <w:lang w:val="es-ES_tradnl"/>
        </w:rPr>
        <w:t>, el legislador expidió la Ley 1882 de 2018, con la finalidad de introducir cambios y ajustes para fortalecer la contratación pública. El artículo 5 modificó el parágrafo 1º</w:t>
      </w:r>
      <w:r w:rsidR="008003EA" w:rsidRPr="00801108">
        <w:rPr>
          <w:rFonts w:ascii="Arial" w:hAnsi="Arial" w:cs="Arial"/>
          <w:color w:val="000000" w:themeColor="text1"/>
          <w:sz w:val="22"/>
          <w:szCs w:val="22"/>
          <w:lang w:val="es-ES_tradnl"/>
        </w:rPr>
        <w:t xml:space="preserve"> y adicionó algunos otros, entre ellos el 4°</w:t>
      </w:r>
      <w:r w:rsidRPr="00801108">
        <w:rPr>
          <w:rFonts w:ascii="Arial" w:hAnsi="Arial" w:cs="Arial"/>
          <w:color w:val="000000" w:themeColor="text1"/>
          <w:sz w:val="22"/>
          <w:szCs w:val="22"/>
          <w:lang w:val="es-ES_tradnl"/>
        </w:rPr>
        <w:t xml:space="preserve"> del artículo 5 de la Ley 1150 de 2007: </w:t>
      </w:r>
    </w:p>
    <w:p w14:paraId="258E4286" w14:textId="77777777" w:rsidR="00DD5955" w:rsidRPr="00801108" w:rsidRDefault="00DD5955" w:rsidP="00DD5955">
      <w:pPr>
        <w:spacing w:before="120" w:after="120"/>
        <w:ind w:left="709" w:right="709"/>
        <w:jc w:val="both"/>
        <w:rPr>
          <w:rFonts w:ascii="Arial" w:hAnsi="Arial" w:cs="Arial"/>
          <w:color w:val="000000" w:themeColor="text1"/>
          <w:sz w:val="21"/>
          <w:szCs w:val="21"/>
          <w:lang w:val="es-ES_tradnl"/>
        </w:rPr>
      </w:pPr>
    </w:p>
    <w:p w14:paraId="225C2E30" w14:textId="2D295428" w:rsidR="00B56B4F" w:rsidRPr="00801108" w:rsidRDefault="00B56B4F" w:rsidP="00A5144E">
      <w:pPr>
        <w:spacing w:before="120" w:after="120"/>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 xml:space="preserve">Artículo 5°. De la selección objetiva. </w:t>
      </w:r>
    </w:p>
    <w:p w14:paraId="45649F42" w14:textId="49F82CD2" w:rsidR="00B56B4F" w:rsidRPr="00801108" w:rsidRDefault="00A26BFD" w:rsidP="00A5144E">
      <w:pPr>
        <w:spacing w:before="120" w:after="120"/>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w:t>
      </w:r>
      <w:r w:rsidR="00B56B4F" w:rsidRPr="00801108">
        <w:rPr>
          <w:rFonts w:ascii="Arial" w:hAnsi="Arial" w:cs="Arial"/>
          <w:color w:val="000000" w:themeColor="text1"/>
          <w:sz w:val="21"/>
          <w:szCs w:val="21"/>
          <w:lang w:val="es-ES_tradnl"/>
        </w:rPr>
        <w:t xml:space="preserve">.. </w:t>
      </w:r>
      <w:r w:rsidRPr="00801108">
        <w:rPr>
          <w:rFonts w:ascii="Arial" w:hAnsi="Arial" w:cs="Arial"/>
          <w:color w:val="000000" w:themeColor="text1"/>
          <w:sz w:val="21"/>
          <w:szCs w:val="21"/>
          <w:lang w:val="es-ES_tradnl"/>
        </w:rPr>
        <w:t>]</w:t>
      </w:r>
    </w:p>
    <w:p w14:paraId="3ABAEE42" w14:textId="5DAC61F8" w:rsidR="00B56B4F" w:rsidRPr="00801108" w:rsidRDefault="00B56B4F" w:rsidP="00A5144E">
      <w:pPr>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30533DEF" w14:textId="77777777" w:rsidR="00B56B4F" w:rsidRPr="00801108" w:rsidRDefault="00B56B4F" w:rsidP="008F6ABB">
      <w:pPr>
        <w:spacing w:line="276" w:lineRule="auto"/>
        <w:jc w:val="both"/>
        <w:rPr>
          <w:rFonts w:ascii="Arial" w:hAnsi="Arial" w:cs="Arial"/>
          <w:b/>
          <w:color w:val="000000" w:themeColor="text1"/>
          <w:sz w:val="22"/>
          <w:lang w:val="es-ES_tradnl"/>
        </w:rPr>
      </w:pPr>
    </w:p>
    <w:p w14:paraId="047BB925"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 </w:t>
      </w:r>
    </w:p>
    <w:p w14:paraId="197A6037"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801108">
        <w:rPr>
          <w:rFonts w:ascii="Arial" w:eastAsia="Calibri" w:hAnsi="Arial" w:cs="Arial"/>
          <w:color w:val="000000" w:themeColor="text1"/>
          <w:sz w:val="22"/>
          <w:lang w:val="es-ES_tradnl"/>
        </w:rPr>
        <w:t>de selección a través del sistema de subasta</w:t>
      </w:r>
      <w:r w:rsidRPr="00801108">
        <w:rPr>
          <w:rStyle w:val="Refdenotaalpie"/>
          <w:rFonts w:ascii="Arial" w:eastAsia="Calibri" w:hAnsi="Arial" w:cs="Arial"/>
          <w:color w:val="000000" w:themeColor="text1"/>
          <w:sz w:val="22"/>
          <w:lang w:val="es-ES_tradnl"/>
        </w:rPr>
        <w:footnoteReference w:id="7"/>
      </w:r>
      <w:r w:rsidRPr="00801108">
        <w:rPr>
          <w:rFonts w:ascii="Arial" w:eastAsia="Calibri" w:hAnsi="Arial" w:cs="Arial"/>
          <w:color w:val="000000" w:themeColor="text1"/>
          <w:sz w:val="22"/>
          <w:lang w:val="es-ES_tradnl"/>
        </w:rPr>
        <w:t xml:space="preserve">; en el último los documentos o requisitos subsanables pueden y deben solicitarse hasta el momento previo a su realización.  </w:t>
      </w:r>
    </w:p>
    <w:p w14:paraId="06C9D20F"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eastAsia="Calibri" w:hAnsi="Arial" w:cs="Arial"/>
          <w:color w:val="000000" w:themeColor="text1"/>
          <w:sz w:val="22"/>
          <w:lang w:val="es-ES_tradnl"/>
        </w:rPr>
        <w:lastRenderedPageBreak/>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078C4625"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eastAsia="Calibri" w:hAnsi="Arial" w:cs="Arial"/>
          <w:color w:val="000000" w:themeColor="text1"/>
          <w:sz w:val="22"/>
          <w:lang w:val="es-ES_tradnl"/>
        </w:rPr>
        <w:t>En efecto, la redacción de la norma permite que la Administración solicite a los oferentes subsanar y que estos lo hagan hasta antes del término del traslado del informe de evaluación: «</w:t>
      </w:r>
      <w:r w:rsidRPr="00801108">
        <w:rPr>
          <w:rFonts w:ascii="Arial" w:hAnsi="Arial" w:cs="Arial"/>
          <w:color w:val="000000" w:themeColor="text1"/>
          <w:sz w:val="22"/>
          <w:lang w:val="es-ES_tradnl"/>
        </w:rPr>
        <w:t xml:space="preserve">deberán ser solicitados por las entidades estatales y deberán ser entregados por los proponentes hasta el término de traslado del informe de evaluación que corresponda a cada modalidad de selección». </w:t>
      </w:r>
    </w:p>
    <w:p w14:paraId="2B6BB1DD"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 </w:t>
      </w:r>
    </w:p>
    <w:p w14:paraId="5D933C82"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74851D2B"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publique el informe ya se encuentren subsanadas las propuestas, sin perjuicio del término límite que concedió la ley.</w:t>
      </w:r>
    </w:p>
    <w:p w14:paraId="31BCE193"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36268E0F"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w:t>
      </w:r>
      <w:r w:rsidRPr="00801108">
        <w:rPr>
          <w:rFonts w:ascii="Arial" w:hAnsi="Arial" w:cs="Arial"/>
          <w:color w:val="000000" w:themeColor="text1"/>
          <w:sz w:val="22"/>
          <w:lang w:val="es-ES_tradnl"/>
        </w:rPr>
        <w:lastRenderedPageBreak/>
        <w:t xml:space="preserve">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00249E22"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eastAsia="Calibri" w:hAnsi="Arial" w:cs="Arial"/>
          <w:color w:val="000000" w:themeColor="text1"/>
          <w:sz w:val="22"/>
          <w:lang w:val="es-ES_tradnl"/>
        </w:rPr>
        <w:t>De otro lado, el segundo cambio importante de la Ley 1882 de 2018 fue la introducción de un criterio material, directamente relacionado con los aspectos subsanables: «</w:t>
      </w:r>
      <w:r w:rsidRPr="00801108">
        <w:rPr>
          <w:rFonts w:ascii="Arial" w:hAnsi="Arial" w:cs="Arial"/>
          <w:color w:val="000000" w:themeColor="text1"/>
          <w:sz w:val="22"/>
          <w:lang w:val="es-ES_tradnl"/>
        </w:rPr>
        <w:t xml:space="preserve">los proponentes no podrán acreditar circunstancias ocurridas con posterioridad al cierre del proceso». Lo anterior nos ofrece dos aspectos que merecen clarificación; primero, qué debe entenderse por circunstancias ocurridas con posterioridad; y segundo, qué es el cierre del proceso. </w:t>
      </w:r>
    </w:p>
    <w:p w14:paraId="17D3392C" w14:textId="77777777" w:rsidR="00B56B4F" w:rsidRPr="00801108" w:rsidRDefault="00B56B4F" w:rsidP="008F6ABB">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801108">
        <w:rPr>
          <w:rStyle w:val="Refdenotaalpie"/>
          <w:rFonts w:ascii="Arial" w:hAnsi="Arial" w:cs="Arial"/>
          <w:color w:val="000000" w:themeColor="text1"/>
          <w:sz w:val="22"/>
          <w:lang w:val="es-ES_tradnl"/>
        </w:rPr>
        <w:footnoteReference w:id="8"/>
      </w:r>
      <w:r w:rsidRPr="00801108">
        <w:rPr>
          <w:rFonts w:ascii="Arial" w:hAnsi="Arial" w:cs="Arial"/>
          <w:color w:val="000000" w:themeColor="text1"/>
          <w:sz w:val="22"/>
          <w:lang w:val="es-ES_tradnl"/>
        </w:rPr>
        <w:t>,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801108">
        <w:rPr>
          <w:rStyle w:val="Refdenotaalpie"/>
          <w:rFonts w:ascii="Arial" w:hAnsi="Arial" w:cs="Arial"/>
          <w:color w:val="000000" w:themeColor="text1"/>
          <w:sz w:val="22"/>
          <w:lang w:val="es-ES_tradnl"/>
        </w:rPr>
        <w:footnoteReference w:id="9"/>
      </w:r>
      <w:r w:rsidRPr="00801108">
        <w:rPr>
          <w:rFonts w:ascii="Arial" w:hAnsi="Arial" w:cs="Arial"/>
          <w:color w:val="000000" w:themeColor="text1"/>
          <w:sz w:val="22"/>
          <w:lang w:val="es-ES_tradnl"/>
        </w:rPr>
        <w:t>.</w:t>
      </w:r>
    </w:p>
    <w:p w14:paraId="1D451704" w14:textId="77777777" w:rsidR="00B56B4F" w:rsidRPr="00801108" w:rsidRDefault="00B56B4F" w:rsidP="008F6ABB">
      <w:pPr>
        <w:spacing w:before="120" w:after="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E90C7FA" w14:textId="77777777" w:rsidR="00B56B4F" w:rsidRPr="00801108" w:rsidRDefault="00B56B4F" w:rsidP="008F6ABB">
      <w:pPr>
        <w:spacing w:before="120" w:after="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t xml:space="preserve">Un mejor entendimiento del significado de la expresión «circunstancias ocurridas con posterioridad al cierre del proceso» nos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 </w:t>
      </w:r>
    </w:p>
    <w:p w14:paraId="1354B7D6" w14:textId="77777777" w:rsidR="00B56B4F" w:rsidRPr="00801108" w:rsidRDefault="00B56B4F" w:rsidP="008F6ABB">
      <w:pPr>
        <w:spacing w:before="120" w:after="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801108">
        <w:rPr>
          <w:rStyle w:val="Refdenotaalpie"/>
          <w:rFonts w:ascii="Arial" w:eastAsia="Calibri" w:hAnsi="Arial" w:cs="Arial"/>
          <w:color w:val="000000" w:themeColor="text1"/>
          <w:sz w:val="22"/>
          <w:lang w:val="es-ES_tradnl"/>
        </w:rPr>
        <w:footnoteReference w:id="10"/>
      </w:r>
      <w:r w:rsidRPr="00801108">
        <w:rPr>
          <w:rFonts w:ascii="Arial" w:eastAsia="Calibri" w:hAnsi="Arial" w:cs="Arial"/>
          <w:color w:val="000000" w:themeColor="text1"/>
          <w:sz w:val="22"/>
          <w:lang w:val="es-ES_tradnl"/>
        </w:rPr>
        <w:t>; iii) si un oferente no anexó el Certificado de existencia y representación legal, el documento aportado con posterioridad debe dar cuenta de que la sociedad existe antes del cierre del proceso</w:t>
      </w:r>
      <w:r w:rsidRPr="00801108">
        <w:rPr>
          <w:rStyle w:val="Refdenotaalpie"/>
          <w:rFonts w:ascii="Arial" w:eastAsia="Calibri" w:hAnsi="Arial" w:cs="Arial"/>
          <w:color w:val="000000" w:themeColor="text1"/>
          <w:sz w:val="22"/>
          <w:lang w:val="es-ES_tradnl"/>
        </w:rPr>
        <w:footnoteReference w:id="11"/>
      </w:r>
      <w:r w:rsidRPr="00801108">
        <w:rPr>
          <w:rFonts w:ascii="Arial" w:eastAsia="Calibri" w:hAnsi="Arial" w:cs="Arial"/>
          <w:color w:val="000000" w:themeColor="text1"/>
          <w:sz w:val="22"/>
          <w:lang w:val="es-ES_tradnl"/>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w:t>
      </w:r>
      <w:r w:rsidRPr="00801108">
        <w:rPr>
          <w:rFonts w:ascii="Arial" w:eastAsia="Calibri" w:hAnsi="Arial" w:cs="Arial"/>
          <w:color w:val="000000" w:themeColor="text1"/>
          <w:sz w:val="22"/>
          <w:lang w:val="es-ES_tradnl"/>
        </w:rPr>
        <w:lastRenderedPageBreak/>
        <w:t xml:space="preserve">firmar la propuesta o presentar una copia de ella, puede subsanar sin que con ello se entienda que acreditó una circunstancia ocurrida con posterioridad al cierre del proceso. </w:t>
      </w:r>
    </w:p>
    <w:p w14:paraId="341D4384" w14:textId="77777777" w:rsidR="00B56B4F" w:rsidRPr="00801108" w:rsidRDefault="00B56B4F" w:rsidP="008F6ABB">
      <w:pPr>
        <w:spacing w:before="120" w:after="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61B3F053" w14:textId="77777777" w:rsidR="00B56B4F" w:rsidRPr="00801108" w:rsidRDefault="00B56B4F" w:rsidP="008F6ABB">
      <w:pPr>
        <w:spacing w:before="120" w:after="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801108">
        <w:rPr>
          <w:rFonts w:ascii="Arial" w:eastAsia="Calibri" w:hAnsi="Arial" w:cs="Arial"/>
          <w:color w:val="000000" w:themeColor="text1"/>
          <w:sz w:val="22"/>
          <w:vertAlign w:val="superscript"/>
          <w:lang w:val="es-ES_tradnl"/>
        </w:rPr>
        <w:footnoteReference w:id="12"/>
      </w:r>
      <w:r w:rsidRPr="00801108">
        <w:rPr>
          <w:rFonts w:ascii="Arial" w:eastAsia="Calibri" w:hAnsi="Arial" w:cs="Arial"/>
          <w:color w:val="000000" w:themeColor="text1"/>
          <w:sz w:val="22"/>
          <w:lang w:val="es-ES_tradnl"/>
        </w:rPr>
        <w:t xml:space="preserve">.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w:t>
      </w:r>
    </w:p>
    <w:p w14:paraId="77B148A6" w14:textId="3ECAD842" w:rsidR="00B56B4F" w:rsidRPr="00801108" w:rsidRDefault="00B56B4F" w:rsidP="00A5144E">
      <w:pPr>
        <w:spacing w:before="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t xml:space="preserve">Visto lo anterior, una vez verificada la ausencia de requisitos y/o documentos de la oferta, para efectos de saber si se puede subsanar, la Administración se debe preguntar, en primer lugar, si lo que hace falta es un </w:t>
      </w:r>
      <w:r w:rsidRPr="00801108">
        <w:rPr>
          <w:rFonts w:ascii="Arial" w:eastAsia="Calibri" w:hAnsi="Arial" w:cs="Arial"/>
          <w:i/>
          <w:color w:val="000000" w:themeColor="text1"/>
          <w:sz w:val="22"/>
          <w:lang w:val="es-ES_tradnl"/>
        </w:rPr>
        <w:t>ítem</w:t>
      </w:r>
      <w:r w:rsidRPr="00801108">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06D73153" w14:textId="77777777" w:rsidR="00057B34" w:rsidRPr="00801108" w:rsidRDefault="00057B34" w:rsidP="00A5144E">
      <w:pPr>
        <w:spacing w:line="276" w:lineRule="auto"/>
        <w:ind w:firstLine="709"/>
        <w:jc w:val="both"/>
        <w:rPr>
          <w:rFonts w:ascii="Arial" w:eastAsia="Calibri" w:hAnsi="Arial" w:cs="Arial"/>
          <w:color w:val="000000" w:themeColor="text1"/>
          <w:sz w:val="22"/>
          <w:lang w:val="es-ES_tradnl"/>
        </w:rPr>
      </w:pPr>
    </w:p>
    <w:p w14:paraId="5B837C44" w14:textId="2CC8C055" w:rsidR="009F7B0A" w:rsidRPr="00801108" w:rsidRDefault="009F7B0A" w:rsidP="00A5144E">
      <w:pPr>
        <w:spacing w:line="276" w:lineRule="auto"/>
        <w:jc w:val="both"/>
        <w:rPr>
          <w:rFonts w:ascii="Arial" w:eastAsia="Calibri" w:hAnsi="Arial" w:cs="Arial"/>
          <w:b/>
          <w:bCs/>
          <w:color w:val="000000" w:themeColor="text1"/>
          <w:sz w:val="22"/>
          <w:lang w:val="es-ES_tradnl"/>
        </w:rPr>
      </w:pPr>
      <w:r w:rsidRPr="00801108">
        <w:rPr>
          <w:rFonts w:ascii="Arial" w:eastAsia="Calibri" w:hAnsi="Arial" w:cs="Arial"/>
          <w:b/>
          <w:bCs/>
          <w:color w:val="000000" w:themeColor="text1"/>
          <w:sz w:val="22"/>
          <w:lang w:val="es-ES_tradnl"/>
        </w:rPr>
        <w:t>2.3. Subsanabilidad en procedimientos de subasta</w:t>
      </w:r>
    </w:p>
    <w:p w14:paraId="502A8A69" w14:textId="77777777" w:rsidR="00617F1D" w:rsidRPr="00801108" w:rsidRDefault="00617F1D" w:rsidP="00A5144E">
      <w:pPr>
        <w:spacing w:line="276" w:lineRule="auto"/>
        <w:jc w:val="both"/>
        <w:rPr>
          <w:rFonts w:ascii="Arial" w:eastAsia="Calibri" w:hAnsi="Arial" w:cs="Arial"/>
          <w:color w:val="000000" w:themeColor="text1"/>
          <w:sz w:val="22"/>
          <w:lang w:val="es-ES_tradnl"/>
        </w:rPr>
      </w:pPr>
    </w:p>
    <w:p w14:paraId="2AFA9A3C" w14:textId="444683D8" w:rsidR="009F7B0A" w:rsidRPr="00801108" w:rsidRDefault="009F7B0A" w:rsidP="00A5144E">
      <w:pPr>
        <w:spacing w:after="120" w:line="276" w:lineRule="auto"/>
        <w:jc w:val="both"/>
        <w:rPr>
          <w:rFonts w:ascii="Arial" w:hAnsi="Arial" w:cs="Arial"/>
          <w:color w:val="000000" w:themeColor="text1"/>
          <w:sz w:val="22"/>
        </w:rPr>
      </w:pPr>
      <w:r w:rsidRPr="00801108">
        <w:rPr>
          <w:rFonts w:ascii="Arial" w:eastAsia="Calibri" w:hAnsi="Arial" w:cs="Arial"/>
          <w:color w:val="000000" w:themeColor="text1"/>
          <w:sz w:val="22"/>
          <w:lang w:val="es-ES_tradnl"/>
        </w:rPr>
        <w:t>La subasta es un mecanismo para la adjudicación de contratos previsto en el artículo 2 de la Ley 1150 de 2007, aplicable a las modalidades de licitación pública, selección abreviada y enajenación de bienes del Estado</w:t>
      </w:r>
      <w:r w:rsidRPr="00801108">
        <w:rPr>
          <w:rFonts w:ascii="Arial" w:eastAsia="Calibri" w:hAnsi="Arial" w:cs="Arial"/>
          <w:color w:val="000000" w:themeColor="text1"/>
          <w:sz w:val="22"/>
          <w:vertAlign w:val="superscript"/>
          <w:lang w:val="es-ES_tradnl"/>
        </w:rPr>
        <w:footnoteReference w:id="13"/>
      </w:r>
      <w:r w:rsidRPr="00801108">
        <w:rPr>
          <w:rFonts w:ascii="Arial" w:eastAsia="Calibri" w:hAnsi="Arial" w:cs="Arial"/>
          <w:color w:val="000000" w:themeColor="text1"/>
          <w:sz w:val="22"/>
          <w:lang w:val="es-ES_tradnl"/>
        </w:rPr>
        <w:t xml:space="preserve">. Según el profesor Ernesto Matallana Camacho </w:t>
      </w:r>
      <w:r w:rsidRPr="00801108">
        <w:rPr>
          <w:rFonts w:ascii="Arial" w:hAnsi="Arial" w:cs="Arial"/>
          <w:color w:val="000000" w:themeColor="text1"/>
          <w:sz w:val="22"/>
        </w:rPr>
        <w:t xml:space="preserve">«Se </w:t>
      </w:r>
      <w:r w:rsidRPr="00801108">
        <w:rPr>
          <w:rFonts w:ascii="Arial" w:hAnsi="Arial" w:cs="Arial"/>
          <w:color w:val="000000" w:themeColor="text1"/>
          <w:sz w:val="22"/>
        </w:rPr>
        <w:lastRenderedPageBreak/>
        <w:t>entiende por subasta inversa para la presentación de la oferta, la puja dinámica, mediante la cual los oferentes, durante un tiempo determinado, ajustan su oferta respecto de aquellas variables susceptibles de ser mejoradas, con el fin de lograr el ofrecimiento que representa la mejor relación costo-beneficio para la entidad, de acuerdo con lo señalado en el pliego de condiciones</w:t>
      </w:r>
      <w:r w:rsidR="00A43FA8" w:rsidRPr="00801108">
        <w:rPr>
          <w:rFonts w:ascii="Arial" w:hAnsi="Arial" w:cs="Arial"/>
          <w:color w:val="000000" w:themeColor="text1"/>
          <w:sz w:val="22"/>
        </w:rPr>
        <w:t>»</w:t>
      </w:r>
      <w:r w:rsidR="00A43FA8" w:rsidRPr="00801108">
        <w:rPr>
          <w:rStyle w:val="Refdenotaalpie"/>
          <w:rFonts w:ascii="Arial" w:hAnsi="Arial" w:cs="Arial"/>
          <w:color w:val="000000" w:themeColor="text1"/>
          <w:sz w:val="22"/>
        </w:rPr>
        <w:footnoteReference w:id="14"/>
      </w:r>
      <w:r w:rsidR="00A43FA8" w:rsidRPr="00801108">
        <w:rPr>
          <w:rFonts w:ascii="Arial" w:hAnsi="Arial" w:cs="Arial"/>
          <w:color w:val="000000" w:themeColor="text1"/>
          <w:sz w:val="22"/>
        </w:rPr>
        <w:t>, mientras que el Jairo Enrique Solano destaca de este mecanismo que</w:t>
      </w:r>
      <w:r w:rsidR="00805134" w:rsidRPr="00801108">
        <w:rPr>
          <w:rFonts w:ascii="Arial" w:hAnsi="Arial" w:cs="Arial"/>
          <w:color w:val="000000" w:themeColor="text1"/>
          <w:sz w:val="22"/>
        </w:rPr>
        <w:t>,</w:t>
      </w:r>
      <w:r w:rsidR="00A43FA8" w:rsidRPr="00801108">
        <w:rPr>
          <w:rFonts w:ascii="Arial" w:hAnsi="Arial" w:cs="Arial"/>
          <w:color w:val="000000" w:themeColor="text1"/>
          <w:sz w:val="22"/>
        </w:rPr>
        <w:t xml:space="preserve"> «al encontrarse definidas las características del bien, lo que se va a evaluar únicamente es el precio, porque se entiende que todos los bienes que se propongan tienen idéntica característica técnica al tratarse de bienes comunes, de ahí la falencia de la modalidad de subasta inversa que se tiene en Colombia, en tanto está limitada a la puja con base al precio»</w:t>
      </w:r>
      <w:r w:rsidR="00A43FA8" w:rsidRPr="00801108">
        <w:rPr>
          <w:rStyle w:val="Refdenotaalpie"/>
          <w:rFonts w:ascii="Arial" w:hAnsi="Arial" w:cs="Arial"/>
          <w:color w:val="000000" w:themeColor="text1"/>
          <w:sz w:val="22"/>
        </w:rPr>
        <w:footnoteReference w:id="15"/>
      </w:r>
      <w:r w:rsidR="00A43FA8" w:rsidRPr="00801108">
        <w:rPr>
          <w:rFonts w:ascii="Arial" w:hAnsi="Arial" w:cs="Arial"/>
          <w:color w:val="000000" w:themeColor="text1"/>
          <w:sz w:val="22"/>
        </w:rPr>
        <w:t xml:space="preserve">. </w:t>
      </w:r>
      <w:r w:rsidRPr="00801108">
        <w:rPr>
          <w:rFonts w:ascii="Arial" w:hAnsi="Arial" w:cs="Arial"/>
          <w:color w:val="000000" w:themeColor="text1"/>
          <w:sz w:val="22"/>
        </w:rPr>
        <w:t xml:space="preserve"> </w:t>
      </w:r>
    </w:p>
    <w:p w14:paraId="1058CEC7" w14:textId="3FCB15F5" w:rsidR="00A26BFD" w:rsidRPr="00801108" w:rsidRDefault="00A43FA8" w:rsidP="008F6ABB">
      <w:pPr>
        <w:spacing w:before="120" w:after="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rPr>
        <w:t>E</w:t>
      </w:r>
      <w:r w:rsidR="00A155F8" w:rsidRPr="00801108">
        <w:rPr>
          <w:rFonts w:ascii="Arial" w:eastAsia="Calibri" w:hAnsi="Arial" w:cs="Arial"/>
          <w:color w:val="000000" w:themeColor="text1"/>
          <w:sz w:val="22"/>
          <w:lang w:val="es-ES_tradnl"/>
        </w:rPr>
        <w:t>n lo que respecta a</w:t>
      </w:r>
      <w:r w:rsidR="00304EC8" w:rsidRPr="00801108">
        <w:rPr>
          <w:rFonts w:ascii="Arial" w:eastAsia="Calibri" w:hAnsi="Arial" w:cs="Arial"/>
          <w:color w:val="000000" w:themeColor="text1"/>
          <w:sz w:val="22"/>
          <w:lang w:val="es-ES_tradnl"/>
        </w:rPr>
        <w:t xml:space="preserve"> la subsanabilidad en procesos de selección en </w:t>
      </w:r>
      <w:r w:rsidR="00EB53C4" w:rsidRPr="00801108">
        <w:rPr>
          <w:rFonts w:ascii="Arial" w:eastAsia="Calibri" w:hAnsi="Arial" w:cs="Arial"/>
          <w:color w:val="000000" w:themeColor="text1"/>
          <w:sz w:val="22"/>
          <w:lang w:val="es-ES_tradnl"/>
        </w:rPr>
        <w:t xml:space="preserve">los </w:t>
      </w:r>
      <w:r w:rsidR="00304EC8" w:rsidRPr="00801108">
        <w:rPr>
          <w:rFonts w:ascii="Arial" w:eastAsia="Calibri" w:hAnsi="Arial" w:cs="Arial"/>
          <w:color w:val="000000" w:themeColor="text1"/>
          <w:sz w:val="22"/>
          <w:lang w:val="es-ES_tradnl"/>
        </w:rPr>
        <w:t>que se utilice el mecanismo de subasta previsto en el a</w:t>
      </w:r>
      <w:r w:rsidR="00A26BFD" w:rsidRPr="00801108">
        <w:rPr>
          <w:rFonts w:ascii="Arial" w:eastAsia="Calibri" w:hAnsi="Arial" w:cs="Arial"/>
          <w:color w:val="000000" w:themeColor="text1"/>
          <w:sz w:val="22"/>
          <w:lang w:val="es-ES_tradnl"/>
        </w:rPr>
        <w:t xml:space="preserve">rtículo 2 de la Ley 1150 de 2007, para las </w:t>
      </w:r>
      <w:r w:rsidR="00A26BFD" w:rsidRPr="00801108">
        <w:rPr>
          <w:rFonts w:ascii="Arial" w:eastAsia="Calibri" w:hAnsi="Arial" w:cs="Arial"/>
          <w:color w:val="000000" w:themeColor="text1"/>
          <w:sz w:val="22"/>
          <w:lang w:val="es-ES_tradnl"/>
        </w:rPr>
        <w:lastRenderedPageBreak/>
        <w:t xml:space="preserve">modalidades </w:t>
      </w:r>
      <w:r w:rsidR="00A155F8" w:rsidRPr="00801108">
        <w:rPr>
          <w:rFonts w:ascii="Arial" w:eastAsia="Calibri" w:hAnsi="Arial" w:cs="Arial"/>
          <w:color w:val="000000" w:themeColor="text1"/>
          <w:sz w:val="22"/>
          <w:lang w:val="es-ES_tradnl"/>
        </w:rPr>
        <w:t xml:space="preserve">de </w:t>
      </w:r>
      <w:r w:rsidR="00A26BFD" w:rsidRPr="00801108">
        <w:rPr>
          <w:rFonts w:ascii="Arial" w:eastAsia="Calibri" w:hAnsi="Arial" w:cs="Arial"/>
          <w:color w:val="000000" w:themeColor="text1"/>
          <w:sz w:val="22"/>
          <w:lang w:val="es-ES_tradnl"/>
        </w:rPr>
        <w:t xml:space="preserve">escogencia </w:t>
      </w:r>
      <w:r w:rsidR="00304EC8" w:rsidRPr="00801108">
        <w:rPr>
          <w:rFonts w:ascii="Arial" w:eastAsia="Calibri" w:hAnsi="Arial" w:cs="Arial"/>
          <w:color w:val="000000" w:themeColor="text1"/>
          <w:sz w:val="22"/>
          <w:lang w:val="es-ES_tradnl"/>
        </w:rPr>
        <w:t>de licitación pública</w:t>
      </w:r>
      <w:r w:rsidR="00A26BFD" w:rsidRPr="00801108">
        <w:rPr>
          <w:rFonts w:ascii="Arial" w:eastAsia="Calibri" w:hAnsi="Arial" w:cs="Arial"/>
          <w:color w:val="000000" w:themeColor="text1"/>
          <w:sz w:val="22"/>
          <w:lang w:val="es-ES_tradnl"/>
        </w:rPr>
        <w:t xml:space="preserve"> y selección abreviada para la adquisición o suministro de bienes y servicios de características técnicas uniformes y de común utilización, así como para enajenación de bienes del estado</w:t>
      </w:r>
      <w:r w:rsidR="00A155F8" w:rsidRPr="00801108">
        <w:rPr>
          <w:rFonts w:ascii="Arial" w:eastAsia="Calibri" w:hAnsi="Arial" w:cs="Arial"/>
          <w:color w:val="000000" w:themeColor="text1"/>
          <w:sz w:val="22"/>
          <w:lang w:val="es-ES_tradnl"/>
        </w:rPr>
        <w:t xml:space="preserve">, </w:t>
      </w:r>
      <w:r w:rsidR="00A26BFD" w:rsidRPr="00801108">
        <w:rPr>
          <w:rFonts w:ascii="Arial" w:eastAsia="Calibri" w:hAnsi="Arial" w:cs="Arial"/>
          <w:color w:val="000000" w:themeColor="text1"/>
          <w:sz w:val="22"/>
          <w:lang w:val="es-ES_tradnl"/>
        </w:rPr>
        <w:t xml:space="preserve">el parágrafo 1 del artículo 5 </w:t>
      </w:r>
      <w:r w:rsidR="00ED54D6" w:rsidRPr="00801108">
        <w:rPr>
          <w:rFonts w:ascii="Arial" w:eastAsia="Calibri" w:hAnsi="Arial" w:cs="Arial"/>
          <w:i/>
          <w:iCs/>
          <w:color w:val="000000" w:themeColor="text1"/>
          <w:sz w:val="22"/>
          <w:lang w:val="es-ES_tradnl"/>
        </w:rPr>
        <w:t>i</w:t>
      </w:r>
      <w:r w:rsidR="00A26BFD" w:rsidRPr="00801108">
        <w:rPr>
          <w:rFonts w:ascii="Arial" w:eastAsia="Calibri" w:hAnsi="Arial" w:cs="Arial"/>
          <w:i/>
          <w:iCs/>
          <w:color w:val="000000" w:themeColor="text1"/>
          <w:sz w:val="22"/>
          <w:lang w:val="es-ES_tradnl"/>
        </w:rPr>
        <w:t>b</w:t>
      </w:r>
      <w:r w:rsidR="00ED54D6" w:rsidRPr="00801108">
        <w:rPr>
          <w:rFonts w:ascii="Arial" w:eastAsia="Calibri" w:hAnsi="Arial" w:cs="Arial"/>
          <w:i/>
          <w:iCs/>
          <w:color w:val="000000" w:themeColor="text1"/>
          <w:sz w:val="22"/>
          <w:lang w:val="es-ES_tradnl"/>
        </w:rPr>
        <w:t>í</w:t>
      </w:r>
      <w:r w:rsidR="00A26BFD" w:rsidRPr="00801108">
        <w:rPr>
          <w:rFonts w:ascii="Arial" w:eastAsia="Calibri" w:hAnsi="Arial" w:cs="Arial"/>
          <w:i/>
          <w:iCs/>
          <w:color w:val="000000" w:themeColor="text1"/>
          <w:sz w:val="22"/>
          <w:lang w:val="es-ES_tradnl"/>
        </w:rPr>
        <w:t xml:space="preserve">dem </w:t>
      </w:r>
      <w:r w:rsidR="00A26BFD" w:rsidRPr="00801108">
        <w:rPr>
          <w:rFonts w:ascii="Arial" w:eastAsia="Calibri" w:hAnsi="Arial" w:cs="Arial"/>
          <w:color w:val="000000" w:themeColor="text1"/>
          <w:sz w:val="22"/>
          <w:lang w:val="es-ES_tradnl"/>
        </w:rPr>
        <w:t>consagra una excepción a</w:t>
      </w:r>
      <w:r w:rsidR="00EB53C4" w:rsidRPr="00801108">
        <w:rPr>
          <w:rFonts w:ascii="Arial" w:eastAsia="Calibri" w:hAnsi="Arial" w:cs="Arial"/>
          <w:color w:val="000000" w:themeColor="text1"/>
          <w:sz w:val="22"/>
          <w:lang w:val="es-ES_tradnl"/>
        </w:rPr>
        <w:t>l término general</w:t>
      </w:r>
      <w:r w:rsidR="00A26BFD" w:rsidRPr="00801108">
        <w:rPr>
          <w:rFonts w:ascii="Arial" w:eastAsia="Calibri" w:hAnsi="Arial" w:cs="Arial"/>
          <w:color w:val="000000" w:themeColor="text1"/>
          <w:sz w:val="22"/>
          <w:lang w:val="es-ES_tradnl"/>
        </w:rPr>
        <w:t xml:space="preserve"> de subsanabilidad antes explicad</w:t>
      </w:r>
      <w:r w:rsidR="00EB53C4" w:rsidRPr="00801108">
        <w:rPr>
          <w:rFonts w:ascii="Arial" w:eastAsia="Calibri" w:hAnsi="Arial" w:cs="Arial"/>
          <w:color w:val="000000" w:themeColor="text1"/>
          <w:sz w:val="22"/>
          <w:lang w:val="es-ES_tradnl"/>
        </w:rPr>
        <w:t>o</w:t>
      </w:r>
      <w:r w:rsidR="00A26BFD" w:rsidRPr="00801108">
        <w:rPr>
          <w:rFonts w:ascii="Arial" w:eastAsia="Calibri" w:hAnsi="Arial" w:cs="Arial"/>
          <w:color w:val="000000" w:themeColor="text1"/>
          <w:sz w:val="22"/>
          <w:lang w:val="es-ES_tradnl"/>
        </w:rPr>
        <w:t xml:space="preserve">, la cual es desarrollada por el parágrafo </w:t>
      </w:r>
      <w:r w:rsidR="00ED54D6" w:rsidRPr="00801108">
        <w:rPr>
          <w:rFonts w:ascii="Arial" w:eastAsia="Calibri" w:hAnsi="Arial" w:cs="Arial"/>
          <w:color w:val="000000" w:themeColor="text1"/>
          <w:sz w:val="22"/>
          <w:lang w:val="es-ES_tradnl"/>
        </w:rPr>
        <w:t>4</w:t>
      </w:r>
      <w:r w:rsidR="00A26BFD" w:rsidRPr="00801108">
        <w:rPr>
          <w:rFonts w:ascii="Arial" w:eastAsia="Calibri" w:hAnsi="Arial" w:cs="Arial"/>
          <w:color w:val="000000" w:themeColor="text1"/>
          <w:sz w:val="22"/>
          <w:lang w:val="es-ES_tradnl"/>
        </w:rPr>
        <w:t>° adicionado por la Ley 1882 de 2018, en los siguientes términos:</w:t>
      </w:r>
      <w:r w:rsidR="00ED54D6" w:rsidRPr="00801108">
        <w:rPr>
          <w:rFonts w:ascii="Arial" w:eastAsia="Calibri" w:hAnsi="Arial" w:cs="Arial"/>
          <w:color w:val="000000" w:themeColor="text1"/>
          <w:sz w:val="22"/>
          <w:lang w:val="es-ES_tradnl"/>
        </w:rPr>
        <w:t xml:space="preserve"> «</w:t>
      </w:r>
      <w:r w:rsidR="00A26BFD" w:rsidRPr="00801108">
        <w:rPr>
          <w:rFonts w:ascii="Arial" w:eastAsia="Calibri" w:hAnsi="Arial" w:cs="Arial"/>
          <w:color w:val="000000" w:themeColor="text1"/>
          <w:sz w:val="22"/>
          <w:lang w:val="es-ES_tradnl"/>
        </w:rPr>
        <w:t>Parágrafo 4o.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00ED54D6" w:rsidRPr="00801108">
        <w:rPr>
          <w:rFonts w:ascii="Arial" w:eastAsia="Calibri" w:hAnsi="Arial" w:cs="Arial"/>
          <w:color w:val="000000" w:themeColor="text1"/>
          <w:sz w:val="22"/>
          <w:lang w:val="es-ES_tradnl"/>
        </w:rPr>
        <w:t>».</w:t>
      </w:r>
    </w:p>
    <w:p w14:paraId="339FF747" w14:textId="11EA4830" w:rsidR="0000562F" w:rsidRPr="00801108" w:rsidRDefault="00ED54D6" w:rsidP="008F6ABB">
      <w:pPr>
        <w:spacing w:before="120" w:after="120" w:line="276" w:lineRule="auto"/>
        <w:ind w:firstLine="709"/>
        <w:jc w:val="both"/>
        <w:rPr>
          <w:rFonts w:ascii="Arial" w:eastAsia="Calibri" w:hAnsi="Arial" w:cs="Arial"/>
          <w:color w:val="000000" w:themeColor="text1"/>
          <w:sz w:val="22"/>
          <w:lang w:val="es-ES_tradnl"/>
        </w:rPr>
      </w:pPr>
      <w:r w:rsidRPr="00801108">
        <w:rPr>
          <w:rFonts w:ascii="Arial" w:eastAsia="Calibri" w:hAnsi="Arial" w:cs="Arial"/>
          <w:color w:val="000000" w:themeColor="text1"/>
          <w:sz w:val="22"/>
          <w:lang w:val="es-ES_tradnl"/>
        </w:rPr>
        <w:t xml:space="preserve">El procedimiento </w:t>
      </w:r>
      <w:r w:rsidR="0000562F" w:rsidRPr="00801108">
        <w:rPr>
          <w:rFonts w:ascii="Arial" w:eastAsia="Calibri" w:hAnsi="Arial" w:cs="Arial"/>
          <w:color w:val="000000" w:themeColor="text1"/>
          <w:sz w:val="22"/>
          <w:lang w:val="es-ES_tradnl"/>
        </w:rPr>
        <w:t>aplicable al mecanismo de subasta inversa se encuentra regulado por el artículo 2.2.1.2.1.2.2 del Decreto 1082 de 2015, el cual también es aplicable a procedimientos en los que se</w:t>
      </w:r>
      <w:r w:rsidR="0000562F" w:rsidRPr="00801108">
        <w:rPr>
          <w:rFonts w:ascii="Arial" w:hAnsi="Arial" w:cs="Arial"/>
          <w:color w:val="000000" w:themeColor="text1"/>
          <w:sz w:val="22"/>
        </w:rPr>
        <w:t xml:space="preserve"> enajenen bienes del Estado con el mecanismo de subasta pública</w:t>
      </w:r>
      <w:r w:rsidR="00D643A3" w:rsidRPr="00801108">
        <w:rPr>
          <w:rFonts w:ascii="Arial" w:hAnsi="Arial" w:cs="Arial"/>
          <w:color w:val="000000" w:themeColor="text1"/>
          <w:sz w:val="22"/>
        </w:rPr>
        <w:t>,</w:t>
      </w:r>
      <w:r w:rsidR="0000562F" w:rsidRPr="00801108">
        <w:rPr>
          <w:rFonts w:ascii="Arial" w:hAnsi="Arial" w:cs="Arial"/>
          <w:color w:val="000000" w:themeColor="text1"/>
          <w:sz w:val="22"/>
        </w:rPr>
        <w:t xml:space="preserve"> de conformidad con el artículo 2.2.1.2.2.2.2, con la particularidad de que el respectivo bien deberá ser adjudicado al oferente que haya ofrecido el mayor valor a pagar por los bienes objeto de enajenación y el </w:t>
      </w:r>
      <w:r w:rsidR="00D643A3" w:rsidRPr="00801108">
        <w:rPr>
          <w:rFonts w:ascii="Arial" w:hAnsi="Arial" w:cs="Arial"/>
          <w:color w:val="000000" w:themeColor="text1"/>
          <w:sz w:val="22"/>
        </w:rPr>
        <w:t>m</w:t>
      </w:r>
      <w:r w:rsidR="0000562F" w:rsidRPr="00801108">
        <w:rPr>
          <w:rFonts w:ascii="Arial" w:hAnsi="Arial" w:cs="Arial"/>
          <w:color w:val="000000" w:themeColor="text1"/>
          <w:sz w:val="22"/>
        </w:rPr>
        <w:t xml:space="preserve">argen </w:t>
      </w:r>
      <w:r w:rsidR="00D643A3" w:rsidRPr="00801108">
        <w:rPr>
          <w:rFonts w:ascii="Arial" w:hAnsi="Arial" w:cs="Arial"/>
          <w:color w:val="000000" w:themeColor="text1"/>
          <w:sz w:val="22"/>
        </w:rPr>
        <w:t>m</w:t>
      </w:r>
      <w:r w:rsidR="0000562F" w:rsidRPr="00801108">
        <w:rPr>
          <w:rFonts w:ascii="Arial" w:hAnsi="Arial" w:cs="Arial"/>
          <w:color w:val="000000" w:themeColor="text1"/>
          <w:sz w:val="22"/>
        </w:rPr>
        <w:t>ínimo debe ser al alza, a diferencia de la subasta inversa.  </w:t>
      </w:r>
    </w:p>
    <w:p w14:paraId="03C7F28E" w14:textId="1F7A1F95" w:rsidR="00ED54D6" w:rsidRPr="00801108" w:rsidRDefault="0000562F" w:rsidP="008F6ABB">
      <w:pPr>
        <w:spacing w:before="120" w:after="120" w:line="276" w:lineRule="auto"/>
        <w:ind w:firstLine="709"/>
        <w:jc w:val="both"/>
        <w:rPr>
          <w:rFonts w:ascii="Arial" w:eastAsia="Calibri" w:hAnsi="Arial" w:cs="Arial"/>
          <w:color w:val="000000" w:themeColor="text1"/>
          <w:sz w:val="22"/>
        </w:rPr>
      </w:pPr>
      <w:r w:rsidRPr="00801108">
        <w:rPr>
          <w:rFonts w:ascii="Arial" w:eastAsia="Calibri" w:hAnsi="Arial" w:cs="Arial"/>
          <w:color w:val="000000" w:themeColor="text1"/>
          <w:sz w:val="22"/>
          <w:lang w:val="es-ES_tradnl"/>
        </w:rPr>
        <w:t xml:space="preserve"> Dicha norma estable</w:t>
      </w:r>
      <w:r w:rsidR="00EF21B8" w:rsidRPr="00801108">
        <w:rPr>
          <w:rFonts w:ascii="Arial" w:eastAsia="Calibri" w:hAnsi="Arial" w:cs="Arial"/>
          <w:color w:val="000000" w:themeColor="text1"/>
          <w:sz w:val="22"/>
          <w:lang w:val="es-ES_tradnl"/>
        </w:rPr>
        <w:t>ce</w:t>
      </w:r>
      <w:r w:rsidRPr="00801108">
        <w:rPr>
          <w:rFonts w:ascii="Arial" w:eastAsia="Calibri" w:hAnsi="Arial" w:cs="Arial"/>
          <w:color w:val="000000" w:themeColor="text1"/>
          <w:sz w:val="22"/>
          <w:lang w:val="es-ES_tradnl"/>
        </w:rPr>
        <w:t xml:space="preserve"> que en l</w:t>
      </w:r>
      <w:r w:rsidRPr="00801108">
        <w:rPr>
          <w:rFonts w:ascii="Arial" w:eastAsia="Calibri" w:hAnsi="Arial" w:cs="Arial"/>
          <w:color w:val="000000" w:themeColor="text1"/>
          <w:sz w:val="22"/>
        </w:rPr>
        <w:t>os pliegos de condiciones</w:t>
      </w:r>
      <w:r w:rsidR="00EF21B8" w:rsidRPr="00801108">
        <w:rPr>
          <w:rFonts w:ascii="Arial" w:eastAsia="Calibri" w:hAnsi="Arial" w:cs="Arial"/>
          <w:color w:val="000000" w:themeColor="text1"/>
          <w:sz w:val="22"/>
        </w:rPr>
        <w:t xml:space="preserve"> de estos procedimientos se debe</w:t>
      </w:r>
      <w:r w:rsidRPr="00801108">
        <w:rPr>
          <w:rFonts w:ascii="Arial" w:eastAsia="Calibri" w:hAnsi="Arial" w:cs="Arial"/>
          <w:color w:val="000000" w:themeColor="text1"/>
          <w:sz w:val="22"/>
        </w:rPr>
        <w:t xml:space="preserve"> indicar: a) la fecha y hora de inicio de la subasta; b) la periodicidad de los </w:t>
      </w:r>
      <w:r w:rsidR="00D643A3" w:rsidRPr="00801108">
        <w:rPr>
          <w:rFonts w:ascii="Arial" w:eastAsia="Calibri" w:hAnsi="Arial" w:cs="Arial"/>
          <w:color w:val="000000" w:themeColor="text1"/>
          <w:sz w:val="22"/>
        </w:rPr>
        <w:t>l</w:t>
      </w:r>
      <w:r w:rsidRPr="00801108">
        <w:rPr>
          <w:rFonts w:ascii="Arial" w:eastAsia="Calibri" w:hAnsi="Arial" w:cs="Arial"/>
          <w:color w:val="000000" w:themeColor="text1"/>
          <w:sz w:val="22"/>
        </w:rPr>
        <w:t xml:space="preserve">ances; y c) el </w:t>
      </w:r>
      <w:r w:rsidR="00D643A3" w:rsidRPr="00801108">
        <w:rPr>
          <w:rFonts w:ascii="Arial" w:eastAsia="Calibri" w:hAnsi="Arial" w:cs="Arial"/>
          <w:color w:val="000000" w:themeColor="text1"/>
          <w:sz w:val="22"/>
        </w:rPr>
        <w:t>m</w:t>
      </w:r>
      <w:r w:rsidRPr="00801108">
        <w:rPr>
          <w:rFonts w:ascii="Arial" w:eastAsia="Calibri" w:hAnsi="Arial" w:cs="Arial"/>
          <w:color w:val="000000" w:themeColor="text1"/>
          <w:sz w:val="22"/>
        </w:rPr>
        <w:t xml:space="preserve">argen </w:t>
      </w:r>
      <w:r w:rsidR="00D643A3" w:rsidRPr="00801108">
        <w:rPr>
          <w:rFonts w:ascii="Arial" w:eastAsia="Calibri" w:hAnsi="Arial" w:cs="Arial"/>
          <w:color w:val="000000" w:themeColor="text1"/>
          <w:sz w:val="22"/>
        </w:rPr>
        <w:t>m</w:t>
      </w:r>
      <w:r w:rsidRPr="00801108">
        <w:rPr>
          <w:rFonts w:ascii="Arial" w:eastAsia="Calibri" w:hAnsi="Arial" w:cs="Arial"/>
          <w:color w:val="000000" w:themeColor="text1"/>
          <w:sz w:val="22"/>
        </w:rPr>
        <w:t>ínimo para mejorar la oferta durante la subasta inversa</w:t>
      </w:r>
      <w:r w:rsidR="00EF21B8" w:rsidRPr="00801108">
        <w:rPr>
          <w:rFonts w:ascii="Arial" w:eastAsia="Calibri" w:hAnsi="Arial" w:cs="Arial"/>
          <w:color w:val="000000" w:themeColor="text1"/>
          <w:sz w:val="22"/>
          <w:vertAlign w:val="superscript"/>
          <w:lang w:val="es-ES_tradnl"/>
        </w:rPr>
        <w:footnoteReference w:id="16"/>
      </w:r>
      <w:r w:rsidR="00EF21B8" w:rsidRPr="00801108">
        <w:rPr>
          <w:rFonts w:ascii="Arial" w:eastAsia="Calibri" w:hAnsi="Arial" w:cs="Arial"/>
          <w:color w:val="000000" w:themeColor="text1"/>
          <w:sz w:val="22"/>
        </w:rPr>
        <w:t xml:space="preserve">. Así mismo el </w:t>
      </w:r>
      <w:r w:rsidR="00EF21B8" w:rsidRPr="00801108">
        <w:rPr>
          <w:rFonts w:ascii="Arial" w:eastAsia="Calibri" w:hAnsi="Arial" w:cs="Arial"/>
          <w:color w:val="000000" w:themeColor="text1"/>
          <w:sz w:val="22"/>
        </w:rPr>
        <w:lastRenderedPageBreak/>
        <w:t>Decreto 1082 de 2015, contempla la posibilidad de que las entidades realicen procesos de subasta de manera presencial o electrónica, precisando que para este último evento el pliego de condiciones deberá establecer el sistema que utilizará y los mecanismos de seguridad para el intercambio de mensaje de datos</w:t>
      </w:r>
      <w:r w:rsidR="00EF21B8" w:rsidRPr="00801108">
        <w:rPr>
          <w:rStyle w:val="Refdenotaalpie"/>
          <w:rFonts w:ascii="Arial" w:eastAsia="Calibri" w:hAnsi="Arial" w:cs="Arial"/>
          <w:color w:val="000000" w:themeColor="text1"/>
          <w:sz w:val="22"/>
        </w:rPr>
        <w:footnoteReference w:id="17"/>
      </w:r>
      <w:r w:rsidR="00EF21B8" w:rsidRPr="00801108">
        <w:rPr>
          <w:rFonts w:ascii="Arial" w:eastAsia="Calibri" w:hAnsi="Arial" w:cs="Arial"/>
          <w:color w:val="000000" w:themeColor="text1"/>
          <w:sz w:val="22"/>
        </w:rPr>
        <w:t xml:space="preserve">.  </w:t>
      </w:r>
    </w:p>
    <w:p w14:paraId="7993334D" w14:textId="46AB3472" w:rsidR="00C22BD5" w:rsidRPr="00801108" w:rsidRDefault="00F70A57" w:rsidP="008F6ABB">
      <w:pPr>
        <w:spacing w:before="120" w:after="120" w:line="276" w:lineRule="auto"/>
        <w:ind w:firstLine="709"/>
        <w:jc w:val="both"/>
        <w:rPr>
          <w:rFonts w:ascii="Arial" w:hAnsi="Arial" w:cs="Arial"/>
          <w:color w:val="000000" w:themeColor="text1"/>
          <w:sz w:val="22"/>
          <w:lang w:val="es-ES_tradnl"/>
        </w:rPr>
      </w:pPr>
      <w:r w:rsidRPr="00801108">
        <w:rPr>
          <w:rFonts w:ascii="Arial" w:eastAsia="Calibri" w:hAnsi="Arial" w:cs="Arial"/>
          <w:color w:val="000000" w:themeColor="text1"/>
          <w:sz w:val="22"/>
        </w:rPr>
        <w:t xml:space="preserve">De conformidad con lo anterior, la regla </w:t>
      </w:r>
      <w:r w:rsidR="00D643A3" w:rsidRPr="00801108">
        <w:rPr>
          <w:rFonts w:ascii="Arial" w:eastAsia="Calibri" w:hAnsi="Arial" w:cs="Arial"/>
          <w:color w:val="000000" w:themeColor="text1"/>
          <w:sz w:val="22"/>
        </w:rPr>
        <w:t xml:space="preserve">especial </w:t>
      </w:r>
      <w:r w:rsidRPr="00801108">
        <w:rPr>
          <w:rFonts w:ascii="Arial" w:eastAsia="Calibri" w:hAnsi="Arial" w:cs="Arial"/>
          <w:color w:val="000000" w:themeColor="text1"/>
          <w:sz w:val="22"/>
        </w:rPr>
        <w:t xml:space="preserve">de subsanabilidad establecida </w:t>
      </w:r>
      <w:r w:rsidR="00D643A3" w:rsidRPr="00801108">
        <w:rPr>
          <w:rFonts w:ascii="Arial" w:eastAsia="Calibri" w:hAnsi="Arial" w:cs="Arial"/>
          <w:color w:val="000000" w:themeColor="text1"/>
          <w:sz w:val="22"/>
        </w:rPr>
        <w:t xml:space="preserve">en </w:t>
      </w:r>
      <w:r w:rsidRPr="00801108">
        <w:rPr>
          <w:rFonts w:ascii="Arial" w:eastAsia="Calibri" w:hAnsi="Arial" w:cs="Arial"/>
          <w:color w:val="000000" w:themeColor="text1"/>
          <w:sz w:val="22"/>
        </w:rPr>
        <w:t xml:space="preserve">el parágrafo 4° del artículo 5 de la Ley 1150 de 2007 para el mecanismo de subasta inversa permite a </w:t>
      </w:r>
      <w:r w:rsidR="00C22BD5" w:rsidRPr="00801108">
        <w:rPr>
          <w:rFonts w:ascii="Arial" w:eastAsia="Calibri" w:hAnsi="Arial" w:cs="Arial"/>
          <w:color w:val="000000" w:themeColor="text1"/>
          <w:sz w:val="22"/>
        </w:rPr>
        <w:t>las entidades solicitar</w:t>
      </w:r>
      <w:r w:rsidR="006A6CF5" w:rsidRPr="00801108">
        <w:rPr>
          <w:rFonts w:ascii="Arial" w:eastAsia="Calibri" w:hAnsi="Arial" w:cs="Arial"/>
          <w:color w:val="000000" w:themeColor="text1"/>
          <w:sz w:val="22"/>
        </w:rPr>
        <w:t xml:space="preserve"> a los oferentes que subsanen</w:t>
      </w:r>
      <w:r w:rsidR="00C22BD5" w:rsidRPr="00801108">
        <w:rPr>
          <w:rFonts w:ascii="Arial" w:eastAsia="Calibri" w:hAnsi="Arial" w:cs="Arial"/>
          <w:color w:val="000000" w:themeColor="text1"/>
          <w:sz w:val="22"/>
        </w:rPr>
        <w:t xml:space="preserve"> </w:t>
      </w:r>
      <w:r w:rsidR="00C22BD5" w:rsidRPr="00801108">
        <w:rPr>
          <w:rFonts w:ascii="Arial" w:hAnsi="Arial" w:cs="Arial"/>
          <w:color w:val="000000" w:themeColor="text1"/>
          <w:sz w:val="22"/>
        </w:rPr>
        <w:t xml:space="preserve">los documentos referentes a la futura contratación no necesarios para la comparación de las propuestas, hasta el momento previo a la realización a la audiencia a la que hace referencia el artículo </w:t>
      </w:r>
      <w:r w:rsidR="00C22BD5" w:rsidRPr="00801108">
        <w:rPr>
          <w:rFonts w:ascii="Arial" w:hAnsi="Arial" w:cs="Arial"/>
          <w:color w:val="000000" w:themeColor="text1"/>
          <w:sz w:val="22"/>
          <w:lang w:val="es-ES_tradnl"/>
        </w:rPr>
        <w:t>2.2.1.2.1.2.2 del Decreto 1082 de 2015, momento que</w:t>
      </w:r>
      <w:r w:rsidR="006A6CF5" w:rsidRPr="00801108">
        <w:rPr>
          <w:rFonts w:ascii="Arial" w:hAnsi="Arial" w:cs="Arial"/>
          <w:color w:val="000000" w:themeColor="text1"/>
          <w:sz w:val="22"/>
          <w:lang w:val="es-ES_tradnl"/>
        </w:rPr>
        <w:t>,</w:t>
      </w:r>
      <w:r w:rsidR="00C22BD5" w:rsidRPr="00801108">
        <w:rPr>
          <w:rFonts w:ascii="Arial" w:hAnsi="Arial" w:cs="Arial"/>
          <w:color w:val="000000" w:themeColor="text1"/>
          <w:sz w:val="22"/>
          <w:lang w:val="es-ES_tradnl"/>
        </w:rPr>
        <w:t xml:space="preserve"> además</w:t>
      </w:r>
      <w:r w:rsidR="006A6CF5" w:rsidRPr="00801108">
        <w:rPr>
          <w:rFonts w:ascii="Arial" w:hAnsi="Arial" w:cs="Arial"/>
          <w:color w:val="000000" w:themeColor="text1"/>
          <w:sz w:val="22"/>
          <w:lang w:val="es-ES_tradnl"/>
        </w:rPr>
        <w:t>,</w:t>
      </w:r>
      <w:r w:rsidR="00C22BD5" w:rsidRPr="00801108">
        <w:rPr>
          <w:rFonts w:ascii="Arial" w:hAnsi="Arial" w:cs="Arial"/>
          <w:color w:val="000000" w:themeColor="text1"/>
          <w:sz w:val="22"/>
          <w:lang w:val="es-ES_tradnl"/>
        </w:rPr>
        <w:t xml:space="preserve"> deberá estar señalado en el pliego de condiciones, independientemente de que la entidad opte para desarrollar la audiencia de manera presencial o través del algún mecanismos electrónico.</w:t>
      </w:r>
      <w:r w:rsidR="00C34032" w:rsidRPr="00801108">
        <w:rPr>
          <w:rFonts w:ascii="Arial" w:hAnsi="Arial" w:cs="Arial"/>
          <w:color w:val="000000" w:themeColor="text1"/>
          <w:sz w:val="22"/>
          <w:lang w:val="es-ES_tradnl"/>
        </w:rPr>
        <w:t xml:space="preserve"> </w:t>
      </w:r>
    </w:p>
    <w:p w14:paraId="0130D907" w14:textId="54726A9B" w:rsidR="00C34032" w:rsidRPr="00801108" w:rsidRDefault="00C34032" w:rsidP="008F6ABB">
      <w:pPr>
        <w:spacing w:before="120" w:after="120" w:line="276" w:lineRule="auto"/>
        <w:ind w:firstLine="709"/>
        <w:jc w:val="both"/>
        <w:rPr>
          <w:rFonts w:ascii="Arial" w:hAnsi="Arial" w:cs="Arial"/>
          <w:color w:val="000000" w:themeColor="text1"/>
          <w:sz w:val="22"/>
          <w:lang w:val="es-CO"/>
        </w:rPr>
      </w:pPr>
      <w:r w:rsidRPr="00801108">
        <w:rPr>
          <w:rFonts w:ascii="Arial" w:hAnsi="Arial" w:cs="Arial"/>
          <w:color w:val="000000" w:themeColor="text1"/>
          <w:sz w:val="22"/>
          <w:lang w:val="es-ES_tradnl"/>
        </w:rPr>
        <w:t>Esto sin perjuicio de que las entidades</w:t>
      </w:r>
      <w:r w:rsidR="006A6CF5" w:rsidRPr="00801108">
        <w:rPr>
          <w:rFonts w:ascii="Arial" w:hAnsi="Arial" w:cs="Arial"/>
          <w:color w:val="000000" w:themeColor="text1"/>
          <w:sz w:val="22"/>
          <w:lang w:val="es-ES_tradnl"/>
        </w:rPr>
        <w:t>,</w:t>
      </w:r>
      <w:r w:rsidRPr="00801108">
        <w:rPr>
          <w:rFonts w:ascii="Arial" w:hAnsi="Arial" w:cs="Arial"/>
          <w:color w:val="000000" w:themeColor="text1"/>
          <w:sz w:val="22"/>
          <w:lang w:val="es-ES_tradnl"/>
        </w:rPr>
        <w:t xml:space="preserve"> de conformidad con el numeral 3 del artículo 2.2.1.2.1.2.2 del Decreto 1082 de 2015, antes de la realización de la subasta deb</w:t>
      </w:r>
      <w:r w:rsidR="006A6CF5" w:rsidRPr="00801108">
        <w:rPr>
          <w:rFonts w:ascii="Arial" w:hAnsi="Arial" w:cs="Arial"/>
          <w:color w:val="000000" w:themeColor="text1"/>
          <w:sz w:val="22"/>
          <w:lang w:val="es-ES_tradnl"/>
        </w:rPr>
        <w:t>a</w:t>
      </w:r>
      <w:r w:rsidRPr="00801108">
        <w:rPr>
          <w:rFonts w:ascii="Arial" w:hAnsi="Arial" w:cs="Arial"/>
          <w:color w:val="000000" w:themeColor="text1"/>
          <w:sz w:val="22"/>
          <w:lang w:val="es-ES_tradnl"/>
        </w:rPr>
        <w:t>n «publicar un informe de habilitación de los oferentes, en el cual debe indicar si los bienes o servicios ofrecidos por el interesado cumplen con la ficha técnica y si el oferente se encuentra habilitado», publicación que si bien no pone fin a la oportunidad de los proponentes para percatarse de los yerros susceptibles de subsanación,</w:t>
      </w:r>
      <w:r w:rsidR="00BE404A" w:rsidRPr="00801108">
        <w:rPr>
          <w:rFonts w:ascii="Arial" w:hAnsi="Arial" w:cs="Arial"/>
          <w:color w:val="000000" w:themeColor="text1"/>
          <w:sz w:val="22"/>
          <w:lang w:val="es-ES_tradnl"/>
        </w:rPr>
        <w:t xml:space="preserve"> </w:t>
      </w:r>
      <w:r w:rsidRPr="00801108">
        <w:rPr>
          <w:rFonts w:ascii="Arial" w:hAnsi="Arial" w:cs="Arial"/>
          <w:color w:val="000000" w:themeColor="text1"/>
          <w:sz w:val="22"/>
          <w:lang w:val="es-ES_tradnl"/>
        </w:rPr>
        <w:t xml:space="preserve">corresponde </w:t>
      </w:r>
      <w:r w:rsidR="00BE404A" w:rsidRPr="00801108">
        <w:rPr>
          <w:rFonts w:ascii="Arial" w:hAnsi="Arial" w:cs="Arial"/>
          <w:color w:val="000000" w:themeColor="text1"/>
          <w:sz w:val="22"/>
          <w:lang w:val="es-ES_tradnl"/>
        </w:rPr>
        <w:t xml:space="preserve">a </w:t>
      </w:r>
      <w:r w:rsidRPr="00801108">
        <w:rPr>
          <w:rFonts w:ascii="Arial" w:hAnsi="Arial" w:cs="Arial"/>
          <w:color w:val="000000" w:themeColor="text1"/>
          <w:sz w:val="22"/>
          <w:lang w:val="es-ES_tradnl"/>
        </w:rPr>
        <w:t xml:space="preserve">la oportunidad idónea para </w:t>
      </w:r>
      <w:r w:rsidR="00BE404A" w:rsidRPr="00801108">
        <w:rPr>
          <w:rFonts w:ascii="Arial" w:hAnsi="Arial" w:cs="Arial"/>
          <w:color w:val="000000" w:themeColor="text1"/>
          <w:sz w:val="22"/>
          <w:lang w:val="es-ES_tradnl"/>
        </w:rPr>
        <w:t xml:space="preserve">que </w:t>
      </w:r>
      <w:r w:rsidRPr="00801108">
        <w:rPr>
          <w:rFonts w:ascii="Arial" w:hAnsi="Arial" w:cs="Arial"/>
          <w:color w:val="000000" w:themeColor="text1"/>
          <w:sz w:val="22"/>
          <w:lang w:val="es-ES_tradnl"/>
        </w:rPr>
        <w:t xml:space="preserve">los proponentes </w:t>
      </w:r>
      <w:r w:rsidR="00BE404A" w:rsidRPr="00801108">
        <w:rPr>
          <w:rFonts w:ascii="Arial" w:hAnsi="Arial" w:cs="Arial"/>
          <w:color w:val="000000" w:themeColor="text1"/>
          <w:sz w:val="22"/>
          <w:lang w:val="es-ES_tradnl"/>
        </w:rPr>
        <w:t>se percaten</w:t>
      </w:r>
      <w:r w:rsidRPr="00801108">
        <w:rPr>
          <w:rFonts w:ascii="Arial" w:hAnsi="Arial" w:cs="Arial"/>
          <w:color w:val="000000" w:themeColor="text1"/>
          <w:sz w:val="22"/>
          <w:lang w:val="es-ES_tradnl"/>
        </w:rPr>
        <w:t xml:space="preserve"> de los mismos y </w:t>
      </w:r>
      <w:r w:rsidR="00BE404A" w:rsidRPr="00801108">
        <w:rPr>
          <w:rFonts w:ascii="Arial" w:hAnsi="Arial" w:cs="Arial"/>
          <w:color w:val="000000" w:themeColor="text1"/>
          <w:sz w:val="22"/>
          <w:lang w:val="es-ES_tradnl"/>
        </w:rPr>
        <w:t xml:space="preserve">procedan </w:t>
      </w:r>
      <w:r w:rsidRPr="00801108">
        <w:rPr>
          <w:rFonts w:ascii="Arial" w:hAnsi="Arial" w:cs="Arial"/>
          <w:color w:val="000000" w:themeColor="text1"/>
          <w:sz w:val="22"/>
          <w:lang w:val="es-ES_tradnl"/>
        </w:rPr>
        <w:t>a su corrección</w:t>
      </w:r>
      <w:r w:rsidR="008F6ABB" w:rsidRPr="00801108">
        <w:rPr>
          <w:rFonts w:ascii="Arial" w:hAnsi="Arial" w:cs="Arial"/>
          <w:color w:val="000000" w:themeColor="text1"/>
          <w:sz w:val="22"/>
          <w:lang w:val="es-ES_tradnl"/>
        </w:rPr>
        <w:t>.</w:t>
      </w:r>
      <w:r w:rsidRPr="00801108">
        <w:rPr>
          <w:rFonts w:ascii="Arial" w:hAnsi="Arial" w:cs="Arial"/>
          <w:color w:val="000000" w:themeColor="text1"/>
          <w:sz w:val="22"/>
          <w:lang w:val="es-ES_tradnl"/>
        </w:rPr>
        <w:t xml:space="preserve">  </w:t>
      </w:r>
    </w:p>
    <w:p w14:paraId="64CCCB78" w14:textId="2E3FECD0" w:rsidR="00C22BD5" w:rsidRPr="00801108" w:rsidRDefault="00C22BD5" w:rsidP="008F6ABB">
      <w:pPr>
        <w:spacing w:before="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Ahora, no debe perderse de vista que para este tipo de procedimientos también serán aplicables los criterios arriba desarrollados para determinar si los documentos faltantes son susceptibles de subsanación, </w:t>
      </w:r>
      <w:r w:rsidR="00BE404A" w:rsidRPr="00801108">
        <w:rPr>
          <w:rFonts w:ascii="Arial" w:hAnsi="Arial" w:cs="Arial"/>
          <w:color w:val="000000" w:themeColor="text1"/>
          <w:sz w:val="22"/>
          <w:lang w:val="es-ES_tradnl"/>
        </w:rPr>
        <w:t xml:space="preserve">dependiendo de </w:t>
      </w:r>
      <w:r w:rsidRPr="00801108">
        <w:rPr>
          <w:rFonts w:ascii="Arial" w:hAnsi="Arial" w:cs="Arial"/>
          <w:color w:val="000000" w:themeColor="text1"/>
          <w:sz w:val="22"/>
          <w:lang w:val="es-ES_tradnl"/>
        </w:rPr>
        <w:t xml:space="preserve">si se trata de </w:t>
      </w:r>
      <w:r w:rsidR="00BE404A" w:rsidRPr="00801108">
        <w:rPr>
          <w:rFonts w:ascii="Arial" w:hAnsi="Arial" w:cs="Arial"/>
          <w:color w:val="000000" w:themeColor="text1"/>
          <w:sz w:val="22"/>
          <w:lang w:val="es-ES_tradnl"/>
        </w:rPr>
        <w:t xml:space="preserve">un </w:t>
      </w:r>
      <w:r w:rsidRPr="00801108">
        <w:rPr>
          <w:rFonts w:ascii="Arial" w:hAnsi="Arial" w:cs="Arial"/>
          <w:i/>
          <w:iCs/>
          <w:color w:val="000000" w:themeColor="text1"/>
          <w:sz w:val="22"/>
          <w:lang w:val="es-ES_tradnl"/>
        </w:rPr>
        <w:t xml:space="preserve">ítem </w:t>
      </w:r>
      <w:r w:rsidRPr="00801108">
        <w:rPr>
          <w:rFonts w:ascii="Arial" w:hAnsi="Arial" w:cs="Arial"/>
          <w:color w:val="000000" w:themeColor="text1"/>
          <w:sz w:val="22"/>
          <w:lang w:val="es-ES_tradnl"/>
        </w:rPr>
        <w:t xml:space="preserve">que otorga o no puntaje, y si </w:t>
      </w:r>
      <w:r w:rsidR="00BE404A" w:rsidRPr="00801108">
        <w:rPr>
          <w:rFonts w:ascii="Arial" w:hAnsi="Arial" w:cs="Arial"/>
          <w:color w:val="000000" w:themeColor="text1"/>
          <w:sz w:val="22"/>
          <w:lang w:val="es-ES_tradnl"/>
        </w:rPr>
        <w:t xml:space="preserve">tiene que ver con </w:t>
      </w:r>
      <w:r w:rsidRPr="00801108">
        <w:rPr>
          <w:rFonts w:ascii="Arial" w:hAnsi="Arial" w:cs="Arial"/>
          <w:color w:val="000000" w:themeColor="text1"/>
          <w:sz w:val="22"/>
          <w:lang w:val="es-ES_tradnl"/>
        </w:rPr>
        <w:t xml:space="preserve">el cumplimiento de un requisito que constituye una circunstancia ocurrida con anterioridad o con posterioridad al cierre del proceso. </w:t>
      </w:r>
    </w:p>
    <w:p w14:paraId="09A99888" w14:textId="77777777" w:rsidR="00A5144E" w:rsidRPr="00801108" w:rsidRDefault="00A5144E" w:rsidP="00C22BD5">
      <w:pPr>
        <w:spacing w:line="276" w:lineRule="auto"/>
        <w:ind w:firstLine="709"/>
        <w:jc w:val="both"/>
        <w:rPr>
          <w:rFonts w:ascii="Arial" w:hAnsi="Arial" w:cs="Arial"/>
          <w:color w:val="000000" w:themeColor="text1"/>
          <w:sz w:val="22"/>
          <w:lang w:val="es-ES_tradnl"/>
        </w:rPr>
      </w:pPr>
    </w:p>
    <w:p w14:paraId="1F35E48F" w14:textId="77777777" w:rsidR="00BA22A9" w:rsidRPr="00801108"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801108">
        <w:rPr>
          <w:rFonts w:ascii="Arial" w:eastAsia="Calibri" w:hAnsi="Arial" w:cs="Arial"/>
          <w:b/>
          <w:color w:val="000000" w:themeColor="text1"/>
          <w:sz w:val="22"/>
        </w:rPr>
        <w:t>Respuesta</w:t>
      </w:r>
    </w:p>
    <w:p w14:paraId="718E0C0D" w14:textId="77777777" w:rsidR="00BA22A9" w:rsidRPr="00801108" w:rsidRDefault="00BA22A9" w:rsidP="00B10353">
      <w:pPr>
        <w:spacing w:line="276" w:lineRule="auto"/>
        <w:jc w:val="both"/>
        <w:rPr>
          <w:rFonts w:ascii="Arial" w:eastAsia="Calibri" w:hAnsi="Arial" w:cs="Arial"/>
          <w:color w:val="000000" w:themeColor="text1"/>
          <w:sz w:val="22"/>
        </w:rPr>
      </w:pPr>
    </w:p>
    <w:p w14:paraId="64732353" w14:textId="166173D2" w:rsidR="00EA22A5" w:rsidRPr="00801108" w:rsidRDefault="00DB68B9" w:rsidP="00DB68B9">
      <w:pPr>
        <w:spacing w:line="276" w:lineRule="auto"/>
        <w:ind w:left="709" w:right="709"/>
        <w:jc w:val="both"/>
        <w:rPr>
          <w:rFonts w:ascii="Arial" w:eastAsia="Calibri" w:hAnsi="Arial" w:cs="Arial"/>
          <w:color w:val="000000" w:themeColor="text1"/>
          <w:sz w:val="21"/>
          <w:szCs w:val="21"/>
        </w:rPr>
      </w:pPr>
      <w:r w:rsidRPr="00801108">
        <w:rPr>
          <w:rFonts w:ascii="Arial" w:eastAsia="Calibri" w:hAnsi="Arial" w:cs="Arial"/>
          <w:color w:val="000000" w:themeColor="text1"/>
          <w:sz w:val="21"/>
          <w:szCs w:val="21"/>
        </w:rPr>
        <w:t xml:space="preserve">i) </w:t>
      </w:r>
      <w:r w:rsidR="00EA22A5" w:rsidRPr="00801108">
        <w:rPr>
          <w:rFonts w:ascii="Arial" w:eastAsia="Calibri" w:hAnsi="Arial" w:cs="Arial"/>
          <w:color w:val="000000" w:themeColor="text1"/>
          <w:sz w:val="21"/>
          <w:szCs w:val="21"/>
        </w:rPr>
        <w:t>«</w:t>
      </w:r>
      <w:r w:rsidR="00037BB7" w:rsidRPr="00801108">
        <w:rPr>
          <w:rFonts w:ascii="Arial" w:eastAsia="Calibri" w:hAnsi="Arial" w:cs="Arial"/>
          <w:color w:val="000000" w:themeColor="text1"/>
          <w:sz w:val="21"/>
          <w:szCs w:val="21"/>
        </w:rPr>
        <w:t>Hasta qué etapa tiene los proponentes para subsanar sus propuestas en un proceso de selección abreviada de subasta inversa</w:t>
      </w:r>
      <w:r w:rsidR="00C65C9D" w:rsidRPr="00801108">
        <w:rPr>
          <w:rFonts w:ascii="Arial" w:eastAsia="Calibri" w:hAnsi="Arial" w:cs="Arial"/>
          <w:color w:val="000000" w:themeColor="text1"/>
          <w:sz w:val="21"/>
          <w:szCs w:val="21"/>
        </w:rPr>
        <w:t>?»</w:t>
      </w:r>
    </w:p>
    <w:p w14:paraId="301F1440" w14:textId="4F22A525" w:rsidR="00EA22A5" w:rsidRPr="00801108" w:rsidRDefault="00EA22A5" w:rsidP="00EA22A5">
      <w:pPr>
        <w:pStyle w:val="Prrafodelista"/>
        <w:spacing w:line="276" w:lineRule="auto"/>
        <w:ind w:left="709" w:right="709"/>
        <w:jc w:val="both"/>
        <w:rPr>
          <w:rFonts w:ascii="Arial" w:eastAsia="Calibri" w:hAnsi="Arial" w:cs="Arial"/>
          <w:color w:val="000000" w:themeColor="text1"/>
          <w:sz w:val="21"/>
          <w:szCs w:val="21"/>
        </w:rPr>
      </w:pPr>
    </w:p>
    <w:p w14:paraId="7D658A63" w14:textId="37FB45DF" w:rsidR="006B4A03" w:rsidRPr="00801108" w:rsidRDefault="00C65C9D" w:rsidP="008F6ABB">
      <w:pPr>
        <w:spacing w:after="120" w:line="276" w:lineRule="auto"/>
        <w:jc w:val="both"/>
        <w:rPr>
          <w:rFonts w:ascii="Arial" w:hAnsi="Arial" w:cs="Arial"/>
          <w:color w:val="000000" w:themeColor="text1"/>
          <w:sz w:val="22"/>
          <w:lang w:val="es-ES_tradnl"/>
        </w:rPr>
      </w:pPr>
      <w:r w:rsidRPr="00801108">
        <w:rPr>
          <w:rFonts w:ascii="Arial" w:hAnsi="Arial" w:cs="Arial"/>
          <w:color w:val="000000" w:themeColor="text1"/>
          <w:sz w:val="22"/>
          <w:lang w:val="es-ES"/>
        </w:rPr>
        <w:t xml:space="preserve">En los procesos de escogencia de licitación pública, selección abreviada para la </w:t>
      </w:r>
      <w:r w:rsidRPr="00801108">
        <w:rPr>
          <w:rFonts w:ascii="Arial" w:hAnsi="Arial" w:cs="Arial"/>
          <w:color w:val="000000" w:themeColor="text1"/>
          <w:sz w:val="22"/>
          <w:lang w:val="es-ES_tradnl"/>
        </w:rPr>
        <w:t xml:space="preserve">adquisición o suministro de bienes y servicios de características técnicas uniformes y común utilización, así como en los de enajenación de bienes del Estado, en los que se use el mecanismos de subasta, de conformidad con el parágrafo 4° del artículo 5° de la Ley 1150 de 2007, </w:t>
      </w:r>
      <w:r w:rsidRPr="00801108">
        <w:rPr>
          <w:rFonts w:ascii="Arial" w:hAnsi="Arial" w:cs="Arial"/>
          <w:color w:val="000000" w:themeColor="text1"/>
          <w:sz w:val="22"/>
          <w:lang w:val="es-ES_tradnl"/>
        </w:rPr>
        <w:lastRenderedPageBreak/>
        <w:t xml:space="preserve">modificado por el artículo 5° de la Ley 1882 de 2018, los documentos referentes a la futura contratación o al proponente, no necesarios para la comparación de ofertas, podrán ser objeto de subsanación hasta antes de la fecha prevista en el pliego de condiciones para </w:t>
      </w:r>
      <w:r w:rsidR="00C34032" w:rsidRPr="00801108">
        <w:rPr>
          <w:rFonts w:ascii="Arial" w:hAnsi="Arial" w:cs="Arial"/>
          <w:color w:val="000000" w:themeColor="text1"/>
          <w:sz w:val="22"/>
          <w:lang w:val="es-ES_tradnl"/>
        </w:rPr>
        <w:t>el inicio de la subasta.</w:t>
      </w:r>
    </w:p>
    <w:p w14:paraId="3DB43ED9" w14:textId="33A4F41D" w:rsidR="00C34032" w:rsidRPr="00801108" w:rsidRDefault="00C34032" w:rsidP="008F6ABB">
      <w:pPr>
        <w:spacing w:line="276" w:lineRule="auto"/>
        <w:jc w:val="both"/>
        <w:rPr>
          <w:rFonts w:ascii="Arial" w:hAnsi="Arial" w:cs="Arial"/>
          <w:color w:val="000000" w:themeColor="text1"/>
          <w:sz w:val="22"/>
          <w:lang w:val="es-ES"/>
        </w:rPr>
      </w:pPr>
      <w:r w:rsidRPr="00801108">
        <w:rPr>
          <w:rFonts w:ascii="Arial" w:hAnsi="Arial" w:cs="Arial"/>
          <w:color w:val="000000" w:themeColor="text1"/>
          <w:sz w:val="22"/>
          <w:lang w:val="es-ES_tradnl"/>
        </w:rPr>
        <w:tab/>
        <w:t xml:space="preserve">No obstante, tales documentos solo serán subsanables en el caso de que se traten de </w:t>
      </w:r>
      <w:r w:rsidRPr="00801108">
        <w:rPr>
          <w:rFonts w:ascii="Arial" w:hAnsi="Arial" w:cs="Arial"/>
          <w:i/>
          <w:iCs/>
          <w:color w:val="000000" w:themeColor="text1"/>
          <w:sz w:val="22"/>
          <w:lang w:val="es-ES_tradnl"/>
        </w:rPr>
        <w:t>ítems</w:t>
      </w:r>
      <w:r w:rsidRPr="00801108">
        <w:rPr>
          <w:rFonts w:ascii="Arial" w:hAnsi="Arial" w:cs="Arial"/>
          <w:color w:val="000000" w:themeColor="text1"/>
          <w:sz w:val="22"/>
        </w:rPr>
        <w:t xml:space="preserve"> que no otorguen puntaje y que acrediten circunstancias sucedidas con anterioridad al cierre del per</w:t>
      </w:r>
      <w:r w:rsidR="00BE404A" w:rsidRPr="00801108">
        <w:rPr>
          <w:rFonts w:ascii="Arial" w:hAnsi="Arial" w:cs="Arial"/>
          <w:color w:val="000000" w:themeColor="text1"/>
          <w:sz w:val="22"/>
        </w:rPr>
        <w:t>í</w:t>
      </w:r>
      <w:r w:rsidRPr="00801108">
        <w:rPr>
          <w:rFonts w:ascii="Arial" w:hAnsi="Arial" w:cs="Arial"/>
          <w:color w:val="000000" w:themeColor="text1"/>
          <w:sz w:val="22"/>
        </w:rPr>
        <w:t xml:space="preserve">odo para recibir ofertas. </w:t>
      </w:r>
      <w:r w:rsidRPr="00801108">
        <w:rPr>
          <w:rFonts w:ascii="Arial" w:hAnsi="Arial" w:cs="Arial"/>
          <w:color w:val="000000" w:themeColor="text1"/>
          <w:sz w:val="22"/>
          <w:lang w:val="es-ES_tradnl"/>
        </w:rPr>
        <w:t xml:space="preserve"> </w:t>
      </w:r>
    </w:p>
    <w:p w14:paraId="29970DC9" w14:textId="77777777" w:rsidR="008F6ABB" w:rsidRPr="00801108" w:rsidRDefault="008F6ABB" w:rsidP="008F6ABB">
      <w:pPr>
        <w:spacing w:line="276" w:lineRule="auto"/>
        <w:jc w:val="both"/>
        <w:rPr>
          <w:rFonts w:ascii="Arial" w:eastAsia="Calibri" w:hAnsi="Arial" w:cs="Arial"/>
          <w:color w:val="000000" w:themeColor="text1"/>
          <w:sz w:val="22"/>
        </w:rPr>
      </w:pPr>
    </w:p>
    <w:p w14:paraId="12038E8E" w14:textId="0A2A1DA7" w:rsidR="00BA22A9" w:rsidRPr="00801108" w:rsidRDefault="00BA22A9" w:rsidP="008F6ABB">
      <w:pPr>
        <w:spacing w:line="276" w:lineRule="auto"/>
        <w:jc w:val="both"/>
        <w:rPr>
          <w:rFonts w:ascii="Arial" w:eastAsia="Calibri" w:hAnsi="Arial" w:cs="Arial"/>
          <w:color w:val="000000" w:themeColor="text1"/>
          <w:sz w:val="22"/>
        </w:rPr>
      </w:pPr>
      <w:r w:rsidRPr="00801108">
        <w:rPr>
          <w:rFonts w:ascii="Arial" w:eastAsia="Calibri" w:hAnsi="Arial" w:cs="Arial"/>
          <w:color w:val="000000" w:themeColor="text1"/>
          <w:sz w:val="22"/>
        </w:rPr>
        <w:t>Este concepto tiene el alcance previsto en el artículo 28 del Código de Procedimiento Administrativo y de lo Contencioso Administrativo.</w:t>
      </w:r>
    </w:p>
    <w:p w14:paraId="0F12EF82" w14:textId="0D0A9793" w:rsidR="00BA22A9" w:rsidRPr="00801108" w:rsidRDefault="009D5015" w:rsidP="00B10353">
      <w:pPr>
        <w:spacing w:line="276" w:lineRule="auto"/>
        <w:jc w:val="both"/>
        <w:rPr>
          <w:rFonts w:ascii="Arial" w:eastAsia="Times New Roman" w:hAnsi="Arial" w:cs="Arial"/>
          <w:color w:val="000000" w:themeColor="text1"/>
          <w:sz w:val="22"/>
          <w:lang w:eastAsia="es-CO"/>
        </w:rPr>
      </w:pPr>
      <w:r w:rsidRPr="00801108">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1E0127D7" wp14:editId="587B3028">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pic="http://schemas.openxmlformats.org/drawingml/2006/picture" xmlns:a="http://schemas.openxmlformats.org/drawingml/2006/main" xmlns:a14="http://schemas.microsoft.com/office/drawing/2010/main">
            <w:pict w14:anchorId="41533576">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3250BB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p>
    <w:p w14:paraId="2D808EBE" w14:textId="08DD571B" w:rsidR="00BA22A9" w:rsidRPr="00801108" w:rsidRDefault="00BA22A9" w:rsidP="00B10353">
      <w:pPr>
        <w:spacing w:line="276" w:lineRule="auto"/>
        <w:jc w:val="both"/>
        <w:rPr>
          <w:rFonts w:ascii="Arial" w:hAnsi="Arial" w:cs="Arial"/>
          <w:color w:val="000000" w:themeColor="text1"/>
          <w:sz w:val="22"/>
          <w:szCs w:val="20"/>
        </w:rPr>
      </w:pPr>
      <w:r w:rsidRPr="43BBE174">
        <w:rPr>
          <w:rFonts w:ascii="Arial" w:eastAsia="Times New Roman" w:hAnsi="Arial" w:cs="Arial"/>
          <w:color w:val="000000" w:themeColor="text1"/>
          <w:sz w:val="22"/>
          <w:lang w:eastAsia="es-CO"/>
        </w:rPr>
        <w:t>Atentamente,</w:t>
      </w:r>
    </w:p>
    <w:p w14:paraId="4004C20E" w14:textId="0A9629F2" w:rsidR="00BA22A9" w:rsidRDefault="00004634" w:rsidP="00004634">
      <w:pPr>
        <w:spacing w:after="18"/>
        <w:jc w:val="center"/>
        <w:rPr>
          <w:rFonts w:ascii="Arial" w:hAnsi="Arial" w:cs="Arial"/>
          <w:color w:val="000000" w:themeColor="text1"/>
        </w:rPr>
      </w:pPr>
      <w:r>
        <w:rPr>
          <w:noProof/>
        </w:rPr>
        <w:drawing>
          <wp:inline distT="0" distB="0" distL="0" distR="0" wp14:anchorId="6ED5E450" wp14:editId="5708B2D7">
            <wp:extent cx="2773045" cy="988695"/>
            <wp:effectExtent l="0" t="0" r="0" b="0"/>
            <wp:docPr id="2056176064"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3DD3DE6A" w14:textId="77777777" w:rsidR="00004634" w:rsidRPr="00004634" w:rsidRDefault="00004634" w:rsidP="00004634">
      <w:pPr>
        <w:spacing w:after="18"/>
        <w:jc w:val="center"/>
        <w:rPr>
          <w:rFonts w:ascii="Arial" w:hAnsi="Arial" w:cs="Arial"/>
          <w:color w:val="000000" w:themeColor="text1"/>
          <w:sz w:val="20"/>
          <w:szCs w:val="20"/>
        </w:rPr>
      </w:pPr>
    </w:p>
    <w:tbl>
      <w:tblPr>
        <w:tblStyle w:val="Tablaconcuadrcula"/>
        <w:tblpPr w:leftFromText="141" w:rightFromText="141" w:vertAnchor="text" w:horzAnchor="margin" w:tblpY="1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004634" w:rsidRPr="00801108" w14:paraId="1596676F" w14:textId="77777777" w:rsidTr="00004634">
        <w:trPr>
          <w:trHeight w:val="286"/>
        </w:trPr>
        <w:tc>
          <w:tcPr>
            <w:tcW w:w="817" w:type="dxa"/>
            <w:vAlign w:val="center"/>
          </w:tcPr>
          <w:p w14:paraId="2311A81F" w14:textId="77777777" w:rsidR="00004634" w:rsidRPr="00CF3A89" w:rsidRDefault="00004634" w:rsidP="00004634">
            <w:pPr>
              <w:jc w:val="both"/>
              <w:rPr>
                <w:rFonts w:ascii="Arial" w:eastAsia="Times New Roman" w:hAnsi="Arial" w:cs="Arial"/>
                <w:color w:val="000000" w:themeColor="text1"/>
                <w:sz w:val="16"/>
                <w:szCs w:val="16"/>
                <w:lang w:eastAsia="es-ES"/>
              </w:rPr>
            </w:pPr>
            <w:r w:rsidRPr="00CF3A89">
              <w:rPr>
                <w:rFonts w:ascii="Arial" w:eastAsia="Times New Roman" w:hAnsi="Arial" w:cs="Arial"/>
                <w:color w:val="000000" w:themeColor="text1"/>
                <w:sz w:val="16"/>
                <w:szCs w:val="16"/>
                <w:lang w:eastAsia="es-ES"/>
              </w:rPr>
              <w:t>Elaboró:</w:t>
            </w:r>
          </w:p>
        </w:tc>
        <w:tc>
          <w:tcPr>
            <w:tcW w:w="4445" w:type="dxa"/>
            <w:tcBorders>
              <w:bottom w:val="dotted" w:sz="4" w:space="0" w:color="7F7F7F" w:themeColor="text1" w:themeTint="80"/>
            </w:tcBorders>
            <w:vAlign w:val="center"/>
          </w:tcPr>
          <w:p w14:paraId="776B78B6" w14:textId="77777777" w:rsidR="00004634" w:rsidRPr="00CF3A89" w:rsidRDefault="00004634" w:rsidP="00004634">
            <w:pPr>
              <w:rPr>
                <w:rFonts w:ascii="Arial" w:eastAsia="Times New Roman" w:hAnsi="Arial" w:cs="Arial"/>
                <w:color w:val="000000" w:themeColor="text1"/>
                <w:sz w:val="16"/>
                <w:szCs w:val="16"/>
                <w:lang w:eastAsia="es-ES"/>
              </w:rPr>
            </w:pPr>
            <w:r w:rsidRPr="00CF3A89">
              <w:rPr>
                <w:rFonts w:ascii="Arial" w:eastAsia="Times New Roman" w:hAnsi="Arial" w:cs="Arial"/>
                <w:color w:val="000000" w:themeColor="text1"/>
                <w:sz w:val="16"/>
                <w:szCs w:val="16"/>
                <w:lang w:eastAsia="es-ES"/>
              </w:rPr>
              <w:t>Alejandro Sarmiento Cantillo</w:t>
            </w:r>
          </w:p>
          <w:p w14:paraId="7102DAF2" w14:textId="77777777" w:rsidR="00004634" w:rsidRPr="00CF3A89" w:rsidRDefault="00004634" w:rsidP="00004634">
            <w:pPr>
              <w:rPr>
                <w:rFonts w:ascii="Arial" w:eastAsia="Times New Roman" w:hAnsi="Arial" w:cs="Arial"/>
                <w:color w:val="000000" w:themeColor="text1"/>
                <w:sz w:val="16"/>
                <w:szCs w:val="16"/>
                <w:lang w:eastAsia="es-ES"/>
              </w:rPr>
            </w:pPr>
            <w:r w:rsidRPr="00CF3A89">
              <w:rPr>
                <w:rFonts w:ascii="Arial" w:eastAsia="Times New Roman" w:hAnsi="Arial" w:cs="Arial"/>
                <w:color w:val="000000" w:themeColor="text1"/>
                <w:sz w:val="16"/>
                <w:szCs w:val="16"/>
                <w:lang w:eastAsia="es-ES"/>
              </w:rPr>
              <w:t>Contratista</w:t>
            </w:r>
          </w:p>
        </w:tc>
      </w:tr>
      <w:tr w:rsidR="00004634" w:rsidRPr="00801108" w14:paraId="5C983B11" w14:textId="77777777" w:rsidTr="00004634">
        <w:trPr>
          <w:trHeight w:val="299"/>
        </w:trPr>
        <w:tc>
          <w:tcPr>
            <w:tcW w:w="817" w:type="dxa"/>
            <w:vAlign w:val="center"/>
          </w:tcPr>
          <w:p w14:paraId="460AC7FE" w14:textId="77777777" w:rsidR="00004634" w:rsidRPr="00CF3A89" w:rsidRDefault="00004634" w:rsidP="00004634">
            <w:pPr>
              <w:rPr>
                <w:rFonts w:ascii="Arial" w:eastAsia="Times New Roman" w:hAnsi="Arial" w:cs="Arial"/>
                <w:color w:val="000000" w:themeColor="text1"/>
                <w:sz w:val="16"/>
                <w:szCs w:val="16"/>
                <w:lang w:eastAsia="es-ES"/>
              </w:rPr>
            </w:pPr>
            <w:r w:rsidRPr="00CF3A89">
              <w:rPr>
                <w:rFonts w:ascii="Arial" w:eastAsia="Times New Roman" w:hAnsi="Arial" w:cs="Arial"/>
                <w:color w:val="000000" w:themeColor="text1"/>
                <w:sz w:val="16"/>
                <w:szCs w:val="16"/>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26A73DBB" w14:textId="77777777" w:rsidR="00004634" w:rsidRPr="00CF3A89" w:rsidRDefault="00004634" w:rsidP="00004634">
            <w:pPr>
              <w:rPr>
                <w:rFonts w:ascii="Arial" w:eastAsia="Times New Roman" w:hAnsi="Arial" w:cs="Arial"/>
                <w:color w:val="000000" w:themeColor="text1"/>
                <w:sz w:val="16"/>
                <w:szCs w:val="16"/>
                <w:lang w:eastAsia="es-ES"/>
              </w:rPr>
            </w:pPr>
            <w:r w:rsidRPr="00CF3A89">
              <w:rPr>
                <w:rFonts w:ascii="Arial" w:eastAsia="Times New Roman" w:hAnsi="Arial" w:cs="Arial"/>
                <w:color w:val="000000" w:themeColor="text1"/>
                <w:sz w:val="16"/>
                <w:szCs w:val="16"/>
                <w:lang w:eastAsia="es-ES"/>
              </w:rPr>
              <w:t>Cristian Andrés Díaz Díez</w:t>
            </w:r>
          </w:p>
          <w:p w14:paraId="78F7FC55" w14:textId="77777777" w:rsidR="00004634" w:rsidRPr="00CF3A89" w:rsidRDefault="00004634" w:rsidP="00004634">
            <w:pPr>
              <w:rPr>
                <w:rFonts w:ascii="Arial" w:eastAsia="Times New Roman" w:hAnsi="Arial" w:cs="Arial"/>
                <w:color w:val="000000" w:themeColor="text1"/>
                <w:sz w:val="16"/>
                <w:szCs w:val="16"/>
                <w:lang w:eastAsia="es-ES"/>
              </w:rPr>
            </w:pPr>
            <w:r w:rsidRPr="00CF3A89">
              <w:rPr>
                <w:rFonts w:ascii="Arial" w:eastAsia="Times New Roman" w:hAnsi="Arial" w:cs="Arial"/>
                <w:color w:val="000000" w:themeColor="text1"/>
                <w:sz w:val="16"/>
                <w:szCs w:val="16"/>
                <w:lang w:eastAsia="es-ES"/>
              </w:rPr>
              <w:t>Contratista, Subdirección de Gestión Contractual</w:t>
            </w:r>
          </w:p>
        </w:tc>
      </w:tr>
      <w:tr w:rsidR="00004634" w:rsidRPr="00801108" w14:paraId="4BB219D7" w14:textId="77777777" w:rsidTr="00004634">
        <w:trPr>
          <w:trHeight w:val="272"/>
        </w:trPr>
        <w:tc>
          <w:tcPr>
            <w:tcW w:w="817" w:type="dxa"/>
            <w:vAlign w:val="center"/>
          </w:tcPr>
          <w:p w14:paraId="571EF47C" w14:textId="77777777" w:rsidR="00004634" w:rsidRPr="00CF3A89" w:rsidRDefault="00004634" w:rsidP="00004634">
            <w:pPr>
              <w:rPr>
                <w:rFonts w:ascii="Arial" w:eastAsia="Times New Roman" w:hAnsi="Arial" w:cs="Arial"/>
                <w:color w:val="000000" w:themeColor="text1"/>
                <w:sz w:val="16"/>
                <w:szCs w:val="16"/>
                <w:lang w:eastAsia="es-ES"/>
              </w:rPr>
            </w:pPr>
            <w:r w:rsidRPr="00CF3A89">
              <w:rPr>
                <w:rFonts w:ascii="Arial" w:eastAsia="Times New Roman" w:hAnsi="Arial" w:cs="Arial"/>
                <w:color w:val="000000" w:themeColor="text1"/>
                <w:sz w:val="16"/>
                <w:szCs w:val="16"/>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599615CF" w14:textId="77777777" w:rsidR="00004634" w:rsidRPr="00CF3A89" w:rsidRDefault="00004634" w:rsidP="00004634">
            <w:pPr>
              <w:rPr>
                <w:rFonts w:ascii="Arial" w:eastAsia="Times New Roman" w:hAnsi="Arial" w:cs="Arial"/>
                <w:color w:val="000000" w:themeColor="text1"/>
                <w:sz w:val="16"/>
                <w:szCs w:val="16"/>
                <w:lang w:eastAsia="es-ES"/>
              </w:rPr>
            </w:pPr>
            <w:r w:rsidRPr="00CF3A89">
              <w:rPr>
                <w:rFonts w:ascii="Arial" w:eastAsia="Times New Roman" w:hAnsi="Arial" w:cs="Arial"/>
                <w:color w:val="000000" w:themeColor="text1"/>
                <w:sz w:val="16"/>
                <w:szCs w:val="16"/>
                <w:lang w:eastAsia="es-ES"/>
              </w:rPr>
              <w:t>Fabián Gonzalo Marín Cortés</w:t>
            </w:r>
          </w:p>
          <w:p w14:paraId="6DCF7B17" w14:textId="77777777" w:rsidR="00004634" w:rsidRPr="00CF3A89" w:rsidRDefault="00004634" w:rsidP="00004634">
            <w:pPr>
              <w:rPr>
                <w:rFonts w:ascii="Arial" w:eastAsia="Times New Roman" w:hAnsi="Arial" w:cs="Arial"/>
                <w:color w:val="000000" w:themeColor="text1"/>
                <w:sz w:val="16"/>
                <w:szCs w:val="16"/>
                <w:lang w:eastAsia="es-ES"/>
              </w:rPr>
            </w:pPr>
            <w:r w:rsidRPr="00CF3A89">
              <w:rPr>
                <w:rFonts w:ascii="Arial" w:eastAsia="Times New Roman" w:hAnsi="Arial" w:cs="Arial"/>
                <w:color w:val="000000" w:themeColor="text1"/>
                <w:sz w:val="16"/>
                <w:szCs w:val="16"/>
                <w:lang w:eastAsia="es-ES"/>
              </w:rPr>
              <w:t>Subdirector de Gestión Contractual</w:t>
            </w:r>
          </w:p>
        </w:tc>
      </w:tr>
    </w:tbl>
    <w:p w14:paraId="35B56F46" w14:textId="77777777" w:rsidR="00746E08" w:rsidRPr="00801108" w:rsidRDefault="00746E08" w:rsidP="00004634">
      <w:pPr>
        <w:rPr>
          <w:rFonts w:ascii="Arial" w:eastAsia="Times New Roman" w:hAnsi="Arial" w:cs="Arial"/>
          <w:color w:val="000000" w:themeColor="text1"/>
          <w:sz w:val="16"/>
          <w:szCs w:val="16"/>
          <w:lang w:eastAsia="es-ES"/>
        </w:rPr>
      </w:pPr>
    </w:p>
    <w:sectPr w:rsidR="00746E08" w:rsidRPr="00801108"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517C31" w14:textId="77777777" w:rsidR="00DD1895" w:rsidRDefault="00DD1895">
      <w:r>
        <w:separator/>
      </w:r>
    </w:p>
  </w:endnote>
  <w:endnote w:type="continuationSeparator" w:id="0">
    <w:p w14:paraId="74C6088F" w14:textId="77777777" w:rsidR="00DD1895" w:rsidRDefault="00DD1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A43FA8" w:rsidRDefault="00A43FA8" w:rsidP="00322937">
    <w:pPr>
      <w:pStyle w:val="Sinespaciado"/>
      <w:jc w:val="right"/>
      <w:rPr>
        <w:rFonts w:ascii="Arial" w:hAnsi="Arial" w:cs="Arial"/>
        <w:sz w:val="18"/>
        <w:szCs w:val="18"/>
      </w:rPr>
    </w:pPr>
  </w:p>
  <w:p w14:paraId="7A3785F3" w14:textId="195E62C0" w:rsidR="00A43FA8" w:rsidRPr="008217B7" w:rsidRDefault="00A43FA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D7D3C">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D7D3C">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14:paraId="48FC6A04" w14:textId="5FD1A7C9" w:rsidR="00A43FA8" w:rsidRDefault="2FF48F0C" w:rsidP="00322937">
    <w:pPr>
      <w:pStyle w:val="Piedepgina"/>
      <w:jc w:val="center"/>
      <w:rPr>
        <w:lang w:val="es-ES"/>
      </w:rPr>
    </w:pPr>
    <w:r>
      <w:rPr>
        <w:noProof/>
      </w:rPr>
      <w:drawing>
        <wp:inline distT="0" distB="0" distL="0" distR="0" wp14:anchorId="608B196D" wp14:editId="1B63191D">
          <wp:extent cx="3700130" cy="519139"/>
          <wp:effectExtent l="0" t="0" r="0" b="0"/>
          <wp:docPr id="31050591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A43FA8" w:rsidRDefault="00A43FA8" w:rsidP="007B0854">
    <w:pPr>
      <w:pStyle w:val="Piedepgina"/>
      <w:jc w:val="center"/>
      <w:rPr>
        <w:lang w:val="es-ES"/>
      </w:rPr>
    </w:pPr>
  </w:p>
  <w:p w14:paraId="6C0EFC49" w14:textId="77777777" w:rsidR="00A43FA8" w:rsidRPr="007B0854" w:rsidRDefault="00A43FA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488EEE" w14:textId="77777777" w:rsidR="00DD1895" w:rsidRDefault="00DD1895">
      <w:r>
        <w:separator/>
      </w:r>
    </w:p>
  </w:footnote>
  <w:footnote w:type="continuationSeparator" w:id="0">
    <w:p w14:paraId="6348C031" w14:textId="77777777" w:rsidR="00DD1895" w:rsidRDefault="00DD1895">
      <w:r>
        <w:continuationSeparator/>
      </w:r>
    </w:p>
  </w:footnote>
  <w:footnote w:id="1">
    <w:p w14:paraId="678FA4FC" w14:textId="77777777" w:rsidR="00A43FA8" w:rsidRPr="00801108" w:rsidRDefault="00A43FA8" w:rsidP="00F70A57">
      <w:pPr>
        <w:pStyle w:val="Textonotapie"/>
        <w:ind w:firstLine="709"/>
        <w:jc w:val="both"/>
        <w:rPr>
          <w:rFonts w:ascii="Arial" w:hAnsi="Arial" w:cs="Arial"/>
          <w:color w:val="000000" w:themeColor="text1"/>
          <w:sz w:val="18"/>
          <w:szCs w:val="18"/>
          <w:lang w:val="es-ES"/>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w:t>
      </w:r>
      <w:r w:rsidRPr="00801108">
        <w:rPr>
          <w:rFonts w:ascii="Arial" w:hAnsi="Arial" w:cs="Arial"/>
          <w:color w:val="000000" w:themeColor="text1"/>
          <w:sz w:val="18"/>
          <w:szCs w:val="18"/>
          <w:lang w:val="es-ES"/>
        </w:rPr>
        <w:t>Al respecto, conviene recordar el artículo 29 de la Ley 80 de 1993, derogado por el artículo 32 de la Ley 1150 de 2007, que establecía: «La selección de contratistas será objetiva.</w:t>
      </w:r>
    </w:p>
    <w:p w14:paraId="0CB93AC1" w14:textId="77777777" w:rsidR="00A43FA8" w:rsidRPr="00801108" w:rsidRDefault="00A43FA8" w:rsidP="00F70A57">
      <w:pPr>
        <w:pStyle w:val="Textonotapie"/>
        <w:ind w:firstLine="709"/>
        <w:jc w:val="both"/>
        <w:rPr>
          <w:rFonts w:ascii="Arial" w:hAnsi="Arial" w:cs="Arial"/>
          <w:color w:val="000000" w:themeColor="text1"/>
          <w:sz w:val="18"/>
          <w:szCs w:val="18"/>
          <w:lang w:val="es-ES"/>
        </w:rPr>
      </w:pPr>
      <w:r w:rsidRPr="00801108">
        <w:rPr>
          <w:rFonts w:ascii="Arial" w:hAnsi="Arial" w:cs="Arial"/>
          <w:color w:val="000000" w:themeColor="text1"/>
          <w:sz w:val="18"/>
          <w:szCs w:val="18"/>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390FC479" w14:textId="77777777" w:rsidR="00A43FA8" w:rsidRPr="00801108" w:rsidRDefault="00A43FA8" w:rsidP="00F70A57">
      <w:pPr>
        <w:pStyle w:val="Textonotapie"/>
        <w:ind w:firstLine="709"/>
        <w:jc w:val="both"/>
        <w:rPr>
          <w:rFonts w:ascii="Arial" w:hAnsi="Arial" w:cs="Arial"/>
          <w:color w:val="000000" w:themeColor="text1"/>
          <w:sz w:val="18"/>
          <w:szCs w:val="18"/>
          <w:lang w:val="es-ES"/>
        </w:rPr>
      </w:pPr>
      <w:r w:rsidRPr="00801108">
        <w:rPr>
          <w:rFonts w:ascii="Arial" w:hAnsi="Arial" w:cs="Arial"/>
          <w:color w:val="000000" w:themeColor="text1"/>
          <w:sz w:val="18"/>
          <w:szCs w:val="18"/>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2CF11EF0" w14:textId="77777777" w:rsidR="00A43FA8" w:rsidRPr="00801108" w:rsidRDefault="00A43FA8" w:rsidP="00F70A57">
      <w:pPr>
        <w:pStyle w:val="Textonotapie"/>
        <w:ind w:firstLine="709"/>
        <w:jc w:val="both"/>
        <w:rPr>
          <w:rFonts w:ascii="Arial" w:hAnsi="Arial" w:cs="Arial"/>
          <w:color w:val="000000" w:themeColor="text1"/>
          <w:sz w:val="18"/>
          <w:szCs w:val="18"/>
          <w:lang w:val="es-ES"/>
        </w:rPr>
      </w:pPr>
      <w:r w:rsidRPr="00801108">
        <w:rPr>
          <w:rFonts w:ascii="Arial" w:hAnsi="Arial" w:cs="Arial"/>
          <w:color w:val="000000" w:themeColor="text1"/>
          <w:sz w:val="18"/>
          <w:szCs w:val="18"/>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393CB3E1" w14:textId="77777777" w:rsidR="00A43FA8" w:rsidRPr="00801108" w:rsidRDefault="00A43FA8" w:rsidP="00F70A57">
      <w:pPr>
        <w:pStyle w:val="Textonotapie"/>
        <w:ind w:firstLine="709"/>
        <w:jc w:val="both"/>
        <w:rPr>
          <w:rFonts w:ascii="Arial" w:hAnsi="Arial" w:cs="Arial"/>
          <w:color w:val="000000" w:themeColor="text1"/>
          <w:sz w:val="18"/>
          <w:szCs w:val="18"/>
          <w:lang w:val="es-ES"/>
        </w:rPr>
      </w:pPr>
      <w:r w:rsidRPr="00801108">
        <w:rPr>
          <w:rFonts w:ascii="Arial" w:hAnsi="Arial" w:cs="Arial"/>
          <w:color w:val="000000" w:themeColor="text1"/>
          <w:sz w:val="18"/>
          <w:szCs w:val="18"/>
          <w:lang w:val="es-ES"/>
        </w:rPr>
        <w:t>»En caso de comparación de propuestas nacionales y extranjeras, se incluirán los costos necesarios para la entrega del producto terminado en el lugar de su utilización».</w:t>
      </w:r>
    </w:p>
  </w:footnote>
  <w:footnote w:id="2">
    <w:p w14:paraId="68CD9EA5" w14:textId="77777777" w:rsidR="00A43FA8" w:rsidRPr="00801108" w:rsidRDefault="00A43FA8" w:rsidP="00F70A57">
      <w:pPr>
        <w:pStyle w:val="Textonotapie"/>
        <w:ind w:firstLine="709"/>
        <w:jc w:val="both"/>
        <w:rPr>
          <w:rFonts w:ascii="Arial" w:hAnsi="Arial" w:cs="Arial"/>
          <w:color w:val="000000" w:themeColor="text1"/>
          <w:sz w:val="18"/>
          <w:szCs w:val="18"/>
          <w:lang w:val="es-ES"/>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Consejo de Estado. Sección Tercera. Subsección A. Sentencia del 25 de octubre de 2019. Exp. 39.945. Consejera Ponente: María Adriana Marín.</w:t>
      </w:r>
    </w:p>
  </w:footnote>
  <w:footnote w:id="3">
    <w:p w14:paraId="35C0280E" w14:textId="77777777" w:rsidR="00A43FA8" w:rsidRPr="00801108" w:rsidRDefault="00A43FA8" w:rsidP="00F70A57">
      <w:pPr>
        <w:pStyle w:val="Textonotapie"/>
        <w:ind w:firstLine="709"/>
        <w:jc w:val="both"/>
        <w:rPr>
          <w:rFonts w:ascii="Arial" w:hAnsi="Arial" w:cs="Arial"/>
          <w:color w:val="000000" w:themeColor="text1"/>
          <w:sz w:val="18"/>
          <w:szCs w:val="18"/>
        </w:rPr>
      </w:pPr>
    </w:p>
    <w:p w14:paraId="334C0CF7" w14:textId="23DECF37" w:rsidR="00A43FA8" w:rsidRPr="00801108" w:rsidRDefault="00A43FA8" w:rsidP="00F70A57">
      <w:pPr>
        <w:pStyle w:val="Textonotapie"/>
        <w:ind w:firstLine="709"/>
        <w:jc w:val="both"/>
        <w:rPr>
          <w:rFonts w:ascii="Arial" w:hAnsi="Arial" w:cs="Arial"/>
          <w:color w:val="000000" w:themeColor="text1"/>
          <w:sz w:val="18"/>
          <w:szCs w:val="18"/>
          <w:lang w:val="es-ES"/>
        </w:rPr>
      </w:pPr>
      <w:r w:rsidRPr="00801108">
        <w:rPr>
          <w:rStyle w:val="Refdenotaalpie"/>
          <w:rFonts w:ascii="Arial" w:hAnsi="Arial" w:cs="Arial"/>
          <w:color w:val="000000" w:themeColor="text1"/>
          <w:sz w:val="18"/>
          <w:szCs w:val="18"/>
        </w:rPr>
        <w:footnoteRef/>
      </w:r>
      <w:r w:rsidRPr="00801108">
        <w:rPr>
          <w:rStyle w:val="Refdenotaalpie"/>
          <w:rFonts w:ascii="Arial" w:hAnsi="Arial" w:cs="Arial"/>
          <w:color w:val="000000" w:themeColor="text1"/>
          <w:sz w:val="18"/>
          <w:szCs w:val="18"/>
        </w:rPr>
        <w:t xml:space="preserve"> </w:t>
      </w:r>
      <w:r w:rsidRPr="00801108">
        <w:rPr>
          <w:rFonts w:ascii="Arial" w:hAnsi="Arial" w:cs="Arial"/>
          <w:color w:val="000000" w:themeColor="text1"/>
          <w:sz w:val="18"/>
          <w:szCs w:val="18"/>
        </w:rPr>
        <w:t>Consejo de Estado. Sección Tercera. Subsección A. Sentencia del 5 de julio de 2018. Exp. 37.834. Consejero Ponente: Carlos Alberto Zambrano Barrera.</w:t>
      </w:r>
    </w:p>
  </w:footnote>
  <w:footnote w:id="4">
    <w:p w14:paraId="134FB559" w14:textId="77777777" w:rsidR="00A43FA8" w:rsidRPr="00801108" w:rsidRDefault="00A43FA8" w:rsidP="00F70A57">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73ECC4D0" w14:textId="77777777" w:rsidR="00A43FA8" w:rsidRPr="00801108" w:rsidRDefault="00A43FA8" w:rsidP="00F70A57">
      <w:pPr>
        <w:pStyle w:val="Textonotapie"/>
        <w:ind w:firstLine="709"/>
        <w:jc w:val="both"/>
        <w:rPr>
          <w:rFonts w:ascii="Arial" w:hAnsi="Arial" w:cs="Arial"/>
          <w:color w:val="000000" w:themeColor="text1"/>
          <w:sz w:val="18"/>
          <w:szCs w:val="18"/>
        </w:rPr>
      </w:pPr>
    </w:p>
  </w:footnote>
  <w:footnote w:id="5">
    <w:p w14:paraId="5D474337" w14:textId="77777777" w:rsidR="00A43FA8" w:rsidRPr="00801108" w:rsidRDefault="00A43FA8" w:rsidP="00F70A57">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11EA854D" w14:textId="77777777" w:rsidR="00A43FA8" w:rsidRPr="00801108" w:rsidRDefault="00A43FA8" w:rsidP="00F70A57">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Consejo de Estado. Sección Tercera. Subsección C. Sentencia del 26 de febrero de 2014. Expediente: 25.804. Consejero Ponente: Enrique Gil Botero.</w:t>
      </w:r>
    </w:p>
  </w:footnote>
  <w:footnote w:id="7">
    <w:p w14:paraId="6D089929" w14:textId="77777777" w:rsidR="00A43FA8" w:rsidRPr="00801108" w:rsidRDefault="00A43FA8" w:rsidP="00F70A57">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Style w:val="Refdenotaalpie"/>
          <w:rFonts w:ascii="Arial" w:hAnsi="Arial" w:cs="Arial"/>
          <w:color w:val="000000" w:themeColor="text1"/>
          <w:sz w:val="18"/>
          <w:szCs w:val="18"/>
        </w:rPr>
        <w:t xml:space="preserve"> </w:t>
      </w:r>
      <w:r w:rsidRPr="00801108">
        <w:rPr>
          <w:rFonts w:ascii="Arial" w:hAnsi="Arial" w:cs="Arial"/>
          <w:color w:val="000000" w:themeColor="text1"/>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footnote>
  <w:footnote w:id="8">
    <w:p w14:paraId="7DE8B0F4" w14:textId="77777777" w:rsidR="00A43FA8" w:rsidRPr="00801108" w:rsidRDefault="00A43FA8" w:rsidP="00F70A57">
      <w:pPr>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801108">
          <w:rPr>
            <w:rFonts w:ascii="Arial" w:hAnsi="Arial" w:cs="Arial"/>
            <w:color w:val="000000" w:themeColor="text1"/>
            <w:sz w:val="18"/>
            <w:szCs w:val="18"/>
          </w:rPr>
          <w:t>Ley 1150 de 2007</w:t>
        </w:r>
      </w:hyperlink>
      <w:r w:rsidRPr="00801108">
        <w:rPr>
          <w:rFonts w:ascii="Arial" w:hAnsi="Arial" w:cs="Arial"/>
          <w:color w:val="000000" w:themeColor="text1"/>
          <w:sz w:val="18"/>
          <w:szCs w:val="18"/>
        </w:rPr>
        <w:t> y en el presente decreto.</w:t>
      </w:r>
    </w:p>
    <w:p w14:paraId="62D9729B" w14:textId="77777777" w:rsidR="00A43FA8" w:rsidRPr="00801108" w:rsidRDefault="00A43FA8" w:rsidP="00F70A57">
      <w:pPr>
        <w:ind w:firstLine="709"/>
        <w:jc w:val="both"/>
        <w:rPr>
          <w:rFonts w:ascii="Arial" w:hAnsi="Arial" w:cs="Arial"/>
          <w:color w:val="000000" w:themeColor="text1"/>
          <w:sz w:val="18"/>
          <w:szCs w:val="18"/>
        </w:rPr>
      </w:pPr>
      <w:r w:rsidRPr="00801108">
        <w:rPr>
          <w:rFonts w:ascii="Arial" w:hAnsi="Arial" w:cs="Arial"/>
          <w:color w:val="000000" w:themeColor="text1"/>
          <w:sz w:val="18"/>
          <w:szCs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4B0E88C9" w14:textId="77777777" w:rsidR="00A43FA8" w:rsidRPr="00801108" w:rsidRDefault="00A43FA8" w:rsidP="00F70A57">
      <w:pPr>
        <w:ind w:firstLine="709"/>
        <w:jc w:val="both"/>
        <w:rPr>
          <w:rFonts w:ascii="Arial" w:hAnsi="Arial" w:cs="Arial"/>
          <w:color w:val="000000" w:themeColor="text1"/>
          <w:sz w:val="18"/>
          <w:szCs w:val="18"/>
        </w:rPr>
      </w:pPr>
      <w:r w:rsidRPr="00801108">
        <w:rPr>
          <w:rFonts w:ascii="Arial" w:hAnsi="Arial" w:cs="Arial"/>
          <w:color w:val="000000" w:themeColor="text1"/>
          <w:sz w:val="18"/>
          <w:szCs w:val="18"/>
        </w:rPr>
        <w:t>»Será rechazada la oferta del proponente que dentro del término previsto en el pliego o en la solicitud, no responda al requerimiento que le haga la entidad para subsanarla.</w:t>
      </w:r>
    </w:p>
    <w:p w14:paraId="07A2771E" w14:textId="77777777" w:rsidR="00A43FA8" w:rsidRPr="00801108" w:rsidRDefault="00A43FA8" w:rsidP="00F70A57">
      <w:pPr>
        <w:ind w:firstLine="709"/>
        <w:jc w:val="both"/>
        <w:rPr>
          <w:rFonts w:ascii="Arial" w:hAnsi="Arial" w:cs="Arial"/>
          <w:color w:val="000000" w:themeColor="text1"/>
          <w:sz w:val="18"/>
          <w:szCs w:val="18"/>
        </w:rPr>
      </w:pPr>
      <w:r w:rsidRPr="00801108">
        <w:rPr>
          <w:rFonts w:ascii="Arial" w:hAnsi="Arial" w:cs="Arial"/>
          <w:color w:val="000000" w:themeColor="text1"/>
          <w:sz w:val="18"/>
          <w:szCs w:val="18"/>
        </w:rPr>
        <w:t>»Cuando se utilice el mecanismo de subasta esta posibilidad deberá ejercerse hasta el momento previo a su realización, de conformidad con el artículo 22 del presente decreto.</w:t>
      </w:r>
    </w:p>
    <w:p w14:paraId="7EC0632E" w14:textId="77777777" w:rsidR="00A43FA8" w:rsidRPr="00801108" w:rsidRDefault="00A43FA8" w:rsidP="00F70A57">
      <w:pPr>
        <w:ind w:firstLine="709"/>
        <w:jc w:val="both"/>
        <w:rPr>
          <w:rFonts w:ascii="Arial" w:hAnsi="Arial" w:cs="Arial"/>
          <w:color w:val="000000" w:themeColor="text1"/>
          <w:sz w:val="18"/>
          <w:szCs w:val="18"/>
        </w:rPr>
      </w:pPr>
      <w:r w:rsidRPr="00801108">
        <w:rPr>
          <w:rFonts w:ascii="Arial" w:hAnsi="Arial" w:cs="Arial"/>
          <w:color w:val="000000" w:themeColor="text1"/>
          <w:sz w:val="18"/>
          <w:szCs w:val="18"/>
        </w:rPr>
        <w:t>»En ningún caso la entidad podrá señalar taxativamente los requisitos o documentos subsanables o no subsanables en el pliego de condiciones, ni permitir que se subsane la falta de capacidad para presentar la oferta, ni que se acrediten circunstancias ocurridas con posterioridad al cierre del proceso».</w:t>
      </w:r>
    </w:p>
    <w:p w14:paraId="35A9DF23" w14:textId="77777777" w:rsidR="00A43FA8" w:rsidRPr="00801108" w:rsidRDefault="00A43FA8" w:rsidP="00F70A57">
      <w:pPr>
        <w:ind w:firstLine="709"/>
        <w:jc w:val="both"/>
        <w:rPr>
          <w:rFonts w:ascii="Arial" w:hAnsi="Arial" w:cs="Arial"/>
          <w:color w:val="000000" w:themeColor="text1"/>
          <w:sz w:val="18"/>
          <w:szCs w:val="18"/>
        </w:rPr>
      </w:pPr>
      <w:r w:rsidRPr="00801108">
        <w:rPr>
          <w:rFonts w:ascii="Arial" w:hAnsi="Arial" w:cs="Arial"/>
          <w:color w:val="000000" w:themeColor="text1"/>
          <w:sz w:val="18"/>
          <w:szCs w:val="18"/>
        </w:rPr>
        <w:t xml:space="preserve"> </w:t>
      </w:r>
    </w:p>
  </w:footnote>
  <w:footnote w:id="9">
    <w:p w14:paraId="50E20C45" w14:textId="77777777" w:rsidR="00A43FA8" w:rsidRPr="00801108" w:rsidRDefault="00A43FA8" w:rsidP="00F70A57">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0AFD82A5" w14:textId="366C492F" w:rsidR="00A43FA8" w:rsidRPr="00801108" w:rsidRDefault="00A43FA8" w:rsidP="00F70A57">
      <w:pPr>
        <w:pStyle w:val="Textonotapie"/>
        <w:ind w:firstLine="709"/>
        <w:jc w:val="both"/>
        <w:rPr>
          <w:rFonts w:ascii="Arial" w:hAnsi="Arial" w:cs="Arial"/>
          <w:color w:val="000000" w:themeColor="text1"/>
          <w:sz w:val="18"/>
          <w:szCs w:val="18"/>
        </w:rPr>
      </w:pPr>
      <w:r w:rsidRPr="00801108">
        <w:rPr>
          <w:rFonts w:ascii="Arial" w:hAnsi="Arial" w:cs="Arial"/>
          <w:color w:val="000000" w:themeColor="text1"/>
          <w:sz w:val="18"/>
          <w:szCs w:val="18"/>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73406E2E" w14:textId="77777777" w:rsidR="00A43FA8" w:rsidRPr="00801108" w:rsidRDefault="00A43FA8" w:rsidP="00F70A57">
      <w:pPr>
        <w:pStyle w:val="Textonotapie"/>
        <w:ind w:firstLine="709"/>
        <w:jc w:val="both"/>
        <w:rPr>
          <w:rFonts w:ascii="Arial" w:hAnsi="Arial" w:cs="Arial"/>
          <w:color w:val="000000" w:themeColor="text1"/>
          <w:sz w:val="18"/>
          <w:szCs w:val="18"/>
        </w:rPr>
      </w:pPr>
    </w:p>
  </w:footnote>
  <w:footnote w:id="10">
    <w:p w14:paraId="3A89A3AC" w14:textId="77777777" w:rsidR="00A43FA8" w:rsidRPr="00801108" w:rsidRDefault="00A43FA8" w:rsidP="00F70A57">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Ver Consejo de Estado, Sección Tercera, Subsección C. Sentencia del 26 de febrero de 2011. C.P. Jaime Orlando Santofimio. Rad. 36.408.  </w:t>
      </w:r>
    </w:p>
    <w:p w14:paraId="4D58CC02" w14:textId="77777777" w:rsidR="00A43FA8" w:rsidRPr="00801108" w:rsidRDefault="00A43FA8" w:rsidP="00F70A57">
      <w:pPr>
        <w:pStyle w:val="Textonotapie"/>
        <w:ind w:firstLine="709"/>
        <w:jc w:val="both"/>
        <w:rPr>
          <w:rFonts w:ascii="Arial" w:hAnsi="Arial" w:cs="Arial"/>
          <w:color w:val="000000" w:themeColor="text1"/>
          <w:sz w:val="18"/>
          <w:szCs w:val="18"/>
        </w:rPr>
      </w:pPr>
    </w:p>
  </w:footnote>
  <w:footnote w:id="11">
    <w:p w14:paraId="6297505A" w14:textId="77777777" w:rsidR="00A43FA8" w:rsidRPr="00801108" w:rsidRDefault="00A43FA8" w:rsidP="00F70A57">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Ver Consejo de Estado, Sección Tercera, Subsección C. Sentencia del 26 de febrero de 2014. C.P. Enrique Gil Botero. Rad. 25.804.  </w:t>
      </w:r>
    </w:p>
  </w:footnote>
  <w:footnote w:id="12">
    <w:p w14:paraId="61F26E8D" w14:textId="77777777" w:rsidR="00A43FA8" w:rsidRPr="00801108" w:rsidRDefault="00A43FA8" w:rsidP="00F70A57">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Consejo de Estado. Sala de Consulta y Servicio Civil. Concepto del 20 de mayo de 2010. Expediente: 1992. Consejero Ponente: Enrique José Arboleda Perdomo.</w:t>
      </w:r>
    </w:p>
    <w:p w14:paraId="2C87F99B" w14:textId="77777777" w:rsidR="00A43FA8" w:rsidRPr="00801108" w:rsidRDefault="00A43FA8" w:rsidP="00F70A57">
      <w:pPr>
        <w:pStyle w:val="Textonotapie"/>
        <w:ind w:firstLine="709"/>
        <w:jc w:val="both"/>
        <w:rPr>
          <w:rFonts w:ascii="Arial" w:hAnsi="Arial" w:cs="Arial"/>
          <w:color w:val="000000" w:themeColor="text1"/>
          <w:sz w:val="18"/>
          <w:szCs w:val="18"/>
        </w:rPr>
      </w:pPr>
    </w:p>
  </w:footnote>
  <w:footnote w:id="13">
    <w:p w14:paraId="00E48D17"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Ley 1150 de 2007 </w:t>
      </w:r>
      <w:r w:rsidRPr="00801108">
        <w:rPr>
          <w:rFonts w:ascii="Arial" w:hAnsi="Arial" w:cs="Arial"/>
          <w:color w:val="000000" w:themeColor="text1"/>
          <w:sz w:val="18"/>
          <w:szCs w:val="18"/>
          <w:lang w:val="es-CO"/>
        </w:rPr>
        <w:t>«Artículo 2o. De las modalidades de selección. La escogencia del contratista se efectuará con arreglo a las modalidades de selección de licitación pública, selección abreviada, concurso de méritos y contratación directa, con base en las siguientes reglas:</w:t>
      </w:r>
    </w:p>
    <w:p w14:paraId="5B0560EE"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»1. Licitación pública. La escogencia del contratista se efectuará por regla general a través de licitación pública, con las excepciones que se señalan en los numerales 2, 3 y 4 del presente artículo.</w:t>
      </w:r>
    </w:p>
    <w:p w14:paraId="78645F6D"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Cuando la entidad estatal así lo determine, la oferta en un proceso de la licitación pública podrá ser presentada total o parcialmente de manera dinámica mediante subasta inversa, en las condiciones que fije el reglamento.</w:t>
      </w:r>
    </w:p>
    <w:p w14:paraId="3DADE384"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52FE0FCD"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»El Gobierno Nacional reglamentará la materia.</w:t>
      </w:r>
    </w:p>
    <w:p w14:paraId="77B104EF"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»Serán causales de selección abreviada las siguientes:</w:t>
      </w:r>
    </w:p>
    <w:p w14:paraId="5D174061"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600DB74E" w14:textId="77777777" w:rsidR="00A43FA8" w:rsidRPr="00801108" w:rsidRDefault="00A43FA8" w:rsidP="009F7B0A">
      <w:pPr>
        <w:pStyle w:val="Textonotapie"/>
        <w:ind w:firstLine="705"/>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093E2506" w14:textId="77777777" w:rsidR="00A43FA8" w:rsidRPr="00801108" w:rsidRDefault="00A43FA8" w:rsidP="009F7B0A">
      <w:pPr>
        <w:pStyle w:val="Textonotapie"/>
        <w:ind w:left="705"/>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w:t>
      </w:r>
    </w:p>
    <w:p w14:paraId="301F0A0F"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»e) La enajenación de bienes del Estado, con excepción de aquellos a que se refiere la Ley 226 de 1995.</w:t>
      </w:r>
    </w:p>
    <w:p w14:paraId="31D1A1BD"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»En los procesos de enajenación de los bienes del Estado se podrán utilizar instrumentos de subasta y en general de todos aquellos mecanismos autorizados por el derecho privado, siempre y cuando en desarrollo del proceso de enajenación se garantice la transparencia, la eficiencia y la selección objetiva.</w:t>
      </w:r>
    </w:p>
    <w:p w14:paraId="5236A3A7"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w:t>
      </w:r>
    </w:p>
    <w:p w14:paraId="15312F43"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»Las reglas y procedimientos que deberán atender la administración y los promotores y la publicidad del proceso deberán garantizar la libre concurrencia y oportunidad de quienes participen en el mismo.</w:t>
      </w:r>
    </w:p>
    <w:p w14:paraId="1AEEDEE8"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»Los bienes serán enajenados a través de venta directa en sobre cerrado o en pública subasta. La adjudicación para la venta directa deberá hacerse en audiencia pública, en donde se conozcan las ofertas iniciales y se efectúe un segundo ofrecimiento, frente al cual se adjudicará el bien a quien oferte el mejor precio. En la subasta pública, de acuerdo con el reglamento definido para su realización, el bien será adjudicado al mejor postor.</w:t>
      </w:r>
    </w:p>
    <w:p w14:paraId="58EA1B48" w14:textId="77777777" w:rsidR="00A43FA8" w:rsidRPr="00801108" w:rsidRDefault="00A43FA8" w:rsidP="009F7B0A">
      <w:pPr>
        <w:pStyle w:val="Textonotapie"/>
        <w:ind w:firstLine="708"/>
        <w:jc w:val="both"/>
        <w:rPr>
          <w:rFonts w:ascii="Arial" w:hAnsi="Arial" w:cs="Arial"/>
          <w:color w:val="000000" w:themeColor="text1"/>
          <w:sz w:val="18"/>
          <w:szCs w:val="18"/>
          <w:lang w:val="es-CO"/>
        </w:rPr>
      </w:pPr>
      <w:r w:rsidRPr="00801108">
        <w:rPr>
          <w:rFonts w:ascii="Arial" w:hAnsi="Arial" w:cs="Arial"/>
          <w:color w:val="000000" w:themeColor="text1"/>
          <w:sz w:val="18"/>
          <w:szCs w:val="18"/>
          <w:lang w:val="es-CO"/>
        </w:rPr>
        <w:t>»La venta implica la publicación previa de los bienes en un diario de amplia circulación nacional, con la determinación del precio base. El interesado en adquirir bienes deberá consignar al menos el 20% del valor base de venta para participar en la oferta; […]».</w:t>
      </w:r>
    </w:p>
  </w:footnote>
  <w:footnote w:id="14">
    <w:p w14:paraId="330F095A" w14:textId="77777777" w:rsidR="00A43FA8" w:rsidRPr="00801108" w:rsidRDefault="00A43FA8">
      <w:pPr>
        <w:pStyle w:val="Textonotapie"/>
        <w:rPr>
          <w:rFonts w:ascii="Arial" w:hAnsi="Arial" w:cs="Arial"/>
          <w:color w:val="000000" w:themeColor="text1"/>
          <w:sz w:val="18"/>
          <w:szCs w:val="18"/>
        </w:rPr>
      </w:pPr>
    </w:p>
    <w:p w14:paraId="7DCF5678" w14:textId="686204C5" w:rsidR="00A43FA8" w:rsidRPr="00801108" w:rsidRDefault="00A43FA8" w:rsidP="00A43FA8">
      <w:pPr>
        <w:pStyle w:val="Textonotapie"/>
        <w:ind w:firstLine="708"/>
        <w:rPr>
          <w:rFonts w:ascii="Arial" w:hAnsi="Arial" w:cs="Arial"/>
          <w:color w:val="000000" w:themeColor="text1"/>
          <w:sz w:val="18"/>
          <w:szCs w:val="18"/>
          <w:lang w:val="es-CO"/>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MATALLANA CAMACHO, Ernesto (2013). Manual de Contratación de la Administración Pública. 3a ed. Bogotá D. C. Editorial Universidad externado de Colombia. </w:t>
      </w:r>
      <w:r w:rsidR="00805134" w:rsidRPr="00801108">
        <w:rPr>
          <w:rFonts w:ascii="Arial" w:hAnsi="Arial" w:cs="Arial"/>
          <w:color w:val="000000" w:themeColor="text1"/>
          <w:sz w:val="18"/>
          <w:szCs w:val="18"/>
        </w:rPr>
        <w:t>p.</w:t>
      </w:r>
    </w:p>
  </w:footnote>
  <w:footnote w:id="15">
    <w:p w14:paraId="069F7EE4" w14:textId="4E12DA1E" w:rsidR="00A43FA8" w:rsidRPr="00801108" w:rsidRDefault="00A43FA8" w:rsidP="00A5144E">
      <w:pPr>
        <w:pStyle w:val="Textonotapie"/>
        <w:ind w:firstLine="708"/>
        <w:jc w:val="both"/>
        <w:rPr>
          <w:rFonts w:ascii="Arial" w:hAnsi="Arial" w:cs="Arial"/>
          <w:color w:val="000000" w:themeColor="text1"/>
          <w:lang w:val="es-CO"/>
        </w:rPr>
      </w:pPr>
      <w:r w:rsidRPr="00801108">
        <w:rPr>
          <w:rStyle w:val="Refdenotaalpie"/>
          <w:rFonts w:ascii="Arial" w:hAnsi="Arial" w:cs="Arial"/>
          <w:color w:val="000000" w:themeColor="text1"/>
        </w:rPr>
        <w:footnoteRef/>
      </w:r>
      <w:r w:rsidRPr="00801108">
        <w:rPr>
          <w:rFonts w:ascii="Arial" w:hAnsi="Arial" w:cs="Arial"/>
          <w:color w:val="000000" w:themeColor="text1"/>
        </w:rPr>
        <w:t xml:space="preserve"> SOLANO SIERRA, Jairo E. (2010) Contratación Administrativa, “Modalidades de selección del Contratista. 4a. ed. Bogotá D.C. Editorial Doctrina y Ley Ltda. </w:t>
      </w:r>
      <w:r w:rsidR="00805134" w:rsidRPr="00801108">
        <w:rPr>
          <w:rFonts w:ascii="Arial" w:hAnsi="Arial" w:cs="Arial"/>
          <w:color w:val="000000" w:themeColor="text1"/>
        </w:rPr>
        <w:t xml:space="preserve">p. </w:t>
      </w:r>
      <w:r w:rsidRPr="00801108">
        <w:rPr>
          <w:rFonts w:ascii="Arial" w:hAnsi="Arial" w:cs="Arial"/>
          <w:color w:val="000000" w:themeColor="text1"/>
        </w:rPr>
        <w:t xml:space="preserve"> </w:t>
      </w:r>
    </w:p>
  </w:footnote>
  <w:footnote w:id="16">
    <w:p w14:paraId="44388853" w14:textId="77777777" w:rsidR="00A43FA8" w:rsidRPr="00801108" w:rsidRDefault="00A43FA8" w:rsidP="00F70A57">
      <w:pPr>
        <w:pStyle w:val="NormalWeb"/>
        <w:spacing w:before="0" w:beforeAutospacing="0" w:after="0" w:afterAutospacing="0"/>
        <w:ind w:firstLine="708"/>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w:t>
      </w:r>
      <w:r w:rsidRPr="00801108">
        <w:rPr>
          <w:rFonts w:ascii="Arial" w:hAnsi="Arial" w:cs="Arial"/>
          <w:b/>
          <w:bCs/>
          <w:color w:val="000000" w:themeColor="text1"/>
          <w:sz w:val="18"/>
          <w:szCs w:val="18"/>
        </w:rPr>
        <w:t>«</w:t>
      </w:r>
      <w:r w:rsidRPr="00801108">
        <w:rPr>
          <w:rStyle w:val="Textoennegrita"/>
          <w:rFonts w:ascii="Arial" w:hAnsi="Arial" w:cs="Arial"/>
          <w:b w:val="0"/>
          <w:bCs w:val="0"/>
          <w:color w:val="000000" w:themeColor="text1"/>
          <w:sz w:val="18"/>
          <w:szCs w:val="18"/>
        </w:rPr>
        <w:t>Artículo 2.2.1.2.1.2.2. </w:t>
      </w:r>
      <w:r w:rsidRPr="00801108">
        <w:rPr>
          <w:rStyle w:val="nfasis"/>
          <w:rFonts w:ascii="Arial" w:hAnsi="Arial" w:cs="Arial"/>
          <w:i w:val="0"/>
          <w:iCs w:val="0"/>
          <w:color w:val="000000" w:themeColor="text1"/>
          <w:sz w:val="18"/>
          <w:szCs w:val="18"/>
        </w:rPr>
        <w:t>Procedimiento para la subasta inversa</w:t>
      </w:r>
      <w:r w:rsidRPr="00801108">
        <w:rPr>
          <w:rStyle w:val="nfasis"/>
          <w:rFonts w:ascii="Arial" w:hAnsi="Arial" w:cs="Arial"/>
          <w:color w:val="000000" w:themeColor="text1"/>
          <w:sz w:val="18"/>
          <w:szCs w:val="18"/>
        </w:rPr>
        <w:t>.</w:t>
      </w:r>
      <w:r w:rsidRPr="00801108">
        <w:rPr>
          <w:rStyle w:val="nfasis"/>
          <w:rFonts w:ascii="Arial" w:hAnsi="Arial" w:cs="Arial"/>
          <w:b/>
          <w:bCs/>
          <w:color w:val="000000" w:themeColor="text1"/>
          <w:sz w:val="18"/>
          <w:szCs w:val="18"/>
        </w:rPr>
        <w:t> </w:t>
      </w:r>
      <w:r w:rsidRPr="00801108">
        <w:rPr>
          <w:rFonts w:ascii="Arial" w:hAnsi="Arial" w:cs="Arial"/>
          <w:color w:val="000000" w:themeColor="text1"/>
          <w:sz w:val="18"/>
          <w:szCs w:val="18"/>
        </w:rPr>
        <w:t>Además de las reglas generales previstas en la ley y en el presente título, las siguientes reglas son aplicables a la subasta inversa: </w:t>
      </w:r>
    </w:p>
    <w:p w14:paraId="47D2A5EE" w14:textId="03E47C6A" w:rsidR="00A43FA8" w:rsidRPr="00801108" w:rsidRDefault="00A43FA8" w:rsidP="00F70A57">
      <w:pPr>
        <w:pStyle w:val="NormalWeb"/>
        <w:spacing w:before="0" w:beforeAutospacing="0" w:after="0" w:afterAutospacing="0"/>
        <w:jc w:val="both"/>
        <w:rPr>
          <w:rFonts w:ascii="Arial" w:hAnsi="Arial" w:cs="Arial"/>
          <w:color w:val="000000" w:themeColor="text1"/>
          <w:sz w:val="18"/>
          <w:szCs w:val="18"/>
        </w:rPr>
      </w:pPr>
      <w:r w:rsidRPr="00801108">
        <w:rPr>
          <w:rFonts w:ascii="Arial" w:hAnsi="Arial" w:cs="Arial"/>
          <w:color w:val="000000" w:themeColor="text1"/>
          <w:sz w:val="18"/>
          <w:szCs w:val="18"/>
        </w:rPr>
        <w:t>  </w:t>
      </w:r>
      <w:r w:rsidRPr="00801108">
        <w:rPr>
          <w:rFonts w:ascii="Arial" w:hAnsi="Arial" w:cs="Arial"/>
          <w:color w:val="000000" w:themeColor="text1"/>
          <w:sz w:val="18"/>
          <w:szCs w:val="18"/>
        </w:rPr>
        <w:tab/>
        <w:t>»1. Los pliegos de condiciones deben indicar: a) la fecha y hora de inicio de la subasta; b) la periodicidad de los Lances; y c) el Margen Mínimo para mejorar la oferta durante la subasta inversa. </w:t>
      </w:r>
    </w:p>
    <w:p w14:paraId="773463C4" w14:textId="6F859C96" w:rsidR="00A43FA8" w:rsidRPr="00801108" w:rsidRDefault="00A43FA8" w:rsidP="00F70A57">
      <w:pPr>
        <w:pStyle w:val="NormalWeb"/>
        <w:spacing w:before="0" w:beforeAutospacing="0" w:after="0" w:afterAutospacing="0"/>
        <w:jc w:val="both"/>
        <w:rPr>
          <w:rFonts w:ascii="Arial" w:hAnsi="Arial" w:cs="Arial"/>
          <w:color w:val="000000" w:themeColor="text1"/>
          <w:sz w:val="18"/>
          <w:szCs w:val="18"/>
        </w:rPr>
      </w:pPr>
      <w:r w:rsidRPr="00801108">
        <w:rPr>
          <w:rFonts w:ascii="Arial" w:hAnsi="Arial" w:cs="Arial"/>
          <w:color w:val="000000" w:themeColor="text1"/>
          <w:sz w:val="18"/>
          <w:szCs w:val="18"/>
        </w:rPr>
        <w:t>  </w:t>
      </w:r>
      <w:r w:rsidRPr="00801108">
        <w:rPr>
          <w:rFonts w:ascii="Arial" w:hAnsi="Arial" w:cs="Arial"/>
          <w:color w:val="000000" w:themeColor="text1"/>
          <w:sz w:val="18"/>
          <w:szCs w:val="18"/>
        </w:rPr>
        <w:tab/>
        <w:t>»2. La oferta debe contener dos partes, la primera en la cual el interesado acredite su capacidad de participar en el Proceso de Contratación y acredite el cumplimiento de la ficha técnica; y la segunda parte debe contener el precio inicial propuesto por el oferente. </w:t>
      </w:r>
    </w:p>
    <w:p w14:paraId="2FE43AE8" w14:textId="73D51B87" w:rsidR="00A43FA8" w:rsidRPr="00801108" w:rsidRDefault="00A43FA8" w:rsidP="00F70A57">
      <w:pPr>
        <w:pStyle w:val="NormalWeb"/>
        <w:spacing w:before="0" w:beforeAutospacing="0" w:after="0" w:afterAutospacing="0"/>
        <w:jc w:val="both"/>
        <w:rPr>
          <w:rFonts w:ascii="Arial" w:hAnsi="Arial" w:cs="Arial"/>
          <w:color w:val="000000" w:themeColor="text1"/>
          <w:sz w:val="18"/>
          <w:szCs w:val="18"/>
        </w:rPr>
      </w:pPr>
      <w:r w:rsidRPr="00801108">
        <w:rPr>
          <w:rFonts w:ascii="Arial" w:hAnsi="Arial" w:cs="Arial"/>
          <w:color w:val="000000" w:themeColor="text1"/>
          <w:sz w:val="18"/>
          <w:szCs w:val="18"/>
        </w:rPr>
        <w:t>  </w:t>
      </w:r>
      <w:r w:rsidRPr="00801108">
        <w:rPr>
          <w:rFonts w:ascii="Arial" w:hAnsi="Arial" w:cs="Arial"/>
          <w:color w:val="000000" w:themeColor="text1"/>
          <w:sz w:val="18"/>
          <w:szCs w:val="18"/>
        </w:rPr>
        <w:tab/>
        <w:t>»3. La Entidad Estatal debe publicar un informe de habilitación de los oferentes, en el cual debe indicar si los bienes o servicios ofrecidos por el interesado cumplen con la ficha técnica y si el oferente se encuentra habilitado. </w:t>
      </w:r>
    </w:p>
    <w:p w14:paraId="61B4B4EA" w14:textId="518DFFC1" w:rsidR="00A43FA8" w:rsidRPr="00801108" w:rsidRDefault="00A43FA8" w:rsidP="00F70A57">
      <w:pPr>
        <w:pStyle w:val="NormalWeb"/>
        <w:spacing w:before="0" w:beforeAutospacing="0" w:after="0" w:afterAutospacing="0"/>
        <w:jc w:val="both"/>
        <w:rPr>
          <w:rFonts w:ascii="Arial" w:hAnsi="Arial" w:cs="Arial"/>
          <w:color w:val="000000" w:themeColor="text1"/>
          <w:sz w:val="18"/>
          <w:szCs w:val="18"/>
        </w:rPr>
      </w:pPr>
      <w:r w:rsidRPr="00801108">
        <w:rPr>
          <w:rFonts w:ascii="Arial" w:hAnsi="Arial" w:cs="Arial"/>
          <w:color w:val="000000" w:themeColor="text1"/>
          <w:sz w:val="18"/>
          <w:szCs w:val="18"/>
        </w:rPr>
        <w:t>  </w:t>
      </w:r>
      <w:r w:rsidRPr="00801108">
        <w:rPr>
          <w:rFonts w:ascii="Arial" w:hAnsi="Arial" w:cs="Arial"/>
          <w:color w:val="000000" w:themeColor="text1"/>
          <w:sz w:val="18"/>
          <w:szCs w:val="18"/>
        </w:rPr>
        <w:tab/>
        <w:t>»4. Hay subasta inversa siempre que haya como mínimo dos oferentes habilitados cuyos bienes o servicios cumplen con la ficha técnica. </w:t>
      </w:r>
    </w:p>
    <w:p w14:paraId="6C8D5EA8" w14:textId="4F9976BD" w:rsidR="00A43FA8" w:rsidRPr="00801108" w:rsidRDefault="00A43FA8" w:rsidP="00F70A57">
      <w:pPr>
        <w:pStyle w:val="NormalWeb"/>
        <w:spacing w:before="0" w:beforeAutospacing="0" w:after="0" w:afterAutospacing="0"/>
        <w:jc w:val="both"/>
        <w:rPr>
          <w:rFonts w:ascii="Arial" w:hAnsi="Arial" w:cs="Arial"/>
          <w:color w:val="000000" w:themeColor="text1"/>
          <w:sz w:val="18"/>
          <w:szCs w:val="18"/>
        </w:rPr>
      </w:pPr>
      <w:r w:rsidRPr="00801108">
        <w:rPr>
          <w:rFonts w:ascii="Arial" w:hAnsi="Arial" w:cs="Arial"/>
          <w:color w:val="000000" w:themeColor="text1"/>
          <w:sz w:val="18"/>
          <w:szCs w:val="18"/>
        </w:rPr>
        <w:t>  </w:t>
      </w:r>
      <w:r w:rsidRPr="00801108">
        <w:rPr>
          <w:rFonts w:ascii="Arial" w:hAnsi="Arial" w:cs="Arial"/>
          <w:color w:val="000000" w:themeColor="text1"/>
          <w:sz w:val="18"/>
          <w:szCs w:val="18"/>
        </w:rPr>
        <w:tab/>
        <w:t>»5. 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 </w:t>
      </w:r>
    </w:p>
    <w:p w14:paraId="06753138" w14:textId="4D6D1284" w:rsidR="00A43FA8" w:rsidRPr="00801108" w:rsidRDefault="00A43FA8" w:rsidP="00F70A57">
      <w:pPr>
        <w:pStyle w:val="NormalWeb"/>
        <w:spacing w:before="0" w:beforeAutospacing="0" w:after="0" w:afterAutospacing="0"/>
        <w:jc w:val="both"/>
        <w:rPr>
          <w:rFonts w:ascii="Arial" w:hAnsi="Arial" w:cs="Arial"/>
          <w:color w:val="000000" w:themeColor="text1"/>
          <w:sz w:val="18"/>
          <w:szCs w:val="18"/>
        </w:rPr>
      </w:pPr>
      <w:r w:rsidRPr="00801108">
        <w:rPr>
          <w:rFonts w:ascii="Arial" w:hAnsi="Arial" w:cs="Arial"/>
          <w:color w:val="000000" w:themeColor="text1"/>
          <w:sz w:val="18"/>
          <w:szCs w:val="18"/>
        </w:rPr>
        <w:t>  </w:t>
      </w:r>
      <w:r w:rsidRPr="00801108">
        <w:rPr>
          <w:rFonts w:ascii="Arial" w:hAnsi="Arial" w:cs="Arial"/>
          <w:color w:val="000000" w:themeColor="text1"/>
          <w:sz w:val="18"/>
          <w:szCs w:val="18"/>
        </w:rPr>
        <w:tab/>
        <w:t>»6. La subasta debe iniciar con el precio más bajo indicado por los oferentes y en consecuencia, solamente serán válidos los Lances efectuados durante la subasta inversa en los cuales la oferta sea mejorada en por lo menos el Margen Mínimo establecido. </w:t>
      </w:r>
    </w:p>
    <w:p w14:paraId="58EDF142" w14:textId="6C6C3455" w:rsidR="00A43FA8" w:rsidRPr="00801108" w:rsidRDefault="00A43FA8" w:rsidP="00F70A57">
      <w:pPr>
        <w:pStyle w:val="NormalWeb"/>
        <w:spacing w:before="0" w:beforeAutospacing="0" w:after="0" w:afterAutospacing="0"/>
        <w:jc w:val="both"/>
        <w:rPr>
          <w:rFonts w:ascii="Arial" w:hAnsi="Arial" w:cs="Arial"/>
          <w:color w:val="000000" w:themeColor="text1"/>
          <w:sz w:val="18"/>
          <w:szCs w:val="18"/>
        </w:rPr>
      </w:pPr>
      <w:r w:rsidRPr="00801108">
        <w:rPr>
          <w:rFonts w:ascii="Arial" w:hAnsi="Arial" w:cs="Arial"/>
          <w:color w:val="000000" w:themeColor="text1"/>
          <w:sz w:val="18"/>
          <w:szCs w:val="18"/>
        </w:rPr>
        <w:t>  </w:t>
      </w:r>
      <w:r w:rsidRPr="00801108">
        <w:rPr>
          <w:rFonts w:ascii="Arial" w:hAnsi="Arial" w:cs="Arial"/>
          <w:color w:val="000000" w:themeColor="text1"/>
          <w:sz w:val="18"/>
          <w:szCs w:val="18"/>
        </w:rPr>
        <w:tab/>
        <w:t>»7. Si los oferentes no presentan Lances durante la subasta, la Entidad Estatal debe adjudicar el contrato al oferente que haya presentado el precio inicial más bajo. </w:t>
      </w:r>
    </w:p>
    <w:p w14:paraId="3B4D487E" w14:textId="0E208DAE" w:rsidR="00A43FA8" w:rsidRPr="00801108" w:rsidRDefault="00A43FA8" w:rsidP="00F70A57">
      <w:pPr>
        <w:pStyle w:val="NormalWeb"/>
        <w:spacing w:before="0" w:beforeAutospacing="0" w:after="0" w:afterAutospacing="0"/>
        <w:jc w:val="both"/>
        <w:rPr>
          <w:rFonts w:ascii="Arial" w:hAnsi="Arial" w:cs="Arial"/>
          <w:color w:val="000000" w:themeColor="text1"/>
          <w:sz w:val="18"/>
          <w:szCs w:val="18"/>
        </w:rPr>
      </w:pPr>
      <w:r w:rsidRPr="00801108">
        <w:rPr>
          <w:rFonts w:ascii="Arial" w:hAnsi="Arial" w:cs="Arial"/>
          <w:color w:val="000000" w:themeColor="text1"/>
          <w:sz w:val="18"/>
          <w:szCs w:val="18"/>
        </w:rPr>
        <w:t>  </w:t>
      </w:r>
      <w:r w:rsidRPr="00801108">
        <w:rPr>
          <w:rFonts w:ascii="Arial" w:hAnsi="Arial" w:cs="Arial"/>
          <w:color w:val="000000" w:themeColor="text1"/>
          <w:sz w:val="18"/>
          <w:szCs w:val="18"/>
        </w:rPr>
        <w:tab/>
        <w:t>»8. Al terminar la presentación de cada Lance, la Entidad Estatal debe informar el valor del Lance más bajo. </w:t>
      </w:r>
    </w:p>
    <w:p w14:paraId="1EE2E99C" w14:textId="11E7F5CD" w:rsidR="00A43FA8" w:rsidRPr="00801108" w:rsidRDefault="00A43FA8" w:rsidP="00F70A57">
      <w:pPr>
        <w:pStyle w:val="NormalWeb"/>
        <w:spacing w:before="0" w:beforeAutospacing="0" w:after="0" w:afterAutospacing="0"/>
        <w:jc w:val="both"/>
        <w:rPr>
          <w:rFonts w:ascii="Arial" w:hAnsi="Arial" w:cs="Arial"/>
          <w:color w:val="000000" w:themeColor="text1"/>
          <w:sz w:val="18"/>
          <w:szCs w:val="18"/>
        </w:rPr>
      </w:pPr>
      <w:r w:rsidRPr="00801108">
        <w:rPr>
          <w:rFonts w:ascii="Arial" w:hAnsi="Arial" w:cs="Arial"/>
          <w:color w:val="000000" w:themeColor="text1"/>
          <w:sz w:val="18"/>
          <w:szCs w:val="18"/>
        </w:rPr>
        <w:t>  </w:t>
      </w:r>
      <w:r w:rsidRPr="00801108">
        <w:rPr>
          <w:rFonts w:ascii="Arial" w:hAnsi="Arial" w:cs="Arial"/>
          <w:color w:val="000000" w:themeColor="text1"/>
          <w:sz w:val="18"/>
          <w:szCs w:val="18"/>
        </w:rPr>
        <w:tab/>
        <w:t>»9. Si al terminar la subasta inversa hay empate, la Entidad Estatal debe seleccionar al oferente que presentó el menor precio inicial. En caso de persistir el empate la Entidad Estatal debe aplicar las reglas del numeral 1 al 5 del artículo 2.2.1.1.2.2.9 del presente decreto». </w:t>
      </w:r>
    </w:p>
    <w:p w14:paraId="0228C55D" w14:textId="77777777" w:rsidR="00A43FA8" w:rsidRPr="00801108" w:rsidRDefault="00A43FA8" w:rsidP="00F70A57">
      <w:pPr>
        <w:pStyle w:val="Textonotapie"/>
        <w:jc w:val="both"/>
        <w:rPr>
          <w:rFonts w:ascii="Arial" w:hAnsi="Arial" w:cs="Arial"/>
          <w:color w:val="000000" w:themeColor="text1"/>
          <w:sz w:val="18"/>
          <w:szCs w:val="18"/>
          <w:lang w:val="es-CO"/>
        </w:rPr>
      </w:pPr>
    </w:p>
  </w:footnote>
  <w:footnote w:id="17">
    <w:p w14:paraId="11D746FC" w14:textId="50EA9141" w:rsidR="00A43FA8" w:rsidRPr="00801108" w:rsidRDefault="00A43FA8" w:rsidP="00F70A57">
      <w:pPr>
        <w:pStyle w:val="Textonotapie"/>
        <w:ind w:firstLine="708"/>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«Artículo 2.2.1.2.1.2.5. Subasta inversa electrónica o presencial. La Entidad Estatal puede escoger si adelanta la subasta inversa electrónica o presencialmente. </w:t>
      </w:r>
    </w:p>
    <w:p w14:paraId="74911240" w14:textId="6FFF95F2" w:rsidR="00A43FA8" w:rsidRPr="00801108" w:rsidRDefault="00A43FA8" w:rsidP="00F70A57">
      <w:pPr>
        <w:pStyle w:val="Textonotapie"/>
        <w:jc w:val="both"/>
        <w:rPr>
          <w:rFonts w:ascii="Arial" w:hAnsi="Arial" w:cs="Arial"/>
          <w:color w:val="000000" w:themeColor="text1"/>
          <w:sz w:val="18"/>
          <w:szCs w:val="18"/>
          <w:lang w:val="es-CO"/>
        </w:rPr>
      </w:pPr>
      <w:r w:rsidRPr="00801108">
        <w:rPr>
          <w:rFonts w:ascii="Arial" w:hAnsi="Arial" w:cs="Arial"/>
          <w:color w:val="000000" w:themeColor="text1"/>
          <w:sz w:val="18"/>
          <w:szCs w:val="18"/>
        </w:rPr>
        <w:t xml:space="preserve">  </w:t>
      </w:r>
      <w:r w:rsidRPr="00801108">
        <w:rPr>
          <w:rFonts w:ascii="Arial" w:hAnsi="Arial" w:cs="Arial"/>
          <w:color w:val="000000" w:themeColor="text1"/>
          <w:sz w:val="18"/>
          <w:szCs w:val="18"/>
        </w:rPr>
        <w:tab/>
        <w:t>»Si la Entidad Estatal decide adelantar la subasta electrónicamente debe fijar en los pliegos de condiciones el sistema que utilizará para la subasta inversa y los mecanismos de seguridad para el intercambio de mensajes de datos».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A43FA8" w:rsidRDefault="00A43FA8">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8"/>
  </w:num>
  <w:num w:numId="4">
    <w:abstractNumId w:val="9"/>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16"/>
  </w:num>
  <w:num w:numId="10">
    <w:abstractNumId w:val="2"/>
  </w:num>
  <w:num w:numId="11">
    <w:abstractNumId w:val="6"/>
  </w:num>
  <w:num w:numId="12">
    <w:abstractNumId w:val="14"/>
  </w:num>
  <w:num w:numId="13">
    <w:abstractNumId w:val="7"/>
  </w:num>
  <w:num w:numId="14">
    <w:abstractNumId w:val="12"/>
  </w:num>
  <w:num w:numId="15">
    <w:abstractNumId w:val="1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0D3"/>
    <w:rsid w:val="00002C6B"/>
    <w:rsid w:val="00003F7C"/>
    <w:rsid w:val="00004634"/>
    <w:rsid w:val="000048CA"/>
    <w:rsid w:val="00004DBF"/>
    <w:rsid w:val="00004F00"/>
    <w:rsid w:val="0000562F"/>
    <w:rsid w:val="0000655E"/>
    <w:rsid w:val="000078A0"/>
    <w:rsid w:val="00007D2A"/>
    <w:rsid w:val="0001127D"/>
    <w:rsid w:val="0001254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D91"/>
    <w:rsid w:val="00020F00"/>
    <w:rsid w:val="00021744"/>
    <w:rsid w:val="00022AB6"/>
    <w:rsid w:val="000230F6"/>
    <w:rsid w:val="00023516"/>
    <w:rsid w:val="0002419B"/>
    <w:rsid w:val="0002473E"/>
    <w:rsid w:val="00024F08"/>
    <w:rsid w:val="00025437"/>
    <w:rsid w:val="0002698E"/>
    <w:rsid w:val="00026ED4"/>
    <w:rsid w:val="00027148"/>
    <w:rsid w:val="00030433"/>
    <w:rsid w:val="000311E0"/>
    <w:rsid w:val="000318B0"/>
    <w:rsid w:val="000330B0"/>
    <w:rsid w:val="00033870"/>
    <w:rsid w:val="000339C2"/>
    <w:rsid w:val="00035138"/>
    <w:rsid w:val="00037BB7"/>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57B34"/>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735A"/>
    <w:rsid w:val="00097C6C"/>
    <w:rsid w:val="000A0439"/>
    <w:rsid w:val="000A064C"/>
    <w:rsid w:val="000A09D2"/>
    <w:rsid w:val="000A2BAB"/>
    <w:rsid w:val="000A3C4E"/>
    <w:rsid w:val="000A3CBD"/>
    <w:rsid w:val="000A426B"/>
    <w:rsid w:val="000A4AAE"/>
    <w:rsid w:val="000A502E"/>
    <w:rsid w:val="000A511D"/>
    <w:rsid w:val="000A5BD3"/>
    <w:rsid w:val="000A6122"/>
    <w:rsid w:val="000A628F"/>
    <w:rsid w:val="000A66F3"/>
    <w:rsid w:val="000A7B03"/>
    <w:rsid w:val="000B0465"/>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0A6"/>
    <w:rsid w:val="000D343E"/>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7072"/>
    <w:rsid w:val="0010274B"/>
    <w:rsid w:val="00102E6B"/>
    <w:rsid w:val="00103915"/>
    <w:rsid w:val="001039BF"/>
    <w:rsid w:val="00103A69"/>
    <w:rsid w:val="00104161"/>
    <w:rsid w:val="001054A2"/>
    <w:rsid w:val="0010664D"/>
    <w:rsid w:val="00107A30"/>
    <w:rsid w:val="0011003B"/>
    <w:rsid w:val="001104F6"/>
    <w:rsid w:val="001111DD"/>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442F"/>
    <w:rsid w:val="00134F34"/>
    <w:rsid w:val="0013525C"/>
    <w:rsid w:val="0013543D"/>
    <w:rsid w:val="001356ED"/>
    <w:rsid w:val="0013612A"/>
    <w:rsid w:val="00137D19"/>
    <w:rsid w:val="00137FFA"/>
    <w:rsid w:val="001436C6"/>
    <w:rsid w:val="00143855"/>
    <w:rsid w:val="001444AE"/>
    <w:rsid w:val="0014671C"/>
    <w:rsid w:val="001470D6"/>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45BB"/>
    <w:rsid w:val="00194762"/>
    <w:rsid w:val="00195D3C"/>
    <w:rsid w:val="00195EB8"/>
    <w:rsid w:val="00195F16"/>
    <w:rsid w:val="00196172"/>
    <w:rsid w:val="00196F5B"/>
    <w:rsid w:val="001A0C18"/>
    <w:rsid w:val="001A1BA8"/>
    <w:rsid w:val="001A21C4"/>
    <w:rsid w:val="001A23EA"/>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FF9"/>
    <w:rsid w:val="001D17D9"/>
    <w:rsid w:val="001D262B"/>
    <w:rsid w:val="001D3276"/>
    <w:rsid w:val="001D32CB"/>
    <w:rsid w:val="001D3846"/>
    <w:rsid w:val="001D46FE"/>
    <w:rsid w:val="001D4AE9"/>
    <w:rsid w:val="001D5813"/>
    <w:rsid w:val="001D60D3"/>
    <w:rsid w:val="001D69DD"/>
    <w:rsid w:val="001E0375"/>
    <w:rsid w:val="001E10A7"/>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5255"/>
    <w:rsid w:val="00216F80"/>
    <w:rsid w:val="0021710C"/>
    <w:rsid w:val="0022149D"/>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6F3B"/>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763B"/>
    <w:rsid w:val="002B7CAF"/>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9D5"/>
    <w:rsid w:val="00304EC8"/>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168"/>
    <w:rsid w:val="00335F0E"/>
    <w:rsid w:val="0033606D"/>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D4B"/>
    <w:rsid w:val="0035533F"/>
    <w:rsid w:val="00355B83"/>
    <w:rsid w:val="003564A6"/>
    <w:rsid w:val="0035653A"/>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D543C"/>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10C1"/>
    <w:rsid w:val="00411FA4"/>
    <w:rsid w:val="00412F7D"/>
    <w:rsid w:val="00413E4A"/>
    <w:rsid w:val="0041629E"/>
    <w:rsid w:val="00416CE1"/>
    <w:rsid w:val="00416F9D"/>
    <w:rsid w:val="00423AD3"/>
    <w:rsid w:val="00423F9F"/>
    <w:rsid w:val="00425CA8"/>
    <w:rsid w:val="00426DF2"/>
    <w:rsid w:val="00430285"/>
    <w:rsid w:val="00431738"/>
    <w:rsid w:val="00432555"/>
    <w:rsid w:val="0043379B"/>
    <w:rsid w:val="0043379F"/>
    <w:rsid w:val="00436487"/>
    <w:rsid w:val="00436701"/>
    <w:rsid w:val="0043673A"/>
    <w:rsid w:val="00436CF2"/>
    <w:rsid w:val="00436EE1"/>
    <w:rsid w:val="0044094B"/>
    <w:rsid w:val="00441949"/>
    <w:rsid w:val="00441E6D"/>
    <w:rsid w:val="0044219E"/>
    <w:rsid w:val="0044228D"/>
    <w:rsid w:val="004422D6"/>
    <w:rsid w:val="00446012"/>
    <w:rsid w:val="00446133"/>
    <w:rsid w:val="00447189"/>
    <w:rsid w:val="00447914"/>
    <w:rsid w:val="004502C6"/>
    <w:rsid w:val="00450374"/>
    <w:rsid w:val="004503CA"/>
    <w:rsid w:val="00450793"/>
    <w:rsid w:val="004508FF"/>
    <w:rsid w:val="0045122B"/>
    <w:rsid w:val="00451785"/>
    <w:rsid w:val="00451BC2"/>
    <w:rsid w:val="00451F4F"/>
    <w:rsid w:val="0045222D"/>
    <w:rsid w:val="00452602"/>
    <w:rsid w:val="004526D3"/>
    <w:rsid w:val="00452A0D"/>
    <w:rsid w:val="0045437C"/>
    <w:rsid w:val="004558DD"/>
    <w:rsid w:val="004568C7"/>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772"/>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4B3"/>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162D"/>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17F1D"/>
    <w:rsid w:val="006208FE"/>
    <w:rsid w:val="00621165"/>
    <w:rsid w:val="00621A78"/>
    <w:rsid w:val="00622F73"/>
    <w:rsid w:val="00623168"/>
    <w:rsid w:val="00623B77"/>
    <w:rsid w:val="00624C50"/>
    <w:rsid w:val="00625F19"/>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E6"/>
    <w:rsid w:val="0064058D"/>
    <w:rsid w:val="006441E9"/>
    <w:rsid w:val="00644ADC"/>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3314"/>
    <w:rsid w:val="0066452D"/>
    <w:rsid w:val="00664556"/>
    <w:rsid w:val="00664EBA"/>
    <w:rsid w:val="00665553"/>
    <w:rsid w:val="006660FA"/>
    <w:rsid w:val="00666303"/>
    <w:rsid w:val="0066696D"/>
    <w:rsid w:val="006676AA"/>
    <w:rsid w:val="00670AFD"/>
    <w:rsid w:val="006715BC"/>
    <w:rsid w:val="00672379"/>
    <w:rsid w:val="006726C7"/>
    <w:rsid w:val="006732EF"/>
    <w:rsid w:val="006745D9"/>
    <w:rsid w:val="00675DAA"/>
    <w:rsid w:val="0067671D"/>
    <w:rsid w:val="0067719F"/>
    <w:rsid w:val="00677428"/>
    <w:rsid w:val="00680ACA"/>
    <w:rsid w:val="00680CD0"/>
    <w:rsid w:val="00680EE3"/>
    <w:rsid w:val="006811A6"/>
    <w:rsid w:val="00681957"/>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667D"/>
    <w:rsid w:val="006A6C98"/>
    <w:rsid w:val="006A6CF5"/>
    <w:rsid w:val="006A7CB5"/>
    <w:rsid w:val="006A7FD0"/>
    <w:rsid w:val="006B02DD"/>
    <w:rsid w:val="006B0A01"/>
    <w:rsid w:val="006B2D2D"/>
    <w:rsid w:val="006B340F"/>
    <w:rsid w:val="006B419C"/>
    <w:rsid w:val="006B4A03"/>
    <w:rsid w:val="006B4BC9"/>
    <w:rsid w:val="006B5469"/>
    <w:rsid w:val="006B5E52"/>
    <w:rsid w:val="006B6D5F"/>
    <w:rsid w:val="006B7C79"/>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4D3E"/>
    <w:rsid w:val="006D50B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7E7"/>
    <w:rsid w:val="00702B8B"/>
    <w:rsid w:val="00703A0F"/>
    <w:rsid w:val="00703B28"/>
    <w:rsid w:val="00705631"/>
    <w:rsid w:val="00705C24"/>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2634"/>
    <w:rsid w:val="00762AEC"/>
    <w:rsid w:val="00763266"/>
    <w:rsid w:val="007634AD"/>
    <w:rsid w:val="00764D4E"/>
    <w:rsid w:val="00764E67"/>
    <w:rsid w:val="00765694"/>
    <w:rsid w:val="00765B48"/>
    <w:rsid w:val="00766AD1"/>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204E"/>
    <w:rsid w:val="007B2571"/>
    <w:rsid w:val="007B3524"/>
    <w:rsid w:val="007B3CCE"/>
    <w:rsid w:val="007B4540"/>
    <w:rsid w:val="007B495B"/>
    <w:rsid w:val="007B5414"/>
    <w:rsid w:val="007B58F4"/>
    <w:rsid w:val="007B6EA2"/>
    <w:rsid w:val="007B7CED"/>
    <w:rsid w:val="007C097B"/>
    <w:rsid w:val="007C256E"/>
    <w:rsid w:val="007C3FAF"/>
    <w:rsid w:val="007C4C04"/>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1108"/>
    <w:rsid w:val="00802BF5"/>
    <w:rsid w:val="00802FA2"/>
    <w:rsid w:val="008035BB"/>
    <w:rsid w:val="0080413E"/>
    <w:rsid w:val="00805134"/>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2CEC"/>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34CF"/>
    <w:rsid w:val="00843A94"/>
    <w:rsid w:val="00843B34"/>
    <w:rsid w:val="00844611"/>
    <w:rsid w:val="00845FC8"/>
    <w:rsid w:val="00846721"/>
    <w:rsid w:val="008502CC"/>
    <w:rsid w:val="008502F9"/>
    <w:rsid w:val="0085092D"/>
    <w:rsid w:val="00850F79"/>
    <w:rsid w:val="0085136E"/>
    <w:rsid w:val="00851933"/>
    <w:rsid w:val="00853B4B"/>
    <w:rsid w:val="00853CE7"/>
    <w:rsid w:val="00854029"/>
    <w:rsid w:val="00854370"/>
    <w:rsid w:val="008548AC"/>
    <w:rsid w:val="00855F56"/>
    <w:rsid w:val="00856420"/>
    <w:rsid w:val="008605DD"/>
    <w:rsid w:val="00861CBE"/>
    <w:rsid w:val="008629DE"/>
    <w:rsid w:val="008639DC"/>
    <w:rsid w:val="00863B45"/>
    <w:rsid w:val="00864F2E"/>
    <w:rsid w:val="00866D4C"/>
    <w:rsid w:val="00867267"/>
    <w:rsid w:val="0086772B"/>
    <w:rsid w:val="00867FA2"/>
    <w:rsid w:val="00870445"/>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138E"/>
    <w:rsid w:val="008820EF"/>
    <w:rsid w:val="0088288B"/>
    <w:rsid w:val="0088292E"/>
    <w:rsid w:val="00883014"/>
    <w:rsid w:val="0088373F"/>
    <w:rsid w:val="00883844"/>
    <w:rsid w:val="00884680"/>
    <w:rsid w:val="008847A7"/>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D56"/>
    <w:rsid w:val="008A113A"/>
    <w:rsid w:val="008A22FB"/>
    <w:rsid w:val="008A24D7"/>
    <w:rsid w:val="008A265E"/>
    <w:rsid w:val="008A2781"/>
    <w:rsid w:val="008A36B6"/>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33B6"/>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8F717D"/>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1D95"/>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06"/>
    <w:rsid w:val="0096275E"/>
    <w:rsid w:val="009646C1"/>
    <w:rsid w:val="00964E57"/>
    <w:rsid w:val="009650ED"/>
    <w:rsid w:val="009651B8"/>
    <w:rsid w:val="00966AFD"/>
    <w:rsid w:val="00966E63"/>
    <w:rsid w:val="009673D9"/>
    <w:rsid w:val="00970386"/>
    <w:rsid w:val="00970B51"/>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62C3"/>
    <w:rsid w:val="009D68DA"/>
    <w:rsid w:val="009E1D2D"/>
    <w:rsid w:val="009E405A"/>
    <w:rsid w:val="009E4B65"/>
    <w:rsid w:val="009E4C76"/>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9F7B0A"/>
    <w:rsid w:val="00A0089B"/>
    <w:rsid w:val="00A01EAA"/>
    <w:rsid w:val="00A02035"/>
    <w:rsid w:val="00A02AD6"/>
    <w:rsid w:val="00A03AEC"/>
    <w:rsid w:val="00A04EE8"/>
    <w:rsid w:val="00A054E0"/>
    <w:rsid w:val="00A06104"/>
    <w:rsid w:val="00A11AF8"/>
    <w:rsid w:val="00A11E7B"/>
    <w:rsid w:val="00A131B4"/>
    <w:rsid w:val="00A13947"/>
    <w:rsid w:val="00A14083"/>
    <w:rsid w:val="00A147D1"/>
    <w:rsid w:val="00A14C37"/>
    <w:rsid w:val="00A155F8"/>
    <w:rsid w:val="00A16471"/>
    <w:rsid w:val="00A16841"/>
    <w:rsid w:val="00A16A18"/>
    <w:rsid w:val="00A211E3"/>
    <w:rsid w:val="00A219D9"/>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2001"/>
    <w:rsid w:val="00A43175"/>
    <w:rsid w:val="00A4320E"/>
    <w:rsid w:val="00A43FA8"/>
    <w:rsid w:val="00A44B90"/>
    <w:rsid w:val="00A457F7"/>
    <w:rsid w:val="00A45ACF"/>
    <w:rsid w:val="00A47045"/>
    <w:rsid w:val="00A5091A"/>
    <w:rsid w:val="00A5131D"/>
    <w:rsid w:val="00A5144E"/>
    <w:rsid w:val="00A51711"/>
    <w:rsid w:val="00A52C97"/>
    <w:rsid w:val="00A52D0B"/>
    <w:rsid w:val="00A52E90"/>
    <w:rsid w:val="00A53286"/>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71E7"/>
    <w:rsid w:val="00B0766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0EDA"/>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7CB"/>
    <w:rsid w:val="00B53868"/>
    <w:rsid w:val="00B5535C"/>
    <w:rsid w:val="00B5621C"/>
    <w:rsid w:val="00B56B4F"/>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22A7"/>
    <w:rsid w:val="00B85762"/>
    <w:rsid w:val="00B8638A"/>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369B"/>
    <w:rsid w:val="00BA36EE"/>
    <w:rsid w:val="00BA4319"/>
    <w:rsid w:val="00BA47FF"/>
    <w:rsid w:val="00BA6268"/>
    <w:rsid w:val="00BA6769"/>
    <w:rsid w:val="00BA6CAD"/>
    <w:rsid w:val="00BA6E6A"/>
    <w:rsid w:val="00BA75DE"/>
    <w:rsid w:val="00BB00EC"/>
    <w:rsid w:val="00BB061D"/>
    <w:rsid w:val="00BB07A4"/>
    <w:rsid w:val="00BB17F0"/>
    <w:rsid w:val="00BB18AE"/>
    <w:rsid w:val="00BB21F4"/>
    <w:rsid w:val="00BB2914"/>
    <w:rsid w:val="00BB29E9"/>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E0628"/>
    <w:rsid w:val="00BE2416"/>
    <w:rsid w:val="00BE3274"/>
    <w:rsid w:val="00BE35B3"/>
    <w:rsid w:val="00BE404A"/>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EFE"/>
    <w:rsid w:val="00C07794"/>
    <w:rsid w:val="00C113FE"/>
    <w:rsid w:val="00C11A27"/>
    <w:rsid w:val="00C1281E"/>
    <w:rsid w:val="00C149B0"/>
    <w:rsid w:val="00C15753"/>
    <w:rsid w:val="00C16697"/>
    <w:rsid w:val="00C17545"/>
    <w:rsid w:val="00C2134D"/>
    <w:rsid w:val="00C227EF"/>
    <w:rsid w:val="00C22BD5"/>
    <w:rsid w:val="00C24368"/>
    <w:rsid w:val="00C252EE"/>
    <w:rsid w:val="00C25D13"/>
    <w:rsid w:val="00C260FC"/>
    <w:rsid w:val="00C30364"/>
    <w:rsid w:val="00C30E74"/>
    <w:rsid w:val="00C313BC"/>
    <w:rsid w:val="00C3362A"/>
    <w:rsid w:val="00C33983"/>
    <w:rsid w:val="00C34032"/>
    <w:rsid w:val="00C40657"/>
    <w:rsid w:val="00C407B5"/>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4162"/>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5E4E"/>
    <w:rsid w:val="00CD6030"/>
    <w:rsid w:val="00CD657A"/>
    <w:rsid w:val="00CD6FDA"/>
    <w:rsid w:val="00CD7D7E"/>
    <w:rsid w:val="00CE0121"/>
    <w:rsid w:val="00CE0956"/>
    <w:rsid w:val="00CE0A8E"/>
    <w:rsid w:val="00CE21E7"/>
    <w:rsid w:val="00CE2CF1"/>
    <w:rsid w:val="00CE3BB4"/>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3A89"/>
    <w:rsid w:val="00CF5C30"/>
    <w:rsid w:val="00CF5DBF"/>
    <w:rsid w:val="00CF74E8"/>
    <w:rsid w:val="00CF760B"/>
    <w:rsid w:val="00D00C29"/>
    <w:rsid w:val="00D01760"/>
    <w:rsid w:val="00D02423"/>
    <w:rsid w:val="00D02462"/>
    <w:rsid w:val="00D02736"/>
    <w:rsid w:val="00D03FDC"/>
    <w:rsid w:val="00D04ADE"/>
    <w:rsid w:val="00D054B8"/>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7895"/>
    <w:rsid w:val="00D310A9"/>
    <w:rsid w:val="00D31281"/>
    <w:rsid w:val="00D31D48"/>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43A3"/>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67F"/>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CAC"/>
    <w:rsid w:val="00DC3D1E"/>
    <w:rsid w:val="00DC4048"/>
    <w:rsid w:val="00DC5E43"/>
    <w:rsid w:val="00DC5F0C"/>
    <w:rsid w:val="00DC62A3"/>
    <w:rsid w:val="00DC62E5"/>
    <w:rsid w:val="00DC63AA"/>
    <w:rsid w:val="00DC67B0"/>
    <w:rsid w:val="00DC681B"/>
    <w:rsid w:val="00DC7F2E"/>
    <w:rsid w:val="00DD0A21"/>
    <w:rsid w:val="00DD14A5"/>
    <w:rsid w:val="00DD1895"/>
    <w:rsid w:val="00DD1DD9"/>
    <w:rsid w:val="00DD2D43"/>
    <w:rsid w:val="00DD4882"/>
    <w:rsid w:val="00DD51BC"/>
    <w:rsid w:val="00DD5670"/>
    <w:rsid w:val="00DD5955"/>
    <w:rsid w:val="00DD734A"/>
    <w:rsid w:val="00DD735D"/>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260"/>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2FF7"/>
    <w:rsid w:val="00E737E5"/>
    <w:rsid w:val="00E74705"/>
    <w:rsid w:val="00E76729"/>
    <w:rsid w:val="00E7782E"/>
    <w:rsid w:val="00E77D59"/>
    <w:rsid w:val="00E814AA"/>
    <w:rsid w:val="00E81A62"/>
    <w:rsid w:val="00E81A75"/>
    <w:rsid w:val="00E830A2"/>
    <w:rsid w:val="00E8343C"/>
    <w:rsid w:val="00E84207"/>
    <w:rsid w:val="00E85D4E"/>
    <w:rsid w:val="00E85ECA"/>
    <w:rsid w:val="00E867F4"/>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271"/>
    <w:rsid w:val="00EA40A3"/>
    <w:rsid w:val="00EA4CA9"/>
    <w:rsid w:val="00EA5137"/>
    <w:rsid w:val="00EA572E"/>
    <w:rsid w:val="00EA5C4C"/>
    <w:rsid w:val="00EA63D2"/>
    <w:rsid w:val="00EA666F"/>
    <w:rsid w:val="00EB0DE5"/>
    <w:rsid w:val="00EB27F2"/>
    <w:rsid w:val="00EB302B"/>
    <w:rsid w:val="00EB340D"/>
    <w:rsid w:val="00EB53C4"/>
    <w:rsid w:val="00EB5921"/>
    <w:rsid w:val="00EB5CEA"/>
    <w:rsid w:val="00EB7A25"/>
    <w:rsid w:val="00EC628B"/>
    <w:rsid w:val="00EC7EFE"/>
    <w:rsid w:val="00ED068F"/>
    <w:rsid w:val="00ED149A"/>
    <w:rsid w:val="00ED1A52"/>
    <w:rsid w:val="00ED2BE0"/>
    <w:rsid w:val="00ED41B2"/>
    <w:rsid w:val="00ED52D1"/>
    <w:rsid w:val="00ED54D6"/>
    <w:rsid w:val="00ED5626"/>
    <w:rsid w:val="00ED60DF"/>
    <w:rsid w:val="00ED7D3C"/>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70A57"/>
    <w:rsid w:val="00F7112F"/>
    <w:rsid w:val="00F712ED"/>
    <w:rsid w:val="00F716B8"/>
    <w:rsid w:val="00F717B7"/>
    <w:rsid w:val="00F72A15"/>
    <w:rsid w:val="00F72F33"/>
    <w:rsid w:val="00F737DB"/>
    <w:rsid w:val="00F7412B"/>
    <w:rsid w:val="00F7432F"/>
    <w:rsid w:val="00F745A5"/>
    <w:rsid w:val="00F762C6"/>
    <w:rsid w:val="00F80305"/>
    <w:rsid w:val="00F8048F"/>
    <w:rsid w:val="00F82893"/>
    <w:rsid w:val="00F83838"/>
    <w:rsid w:val="00F83FF2"/>
    <w:rsid w:val="00F842D9"/>
    <w:rsid w:val="00F84691"/>
    <w:rsid w:val="00F84899"/>
    <w:rsid w:val="00F859F0"/>
    <w:rsid w:val="00F87254"/>
    <w:rsid w:val="00F87C3E"/>
    <w:rsid w:val="00F915D0"/>
    <w:rsid w:val="00F91C32"/>
    <w:rsid w:val="00F91F95"/>
    <w:rsid w:val="00F925F7"/>
    <w:rsid w:val="00F9299C"/>
    <w:rsid w:val="00F92AB5"/>
    <w:rsid w:val="00F952F9"/>
    <w:rsid w:val="00F961C4"/>
    <w:rsid w:val="00F962BF"/>
    <w:rsid w:val="00F96794"/>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 w:val="1347E4A4"/>
    <w:rsid w:val="1C148484"/>
    <w:rsid w:val="287C1479"/>
    <w:rsid w:val="2AEA3E2A"/>
    <w:rsid w:val="2FF48F0C"/>
    <w:rsid w:val="42CA2299"/>
    <w:rsid w:val="43BBE174"/>
    <w:rsid w:val="6E609E53"/>
    <w:rsid w:val="7A665A0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DBB34A00-C6D9-451D-A27D-A5E78A9F0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A6EDF5-9A06-4E14-A15A-2F478443E046}">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a6cb9e4b-f1d1-4245-83ec-6cad768d538a"/>
    <ds:schemaRef ds:uri="9d85dbaf-23eb-4e57-a637-93dcacc8b1a1"/>
    <ds:schemaRef ds:uri="http://www.w3.org/XML/1998/namespace"/>
  </ds:schemaRefs>
</ds:datastoreItem>
</file>

<file path=customXml/itemProps4.xml><?xml version="1.0" encoding="utf-8"?>
<ds:datastoreItem xmlns:ds="http://schemas.openxmlformats.org/officeDocument/2006/customXml" ds:itemID="{5AB49C6D-C59C-49E7-846A-04B1D55AB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19</Pages>
  <Words>7098</Words>
  <Characters>39040</Characters>
  <Application>Microsoft Office Word</Application>
  <DocSecurity>0</DocSecurity>
  <Lines>325</Lines>
  <Paragraphs>92</Paragraphs>
  <ScaleCrop>false</ScaleCrop>
  <Company/>
  <LinksUpToDate>false</LinksUpToDate>
  <CharactersWithSpaces>46046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17</cp:revision>
  <cp:lastPrinted>2020-01-30T15:05:00Z</cp:lastPrinted>
  <dcterms:created xsi:type="dcterms:W3CDTF">2020-05-04T16:25:00Z</dcterms:created>
  <dcterms:modified xsi:type="dcterms:W3CDTF">2020-08-03T11:10:00Z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