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097A6E"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097A6E">
        <w:rPr>
          <w:rFonts w:ascii="Arial" w:hAnsi="Arial" w:cs="Arial"/>
          <w:bCs/>
          <w:color w:val="000000" w:themeColor="text1"/>
          <w:sz w:val="16"/>
          <w:szCs w:val="16"/>
          <w:lang w:val="es-ES_tradnl" w:eastAsia="es-ES"/>
        </w:rPr>
        <w:t>CCE-DES-FM-17</w:t>
      </w:r>
      <w:bookmarkEnd w:id="0"/>
      <w:bookmarkEnd w:id="1"/>
    </w:p>
    <w:p w14:paraId="55FBD910" w14:textId="77777777" w:rsidR="008536BB" w:rsidRPr="00097A6E" w:rsidRDefault="008536BB" w:rsidP="00B95C30">
      <w:pPr>
        <w:spacing w:line="276" w:lineRule="auto"/>
        <w:jc w:val="both"/>
        <w:rPr>
          <w:rFonts w:ascii="Arial" w:hAnsi="Arial" w:cs="Arial"/>
          <w:noProof/>
          <w:color w:val="000000" w:themeColor="text1"/>
          <w:sz w:val="22"/>
          <w:lang w:val="es-ES_tradnl"/>
        </w:rPr>
      </w:pPr>
    </w:p>
    <w:p w14:paraId="72CC44DB" w14:textId="77777777" w:rsidR="00D92C14" w:rsidRPr="00097A6E" w:rsidRDefault="00D92C14" w:rsidP="00D92C14">
      <w:pPr>
        <w:spacing w:after="120"/>
        <w:contextualSpacing/>
        <w:jc w:val="both"/>
        <w:rPr>
          <w:rFonts w:ascii="Arial" w:eastAsia="Calibri" w:hAnsi="Arial" w:cs="Arial"/>
          <w:b/>
          <w:bCs/>
          <w:color w:val="000000" w:themeColor="text1"/>
          <w:sz w:val="22"/>
          <w:szCs w:val="22"/>
          <w:lang w:val="es-ES_tradnl" w:eastAsia="en-US"/>
        </w:rPr>
      </w:pPr>
      <w:r w:rsidRPr="00097A6E">
        <w:rPr>
          <w:rFonts w:ascii="Arial" w:eastAsia="Calibri" w:hAnsi="Arial" w:cs="Arial"/>
          <w:b/>
          <w:bCs/>
          <w:color w:val="000000" w:themeColor="text1"/>
          <w:sz w:val="22"/>
          <w:szCs w:val="22"/>
          <w:lang w:val="es-ES_tradnl" w:eastAsia="en-US"/>
        </w:rPr>
        <w:t>LEY DE GARANTÍAS ELECTORALES – Finalidad</w:t>
      </w:r>
    </w:p>
    <w:p w14:paraId="217A7DBF" w14:textId="77777777" w:rsidR="00D92C14" w:rsidRPr="00097A6E" w:rsidRDefault="00D92C14" w:rsidP="00D92C14">
      <w:pPr>
        <w:spacing w:after="120"/>
        <w:contextualSpacing/>
        <w:jc w:val="both"/>
        <w:rPr>
          <w:rFonts w:ascii="Arial" w:eastAsia="Calibri" w:hAnsi="Arial" w:cs="Arial"/>
          <w:color w:val="000000" w:themeColor="text1"/>
          <w:sz w:val="20"/>
          <w:szCs w:val="20"/>
          <w:lang w:val="es-ES_tradnl" w:eastAsia="en-US"/>
        </w:rPr>
      </w:pPr>
    </w:p>
    <w:p w14:paraId="7336C959" w14:textId="77777777" w:rsidR="00D92C14" w:rsidRPr="00097A6E" w:rsidRDefault="00D92C14" w:rsidP="00D92C14">
      <w:pPr>
        <w:tabs>
          <w:tab w:val="left" w:pos="426"/>
        </w:tabs>
        <w:spacing w:after="120"/>
        <w:jc w:val="both"/>
        <w:rPr>
          <w:rFonts w:ascii="Arial" w:eastAsia="Calibri" w:hAnsi="Arial" w:cs="Arial"/>
          <w:bCs/>
          <w:color w:val="000000" w:themeColor="text1"/>
          <w:sz w:val="20"/>
          <w:szCs w:val="20"/>
          <w:lang w:val="es-ES_tradnl"/>
        </w:rPr>
      </w:pPr>
      <w:r w:rsidRPr="00097A6E">
        <w:rPr>
          <w:rFonts w:ascii="Arial" w:hAnsi="Arial" w:cs="Arial"/>
          <w:bCs/>
          <w:color w:val="000000" w:themeColor="text1"/>
          <w:sz w:val="20"/>
          <w:szCs w:val="20"/>
          <w:lang w:val="es-ES_tradnl" w:eastAsia="es-CO"/>
        </w:rPr>
        <w:t xml:space="preserve">[…] la Ley 996 de 2005 </w:t>
      </w:r>
      <w:r w:rsidRPr="00097A6E">
        <w:rPr>
          <w:rFonts w:ascii="Arial" w:eastAsia="Calibri" w:hAnsi="Arial" w:cs="Arial"/>
          <w:color w:val="000000" w:themeColor="text1"/>
          <w:sz w:val="20"/>
          <w:szCs w:val="20"/>
          <w:lang w:val="es-ES_tradnl" w:eastAsia="en-US"/>
        </w:rPr>
        <w:t>«</w:t>
      </w:r>
      <w:r w:rsidRPr="00097A6E">
        <w:rPr>
          <w:rStyle w:val="Textoennegrita"/>
          <w:rFonts w:ascii="Arial" w:hAnsi="Arial" w:cs="Arial"/>
          <w:b w:val="0"/>
          <w:bCs w:val="0"/>
          <w:color w:val="000000" w:themeColor="text1"/>
          <w:sz w:val="20"/>
          <w:szCs w:val="20"/>
          <w:shd w:val="clear" w:color="auto" w:fill="FFFFFF"/>
          <w:lang w:val="es-ES_tradnl"/>
        </w:rPr>
        <w:t>Por</w:t>
      </w:r>
      <w:r w:rsidRPr="00097A6E">
        <w:rPr>
          <w:rStyle w:val="Textoennegrita"/>
          <w:rFonts w:ascii="Arial" w:hAnsi="Arial" w:cs="Arial"/>
          <w:b w:val="0"/>
          <w:color w:val="000000" w:themeColor="text1"/>
          <w:sz w:val="20"/>
          <w:szCs w:val="20"/>
          <w:shd w:val="clear" w:color="auto" w:fill="FFFFFF"/>
          <w:lang w:val="es-ES_tradnl"/>
        </w:rPr>
        <w:t xml:space="preserve"> medio de la cual se reglamenta la elección de Presidente de la República, de conformidad con el artículo 152 literal f) de la Constitución Política de Colombia, y de acuerdo con lo establecido en el Acto Legislativo 02 de 2004, y se dictan otras disposiciones</w:t>
      </w:r>
      <w:r w:rsidRPr="00097A6E">
        <w:rPr>
          <w:rFonts w:ascii="Arial" w:eastAsia="Calibri" w:hAnsi="Arial" w:cs="Arial"/>
          <w:bCs/>
          <w:color w:val="000000" w:themeColor="text1"/>
          <w:sz w:val="20"/>
          <w:szCs w:val="20"/>
          <w:lang w:val="es-ES_tradnl" w:eastAsia="en-US"/>
        </w:rPr>
        <w:t>»,</w:t>
      </w:r>
      <w:r w:rsidRPr="00097A6E">
        <w:rPr>
          <w:rStyle w:val="Textoennegrita"/>
          <w:rFonts w:ascii="Arial" w:hAnsi="Arial" w:cs="Arial"/>
          <w:color w:val="000000" w:themeColor="text1"/>
          <w:sz w:val="20"/>
          <w:szCs w:val="20"/>
          <w:shd w:val="clear" w:color="auto" w:fill="FFFFFF"/>
          <w:lang w:val="es-ES_tradnl"/>
        </w:rPr>
        <w:t xml:space="preserve"> </w:t>
      </w:r>
      <w:r w:rsidRPr="00097A6E">
        <w:rPr>
          <w:rFonts w:ascii="Arial" w:hAnsi="Arial" w:cs="Arial"/>
          <w:bCs/>
          <w:color w:val="000000" w:themeColor="text1"/>
          <w:sz w:val="20"/>
          <w:szCs w:val="20"/>
          <w:lang w:val="es-ES_tradnl" w:eastAsia="es-CO"/>
        </w:rPr>
        <w:t>se suma al andamiaje de orden constitucional y legal que se ocupa de evitar la injerencia de intereses particulares en el ejercicio de la función pública. Respecto a su finalidad, conforme a la Gaceta del Congreso de la República No. 71 del 2005, tiene como propósito evitar cualquier tipo de arbitrariedad, de ventaja injustificada, de uso irregular de los recursos del Estado en las campañas o falta de garantías en la elección presidencial, introduciendo limitaciones para realizar nombramientos, postulaciones, contrataciones o cualquier otro tipo de actividad que implique destinación de recursos públicos. Siguiendo esta línea, la Ley de Garantías Electorales establece el marco jurídico para el desarrollo de las elecciones, procurando condiciones de igualdad y transparencia para los aspirantes, al tiempo que se incluyen restricciones en el actuar de los servidores públicos, evitando interferencias en la contienda electoral, así como la posible desviación de recursos públicos en aspiraciones electorales. Incluso, varias de las disposiciones de la Ley 996 de 2005, al contener normas prohibitivas, no admiten una interpretación amplia, sino que deben interpretarse restrictivamente.</w:t>
      </w:r>
    </w:p>
    <w:p w14:paraId="17D747AE" w14:textId="77777777" w:rsidR="00D92C14" w:rsidRPr="00097A6E" w:rsidRDefault="00D92C14" w:rsidP="00D92C14">
      <w:pPr>
        <w:tabs>
          <w:tab w:val="left" w:pos="426"/>
        </w:tabs>
        <w:jc w:val="both"/>
        <w:rPr>
          <w:rFonts w:ascii="Arial" w:eastAsia="Calibri" w:hAnsi="Arial" w:cs="Arial"/>
          <w:bCs/>
          <w:color w:val="000000" w:themeColor="text1"/>
          <w:sz w:val="20"/>
          <w:szCs w:val="20"/>
          <w:lang w:val="es-ES_tradnl" w:eastAsia="en-US"/>
        </w:rPr>
      </w:pPr>
    </w:p>
    <w:p w14:paraId="38E5AADD" w14:textId="77777777" w:rsidR="00D92C14" w:rsidRPr="00097A6E" w:rsidRDefault="00D92C14" w:rsidP="00D92C14">
      <w:pPr>
        <w:tabs>
          <w:tab w:val="left" w:pos="426"/>
        </w:tabs>
        <w:jc w:val="both"/>
        <w:rPr>
          <w:rFonts w:ascii="Arial" w:eastAsia="Calibri" w:hAnsi="Arial" w:cs="Arial"/>
          <w:b/>
          <w:bCs/>
          <w:color w:val="000000" w:themeColor="text1"/>
          <w:sz w:val="22"/>
          <w:szCs w:val="22"/>
          <w:lang w:val="es-ES_tradnl" w:eastAsia="en-US"/>
        </w:rPr>
      </w:pPr>
      <w:bookmarkStart w:id="2" w:name="_Hlk77152637"/>
      <w:bookmarkStart w:id="3" w:name="_Hlk77157066"/>
      <w:r w:rsidRPr="00097A6E">
        <w:rPr>
          <w:rFonts w:ascii="Arial" w:eastAsia="Calibri" w:hAnsi="Arial" w:cs="Arial"/>
          <w:b/>
          <w:bCs/>
          <w:color w:val="000000" w:themeColor="text1"/>
          <w:sz w:val="22"/>
          <w:szCs w:val="22"/>
          <w:lang w:val="es-ES_tradnl" w:eastAsia="en-US"/>
        </w:rPr>
        <w:t>LEY DE GARANTÍAS ELECTORALES ‒</w:t>
      </w:r>
      <w:bookmarkEnd w:id="2"/>
      <w:r w:rsidRPr="00097A6E">
        <w:rPr>
          <w:rFonts w:ascii="Arial" w:eastAsia="Calibri" w:hAnsi="Arial" w:cs="Arial"/>
          <w:b/>
          <w:bCs/>
          <w:color w:val="000000" w:themeColor="text1"/>
          <w:sz w:val="22"/>
          <w:szCs w:val="22"/>
          <w:lang w:val="es-ES_tradnl" w:eastAsia="en-US"/>
        </w:rPr>
        <w:t xml:space="preserve"> Restricciones </w:t>
      </w:r>
      <w:bookmarkStart w:id="4" w:name="_Hlk77157034"/>
      <w:r w:rsidRPr="00097A6E">
        <w:rPr>
          <w:rFonts w:ascii="Arial" w:eastAsia="Calibri" w:hAnsi="Arial" w:cs="Arial"/>
          <w:b/>
          <w:bCs/>
          <w:color w:val="000000" w:themeColor="text1"/>
          <w:sz w:val="22"/>
          <w:szCs w:val="22"/>
          <w:lang w:val="es-ES_tradnl" w:eastAsia="en-US"/>
        </w:rPr>
        <w:t xml:space="preserve">‒ </w:t>
      </w:r>
      <w:bookmarkEnd w:id="4"/>
      <w:r w:rsidRPr="00097A6E">
        <w:rPr>
          <w:rFonts w:ascii="Arial" w:eastAsia="Calibri" w:hAnsi="Arial" w:cs="Arial"/>
          <w:b/>
          <w:bCs/>
          <w:color w:val="000000" w:themeColor="text1"/>
          <w:sz w:val="22"/>
          <w:szCs w:val="22"/>
          <w:lang w:val="es-ES_tradnl" w:eastAsia="en-US"/>
        </w:rPr>
        <w:t>Contratación</w:t>
      </w:r>
      <w:bookmarkStart w:id="5" w:name="_Hlk77153098"/>
      <w:r w:rsidRPr="00097A6E">
        <w:rPr>
          <w:rFonts w:ascii="Arial" w:eastAsia="Calibri" w:hAnsi="Arial" w:cs="Arial"/>
          <w:b/>
          <w:bCs/>
          <w:color w:val="000000" w:themeColor="text1"/>
          <w:sz w:val="22"/>
          <w:szCs w:val="22"/>
          <w:lang w:val="es-ES_tradnl" w:eastAsia="en-US"/>
        </w:rPr>
        <w:t xml:space="preserve"> ‒ Tipos de elección</w:t>
      </w:r>
      <w:bookmarkEnd w:id="5"/>
      <w:r w:rsidRPr="00097A6E">
        <w:rPr>
          <w:rFonts w:ascii="Arial" w:eastAsia="Calibri" w:hAnsi="Arial" w:cs="Arial"/>
          <w:b/>
          <w:bCs/>
          <w:color w:val="000000" w:themeColor="text1"/>
          <w:sz w:val="22"/>
          <w:szCs w:val="22"/>
          <w:lang w:val="es-ES_tradnl" w:eastAsia="en-US"/>
        </w:rPr>
        <w:t xml:space="preserve"> </w:t>
      </w:r>
    </w:p>
    <w:p w14:paraId="5DD8B328" w14:textId="77777777" w:rsidR="00D92C14" w:rsidRPr="00097A6E" w:rsidRDefault="00D92C14" w:rsidP="00D92C14">
      <w:pPr>
        <w:tabs>
          <w:tab w:val="left" w:pos="426"/>
        </w:tabs>
        <w:jc w:val="both"/>
        <w:rPr>
          <w:rFonts w:ascii="Arial" w:eastAsia="Calibri" w:hAnsi="Arial" w:cs="Arial"/>
          <w:b/>
          <w:bCs/>
          <w:color w:val="000000" w:themeColor="text1"/>
          <w:sz w:val="20"/>
          <w:szCs w:val="20"/>
          <w:lang w:val="es-ES_tradnl" w:eastAsia="en-US"/>
        </w:rPr>
      </w:pPr>
    </w:p>
    <w:p w14:paraId="5D5DDB53" w14:textId="1FEFEBCA" w:rsidR="00D92C14" w:rsidRPr="00097A6E" w:rsidRDefault="00D92C14" w:rsidP="00D92C14">
      <w:pPr>
        <w:spacing w:after="120"/>
        <w:jc w:val="both"/>
        <w:rPr>
          <w:rFonts w:ascii="Arial" w:eastAsia="Arial" w:hAnsi="Arial" w:cs="Arial"/>
          <w:color w:val="000000" w:themeColor="text1"/>
          <w:sz w:val="20"/>
          <w:szCs w:val="20"/>
          <w:lang w:val="es-ES_tradnl" w:eastAsia="es-ES" w:bidi="es-ES"/>
        </w:rPr>
      </w:pPr>
      <w:r w:rsidRPr="00097A6E">
        <w:rPr>
          <w:rFonts w:ascii="Arial" w:hAnsi="Arial" w:cs="Arial"/>
          <w:bCs/>
          <w:color w:val="000000" w:themeColor="text1"/>
          <w:sz w:val="20"/>
          <w:szCs w:val="20"/>
          <w:lang w:val="es-ES_tradnl" w:eastAsia="es-CO"/>
        </w:rPr>
        <w:t xml:space="preserve">La </w:t>
      </w:r>
      <w:r w:rsidRPr="00097A6E">
        <w:rPr>
          <w:rFonts w:ascii="Arial" w:eastAsia="Arial" w:hAnsi="Arial" w:cs="Arial"/>
          <w:color w:val="000000" w:themeColor="text1"/>
          <w:sz w:val="20"/>
          <w:szCs w:val="20"/>
          <w:lang w:val="es-ES_tradnl" w:eastAsia="es-ES" w:bidi="es-ES"/>
        </w:rPr>
        <w:t>Ley de Garantías Electorales, para el cumplimiento de los objetivos que dieron lugar a su expedición, fijó una serie de regulaciones y prohibiciones dirigidas a los servidores públicos. No obstante, debe aclararse que estas disposiciones se dirigen a dos tipos de campañas electorales claramente diferenciadas: las presidenciales y las demás que se adelanten para la elección de otros cargos de elección popular, tanto a nivel nacional como a nivel territorial.</w:t>
      </w:r>
      <w:r w:rsidR="00891EDC" w:rsidRPr="00097A6E">
        <w:rPr>
          <w:rFonts w:ascii="Arial" w:eastAsia="Arial" w:hAnsi="Arial" w:cs="Arial"/>
          <w:color w:val="000000" w:themeColor="text1"/>
          <w:sz w:val="20"/>
          <w:szCs w:val="20"/>
          <w:lang w:val="es-ES_tradnl" w:eastAsia="es-ES" w:bidi="es-ES"/>
        </w:rPr>
        <w:t xml:space="preserve"> </w:t>
      </w:r>
      <w:r w:rsidRPr="00097A6E">
        <w:rPr>
          <w:rFonts w:ascii="Arial" w:eastAsia="Calibri" w:hAnsi="Arial" w:cs="Arial"/>
          <w:color w:val="000000" w:themeColor="text1"/>
          <w:sz w:val="20"/>
          <w:szCs w:val="20"/>
          <w:lang w:val="es-ES_tradnl" w:eastAsia="en-US"/>
        </w:rPr>
        <w:t xml:space="preserve">Por una parte, el artículo 33 de la Ley 996 de 2005 establece una prohibición que impide </w:t>
      </w:r>
      <w:r w:rsidRPr="00097A6E">
        <w:rPr>
          <w:rFonts w:ascii="Arial" w:eastAsia="Calibri" w:hAnsi="Arial" w:cs="Arial"/>
          <w:bCs/>
          <w:color w:val="000000" w:themeColor="text1"/>
          <w:sz w:val="20"/>
          <w:szCs w:val="20"/>
          <w:lang w:val="es-ES_tradnl" w:eastAsia="en-US"/>
        </w:rPr>
        <w:t xml:space="preserve">«[…] </w:t>
      </w:r>
      <w:r w:rsidRPr="00097A6E">
        <w:rPr>
          <w:rFonts w:ascii="Arial" w:eastAsia="Calibri" w:hAnsi="Arial" w:cs="Arial"/>
          <w:color w:val="000000" w:themeColor="text1"/>
          <w:sz w:val="20"/>
          <w:szCs w:val="20"/>
          <w:lang w:val="es-ES_tradnl" w:eastAsia="en-US"/>
        </w:rPr>
        <w:t>la contratación directa por parte de todos los entes del Estado</w:t>
      </w:r>
      <w:r w:rsidRPr="00097A6E">
        <w:rPr>
          <w:rFonts w:ascii="Arial" w:eastAsia="Calibri" w:hAnsi="Arial" w:cs="Arial"/>
          <w:bCs/>
          <w:color w:val="000000" w:themeColor="text1"/>
          <w:sz w:val="20"/>
          <w:szCs w:val="20"/>
          <w:lang w:val="es-ES_tradnl" w:eastAsia="en-US"/>
        </w:rPr>
        <w:t>»</w:t>
      </w:r>
      <w:r w:rsidRPr="00097A6E">
        <w:rPr>
          <w:rFonts w:ascii="Arial" w:eastAsia="Calibri" w:hAnsi="Arial" w:cs="Arial"/>
          <w:color w:val="000000" w:themeColor="text1"/>
          <w:sz w:val="20"/>
          <w:szCs w:val="20"/>
          <w:lang w:val="es-ES_tradnl" w:eastAsia="en-US"/>
        </w:rPr>
        <w:t xml:space="preserve"> durante los cuatro (4) meses anteriores a las elecciones presidenciales, salvo </w:t>
      </w:r>
      <w:r w:rsidRPr="00097A6E">
        <w:rPr>
          <w:rFonts w:ascii="Arial" w:eastAsia="Calibri" w:hAnsi="Arial" w:cs="Arial"/>
          <w:bCs/>
          <w:color w:val="000000" w:themeColor="text1"/>
          <w:sz w:val="20"/>
          <w:szCs w:val="20"/>
          <w:lang w:val="es-ES_tradnl" w:eastAsia="en-US"/>
        </w:rPr>
        <w:t xml:space="preserve">«[…] </w:t>
      </w:r>
      <w:r w:rsidRPr="00097A6E">
        <w:rPr>
          <w:rFonts w:ascii="Arial" w:eastAsia="Calibri" w:hAnsi="Arial" w:cs="Arial"/>
          <w:color w:val="000000" w:themeColor="text1"/>
          <w:sz w:val="20"/>
          <w:szCs w:val="20"/>
          <w:lang w:val="es-ES_tradnl" w:eastAsia="en-US"/>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097A6E">
        <w:rPr>
          <w:rFonts w:ascii="Arial" w:eastAsia="Calibri" w:hAnsi="Arial" w:cs="Arial"/>
          <w:bCs/>
          <w:color w:val="000000" w:themeColor="text1"/>
          <w:sz w:val="20"/>
          <w:szCs w:val="20"/>
          <w:lang w:val="es-ES_tradnl" w:eastAsia="en-US"/>
        </w:rPr>
        <w:t>»</w:t>
      </w:r>
      <w:r w:rsidRPr="00097A6E">
        <w:rPr>
          <w:rFonts w:ascii="Arial" w:eastAsia="Calibri" w:hAnsi="Arial" w:cs="Arial"/>
          <w:color w:val="000000" w:themeColor="text1"/>
          <w:sz w:val="20"/>
          <w:szCs w:val="20"/>
          <w:lang w:val="es-ES_tradnl" w:eastAsia="en-US"/>
        </w:rPr>
        <w:t xml:space="preserve">. Por otra parte, el parágrafo del artículo 38 de la Ley 996 de 2005 prevé una restricción, aplicable respecto de cualquier tipo de elección popular, que prohíbe a los gobernadores, alcaldes municipales o distritales, secretarios, gerentes y directores de entidades descentralizadas del orden municipal, departamental o distrital </w:t>
      </w:r>
      <w:r w:rsidRPr="00097A6E">
        <w:rPr>
          <w:rFonts w:ascii="Arial" w:eastAsia="Calibri" w:hAnsi="Arial" w:cs="Arial"/>
          <w:bCs/>
          <w:color w:val="000000" w:themeColor="text1"/>
          <w:sz w:val="20"/>
          <w:szCs w:val="20"/>
          <w:lang w:val="es-ES_tradnl" w:eastAsia="en-US"/>
        </w:rPr>
        <w:t xml:space="preserve">«[…] </w:t>
      </w:r>
      <w:r w:rsidRPr="00097A6E">
        <w:rPr>
          <w:rFonts w:ascii="Arial" w:eastAsia="Calibri" w:hAnsi="Arial" w:cs="Arial"/>
          <w:color w:val="000000" w:themeColor="text1"/>
          <w:sz w:val="20"/>
          <w:szCs w:val="20"/>
          <w:lang w:val="es-ES_tradnl" w:eastAsia="en-US"/>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097A6E">
        <w:rPr>
          <w:rFonts w:ascii="Arial" w:eastAsia="Calibri" w:hAnsi="Arial" w:cs="Arial"/>
          <w:bCs/>
          <w:color w:val="000000" w:themeColor="text1"/>
          <w:sz w:val="20"/>
          <w:szCs w:val="20"/>
          <w:lang w:val="es-ES_tradnl" w:eastAsia="en-US"/>
        </w:rPr>
        <w:t>»</w:t>
      </w:r>
      <w:r w:rsidRPr="00097A6E">
        <w:rPr>
          <w:rFonts w:ascii="Arial" w:eastAsia="Calibri" w:hAnsi="Arial" w:cs="Arial"/>
          <w:color w:val="000000" w:themeColor="text1"/>
          <w:sz w:val="20"/>
          <w:szCs w:val="20"/>
          <w:lang w:val="es-ES_tradnl" w:eastAsia="en-US"/>
        </w:rPr>
        <w:t>.</w:t>
      </w:r>
      <w:r w:rsidRPr="00097A6E">
        <w:rPr>
          <w:rFonts w:ascii="Arial" w:eastAsia="Calibri" w:hAnsi="Arial" w:cs="Arial"/>
          <w:noProof/>
          <w:color w:val="000000" w:themeColor="text1"/>
          <w:sz w:val="20"/>
          <w:szCs w:val="20"/>
          <w:lang w:val="es-ES_tradnl" w:eastAsia="en-US"/>
        </w:rPr>
        <w:t>.</w:t>
      </w:r>
    </w:p>
    <w:p w14:paraId="0EF6CDE8" w14:textId="77777777" w:rsidR="00A9366B" w:rsidRPr="00097A6E" w:rsidRDefault="00A9366B" w:rsidP="00D92C14">
      <w:pPr>
        <w:tabs>
          <w:tab w:val="left" w:pos="426"/>
        </w:tabs>
        <w:jc w:val="both"/>
        <w:rPr>
          <w:rFonts w:ascii="Arial" w:eastAsia="Arial" w:hAnsi="Arial" w:cs="Arial"/>
          <w:color w:val="000000" w:themeColor="text1"/>
          <w:sz w:val="20"/>
          <w:szCs w:val="20"/>
          <w:lang w:val="es-ES_tradnl" w:eastAsia="es-ES" w:bidi="es-ES"/>
        </w:rPr>
      </w:pPr>
      <w:bookmarkStart w:id="6" w:name="_Hlk77165666"/>
      <w:bookmarkEnd w:id="3"/>
    </w:p>
    <w:p w14:paraId="3278BB5E" w14:textId="5AA53533" w:rsidR="00D92C14" w:rsidRPr="00097A6E" w:rsidRDefault="00D92C14" w:rsidP="00D92C14">
      <w:pPr>
        <w:tabs>
          <w:tab w:val="left" w:pos="426"/>
        </w:tabs>
        <w:jc w:val="both"/>
        <w:rPr>
          <w:rFonts w:ascii="Arial" w:eastAsia="Calibri" w:hAnsi="Arial" w:cs="Arial"/>
          <w:b/>
          <w:bCs/>
          <w:sz w:val="22"/>
          <w:szCs w:val="22"/>
          <w:lang w:val="es-ES_tradnl" w:eastAsia="en-US"/>
        </w:rPr>
      </w:pPr>
      <w:r w:rsidRPr="00097A6E">
        <w:rPr>
          <w:rFonts w:ascii="Arial" w:eastAsia="Calibri" w:hAnsi="Arial" w:cs="Arial"/>
          <w:b/>
          <w:bCs/>
          <w:sz w:val="22"/>
          <w:szCs w:val="22"/>
          <w:lang w:val="es-ES_tradnl" w:eastAsia="en-US"/>
        </w:rPr>
        <w:t xml:space="preserve">LEY DE GARANTÍAS ELECTORALES ─ Prohibición artículo 33 ‒ </w:t>
      </w:r>
      <w:bookmarkEnd w:id="6"/>
      <w:r w:rsidRPr="00097A6E">
        <w:rPr>
          <w:rFonts w:ascii="Arial" w:eastAsia="Calibri" w:hAnsi="Arial" w:cs="Arial"/>
          <w:b/>
          <w:bCs/>
          <w:sz w:val="22"/>
          <w:szCs w:val="22"/>
          <w:lang w:val="es-ES_tradnl" w:eastAsia="en-US"/>
        </w:rPr>
        <w:t xml:space="preserve">Contratación directa ‒ Alcance </w:t>
      </w:r>
    </w:p>
    <w:p w14:paraId="5CB8E594" w14:textId="77777777" w:rsidR="00D92C14" w:rsidRPr="00097A6E" w:rsidRDefault="00D92C14" w:rsidP="00D92C14">
      <w:pPr>
        <w:tabs>
          <w:tab w:val="left" w:pos="426"/>
        </w:tabs>
        <w:jc w:val="both"/>
        <w:rPr>
          <w:rFonts w:ascii="Arial" w:eastAsia="Calibri" w:hAnsi="Arial" w:cs="Arial"/>
          <w:noProof/>
          <w:sz w:val="20"/>
          <w:szCs w:val="20"/>
          <w:lang w:val="es-ES_tradnl" w:eastAsia="en-US"/>
        </w:rPr>
      </w:pPr>
    </w:p>
    <w:p w14:paraId="3C4C5634" w14:textId="77777777" w:rsidR="00D92C14" w:rsidRPr="00097A6E" w:rsidRDefault="00D92C14" w:rsidP="00D92C14">
      <w:pPr>
        <w:jc w:val="both"/>
        <w:rPr>
          <w:rFonts w:ascii="Arial" w:hAnsi="Arial" w:cs="Arial"/>
          <w:bCs/>
          <w:sz w:val="20"/>
          <w:szCs w:val="20"/>
          <w:lang w:val="es-ES_tradnl" w:eastAsia="x-none"/>
        </w:rPr>
      </w:pPr>
      <w:r w:rsidRPr="00097A6E">
        <w:rPr>
          <w:rFonts w:ascii="Arial" w:eastAsia="Calibri" w:hAnsi="Arial" w:cs="Arial"/>
          <w:noProof/>
          <w:sz w:val="20"/>
          <w:szCs w:val="20"/>
          <w:lang w:val="es-ES_tradnl" w:eastAsia="en-US"/>
        </w:rPr>
        <w:t xml:space="preserve">[…] </w:t>
      </w:r>
      <w:r w:rsidRPr="00097A6E">
        <w:rPr>
          <w:rFonts w:ascii="Arial" w:hAnsi="Arial" w:cs="Arial"/>
          <w:bCs/>
          <w:sz w:val="20"/>
          <w:szCs w:val="20"/>
          <w:lang w:val="es-ES_tradnl" w:eastAsia="x-none"/>
        </w:rPr>
        <w:t xml:space="preserve">la Ley de Garantías Electorales y, en particular, para la prohibición o restricción temporal contenida en su artículo 33, «contratación directa» es cualquier sistema de selección o procedimiento </w:t>
      </w:r>
      <w:r w:rsidRPr="00097A6E">
        <w:rPr>
          <w:rFonts w:ascii="Arial" w:hAnsi="Arial" w:cs="Arial"/>
          <w:bCs/>
          <w:sz w:val="20"/>
          <w:szCs w:val="20"/>
          <w:lang w:val="es-ES_tradnl" w:eastAsia="x-none"/>
        </w:rPr>
        <w:lastRenderedPageBreak/>
        <w:t>de contratación utilizado por las entidades estatales que no incluya la convocatoria pública en alguna de sus etapas, ni permita la participación de una pluralidad de oferentes</w:t>
      </w:r>
      <w:r w:rsidRPr="00097A6E">
        <w:rPr>
          <w:rFonts w:ascii="Arial" w:hAnsi="Arial" w:cs="Arial"/>
          <w:sz w:val="20"/>
          <w:szCs w:val="20"/>
          <w:vertAlign w:val="superscript"/>
          <w:lang w:val="es-ES_tradnl" w:eastAsia="x-none"/>
        </w:rPr>
        <w:t xml:space="preserve">. </w:t>
      </w:r>
      <w:r w:rsidRPr="00097A6E">
        <w:rPr>
          <w:rFonts w:ascii="Arial" w:hAnsi="Arial" w:cs="Arial"/>
          <w:bCs/>
          <w:sz w:val="20"/>
          <w:szCs w:val="20"/>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097A6E">
        <w:rPr>
          <w:rFonts w:ascii="Arial" w:hAnsi="Arial" w:cs="Arial"/>
          <w:sz w:val="20"/>
          <w:szCs w:val="20"/>
          <w:lang w:val="es-ES_tradnl"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5793D0E5" w14:textId="77777777" w:rsidR="00D92C14" w:rsidRPr="00097A6E" w:rsidRDefault="00D92C14" w:rsidP="00D92C14">
      <w:pPr>
        <w:jc w:val="both"/>
        <w:rPr>
          <w:rFonts w:ascii="Arial" w:hAnsi="Arial" w:cs="Arial"/>
          <w:b/>
          <w:bCs/>
          <w:sz w:val="20"/>
          <w:szCs w:val="20"/>
          <w:lang w:val="es-ES_tradnl" w:eastAsia="es-ES"/>
        </w:rPr>
      </w:pPr>
    </w:p>
    <w:p w14:paraId="5CC1D062" w14:textId="77777777" w:rsidR="00D92C14" w:rsidRPr="00097A6E" w:rsidRDefault="00D92C14" w:rsidP="00D92C14">
      <w:pPr>
        <w:shd w:val="clear" w:color="auto" w:fill="FFFFFF"/>
        <w:jc w:val="both"/>
        <w:rPr>
          <w:rFonts w:ascii="Arial" w:hAnsi="Arial" w:cs="Arial"/>
          <w:b/>
          <w:bCs/>
          <w:sz w:val="22"/>
          <w:szCs w:val="22"/>
          <w:lang w:val="es-ES_tradnl" w:eastAsia="es-CO"/>
        </w:rPr>
      </w:pPr>
      <w:r w:rsidRPr="00097A6E">
        <w:rPr>
          <w:rFonts w:ascii="Arial" w:hAnsi="Arial" w:cs="Arial"/>
          <w:b/>
          <w:bCs/>
          <w:sz w:val="22"/>
          <w:szCs w:val="22"/>
          <w:lang w:val="es-ES_tradnl" w:eastAsia="es-CO"/>
        </w:rPr>
        <w:t xml:space="preserve">LEY DE GARANTÍAS ELECTORALES </w:t>
      </w:r>
      <w:bookmarkStart w:id="7" w:name="_Hlk77022358"/>
      <w:r w:rsidRPr="00097A6E">
        <w:rPr>
          <w:rFonts w:ascii="Arial" w:hAnsi="Arial" w:cs="Arial"/>
          <w:b/>
          <w:bCs/>
          <w:sz w:val="22"/>
          <w:szCs w:val="22"/>
          <w:lang w:val="es-ES_tradnl" w:eastAsia="es-CO"/>
        </w:rPr>
        <w:t>‒</w:t>
      </w:r>
      <w:bookmarkEnd w:id="7"/>
      <w:r w:rsidRPr="00097A6E">
        <w:rPr>
          <w:rFonts w:ascii="Arial" w:hAnsi="Arial" w:cs="Arial"/>
          <w:b/>
          <w:bCs/>
          <w:sz w:val="22"/>
          <w:szCs w:val="22"/>
          <w:lang w:val="es-ES_tradnl" w:eastAsia="es-CO"/>
        </w:rPr>
        <w:t xml:space="preserve"> Excepciones</w:t>
      </w:r>
      <w:r w:rsidRPr="00097A6E">
        <w:rPr>
          <w:rFonts w:ascii="Arial" w:hAnsi="Arial" w:cs="Arial"/>
          <w:b/>
          <w:sz w:val="22"/>
          <w:szCs w:val="22"/>
          <w:lang w:val="es-ES_tradnl" w:eastAsia="es-CO"/>
        </w:rPr>
        <w:t xml:space="preserve"> </w:t>
      </w:r>
    </w:p>
    <w:p w14:paraId="12642EB9" w14:textId="77777777" w:rsidR="00D92C14" w:rsidRPr="00097A6E" w:rsidRDefault="00D92C14" w:rsidP="00D92C14">
      <w:pPr>
        <w:shd w:val="clear" w:color="auto" w:fill="FFFFFF"/>
        <w:jc w:val="both"/>
        <w:rPr>
          <w:rFonts w:ascii="Arial" w:hAnsi="Arial" w:cs="Arial"/>
          <w:b/>
          <w:sz w:val="22"/>
          <w:szCs w:val="22"/>
          <w:lang w:val="es-ES_tradnl" w:eastAsia="es-CO"/>
        </w:rPr>
      </w:pPr>
    </w:p>
    <w:p w14:paraId="286130FF" w14:textId="77777777" w:rsidR="00D92C14" w:rsidRPr="00097A6E" w:rsidRDefault="00D92C14" w:rsidP="00D92C14">
      <w:pPr>
        <w:tabs>
          <w:tab w:val="left" w:pos="426"/>
        </w:tabs>
        <w:jc w:val="both"/>
        <w:rPr>
          <w:rFonts w:ascii="Arial" w:eastAsia="Calibri" w:hAnsi="Arial" w:cs="Arial"/>
          <w:sz w:val="20"/>
          <w:szCs w:val="20"/>
          <w:lang w:val="es-ES_tradnl" w:eastAsia="en-US"/>
        </w:rPr>
      </w:pPr>
      <w:r w:rsidRPr="00097A6E">
        <w:rPr>
          <w:rFonts w:ascii="Arial" w:hAnsi="Arial" w:cs="Arial"/>
          <w:sz w:val="20"/>
          <w:szCs w:val="20"/>
          <w:lang w:val="es-ES_tradnl" w:eastAsia="x-none"/>
        </w:rPr>
        <w:t xml:space="preserve">[…] </w:t>
      </w:r>
      <w:r w:rsidRPr="00097A6E">
        <w:rPr>
          <w:rFonts w:ascii="Arial" w:hAnsi="Arial" w:cs="Arial"/>
          <w:bCs/>
          <w:sz w:val="20"/>
          <w:szCs w:val="20"/>
          <w:lang w:val="es-ES_tradnl" w:eastAsia="x-none"/>
        </w:rPr>
        <w:t>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33A16C8C" w14:textId="77777777" w:rsidR="00D92C14" w:rsidRPr="00097A6E" w:rsidRDefault="00D92C14" w:rsidP="00D92C14">
      <w:pPr>
        <w:tabs>
          <w:tab w:val="left" w:pos="426"/>
        </w:tabs>
        <w:jc w:val="both"/>
        <w:rPr>
          <w:rFonts w:ascii="Arial" w:eastAsia="Calibri" w:hAnsi="Arial" w:cs="Arial"/>
          <w:noProof/>
          <w:sz w:val="20"/>
          <w:szCs w:val="20"/>
          <w:lang w:val="es-ES_tradnl" w:eastAsia="en-US"/>
        </w:rPr>
      </w:pPr>
    </w:p>
    <w:p w14:paraId="52CDFC64" w14:textId="77777777" w:rsidR="00D92C14" w:rsidRPr="00097A6E" w:rsidRDefault="00D92C14" w:rsidP="00D92C14">
      <w:pPr>
        <w:jc w:val="both"/>
        <w:rPr>
          <w:rFonts w:ascii="Arial" w:hAnsi="Arial" w:cs="Arial"/>
          <w:b/>
          <w:sz w:val="22"/>
          <w:szCs w:val="22"/>
          <w:lang w:val="es-ES_tradnl" w:eastAsia="es-CO"/>
        </w:rPr>
      </w:pPr>
      <w:r w:rsidRPr="00097A6E">
        <w:rPr>
          <w:rFonts w:ascii="Arial" w:hAnsi="Arial" w:cs="Arial"/>
          <w:b/>
          <w:bCs/>
          <w:sz w:val="22"/>
          <w:szCs w:val="22"/>
          <w:lang w:val="es-ES_tradnl" w:eastAsia="es-CO"/>
        </w:rPr>
        <w:t xml:space="preserve">LEY DE GARANTÍAS ELECTORALES </w:t>
      </w:r>
      <w:bookmarkStart w:id="8" w:name="_Hlk77166669"/>
      <w:r w:rsidRPr="00097A6E">
        <w:rPr>
          <w:rFonts w:ascii="Arial" w:hAnsi="Arial" w:cs="Arial"/>
          <w:b/>
          <w:bCs/>
          <w:sz w:val="22"/>
          <w:szCs w:val="22"/>
          <w:lang w:val="es-ES_tradnl" w:eastAsia="es-CO"/>
        </w:rPr>
        <w:t>‒</w:t>
      </w:r>
      <w:bookmarkEnd w:id="8"/>
      <w:r w:rsidRPr="00097A6E">
        <w:rPr>
          <w:rFonts w:ascii="Arial" w:hAnsi="Arial" w:cs="Arial"/>
          <w:b/>
          <w:bCs/>
          <w:sz w:val="22"/>
          <w:szCs w:val="22"/>
          <w:lang w:val="es-ES_tradnl" w:eastAsia="es-CO"/>
        </w:rPr>
        <w:t xml:space="preserve"> </w:t>
      </w:r>
      <w:r w:rsidRPr="00097A6E">
        <w:rPr>
          <w:rFonts w:ascii="Arial" w:hAnsi="Arial" w:cs="Arial"/>
          <w:b/>
          <w:sz w:val="22"/>
          <w:szCs w:val="22"/>
          <w:lang w:val="es-ES_tradnl" w:eastAsia="es-CO"/>
        </w:rPr>
        <w:t xml:space="preserve">Prohibición del artículo 33 </w:t>
      </w:r>
      <w:r w:rsidRPr="00097A6E">
        <w:rPr>
          <w:rFonts w:ascii="Arial" w:hAnsi="Arial" w:cs="Arial"/>
          <w:b/>
          <w:bCs/>
          <w:sz w:val="22"/>
          <w:szCs w:val="22"/>
          <w:lang w:val="es-ES_tradnl" w:eastAsia="es-CO"/>
        </w:rPr>
        <w:t>‒ Destinatarios</w:t>
      </w:r>
    </w:p>
    <w:p w14:paraId="435877BF" w14:textId="77777777" w:rsidR="00D92C14" w:rsidRPr="00097A6E" w:rsidRDefault="00D92C14" w:rsidP="00D92C14">
      <w:pPr>
        <w:tabs>
          <w:tab w:val="left" w:pos="426"/>
        </w:tabs>
        <w:jc w:val="both"/>
        <w:rPr>
          <w:rFonts w:ascii="Arial" w:eastAsia="Calibri" w:hAnsi="Arial" w:cs="Arial"/>
          <w:noProof/>
          <w:sz w:val="22"/>
          <w:szCs w:val="22"/>
          <w:lang w:val="es-ES_tradnl" w:eastAsia="en-US"/>
        </w:rPr>
      </w:pPr>
    </w:p>
    <w:p w14:paraId="33F6B80C" w14:textId="77777777" w:rsidR="00D92C14" w:rsidRPr="00097A6E" w:rsidRDefault="00D92C14" w:rsidP="00D92C14">
      <w:pPr>
        <w:tabs>
          <w:tab w:val="left" w:pos="426"/>
        </w:tabs>
        <w:jc w:val="both"/>
        <w:rPr>
          <w:rFonts w:ascii="Arial" w:hAnsi="Arial" w:cs="Arial"/>
          <w:bCs/>
          <w:sz w:val="20"/>
          <w:szCs w:val="20"/>
          <w:lang w:val="es-ES_tradnl" w:eastAsia="x-none"/>
        </w:rPr>
      </w:pPr>
      <w:r w:rsidRPr="00097A6E">
        <w:rPr>
          <w:rFonts w:ascii="Arial" w:hAnsi="Arial" w:cs="Arial"/>
          <w:bCs/>
          <w:sz w:val="20"/>
          <w:szCs w:val="20"/>
          <w:lang w:val="es-ES_tradnl"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097A6E">
        <w:rPr>
          <w:rFonts w:ascii="Calibri" w:eastAsia="Calibri" w:hAnsi="Calibri"/>
          <w:sz w:val="20"/>
          <w:szCs w:val="20"/>
          <w:lang w:val="es-ES_tradnl" w:eastAsia="en-US"/>
        </w:rPr>
        <w:t xml:space="preserve"> </w:t>
      </w:r>
      <w:r w:rsidRPr="00097A6E">
        <w:rPr>
          <w:rFonts w:ascii="Arial" w:hAnsi="Arial" w:cs="Arial"/>
          <w:bCs/>
          <w:sz w:val="20"/>
          <w:szCs w:val="20"/>
          <w:lang w:val="es-ES_tradnl" w:eastAsia="x-none"/>
        </w:rPr>
        <w:t>En efecto, tal como lo ha sostenido el Consejo de Estado, el vocablo «todos» utilizado por el legislador comprende</w:t>
      </w:r>
      <w:r w:rsidRPr="00097A6E">
        <w:rPr>
          <w:rFonts w:ascii="Calibri" w:eastAsia="Calibri" w:hAnsi="Calibri"/>
          <w:sz w:val="20"/>
          <w:szCs w:val="20"/>
          <w:lang w:val="es-ES_tradnl" w:eastAsia="en-US"/>
        </w:rPr>
        <w:t xml:space="preserve"> </w:t>
      </w:r>
      <w:r w:rsidRPr="00097A6E">
        <w:rPr>
          <w:rFonts w:ascii="Arial" w:hAnsi="Arial" w:cs="Arial"/>
          <w:bCs/>
          <w:sz w:val="20"/>
          <w:szCs w:val="20"/>
          <w:lang w:val="es-ES_tradnl"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1AFF8026" w14:textId="77777777" w:rsidR="00D92C14" w:rsidRPr="00097A6E" w:rsidRDefault="00D92C14" w:rsidP="00D92C14">
      <w:pPr>
        <w:tabs>
          <w:tab w:val="left" w:pos="426"/>
        </w:tabs>
        <w:jc w:val="both"/>
        <w:rPr>
          <w:rFonts w:ascii="Arial" w:eastAsia="Calibri" w:hAnsi="Arial" w:cs="Arial"/>
          <w:color w:val="000000" w:themeColor="text1"/>
          <w:sz w:val="20"/>
          <w:szCs w:val="20"/>
          <w:lang w:val="es-ES_tradnl" w:eastAsia="en-US"/>
        </w:rPr>
      </w:pPr>
    </w:p>
    <w:p w14:paraId="56E3F8D6" w14:textId="77777777" w:rsidR="00D92C14" w:rsidRPr="00097A6E" w:rsidRDefault="00D92C14" w:rsidP="00D92C14">
      <w:pPr>
        <w:jc w:val="both"/>
        <w:rPr>
          <w:rFonts w:ascii="Arial" w:eastAsia="Calibri" w:hAnsi="Arial" w:cs="Arial"/>
          <w:b/>
          <w:color w:val="000000" w:themeColor="text1"/>
          <w:sz w:val="22"/>
          <w:szCs w:val="22"/>
          <w:lang w:val="es-ES_tradnl" w:eastAsia="en-US"/>
        </w:rPr>
      </w:pPr>
      <w:r w:rsidRPr="00097A6E">
        <w:rPr>
          <w:rFonts w:ascii="Arial" w:eastAsia="Calibri" w:hAnsi="Arial" w:cs="Arial"/>
          <w:b/>
          <w:color w:val="000000" w:themeColor="text1"/>
          <w:sz w:val="22"/>
          <w:szCs w:val="22"/>
          <w:lang w:val="es-ES_tradnl" w:eastAsia="en-US"/>
        </w:rPr>
        <w:t xml:space="preserve">CONTRATOS Y </w:t>
      </w:r>
      <w:r w:rsidRPr="00097A6E">
        <w:rPr>
          <w:rFonts w:ascii="Arial" w:eastAsiaTheme="minorHAnsi" w:hAnsi="Arial" w:cs="Arial"/>
          <w:b/>
          <w:color w:val="000000" w:themeColor="text1"/>
          <w:sz w:val="22"/>
          <w:szCs w:val="22"/>
          <w:lang w:val="es-ES_tradnl" w:eastAsia="en-US"/>
        </w:rPr>
        <w:t xml:space="preserve">CONVENIOS INTERADMINISTRATIVOS </w:t>
      </w:r>
      <w:r w:rsidRPr="00097A6E">
        <w:rPr>
          <w:rFonts w:ascii="Arial" w:eastAsia="Calibri" w:hAnsi="Arial" w:cs="Arial"/>
          <w:b/>
          <w:color w:val="000000" w:themeColor="text1"/>
          <w:sz w:val="22"/>
          <w:szCs w:val="22"/>
          <w:lang w:val="es-ES_tradnl" w:eastAsia="en-US"/>
        </w:rPr>
        <w:t xml:space="preserve">– Definición – Criterio orgánico </w:t>
      </w:r>
    </w:p>
    <w:p w14:paraId="02CE0B14" w14:textId="77777777" w:rsidR="00D92C14" w:rsidRPr="00097A6E" w:rsidRDefault="00D92C14" w:rsidP="00D92C14">
      <w:pPr>
        <w:jc w:val="both"/>
        <w:rPr>
          <w:rFonts w:ascii="Arial" w:eastAsia="Calibri" w:hAnsi="Arial" w:cs="Arial"/>
          <w:bCs/>
          <w:color w:val="000000" w:themeColor="text1"/>
          <w:sz w:val="20"/>
          <w:szCs w:val="20"/>
          <w:lang w:val="es-ES_tradnl" w:eastAsia="en-US"/>
        </w:rPr>
      </w:pPr>
    </w:p>
    <w:p w14:paraId="358BAFDE" w14:textId="77777777" w:rsidR="00D92C14" w:rsidRPr="00097A6E" w:rsidRDefault="00D92C14" w:rsidP="00945C62">
      <w:pPr>
        <w:widowControl w:val="0"/>
        <w:autoSpaceDE w:val="0"/>
        <w:autoSpaceDN w:val="0"/>
        <w:jc w:val="both"/>
        <w:rPr>
          <w:rFonts w:ascii="Arial" w:eastAsia="Arial" w:hAnsi="Arial" w:cs="Arial"/>
          <w:color w:val="000000" w:themeColor="text1"/>
          <w:sz w:val="20"/>
          <w:szCs w:val="20"/>
          <w:lang w:val="es-ES_tradnl" w:eastAsia="es-ES" w:bidi="es-ES"/>
        </w:rPr>
      </w:pPr>
      <w:r w:rsidRPr="00097A6E">
        <w:rPr>
          <w:rFonts w:ascii="Arial" w:eastAsia="Arial" w:hAnsi="Arial" w:cs="Arial"/>
          <w:color w:val="000000" w:themeColor="text1"/>
          <w:sz w:val="20"/>
          <w:szCs w:val="20"/>
          <w:lang w:val="es-ES_tradnl" w:eastAsia="es-ES" w:bidi="es-ES"/>
        </w:rPr>
        <w:t>[…] la tipología de convenio interadministrativo fue creada en la Ley 80 de 1993. Aunque esta ley no lo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el propósito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w:t>
      </w:r>
      <w:r w:rsidRPr="00097A6E">
        <w:rPr>
          <w:rFonts w:ascii="Arial" w:eastAsia="Arial" w:hAnsi="Arial" w:cs="Arial"/>
          <w:color w:val="000000" w:themeColor="text1"/>
          <w:spacing w:val="-6"/>
          <w:sz w:val="20"/>
          <w:szCs w:val="20"/>
          <w:lang w:val="es-ES_tradnl" w:eastAsia="es-ES" w:bidi="es-ES"/>
        </w:rPr>
        <w:t xml:space="preserve"> </w:t>
      </w:r>
      <w:r w:rsidRPr="00097A6E">
        <w:rPr>
          <w:rFonts w:ascii="Arial" w:eastAsia="Arial" w:hAnsi="Arial" w:cs="Arial"/>
          <w:color w:val="000000" w:themeColor="text1"/>
          <w:sz w:val="20"/>
          <w:szCs w:val="20"/>
          <w:lang w:val="es-ES_tradnl" w:eastAsia="es-ES" w:bidi="es-ES"/>
        </w:rPr>
        <w:t>estatales.</w:t>
      </w:r>
    </w:p>
    <w:p w14:paraId="4AE6BAEE" w14:textId="77777777" w:rsidR="00D92C14" w:rsidRPr="00097A6E" w:rsidRDefault="00D92C14" w:rsidP="00945C62">
      <w:pPr>
        <w:jc w:val="both"/>
        <w:rPr>
          <w:rFonts w:ascii="Arial" w:eastAsia="Calibri" w:hAnsi="Arial" w:cs="Arial"/>
          <w:bCs/>
          <w:color w:val="000000" w:themeColor="text1"/>
          <w:sz w:val="22"/>
          <w:szCs w:val="22"/>
          <w:lang w:val="es-ES_tradnl" w:eastAsia="en-US"/>
        </w:rPr>
      </w:pPr>
    </w:p>
    <w:p w14:paraId="109E20CB" w14:textId="77777777" w:rsidR="00D92C14" w:rsidRPr="00097A6E" w:rsidRDefault="00D92C14" w:rsidP="00945C62">
      <w:pPr>
        <w:jc w:val="both"/>
        <w:rPr>
          <w:rFonts w:ascii="Arial" w:eastAsiaTheme="minorHAnsi" w:hAnsi="Arial" w:cs="Arial"/>
          <w:b/>
          <w:color w:val="000000" w:themeColor="text1"/>
          <w:sz w:val="22"/>
          <w:szCs w:val="22"/>
          <w:lang w:val="es-ES_tradnl" w:eastAsia="en-US"/>
        </w:rPr>
      </w:pPr>
      <w:r w:rsidRPr="00097A6E">
        <w:rPr>
          <w:rFonts w:ascii="Arial" w:eastAsia="Calibri" w:hAnsi="Arial" w:cs="Arial"/>
          <w:b/>
          <w:color w:val="000000" w:themeColor="text1"/>
          <w:sz w:val="22"/>
          <w:szCs w:val="22"/>
          <w:lang w:val="es-ES_tradnl" w:eastAsia="en-US"/>
        </w:rPr>
        <w:t xml:space="preserve">CONTRATOS Y </w:t>
      </w:r>
      <w:r w:rsidRPr="00097A6E">
        <w:rPr>
          <w:rFonts w:ascii="Arial" w:eastAsiaTheme="minorHAnsi" w:hAnsi="Arial" w:cs="Arial"/>
          <w:b/>
          <w:color w:val="000000" w:themeColor="text1"/>
          <w:sz w:val="22"/>
          <w:szCs w:val="22"/>
          <w:lang w:val="es-ES_tradnl" w:eastAsia="en-US"/>
        </w:rPr>
        <w:t>CONVENIOS INTERADMINISTRATIVOS – Modalidad de selección</w:t>
      </w:r>
    </w:p>
    <w:p w14:paraId="1D5CC78B" w14:textId="77777777" w:rsidR="00D92C14" w:rsidRPr="00097A6E" w:rsidRDefault="00D92C14" w:rsidP="00945C62">
      <w:pPr>
        <w:jc w:val="both"/>
        <w:rPr>
          <w:rFonts w:ascii="Arial" w:eastAsiaTheme="minorHAnsi" w:hAnsi="Arial" w:cs="Arial"/>
          <w:b/>
          <w:color w:val="000000" w:themeColor="text1"/>
          <w:sz w:val="20"/>
          <w:szCs w:val="20"/>
          <w:lang w:val="es-ES_tradnl" w:eastAsia="en-US"/>
        </w:rPr>
      </w:pPr>
    </w:p>
    <w:p w14:paraId="0B5FD107" w14:textId="3B185B53" w:rsidR="00D92C14" w:rsidRPr="00097A6E" w:rsidRDefault="00D92C14" w:rsidP="00945C62">
      <w:pPr>
        <w:widowControl w:val="0"/>
        <w:autoSpaceDE w:val="0"/>
        <w:autoSpaceDN w:val="0"/>
        <w:jc w:val="both"/>
        <w:rPr>
          <w:rFonts w:ascii="Arial" w:eastAsia="Arial" w:hAnsi="Arial" w:cs="Arial"/>
          <w:color w:val="000000" w:themeColor="text1"/>
          <w:sz w:val="20"/>
          <w:szCs w:val="20"/>
          <w:lang w:val="es-ES_tradnl" w:eastAsia="es-ES" w:bidi="es-ES"/>
        </w:rPr>
      </w:pPr>
      <w:r w:rsidRPr="00097A6E">
        <w:rPr>
          <w:rFonts w:ascii="Arial" w:eastAsia="Arial" w:hAnsi="Arial" w:cs="Arial"/>
          <w:color w:val="000000" w:themeColor="text1"/>
          <w:sz w:val="20"/>
          <w:szCs w:val="20"/>
          <w:lang w:val="es-ES_tradnl" w:eastAsia="es-ES" w:bidi="es-ES"/>
        </w:rPr>
        <w:t xml:space="preserve">[…]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w:t>
      </w:r>
      <w:r w:rsidRPr="00097A6E">
        <w:rPr>
          <w:rFonts w:ascii="Arial" w:eastAsia="Arial" w:hAnsi="Arial" w:cs="Arial"/>
          <w:color w:val="000000" w:themeColor="text1"/>
          <w:sz w:val="20"/>
          <w:szCs w:val="20"/>
          <w:lang w:val="es-ES_tradnl" w:eastAsia="es-ES" w:bidi="es-ES"/>
        </w:rPr>
        <w:lastRenderedPageBreak/>
        <w:t>celebren contratos interadministrativos en el marco de un proceso, donde sea posible la participación abierta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por la calidad de entidades</w:t>
      </w:r>
      <w:r w:rsidRPr="00097A6E">
        <w:rPr>
          <w:rFonts w:ascii="Arial" w:eastAsia="Arial" w:hAnsi="Arial" w:cs="Arial"/>
          <w:color w:val="000000" w:themeColor="text1"/>
          <w:spacing w:val="-3"/>
          <w:sz w:val="20"/>
          <w:szCs w:val="20"/>
          <w:lang w:val="es-ES_tradnl" w:eastAsia="es-ES" w:bidi="es-ES"/>
        </w:rPr>
        <w:t xml:space="preserve"> </w:t>
      </w:r>
      <w:r w:rsidRPr="00097A6E">
        <w:rPr>
          <w:rFonts w:ascii="Arial" w:eastAsia="Arial" w:hAnsi="Arial" w:cs="Arial"/>
          <w:color w:val="000000" w:themeColor="text1"/>
          <w:sz w:val="20"/>
          <w:szCs w:val="20"/>
          <w:lang w:val="es-ES_tradnl" w:eastAsia="es-ES" w:bidi="es-ES"/>
        </w:rPr>
        <w:t>estatales.</w:t>
      </w:r>
    </w:p>
    <w:p w14:paraId="307460EF" w14:textId="0525B2F0" w:rsidR="0038333E" w:rsidRPr="00097A6E" w:rsidRDefault="0038333E" w:rsidP="00945C62">
      <w:pPr>
        <w:widowControl w:val="0"/>
        <w:autoSpaceDE w:val="0"/>
        <w:autoSpaceDN w:val="0"/>
        <w:jc w:val="both"/>
        <w:rPr>
          <w:rFonts w:ascii="Arial" w:eastAsia="Arial" w:hAnsi="Arial" w:cs="Arial"/>
          <w:color w:val="000000" w:themeColor="text1"/>
          <w:sz w:val="20"/>
          <w:szCs w:val="20"/>
          <w:lang w:val="es-ES_tradnl" w:eastAsia="es-ES" w:bidi="es-ES"/>
        </w:rPr>
      </w:pPr>
    </w:p>
    <w:p w14:paraId="627F1B2E" w14:textId="41429185" w:rsidR="001C27D3" w:rsidRPr="00097A6E" w:rsidRDefault="001C27D3" w:rsidP="00945C62">
      <w:pPr>
        <w:widowControl w:val="0"/>
        <w:autoSpaceDE w:val="0"/>
        <w:autoSpaceDN w:val="0"/>
        <w:jc w:val="both"/>
        <w:rPr>
          <w:rFonts w:ascii="Arial" w:eastAsia="Calibri" w:hAnsi="Arial" w:cs="Arial"/>
          <w:b/>
          <w:color w:val="000000" w:themeColor="text1"/>
          <w:sz w:val="22"/>
          <w:szCs w:val="22"/>
          <w:lang w:val="es-ES_tradnl" w:eastAsia="en-US"/>
        </w:rPr>
      </w:pPr>
    </w:p>
    <w:p w14:paraId="31D5850B" w14:textId="675DB5C9" w:rsidR="001C27D3" w:rsidRPr="00097A6E" w:rsidRDefault="001C27D3" w:rsidP="00945C62">
      <w:pPr>
        <w:widowControl w:val="0"/>
        <w:autoSpaceDE w:val="0"/>
        <w:autoSpaceDN w:val="0"/>
        <w:jc w:val="both"/>
        <w:rPr>
          <w:rFonts w:ascii="Arial" w:eastAsia="Calibri" w:hAnsi="Arial" w:cs="Arial"/>
          <w:b/>
          <w:color w:val="000000" w:themeColor="text1"/>
          <w:sz w:val="22"/>
          <w:szCs w:val="22"/>
          <w:lang w:val="es-ES_tradnl" w:eastAsia="en-US"/>
        </w:rPr>
      </w:pPr>
    </w:p>
    <w:p w14:paraId="5E8348E4" w14:textId="77777777" w:rsidR="009A16AD" w:rsidRPr="00097A6E" w:rsidRDefault="009A16AD" w:rsidP="003A68F4">
      <w:pPr>
        <w:spacing w:line="276" w:lineRule="auto"/>
        <w:jc w:val="both"/>
        <w:rPr>
          <w:rFonts w:ascii="Arial" w:eastAsia="Calibri" w:hAnsi="Arial" w:cs="Arial"/>
          <w:b/>
          <w:color w:val="000000" w:themeColor="text1"/>
          <w:sz w:val="22"/>
          <w:szCs w:val="22"/>
          <w:lang w:val="es-ES_tradnl" w:eastAsia="en-US"/>
        </w:rPr>
      </w:pPr>
    </w:p>
    <w:p w14:paraId="020E8809" w14:textId="20C44C5A" w:rsidR="00C55FFD" w:rsidRDefault="00C55FFD" w:rsidP="00C55FFD">
      <w:pPr>
        <w:jc w:val="right"/>
      </w:pPr>
      <w:r>
        <w:fldChar w:fldCharType="begin"/>
      </w:r>
      <w:r w:rsidR="008C5139">
        <w:instrText xml:space="preserve"> INCLUDEPICTURE "D:\\var\\folders\\5l\\v1rdjm0x1x9416lmbj7_vjt40000gn\\T\\com.microsoft.Word\\WebArchiveCopyPasteTempFiles\\page1image3822592" \* MERGEFORMAT </w:instrText>
      </w:r>
      <w:r>
        <w:fldChar w:fldCharType="separate"/>
      </w:r>
      <w:r>
        <w:rPr>
          <w:noProof/>
        </w:rPr>
        <w:drawing>
          <wp:inline distT="0" distB="0" distL="0" distR="0" wp14:anchorId="69627AD1" wp14:editId="2CC8638F">
            <wp:extent cx="2402840" cy="609600"/>
            <wp:effectExtent l="0" t="0" r="0" b="0"/>
            <wp:docPr id="1" name="Imagen 1" descr="page1image3822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82259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2840" cy="609600"/>
                    </a:xfrm>
                    <a:prstGeom prst="rect">
                      <a:avLst/>
                    </a:prstGeom>
                    <a:noFill/>
                    <a:ln>
                      <a:noFill/>
                    </a:ln>
                  </pic:spPr>
                </pic:pic>
              </a:graphicData>
            </a:graphic>
          </wp:inline>
        </w:drawing>
      </w:r>
      <w:r>
        <w:fldChar w:fldCharType="end"/>
      </w:r>
    </w:p>
    <w:p w14:paraId="6A8A869B" w14:textId="2550BF0C" w:rsidR="00B95C30" w:rsidRPr="00097A6E" w:rsidRDefault="00B95C30" w:rsidP="00B95C30">
      <w:pPr>
        <w:jc w:val="both"/>
        <w:rPr>
          <w:rFonts w:ascii="Arial" w:hAnsi="Arial" w:cs="Arial"/>
          <w:bCs/>
          <w:color w:val="000000" w:themeColor="text1"/>
          <w:sz w:val="22"/>
          <w:lang w:val="es-ES_tradnl"/>
        </w:rPr>
      </w:pPr>
    </w:p>
    <w:p w14:paraId="66FD6095" w14:textId="7EACFAF8" w:rsidR="008C5139" w:rsidRDefault="008C5139" w:rsidP="008C5139">
      <w:pPr>
        <w:rPr>
          <w:rFonts w:ascii="Arial" w:eastAsia="Calibri" w:hAnsi="Arial" w:cs="Arial"/>
          <w:sz w:val="20"/>
          <w:szCs w:val="20"/>
          <w:lang w:eastAsia="en-US"/>
        </w:rPr>
      </w:pPr>
      <w:r>
        <w:rPr>
          <w:rFonts w:ascii="Arial" w:hAnsi="Arial" w:cs="Arial"/>
          <w:sz w:val="22"/>
          <w:szCs w:val="20"/>
        </w:rPr>
        <w:t>Bogotá, 1</w:t>
      </w:r>
      <w:r>
        <w:rPr>
          <w:rFonts w:ascii="Arial" w:hAnsi="Arial" w:cs="Arial"/>
          <w:sz w:val="22"/>
          <w:szCs w:val="20"/>
        </w:rPr>
        <w:t>5</w:t>
      </w:r>
      <w:r>
        <w:rPr>
          <w:rFonts w:ascii="Arial" w:hAnsi="Arial" w:cs="Arial"/>
          <w:sz w:val="22"/>
          <w:szCs w:val="20"/>
        </w:rPr>
        <w:t xml:space="preserve"> Febrero 2022</w:t>
      </w:r>
    </w:p>
    <w:p w14:paraId="25BDE90E" w14:textId="5396D61F" w:rsidR="008815D1" w:rsidRDefault="008815D1" w:rsidP="00B95C30">
      <w:pPr>
        <w:jc w:val="both"/>
        <w:rPr>
          <w:rFonts w:ascii="Arial" w:hAnsi="Arial" w:cs="Arial"/>
          <w:bCs/>
          <w:color w:val="000000" w:themeColor="text1"/>
          <w:sz w:val="22"/>
          <w:lang w:val="es-ES_tradnl"/>
        </w:rPr>
      </w:pPr>
    </w:p>
    <w:p w14:paraId="5CA1420B" w14:textId="77777777" w:rsidR="008C5139" w:rsidRPr="00097A6E" w:rsidRDefault="008C5139" w:rsidP="00B95C30">
      <w:pPr>
        <w:jc w:val="both"/>
        <w:rPr>
          <w:rFonts w:ascii="Arial" w:hAnsi="Arial" w:cs="Arial"/>
          <w:bCs/>
          <w:color w:val="000000" w:themeColor="text1"/>
          <w:sz w:val="22"/>
          <w:lang w:val="es-ES_tradnl"/>
        </w:rPr>
      </w:pPr>
    </w:p>
    <w:p w14:paraId="5F5AE9EF" w14:textId="4D325147" w:rsidR="00B95C30" w:rsidRPr="00097A6E" w:rsidRDefault="00212B18" w:rsidP="00B95C30">
      <w:pPr>
        <w:jc w:val="both"/>
        <w:rPr>
          <w:rFonts w:ascii="Arial" w:eastAsia="Calibri" w:hAnsi="Arial" w:cs="Arial"/>
          <w:color w:val="000000" w:themeColor="text1"/>
          <w:sz w:val="22"/>
          <w:lang w:val="es-ES_tradnl"/>
        </w:rPr>
      </w:pPr>
      <w:r w:rsidRPr="00097A6E">
        <w:rPr>
          <w:rFonts w:ascii="Arial" w:eastAsia="Calibri" w:hAnsi="Arial" w:cs="Arial"/>
          <w:color w:val="000000" w:themeColor="text1"/>
          <w:sz w:val="22"/>
          <w:lang w:val="es-ES_tradnl"/>
        </w:rPr>
        <w:t>Señor</w:t>
      </w:r>
    </w:p>
    <w:p w14:paraId="7CFA6DCE" w14:textId="51D8C051" w:rsidR="00C73D00" w:rsidRPr="00097A6E" w:rsidRDefault="00201855" w:rsidP="00B95C30">
      <w:pPr>
        <w:jc w:val="both"/>
        <w:rPr>
          <w:rFonts w:ascii="Arial" w:eastAsia="Calibri" w:hAnsi="Arial" w:cs="Arial"/>
          <w:b/>
          <w:color w:val="000000" w:themeColor="text1"/>
          <w:sz w:val="22"/>
          <w:lang w:val="es-ES_tradnl"/>
        </w:rPr>
      </w:pPr>
      <w:r w:rsidRPr="00097A6E">
        <w:rPr>
          <w:rFonts w:ascii="Arial" w:eastAsia="Calibri" w:hAnsi="Arial" w:cs="Arial"/>
          <w:b/>
          <w:color w:val="000000" w:themeColor="text1"/>
          <w:sz w:val="22"/>
          <w:lang w:val="es-ES_tradnl"/>
        </w:rPr>
        <w:t>Carlos Alberto Córdoba Arana</w:t>
      </w:r>
    </w:p>
    <w:p w14:paraId="3F3D1203" w14:textId="10B1FE79" w:rsidR="00B95C30" w:rsidRPr="00097A6E" w:rsidRDefault="00F50C18" w:rsidP="00B95C30">
      <w:pPr>
        <w:jc w:val="both"/>
        <w:rPr>
          <w:rFonts w:ascii="Arial" w:eastAsia="Calibri" w:hAnsi="Arial" w:cs="Arial"/>
          <w:color w:val="000000" w:themeColor="text1"/>
          <w:sz w:val="22"/>
          <w:lang w:val="es-ES_tradnl"/>
        </w:rPr>
      </w:pPr>
      <w:r w:rsidRPr="00097A6E">
        <w:rPr>
          <w:rFonts w:ascii="Arial" w:eastAsia="Calibri" w:hAnsi="Arial" w:cs="Arial"/>
          <w:color w:val="000000" w:themeColor="text1"/>
          <w:sz w:val="22"/>
          <w:lang w:val="es-ES_tradnl"/>
        </w:rPr>
        <w:t>Mocoa</w:t>
      </w:r>
      <w:r w:rsidR="00712D58" w:rsidRPr="00097A6E">
        <w:rPr>
          <w:rFonts w:ascii="Arial" w:eastAsia="Calibri" w:hAnsi="Arial" w:cs="Arial"/>
          <w:color w:val="000000" w:themeColor="text1"/>
          <w:sz w:val="22"/>
          <w:lang w:val="es-ES_tradnl"/>
        </w:rPr>
        <w:t xml:space="preserve">, </w:t>
      </w:r>
      <w:r w:rsidRPr="00097A6E">
        <w:rPr>
          <w:rFonts w:ascii="Arial" w:eastAsia="Calibri" w:hAnsi="Arial" w:cs="Arial"/>
          <w:color w:val="000000" w:themeColor="text1"/>
          <w:sz w:val="22"/>
          <w:lang w:val="es-ES_tradnl"/>
        </w:rPr>
        <w:t>Putumayo</w:t>
      </w:r>
    </w:p>
    <w:p w14:paraId="24E8D2A9" w14:textId="77777777" w:rsidR="00B95C30" w:rsidRPr="00097A6E" w:rsidRDefault="00B95C30" w:rsidP="00B95C30">
      <w:pPr>
        <w:jc w:val="both"/>
        <w:rPr>
          <w:rFonts w:ascii="Arial" w:eastAsia="Calibri" w:hAnsi="Arial" w:cs="Arial"/>
          <w:color w:val="000000" w:themeColor="text1"/>
          <w:sz w:val="22"/>
          <w:lang w:val="es-ES_tradnl"/>
        </w:rPr>
      </w:pPr>
    </w:p>
    <w:p w14:paraId="12E66182" w14:textId="37EE8A3E" w:rsidR="00B95C30" w:rsidRPr="00097A6E" w:rsidRDefault="008815D1" w:rsidP="00B06C81">
      <w:pPr>
        <w:rPr>
          <w:rFonts w:ascii="Arial" w:eastAsia="Calibri" w:hAnsi="Arial" w:cs="Arial"/>
          <w:b/>
          <w:bCs/>
          <w:color w:val="000000" w:themeColor="text1"/>
          <w:sz w:val="22"/>
          <w:lang w:val="es-ES_tradnl"/>
        </w:rPr>
      </w:pPr>
      <w:r w:rsidRPr="00097A6E">
        <w:rPr>
          <w:rFonts w:ascii="Arial" w:eastAsia="Calibri" w:hAnsi="Arial" w:cs="Arial"/>
          <w:b/>
          <w:bCs/>
          <w:color w:val="000000" w:themeColor="text1"/>
          <w:sz w:val="22"/>
          <w:lang w:val="es-ES_tradnl"/>
        </w:rPr>
        <w:t xml:space="preserve">                                            </w:t>
      </w:r>
      <w:r w:rsidR="00B95C30" w:rsidRPr="00097A6E">
        <w:rPr>
          <w:rFonts w:ascii="Arial" w:eastAsia="Calibri" w:hAnsi="Arial" w:cs="Arial"/>
          <w:b/>
          <w:bCs/>
          <w:color w:val="000000" w:themeColor="text1"/>
          <w:sz w:val="22"/>
          <w:lang w:val="es-ES_tradnl"/>
        </w:rPr>
        <w:t xml:space="preserve">Concepto C ‒ </w:t>
      </w:r>
      <w:r w:rsidR="00C658D6" w:rsidRPr="00097A6E">
        <w:rPr>
          <w:rFonts w:ascii="Arial" w:eastAsia="Calibri" w:hAnsi="Arial" w:cs="Arial"/>
          <w:b/>
          <w:bCs/>
          <w:color w:val="000000" w:themeColor="text1"/>
          <w:sz w:val="22"/>
          <w:lang w:val="es-ES_tradnl"/>
        </w:rPr>
        <w:t>009</w:t>
      </w:r>
      <w:r w:rsidR="001429DA" w:rsidRPr="00097A6E">
        <w:rPr>
          <w:rFonts w:ascii="Arial" w:eastAsia="Calibri" w:hAnsi="Arial" w:cs="Arial"/>
          <w:b/>
          <w:bCs/>
          <w:color w:val="000000" w:themeColor="text1"/>
          <w:sz w:val="22"/>
          <w:lang w:val="es-ES_tradnl"/>
        </w:rPr>
        <w:t xml:space="preserve"> </w:t>
      </w:r>
      <w:r w:rsidR="00B95C30" w:rsidRPr="00097A6E">
        <w:rPr>
          <w:rFonts w:ascii="Arial" w:eastAsia="Calibri" w:hAnsi="Arial" w:cs="Arial"/>
          <w:b/>
          <w:bCs/>
          <w:color w:val="000000" w:themeColor="text1"/>
          <w:sz w:val="22"/>
          <w:lang w:val="es-ES_tradnl"/>
        </w:rPr>
        <w:t>de 202</w:t>
      </w:r>
      <w:r w:rsidR="00A40781" w:rsidRPr="00097A6E">
        <w:rPr>
          <w:rFonts w:ascii="Arial" w:eastAsia="Calibri" w:hAnsi="Arial" w:cs="Arial"/>
          <w:b/>
          <w:bCs/>
          <w:color w:val="000000" w:themeColor="text1"/>
          <w:sz w:val="22"/>
          <w:lang w:val="es-ES_tradnl"/>
        </w:rPr>
        <w:t>2</w:t>
      </w:r>
    </w:p>
    <w:p w14:paraId="1BD594F9" w14:textId="77777777" w:rsidR="00B95C30" w:rsidRPr="00097A6E"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097A6E" w14:paraId="19DFC051" w14:textId="77777777" w:rsidTr="0015145A">
        <w:tc>
          <w:tcPr>
            <w:tcW w:w="2689" w:type="dxa"/>
          </w:tcPr>
          <w:p w14:paraId="6BC0D1AC" w14:textId="77777777" w:rsidR="00B95C30" w:rsidRPr="00097A6E" w:rsidRDefault="00B95C30" w:rsidP="0015145A">
            <w:pPr>
              <w:jc w:val="both"/>
              <w:rPr>
                <w:rFonts w:ascii="Arial" w:eastAsia="Calibri" w:hAnsi="Arial" w:cs="Arial"/>
                <w:color w:val="000000" w:themeColor="text1"/>
                <w:sz w:val="22"/>
                <w:lang w:val="es-ES_tradnl"/>
              </w:rPr>
            </w:pPr>
            <w:r w:rsidRPr="00097A6E">
              <w:rPr>
                <w:rFonts w:ascii="Arial" w:eastAsia="Calibri" w:hAnsi="Arial" w:cs="Arial"/>
                <w:b/>
                <w:color w:val="000000" w:themeColor="text1"/>
                <w:sz w:val="22"/>
                <w:lang w:val="es-ES_tradnl"/>
              </w:rPr>
              <w:t>Temas:</w:t>
            </w:r>
            <w:r w:rsidRPr="00097A6E">
              <w:rPr>
                <w:rFonts w:ascii="Arial" w:eastAsia="Calibri" w:hAnsi="Arial" w:cs="Arial"/>
                <w:color w:val="000000" w:themeColor="text1"/>
                <w:sz w:val="22"/>
                <w:lang w:val="es-ES_tradnl"/>
              </w:rPr>
              <w:t xml:space="preserve">                                      </w:t>
            </w:r>
          </w:p>
        </w:tc>
        <w:tc>
          <w:tcPr>
            <w:tcW w:w="6237" w:type="dxa"/>
          </w:tcPr>
          <w:p w14:paraId="5F389CAF" w14:textId="6BA40825" w:rsidR="00B95C30" w:rsidRPr="00097A6E" w:rsidRDefault="002043FB" w:rsidP="0038512F">
            <w:pPr>
              <w:pStyle w:val="Sinespaciado"/>
              <w:jc w:val="both"/>
              <w:rPr>
                <w:rFonts w:ascii="Arial" w:hAnsi="Arial" w:cs="Arial"/>
                <w:bCs/>
                <w:sz w:val="22"/>
                <w:lang w:val="es-ES_tradnl"/>
              </w:rPr>
            </w:pPr>
            <w:r w:rsidRPr="00097A6E">
              <w:rPr>
                <w:rFonts w:ascii="Arial" w:eastAsia="Calibri" w:hAnsi="Arial" w:cs="Arial"/>
                <w:bCs/>
                <w:color w:val="000000" w:themeColor="text1"/>
                <w:sz w:val="22"/>
                <w:lang w:val="es-ES_tradnl"/>
              </w:rPr>
              <w:t xml:space="preserve">LEY DE GARANTÍAS ELECTORALES – Finalidad / LEY DE GARANTÍAS ELECTORALES ‒ Restricciones ‒ Contratación ‒ Tipos de elección / </w:t>
            </w:r>
            <w:r w:rsidRPr="00097A6E">
              <w:rPr>
                <w:rFonts w:ascii="Arial" w:eastAsia="Calibri" w:hAnsi="Arial" w:cs="Arial"/>
                <w:bCs/>
                <w:sz w:val="22"/>
                <w:lang w:val="es-ES_tradnl"/>
              </w:rPr>
              <w:t xml:space="preserve">LEY DE GARANTÍAS ELECTORALES ─ Prohibición artículo 33 ‒ Contratación directa ‒ Alcance / </w:t>
            </w:r>
            <w:r w:rsidRPr="00097A6E">
              <w:rPr>
                <w:rFonts w:ascii="Arial" w:hAnsi="Arial" w:cs="Arial"/>
                <w:bCs/>
                <w:sz w:val="22"/>
                <w:lang w:val="es-ES_tradnl" w:eastAsia="es-CO"/>
              </w:rPr>
              <w:t>LEY DE GARANTÍAS ELECTORALES ‒ Excepciones</w:t>
            </w:r>
            <w:r w:rsidRPr="00097A6E">
              <w:rPr>
                <w:rFonts w:ascii="Arial" w:hAnsi="Arial" w:cs="Arial"/>
                <w:sz w:val="22"/>
                <w:lang w:val="es-ES_tradnl" w:eastAsia="es-CO"/>
              </w:rPr>
              <w:t xml:space="preserve"> / </w:t>
            </w:r>
            <w:r w:rsidRPr="00097A6E">
              <w:rPr>
                <w:rFonts w:ascii="Arial" w:hAnsi="Arial" w:cs="Arial"/>
                <w:bCs/>
                <w:sz w:val="22"/>
                <w:lang w:val="es-ES_tradnl" w:eastAsia="es-CO"/>
              </w:rPr>
              <w:t xml:space="preserve">LEY DE GARANTÍAS ELECTORALES ‒ </w:t>
            </w:r>
            <w:r w:rsidRPr="00097A6E">
              <w:rPr>
                <w:rFonts w:ascii="Arial" w:hAnsi="Arial" w:cs="Arial"/>
                <w:sz w:val="22"/>
                <w:lang w:val="es-ES_tradnl" w:eastAsia="es-CO"/>
              </w:rPr>
              <w:t xml:space="preserve">Prohibición del artículo 33 </w:t>
            </w:r>
            <w:r w:rsidRPr="00097A6E">
              <w:rPr>
                <w:rFonts w:ascii="Arial" w:hAnsi="Arial" w:cs="Arial"/>
                <w:bCs/>
                <w:sz w:val="22"/>
                <w:lang w:val="es-ES_tradnl" w:eastAsia="es-CO"/>
              </w:rPr>
              <w:t xml:space="preserve">‒ Destinatarios / </w:t>
            </w:r>
            <w:r w:rsidRPr="00097A6E">
              <w:rPr>
                <w:rFonts w:ascii="Arial" w:eastAsia="Calibri" w:hAnsi="Arial" w:cs="Arial"/>
                <w:color w:val="000000" w:themeColor="text1"/>
                <w:sz w:val="22"/>
                <w:lang w:val="es-ES_tradnl"/>
              </w:rPr>
              <w:t xml:space="preserve">CONTRATOS Y </w:t>
            </w:r>
            <w:r w:rsidRPr="00097A6E">
              <w:rPr>
                <w:rFonts w:ascii="Arial" w:hAnsi="Arial" w:cs="Arial"/>
                <w:color w:val="000000" w:themeColor="text1"/>
                <w:sz w:val="22"/>
                <w:lang w:val="es-ES_tradnl"/>
              </w:rPr>
              <w:t xml:space="preserve">CONVENIOS INTERADMINISTRATIVOS </w:t>
            </w:r>
            <w:r w:rsidRPr="00097A6E">
              <w:rPr>
                <w:rFonts w:ascii="Arial" w:eastAsia="Calibri" w:hAnsi="Arial" w:cs="Arial"/>
                <w:color w:val="000000" w:themeColor="text1"/>
                <w:sz w:val="22"/>
                <w:lang w:val="es-ES_tradnl"/>
              </w:rPr>
              <w:t xml:space="preserve">– Definición – Criterio orgánico / CONTRATOS Y </w:t>
            </w:r>
            <w:r w:rsidRPr="00097A6E">
              <w:rPr>
                <w:rFonts w:ascii="Arial" w:hAnsi="Arial" w:cs="Arial"/>
                <w:color w:val="000000" w:themeColor="text1"/>
                <w:sz w:val="22"/>
                <w:lang w:val="es-ES_tradnl"/>
              </w:rPr>
              <w:t>CONVENIOS INTERADMINISTRATIVOS – Modalidad de selección</w:t>
            </w:r>
          </w:p>
        </w:tc>
      </w:tr>
      <w:tr w:rsidR="00B95C30" w:rsidRPr="00097A6E" w14:paraId="27CD52AB" w14:textId="77777777" w:rsidTr="0015145A">
        <w:tc>
          <w:tcPr>
            <w:tcW w:w="2689" w:type="dxa"/>
          </w:tcPr>
          <w:p w14:paraId="37E195A1" w14:textId="4C368209" w:rsidR="00B95C30" w:rsidRPr="00097A6E" w:rsidRDefault="00B95C30" w:rsidP="0015145A">
            <w:pPr>
              <w:spacing w:before="120"/>
              <w:jc w:val="both"/>
              <w:rPr>
                <w:rFonts w:ascii="Arial" w:eastAsia="Calibri" w:hAnsi="Arial" w:cs="Arial"/>
                <w:b/>
                <w:color w:val="000000" w:themeColor="text1"/>
                <w:sz w:val="22"/>
                <w:lang w:val="es-ES_tradnl"/>
              </w:rPr>
            </w:pPr>
            <w:r w:rsidRPr="00097A6E">
              <w:rPr>
                <w:rFonts w:ascii="Arial" w:eastAsia="Calibri" w:hAnsi="Arial" w:cs="Arial"/>
                <w:b/>
                <w:color w:val="000000" w:themeColor="text1"/>
                <w:sz w:val="22"/>
                <w:lang w:val="es-ES_tradnl"/>
              </w:rPr>
              <w:t>Radicación:</w:t>
            </w:r>
            <w:r w:rsidRPr="00097A6E">
              <w:rPr>
                <w:rFonts w:ascii="Arial" w:eastAsia="Calibri" w:hAnsi="Arial" w:cs="Arial"/>
                <w:color w:val="000000" w:themeColor="text1"/>
                <w:sz w:val="22"/>
                <w:lang w:val="es-ES_tradnl"/>
              </w:rPr>
              <w:t xml:space="preserve">                              </w:t>
            </w:r>
          </w:p>
        </w:tc>
        <w:tc>
          <w:tcPr>
            <w:tcW w:w="6237" w:type="dxa"/>
          </w:tcPr>
          <w:p w14:paraId="09088B1B" w14:textId="60B57E7B" w:rsidR="00B95C30" w:rsidRPr="00097A6E" w:rsidRDefault="00B95C30" w:rsidP="0015145A">
            <w:pPr>
              <w:spacing w:before="120"/>
              <w:jc w:val="both"/>
              <w:rPr>
                <w:rFonts w:ascii="Arial" w:eastAsia="Calibri" w:hAnsi="Arial" w:cs="Arial"/>
                <w:color w:val="000000" w:themeColor="text1"/>
                <w:sz w:val="22"/>
                <w:lang w:val="es-ES_tradnl"/>
              </w:rPr>
            </w:pPr>
            <w:r w:rsidRPr="00097A6E">
              <w:rPr>
                <w:rFonts w:ascii="Arial" w:eastAsia="Calibri" w:hAnsi="Arial" w:cs="Arial"/>
                <w:color w:val="000000" w:themeColor="text1"/>
                <w:sz w:val="22"/>
                <w:lang w:val="es-ES_tradnl"/>
              </w:rPr>
              <w:t xml:space="preserve">Respuesta a consulta # </w:t>
            </w:r>
            <w:r w:rsidR="00B95441" w:rsidRPr="00097A6E">
              <w:rPr>
                <w:rFonts w:ascii="Arial" w:eastAsia="Calibri" w:hAnsi="Arial" w:cs="Arial"/>
                <w:color w:val="000000" w:themeColor="text1"/>
                <w:sz w:val="22"/>
                <w:lang w:val="es-ES_tradnl"/>
              </w:rPr>
              <w:t>P20220105000061</w:t>
            </w:r>
          </w:p>
        </w:tc>
      </w:tr>
    </w:tbl>
    <w:p w14:paraId="1BBCEF05" w14:textId="77777777" w:rsidR="008815D1" w:rsidRPr="00097A6E" w:rsidRDefault="008815D1" w:rsidP="003C3339">
      <w:pPr>
        <w:jc w:val="both"/>
        <w:rPr>
          <w:rFonts w:ascii="Arial" w:eastAsia="Calibri" w:hAnsi="Arial" w:cs="Arial"/>
          <w:color w:val="000000" w:themeColor="text1"/>
          <w:sz w:val="22"/>
          <w:lang w:val="es-ES_tradnl"/>
        </w:rPr>
      </w:pPr>
    </w:p>
    <w:p w14:paraId="4F7A4DD4" w14:textId="77777777" w:rsidR="008815D1" w:rsidRPr="00097A6E" w:rsidRDefault="008815D1" w:rsidP="003C3339">
      <w:pPr>
        <w:jc w:val="both"/>
        <w:rPr>
          <w:rFonts w:ascii="Arial" w:eastAsia="Calibri" w:hAnsi="Arial" w:cs="Arial"/>
          <w:color w:val="000000" w:themeColor="text1"/>
          <w:sz w:val="22"/>
          <w:lang w:val="es-ES_tradnl"/>
        </w:rPr>
      </w:pPr>
    </w:p>
    <w:p w14:paraId="1CF4AEA0" w14:textId="583C2F9E" w:rsidR="003C3339" w:rsidRPr="00097A6E" w:rsidRDefault="00456D08" w:rsidP="003C3339">
      <w:pPr>
        <w:jc w:val="both"/>
        <w:rPr>
          <w:rFonts w:ascii="Arial" w:eastAsia="Calibri" w:hAnsi="Arial" w:cs="Arial"/>
          <w:color w:val="000000" w:themeColor="text1"/>
          <w:sz w:val="22"/>
          <w:lang w:val="es-ES_tradnl"/>
        </w:rPr>
      </w:pPr>
      <w:r w:rsidRPr="00097A6E">
        <w:rPr>
          <w:rFonts w:ascii="Arial" w:eastAsia="Calibri" w:hAnsi="Arial" w:cs="Arial"/>
          <w:color w:val="000000" w:themeColor="text1"/>
          <w:sz w:val="22"/>
          <w:lang w:val="es-ES_tradnl"/>
        </w:rPr>
        <w:t>Estimad</w:t>
      </w:r>
      <w:r w:rsidR="00764497" w:rsidRPr="00097A6E">
        <w:rPr>
          <w:rFonts w:ascii="Arial" w:eastAsia="Calibri" w:hAnsi="Arial" w:cs="Arial"/>
          <w:color w:val="000000" w:themeColor="text1"/>
          <w:sz w:val="22"/>
          <w:lang w:val="es-ES_tradnl"/>
        </w:rPr>
        <w:t>o</w:t>
      </w:r>
      <w:r w:rsidRPr="00097A6E">
        <w:rPr>
          <w:rFonts w:ascii="Arial" w:eastAsia="Calibri" w:hAnsi="Arial" w:cs="Arial"/>
          <w:color w:val="000000" w:themeColor="text1"/>
          <w:sz w:val="22"/>
          <w:lang w:val="es-ES_tradnl"/>
        </w:rPr>
        <w:t xml:space="preserve"> </w:t>
      </w:r>
      <w:r w:rsidR="00764497" w:rsidRPr="00097A6E">
        <w:rPr>
          <w:rFonts w:ascii="Arial" w:eastAsia="Calibri" w:hAnsi="Arial" w:cs="Arial"/>
          <w:color w:val="000000" w:themeColor="text1"/>
          <w:sz w:val="22"/>
          <w:lang w:val="es-ES_tradnl"/>
        </w:rPr>
        <w:t>señor</w:t>
      </w:r>
      <w:r w:rsidR="007F053A" w:rsidRPr="00097A6E">
        <w:rPr>
          <w:rFonts w:ascii="Arial" w:eastAsia="Calibri" w:hAnsi="Arial" w:cs="Arial"/>
          <w:color w:val="000000" w:themeColor="text1"/>
          <w:sz w:val="22"/>
          <w:lang w:val="es-ES_tradnl"/>
        </w:rPr>
        <w:t xml:space="preserve"> </w:t>
      </w:r>
      <w:r w:rsidR="00764497" w:rsidRPr="00097A6E">
        <w:rPr>
          <w:rFonts w:ascii="Arial" w:eastAsia="Calibri" w:hAnsi="Arial" w:cs="Arial"/>
          <w:color w:val="000000" w:themeColor="text1"/>
          <w:sz w:val="22"/>
          <w:lang w:val="es-ES_tradnl"/>
        </w:rPr>
        <w:t>Córdoba</w:t>
      </w:r>
      <w:r w:rsidR="003C3339" w:rsidRPr="00097A6E">
        <w:rPr>
          <w:rFonts w:ascii="Arial" w:eastAsia="Calibri" w:hAnsi="Arial" w:cs="Arial"/>
          <w:color w:val="000000" w:themeColor="text1"/>
          <w:sz w:val="22"/>
          <w:lang w:val="es-ES_tradnl"/>
        </w:rPr>
        <w:t>:</w:t>
      </w:r>
    </w:p>
    <w:p w14:paraId="1EAE5543" w14:textId="77777777" w:rsidR="00DD5B04" w:rsidRPr="00097A6E" w:rsidRDefault="00DD5B04" w:rsidP="00DF76A2">
      <w:pPr>
        <w:jc w:val="both"/>
        <w:rPr>
          <w:rFonts w:ascii="Arial" w:eastAsia="Calibri" w:hAnsi="Arial" w:cs="Arial"/>
          <w:color w:val="000000" w:themeColor="text1"/>
          <w:sz w:val="22"/>
          <w:lang w:val="es-ES_tradnl"/>
        </w:rPr>
      </w:pPr>
    </w:p>
    <w:p w14:paraId="2109B2D3" w14:textId="367C7C93" w:rsidR="00DD5B04" w:rsidRPr="00097A6E" w:rsidRDefault="00DD5B04" w:rsidP="00DF76A2">
      <w:pPr>
        <w:spacing w:line="276" w:lineRule="auto"/>
        <w:jc w:val="both"/>
        <w:rPr>
          <w:rFonts w:ascii="Arial" w:eastAsia="Calibri" w:hAnsi="Arial" w:cs="Arial"/>
          <w:color w:val="000000" w:themeColor="text1"/>
          <w:sz w:val="22"/>
          <w:lang w:val="es-ES_tradnl"/>
        </w:rPr>
      </w:pPr>
      <w:r w:rsidRPr="00097A6E">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097A6E">
        <w:rPr>
          <w:rFonts w:ascii="Arial" w:eastAsia="Calibri" w:hAnsi="Arial" w:cs="Arial"/>
          <w:color w:val="000000" w:themeColor="text1"/>
          <w:sz w:val="22"/>
          <w:lang w:val="es-ES_tradnl"/>
        </w:rPr>
        <w:t xml:space="preserve"> </w:t>
      </w:r>
      <w:r w:rsidRPr="00097A6E">
        <w:rPr>
          <w:rFonts w:ascii="Arial" w:eastAsia="Calibri" w:hAnsi="Arial" w:cs="Arial"/>
          <w:color w:val="000000" w:themeColor="text1"/>
          <w:sz w:val="22"/>
          <w:lang w:val="es-ES_tradnl"/>
        </w:rPr>
        <w:t>responde su consulta</w:t>
      </w:r>
      <w:r w:rsidR="00B851BA" w:rsidRPr="00097A6E">
        <w:rPr>
          <w:rFonts w:ascii="Arial" w:eastAsia="Calibri" w:hAnsi="Arial" w:cs="Arial"/>
          <w:color w:val="000000" w:themeColor="text1"/>
          <w:sz w:val="22"/>
          <w:lang w:val="es-ES_tradnl"/>
        </w:rPr>
        <w:t xml:space="preserve">, remitida </w:t>
      </w:r>
      <w:r w:rsidR="00826BDF" w:rsidRPr="00097A6E">
        <w:rPr>
          <w:rFonts w:ascii="Arial" w:eastAsia="Calibri" w:hAnsi="Arial" w:cs="Arial"/>
          <w:color w:val="000000" w:themeColor="text1"/>
          <w:sz w:val="22"/>
          <w:lang w:val="es-ES_tradnl"/>
        </w:rPr>
        <w:t xml:space="preserve">por parte del Departamento </w:t>
      </w:r>
      <w:r w:rsidR="00C7774B" w:rsidRPr="00097A6E">
        <w:rPr>
          <w:rFonts w:ascii="Arial" w:eastAsia="Calibri" w:hAnsi="Arial" w:cs="Arial"/>
          <w:color w:val="000000" w:themeColor="text1"/>
          <w:sz w:val="22"/>
          <w:lang w:val="es-ES_tradnl"/>
        </w:rPr>
        <w:t>Administrativo</w:t>
      </w:r>
      <w:r w:rsidR="005E5F06" w:rsidRPr="00097A6E">
        <w:rPr>
          <w:rFonts w:ascii="Arial" w:eastAsia="Calibri" w:hAnsi="Arial" w:cs="Arial"/>
          <w:color w:val="000000" w:themeColor="text1"/>
          <w:sz w:val="22"/>
          <w:lang w:val="es-ES_tradnl"/>
        </w:rPr>
        <w:t xml:space="preserve"> de la Función Pública</w:t>
      </w:r>
      <w:r w:rsidR="00826BDF" w:rsidRPr="00097A6E">
        <w:rPr>
          <w:rFonts w:ascii="Arial" w:eastAsia="Calibri" w:hAnsi="Arial" w:cs="Arial"/>
          <w:color w:val="000000" w:themeColor="text1"/>
          <w:sz w:val="22"/>
          <w:lang w:val="es-ES_tradnl"/>
        </w:rPr>
        <w:t xml:space="preserve">, por falta de competencia, </w:t>
      </w:r>
      <w:r w:rsidR="00DC2046" w:rsidRPr="00097A6E">
        <w:rPr>
          <w:rFonts w:ascii="Arial" w:eastAsia="Calibri" w:hAnsi="Arial" w:cs="Arial"/>
          <w:color w:val="000000" w:themeColor="text1"/>
          <w:sz w:val="22"/>
          <w:lang w:val="es-ES_tradnl"/>
        </w:rPr>
        <w:t xml:space="preserve">mediante oficio con radicado No. </w:t>
      </w:r>
      <w:r w:rsidR="005E5F06" w:rsidRPr="00097A6E">
        <w:rPr>
          <w:rFonts w:ascii="Arial" w:eastAsia="Calibri" w:hAnsi="Arial" w:cs="Arial"/>
          <w:color w:val="000000" w:themeColor="text1"/>
          <w:sz w:val="22"/>
          <w:lang w:val="es-ES_tradnl"/>
        </w:rPr>
        <w:t>20222040000941</w:t>
      </w:r>
      <w:r w:rsidR="00DA1DB8" w:rsidRPr="00097A6E">
        <w:rPr>
          <w:rFonts w:ascii="Arial" w:eastAsia="Calibri" w:hAnsi="Arial" w:cs="Arial"/>
          <w:color w:val="000000" w:themeColor="text1"/>
          <w:sz w:val="22"/>
          <w:lang w:val="es-ES_tradnl"/>
        </w:rPr>
        <w:t xml:space="preserve"> </w:t>
      </w:r>
      <w:r w:rsidR="00DC2046" w:rsidRPr="00097A6E">
        <w:rPr>
          <w:rFonts w:ascii="Arial" w:eastAsia="Calibri" w:hAnsi="Arial" w:cs="Arial"/>
          <w:color w:val="000000" w:themeColor="text1"/>
          <w:sz w:val="22"/>
          <w:lang w:val="es-ES_tradnl"/>
        </w:rPr>
        <w:t xml:space="preserve">del </w:t>
      </w:r>
      <w:r w:rsidR="00DA1DB8" w:rsidRPr="00097A6E">
        <w:rPr>
          <w:rFonts w:ascii="Arial" w:eastAsia="Calibri" w:hAnsi="Arial" w:cs="Arial"/>
          <w:color w:val="000000" w:themeColor="text1"/>
          <w:sz w:val="22"/>
          <w:lang w:val="es-ES_tradnl"/>
        </w:rPr>
        <w:t>3</w:t>
      </w:r>
      <w:r w:rsidR="00DC2046" w:rsidRPr="00097A6E">
        <w:rPr>
          <w:rFonts w:ascii="Arial" w:eastAsia="Calibri" w:hAnsi="Arial" w:cs="Arial"/>
          <w:color w:val="000000" w:themeColor="text1"/>
          <w:sz w:val="22"/>
          <w:lang w:val="es-ES_tradnl"/>
        </w:rPr>
        <w:t xml:space="preserve"> de enero de 2022.</w:t>
      </w:r>
    </w:p>
    <w:p w14:paraId="0C1E0712" w14:textId="77777777" w:rsidR="00DD5B04" w:rsidRPr="00097A6E"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097A6E"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097A6E">
        <w:rPr>
          <w:rFonts w:ascii="Arial" w:eastAsia="Calibri" w:hAnsi="Arial" w:cs="Arial"/>
          <w:b/>
          <w:color w:val="000000" w:themeColor="text1"/>
          <w:sz w:val="22"/>
          <w:lang w:val="es-ES_tradnl"/>
        </w:rPr>
        <w:t xml:space="preserve">Problema planteado </w:t>
      </w:r>
    </w:p>
    <w:p w14:paraId="224B43D3" w14:textId="77777777" w:rsidR="00DD5B04" w:rsidRPr="00097A6E"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37552867" w:rsidR="00443B55" w:rsidRPr="00097A6E" w:rsidRDefault="00DD5B04" w:rsidP="0099583D">
      <w:pPr>
        <w:spacing w:line="276" w:lineRule="auto"/>
        <w:jc w:val="both"/>
        <w:rPr>
          <w:rFonts w:ascii="Arial" w:hAnsi="Arial" w:cs="Arial"/>
          <w:color w:val="000000" w:themeColor="text1"/>
          <w:sz w:val="22"/>
          <w:lang w:val="es-ES_tradnl"/>
        </w:rPr>
      </w:pPr>
      <w:r w:rsidRPr="00097A6E">
        <w:rPr>
          <w:rFonts w:ascii="Arial" w:hAnsi="Arial" w:cs="Arial"/>
          <w:color w:val="000000" w:themeColor="text1"/>
          <w:sz w:val="22"/>
          <w:lang w:val="es-ES_tradnl"/>
        </w:rPr>
        <w:t xml:space="preserve">Usted </w:t>
      </w:r>
      <w:r w:rsidR="00B422C0" w:rsidRPr="00097A6E">
        <w:rPr>
          <w:rFonts w:ascii="Arial" w:hAnsi="Arial" w:cs="Arial"/>
          <w:color w:val="000000" w:themeColor="text1"/>
          <w:sz w:val="22"/>
          <w:lang w:val="es-ES_tradnl"/>
        </w:rPr>
        <w:t>formula</w:t>
      </w:r>
      <w:r w:rsidR="006D46A3" w:rsidRPr="00097A6E">
        <w:rPr>
          <w:rFonts w:ascii="Arial" w:hAnsi="Arial" w:cs="Arial"/>
          <w:color w:val="000000" w:themeColor="text1"/>
          <w:sz w:val="22"/>
          <w:lang w:val="es-ES_tradnl"/>
        </w:rPr>
        <w:t xml:space="preserve"> la siguiente </w:t>
      </w:r>
      <w:r w:rsidR="00B46915" w:rsidRPr="00097A6E">
        <w:rPr>
          <w:rFonts w:ascii="Arial" w:hAnsi="Arial" w:cs="Arial"/>
          <w:color w:val="000000" w:themeColor="text1"/>
          <w:sz w:val="22"/>
          <w:lang w:val="es-ES_tradnl"/>
        </w:rPr>
        <w:t>consulta</w:t>
      </w:r>
      <w:r w:rsidR="00B422C0" w:rsidRPr="00097A6E">
        <w:rPr>
          <w:rFonts w:ascii="Arial" w:hAnsi="Arial" w:cs="Arial"/>
          <w:color w:val="000000" w:themeColor="text1"/>
          <w:sz w:val="22"/>
          <w:lang w:val="es-ES_tradnl"/>
        </w:rPr>
        <w:t>:</w:t>
      </w:r>
      <w:r w:rsidR="007E18DF" w:rsidRPr="00097A6E">
        <w:rPr>
          <w:rFonts w:ascii="Arial" w:hAnsi="Arial" w:cs="Arial"/>
          <w:color w:val="000000" w:themeColor="text1"/>
          <w:sz w:val="22"/>
          <w:lang w:val="es-ES_tradnl"/>
        </w:rPr>
        <w:t xml:space="preserve"> </w:t>
      </w:r>
    </w:p>
    <w:p w14:paraId="559EE20C" w14:textId="77777777" w:rsidR="00443B55" w:rsidRPr="00097A6E" w:rsidRDefault="00443B55" w:rsidP="00E965BC">
      <w:pPr>
        <w:jc w:val="both"/>
        <w:rPr>
          <w:rFonts w:ascii="Arial" w:hAnsi="Arial" w:cs="Arial"/>
          <w:color w:val="000000" w:themeColor="text1"/>
          <w:sz w:val="22"/>
          <w:lang w:val="es-ES_tradnl"/>
        </w:rPr>
      </w:pPr>
    </w:p>
    <w:p w14:paraId="6FFFA01A" w14:textId="7437FDCE" w:rsidR="004A6334" w:rsidRPr="00097A6E" w:rsidRDefault="00F40FD8" w:rsidP="000475A4">
      <w:pPr>
        <w:ind w:left="709" w:right="709"/>
        <w:jc w:val="both"/>
        <w:rPr>
          <w:rFonts w:ascii="Arial" w:hAnsi="Arial" w:cs="Arial"/>
          <w:color w:val="000000" w:themeColor="text1"/>
          <w:sz w:val="21"/>
          <w:szCs w:val="21"/>
          <w:lang w:val="es-ES_tradnl"/>
        </w:rPr>
      </w:pPr>
      <w:r w:rsidRPr="00097A6E">
        <w:rPr>
          <w:rFonts w:ascii="Arial" w:hAnsi="Arial" w:cs="Arial"/>
          <w:color w:val="000000" w:themeColor="text1"/>
          <w:sz w:val="21"/>
          <w:szCs w:val="21"/>
          <w:lang w:val="es-ES_tradnl"/>
        </w:rPr>
        <w:t>«</w:t>
      </w:r>
      <w:r w:rsidR="0013454B" w:rsidRPr="00097A6E">
        <w:rPr>
          <w:rFonts w:ascii="Arial" w:hAnsi="Arial" w:cs="Arial"/>
          <w:color w:val="000000" w:themeColor="text1"/>
          <w:sz w:val="21"/>
          <w:szCs w:val="21"/>
          <w:lang w:val="es-ES_tradnl"/>
        </w:rPr>
        <w:t xml:space="preserve">A la luz de la </w:t>
      </w:r>
      <w:r w:rsidR="00E05BC8" w:rsidRPr="00097A6E">
        <w:rPr>
          <w:rFonts w:ascii="Arial" w:hAnsi="Arial" w:cs="Arial"/>
          <w:color w:val="000000" w:themeColor="text1"/>
          <w:sz w:val="21"/>
          <w:szCs w:val="21"/>
          <w:lang w:val="es-ES_tradnl"/>
        </w:rPr>
        <w:t>Ley</w:t>
      </w:r>
      <w:r w:rsidR="0013454B" w:rsidRPr="00097A6E">
        <w:rPr>
          <w:rFonts w:ascii="Arial" w:hAnsi="Arial" w:cs="Arial"/>
          <w:color w:val="000000" w:themeColor="text1"/>
          <w:sz w:val="21"/>
          <w:szCs w:val="21"/>
          <w:lang w:val="es-ES_tradnl"/>
        </w:rPr>
        <w:t xml:space="preserve"> 996 </w:t>
      </w:r>
      <w:r w:rsidR="00E05BC8" w:rsidRPr="00097A6E">
        <w:rPr>
          <w:rFonts w:ascii="Arial" w:hAnsi="Arial" w:cs="Arial"/>
          <w:color w:val="000000" w:themeColor="text1"/>
          <w:sz w:val="21"/>
          <w:szCs w:val="21"/>
          <w:lang w:val="es-ES_tradnl"/>
        </w:rPr>
        <w:t>de</w:t>
      </w:r>
      <w:r w:rsidR="0013454B" w:rsidRPr="00097A6E">
        <w:rPr>
          <w:rFonts w:ascii="Arial" w:hAnsi="Arial" w:cs="Arial"/>
          <w:color w:val="000000" w:themeColor="text1"/>
          <w:sz w:val="21"/>
          <w:szCs w:val="21"/>
          <w:lang w:val="es-ES_tradnl"/>
        </w:rPr>
        <w:t xml:space="preserve"> 2005</w:t>
      </w:r>
      <w:r w:rsidR="00E05BC8" w:rsidRPr="00097A6E">
        <w:rPr>
          <w:rFonts w:ascii="Arial" w:hAnsi="Arial" w:cs="Arial"/>
          <w:color w:val="000000" w:themeColor="text1"/>
          <w:sz w:val="21"/>
          <w:szCs w:val="21"/>
          <w:lang w:val="es-ES_tradnl"/>
        </w:rPr>
        <w:t>, de garantías electorales</w:t>
      </w:r>
      <w:r w:rsidR="00BB6545" w:rsidRPr="00097A6E">
        <w:rPr>
          <w:rFonts w:ascii="Arial" w:hAnsi="Arial" w:cs="Arial"/>
          <w:color w:val="000000" w:themeColor="text1"/>
          <w:sz w:val="21"/>
          <w:szCs w:val="21"/>
          <w:lang w:val="es-ES_tradnl"/>
        </w:rPr>
        <w:t xml:space="preserve"> que no permite hacer convenios interadministrativo y contratar directamente, cuatro (4) meses contados</w:t>
      </w:r>
      <w:r w:rsidR="00CC0B5E" w:rsidRPr="00097A6E">
        <w:rPr>
          <w:rFonts w:ascii="Arial" w:hAnsi="Arial" w:cs="Arial"/>
          <w:color w:val="000000" w:themeColor="text1"/>
          <w:sz w:val="21"/>
          <w:szCs w:val="21"/>
          <w:lang w:val="es-ES_tradnl"/>
        </w:rPr>
        <w:t xml:space="preserve"> con anterioridad a la fecha de las elecciones de la primera vuelta, cuál sería la cuerda contractual para dar cumplimiento a un desacato, sin vulnerar la ley de Garantías electorales</w:t>
      </w:r>
      <w:r w:rsidR="008C732B" w:rsidRPr="00097A6E">
        <w:rPr>
          <w:rFonts w:ascii="Arial" w:hAnsi="Arial" w:cs="Arial"/>
          <w:color w:val="000000" w:themeColor="text1"/>
          <w:sz w:val="21"/>
          <w:szCs w:val="21"/>
          <w:lang w:val="es-ES_tradnl"/>
        </w:rPr>
        <w:t xml:space="preserve"> por parte de las entidades del estado en temas de contratación y transferencia de recursos?» (sic)</w:t>
      </w:r>
      <w:r w:rsidR="0063143E" w:rsidRPr="00097A6E">
        <w:rPr>
          <w:rFonts w:ascii="Arial" w:hAnsi="Arial" w:cs="Arial"/>
          <w:color w:val="000000" w:themeColor="text1"/>
          <w:sz w:val="21"/>
          <w:szCs w:val="21"/>
          <w:lang w:val="es-ES_tradnl"/>
        </w:rPr>
        <w:t>.</w:t>
      </w:r>
    </w:p>
    <w:p w14:paraId="7FBFEE03" w14:textId="6D32AF60" w:rsidR="00C17109" w:rsidRPr="00097A6E" w:rsidRDefault="00C17109" w:rsidP="00E965BC">
      <w:pPr>
        <w:jc w:val="both"/>
        <w:rPr>
          <w:rFonts w:ascii="Arial" w:hAnsi="Arial" w:cs="Arial"/>
          <w:color w:val="000000" w:themeColor="text1"/>
          <w:sz w:val="22"/>
          <w:lang w:val="es-ES_tradnl"/>
        </w:rPr>
      </w:pPr>
    </w:p>
    <w:p w14:paraId="4C7EEDFC" w14:textId="77777777" w:rsidR="00AE5700" w:rsidRPr="00097A6E" w:rsidRDefault="00AE5700" w:rsidP="00E965BC">
      <w:pPr>
        <w:jc w:val="both"/>
        <w:rPr>
          <w:rFonts w:ascii="Arial" w:hAnsi="Arial" w:cs="Arial"/>
          <w:color w:val="000000" w:themeColor="text1"/>
          <w:sz w:val="22"/>
          <w:lang w:val="es-ES_tradnl"/>
        </w:rPr>
      </w:pPr>
    </w:p>
    <w:p w14:paraId="4E86570E" w14:textId="77777777" w:rsidR="000A0DF7" w:rsidRPr="00097A6E" w:rsidRDefault="000A0DF7" w:rsidP="000A0DF7">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097A6E">
        <w:rPr>
          <w:rFonts w:ascii="Arial" w:eastAsia="Calibri" w:hAnsi="Arial" w:cs="Arial"/>
          <w:b/>
          <w:color w:val="000000" w:themeColor="text1"/>
          <w:sz w:val="22"/>
          <w:lang w:val="es-ES_tradnl"/>
        </w:rPr>
        <w:t>Consideraciones</w:t>
      </w:r>
    </w:p>
    <w:p w14:paraId="12C6986B" w14:textId="77777777" w:rsidR="000A0DF7" w:rsidRPr="00097A6E" w:rsidRDefault="000A0DF7" w:rsidP="000A0DF7">
      <w:pPr>
        <w:spacing w:line="276" w:lineRule="auto"/>
        <w:jc w:val="both"/>
        <w:rPr>
          <w:rFonts w:ascii="Arial" w:eastAsia="Calibri" w:hAnsi="Arial" w:cs="Arial"/>
          <w:color w:val="000000" w:themeColor="text1"/>
          <w:sz w:val="22"/>
          <w:szCs w:val="22"/>
          <w:lang w:val="es-ES_tradnl"/>
        </w:rPr>
      </w:pPr>
    </w:p>
    <w:p w14:paraId="5D29BB72" w14:textId="60D6E5F3" w:rsidR="004A2A99" w:rsidRPr="00097A6E" w:rsidRDefault="00AE534E" w:rsidP="000A0DF7">
      <w:pPr>
        <w:spacing w:line="276" w:lineRule="auto"/>
        <w:jc w:val="both"/>
        <w:rPr>
          <w:rFonts w:ascii="Arial" w:eastAsia="Calibri" w:hAnsi="Arial" w:cs="Arial"/>
          <w:color w:val="000000" w:themeColor="text1"/>
          <w:sz w:val="22"/>
          <w:szCs w:val="22"/>
          <w:lang w:val="es-ES_tradnl"/>
        </w:rPr>
      </w:pPr>
      <w:r w:rsidRPr="00097A6E">
        <w:rPr>
          <w:rFonts w:ascii="Arial" w:eastAsia="Calibri" w:hAnsi="Arial" w:cs="Arial"/>
          <w:color w:val="000000" w:themeColor="text1"/>
          <w:sz w:val="22"/>
          <w:szCs w:val="22"/>
          <w:lang w:val="es-ES_tradnl"/>
        </w:rPr>
        <w:t xml:space="preserve">Para responder la consulta, </w:t>
      </w:r>
      <w:r w:rsidR="007A4947" w:rsidRPr="00097A6E">
        <w:rPr>
          <w:rFonts w:ascii="Arial" w:eastAsia="Calibri" w:hAnsi="Arial" w:cs="Arial"/>
          <w:color w:val="000000" w:themeColor="text1"/>
          <w:sz w:val="22"/>
          <w:szCs w:val="22"/>
          <w:lang w:val="es-ES_tradnl"/>
        </w:rPr>
        <w:t>se analizarán</w:t>
      </w:r>
      <w:r w:rsidR="000A0DF7" w:rsidRPr="00097A6E">
        <w:rPr>
          <w:rFonts w:ascii="Arial" w:eastAsia="Calibri" w:hAnsi="Arial" w:cs="Arial"/>
          <w:color w:val="000000" w:themeColor="text1"/>
          <w:sz w:val="22"/>
          <w:szCs w:val="22"/>
          <w:lang w:val="es-ES_tradnl"/>
        </w:rPr>
        <w:t xml:space="preserve"> los</w:t>
      </w:r>
      <w:r w:rsidR="00EF44A6" w:rsidRPr="00097A6E">
        <w:rPr>
          <w:rFonts w:ascii="Arial" w:eastAsia="Calibri" w:hAnsi="Arial" w:cs="Arial"/>
          <w:color w:val="000000" w:themeColor="text1"/>
          <w:sz w:val="22"/>
          <w:szCs w:val="22"/>
          <w:lang w:val="es-ES_tradnl"/>
        </w:rPr>
        <w:t xml:space="preserve"> siguientes temas:</w:t>
      </w:r>
      <w:r w:rsidR="000A0DF7" w:rsidRPr="00097A6E">
        <w:rPr>
          <w:rFonts w:ascii="Arial" w:eastAsia="Calibri" w:hAnsi="Arial" w:cs="Arial"/>
          <w:color w:val="000000" w:themeColor="text1"/>
          <w:sz w:val="22"/>
          <w:szCs w:val="22"/>
          <w:lang w:val="es-ES_tradnl"/>
        </w:rPr>
        <w:t xml:space="preserve"> </w:t>
      </w:r>
      <w:r w:rsidR="00EF44A6" w:rsidRPr="00097A6E">
        <w:rPr>
          <w:rFonts w:ascii="Arial" w:eastAsia="Calibri" w:hAnsi="Arial" w:cs="Arial"/>
          <w:color w:val="000000" w:themeColor="text1"/>
          <w:sz w:val="22"/>
          <w:szCs w:val="22"/>
          <w:lang w:val="es-ES_tradnl"/>
        </w:rPr>
        <w:t xml:space="preserve">i) </w:t>
      </w:r>
      <w:r w:rsidR="00FC3830" w:rsidRPr="00097A6E">
        <w:rPr>
          <w:rFonts w:ascii="Arial" w:eastAsia="Calibri" w:hAnsi="Arial" w:cs="Arial"/>
          <w:color w:val="000000" w:themeColor="text1"/>
          <w:sz w:val="22"/>
          <w:szCs w:val="22"/>
          <w:lang w:val="es-ES_tradnl"/>
        </w:rPr>
        <w:t xml:space="preserve">alcance de las </w:t>
      </w:r>
      <w:r w:rsidR="00EE2295" w:rsidRPr="00097A6E">
        <w:rPr>
          <w:rFonts w:ascii="Arial" w:eastAsia="Calibri" w:hAnsi="Arial" w:cs="Arial"/>
          <w:color w:val="000000" w:themeColor="text1"/>
          <w:sz w:val="22"/>
          <w:szCs w:val="22"/>
          <w:lang w:val="es-ES_tradnl"/>
        </w:rPr>
        <w:t>restricciones establecidas en</w:t>
      </w:r>
      <w:r w:rsidR="008B1475" w:rsidRPr="00097A6E">
        <w:rPr>
          <w:rFonts w:ascii="Arial" w:eastAsia="Calibri" w:hAnsi="Arial" w:cs="Arial"/>
          <w:color w:val="000000" w:themeColor="text1"/>
          <w:sz w:val="22"/>
          <w:szCs w:val="22"/>
          <w:lang w:val="es-ES_tradnl"/>
        </w:rPr>
        <w:t xml:space="preserve"> la Ley</w:t>
      </w:r>
      <w:r w:rsidR="00EE2295" w:rsidRPr="00097A6E">
        <w:rPr>
          <w:rFonts w:ascii="Arial" w:eastAsia="Calibri" w:hAnsi="Arial" w:cs="Arial"/>
          <w:color w:val="000000" w:themeColor="text1"/>
          <w:sz w:val="22"/>
          <w:szCs w:val="22"/>
          <w:lang w:val="es-ES_tradnl"/>
        </w:rPr>
        <w:t xml:space="preserve"> 996 de 2005</w:t>
      </w:r>
      <w:r w:rsidR="008B1475" w:rsidRPr="00097A6E">
        <w:rPr>
          <w:rFonts w:ascii="Arial" w:eastAsia="Calibri" w:hAnsi="Arial" w:cs="Arial"/>
          <w:color w:val="000000" w:themeColor="text1"/>
          <w:sz w:val="22"/>
          <w:szCs w:val="22"/>
          <w:lang w:val="es-ES_tradnl"/>
        </w:rPr>
        <w:t xml:space="preserve"> </w:t>
      </w:r>
      <w:r w:rsidR="00EE2295" w:rsidRPr="00097A6E">
        <w:rPr>
          <w:rFonts w:ascii="Arial" w:eastAsia="Calibri" w:hAnsi="Arial" w:cs="Arial"/>
          <w:color w:val="000000" w:themeColor="text1"/>
          <w:sz w:val="22"/>
          <w:szCs w:val="22"/>
          <w:lang w:val="es-ES_tradnl"/>
        </w:rPr>
        <w:t xml:space="preserve">–más conocida </w:t>
      </w:r>
      <w:r w:rsidR="00025E0C" w:rsidRPr="00097A6E">
        <w:rPr>
          <w:rFonts w:ascii="Arial" w:eastAsia="Calibri" w:hAnsi="Arial" w:cs="Arial"/>
          <w:color w:val="000000" w:themeColor="text1"/>
          <w:sz w:val="22"/>
          <w:szCs w:val="22"/>
          <w:lang w:val="es-ES_tradnl"/>
        </w:rPr>
        <w:t xml:space="preserve">como </w:t>
      </w:r>
      <w:r w:rsidR="002D57DB" w:rsidRPr="00097A6E">
        <w:rPr>
          <w:rFonts w:ascii="Arial" w:eastAsia="Calibri" w:hAnsi="Arial" w:cs="Arial"/>
          <w:color w:val="000000" w:themeColor="text1"/>
          <w:sz w:val="22"/>
          <w:szCs w:val="22"/>
          <w:lang w:val="es-ES_tradnl"/>
        </w:rPr>
        <w:t>«</w:t>
      </w:r>
      <w:r w:rsidR="004A2A99" w:rsidRPr="00097A6E">
        <w:rPr>
          <w:rFonts w:ascii="Arial" w:eastAsia="Calibri" w:hAnsi="Arial" w:cs="Arial"/>
          <w:color w:val="000000" w:themeColor="text1"/>
          <w:sz w:val="22"/>
          <w:szCs w:val="22"/>
          <w:lang w:val="es-ES_tradnl"/>
        </w:rPr>
        <w:t xml:space="preserve">Ley </w:t>
      </w:r>
      <w:r w:rsidR="008B1475" w:rsidRPr="00097A6E">
        <w:rPr>
          <w:rFonts w:ascii="Arial" w:eastAsia="Calibri" w:hAnsi="Arial" w:cs="Arial"/>
          <w:color w:val="000000" w:themeColor="text1"/>
          <w:sz w:val="22"/>
          <w:szCs w:val="22"/>
          <w:lang w:val="es-ES_tradnl"/>
        </w:rPr>
        <w:t>de Garantías Electorales</w:t>
      </w:r>
      <w:r w:rsidR="002D57DB" w:rsidRPr="00097A6E">
        <w:rPr>
          <w:rFonts w:ascii="Arial" w:eastAsia="Calibri" w:hAnsi="Arial" w:cs="Arial"/>
          <w:color w:val="000000" w:themeColor="text1"/>
          <w:sz w:val="22"/>
          <w:szCs w:val="22"/>
          <w:lang w:val="es-ES_tradnl"/>
        </w:rPr>
        <w:t>»</w:t>
      </w:r>
      <w:r w:rsidR="004A2A99" w:rsidRPr="00097A6E">
        <w:rPr>
          <w:rFonts w:ascii="Arial" w:eastAsia="Calibri" w:hAnsi="Arial" w:cs="Arial"/>
          <w:color w:val="000000" w:themeColor="text1"/>
          <w:sz w:val="22"/>
          <w:szCs w:val="22"/>
          <w:lang w:val="es-ES_tradnl"/>
        </w:rPr>
        <w:t>–, ii)</w:t>
      </w:r>
      <w:r w:rsidR="00A12DED" w:rsidRPr="00097A6E">
        <w:rPr>
          <w:rFonts w:ascii="Arial" w:eastAsia="Calibri" w:hAnsi="Arial" w:cs="Arial"/>
          <w:color w:val="000000" w:themeColor="text1"/>
          <w:sz w:val="22"/>
          <w:szCs w:val="22"/>
          <w:lang w:val="es-ES_tradnl"/>
        </w:rPr>
        <w:t xml:space="preserve"> restricciones especiales aplicables</w:t>
      </w:r>
      <w:r w:rsidR="001251F7" w:rsidRPr="00097A6E">
        <w:rPr>
          <w:rFonts w:ascii="Arial" w:eastAsia="Calibri" w:hAnsi="Arial" w:cs="Arial"/>
          <w:color w:val="000000" w:themeColor="text1"/>
          <w:sz w:val="22"/>
          <w:szCs w:val="22"/>
          <w:lang w:val="es-ES_tradnl"/>
        </w:rPr>
        <w:t xml:space="preserve"> </w:t>
      </w:r>
      <w:r w:rsidR="009312BE" w:rsidRPr="00097A6E">
        <w:rPr>
          <w:rFonts w:ascii="Arial" w:eastAsia="Calibri" w:hAnsi="Arial" w:cs="Arial"/>
          <w:color w:val="000000" w:themeColor="text1"/>
          <w:sz w:val="22"/>
          <w:szCs w:val="22"/>
          <w:lang w:val="es-ES_tradnl"/>
        </w:rPr>
        <w:t>de cara a</w:t>
      </w:r>
      <w:r w:rsidR="001251F7" w:rsidRPr="00097A6E">
        <w:rPr>
          <w:rFonts w:ascii="Arial" w:eastAsia="Calibri" w:hAnsi="Arial" w:cs="Arial"/>
          <w:color w:val="000000" w:themeColor="text1"/>
          <w:sz w:val="22"/>
          <w:szCs w:val="22"/>
          <w:lang w:val="es-ES_tradnl"/>
        </w:rPr>
        <w:t xml:space="preserve"> las</w:t>
      </w:r>
      <w:r w:rsidR="00A12DED" w:rsidRPr="00097A6E">
        <w:rPr>
          <w:rFonts w:ascii="Arial" w:eastAsia="Calibri" w:hAnsi="Arial" w:cs="Arial"/>
          <w:color w:val="000000" w:themeColor="text1"/>
          <w:sz w:val="22"/>
          <w:szCs w:val="22"/>
          <w:lang w:val="es-ES_tradnl"/>
        </w:rPr>
        <w:t xml:space="preserve"> elecciones presidenciales</w:t>
      </w:r>
      <w:r w:rsidR="00420AFE" w:rsidRPr="00097A6E">
        <w:rPr>
          <w:rFonts w:ascii="Arial" w:eastAsia="Calibri" w:hAnsi="Arial" w:cs="Arial"/>
          <w:color w:val="000000" w:themeColor="text1"/>
          <w:sz w:val="22"/>
          <w:szCs w:val="22"/>
          <w:lang w:val="es-ES_tradnl"/>
        </w:rPr>
        <w:t xml:space="preserve"> y </w:t>
      </w:r>
      <w:r w:rsidR="001251F7" w:rsidRPr="00097A6E">
        <w:rPr>
          <w:rFonts w:ascii="Arial" w:eastAsia="Calibri" w:hAnsi="Arial" w:cs="Arial"/>
          <w:color w:val="000000" w:themeColor="text1"/>
          <w:sz w:val="22"/>
          <w:szCs w:val="22"/>
          <w:lang w:val="es-ES_tradnl"/>
        </w:rPr>
        <w:t xml:space="preserve">iii) </w:t>
      </w:r>
      <w:r w:rsidR="001251F7" w:rsidRPr="00097A6E">
        <w:rPr>
          <w:rFonts w:ascii="Arial" w:hAnsi="Arial" w:cs="Arial"/>
          <w:sz w:val="22"/>
          <w:szCs w:val="22"/>
          <w:lang w:val="es-ES_tradnl" w:eastAsia="es-CO"/>
        </w:rPr>
        <w:t>restricciones para la celebración de contratos y convenios interadministrativos en los comicios de cargos de elección popular</w:t>
      </w:r>
      <w:r w:rsidR="00420AFE" w:rsidRPr="00097A6E">
        <w:rPr>
          <w:rFonts w:ascii="Arial" w:hAnsi="Arial" w:cs="Arial"/>
          <w:sz w:val="22"/>
          <w:szCs w:val="22"/>
          <w:lang w:val="es-ES_tradnl" w:eastAsia="es-CO"/>
        </w:rPr>
        <w:t>.</w:t>
      </w:r>
    </w:p>
    <w:p w14:paraId="5623771A" w14:textId="7EE45A18" w:rsidR="0081166C" w:rsidRPr="00097A6E" w:rsidRDefault="000A0DF7" w:rsidP="003E006D">
      <w:pPr>
        <w:spacing w:before="120" w:line="276" w:lineRule="auto"/>
        <w:ind w:firstLine="709"/>
        <w:jc w:val="both"/>
        <w:rPr>
          <w:rFonts w:ascii="Arial" w:eastAsia="Calibri" w:hAnsi="Arial" w:cs="Arial"/>
          <w:sz w:val="22"/>
          <w:lang w:val="es-ES_tradnl"/>
        </w:rPr>
      </w:pPr>
      <w:r w:rsidRPr="00097A6E">
        <w:rPr>
          <w:rFonts w:ascii="Arial" w:eastAsia="Calibri" w:hAnsi="Arial" w:cs="Arial"/>
          <w:sz w:val="22"/>
          <w:lang w:val="es-ES_tradnl"/>
        </w:rPr>
        <w:t xml:space="preserve">Esta Agencia se ha pronunciado en diferentes ocasiones sobre la Ley de Garantías Electorales, entre otros, en los </w:t>
      </w:r>
      <w:r w:rsidR="0095025D" w:rsidRPr="00097A6E">
        <w:rPr>
          <w:rFonts w:ascii="Arial" w:eastAsia="Calibri" w:hAnsi="Arial" w:cs="Arial"/>
          <w:sz w:val="22"/>
          <w:lang w:val="es-ES_tradnl"/>
        </w:rPr>
        <w:t>c</w:t>
      </w:r>
      <w:r w:rsidRPr="00097A6E">
        <w:rPr>
          <w:rFonts w:ascii="Arial" w:eastAsia="Calibri" w:hAnsi="Arial" w:cs="Arial"/>
          <w:sz w:val="22"/>
          <w:lang w:val="es-ES_tradnl"/>
        </w:rPr>
        <w:t>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C-429 del 27 de agosto de 2021, C-456 del 3 de septiembre, C-481 del 9 de septiembre de 2021, C- 528 del 27 de septiembre de 2021, C-550 del 5 de octubre de 2021,  C-523 del 10 de octubre de 2021, C-614 del 2 de noviembre de 2021</w:t>
      </w:r>
      <w:r w:rsidR="009312BE" w:rsidRPr="00097A6E">
        <w:rPr>
          <w:rFonts w:ascii="Arial" w:eastAsia="Calibri" w:hAnsi="Arial" w:cs="Arial"/>
          <w:sz w:val="22"/>
          <w:lang w:val="es-ES_tradnl"/>
        </w:rPr>
        <w:t xml:space="preserve">, </w:t>
      </w:r>
      <w:r w:rsidRPr="00097A6E">
        <w:rPr>
          <w:rFonts w:ascii="Arial" w:eastAsia="Calibri" w:hAnsi="Arial" w:cs="Arial"/>
          <w:sz w:val="22"/>
          <w:lang w:val="es-ES_tradnl"/>
        </w:rPr>
        <w:t>C-543 del 11 de noviembre de 2021</w:t>
      </w:r>
      <w:r w:rsidR="00CA0CBA" w:rsidRPr="00097A6E">
        <w:rPr>
          <w:rFonts w:ascii="Arial" w:eastAsia="Calibri" w:hAnsi="Arial" w:cs="Arial"/>
          <w:sz w:val="22"/>
          <w:lang w:val="es-ES_tradnl"/>
        </w:rPr>
        <w:t xml:space="preserve">, </w:t>
      </w:r>
      <w:r w:rsidR="009312BE" w:rsidRPr="00097A6E">
        <w:rPr>
          <w:rFonts w:ascii="Arial" w:eastAsia="Calibri" w:hAnsi="Arial" w:cs="Arial"/>
          <w:sz w:val="22"/>
          <w:lang w:val="es-ES_tradnl"/>
        </w:rPr>
        <w:t>C-</w:t>
      </w:r>
      <w:r w:rsidR="0043676B" w:rsidRPr="00097A6E">
        <w:rPr>
          <w:rFonts w:ascii="Arial" w:eastAsia="Calibri" w:hAnsi="Arial" w:cs="Arial"/>
          <w:sz w:val="22"/>
          <w:lang w:val="es-ES_tradnl"/>
        </w:rPr>
        <w:t>633 del 11 de noviembre de 2021</w:t>
      </w:r>
      <w:r w:rsidR="00304200" w:rsidRPr="00097A6E">
        <w:rPr>
          <w:rFonts w:ascii="Arial" w:eastAsia="Calibri" w:hAnsi="Arial" w:cs="Arial"/>
          <w:sz w:val="22"/>
          <w:lang w:val="es-ES_tradnl"/>
        </w:rPr>
        <w:t xml:space="preserve">, </w:t>
      </w:r>
      <w:r w:rsidR="00CA0CBA" w:rsidRPr="00097A6E">
        <w:rPr>
          <w:rFonts w:ascii="Arial" w:eastAsia="Calibri" w:hAnsi="Arial" w:cs="Arial"/>
          <w:sz w:val="22"/>
          <w:lang w:val="es-ES_tradnl"/>
        </w:rPr>
        <w:t>C-</w:t>
      </w:r>
      <w:r w:rsidR="001F6F17" w:rsidRPr="00097A6E">
        <w:rPr>
          <w:rFonts w:ascii="Arial" w:eastAsia="Calibri" w:hAnsi="Arial" w:cs="Arial"/>
          <w:sz w:val="22"/>
          <w:lang w:val="es-ES_tradnl"/>
        </w:rPr>
        <w:t>592</w:t>
      </w:r>
      <w:r w:rsidR="00917258" w:rsidRPr="00097A6E">
        <w:rPr>
          <w:rFonts w:ascii="Arial" w:eastAsia="Calibri" w:hAnsi="Arial" w:cs="Arial"/>
          <w:sz w:val="22"/>
          <w:lang w:val="es-ES_tradnl"/>
        </w:rPr>
        <w:t xml:space="preserve"> de</w:t>
      </w:r>
      <w:r w:rsidR="005A7209" w:rsidRPr="00097A6E">
        <w:rPr>
          <w:rFonts w:ascii="Arial" w:eastAsia="Calibri" w:hAnsi="Arial" w:cs="Arial"/>
          <w:sz w:val="22"/>
          <w:lang w:val="es-ES_tradnl"/>
        </w:rPr>
        <w:t>l 7 de diciembre</w:t>
      </w:r>
      <w:r w:rsidR="00917258" w:rsidRPr="00097A6E">
        <w:rPr>
          <w:rFonts w:ascii="Arial" w:eastAsia="Calibri" w:hAnsi="Arial" w:cs="Arial"/>
          <w:sz w:val="22"/>
          <w:lang w:val="es-ES_tradnl"/>
        </w:rPr>
        <w:t xml:space="preserve"> de 2021</w:t>
      </w:r>
      <w:r w:rsidR="00304200" w:rsidRPr="00097A6E">
        <w:rPr>
          <w:rFonts w:ascii="Arial" w:eastAsia="Calibri" w:hAnsi="Arial" w:cs="Arial"/>
          <w:sz w:val="22"/>
          <w:lang w:val="es-ES_tradnl"/>
        </w:rPr>
        <w:t xml:space="preserve"> y </w:t>
      </w:r>
      <w:r w:rsidR="00804C3F" w:rsidRPr="00097A6E">
        <w:rPr>
          <w:rFonts w:ascii="Arial" w:eastAsia="Calibri" w:hAnsi="Arial" w:cs="Arial"/>
          <w:sz w:val="22"/>
          <w:lang w:val="es-ES_tradnl"/>
        </w:rPr>
        <w:t xml:space="preserve">C-702 del </w:t>
      </w:r>
      <w:r w:rsidR="0081166C" w:rsidRPr="00097A6E">
        <w:rPr>
          <w:rFonts w:ascii="Arial" w:eastAsia="Calibri" w:hAnsi="Arial" w:cs="Arial"/>
          <w:sz w:val="22"/>
          <w:lang w:val="es-ES_tradnl"/>
        </w:rPr>
        <w:t>7 de enero de 2022</w:t>
      </w:r>
      <w:r w:rsidRPr="00097A6E">
        <w:rPr>
          <w:rFonts w:ascii="Arial" w:eastAsia="Calibri" w:hAnsi="Arial" w:cs="Arial"/>
          <w:sz w:val="22"/>
          <w:lang w:val="es-ES_tradnl"/>
        </w:rPr>
        <w:t>.</w:t>
      </w:r>
      <w:r w:rsidR="003E006D" w:rsidRPr="00097A6E">
        <w:rPr>
          <w:rFonts w:ascii="Arial" w:eastAsia="Calibri" w:hAnsi="Arial" w:cs="Arial"/>
          <w:sz w:val="22"/>
          <w:lang w:val="es-ES_tradnl"/>
        </w:rPr>
        <w:t xml:space="preserve"> </w:t>
      </w:r>
      <w:r w:rsidR="00E228EE" w:rsidRPr="00097A6E">
        <w:rPr>
          <w:rFonts w:ascii="Arial" w:eastAsia="Calibri" w:hAnsi="Arial" w:cs="Arial"/>
          <w:sz w:val="22"/>
          <w:lang w:val="es-ES_tradnl"/>
        </w:rPr>
        <w:t>Dichos conceptos serán reiterados y complementados, en lo pertinente.</w:t>
      </w:r>
    </w:p>
    <w:p w14:paraId="3797D7CA" w14:textId="39F162C1" w:rsidR="00094121" w:rsidRPr="00097A6E" w:rsidRDefault="00F45612" w:rsidP="00B36114">
      <w:pPr>
        <w:spacing w:before="120" w:line="276" w:lineRule="auto"/>
        <w:ind w:firstLine="709"/>
        <w:jc w:val="both"/>
        <w:rPr>
          <w:rFonts w:ascii="Arial" w:eastAsia="Calibri" w:hAnsi="Arial" w:cs="Arial"/>
          <w:color w:val="000000" w:themeColor="text1"/>
          <w:sz w:val="22"/>
          <w:lang w:val="es-ES_tradnl"/>
        </w:rPr>
      </w:pPr>
      <w:r w:rsidRPr="00097A6E">
        <w:rPr>
          <w:rFonts w:ascii="Arial" w:eastAsia="Calibri" w:hAnsi="Arial" w:cs="Arial"/>
          <w:color w:val="000000" w:themeColor="text1"/>
          <w:sz w:val="22"/>
          <w:lang w:val="es-ES_tradnl"/>
        </w:rPr>
        <w:t>Antes de comenzar, como lo indicó la Agencia</w:t>
      </w:r>
      <w:r w:rsidR="00900890" w:rsidRPr="00097A6E">
        <w:rPr>
          <w:rFonts w:ascii="Arial" w:eastAsia="Calibri" w:hAnsi="Arial" w:cs="Arial"/>
          <w:color w:val="000000" w:themeColor="text1"/>
          <w:sz w:val="22"/>
          <w:lang w:val="es-ES_tradnl"/>
        </w:rPr>
        <w:t xml:space="preserve"> en el informe a la opinión pública del 11 de noviembre del </w:t>
      </w:r>
      <w:r w:rsidR="00A074D6" w:rsidRPr="00097A6E">
        <w:rPr>
          <w:rFonts w:ascii="Arial" w:eastAsia="Calibri" w:hAnsi="Arial" w:cs="Arial"/>
          <w:color w:val="000000" w:themeColor="text1"/>
          <w:sz w:val="22"/>
          <w:lang w:val="es-ES_tradnl"/>
        </w:rPr>
        <w:t>2021</w:t>
      </w:r>
      <w:r w:rsidR="00900890" w:rsidRPr="00097A6E">
        <w:rPr>
          <w:rStyle w:val="Refdenotaalpie"/>
          <w:rFonts w:ascii="Arial" w:eastAsia="Calibri" w:hAnsi="Arial" w:cs="Arial"/>
          <w:color w:val="000000" w:themeColor="text1"/>
          <w:sz w:val="22"/>
          <w:lang w:val="es-ES_tradnl"/>
        </w:rPr>
        <w:footnoteReference w:id="2"/>
      </w:r>
      <w:r w:rsidR="00C332AD" w:rsidRPr="00097A6E">
        <w:rPr>
          <w:rFonts w:ascii="Arial" w:eastAsia="Calibri" w:hAnsi="Arial" w:cs="Arial"/>
          <w:color w:val="000000" w:themeColor="text1"/>
          <w:sz w:val="22"/>
          <w:lang w:val="es-ES_tradnl"/>
        </w:rPr>
        <w:t xml:space="preserve">, se aclara que, </w:t>
      </w:r>
      <w:r w:rsidR="00376182" w:rsidRPr="00097A6E">
        <w:rPr>
          <w:rFonts w:ascii="Arial" w:eastAsia="Calibri" w:hAnsi="Arial" w:cs="Arial"/>
          <w:color w:val="000000" w:themeColor="text1"/>
          <w:sz w:val="22"/>
          <w:lang w:val="es-ES_tradnl"/>
        </w:rPr>
        <w:t>a pesar de la expedición de</w:t>
      </w:r>
      <w:r w:rsidR="009D5CFD" w:rsidRPr="00097A6E">
        <w:rPr>
          <w:rFonts w:ascii="Arial" w:eastAsia="Calibri" w:hAnsi="Arial" w:cs="Arial"/>
          <w:color w:val="000000" w:themeColor="text1"/>
          <w:sz w:val="22"/>
          <w:lang w:val="es-ES_tradnl"/>
        </w:rPr>
        <w:t xml:space="preserve"> la Ley </w:t>
      </w:r>
      <w:r w:rsidR="005D577C" w:rsidRPr="00097A6E">
        <w:rPr>
          <w:rFonts w:ascii="Arial" w:eastAsia="Calibri" w:hAnsi="Arial" w:cs="Arial"/>
          <w:color w:val="000000" w:themeColor="text1"/>
          <w:sz w:val="22"/>
          <w:lang w:val="es-ES_tradnl"/>
        </w:rPr>
        <w:t>2159 de 2021</w:t>
      </w:r>
      <w:r w:rsidR="001C702D" w:rsidRPr="00097A6E">
        <w:rPr>
          <w:rStyle w:val="Refdenotaalpie"/>
          <w:rFonts w:ascii="Arial" w:eastAsia="Calibri" w:hAnsi="Arial" w:cs="Arial"/>
          <w:color w:val="000000" w:themeColor="text1"/>
          <w:sz w:val="22"/>
          <w:lang w:val="es-ES_tradnl"/>
        </w:rPr>
        <w:footnoteReference w:id="3"/>
      </w:r>
      <w:r w:rsidR="005D577C" w:rsidRPr="00097A6E">
        <w:rPr>
          <w:rFonts w:ascii="Arial" w:eastAsia="Calibri" w:hAnsi="Arial" w:cs="Arial"/>
          <w:color w:val="000000" w:themeColor="text1"/>
          <w:sz w:val="22"/>
          <w:lang w:val="es-ES_tradnl"/>
        </w:rPr>
        <w:t xml:space="preserve">, </w:t>
      </w:r>
      <w:r w:rsidR="005D577C" w:rsidRPr="00097A6E">
        <w:rPr>
          <w:rFonts w:ascii="Arial" w:eastAsia="Calibri" w:hAnsi="Arial" w:cs="Arial"/>
          <w:color w:val="000000" w:themeColor="text1"/>
          <w:sz w:val="22"/>
          <w:lang w:val="es-ES_tradnl"/>
        </w:rPr>
        <w:lastRenderedPageBreak/>
        <w:t xml:space="preserve">«Con ocasión de la Sentencia de Tutela proferida por el Juez Tercero Administrativo de Bogotá el 9 de noviembre de 2021 en el expediente 11001-33-34-003-2021-00354-00, </w:t>
      </w:r>
      <w:r w:rsidR="00770690" w:rsidRPr="00097A6E">
        <w:rPr>
          <w:rFonts w:ascii="Arial" w:eastAsia="Calibri" w:hAnsi="Arial" w:cs="Arial"/>
          <w:color w:val="000000" w:themeColor="text1"/>
          <w:sz w:val="22"/>
          <w:lang w:val="es-ES_tradnl"/>
        </w:rPr>
        <w:t>se ordenó</w:t>
      </w:r>
      <w:r w:rsidR="005D577C" w:rsidRPr="00097A6E">
        <w:rPr>
          <w:rFonts w:ascii="Arial" w:eastAsia="Calibri" w:hAnsi="Arial" w:cs="Arial"/>
          <w:color w:val="000000" w:themeColor="text1"/>
          <w:sz w:val="22"/>
          <w:lang w:val="es-ES_tradnl"/>
        </w:rPr>
        <w:t xml:space="preserve"> «[...] al presidente de la república y a los representantes legales de las entidades del orden nacional y del sector descentralizado territorialmente, abstenerse de dar aplicación a la modificación realizada al parágrafo 38 de la Ley 996 de 2005»</w:t>
      </w:r>
      <w:r w:rsidR="00B36114" w:rsidRPr="00097A6E">
        <w:rPr>
          <w:rStyle w:val="Refdenotaalpie"/>
          <w:rFonts w:ascii="Arial" w:eastAsia="Calibri" w:hAnsi="Arial" w:cs="Arial"/>
          <w:color w:val="000000" w:themeColor="text1"/>
          <w:sz w:val="22"/>
          <w:lang w:val="es-ES_tradnl"/>
        </w:rPr>
        <w:footnoteReference w:id="4"/>
      </w:r>
      <w:r w:rsidR="005D577C" w:rsidRPr="00097A6E">
        <w:rPr>
          <w:rFonts w:ascii="Arial" w:eastAsia="Calibri" w:hAnsi="Arial" w:cs="Arial"/>
          <w:color w:val="000000" w:themeColor="text1"/>
          <w:sz w:val="22"/>
          <w:lang w:val="es-ES_tradnl"/>
        </w:rPr>
        <w:t>.</w:t>
      </w:r>
      <w:r w:rsidR="00B36114" w:rsidRPr="00097A6E">
        <w:rPr>
          <w:rFonts w:ascii="Arial" w:eastAsia="Calibri" w:hAnsi="Arial" w:cs="Arial"/>
          <w:color w:val="000000" w:themeColor="text1"/>
          <w:sz w:val="22"/>
          <w:lang w:val="es-ES_tradnl"/>
        </w:rPr>
        <w:t xml:space="preserve"> Por ende, </w:t>
      </w:r>
      <w:r w:rsidR="00555D01" w:rsidRPr="00097A6E">
        <w:rPr>
          <w:rFonts w:ascii="Arial" w:eastAsia="Calibri" w:hAnsi="Arial" w:cs="Arial"/>
          <w:color w:val="000000" w:themeColor="text1"/>
          <w:sz w:val="22"/>
          <w:lang w:val="es-ES_tradnl"/>
        </w:rPr>
        <w:t xml:space="preserve">la Agencia expresó que </w:t>
      </w:r>
      <w:r w:rsidR="00B36114" w:rsidRPr="00097A6E">
        <w:rPr>
          <w:rFonts w:ascii="Arial" w:eastAsia="Calibri" w:hAnsi="Arial" w:cs="Arial"/>
          <w:color w:val="000000" w:themeColor="text1"/>
          <w:sz w:val="22"/>
          <w:lang w:val="es-ES_tradnl"/>
        </w:rPr>
        <w:t>«cada entidad destinataria de la orden determinará su alcance, precisando si la restricción del parágrafo del artículo 38 de la Ley 996 de 2005 debe aplicarse en los términos del contenido original de la Ley de Garantías Electorales»</w:t>
      </w:r>
      <w:r w:rsidR="004D5ED1" w:rsidRPr="00097A6E">
        <w:rPr>
          <w:rStyle w:val="Refdenotaalpie"/>
          <w:rFonts w:ascii="Arial" w:eastAsia="Calibri" w:hAnsi="Arial" w:cs="Arial"/>
          <w:color w:val="000000" w:themeColor="text1"/>
          <w:sz w:val="22"/>
          <w:lang w:val="es-ES_tradnl"/>
        </w:rPr>
        <w:footnoteReference w:id="5"/>
      </w:r>
      <w:r w:rsidR="00B36114" w:rsidRPr="00097A6E">
        <w:rPr>
          <w:rFonts w:ascii="Arial" w:eastAsia="Calibri" w:hAnsi="Arial" w:cs="Arial"/>
          <w:color w:val="000000" w:themeColor="text1"/>
          <w:sz w:val="22"/>
          <w:lang w:val="es-ES_tradnl"/>
        </w:rPr>
        <w:t>.</w:t>
      </w:r>
      <w:r w:rsidR="00850C6C" w:rsidRPr="00097A6E">
        <w:rPr>
          <w:rFonts w:ascii="Arial" w:eastAsia="Calibri" w:hAnsi="Arial" w:cs="Arial"/>
          <w:color w:val="000000" w:themeColor="text1"/>
          <w:sz w:val="22"/>
          <w:lang w:val="es-ES_tradnl"/>
        </w:rPr>
        <w:t xml:space="preserve"> </w:t>
      </w:r>
    </w:p>
    <w:p w14:paraId="08F91222" w14:textId="23FC1550" w:rsidR="00094121" w:rsidRPr="00097A6E" w:rsidRDefault="005A7209" w:rsidP="00B36114">
      <w:pPr>
        <w:spacing w:before="120" w:line="276" w:lineRule="auto"/>
        <w:ind w:firstLine="709"/>
        <w:jc w:val="both"/>
        <w:rPr>
          <w:rFonts w:ascii="Arial" w:eastAsia="Calibri" w:hAnsi="Arial" w:cs="Arial"/>
          <w:color w:val="000000" w:themeColor="text1"/>
          <w:sz w:val="22"/>
          <w:lang w:val="es-ES_tradnl"/>
        </w:rPr>
      </w:pPr>
      <w:r w:rsidRPr="00097A6E">
        <w:rPr>
          <w:rFonts w:ascii="Arial" w:eastAsia="Calibri" w:hAnsi="Arial" w:cs="Arial"/>
          <w:color w:val="000000" w:themeColor="text1"/>
          <w:sz w:val="22"/>
          <w:lang w:val="es-ES_tradnl"/>
        </w:rPr>
        <w:t>No obstante</w:t>
      </w:r>
      <w:r w:rsidR="002B3043" w:rsidRPr="00097A6E">
        <w:rPr>
          <w:rFonts w:ascii="Arial" w:eastAsia="Calibri" w:hAnsi="Arial" w:cs="Arial"/>
          <w:color w:val="000000" w:themeColor="text1"/>
          <w:sz w:val="22"/>
          <w:lang w:val="es-ES_tradnl"/>
        </w:rPr>
        <w:t>,</w:t>
      </w:r>
      <w:r w:rsidR="00962980" w:rsidRPr="00097A6E">
        <w:rPr>
          <w:rFonts w:ascii="Arial" w:eastAsia="Calibri" w:hAnsi="Arial" w:cs="Arial"/>
          <w:color w:val="000000" w:themeColor="text1"/>
          <w:sz w:val="22"/>
          <w:lang w:val="es-ES_tradnl"/>
        </w:rPr>
        <w:t xml:space="preserve"> </w:t>
      </w:r>
      <w:r w:rsidR="002B3043" w:rsidRPr="00097A6E">
        <w:rPr>
          <w:rFonts w:ascii="Arial" w:eastAsia="Calibri" w:hAnsi="Arial" w:cs="Arial"/>
          <w:color w:val="000000" w:themeColor="text1"/>
          <w:sz w:val="22"/>
          <w:lang w:val="es-ES_tradnl"/>
        </w:rPr>
        <w:t>e</w:t>
      </w:r>
      <w:r w:rsidR="00094121" w:rsidRPr="00097A6E">
        <w:rPr>
          <w:rFonts w:ascii="Arial" w:eastAsia="Calibri" w:hAnsi="Arial" w:cs="Arial"/>
          <w:color w:val="000000" w:themeColor="text1"/>
          <w:sz w:val="22"/>
          <w:lang w:val="es-ES_tradnl"/>
        </w:rPr>
        <w:t xml:space="preserve">l Tribunal Administrativo de Cundinamarca, </w:t>
      </w:r>
      <w:r w:rsidR="006A21BC" w:rsidRPr="00097A6E">
        <w:rPr>
          <w:rFonts w:ascii="Arial" w:eastAsia="Calibri" w:hAnsi="Arial" w:cs="Arial"/>
          <w:color w:val="000000" w:themeColor="text1"/>
          <w:sz w:val="22"/>
          <w:lang w:val="es-ES_tradnl"/>
        </w:rPr>
        <w:t>m</w:t>
      </w:r>
      <w:r w:rsidR="002B3043" w:rsidRPr="00097A6E">
        <w:rPr>
          <w:rFonts w:ascii="Arial" w:eastAsia="Calibri" w:hAnsi="Arial" w:cs="Arial"/>
          <w:color w:val="000000" w:themeColor="text1"/>
          <w:sz w:val="22"/>
          <w:lang w:val="es-ES_tradnl"/>
        </w:rPr>
        <w:t xml:space="preserve">ediante providencia del 29 de noviembre de 2021, decretó la nulidad de todo lo actuado en el trámite de la acción de tutela </w:t>
      </w:r>
      <w:r w:rsidR="005476A5" w:rsidRPr="00097A6E">
        <w:rPr>
          <w:rFonts w:ascii="Arial" w:eastAsia="Calibri" w:hAnsi="Arial" w:cs="Arial"/>
          <w:color w:val="000000" w:themeColor="text1"/>
          <w:sz w:val="22"/>
          <w:lang w:val="es-ES_tradnl"/>
        </w:rPr>
        <w:t>mencionada</w:t>
      </w:r>
      <w:r w:rsidR="00FC61A4" w:rsidRPr="00097A6E">
        <w:rPr>
          <w:rFonts w:ascii="Arial" w:eastAsia="Calibri" w:hAnsi="Arial" w:cs="Arial"/>
          <w:color w:val="000000" w:themeColor="text1"/>
          <w:sz w:val="22"/>
          <w:lang w:val="es-ES_tradnl"/>
        </w:rPr>
        <w:t xml:space="preserve">. En </w:t>
      </w:r>
      <w:r w:rsidR="001E4963" w:rsidRPr="00097A6E">
        <w:rPr>
          <w:rFonts w:ascii="Arial" w:eastAsia="Calibri" w:hAnsi="Arial" w:cs="Arial"/>
          <w:color w:val="000000" w:themeColor="text1"/>
          <w:sz w:val="22"/>
          <w:lang w:val="es-ES_tradnl"/>
        </w:rPr>
        <w:t>consecuencia</w:t>
      </w:r>
      <w:r w:rsidR="00FC61A4" w:rsidRPr="00097A6E">
        <w:rPr>
          <w:rFonts w:ascii="Arial" w:eastAsia="Calibri" w:hAnsi="Arial" w:cs="Arial"/>
          <w:color w:val="000000" w:themeColor="text1"/>
          <w:sz w:val="22"/>
          <w:lang w:val="es-ES_tradnl"/>
        </w:rPr>
        <w:t>, ordenó la vinculación del señor Presidente de la República</w:t>
      </w:r>
      <w:r w:rsidR="00E65020" w:rsidRPr="00097A6E">
        <w:rPr>
          <w:rFonts w:ascii="Arial" w:eastAsia="Calibri" w:hAnsi="Arial" w:cs="Arial"/>
          <w:color w:val="000000" w:themeColor="text1"/>
          <w:sz w:val="22"/>
          <w:lang w:val="es-ES_tradnl"/>
        </w:rPr>
        <w:t xml:space="preserve"> y dio traslado del expediente al Consejo de Estado, por ser el órgano judicial competente, conforme al artículo</w:t>
      </w:r>
      <w:r w:rsidR="00066813" w:rsidRPr="00097A6E">
        <w:rPr>
          <w:rFonts w:ascii="Arial" w:eastAsia="Calibri" w:hAnsi="Arial" w:cs="Arial"/>
          <w:color w:val="000000" w:themeColor="text1"/>
          <w:sz w:val="22"/>
          <w:lang w:val="es-ES_tradnl"/>
        </w:rPr>
        <w:t xml:space="preserve"> 1 del Decreto 333 de 2021.</w:t>
      </w:r>
      <w:r w:rsidR="00E65020" w:rsidRPr="00097A6E">
        <w:rPr>
          <w:rFonts w:ascii="Arial" w:eastAsia="Calibri" w:hAnsi="Arial" w:cs="Arial"/>
          <w:color w:val="000000" w:themeColor="text1"/>
          <w:sz w:val="22"/>
          <w:lang w:val="es-ES_tradnl"/>
        </w:rPr>
        <w:t xml:space="preserve"> </w:t>
      </w:r>
    </w:p>
    <w:p w14:paraId="7DD6DDA5" w14:textId="77777777" w:rsidR="000A0DF7" w:rsidRPr="00097A6E" w:rsidRDefault="000A0DF7" w:rsidP="000A0DF7">
      <w:pPr>
        <w:spacing w:line="276" w:lineRule="auto"/>
        <w:jc w:val="both"/>
        <w:rPr>
          <w:rFonts w:ascii="Arial" w:eastAsia="Calibri" w:hAnsi="Arial" w:cs="Arial"/>
          <w:color w:val="000000" w:themeColor="text1"/>
          <w:sz w:val="22"/>
          <w:lang w:val="es-ES_tradnl"/>
        </w:rPr>
      </w:pPr>
    </w:p>
    <w:p w14:paraId="3702059E" w14:textId="77777777" w:rsidR="000A0DF7" w:rsidRPr="00097A6E" w:rsidRDefault="000A0DF7" w:rsidP="000A0DF7">
      <w:pPr>
        <w:tabs>
          <w:tab w:val="left" w:pos="426"/>
        </w:tabs>
        <w:spacing w:line="276" w:lineRule="auto"/>
        <w:jc w:val="both"/>
        <w:rPr>
          <w:rFonts w:ascii="Arial" w:eastAsia="Calibri" w:hAnsi="Arial" w:cs="Arial"/>
          <w:b/>
          <w:bCs/>
          <w:sz w:val="22"/>
          <w:szCs w:val="22"/>
          <w:lang w:val="es-ES_tradnl" w:eastAsia="en-US"/>
        </w:rPr>
      </w:pPr>
      <w:r w:rsidRPr="00097A6E">
        <w:rPr>
          <w:rFonts w:ascii="Arial" w:eastAsia="Calibri" w:hAnsi="Arial" w:cs="Arial"/>
          <w:b/>
          <w:bCs/>
          <w:sz w:val="22"/>
          <w:szCs w:val="22"/>
          <w:lang w:val="es-ES_tradnl" w:eastAsia="en-US"/>
        </w:rPr>
        <w:t>2.1. Definición y finalidad de la Ley de Garantías Electorales: alcance de las restricciones</w:t>
      </w:r>
    </w:p>
    <w:p w14:paraId="639E4FD8" w14:textId="77777777" w:rsidR="000A0DF7" w:rsidRPr="00097A6E" w:rsidRDefault="000A0DF7" w:rsidP="000A0DF7">
      <w:pPr>
        <w:tabs>
          <w:tab w:val="left" w:pos="426"/>
        </w:tabs>
        <w:spacing w:line="276" w:lineRule="auto"/>
        <w:ind w:firstLine="709"/>
        <w:jc w:val="both"/>
        <w:rPr>
          <w:rFonts w:ascii="Arial" w:eastAsia="Calibri" w:hAnsi="Arial" w:cs="Arial"/>
          <w:bCs/>
          <w:sz w:val="22"/>
          <w:szCs w:val="22"/>
          <w:lang w:val="es-ES_tradnl" w:eastAsia="en-US"/>
        </w:rPr>
      </w:pPr>
    </w:p>
    <w:p w14:paraId="4B69FC51" w14:textId="39CD87DE" w:rsidR="000A0DF7" w:rsidRPr="00097A6E" w:rsidRDefault="000A0DF7" w:rsidP="000A0DF7">
      <w:pPr>
        <w:tabs>
          <w:tab w:val="left" w:pos="426"/>
        </w:tabs>
        <w:spacing w:after="120" w:line="276" w:lineRule="auto"/>
        <w:jc w:val="both"/>
        <w:rPr>
          <w:rFonts w:ascii="Arial" w:hAnsi="Arial" w:cs="Arial"/>
          <w:bCs/>
          <w:sz w:val="22"/>
          <w:szCs w:val="22"/>
          <w:lang w:val="es-ES_tradnl" w:eastAsia="es-CO"/>
        </w:rPr>
      </w:pPr>
      <w:r w:rsidRPr="00097A6E">
        <w:rPr>
          <w:rFonts w:ascii="Arial" w:eastAsia="Calibri" w:hAnsi="Arial" w:cs="Arial"/>
          <w:bCs/>
          <w:sz w:val="22"/>
          <w:szCs w:val="22"/>
          <w:lang w:val="es-ES_tradnl" w:eastAsia="en-US"/>
        </w:rPr>
        <w:t>El ordenamiento jurídico colombiano contempla previsiones claras para evitar la obtención de beneficios personales en asuntos propios de la administración pública</w:t>
      </w:r>
      <w:r w:rsidRPr="00097A6E">
        <w:rPr>
          <w:rFonts w:ascii="Arial" w:eastAsia="Calibri" w:hAnsi="Arial" w:cs="Arial"/>
          <w:bCs/>
          <w:i/>
          <w:iCs/>
          <w:sz w:val="22"/>
          <w:szCs w:val="22"/>
          <w:lang w:val="es-ES_tradnl" w:eastAsia="en-US"/>
        </w:rPr>
        <w:t xml:space="preserve">. </w:t>
      </w:r>
      <w:r w:rsidRPr="00097A6E">
        <w:rPr>
          <w:rFonts w:ascii="Arial" w:eastAsia="Calibri" w:hAnsi="Arial" w:cs="Arial"/>
          <w:bCs/>
          <w:sz w:val="22"/>
          <w:szCs w:val="22"/>
          <w:lang w:val="es-ES_tradnl" w:eastAsia="en-US"/>
        </w:rPr>
        <w:t>Por ejemplo, el artículo 127 de la Constitución Política establece una prohibición contractual a los servidores públicos y</w:t>
      </w:r>
      <w:r w:rsidR="00B24DE5" w:rsidRPr="00097A6E">
        <w:rPr>
          <w:rFonts w:ascii="Arial" w:eastAsia="Calibri" w:hAnsi="Arial" w:cs="Arial"/>
          <w:bCs/>
          <w:sz w:val="22"/>
          <w:szCs w:val="22"/>
          <w:lang w:val="es-ES_tradnl" w:eastAsia="en-US"/>
        </w:rPr>
        <w:t>,</w:t>
      </w:r>
      <w:r w:rsidRPr="00097A6E">
        <w:rPr>
          <w:rFonts w:ascii="Arial" w:eastAsia="Calibri" w:hAnsi="Arial" w:cs="Arial"/>
          <w:bCs/>
          <w:sz w:val="22"/>
          <w:szCs w:val="22"/>
          <w:lang w:val="es-ES_tradnl" w:eastAsia="en-US"/>
        </w:rPr>
        <w:t xml:space="preserve"> en cuanto a aspectos políticos</w:t>
      </w:r>
      <w:r w:rsidR="00B24DE5" w:rsidRPr="00097A6E">
        <w:rPr>
          <w:rFonts w:ascii="Arial" w:eastAsia="Calibri" w:hAnsi="Arial" w:cs="Arial"/>
          <w:bCs/>
          <w:sz w:val="22"/>
          <w:szCs w:val="22"/>
          <w:lang w:val="es-ES_tradnl" w:eastAsia="en-US"/>
        </w:rPr>
        <w:t xml:space="preserve">, </w:t>
      </w:r>
      <w:r w:rsidRPr="00097A6E">
        <w:rPr>
          <w:rFonts w:ascii="Arial" w:eastAsia="Calibri" w:hAnsi="Arial" w:cs="Arial"/>
          <w:bCs/>
          <w:sz w:val="22"/>
          <w:szCs w:val="22"/>
          <w:lang w:val="es-ES_tradnl" w:eastAsia="en-US"/>
        </w:rPr>
        <w:t>establece restricciones a ciertos empleados del Estado, incluso en época no electoral</w:t>
      </w:r>
      <w:r w:rsidRPr="00097A6E">
        <w:rPr>
          <w:rFonts w:ascii="Arial" w:eastAsia="Calibri" w:hAnsi="Arial" w:cs="Arial"/>
          <w:bCs/>
          <w:sz w:val="22"/>
          <w:szCs w:val="22"/>
          <w:vertAlign w:val="superscript"/>
          <w:lang w:val="es-ES_tradnl" w:eastAsia="en-US"/>
        </w:rPr>
        <w:footnoteReference w:id="6"/>
      </w:r>
      <w:r w:rsidRPr="00097A6E">
        <w:rPr>
          <w:rFonts w:ascii="Arial" w:eastAsia="Calibri" w:hAnsi="Arial" w:cs="Arial"/>
          <w:bCs/>
          <w:sz w:val="22"/>
          <w:szCs w:val="22"/>
          <w:lang w:val="es-ES_tradnl" w:eastAsia="en-US"/>
        </w:rPr>
        <w:t xml:space="preserve">. </w:t>
      </w:r>
    </w:p>
    <w:p w14:paraId="3C018A04" w14:textId="77777777" w:rsidR="000A0DF7" w:rsidRPr="00097A6E" w:rsidRDefault="000A0DF7" w:rsidP="000A0DF7">
      <w:pPr>
        <w:tabs>
          <w:tab w:val="left" w:pos="426"/>
        </w:tabs>
        <w:spacing w:line="276" w:lineRule="auto"/>
        <w:ind w:firstLine="709"/>
        <w:jc w:val="both"/>
        <w:rPr>
          <w:rFonts w:ascii="Arial" w:hAnsi="Arial" w:cs="Arial"/>
          <w:bCs/>
          <w:sz w:val="22"/>
          <w:szCs w:val="22"/>
          <w:lang w:val="es-ES_tradnl" w:eastAsia="es-CO"/>
        </w:rPr>
      </w:pPr>
      <w:r w:rsidRPr="00097A6E">
        <w:rPr>
          <w:rFonts w:ascii="Arial" w:hAnsi="Arial" w:cs="Arial"/>
          <w:bCs/>
          <w:sz w:val="22"/>
          <w:szCs w:val="22"/>
          <w:lang w:val="es-ES_tradnl" w:eastAsia="es-CO"/>
        </w:rPr>
        <w:lastRenderedPageBreak/>
        <w:t>En el mismo sentido, la Ley 996 de 2005, conocida como «Ley de Garantías Electorales», se suma a la normatividad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097A6E">
        <w:rPr>
          <w:rFonts w:ascii="Arial" w:hAnsi="Arial" w:cs="Arial"/>
          <w:bCs/>
          <w:sz w:val="22"/>
          <w:szCs w:val="22"/>
          <w:vertAlign w:val="superscript"/>
          <w:lang w:val="es-ES_tradnl" w:eastAsia="es-CO"/>
        </w:rPr>
        <w:footnoteReference w:id="7"/>
      </w:r>
      <w:r w:rsidRPr="00097A6E">
        <w:rPr>
          <w:rFonts w:ascii="Arial" w:hAnsi="Arial" w:cs="Arial"/>
          <w:bCs/>
          <w:sz w:val="22"/>
          <w:szCs w:val="22"/>
          <w:lang w:val="es-ES_tradnl" w:eastAsia="es-CO"/>
        </w:rPr>
        <w:t>. En esta medida, introduce limitaciones para realizar nombramientos, postulaciones, contrataciones o cualquier otro tipo de actividad que implique destinación de recursos públicos bajo el devenir propio de las entidades estatales.</w:t>
      </w:r>
      <w:r w:rsidRPr="00097A6E">
        <w:rPr>
          <w:rFonts w:ascii="Arial" w:eastAsia="Calibri" w:hAnsi="Arial" w:cs="Arial"/>
          <w:noProof/>
          <w:sz w:val="22"/>
          <w:szCs w:val="22"/>
          <w:lang w:val="es-ES_tradnl" w:eastAsia="en-US"/>
        </w:rPr>
        <w:t xml:space="preserve"> </w:t>
      </w:r>
      <w:r w:rsidRPr="00097A6E">
        <w:rPr>
          <w:rFonts w:ascii="Arial" w:hAnsi="Arial" w:cs="Arial"/>
          <w:bCs/>
          <w:sz w:val="22"/>
          <w:szCs w:val="22"/>
          <w:lang w:val="es-ES_tradnl" w:eastAsia="es-CO"/>
        </w:rPr>
        <w:t>En armonía con lo anterior, la Corte Constitucional ha abordado la definición de la Ley de Garantías Electorales. De esta manera, explica que tiene como propósito:</w:t>
      </w:r>
    </w:p>
    <w:p w14:paraId="22188615" w14:textId="77777777" w:rsidR="000A0DF7" w:rsidRPr="00097A6E" w:rsidRDefault="000A0DF7" w:rsidP="000A0DF7">
      <w:pPr>
        <w:ind w:right="709"/>
        <w:jc w:val="both"/>
        <w:rPr>
          <w:rFonts w:ascii="Arial" w:hAnsi="Arial" w:cs="Arial"/>
          <w:sz w:val="21"/>
          <w:szCs w:val="21"/>
          <w:lang w:val="es-ES_tradnl" w:eastAsia="es-CO"/>
        </w:rPr>
      </w:pPr>
    </w:p>
    <w:p w14:paraId="21DCAA2C" w14:textId="77777777" w:rsidR="000A0DF7" w:rsidRPr="00097A6E" w:rsidRDefault="000A0DF7" w:rsidP="000A0DF7">
      <w:pPr>
        <w:ind w:left="709" w:right="709"/>
        <w:jc w:val="both"/>
        <w:rPr>
          <w:rFonts w:ascii="Arial" w:hAnsi="Arial" w:cs="Arial"/>
          <w:bCs/>
          <w:sz w:val="21"/>
          <w:szCs w:val="21"/>
          <w:lang w:val="es-ES_tradnl" w:eastAsia="es-CO"/>
        </w:rPr>
      </w:pPr>
      <w:r w:rsidRPr="00097A6E">
        <w:rPr>
          <w:rFonts w:ascii="Arial" w:hAnsi="Arial" w:cs="Arial"/>
          <w:sz w:val="21"/>
          <w:szCs w:val="21"/>
          <w:lang w:val="es-ES_tradnl" w:eastAsia="es-CO"/>
        </w:rPr>
        <w:t xml:space="preserve">[…] </w:t>
      </w:r>
      <w:r w:rsidRPr="00097A6E">
        <w:rPr>
          <w:rFonts w:ascii="Arial" w:hAnsi="Arial" w:cs="Arial"/>
          <w:bCs/>
          <w:sz w:val="21"/>
          <w:szCs w:val="21"/>
          <w:lang w:val="es-ES_tradnl" w:eastAsia="es-CO"/>
        </w:rPr>
        <w:t>la definición de reglas claras que permitan acceder a los canales de expresión democrática de manera efectiva e igualitaria. El objetivo de una ley de garantías es definir esas reglas.</w:t>
      </w:r>
    </w:p>
    <w:p w14:paraId="29792BF5" w14:textId="77777777" w:rsidR="000A0DF7" w:rsidRPr="00097A6E" w:rsidRDefault="000A0DF7" w:rsidP="000A0DF7">
      <w:pPr>
        <w:spacing w:after="120"/>
        <w:ind w:left="709" w:right="709"/>
        <w:jc w:val="both"/>
        <w:rPr>
          <w:rFonts w:ascii="Arial" w:hAnsi="Arial" w:cs="Arial"/>
          <w:bCs/>
          <w:sz w:val="21"/>
          <w:szCs w:val="21"/>
          <w:lang w:val="es-ES_tradnl" w:eastAsia="es-CO"/>
        </w:rPr>
      </w:pPr>
      <w:r w:rsidRPr="00097A6E">
        <w:rPr>
          <w:rFonts w:ascii="Arial" w:hAnsi="Arial" w:cs="Arial"/>
          <w:bCs/>
          <w:sz w:val="21"/>
          <w:szCs w:val="21"/>
          <w:lang w:val="es-ES_tradnl" w:eastAsia="es-CO"/>
        </w:rPr>
        <w:t xml:space="preserve">[…] </w:t>
      </w:r>
    </w:p>
    <w:p w14:paraId="289824E8" w14:textId="77777777" w:rsidR="000A0DF7" w:rsidRPr="00097A6E" w:rsidRDefault="000A0DF7" w:rsidP="000A0DF7">
      <w:pPr>
        <w:ind w:left="709" w:right="709"/>
        <w:jc w:val="both"/>
        <w:rPr>
          <w:rFonts w:ascii="Arial" w:hAnsi="Arial" w:cs="Arial"/>
          <w:bCs/>
          <w:sz w:val="21"/>
          <w:szCs w:val="21"/>
          <w:lang w:val="es-ES_tradnl" w:eastAsia="es-CO"/>
        </w:rPr>
      </w:pPr>
      <w:r w:rsidRPr="00097A6E">
        <w:rPr>
          <w:rFonts w:ascii="Arial" w:hAnsi="Arial" w:cs="Arial"/>
          <w:bCs/>
          <w:sz w:val="21"/>
          <w:szCs w:val="21"/>
          <w:lang w:val="es-ES_tradnl"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097A6E">
        <w:rPr>
          <w:rFonts w:ascii="Arial" w:eastAsiaTheme="minorHAnsi" w:hAnsi="Arial" w:cs="Arial"/>
          <w:sz w:val="20"/>
          <w:szCs w:val="20"/>
          <w:vertAlign w:val="superscript"/>
          <w:lang w:val="es-ES_tradnl" w:eastAsia="en-US"/>
        </w:rPr>
        <w:footnoteReference w:id="8"/>
      </w:r>
    </w:p>
    <w:p w14:paraId="6FCC9605" w14:textId="77777777" w:rsidR="000A0DF7" w:rsidRPr="00097A6E" w:rsidRDefault="000A0DF7" w:rsidP="000A0DF7">
      <w:pPr>
        <w:spacing w:line="276" w:lineRule="auto"/>
        <w:ind w:left="709" w:right="709"/>
        <w:jc w:val="both"/>
        <w:rPr>
          <w:rFonts w:ascii="Arial" w:hAnsi="Arial" w:cs="Arial"/>
          <w:bCs/>
          <w:sz w:val="21"/>
          <w:szCs w:val="21"/>
          <w:lang w:val="es-ES_tradnl" w:eastAsia="es-CO"/>
        </w:rPr>
      </w:pPr>
    </w:p>
    <w:p w14:paraId="16A4316F" w14:textId="77777777" w:rsidR="000A0DF7" w:rsidRPr="00097A6E" w:rsidRDefault="000A0DF7" w:rsidP="000A0DF7">
      <w:pPr>
        <w:spacing w:line="276" w:lineRule="auto"/>
        <w:ind w:firstLine="709"/>
        <w:jc w:val="both"/>
        <w:rPr>
          <w:rFonts w:ascii="Arial" w:hAnsi="Arial" w:cs="Arial"/>
          <w:bCs/>
          <w:sz w:val="22"/>
          <w:szCs w:val="22"/>
          <w:lang w:val="es-ES_tradnl" w:eastAsia="es-CO"/>
        </w:rPr>
      </w:pPr>
      <w:r w:rsidRPr="00097A6E">
        <w:rPr>
          <w:rFonts w:ascii="Arial" w:hAnsi="Arial" w:cs="Arial"/>
          <w:bCs/>
          <w:sz w:val="22"/>
          <w:szCs w:val="22"/>
          <w:lang w:val="es-ES_tradnl"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34092D4A" w14:textId="77777777" w:rsidR="000A0DF7" w:rsidRPr="00097A6E" w:rsidRDefault="000A0DF7" w:rsidP="000A0DF7">
      <w:pPr>
        <w:spacing w:line="276" w:lineRule="auto"/>
        <w:ind w:firstLine="709"/>
        <w:jc w:val="both"/>
        <w:rPr>
          <w:rFonts w:ascii="Arial" w:hAnsi="Arial" w:cs="Arial"/>
          <w:bCs/>
          <w:sz w:val="22"/>
          <w:szCs w:val="22"/>
          <w:lang w:val="es-ES_tradnl" w:eastAsia="es-CO"/>
        </w:rPr>
      </w:pPr>
    </w:p>
    <w:p w14:paraId="5F1B520A" w14:textId="77777777" w:rsidR="000A0DF7" w:rsidRPr="00097A6E" w:rsidRDefault="000A0DF7" w:rsidP="000A0DF7">
      <w:pPr>
        <w:spacing w:after="120"/>
        <w:ind w:left="709" w:right="709"/>
        <w:jc w:val="both"/>
        <w:rPr>
          <w:rFonts w:ascii="Arial" w:hAnsi="Arial" w:cs="Arial"/>
          <w:bCs/>
          <w:sz w:val="21"/>
          <w:szCs w:val="21"/>
          <w:lang w:val="es-ES_tradnl" w:eastAsia="es-CO"/>
        </w:rPr>
      </w:pPr>
      <w:r w:rsidRPr="00097A6E">
        <w:rPr>
          <w:rFonts w:ascii="Arial" w:hAnsi="Arial" w:cs="Arial"/>
          <w:bCs/>
          <w:sz w:val="21"/>
          <w:szCs w:val="21"/>
          <w:lang w:val="es-ES_tradnl"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w:t>
      </w:r>
      <w:r w:rsidRPr="00097A6E">
        <w:rPr>
          <w:rFonts w:ascii="Arial" w:hAnsi="Arial" w:cs="Arial"/>
          <w:bCs/>
          <w:sz w:val="21"/>
          <w:szCs w:val="21"/>
          <w:lang w:val="es-ES_tradnl" w:eastAsia="es-CO"/>
        </w:rPr>
        <w:lastRenderedPageBreak/>
        <w:t>conjunto de disposiciones que integran un régimen jurídico imperativo y de orden público, razón por la cual no son disponibles ni pueden ser derogadas, modificadas, ampliadas o adicionadas por acuerdo o convenio o acto unilateral.</w:t>
      </w:r>
    </w:p>
    <w:p w14:paraId="36272186" w14:textId="77777777" w:rsidR="000A0DF7" w:rsidRPr="00097A6E" w:rsidRDefault="000A0DF7" w:rsidP="000A0DF7">
      <w:pPr>
        <w:ind w:left="709" w:right="709"/>
        <w:jc w:val="both"/>
        <w:rPr>
          <w:rFonts w:ascii="Arial" w:hAnsi="Arial" w:cs="Arial"/>
          <w:bCs/>
          <w:sz w:val="21"/>
          <w:szCs w:val="21"/>
          <w:lang w:val="es-ES_tradnl" w:eastAsia="es-CO"/>
        </w:rPr>
      </w:pPr>
      <w:r w:rsidRPr="00097A6E">
        <w:rPr>
          <w:rFonts w:ascii="Arial" w:hAnsi="Arial" w:cs="Arial"/>
          <w:bCs/>
          <w:sz w:val="21"/>
          <w:szCs w:val="21"/>
          <w:lang w:val="es-ES_tradnl" w:eastAsia="es-CO"/>
        </w:rPr>
        <w:t>La jurisprudencia de la Corte Constitucional</w:t>
      </w:r>
      <w:r w:rsidRPr="00097A6E">
        <w:rPr>
          <w:rFonts w:ascii="Arial" w:hAnsi="Arial" w:cs="Arial"/>
          <w:bCs/>
          <w:sz w:val="21"/>
          <w:szCs w:val="21"/>
          <w:vertAlign w:val="superscript"/>
          <w:lang w:val="es-ES_tradnl" w:eastAsia="es-CO"/>
        </w:rPr>
        <w:footnoteReference w:id="9"/>
      </w:r>
      <w:r w:rsidRPr="00097A6E">
        <w:rPr>
          <w:rFonts w:ascii="Arial" w:hAnsi="Arial" w:cs="Arial"/>
          <w:bCs/>
          <w:sz w:val="21"/>
          <w:szCs w:val="21"/>
          <w:lang w:val="es-ES_tradnl" w:eastAsia="es-CO"/>
        </w:rPr>
        <w:t> y del Consejo de Estado</w:t>
      </w:r>
      <w:r w:rsidRPr="00097A6E">
        <w:rPr>
          <w:rFonts w:ascii="Arial" w:hAnsi="Arial" w:cs="Arial"/>
          <w:bCs/>
          <w:sz w:val="21"/>
          <w:szCs w:val="21"/>
          <w:vertAlign w:val="superscript"/>
          <w:lang w:val="es-ES_tradnl" w:eastAsia="es-CO"/>
        </w:rPr>
        <w:footnoteReference w:id="10"/>
      </w:r>
      <w:r w:rsidRPr="00097A6E">
        <w:rPr>
          <w:rFonts w:ascii="Arial" w:hAnsi="Arial" w:cs="Arial"/>
          <w:bCs/>
          <w:sz w:val="21"/>
          <w:szCs w:val="21"/>
          <w:lang w:val="es-ES_tradnl"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097A6E">
        <w:rPr>
          <w:rFonts w:ascii="Arial" w:hAnsi="Arial" w:cs="Arial"/>
          <w:bCs/>
          <w:sz w:val="22"/>
          <w:szCs w:val="22"/>
          <w:vertAlign w:val="superscript"/>
          <w:lang w:val="es-ES_tradnl" w:eastAsia="es-CO"/>
        </w:rPr>
        <w:footnoteReference w:id="11"/>
      </w:r>
      <w:r w:rsidRPr="00097A6E">
        <w:rPr>
          <w:rFonts w:ascii="Arial" w:hAnsi="Arial" w:cs="Arial"/>
          <w:bCs/>
          <w:sz w:val="21"/>
          <w:szCs w:val="21"/>
          <w:lang w:val="es-ES_tradnl" w:eastAsia="es-CO"/>
        </w:rPr>
        <w:t>.</w:t>
      </w:r>
    </w:p>
    <w:p w14:paraId="163DEDFF" w14:textId="77777777" w:rsidR="000A0DF7" w:rsidRPr="00097A6E" w:rsidRDefault="000A0DF7" w:rsidP="000A0DF7">
      <w:pPr>
        <w:spacing w:line="276" w:lineRule="auto"/>
        <w:ind w:right="709"/>
        <w:jc w:val="both"/>
        <w:rPr>
          <w:rFonts w:ascii="Arial" w:hAnsi="Arial" w:cs="Arial"/>
          <w:bCs/>
          <w:sz w:val="22"/>
          <w:szCs w:val="22"/>
          <w:lang w:val="es-ES_tradnl" w:eastAsia="es-CO"/>
        </w:rPr>
      </w:pPr>
    </w:p>
    <w:p w14:paraId="60DFFAB8" w14:textId="77777777" w:rsidR="000A0DF7" w:rsidRPr="00097A6E" w:rsidRDefault="000A0DF7" w:rsidP="000A0DF7">
      <w:pPr>
        <w:spacing w:after="120" w:line="276" w:lineRule="auto"/>
        <w:jc w:val="both"/>
        <w:rPr>
          <w:rFonts w:ascii="Arial" w:eastAsia="Arial" w:hAnsi="Arial" w:cs="Arial"/>
          <w:sz w:val="22"/>
          <w:szCs w:val="22"/>
          <w:lang w:val="es-ES_tradnl" w:eastAsia="es-ES" w:bidi="es-ES"/>
        </w:rPr>
      </w:pPr>
      <w:r w:rsidRPr="00097A6E">
        <w:rPr>
          <w:rFonts w:ascii="Arial" w:hAnsi="Arial" w:cs="Arial"/>
          <w:bCs/>
          <w:sz w:val="22"/>
          <w:szCs w:val="22"/>
          <w:lang w:val="es-ES_tradnl" w:eastAsia="es-CO"/>
        </w:rPr>
        <w:tab/>
        <w:t>De</w:t>
      </w:r>
      <w:r w:rsidRPr="00097A6E">
        <w:rPr>
          <w:rFonts w:ascii="Arial" w:eastAsia="Arial" w:hAnsi="Arial" w:cs="Arial"/>
          <w:sz w:val="22"/>
          <w:szCs w:val="22"/>
          <w:lang w:val="es-ES_tradnl" w:eastAsia="es-ES" w:bidi="es-ES"/>
        </w:rPr>
        <w:t xml:space="preserv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períodos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0BA24FB2" w14:textId="77777777" w:rsidR="000A0DF7" w:rsidRPr="00097A6E" w:rsidRDefault="000A0DF7" w:rsidP="000A0DF7">
      <w:pPr>
        <w:spacing w:after="120" w:line="276" w:lineRule="auto"/>
        <w:ind w:firstLine="708"/>
        <w:jc w:val="both"/>
        <w:rPr>
          <w:rFonts w:ascii="Arial" w:eastAsia="Calibri" w:hAnsi="Arial" w:cs="Arial"/>
          <w:sz w:val="22"/>
          <w:szCs w:val="22"/>
          <w:lang w:val="es-ES_tradnl" w:eastAsia="en-US"/>
        </w:rPr>
      </w:pPr>
      <w:r w:rsidRPr="00097A6E">
        <w:rPr>
          <w:rFonts w:ascii="Arial" w:eastAsia="Calibri" w:hAnsi="Arial" w:cs="Arial"/>
          <w:sz w:val="22"/>
          <w:szCs w:val="22"/>
          <w:lang w:val="es-ES_tradnl" w:eastAsia="en-US"/>
        </w:rPr>
        <w:t xml:space="preserve">Por un lado, el artículo 33 de la Ley 996 de 2005 prohíbe </w:t>
      </w:r>
      <w:r w:rsidRPr="00097A6E">
        <w:rPr>
          <w:rFonts w:ascii="Arial" w:eastAsia="Calibri" w:hAnsi="Arial" w:cs="Arial"/>
          <w:bCs/>
          <w:sz w:val="22"/>
          <w:szCs w:val="22"/>
          <w:lang w:val="es-ES_tradnl" w:eastAsia="en-US"/>
        </w:rPr>
        <w:t xml:space="preserve">«[…] </w:t>
      </w:r>
      <w:r w:rsidRPr="00097A6E">
        <w:rPr>
          <w:rFonts w:ascii="Arial" w:eastAsia="Calibri" w:hAnsi="Arial" w:cs="Arial"/>
          <w:sz w:val="22"/>
          <w:szCs w:val="22"/>
          <w:lang w:val="es-ES_tradnl" w:eastAsia="en-US"/>
        </w:rPr>
        <w:t>la contratación directa por parte de todos los entes del Estado</w:t>
      </w:r>
      <w:r w:rsidRPr="00097A6E">
        <w:rPr>
          <w:rFonts w:ascii="Arial" w:eastAsia="Calibri" w:hAnsi="Arial" w:cs="Arial"/>
          <w:bCs/>
          <w:sz w:val="22"/>
          <w:szCs w:val="22"/>
          <w:lang w:val="es-ES_tradnl" w:eastAsia="en-US"/>
        </w:rPr>
        <w:t>»</w:t>
      </w:r>
      <w:r w:rsidRPr="00097A6E">
        <w:rPr>
          <w:rFonts w:ascii="Arial" w:eastAsia="Calibri" w:hAnsi="Arial" w:cs="Arial"/>
          <w:sz w:val="22"/>
          <w:szCs w:val="22"/>
          <w:lang w:val="es-ES_tradnl" w:eastAsia="en-US"/>
        </w:rPr>
        <w:t xml:space="preserve"> durante los cuatro (4) meses anteriores a las elecciones presidenciales, salvo </w:t>
      </w:r>
      <w:r w:rsidRPr="00097A6E">
        <w:rPr>
          <w:rFonts w:ascii="Arial" w:eastAsia="Calibri" w:hAnsi="Arial" w:cs="Arial"/>
          <w:bCs/>
          <w:sz w:val="22"/>
          <w:szCs w:val="22"/>
          <w:lang w:val="es-ES_tradnl" w:eastAsia="en-US"/>
        </w:rPr>
        <w:t xml:space="preserve">«[…] </w:t>
      </w:r>
      <w:r w:rsidRPr="00097A6E">
        <w:rPr>
          <w:rFonts w:ascii="Arial" w:eastAsia="Calibri" w:hAnsi="Arial" w:cs="Arial"/>
          <w:sz w:val="22"/>
          <w:szCs w:val="22"/>
          <w:lang w:val="es-ES_tradnl" w:eastAsia="en-US"/>
        </w:rPr>
        <w:t xml:space="preserve">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w:t>
      </w:r>
      <w:r w:rsidRPr="00097A6E">
        <w:rPr>
          <w:rFonts w:ascii="Arial" w:eastAsia="Calibri" w:hAnsi="Arial" w:cs="Arial"/>
          <w:sz w:val="22"/>
          <w:szCs w:val="22"/>
          <w:lang w:val="es-ES_tradnl" w:eastAsia="en-US"/>
        </w:rPr>
        <w:lastRenderedPageBreak/>
        <w:t>sido objeto de atentados, acciones terroristas, desastres naturales o casos de fuerza mayor, y los que deban realizar las entidades sanitarias y hospitalarias</w:t>
      </w:r>
      <w:r w:rsidRPr="00097A6E">
        <w:rPr>
          <w:rFonts w:ascii="Arial" w:eastAsia="Calibri" w:hAnsi="Arial" w:cs="Arial"/>
          <w:bCs/>
          <w:sz w:val="22"/>
          <w:szCs w:val="22"/>
          <w:lang w:val="es-ES_tradnl" w:eastAsia="en-US"/>
        </w:rPr>
        <w:t>»</w:t>
      </w:r>
      <w:r w:rsidRPr="00097A6E">
        <w:rPr>
          <w:rFonts w:ascii="Arial" w:eastAsia="Calibri" w:hAnsi="Arial" w:cs="Arial"/>
          <w:bCs/>
          <w:sz w:val="22"/>
          <w:szCs w:val="22"/>
          <w:vertAlign w:val="superscript"/>
          <w:lang w:val="es-ES_tradnl" w:eastAsia="en-US"/>
        </w:rPr>
        <w:footnoteReference w:id="12"/>
      </w:r>
      <w:r w:rsidRPr="00097A6E">
        <w:rPr>
          <w:rFonts w:ascii="Arial" w:eastAsia="Calibri" w:hAnsi="Arial" w:cs="Arial"/>
          <w:sz w:val="22"/>
          <w:szCs w:val="22"/>
          <w:lang w:val="es-ES_tradnl" w:eastAsia="en-US"/>
        </w:rPr>
        <w:t>.</w:t>
      </w:r>
    </w:p>
    <w:p w14:paraId="6CD813E3" w14:textId="77777777" w:rsidR="000A0DF7" w:rsidRPr="00097A6E" w:rsidRDefault="000A0DF7" w:rsidP="000A0DF7">
      <w:pPr>
        <w:widowControl w:val="0"/>
        <w:autoSpaceDE w:val="0"/>
        <w:autoSpaceDN w:val="0"/>
        <w:spacing w:line="276" w:lineRule="auto"/>
        <w:ind w:right="113" w:firstLine="708"/>
        <w:jc w:val="both"/>
        <w:rPr>
          <w:rFonts w:ascii="Arial" w:eastAsia="Arial" w:hAnsi="Arial" w:cs="Arial"/>
          <w:sz w:val="22"/>
          <w:szCs w:val="22"/>
          <w:lang w:val="es-ES_tradnl" w:eastAsia="es-ES" w:bidi="es-ES"/>
        </w:rPr>
      </w:pPr>
      <w:r w:rsidRPr="00097A6E">
        <w:rPr>
          <w:rFonts w:ascii="Arial" w:eastAsia="Calibri" w:hAnsi="Arial" w:cs="Arial"/>
          <w:sz w:val="22"/>
          <w:szCs w:val="22"/>
          <w:lang w:val="es-ES_tradnl" w:eastAsia="en-US"/>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097A6E">
        <w:rPr>
          <w:rFonts w:ascii="Arial" w:eastAsia="Calibri" w:hAnsi="Arial" w:cs="Arial"/>
          <w:bCs/>
          <w:sz w:val="22"/>
          <w:szCs w:val="22"/>
          <w:lang w:val="es-ES_tradnl" w:eastAsia="en-US"/>
        </w:rPr>
        <w:t xml:space="preserve">«[…] </w:t>
      </w:r>
      <w:r w:rsidRPr="00097A6E">
        <w:rPr>
          <w:rFonts w:ascii="Arial" w:eastAsia="Calibri" w:hAnsi="Arial" w:cs="Arial"/>
          <w:sz w:val="22"/>
          <w:szCs w:val="22"/>
          <w:lang w:val="es-ES_tradnl" w:eastAsia="en-US"/>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097A6E">
        <w:rPr>
          <w:rFonts w:ascii="Arial" w:eastAsia="Calibri" w:hAnsi="Arial" w:cs="Arial"/>
          <w:bCs/>
          <w:sz w:val="19"/>
          <w:szCs w:val="19"/>
          <w:lang w:val="es-ES_tradnl" w:eastAsia="en-US"/>
        </w:rPr>
        <w:t>»</w:t>
      </w:r>
      <w:r w:rsidRPr="00097A6E">
        <w:rPr>
          <w:rFonts w:ascii="Arial" w:eastAsia="Calibri" w:hAnsi="Arial" w:cs="Arial"/>
          <w:bCs/>
          <w:sz w:val="19"/>
          <w:szCs w:val="19"/>
          <w:vertAlign w:val="superscript"/>
          <w:lang w:val="es-ES_tradnl" w:eastAsia="en-US"/>
        </w:rPr>
        <w:footnoteReference w:id="13"/>
      </w:r>
      <w:r w:rsidRPr="00097A6E">
        <w:rPr>
          <w:rFonts w:ascii="Arial" w:eastAsia="Calibri" w:hAnsi="Arial" w:cs="Arial"/>
          <w:sz w:val="22"/>
          <w:szCs w:val="22"/>
          <w:lang w:val="es-ES_tradnl" w:eastAsia="en-US"/>
        </w:rPr>
        <w:t>.</w:t>
      </w:r>
      <w:r w:rsidRPr="00097A6E">
        <w:rPr>
          <w:rFonts w:ascii="Arial" w:eastAsia="Arial" w:hAnsi="Arial" w:cs="Arial"/>
          <w:sz w:val="22"/>
          <w:szCs w:val="22"/>
          <w:lang w:val="es-ES_tradnl"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387FDC75" w14:textId="77777777" w:rsidR="000A0DF7" w:rsidRPr="00097A6E" w:rsidRDefault="000A0DF7" w:rsidP="000A0DF7">
      <w:pPr>
        <w:widowControl w:val="0"/>
        <w:autoSpaceDE w:val="0"/>
        <w:autoSpaceDN w:val="0"/>
        <w:ind w:left="805" w:right="812"/>
        <w:jc w:val="both"/>
        <w:rPr>
          <w:rFonts w:ascii="Arial" w:eastAsia="Arial" w:hAnsi="Arial" w:cs="Arial"/>
          <w:sz w:val="22"/>
          <w:szCs w:val="22"/>
          <w:lang w:val="es-ES_tradnl" w:eastAsia="es-ES" w:bidi="es-ES"/>
        </w:rPr>
      </w:pPr>
    </w:p>
    <w:p w14:paraId="1C394B0C" w14:textId="77777777" w:rsidR="000A0DF7" w:rsidRPr="00097A6E" w:rsidRDefault="000A0DF7" w:rsidP="000A0DF7">
      <w:pPr>
        <w:widowControl w:val="0"/>
        <w:autoSpaceDE w:val="0"/>
        <w:autoSpaceDN w:val="0"/>
        <w:ind w:left="709" w:right="709"/>
        <w:jc w:val="both"/>
        <w:rPr>
          <w:rFonts w:ascii="Arial" w:eastAsia="Arial" w:hAnsi="Arial" w:cs="Arial"/>
          <w:sz w:val="21"/>
          <w:szCs w:val="21"/>
          <w:lang w:val="es-ES_tradnl" w:eastAsia="es-ES" w:bidi="es-ES"/>
        </w:rPr>
      </w:pPr>
      <w:r w:rsidRPr="00097A6E">
        <w:rPr>
          <w:rFonts w:ascii="Arial" w:eastAsia="Arial" w:hAnsi="Arial" w:cs="Arial"/>
          <w:sz w:val="21"/>
          <w:szCs w:val="21"/>
          <w:lang w:val="es-ES_tradnl" w:eastAsia="es-ES" w:bidi="es-ES"/>
        </w:rPr>
        <w:t xml:space="preserve">La interpretación sistemática de las disposiciones consagradas en los artículos 32, 33 y el parágrafo del artículo 38 de la ley 996 de 2.005 lleva a concluir que dichas normas contienen restricciones y prohibiciones para períodos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097A6E">
        <w:rPr>
          <w:rFonts w:ascii="Arial" w:eastAsia="Arial" w:hAnsi="Arial" w:cs="Arial"/>
          <w:bCs/>
          <w:sz w:val="21"/>
          <w:szCs w:val="21"/>
          <w:lang w:val="es-ES_tradnl" w:eastAsia="es-ES" w:bidi="es-ES"/>
        </w:rPr>
        <w:t xml:space="preserve">En cambio, para elecciones en general, excluyendo las correspondientes a Presidente de la República, a las autoridades territoriales allí mencionadas sólo se aplican las </w:t>
      </w:r>
      <w:r w:rsidRPr="00097A6E">
        <w:rPr>
          <w:rFonts w:ascii="Arial" w:eastAsia="Arial" w:hAnsi="Arial" w:cs="Arial"/>
          <w:bCs/>
          <w:sz w:val="21"/>
          <w:szCs w:val="21"/>
          <w:lang w:val="es-ES_tradnl" w:eastAsia="es-ES" w:bidi="es-ES"/>
        </w:rPr>
        <w:lastRenderedPageBreak/>
        <w:t>restricciones contenidas en el parágrafo del artículo 38</w:t>
      </w:r>
      <w:r w:rsidRPr="00097A6E">
        <w:rPr>
          <w:rFonts w:ascii="Arial" w:eastAsia="Arial" w:hAnsi="Arial" w:cs="Arial"/>
          <w:sz w:val="21"/>
          <w:szCs w:val="21"/>
          <w:vertAlign w:val="superscript"/>
          <w:lang w:val="es-ES_tradnl" w:eastAsia="es-ES" w:bidi="es-ES"/>
        </w:rPr>
        <w:footnoteReference w:id="14"/>
      </w:r>
      <w:r w:rsidRPr="00097A6E">
        <w:rPr>
          <w:rFonts w:ascii="Arial" w:eastAsia="Arial" w:hAnsi="Arial" w:cs="Arial"/>
          <w:bCs/>
          <w:sz w:val="21"/>
          <w:szCs w:val="21"/>
          <w:lang w:val="es-ES_tradnl" w:eastAsia="es-ES" w:bidi="es-ES"/>
        </w:rPr>
        <w:t>.</w:t>
      </w:r>
    </w:p>
    <w:p w14:paraId="5D00DD54" w14:textId="77777777" w:rsidR="000A0DF7" w:rsidRPr="00097A6E" w:rsidRDefault="000A0DF7" w:rsidP="000A0DF7">
      <w:pPr>
        <w:widowControl w:val="0"/>
        <w:autoSpaceDE w:val="0"/>
        <w:autoSpaceDN w:val="0"/>
        <w:spacing w:before="8"/>
        <w:rPr>
          <w:rFonts w:ascii="Arial" w:eastAsia="Arial" w:hAnsi="Arial" w:cs="Arial"/>
          <w:sz w:val="22"/>
          <w:szCs w:val="22"/>
          <w:lang w:val="es-ES_tradnl" w:eastAsia="es-ES" w:bidi="es-ES"/>
        </w:rPr>
      </w:pPr>
    </w:p>
    <w:p w14:paraId="0537D4C8" w14:textId="77777777" w:rsidR="000A0DF7" w:rsidRPr="00097A6E" w:rsidRDefault="000A0DF7" w:rsidP="000A0DF7">
      <w:pPr>
        <w:spacing w:after="120" w:line="276" w:lineRule="auto"/>
        <w:ind w:firstLine="709"/>
        <w:jc w:val="both"/>
        <w:rPr>
          <w:rFonts w:ascii="Arial" w:eastAsia="Arial" w:hAnsi="Arial" w:cs="Arial"/>
          <w:sz w:val="22"/>
          <w:szCs w:val="22"/>
          <w:lang w:val="es-ES_tradnl" w:eastAsia="es-ES" w:bidi="es-ES"/>
        </w:rPr>
      </w:pPr>
      <w:r w:rsidRPr="00097A6E">
        <w:rPr>
          <w:rFonts w:ascii="Arial" w:eastAsia="Arial" w:hAnsi="Arial" w:cs="Arial"/>
          <w:sz w:val="22"/>
          <w:szCs w:val="22"/>
          <w:lang w:val="es-ES_tradnl" w:eastAsia="es-ES" w:bidi="es-ES"/>
        </w:rPr>
        <w:t xml:space="preserve">De lo anterior se desprende que la Ley 996 de 2005 establece dos (2) tipos de restricciones en materia de contratación, las cuales coinciden parcialmente. </w:t>
      </w:r>
      <w:r w:rsidRPr="00097A6E">
        <w:rPr>
          <w:rFonts w:ascii="Arial" w:eastAsia="Arial" w:hAnsi="Arial" w:cs="Arial"/>
          <w:i/>
          <w:iCs/>
          <w:sz w:val="22"/>
          <w:szCs w:val="22"/>
          <w:lang w:val="es-ES_tradnl" w:eastAsia="es-ES" w:bidi="es-ES"/>
        </w:rPr>
        <w:t>En primer lugar</w:t>
      </w:r>
      <w:r w:rsidRPr="00097A6E">
        <w:rPr>
          <w:rFonts w:ascii="Arial" w:eastAsia="Arial" w:hAnsi="Arial" w:cs="Arial"/>
          <w:sz w:val="22"/>
          <w:szCs w:val="22"/>
          <w:lang w:val="es-ES_tradnl"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conforme al artículo 190 de la Constitución Política. Para estos efectos, la restricción se extenderá hasta la fecha en la que se realice la segunda vuelta. </w:t>
      </w:r>
      <w:r w:rsidRPr="00097A6E">
        <w:rPr>
          <w:rFonts w:ascii="Arial" w:eastAsia="Arial" w:hAnsi="Arial" w:cs="Arial"/>
          <w:i/>
          <w:iCs/>
          <w:sz w:val="22"/>
          <w:szCs w:val="22"/>
          <w:lang w:val="es-ES_tradnl" w:eastAsia="es-ES" w:bidi="es-ES"/>
        </w:rPr>
        <w:t>En segundo lugar</w:t>
      </w:r>
      <w:r w:rsidRPr="00097A6E">
        <w:rPr>
          <w:rFonts w:ascii="Arial" w:eastAsia="Arial" w:hAnsi="Arial" w:cs="Arial"/>
          <w:sz w:val="22"/>
          <w:szCs w:val="22"/>
          <w:lang w:val="es-ES_tradnl"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49EABA66" w14:textId="1B6CEC98" w:rsidR="000A0DF7" w:rsidRPr="00097A6E" w:rsidRDefault="000A0DF7" w:rsidP="000A0DF7">
      <w:pPr>
        <w:spacing w:after="120" w:line="276" w:lineRule="auto"/>
        <w:ind w:firstLine="709"/>
        <w:jc w:val="both"/>
        <w:rPr>
          <w:rFonts w:ascii="Arial" w:eastAsia="Arial" w:hAnsi="Arial" w:cs="Arial"/>
          <w:sz w:val="22"/>
          <w:szCs w:val="22"/>
          <w:lang w:val="es-ES_tradnl" w:eastAsia="es-ES" w:bidi="es-ES"/>
        </w:rPr>
      </w:pPr>
      <w:r w:rsidRPr="00097A6E">
        <w:rPr>
          <w:rFonts w:ascii="Arial" w:eastAsia="Arial" w:hAnsi="Arial" w:cs="Arial"/>
          <w:sz w:val="22"/>
          <w:szCs w:val="22"/>
          <w:lang w:val="es-ES_tradnl"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w:t>
      </w:r>
      <w:r w:rsidR="005A3686">
        <w:rPr>
          <w:rFonts w:ascii="Arial" w:eastAsia="Arial" w:hAnsi="Arial" w:cs="Arial"/>
          <w:sz w:val="22"/>
          <w:szCs w:val="22"/>
          <w:lang w:val="es-ES_tradnl" w:eastAsia="es-ES" w:bidi="es-ES"/>
        </w:rPr>
        <w:t>o</w:t>
      </w:r>
      <w:r w:rsidRPr="00097A6E">
        <w:rPr>
          <w:rFonts w:ascii="Arial" w:eastAsia="Arial" w:hAnsi="Arial" w:cs="Arial"/>
          <w:sz w:val="22"/>
          <w:szCs w:val="22"/>
          <w:lang w:val="es-ES_tradnl" w:eastAsia="es-ES" w:bidi="es-ES"/>
        </w:rPr>
        <w:t>lo deben aplicar las restricciones contenidas en el parágrafo del artículo 38.</w:t>
      </w:r>
    </w:p>
    <w:p w14:paraId="4CFDA84E" w14:textId="2CBB63E2" w:rsidR="000A0DF7" w:rsidRPr="00097A6E" w:rsidRDefault="000A0DF7" w:rsidP="000A0DF7">
      <w:pPr>
        <w:spacing w:line="276" w:lineRule="auto"/>
        <w:ind w:firstLine="708"/>
        <w:jc w:val="both"/>
        <w:rPr>
          <w:rFonts w:ascii="Arial" w:eastAsia="Arial" w:hAnsi="Arial" w:cs="Arial"/>
          <w:sz w:val="22"/>
          <w:szCs w:val="22"/>
          <w:lang w:val="es-ES_tradnl" w:eastAsia="es-ES" w:bidi="es-ES"/>
        </w:rPr>
      </w:pPr>
      <w:r w:rsidRPr="00097A6E">
        <w:rPr>
          <w:rFonts w:ascii="Arial" w:eastAsia="Arial" w:hAnsi="Arial" w:cs="Arial"/>
          <w:sz w:val="22"/>
          <w:szCs w:val="22"/>
          <w:lang w:val="es-ES_tradnl" w:eastAsia="es-ES" w:bidi="es-ES"/>
        </w:rPr>
        <w:t>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w:t>
      </w:r>
    </w:p>
    <w:p w14:paraId="3A2E9C97" w14:textId="77777777" w:rsidR="000A0DF7" w:rsidRPr="00097A6E" w:rsidRDefault="000A0DF7" w:rsidP="001854BB">
      <w:pPr>
        <w:spacing w:line="276" w:lineRule="auto"/>
        <w:jc w:val="both"/>
        <w:rPr>
          <w:rFonts w:ascii="Arial" w:eastAsia="Arial" w:hAnsi="Arial" w:cs="Arial"/>
          <w:sz w:val="22"/>
          <w:szCs w:val="22"/>
          <w:lang w:val="es-ES_tradnl" w:eastAsia="es-ES" w:bidi="es-ES"/>
        </w:rPr>
      </w:pPr>
    </w:p>
    <w:p w14:paraId="293A280B" w14:textId="6AC8CF6C" w:rsidR="000A0DF7" w:rsidRPr="00097A6E" w:rsidRDefault="000A0DF7" w:rsidP="000A0DF7">
      <w:pPr>
        <w:spacing w:line="276" w:lineRule="auto"/>
        <w:jc w:val="both"/>
        <w:rPr>
          <w:rFonts w:ascii="Arial" w:hAnsi="Arial" w:cs="Arial"/>
          <w:b/>
          <w:sz w:val="22"/>
          <w:szCs w:val="22"/>
          <w:lang w:val="es-ES_tradnl" w:eastAsia="es-CO"/>
        </w:rPr>
      </w:pPr>
      <w:r w:rsidRPr="00097A6E">
        <w:rPr>
          <w:rFonts w:ascii="Arial" w:hAnsi="Arial" w:cs="Arial"/>
          <w:b/>
          <w:sz w:val="22"/>
          <w:szCs w:val="22"/>
          <w:lang w:val="es-ES_tradnl" w:eastAsia="es-CO"/>
        </w:rPr>
        <w:t xml:space="preserve">2.2. </w:t>
      </w:r>
      <w:r w:rsidRPr="00097A6E">
        <w:rPr>
          <w:rFonts w:ascii="Arial" w:hAnsi="Arial" w:cs="Arial"/>
          <w:b/>
          <w:bCs/>
          <w:sz w:val="22"/>
          <w:szCs w:val="22"/>
          <w:lang w:val="es-ES_tradnl" w:eastAsia="es-CO"/>
        </w:rPr>
        <w:t>Restricciones en elecciones presidenciales</w:t>
      </w:r>
      <w:r w:rsidR="009073A8">
        <w:rPr>
          <w:rFonts w:ascii="Arial" w:hAnsi="Arial" w:cs="Arial"/>
          <w:b/>
          <w:bCs/>
          <w:sz w:val="22"/>
          <w:szCs w:val="22"/>
          <w:lang w:val="es-ES_tradnl" w:eastAsia="es-CO"/>
        </w:rPr>
        <w:t>: prohibición del artículo 33 de la Ley 996 de 2005</w:t>
      </w:r>
      <w:r w:rsidRPr="00097A6E">
        <w:rPr>
          <w:rFonts w:ascii="Arial" w:hAnsi="Arial" w:cs="Arial"/>
          <w:b/>
          <w:bCs/>
          <w:sz w:val="22"/>
          <w:szCs w:val="22"/>
          <w:lang w:val="es-ES_tradnl" w:eastAsia="es-CO"/>
        </w:rPr>
        <w:t xml:space="preserve"> </w:t>
      </w:r>
    </w:p>
    <w:p w14:paraId="371F0A02" w14:textId="77777777" w:rsidR="000A0DF7" w:rsidRPr="00097A6E" w:rsidRDefault="000A0DF7" w:rsidP="000A0DF7">
      <w:pPr>
        <w:spacing w:line="276" w:lineRule="auto"/>
        <w:jc w:val="both"/>
        <w:rPr>
          <w:rFonts w:ascii="Arial" w:hAnsi="Arial" w:cs="Arial"/>
          <w:bCs/>
          <w:sz w:val="22"/>
          <w:szCs w:val="22"/>
          <w:lang w:val="es-ES_tradnl" w:eastAsia="x-none"/>
        </w:rPr>
      </w:pPr>
    </w:p>
    <w:p w14:paraId="3CCFCAAA" w14:textId="77777777" w:rsidR="000A0DF7" w:rsidRPr="00097A6E" w:rsidRDefault="000A0DF7" w:rsidP="000A0DF7">
      <w:pPr>
        <w:spacing w:line="276" w:lineRule="auto"/>
        <w:jc w:val="both"/>
        <w:rPr>
          <w:rFonts w:ascii="Arial" w:hAnsi="Arial" w:cs="Arial"/>
          <w:bCs/>
          <w:sz w:val="22"/>
          <w:szCs w:val="22"/>
          <w:lang w:val="es-ES_tradnl" w:eastAsia="es-CO"/>
        </w:rPr>
      </w:pPr>
      <w:r w:rsidRPr="00097A6E">
        <w:rPr>
          <w:rFonts w:ascii="Arial" w:hAnsi="Arial" w:cs="Arial"/>
          <w:bCs/>
          <w:sz w:val="22"/>
          <w:szCs w:val="22"/>
          <w:lang w:val="es-ES_tradnl" w:eastAsia="x-none"/>
        </w:rPr>
        <w:t xml:space="preserve">El ámbito material de la prohibición contenida en el artículo 33 de la ley 996 de 2005 está delimitado por la expresión </w:t>
      </w:r>
      <w:r w:rsidRPr="00097A6E">
        <w:rPr>
          <w:rFonts w:ascii="Arial" w:eastAsia="Calibri" w:hAnsi="Arial" w:cs="Arial"/>
          <w:bCs/>
          <w:sz w:val="20"/>
          <w:szCs w:val="20"/>
          <w:lang w:val="es-ES_tradnl" w:eastAsia="en-US"/>
        </w:rPr>
        <w:t>«</w:t>
      </w:r>
      <w:r w:rsidRPr="00097A6E">
        <w:rPr>
          <w:rFonts w:ascii="Arial" w:hAnsi="Arial" w:cs="Arial"/>
          <w:bCs/>
          <w:sz w:val="22"/>
          <w:szCs w:val="22"/>
          <w:lang w:val="es-ES_tradnl" w:eastAsia="x-none"/>
        </w:rPr>
        <w:t>queda prohibida la contratación directa</w:t>
      </w:r>
      <w:r w:rsidRPr="00097A6E">
        <w:rPr>
          <w:rFonts w:ascii="Arial" w:eastAsiaTheme="minorHAnsi" w:hAnsi="Arial" w:cs="Arial"/>
          <w:sz w:val="20"/>
          <w:szCs w:val="20"/>
          <w:lang w:val="es-ES_tradnl" w:eastAsia="en-US"/>
        </w:rPr>
        <w:t>»</w:t>
      </w:r>
      <w:r w:rsidRPr="00097A6E">
        <w:rPr>
          <w:rFonts w:ascii="Arial" w:hAnsi="Arial" w:cs="Arial"/>
          <w:bCs/>
          <w:sz w:val="22"/>
          <w:szCs w:val="22"/>
          <w:lang w:val="es-ES_tradnl" w:eastAsia="x-none"/>
        </w:rPr>
        <w:t xml:space="preserve">. </w:t>
      </w:r>
      <w:r w:rsidRPr="00097A6E">
        <w:rPr>
          <w:rFonts w:ascii="Arial" w:hAnsi="Arial" w:cs="Arial"/>
          <w:sz w:val="22"/>
          <w:szCs w:val="22"/>
          <w:lang w:val="es-ES_tradnl" w:eastAsia="es-CO"/>
        </w:rPr>
        <w:t xml:space="preserve"> A propósito de esta restricción de la Ley de Garantías Electorales, la Sala de Consulta y Servicio Civil del Consejo de Estado ha considerado que:</w:t>
      </w:r>
    </w:p>
    <w:p w14:paraId="0A9EB0BB" w14:textId="77777777" w:rsidR="000A0DF7" w:rsidRPr="00097A6E" w:rsidRDefault="000A0DF7" w:rsidP="000A0DF7">
      <w:pPr>
        <w:ind w:left="708" w:right="709"/>
        <w:jc w:val="both"/>
        <w:rPr>
          <w:rFonts w:ascii="Arial" w:eastAsiaTheme="minorHAnsi" w:hAnsi="Arial" w:cs="Arial"/>
          <w:sz w:val="21"/>
          <w:szCs w:val="21"/>
          <w:lang w:val="es-ES_tradnl" w:eastAsia="en-US"/>
        </w:rPr>
      </w:pPr>
    </w:p>
    <w:p w14:paraId="04EEA8AA" w14:textId="77777777" w:rsidR="000A0DF7" w:rsidRPr="00097A6E" w:rsidRDefault="000A0DF7" w:rsidP="000A0DF7">
      <w:pPr>
        <w:spacing w:after="120"/>
        <w:ind w:left="709" w:right="709"/>
        <w:jc w:val="both"/>
        <w:rPr>
          <w:rFonts w:ascii="Arial" w:eastAsiaTheme="minorHAnsi" w:hAnsi="Arial" w:cs="Arial"/>
          <w:sz w:val="21"/>
          <w:szCs w:val="21"/>
          <w:lang w:val="es-ES_tradnl" w:eastAsia="en-US"/>
        </w:rPr>
      </w:pPr>
      <w:r w:rsidRPr="00097A6E">
        <w:rPr>
          <w:rFonts w:ascii="Arial" w:eastAsiaTheme="minorHAnsi" w:hAnsi="Arial" w:cs="Arial"/>
          <w:sz w:val="21"/>
          <w:szCs w:val="21"/>
          <w:lang w:val="es-ES_tradnl" w:eastAsia="en-US"/>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097A6E">
        <w:rPr>
          <w:rFonts w:ascii="Arial" w:hAnsi="Arial" w:cs="Arial"/>
          <w:sz w:val="22"/>
          <w:szCs w:val="22"/>
          <w:vertAlign w:val="superscript"/>
          <w:lang w:val="es-ES_tradnl" w:eastAsia="es-CO"/>
        </w:rPr>
        <w:footnoteReference w:id="15"/>
      </w:r>
      <w:r w:rsidRPr="00097A6E">
        <w:rPr>
          <w:rFonts w:ascii="Arial" w:eastAsiaTheme="minorHAnsi" w:hAnsi="Arial" w:cs="Arial"/>
          <w:sz w:val="21"/>
          <w:szCs w:val="21"/>
          <w:lang w:val="es-ES_tradnl" w:eastAsia="en-US"/>
        </w:rPr>
        <w:t>.</w:t>
      </w:r>
    </w:p>
    <w:p w14:paraId="52C9341C" w14:textId="77777777" w:rsidR="000A0DF7" w:rsidRPr="00097A6E" w:rsidRDefault="000A0DF7" w:rsidP="000A0DF7">
      <w:pPr>
        <w:ind w:left="708" w:right="709"/>
        <w:jc w:val="both"/>
        <w:rPr>
          <w:rFonts w:ascii="Arial" w:eastAsiaTheme="minorHAnsi" w:hAnsi="Arial" w:cs="Arial"/>
          <w:sz w:val="21"/>
          <w:szCs w:val="21"/>
          <w:lang w:val="es-ES_tradnl" w:eastAsia="en-US"/>
        </w:rPr>
      </w:pPr>
      <w:r w:rsidRPr="00097A6E">
        <w:rPr>
          <w:rFonts w:ascii="Arial" w:eastAsiaTheme="minorHAnsi" w:hAnsi="Arial" w:cs="Arial"/>
          <w:sz w:val="21"/>
          <w:szCs w:val="21"/>
          <w:lang w:val="es-ES_tradnl" w:eastAsia="en-US"/>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097A6E">
        <w:rPr>
          <w:rFonts w:ascii="Arial" w:hAnsi="Arial" w:cs="Arial"/>
          <w:sz w:val="21"/>
          <w:szCs w:val="21"/>
          <w:vertAlign w:val="superscript"/>
          <w:lang w:val="es-ES_tradnl" w:eastAsia="en-US"/>
        </w:rPr>
        <w:footnoteReference w:id="16"/>
      </w:r>
      <w:r w:rsidRPr="00097A6E">
        <w:rPr>
          <w:rFonts w:ascii="Arial" w:hAnsi="Arial" w:cs="Arial"/>
          <w:sz w:val="21"/>
          <w:szCs w:val="21"/>
          <w:vertAlign w:val="superscript"/>
          <w:lang w:val="es-ES_tradnl" w:eastAsia="en-US"/>
        </w:rPr>
        <w:t>.</w:t>
      </w:r>
      <w:r w:rsidRPr="00097A6E">
        <w:rPr>
          <w:rFonts w:ascii="Arial" w:eastAsiaTheme="minorHAnsi" w:hAnsi="Arial" w:cs="Arial"/>
          <w:sz w:val="21"/>
          <w:szCs w:val="21"/>
          <w:lang w:val="es-ES_tradnl" w:eastAsia="en-US"/>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097A6E">
        <w:rPr>
          <w:rFonts w:ascii="Arial" w:hAnsi="Arial" w:cs="Arial"/>
          <w:sz w:val="22"/>
          <w:szCs w:val="22"/>
          <w:vertAlign w:val="superscript"/>
          <w:lang w:val="es-ES_tradnl" w:eastAsia="es-CO"/>
        </w:rPr>
        <w:footnoteReference w:id="17"/>
      </w:r>
      <w:r w:rsidRPr="00097A6E">
        <w:rPr>
          <w:rFonts w:ascii="Arial" w:eastAsiaTheme="minorHAnsi" w:hAnsi="Arial" w:cs="Arial"/>
          <w:sz w:val="21"/>
          <w:szCs w:val="21"/>
          <w:lang w:val="es-ES_tradnl" w:eastAsia="en-US"/>
        </w:rPr>
        <w:t xml:space="preserve"> .</w:t>
      </w:r>
    </w:p>
    <w:p w14:paraId="0BE0F269" w14:textId="77777777" w:rsidR="000A0DF7" w:rsidRPr="00097A6E" w:rsidRDefault="000A0DF7" w:rsidP="000A0DF7">
      <w:pPr>
        <w:shd w:val="clear" w:color="auto" w:fill="FFFFFF"/>
        <w:spacing w:line="276" w:lineRule="auto"/>
        <w:ind w:firstLine="709"/>
        <w:jc w:val="both"/>
        <w:rPr>
          <w:rFonts w:ascii="Arial" w:hAnsi="Arial" w:cs="Arial"/>
          <w:sz w:val="22"/>
          <w:szCs w:val="22"/>
          <w:lang w:val="es-ES_tradnl" w:eastAsia="x-none"/>
        </w:rPr>
      </w:pPr>
    </w:p>
    <w:p w14:paraId="4FC0709F" w14:textId="447D3E97" w:rsidR="000A0DF7" w:rsidRPr="00097A6E" w:rsidRDefault="000A0DF7" w:rsidP="000A0DF7">
      <w:pPr>
        <w:spacing w:after="120" w:line="276" w:lineRule="auto"/>
        <w:ind w:firstLine="708"/>
        <w:jc w:val="both"/>
        <w:rPr>
          <w:rFonts w:ascii="Arial" w:hAnsi="Arial" w:cs="Arial"/>
          <w:bCs/>
          <w:sz w:val="22"/>
          <w:szCs w:val="22"/>
          <w:lang w:val="es-ES_tradnl" w:eastAsia="x-none"/>
        </w:rPr>
      </w:pPr>
      <w:r w:rsidRPr="00097A6E">
        <w:rPr>
          <w:rFonts w:ascii="Arial" w:hAnsi="Arial" w:cs="Arial"/>
          <w:sz w:val="22"/>
          <w:szCs w:val="22"/>
          <w:lang w:val="es-ES_tradnl" w:eastAsia="x-none"/>
        </w:rPr>
        <w:t xml:space="preserve">De acuerdo con el citado concepto, la prohibición del artículo 33 de la Ley de Garantías Electorales se refiere a </w:t>
      </w:r>
      <w:r w:rsidRPr="00097A6E">
        <w:rPr>
          <w:rFonts w:ascii="Arial" w:hAnsi="Arial" w:cs="Arial"/>
          <w:sz w:val="19"/>
          <w:szCs w:val="19"/>
          <w:lang w:val="es-ES_tradnl" w:eastAsia="en-GB"/>
        </w:rPr>
        <w:t>«</w:t>
      </w:r>
      <w:r w:rsidRPr="00097A6E">
        <w:rPr>
          <w:rFonts w:ascii="Arial" w:hAnsi="Arial" w:cs="Arial"/>
          <w:sz w:val="22"/>
          <w:szCs w:val="22"/>
          <w:lang w:val="es-ES_tradnl" w:eastAsia="x-none"/>
        </w:rPr>
        <w:t>cualquier sistema que no implique convocatoria pública y posibilidad de pluralidad de oferentes</w:t>
      </w:r>
      <w:r w:rsidRPr="00097A6E">
        <w:rPr>
          <w:rFonts w:ascii="Arial" w:hAnsi="Arial" w:cs="Arial"/>
          <w:sz w:val="22"/>
          <w:szCs w:val="22"/>
          <w:lang w:val="es-ES_tradnl" w:eastAsia="en-GB"/>
        </w:rPr>
        <w:t>»</w:t>
      </w:r>
      <w:r w:rsidRPr="00097A6E">
        <w:rPr>
          <w:rFonts w:ascii="Arial" w:hAnsi="Arial" w:cs="Arial"/>
          <w:sz w:val="22"/>
          <w:szCs w:val="22"/>
          <w:lang w:val="es-ES_tradnl" w:eastAsia="x-none"/>
        </w:rPr>
        <w:t>, por lo que excluye las demás modalidades de contratación previstas en la Ley 1150 de 2007, es decir, la licitación pública, la selección abreviada</w:t>
      </w:r>
      <w:r w:rsidR="005A3686">
        <w:rPr>
          <w:rFonts w:ascii="Arial" w:hAnsi="Arial" w:cs="Arial"/>
          <w:sz w:val="22"/>
          <w:szCs w:val="22"/>
          <w:lang w:val="es-ES_tradnl" w:eastAsia="x-none"/>
        </w:rPr>
        <w:t>,</w:t>
      </w:r>
      <w:r w:rsidRPr="00097A6E">
        <w:rPr>
          <w:rFonts w:ascii="Arial" w:hAnsi="Arial" w:cs="Arial"/>
          <w:sz w:val="22"/>
          <w:szCs w:val="22"/>
          <w:lang w:val="es-ES_tradnl" w:eastAsia="x-none"/>
        </w:rPr>
        <w:t xml:space="preserve"> el concurso de méritos </w:t>
      </w:r>
      <w:r w:rsidR="005A3686">
        <w:rPr>
          <w:rFonts w:ascii="Arial" w:hAnsi="Arial" w:cs="Arial"/>
          <w:sz w:val="22"/>
          <w:szCs w:val="22"/>
          <w:lang w:val="es-ES_tradnl" w:eastAsia="x-none"/>
        </w:rPr>
        <w:t xml:space="preserve">y la mínima cuantía </w:t>
      </w:r>
      <w:r w:rsidRPr="00097A6E">
        <w:rPr>
          <w:rFonts w:ascii="Arial" w:hAnsi="Arial" w:cs="Arial"/>
          <w:sz w:val="22"/>
          <w:szCs w:val="22"/>
          <w:lang w:val="es-ES_tradnl" w:eastAsia="x-none"/>
        </w:rPr>
        <w:t>u otros previstos en normas especiales</w:t>
      </w:r>
      <w:r w:rsidR="009919B0">
        <w:rPr>
          <w:rFonts w:ascii="Arial" w:hAnsi="Arial" w:cs="Arial"/>
          <w:sz w:val="22"/>
          <w:szCs w:val="22"/>
          <w:lang w:val="es-ES_tradnl" w:eastAsia="x-none"/>
        </w:rPr>
        <w:t>, que contemplen en alguna de sus etapas la posible participación de pluralidad de oferentes</w:t>
      </w:r>
      <w:r w:rsidRPr="00097A6E">
        <w:rPr>
          <w:rFonts w:ascii="Arial" w:hAnsi="Arial" w:cs="Arial"/>
          <w:sz w:val="22"/>
          <w:szCs w:val="22"/>
          <w:lang w:val="es-ES_tradnl" w:eastAsia="x-none"/>
        </w:rPr>
        <w:t>. Esta posición es congruente con la expedición de la Ley 1150 de 2007 que, entre otras reformas, introdujo la selección abreviada, rediseñó el concurso de méritos</w:t>
      </w:r>
      <w:r w:rsidRPr="00097A6E">
        <w:rPr>
          <w:rFonts w:ascii="Arial" w:hAnsi="Arial" w:cs="Arial"/>
          <w:sz w:val="22"/>
          <w:szCs w:val="22"/>
          <w:vertAlign w:val="superscript"/>
          <w:lang w:val="es-ES_tradnl" w:eastAsia="x-none"/>
        </w:rPr>
        <w:footnoteReference w:id="18"/>
      </w:r>
      <w:r w:rsidRPr="00097A6E">
        <w:rPr>
          <w:rFonts w:ascii="Arial" w:hAnsi="Arial" w:cs="Arial"/>
          <w:sz w:val="22"/>
          <w:szCs w:val="22"/>
          <w:lang w:val="es-ES_tradnl" w:eastAsia="x-none"/>
        </w:rPr>
        <w:t xml:space="preserve"> y </w:t>
      </w:r>
      <w:r w:rsidRPr="00097A6E">
        <w:rPr>
          <w:rFonts w:ascii="Arial" w:hAnsi="Arial" w:cs="Arial"/>
          <w:sz w:val="22"/>
          <w:szCs w:val="22"/>
          <w:lang w:val="es-ES_tradnl" w:eastAsia="x-none"/>
        </w:rPr>
        <w:lastRenderedPageBreak/>
        <w:t>sistematizó las causales de contratación directa</w:t>
      </w:r>
      <w:r w:rsidRPr="00097A6E">
        <w:rPr>
          <w:rFonts w:ascii="Arial" w:hAnsi="Arial" w:cs="Arial"/>
          <w:sz w:val="22"/>
          <w:szCs w:val="22"/>
          <w:vertAlign w:val="superscript"/>
          <w:lang w:val="es-ES_tradnl" w:eastAsia="x-none"/>
        </w:rPr>
        <w:footnoteReference w:id="19"/>
      </w:r>
      <w:r w:rsidR="009919B0">
        <w:rPr>
          <w:rFonts w:ascii="Arial" w:hAnsi="Arial" w:cs="Arial"/>
          <w:sz w:val="22"/>
          <w:szCs w:val="22"/>
          <w:lang w:val="es-ES_tradnl" w:eastAsia="x-none"/>
        </w:rPr>
        <w:t xml:space="preserve">, </w:t>
      </w:r>
      <w:r w:rsidR="009919B0" w:rsidRPr="006078F3">
        <w:rPr>
          <w:rFonts w:ascii="Arial" w:eastAsiaTheme="minorHAnsi" w:hAnsi="Arial" w:cs="Arial"/>
          <w:color w:val="000000" w:themeColor="text1"/>
          <w:sz w:val="22"/>
          <w:lang w:eastAsia="x-none"/>
        </w:rPr>
        <w:t>además lo es con la posterior creación de la modalidad de mínima cuantía establecida actualmente en el numeral 5 del artículo 2 de la Ley 1150 de 2007, de acuerdo con las modificaciones realizadas por leyes posteriores.</w:t>
      </w:r>
      <w:r w:rsidRPr="00097A6E">
        <w:rPr>
          <w:rFonts w:ascii="Arial" w:hAnsi="Arial" w:cs="Arial"/>
          <w:sz w:val="22"/>
          <w:szCs w:val="22"/>
          <w:lang w:val="es-ES_tradnl" w:eastAsia="x-none"/>
        </w:rPr>
        <w:t xml:space="preserve"> </w:t>
      </w:r>
    </w:p>
    <w:p w14:paraId="24AD72BC" w14:textId="77777777" w:rsidR="000A0DF7" w:rsidRPr="00097A6E" w:rsidRDefault="000A0DF7" w:rsidP="000A0DF7">
      <w:pPr>
        <w:spacing w:after="120" w:line="276" w:lineRule="auto"/>
        <w:ind w:firstLine="708"/>
        <w:jc w:val="both"/>
        <w:rPr>
          <w:rFonts w:ascii="Arial" w:hAnsi="Arial" w:cs="Arial"/>
          <w:sz w:val="22"/>
          <w:szCs w:val="22"/>
          <w:lang w:val="es-ES_tradnl" w:eastAsia="x-none"/>
        </w:rPr>
      </w:pPr>
      <w:r w:rsidRPr="00097A6E">
        <w:rPr>
          <w:rFonts w:ascii="Arial" w:hAnsi="Arial" w:cs="Arial"/>
          <w:sz w:val="22"/>
          <w:szCs w:val="22"/>
          <w:lang w:val="es-ES_tradnl" w:eastAsia="x-none"/>
        </w:rPr>
        <w:t xml:space="preserve">De esta forma, con fundamento en la evolución de la normativa sobre la contratación pública, se ha depurado la noción de </w:t>
      </w:r>
      <w:r w:rsidRPr="001329AC">
        <w:rPr>
          <w:rFonts w:ascii="Arial" w:hAnsi="Arial" w:cs="Arial"/>
          <w:sz w:val="22"/>
          <w:szCs w:val="22"/>
          <w:lang w:val="es-ES_tradnl" w:eastAsia="en-GB"/>
        </w:rPr>
        <w:t>«</w:t>
      </w:r>
      <w:r w:rsidRPr="00097A6E">
        <w:rPr>
          <w:rFonts w:ascii="Arial" w:hAnsi="Arial" w:cs="Arial"/>
          <w:sz w:val="22"/>
          <w:szCs w:val="22"/>
          <w:lang w:val="es-ES_tradnl" w:eastAsia="x-none"/>
        </w:rPr>
        <w:t>contratación directa</w:t>
      </w:r>
      <w:r w:rsidRPr="00097A6E">
        <w:rPr>
          <w:rFonts w:ascii="Arial" w:hAnsi="Arial" w:cs="Arial"/>
          <w:sz w:val="22"/>
          <w:szCs w:val="22"/>
          <w:lang w:val="es-ES_tradnl" w:eastAsia="en-GB"/>
        </w:rPr>
        <w:t>»</w:t>
      </w:r>
      <w:r w:rsidRPr="00097A6E">
        <w:rPr>
          <w:rFonts w:ascii="Arial" w:hAnsi="Arial" w:cs="Arial"/>
          <w:sz w:val="22"/>
          <w:szCs w:val="22"/>
          <w:lang w:val="es-ES_tradnl"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097A6E">
        <w:rPr>
          <w:rFonts w:ascii="Arial" w:hAnsi="Arial" w:cs="Arial"/>
          <w:sz w:val="22"/>
          <w:szCs w:val="22"/>
          <w:vertAlign w:val="superscript"/>
          <w:lang w:val="es-ES_tradnl" w:eastAsia="x-none"/>
        </w:rPr>
        <w:footnoteReference w:id="20"/>
      </w:r>
      <w:r w:rsidRPr="00097A6E">
        <w:rPr>
          <w:rFonts w:ascii="Arial" w:hAnsi="Arial" w:cs="Arial"/>
          <w:sz w:val="22"/>
          <w:szCs w:val="22"/>
          <w:lang w:val="es-ES_tradnl" w:eastAsia="x-none"/>
        </w:rPr>
        <w:t>, han establecido sistemas de contratación que implican convocatoria pública y participación de varios oferentes</w:t>
      </w:r>
      <w:r w:rsidRPr="00097A6E">
        <w:rPr>
          <w:rFonts w:ascii="Arial" w:hAnsi="Arial" w:cs="Arial"/>
          <w:sz w:val="22"/>
          <w:szCs w:val="22"/>
          <w:lang w:val="es-ES_tradnl" w:eastAsia="en-GB"/>
        </w:rPr>
        <w:t>»</w:t>
      </w:r>
      <w:r w:rsidRPr="00097A6E">
        <w:rPr>
          <w:rFonts w:ascii="Arial" w:hAnsi="Arial" w:cs="Arial"/>
          <w:sz w:val="22"/>
          <w:szCs w:val="22"/>
          <w:lang w:val="es-ES_tradnl" w:eastAsia="x-none"/>
        </w:rPr>
        <w:t xml:space="preserve">. </w:t>
      </w:r>
    </w:p>
    <w:p w14:paraId="2D174A26" w14:textId="77777777" w:rsidR="000A0DF7" w:rsidRPr="00097A6E" w:rsidRDefault="000A0DF7" w:rsidP="000A0DF7">
      <w:pPr>
        <w:spacing w:after="120" w:line="276" w:lineRule="auto"/>
        <w:ind w:firstLine="708"/>
        <w:jc w:val="both"/>
        <w:rPr>
          <w:rFonts w:ascii="Arial" w:hAnsi="Arial" w:cs="Arial"/>
          <w:bCs/>
          <w:sz w:val="22"/>
          <w:szCs w:val="22"/>
          <w:lang w:val="es-ES_tradnl" w:eastAsia="es-CO"/>
        </w:rPr>
      </w:pPr>
      <w:r w:rsidRPr="00097A6E">
        <w:rPr>
          <w:rFonts w:ascii="Arial" w:hAnsi="Arial" w:cs="Arial"/>
          <w:bCs/>
          <w:sz w:val="22"/>
          <w:szCs w:val="22"/>
          <w:lang w:val="es-ES_tradnl" w:eastAsia="x-none"/>
        </w:rPr>
        <w:t>E</w:t>
      </w:r>
      <w:r w:rsidRPr="00097A6E">
        <w:rPr>
          <w:rFonts w:ascii="Arial" w:hAnsi="Arial" w:cs="Arial"/>
          <w:sz w:val="22"/>
          <w:szCs w:val="22"/>
          <w:lang w:val="es-ES_tradnl"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097A6E">
        <w:rPr>
          <w:rFonts w:ascii="Arial" w:hAnsi="Arial" w:cs="Arial"/>
          <w:sz w:val="22"/>
          <w:szCs w:val="22"/>
          <w:vertAlign w:val="superscript"/>
          <w:lang w:val="es-ES_tradnl" w:eastAsia="x-none"/>
        </w:rPr>
        <w:footnoteReference w:id="21"/>
      </w:r>
      <w:r w:rsidRPr="00097A6E">
        <w:rPr>
          <w:rFonts w:ascii="Arial" w:hAnsi="Arial" w:cs="Arial"/>
          <w:sz w:val="22"/>
          <w:szCs w:val="22"/>
          <w:lang w:val="es-ES_tradnl" w:eastAsia="x-none"/>
        </w:rPr>
        <w:t xml:space="preserve">. </w:t>
      </w:r>
    </w:p>
    <w:p w14:paraId="718461F4" w14:textId="13D70B7D" w:rsidR="000A0DF7" w:rsidRPr="00097A6E" w:rsidRDefault="000A0DF7" w:rsidP="000A0DF7">
      <w:pPr>
        <w:spacing w:after="120" w:line="276" w:lineRule="auto"/>
        <w:ind w:firstLine="708"/>
        <w:jc w:val="both"/>
        <w:rPr>
          <w:rFonts w:ascii="Arial" w:hAnsi="Arial" w:cs="Arial"/>
          <w:bCs/>
          <w:sz w:val="22"/>
          <w:szCs w:val="22"/>
          <w:lang w:val="es-ES_tradnl" w:eastAsia="es-CO"/>
        </w:rPr>
      </w:pPr>
      <w:r w:rsidRPr="00097A6E">
        <w:rPr>
          <w:rFonts w:ascii="Arial" w:hAnsi="Arial" w:cs="Arial"/>
          <w:bCs/>
          <w:sz w:val="22"/>
          <w:szCs w:val="22"/>
          <w:lang w:val="es-ES_tradnl" w:eastAsia="es-CO"/>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w:t>
      </w:r>
      <w:r w:rsidR="009919B0">
        <w:rPr>
          <w:rFonts w:ascii="Arial" w:hAnsi="Arial" w:cs="Arial"/>
          <w:bCs/>
          <w:sz w:val="22"/>
          <w:szCs w:val="22"/>
          <w:lang w:val="es-ES_tradnl" w:eastAsia="es-CO"/>
        </w:rPr>
        <w:t>G</w:t>
      </w:r>
      <w:r w:rsidRPr="00097A6E">
        <w:rPr>
          <w:rFonts w:ascii="Arial" w:hAnsi="Arial" w:cs="Arial"/>
          <w:bCs/>
          <w:sz w:val="22"/>
          <w:szCs w:val="22"/>
          <w:lang w:val="es-ES_tradnl" w:eastAsia="es-CO"/>
        </w:rPr>
        <w:t>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7EAEB8C9" w14:textId="77777777" w:rsidR="000A0DF7" w:rsidRPr="00097A6E" w:rsidRDefault="000A0DF7" w:rsidP="000A0DF7">
      <w:pPr>
        <w:spacing w:after="120" w:line="276" w:lineRule="auto"/>
        <w:ind w:firstLine="708"/>
        <w:jc w:val="both"/>
        <w:rPr>
          <w:rFonts w:ascii="Arial" w:hAnsi="Arial" w:cs="Arial"/>
          <w:bCs/>
          <w:sz w:val="22"/>
          <w:szCs w:val="22"/>
          <w:lang w:val="es-ES_tradnl" w:eastAsia="x-none"/>
        </w:rPr>
      </w:pPr>
      <w:r w:rsidRPr="00097A6E">
        <w:rPr>
          <w:rFonts w:ascii="Arial" w:hAnsi="Arial" w:cs="Arial"/>
          <w:bCs/>
          <w:sz w:val="22"/>
          <w:szCs w:val="22"/>
          <w:lang w:val="es-ES_tradnl"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w:t>
      </w:r>
      <w:r w:rsidRPr="00097A6E">
        <w:rPr>
          <w:rFonts w:ascii="Arial" w:hAnsi="Arial" w:cs="Arial"/>
          <w:bCs/>
          <w:sz w:val="22"/>
          <w:szCs w:val="22"/>
          <w:lang w:val="es-ES_tradnl" w:eastAsia="x-none"/>
        </w:rPr>
        <w:lastRenderedPageBreak/>
        <w:t>contratación utilizado por las entidades estatales que no incluya la convocatoria pública en alguna de sus etapas, ni permita la participación de una pluralidad de oferentes</w:t>
      </w:r>
      <w:r w:rsidRPr="00097A6E">
        <w:rPr>
          <w:rFonts w:ascii="Arial" w:hAnsi="Arial" w:cs="Arial"/>
          <w:sz w:val="22"/>
          <w:szCs w:val="22"/>
          <w:vertAlign w:val="superscript"/>
          <w:lang w:val="es-ES_tradnl" w:eastAsia="x-none"/>
        </w:rPr>
        <w:footnoteReference w:id="22"/>
      </w:r>
      <w:r w:rsidRPr="00097A6E">
        <w:rPr>
          <w:rFonts w:ascii="Arial" w:hAnsi="Arial" w:cs="Arial"/>
          <w:bCs/>
          <w:sz w:val="22"/>
          <w:szCs w:val="22"/>
          <w:lang w:val="es-ES_tradnl" w:eastAsia="x-none"/>
        </w:rPr>
        <w:t>.</w:t>
      </w:r>
      <w:r w:rsidRPr="00097A6E">
        <w:rPr>
          <w:rFonts w:ascii="Arial" w:hAnsi="Arial" w:cs="Arial"/>
          <w:sz w:val="22"/>
          <w:szCs w:val="22"/>
          <w:vertAlign w:val="superscript"/>
          <w:lang w:val="es-ES_tradnl" w:eastAsia="x-none"/>
        </w:rPr>
        <w:t xml:space="preserve"> </w:t>
      </w:r>
    </w:p>
    <w:p w14:paraId="0FF3EDA2" w14:textId="778E6C46" w:rsidR="000A0DF7" w:rsidRPr="00097A6E" w:rsidRDefault="000A0DF7" w:rsidP="000A0DF7">
      <w:pPr>
        <w:spacing w:after="120" w:line="276" w:lineRule="auto"/>
        <w:ind w:firstLine="708"/>
        <w:jc w:val="both"/>
        <w:rPr>
          <w:rFonts w:ascii="Arial" w:hAnsi="Arial" w:cs="Arial"/>
          <w:sz w:val="22"/>
          <w:szCs w:val="22"/>
          <w:lang w:val="es-ES_tradnl" w:eastAsia="x-none"/>
        </w:rPr>
      </w:pPr>
      <w:r w:rsidRPr="00097A6E">
        <w:rPr>
          <w:rFonts w:ascii="Arial" w:hAnsi="Arial" w:cs="Arial"/>
          <w:bCs/>
          <w:sz w:val="22"/>
          <w:szCs w:val="22"/>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097A6E">
        <w:rPr>
          <w:rFonts w:ascii="Arial" w:hAnsi="Arial" w:cs="Arial"/>
          <w:sz w:val="22"/>
          <w:szCs w:val="22"/>
          <w:lang w:val="es-ES_tradnl" w:eastAsia="x-none"/>
        </w:rPr>
        <w:t xml:space="preserve"> Por tanto, no son materia de la prohibición las demás modalidades de selección previstas en la Ley 1150 de 2007, es decir, la licitación pública, el concurso de méritos</w:t>
      </w:r>
      <w:r w:rsidR="009919B0">
        <w:rPr>
          <w:rFonts w:ascii="Arial" w:hAnsi="Arial" w:cs="Arial"/>
          <w:sz w:val="22"/>
          <w:szCs w:val="22"/>
          <w:lang w:val="es-ES_tradnl" w:eastAsia="x-none"/>
        </w:rPr>
        <w:t>,</w:t>
      </w:r>
      <w:r w:rsidRPr="00097A6E">
        <w:rPr>
          <w:rFonts w:ascii="Arial" w:hAnsi="Arial" w:cs="Arial"/>
          <w:sz w:val="22"/>
          <w:szCs w:val="22"/>
          <w:lang w:val="es-ES_tradnl" w:eastAsia="x-none"/>
        </w:rPr>
        <w:t xml:space="preserve"> la selección abreviada</w:t>
      </w:r>
      <w:r w:rsidR="009919B0">
        <w:rPr>
          <w:rFonts w:ascii="Arial" w:hAnsi="Arial" w:cs="Arial"/>
          <w:sz w:val="22"/>
          <w:szCs w:val="22"/>
          <w:lang w:val="es-ES_tradnl" w:eastAsia="x-none"/>
        </w:rPr>
        <w:t xml:space="preserve"> y la mínima cuantía,</w:t>
      </w:r>
      <w:r w:rsidRPr="00097A6E">
        <w:rPr>
          <w:rFonts w:ascii="Arial" w:hAnsi="Arial" w:cs="Arial"/>
          <w:sz w:val="22"/>
          <w:szCs w:val="22"/>
          <w:lang w:val="es-ES_tradnl" w:eastAsia="x-none"/>
        </w:rPr>
        <w:t xml:space="preserve"> razón por la cual en ese período preelectoral de que trata la disposición las entidades públicas </w:t>
      </w:r>
      <w:r w:rsidR="009919B0" w:rsidRPr="00097A6E">
        <w:rPr>
          <w:rFonts w:ascii="Arial" w:hAnsi="Arial" w:cs="Arial"/>
          <w:sz w:val="22"/>
          <w:szCs w:val="22"/>
          <w:lang w:val="es-ES_tradnl" w:eastAsia="x-none"/>
        </w:rPr>
        <w:t xml:space="preserve">pueden </w:t>
      </w:r>
      <w:r w:rsidRPr="00097A6E">
        <w:rPr>
          <w:rFonts w:ascii="Arial" w:hAnsi="Arial" w:cs="Arial"/>
          <w:sz w:val="22"/>
          <w:szCs w:val="22"/>
          <w:lang w:val="es-ES_tradnl" w:eastAsia="x-none"/>
        </w:rPr>
        <w:t xml:space="preserve">seguir contratando bajo estos </w:t>
      </w:r>
      <w:r w:rsidR="004C033C" w:rsidRPr="00097A6E">
        <w:rPr>
          <w:rFonts w:ascii="Arial" w:hAnsi="Arial" w:cs="Arial"/>
          <w:sz w:val="22"/>
          <w:szCs w:val="22"/>
          <w:lang w:val="es-ES_tradnl" w:eastAsia="x-none"/>
        </w:rPr>
        <w:t>procedimientos</w:t>
      </w:r>
      <w:r w:rsidRPr="00097A6E">
        <w:rPr>
          <w:rFonts w:ascii="Arial" w:hAnsi="Arial" w:cs="Arial"/>
          <w:sz w:val="22"/>
          <w:szCs w:val="22"/>
          <w:lang w:val="es-ES_tradnl" w:eastAsia="x-none"/>
        </w:rPr>
        <w:t>.</w:t>
      </w:r>
    </w:p>
    <w:p w14:paraId="1BF02803" w14:textId="3338257F" w:rsidR="000A0DF7" w:rsidRPr="00097A6E" w:rsidRDefault="000A0DF7" w:rsidP="000A0DF7">
      <w:pPr>
        <w:spacing w:after="120" w:line="276" w:lineRule="auto"/>
        <w:ind w:firstLine="708"/>
        <w:jc w:val="both"/>
        <w:rPr>
          <w:rFonts w:ascii="Arial" w:hAnsi="Arial" w:cs="Arial"/>
          <w:bCs/>
          <w:sz w:val="22"/>
          <w:szCs w:val="22"/>
          <w:lang w:val="es-ES_tradnl" w:eastAsia="x-none"/>
        </w:rPr>
      </w:pPr>
      <w:r w:rsidRPr="00097A6E">
        <w:rPr>
          <w:rFonts w:ascii="Arial" w:hAnsi="Arial" w:cs="Arial"/>
          <w:bCs/>
          <w:sz w:val="22"/>
          <w:szCs w:val="22"/>
          <w:lang w:val="es-ES_tradnl"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w:t>
      </w:r>
      <w:r w:rsidR="00577458" w:rsidRPr="00097A6E">
        <w:rPr>
          <w:rStyle w:val="Refdenotaalpie"/>
          <w:rFonts w:ascii="Arial" w:hAnsi="Arial" w:cs="Arial"/>
          <w:bCs/>
          <w:sz w:val="22"/>
          <w:szCs w:val="22"/>
          <w:lang w:val="es-ES_tradnl" w:eastAsia="es-CO"/>
        </w:rPr>
        <w:footnoteReference w:id="23"/>
      </w:r>
      <w:r w:rsidR="00A4495C" w:rsidRPr="00097A6E">
        <w:rPr>
          <w:rFonts w:ascii="Arial" w:hAnsi="Arial" w:cs="Arial"/>
          <w:bCs/>
          <w:sz w:val="22"/>
          <w:szCs w:val="22"/>
          <w:lang w:val="es-ES_tradnl" w:eastAsia="es-CO"/>
        </w:rPr>
        <w:t>. Esto</w:t>
      </w:r>
      <w:r w:rsidRPr="00097A6E">
        <w:rPr>
          <w:rFonts w:ascii="Arial" w:hAnsi="Arial" w:cs="Arial"/>
          <w:bCs/>
          <w:sz w:val="22"/>
          <w:szCs w:val="22"/>
          <w:lang w:val="es-ES_tradnl" w:eastAsia="es-CO"/>
        </w:rPr>
        <w:t xml:space="preserve"> sin que ello haga nugatoria la restricción de la contratación directa y siempre que cumplan los principios de planeación, transparencia y responsabilidad.</w:t>
      </w:r>
    </w:p>
    <w:p w14:paraId="673BAB7E" w14:textId="2DDCA328" w:rsidR="000A0DF7" w:rsidRPr="00097A6E" w:rsidRDefault="000A0DF7" w:rsidP="000A0DF7">
      <w:pPr>
        <w:spacing w:after="120" w:line="276" w:lineRule="auto"/>
        <w:ind w:firstLine="708"/>
        <w:jc w:val="both"/>
        <w:rPr>
          <w:rFonts w:ascii="Arial" w:hAnsi="Arial" w:cs="Arial"/>
          <w:bCs/>
          <w:sz w:val="22"/>
          <w:szCs w:val="22"/>
          <w:lang w:val="es-ES_tradnl" w:eastAsia="es-CO"/>
        </w:rPr>
      </w:pPr>
      <w:r w:rsidRPr="00097A6E">
        <w:rPr>
          <w:rFonts w:ascii="Arial" w:hAnsi="Arial" w:cs="Arial"/>
          <w:bCs/>
          <w:sz w:val="22"/>
          <w:szCs w:val="22"/>
          <w:lang w:val="es-ES_tradnl" w:eastAsia="x-none"/>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w:t>
      </w:r>
      <w:r w:rsidR="009919B0">
        <w:rPr>
          <w:rFonts w:ascii="Arial" w:hAnsi="Arial" w:cs="Arial"/>
          <w:bCs/>
          <w:sz w:val="22"/>
          <w:szCs w:val="22"/>
          <w:lang w:val="es-ES_tradnl" w:eastAsia="x-none"/>
        </w:rPr>
        <w:t>,</w:t>
      </w:r>
      <w:r w:rsidRPr="00097A6E">
        <w:rPr>
          <w:rFonts w:ascii="Arial" w:hAnsi="Arial" w:cs="Arial"/>
          <w:bCs/>
          <w:sz w:val="22"/>
          <w:szCs w:val="22"/>
          <w:lang w:val="es-ES_tradnl" w:eastAsia="x-none"/>
        </w:rPr>
        <w:t xml:space="preserve">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097A6E">
        <w:rPr>
          <w:rFonts w:ascii="Arial" w:hAnsi="Arial" w:cs="Arial"/>
          <w:bCs/>
          <w:sz w:val="22"/>
          <w:szCs w:val="22"/>
          <w:lang w:val="es-ES_tradnl"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29827E3D" w14:textId="77777777" w:rsidR="00025E0C" w:rsidRPr="00097A6E" w:rsidRDefault="000A0DF7" w:rsidP="00025E0C">
      <w:pPr>
        <w:spacing w:line="276" w:lineRule="auto"/>
        <w:ind w:firstLine="708"/>
        <w:jc w:val="both"/>
        <w:rPr>
          <w:rFonts w:ascii="Arial" w:hAnsi="Arial" w:cs="Arial"/>
          <w:bCs/>
          <w:sz w:val="22"/>
          <w:szCs w:val="22"/>
          <w:lang w:val="es-ES_tradnl" w:eastAsia="x-none"/>
        </w:rPr>
      </w:pPr>
      <w:r w:rsidRPr="00097A6E">
        <w:rPr>
          <w:rFonts w:ascii="Arial" w:hAnsi="Arial" w:cs="Arial"/>
          <w:bCs/>
          <w:sz w:val="22"/>
          <w:szCs w:val="22"/>
          <w:lang w:val="es-ES_tradnl" w:eastAsia="x-none"/>
        </w:rPr>
        <w:t xml:space="preserve">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w:t>
      </w:r>
      <w:r w:rsidRPr="00097A6E">
        <w:rPr>
          <w:rFonts w:ascii="Arial" w:hAnsi="Arial" w:cs="Arial"/>
          <w:bCs/>
          <w:sz w:val="22"/>
          <w:szCs w:val="22"/>
          <w:lang w:val="es-ES_tradnl" w:eastAsia="x-none"/>
        </w:rPr>
        <w:lastRenderedPageBreak/>
        <w:t>ejecutivo, como son los inmersos en las excepciones para la prohibición de contratación»</w:t>
      </w:r>
      <w:r w:rsidRPr="00097A6E">
        <w:rPr>
          <w:rFonts w:ascii="Arial" w:eastAsiaTheme="minorHAnsi" w:hAnsi="Arial" w:cs="Arial"/>
          <w:sz w:val="22"/>
          <w:szCs w:val="22"/>
          <w:vertAlign w:val="superscript"/>
          <w:lang w:val="es-ES_tradnl" w:eastAsia="en-US"/>
        </w:rPr>
        <w:footnoteReference w:id="24"/>
      </w:r>
      <w:r w:rsidRPr="00097A6E">
        <w:rPr>
          <w:rFonts w:ascii="Arial" w:hAnsi="Arial" w:cs="Arial"/>
          <w:bCs/>
          <w:sz w:val="22"/>
          <w:szCs w:val="22"/>
          <w:lang w:val="es-ES_tradnl"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22FC5615" w14:textId="39178632" w:rsidR="000A0DF7" w:rsidRPr="00097A6E" w:rsidRDefault="000A0DF7" w:rsidP="00025E0C">
      <w:pPr>
        <w:spacing w:before="120" w:line="276" w:lineRule="auto"/>
        <w:ind w:firstLine="709"/>
        <w:jc w:val="both"/>
        <w:rPr>
          <w:rFonts w:ascii="Arial" w:hAnsi="Arial" w:cs="Arial"/>
          <w:bCs/>
          <w:sz w:val="22"/>
          <w:szCs w:val="22"/>
          <w:lang w:val="es-ES_tradnl" w:eastAsia="x-none"/>
        </w:rPr>
      </w:pPr>
      <w:r w:rsidRPr="00097A6E">
        <w:rPr>
          <w:rFonts w:ascii="Arial" w:hAnsi="Arial" w:cs="Arial"/>
          <w:bCs/>
          <w:sz w:val="22"/>
          <w:szCs w:val="22"/>
          <w:lang w:val="es-ES_tradnl"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097A6E">
        <w:rPr>
          <w:rFonts w:ascii="Arial" w:eastAsiaTheme="minorHAnsi" w:hAnsi="Arial" w:cs="Arial"/>
          <w:szCs w:val="22"/>
          <w:lang w:val="es-ES_tradnl" w:eastAsia="en-US"/>
        </w:rPr>
        <w:t xml:space="preserve"> </w:t>
      </w:r>
      <w:r w:rsidRPr="00097A6E">
        <w:rPr>
          <w:rFonts w:ascii="Arial" w:hAnsi="Arial" w:cs="Arial"/>
          <w:bCs/>
          <w:sz w:val="22"/>
          <w:szCs w:val="22"/>
          <w:lang w:val="es-ES_tradnl" w:eastAsia="x-none"/>
        </w:rPr>
        <w:t>En efecto, tal como lo ha sostenido el Consejo de E</w:t>
      </w:r>
      <w:r w:rsidR="006F3FD3">
        <w:rPr>
          <w:rFonts w:ascii="Arial" w:hAnsi="Arial" w:cs="Arial"/>
          <w:bCs/>
          <w:sz w:val="22"/>
          <w:szCs w:val="22"/>
          <w:lang w:val="es-ES_tradnl" w:eastAsia="x-none"/>
        </w:rPr>
        <w:tab/>
      </w:r>
      <w:r w:rsidRPr="00097A6E">
        <w:rPr>
          <w:rFonts w:ascii="Arial" w:hAnsi="Arial" w:cs="Arial"/>
          <w:bCs/>
          <w:sz w:val="22"/>
          <w:szCs w:val="22"/>
          <w:lang w:val="es-ES_tradnl" w:eastAsia="x-none"/>
        </w:rPr>
        <w:t>stado, el vocablo «todos» utilizado por el legislador comprende</w:t>
      </w:r>
      <w:r w:rsidRPr="00097A6E">
        <w:rPr>
          <w:rFonts w:ascii="Arial" w:eastAsiaTheme="minorHAnsi" w:hAnsi="Arial" w:cs="Arial"/>
          <w:szCs w:val="22"/>
          <w:lang w:val="es-ES_tradnl" w:eastAsia="en-US"/>
        </w:rPr>
        <w:t xml:space="preserve"> </w:t>
      </w:r>
      <w:r w:rsidRPr="00097A6E">
        <w:rPr>
          <w:rFonts w:ascii="Arial" w:hAnsi="Arial" w:cs="Arial"/>
          <w:bCs/>
          <w:sz w:val="22"/>
          <w:szCs w:val="22"/>
          <w:lang w:val="es-ES_tradnl"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00B34DF5" w:rsidRPr="00097A6E">
        <w:rPr>
          <w:rFonts w:ascii="Arial" w:hAnsi="Arial" w:cs="Arial"/>
          <w:bCs/>
          <w:sz w:val="22"/>
          <w:szCs w:val="22"/>
          <w:lang w:val="es-ES_tradnl" w:eastAsia="x-none"/>
        </w:rPr>
        <w:t>La Sala de Consulta y Servicio Civil de</w:t>
      </w:r>
      <w:r w:rsidRPr="00097A6E">
        <w:rPr>
          <w:rFonts w:ascii="Arial" w:hAnsi="Arial" w:cs="Arial"/>
          <w:bCs/>
          <w:sz w:val="22"/>
          <w:szCs w:val="22"/>
          <w:lang w:val="es-ES_tradnl" w:eastAsia="x-none"/>
        </w:rPr>
        <w:t xml:space="preserve">l Consejo de Estado, en Concepto 1727 de fecha 20 de febrero de 2006, consideró que: </w:t>
      </w:r>
    </w:p>
    <w:p w14:paraId="457F1E13" w14:textId="77777777" w:rsidR="000A0DF7" w:rsidRPr="00097A6E" w:rsidRDefault="000A0DF7" w:rsidP="000A0DF7">
      <w:pPr>
        <w:spacing w:line="276" w:lineRule="auto"/>
        <w:ind w:firstLine="708"/>
        <w:jc w:val="both"/>
        <w:rPr>
          <w:rFonts w:ascii="Arial" w:hAnsi="Arial" w:cs="Arial"/>
          <w:bCs/>
          <w:sz w:val="22"/>
          <w:szCs w:val="22"/>
          <w:lang w:val="es-ES_tradnl" w:eastAsia="x-none"/>
        </w:rPr>
      </w:pPr>
    </w:p>
    <w:p w14:paraId="38B18C74" w14:textId="77777777" w:rsidR="000A0DF7" w:rsidRPr="00097A6E" w:rsidRDefault="000A0DF7" w:rsidP="000A0DF7">
      <w:pPr>
        <w:ind w:left="708" w:right="709"/>
        <w:jc w:val="both"/>
        <w:rPr>
          <w:rFonts w:ascii="Arial" w:hAnsi="Arial" w:cs="Arial"/>
          <w:bCs/>
          <w:sz w:val="21"/>
          <w:szCs w:val="21"/>
          <w:lang w:val="es-ES_tradnl" w:eastAsia="es-CO"/>
        </w:rPr>
      </w:pPr>
      <w:r w:rsidRPr="00097A6E">
        <w:rPr>
          <w:rFonts w:ascii="Arial" w:hAnsi="Arial" w:cs="Arial"/>
          <w:bCs/>
          <w:sz w:val="21"/>
          <w:szCs w:val="21"/>
          <w:lang w:val="es-ES_tradnl" w:eastAsia="x-none"/>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097A6E">
        <w:rPr>
          <w:rFonts w:ascii="Arial" w:hAnsi="Arial" w:cs="Arial"/>
          <w:bCs/>
          <w:sz w:val="21"/>
          <w:szCs w:val="21"/>
          <w:vertAlign w:val="superscript"/>
          <w:lang w:val="es-ES_tradnl" w:eastAsia="x-none"/>
        </w:rPr>
        <w:footnoteReference w:id="25"/>
      </w:r>
      <w:r w:rsidRPr="00097A6E">
        <w:rPr>
          <w:rFonts w:ascii="Arial" w:hAnsi="Arial" w:cs="Arial"/>
          <w:bCs/>
          <w:sz w:val="21"/>
          <w:szCs w:val="21"/>
          <w:lang w:val="es-ES_tradnl" w:eastAsia="x-none"/>
        </w:rPr>
        <w:t>.</w:t>
      </w:r>
      <w:r w:rsidRPr="00097A6E">
        <w:rPr>
          <w:rFonts w:ascii="Arial" w:hAnsi="Arial" w:cs="Arial"/>
          <w:bCs/>
          <w:sz w:val="21"/>
          <w:szCs w:val="21"/>
          <w:lang w:val="es-ES_tradnl" w:eastAsia="es-CO"/>
        </w:rPr>
        <w:t xml:space="preserve"> </w:t>
      </w:r>
    </w:p>
    <w:p w14:paraId="0E6617E8" w14:textId="77777777" w:rsidR="000A0DF7" w:rsidRPr="00097A6E" w:rsidRDefault="000A0DF7" w:rsidP="000A0DF7">
      <w:pPr>
        <w:spacing w:line="276" w:lineRule="auto"/>
        <w:ind w:firstLine="708"/>
        <w:jc w:val="both"/>
        <w:rPr>
          <w:rFonts w:ascii="Arial" w:hAnsi="Arial" w:cs="Arial"/>
          <w:bCs/>
          <w:sz w:val="22"/>
          <w:szCs w:val="22"/>
          <w:lang w:val="es-ES_tradnl" w:eastAsia="es-CO"/>
        </w:rPr>
      </w:pPr>
    </w:p>
    <w:p w14:paraId="7DAFE9FB" w14:textId="67C5197E" w:rsidR="000A0DF7" w:rsidRPr="00097A6E" w:rsidRDefault="000A0DF7" w:rsidP="000A0DF7">
      <w:pPr>
        <w:spacing w:line="276" w:lineRule="auto"/>
        <w:ind w:firstLine="708"/>
        <w:jc w:val="both"/>
        <w:rPr>
          <w:rFonts w:ascii="Arial" w:eastAsiaTheme="minorHAnsi" w:hAnsi="Arial" w:cs="Arial"/>
          <w:sz w:val="22"/>
          <w:szCs w:val="22"/>
          <w:lang w:val="es-ES_tradnl" w:eastAsia="en-US"/>
        </w:rPr>
      </w:pPr>
      <w:r w:rsidRPr="00097A6E">
        <w:rPr>
          <w:rFonts w:ascii="Arial" w:hAnsi="Arial" w:cs="Arial"/>
          <w:bCs/>
          <w:sz w:val="22"/>
          <w:szCs w:val="22"/>
          <w:lang w:val="es-ES_tradnl" w:eastAsia="x-none"/>
        </w:rPr>
        <w:t xml:space="preserve">De igual forma, en Concepto 1738 de 6 de abril de 2006, </w:t>
      </w:r>
      <w:r w:rsidR="00B34DF5" w:rsidRPr="00097A6E">
        <w:rPr>
          <w:rFonts w:ascii="Arial" w:hAnsi="Arial" w:cs="Arial"/>
          <w:bCs/>
          <w:sz w:val="22"/>
          <w:szCs w:val="22"/>
          <w:lang w:val="es-ES_tradnl" w:eastAsia="x-none"/>
        </w:rPr>
        <w:t>también</w:t>
      </w:r>
      <w:r w:rsidRPr="00097A6E">
        <w:rPr>
          <w:rFonts w:ascii="Arial" w:hAnsi="Arial" w:cs="Arial"/>
          <w:bCs/>
          <w:sz w:val="22"/>
          <w:szCs w:val="22"/>
          <w:lang w:val="es-ES_tradnl" w:eastAsia="x-none"/>
        </w:rPr>
        <w:t xml:space="preserve">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w:t>
      </w:r>
      <w:r w:rsidRPr="00097A6E">
        <w:rPr>
          <w:rFonts w:ascii="Arial" w:hAnsi="Arial" w:cs="Arial"/>
          <w:bCs/>
          <w:sz w:val="22"/>
          <w:szCs w:val="22"/>
          <w:lang w:val="es-ES_tradnl" w:eastAsia="x-none"/>
        </w:rPr>
        <w:lastRenderedPageBreak/>
        <w:t>interadministrativo sea ordenada, para ambas partes, por el Legislador»</w:t>
      </w:r>
      <w:r w:rsidRPr="00097A6E">
        <w:rPr>
          <w:rFonts w:ascii="Arial" w:eastAsiaTheme="minorHAnsi" w:hAnsi="Arial" w:cs="Arial"/>
          <w:szCs w:val="22"/>
          <w:vertAlign w:val="superscript"/>
          <w:lang w:val="es-ES_tradnl" w:eastAsia="en-US"/>
        </w:rPr>
        <w:footnoteReference w:id="26"/>
      </w:r>
      <w:r w:rsidRPr="00097A6E">
        <w:rPr>
          <w:rFonts w:ascii="Arial" w:hAnsi="Arial" w:cs="Arial"/>
          <w:bCs/>
          <w:sz w:val="22"/>
          <w:szCs w:val="22"/>
          <w:lang w:val="es-ES_tradnl" w:eastAsia="x-none"/>
        </w:rPr>
        <w:t>.</w:t>
      </w:r>
      <w:r w:rsidRPr="00097A6E">
        <w:rPr>
          <w:rFonts w:ascii="Arial" w:eastAsiaTheme="minorHAnsi" w:hAnsi="Arial" w:cs="Arial"/>
          <w:sz w:val="22"/>
          <w:szCs w:val="22"/>
          <w:lang w:val="es-ES_tradnl" w:eastAsia="en-US"/>
        </w:rPr>
        <w:t xml:space="preserve"> Sin embargo, debe precisarse el siguiente aspecto que distinguió la Sala de Consulta y Servicio Civil:</w:t>
      </w:r>
    </w:p>
    <w:p w14:paraId="60B0460E" w14:textId="77777777" w:rsidR="000A0DF7" w:rsidRPr="00097A6E" w:rsidRDefault="000A0DF7" w:rsidP="000A0DF7">
      <w:pPr>
        <w:spacing w:line="276" w:lineRule="auto"/>
        <w:jc w:val="both"/>
        <w:rPr>
          <w:rFonts w:ascii="Arial" w:eastAsiaTheme="minorHAnsi" w:hAnsi="Arial" w:cs="Arial"/>
          <w:sz w:val="22"/>
          <w:szCs w:val="22"/>
          <w:lang w:val="es-ES_tradnl" w:eastAsia="en-US"/>
        </w:rPr>
      </w:pPr>
    </w:p>
    <w:p w14:paraId="657C7B4C" w14:textId="77777777" w:rsidR="000A0DF7" w:rsidRPr="00097A6E" w:rsidRDefault="000A0DF7" w:rsidP="000A0DF7">
      <w:pPr>
        <w:ind w:left="708" w:right="709"/>
        <w:jc w:val="both"/>
        <w:rPr>
          <w:rFonts w:ascii="Arial" w:eastAsiaTheme="minorHAnsi" w:hAnsi="Arial" w:cs="Arial"/>
          <w:sz w:val="21"/>
          <w:szCs w:val="21"/>
          <w:lang w:val="es-ES_tradnl" w:eastAsia="en-US"/>
        </w:rPr>
      </w:pPr>
      <w:r w:rsidRPr="00097A6E">
        <w:rPr>
          <w:rFonts w:ascii="Arial" w:eastAsiaTheme="minorHAnsi" w:hAnsi="Arial" w:cs="Arial"/>
          <w:sz w:val="21"/>
          <w:szCs w:val="21"/>
          <w:lang w:val="es-ES_tradnl" w:eastAsia="en-US"/>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Pr="00097A6E">
        <w:rPr>
          <w:rFonts w:ascii="Arial" w:eastAsiaTheme="minorHAnsi" w:hAnsi="Arial" w:cs="Arial"/>
          <w:szCs w:val="22"/>
          <w:vertAlign w:val="superscript"/>
          <w:lang w:val="es-ES_tradnl" w:eastAsia="en-US"/>
        </w:rPr>
        <w:footnoteReference w:id="27"/>
      </w:r>
      <w:r w:rsidRPr="00097A6E">
        <w:rPr>
          <w:rFonts w:ascii="Arial" w:hAnsi="Arial" w:cs="Arial"/>
          <w:bCs/>
          <w:sz w:val="22"/>
          <w:szCs w:val="22"/>
          <w:lang w:val="es-ES_tradnl" w:eastAsia="x-none"/>
        </w:rPr>
        <w:t>.</w:t>
      </w:r>
    </w:p>
    <w:p w14:paraId="7393083E" w14:textId="77777777" w:rsidR="000A0DF7" w:rsidRPr="00097A6E" w:rsidRDefault="000A0DF7" w:rsidP="000A0DF7">
      <w:pPr>
        <w:spacing w:line="276" w:lineRule="auto"/>
        <w:jc w:val="both"/>
        <w:rPr>
          <w:rFonts w:ascii="Arial" w:eastAsiaTheme="minorHAnsi" w:hAnsi="Arial" w:cs="Arial"/>
          <w:sz w:val="22"/>
          <w:szCs w:val="22"/>
          <w:lang w:val="es-ES_tradnl" w:eastAsia="en-US"/>
        </w:rPr>
      </w:pPr>
    </w:p>
    <w:p w14:paraId="6AB03978" w14:textId="1A20C438" w:rsidR="000A0DF7" w:rsidRPr="00097A6E" w:rsidRDefault="000A0DF7" w:rsidP="000A0DF7">
      <w:pPr>
        <w:spacing w:after="120" w:line="276" w:lineRule="auto"/>
        <w:ind w:firstLine="709"/>
        <w:jc w:val="both"/>
        <w:rPr>
          <w:rFonts w:ascii="Arial" w:hAnsi="Arial" w:cs="Arial"/>
          <w:bCs/>
          <w:sz w:val="22"/>
          <w:szCs w:val="22"/>
          <w:lang w:val="es-ES_tradnl" w:eastAsia="x-none"/>
        </w:rPr>
      </w:pPr>
      <w:r w:rsidRPr="00097A6E">
        <w:rPr>
          <w:rFonts w:ascii="Arial" w:eastAsiaTheme="minorHAnsi" w:hAnsi="Arial" w:cs="Arial"/>
          <w:sz w:val="22"/>
          <w:szCs w:val="22"/>
          <w:lang w:val="es-ES_tradnl" w:eastAsia="en-US"/>
        </w:rPr>
        <w:t>Aplicando este razonamiento, se tiene</w:t>
      </w:r>
      <w:r w:rsidR="001372E4" w:rsidRPr="00097A6E">
        <w:rPr>
          <w:rFonts w:ascii="Arial" w:eastAsiaTheme="minorHAnsi" w:hAnsi="Arial" w:cs="Arial"/>
          <w:sz w:val="22"/>
          <w:szCs w:val="22"/>
          <w:lang w:val="es-ES_tradnl" w:eastAsia="en-US"/>
        </w:rPr>
        <w:t>, por ejemplo,</w:t>
      </w:r>
      <w:r w:rsidRPr="00097A6E">
        <w:rPr>
          <w:rFonts w:ascii="Arial" w:eastAsiaTheme="minorHAnsi" w:hAnsi="Arial" w:cs="Arial"/>
          <w:sz w:val="22"/>
          <w:szCs w:val="22"/>
          <w:lang w:val="es-ES_tradnl" w:eastAsia="en-US"/>
        </w:rPr>
        <w:t xml:space="preserve"> que las empresas industriales y comerciales del estado y a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r w:rsidRPr="00097A6E">
        <w:rPr>
          <w:rFonts w:ascii="Arial" w:eastAsiaTheme="minorHAnsi" w:hAnsi="Arial" w:cs="Arial"/>
          <w:szCs w:val="22"/>
          <w:vertAlign w:val="superscript"/>
          <w:lang w:val="es-ES_tradnl" w:eastAsia="en-US"/>
        </w:rPr>
        <w:t xml:space="preserve"> </w:t>
      </w:r>
      <w:r w:rsidRPr="00097A6E">
        <w:rPr>
          <w:rFonts w:ascii="Arial" w:eastAsiaTheme="minorHAnsi" w:hAnsi="Arial" w:cs="Arial"/>
          <w:sz w:val="22"/>
          <w:szCs w:val="22"/>
          <w:vertAlign w:val="superscript"/>
          <w:lang w:val="es-ES_tradnl" w:eastAsia="en-US"/>
        </w:rPr>
        <w:footnoteReference w:id="28"/>
      </w:r>
      <w:r w:rsidRPr="00097A6E">
        <w:rPr>
          <w:rFonts w:ascii="Arial" w:eastAsiaTheme="minorHAnsi" w:hAnsi="Arial" w:cs="Arial"/>
          <w:sz w:val="22"/>
          <w:szCs w:val="22"/>
          <w:lang w:val="es-ES_tradnl" w:eastAsia="en-US"/>
        </w:rPr>
        <w:t>.</w:t>
      </w:r>
    </w:p>
    <w:p w14:paraId="05998FAF" w14:textId="77777777" w:rsidR="000A0DF7" w:rsidRPr="00097A6E" w:rsidRDefault="000A0DF7" w:rsidP="000A0DF7">
      <w:pPr>
        <w:spacing w:line="276" w:lineRule="auto"/>
        <w:ind w:firstLine="708"/>
        <w:jc w:val="both"/>
        <w:rPr>
          <w:rFonts w:ascii="Arial" w:hAnsi="Arial" w:cs="Arial"/>
          <w:bCs/>
          <w:sz w:val="22"/>
          <w:szCs w:val="22"/>
          <w:lang w:val="es-ES_tradnl" w:eastAsia="x-none"/>
        </w:rPr>
      </w:pPr>
      <w:r w:rsidRPr="00097A6E">
        <w:rPr>
          <w:rFonts w:ascii="Arial" w:eastAsiaTheme="minorHAnsi" w:hAnsi="Arial" w:cs="Arial"/>
          <w:sz w:val="22"/>
          <w:szCs w:val="22"/>
          <w:lang w:val="es-ES_tradnl" w:eastAsia="en-US"/>
        </w:rPr>
        <w:t xml:space="preserve">Por lo tanto, la restricción prevista en la Ley 996 de 2005, </w:t>
      </w:r>
      <w:r w:rsidRPr="00097A6E">
        <w:rPr>
          <w:rFonts w:ascii="Arial" w:hAnsi="Arial" w:cs="Arial"/>
          <w:bCs/>
          <w:sz w:val="22"/>
          <w:szCs w:val="22"/>
          <w:lang w:val="es-ES_tradnl" w:eastAsia="x-none"/>
        </w:rPr>
        <w:t xml:space="preserve">teniendo en cuenta la finalidad de la ley de garantías electorales, cobija a cualquier ente público que pueda a través de la contratación directa romper el equilibrio entre los candidatos en desarrollo de las elecciones presidenciales. Tampoco existe un supuesto de exoneración a la prohibición </w:t>
      </w:r>
      <w:r w:rsidRPr="00097A6E">
        <w:rPr>
          <w:rFonts w:ascii="Arial" w:hAnsi="Arial" w:cs="Arial"/>
          <w:bCs/>
          <w:sz w:val="22"/>
          <w:szCs w:val="22"/>
          <w:lang w:val="es-ES_tradnl" w:eastAsia="x-none"/>
        </w:rPr>
        <w:lastRenderedPageBreak/>
        <w:t>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normas especiales.</w:t>
      </w:r>
    </w:p>
    <w:p w14:paraId="6F29CCF1" w14:textId="77777777" w:rsidR="000A0DF7" w:rsidRPr="00097A6E" w:rsidRDefault="000A0DF7" w:rsidP="000A0DF7">
      <w:pPr>
        <w:spacing w:line="276" w:lineRule="auto"/>
        <w:jc w:val="both"/>
        <w:rPr>
          <w:rFonts w:ascii="Arial" w:eastAsiaTheme="minorHAnsi" w:hAnsi="Arial" w:cs="Arial"/>
          <w:sz w:val="22"/>
          <w:szCs w:val="22"/>
          <w:lang w:val="es-ES_tradnl" w:eastAsia="en-US"/>
        </w:rPr>
      </w:pPr>
    </w:p>
    <w:p w14:paraId="31A82560" w14:textId="046BF466" w:rsidR="000A0DF7" w:rsidRPr="00097A6E" w:rsidRDefault="000A0DF7" w:rsidP="000A0DF7">
      <w:pPr>
        <w:spacing w:line="276" w:lineRule="auto"/>
        <w:jc w:val="both"/>
        <w:rPr>
          <w:rFonts w:ascii="Arial" w:hAnsi="Arial" w:cs="Arial"/>
          <w:b/>
          <w:bCs/>
          <w:sz w:val="22"/>
          <w:szCs w:val="22"/>
          <w:lang w:val="es-ES_tradnl" w:eastAsia="es-CO"/>
        </w:rPr>
      </w:pPr>
      <w:bookmarkStart w:id="9" w:name="_Hlk75784645"/>
      <w:r w:rsidRPr="00097A6E">
        <w:rPr>
          <w:rFonts w:ascii="Arial" w:eastAsiaTheme="minorHAnsi" w:hAnsi="Arial" w:cs="Arial"/>
          <w:b/>
          <w:bCs/>
          <w:sz w:val="22"/>
          <w:szCs w:val="22"/>
          <w:lang w:val="es-ES_tradnl" w:eastAsia="en-US"/>
        </w:rPr>
        <w:t>2.</w:t>
      </w:r>
      <w:r w:rsidR="00CC7414" w:rsidRPr="00097A6E">
        <w:rPr>
          <w:rFonts w:ascii="Arial" w:eastAsiaTheme="minorHAnsi" w:hAnsi="Arial" w:cs="Arial"/>
          <w:b/>
          <w:bCs/>
          <w:sz w:val="22"/>
          <w:szCs w:val="22"/>
          <w:lang w:val="es-ES_tradnl" w:eastAsia="en-US"/>
        </w:rPr>
        <w:t>3</w:t>
      </w:r>
      <w:r w:rsidRPr="00097A6E">
        <w:rPr>
          <w:rFonts w:ascii="Arial" w:eastAsiaTheme="minorHAnsi" w:hAnsi="Arial" w:cs="Arial"/>
          <w:b/>
          <w:bCs/>
          <w:sz w:val="22"/>
          <w:szCs w:val="22"/>
          <w:lang w:val="es-ES_tradnl" w:eastAsia="en-US"/>
        </w:rPr>
        <w:t xml:space="preserve">. </w:t>
      </w:r>
      <w:r w:rsidRPr="00097A6E">
        <w:rPr>
          <w:rFonts w:ascii="Arial" w:hAnsi="Arial" w:cs="Arial"/>
          <w:b/>
          <w:bCs/>
          <w:sz w:val="22"/>
          <w:szCs w:val="22"/>
          <w:lang w:val="es-ES_tradnl" w:eastAsia="es-CO"/>
        </w:rPr>
        <w:t>Restricciones para la celebración de contratos y convenios interadministrativos en los comicios de cargos de elección popular</w:t>
      </w:r>
      <w:r w:rsidR="009073A8">
        <w:rPr>
          <w:rFonts w:ascii="Arial" w:hAnsi="Arial" w:cs="Arial"/>
          <w:b/>
          <w:bCs/>
          <w:sz w:val="22"/>
          <w:szCs w:val="22"/>
          <w:lang w:val="es-ES_tradnl" w:eastAsia="es-CO"/>
        </w:rPr>
        <w:t>: prohibición del parágrafo del artículo 38 de la Ley 996 de 2005</w:t>
      </w:r>
    </w:p>
    <w:p w14:paraId="1AAE960A" w14:textId="77777777" w:rsidR="000A0DF7" w:rsidRPr="00097A6E" w:rsidRDefault="000A0DF7" w:rsidP="000A0DF7">
      <w:pPr>
        <w:spacing w:line="276" w:lineRule="auto"/>
        <w:jc w:val="both"/>
        <w:rPr>
          <w:rFonts w:ascii="Arial" w:eastAsiaTheme="minorHAnsi" w:hAnsi="Arial" w:cs="Arial"/>
          <w:b/>
          <w:bCs/>
          <w:sz w:val="22"/>
          <w:szCs w:val="22"/>
          <w:lang w:val="es-ES_tradnl" w:eastAsia="en-US"/>
        </w:rPr>
      </w:pPr>
    </w:p>
    <w:p w14:paraId="36BEC005" w14:textId="77777777" w:rsidR="000A0DF7" w:rsidRPr="00097A6E" w:rsidRDefault="000A0DF7" w:rsidP="000A0DF7">
      <w:pPr>
        <w:tabs>
          <w:tab w:val="left" w:pos="426"/>
        </w:tabs>
        <w:spacing w:after="120" w:line="276" w:lineRule="auto"/>
        <w:jc w:val="both"/>
        <w:rPr>
          <w:rFonts w:ascii="Arial" w:eastAsia="Calibri" w:hAnsi="Arial" w:cs="Arial"/>
          <w:bCs/>
          <w:sz w:val="22"/>
          <w:szCs w:val="22"/>
          <w:lang w:val="es-ES_tradnl" w:eastAsia="en-US"/>
        </w:rPr>
      </w:pPr>
      <w:r w:rsidRPr="00097A6E">
        <w:rPr>
          <w:rFonts w:ascii="Arial" w:eastAsia="Calibri" w:hAnsi="Arial" w:cs="Arial"/>
          <w:bCs/>
          <w:sz w:val="22"/>
          <w:szCs w:val="22"/>
          <w:lang w:val="es-ES_tradnl" w:eastAsia="en-US"/>
        </w:rPr>
        <w:t>El parágrafo del artículo 38 de la Ley 996 de 2005 dispone que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097A6E">
        <w:rPr>
          <w:rFonts w:ascii="Arial" w:hAnsi="Arial" w:cs="Arial"/>
          <w:bCs/>
          <w:iCs/>
          <w:sz w:val="22"/>
          <w:szCs w:val="22"/>
          <w:lang w:val="es-ES_tradnl" w:eastAsia="x-none"/>
        </w:rPr>
        <w:t xml:space="preserve">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097A6E">
        <w:rPr>
          <w:rFonts w:ascii="Arial" w:hAnsi="Arial" w:cs="Arial"/>
          <w:bCs/>
          <w:iCs/>
          <w:sz w:val="22"/>
          <w:szCs w:val="22"/>
          <w:vertAlign w:val="superscript"/>
          <w:lang w:val="es-ES_tradnl" w:eastAsia="x-none"/>
        </w:rPr>
        <w:footnoteReference w:id="29"/>
      </w:r>
      <w:r w:rsidRPr="00097A6E">
        <w:rPr>
          <w:rFonts w:ascii="Arial" w:hAnsi="Arial" w:cs="Arial"/>
          <w:bCs/>
          <w:iCs/>
          <w:sz w:val="22"/>
          <w:szCs w:val="22"/>
          <w:lang w:val="es-ES_tradnl" w:eastAsia="x-none"/>
        </w:rPr>
        <w:t>.</w:t>
      </w:r>
      <w:r w:rsidRPr="00097A6E">
        <w:rPr>
          <w:rFonts w:ascii="Arial" w:eastAsiaTheme="minorHAnsi" w:hAnsi="Arial" w:cs="Arial"/>
          <w:szCs w:val="22"/>
          <w:lang w:val="es-ES_tradnl" w:eastAsia="en-US"/>
        </w:rPr>
        <w:t xml:space="preserve"> </w:t>
      </w:r>
    </w:p>
    <w:p w14:paraId="4ED9571B" w14:textId="77777777" w:rsidR="000A0DF7" w:rsidRPr="00097A6E" w:rsidRDefault="000A0DF7" w:rsidP="000A0DF7">
      <w:pPr>
        <w:widowControl w:val="0"/>
        <w:autoSpaceDE w:val="0"/>
        <w:autoSpaceDN w:val="0"/>
        <w:spacing w:after="120" w:line="276" w:lineRule="auto"/>
        <w:ind w:firstLine="707"/>
        <w:jc w:val="both"/>
        <w:rPr>
          <w:rFonts w:ascii="Arial" w:eastAsia="Arial" w:hAnsi="Arial" w:cs="Arial"/>
          <w:sz w:val="22"/>
          <w:szCs w:val="22"/>
          <w:lang w:val="es-ES_tradnl" w:eastAsia="es-ES" w:bidi="es-ES"/>
        </w:rPr>
      </w:pPr>
      <w:r w:rsidRPr="00097A6E">
        <w:rPr>
          <w:rFonts w:ascii="Arial" w:eastAsia="Calibri" w:hAnsi="Arial" w:cs="Arial"/>
          <w:bCs/>
          <w:sz w:val="22"/>
          <w:szCs w:val="22"/>
          <w:lang w:val="es-ES_tradnl" w:eastAsia="es-ES" w:bidi="es-ES"/>
        </w:rPr>
        <w:t xml:space="preserve">Ahora bien, </w:t>
      </w:r>
      <w:bookmarkStart w:id="10" w:name="_Hlk78820161"/>
      <w:r w:rsidRPr="00097A6E">
        <w:rPr>
          <w:rFonts w:ascii="Arial" w:eastAsia="Calibri" w:hAnsi="Arial" w:cs="Arial"/>
          <w:bCs/>
          <w:sz w:val="22"/>
          <w:szCs w:val="22"/>
          <w:lang w:val="es-ES_tradnl" w:eastAsia="es-ES" w:bidi="es-ES"/>
        </w:rPr>
        <w:t xml:space="preserve">para determinar el alcance de la prohibición consagrada por la Ley de Garantías Electorales, conviene precisar la tipología de convenios o contratos interadministrativos. </w:t>
      </w:r>
      <w:r w:rsidRPr="00097A6E">
        <w:rPr>
          <w:rFonts w:ascii="Arial" w:eastAsia="Arial" w:hAnsi="Arial" w:cs="Arial"/>
          <w:sz w:val="22"/>
          <w:szCs w:val="22"/>
          <w:lang w:val="es-ES_tradnl" w:eastAsia="es-ES" w:bidi="es-ES"/>
        </w:rPr>
        <w:t>Aunque la ley no la definió ni desarrolló, el Decreto 1082 de 2015 califica a los convenios o contratos interadministrativos como aquella contratación entre entidades estatales</w:t>
      </w:r>
      <w:r w:rsidRPr="00097A6E">
        <w:rPr>
          <w:rFonts w:ascii="Arial" w:eastAsia="Arial" w:hAnsi="Arial" w:cs="Arial"/>
          <w:sz w:val="22"/>
          <w:szCs w:val="22"/>
          <w:vertAlign w:val="superscript"/>
          <w:lang w:val="es-ES_tradnl" w:eastAsia="es-ES" w:bidi="es-ES"/>
        </w:rPr>
        <w:footnoteReference w:id="30"/>
      </w:r>
      <w:r w:rsidRPr="00097A6E">
        <w:rPr>
          <w:rFonts w:ascii="Arial" w:eastAsia="Arial" w:hAnsi="Arial" w:cs="Arial"/>
          <w:sz w:val="22"/>
          <w:szCs w:val="22"/>
          <w:lang w:val="es-ES_tradnl" w:eastAsia="es-ES" w:bidi="es-ES"/>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097A6E">
        <w:rPr>
          <w:rFonts w:ascii="Arial" w:eastAsia="Arial" w:hAnsi="Arial" w:cs="Arial"/>
          <w:spacing w:val="-6"/>
          <w:sz w:val="22"/>
          <w:szCs w:val="22"/>
          <w:lang w:val="es-ES_tradnl" w:eastAsia="es-ES" w:bidi="es-ES"/>
        </w:rPr>
        <w:t xml:space="preserve"> </w:t>
      </w:r>
      <w:r w:rsidRPr="00097A6E">
        <w:rPr>
          <w:rFonts w:ascii="Arial" w:eastAsia="Arial" w:hAnsi="Arial" w:cs="Arial"/>
          <w:sz w:val="22"/>
          <w:szCs w:val="22"/>
          <w:lang w:val="es-ES_tradnl" w:eastAsia="es-ES" w:bidi="es-ES"/>
        </w:rPr>
        <w:t>estatales.</w:t>
      </w:r>
    </w:p>
    <w:p w14:paraId="02EF981B" w14:textId="77777777" w:rsidR="000A0DF7" w:rsidRPr="00097A6E" w:rsidRDefault="000A0DF7" w:rsidP="000A0DF7">
      <w:pPr>
        <w:widowControl w:val="0"/>
        <w:autoSpaceDE w:val="0"/>
        <w:autoSpaceDN w:val="0"/>
        <w:spacing w:before="117" w:after="120" w:line="276" w:lineRule="auto"/>
        <w:ind w:firstLine="707"/>
        <w:jc w:val="both"/>
        <w:rPr>
          <w:rFonts w:ascii="Arial" w:eastAsia="Arial" w:hAnsi="Arial" w:cs="Arial"/>
          <w:sz w:val="22"/>
          <w:szCs w:val="22"/>
          <w:lang w:val="es-ES_tradnl" w:eastAsia="es-ES" w:bidi="es-ES"/>
        </w:rPr>
      </w:pPr>
      <w:bookmarkStart w:id="11" w:name="_Hlk78820654"/>
      <w:bookmarkEnd w:id="10"/>
      <w:r w:rsidRPr="00097A6E">
        <w:rPr>
          <w:rFonts w:ascii="Arial" w:eastAsia="Arial" w:hAnsi="Arial" w:cs="Arial"/>
          <w:sz w:val="22"/>
          <w:szCs w:val="22"/>
          <w:lang w:val="es-ES_tradnl" w:eastAsia="es-ES" w:bidi="es-ES"/>
        </w:rPr>
        <w:t xml:space="preserve">Si bien los contratos o convenios interadministrativos están previstos en la Ley 80 de 1993, en la Ley 1150 de 2007 y en el Decreto en el 1082 de 2015, no quiere decir que </w:t>
      </w:r>
      <w:r w:rsidRPr="00097A6E">
        <w:rPr>
          <w:rFonts w:ascii="Arial" w:eastAsia="Arial" w:hAnsi="Arial" w:cs="Arial"/>
          <w:sz w:val="22"/>
          <w:szCs w:val="22"/>
          <w:lang w:val="es-ES_tradnl" w:eastAsia="es-ES" w:bidi="es-ES"/>
        </w:rPr>
        <w:lastRenderedPageBreak/>
        <w:t>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11"/>
    <w:p w14:paraId="3CAAE980" w14:textId="77777777" w:rsidR="000A0DF7" w:rsidRPr="00097A6E" w:rsidRDefault="000A0DF7" w:rsidP="000A0DF7">
      <w:pPr>
        <w:widowControl w:val="0"/>
        <w:autoSpaceDE w:val="0"/>
        <w:autoSpaceDN w:val="0"/>
        <w:spacing w:before="121" w:after="120" w:line="276" w:lineRule="auto"/>
        <w:ind w:firstLine="707"/>
        <w:jc w:val="both"/>
        <w:rPr>
          <w:rFonts w:ascii="Arial" w:eastAsia="Arial" w:hAnsi="Arial" w:cs="Arial"/>
          <w:sz w:val="22"/>
          <w:szCs w:val="22"/>
          <w:lang w:val="es-ES_tradnl" w:eastAsia="es-ES" w:bidi="es-ES"/>
        </w:rPr>
      </w:pPr>
      <w:r w:rsidRPr="00097A6E">
        <w:rPr>
          <w:rFonts w:ascii="Arial" w:eastAsia="Arial" w:hAnsi="Arial" w:cs="Arial"/>
          <w:sz w:val="22"/>
          <w:szCs w:val="22"/>
          <w:lang w:val="es-ES_tradnl" w:eastAsia="es-ES" w:bidi="es-ES"/>
        </w:rPr>
        <w:t>Estos tipos contractuales no están determinados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097A6E">
        <w:rPr>
          <w:rFonts w:ascii="Arial" w:eastAsia="Arial" w:hAnsi="Arial" w:cs="Arial"/>
          <w:sz w:val="22"/>
          <w:szCs w:val="22"/>
          <w:vertAlign w:val="superscript"/>
          <w:lang w:val="es-ES_tradnl" w:eastAsia="es-ES" w:bidi="es-ES"/>
        </w:rPr>
        <w:footnoteReference w:id="31"/>
      </w:r>
      <w:r w:rsidRPr="00097A6E">
        <w:rPr>
          <w:rFonts w:ascii="Arial" w:eastAsia="Arial" w:hAnsi="Arial" w:cs="Arial"/>
          <w:sz w:val="22"/>
          <w:szCs w:val="22"/>
          <w:lang w:val="es-ES_tradnl" w:eastAsia="es-ES" w:bidi="es-ES"/>
        </w:rPr>
        <w:t>. Nótese que, en este caso, lo que cambia es la modalidad de selección y no la naturaleza de contrato</w:t>
      </w:r>
      <w:r w:rsidRPr="00097A6E">
        <w:rPr>
          <w:rFonts w:ascii="Arial" w:eastAsia="Arial" w:hAnsi="Arial" w:cs="Arial"/>
          <w:spacing w:val="-18"/>
          <w:sz w:val="22"/>
          <w:szCs w:val="22"/>
          <w:lang w:val="es-ES_tradnl" w:eastAsia="es-ES" w:bidi="es-ES"/>
        </w:rPr>
        <w:t xml:space="preserve"> </w:t>
      </w:r>
      <w:r w:rsidRPr="00097A6E">
        <w:rPr>
          <w:rFonts w:ascii="Arial" w:eastAsia="Arial" w:hAnsi="Arial" w:cs="Arial"/>
          <w:sz w:val="22"/>
          <w:szCs w:val="22"/>
          <w:lang w:val="es-ES_tradnl" w:eastAsia="es-ES" w:bidi="es-ES"/>
        </w:rPr>
        <w:t>interadministrativo.</w:t>
      </w:r>
    </w:p>
    <w:p w14:paraId="03CC94FE" w14:textId="77777777" w:rsidR="000A0DF7" w:rsidRPr="00097A6E" w:rsidRDefault="000A0DF7" w:rsidP="000A0DF7">
      <w:pPr>
        <w:widowControl w:val="0"/>
        <w:autoSpaceDE w:val="0"/>
        <w:autoSpaceDN w:val="0"/>
        <w:spacing w:before="114" w:line="276" w:lineRule="auto"/>
        <w:ind w:firstLine="707"/>
        <w:jc w:val="both"/>
        <w:rPr>
          <w:rFonts w:ascii="Arial" w:eastAsia="Arial" w:hAnsi="Arial" w:cs="Arial"/>
          <w:sz w:val="22"/>
          <w:szCs w:val="22"/>
          <w:lang w:val="es-ES_tradnl" w:eastAsia="es-ES" w:bidi="es-ES"/>
        </w:rPr>
      </w:pPr>
      <w:r w:rsidRPr="00097A6E">
        <w:rPr>
          <w:rFonts w:ascii="Arial" w:eastAsia="Arial" w:hAnsi="Arial" w:cs="Arial"/>
          <w:sz w:val="22"/>
          <w:szCs w:val="22"/>
          <w:lang w:val="es-ES_tradnl" w:eastAsia="es-ES" w:bidi="es-ES"/>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097A6E">
        <w:rPr>
          <w:rFonts w:ascii="Arial" w:eastAsia="Arial" w:hAnsi="Arial" w:cs="Arial"/>
          <w:spacing w:val="-13"/>
          <w:sz w:val="22"/>
          <w:szCs w:val="22"/>
          <w:lang w:val="es-ES_tradnl" w:eastAsia="es-ES" w:bidi="es-ES"/>
        </w:rPr>
        <w:t xml:space="preserve"> </w:t>
      </w:r>
      <w:r w:rsidRPr="00097A6E">
        <w:rPr>
          <w:rFonts w:ascii="Arial" w:eastAsia="Arial" w:hAnsi="Arial" w:cs="Arial"/>
          <w:sz w:val="22"/>
          <w:szCs w:val="22"/>
          <w:lang w:val="es-ES_tradnl" w:eastAsia="es-ES" w:bidi="es-ES"/>
        </w:rPr>
        <w:t>que:</w:t>
      </w:r>
    </w:p>
    <w:p w14:paraId="5A7C954F" w14:textId="77777777" w:rsidR="000A0DF7" w:rsidRPr="00097A6E" w:rsidRDefault="000A0DF7" w:rsidP="000A0DF7">
      <w:pPr>
        <w:widowControl w:val="0"/>
        <w:autoSpaceDE w:val="0"/>
        <w:autoSpaceDN w:val="0"/>
        <w:spacing w:line="276" w:lineRule="auto"/>
        <w:ind w:firstLine="707"/>
        <w:jc w:val="both"/>
        <w:rPr>
          <w:rFonts w:ascii="Arial" w:eastAsia="Arial" w:hAnsi="Arial" w:cs="Arial"/>
          <w:sz w:val="22"/>
          <w:szCs w:val="22"/>
          <w:lang w:val="es-ES_tradnl" w:eastAsia="es-ES" w:bidi="es-ES"/>
        </w:rPr>
      </w:pPr>
    </w:p>
    <w:p w14:paraId="7878EB03" w14:textId="77777777" w:rsidR="000A0DF7" w:rsidRPr="00097A6E" w:rsidRDefault="000A0DF7" w:rsidP="000A0DF7">
      <w:pPr>
        <w:ind w:left="709" w:right="709"/>
        <w:jc w:val="both"/>
        <w:rPr>
          <w:rFonts w:ascii="Arial" w:eastAsiaTheme="minorHAnsi" w:hAnsi="Arial" w:cs="Arial"/>
          <w:sz w:val="21"/>
          <w:szCs w:val="22"/>
          <w:lang w:val="es-ES_tradnl" w:eastAsia="en-US"/>
        </w:rPr>
      </w:pPr>
      <w:r w:rsidRPr="00097A6E">
        <w:rPr>
          <w:rFonts w:ascii="Arial" w:eastAsiaTheme="minorHAnsi" w:hAnsi="Arial" w:cs="Arial"/>
          <w:sz w:val="21"/>
          <w:szCs w:val="22"/>
          <w:lang w:val="es-ES_tradnl" w:eastAsia="en-US"/>
        </w:rPr>
        <w:t xml:space="preserve">[…]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w:t>
      </w:r>
      <w:r w:rsidRPr="00097A6E">
        <w:rPr>
          <w:rFonts w:ascii="Arial" w:eastAsiaTheme="minorHAnsi" w:hAnsi="Arial" w:cs="Arial"/>
          <w:sz w:val="21"/>
          <w:szCs w:val="22"/>
          <w:lang w:val="es-ES_tradnl" w:eastAsia="en-US"/>
        </w:rPr>
        <w:lastRenderedPageBreak/>
        <w:t>través de la realización de intereses compartidos entre las entidades vinculadas; (viii) la acción mediante la cual se deben ventilar las diferencias que sobre el particular surjan es la de controversias contractuales</w:t>
      </w:r>
      <w:r w:rsidRPr="00097A6E">
        <w:rPr>
          <w:rFonts w:ascii="Arial" w:eastAsiaTheme="minorHAnsi" w:hAnsi="Arial" w:cs="Arial"/>
          <w:sz w:val="21"/>
          <w:szCs w:val="22"/>
          <w:vertAlign w:val="superscript"/>
          <w:lang w:val="es-ES_tradnl" w:eastAsia="en-US"/>
        </w:rPr>
        <w:footnoteReference w:id="32"/>
      </w:r>
      <w:r w:rsidRPr="00097A6E">
        <w:rPr>
          <w:rFonts w:ascii="Arial" w:eastAsiaTheme="minorHAnsi" w:hAnsi="Arial" w:cs="Arial"/>
          <w:sz w:val="21"/>
          <w:szCs w:val="22"/>
          <w:lang w:val="es-ES_tradnl" w:eastAsia="en-US"/>
        </w:rPr>
        <w:t>.</w:t>
      </w:r>
    </w:p>
    <w:p w14:paraId="51DCC0D5" w14:textId="77777777" w:rsidR="000A0DF7" w:rsidRPr="00097A6E" w:rsidRDefault="000A0DF7" w:rsidP="000A0DF7">
      <w:pPr>
        <w:spacing w:line="276" w:lineRule="auto"/>
        <w:ind w:left="709" w:right="709"/>
        <w:jc w:val="both"/>
        <w:rPr>
          <w:rFonts w:ascii="Arial" w:eastAsiaTheme="minorHAnsi" w:hAnsi="Arial" w:cs="Arial"/>
          <w:sz w:val="22"/>
          <w:szCs w:val="22"/>
          <w:lang w:val="es-ES_tradnl" w:eastAsia="en-US"/>
        </w:rPr>
      </w:pPr>
    </w:p>
    <w:p w14:paraId="1CDE9734" w14:textId="77777777" w:rsidR="000A0DF7" w:rsidRPr="00097A6E" w:rsidRDefault="000A0DF7" w:rsidP="000A0DF7">
      <w:pPr>
        <w:widowControl w:val="0"/>
        <w:autoSpaceDE w:val="0"/>
        <w:autoSpaceDN w:val="0"/>
        <w:spacing w:after="120" w:line="276" w:lineRule="auto"/>
        <w:ind w:firstLine="707"/>
        <w:jc w:val="both"/>
        <w:rPr>
          <w:rFonts w:ascii="Arial" w:eastAsia="Arial" w:hAnsi="Arial" w:cs="Arial"/>
          <w:sz w:val="22"/>
          <w:szCs w:val="22"/>
          <w:lang w:val="es-ES_tradnl" w:eastAsia="es-ES" w:bidi="es-ES"/>
        </w:rPr>
      </w:pPr>
      <w:r w:rsidRPr="00097A6E">
        <w:rPr>
          <w:rFonts w:ascii="Arial" w:eastAsia="Arial" w:hAnsi="Arial" w:cs="Arial"/>
          <w:sz w:val="22"/>
          <w:szCs w:val="22"/>
          <w:lang w:val="es-ES_tradnl" w:eastAsia="es-ES" w:bidi="es-ES"/>
        </w:rPr>
        <w:t>En ese sentido, los convenios interadministrativos se caracterizan por los sujetos que intervienen y por la modalidad de selección que la ley permite aplicar para su celebración, pues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225B67FB" w14:textId="77777777" w:rsidR="000A0DF7" w:rsidRPr="00097A6E" w:rsidRDefault="000A0DF7" w:rsidP="000A0DF7">
      <w:pPr>
        <w:widowControl w:val="0"/>
        <w:autoSpaceDE w:val="0"/>
        <w:autoSpaceDN w:val="0"/>
        <w:spacing w:before="119" w:after="120" w:line="276" w:lineRule="auto"/>
        <w:ind w:firstLine="707"/>
        <w:jc w:val="both"/>
        <w:rPr>
          <w:rFonts w:ascii="Arial" w:eastAsia="Arial" w:hAnsi="Arial" w:cs="Arial"/>
          <w:sz w:val="22"/>
          <w:szCs w:val="22"/>
          <w:lang w:val="es-ES_tradnl" w:eastAsia="es-ES" w:bidi="es-ES"/>
        </w:rPr>
      </w:pPr>
      <w:r w:rsidRPr="00097A6E">
        <w:rPr>
          <w:rFonts w:ascii="Arial" w:eastAsia="Arial" w:hAnsi="Arial" w:cs="Arial"/>
          <w:sz w:val="22"/>
          <w:szCs w:val="22"/>
          <w:lang w:val="es-ES_tradnl" w:eastAsia="es-ES" w:bidi="es-ES"/>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097A6E">
        <w:rPr>
          <w:rFonts w:ascii="Arial" w:eastAsia="Arial" w:hAnsi="Arial" w:cs="Arial"/>
          <w:spacing w:val="-3"/>
          <w:sz w:val="22"/>
          <w:szCs w:val="22"/>
          <w:lang w:val="es-ES_tradnl" w:eastAsia="es-ES" w:bidi="es-ES"/>
        </w:rPr>
        <w:t xml:space="preserve"> </w:t>
      </w:r>
      <w:r w:rsidRPr="00097A6E">
        <w:rPr>
          <w:rFonts w:ascii="Arial" w:eastAsia="Arial" w:hAnsi="Arial" w:cs="Arial"/>
          <w:sz w:val="22"/>
          <w:szCs w:val="22"/>
          <w:lang w:val="es-ES_tradnl" w:eastAsia="es-ES" w:bidi="es-ES"/>
        </w:rPr>
        <w:t>estatales.</w:t>
      </w:r>
    </w:p>
    <w:p w14:paraId="27B0C39B" w14:textId="77777777" w:rsidR="000A0DF7" w:rsidRPr="00097A6E" w:rsidRDefault="000A0DF7" w:rsidP="000A0DF7">
      <w:pPr>
        <w:widowControl w:val="0"/>
        <w:autoSpaceDE w:val="0"/>
        <w:autoSpaceDN w:val="0"/>
        <w:spacing w:before="120" w:after="200" w:line="276" w:lineRule="auto"/>
        <w:ind w:firstLine="709"/>
        <w:jc w:val="both"/>
        <w:rPr>
          <w:rFonts w:ascii="Arial" w:eastAsia="Arial" w:hAnsi="Arial" w:cs="Arial"/>
          <w:sz w:val="22"/>
          <w:szCs w:val="22"/>
          <w:lang w:val="es-ES_tradnl" w:eastAsia="es-ES" w:bidi="es-ES"/>
        </w:rPr>
      </w:pPr>
      <w:r w:rsidRPr="00097A6E">
        <w:rPr>
          <w:rFonts w:ascii="Arial" w:eastAsia="Arial" w:hAnsi="Arial" w:cs="Arial"/>
          <w:sz w:val="22"/>
          <w:szCs w:val="22"/>
          <w:lang w:val="es-ES_tradnl" w:eastAsia="es-ES" w:bidi="es-ES"/>
        </w:rPr>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097A6E">
        <w:rPr>
          <w:rFonts w:ascii="Arial" w:eastAsia="Arial" w:hAnsi="Arial" w:cs="Arial"/>
          <w:spacing w:val="-4"/>
          <w:sz w:val="22"/>
          <w:szCs w:val="22"/>
          <w:lang w:val="es-ES_tradnl" w:eastAsia="es-ES" w:bidi="es-ES"/>
        </w:rPr>
        <w:t xml:space="preserve"> </w:t>
      </w:r>
      <w:r w:rsidRPr="00097A6E">
        <w:rPr>
          <w:rFonts w:ascii="Arial" w:eastAsia="Arial" w:hAnsi="Arial" w:cs="Arial"/>
          <w:sz w:val="22"/>
          <w:szCs w:val="22"/>
          <w:lang w:val="es-ES_tradnl" w:eastAsia="es-ES" w:bidi="es-ES"/>
        </w:rPr>
        <w:t>estatales.</w:t>
      </w:r>
    </w:p>
    <w:p w14:paraId="434CC65C" w14:textId="77777777" w:rsidR="000A0DF7" w:rsidRPr="00097A6E" w:rsidRDefault="000A0DF7" w:rsidP="000A0DF7">
      <w:pPr>
        <w:widowControl w:val="0"/>
        <w:autoSpaceDE w:val="0"/>
        <w:autoSpaceDN w:val="0"/>
        <w:spacing w:before="122" w:after="120" w:line="276" w:lineRule="auto"/>
        <w:ind w:firstLine="708"/>
        <w:jc w:val="both"/>
        <w:rPr>
          <w:rFonts w:ascii="Arial" w:eastAsia="Arial" w:hAnsi="Arial" w:cs="Arial"/>
          <w:sz w:val="22"/>
          <w:szCs w:val="22"/>
          <w:lang w:val="es-ES_tradnl" w:eastAsia="es-ES" w:bidi="es-ES"/>
        </w:rPr>
      </w:pPr>
      <w:r w:rsidRPr="00097A6E">
        <w:rPr>
          <w:rFonts w:ascii="Arial" w:eastAsia="Arial" w:hAnsi="Arial" w:cs="Arial"/>
          <w:sz w:val="22"/>
          <w:szCs w:val="22"/>
          <w:lang w:val="es-ES_tradnl" w:eastAsia="es-ES" w:bidi="es-ES"/>
        </w:rPr>
        <w:t xml:space="preserve">Es bueno destacar que el Decreto 1082 de 2015 dispone que los convenios o contratos interadministrativos, así denominados en su artículo 2.2.1.2.1.4.4, se contratan </w:t>
      </w:r>
      <w:r w:rsidRPr="00097A6E">
        <w:rPr>
          <w:rFonts w:ascii="Arial" w:eastAsia="Arial" w:hAnsi="Arial" w:cs="Arial"/>
          <w:sz w:val="22"/>
          <w:szCs w:val="22"/>
          <w:lang w:val="es-ES_tradnl" w:eastAsia="es-ES" w:bidi="es-ES"/>
        </w:rPr>
        <w:lastRenderedPageBreak/>
        <w:t>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736281F9" w14:textId="77777777" w:rsidR="000A0DF7" w:rsidRPr="00097A6E" w:rsidRDefault="000A0DF7" w:rsidP="000A0DF7">
      <w:pPr>
        <w:widowControl w:val="0"/>
        <w:autoSpaceDE w:val="0"/>
        <w:autoSpaceDN w:val="0"/>
        <w:spacing w:line="276" w:lineRule="auto"/>
        <w:ind w:firstLine="708"/>
        <w:jc w:val="both"/>
        <w:rPr>
          <w:rFonts w:ascii="Arial" w:eastAsia="Calibri" w:hAnsi="Arial" w:cs="Arial"/>
          <w:bCs/>
          <w:sz w:val="22"/>
          <w:szCs w:val="22"/>
          <w:lang w:val="es-ES_tradnl" w:eastAsia="es-ES" w:bidi="es-ES"/>
        </w:rPr>
      </w:pPr>
      <w:r w:rsidRPr="00097A6E">
        <w:rPr>
          <w:rFonts w:ascii="Arial" w:eastAsia="Arial" w:hAnsi="Arial" w:cs="Arial"/>
          <w:sz w:val="22"/>
          <w:szCs w:val="22"/>
          <w:lang w:val="es-ES_tradnl" w:eastAsia="es-ES" w:bidi="es-ES"/>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097A6E">
        <w:rPr>
          <w:rFonts w:ascii="Arial" w:eastAsia="Arial" w:hAnsi="Arial" w:cs="Arial"/>
          <w:spacing w:val="-4"/>
          <w:sz w:val="22"/>
          <w:szCs w:val="22"/>
          <w:lang w:val="es-ES_tradnl" w:eastAsia="es-ES" w:bidi="es-ES"/>
        </w:rPr>
        <w:t xml:space="preserve"> </w:t>
      </w:r>
      <w:r w:rsidRPr="00097A6E">
        <w:rPr>
          <w:rFonts w:ascii="Arial" w:eastAsia="Arial" w:hAnsi="Arial" w:cs="Arial"/>
          <w:sz w:val="22"/>
          <w:szCs w:val="22"/>
          <w:lang w:val="es-ES_tradnl" w:eastAsia="es-ES" w:bidi="es-ES"/>
        </w:rPr>
        <w:t>[…]»</w:t>
      </w:r>
      <w:r w:rsidRPr="00097A6E">
        <w:rPr>
          <w:rFonts w:ascii="Arial" w:eastAsia="Arial" w:hAnsi="Arial" w:cs="Arial"/>
          <w:sz w:val="22"/>
          <w:szCs w:val="22"/>
          <w:vertAlign w:val="superscript"/>
          <w:lang w:val="es-ES_tradnl" w:eastAsia="es-ES" w:bidi="es-ES"/>
        </w:rPr>
        <w:footnoteReference w:id="33"/>
      </w:r>
      <w:r w:rsidRPr="00097A6E">
        <w:rPr>
          <w:rFonts w:ascii="Arial" w:eastAsia="Arial" w:hAnsi="Arial" w:cs="Arial"/>
          <w:sz w:val="22"/>
          <w:szCs w:val="22"/>
          <w:lang w:val="es-ES_tradnl" w:eastAsia="es-ES" w:bidi="es-ES"/>
        </w:rPr>
        <w:t>.</w:t>
      </w:r>
      <w:bookmarkStart w:id="12" w:name="_Hlk77171241"/>
    </w:p>
    <w:p w14:paraId="25212365" w14:textId="55292914" w:rsidR="000A0DF7" w:rsidRPr="00097A6E" w:rsidRDefault="000A0DF7" w:rsidP="000A0DF7">
      <w:pPr>
        <w:widowControl w:val="0"/>
        <w:autoSpaceDE w:val="0"/>
        <w:autoSpaceDN w:val="0"/>
        <w:spacing w:before="122" w:line="276" w:lineRule="auto"/>
        <w:ind w:firstLine="709"/>
        <w:jc w:val="both"/>
        <w:rPr>
          <w:rFonts w:ascii="Arial" w:eastAsia="Arial" w:hAnsi="Arial" w:cs="Arial"/>
          <w:sz w:val="22"/>
          <w:szCs w:val="22"/>
          <w:lang w:val="es-ES_tradnl" w:eastAsia="es-ES" w:bidi="es-ES"/>
        </w:rPr>
      </w:pPr>
      <w:r w:rsidRPr="00097A6E">
        <w:rPr>
          <w:rFonts w:ascii="Arial" w:eastAsia="Arial" w:hAnsi="Arial" w:cs="Arial"/>
          <w:sz w:val="22"/>
          <w:szCs w:val="22"/>
          <w:lang w:val="es-ES_tradnl" w:eastAsia="es-ES" w:bidi="es-ES"/>
        </w:rPr>
        <w:t>Sin perjuicio de lo anterior, debe tenerse en cuenta que cierto sector de la doctrina y la jurisprudencia han establecido algunas diferencias o caracterización de los contratos interadministrativos frente a los convenios interadministrativos de que trata el artículo 95 de la Ley 489 de 1998. Por ejemplo,</w:t>
      </w:r>
      <w:r w:rsidR="00A17941" w:rsidRPr="00097A6E">
        <w:rPr>
          <w:rFonts w:ascii="Arial" w:eastAsia="Arial" w:hAnsi="Arial" w:cs="Arial"/>
          <w:sz w:val="22"/>
          <w:szCs w:val="22"/>
          <w:lang w:val="es-ES_tradnl" w:eastAsia="es-ES" w:bidi="es-ES"/>
        </w:rPr>
        <w:t xml:space="preserve"> en Sentencia del 14 de junio de 2019, </w:t>
      </w:r>
      <w:r w:rsidRPr="00097A6E">
        <w:rPr>
          <w:rFonts w:ascii="Arial" w:eastAsia="Arial" w:hAnsi="Arial" w:cs="Arial"/>
          <w:sz w:val="22"/>
          <w:szCs w:val="22"/>
          <w:lang w:val="es-ES_tradnl" w:eastAsia="es-ES" w:bidi="es-ES"/>
        </w:rPr>
        <w:t>el Consejo de Estado expresó:</w:t>
      </w:r>
    </w:p>
    <w:p w14:paraId="0357AFF0" w14:textId="77777777" w:rsidR="000A0DF7" w:rsidRPr="00097A6E" w:rsidRDefault="000A0DF7" w:rsidP="000A0DF7">
      <w:pPr>
        <w:widowControl w:val="0"/>
        <w:autoSpaceDE w:val="0"/>
        <w:autoSpaceDN w:val="0"/>
        <w:spacing w:line="276" w:lineRule="auto"/>
        <w:ind w:firstLine="709"/>
        <w:jc w:val="both"/>
        <w:rPr>
          <w:rFonts w:ascii="Arial" w:eastAsia="Arial" w:hAnsi="Arial" w:cs="Arial"/>
          <w:sz w:val="22"/>
          <w:szCs w:val="22"/>
          <w:lang w:val="es-ES_tradnl" w:eastAsia="es-ES" w:bidi="es-ES"/>
        </w:rPr>
      </w:pPr>
    </w:p>
    <w:p w14:paraId="56054049" w14:textId="77777777" w:rsidR="000A0DF7" w:rsidRPr="00097A6E" w:rsidRDefault="000A0DF7" w:rsidP="000A0DF7">
      <w:pPr>
        <w:ind w:left="709" w:right="709"/>
        <w:jc w:val="both"/>
        <w:rPr>
          <w:rFonts w:ascii="Arial" w:eastAsiaTheme="minorHAnsi" w:hAnsi="Arial" w:cs="Arial"/>
          <w:sz w:val="21"/>
          <w:szCs w:val="21"/>
          <w:lang w:val="es-ES_tradnl" w:eastAsia="en-US"/>
        </w:rPr>
      </w:pPr>
      <w:r w:rsidRPr="00097A6E">
        <w:rPr>
          <w:rFonts w:ascii="Arial" w:eastAsiaTheme="minorHAnsi" w:hAnsi="Arial" w:cs="Arial"/>
          <w:sz w:val="21"/>
          <w:szCs w:val="21"/>
          <w:lang w:val="es-ES_tradnl" w:eastAsia="en-US"/>
        </w:rPr>
        <w:t>La Sala de Consulta y Servicio Civil</w:t>
      </w:r>
      <w:r w:rsidRPr="00097A6E">
        <w:rPr>
          <w:rFonts w:ascii="Arial" w:eastAsiaTheme="minorHAnsi" w:hAnsi="Arial" w:cs="Arial"/>
          <w:sz w:val="21"/>
          <w:szCs w:val="21"/>
          <w:vertAlign w:val="superscript"/>
          <w:lang w:val="es-ES_tradnl" w:eastAsia="en-US"/>
        </w:rPr>
        <w:footnoteReference w:id="34"/>
      </w:r>
      <w:r w:rsidRPr="00097A6E">
        <w:rPr>
          <w:rFonts w:ascii="Arial" w:eastAsiaTheme="minorHAnsi" w:hAnsi="Arial" w:cs="Arial"/>
          <w:sz w:val="21"/>
          <w:szCs w:val="21"/>
          <w:lang w:val="es-ES_tradnl" w:eastAsia="en-US"/>
        </w:rPr>
        <w:t xml:space="preserve"> de esta Corporación se ha referido a los </w:t>
      </w:r>
      <w:r w:rsidRPr="00097A6E">
        <w:rPr>
          <w:rFonts w:ascii="Arial" w:eastAsiaTheme="minorHAnsi" w:hAnsi="Arial" w:cs="Arial"/>
          <w:i/>
          <w:sz w:val="21"/>
          <w:szCs w:val="21"/>
          <w:lang w:val="es-ES_tradnl" w:eastAsia="en-US"/>
        </w:rPr>
        <w:t>“convenios interadministrativos”</w:t>
      </w:r>
      <w:r w:rsidRPr="00097A6E">
        <w:rPr>
          <w:rFonts w:ascii="Arial" w:eastAsiaTheme="minorHAnsi" w:hAnsi="Arial" w:cs="Arial"/>
          <w:sz w:val="21"/>
          <w:szCs w:val="21"/>
          <w:lang w:val="es-ES_tradnl" w:eastAsia="en-US"/>
        </w:rPr>
        <w:t xml:space="preserve"> a los cuales alude el artículo 95 de la Ley 489 de 1998, calificándolos de </w:t>
      </w:r>
      <w:r w:rsidRPr="00097A6E">
        <w:rPr>
          <w:rFonts w:ascii="Arial" w:eastAsiaTheme="minorHAnsi" w:hAnsi="Arial" w:cs="Arial"/>
          <w:i/>
          <w:sz w:val="21"/>
          <w:szCs w:val="21"/>
          <w:lang w:val="es-ES_tradnl" w:eastAsia="en-US"/>
        </w:rPr>
        <w:t xml:space="preserve">“puros” </w:t>
      </w:r>
      <w:r w:rsidRPr="00097A6E">
        <w:rPr>
          <w:rFonts w:ascii="Arial" w:eastAsiaTheme="minorHAnsi" w:hAnsi="Arial" w:cs="Arial"/>
          <w:sz w:val="21"/>
          <w:szCs w:val="21"/>
          <w:lang w:val="es-ES_tradnl" w:eastAsia="en-US"/>
        </w:rPr>
        <w:t xml:space="preserve">y entendiendo que estos, además de perseguir la finalidad de cooperación antes indicada, no implican intereses contrapuestos ni tampoco se circunscriben a un </w:t>
      </w:r>
      <w:r w:rsidRPr="00097A6E">
        <w:rPr>
          <w:rFonts w:ascii="Arial" w:eastAsiaTheme="minorHAnsi" w:hAnsi="Arial" w:cs="Arial"/>
          <w:i/>
          <w:sz w:val="21"/>
          <w:szCs w:val="21"/>
          <w:lang w:val="es-ES_tradnl" w:eastAsia="en-US"/>
        </w:rPr>
        <w:t>“intercambio patrimonial”</w:t>
      </w:r>
      <w:r w:rsidRPr="00097A6E">
        <w:rPr>
          <w:rFonts w:ascii="Arial" w:eastAsiaTheme="minorHAnsi" w:hAnsi="Arial" w:cs="Arial"/>
          <w:sz w:val="21"/>
          <w:szCs w:val="21"/>
          <w:lang w:val="es-ES_tradnl" w:eastAsia="en-US"/>
        </w:rPr>
        <w:t>. Sin perjuicio de lo anterior, en otra oportunidad, la misma Sala</w:t>
      </w:r>
      <w:r w:rsidRPr="00097A6E">
        <w:rPr>
          <w:rFonts w:ascii="Arial" w:eastAsiaTheme="minorHAnsi" w:hAnsi="Arial" w:cs="Arial"/>
          <w:sz w:val="21"/>
          <w:szCs w:val="21"/>
          <w:vertAlign w:val="superscript"/>
          <w:lang w:val="es-ES_tradnl" w:eastAsia="en-US"/>
        </w:rPr>
        <w:footnoteReference w:id="35"/>
      </w:r>
      <w:r w:rsidRPr="00097A6E">
        <w:rPr>
          <w:rFonts w:ascii="Arial" w:eastAsiaTheme="minorHAnsi" w:hAnsi="Arial" w:cs="Arial"/>
          <w:sz w:val="21"/>
          <w:szCs w:val="21"/>
          <w:lang w:val="es-ES_tradnl" w:eastAsia="en-US"/>
        </w:rPr>
        <w:t xml:space="preserve"> había indicado que, si bien en dichos convenios no se daba un </w:t>
      </w:r>
      <w:r w:rsidRPr="00097A6E">
        <w:rPr>
          <w:rFonts w:ascii="Arial" w:eastAsiaTheme="minorHAnsi" w:hAnsi="Arial" w:cs="Arial"/>
          <w:i/>
          <w:sz w:val="21"/>
          <w:szCs w:val="21"/>
          <w:lang w:val="es-ES_tradnl" w:eastAsia="en-US"/>
        </w:rPr>
        <w:t>“verdadero intercambio de bienes o servicios (contrato conmutativo)”</w:t>
      </w:r>
      <w:r w:rsidRPr="00097A6E">
        <w:rPr>
          <w:rFonts w:ascii="Arial" w:eastAsiaTheme="minorHAnsi" w:hAnsi="Arial" w:cs="Arial"/>
          <w:sz w:val="21"/>
          <w:szCs w:val="21"/>
          <w:lang w:val="es-ES_tradnl" w:eastAsia="en-US"/>
        </w:rPr>
        <w:t>, ello no impedía que se conviniera una remuneración a cargo de alguna(s) entidad(es).</w:t>
      </w:r>
    </w:p>
    <w:p w14:paraId="22800FE8" w14:textId="77777777" w:rsidR="000A0DF7" w:rsidRPr="00097A6E" w:rsidRDefault="000A0DF7" w:rsidP="000A0DF7">
      <w:pPr>
        <w:ind w:left="709" w:right="709"/>
        <w:jc w:val="both"/>
        <w:rPr>
          <w:rFonts w:ascii="Arial" w:eastAsiaTheme="minorHAnsi" w:hAnsi="Arial" w:cs="Arial"/>
          <w:sz w:val="21"/>
          <w:szCs w:val="21"/>
          <w:lang w:val="es-ES_tradnl" w:eastAsia="en-US"/>
        </w:rPr>
      </w:pPr>
    </w:p>
    <w:p w14:paraId="25EEF387" w14:textId="77777777" w:rsidR="000A0DF7" w:rsidRPr="00097A6E" w:rsidRDefault="000A0DF7" w:rsidP="000A0DF7">
      <w:pPr>
        <w:widowControl w:val="0"/>
        <w:autoSpaceDE w:val="0"/>
        <w:autoSpaceDN w:val="0"/>
        <w:ind w:left="709" w:right="709"/>
        <w:jc w:val="both"/>
        <w:rPr>
          <w:rFonts w:ascii="Arial" w:eastAsia="Arial" w:hAnsi="Arial" w:cs="Arial"/>
          <w:sz w:val="21"/>
          <w:szCs w:val="21"/>
          <w:lang w:val="es-ES_tradnl" w:eastAsia="es-ES" w:bidi="es-ES"/>
        </w:rPr>
      </w:pPr>
      <w:r w:rsidRPr="00097A6E">
        <w:rPr>
          <w:rFonts w:ascii="Arial" w:eastAsia="Arial" w:hAnsi="Arial" w:cs="Arial"/>
          <w:sz w:val="21"/>
          <w:szCs w:val="21"/>
          <w:lang w:val="es-ES_tradnl" w:eastAsia="es-ES" w:bidi="es-ES"/>
        </w:rPr>
        <w:t xml:space="preserve">Lo expuesto evidencia que, en general, las interpretaciones en torno a los </w:t>
      </w:r>
      <w:r w:rsidRPr="00097A6E">
        <w:rPr>
          <w:rFonts w:ascii="Arial" w:eastAsia="Arial" w:hAnsi="Arial" w:cs="Arial"/>
          <w:i/>
          <w:sz w:val="21"/>
          <w:szCs w:val="21"/>
          <w:lang w:val="es-ES_tradnl" w:eastAsia="es-ES" w:bidi="es-ES"/>
        </w:rPr>
        <w:t>“convenios interadministrativos”</w:t>
      </w:r>
      <w:r w:rsidRPr="00097A6E">
        <w:rPr>
          <w:rFonts w:ascii="Arial" w:eastAsia="Arial" w:hAnsi="Arial" w:cs="Arial"/>
          <w:sz w:val="21"/>
          <w:szCs w:val="21"/>
          <w:lang w:val="es-ES_tradnl" w:eastAsia="es-ES" w:bidi="es-ES"/>
        </w:rPr>
        <w:t xml:space="preserve"> previstos en el artículo 95 de la Ley 489 de 1998, en el propósito de encasillarlos dentro de una categoría normativa </w:t>
      </w:r>
      <w:r w:rsidRPr="00097A6E">
        <w:rPr>
          <w:rFonts w:ascii="Arial" w:eastAsia="Arial" w:hAnsi="Arial" w:cs="Arial"/>
          <w:sz w:val="21"/>
          <w:szCs w:val="21"/>
          <w:lang w:val="es-ES_tradnl" w:eastAsia="es-ES" w:bidi="es-ES"/>
        </w:rPr>
        <w:lastRenderedPageBreak/>
        <w:t>delimitada en su estructura, elementos y régimen jurídico, han sido dubitativas al vincular o no las obligaciones propias de dichos convenios con las de los contratos estatales sometidos al EGCAP, las cuales tienen por objeto prestaciones patrimoniales</w:t>
      </w:r>
      <w:r w:rsidRPr="00097A6E">
        <w:rPr>
          <w:rFonts w:ascii="Arial" w:eastAsia="Arial" w:hAnsi="Arial" w:cs="Arial"/>
          <w:sz w:val="21"/>
          <w:szCs w:val="21"/>
          <w:vertAlign w:val="superscript"/>
          <w:lang w:val="es-ES_tradnl" w:eastAsia="es-ES" w:bidi="es-ES"/>
        </w:rPr>
        <w:footnoteReference w:id="36"/>
      </w:r>
      <w:r w:rsidRPr="00097A6E">
        <w:rPr>
          <w:rFonts w:ascii="Arial" w:eastAsia="Arial" w:hAnsi="Arial" w:cs="Arial"/>
          <w:sz w:val="21"/>
          <w:szCs w:val="21"/>
          <w:vertAlign w:val="superscript"/>
          <w:lang w:val="es-ES_tradnl" w:eastAsia="es-ES" w:bidi="es-ES"/>
        </w:rPr>
        <w:footnoteReference w:id="37"/>
      </w:r>
      <w:r w:rsidRPr="00097A6E">
        <w:rPr>
          <w:rFonts w:ascii="Arial" w:eastAsia="Arial" w:hAnsi="Arial" w:cs="Arial"/>
          <w:sz w:val="21"/>
          <w:szCs w:val="21"/>
          <w:lang w:val="es-ES_tradnl" w:eastAsia="es-ES" w:bidi="es-ES"/>
        </w:rPr>
        <w:t>.</w:t>
      </w:r>
    </w:p>
    <w:p w14:paraId="5B013704" w14:textId="77777777" w:rsidR="000A0DF7" w:rsidRPr="00097A6E" w:rsidRDefault="000A0DF7" w:rsidP="000A0DF7">
      <w:pPr>
        <w:widowControl w:val="0"/>
        <w:autoSpaceDE w:val="0"/>
        <w:autoSpaceDN w:val="0"/>
        <w:spacing w:line="276" w:lineRule="auto"/>
        <w:jc w:val="both"/>
        <w:rPr>
          <w:rFonts w:ascii="Arial" w:eastAsia="Arial" w:hAnsi="Arial" w:cs="Arial"/>
          <w:sz w:val="22"/>
          <w:szCs w:val="22"/>
          <w:lang w:val="es-ES_tradnl" w:eastAsia="es-ES" w:bidi="es-ES"/>
        </w:rPr>
      </w:pPr>
    </w:p>
    <w:p w14:paraId="58A87E67" w14:textId="55E1D8D3" w:rsidR="000A0DF7" w:rsidRPr="00097A6E" w:rsidRDefault="000A0DF7" w:rsidP="000A0DF7">
      <w:pPr>
        <w:widowControl w:val="0"/>
        <w:autoSpaceDE w:val="0"/>
        <w:autoSpaceDN w:val="0"/>
        <w:spacing w:after="120" w:line="276" w:lineRule="auto"/>
        <w:jc w:val="both"/>
        <w:rPr>
          <w:rFonts w:ascii="Arial" w:eastAsia="Arial" w:hAnsi="Arial" w:cs="Arial"/>
          <w:sz w:val="22"/>
          <w:szCs w:val="22"/>
          <w:lang w:val="es-ES_tradnl" w:eastAsia="es-ES" w:bidi="es-ES"/>
        </w:rPr>
      </w:pPr>
      <w:r w:rsidRPr="00097A6E">
        <w:rPr>
          <w:rFonts w:ascii="Arial" w:eastAsia="Arial" w:hAnsi="Arial" w:cs="Arial"/>
          <w:sz w:val="22"/>
          <w:szCs w:val="22"/>
          <w:lang w:val="es-ES_tradnl" w:eastAsia="es-ES" w:bidi="es-ES"/>
        </w:rPr>
        <w:tab/>
      </w:r>
      <w:r w:rsidR="004C033C" w:rsidRPr="00097A6E">
        <w:rPr>
          <w:rFonts w:ascii="Arial" w:eastAsia="Arial" w:hAnsi="Arial" w:cs="Arial"/>
          <w:sz w:val="22"/>
          <w:szCs w:val="22"/>
          <w:lang w:val="es-ES_tradnl" w:eastAsia="es-ES" w:bidi="es-ES"/>
        </w:rPr>
        <w:t>En todo caso</w:t>
      </w:r>
      <w:r w:rsidRPr="00097A6E">
        <w:rPr>
          <w:rFonts w:ascii="Arial" w:eastAsia="Arial" w:hAnsi="Arial" w:cs="Arial"/>
          <w:sz w:val="22"/>
          <w:szCs w:val="22"/>
          <w:lang w:val="es-ES_tradnl" w:eastAsia="es-ES" w:bidi="es-ES"/>
        </w:rPr>
        <w:t>, debe reiterarse que el ordenamiento jurídico en distintas ocasiones utiliza de forma indistinta los conceptos de contrato o convenio para referirse a la misma institución jurídica</w:t>
      </w:r>
      <w:r w:rsidRPr="00097A6E">
        <w:rPr>
          <w:rFonts w:ascii="Arial" w:eastAsia="Arial" w:hAnsi="Arial" w:cs="Arial"/>
          <w:sz w:val="22"/>
          <w:szCs w:val="22"/>
          <w:vertAlign w:val="superscript"/>
          <w:lang w:val="es-ES_tradnl" w:eastAsia="es-ES" w:bidi="es-ES"/>
        </w:rPr>
        <w:footnoteReference w:id="38"/>
      </w:r>
      <w:r w:rsidRPr="00097A6E">
        <w:rPr>
          <w:rFonts w:ascii="Arial" w:eastAsia="Arial" w:hAnsi="Arial" w:cs="Arial"/>
          <w:sz w:val="22"/>
          <w:szCs w:val="22"/>
          <w:lang w:val="es-ES_tradnl" w:eastAsia="es-ES" w:bidi="es-ES"/>
        </w:rPr>
        <w:t>. Incluso la Corte Constitucional explica la posibilidad de celebrar convenios interadministrativos de forma directa, con fundamento en la causal establecida en la Ley 1150 de 2007 respecto a los contratos interadministrativos</w:t>
      </w:r>
      <w:r w:rsidRPr="00097A6E">
        <w:rPr>
          <w:rFonts w:ascii="Arial" w:eastAsia="Arial" w:hAnsi="Arial" w:cs="Arial"/>
          <w:sz w:val="22"/>
          <w:szCs w:val="22"/>
          <w:vertAlign w:val="superscript"/>
          <w:lang w:val="es-ES_tradnl" w:eastAsia="es-ES" w:bidi="es-ES"/>
        </w:rPr>
        <w:footnoteReference w:id="39"/>
      </w:r>
      <w:r w:rsidRPr="00097A6E">
        <w:rPr>
          <w:rFonts w:ascii="Arial" w:eastAsia="Arial" w:hAnsi="Arial" w:cs="Arial"/>
          <w:sz w:val="22"/>
          <w:szCs w:val="22"/>
          <w:lang w:val="es-ES_tradnl" w:eastAsia="es-ES" w:bidi="es-ES"/>
        </w:rPr>
        <w:t>.</w:t>
      </w:r>
    </w:p>
    <w:p w14:paraId="5306091D" w14:textId="551D1373" w:rsidR="000A0DF7" w:rsidRPr="00097A6E" w:rsidRDefault="000A0DF7" w:rsidP="000A0DF7">
      <w:pPr>
        <w:widowControl w:val="0"/>
        <w:autoSpaceDE w:val="0"/>
        <w:autoSpaceDN w:val="0"/>
        <w:spacing w:line="276" w:lineRule="auto"/>
        <w:jc w:val="both"/>
        <w:rPr>
          <w:rFonts w:ascii="Arial" w:eastAsia="Arial" w:hAnsi="Arial" w:cs="Arial"/>
          <w:sz w:val="22"/>
          <w:szCs w:val="22"/>
          <w:lang w:val="es-ES_tradnl" w:eastAsia="es-ES" w:bidi="es-ES"/>
        </w:rPr>
      </w:pPr>
      <w:r w:rsidRPr="00097A6E">
        <w:rPr>
          <w:rFonts w:ascii="Arial" w:eastAsia="Arial" w:hAnsi="Arial" w:cs="Arial"/>
          <w:sz w:val="22"/>
          <w:szCs w:val="22"/>
          <w:lang w:val="es-ES_tradnl" w:eastAsia="es-ES" w:bidi="es-ES"/>
        </w:rPr>
        <w:tab/>
        <w:t xml:space="preserve">En desarrollo de lo anterior, vale la pena destacar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lo que resulta relevante </w:t>
      </w:r>
      <w:r w:rsidR="00A17941" w:rsidRPr="00097A6E">
        <w:rPr>
          <w:rFonts w:ascii="Arial" w:eastAsia="Arial" w:hAnsi="Arial" w:cs="Arial"/>
          <w:sz w:val="22"/>
          <w:szCs w:val="22"/>
          <w:lang w:val="es-ES_tradnl" w:eastAsia="es-ES" w:bidi="es-ES"/>
        </w:rPr>
        <w:t>en</w:t>
      </w:r>
      <w:r w:rsidRPr="00097A6E">
        <w:rPr>
          <w:rFonts w:ascii="Arial" w:eastAsia="Arial" w:hAnsi="Arial" w:cs="Arial"/>
          <w:sz w:val="22"/>
          <w:szCs w:val="22"/>
          <w:lang w:val="es-ES_tradnl" w:eastAsia="es-ES" w:bidi="es-ES"/>
        </w:rPr>
        <w:t xml:space="preserve"> este concepto para la aplicación de la Ley de Garantías. En este sentido, la Circular</w:t>
      </w:r>
      <w:r w:rsidR="00A17941" w:rsidRPr="00097A6E">
        <w:rPr>
          <w:rFonts w:ascii="Arial" w:eastAsia="Arial" w:hAnsi="Arial" w:cs="Arial"/>
          <w:sz w:val="22"/>
          <w:szCs w:val="22"/>
          <w:lang w:val="es-ES_tradnl" w:eastAsia="es-ES" w:bidi="es-ES"/>
        </w:rPr>
        <w:t xml:space="preserve"> </w:t>
      </w:r>
      <w:r w:rsidR="00A17941" w:rsidRPr="00097A6E">
        <w:rPr>
          <w:rFonts w:ascii="Arial" w:eastAsia="Arial" w:hAnsi="Arial" w:cs="Arial"/>
          <w:sz w:val="22"/>
          <w:szCs w:val="22"/>
          <w:lang w:val="es-ES_tradnl" w:eastAsia="es-ES" w:bidi="es-ES"/>
        </w:rPr>
        <w:lastRenderedPageBreak/>
        <w:t>Externa Única</w:t>
      </w:r>
      <w:r w:rsidRPr="00097A6E">
        <w:rPr>
          <w:rFonts w:ascii="Arial" w:eastAsia="Arial" w:hAnsi="Arial" w:cs="Arial"/>
          <w:sz w:val="22"/>
          <w:szCs w:val="22"/>
          <w:lang w:val="es-ES_tradnl" w:eastAsia="es-ES" w:bidi="es-ES"/>
        </w:rPr>
        <w:t>, refiriéndose al parágrafo del artículo 38 de la Ley 996 de 2005, expresa:</w:t>
      </w:r>
    </w:p>
    <w:p w14:paraId="29987341" w14:textId="77777777" w:rsidR="000A0DF7" w:rsidRPr="00097A6E" w:rsidRDefault="000A0DF7" w:rsidP="000A0DF7">
      <w:pPr>
        <w:widowControl w:val="0"/>
        <w:autoSpaceDE w:val="0"/>
        <w:autoSpaceDN w:val="0"/>
        <w:spacing w:line="276" w:lineRule="auto"/>
        <w:jc w:val="both"/>
        <w:rPr>
          <w:rFonts w:ascii="Arial" w:eastAsia="Arial" w:hAnsi="Arial" w:cs="Arial"/>
          <w:sz w:val="22"/>
          <w:szCs w:val="22"/>
          <w:lang w:val="es-ES_tradnl" w:eastAsia="es-ES" w:bidi="es-ES"/>
        </w:rPr>
      </w:pPr>
    </w:p>
    <w:p w14:paraId="588A56A9" w14:textId="77777777" w:rsidR="000A0DF7" w:rsidRPr="00097A6E" w:rsidRDefault="000A0DF7" w:rsidP="000A0DF7">
      <w:pPr>
        <w:spacing w:after="120"/>
        <w:ind w:left="709" w:right="709"/>
        <w:jc w:val="both"/>
        <w:rPr>
          <w:rFonts w:ascii="Arial" w:eastAsiaTheme="minorHAnsi" w:hAnsi="Arial" w:cs="Arial"/>
          <w:sz w:val="21"/>
          <w:szCs w:val="21"/>
          <w:lang w:val="es-ES_tradnl" w:eastAsia="en-US"/>
        </w:rPr>
      </w:pPr>
      <w:r w:rsidRPr="00097A6E">
        <w:rPr>
          <w:rFonts w:ascii="Arial" w:eastAsiaTheme="minorHAnsi" w:hAnsi="Arial" w:cs="Arial"/>
          <w:sz w:val="21"/>
          <w:szCs w:val="21"/>
          <w:lang w:val="es-ES_tradnl" w:eastAsia="en-US"/>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4E2B6743" w14:textId="77777777" w:rsidR="000A0DF7" w:rsidRPr="00097A6E" w:rsidRDefault="000A0DF7" w:rsidP="000A0DF7">
      <w:pPr>
        <w:spacing w:after="120"/>
        <w:ind w:left="709" w:right="709"/>
        <w:jc w:val="both"/>
        <w:rPr>
          <w:rFonts w:ascii="Arial" w:eastAsiaTheme="minorHAnsi" w:hAnsi="Arial" w:cs="Arial"/>
          <w:sz w:val="21"/>
          <w:szCs w:val="21"/>
          <w:lang w:val="es-ES_tradnl" w:eastAsia="en-US"/>
        </w:rPr>
      </w:pPr>
      <w:r w:rsidRPr="00097A6E">
        <w:rPr>
          <w:rFonts w:ascii="Arial" w:eastAsiaTheme="minorHAnsi" w:hAnsi="Arial" w:cs="Arial"/>
          <w:sz w:val="21"/>
          <w:szCs w:val="21"/>
          <w:lang w:val="es-ES_tradnl" w:eastAsia="en-US"/>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72255552" w14:textId="77777777" w:rsidR="000A0DF7" w:rsidRPr="00097A6E" w:rsidRDefault="000A0DF7" w:rsidP="000A0DF7">
      <w:pPr>
        <w:ind w:left="709" w:right="709"/>
        <w:jc w:val="both"/>
        <w:rPr>
          <w:rFonts w:ascii="Arial" w:eastAsiaTheme="minorHAnsi" w:hAnsi="Arial" w:cs="Arial"/>
          <w:szCs w:val="22"/>
          <w:lang w:val="es-ES_tradnl" w:eastAsia="en-US"/>
        </w:rPr>
      </w:pPr>
      <w:r w:rsidRPr="00097A6E">
        <w:rPr>
          <w:rFonts w:ascii="Arial" w:eastAsiaTheme="minorHAnsi" w:hAnsi="Arial" w:cs="Arial"/>
          <w:sz w:val="21"/>
          <w:szCs w:val="21"/>
          <w:lang w:val="es-ES_tradnl" w:eastAsia="en-US"/>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1D471EC8" w14:textId="77777777" w:rsidR="000A0DF7" w:rsidRPr="00097A6E" w:rsidRDefault="000A0DF7" w:rsidP="000A0DF7">
      <w:pPr>
        <w:widowControl w:val="0"/>
        <w:autoSpaceDE w:val="0"/>
        <w:autoSpaceDN w:val="0"/>
        <w:spacing w:before="3" w:line="276" w:lineRule="auto"/>
        <w:jc w:val="both"/>
        <w:rPr>
          <w:rFonts w:ascii="Arial" w:eastAsia="Arial" w:hAnsi="Arial" w:cs="Arial"/>
          <w:sz w:val="22"/>
          <w:szCs w:val="22"/>
          <w:lang w:val="es-ES_tradnl" w:eastAsia="es-ES" w:bidi="es-ES"/>
        </w:rPr>
      </w:pPr>
    </w:p>
    <w:p w14:paraId="4C749906" w14:textId="77777777" w:rsidR="000A0DF7" w:rsidRPr="00097A6E" w:rsidRDefault="000A0DF7" w:rsidP="000A0DF7">
      <w:pPr>
        <w:widowControl w:val="0"/>
        <w:autoSpaceDE w:val="0"/>
        <w:autoSpaceDN w:val="0"/>
        <w:spacing w:after="120" w:line="276" w:lineRule="auto"/>
        <w:jc w:val="both"/>
        <w:rPr>
          <w:rFonts w:ascii="Arial" w:eastAsia="Calibri" w:hAnsi="Arial" w:cs="Arial"/>
          <w:bCs/>
          <w:sz w:val="22"/>
          <w:szCs w:val="22"/>
          <w:lang w:val="es-ES_tradnl" w:eastAsia="es-ES" w:bidi="es-ES"/>
        </w:rPr>
      </w:pPr>
      <w:r w:rsidRPr="00097A6E">
        <w:rPr>
          <w:rFonts w:ascii="Arial" w:eastAsia="Arial" w:hAnsi="Arial" w:cs="Arial"/>
          <w:sz w:val="25"/>
          <w:szCs w:val="22"/>
          <w:lang w:val="es-ES_tradnl" w:eastAsia="es-ES" w:bidi="es-ES"/>
        </w:rPr>
        <w:tab/>
      </w:r>
      <w:r w:rsidRPr="00097A6E">
        <w:rPr>
          <w:rFonts w:ascii="Arial" w:eastAsia="Arial" w:hAnsi="Arial" w:cs="Arial"/>
          <w:sz w:val="22"/>
          <w:szCs w:val="22"/>
          <w:lang w:val="es-ES_tradnl" w:eastAsia="es-ES" w:bidi="es-ES"/>
        </w:rPr>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asimilaron para la aplicación de la Ley de Garantías.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12"/>
    </w:p>
    <w:p w14:paraId="301F6820" w14:textId="77777777" w:rsidR="000A0DF7" w:rsidRPr="00AA6559" w:rsidRDefault="000A0DF7" w:rsidP="000A0DF7">
      <w:pPr>
        <w:tabs>
          <w:tab w:val="left" w:pos="426"/>
        </w:tabs>
        <w:spacing w:after="120" w:line="276" w:lineRule="auto"/>
        <w:ind w:firstLine="709"/>
        <w:jc w:val="both"/>
        <w:rPr>
          <w:rFonts w:ascii="Arial" w:hAnsi="Arial" w:cs="Arial"/>
          <w:bCs/>
          <w:sz w:val="22"/>
          <w:szCs w:val="22"/>
          <w:lang w:val="es-ES_tradnl" w:eastAsia="es-CO"/>
        </w:rPr>
      </w:pPr>
      <w:r w:rsidRPr="00097A6E">
        <w:rPr>
          <w:rFonts w:ascii="Arial" w:hAnsi="Arial" w:cs="Arial"/>
          <w:bCs/>
          <w:sz w:val="22"/>
          <w:szCs w:val="22"/>
          <w:lang w:val="es-ES_tradnl" w:eastAsia="es-CO"/>
        </w:rPr>
        <w:t xml:space="preserve">Se observa entonces que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w:t>
      </w:r>
      <w:r w:rsidRPr="00097A6E">
        <w:rPr>
          <w:rFonts w:ascii="Arial" w:hAnsi="Arial" w:cs="Arial"/>
          <w:bCs/>
          <w:sz w:val="22"/>
          <w:szCs w:val="22"/>
          <w:lang w:val="es-ES_tradnl" w:eastAsia="es-CO"/>
        </w:rPr>
        <w:lastRenderedPageBreak/>
        <w:t xml:space="preserve">contractual es una entidad de aquellas descritas en el parágrafo </w:t>
      </w:r>
      <w:r w:rsidRPr="00097A6E">
        <w:rPr>
          <w:rFonts w:ascii="Arial" w:hAnsi="Arial" w:cs="Arial"/>
          <w:bCs/>
          <w:i/>
          <w:iCs/>
          <w:sz w:val="22"/>
          <w:szCs w:val="22"/>
          <w:lang w:val="es-ES_tradnl" w:eastAsia="es-CO"/>
        </w:rPr>
        <w:t>ibidem</w:t>
      </w:r>
      <w:r w:rsidRPr="00097A6E">
        <w:rPr>
          <w:rFonts w:ascii="Arial" w:hAnsi="Arial" w:cs="Arial"/>
          <w:bCs/>
          <w:sz w:val="22"/>
          <w:szCs w:val="22"/>
          <w:lang w:val="es-ES_tradnl" w:eastAsia="es-CO"/>
        </w:rPr>
        <w:t xml:space="preserve">, no podrá celebrar tales convenios o contratos durante la aplicación de la ley de garantías, toda vez que la citada disposición hace </w:t>
      </w:r>
      <w:r w:rsidRPr="00AA6559">
        <w:rPr>
          <w:rFonts w:ascii="Arial" w:hAnsi="Arial" w:cs="Arial"/>
          <w:bCs/>
          <w:sz w:val="22"/>
          <w:szCs w:val="22"/>
          <w:lang w:val="es-ES_tradnl" w:eastAsia="es-CO"/>
        </w:rPr>
        <w:t>referencia a dicha tipología contractual sin que el legislador hubiere contemplado excepción alguna frente a la modalidad de selección o naturaleza de su objeto</w:t>
      </w:r>
      <w:r w:rsidRPr="00AA6559">
        <w:rPr>
          <w:rStyle w:val="Refdenotaalpie"/>
          <w:rFonts w:ascii="Arial" w:hAnsi="Arial" w:cs="Arial"/>
          <w:bCs/>
          <w:sz w:val="22"/>
          <w:szCs w:val="22"/>
          <w:lang w:val="es-ES_tradnl" w:eastAsia="es-CO"/>
        </w:rPr>
        <w:footnoteReference w:id="40"/>
      </w:r>
      <w:r w:rsidRPr="00AA6559">
        <w:rPr>
          <w:rFonts w:ascii="Arial" w:hAnsi="Arial" w:cs="Arial"/>
          <w:bCs/>
          <w:sz w:val="22"/>
          <w:szCs w:val="22"/>
          <w:lang w:val="es-ES_tradnl" w:eastAsia="es-CO"/>
        </w:rPr>
        <w:t xml:space="preserve">. </w:t>
      </w:r>
    </w:p>
    <w:p w14:paraId="3FEA7183" w14:textId="5A3D3311" w:rsidR="000A0DF7" w:rsidRPr="00AA6559" w:rsidRDefault="000A0DF7" w:rsidP="000A0DF7">
      <w:pPr>
        <w:widowControl w:val="0"/>
        <w:autoSpaceDE w:val="0"/>
        <w:autoSpaceDN w:val="0"/>
        <w:spacing w:line="276" w:lineRule="auto"/>
        <w:ind w:firstLine="709"/>
        <w:jc w:val="both"/>
        <w:rPr>
          <w:rFonts w:ascii="Arial" w:eastAsia="Calibri" w:hAnsi="Arial" w:cs="Arial"/>
          <w:sz w:val="22"/>
          <w:szCs w:val="22"/>
          <w:lang w:val="es-ES_tradnl" w:eastAsia="es-ES" w:bidi="es-ES"/>
        </w:rPr>
      </w:pPr>
      <w:r w:rsidRPr="00AA6559">
        <w:rPr>
          <w:rFonts w:ascii="Arial" w:hAnsi="Arial" w:cs="Arial"/>
          <w:bCs/>
          <w:sz w:val="22"/>
          <w:szCs w:val="22"/>
          <w:lang w:val="es-ES_tradnl" w:eastAsia="es-CO" w:bidi="es-ES"/>
        </w:rPr>
        <w:t>En todo caso</w:t>
      </w:r>
      <w:bookmarkStart w:id="13" w:name="_Hlk77154098"/>
      <w:r w:rsidRPr="00AA6559">
        <w:rPr>
          <w:rFonts w:ascii="Arial" w:eastAsia="Arial" w:hAnsi="Arial" w:cs="Arial"/>
          <w:sz w:val="22"/>
          <w:szCs w:val="22"/>
          <w:lang w:val="es-ES_tradnl" w:eastAsia="es-ES" w:bidi="es-ES"/>
        </w:rPr>
        <w:t xml:space="preserve">, es importante resaltar que la Sala de Consulta y Servicio Civil del Consejo de Estado se ha pronunciado en el sentido de que </w:t>
      </w:r>
      <w:bookmarkStart w:id="14" w:name="_Hlk78820889"/>
      <w:r w:rsidRPr="00AA6559">
        <w:rPr>
          <w:rFonts w:ascii="Arial" w:eastAsia="Arial" w:hAnsi="Arial" w:cs="Arial"/>
          <w:sz w:val="22"/>
          <w:szCs w:val="22"/>
          <w:lang w:val="es-ES_tradnl" w:eastAsia="es-ES" w:bidi="es-ES"/>
        </w:rPr>
        <w:t>no se les aplica la restricción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14"/>
      <w:r w:rsidR="009073A8" w:rsidRPr="00AA6559">
        <w:rPr>
          <w:rFonts w:ascii="Arial" w:eastAsia="Arial" w:hAnsi="Arial" w:cs="Arial"/>
          <w:sz w:val="22"/>
          <w:szCs w:val="22"/>
          <w:lang w:val="es-ES_tradnl" w:eastAsia="es-ES" w:bidi="es-ES"/>
        </w:rPr>
        <w:t>, lo que también es señalado en el numeral 15.3 de la Circular Externa Única de Colombia Compra Eficiente, apoyándose en lo indicado por la Sala de Consulta y Servicio Civil del Consejo de Estado</w:t>
      </w:r>
      <w:r w:rsidRPr="00AA6559">
        <w:rPr>
          <w:rFonts w:ascii="Arial" w:eastAsia="Arial" w:hAnsi="Arial" w:cs="Arial"/>
          <w:sz w:val="22"/>
          <w:szCs w:val="22"/>
          <w:vertAlign w:val="superscript"/>
          <w:lang w:val="es-ES_tradnl" w:eastAsia="es-ES" w:bidi="es-ES"/>
        </w:rPr>
        <w:footnoteReference w:id="41"/>
      </w:r>
      <w:r w:rsidRPr="00AA6559">
        <w:rPr>
          <w:rFonts w:ascii="Arial" w:eastAsia="Calibri" w:hAnsi="Arial" w:cs="Arial"/>
          <w:sz w:val="22"/>
          <w:szCs w:val="22"/>
          <w:lang w:val="es-ES_tradnl" w:eastAsia="es-ES" w:bidi="es-ES"/>
        </w:rPr>
        <w:t>.</w:t>
      </w:r>
      <w:bookmarkEnd w:id="13"/>
    </w:p>
    <w:bookmarkEnd w:id="9"/>
    <w:p w14:paraId="3A7441E0" w14:textId="391CC3FD" w:rsidR="000A0DF7" w:rsidRPr="00AA6559" w:rsidRDefault="000A0DF7" w:rsidP="000A0DF7">
      <w:pPr>
        <w:tabs>
          <w:tab w:val="left" w:pos="426"/>
        </w:tabs>
        <w:spacing w:line="276" w:lineRule="auto"/>
        <w:jc w:val="both"/>
        <w:rPr>
          <w:rFonts w:ascii="Arial" w:hAnsi="Arial" w:cs="Arial"/>
          <w:bCs/>
          <w:sz w:val="22"/>
          <w:szCs w:val="22"/>
          <w:lang w:val="es-ES_tradnl" w:eastAsia="es-CO"/>
        </w:rPr>
      </w:pPr>
    </w:p>
    <w:p w14:paraId="05F5364A" w14:textId="16BCE618" w:rsidR="000A0DF7" w:rsidRPr="00AA6559" w:rsidRDefault="000A0DF7" w:rsidP="000A0DF7">
      <w:pPr>
        <w:tabs>
          <w:tab w:val="left" w:pos="0"/>
        </w:tabs>
        <w:jc w:val="both"/>
        <w:rPr>
          <w:rFonts w:ascii="Arial" w:eastAsia="Calibri" w:hAnsi="Arial" w:cs="Arial"/>
          <w:b/>
          <w:sz w:val="22"/>
          <w:lang w:val="es-ES_tradnl"/>
        </w:rPr>
      </w:pPr>
      <w:r w:rsidRPr="00AA6559">
        <w:rPr>
          <w:rFonts w:ascii="Arial" w:eastAsia="Calibri" w:hAnsi="Arial" w:cs="Arial"/>
          <w:b/>
          <w:sz w:val="22"/>
          <w:lang w:val="es-ES_tradnl"/>
        </w:rPr>
        <w:t>3. Respuesta</w:t>
      </w:r>
    </w:p>
    <w:p w14:paraId="2B3071BA" w14:textId="77777777" w:rsidR="000A0DF7" w:rsidRPr="00AA6559" w:rsidRDefault="000A0DF7" w:rsidP="000A0DF7">
      <w:pPr>
        <w:tabs>
          <w:tab w:val="left" w:pos="0"/>
        </w:tabs>
        <w:jc w:val="both"/>
        <w:rPr>
          <w:rFonts w:ascii="Arial" w:eastAsia="Calibri" w:hAnsi="Arial" w:cs="Arial"/>
          <w:sz w:val="21"/>
          <w:szCs w:val="21"/>
          <w:lang w:val="es-ES_tradnl"/>
        </w:rPr>
      </w:pPr>
    </w:p>
    <w:p w14:paraId="3D5F34CE" w14:textId="77777777" w:rsidR="001B23DE" w:rsidRPr="00AA6559" w:rsidRDefault="001B23DE" w:rsidP="001B23DE">
      <w:pPr>
        <w:ind w:left="709" w:right="709"/>
        <w:jc w:val="both"/>
        <w:rPr>
          <w:rFonts w:ascii="Arial" w:hAnsi="Arial" w:cs="Arial"/>
          <w:color w:val="000000" w:themeColor="text1"/>
          <w:sz w:val="21"/>
          <w:szCs w:val="21"/>
          <w:lang w:val="es-ES_tradnl"/>
        </w:rPr>
      </w:pPr>
      <w:r w:rsidRPr="00AA6559">
        <w:rPr>
          <w:rFonts w:ascii="Arial" w:hAnsi="Arial" w:cs="Arial"/>
          <w:color w:val="000000" w:themeColor="text1"/>
          <w:sz w:val="21"/>
          <w:szCs w:val="21"/>
          <w:lang w:val="es-ES_tradnl"/>
        </w:rPr>
        <w:t>«A la luz de la Ley 996 de 2005, de garantías electorales que no permite hacer convenios interadministrativo y contratar directamente, cuatro (4) meses contados con anterioridad a la fecha de las elecciones de la primera vuelta, cuál sería la cuerda contractual para dar cumplimiento a un desacato, sin vulnerar la ley de Garantías electorales por parte de las entidades del estado en temas de contratación y transferencia de recursos?» (sic).</w:t>
      </w:r>
    </w:p>
    <w:p w14:paraId="39AC92C4" w14:textId="77777777" w:rsidR="00303974" w:rsidRPr="00AA6559" w:rsidRDefault="00303974" w:rsidP="00303974">
      <w:pPr>
        <w:spacing w:line="276" w:lineRule="auto"/>
        <w:jc w:val="both"/>
        <w:rPr>
          <w:rFonts w:ascii="Arial" w:hAnsi="Arial" w:cs="Arial"/>
          <w:color w:val="000000" w:themeColor="text1"/>
          <w:sz w:val="22"/>
          <w:szCs w:val="22"/>
          <w:lang w:val="es-ES_tradnl"/>
        </w:rPr>
      </w:pPr>
    </w:p>
    <w:p w14:paraId="2749472B" w14:textId="5EDD1827" w:rsidR="00A279DE" w:rsidRPr="00097A6E" w:rsidRDefault="00A279DE" w:rsidP="00A279DE">
      <w:pPr>
        <w:spacing w:after="120" w:line="276" w:lineRule="auto"/>
        <w:jc w:val="both"/>
        <w:rPr>
          <w:rFonts w:ascii="Arial" w:eastAsia="Arial" w:hAnsi="Arial" w:cs="Arial"/>
          <w:sz w:val="22"/>
          <w:szCs w:val="22"/>
          <w:lang w:val="es-ES_tradnl" w:eastAsia="es-ES" w:bidi="es-ES"/>
        </w:rPr>
      </w:pPr>
      <w:r w:rsidRPr="00AA6559">
        <w:rPr>
          <w:rFonts w:ascii="Arial" w:eastAsia="Arial" w:hAnsi="Arial" w:cs="Arial"/>
          <w:sz w:val="22"/>
          <w:szCs w:val="22"/>
          <w:lang w:val="es-ES_tradnl" w:eastAsia="es-ES" w:bidi="es-ES"/>
        </w:rPr>
        <w:t xml:space="preserve">La Ley 996 de 2005 establece dos (2) tipos de restricciones en materia de contratación, las cuales coinciden parcialmente. </w:t>
      </w:r>
      <w:r w:rsidRPr="00AA6559">
        <w:rPr>
          <w:rFonts w:ascii="Arial" w:eastAsia="Arial" w:hAnsi="Arial" w:cs="Arial"/>
          <w:i/>
          <w:iCs/>
          <w:sz w:val="22"/>
          <w:szCs w:val="22"/>
          <w:lang w:val="es-ES_tradnl" w:eastAsia="es-ES" w:bidi="es-ES"/>
        </w:rPr>
        <w:t>En primer lugar</w:t>
      </w:r>
      <w:r w:rsidRPr="00AA6559">
        <w:rPr>
          <w:rFonts w:ascii="Arial" w:eastAsia="Arial" w:hAnsi="Arial" w:cs="Arial"/>
          <w:sz w:val="22"/>
          <w:szCs w:val="22"/>
          <w:lang w:val="es-ES_tradnl" w:eastAsia="es-ES" w:bidi="es-ES"/>
        </w:rPr>
        <w:t xml:space="preserve">, la del artículo 33 que opera solo respecto de las elecciones presidenciales, en virtud de la cual queda proscrita la contratación directa dentro de los cuatro (4) meses anteriores a la celebración de los comicios, salvo las </w:t>
      </w:r>
      <w:r w:rsidR="009073A8" w:rsidRPr="00AA6559">
        <w:rPr>
          <w:rFonts w:ascii="Arial" w:eastAsia="Arial" w:hAnsi="Arial" w:cs="Arial"/>
          <w:sz w:val="22"/>
          <w:szCs w:val="22"/>
          <w:lang w:val="es-ES_tradnl" w:eastAsia="es-ES" w:bidi="es-ES"/>
        </w:rPr>
        <w:t>excepciones establecidas en el mismo artículo</w:t>
      </w:r>
      <w:r w:rsidRPr="00AA6559">
        <w:rPr>
          <w:rFonts w:ascii="Arial" w:eastAsia="Arial" w:hAnsi="Arial" w:cs="Arial"/>
          <w:sz w:val="22"/>
          <w:szCs w:val="22"/>
          <w:lang w:val="es-ES_tradnl" w:eastAsia="es-ES" w:bidi="es-ES"/>
        </w:rPr>
        <w:t>. Sin embargo, si ningún candidato obtiene la mitad más uno de los votos que, de manera secreta y directa, depositen los ciudadanos, se celebrará una nueva votación que tendrá lugar tres semanas más tarde, en la que s</w:t>
      </w:r>
      <w:r w:rsidR="009073A8" w:rsidRPr="00AA6559">
        <w:rPr>
          <w:rFonts w:ascii="Arial" w:eastAsia="Arial" w:hAnsi="Arial" w:cs="Arial"/>
          <w:sz w:val="22"/>
          <w:szCs w:val="22"/>
          <w:lang w:val="es-ES_tradnl" w:eastAsia="es-ES" w:bidi="es-ES"/>
        </w:rPr>
        <w:t>o</w:t>
      </w:r>
      <w:r w:rsidRPr="00AA6559">
        <w:rPr>
          <w:rFonts w:ascii="Arial" w:eastAsia="Arial" w:hAnsi="Arial" w:cs="Arial"/>
          <w:sz w:val="22"/>
          <w:szCs w:val="22"/>
          <w:lang w:val="es-ES_tradnl" w:eastAsia="es-ES" w:bidi="es-ES"/>
        </w:rPr>
        <w:t xml:space="preserve">lo participarán los dos candidatos que hubieren obtenido las votaciones más altas, conforme al artículo 190 de la Constitución Política. Para estos efectos, la restricción se extenderá </w:t>
      </w:r>
      <w:r w:rsidRPr="00AA6559">
        <w:rPr>
          <w:rFonts w:ascii="Arial" w:eastAsia="Arial" w:hAnsi="Arial" w:cs="Arial"/>
          <w:sz w:val="22"/>
          <w:szCs w:val="22"/>
          <w:lang w:val="es-ES_tradnl" w:eastAsia="es-ES" w:bidi="es-ES"/>
        </w:rPr>
        <w:lastRenderedPageBreak/>
        <w:t xml:space="preserve">hasta la fecha en la que se realice la segunda vuelta. </w:t>
      </w:r>
      <w:r w:rsidRPr="00AA6559">
        <w:rPr>
          <w:rFonts w:ascii="Arial" w:eastAsia="Arial" w:hAnsi="Arial" w:cs="Arial"/>
          <w:i/>
          <w:iCs/>
          <w:sz w:val="22"/>
          <w:szCs w:val="22"/>
          <w:lang w:val="es-ES_tradnl" w:eastAsia="es-ES" w:bidi="es-ES"/>
        </w:rPr>
        <w:t>En segundo lugar</w:t>
      </w:r>
      <w:r w:rsidRPr="00AA6559">
        <w:rPr>
          <w:rFonts w:ascii="Arial" w:eastAsia="Arial" w:hAnsi="Arial" w:cs="Arial"/>
          <w:sz w:val="22"/>
          <w:szCs w:val="22"/>
          <w:lang w:val="es-ES_tradnl"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r w:rsidR="003A63C3" w:rsidRPr="00AA6559">
        <w:rPr>
          <w:rFonts w:ascii="Arial" w:eastAsia="Arial" w:hAnsi="Arial" w:cs="Arial"/>
          <w:sz w:val="22"/>
          <w:szCs w:val="22"/>
          <w:lang w:val="es-ES_tradnl" w:eastAsia="es-ES" w:bidi="es-ES"/>
        </w:rPr>
        <w:t xml:space="preserve"> </w:t>
      </w:r>
      <w:r w:rsidR="009073A8" w:rsidRPr="00AA6559">
        <w:rPr>
          <w:rFonts w:ascii="Arial" w:eastAsia="Arial" w:hAnsi="Arial" w:cs="Arial"/>
          <w:sz w:val="22"/>
          <w:szCs w:val="22"/>
          <w:lang w:val="es-ES_tradnl" w:eastAsia="es-ES" w:bidi="es-ES"/>
        </w:rPr>
        <w:t>En este sentido, c</w:t>
      </w:r>
      <w:r w:rsidR="003A63C3" w:rsidRPr="00AA6559">
        <w:rPr>
          <w:rFonts w:ascii="Arial" w:eastAsia="Arial" w:hAnsi="Arial" w:cs="Arial"/>
          <w:sz w:val="22"/>
          <w:szCs w:val="22"/>
          <w:lang w:val="es-ES_tradnl" w:eastAsia="es-ES" w:bidi="es-ES"/>
        </w:rPr>
        <w:t>ada entidad estatal deberá programar oportunamente la celebración de los contratos, aun cuanto estos se deriven de órdenes judiciales, para no incurrir en las prohibiciones señaladas</w:t>
      </w:r>
      <w:r w:rsidR="0052191B" w:rsidRPr="00AA6559">
        <w:rPr>
          <w:rFonts w:ascii="Arial" w:eastAsia="Arial" w:hAnsi="Arial" w:cs="Arial"/>
          <w:sz w:val="22"/>
          <w:szCs w:val="22"/>
          <w:lang w:val="es-ES_tradnl" w:eastAsia="es-ES" w:bidi="es-ES"/>
        </w:rPr>
        <w:t xml:space="preserve"> en la Ley de Garantías Electorales</w:t>
      </w:r>
      <w:r w:rsidR="003A63C3" w:rsidRPr="00AA6559">
        <w:rPr>
          <w:rFonts w:ascii="Arial" w:eastAsia="Arial" w:hAnsi="Arial" w:cs="Arial"/>
          <w:sz w:val="22"/>
          <w:szCs w:val="22"/>
          <w:lang w:val="es-ES_tradnl" w:eastAsia="es-ES" w:bidi="es-ES"/>
        </w:rPr>
        <w:t>, cuyas excepciones –como se indicó en este concepto– son taxativas.</w:t>
      </w:r>
      <w:r w:rsidR="003A63C3" w:rsidRPr="00097A6E">
        <w:rPr>
          <w:rFonts w:ascii="Arial" w:eastAsia="Arial" w:hAnsi="Arial" w:cs="Arial"/>
          <w:sz w:val="22"/>
          <w:szCs w:val="22"/>
          <w:lang w:val="es-ES_tradnl" w:eastAsia="es-ES" w:bidi="es-ES"/>
        </w:rPr>
        <w:t xml:space="preserve"> </w:t>
      </w:r>
    </w:p>
    <w:p w14:paraId="0DBD702B" w14:textId="1083BD5A" w:rsidR="001176F2" w:rsidRPr="00097A6E" w:rsidRDefault="00DB24BE" w:rsidP="00504A78">
      <w:pPr>
        <w:spacing w:before="120" w:line="276" w:lineRule="auto"/>
        <w:ind w:firstLine="709"/>
        <w:jc w:val="both"/>
        <w:rPr>
          <w:rFonts w:ascii="Arial" w:hAnsi="Arial" w:cs="Arial"/>
          <w:color w:val="000000" w:themeColor="text1"/>
          <w:sz w:val="22"/>
          <w:szCs w:val="22"/>
          <w:lang w:val="es-ES_tradnl"/>
        </w:rPr>
      </w:pPr>
      <w:r w:rsidRPr="00097A6E">
        <w:rPr>
          <w:rFonts w:ascii="Arial" w:hAnsi="Arial" w:cs="Arial"/>
          <w:color w:val="000000" w:themeColor="text1"/>
          <w:sz w:val="22"/>
          <w:szCs w:val="22"/>
          <w:lang w:val="es-ES_tradnl"/>
        </w:rPr>
        <w:t xml:space="preserve">  </w:t>
      </w:r>
      <w:r w:rsidR="001176F2" w:rsidRPr="00097A6E">
        <w:rPr>
          <w:rFonts w:ascii="Arial" w:hAnsi="Arial" w:cs="Arial"/>
          <w:bCs/>
          <w:sz w:val="22"/>
          <w:szCs w:val="22"/>
          <w:lang w:val="es-ES_tradnl" w:eastAsia="es-CO"/>
        </w:rPr>
        <w:t xml:space="preserve">   </w:t>
      </w:r>
    </w:p>
    <w:p w14:paraId="0A7BABD1" w14:textId="3D263216" w:rsidR="000A0DF7" w:rsidRPr="00097A6E" w:rsidRDefault="000A0DF7" w:rsidP="00BD6A55">
      <w:pPr>
        <w:spacing w:after="120" w:line="276" w:lineRule="auto"/>
        <w:jc w:val="both"/>
        <w:rPr>
          <w:rFonts w:ascii="Arial" w:hAnsi="Arial" w:cs="Arial"/>
          <w:color w:val="000000"/>
          <w:sz w:val="22"/>
          <w:szCs w:val="22"/>
          <w:bdr w:val="none" w:sz="0" w:space="0" w:color="auto" w:frame="1"/>
          <w:lang w:val="es-ES_tradnl"/>
        </w:rPr>
      </w:pPr>
      <w:r w:rsidRPr="00097A6E">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457B169D" w14:textId="77777777" w:rsidR="000A0DF7" w:rsidRPr="00097A6E" w:rsidRDefault="000A0DF7" w:rsidP="000A0DF7">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1E1F6CE3" w14:textId="77777777" w:rsidR="000A0DF7" w:rsidRPr="00097A6E" w:rsidRDefault="000A0DF7" w:rsidP="000A0DF7">
      <w:pPr>
        <w:pStyle w:val="NormalWeb"/>
        <w:spacing w:before="0" w:beforeAutospacing="0" w:after="0" w:afterAutospacing="0" w:line="276" w:lineRule="auto"/>
        <w:jc w:val="both"/>
        <w:rPr>
          <w:rFonts w:ascii="Arial" w:hAnsi="Arial" w:cs="Arial"/>
          <w:color w:val="000000" w:themeColor="text1"/>
          <w:sz w:val="22"/>
          <w:szCs w:val="22"/>
          <w:lang w:val="es-ES_tradnl"/>
        </w:rPr>
      </w:pPr>
      <w:r w:rsidRPr="00097A6E">
        <w:rPr>
          <w:rFonts w:ascii="Arial" w:hAnsi="Arial" w:cs="Arial"/>
          <w:color w:val="000000" w:themeColor="text1"/>
          <w:sz w:val="22"/>
          <w:szCs w:val="22"/>
          <w:lang w:val="es-ES_tradnl"/>
        </w:rPr>
        <w:t>Atentamente,</w:t>
      </w:r>
    </w:p>
    <w:p w14:paraId="36A110DD" w14:textId="77777777" w:rsidR="000A0DF7" w:rsidRPr="00097A6E" w:rsidRDefault="000A0DF7" w:rsidP="000A0DF7">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5C10C44D" w14:textId="6B22D892" w:rsidR="000A0DF7" w:rsidRPr="00097A6E" w:rsidRDefault="00C35720" w:rsidP="00C35720">
      <w:pPr>
        <w:pStyle w:val="NormalWeb"/>
        <w:spacing w:before="0" w:beforeAutospacing="0" w:after="0" w:afterAutospacing="0" w:line="276" w:lineRule="auto"/>
        <w:jc w:val="center"/>
        <w:rPr>
          <w:color w:val="000000" w:themeColor="text1"/>
          <w:lang w:val="es-ES_tradnl"/>
        </w:rPr>
      </w:pPr>
      <w:r>
        <w:rPr>
          <w:noProof/>
        </w:rPr>
        <w:drawing>
          <wp:inline distT="0" distB="0" distL="0" distR="0" wp14:anchorId="32DB56C5" wp14:editId="239C959D">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0A47ABE5" w14:textId="77777777" w:rsidR="000A0DF7" w:rsidRPr="00097A6E" w:rsidRDefault="000A0DF7" w:rsidP="000A0DF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A0DF7" w:rsidRPr="00097A6E" w14:paraId="25404646" w14:textId="77777777" w:rsidTr="0015145A">
        <w:trPr>
          <w:trHeight w:val="315"/>
        </w:trPr>
        <w:tc>
          <w:tcPr>
            <w:tcW w:w="812" w:type="dxa"/>
            <w:vAlign w:val="center"/>
            <w:hideMark/>
          </w:tcPr>
          <w:p w14:paraId="7A9A3592" w14:textId="77777777" w:rsidR="000A0DF7" w:rsidRPr="00097A6E" w:rsidRDefault="000A0DF7" w:rsidP="0015145A">
            <w:pPr>
              <w:jc w:val="both"/>
              <w:rPr>
                <w:rFonts w:ascii="Arial" w:hAnsi="Arial" w:cs="Arial"/>
                <w:color w:val="000000" w:themeColor="text1"/>
                <w:sz w:val="16"/>
                <w:szCs w:val="16"/>
                <w:lang w:val="es-ES_tradnl" w:eastAsia="es-ES"/>
              </w:rPr>
            </w:pPr>
            <w:r w:rsidRPr="00097A6E">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090629E3" w14:textId="7D3623C0" w:rsidR="000A0DF7" w:rsidRPr="00097A6E" w:rsidRDefault="00D2777A" w:rsidP="0015145A">
            <w:pPr>
              <w:jc w:val="both"/>
              <w:rPr>
                <w:rFonts w:ascii="Arial" w:hAnsi="Arial" w:cs="Arial"/>
                <w:color w:val="000000" w:themeColor="text1"/>
                <w:sz w:val="16"/>
                <w:szCs w:val="16"/>
                <w:lang w:val="es-ES_tradnl" w:eastAsia="es-ES"/>
              </w:rPr>
            </w:pPr>
            <w:r w:rsidRPr="00097A6E">
              <w:rPr>
                <w:rFonts w:ascii="Arial" w:hAnsi="Arial" w:cs="Arial"/>
                <w:color w:val="000000" w:themeColor="text1"/>
                <w:sz w:val="16"/>
                <w:szCs w:val="16"/>
                <w:lang w:val="es-ES_tradnl" w:eastAsia="es-ES"/>
              </w:rPr>
              <w:t>Cristian Andrés Díaz Díez</w:t>
            </w:r>
          </w:p>
          <w:p w14:paraId="4C81A914" w14:textId="77777777" w:rsidR="000A0DF7" w:rsidRPr="00097A6E" w:rsidRDefault="000A0DF7" w:rsidP="0015145A">
            <w:pPr>
              <w:jc w:val="both"/>
              <w:rPr>
                <w:rFonts w:ascii="Arial" w:hAnsi="Arial" w:cs="Arial"/>
                <w:color w:val="000000" w:themeColor="text1"/>
                <w:sz w:val="16"/>
                <w:szCs w:val="16"/>
                <w:lang w:val="es-ES_tradnl" w:eastAsia="es-ES"/>
              </w:rPr>
            </w:pPr>
            <w:r w:rsidRPr="00097A6E">
              <w:rPr>
                <w:rFonts w:ascii="Arial" w:hAnsi="Arial" w:cs="Arial"/>
                <w:color w:val="000000" w:themeColor="text1"/>
                <w:sz w:val="16"/>
                <w:szCs w:val="16"/>
                <w:lang w:val="es-ES_tradnl" w:eastAsia="es-ES"/>
              </w:rPr>
              <w:t>Contratista de la Subdirección de Gestión Contractual</w:t>
            </w:r>
          </w:p>
        </w:tc>
      </w:tr>
      <w:tr w:rsidR="000A0DF7" w:rsidRPr="00097A6E" w14:paraId="0E1F92F7" w14:textId="77777777" w:rsidTr="0015145A">
        <w:trPr>
          <w:trHeight w:val="330"/>
        </w:trPr>
        <w:tc>
          <w:tcPr>
            <w:tcW w:w="812" w:type="dxa"/>
            <w:vAlign w:val="center"/>
            <w:hideMark/>
          </w:tcPr>
          <w:p w14:paraId="2DD4B563" w14:textId="77777777" w:rsidR="000A0DF7" w:rsidRPr="00097A6E" w:rsidRDefault="000A0DF7" w:rsidP="0015145A">
            <w:pPr>
              <w:jc w:val="both"/>
              <w:rPr>
                <w:rFonts w:ascii="Arial" w:hAnsi="Arial" w:cs="Arial"/>
                <w:color w:val="000000" w:themeColor="text1"/>
                <w:sz w:val="16"/>
                <w:szCs w:val="16"/>
                <w:lang w:val="es-ES_tradnl" w:eastAsia="es-ES"/>
              </w:rPr>
            </w:pPr>
            <w:r w:rsidRPr="00097A6E">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43F5528" w14:textId="3EF332AE" w:rsidR="000A0DF7" w:rsidRPr="00097A6E" w:rsidRDefault="007563D0" w:rsidP="0015145A">
            <w:pPr>
              <w:jc w:val="both"/>
              <w:rPr>
                <w:rFonts w:ascii="Arial" w:hAnsi="Arial" w:cs="Arial"/>
                <w:color w:val="000000" w:themeColor="text1"/>
                <w:sz w:val="16"/>
                <w:szCs w:val="16"/>
                <w:lang w:val="es-ES_tradnl" w:eastAsia="es-ES"/>
              </w:rPr>
            </w:pPr>
            <w:r w:rsidRPr="00097A6E">
              <w:rPr>
                <w:rFonts w:ascii="Arial" w:hAnsi="Arial" w:cs="Arial"/>
                <w:color w:val="000000" w:themeColor="text1"/>
                <w:sz w:val="16"/>
                <w:szCs w:val="16"/>
                <w:lang w:val="es-ES_tradnl" w:eastAsia="es-ES"/>
              </w:rPr>
              <w:t>Sebastián Ramírez Grisales</w:t>
            </w:r>
          </w:p>
          <w:p w14:paraId="1CB2B03B" w14:textId="12BA6814" w:rsidR="000A0DF7" w:rsidRPr="00097A6E" w:rsidRDefault="00B07031" w:rsidP="0015145A">
            <w:pPr>
              <w:jc w:val="both"/>
              <w:rPr>
                <w:rFonts w:ascii="Arial" w:hAnsi="Arial" w:cs="Arial"/>
                <w:color w:val="000000" w:themeColor="text1"/>
                <w:sz w:val="16"/>
                <w:szCs w:val="16"/>
                <w:lang w:val="es-ES_tradnl" w:eastAsia="es-ES"/>
              </w:rPr>
            </w:pPr>
            <w:r w:rsidRPr="00097A6E">
              <w:rPr>
                <w:rFonts w:ascii="Arial" w:hAnsi="Arial" w:cs="Arial"/>
                <w:color w:val="000000" w:themeColor="text1"/>
                <w:sz w:val="16"/>
                <w:szCs w:val="16"/>
                <w:lang w:val="es-ES_tradnl" w:eastAsia="es-ES"/>
              </w:rPr>
              <w:t>Contratista</w:t>
            </w:r>
            <w:r w:rsidR="000A0DF7" w:rsidRPr="00097A6E">
              <w:rPr>
                <w:rFonts w:ascii="Arial" w:hAnsi="Arial" w:cs="Arial"/>
                <w:color w:val="000000" w:themeColor="text1"/>
                <w:sz w:val="16"/>
                <w:szCs w:val="16"/>
                <w:lang w:val="es-ES_tradnl" w:eastAsia="es-ES"/>
              </w:rPr>
              <w:t xml:space="preserve"> de la Subdirección de Gestión Contractual  </w:t>
            </w:r>
          </w:p>
        </w:tc>
      </w:tr>
      <w:tr w:rsidR="000A0DF7" w:rsidRPr="00494269" w14:paraId="4BCF331C" w14:textId="77777777" w:rsidTr="0015145A">
        <w:trPr>
          <w:trHeight w:val="300"/>
        </w:trPr>
        <w:tc>
          <w:tcPr>
            <w:tcW w:w="812" w:type="dxa"/>
            <w:vAlign w:val="center"/>
            <w:hideMark/>
          </w:tcPr>
          <w:p w14:paraId="6C55C4CD" w14:textId="77777777" w:rsidR="000A0DF7" w:rsidRPr="00097A6E" w:rsidRDefault="000A0DF7" w:rsidP="0015145A">
            <w:pPr>
              <w:jc w:val="both"/>
              <w:rPr>
                <w:rFonts w:ascii="Arial" w:hAnsi="Arial" w:cs="Arial"/>
                <w:color w:val="000000" w:themeColor="text1"/>
                <w:sz w:val="16"/>
                <w:szCs w:val="16"/>
                <w:lang w:val="es-ES_tradnl" w:eastAsia="es-ES"/>
              </w:rPr>
            </w:pPr>
            <w:r w:rsidRPr="00097A6E">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16BD9B8" w14:textId="77777777" w:rsidR="000A0DF7" w:rsidRPr="00097A6E" w:rsidRDefault="000A0DF7" w:rsidP="0015145A">
            <w:pPr>
              <w:jc w:val="both"/>
              <w:rPr>
                <w:rFonts w:ascii="Arial" w:hAnsi="Arial" w:cs="Arial"/>
                <w:color w:val="000000" w:themeColor="text1"/>
                <w:sz w:val="16"/>
                <w:szCs w:val="16"/>
                <w:lang w:val="es-ES_tradnl" w:eastAsia="es-ES"/>
              </w:rPr>
            </w:pPr>
            <w:r w:rsidRPr="00097A6E">
              <w:rPr>
                <w:rFonts w:ascii="Arial" w:hAnsi="Arial" w:cs="Arial"/>
                <w:color w:val="000000" w:themeColor="text1"/>
                <w:sz w:val="16"/>
                <w:szCs w:val="16"/>
                <w:lang w:val="es-ES_tradnl" w:eastAsia="es-ES"/>
              </w:rPr>
              <w:t>Jorge Augusto Tirado Navarro</w:t>
            </w:r>
          </w:p>
          <w:p w14:paraId="118C3B64" w14:textId="77777777" w:rsidR="000A0DF7" w:rsidRPr="00494269" w:rsidRDefault="000A0DF7" w:rsidP="0015145A">
            <w:pPr>
              <w:jc w:val="both"/>
              <w:rPr>
                <w:rFonts w:ascii="Arial" w:hAnsi="Arial" w:cs="Arial"/>
                <w:color w:val="000000" w:themeColor="text1"/>
                <w:sz w:val="16"/>
                <w:szCs w:val="16"/>
                <w:lang w:val="es-ES_tradnl" w:eastAsia="es-ES"/>
              </w:rPr>
            </w:pPr>
            <w:r w:rsidRPr="00097A6E">
              <w:rPr>
                <w:rFonts w:ascii="Arial" w:hAnsi="Arial" w:cs="Arial"/>
                <w:color w:val="000000" w:themeColor="text1"/>
                <w:sz w:val="16"/>
                <w:szCs w:val="16"/>
                <w:lang w:val="es-ES_tradnl" w:eastAsia="es-ES"/>
              </w:rPr>
              <w:t>Subdirector de Gestión Contractual ANCP – CCE</w:t>
            </w:r>
          </w:p>
        </w:tc>
      </w:tr>
    </w:tbl>
    <w:p w14:paraId="66E89375" w14:textId="77777777" w:rsidR="000A0DF7" w:rsidRPr="00494269" w:rsidRDefault="000A0DF7" w:rsidP="000A0DF7">
      <w:pPr>
        <w:rPr>
          <w:rFonts w:ascii="Arial" w:hAnsi="Arial" w:cs="Arial"/>
          <w:color w:val="000000" w:themeColor="text1"/>
          <w:lang w:val="es-ES_tradnl"/>
        </w:rPr>
      </w:pPr>
    </w:p>
    <w:p w14:paraId="036DEAFD" w14:textId="77777777" w:rsidR="000A0DF7" w:rsidRPr="00494269" w:rsidRDefault="000A0DF7" w:rsidP="000A0DF7">
      <w:pPr>
        <w:tabs>
          <w:tab w:val="left" w:pos="3795"/>
        </w:tabs>
        <w:rPr>
          <w:rFonts w:ascii="Arial" w:hAnsi="Arial" w:cs="Arial"/>
          <w:color w:val="000000" w:themeColor="text1"/>
          <w:lang w:val="es-ES_tradnl"/>
        </w:rPr>
      </w:pPr>
      <w:r w:rsidRPr="00494269">
        <w:rPr>
          <w:rFonts w:ascii="Arial" w:hAnsi="Arial" w:cs="Arial"/>
          <w:color w:val="000000" w:themeColor="text1"/>
          <w:lang w:val="es-ES_tradnl"/>
        </w:rPr>
        <w:tab/>
      </w:r>
    </w:p>
    <w:p w14:paraId="35B56F46" w14:textId="77777777" w:rsidR="00746E08" w:rsidRPr="00494269" w:rsidRDefault="00746E08" w:rsidP="000A0DF7">
      <w:pPr>
        <w:tabs>
          <w:tab w:val="left" w:pos="426"/>
        </w:tabs>
        <w:spacing w:line="276" w:lineRule="auto"/>
        <w:jc w:val="both"/>
        <w:rPr>
          <w:rFonts w:ascii="Arial" w:hAnsi="Arial" w:cs="Arial"/>
          <w:lang w:val="es-ES_tradnl"/>
        </w:rPr>
      </w:pPr>
    </w:p>
    <w:sectPr w:rsidR="00746E08" w:rsidRPr="00494269"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867EE5" w14:textId="77777777" w:rsidR="00EB2AF8" w:rsidRDefault="00EB2AF8">
      <w:r>
        <w:separator/>
      </w:r>
    </w:p>
  </w:endnote>
  <w:endnote w:type="continuationSeparator" w:id="0">
    <w:p w14:paraId="27EB6443" w14:textId="77777777" w:rsidR="00EB2AF8" w:rsidRDefault="00EB2AF8">
      <w:r>
        <w:continuationSeparator/>
      </w:r>
    </w:p>
  </w:endnote>
  <w:endnote w:type="continuationNotice" w:id="1">
    <w:p w14:paraId="14ED8DDE" w14:textId="77777777" w:rsidR="00EB2AF8" w:rsidRDefault="00EB2A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15145A" w:rsidRDefault="0015145A" w:rsidP="00322937">
    <w:pPr>
      <w:pStyle w:val="Sinespaciado"/>
      <w:jc w:val="right"/>
      <w:rPr>
        <w:rFonts w:ascii="Arial" w:hAnsi="Arial" w:cs="Arial"/>
        <w:sz w:val="18"/>
        <w:szCs w:val="18"/>
      </w:rPr>
    </w:pPr>
  </w:p>
  <w:p w14:paraId="7A3785F3" w14:textId="2EF28465" w:rsidR="0015145A" w:rsidRPr="008217B7" w:rsidRDefault="0015145A"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15145A" w:rsidRDefault="0015145A"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15145A" w:rsidRDefault="0015145A" w:rsidP="007B0854">
    <w:pPr>
      <w:pStyle w:val="Piedepgina"/>
      <w:jc w:val="center"/>
      <w:rPr>
        <w:lang w:val="es-ES"/>
      </w:rPr>
    </w:pPr>
  </w:p>
  <w:p w14:paraId="6C0EFC49" w14:textId="77777777" w:rsidR="0015145A" w:rsidRPr="007B0854" w:rsidRDefault="0015145A"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DF3B1D" w14:textId="77777777" w:rsidR="00EB2AF8" w:rsidRDefault="00EB2AF8">
      <w:r>
        <w:separator/>
      </w:r>
    </w:p>
  </w:footnote>
  <w:footnote w:type="continuationSeparator" w:id="0">
    <w:p w14:paraId="7AD42EF5" w14:textId="77777777" w:rsidR="00EB2AF8" w:rsidRDefault="00EB2AF8">
      <w:r>
        <w:continuationSeparator/>
      </w:r>
    </w:p>
  </w:footnote>
  <w:footnote w:type="continuationNotice" w:id="1">
    <w:p w14:paraId="44F0A69B" w14:textId="77777777" w:rsidR="00EB2AF8" w:rsidRDefault="00EB2AF8"/>
  </w:footnote>
  <w:footnote w:id="2">
    <w:p w14:paraId="26D2836D" w14:textId="6034E079" w:rsidR="0015145A" w:rsidRPr="00587D9E" w:rsidRDefault="0015145A" w:rsidP="00587D9E">
      <w:pPr>
        <w:pStyle w:val="Textonotapie"/>
        <w:ind w:firstLine="709"/>
        <w:jc w:val="both"/>
        <w:rPr>
          <w:rFonts w:ascii="Arial" w:hAnsi="Arial" w:cs="Arial"/>
          <w:sz w:val="19"/>
          <w:szCs w:val="19"/>
        </w:rPr>
      </w:pPr>
      <w:r w:rsidRPr="00587D9E">
        <w:rPr>
          <w:rStyle w:val="Refdenotaalpie"/>
          <w:rFonts w:ascii="Arial" w:hAnsi="Arial" w:cs="Arial"/>
          <w:sz w:val="19"/>
          <w:szCs w:val="19"/>
        </w:rPr>
        <w:footnoteRef/>
      </w:r>
      <w:r w:rsidRPr="00587D9E">
        <w:rPr>
          <w:rFonts w:ascii="Arial" w:hAnsi="Arial" w:cs="Arial"/>
          <w:sz w:val="19"/>
          <w:szCs w:val="19"/>
        </w:rPr>
        <w:t xml:space="preserve"> Disponible en: https://colombiacompra.gov.co/sala-de-prensa/comunicados/la-agencia-nacional-de-contratacion-publica-colombia-compra-eficiente-0</w:t>
      </w:r>
    </w:p>
  </w:footnote>
  <w:footnote w:id="3">
    <w:p w14:paraId="26F6D95F" w14:textId="77777777" w:rsidR="0015145A" w:rsidRPr="00587D9E" w:rsidRDefault="0015145A" w:rsidP="00587D9E">
      <w:pPr>
        <w:pStyle w:val="Textonotapie"/>
        <w:ind w:firstLine="709"/>
        <w:jc w:val="both"/>
        <w:rPr>
          <w:rFonts w:ascii="Arial" w:hAnsi="Arial" w:cs="Arial"/>
          <w:sz w:val="19"/>
          <w:szCs w:val="19"/>
        </w:rPr>
      </w:pPr>
    </w:p>
    <w:p w14:paraId="419AD200" w14:textId="73FF5F45" w:rsidR="0015145A" w:rsidRPr="00587D9E" w:rsidRDefault="0015145A" w:rsidP="00587D9E">
      <w:pPr>
        <w:pStyle w:val="Textonotapie"/>
        <w:ind w:firstLine="709"/>
        <w:jc w:val="both"/>
        <w:rPr>
          <w:rFonts w:ascii="Arial" w:hAnsi="Arial" w:cs="Arial"/>
          <w:sz w:val="19"/>
          <w:szCs w:val="19"/>
          <w:lang w:val="es-ES"/>
        </w:rPr>
      </w:pPr>
      <w:r w:rsidRPr="00587D9E">
        <w:rPr>
          <w:rStyle w:val="Refdenotaalpie"/>
          <w:rFonts w:ascii="Arial" w:hAnsi="Arial" w:cs="Arial"/>
          <w:sz w:val="19"/>
          <w:szCs w:val="19"/>
        </w:rPr>
        <w:footnoteRef/>
      </w:r>
      <w:r w:rsidRPr="00587D9E">
        <w:rPr>
          <w:rFonts w:ascii="Arial" w:hAnsi="Arial" w:cs="Arial"/>
          <w:sz w:val="19"/>
          <w:szCs w:val="19"/>
        </w:rPr>
        <w:t xml:space="preserve"> </w:t>
      </w:r>
      <w:r w:rsidRPr="00587D9E">
        <w:rPr>
          <w:rFonts w:ascii="Arial" w:hAnsi="Arial" w:cs="Arial"/>
          <w:sz w:val="19"/>
          <w:szCs w:val="19"/>
          <w:lang w:val="es-ES"/>
        </w:rPr>
        <w:t>Cuyo artículo 124 dispone: «Con el propósito de promover la reactivación económica y la generación de empleo en las regiones, a partir de la publicación de la presente ley y durante la vigencia fiscal 2022, la nación podrá celebrar convenios interadministrativos con las entidades territoriales para ejecutar programas y proyectos correspondientes al Presupuesto General de la Nación.</w:t>
      </w:r>
    </w:p>
    <w:p w14:paraId="0049064E" w14:textId="36F8DC62" w:rsidR="0015145A" w:rsidRPr="00587D9E" w:rsidRDefault="0015145A" w:rsidP="00587D9E">
      <w:pPr>
        <w:pStyle w:val="Textonotapie"/>
        <w:ind w:firstLine="709"/>
        <w:jc w:val="both"/>
        <w:rPr>
          <w:rFonts w:ascii="Arial" w:hAnsi="Arial" w:cs="Arial"/>
          <w:sz w:val="19"/>
          <w:szCs w:val="19"/>
          <w:lang w:val="es-ES"/>
        </w:rPr>
      </w:pPr>
      <w:r w:rsidRPr="00587D9E">
        <w:rPr>
          <w:rFonts w:ascii="Arial" w:hAnsi="Arial" w:cs="Arial"/>
          <w:sz w:val="19"/>
          <w:szCs w:val="19"/>
          <w:lang w:val="es-ES"/>
        </w:rPr>
        <w:t>»La presente disposición modifica únicamente en la parte pertinente el inciso primero del parágrafo del artículo 38 de la Ley 996 de 2005.</w:t>
      </w:r>
    </w:p>
    <w:p w14:paraId="303E1610" w14:textId="66FDDC5D" w:rsidR="0015145A" w:rsidRPr="00587D9E" w:rsidRDefault="0015145A" w:rsidP="00587D9E">
      <w:pPr>
        <w:pStyle w:val="Textonotapie"/>
        <w:ind w:firstLine="709"/>
        <w:jc w:val="both"/>
        <w:rPr>
          <w:rFonts w:ascii="Arial" w:hAnsi="Arial" w:cs="Arial"/>
          <w:sz w:val="19"/>
          <w:szCs w:val="19"/>
          <w:lang w:val="es-ES"/>
        </w:rPr>
      </w:pPr>
      <w:r w:rsidRPr="00587D9E">
        <w:rPr>
          <w:rFonts w:ascii="Arial" w:hAnsi="Arial" w:cs="Arial"/>
          <w:sz w:val="19"/>
          <w:szCs w:val="19"/>
          <w:lang w:val="es-ES"/>
        </w:rPr>
        <w:t>»Parágrafo. Todos los convenios que se suscriban bajo el amparo de la presente disposición serán objeto de control especial por parte de la Contraloría General de la República. El Contralor General de la República determinará, en el marco de sus competencias constitucionales y legales, la forma en que se ejercerá dicho control especial».</w:t>
      </w:r>
    </w:p>
    <w:p w14:paraId="33FBC73C" w14:textId="77777777" w:rsidR="0015145A" w:rsidRPr="00587D9E" w:rsidRDefault="0015145A" w:rsidP="00587D9E">
      <w:pPr>
        <w:pStyle w:val="Textonotapie"/>
        <w:ind w:firstLine="709"/>
        <w:jc w:val="both"/>
        <w:rPr>
          <w:rFonts w:ascii="Arial" w:hAnsi="Arial" w:cs="Arial"/>
          <w:sz w:val="19"/>
          <w:szCs w:val="19"/>
          <w:lang w:val="es-ES"/>
        </w:rPr>
      </w:pPr>
    </w:p>
  </w:footnote>
  <w:footnote w:id="4">
    <w:p w14:paraId="275290C0" w14:textId="34D1040F" w:rsidR="0015145A" w:rsidRPr="00587D9E" w:rsidRDefault="0015145A" w:rsidP="00587D9E">
      <w:pPr>
        <w:pStyle w:val="Textonotapie"/>
        <w:ind w:firstLine="709"/>
        <w:jc w:val="both"/>
        <w:rPr>
          <w:rFonts w:ascii="Arial" w:hAnsi="Arial" w:cs="Arial"/>
          <w:sz w:val="19"/>
          <w:szCs w:val="19"/>
          <w:lang w:val="es-ES"/>
        </w:rPr>
      </w:pPr>
      <w:r w:rsidRPr="00587D9E">
        <w:rPr>
          <w:rStyle w:val="Refdenotaalpie"/>
          <w:rFonts w:ascii="Arial" w:hAnsi="Arial" w:cs="Arial"/>
          <w:sz w:val="19"/>
          <w:szCs w:val="19"/>
        </w:rPr>
        <w:footnoteRef/>
      </w:r>
      <w:r w:rsidRPr="00587D9E">
        <w:rPr>
          <w:rFonts w:ascii="Arial" w:hAnsi="Arial" w:cs="Arial"/>
          <w:sz w:val="19"/>
          <w:szCs w:val="19"/>
        </w:rPr>
        <w:t xml:space="preserve"> Op.cit.: https://colombiacompra.gov.co/sala-de-prensa/comunicados/la-agencia-nacional-de-contratacion-publica-colombia-compra-eficiente-0</w:t>
      </w:r>
    </w:p>
  </w:footnote>
  <w:footnote w:id="5">
    <w:p w14:paraId="52AF674C" w14:textId="77777777" w:rsidR="0015145A" w:rsidRPr="00587D9E" w:rsidRDefault="0015145A" w:rsidP="00587D9E">
      <w:pPr>
        <w:pStyle w:val="Textonotapie"/>
        <w:ind w:firstLine="709"/>
        <w:jc w:val="both"/>
        <w:rPr>
          <w:rFonts w:ascii="Arial" w:hAnsi="Arial" w:cs="Arial"/>
          <w:sz w:val="19"/>
          <w:szCs w:val="19"/>
        </w:rPr>
      </w:pPr>
    </w:p>
    <w:p w14:paraId="5F640524" w14:textId="53B49B1C" w:rsidR="0015145A" w:rsidRPr="00587D9E" w:rsidRDefault="0015145A" w:rsidP="00587D9E">
      <w:pPr>
        <w:pStyle w:val="Textonotapie"/>
        <w:ind w:firstLine="709"/>
        <w:jc w:val="both"/>
        <w:rPr>
          <w:rFonts w:ascii="Arial" w:hAnsi="Arial" w:cs="Arial"/>
          <w:sz w:val="19"/>
          <w:szCs w:val="19"/>
          <w:lang w:val="es-ES"/>
        </w:rPr>
      </w:pPr>
      <w:r w:rsidRPr="00587D9E">
        <w:rPr>
          <w:rStyle w:val="Refdenotaalpie"/>
          <w:rFonts w:ascii="Arial" w:hAnsi="Arial" w:cs="Arial"/>
          <w:sz w:val="19"/>
          <w:szCs w:val="19"/>
        </w:rPr>
        <w:footnoteRef/>
      </w:r>
      <w:r w:rsidRPr="00587D9E">
        <w:rPr>
          <w:rFonts w:ascii="Arial" w:hAnsi="Arial" w:cs="Arial"/>
          <w:sz w:val="19"/>
          <w:szCs w:val="19"/>
        </w:rPr>
        <w:t xml:space="preserve"> </w:t>
      </w:r>
      <w:r w:rsidRPr="00587D9E">
        <w:rPr>
          <w:rFonts w:ascii="Arial" w:hAnsi="Arial" w:cs="Arial"/>
          <w:sz w:val="19"/>
          <w:szCs w:val="19"/>
          <w:lang w:val="es-ES"/>
        </w:rPr>
        <w:t>Ibíd.</w:t>
      </w:r>
    </w:p>
  </w:footnote>
  <w:footnote w:id="6">
    <w:p w14:paraId="70689536" w14:textId="77777777" w:rsidR="0015145A" w:rsidRPr="00587D9E" w:rsidRDefault="0015145A" w:rsidP="00587D9E">
      <w:pPr>
        <w:pStyle w:val="Textonotapie"/>
        <w:ind w:firstLine="709"/>
        <w:jc w:val="both"/>
        <w:rPr>
          <w:rFonts w:ascii="Arial" w:hAnsi="Arial" w:cs="Arial"/>
          <w:sz w:val="19"/>
          <w:szCs w:val="19"/>
        </w:rPr>
      </w:pPr>
    </w:p>
    <w:p w14:paraId="08FF955D" w14:textId="75CDBA14" w:rsidR="0015145A" w:rsidRPr="00587D9E" w:rsidRDefault="0015145A" w:rsidP="00587D9E">
      <w:pPr>
        <w:pStyle w:val="Textonotapie"/>
        <w:ind w:firstLine="709"/>
        <w:jc w:val="both"/>
        <w:rPr>
          <w:rFonts w:ascii="Arial" w:hAnsi="Arial" w:cs="Arial"/>
          <w:sz w:val="19"/>
          <w:szCs w:val="19"/>
        </w:rPr>
      </w:pPr>
      <w:r w:rsidRPr="00587D9E">
        <w:rPr>
          <w:rStyle w:val="Refdenotaalpie"/>
          <w:rFonts w:ascii="Arial" w:hAnsi="Arial" w:cs="Arial"/>
          <w:sz w:val="19"/>
          <w:szCs w:val="19"/>
        </w:rPr>
        <w:footnoteRef/>
      </w:r>
      <w:r w:rsidRPr="00587D9E">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5011D44B" w14:textId="77777777" w:rsidR="0015145A" w:rsidRPr="00587D9E" w:rsidRDefault="0015145A" w:rsidP="00587D9E">
      <w:pPr>
        <w:pStyle w:val="Textonotapie"/>
        <w:ind w:firstLine="709"/>
        <w:jc w:val="both"/>
        <w:rPr>
          <w:rFonts w:ascii="Arial" w:hAnsi="Arial" w:cs="Arial"/>
          <w:sz w:val="19"/>
          <w:szCs w:val="19"/>
        </w:rPr>
      </w:pPr>
      <w:r w:rsidRPr="00587D9E">
        <w:rPr>
          <w:rFonts w:ascii="Arial" w:hAnsi="Arial" w:cs="Arial"/>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570A3456" w14:textId="77777777" w:rsidR="0015145A" w:rsidRPr="00587D9E" w:rsidRDefault="0015145A" w:rsidP="00587D9E">
      <w:pPr>
        <w:pStyle w:val="Textonotapie"/>
        <w:ind w:firstLine="709"/>
        <w:jc w:val="both"/>
        <w:rPr>
          <w:rFonts w:ascii="Arial" w:hAnsi="Arial" w:cs="Arial"/>
          <w:sz w:val="19"/>
          <w:szCs w:val="19"/>
        </w:rPr>
      </w:pPr>
    </w:p>
  </w:footnote>
  <w:footnote w:id="7">
    <w:p w14:paraId="3D86A115" w14:textId="5EFBF1BF" w:rsidR="0015145A" w:rsidRPr="00587D9E" w:rsidRDefault="0015145A" w:rsidP="00587D9E">
      <w:pPr>
        <w:pStyle w:val="Textonotapie"/>
        <w:ind w:firstLine="709"/>
        <w:jc w:val="both"/>
        <w:rPr>
          <w:rFonts w:ascii="Arial" w:hAnsi="Arial" w:cs="Arial"/>
          <w:sz w:val="19"/>
          <w:szCs w:val="19"/>
        </w:rPr>
      </w:pPr>
      <w:r w:rsidRPr="00587D9E">
        <w:rPr>
          <w:rStyle w:val="Refdenotaalpie"/>
          <w:rFonts w:ascii="Arial" w:hAnsi="Arial" w:cs="Arial"/>
          <w:sz w:val="19"/>
          <w:szCs w:val="19"/>
        </w:rPr>
        <w:footnoteRef/>
      </w:r>
      <w:r w:rsidRPr="00587D9E">
        <w:rPr>
          <w:rFonts w:ascii="Arial" w:hAnsi="Arial" w:cs="Arial"/>
          <w:sz w:val="19"/>
          <w:szCs w:val="19"/>
        </w:rPr>
        <w:t xml:space="preserve"> Gaceta del Congreso de la República No. 71 del 2005.</w:t>
      </w:r>
    </w:p>
    <w:p w14:paraId="02761883" w14:textId="77777777" w:rsidR="0015145A" w:rsidRPr="00587D9E" w:rsidRDefault="0015145A" w:rsidP="00587D9E">
      <w:pPr>
        <w:pStyle w:val="Textonotapie"/>
        <w:ind w:firstLine="709"/>
        <w:jc w:val="both"/>
        <w:rPr>
          <w:rFonts w:ascii="Arial" w:hAnsi="Arial" w:cs="Arial"/>
          <w:sz w:val="19"/>
          <w:szCs w:val="19"/>
        </w:rPr>
      </w:pPr>
    </w:p>
  </w:footnote>
  <w:footnote w:id="8">
    <w:p w14:paraId="70DE744C" w14:textId="59DDAEFF" w:rsidR="0015145A" w:rsidRPr="00587D9E" w:rsidRDefault="0015145A" w:rsidP="00587D9E">
      <w:pPr>
        <w:pStyle w:val="Textonotapie"/>
        <w:ind w:firstLine="709"/>
        <w:jc w:val="both"/>
        <w:rPr>
          <w:rFonts w:ascii="Arial" w:hAnsi="Arial" w:cs="Arial"/>
          <w:sz w:val="19"/>
          <w:szCs w:val="19"/>
        </w:rPr>
      </w:pPr>
      <w:r w:rsidRPr="00587D9E">
        <w:rPr>
          <w:rStyle w:val="Refdenotaalpie"/>
          <w:rFonts w:ascii="Arial" w:hAnsi="Arial" w:cs="Arial"/>
          <w:sz w:val="19"/>
          <w:szCs w:val="19"/>
        </w:rPr>
        <w:footnoteRef/>
      </w:r>
      <w:r w:rsidRPr="00587D9E">
        <w:rPr>
          <w:rFonts w:ascii="Arial" w:hAnsi="Arial" w:cs="Arial"/>
          <w:sz w:val="19"/>
          <w:szCs w:val="19"/>
        </w:rPr>
        <w:t xml:space="preserve"> Corte Constitucional</w:t>
      </w:r>
      <w:r w:rsidR="005A3686">
        <w:rPr>
          <w:rFonts w:ascii="Arial" w:hAnsi="Arial" w:cs="Arial"/>
          <w:sz w:val="19"/>
          <w:szCs w:val="19"/>
        </w:rPr>
        <w:t>.</w:t>
      </w:r>
      <w:r w:rsidRPr="00587D9E">
        <w:rPr>
          <w:rFonts w:ascii="Arial" w:hAnsi="Arial" w:cs="Arial"/>
          <w:sz w:val="19"/>
          <w:szCs w:val="19"/>
        </w:rPr>
        <w:t xml:space="preserve"> Sentencia C-1153 de 2005, M.P. Marco Gerardo Monroy Cabra.</w:t>
      </w:r>
    </w:p>
    <w:p w14:paraId="5A57FC91" w14:textId="77777777" w:rsidR="0015145A" w:rsidRPr="00587D9E" w:rsidRDefault="0015145A" w:rsidP="00587D9E">
      <w:pPr>
        <w:pStyle w:val="Textonotapie"/>
        <w:ind w:firstLine="709"/>
        <w:jc w:val="both"/>
        <w:rPr>
          <w:rFonts w:ascii="Arial" w:hAnsi="Arial" w:cs="Arial"/>
          <w:sz w:val="19"/>
          <w:szCs w:val="19"/>
        </w:rPr>
      </w:pPr>
    </w:p>
  </w:footnote>
  <w:footnote w:id="9">
    <w:p w14:paraId="2120875D" w14:textId="77777777" w:rsidR="0015145A" w:rsidRPr="00587D9E" w:rsidRDefault="0015145A" w:rsidP="00587D9E">
      <w:pPr>
        <w:pStyle w:val="Textonotapie"/>
        <w:ind w:firstLine="709"/>
        <w:jc w:val="both"/>
        <w:rPr>
          <w:rFonts w:ascii="Arial" w:hAnsi="Arial" w:cs="Arial"/>
          <w:sz w:val="19"/>
          <w:szCs w:val="19"/>
        </w:rPr>
      </w:pPr>
      <w:r w:rsidRPr="00587D9E">
        <w:rPr>
          <w:rStyle w:val="Refdenotaalpie"/>
          <w:rFonts w:ascii="Arial" w:hAnsi="Arial" w:cs="Arial"/>
          <w:sz w:val="19"/>
          <w:szCs w:val="19"/>
        </w:rPr>
        <w:footnoteRef/>
      </w:r>
      <w:r w:rsidRPr="00587D9E">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77F5C915" w14:textId="77777777" w:rsidR="0015145A" w:rsidRPr="00587D9E" w:rsidRDefault="0015145A" w:rsidP="00587D9E">
      <w:pPr>
        <w:pStyle w:val="Textonotapie"/>
        <w:ind w:firstLine="709"/>
        <w:jc w:val="both"/>
        <w:rPr>
          <w:rFonts w:ascii="Arial" w:hAnsi="Arial" w:cs="Arial"/>
          <w:sz w:val="19"/>
          <w:szCs w:val="19"/>
        </w:rPr>
      </w:pPr>
    </w:p>
  </w:footnote>
  <w:footnote w:id="10">
    <w:p w14:paraId="2B3023B7" w14:textId="288F44AE" w:rsidR="0015145A" w:rsidRPr="00587D9E" w:rsidRDefault="0015145A" w:rsidP="00587D9E">
      <w:pPr>
        <w:pStyle w:val="Textonotapie"/>
        <w:ind w:firstLine="709"/>
        <w:jc w:val="both"/>
        <w:rPr>
          <w:rFonts w:ascii="Arial" w:hAnsi="Arial" w:cs="Arial"/>
          <w:sz w:val="19"/>
          <w:szCs w:val="19"/>
          <w:lang w:val="es-CO"/>
        </w:rPr>
      </w:pPr>
      <w:r w:rsidRPr="00587D9E">
        <w:rPr>
          <w:rStyle w:val="Refdenotaalpie"/>
          <w:rFonts w:ascii="Arial" w:hAnsi="Arial" w:cs="Arial"/>
          <w:sz w:val="19"/>
          <w:szCs w:val="19"/>
        </w:rPr>
        <w:footnoteRef/>
      </w:r>
      <w:r w:rsidRPr="00587D9E">
        <w:rPr>
          <w:rFonts w:ascii="Arial" w:hAnsi="Arial" w:cs="Arial"/>
          <w:sz w:val="19"/>
          <w:szCs w:val="19"/>
          <w:lang w:val="es-CO"/>
        </w:rPr>
        <w:t xml:space="preserve"> Consejo de Estado</w:t>
      </w:r>
      <w:r w:rsidR="005A3686">
        <w:rPr>
          <w:rFonts w:ascii="Arial" w:hAnsi="Arial" w:cs="Arial"/>
          <w:sz w:val="19"/>
          <w:szCs w:val="19"/>
          <w:lang w:val="es-CO"/>
        </w:rPr>
        <w:t xml:space="preserve">. </w:t>
      </w:r>
      <w:r w:rsidRPr="00587D9E">
        <w:rPr>
          <w:rFonts w:ascii="Arial" w:hAnsi="Arial" w:cs="Arial"/>
          <w:sz w:val="19"/>
          <w:szCs w:val="19"/>
          <w:lang w:val="es-CO"/>
        </w:rPr>
        <w:t>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70D6EB56" w14:textId="77777777" w:rsidR="0015145A" w:rsidRPr="00587D9E" w:rsidRDefault="0015145A" w:rsidP="00587D9E">
      <w:pPr>
        <w:pStyle w:val="Textonotapie"/>
        <w:ind w:firstLine="709"/>
        <w:jc w:val="both"/>
        <w:rPr>
          <w:rFonts w:ascii="Arial" w:hAnsi="Arial" w:cs="Arial"/>
          <w:sz w:val="19"/>
          <w:szCs w:val="19"/>
          <w:lang w:val="es-CO"/>
        </w:rPr>
      </w:pPr>
    </w:p>
  </w:footnote>
  <w:footnote w:id="11">
    <w:p w14:paraId="000F2381" w14:textId="77777777" w:rsidR="0015145A" w:rsidRPr="00587D9E" w:rsidRDefault="0015145A" w:rsidP="00587D9E">
      <w:pPr>
        <w:pStyle w:val="Textonotapie"/>
        <w:ind w:firstLine="709"/>
        <w:jc w:val="both"/>
        <w:rPr>
          <w:rFonts w:ascii="Arial" w:hAnsi="Arial" w:cs="Arial"/>
          <w:sz w:val="19"/>
          <w:szCs w:val="19"/>
        </w:rPr>
      </w:pPr>
      <w:r w:rsidRPr="00587D9E">
        <w:rPr>
          <w:rStyle w:val="Refdenotaalpie"/>
          <w:rFonts w:ascii="Arial" w:hAnsi="Arial" w:cs="Arial"/>
          <w:sz w:val="19"/>
          <w:szCs w:val="19"/>
        </w:rPr>
        <w:footnoteRef/>
      </w:r>
      <w:r w:rsidRPr="00587D9E">
        <w:rPr>
          <w:rFonts w:ascii="Arial" w:hAnsi="Arial" w:cs="Arial"/>
          <w:sz w:val="19"/>
          <w:szCs w:val="19"/>
        </w:rPr>
        <w:t xml:space="preserve"> Consejo de Estado, Sala de Consulta y Servicio Civil de fecha 24 de julio de 2013, radicado 2166, Consejero Ponente: Álvaro Namén Vargas.  </w:t>
      </w:r>
    </w:p>
  </w:footnote>
  <w:footnote w:id="12">
    <w:p w14:paraId="5FD1B6A5" w14:textId="77777777" w:rsidR="0015145A" w:rsidRPr="00587D9E" w:rsidRDefault="0015145A" w:rsidP="00587D9E">
      <w:pPr>
        <w:ind w:firstLine="709"/>
        <w:jc w:val="both"/>
        <w:rPr>
          <w:rFonts w:ascii="Arial" w:hAnsi="Arial" w:cs="Arial"/>
          <w:sz w:val="19"/>
          <w:szCs w:val="19"/>
        </w:rPr>
      </w:pPr>
      <w:r w:rsidRPr="00587D9E">
        <w:rPr>
          <w:rStyle w:val="Refdenotaalpie"/>
          <w:rFonts w:ascii="Arial" w:hAnsi="Arial" w:cs="Arial"/>
          <w:sz w:val="19"/>
          <w:szCs w:val="19"/>
        </w:rPr>
        <w:footnoteRef/>
      </w:r>
      <w:r w:rsidRPr="00587D9E">
        <w:rPr>
          <w:rFonts w:ascii="Arial" w:hAnsi="Arial" w:cs="Arial"/>
          <w:sz w:val="19"/>
          <w:szCs w:val="19"/>
        </w:rPr>
        <w:t xml:space="preserve"> </w:t>
      </w:r>
      <w:r w:rsidRPr="00587D9E">
        <w:rPr>
          <w:rFonts w:ascii="Arial" w:eastAsia="Calibri" w:hAnsi="Arial" w:cs="Arial"/>
          <w:bCs/>
          <w:color w:val="000000"/>
          <w:sz w:val="19"/>
          <w:szCs w:val="19"/>
        </w:rPr>
        <w:t>«</w:t>
      </w:r>
      <w:r w:rsidRPr="00587D9E">
        <w:rPr>
          <w:rFonts w:ascii="Arial" w:hAnsi="Arial" w:cs="Arial"/>
          <w:sz w:val="19"/>
          <w:szCs w:val="19"/>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0B58CD49" w14:textId="77777777" w:rsidR="0015145A" w:rsidRPr="00587D9E" w:rsidRDefault="0015145A" w:rsidP="00587D9E">
      <w:pPr>
        <w:ind w:firstLine="709"/>
        <w:jc w:val="both"/>
        <w:rPr>
          <w:rFonts w:ascii="Arial" w:hAnsi="Arial" w:cs="Arial"/>
          <w:sz w:val="19"/>
          <w:szCs w:val="19"/>
        </w:rPr>
      </w:pPr>
      <w:r w:rsidRPr="00587D9E">
        <w:rPr>
          <w:rFonts w:ascii="Arial" w:eastAsia="Calibri" w:hAnsi="Arial" w:cs="Arial"/>
          <w:bCs/>
          <w:color w:val="000000"/>
          <w:sz w:val="19"/>
          <w:szCs w:val="19"/>
        </w:rPr>
        <w:t>»</w:t>
      </w:r>
      <w:r w:rsidRPr="00587D9E">
        <w:rPr>
          <w:rFonts w:ascii="Arial"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587D9E">
        <w:rPr>
          <w:rFonts w:ascii="Arial" w:eastAsia="Calibri" w:hAnsi="Arial" w:cs="Arial"/>
          <w:bCs/>
          <w:color w:val="000000"/>
          <w:sz w:val="19"/>
          <w:szCs w:val="19"/>
        </w:rPr>
        <w:t>»</w:t>
      </w:r>
      <w:r w:rsidRPr="00587D9E">
        <w:rPr>
          <w:rFonts w:ascii="Arial" w:hAnsi="Arial" w:cs="Arial"/>
          <w:sz w:val="19"/>
          <w:szCs w:val="19"/>
        </w:rPr>
        <w:t>.</w:t>
      </w:r>
    </w:p>
    <w:p w14:paraId="68C81580" w14:textId="77777777" w:rsidR="0015145A" w:rsidRPr="00587D9E" w:rsidRDefault="0015145A" w:rsidP="00587D9E">
      <w:pPr>
        <w:ind w:firstLine="709"/>
        <w:jc w:val="both"/>
        <w:rPr>
          <w:rFonts w:ascii="Arial" w:hAnsi="Arial" w:cs="Arial"/>
          <w:sz w:val="19"/>
          <w:szCs w:val="19"/>
        </w:rPr>
      </w:pPr>
    </w:p>
  </w:footnote>
  <w:footnote w:id="13">
    <w:p w14:paraId="5EEDC13D" w14:textId="77777777" w:rsidR="0015145A" w:rsidRPr="00587D9E" w:rsidRDefault="0015145A" w:rsidP="00587D9E">
      <w:pPr>
        <w:pStyle w:val="NormalWeb"/>
        <w:spacing w:before="0" w:beforeAutospacing="0" w:after="0" w:afterAutospacing="0"/>
        <w:ind w:firstLine="709"/>
        <w:jc w:val="both"/>
        <w:rPr>
          <w:rFonts w:ascii="Arial" w:hAnsi="Arial" w:cs="Arial"/>
          <w:sz w:val="19"/>
          <w:szCs w:val="19"/>
          <w:lang w:val="es-MX"/>
        </w:rPr>
      </w:pPr>
      <w:r w:rsidRPr="00587D9E">
        <w:rPr>
          <w:rStyle w:val="Refdenotaalpie"/>
          <w:rFonts w:ascii="Arial" w:hAnsi="Arial" w:cs="Arial"/>
          <w:sz w:val="19"/>
          <w:szCs w:val="19"/>
        </w:rPr>
        <w:footnoteRef/>
      </w:r>
      <w:r w:rsidRPr="00587D9E">
        <w:rPr>
          <w:rFonts w:ascii="Arial" w:hAnsi="Arial" w:cs="Arial"/>
          <w:sz w:val="19"/>
          <w:szCs w:val="19"/>
        </w:rPr>
        <w:t xml:space="preserve"> </w:t>
      </w:r>
      <w:r w:rsidRPr="00587D9E">
        <w:rPr>
          <w:rFonts w:ascii="Arial" w:eastAsia="Calibri" w:hAnsi="Arial" w:cs="Arial"/>
          <w:bCs/>
          <w:color w:val="000000"/>
          <w:sz w:val="19"/>
          <w:szCs w:val="19"/>
        </w:rPr>
        <w:t>«</w:t>
      </w:r>
      <w:r w:rsidRPr="00587D9E">
        <w:rPr>
          <w:rFonts w:ascii="Arial" w:hAnsi="Arial" w:cs="Arial"/>
          <w:sz w:val="19"/>
          <w:szCs w:val="19"/>
          <w:lang w:val="es-MX"/>
        </w:rPr>
        <w:t>Artículo 38. Prohibiciones para los servidores públicos. A los empleados del Estado les está prohibido:</w:t>
      </w:r>
    </w:p>
    <w:p w14:paraId="621B3705" w14:textId="77777777" w:rsidR="0015145A" w:rsidRPr="00587D9E" w:rsidRDefault="0015145A" w:rsidP="00587D9E">
      <w:pPr>
        <w:pStyle w:val="NormalWeb"/>
        <w:spacing w:before="0" w:beforeAutospacing="0" w:after="0" w:afterAutospacing="0"/>
        <w:ind w:firstLine="709"/>
        <w:jc w:val="both"/>
        <w:rPr>
          <w:rFonts w:ascii="Arial" w:hAnsi="Arial" w:cs="Arial"/>
          <w:sz w:val="19"/>
          <w:szCs w:val="19"/>
          <w:lang w:val="es-MX"/>
        </w:rPr>
      </w:pPr>
      <w:r w:rsidRPr="00587D9E">
        <w:rPr>
          <w:rFonts w:ascii="Arial" w:eastAsia="Calibri" w:hAnsi="Arial" w:cs="Arial"/>
          <w:bCs/>
          <w:color w:val="000000"/>
          <w:sz w:val="19"/>
          <w:szCs w:val="19"/>
        </w:rPr>
        <w:t>»</w:t>
      </w:r>
      <w:r w:rsidRPr="00587D9E">
        <w:rPr>
          <w:rFonts w:ascii="Arial" w:hAnsi="Arial" w:cs="Arial"/>
          <w:sz w:val="19"/>
          <w:szCs w:val="19"/>
          <w:lang w:val="es-MX"/>
        </w:rPr>
        <w:t xml:space="preserve"> […]</w:t>
      </w:r>
    </w:p>
    <w:p w14:paraId="491AB04E" w14:textId="77777777" w:rsidR="0015145A" w:rsidRPr="00587D9E" w:rsidRDefault="0015145A" w:rsidP="00587D9E">
      <w:pPr>
        <w:ind w:firstLine="709"/>
        <w:jc w:val="both"/>
        <w:rPr>
          <w:rFonts w:ascii="Arial" w:hAnsi="Arial" w:cs="Arial"/>
          <w:sz w:val="19"/>
          <w:szCs w:val="19"/>
          <w:lang w:val="es-MX"/>
        </w:rPr>
      </w:pPr>
      <w:r w:rsidRPr="00587D9E">
        <w:rPr>
          <w:rFonts w:ascii="Arial" w:eastAsia="Calibri" w:hAnsi="Arial" w:cs="Arial"/>
          <w:bCs/>
          <w:color w:val="000000"/>
          <w:sz w:val="19"/>
          <w:szCs w:val="19"/>
        </w:rPr>
        <w:t>»</w:t>
      </w:r>
      <w:r w:rsidRPr="00587D9E">
        <w:rPr>
          <w:rStyle w:val="baj"/>
          <w:rFonts w:ascii="Arial" w:hAnsi="Arial" w:cs="Arial"/>
          <w:sz w:val="19"/>
          <w:szCs w:val="19"/>
          <w:lang w:val="es-MX"/>
        </w:rPr>
        <w:t xml:space="preserve"> Parágrafo.</w:t>
      </w:r>
      <w:r w:rsidRPr="00587D9E">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587D9E">
        <w:rPr>
          <w:rFonts w:ascii="Arial" w:eastAsia="Calibri" w:hAnsi="Arial" w:cs="Arial"/>
          <w:bCs/>
          <w:color w:val="000000"/>
          <w:sz w:val="19"/>
          <w:szCs w:val="19"/>
        </w:rPr>
        <w:t>»</w:t>
      </w:r>
      <w:r w:rsidRPr="00587D9E">
        <w:rPr>
          <w:rFonts w:ascii="Arial" w:hAnsi="Arial" w:cs="Arial"/>
          <w:sz w:val="19"/>
          <w:szCs w:val="19"/>
          <w:lang w:val="es-MX"/>
        </w:rPr>
        <w:t>.</w:t>
      </w:r>
    </w:p>
    <w:p w14:paraId="1FEA72FC" w14:textId="77777777" w:rsidR="0015145A" w:rsidRPr="00587D9E" w:rsidRDefault="0015145A" w:rsidP="00587D9E">
      <w:pPr>
        <w:ind w:firstLine="709"/>
        <w:jc w:val="both"/>
        <w:rPr>
          <w:rFonts w:ascii="Arial" w:hAnsi="Arial" w:cs="Arial"/>
          <w:sz w:val="19"/>
          <w:szCs w:val="19"/>
          <w:lang w:val="es-MX"/>
        </w:rPr>
      </w:pPr>
    </w:p>
  </w:footnote>
  <w:footnote w:id="14">
    <w:p w14:paraId="0049EE70" w14:textId="77777777" w:rsidR="0015145A" w:rsidRPr="00587D9E" w:rsidRDefault="0015145A" w:rsidP="00587D9E">
      <w:pPr>
        <w:ind w:firstLine="709"/>
        <w:jc w:val="both"/>
        <w:rPr>
          <w:rFonts w:ascii="Arial" w:hAnsi="Arial" w:cs="Arial"/>
          <w:sz w:val="19"/>
          <w:szCs w:val="19"/>
          <w:lang w:val="es-ES"/>
        </w:rPr>
      </w:pPr>
      <w:r w:rsidRPr="00587D9E">
        <w:rPr>
          <w:rStyle w:val="Refdenotaalpie"/>
          <w:rFonts w:ascii="Arial" w:hAnsi="Arial" w:cs="Arial"/>
          <w:sz w:val="19"/>
          <w:szCs w:val="19"/>
        </w:rPr>
        <w:footnoteRef/>
      </w:r>
      <w:r w:rsidRPr="00587D9E">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5">
    <w:p w14:paraId="2F4CFDB4" w14:textId="77777777" w:rsidR="0015145A" w:rsidRPr="00587D9E" w:rsidRDefault="0015145A" w:rsidP="00587D9E">
      <w:pPr>
        <w:pStyle w:val="Textonotapie"/>
        <w:ind w:firstLine="709"/>
        <w:jc w:val="both"/>
        <w:rPr>
          <w:rFonts w:ascii="Arial" w:hAnsi="Arial" w:cs="Arial"/>
          <w:sz w:val="19"/>
          <w:szCs w:val="19"/>
        </w:rPr>
      </w:pPr>
      <w:r w:rsidRPr="00587D9E">
        <w:rPr>
          <w:rStyle w:val="Refdenotaalpie"/>
          <w:rFonts w:ascii="Arial" w:hAnsi="Arial" w:cs="Arial"/>
          <w:sz w:val="19"/>
          <w:szCs w:val="19"/>
        </w:rPr>
        <w:footnoteRef/>
      </w:r>
      <w:r w:rsidRPr="00587D9E">
        <w:rPr>
          <w:rFonts w:ascii="Arial" w:hAnsi="Arial" w:cs="Arial"/>
          <w:sz w:val="19"/>
          <w:szCs w:val="19"/>
        </w:rPr>
        <w:t xml:space="preserve"> «</w:t>
      </w:r>
      <w:r w:rsidRPr="00587D9E">
        <w:rPr>
          <w:rFonts w:ascii="Arial" w:hAnsi="Arial" w:cs="Arial"/>
          <w:sz w:val="19"/>
          <w:szCs w:val="19"/>
          <w:lang w:val="es-ES"/>
        </w:rPr>
        <w:t xml:space="preserve">[25] </w:t>
      </w:r>
      <w:r w:rsidRPr="00587D9E">
        <w:rPr>
          <w:rFonts w:ascii="Arial" w:hAnsi="Arial" w:cs="Arial"/>
          <w:sz w:val="19"/>
          <w:szCs w:val="19"/>
        </w:rPr>
        <w:t>Cfr. Consejo de Estado. Sección Tercera. Sentencia de 3 de diciembre de 2007. Radicados: 24.715, 25.206, 25.409, 24.524, 27.834, 25.410, 26.105, 28.244, 31.447 -acumulados-».</w:t>
      </w:r>
    </w:p>
    <w:p w14:paraId="37ADB304" w14:textId="77777777" w:rsidR="0015145A" w:rsidRPr="00587D9E" w:rsidRDefault="0015145A" w:rsidP="00587D9E">
      <w:pPr>
        <w:pStyle w:val="Textonotapie"/>
        <w:ind w:firstLine="709"/>
        <w:jc w:val="both"/>
        <w:rPr>
          <w:rFonts w:ascii="Arial" w:hAnsi="Arial" w:cs="Arial"/>
          <w:sz w:val="19"/>
          <w:szCs w:val="19"/>
        </w:rPr>
      </w:pPr>
    </w:p>
  </w:footnote>
  <w:footnote w:id="16">
    <w:p w14:paraId="1DB97367" w14:textId="77777777" w:rsidR="0015145A" w:rsidRPr="00587D9E" w:rsidRDefault="0015145A" w:rsidP="00587D9E">
      <w:pPr>
        <w:pStyle w:val="Textonotapie"/>
        <w:ind w:firstLine="709"/>
        <w:jc w:val="both"/>
        <w:rPr>
          <w:rFonts w:ascii="Arial" w:hAnsi="Arial" w:cs="Arial"/>
          <w:sz w:val="19"/>
          <w:szCs w:val="19"/>
        </w:rPr>
      </w:pPr>
      <w:r w:rsidRPr="00587D9E">
        <w:rPr>
          <w:rStyle w:val="Refdenotaalpie"/>
          <w:rFonts w:ascii="Arial" w:hAnsi="Arial" w:cs="Arial"/>
          <w:sz w:val="19"/>
          <w:szCs w:val="19"/>
        </w:rPr>
        <w:footnoteRef/>
      </w:r>
      <w:r w:rsidRPr="00587D9E">
        <w:rPr>
          <w:rFonts w:ascii="Arial" w:hAnsi="Arial" w:cs="Arial"/>
          <w:sz w:val="19"/>
          <w:szCs w:val="19"/>
        </w:rPr>
        <w:t xml:space="preserve"> «</w:t>
      </w:r>
      <w:r w:rsidRPr="00587D9E">
        <w:rPr>
          <w:rFonts w:ascii="Arial" w:hAnsi="Arial" w:cs="Arial"/>
          <w:sz w:val="19"/>
          <w:szCs w:val="19"/>
          <w:lang w:val="es-ES"/>
        </w:rPr>
        <w:t xml:space="preserve">[26] </w:t>
      </w:r>
      <w:r w:rsidRPr="00587D9E">
        <w:rPr>
          <w:rFonts w:ascii="Arial" w:hAnsi="Arial" w:cs="Arial"/>
          <w:sz w:val="19"/>
          <w:szCs w:val="19"/>
        </w:rPr>
        <w:t>Al respecto ver el concepto 1712 de 2 de febrero de 2006. Consejo de Estado Sala de Consulta y Servicio Civil».</w:t>
      </w:r>
    </w:p>
    <w:p w14:paraId="6E8CECD0" w14:textId="77777777" w:rsidR="0015145A" w:rsidRPr="00587D9E" w:rsidRDefault="0015145A" w:rsidP="00587D9E">
      <w:pPr>
        <w:pStyle w:val="Textonotapie"/>
        <w:ind w:firstLine="709"/>
        <w:jc w:val="both"/>
        <w:rPr>
          <w:rFonts w:ascii="Arial" w:hAnsi="Arial" w:cs="Arial"/>
          <w:sz w:val="19"/>
          <w:szCs w:val="19"/>
        </w:rPr>
      </w:pPr>
    </w:p>
  </w:footnote>
  <w:footnote w:id="17">
    <w:p w14:paraId="2F65E2D2" w14:textId="77777777" w:rsidR="0015145A" w:rsidRPr="00587D9E" w:rsidRDefault="0015145A" w:rsidP="00587D9E">
      <w:pPr>
        <w:pStyle w:val="Textonotapie"/>
        <w:ind w:firstLine="709"/>
        <w:jc w:val="both"/>
        <w:rPr>
          <w:rFonts w:ascii="Arial" w:hAnsi="Arial" w:cs="Arial"/>
          <w:sz w:val="19"/>
          <w:szCs w:val="19"/>
        </w:rPr>
      </w:pPr>
      <w:r w:rsidRPr="00587D9E">
        <w:rPr>
          <w:rStyle w:val="Refdenotaalpie"/>
          <w:rFonts w:ascii="Arial" w:hAnsi="Arial" w:cs="Arial"/>
          <w:sz w:val="19"/>
          <w:szCs w:val="19"/>
        </w:rPr>
        <w:footnoteRef/>
      </w:r>
      <w:r w:rsidRPr="00587D9E">
        <w:rPr>
          <w:rFonts w:ascii="Arial" w:hAnsi="Arial" w:cs="Arial"/>
          <w:sz w:val="19"/>
          <w:szCs w:val="19"/>
        </w:rPr>
        <w:t xml:space="preserve"> Consejo de Estado. Sala de Consulta y Servicio Civil. Concepto del 2 de septiembre de 2013. Radicación número: 11001-03-06-000-2013-00412-00 (2168). Consejero Ponente: Álvaro Namén Vargas.</w:t>
      </w:r>
    </w:p>
    <w:p w14:paraId="72BB647C" w14:textId="77777777" w:rsidR="0015145A" w:rsidRPr="00587D9E" w:rsidRDefault="0015145A" w:rsidP="00587D9E">
      <w:pPr>
        <w:pStyle w:val="Textonotapie"/>
        <w:ind w:firstLine="709"/>
        <w:jc w:val="both"/>
        <w:rPr>
          <w:rFonts w:ascii="Arial" w:hAnsi="Arial" w:cs="Arial"/>
          <w:sz w:val="19"/>
          <w:szCs w:val="19"/>
        </w:rPr>
      </w:pPr>
    </w:p>
  </w:footnote>
  <w:footnote w:id="18">
    <w:p w14:paraId="1A0ACCDB" w14:textId="77777777" w:rsidR="0015145A" w:rsidRPr="00587D9E" w:rsidRDefault="0015145A" w:rsidP="00587D9E">
      <w:pPr>
        <w:pStyle w:val="Textonotapie"/>
        <w:ind w:firstLine="709"/>
        <w:jc w:val="both"/>
        <w:rPr>
          <w:rFonts w:ascii="Arial" w:hAnsi="Arial" w:cs="Arial"/>
          <w:sz w:val="19"/>
          <w:szCs w:val="19"/>
          <w:lang w:val="es-ES"/>
        </w:rPr>
      </w:pPr>
      <w:r w:rsidRPr="00587D9E">
        <w:rPr>
          <w:rStyle w:val="Refdenotaalpie"/>
          <w:rFonts w:ascii="Arial" w:hAnsi="Arial" w:cs="Arial"/>
          <w:sz w:val="19"/>
          <w:szCs w:val="19"/>
        </w:rPr>
        <w:footnoteRef/>
      </w:r>
      <w:r w:rsidRPr="00587D9E">
        <w:rPr>
          <w:rFonts w:ascii="Arial" w:hAnsi="Arial" w:cs="Arial"/>
          <w:sz w:val="19"/>
          <w:szCs w:val="19"/>
        </w:rPr>
        <w:t xml:space="preserve"> </w:t>
      </w:r>
      <w:r w:rsidRPr="00587D9E">
        <w:rPr>
          <w:rFonts w:ascii="Arial" w:hAnsi="Arial" w:cs="Arial"/>
          <w:sz w:val="19"/>
          <w:szCs w:val="19"/>
          <w:lang w:val="es-ES"/>
        </w:rPr>
        <w:t xml:space="preserve">Artículo 2. </w:t>
      </w:r>
    </w:p>
    <w:p w14:paraId="2B619EF0" w14:textId="77777777" w:rsidR="0015145A" w:rsidRPr="00587D9E" w:rsidRDefault="0015145A" w:rsidP="00587D9E">
      <w:pPr>
        <w:pStyle w:val="Textonotapie"/>
        <w:ind w:firstLine="709"/>
        <w:jc w:val="both"/>
        <w:rPr>
          <w:rFonts w:ascii="Arial" w:hAnsi="Arial" w:cs="Arial"/>
          <w:sz w:val="19"/>
          <w:szCs w:val="19"/>
          <w:lang w:val="es-ES"/>
        </w:rPr>
      </w:pPr>
    </w:p>
  </w:footnote>
  <w:footnote w:id="19">
    <w:p w14:paraId="5B1B2B90" w14:textId="190B6672" w:rsidR="0015145A" w:rsidRPr="00587D9E" w:rsidRDefault="0015145A" w:rsidP="00587D9E">
      <w:pPr>
        <w:pStyle w:val="Textonotapie"/>
        <w:ind w:firstLine="709"/>
        <w:jc w:val="both"/>
        <w:rPr>
          <w:rFonts w:ascii="Arial" w:hAnsi="Arial" w:cs="Arial"/>
          <w:sz w:val="19"/>
          <w:szCs w:val="19"/>
          <w:lang w:val="es-ES"/>
        </w:rPr>
      </w:pPr>
      <w:r w:rsidRPr="00587D9E">
        <w:rPr>
          <w:rStyle w:val="Refdenotaalpie"/>
          <w:rFonts w:ascii="Arial" w:hAnsi="Arial" w:cs="Arial"/>
          <w:sz w:val="19"/>
          <w:szCs w:val="19"/>
        </w:rPr>
        <w:footnoteRef/>
      </w:r>
      <w:r w:rsidRPr="00587D9E">
        <w:rPr>
          <w:rFonts w:ascii="Arial" w:hAnsi="Arial" w:cs="Arial"/>
          <w:sz w:val="19"/>
          <w:szCs w:val="19"/>
        </w:rPr>
        <w:t xml:space="preserve"> </w:t>
      </w:r>
      <w:r w:rsidRPr="00587D9E">
        <w:rPr>
          <w:rFonts w:ascii="Arial" w:hAnsi="Arial" w:cs="Arial"/>
          <w:i/>
          <w:sz w:val="19"/>
          <w:szCs w:val="19"/>
          <w:lang w:val="es-ES"/>
        </w:rPr>
        <w:t>Ídem</w:t>
      </w:r>
      <w:r w:rsidRPr="00587D9E">
        <w:rPr>
          <w:rFonts w:ascii="Arial" w:hAnsi="Arial" w:cs="Arial"/>
          <w:sz w:val="19"/>
          <w:szCs w:val="19"/>
          <w:lang w:val="es-ES"/>
        </w:rPr>
        <w:t>.</w:t>
      </w:r>
    </w:p>
    <w:p w14:paraId="6565D504" w14:textId="77777777" w:rsidR="0015145A" w:rsidRPr="00587D9E" w:rsidRDefault="0015145A" w:rsidP="00587D9E">
      <w:pPr>
        <w:pStyle w:val="Textonotapie"/>
        <w:ind w:firstLine="709"/>
        <w:jc w:val="both"/>
        <w:rPr>
          <w:rFonts w:ascii="Arial" w:hAnsi="Arial" w:cs="Arial"/>
          <w:sz w:val="19"/>
          <w:szCs w:val="19"/>
          <w:lang w:val="es-ES"/>
        </w:rPr>
      </w:pPr>
    </w:p>
  </w:footnote>
  <w:footnote w:id="20">
    <w:p w14:paraId="3C630D01" w14:textId="77777777" w:rsidR="0015145A" w:rsidRPr="00587D9E" w:rsidRDefault="0015145A" w:rsidP="00587D9E">
      <w:pPr>
        <w:pStyle w:val="Textonotapie"/>
        <w:ind w:firstLine="709"/>
        <w:jc w:val="both"/>
        <w:rPr>
          <w:rFonts w:ascii="Arial" w:hAnsi="Arial" w:cs="Arial"/>
          <w:sz w:val="19"/>
          <w:szCs w:val="19"/>
          <w:lang w:val="es-ES"/>
        </w:rPr>
      </w:pPr>
      <w:r w:rsidRPr="00587D9E">
        <w:rPr>
          <w:rStyle w:val="Refdenotaalpie"/>
          <w:rFonts w:ascii="Arial" w:hAnsi="Arial" w:cs="Arial"/>
          <w:sz w:val="19"/>
          <w:szCs w:val="19"/>
        </w:rPr>
        <w:footnoteRef/>
      </w:r>
      <w:r w:rsidRPr="00587D9E">
        <w:rPr>
          <w:rStyle w:val="Refdenotaalpie"/>
          <w:rFonts w:ascii="Arial" w:hAnsi="Arial" w:cs="Arial"/>
          <w:sz w:val="19"/>
          <w:szCs w:val="19"/>
        </w:rPr>
        <w:t xml:space="preserve"> </w:t>
      </w:r>
      <w:r w:rsidRPr="00587D9E">
        <w:rPr>
          <w:rFonts w:ascii="Arial" w:hAnsi="Arial" w:cs="Arial"/>
          <w:sz w:val="19"/>
          <w:szCs w:val="19"/>
          <w:lang w:val="es-ES"/>
        </w:rPr>
        <w:t xml:space="preserve">«[…] A este respecto, cabe recordar que el artículo 860 del Código de Comercio regula la licitación en el derecho privado». </w:t>
      </w:r>
    </w:p>
    <w:p w14:paraId="3EF6A319" w14:textId="77777777" w:rsidR="0015145A" w:rsidRPr="00587D9E" w:rsidRDefault="0015145A" w:rsidP="00587D9E">
      <w:pPr>
        <w:pStyle w:val="Textonotapie"/>
        <w:ind w:firstLine="709"/>
        <w:jc w:val="both"/>
        <w:rPr>
          <w:rFonts w:ascii="Arial" w:hAnsi="Arial" w:cs="Arial"/>
          <w:sz w:val="19"/>
          <w:szCs w:val="19"/>
          <w:lang w:val="es-ES"/>
        </w:rPr>
      </w:pPr>
    </w:p>
  </w:footnote>
  <w:footnote w:id="21">
    <w:p w14:paraId="0AEF54F6" w14:textId="4404C804" w:rsidR="0015145A" w:rsidRPr="00587D9E" w:rsidRDefault="0015145A" w:rsidP="00587D9E">
      <w:pPr>
        <w:shd w:val="clear" w:color="auto" w:fill="FFFFFF"/>
        <w:ind w:firstLine="709"/>
        <w:jc w:val="both"/>
        <w:rPr>
          <w:rFonts w:ascii="Arial" w:hAnsi="Arial" w:cs="Arial"/>
          <w:sz w:val="19"/>
          <w:szCs w:val="19"/>
          <w:lang w:val="es-ES"/>
        </w:rPr>
      </w:pPr>
      <w:r w:rsidRPr="00587D9E">
        <w:rPr>
          <w:rStyle w:val="Refdenotaalpie"/>
          <w:rFonts w:ascii="Arial" w:hAnsi="Arial" w:cs="Arial"/>
          <w:sz w:val="19"/>
          <w:szCs w:val="19"/>
        </w:rPr>
        <w:footnoteRef/>
      </w:r>
      <w:r w:rsidRPr="00587D9E">
        <w:rPr>
          <w:rStyle w:val="Refdenotaalpie"/>
          <w:rFonts w:ascii="Arial" w:hAnsi="Arial" w:cs="Arial"/>
          <w:sz w:val="19"/>
          <w:szCs w:val="19"/>
        </w:rPr>
        <w:t xml:space="preserve"> </w:t>
      </w:r>
      <w:r w:rsidRPr="00587D9E">
        <w:rPr>
          <w:rFonts w:ascii="Arial" w:hAnsi="Arial" w:cs="Arial"/>
          <w:sz w:val="19"/>
          <w:szCs w:val="19"/>
          <w:lang w:val="es-ES"/>
        </w:rPr>
        <w:t>Consejo de Estado. Sala de Consulta y Servicio Civil, Concepto de 8 de mayo de 2018. Radicación Número: 11001-03-06-000-2018-00095-00(2382). Consejero Ponente: Álvaro Namén Vargas.</w:t>
      </w:r>
    </w:p>
  </w:footnote>
  <w:footnote w:id="22">
    <w:p w14:paraId="1A9B0DCD" w14:textId="5733175F" w:rsidR="0015145A" w:rsidRPr="00587D9E" w:rsidRDefault="0015145A" w:rsidP="00587D9E">
      <w:pPr>
        <w:pStyle w:val="Textonotapie"/>
        <w:ind w:firstLine="709"/>
        <w:jc w:val="both"/>
        <w:rPr>
          <w:rFonts w:ascii="Arial" w:hAnsi="Arial" w:cs="Arial"/>
          <w:sz w:val="19"/>
          <w:szCs w:val="19"/>
        </w:rPr>
      </w:pPr>
      <w:r w:rsidRPr="00587D9E">
        <w:rPr>
          <w:rStyle w:val="Refdenotaalpie"/>
          <w:rFonts w:ascii="Arial" w:hAnsi="Arial" w:cs="Arial"/>
          <w:sz w:val="19"/>
          <w:szCs w:val="19"/>
        </w:rPr>
        <w:footnoteRef/>
      </w:r>
      <w:r w:rsidRPr="00587D9E">
        <w:rPr>
          <w:rFonts w:ascii="Arial" w:hAnsi="Arial" w:cs="Arial"/>
          <w:sz w:val="19"/>
          <w:szCs w:val="19"/>
        </w:rPr>
        <w:t xml:space="preserve"> Consejo de Estado. Sala de Consulta y Servicio Civil. Concepto del 08 de mayo de 2018. Exp. 2.382. C.P. Álvaro Namén Vargas.</w:t>
      </w:r>
    </w:p>
    <w:p w14:paraId="5E1468E2" w14:textId="77777777" w:rsidR="0015145A" w:rsidRPr="00587D9E" w:rsidRDefault="0015145A" w:rsidP="00587D9E">
      <w:pPr>
        <w:pStyle w:val="Textonotapie"/>
        <w:ind w:firstLine="709"/>
        <w:jc w:val="both"/>
        <w:rPr>
          <w:rFonts w:ascii="Arial" w:hAnsi="Arial" w:cs="Arial"/>
          <w:sz w:val="19"/>
          <w:szCs w:val="19"/>
        </w:rPr>
      </w:pPr>
    </w:p>
  </w:footnote>
  <w:footnote w:id="23">
    <w:p w14:paraId="0C034C89" w14:textId="31002C90" w:rsidR="0015145A" w:rsidRPr="00587D9E" w:rsidRDefault="0015145A" w:rsidP="00587D9E">
      <w:pPr>
        <w:pStyle w:val="Textonotapie"/>
        <w:ind w:firstLine="709"/>
        <w:jc w:val="both"/>
        <w:rPr>
          <w:rFonts w:ascii="Arial" w:hAnsi="Arial" w:cs="Arial"/>
          <w:sz w:val="19"/>
          <w:szCs w:val="19"/>
        </w:rPr>
      </w:pPr>
      <w:r w:rsidRPr="00587D9E">
        <w:rPr>
          <w:rStyle w:val="Refdenotaalpie"/>
          <w:rFonts w:ascii="Arial" w:hAnsi="Arial" w:cs="Arial"/>
          <w:sz w:val="19"/>
          <w:szCs w:val="19"/>
        </w:rPr>
        <w:footnoteRef/>
      </w:r>
      <w:r w:rsidRPr="00587D9E">
        <w:rPr>
          <w:rFonts w:ascii="Arial" w:hAnsi="Arial" w:cs="Arial"/>
          <w:sz w:val="19"/>
          <w:szCs w:val="19"/>
        </w:rPr>
        <w:t xml:space="preserve"> Cfr. Concepto C-757 del 30 de diciembre de 2021.</w:t>
      </w:r>
    </w:p>
  </w:footnote>
  <w:footnote w:id="24">
    <w:p w14:paraId="496D404C" w14:textId="6B92591B" w:rsidR="0015145A" w:rsidRPr="00587D9E" w:rsidRDefault="0015145A" w:rsidP="00587D9E">
      <w:pPr>
        <w:pStyle w:val="Textonotapie"/>
        <w:ind w:firstLine="709"/>
        <w:jc w:val="both"/>
        <w:rPr>
          <w:rFonts w:ascii="Arial" w:hAnsi="Arial" w:cs="Arial"/>
          <w:sz w:val="19"/>
          <w:szCs w:val="19"/>
        </w:rPr>
      </w:pPr>
      <w:r w:rsidRPr="00587D9E">
        <w:rPr>
          <w:rStyle w:val="Refdenotaalpie"/>
          <w:rFonts w:ascii="Arial" w:hAnsi="Arial" w:cs="Arial"/>
          <w:sz w:val="19"/>
          <w:szCs w:val="19"/>
        </w:rPr>
        <w:footnoteRef/>
      </w:r>
      <w:r w:rsidRPr="00587D9E">
        <w:rPr>
          <w:rFonts w:ascii="Arial" w:hAnsi="Arial" w:cs="Arial"/>
          <w:sz w:val="19"/>
          <w:szCs w:val="19"/>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p w14:paraId="687155C5" w14:textId="77777777" w:rsidR="0015145A" w:rsidRPr="00587D9E" w:rsidRDefault="0015145A" w:rsidP="00587D9E">
      <w:pPr>
        <w:pStyle w:val="Textonotapie"/>
        <w:ind w:firstLine="709"/>
        <w:jc w:val="both"/>
        <w:rPr>
          <w:rFonts w:ascii="Arial" w:hAnsi="Arial" w:cs="Arial"/>
          <w:sz w:val="19"/>
          <w:szCs w:val="19"/>
        </w:rPr>
      </w:pPr>
    </w:p>
  </w:footnote>
  <w:footnote w:id="25">
    <w:p w14:paraId="1B7FF0C3" w14:textId="3A86F7B8" w:rsidR="0015145A" w:rsidRPr="00587D9E" w:rsidRDefault="0015145A" w:rsidP="00587D9E">
      <w:pPr>
        <w:ind w:firstLine="709"/>
        <w:jc w:val="both"/>
        <w:rPr>
          <w:rFonts w:ascii="Arial" w:hAnsi="Arial" w:cs="Arial"/>
          <w:sz w:val="19"/>
          <w:szCs w:val="19"/>
        </w:rPr>
      </w:pPr>
      <w:r w:rsidRPr="00587D9E">
        <w:rPr>
          <w:rStyle w:val="Refdenotaalpie"/>
          <w:rFonts w:ascii="Arial" w:hAnsi="Arial" w:cs="Arial"/>
          <w:sz w:val="19"/>
          <w:szCs w:val="19"/>
        </w:rPr>
        <w:footnoteRef/>
      </w:r>
      <w:r w:rsidRPr="00587D9E">
        <w:rPr>
          <w:rFonts w:ascii="Arial" w:hAnsi="Arial" w:cs="Arial"/>
          <w:sz w:val="19"/>
          <w:szCs w:val="19"/>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66DA1DA4" w14:textId="77777777" w:rsidR="0015145A" w:rsidRPr="00587D9E" w:rsidRDefault="0015145A" w:rsidP="00587D9E">
      <w:pPr>
        <w:ind w:firstLine="709"/>
        <w:jc w:val="both"/>
        <w:rPr>
          <w:rFonts w:ascii="Arial" w:hAnsi="Arial" w:cs="Arial"/>
          <w:sz w:val="19"/>
          <w:szCs w:val="19"/>
        </w:rPr>
      </w:pPr>
    </w:p>
  </w:footnote>
  <w:footnote w:id="26">
    <w:p w14:paraId="16442682" w14:textId="31CDC19A" w:rsidR="0015145A" w:rsidRPr="00587D9E" w:rsidRDefault="0015145A" w:rsidP="00587D9E">
      <w:pPr>
        <w:pStyle w:val="Textonotapie"/>
        <w:ind w:firstLine="709"/>
        <w:jc w:val="both"/>
        <w:rPr>
          <w:rFonts w:ascii="Arial" w:eastAsia="Times New Roman" w:hAnsi="Arial" w:cs="Arial"/>
          <w:bCs/>
          <w:sz w:val="19"/>
          <w:szCs w:val="19"/>
          <w:lang w:eastAsia="x-none"/>
        </w:rPr>
      </w:pPr>
      <w:r w:rsidRPr="00587D9E">
        <w:rPr>
          <w:rStyle w:val="Refdenotaalpie"/>
          <w:rFonts w:ascii="Arial" w:hAnsi="Arial" w:cs="Arial"/>
          <w:sz w:val="19"/>
          <w:szCs w:val="19"/>
        </w:rPr>
        <w:footnoteRef/>
      </w:r>
      <w:r w:rsidRPr="00587D9E">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r w:rsidRPr="00587D9E">
        <w:rPr>
          <w:rFonts w:ascii="Arial" w:eastAsia="Times New Roman" w:hAnsi="Arial" w:cs="Arial"/>
          <w:bCs/>
          <w:sz w:val="19"/>
          <w:szCs w:val="19"/>
          <w:lang w:eastAsia="x-none"/>
        </w:rPr>
        <w:t xml:space="preserve"> «</w:t>
      </w:r>
      <w:r w:rsidRPr="00587D9E">
        <w:rPr>
          <w:rFonts w:ascii="Arial" w:hAnsi="Arial" w:cs="Arial"/>
          <w:sz w:val="19"/>
          <w:szCs w:val="19"/>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587D9E">
        <w:rPr>
          <w:rFonts w:ascii="Arial" w:eastAsia="Times New Roman" w:hAnsi="Arial" w:cs="Arial"/>
          <w:bCs/>
          <w:sz w:val="19"/>
          <w:szCs w:val="19"/>
          <w:lang w:eastAsia="x-none"/>
        </w:rPr>
        <w:t>».</w:t>
      </w:r>
    </w:p>
    <w:p w14:paraId="3D88F881" w14:textId="77777777" w:rsidR="0015145A" w:rsidRPr="00587D9E" w:rsidRDefault="0015145A" w:rsidP="00587D9E">
      <w:pPr>
        <w:pStyle w:val="Textonotapie"/>
        <w:ind w:firstLine="709"/>
        <w:jc w:val="both"/>
        <w:rPr>
          <w:rFonts w:ascii="Arial" w:hAnsi="Arial" w:cs="Arial"/>
          <w:sz w:val="19"/>
          <w:szCs w:val="19"/>
        </w:rPr>
      </w:pPr>
    </w:p>
  </w:footnote>
  <w:footnote w:id="27">
    <w:p w14:paraId="4F860F82" w14:textId="77777777" w:rsidR="0015145A" w:rsidRPr="00587D9E" w:rsidRDefault="0015145A" w:rsidP="00587D9E">
      <w:pPr>
        <w:pStyle w:val="Textonotapie"/>
        <w:ind w:firstLine="709"/>
        <w:jc w:val="both"/>
        <w:rPr>
          <w:rFonts w:ascii="Arial" w:hAnsi="Arial" w:cs="Arial"/>
          <w:sz w:val="19"/>
          <w:szCs w:val="19"/>
        </w:rPr>
      </w:pPr>
      <w:r w:rsidRPr="00587D9E">
        <w:rPr>
          <w:rStyle w:val="Refdenotaalpie"/>
          <w:rFonts w:ascii="Arial" w:hAnsi="Arial" w:cs="Arial"/>
          <w:sz w:val="19"/>
          <w:szCs w:val="19"/>
        </w:rPr>
        <w:footnoteRef/>
      </w:r>
      <w:r w:rsidRPr="00587D9E">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p>
    <w:p w14:paraId="650DD69A" w14:textId="77777777" w:rsidR="0015145A" w:rsidRPr="00587D9E" w:rsidRDefault="0015145A" w:rsidP="00587D9E">
      <w:pPr>
        <w:pStyle w:val="Textonotapie"/>
        <w:ind w:firstLine="709"/>
        <w:jc w:val="both"/>
        <w:rPr>
          <w:rFonts w:ascii="Arial" w:hAnsi="Arial" w:cs="Arial"/>
          <w:sz w:val="19"/>
          <w:szCs w:val="19"/>
        </w:rPr>
      </w:pPr>
    </w:p>
  </w:footnote>
  <w:footnote w:id="28">
    <w:p w14:paraId="5EEEACC2" w14:textId="77422870" w:rsidR="0015145A" w:rsidRPr="00587D9E" w:rsidRDefault="0015145A" w:rsidP="00587D9E">
      <w:pPr>
        <w:pStyle w:val="Textonotapie"/>
        <w:ind w:firstLine="709"/>
        <w:jc w:val="both"/>
        <w:rPr>
          <w:rFonts w:ascii="Arial" w:hAnsi="Arial" w:cs="Arial"/>
          <w:sz w:val="19"/>
          <w:szCs w:val="19"/>
        </w:rPr>
      </w:pPr>
      <w:r w:rsidRPr="00587D9E">
        <w:rPr>
          <w:rStyle w:val="Refdenotaalpie"/>
          <w:rFonts w:ascii="Arial" w:hAnsi="Arial" w:cs="Arial"/>
          <w:sz w:val="19"/>
          <w:szCs w:val="19"/>
        </w:rPr>
        <w:footnoteRef/>
      </w:r>
      <w:r w:rsidRPr="00587D9E">
        <w:rPr>
          <w:rFonts w:ascii="Arial" w:hAnsi="Arial" w:cs="Arial"/>
          <w:sz w:val="19"/>
          <w:szCs w:val="19"/>
        </w:rPr>
        <w:t xml:space="preserve"> Consejo de Estado. Sala de Consulta y Servicio Civil, ídem.</w:t>
      </w:r>
    </w:p>
    <w:p w14:paraId="4016584F" w14:textId="77777777" w:rsidR="0015145A" w:rsidRPr="00587D9E" w:rsidRDefault="0015145A" w:rsidP="00587D9E">
      <w:pPr>
        <w:pStyle w:val="Textonotapie"/>
        <w:ind w:firstLine="709"/>
        <w:jc w:val="both"/>
        <w:rPr>
          <w:rFonts w:ascii="Arial" w:hAnsi="Arial" w:cs="Arial"/>
          <w:sz w:val="19"/>
          <w:szCs w:val="19"/>
        </w:rPr>
      </w:pPr>
    </w:p>
  </w:footnote>
  <w:footnote w:id="29">
    <w:p w14:paraId="5DA7E04B" w14:textId="0531E4DF" w:rsidR="0015145A" w:rsidRPr="00587D9E" w:rsidRDefault="0015145A" w:rsidP="00587D9E">
      <w:pPr>
        <w:pStyle w:val="Textonotapie"/>
        <w:ind w:firstLine="709"/>
        <w:jc w:val="both"/>
        <w:rPr>
          <w:rFonts w:ascii="Arial" w:hAnsi="Arial" w:cs="Arial"/>
          <w:sz w:val="19"/>
          <w:szCs w:val="19"/>
        </w:rPr>
      </w:pPr>
      <w:r w:rsidRPr="00587D9E">
        <w:rPr>
          <w:rStyle w:val="Refdenotaalpie"/>
          <w:rFonts w:ascii="Arial" w:hAnsi="Arial" w:cs="Arial"/>
          <w:sz w:val="19"/>
          <w:szCs w:val="19"/>
        </w:rPr>
        <w:footnoteRef/>
      </w:r>
      <w:r w:rsidRPr="00587D9E">
        <w:rPr>
          <w:rFonts w:ascii="Arial" w:hAnsi="Arial" w:cs="Arial"/>
          <w:sz w:val="19"/>
          <w:szCs w:val="19"/>
        </w:rPr>
        <w:t xml:space="preserve"> Consejo de Estado. Sala de Consulta y Servicio Civil. Concepto de 20 de febrero de2006. Radicación 11001-03-06-000-2006-00023-00(1724). Consejero Ponente: Flavio Augusto Rodríguez Arce.</w:t>
      </w:r>
    </w:p>
    <w:p w14:paraId="45973345" w14:textId="77777777" w:rsidR="0015145A" w:rsidRPr="00587D9E" w:rsidRDefault="0015145A" w:rsidP="00587D9E">
      <w:pPr>
        <w:pStyle w:val="Textonotapie"/>
        <w:ind w:firstLine="709"/>
        <w:jc w:val="both"/>
        <w:rPr>
          <w:rFonts w:ascii="Arial" w:hAnsi="Arial" w:cs="Arial"/>
          <w:sz w:val="19"/>
          <w:szCs w:val="19"/>
        </w:rPr>
      </w:pPr>
    </w:p>
  </w:footnote>
  <w:footnote w:id="30">
    <w:p w14:paraId="5496B129" w14:textId="77777777" w:rsidR="0015145A" w:rsidRPr="00587D9E" w:rsidRDefault="0015145A" w:rsidP="00587D9E">
      <w:pPr>
        <w:ind w:firstLine="709"/>
        <w:jc w:val="both"/>
        <w:rPr>
          <w:rFonts w:ascii="Arial" w:hAnsi="Arial" w:cs="Arial"/>
          <w:sz w:val="19"/>
          <w:szCs w:val="19"/>
        </w:rPr>
      </w:pPr>
      <w:r w:rsidRPr="00587D9E">
        <w:rPr>
          <w:rStyle w:val="Refdenotaalpie"/>
          <w:rFonts w:ascii="Arial" w:hAnsi="Arial" w:cs="Arial"/>
          <w:sz w:val="19"/>
          <w:szCs w:val="19"/>
        </w:rPr>
        <w:footnoteRef/>
      </w:r>
      <w:r w:rsidRPr="00587D9E">
        <w:rPr>
          <w:rFonts w:ascii="Arial" w:hAnsi="Arial" w:cs="Arial"/>
          <w:sz w:val="19"/>
          <w:szCs w:val="19"/>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34175C98" w14:textId="77777777" w:rsidR="0015145A" w:rsidRPr="00587D9E" w:rsidRDefault="0015145A" w:rsidP="00587D9E">
      <w:pPr>
        <w:ind w:firstLine="709"/>
        <w:jc w:val="both"/>
        <w:rPr>
          <w:rFonts w:ascii="Arial" w:hAnsi="Arial" w:cs="Arial"/>
          <w:sz w:val="19"/>
          <w:szCs w:val="19"/>
        </w:rPr>
      </w:pPr>
      <w:r w:rsidRPr="00587D9E">
        <w:rPr>
          <w:rFonts w:ascii="Arial" w:hAnsi="Arial" w:cs="Arial"/>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587D9E">
        <w:rPr>
          <w:rFonts w:ascii="Arial" w:hAnsi="Arial" w:cs="Arial"/>
          <w:spacing w:val="-1"/>
          <w:sz w:val="19"/>
          <w:szCs w:val="19"/>
        </w:rPr>
        <w:t xml:space="preserve"> </w:t>
      </w:r>
      <w:r w:rsidRPr="00587D9E">
        <w:rPr>
          <w:rFonts w:ascii="Arial" w:hAnsi="Arial" w:cs="Arial"/>
          <w:sz w:val="19"/>
          <w:szCs w:val="19"/>
        </w:rPr>
        <w:t>Estatales».</w:t>
      </w:r>
    </w:p>
    <w:p w14:paraId="7F47FFDE" w14:textId="77777777" w:rsidR="0015145A" w:rsidRPr="00587D9E" w:rsidRDefault="0015145A" w:rsidP="00587D9E">
      <w:pPr>
        <w:ind w:firstLine="709"/>
        <w:jc w:val="both"/>
        <w:rPr>
          <w:rFonts w:ascii="Arial" w:hAnsi="Arial" w:cs="Arial"/>
          <w:sz w:val="19"/>
          <w:szCs w:val="19"/>
        </w:rPr>
      </w:pPr>
    </w:p>
  </w:footnote>
  <w:footnote w:id="31">
    <w:p w14:paraId="082FE0E3" w14:textId="77777777" w:rsidR="0015145A" w:rsidRPr="00587D9E" w:rsidRDefault="0015145A" w:rsidP="00587D9E">
      <w:pPr>
        <w:ind w:firstLine="709"/>
        <w:jc w:val="both"/>
        <w:rPr>
          <w:rFonts w:ascii="Arial" w:hAnsi="Arial" w:cs="Arial"/>
          <w:sz w:val="19"/>
          <w:szCs w:val="19"/>
        </w:rPr>
      </w:pPr>
      <w:r w:rsidRPr="00587D9E">
        <w:rPr>
          <w:rStyle w:val="Refdenotaalpie"/>
          <w:rFonts w:ascii="Arial" w:hAnsi="Arial" w:cs="Arial"/>
          <w:sz w:val="19"/>
          <w:szCs w:val="19"/>
        </w:rPr>
        <w:footnoteRef/>
      </w:r>
      <w:r w:rsidRPr="00587D9E">
        <w:rPr>
          <w:rFonts w:ascii="Arial" w:hAnsi="Arial" w:cs="Arial"/>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587D9E">
        <w:rPr>
          <w:rFonts w:ascii="Arial" w:hAnsi="Arial" w:cs="Arial"/>
          <w:spacing w:val="-6"/>
          <w:sz w:val="19"/>
          <w:szCs w:val="19"/>
        </w:rPr>
        <w:t xml:space="preserve"> </w:t>
      </w:r>
      <w:r w:rsidRPr="00587D9E">
        <w:rPr>
          <w:rFonts w:ascii="Arial" w:hAnsi="Arial" w:cs="Arial"/>
          <w:sz w:val="19"/>
          <w:szCs w:val="19"/>
        </w:rPr>
        <w:t>artículo».</w:t>
      </w:r>
    </w:p>
    <w:p w14:paraId="2FD3140C" w14:textId="77777777" w:rsidR="0015145A" w:rsidRPr="00587D9E" w:rsidRDefault="0015145A" w:rsidP="00587D9E">
      <w:pPr>
        <w:ind w:firstLine="709"/>
        <w:jc w:val="both"/>
        <w:rPr>
          <w:rFonts w:ascii="Arial" w:hAnsi="Arial" w:cs="Arial"/>
          <w:sz w:val="19"/>
          <w:szCs w:val="19"/>
        </w:rPr>
      </w:pPr>
    </w:p>
  </w:footnote>
  <w:footnote w:id="32">
    <w:p w14:paraId="4FB4D0F2" w14:textId="77777777" w:rsidR="0015145A" w:rsidRPr="00587D9E" w:rsidRDefault="0015145A" w:rsidP="00587D9E">
      <w:pPr>
        <w:ind w:firstLine="709"/>
        <w:jc w:val="both"/>
        <w:rPr>
          <w:rFonts w:ascii="Arial" w:hAnsi="Arial" w:cs="Arial"/>
          <w:sz w:val="19"/>
          <w:szCs w:val="19"/>
        </w:rPr>
      </w:pPr>
      <w:r w:rsidRPr="00587D9E">
        <w:rPr>
          <w:rStyle w:val="Refdenotaalpie"/>
          <w:rFonts w:ascii="Arial" w:hAnsi="Arial" w:cs="Arial"/>
          <w:sz w:val="19"/>
          <w:szCs w:val="19"/>
        </w:rPr>
        <w:footnoteRef/>
      </w:r>
      <w:r w:rsidRPr="00587D9E">
        <w:rPr>
          <w:rFonts w:ascii="Arial" w:hAnsi="Arial" w:cs="Arial"/>
          <w:position w:val="7"/>
          <w:sz w:val="19"/>
          <w:szCs w:val="19"/>
        </w:rPr>
        <w:t xml:space="preserve"> </w:t>
      </w:r>
      <w:r w:rsidRPr="00587D9E">
        <w:rPr>
          <w:rFonts w:ascii="Arial" w:hAnsi="Arial" w:cs="Arial"/>
          <w:sz w:val="19"/>
          <w:szCs w:val="19"/>
        </w:rPr>
        <w:t>Consejo de Estado. Sección Tercera. Sentencia del 23 de junio de 2010. Radicación No. 66001-23-31-000-1998-00261-01(17.860). Consejero Ponente: Mauricio Fajardo Gómez.</w:t>
      </w:r>
    </w:p>
  </w:footnote>
  <w:footnote w:id="33">
    <w:p w14:paraId="66C0C3C8" w14:textId="77777777" w:rsidR="0015145A" w:rsidRPr="00587D9E" w:rsidRDefault="0015145A" w:rsidP="00587D9E">
      <w:pPr>
        <w:ind w:firstLine="709"/>
        <w:jc w:val="both"/>
        <w:rPr>
          <w:rFonts w:ascii="Arial" w:hAnsi="Arial" w:cs="Arial"/>
          <w:sz w:val="19"/>
          <w:szCs w:val="19"/>
        </w:rPr>
      </w:pPr>
      <w:r w:rsidRPr="00587D9E">
        <w:rPr>
          <w:rStyle w:val="Refdenotaalpie"/>
          <w:rFonts w:ascii="Arial" w:hAnsi="Arial" w:cs="Arial"/>
          <w:sz w:val="19"/>
          <w:szCs w:val="19"/>
        </w:rPr>
        <w:footnoteRef/>
      </w:r>
      <w:r w:rsidRPr="00587D9E">
        <w:rPr>
          <w:rFonts w:ascii="Arial" w:hAnsi="Arial" w:cs="Arial"/>
          <w:sz w:val="19"/>
          <w:szCs w:val="19"/>
        </w:rPr>
        <w:t xml:space="preserve"> Consejo de Estado. Sección Tercera. Subsección C. Sentencia del 11 de diciembre de 2019. Exp. 46.986. C.P. Jaime Enrique Rodríguez Navas.</w:t>
      </w:r>
    </w:p>
    <w:p w14:paraId="0C23B0C4" w14:textId="77777777" w:rsidR="0015145A" w:rsidRPr="00587D9E" w:rsidRDefault="0015145A" w:rsidP="00587D9E">
      <w:pPr>
        <w:ind w:firstLine="709"/>
        <w:jc w:val="both"/>
        <w:rPr>
          <w:rFonts w:ascii="Arial" w:hAnsi="Arial" w:cs="Arial"/>
          <w:sz w:val="19"/>
          <w:szCs w:val="19"/>
        </w:rPr>
      </w:pPr>
    </w:p>
  </w:footnote>
  <w:footnote w:id="34">
    <w:p w14:paraId="50411243" w14:textId="77777777" w:rsidR="0015145A" w:rsidRPr="00587D9E" w:rsidRDefault="0015145A" w:rsidP="00587D9E">
      <w:pPr>
        <w:pStyle w:val="Textonotapie"/>
        <w:ind w:firstLine="709"/>
        <w:jc w:val="both"/>
        <w:rPr>
          <w:rFonts w:ascii="Arial" w:hAnsi="Arial" w:cs="Arial"/>
          <w:sz w:val="19"/>
          <w:szCs w:val="19"/>
        </w:rPr>
      </w:pPr>
      <w:r w:rsidRPr="00587D9E">
        <w:rPr>
          <w:rStyle w:val="Refdenotaalpie"/>
          <w:rFonts w:ascii="Arial" w:hAnsi="Arial" w:cs="Arial"/>
          <w:sz w:val="19"/>
          <w:szCs w:val="19"/>
        </w:rPr>
        <w:footnoteRef/>
      </w:r>
      <w:r w:rsidRPr="00587D9E">
        <w:rPr>
          <w:rFonts w:ascii="Arial" w:hAnsi="Arial" w:cs="Arial"/>
          <w:sz w:val="19"/>
          <w:szCs w:val="19"/>
        </w:rPr>
        <w:t xml:space="preserve"> [Referencia propia de la cita] «CE. SCSC. Concepto de 1 de noviembre de 2016 [Rad. 11001-03-06-000-2016-00125-00(2305)]. MP. Germán Alberto Bula Escobar».</w:t>
      </w:r>
    </w:p>
    <w:p w14:paraId="6B6683FB" w14:textId="77777777" w:rsidR="0015145A" w:rsidRPr="00587D9E" w:rsidRDefault="0015145A" w:rsidP="00587D9E">
      <w:pPr>
        <w:pStyle w:val="Textonotapie"/>
        <w:ind w:firstLine="709"/>
        <w:jc w:val="both"/>
        <w:rPr>
          <w:rFonts w:ascii="Arial" w:hAnsi="Arial" w:cs="Arial"/>
          <w:sz w:val="19"/>
          <w:szCs w:val="19"/>
        </w:rPr>
      </w:pPr>
    </w:p>
  </w:footnote>
  <w:footnote w:id="35">
    <w:p w14:paraId="56E226BF" w14:textId="77777777" w:rsidR="0015145A" w:rsidRPr="00587D9E" w:rsidRDefault="0015145A" w:rsidP="00587D9E">
      <w:pPr>
        <w:pStyle w:val="Textonotapie"/>
        <w:ind w:firstLine="709"/>
        <w:jc w:val="both"/>
        <w:rPr>
          <w:rFonts w:ascii="Arial" w:hAnsi="Arial" w:cs="Arial"/>
          <w:sz w:val="19"/>
          <w:szCs w:val="19"/>
        </w:rPr>
      </w:pPr>
      <w:r w:rsidRPr="00587D9E">
        <w:rPr>
          <w:rStyle w:val="Refdenotaalpie"/>
          <w:rFonts w:ascii="Arial" w:hAnsi="Arial" w:cs="Arial"/>
          <w:sz w:val="19"/>
          <w:szCs w:val="19"/>
        </w:rPr>
        <w:footnoteRef/>
      </w:r>
      <w:r w:rsidRPr="00587D9E">
        <w:rPr>
          <w:rFonts w:ascii="Arial" w:hAnsi="Arial" w:cs="Arial"/>
          <w:sz w:val="19"/>
          <w:szCs w:val="19"/>
        </w:rPr>
        <w:t xml:space="preserve"> [Referencia propia de la cita] «CE. SCSC. Concepto de 30 de abril de 2008 [Rad. 11001-03-06-000-2008-00013-00(1881)]. MP. Enrique José Arboleda Perdomo. En esta oportunidad, la Sala indicó que el contenido </w:t>
      </w:r>
      <w:r w:rsidRPr="00587D9E">
        <w:rPr>
          <w:rFonts w:ascii="Arial" w:hAnsi="Arial" w:cs="Arial"/>
          <w:i/>
          <w:sz w:val="19"/>
          <w:szCs w:val="19"/>
        </w:rPr>
        <w:t>“obligacional”</w:t>
      </w:r>
      <w:r w:rsidRPr="00587D9E">
        <w:rPr>
          <w:rFonts w:ascii="Arial" w:hAnsi="Arial" w:cs="Arial"/>
          <w:sz w:val="19"/>
          <w:szCs w:val="19"/>
        </w:rPr>
        <w:t xml:space="preserve"> de los convenios se estructura definiendo el resultado querido por las partes y los medios que cada entidad despliega para la obtención del respectivo objeto».</w:t>
      </w:r>
    </w:p>
  </w:footnote>
  <w:footnote w:id="36">
    <w:p w14:paraId="3CF56340" w14:textId="77777777" w:rsidR="0015145A" w:rsidRPr="00587D9E" w:rsidRDefault="0015145A" w:rsidP="00587D9E">
      <w:pPr>
        <w:pStyle w:val="Textonotapie"/>
        <w:ind w:firstLine="709"/>
        <w:jc w:val="both"/>
        <w:rPr>
          <w:rFonts w:ascii="Arial" w:hAnsi="Arial" w:cs="Arial"/>
          <w:sz w:val="19"/>
          <w:szCs w:val="19"/>
        </w:rPr>
      </w:pPr>
      <w:r w:rsidRPr="00587D9E">
        <w:rPr>
          <w:rStyle w:val="Refdenotaalpie"/>
          <w:rFonts w:ascii="Arial" w:hAnsi="Arial" w:cs="Arial"/>
          <w:sz w:val="19"/>
          <w:szCs w:val="19"/>
        </w:rPr>
        <w:footnoteRef/>
      </w:r>
      <w:r w:rsidRPr="00587D9E">
        <w:rPr>
          <w:rFonts w:ascii="Arial" w:hAnsi="Arial" w:cs="Arial"/>
          <w:sz w:val="19"/>
          <w:szCs w:val="19"/>
        </w:rPr>
        <w:t xml:space="preserve"> [Referencia propia de la cita] «La normativa vigente del EGCAP </w:t>
      </w:r>
      <w:r w:rsidRPr="00587D9E">
        <w:rPr>
          <w:rFonts w:ascii="Arial" w:hAnsi="Arial" w:cs="Arial"/>
          <w:i/>
          <w:sz w:val="19"/>
          <w:szCs w:val="19"/>
        </w:rPr>
        <w:t>[literal c) del numeral 4. del artículo 2 de la Ley 1150/07]</w:t>
      </w:r>
      <w:r w:rsidRPr="00587D9E">
        <w:rPr>
          <w:rFonts w:ascii="Arial" w:hAnsi="Arial" w:cs="Arial"/>
          <w:sz w:val="19"/>
          <w:szCs w:val="19"/>
        </w:rPr>
        <w:t xml:space="preserve"> se refiere a </w:t>
      </w:r>
      <w:r w:rsidRPr="00587D9E">
        <w:rPr>
          <w:rFonts w:ascii="Arial" w:hAnsi="Arial" w:cs="Arial"/>
          <w:i/>
          <w:sz w:val="19"/>
          <w:szCs w:val="19"/>
        </w:rPr>
        <w:t>“contratos interadministrativos”</w:t>
      </w:r>
      <w:r w:rsidRPr="00587D9E">
        <w:rPr>
          <w:rFonts w:ascii="Arial" w:hAnsi="Arial" w:cs="Arial"/>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p w14:paraId="2CED5D60" w14:textId="77777777" w:rsidR="0015145A" w:rsidRPr="00587D9E" w:rsidRDefault="0015145A" w:rsidP="00587D9E">
      <w:pPr>
        <w:pStyle w:val="Textonotapie"/>
        <w:ind w:firstLine="709"/>
        <w:jc w:val="both"/>
        <w:rPr>
          <w:rFonts w:ascii="Arial" w:hAnsi="Arial" w:cs="Arial"/>
          <w:sz w:val="19"/>
          <w:szCs w:val="19"/>
        </w:rPr>
      </w:pPr>
    </w:p>
  </w:footnote>
  <w:footnote w:id="37">
    <w:p w14:paraId="2923FE86" w14:textId="77777777" w:rsidR="0015145A" w:rsidRPr="00587D9E" w:rsidRDefault="0015145A" w:rsidP="00587D9E">
      <w:pPr>
        <w:pStyle w:val="Textonotapie"/>
        <w:ind w:firstLine="709"/>
        <w:jc w:val="both"/>
        <w:rPr>
          <w:rFonts w:ascii="Arial" w:hAnsi="Arial" w:cs="Arial"/>
          <w:sz w:val="19"/>
          <w:szCs w:val="19"/>
        </w:rPr>
      </w:pPr>
      <w:r w:rsidRPr="00587D9E">
        <w:rPr>
          <w:rStyle w:val="Refdenotaalpie"/>
          <w:rFonts w:ascii="Arial" w:hAnsi="Arial" w:cs="Arial"/>
          <w:sz w:val="19"/>
          <w:szCs w:val="19"/>
        </w:rPr>
        <w:footnoteRef/>
      </w:r>
      <w:r w:rsidRPr="00587D9E">
        <w:rPr>
          <w:rFonts w:ascii="Arial" w:hAnsi="Arial" w:cs="Arial"/>
          <w:sz w:val="19"/>
          <w:szCs w:val="19"/>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p>
    <w:p w14:paraId="64E81B91" w14:textId="77777777" w:rsidR="0015145A" w:rsidRPr="00587D9E" w:rsidRDefault="0015145A" w:rsidP="00587D9E">
      <w:pPr>
        <w:pStyle w:val="Textonotapie"/>
        <w:ind w:firstLine="709"/>
        <w:jc w:val="both"/>
        <w:rPr>
          <w:rFonts w:ascii="Arial" w:hAnsi="Arial" w:cs="Arial"/>
          <w:sz w:val="19"/>
          <w:szCs w:val="19"/>
        </w:rPr>
      </w:pPr>
    </w:p>
  </w:footnote>
  <w:footnote w:id="38">
    <w:p w14:paraId="37766F0E" w14:textId="77777777" w:rsidR="0015145A" w:rsidRPr="00587D9E" w:rsidRDefault="0015145A" w:rsidP="00587D9E">
      <w:pPr>
        <w:pStyle w:val="Textonotapie"/>
        <w:ind w:firstLine="709"/>
        <w:jc w:val="both"/>
        <w:rPr>
          <w:rFonts w:ascii="Arial" w:hAnsi="Arial" w:cs="Arial"/>
          <w:sz w:val="19"/>
          <w:szCs w:val="19"/>
        </w:rPr>
      </w:pPr>
      <w:r w:rsidRPr="00587D9E">
        <w:rPr>
          <w:rStyle w:val="Refdenotaalpie"/>
          <w:rFonts w:ascii="Arial" w:hAnsi="Arial" w:cs="Arial"/>
          <w:sz w:val="19"/>
          <w:szCs w:val="19"/>
        </w:rPr>
        <w:footnoteRef/>
      </w:r>
      <w:r w:rsidRPr="00587D9E">
        <w:rPr>
          <w:rFonts w:ascii="Arial" w:hAnsi="Arial" w:cs="Arial"/>
          <w:sz w:val="19"/>
          <w:szCs w:val="19"/>
        </w:rPr>
        <w:t xml:space="preserve"> Es lo que sucede, por ejemplo, con el Decreto 092 de 2017, que en su desarrollo hace referencia tanto a los «contratos» como a los «convenios». </w:t>
      </w:r>
    </w:p>
    <w:p w14:paraId="558F3CB5" w14:textId="77777777" w:rsidR="0015145A" w:rsidRPr="00587D9E" w:rsidRDefault="0015145A" w:rsidP="00587D9E">
      <w:pPr>
        <w:pStyle w:val="Textonotapie"/>
        <w:ind w:firstLine="709"/>
        <w:jc w:val="both"/>
        <w:rPr>
          <w:rFonts w:ascii="Arial" w:hAnsi="Arial" w:cs="Arial"/>
          <w:sz w:val="19"/>
          <w:szCs w:val="19"/>
          <w:lang w:val="es-CO"/>
        </w:rPr>
      </w:pPr>
    </w:p>
  </w:footnote>
  <w:footnote w:id="39">
    <w:p w14:paraId="7318D6AC" w14:textId="77777777" w:rsidR="0015145A" w:rsidRPr="00587D9E" w:rsidRDefault="0015145A" w:rsidP="00587D9E">
      <w:pPr>
        <w:pStyle w:val="Textonotapie"/>
        <w:ind w:firstLine="709"/>
        <w:jc w:val="both"/>
        <w:rPr>
          <w:rFonts w:ascii="Arial" w:hAnsi="Arial" w:cs="Arial"/>
          <w:sz w:val="19"/>
          <w:szCs w:val="19"/>
          <w:lang w:val="es-CO"/>
        </w:rPr>
      </w:pPr>
      <w:r w:rsidRPr="00587D9E">
        <w:rPr>
          <w:rStyle w:val="Refdenotaalpie"/>
          <w:rFonts w:ascii="Arial" w:hAnsi="Arial" w:cs="Arial"/>
          <w:sz w:val="19"/>
          <w:szCs w:val="19"/>
        </w:rPr>
        <w:footnoteRef/>
      </w:r>
      <w:r w:rsidRPr="00587D9E">
        <w:rPr>
          <w:rFonts w:ascii="Arial" w:hAnsi="Arial" w:cs="Arial"/>
          <w:sz w:val="19"/>
          <w:szCs w:val="19"/>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40">
    <w:p w14:paraId="1AF08C68" w14:textId="77777777" w:rsidR="0015145A" w:rsidRPr="00587D9E" w:rsidRDefault="0015145A" w:rsidP="00587D9E">
      <w:pPr>
        <w:pStyle w:val="Textonotapie"/>
        <w:ind w:firstLine="709"/>
        <w:jc w:val="both"/>
        <w:rPr>
          <w:rFonts w:ascii="Arial" w:hAnsi="Arial" w:cs="Arial"/>
          <w:sz w:val="19"/>
          <w:szCs w:val="19"/>
        </w:rPr>
      </w:pPr>
      <w:r w:rsidRPr="00587D9E">
        <w:rPr>
          <w:rStyle w:val="Refdenotaalpie"/>
          <w:rFonts w:ascii="Arial" w:hAnsi="Arial" w:cs="Arial"/>
          <w:sz w:val="19"/>
          <w:szCs w:val="19"/>
        </w:rPr>
        <w:footnoteRef/>
      </w:r>
      <w:r w:rsidRPr="00587D9E">
        <w:rPr>
          <w:rFonts w:ascii="Arial" w:hAnsi="Arial" w:cs="Arial"/>
          <w:sz w:val="19"/>
          <w:szCs w:val="19"/>
        </w:rPr>
        <w:t xml:space="preserve"> Lo anterior, salvo que se traten de organismos internacionales que se rijan por normas internacionales y se financien con cargo a recursos de esos organismos (Cfr. Colombia Compra Eficiente. Concepto C-559 del 31 de agosto de 2021). </w:t>
      </w:r>
    </w:p>
  </w:footnote>
  <w:footnote w:id="41">
    <w:p w14:paraId="466A98C3" w14:textId="77777777" w:rsidR="0015145A" w:rsidRPr="00587D9E" w:rsidRDefault="0015145A" w:rsidP="00587D9E">
      <w:pPr>
        <w:pStyle w:val="Textonotapie"/>
        <w:ind w:firstLine="709"/>
        <w:jc w:val="both"/>
        <w:rPr>
          <w:rFonts w:ascii="Arial" w:hAnsi="Arial" w:cs="Arial"/>
          <w:sz w:val="19"/>
          <w:szCs w:val="19"/>
        </w:rPr>
      </w:pPr>
    </w:p>
    <w:p w14:paraId="77E04829" w14:textId="77777777" w:rsidR="009073A8" w:rsidRPr="00321041" w:rsidRDefault="0015145A" w:rsidP="009073A8">
      <w:pPr>
        <w:pStyle w:val="Textonotapie"/>
        <w:ind w:firstLine="709"/>
        <w:jc w:val="both"/>
        <w:rPr>
          <w:rFonts w:ascii="Arial" w:hAnsi="Arial" w:cs="Arial"/>
          <w:color w:val="000000" w:themeColor="text1"/>
          <w:sz w:val="19"/>
          <w:szCs w:val="19"/>
        </w:rPr>
      </w:pPr>
      <w:r w:rsidRPr="00587D9E">
        <w:rPr>
          <w:rStyle w:val="Refdenotaalpie"/>
          <w:rFonts w:ascii="Arial" w:hAnsi="Arial" w:cs="Arial"/>
          <w:sz w:val="19"/>
          <w:szCs w:val="19"/>
        </w:rPr>
        <w:footnoteRef/>
      </w:r>
      <w:r w:rsidRPr="00587D9E">
        <w:rPr>
          <w:rFonts w:ascii="Arial" w:hAnsi="Arial" w:cs="Arial"/>
          <w:sz w:val="19"/>
          <w:szCs w:val="19"/>
        </w:rPr>
        <w:t xml:space="preserve"> Consejo de Estado. Sala de Consulta y Servicio Civil. Concepto del 15 de noviembre de 2007. Expediente número 1863. Consejero Ponente: Luis Fernando Álvarez Jaramillo.</w:t>
      </w:r>
      <w:r w:rsidR="009073A8">
        <w:rPr>
          <w:rFonts w:ascii="Arial" w:hAnsi="Arial" w:cs="Arial"/>
          <w:sz w:val="19"/>
          <w:szCs w:val="19"/>
        </w:rPr>
        <w:t xml:space="preserve"> </w:t>
      </w:r>
      <w:r w:rsidR="009073A8">
        <w:rPr>
          <w:rFonts w:ascii="Arial" w:hAnsi="Arial" w:cs="Arial"/>
          <w:color w:val="000000" w:themeColor="text1"/>
          <w:sz w:val="19"/>
          <w:szCs w:val="19"/>
        </w:rPr>
        <w:t xml:space="preserve">Igualmente, Cfr. </w:t>
      </w:r>
      <w:r w:rsidR="009073A8" w:rsidRPr="00B16CE9">
        <w:rPr>
          <w:rFonts w:ascii="Arial" w:hAnsi="Arial" w:cs="Arial"/>
          <w:sz w:val="19"/>
          <w:szCs w:val="19"/>
        </w:rPr>
        <w:t>Agencia Nacional de Contratación Pública – Colombia Compra Eficiente. Circular Externa Única. Numeral 15.</w:t>
      </w:r>
      <w:r w:rsidR="009073A8">
        <w:rPr>
          <w:rFonts w:ascii="Arial" w:hAnsi="Arial" w:cs="Arial"/>
          <w:sz w:val="19"/>
          <w:szCs w:val="19"/>
        </w:rPr>
        <w:t>3</w:t>
      </w:r>
      <w:r w:rsidR="009073A8" w:rsidRPr="00B16CE9">
        <w:rPr>
          <w:rFonts w:ascii="Arial" w:hAnsi="Arial" w:cs="Arial"/>
          <w:sz w:val="19"/>
          <w:szCs w:val="19"/>
        </w:rPr>
        <w:t>.</w:t>
      </w:r>
    </w:p>
    <w:p w14:paraId="19473871" w14:textId="723D5317" w:rsidR="0015145A" w:rsidRPr="00587D9E" w:rsidRDefault="0015145A" w:rsidP="00587D9E">
      <w:pPr>
        <w:pStyle w:val="Textonotapie"/>
        <w:ind w:firstLine="709"/>
        <w:jc w:val="both"/>
        <w:rPr>
          <w:rFonts w:ascii="Arial" w:hAnsi="Arial" w:cs="Arial"/>
          <w:sz w:val="19"/>
          <w:szCs w:val="19"/>
        </w:rPr>
      </w:pPr>
    </w:p>
    <w:p w14:paraId="5C4D058A" w14:textId="77777777" w:rsidR="0015145A" w:rsidRPr="00587D9E" w:rsidRDefault="0015145A" w:rsidP="00587D9E">
      <w:pPr>
        <w:pStyle w:val="Textonotapie"/>
        <w:ind w:firstLine="709"/>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15145A" w:rsidRDefault="0015145A">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66E7880"/>
    <w:multiLevelType w:val="multilevel"/>
    <w:tmpl w:val="6100D58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6"/>
  </w:num>
  <w:num w:numId="5">
    <w:abstractNumId w:val="2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13"/>
  </w:num>
  <w:num w:numId="19">
    <w:abstractNumId w:val="2"/>
  </w:num>
  <w:num w:numId="20">
    <w:abstractNumId w:val="23"/>
  </w:num>
  <w:num w:numId="21">
    <w:abstractNumId w:val="14"/>
  </w:num>
  <w:num w:numId="22">
    <w:abstractNumId w:val="5"/>
  </w:num>
  <w:num w:numId="23">
    <w:abstractNumId w:val="4"/>
  </w:num>
  <w:num w:numId="24">
    <w:abstractNumId w:val="21"/>
  </w:num>
  <w:num w:numId="25">
    <w:abstractNumId w:val="17"/>
  </w:num>
  <w:num w:numId="26">
    <w:abstractNumId w:val="24"/>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EED"/>
    <w:rsid w:val="00001FFD"/>
    <w:rsid w:val="00002027"/>
    <w:rsid w:val="000020FE"/>
    <w:rsid w:val="00002173"/>
    <w:rsid w:val="00002916"/>
    <w:rsid w:val="000031A3"/>
    <w:rsid w:val="000031A8"/>
    <w:rsid w:val="00003C5C"/>
    <w:rsid w:val="000040D7"/>
    <w:rsid w:val="00004556"/>
    <w:rsid w:val="000051AF"/>
    <w:rsid w:val="0000572B"/>
    <w:rsid w:val="000059D3"/>
    <w:rsid w:val="00005B6D"/>
    <w:rsid w:val="0000600A"/>
    <w:rsid w:val="00006081"/>
    <w:rsid w:val="00007750"/>
    <w:rsid w:val="000077FD"/>
    <w:rsid w:val="00007E37"/>
    <w:rsid w:val="00010C40"/>
    <w:rsid w:val="00010C50"/>
    <w:rsid w:val="00010CE6"/>
    <w:rsid w:val="000112B4"/>
    <w:rsid w:val="00011DCC"/>
    <w:rsid w:val="000120B3"/>
    <w:rsid w:val="00012532"/>
    <w:rsid w:val="00012B9E"/>
    <w:rsid w:val="00012FBA"/>
    <w:rsid w:val="00013C6B"/>
    <w:rsid w:val="0001406B"/>
    <w:rsid w:val="000143F8"/>
    <w:rsid w:val="00014624"/>
    <w:rsid w:val="00015B44"/>
    <w:rsid w:val="00016081"/>
    <w:rsid w:val="000165AC"/>
    <w:rsid w:val="00016651"/>
    <w:rsid w:val="00016739"/>
    <w:rsid w:val="000168A1"/>
    <w:rsid w:val="000171A2"/>
    <w:rsid w:val="00017B65"/>
    <w:rsid w:val="00020158"/>
    <w:rsid w:val="000207E0"/>
    <w:rsid w:val="000209E2"/>
    <w:rsid w:val="00020F8F"/>
    <w:rsid w:val="00021464"/>
    <w:rsid w:val="000215A6"/>
    <w:rsid w:val="00021A95"/>
    <w:rsid w:val="00022223"/>
    <w:rsid w:val="0002256F"/>
    <w:rsid w:val="00023DAE"/>
    <w:rsid w:val="0002427B"/>
    <w:rsid w:val="0002465F"/>
    <w:rsid w:val="00024896"/>
    <w:rsid w:val="00025600"/>
    <w:rsid w:val="00025D0A"/>
    <w:rsid w:val="00025E0C"/>
    <w:rsid w:val="000263A5"/>
    <w:rsid w:val="000263F0"/>
    <w:rsid w:val="00026407"/>
    <w:rsid w:val="00026608"/>
    <w:rsid w:val="00027787"/>
    <w:rsid w:val="000278D2"/>
    <w:rsid w:val="00030FF6"/>
    <w:rsid w:val="00031158"/>
    <w:rsid w:val="00031364"/>
    <w:rsid w:val="000315E1"/>
    <w:rsid w:val="000319F3"/>
    <w:rsid w:val="0003236E"/>
    <w:rsid w:val="0003339A"/>
    <w:rsid w:val="0003370C"/>
    <w:rsid w:val="00033D07"/>
    <w:rsid w:val="000341F2"/>
    <w:rsid w:val="00035046"/>
    <w:rsid w:val="000351F2"/>
    <w:rsid w:val="00036D53"/>
    <w:rsid w:val="00036E03"/>
    <w:rsid w:val="00037553"/>
    <w:rsid w:val="000406DB"/>
    <w:rsid w:val="0004094D"/>
    <w:rsid w:val="00041029"/>
    <w:rsid w:val="0004149B"/>
    <w:rsid w:val="0004223E"/>
    <w:rsid w:val="0004234D"/>
    <w:rsid w:val="00042961"/>
    <w:rsid w:val="00042C25"/>
    <w:rsid w:val="00042D03"/>
    <w:rsid w:val="00042F9C"/>
    <w:rsid w:val="00043086"/>
    <w:rsid w:val="000430A0"/>
    <w:rsid w:val="00043D3B"/>
    <w:rsid w:val="0004418C"/>
    <w:rsid w:val="00044204"/>
    <w:rsid w:val="000449D4"/>
    <w:rsid w:val="000463B5"/>
    <w:rsid w:val="00046717"/>
    <w:rsid w:val="00046A63"/>
    <w:rsid w:val="00046C09"/>
    <w:rsid w:val="0004716A"/>
    <w:rsid w:val="00047385"/>
    <w:rsid w:val="000473E8"/>
    <w:rsid w:val="000475A4"/>
    <w:rsid w:val="000504DE"/>
    <w:rsid w:val="00051074"/>
    <w:rsid w:val="00051A08"/>
    <w:rsid w:val="000526F0"/>
    <w:rsid w:val="0005273D"/>
    <w:rsid w:val="00052B79"/>
    <w:rsid w:val="00052EA0"/>
    <w:rsid w:val="000536A7"/>
    <w:rsid w:val="000536E3"/>
    <w:rsid w:val="00053896"/>
    <w:rsid w:val="00053958"/>
    <w:rsid w:val="0005474D"/>
    <w:rsid w:val="00055CB9"/>
    <w:rsid w:val="00056F66"/>
    <w:rsid w:val="0005702F"/>
    <w:rsid w:val="00061010"/>
    <w:rsid w:val="0006120E"/>
    <w:rsid w:val="00061D06"/>
    <w:rsid w:val="00062407"/>
    <w:rsid w:val="00062CDD"/>
    <w:rsid w:val="00063425"/>
    <w:rsid w:val="000635D9"/>
    <w:rsid w:val="00063C5F"/>
    <w:rsid w:val="000640AF"/>
    <w:rsid w:val="00064940"/>
    <w:rsid w:val="00064CAE"/>
    <w:rsid w:val="00064DB7"/>
    <w:rsid w:val="00064FA7"/>
    <w:rsid w:val="00065195"/>
    <w:rsid w:val="0006536C"/>
    <w:rsid w:val="00066813"/>
    <w:rsid w:val="00066D62"/>
    <w:rsid w:val="00067A2D"/>
    <w:rsid w:val="00070325"/>
    <w:rsid w:val="00070AF1"/>
    <w:rsid w:val="000714DE"/>
    <w:rsid w:val="0007254F"/>
    <w:rsid w:val="00072CEB"/>
    <w:rsid w:val="00073C30"/>
    <w:rsid w:val="00073F80"/>
    <w:rsid w:val="00074305"/>
    <w:rsid w:val="000744D0"/>
    <w:rsid w:val="00074B2A"/>
    <w:rsid w:val="00074EEE"/>
    <w:rsid w:val="000753D5"/>
    <w:rsid w:val="00075B3E"/>
    <w:rsid w:val="00076456"/>
    <w:rsid w:val="0007779B"/>
    <w:rsid w:val="000777E7"/>
    <w:rsid w:val="0007790A"/>
    <w:rsid w:val="0008017B"/>
    <w:rsid w:val="000808C5"/>
    <w:rsid w:val="00080ACD"/>
    <w:rsid w:val="000811ED"/>
    <w:rsid w:val="00081D62"/>
    <w:rsid w:val="00082B74"/>
    <w:rsid w:val="00083099"/>
    <w:rsid w:val="00083452"/>
    <w:rsid w:val="00083EDC"/>
    <w:rsid w:val="000842B0"/>
    <w:rsid w:val="000842BE"/>
    <w:rsid w:val="000844E7"/>
    <w:rsid w:val="00084B97"/>
    <w:rsid w:val="0008510E"/>
    <w:rsid w:val="000856DE"/>
    <w:rsid w:val="00085F17"/>
    <w:rsid w:val="00085FB0"/>
    <w:rsid w:val="00085FB3"/>
    <w:rsid w:val="0008686B"/>
    <w:rsid w:val="00086B2A"/>
    <w:rsid w:val="00086ED2"/>
    <w:rsid w:val="00087D59"/>
    <w:rsid w:val="000914D6"/>
    <w:rsid w:val="00091569"/>
    <w:rsid w:val="0009217E"/>
    <w:rsid w:val="00092A2C"/>
    <w:rsid w:val="00092CDB"/>
    <w:rsid w:val="00092DCA"/>
    <w:rsid w:val="00093630"/>
    <w:rsid w:val="00093B65"/>
    <w:rsid w:val="00094121"/>
    <w:rsid w:val="000942EB"/>
    <w:rsid w:val="00095813"/>
    <w:rsid w:val="00095B70"/>
    <w:rsid w:val="0009617E"/>
    <w:rsid w:val="0009628D"/>
    <w:rsid w:val="0009670F"/>
    <w:rsid w:val="00097342"/>
    <w:rsid w:val="000979CF"/>
    <w:rsid w:val="00097A6E"/>
    <w:rsid w:val="000A03C8"/>
    <w:rsid w:val="000A05F2"/>
    <w:rsid w:val="000A06C4"/>
    <w:rsid w:val="000A0861"/>
    <w:rsid w:val="000A0DF7"/>
    <w:rsid w:val="000A0ED1"/>
    <w:rsid w:val="000A1179"/>
    <w:rsid w:val="000A12DB"/>
    <w:rsid w:val="000A17C8"/>
    <w:rsid w:val="000A1B74"/>
    <w:rsid w:val="000A20D7"/>
    <w:rsid w:val="000A2128"/>
    <w:rsid w:val="000A236C"/>
    <w:rsid w:val="000A2C39"/>
    <w:rsid w:val="000A362F"/>
    <w:rsid w:val="000A3B49"/>
    <w:rsid w:val="000A47E6"/>
    <w:rsid w:val="000A51E3"/>
    <w:rsid w:val="000A52C0"/>
    <w:rsid w:val="000A5AAF"/>
    <w:rsid w:val="000A5F97"/>
    <w:rsid w:val="000A648E"/>
    <w:rsid w:val="000A73BB"/>
    <w:rsid w:val="000A7EF4"/>
    <w:rsid w:val="000B07A7"/>
    <w:rsid w:val="000B0A15"/>
    <w:rsid w:val="000B103F"/>
    <w:rsid w:val="000B1437"/>
    <w:rsid w:val="000B1470"/>
    <w:rsid w:val="000B244D"/>
    <w:rsid w:val="000B2B86"/>
    <w:rsid w:val="000B3051"/>
    <w:rsid w:val="000B419B"/>
    <w:rsid w:val="000B4D46"/>
    <w:rsid w:val="000B5781"/>
    <w:rsid w:val="000B5CB1"/>
    <w:rsid w:val="000B633F"/>
    <w:rsid w:val="000B6D08"/>
    <w:rsid w:val="000C0185"/>
    <w:rsid w:val="000C01D5"/>
    <w:rsid w:val="000C063D"/>
    <w:rsid w:val="000C0F81"/>
    <w:rsid w:val="000C128D"/>
    <w:rsid w:val="000C179F"/>
    <w:rsid w:val="000C17A3"/>
    <w:rsid w:val="000C1D4B"/>
    <w:rsid w:val="000C2DC4"/>
    <w:rsid w:val="000C3260"/>
    <w:rsid w:val="000C3B77"/>
    <w:rsid w:val="000C3F6D"/>
    <w:rsid w:val="000C4F49"/>
    <w:rsid w:val="000C5828"/>
    <w:rsid w:val="000C5861"/>
    <w:rsid w:val="000C5BDE"/>
    <w:rsid w:val="000C639D"/>
    <w:rsid w:val="000C6946"/>
    <w:rsid w:val="000C6B4C"/>
    <w:rsid w:val="000C6C31"/>
    <w:rsid w:val="000C6DBC"/>
    <w:rsid w:val="000C6F79"/>
    <w:rsid w:val="000C7476"/>
    <w:rsid w:val="000C7711"/>
    <w:rsid w:val="000C7AA2"/>
    <w:rsid w:val="000D02BB"/>
    <w:rsid w:val="000D0462"/>
    <w:rsid w:val="000D053D"/>
    <w:rsid w:val="000D0ED2"/>
    <w:rsid w:val="000D127B"/>
    <w:rsid w:val="000D1CEB"/>
    <w:rsid w:val="000D2563"/>
    <w:rsid w:val="000D25BF"/>
    <w:rsid w:val="000D3282"/>
    <w:rsid w:val="000D3FDC"/>
    <w:rsid w:val="000D490B"/>
    <w:rsid w:val="000D4E38"/>
    <w:rsid w:val="000D50DB"/>
    <w:rsid w:val="000D53F2"/>
    <w:rsid w:val="000D6288"/>
    <w:rsid w:val="000D7541"/>
    <w:rsid w:val="000D75E1"/>
    <w:rsid w:val="000D79F4"/>
    <w:rsid w:val="000E0259"/>
    <w:rsid w:val="000E047D"/>
    <w:rsid w:val="000E0A36"/>
    <w:rsid w:val="000E22CF"/>
    <w:rsid w:val="000E27B9"/>
    <w:rsid w:val="000E2977"/>
    <w:rsid w:val="000E2CC0"/>
    <w:rsid w:val="000E30AC"/>
    <w:rsid w:val="000E36C2"/>
    <w:rsid w:val="000E39A2"/>
    <w:rsid w:val="000E39E8"/>
    <w:rsid w:val="000E3B46"/>
    <w:rsid w:val="000E3E11"/>
    <w:rsid w:val="000E4596"/>
    <w:rsid w:val="000E5768"/>
    <w:rsid w:val="000E5843"/>
    <w:rsid w:val="000E6139"/>
    <w:rsid w:val="000E6BE1"/>
    <w:rsid w:val="000E7E0B"/>
    <w:rsid w:val="000E7E48"/>
    <w:rsid w:val="000F0136"/>
    <w:rsid w:val="000F0772"/>
    <w:rsid w:val="000F078A"/>
    <w:rsid w:val="000F122D"/>
    <w:rsid w:val="000F1450"/>
    <w:rsid w:val="000F14E8"/>
    <w:rsid w:val="000F1BBD"/>
    <w:rsid w:val="000F290F"/>
    <w:rsid w:val="000F3061"/>
    <w:rsid w:val="000F4403"/>
    <w:rsid w:val="000F459A"/>
    <w:rsid w:val="000F4702"/>
    <w:rsid w:val="000F480B"/>
    <w:rsid w:val="000F4DFC"/>
    <w:rsid w:val="000F4E17"/>
    <w:rsid w:val="000F6578"/>
    <w:rsid w:val="000F7E8F"/>
    <w:rsid w:val="000F7FBB"/>
    <w:rsid w:val="001000FB"/>
    <w:rsid w:val="00100314"/>
    <w:rsid w:val="00100A9E"/>
    <w:rsid w:val="00100F6A"/>
    <w:rsid w:val="00101850"/>
    <w:rsid w:val="00102605"/>
    <w:rsid w:val="00102686"/>
    <w:rsid w:val="00102745"/>
    <w:rsid w:val="00103795"/>
    <w:rsid w:val="00103915"/>
    <w:rsid w:val="00103EA0"/>
    <w:rsid w:val="00104F1C"/>
    <w:rsid w:val="001051E5"/>
    <w:rsid w:val="00105A74"/>
    <w:rsid w:val="00105ACB"/>
    <w:rsid w:val="00105AEF"/>
    <w:rsid w:val="00106259"/>
    <w:rsid w:val="00106858"/>
    <w:rsid w:val="001068EB"/>
    <w:rsid w:val="0010741E"/>
    <w:rsid w:val="001078CE"/>
    <w:rsid w:val="0011044C"/>
    <w:rsid w:val="00110F61"/>
    <w:rsid w:val="001111BD"/>
    <w:rsid w:val="00111325"/>
    <w:rsid w:val="0011165A"/>
    <w:rsid w:val="001116C6"/>
    <w:rsid w:val="00111B2B"/>
    <w:rsid w:val="00112774"/>
    <w:rsid w:val="00112B2E"/>
    <w:rsid w:val="00113003"/>
    <w:rsid w:val="00113062"/>
    <w:rsid w:val="00113705"/>
    <w:rsid w:val="00113975"/>
    <w:rsid w:val="00113CFC"/>
    <w:rsid w:val="00113FEA"/>
    <w:rsid w:val="00114A22"/>
    <w:rsid w:val="00114E9D"/>
    <w:rsid w:val="00114ED2"/>
    <w:rsid w:val="0011507B"/>
    <w:rsid w:val="0011627A"/>
    <w:rsid w:val="001162D6"/>
    <w:rsid w:val="00116328"/>
    <w:rsid w:val="00116334"/>
    <w:rsid w:val="001163CF"/>
    <w:rsid w:val="001174C9"/>
    <w:rsid w:val="0011764D"/>
    <w:rsid w:val="001176F2"/>
    <w:rsid w:val="00117716"/>
    <w:rsid w:val="00117AB4"/>
    <w:rsid w:val="00117E69"/>
    <w:rsid w:val="001204D2"/>
    <w:rsid w:val="00121103"/>
    <w:rsid w:val="0012180F"/>
    <w:rsid w:val="00121BAB"/>
    <w:rsid w:val="00121E3C"/>
    <w:rsid w:val="00122B23"/>
    <w:rsid w:val="00122B7E"/>
    <w:rsid w:val="0012340B"/>
    <w:rsid w:val="00123FB5"/>
    <w:rsid w:val="0012400F"/>
    <w:rsid w:val="001249DC"/>
    <w:rsid w:val="001251F7"/>
    <w:rsid w:val="0012572D"/>
    <w:rsid w:val="00125BED"/>
    <w:rsid w:val="00125C59"/>
    <w:rsid w:val="00125D4F"/>
    <w:rsid w:val="00125DDE"/>
    <w:rsid w:val="00126812"/>
    <w:rsid w:val="00127004"/>
    <w:rsid w:val="00127AF2"/>
    <w:rsid w:val="00127EDC"/>
    <w:rsid w:val="00127F6D"/>
    <w:rsid w:val="00130355"/>
    <w:rsid w:val="00130365"/>
    <w:rsid w:val="00130A28"/>
    <w:rsid w:val="00131B5A"/>
    <w:rsid w:val="00132809"/>
    <w:rsid w:val="001329AC"/>
    <w:rsid w:val="00132B94"/>
    <w:rsid w:val="00132C30"/>
    <w:rsid w:val="00132EFD"/>
    <w:rsid w:val="00133AED"/>
    <w:rsid w:val="0013454B"/>
    <w:rsid w:val="001345B0"/>
    <w:rsid w:val="00134E09"/>
    <w:rsid w:val="00135DB9"/>
    <w:rsid w:val="0013695C"/>
    <w:rsid w:val="00136BF7"/>
    <w:rsid w:val="001372E4"/>
    <w:rsid w:val="001378B9"/>
    <w:rsid w:val="00137FFA"/>
    <w:rsid w:val="00140109"/>
    <w:rsid w:val="0014029B"/>
    <w:rsid w:val="00140464"/>
    <w:rsid w:val="00140A4F"/>
    <w:rsid w:val="001413AB"/>
    <w:rsid w:val="00141DBF"/>
    <w:rsid w:val="001429DA"/>
    <w:rsid w:val="00142E3A"/>
    <w:rsid w:val="00142EFD"/>
    <w:rsid w:val="00142F55"/>
    <w:rsid w:val="00144335"/>
    <w:rsid w:val="0014502F"/>
    <w:rsid w:val="00145282"/>
    <w:rsid w:val="001453B0"/>
    <w:rsid w:val="001454D9"/>
    <w:rsid w:val="00145D8E"/>
    <w:rsid w:val="00146083"/>
    <w:rsid w:val="001462F7"/>
    <w:rsid w:val="001467CA"/>
    <w:rsid w:val="00147F35"/>
    <w:rsid w:val="00150005"/>
    <w:rsid w:val="00150BE7"/>
    <w:rsid w:val="0015145A"/>
    <w:rsid w:val="001518D7"/>
    <w:rsid w:val="00151AEB"/>
    <w:rsid w:val="00151B99"/>
    <w:rsid w:val="001521B2"/>
    <w:rsid w:val="0015237F"/>
    <w:rsid w:val="00152EDD"/>
    <w:rsid w:val="00153491"/>
    <w:rsid w:val="0015361C"/>
    <w:rsid w:val="0015372F"/>
    <w:rsid w:val="00153BFB"/>
    <w:rsid w:val="0015407E"/>
    <w:rsid w:val="0015448E"/>
    <w:rsid w:val="00154A6F"/>
    <w:rsid w:val="001552BD"/>
    <w:rsid w:val="00155D08"/>
    <w:rsid w:val="001560D3"/>
    <w:rsid w:val="00156BE5"/>
    <w:rsid w:val="00157232"/>
    <w:rsid w:val="00157A58"/>
    <w:rsid w:val="001602B9"/>
    <w:rsid w:val="00160401"/>
    <w:rsid w:val="00160D4E"/>
    <w:rsid w:val="00160DF9"/>
    <w:rsid w:val="00161DDA"/>
    <w:rsid w:val="00161E62"/>
    <w:rsid w:val="00161F1C"/>
    <w:rsid w:val="0016200B"/>
    <w:rsid w:val="00162013"/>
    <w:rsid w:val="001625C8"/>
    <w:rsid w:val="00163102"/>
    <w:rsid w:val="00163D7A"/>
    <w:rsid w:val="00164281"/>
    <w:rsid w:val="00164ACE"/>
    <w:rsid w:val="001652F2"/>
    <w:rsid w:val="00165703"/>
    <w:rsid w:val="001662D8"/>
    <w:rsid w:val="0016685F"/>
    <w:rsid w:val="0016712F"/>
    <w:rsid w:val="00167503"/>
    <w:rsid w:val="001676A9"/>
    <w:rsid w:val="00167A15"/>
    <w:rsid w:val="00167A50"/>
    <w:rsid w:val="00167DF5"/>
    <w:rsid w:val="00170001"/>
    <w:rsid w:val="00172198"/>
    <w:rsid w:val="00172612"/>
    <w:rsid w:val="00172817"/>
    <w:rsid w:val="001734E3"/>
    <w:rsid w:val="001742BF"/>
    <w:rsid w:val="00175567"/>
    <w:rsid w:val="00175E49"/>
    <w:rsid w:val="0017649F"/>
    <w:rsid w:val="0017655D"/>
    <w:rsid w:val="00177B7C"/>
    <w:rsid w:val="001805C1"/>
    <w:rsid w:val="00180A2E"/>
    <w:rsid w:val="001813AF"/>
    <w:rsid w:val="001829CD"/>
    <w:rsid w:val="00182F01"/>
    <w:rsid w:val="00184082"/>
    <w:rsid w:val="00184E10"/>
    <w:rsid w:val="00184F27"/>
    <w:rsid w:val="0018519B"/>
    <w:rsid w:val="001854BB"/>
    <w:rsid w:val="00185966"/>
    <w:rsid w:val="00185A2D"/>
    <w:rsid w:val="00185AFE"/>
    <w:rsid w:val="00185CA2"/>
    <w:rsid w:val="00185E78"/>
    <w:rsid w:val="001866C3"/>
    <w:rsid w:val="00186B78"/>
    <w:rsid w:val="00187177"/>
    <w:rsid w:val="00187ABD"/>
    <w:rsid w:val="00190117"/>
    <w:rsid w:val="001904E3"/>
    <w:rsid w:val="0019087A"/>
    <w:rsid w:val="00191C5A"/>
    <w:rsid w:val="00191CEB"/>
    <w:rsid w:val="00191E63"/>
    <w:rsid w:val="001923E3"/>
    <w:rsid w:val="00192531"/>
    <w:rsid w:val="00192D68"/>
    <w:rsid w:val="00192DF7"/>
    <w:rsid w:val="0019388B"/>
    <w:rsid w:val="00193B9A"/>
    <w:rsid w:val="001940ED"/>
    <w:rsid w:val="001946AE"/>
    <w:rsid w:val="001946D5"/>
    <w:rsid w:val="00194E8C"/>
    <w:rsid w:val="001962EC"/>
    <w:rsid w:val="001963DD"/>
    <w:rsid w:val="001965DB"/>
    <w:rsid w:val="00196D01"/>
    <w:rsid w:val="00196DC9"/>
    <w:rsid w:val="00196E95"/>
    <w:rsid w:val="001A0236"/>
    <w:rsid w:val="001A0AF8"/>
    <w:rsid w:val="001A18D5"/>
    <w:rsid w:val="001A1A38"/>
    <w:rsid w:val="001A1BE0"/>
    <w:rsid w:val="001A1D4A"/>
    <w:rsid w:val="001A3011"/>
    <w:rsid w:val="001A4A9B"/>
    <w:rsid w:val="001A4DAF"/>
    <w:rsid w:val="001A4E37"/>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1F19"/>
    <w:rsid w:val="001B23DE"/>
    <w:rsid w:val="001B2456"/>
    <w:rsid w:val="001B246B"/>
    <w:rsid w:val="001B255B"/>
    <w:rsid w:val="001B3C8A"/>
    <w:rsid w:val="001B449C"/>
    <w:rsid w:val="001B4AA2"/>
    <w:rsid w:val="001B4ADE"/>
    <w:rsid w:val="001B5EF8"/>
    <w:rsid w:val="001B615D"/>
    <w:rsid w:val="001B61E9"/>
    <w:rsid w:val="001B6791"/>
    <w:rsid w:val="001B731A"/>
    <w:rsid w:val="001C07C6"/>
    <w:rsid w:val="001C19CD"/>
    <w:rsid w:val="001C22D5"/>
    <w:rsid w:val="001C250A"/>
    <w:rsid w:val="001C2515"/>
    <w:rsid w:val="001C26FB"/>
    <w:rsid w:val="001C27D3"/>
    <w:rsid w:val="001C2BE4"/>
    <w:rsid w:val="001C33C1"/>
    <w:rsid w:val="001C3E30"/>
    <w:rsid w:val="001C3E5C"/>
    <w:rsid w:val="001C5072"/>
    <w:rsid w:val="001C5B2A"/>
    <w:rsid w:val="001C600B"/>
    <w:rsid w:val="001C6306"/>
    <w:rsid w:val="001C65AA"/>
    <w:rsid w:val="001C6898"/>
    <w:rsid w:val="001C6DD8"/>
    <w:rsid w:val="001C702D"/>
    <w:rsid w:val="001C7C7B"/>
    <w:rsid w:val="001D068D"/>
    <w:rsid w:val="001D12D1"/>
    <w:rsid w:val="001D15DF"/>
    <w:rsid w:val="001D2973"/>
    <w:rsid w:val="001D30F3"/>
    <w:rsid w:val="001D31A0"/>
    <w:rsid w:val="001D338E"/>
    <w:rsid w:val="001D426C"/>
    <w:rsid w:val="001D56E9"/>
    <w:rsid w:val="001D5EE1"/>
    <w:rsid w:val="001D70EF"/>
    <w:rsid w:val="001D796A"/>
    <w:rsid w:val="001D7A84"/>
    <w:rsid w:val="001D7C79"/>
    <w:rsid w:val="001E003B"/>
    <w:rsid w:val="001E1CC4"/>
    <w:rsid w:val="001E1D38"/>
    <w:rsid w:val="001E28A0"/>
    <w:rsid w:val="001E4258"/>
    <w:rsid w:val="001E4963"/>
    <w:rsid w:val="001E5AEF"/>
    <w:rsid w:val="001E5D6A"/>
    <w:rsid w:val="001E6644"/>
    <w:rsid w:val="001E67FD"/>
    <w:rsid w:val="001E6A94"/>
    <w:rsid w:val="001E70FB"/>
    <w:rsid w:val="001E780A"/>
    <w:rsid w:val="001F0FA0"/>
    <w:rsid w:val="001F1349"/>
    <w:rsid w:val="001F1863"/>
    <w:rsid w:val="001F2356"/>
    <w:rsid w:val="001F2A68"/>
    <w:rsid w:val="001F3BF5"/>
    <w:rsid w:val="001F4773"/>
    <w:rsid w:val="001F4E6F"/>
    <w:rsid w:val="001F5008"/>
    <w:rsid w:val="001F51A9"/>
    <w:rsid w:val="001F56AA"/>
    <w:rsid w:val="001F58AA"/>
    <w:rsid w:val="001F5A4E"/>
    <w:rsid w:val="001F5EF6"/>
    <w:rsid w:val="001F657F"/>
    <w:rsid w:val="001F6F17"/>
    <w:rsid w:val="001F6FB6"/>
    <w:rsid w:val="001F72BB"/>
    <w:rsid w:val="001F7978"/>
    <w:rsid w:val="001F7A0E"/>
    <w:rsid w:val="0020002B"/>
    <w:rsid w:val="0020022E"/>
    <w:rsid w:val="0020054E"/>
    <w:rsid w:val="00201855"/>
    <w:rsid w:val="00201AC4"/>
    <w:rsid w:val="00201F1E"/>
    <w:rsid w:val="00202950"/>
    <w:rsid w:val="0020299B"/>
    <w:rsid w:val="00202D50"/>
    <w:rsid w:val="00202E44"/>
    <w:rsid w:val="002037AA"/>
    <w:rsid w:val="00203FE3"/>
    <w:rsid w:val="002042D8"/>
    <w:rsid w:val="002043FB"/>
    <w:rsid w:val="00204515"/>
    <w:rsid w:val="00204BF5"/>
    <w:rsid w:val="00204E6B"/>
    <w:rsid w:val="002053EF"/>
    <w:rsid w:val="002058D4"/>
    <w:rsid w:val="00205D9F"/>
    <w:rsid w:val="0020632A"/>
    <w:rsid w:val="0020697F"/>
    <w:rsid w:val="00210522"/>
    <w:rsid w:val="00210D5C"/>
    <w:rsid w:val="002110EB"/>
    <w:rsid w:val="00211338"/>
    <w:rsid w:val="00211388"/>
    <w:rsid w:val="0021148C"/>
    <w:rsid w:val="00211694"/>
    <w:rsid w:val="0021201A"/>
    <w:rsid w:val="00212B18"/>
    <w:rsid w:val="00212D27"/>
    <w:rsid w:val="00212E0C"/>
    <w:rsid w:val="002138FE"/>
    <w:rsid w:val="00213A1F"/>
    <w:rsid w:val="00213C63"/>
    <w:rsid w:val="00213EC5"/>
    <w:rsid w:val="00214502"/>
    <w:rsid w:val="00214741"/>
    <w:rsid w:val="0021539A"/>
    <w:rsid w:val="00215852"/>
    <w:rsid w:val="00215853"/>
    <w:rsid w:val="00215B8E"/>
    <w:rsid w:val="00216264"/>
    <w:rsid w:val="002176B6"/>
    <w:rsid w:val="0021792D"/>
    <w:rsid w:val="00217DB8"/>
    <w:rsid w:val="002202CE"/>
    <w:rsid w:val="0022032A"/>
    <w:rsid w:val="00220B2D"/>
    <w:rsid w:val="0022194E"/>
    <w:rsid w:val="002220B1"/>
    <w:rsid w:val="002221CE"/>
    <w:rsid w:val="00222BE8"/>
    <w:rsid w:val="00223102"/>
    <w:rsid w:val="002232CB"/>
    <w:rsid w:val="00224022"/>
    <w:rsid w:val="00224A66"/>
    <w:rsid w:val="00226055"/>
    <w:rsid w:val="0022613F"/>
    <w:rsid w:val="00226236"/>
    <w:rsid w:val="002270C9"/>
    <w:rsid w:val="00227A8B"/>
    <w:rsid w:val="0023146B"/>
    <w:rsid w:val="002315A0"/>
    <w:rsid w:val="0023161C"/>
    <w:rsid w:val="00231748"/>
    <w:rsid w:val="00231EC7"/>
    <w:rsid w:val="002324A5"/>
    <w:rsid w:val="00232ABD"/>
    <w:rsid w:val="00232E15"/>
    <w:rsid w:val="00233079"/>
    <w:rsid w:val="00233769"/>
    <w:rsid w:val="0023382C"/>
    <w:rsid w:val="00233977"/>
    <w:rsid w:val="00233C58"/>
    <w:rsid w:val="00233C71"/>
    <w:rsid w:val="0023434C"/>
    <w:rsid w:val="002343B3"/>
    <w:rsid w:val="002345B6"/>
    <w:rsid w:val="002347A6"/>
    <w:rsid w:val="00234B84"/>
    <w:rsid w:val="00236016"/>
    <w:rsid w:val="00237065"/>
    <w:rsid w:val="00237589"/>
    <w:rsid w:val="0023758D"/>
    <w:rsid w:val="002375A7"/>
    <w:rsid w:val="0023798D"/>
    <w:rsid w:val="0024019A"/>
    <w:rsid w:val="00241146"/>
    <w:rsid w:val="0024120F"/>
    <w:rsid w:val="0024131D"/>
    <w:rsid w:val="002415B8"/>
    <w:rsid w:val="00241ED1"/>
    <w:rsid w:val="00242D62"/>
    <w:rsid w:val="002430BF"/>
    <w:rsid w:val="002430D0"/>
    <w:rsid w:val="002431D7"/>
    <w:rsid w:val="00243C4B"/>
    <w:rsid w:val="00244058"/>
    <w:rsid w:val="00245718"/>
    <w:rsid w:val="00245DD8"/>
    <w:rsid w:val="00245E07"/>
    <w:rsid w:val="00247610"/>
    <w:rsid w:val="00247712"/>
    <w:rsid w:val="00250EC6"/>
    <w:rsid w:val="002515C7"/>
    <w:rsid w:val="00251866"/>
    <w:rsid w:val="00251A9F"/>
    <w:rsid w:val="00251D8D"/>
    <w:rsid w:val="00252492"/>
    <w:rsid w:val="00252B35"/>
    <w:rsid w:val="0025316D"/>
    <w:rsid w:val="00253A02"/>
    <w:rsid w:val="00253A8F"/>
    <w:rsid w:val="00253B81"/>
    <w:rsid w:val="002554DE"/>
    <w:rsid w:val="00255575"/>
    <w:rsid w:val="00255E11"/>
    <w:rsid w:val="00256835"/>
    <w:rsid w:val="002569F0"/>
    <w:rsid w:val="00256E1A"/>
    <w:rsid w:val="00256ECF"/>
    <w:rsid w:val="002574D8"/>
    <w:rsid w:val="00257730"/>
    <w:rsid w:val="00257999"/>
    <w:rsid w:val="002604AA"/>
    <w:rsid w:val="0026129B"/>
    <w:rsid w:val="00261560"/>
    <w:rsid w:val="0026157A"/>
    <w:rsid w:val="00261715"/>
    <w:rsid w:val="00261CF9"/>
    <w:rsid w:val="00261EC0"/>
    <w:rsid w:val="0026231B"/>
    <w:rsid w:val="00263101"/>
    <w:rsid w:val="002631D1"/>
    <w:rsid w:val="00263201"/>
    <w:rsid w:val="00263224"/>
    <w:rsid w:val="002634CA"/>
    <w:rsid w:val="00263A37"/>
    <w:rsid w:val="00263A8A"/>
    <w:rsid w:val="0026478A"/>
    <w:rsid w:val="0026480D"/>
    <w:rsid w:val="00264A13"/>
    <w:rsid w:val="002653A6"/>
    <w:rsid w:val="00265F9D"/>
    <w:rsid w:val="00265FD3"/>
    <w:rsid w:val="002661F1"/>
    <w:rsid w:val="00266209"/>
    <w:rsid w:val="00266DB6"/>
    <w:rsid w:val="002710FA"/>
    <w:rsid w:val="002711A4"/>
    <w:rsid w:val="00271449"/>
    <w:rsid w:val="00271A48"/>
    <w:rsid w:val="00271F13"/>
    <w:rsid w:val="0027278E"/>
    <w:rsid w:val="00272CC8"/>
    <w:rsid w:val="0027482E"/>
    <w:rsid w:val="00274DB5"/>
    <w:rsid w:val="00275BB1"/>
    <w:rsid w:val="00277933"/>
    <w:rsid w:val="00277F8D"/>
    <w:rsid w:val="00277FA7"/>
    <w:rsid w:val="00280046"/>
    <w:rsid w:val="00280B4F"/>
    <w:rsid w:val="00280F3D"/>
    <w:rsid w:val="0028106A"/>
    <w:rsid w:val="00281EB4"/>
    <w:rsid w:val="0028308E"/>
    <w:rsid w:val="002834E9"/>
    <w:rsid w:val="00283975"/>
    <w:rsid w:val="00283A52"/>
    <w:rsid w:val="00283C5E"/>
    <w:rsid w:val="00283E26"/>
    <w:rsid w:val="0028428F"/>
    <w:rsid w:val="00284CFC"/>
    <w:rsid w:val="00285832"/>
    <w:rsid w:val="00285969"/>
    <w:rsid w:val="00285D4C"/>
    <w:rsid w:val="0028663B"/>
    <w:rsid w:val="00286CEC"/>
    <w:rsid w:val="002870F9"/>
    <w:rsid w:val="002871A9"/>
    <w:rsid w:val="00287505"/>
    <w:rsid w:val="0029043A"/>
    <w:rsid w:val="00290781"/>
    <w:rsid w:val="00290D27"/>
    <w:rsid w:val="00290DD0"/>
    <w:rsid w:val="002910A6"/>
    <w:rsid w:val="00291784"/>
    <w:rsid w:val="002920DF"/>
    <w:rsid w:val="0029273C"/>
    <w:rsid w:val="002929BB"/>
    <w:rsid w:val="00292E33"/>
    <w:rsid w:val="00294368"/>
    <w:rsid w:val="00294B78"/>
    <w:rsid w:val="00295416"/>
    <w:rsid w:val="00295949"/>
    <w:rsid w:val="0029624A"/>
    <w:rsid w:val="00296311"/>
    <w:rsid w:val="00296922"/>
    <w:rsid w:val="00297098"/>
    <w:rsid w:val="002A05D4"/>
    <w:rsid w:val="002A06DB"/>
    <w:rsid w:val="002A09FF"/>
    <w:rsid w:val="002A0E60"/>
    <w:rsid w:val="002A1A58"/>
    <w:rsid w:val="002A1B02"/>
    <w:rsid w:val="002A1C53"/>
    <w:rsid w:val="002A244B"/>
    <w:rsid w:val="002A28FC"/>
    <w:rsid w:val="002A2B44"/>
    <w:rsid w:val="002A2EA5"/>
    <w:rsid w:val="002A3D94"/>
    <w:rsid w:val="002A4736"/>
    <w:rsid w:val="002A4B1C"/>
    <w:rsid w:val="002A55FE"/>
    <w:rsid w:val="002A58BB"/>
    <w:rsid w:val="002A6AFB"/>
    <w:rsid w:val="002A733D"/>
    <w:rsid w:val="002A774A"/>
    <w:rsid w:val="002A78F3"/>
    <w:rsid w:val="002A7E5C"/>
    <w:rsid w:val="002A7F6D"/>
    <w:rsid w:val="002B057F"/>
    <w:rsid w:val="002B1342"/>
    <w:rsid w:val="002B1F83"/>
    <w:rsid w:val="002B2008"/>
    <w:rsid w:val="002B27C8"/>
    <w:rsid w:val="002B2A7F"/>
    <w:rsid w:val="002B3043"/>
    <w:rsid w:val="002B330B"/>
    <w:rsid w:val="002B39BE"/>
    <w:rsid w:val="002B438C"/>
    <w:rsid w:val="002B48DB"/>
    <w:rsid w:val="002B4B34"/>
    <w:rsid w:val="002B541A"/>
    <w:rsid w:val="002B5EAB"/>
    <w:rsid w:val="002B6407"/>
    <w:rsid w:val="002B6416"/>
    <w:rsid w:val="002B6459"/>
    <w:rsid w:val="002B680A"/>
    <w:rsid w:val="002B7014"/>
    <w:rsid w:val="002B73B0"/>
    <w:rsid w:val="002C0E93"/>
    <w:rsid w:val="002C24B4"/>
    <w:rsid w:val="002C26CF"/>
    <w:rsid w:val="002C28A6"/>
    <w:rsid w:val="002C2B3A"/>
    <w:rsid w:val="002C2B87"/>
    <w:rsid w:val="002C37FA"/>
    <w:rsid w:val="002C3CF4"/>
    <w:rsid w:val="002C441A"/>
    <w:rsid w:val="002C4A73"/>
    <w:rsid w:val="002C4B84"/>
    <w:rsid w:val="002C4C0C"/>
    <w:rsid w:val="002C4C48"/>
    <w:rsid w:val="002C5016"/>
    <w:rsid w:val="002C5C2F"/>
    <w:rsid w:val="002C5C87"/>
    <w:rsid w:val="002C5D0F"/>
    <w:rsid w:val="002C60B9"/>
    <w:rsid w:val="002C6706"/>
    <w:rsid w:val="002C6F77"/>
    <w:rsid w:val="002C704D"/>
    <w:rsid w:val="002D0845"/>
    <w:rsid w:val="002D0933"/>
    <w:rsid w:val="002D0CE3"/>
    <w:rsid w:val="002D19BB"/>
    <w:rsid w:val="002D1A9B"/>
    <w:rsid w:val="002D20F8"/>
    <w:rsid w:val="002D22BD"/>
    <w:rsid w:val="002D22C5"/>
    <w:rsid w:val="002D241F"/>
    <w:rsid w:val="002D302A"/>
    <w:rsid w:val="002D3355"/>
    <w:rsid w:val="002D36C6"/>
    <w:rsid w:val="002D37C1"/>
    <w:rsid w:val="002D3822"/>
    <w:rsid w:val="002D43CA"/>
    <w:rsid w:val="002D444B"/>
    <w:rsid w:val="002D4A45"/>
    <w:rsid w:val="002D4B42"/>
    <w:rsid w:val="002D4B43"/>
    <w:rsid w:val="002D57DB"/>
    <w:rsid w:val="002D5A1B"/>
    <w:rsid w:val="002D65BC"/>
    <w:rsid w:val="002D6A45"/>
    <w:rsid w:val="002D6B56"/>
    <w:rsid w:val="002D7D88"/>
    <w:rsid w:val="002E03E8"/>
    <w:rsid w:val="002E055C"/>
    <w:rsid w:val="002E063F"/>
    <w:rsid w:val="002E1050"/>
    <w:rsid w:val="002E107C"/>
    <w:rsid w:val="002E107E"/>
    <w:rsid w:val="002E1459"/>
    <w:rsid w:val="002E18E5"/>
    <w:rsid w:val="002E1953"/>
    <w:rsid w:val="002E2CB5"/>
    <w:rsid w:val="002E2D7D"/>
    <w:rsid w:val="002E32D0"/>
    <w:rsid w:val="002E3D76"/>
    <w:rsid w:val="002E40A1"/>
    <w:rsid w:val="002E48EC"/>
    <w:rsid w:val="002E4B44"/>
    <w:rsid w:val="002E4ECB"/>
    <w:rsid w:val="002E4F23"/>
    <w:rsid w:val="002E57B7"/>
    <w:rsid w:val="002E5E8E"/>
    <w:rsid w:val="002E635A"/>
    <w:rsid w:val="002E6D68"/>
    <w:rsid w:val="002E7847"/>
    <w:rsid w:val="002F0073"/>
    <w:rsid w:val="002F0E20"/>
    <w:rsid w:val="002F167F"/>
    <w:rsid w:val="002F1C67"/>
    <w:rsid w:val="002F240B"/>
    <w:rsid w:val="002F26B7"/>
    <w:rsid w:val="002F2C08"/>
    <w:rsid w:val="002F2F50"/>
    <w:rsid w:val="002F33EC"/>
    <w:rsid w:val="002F34E3"/>
    <w:rsid w:val="002F3601"/>
    <w:rsid w:val="002F37F2"/>
    <w:rsid w:val="002F45F6"/>
    <w:rsid w:val="002F5A6F"/>
    <w:rsid w:val="002F6411"/>
    <w:rsid w:val="002F692F"/>
    <w:rsid w:val="002F7B66"/>
    <w:rsid w:val="00300CB4"/>
    <w:rsid w:val="00300E24"/>
    <w:rsid w:val="00302ED6"/>
    <w:rsid w:val="003033BA"/>
    <w:rsid w:val="00303926"/>
    <w:rsid w:val="00303974"/>
    <w:rsid w:val="00303C19"/>
    <w:rsid w:val="00304200"/>
    <w:rsid w:val="003043A3"/>
    <w:rsid w:val="00304BD4"/>
    <w:rsid w:val="0030500A"/>
    <w:rsid w:val="003052EB"/>
    <w:rsid w:val="00305FCB"/>
    <w:rsid w:val="003060BC"/>
    <w:rsid w:val="003063C3"/>
    <w:rsid w:val="00306435"/>
    <w:rsid w:val="00306616"/>
    <w:rsid w:val="003069DC"/>
    <w:rsid w:val="00306B44"/>
    <w:rsid w:val="00307C44"/>
    <w:rsid w:val="003100AF"/>
    <w:rsid w:val="00310196"/>
    <w:rsid w:val="0031088E"/>
    <w:rsid w:val="00310D01"/>
    <w:rsid w:val="00311376"/>
    <w:rsid w:val="00311A1F"/>
    <w:rsid w:val="00311B47"/>
    <w:rsid w:val="00311D52"/>
    <w:rsid w:val="00312015"/>
    <w:rsid w:val="00312190"/>
    <w:rsid w:val="003123CC"/>
    <w:rsid w:val="003125E0"/>
    <w:rsid w:val="0031271D"/>
    <w:rsid w:val="003132BB"/>
    <w:rsid w:val="00313337"/>
    <w:rsid w:val="00313447"/>
    <w:rsid w:val="00313748"/>
    <w:rsid w:val="00313EA3"/>
    <w:rsid w:val="00315365"/>
    <w:rsid w:val="00315457"/>
    <w:rsid w:val="00315C55"/>
    <w:rsid w:val="003161A4"/>
    <w:rsid w:val="00316955"/>
    <w:rsid w:val="0031720A"/>
    <w:rsid w:val="0031749B"/>
    <w:rsid w:val="003174E5"/>
    <w:rsid w:val="00317C9D"/>
    <w:rsid w:val="00317CD2"/>
    <w:rsid w:val="00317D99"/>
    <w:rsid w:val="0032078D"/>
    <w:rsid w:val="00320ADF"/>
    <w:rsid w:val="0032137B"/>
    <w:rsid w:val="00321BD6"/>
    <w:rsid w:val="00321FA3"/>
    <w:rsid w:val="003227D3"/>
    <w:rsid w:val="00322937"/>
    <w:rsid w:val="00323881"/>
    <w:rsid w:val="003247ED"/>
    <w:rsid w:val="003251A8"/>
    <w:rsid w:val="003254B1"/>
    <w:rsid w:val="0032586E"/>
    <w:rsid w:val="00325D98"/>
    <w:rsid w:val="0032682A"/>
    <w:rsid w:val="00327781"/>
    <w:rsid w:val="00327A5C"/>
    <w:rsid w:val="0033092C"/>
    <w:rsid w:val="00330E4A"/>
    <w:rsid w:val="0033112A"/>
    <w:rsid w:val="0033122A"/>
    <w:rsid w:val="003315AC"/>
    <w:rsid w:val="00331932"/>
    <w:rsid w:val="00332382"/>
    <w:rsid w:val="00332453"/>
    <w:rsid w:val="0033251B"/>
    <w:rsid w:val="00332F8C"/>
    <w:rsid w:val="00333A88"/>
    <w:rsid w:val="00333BC9"/>
    <w:rsid w:val="00335B15"/>
    <w:rsid w:val="00335B21"/>
    <w:rsid w:val="00335D3F"/>
    <w:rsid w:val="00336104"/>
    <w:rsid w:val="0033660B"/>
    <w:rsid w:val="00336729"/>
    <w:rsid w:val="0033726D"/>
    <w:rsid w:val="0033746A"/>
    <w:rsid w:val="00337CA8"/>
    <w:rsid w:val="00340D3F"/>
    <w:rsid w:val="0034174B"/>
    <w:rsid w:val="0034177C"/>
    <w:rsid w:val="00341EBD"/>
    <w:rsid w:val="0034204E"/>
    <w:rsid w:val="003420E9"/>
    <w:rsid w:val="00342345"/>
    <w:rsid w:val="00342C27"/>
    <w:rsid w:val="00342F14"/>
    <w:rsid w:val="003430C8"/>
    <w:rsid w:val="003432C8"/>
    <w:rsid w:val="003434B3"/>
    <w:rsid w:val="00343536"/>
    <w:rsid w:val="00343EFB"/>
    <w:rsid w:val="00344026"/>
    <w:rsid w:val="0034437F"/>
    <w:rsid w:val="00344760"/>
    <w:rsid w:val="003454E8"/>
    <w:rsid w:val="00345574"/>
    <w:rsid w:val="0034680A"/>
    <w:rsid w:val="00346C62"/>
    <w:rsid w:val="00347202"/>
    <w:rsid w:val="003474A1"/>
    <w:rsid w:val="0034778E"/>
    <w:rsid w:val="00347A5A"/>
    <w:rsid w:val="003501E2"/>
    <w:rsid w:val="00351E10"/>
    <w:rsid w:val="00352091"/>
    <w:rsid w:val="003533F4"/>
    <w:rsid w:val="003536F6"/>
    <w:rsid w:val="00353DD5"/>
    <w:rsid w:val="00354CAC"/>
    <w:rsid w:val="00355131"/>
    <w:rsid w:val="0035585E"/>
    <w:rsid w:val="00355C52"/>
    <w:rsid w:val="00355F74"/>
    <w:rsid w:val="003560DB"/>
    <w:rsid w:val="003564DB"/>
    <w:rsid w:val="00356F87"/>
    <w:rsid w:val="00360CE8"/>
    <w:rsid w:val="00360CF3"/>
    <w:rsid w:val="00361A59"/>
    <w:rsid w:val="00363348"/>
    <w:rsid w:val="00363857"/>
    <w:rsid w:val="00363D59"/>
    <w:rsid w:val="003640F7"/>
    <w:rsid w:val="003649F8"/>
    <w:rsid w:val="00365D3A"/>
    <w:rsid w:val="003664FF"/>
    <w:rsid w:val="00366BD2"/>
    <w:rsid w:val="00366F1C"/>
    <w:rsid w:val="003670B8"/>
    <w:rsid w:val="00367519"/>
    <w:rsid w:val="003704A3"/>
    <w:rsid w:val="003706F2"/>
    <w:rsid w:val="0037124F"/>
    <w:rsid w:val="0037162B"/>
    <w:rsid w:val="00372051"/>
    <w:rsid w:val="003722B3"/>
    <w:rsid w:val="003722E6"/>
    <w:rsid w:val="00373827"/>
    <w:rsid w:val="0037401C"/>
    <w:rsid w:val="0037453B"/>
    <w:rsid w:val="00374D49"/>
    <w:rsid w:val="0037507B"/>
    <w:rsid w:val="00375C7C"/>
    <w:rsid w:val="00375DB4"/>
    <w:rsid w:val="00376182"/>
    <w:rsid w:val="00377027"/>
    <w:rsid w:val="00377135"/>
    <w:rsid w:val="00377FEF"/>
    <w:rsid w:val="00380272"/>
    <w:rsid w:val="003805DB"/>
    <w:rsid w:val="0038152A"/>
    <w:rsid w:val="00382BAD"/>
    <w:rsid w:val="0038333E"/>
    <w:rsid w:val="003835FD"/>
    <w:rsid w:val="00384DF1"/>
    <w:rsid w:val="00384FF3"/>
    <w:rsid w:val="0038512F"/>
    <w:rsid w:val="00386456"/>
    <w:rsid w:val="003865A9"/>
    <w:rsid w:val="00387BD8"/>
    <w:rsid w:val="0039092B"/>
    <w:rsid w:val="00390C01"/>
    <w:rsid w:val="00390C57"/>
    <w:rsid w:val="00390F32"/>
    <w:rsid w:val="0039135E"/>
    <w:rsid w:val="00392A0C"/>
    <w:rsid w:val="0039319C"/>
    <w:rsid w:val="00393498"/>
    <w:rsid w:val="00393577"/>
    <w:rsid w:val="00393C2B"/>
    <w:rsid w:val="00393CAE"/>
    <w:rsid w:val="003945F4"/>
    <w:rsid w:val="0039471F"/>
    <w:rsid w:val="00394EB5"/>
    <w:rsid w:val="003953B4"/>
    <w:rsid w:val="0039615F"/>
    <w:rsid w:val="003966A0"/>
    <w:rsid w:val="00396A29"/>
    <w:rsid w:val="00397FF0"/>
    <w:rsid w:val="003A0878"/>
    <w:rsid w:val="003A1561"/>
    <w:rsid w:val="003A1D25"/>
    <w:rsid w:val="003A22A2"/>
    <w:rsid w:val="003A2447"/>
    <w:rsid w:val="003A2AA1"/>
    <w:rsid w:val="003A2C33"/>
    <w:rsid w:val="003A31A5"/>
    <w:rsid w:val="003A329A"/>
    <w:rsid w:val="003A3603"/>
    <w:rsid w:val="003A3851"/>
    <w:rsid w:val="003A39DD"/>
    <w:rsid w:val="003A4199"/>
    <w:rsid w:val="003A4A8E"/>
    <w:rsid w:val="003A563C"/>
    <w:rsid w:val="003A581E"/>
    <w:rsid w:val="003A6160"/>
    <w:rsid w:val="003A63C3"/>
    <w:rsid w:val="003A65A5"/>
    <w:rsid w:val="003A68F4"/>
    <w:rsid w:val="003A72F5"/>
    <w:rsid w:val="003A78E5"/>
    <w:rsid w:val="003B0341"/>
    <w:rsid w:val="003B1AF1"/>
    <w:rsid w:val="003B1DAF"/>
    <w:rsid w:val="003B1E57"/>
    <w:rsid w:val="003B2E90"/>
    <w:rsid w:val="003B2EF3"/>
    <w:rsid w:val="003B34B5"/>
    <w:rsid w:val="003B4A4D"/>
    <w:rsid w:val="003B534F"/>
    <w:rsid w:val="003B5391"/>
    <w:rsid w:val="003B58CE"/>
    <w:rsid w:val="003B65D7"/>
    <w:rsid w:val="003B65E0"/>
    <w:rsid w:val="003B6BD4"/>
    <w:rsid w:val="003B6F4D"/>
    <w:rsid w:val="003B6FE7"/>
    <w:rsid w:val="003C0012"/>
    <w:rsid w:val="003C095A"/>
    <w:rsid w:val="003C0D1F"/>
    <w:rsid w:val="003C116A"/>
    <w:rsid w:val="003C1AF4"/>
    <w:rsid w:val="003C1C9C"/>
    <w:rsid w:val="003C1CB8"/>
    <w:rsid w:val="003C22DA"/>
    <w:rsid w:val="003C2550"/>
    <w:rsid w:val="003C287F"/>
    <w:rsid w:val="003C31A1"/>
    <w:rsid w:val="003C3339"/>
    <w:rsid w:val="003C375A"/>
    <w:rsid w:val="003C4C8A"/>
    <w:rsid w:val="003C4D9F"/>
    <w:rsid w:val="003C5247"/>
    <w:rsid w:val="003C55EC"/>
    <w:rsid w:val="003C622C"/>
    <w:rsid w:val="003C6505"/>
    <w:rsid w:val="003C73C7"/>
    <w:rsid w:val="003C7CFB"/>
    <w:rsid w:val="003D050B"/>
    <w:rsid w:val="003D0750"/>
    <w:rsid w:val="003D0B98"/>
    <w:rsid w:val="003D0C38"/>
    <w:rsid w:val="003D0C3C"/>
    <w:rsid w:val="003D0DE5"/>
    <w:rsid w:val="003D0F46"/>
    <w:rsid w:val="003D1351"/>
    <w:rsid w:val="003D21C1"/>
    <w:rsid w:val="003D3B15"/>
    <w:rsid w:val="003D3B2E"/>
    <w:rsid w:val="003D4101"/>
    <w:rsid w:val="003D484D"/>
    <w:rsid w:val="003D49CB"/>
    <w:rsid w:val="003D6B8F"/>
    <w:rsid w:val="003D6F7A"/>
    <w:rsid w:val="003D7566"/>
    <w:rsid w:val="003D7FB3"/>
    <w:rsid w:val="003E006D"/>
    <w:rsid w:val="003E0224"/>
    <w:rsid w:val="003E067E"/>
    <w:rsid w:val="003E09BB"/>
    <w:rsid w:val="003E159D"/>
    <w:rsid w:val="003E20EA"/>
    <w:rsid w:val="003E210C"/>
    <w:rsid w:val="003E2F55"/>
    <w:rsid w:val="003E3239"/>
    <w:rsid w:val="003E34DB"/>
    <w:rsid w:val="003E3833"/>
    <w:rsid w:val="003E3AF9"/>
    <w:rsid w:val="003E4A70"/>
    <w:rsid w:val="003E4C48"/>
    <w:rsid w:val="003E4CD9"/>
    <w:rsid w:val="003E52C2"/>
    <w:rsid w:val="003E54B3"/>
    <w:rsid w:val="003E5780"/>
    <w:rsid w:val="003E5B9F"/>
    <w:rsid w:val="003E6072"/>
    <w:rsid w:val="003E6AB6"/>
    <w:rsid w:val="003E6E0B"/>
    <w:rsid w:val="003E71CD"/>
    <w:rsid w:val="003E72F0"/>
    <w:rsid w:val="003E78DA"/>
    <w:rsid w:val="003E7A8B"/>
    <w:rsid w:val="003F060E"/>
    <w:rsid w:val="003F0F7F"/>
    <w:rsid w:val="003F115C"/>
    <w:rsid w:val="003F155A"/>
    <w:rsid w:val="003F1E49"/>
    <w:rsid w:val="003F2B26"/>
    <w:rsid w:val="003F300D"/>
    <w:rsid w:val="003F31C0"/>
    <w:rsid w:val="003F391F"/>
    <w:rsid w:val="003F4599"/>
    <w:rsid w:val="003F45E1"/>
    <w:rsid w:val="003F4F6C"/>
    <w:rsid w:val="003F559E"/>
    <w:rsid w:val="003F6181"/>
    <w:rsid w:val="003F662E"/>
    <w:rsid w:val="003F6BFC"/>
    <w:rsid w:val="003F7343"/>
    <w:rsid w:val="003F7B66"/>
    <w:rsid w:val="00400002"/>
    <w:rsid w:val="00400054"/>
    <w:rsid w:val="004004EA"/>
    <w:rsid w:val="00400C41"/>
    <w:rsid w:val="004016A3"/>
    <w:rsid w:val="00401B31"/>
    <w:rsid w:val="00401EEA"/>
    <w:rsid w:val="0040202B"/>
    <w:rsid w:val="00402DE1"/>
    <w:rsid w:val="00402EEB"/>
    <w:rsid w:val="004037C2"/>
    <w:rsid w:val="00404041"/>
    <w:rsid w:val="004047DF"/>
    <w:rsid w:val="00404B43"/>
    <w:rsid w:val="00404C61"/>
    <w:rsid w:val="00405487"/>
    <w:rsid w:val="00405B8A"/>
    <w:rsid w:val="0040602B"/>
    <w:rsid w:val="00406359"/>
    <w:rsid w:val="00406599"/>
    <w:rsid w:val="00406DF5"/>
    <w:rsid w:val="00406F35"/>
    <w:rsid w:val="00407A7A"/>
    <w:rsid w:val="00407ABC"/>
    <w:rsid w:val="00407F1E"/>
    <w:rsid w:val="004101CA"/>
    <w:rsid w:val="00410A88"/>
    <w:rsid w:val="00411317"/>
    <w:rsid w:val="00411692"/>
    <w:rsid w:val="00411A9E"/>
    <w:rsid w:val="0041259F"/>
    <w:rsid w:val="00412B4D"/>
    <w:rsid w:val="00412C51"/>
    <w:rsid w:val="00413262"/>
    <w:rsid w:val="0041329C"/>
    <w:rsid w:val="00413920"/>
    <w:rsid w:val="004139F4"/>
    <w:rsid w:val="00413FFA"/>
    <w:rsid w:val="00414229"/>
    <w:rsid w:val="00414246"/>
    <w:rsid w:val="00414D9A"/>
    <w:rsid w:val="00415194"/>
    <w:rsid w:val="00415816"/>
    <w:rsid w:val="00415B88"/>
    <w:rsid w:val="00415D32"/>
    <w:rsid w:val="004160A2"/>
    <w:rsid w:val="004170D7"/>
    <w:rsid w:val="004177A6"/>
    <w:rsid w:val="00417C23"/>
    <w:rsid w:val="00417EFD"/>
    <w:rsid w:val="004200EE"/>
    <w:rsid w:val="004209D2"/>
    <w:rsid w:val="00420AFE"/>
    <w:rsid w:val="00420D6E"/>
    <w:rsid w:val="00420ECA"/>
    <w:rsid w:val="0042158C"/>
    <w:rsid w:val="00421BD2"/>
    <w:rsid w:val="00421E00"/>
    <w:rsid w:val="00421FCB"/>
    <w:rsid w:val="00422DCA"/>
    <w:rsid w:val="00423F9F"/>
    <w:rsid w:val="00425845"/>
    <w:rsid w:val="00425C43"/>
    <w:rsid w:val="00425D70"/>
    <w:rsid w:val="00425DD1"/>
    <w:rsid w:val="00426058"/>
    <w:rsid w:val="004266A1"/>
    <w:rsid w:val="004273FA"/>
    <w:rsid w:val="004275A7"/>
    <w:rsid w:val="00430186"/>
    <w:rsid w:val="00430682"/>
    <w:rsid w:val="00431017"/>
    <w:rsid w:val="00431C0B"/>
    <w:rsid w:val="0043269A"/>
    <w:rsid w:val="00432B3C"/>
    <w:rsid w:val="00432C6D"/>
    <w:rsid w:val="004333C2"/>
    <w:rsid w:val="00434787"/>
    <w:rsid w:val="00434C13"/>
    <w:rsid w:val="00435703"/>
    <w:rsid w:val="00435BD5"/>
    <w:rsid w:val="00436156"/>
    <w:rsid w:val="00436323"/>
    <w:rsid w:val="0043676B"/>
    <w:rsid w:val="0043683F"/>
    <w:rsid w:val="00436F40"/>
    <w:rsid w:val="004370FA"/>
    <w:rsid w:val="00440096"/>
    <w:rsid w:val="004403DD"/>
    <w:rsid w:val="00440CF3"/>
    <w:rsid w:val="00440DB0"/>
    <w:rsid w:val="00440DD6"/>
    <w:rsid w:val="00440DDC"/>
    <w:rsid w:val="00440FAD"/>
    <w:rsid w:val="00441291"/>
    <w:rsid w:val="00441E04"/>
    <w:rsid w:val="004420AB"/>
    <w:rsid w:val="004422D6"/>
    <w:rsid w:val="004427AC"/>
    <w:rsid w:val="00442C7D"/>
    <w:rsid w:val="00442D4D"/>
    <w:rsid w:val="004435DF"/>
    <w:rsid w:val="0044374D"/>
    <w:rsid w:val="00443B55"/>
    <w:rsid w:val="00443D27"/>
    <w:rsid w:val="004440B3"/>
    <w:rsid w:val="0044414B"/>
    <w:rsid w:val="004445EB"/>
    <w:rsid w:val="0044478A"/>
    <w:rsid w:val="0044500B"/>
    <w:rsid w:val="00446037"/>
    <w:rsid w:val="0044642F"/>
    <w:rsid w:val="004473C9"/>
    <w:rsid w:val="0044772C"/>
    <w:rsid w:val="00447D53"/>
    <w:rsid w:val="00450846"/>
    <w:rsid w:val="00451A52"/>
    <w:rsid w:val="0045271D"/>
    <w:rsid w:val="00452755"/>
    <w:rsid w:val="00452803"/>
    <w:rsid w:val="004529A6"/>
    <w:rsid w:val="004529C6"/>
    <w:rsid w:val="00452EAD"/>
    <w:rsid w:val="004533A8"/>
    <w:rsid w:val="004533D1"/>
    <w:rsid w:val="004534D1"/>
    <w:rsid w:val="00454548"/>
    <w:rsid w:val="00454717"/>
    <w:rsid w:val="00455004"/>
    <w:rsid w:val="00455047"/>
    <w:rsid w:val="00455354"/>
    <w:rsid w:val="0045558D"/>
    <w:rsid w:val="00455B70"/>
    <w:rsid w:val="00455BD3"/>
    <w:rsid w:val="00456970"/>
    <w:rsid w:val="00456BB1"/>
    <w:rsid w:val="00456CD4"/>
    <w:rsid w:val="00456D08"/>
    <w:rsid w:val="00456DDB"/>
    <w:rsid w:val="00457031"/>
    <w:rsid w:val="00460915"/>
    <w:rsid w:val="00460946"/>
    <w:rsid w:val="004614A9"/>
    <w:rsid w:val="00461E97"/>
    <w:rsid w:val="0046268F"/>
    <w:rsid w:val="0046284F"/>
    <w:rsid w:val="00462B10"/>
    <w:rsid w:val="00462C04"/>
    <w:rsid w:val="0046320A"/>
    <w:rsid w:val="004632E2"/>
    <w:rsid w:val="004638E2"/>
    <w:rsid w:val="00464030"/>
    <w:rsid w:val="004647F8"/>
    <w:rsid w:val="004647FB"/>
    <w:rsid w:val="00465347"/>
    <w:rsid w:val="00465677"/>
    <w:rsid w:val="00466616"/>
    <w:rsid w:val="00466A0C"/>
    <w:rsid w:val="00466A53"/>
    <w:rsid w:val="004673A8"/>
    <w:rsid w:val="0046753A"/>
    <w:rsid w:val="00467CA9"/>
    <w:rsid w:val="00467D4E"/>
    <w:rsid w:val="0047098A"/>
    <w:rsid w:val="00470A6A"/>
    <w:rsid w:val="00470D73"/>
    <w:rsid w:val="00470D92"/>
    <w:rsid w:val="00471DF7"/>
    <w:rsid w:val="00471FD5"/>
    <w:rsid w:val="00472450"/>
    <w:rsid w:val="004734CF"/>
    <w:rsid w:val="004737EA"/>
    <w:rsid w:val="00473BD9"/>
    <w:rsid w:val="00474665"/>
    <w:rsid w:val="00475C5A"/>
    <w:rsid w:val="00475C78"/>
    <w:rsid w:val="00475C9C"/>
    <w:rsid w:val="0047676B"/>
    <w:rsid w:val="0047773C"/>
    <w:rsid w:val="00477C5F"/>
    <w:rsid w:val="00477D59"/>
    <w:rsid w:val="00480050"/>
    <w:rsid w:val="004800E5"/>
    <w:rsid w:val="0048011C"/>
    <w:rsid w:val="004808DE"/>
    <w:rsid w:val="00481AC4"/>
    <w:rsid w:val="00481DC1"/>
    <w:rsid w:val="00482507"/>
    <w:rsid w:val="0048268A"/>
    <w:rsid w:val="004835CA"/>
    <w:rsid w:val="004836F8"/>
    <w:rsid w:val="004836FE"/>
    <w:rsid w:val="00484F0F"/>
    <w:rsid w:val="00484F40"/>
    <w:rsid w:val="0048540C"/>
    <w:rsid w:val="00485D18"/>
    <w:rsid w:val="004861B4"/>
    <w:rsid w:val="00486792"/>
    <w:rsid w:val="00486BD0"/>
    <w:rsid w:val="00486D00"/>
    <w:rsid w:val="00487263"/>
    <w:rsid w:val="0048734F"/>
    <w:rsid w:val="004877B4"/>
    <w:rsid w:val="0048785D"/>
    <w:rsid w:val="0049029D"/>
    <w:rsid w:val="0049030C"/>
    <w:rsid w:val="004903C0"/>
    <w:rsid w:val="004907FA"/>
    <w:rsid w:val="0049114B"/>
    <w:rsid w:val="004912A8"/>
    <w:rsid w:val="00491577"/>
    <w:rsid w:val="0049196A"/>
    <w:rsid w:val="0049196E"/>
    <w:rsid w:val="00491B54"/>
    <w:rsid w:val="0049241A"/>
    <w:rsid w:val="00492C1F"/>
    <w:rsid w:val="00492E4C"/>
    <w:rsid w:val="00493664"/>
    <w:rsid w:val="00493E04"/>
    <w:rsid w:val="004940E3"/>
    <w:rsid w:val="00494269"/>
    <w:rsid w:val="0049530F"/>
    <w:rsid w:val="00496664"/>
    <w:rsid w:val="00496786"/>
    <w:rsid w:val="0049695B"/>
    <w:rsid w:val="00496D8F"/>
    <w:rsid w:val="00497463"/>
    <w:rsid w:val="004A054C"/>
    <w:rsid w:val="004A08D1"/>
    <w:rsid w:val="004A16C1"/>
    <w:rsid w:val="004A1CE2"/>
    <w:rsid w:val="004A1DF9"/>
    <w:rsid w:val="004A24BC"/>
    <w:rsid w:val="004A2A99"/>
    <w:rsid w:val="004A34D2"/>
    <w:rsid w:val="004A4301"/>
    <w:rsid w:val="004A4D93"/>
    <w:rsid w:val="004A58EE"/>
    <w:rsid w:val="004A59B7"/>
    <w:rsid w:val="004A5C13"/>
    <w:rsid w:val="004A6051"/>
    <w:rsid w:val="004A623B"/>
    <w:rsid w:val="004A6334"/>
    <w:rsid w:val="004A65AC"/>
    <w:rsid w:val="004A6A04"/>
    <w:rsid w:val="004A6A52"/>
    <w:rsid w:val="004B02CF"/>
    <w:rsid w:val="004B0A44"/>
    <w:rsid w:val="004B0F0B"/>
    <w:rsid w:val="004B2197"/>
    <w:rsid w:val="004B298A"/>
    <w:rsid w:val="004B50CB"/>
    <w:rsid w:val="004B578D"/>
    <w:rsid w:val="004B5BE7"/>
    <w:rsid w:val="004B5E2D"/>
    <w:rsid w:val="004B6C07"/>
    <w:rsid w:val="004B74D3"/>
    <w:rsid w:val="004B788E"/>
    <w:rsid w:val="004B78E1"/>
    <w:rsid w:val="004B7E5D"/>
    <w:rsid w:val="004C033C"/>
    <w:rsid w:val="004C1033"/>
    <w:rsid w:val="004C13E9"/>
    <w:rsid w:val="004C1F58"/>
    <w:rsid w:val="004C2180"/>
    <w:rsid w:val="004C22F7"/>
    <w:rsid w:val="004C2310"/>
    <w:rsid w:val="004C2B27"/>
    <w:rsid w:val="004C3929"/>
    <w:rsid w:val="004C5212"/>
    <w:rsid w:val="004C580A"/>
    <w:rsid w:val="004C5EF0"/>
    <w:rsid w:val="004C64C9"/>
    <w:rsid w:val="004C6862"/>
    <w:rsid w:val="004C7226"/>
    <w:rsid w:val="004C74C9"/>
    <w:rsid w:val="004C7915"/>
    <w:rsid w:val="004C7D70"/>
    <w:rsid w:val="004D02F9"/>
    <w:rsid w:val="004D03FE"/>
    <w:rsid w:val="004D0446"/>
    <w:rsid w:val="004D06A3"/>
    <w:rsid w:val="004D0F95"/>
    <w:rsid w:val="004D106A"/>
    <w:rsid w:val="004D1C7E"/>
    <w:rsid w:val="004D245A"/>
    <w:rsid w:val="004D2F4A"/>
    <w:rsid w:val="004D31EE"/>
    <w:rsid w:val="004D36AF"/>
    <w:rsid w:val="004D3BD1"/>
    <w:rsid w:val="004D4A03"/>
    <w:rsid w:val="004D4BA1"/>
    <w:rsid w:val="004D4EC1"/>
    <w:rsid w:val="004D584D"/>
    <w:rsid w:val="004D5A7E"/>
    <w:rsid w:val="004D5ED1"/>
    <w:rsid w:val="004D6120"/>
    <w:rsid w:val="004D636B"/>
    <w:rsid w:val="004D6826"/>
    <w:rsid w:val="004D6E7F"/>
    <w:rsid w:val="004E023F"/>
    <w:rsid w:val="004E0546"/>
    <w:rsid w:val="004E0742"/>
    <w:rsid w:val="004E0C64"/>
    <w:rsid w:val="004E0EBC"/>
    <w:rsid w:val="004E0F6B"/>
    <w:rsid w:val="004E1545"/>
    <w:rsid w:val="004E1F1C"/>
    <w:rsid w:val="004E24CE"/>
    <w:rsid w:val="004E2A35"/>
    <w:rsid w:val="004E40CE"/>
    <w:rsid w:val="004E5736"/>
    <w:rsid w:val="004E5A3C"/>
    <w:rsid w:val="004E5B36"/>
    <w:rsid w:val="004E5D5D"/>
    <w:rsid w:val="004E5DAD"/>
    <w:rsid w:val="004E6045"/>
    <w:rsid w:val="004E6F43"/>
    <w:rsid w:val="004E7200"/>
    <w:rsid w:val="004E7437"/>
    <w:rsid w:val="004E7497"/>
    <w:rsid w:val="004E77A6"/>
    <w:rsid w:val="004E787E"/>
    <w:rsid w:val="004F0960"/>
    <w:rsid w:val="004F0A4B"/>
    <w:rsid w:val="004F0A5C"/>
    <w:rsid w:val="004F163F"/>
    <w:rsid w:val="004F18A0"/>
    <w:rsid w:val="004F1A08"/>
    <w:rsid w:val="004F2B64"/>
    <w:rsid w:val="004F2D2A"/>
    <w:rsid w:val="004F31B8"/>
    <w:rsid w:val="004F375E"/>
    <w:rsid w:val="004F3764"/>
    <w:rsid w:val="004F3DB4"/>
    <w:rsid w:val="004F3EEF"/>
    <w:rsid w:val="004F4A8C"/>
    <w:rsid w:val="004F5180"/>
    <w:rsid w:val="004F57C9"/>
    <w:rsid w:val="004F5930"/>
    <w:rsid w:val="004F5970"/>
    <w:rsid w:val="004F5F0C"/>
    <w:rsid w:val="004F5F46"/>
    <w:rsid w:val="004F6121"/>
    <w:rsid w:val="004F6161"/>
    <w:rsid w:val="004F66BC"/>
    <w:rsid w:val="004F6B63"/>
    <w:rsid w:val="004F6C26"/>
    <w:rsid w:val="004F7AC9"/>
    <w:rsid w:val="0050062F"/>
    <w:rsid w:val="00500E74"/>
    <w:rsid w:val="0050160F"/>
    <w:rsid w:val="0050275F"/>
    <w:rsid w:val="0050284E"/>
    <w:rsid w:val="0050306F"/>
    <w:rsid w:val="00504A78"/>
    <w:rsid w:val="00505DCB"/>
    <w:rsid w:val="005075CA"/>
    <w:rsid w:val="00507B06"/>
    <w:rsid w:val="00507BF1"/>
    <w:rsid w:val="0051047A"/>
    <w:rsid w:val="0051074C"/>
    <w:rsid w:val="00510CB7"/>
    <w:rsid w:val="00510DE9"/>
    <w:rsid w:val="00510F21"/>
    <w:rsid w:val="005111E2"/>
    <w:rsid w:val="00511231"/>
    <w:rsid w:val="0051197C"/>
    <w:rsid w:val="005126ED"/>
    <w:rsid w:val="00512C4F"/>
    <w:rsid w:val="00513042"/>
    <w:rsid w:val="0051334F"/>
    <w:rsid w:val="00513399"/>
    <w:rsid w:val="00513AF2"/>
    <w:rsid w:val="00514575"/>
    <w:rsid w:val="00514C03"/>
    <w:rsid w:val="00514D67"/>
    <w:rsid w:val="0051522A"/>
    <w:rsid w:val="00515515"/>
    <w:rsid w:val="00515EA6"/>
    <w:rsid w:val="0051635C"/>
    <w:rsid w:val="00516C5B"/>
    <w:rsid w:val="00517612"/>
    <w:rsid w:val="0051782E"/>
    <w:rsid w:val="00517CFB"/>
    <w:rsid w:val="00517F85"/>
    <w:rsid w:val="00520235"/>
    <w:rsid w:val="00520899"/>
    <w:rsid w:val="00520922"/>
    <w:rsid w:val="005209FC"/>
    <w:rsid w:val="005212D7"/>
    <w:rsid w:val="0052191B"/>
    <w:rsid w:val="00521A30"/>
    <w:rsid w:val="005224E5"/>
    <w:rsid w:val="00523496"/>
    <w:rsid w:val="00523903"/>
    <w:rsid w:val="005239B6"/>
    <w:rsid w:val="00523C45"/>
    <w:rsid w:val="0052413E"/>
    <w:rsid w:val="00524165"/>
    <w:rsid w:val="005246E7"/>
    <w:rsid w:val="00524B08"/>
    <w:rsid w:val="00524C38"/>
    <w:rsid w:val="00524FD2"/>
    <w:rsid w:val="00525621"/>
    <w:rsid w:val="00526431"/>
    <w:rsid w:val="00527064"/>
    <w:rsid w:val="00527532"/>
    <w:rsid w:val="00527703"/>
    <w:rsid w:val="00527DEB"/>
    <w:rsid w:val="00527E57"/>
    <w:rsid w:val="00527F2C"/>
    <w:rsid w:val="00530405"/>
    <w:rsid w:val="00530522"/>
    <w:rsid w:val="005305E5"/>
    <w:rsid w:val="00530CBA"/>
    <w:rsid w:val="00530F38"/>
    <w:rsid w:val="00531F26"/>
    <w:rsid w:val="00532299"/>
    <w:rsid w:val="005323DA"/>
    <w:rsid w:val="0053277C"/>
    <w:rsid w:val="005327C0"/>
    <w:rsid w:val="00533101"/>
    <w:rsid w:val="00533CA9"/>
    <w:rsid w:val="00533EA7"/>
    <w:rsid w:val="005346AD"/>
    <w:rsid w:val="00534EFB"/>
    <w:rsid w:val="00534F60"/>
    <w:rsid w:val="005357F1"/>
    <w:rsid w:val="00536053"/>
    <w:rsid w:val="00536985"/>
    <w:rsid w:val="005369E6"/>
    <w:rsid w:val="00537079"/>
    <w:rsid w:val="005371AC"/>
    <w:rsid w:val="00537672"/>
    <w:rsid w:val="0053772F"/>
    <w:rsid w:val="00537B77"/>
    <w:rsid w:val="00540C4C"/>
    <w:rsid w:val="00541469"/>
    <w:rsid w:val="00541571"/>
    <w:rsid w:val="00541B1F"/>
    <w:rsid w:val="0054275A"/>
    <w:rsid w:val="005428B8"/>
    <w:rsid w:val="00542BD7"/>
    <w:rsid w:val="00543084"/>
    <w:rsid w:val="00543584"/>
    <w:rsid w:val="00543A9E"/>
    <w:rsid w:val="0054413A"/>
    <w:rsid w:val="00544288"/>
    <w:rsid w:val="005446BB"/>
    <w:rsid w:val="005448C8"/>
    <w:rsid w:val="00544DA5"/>
    <w:rsid w:val="00544F43"/>
    <w:rsid w:val="00545E30"/>
    <w:rsid w:val="00545EA3"/>
    <w:rsid w:val="005465E8"/>
    <w:rsid w:val="00546C9B"/>
    <w:rsid w:val="005476A5"/>
    <w:rsid w:val="00547BF6"/>
    <w:rsid w:val="00547FB3"/>
    <w:rsid w:val="00551098"/>
    <w:rsid w:val="00551598"/>
    <w:rsid w:val="0055162B"/>
    <w:rsid w:val="00551BFF"/>
    <w:rsid w:val="00551D68"/>
    <w:rsid w:val="00551DFF"/>
    <w:rsid w:val="005525C9"/>
    <w:rsid w:val="00552B3E"/>
    <w:rsid w:val="00552FB2"/>
    <w:rsid w:val="00554D57"/>
    <w:rsid w:val="005551AA"/>
    <w:rsid w:val="00555D01"/>
    <w:rsid w:val="005564CA"/>
    <w:rsid w:val="005568EA"/>
    <w:rsid w:val="00557140"/>
    <w:rsid w:val="00557984"/>
    <w:rsid w:val="00557CFB"/>
    <w:rsid w:val="00560C87"/>
    <w:rsid w:val="00560F51"/>
    <w:rsid w:val="00561249"/>
    <w:rsid w:val="0056182B"/>
    <w:rsid w:val="00561AF3"/>
    <w:rsid w:val="00561E0B"/>
    <w:rsid w:val="00562141"/>
    <w:rsid w:val="00562891"/>
    <w:rsid w:val="00562D86"/>
    <w:rsid w:val="00563210"/>
    <w:rsid w:val="00564704"/>
    <w:rsid w:val="00564712"/>
    <w:rsid w:val="005657A8"/>
    <w:rsid w:val="00565952"/>
    <w:rsid w:val="00566866"/>
    <w:rsid w:val="005670A5"/>
    <w:rsid w:val="00567285"/>
    <w:rsid w:val="00567723"/>
    <w:rsid w:val="0056772D"/>
    <w:rsid w:val="00567AB8"/>
    <w:rsid w:val="00570A26"/>
    <w:rsid w:val="00570CFD"/>
    <w:rsid w:val="00571872"/>
    <w:rsid w:val="0057221F"/>
    <w:rsid w:val="00572539"/>
    <w:rsid w:val="00572E46"/>
    <w:rsid w:val="00573355"/>
    <w:rsid w:val="0057337D"/>
    <w:rsid w:val="00573450"/>
    <w:rsid w:val="00573504"/>
    <w:rsid w:val="00573BA3"/>
    <w:rsid w:val="00573C8C"/>
    <w:rsid w:val="005745F3"/>
    <w:rsid w:val="00574708"/>
    <w:rsid w:val="00574D81"/>
    <w:rsid w:val="005756AA"/>
    <w:rsid w:val="0057696F"/>
    <w:rsid w:val="00576C37"/>
    <w:rsid w:val="00576E5C"/>
    <w:rsid w:val="00577458"/>
    <w:rsid w:val="005774FE"/>
    <w:rsid w:val="0058040C"/>
    <w:rsid w:val="00580937"/>
    <w:rsid w:val="00580D6D"/>
    <w:rsid w:val="005812E4"/>
    <w:rsid w:val="005813DE"/>
    <w:rsid w:val="00581768"/>
    <w:rsid w:val="00581796"/>
    <w:rsid w:val="00581B45"/>
    <w:rsid w:val="0058239C"/>
    <w:rsid w:val="00582480"/>
    <w:rsid w:val="00582805"/>
    <w:rsid w:val="0058290E"/>
    <w:rsid w:val="00582CAB"/>
    <w:rsid w:val="00582D08"/>
    <w:rsid w:val="00582FA6"/>
    <w:rsid w:val="0058375E"/>
    <w:rsid w:val="005840B1"/>
    <w:rsid w:val="00584233"/>
    <w:rsid w:val="005842D0"/>
    <w:rsid w:val="005845FB"/>
    <w:rsid w:val="00585128"/>
    <w:rsid w:val="005855AE"/>
    <w:rsid w:val="00585829"/>
    <w:rsid w:val="00585C52"/>
    <w:rsid w:val="00585CA8"/>
    <w:rsid w:val="00586412"/>
    <w:rsid w:val="005864B9"/>
    <w:rsid w:val="005866C4"/>
    <w:rsid w:val="00587D9E"/>
    <w:rsid w:val="00590F1A"/>
    <w:rsid w:val="00591C03"/>
    <w:rsid w:val="00591D9E"/>
    <w:rsid w:val="00591E2A"/>
    <w:rsid w:val="005923C4"/>
    <w:rsid w:val="00593EA2"/>
    <w:rsid w:val="00593F75"/>
    <w:rsid w:val="005940A0"/>
    <w:rsid w:val="0059429A"/>
    <w:rsid w:val="00594462"/>
    <w:rsid w:val="00594CBE"/>
    <w:rsid w:val="00594DE2"/>
    <w:rsid w:val="005950CB"/>
    <w:rsid w:val="00596AF7"/>
    <w:rsid w:val="00596CCE"/>
    <w:rsid w:val="005A1976"/>
    <w:rsid w:val="005A2120"/>
    <w:rsid w:val="005A2501"/>
    <w:rsid w:val="005A2C80"/>
    <w:rsid w:val="005A3066"/>
    <w:rsid w:val="005A3686"/>
    <w:rsid w:val="005A3B35"/>
    <w:rsid w:val="005A3C4B"/>
    <w:rsid w:val="005A3C85"/>
    <w:rsid w:val="005A3E5A"/>
    <w:rsid w:val="005A4399"/>
    <w:rsid w:val="005A43F3"/>
    <w:rsid w:val="005A496F"/>
    <w:rsid w:val="005A4A56"/>
    <w:rsid w:val="005A5608"/>
    <w:rsid w:val="005A5A3D"/>
    <w:rsid w:val="005A6035"/>
    <w:rsid w:val="005A6B75"/>
    <w:rsid w:val="005A6E00"/>
    <w:rsid w:val="005A718A"/>
    <w:rsid w:val="005A7209"/>
    <w:rsid w:val="005A7752"/>
    <w:rsid w:val="005A7885"/>
    <w:rsid w:val="005B0A7C"/>
    <w:rsid w:val="005B12B2"/>
    <w:rsid w:val="005B143B"/>
    <w:rsid w:val="005B150B"/>
    <w:rsid w:val="005B19BD"/>
    <w:rsid w:val="005B1E45"/>
    <w:rsid w:val="005B21C4"/>
    <w:rsid w:val="005B2A28"/>
    <w:rsid w:val="005B3621"/>
    <w:rsid w:val="005B4948"/>
    <w:rsid w:val="005B501D"/>
    <w:rsid w:val="005B54CC"/>
    <w:rsid w:val="005B74AD"/>
    <w:rsid w:val="005B7551"/>
    <w:rsid w:val="005B7E96"/>
    <w:rsid w:val="005C0429"/>
    <w:rsid w:val="005C084F"/>
    <w:rsid w:val="005C0EE9"/>
    <w:rsid w:val="005C12DB"/>
    <w:rsid w:val="005C16A8"/>
    <w:rsid w:val="005C1716"/>
    <w:rsid w:val="005C1954"/>
    <w:rsid w:val="005C1C0B"/>
    <w:rsid w:val="005C2011"/>
    <w:rsid w:val="005C3DCB"/>
    <w:rsid w:val="005C3EA3"/>
    <w:rsid w:val="005C4161"/>
    <w:rsid w:val="005C44DE"/>
    <w:rsid w:val="005C4E6D"/>
    <w:rsid w:val="005C5011"/>
    <w:rsid w:val="005C5241"/>
    <w:rsid w:val="005C529E"/>
    <w:rsid w:val="005C57BA"/>
    <w:rsid w:val="005C5C52"/>
    <w:rsid w:val="005C5D3D"/>
    <w:rsid w:val="005C5F05"/>
    <w:rsid w:val="005C6186"/>
    <w:rsid w:val="005C7B9B"/>
    <w:rsid w:val="005C7E45"/>
    <w:rsid w:val="005C7F3E"/>
    <w:rsid w:val="005D06D3"/>
    <w:rsid w:val="005D0C3B"/>
    <w:rsid w:val="005D1051"/>
    <w:rsid w:val="005D1606"/>
    <w:rsid w:val="005D18D1"/>
    <w:rsid w:val="005D2044"/>
    <w:rsid w:val="005D2917"/>
    <w:rsid w:val="005D2EB2"/>
    <w:rsid w:val="005D2F48"/>
    <w:rsid w:val="005D3B32"/>
    <w:rsid w:val="005D464B"/>
    <w:rsid w:val="005D466F"/>
    <w:rsid w:val="005D49F0"/>
    <w:rsid w:val="005D51F7"/>
    <w:rsid w:val="005D51FA"/>
    <w:rsid w:val="005D53E8"/>
    <w:rsid w:val="005D577C"/>
    <w:rsid w:val="005D5A9D"/>
    <w:rsid w:val="005D6651"/>
    <w:rsid w:val="005D691D"/>
    <w:rsid w:val="005D6A72"/>
    <w:rsid w:val="005D6F38"/>
    <w:rsid w:val="005D72AD"/>
    <w:rsid w:val="005D7516"/>
    <w:rsid w:val="005D791B"/>
    <w:rsid w:val="005D7CF2"/>
    <w:rsid w:val="005D7EB1"/>
    <w:rsid w:val="005D7F1C"/>
    <w:rsid w:val="005D7F92"/>
    <w:rsid w:val="005E0297"/>
    <w:rsid w:val="005E09B0"/>
    <w:rsid w:val="005E0D7B"/>
    <w:rsid w:val="005E1595"/>
    <w:rsid w:val="005E1F1D"/>
    <w:rsid w:val="005E273D"/>
    <w:rsid w:val="005E2FD1"/>
    <w:rsid w:val="005E3278"/>
    <w:rsid w:val="005E363B"/>
    <w:rsid w:val="005E3736"/>
    <w:rsid w:val="005E3A24"/>
    <w:rsid w:val="005E5AAC"/>
    <w:rsid w:val="005E5F06"/>
    <w:rsid w:val="005E6E1D"/>
    <w:rsid w:val="005F1044"/>
    <w:rsid w:val="005F1E4E"/>
    <w:rsid w:val="005F305B"/>
    <w:rsid w:val="005F3081"/>
    <w:rsid w:val="005F3361"/>
    <w:rsid w:val="005F3B47"/>
    <w:rsid w:val="005F40A5"/>
    <w:rsid w:val="005F4481"/>
    <w:rsid w:val="005F47AC"/>
    <w:rsid w:val="005F49AF"/>
    <w:rsid w:val="005F4A58"/>
    <w:rsid w:val="005F54DF"/>
    <w:rsid w:val="005F5888"/>
    <w:rsid w:val="005F5984"/>
    <w:rsid w:val="005F5EAB"/>
    <w:rsid w:val="005F6CE2"/>
    <w:rsid w:val="005F6F24"/>
    <w:rsid w:val="005F72E9"/>
    <w:rsid w:val="005F76AE"/>
    <w:rsid w:val="005F7797"/>
    <w:rsid w:val="005F780B"/>
    <w:rsid w:val="00600473"/>
    <w:rsid w:val="0060139A"/>
    <w:rsid w:val="006013C9"/>
    <w:rsid w:val="00601689"/>
    <w:rsid w:val="0060218C"/>
    <w:rsid w:val="00602B45"/>
    <w:rsid w:val="00603499"/>
    <w:rsid w:val="006035F5"/>
    <w:rsid w:val="00603CC2"/>
    <w:rsid w:val="00604537"/>
    <w:rsid w:val="006047D1"/>
    <w:rsid w:val="00604A55"/>
    <w:rsid w:val="00604D4E"/>
    <w:rsid w:val="00604E3E"/>
    <w:rsid w:val="00605AC3"/>
    <w:rsid w:val="00606908"/>
    <w:rsid w:val="00606B13"/>
    <w:rsid w:val="00607996"/>
    <w:rsid w:val="00607A37"/>
    <w:rsid w:val="00607E0A"/>
    <w:rsid w:val="00607E9F"/>
    <w:rsid w:val="0061085E"/>
    <w:rsid w:val="00611398"/>
    <w:rsid w:val="00612322"/>
    <w:rsid w:val="006123C0"/>
    <w:rsid w:val="006125DC"/>
    <w:rsid w:val="00612DF1"/>
    <w:rsid w:val="006130D4"/>
    <w:rsid w:val="00613191"/>
    <w:rsid w:val="006133F9"/>
    <w:rsid w:val="006134B3"/>
    <w:rsid w:val="00613DE1"/>
    <w:rsid w:val="0061401F"/>
    <w:rsid w:val="00614166"/>
    <w:rsid w:val="00614817"/>
    <w:rsid w:val="006149CC"/>
    <w:rsid w:val="0061535F"/>
    <w:rsid w:val="006157A9"/>
    <w:rsid w:val="0061584D"/>
    <w:rsid w:val="0061591D"/>
    <w:rsid w:val="00615C46"/>
    <w:rsid w:val="00615ED0"/>
    <w:rsid w:val="0061604C"/>
    <w:rsid w:val="006165B3"/>
    <w:rsid w:val="00616B1C"/>
    <w:rsid w:val="00616C2B"/>
    <w:rsid w:val="00616D7F"/>
    <w:rsid w:val="006177DB"/>
    <w:rsid w:val="006178D1"/>
    <w:rsid w:val="00620719"/>
    <w:rsid w:val="006212C9"/>
    <w:rsid w:val="0062183A"/>
    <w:rsid w:val="00621C06"/>
    <w:rsid w:val="00621D0C"/>
    <w:rsid w:val="00622470"/>
    <w:rsid w:val="00622725"/>
    <w:rsid w:val="00622F49"/>
    <w:rsid w:val="006231AA"/>
    <w:rsid w:val="00623482"/>
    <w:rsid w:val="00623AC2"/>
    <w:rsid w:val="00623EBC"/>
    <w:rsid w:val="006244CF"/>
    <w:rsid w:val="006266D7"/>
    <w:rsid w:val="0062698D"/>
    <w:rsid w:val="00626D42"/>
    <w:rsid w:val="00626EE3"/>
    <w:rsid w:val="006274AD"/>
    <w:rsid w:val="00627519"/>
    <w:rsid w:val="00627532"/>
    <w:rsid w:val="00627652"/>
    <w:rsid w:val="006302AA"/>
    <w:rsid w:val="006310C3"/>
    <w:rsid w:val="0063143E"/>
    <w:rsid w:val="0063161E"/>
    <w:rsid w:val="00631BB5"/>
    <w:rsid w:val="00631DD0"/>
    <w:rsid w:val="006323D3"/>
    <w:rsid w:val="00633DBF"/>
    <w:rsid w:val="00634122"/>
    <w:rsid w:val="00634261"/>
    <w:rsid w:val="00635D25"/>
    <w:rsid w:val="00635E00"/>
    <w:rsid w:val="00635E32"/>
    <w:rsid w:val="006360FC"/>
    <w:rsid w:val="006364DB"/>
    <w:rsid w:val="006365DE"/>
    <w:rsid w:val="00636BE4"/>
    <w:rsid w:val="00636F88"/>
    <w:rsid w:val="0063732C"/>
    <w:rsid w:val="00637802"/>
    <w:rsid w:val="00637836"/>
    <w:rsid w:val="00637C26"/>
    <w:rsid w:val="00637F44"/>
    <w:rsid w:val="00641078"/>
    <w:rsid w:val="00641242"/>
    <w:rsid w:val="00642A32"/>
    <w:rsid w:val="006433D5"/>
    <w:rsid w:val="00643412"/>
    <w:rsid w:val="006445C1"/>
    <w:rsid w:val="00645CEB"/>
    <w:rsid w:val="00645E6E"/>
    <w:rsid w:val="00646B20"/>
    <w:rsid w:val="00646D0F"/>
    <w:rsid w:val="00647A36"/>
    <w:rsid w:val="00647DCC"/>
    <w:rsid w:val="00647EFA"/>
    <w:rsid w:val="00647F14"/>
    <w:rsid w:val="00650027"/>
    <w:rsid w:val="00651B9C"/>
    <w:rsid w:val="00651C47"/>
    <w:rsid w:val="006524AA"/>
    <w:rsid w:val="00652E70"/>
    <w:rsid w:val="0065339A"/>
    <w:rsid w:val="00653469"/>
    <w:rsid w:val="00654971"/>
    <w:rsid w:val="00654A38"/>
    <w:rsid w:val="00655301"/>
    <w:rsid w:val="00655371"/>
    <w:rsid w:val="0065548D"/>
    <w:rsid w:val="00655507"/>
    <w:rsid w:val="00656C4B"/>
    <w:rsid w:val="006573EA"/>
    <w:rsid w:val="0066073F"/>
    <w:rsid w:val="00661029"/>
    <w:rsid w:val="0066135A"/>
    <w:rsid w:val="00661A38"/>
    <w:rsid w:val="0066272D"/>
    <w:rsid w:val="00662E58"/>
    <w:rsid w:val="00662F39"/>
    <w:rsid w:val="006635A0"/>
    <w:rsid w:val="00664351"/>
    <w:rsid w:val="00665968"/>
    <w:rsid w:val="00665BF7"/>
    <w:rsid w:val="00666178"/>
    <w:rsid w:val="0066639E"/>
    <w:rsid w:val="00666473"/>
    <w:rsid w:val="00666754"/>
    <w:rsid w:val="00666C72"/>
    <w:rsid w:val="00666E6C"/>
    <w:rsid w:val="0066707F"/>
    <w:rsid w:val="006671DB"/>
    <w:rsid w:val="00667ED8"/>
    <w:rsid w:val="0067064C"/>
    <w:rsid w:val="00670B20"/>
    <w:rsid w:val="00670BA4"/>
    <w:rsid w:val="00670E12"/>
    <w:rsid w:val="00670F27"/>
    <w:rsid w:val="0067105C"/>
    <w:rsid w:val="00671B38"/>
    <w:rsid w:val="00672E80"/>
    <w:rsid w:val="0067333F"/>
    <w:rsid w:val="006739E4"/>
    <w:rsid w:val="00673ECF"/>
    <w:rsid w:val="0067426B"/>
    <w:rsid w:val="006749F5"/>
    <w:rsid w:val="00674A1B"/>
    <w:rsid w:val="00674F1C"/>
    <w:rsid w:val="0067519F"/>
    <w:rsid w:val="006754F8"/>
    <w:rsid w:val="00676127"/>
    <w:rsid w:val="00676866"/>
    <w:rsid w:val="00676AED"/>
    <w:rsid w:val="00677E9C"/>
    <w:rsid w:val="00677F26"/>
    <w:rsid w:val="00677F92"/>
    <w:rsid w:val="006800EE"/>
    <w:rsid w:val="006802A7"/>
    <w:rsid w:val="006811C9"/>
    <w:rsid w:val="006812CE"/>
    <w:rsid w:val="006826C1"/>
    <w:rsid w:val="00682C89"/>
    <w:rsid w:val="006832B8"/>
    <w:rsid w:val="006837B2"/>
    <w:rsid w:val="00683800"/>
    <w:rsid w:val="00684462"/>
    <w:rsid w:val="006846D7"/>
    <w:rsid w:val="0068482E"/>
    <w:rsid w:val="00684C8A"/>
    <w:rsid w:val="00684CF5"/>
    <w:rsid w:val="0068553E"/>
    <w:rsid w:val="00685E7B"/>
    <w:rsid w:val="00686551"/>
    <w:rsid w:val="006866B4"/>
    <w:rsid w:val="00686CAB"/>
    <w:rsid w:val="00686E4D"/>
    <w:rsid w:val="0068717F"/>
    <w:rsid w:val="0068730C"/>
    <w:rsid w:val="00687504"/>
    <w:rsid w:val="00687A14"/>
    <w:rsid w:val="00687A8C"/>
    <w:rsid w:val="00690839"/>
    <w:rsid w:val="006908DB"/>
    <w:rsid w:val="00690DE9"/>
    <w:rsid w:val="00691DE9"/>
    <w:rsid w:val="00691EAA"/>
    <w:rsid w:val="00692245"/>
    <w:rsid w:val="00692FFA"/>
    <w:rsid w:val="00693772"/>
    <w:rsid w:val="00693984"/>
    <w:rsid w:val="00693B77"/>
    <w:rsid w:val="00694160"/>
    <w:rsid w:val="006959A5"/>
    <w:rsid w:val="00695C0C"/>
    <w:rsid w:val="00696736"/>
    <w:rsid w:val="00696A05"/>
    <w:rsid w:val="00697665"/>
    <w:rsid w:val="006979BF"/>
    <w:rsid w:val="00697C9A"/>
    <w:rsid w:val="00697E68"/>
    <w:rsid w:val="00697FC1"/>
    <w:rsid w:val="006A0274"/>
    <w:rsid w:val="006A0FDD"/>
    <w:rsid w:val="006A103E"/>
    <w:rsid w:val="006A21BC"/>
    <w:rsid w:val="006A27BC"/>
    <w:rsid w:val="006A2A43"/>
    <w:rsid w:val="006A2BEE"/>
    <w:rsid w:val="006A2BF1"/>
    <w:rsid w:val="006A2DDB"/>
    <w:rsid w:val="006A2F9A"/>
    <w:rsid w:val="006A34E4"/>
    <w:rsid w:val="006A3A5A"/>
    <w:rsid w:val="006A44CF"/>
    <w:rsid w:val="006A457D"/>
    <w:rsid w:val="006A4C06"/>
    <w:rsid w:val="006A55EE"/>
    <w:rsid w:val="006A575B"/>
    <w:rsid w:val="006A59DE"/>
    <w:rsid w:val="006A64C6"/>
    <w:rsid w:val="006A6655"/>
    <w:rsid w:val="006A6B6B"/>
    <w:rsid w:val="006A6BF9"/>
    <w:rsid w:val="006A7CB5"/>
    <w:rsid w:val="006A7FD0"/>
    <w:rsid w:val="006B00E4"/>
    <w:rsid w:val="006B025C"/>
    <w:rsid w:val="006B08ED"/>
    <w:rsid w:val="006B2534"/>
    <w:rsid w:val="006B2CB2"/>
    <w:rsid w:val="006B347D"/>
    <w:rsid w:val="006B3E19"/>
    <w:rsid w:val="006B4488"/>
    <w:rsid w:val="006B49FC"/>
    <w:rsid w:val="006B50C4"/>
    <w:rsid w:val="006B53AE"/>
    <w:rsid w:val="006B58B4"/>
    <w:rsid w:val="006B67AC"/>
    <w:rsid w:val="006B786A"/>
    <w:rsid w:val="006B7E4E"/>
    <w:rsid w:val="006C003A"/>
    <w:rsid w:val="006C107C"/>
    <w:rsid w:val="006C2454"/>
    <w:rsid w:val="006C2551"/>
    <w:rsid w:val="006C37CA"/>
    <w:rsid w:val="006C40D2"/>
    <w:rsid w:val="006C4273"/>
    <w:rsid w:val="006C4BBD"/>
    <w:rsid w:val="006C50FA"/>
    <w:rsid w:val="006C5B15"/>
    <w:rsid w:val="006C5D32"/>
    <w:rsid w:val="006C5DCB"/>
    <w:rsid w:val="006C6475"/>
    <w:rsid w:val="006C6C54"/>
    <w:rsid w:val="006C70C4"/>
    <w:rsid w:val="006C741F"/>
    <w:rsid w:val="006D04DA"/>
    <w:rsid w:val="006D080E"/>
    <w:rsid w:val="006D10F6"/>
    <w:rsid w:val="006D1544"/>
    <w:rsid w:val="006D1688"/>
    <w:rsid w:val="006D1DD3"/>
    <w:rsid w:val="006D1FF3"/>
    <w:rsid w:val="006D2410"/>
    <w:rsid w:val="006D2C65"/>
    <w:rsid w:val="006D32C6"/>
    <w:rsid w:val="006D3491"/>
    <w:rsid w:val="006D360E"/>
    <w:rsid w:val="006D3697"/>
    <w:rsid w:val="006D39D2"/>
    <w:rsid w:val="006D3F2A"/>
    <w:rsid w:val="006D41A9"/>
    <w:rsid w:val="006D4370"/>
    <w:rsid w:val="006D46A3"/>
    <w:rsid w:val="006D5DAB"/>
    <w:rsid w:val="006D62E0"/>
    <w:rsid w:val="006D658F"/>
    <w:rsid w:val="006D6A12"/>
    <w:rsid w:val="006D6F4D"/>
    <w:rsid w:val="006D712D"/>
    <w:rsid w:val="006D741C"/>
    <w:rsid w:val="006D7687"/>
    <w:rsid w:val="006D784A"/>
    <w:rsid w:val="006D7CF3"/>
    <w:rsid w:val="006D7D1F"/>
    <w:rsid w:val="006D7D8A"/>
    <w:rsid w:val="006E0572"/>
    <w:rsid w:val="006E05D8"/>
    <w:rsid w:val="006E08EE"/>
    <w:rsid w:val="006E155A"/>
    <w:rsid w:val="006E2C34"/>
    <w:rsid w:val="006E359B"/>
    <w:rsid w:val="006E39D1"/>
    <w:rsid w:val="006E3B05"/>
    <w:rsid w:val="006E437F"/>
    <w:rsid w:val="006E4D5B"/>
    <w:rsid w:val="006E602F"/>
    <w:rsid w:val="006E6720"/>
    <w:rsid w:val="006E7275"/>
    <w:rsid w:val="006E77B8"/>
    <w:rsid w:val="006F13BA"/>
    <w:rsid w:val="006F15CC"/>
    <w:rsid w:val="006F15F6"/>
    <w:rsid w:val="006F2BA2"/>
    <w:rsid w:val="006F36EA"/>
    <w:rsid w:val="006F3C27"/>
    <w:rsid w:val="006F3FD3"/>
    <w:rsid w:val="006F4147"/>
    <w:rsid w:val="006F4315"/>
    <w:rsid w:val="006F4CB0"/>
    <w:rsid w:val="006F4F78"/>
    <w:rsid w:val="006F547E"/>
    <w:rsid w:val="006F5CCF"/>
    <w:rsid w:val="006F6F04"/>
    <w:rsid w:val="006F71F5"/>
    <w:rsid w:val="0070020D"/>
    <w:rsid w:val="00700610"/>
    <w:rsid w:val="00700B9C"/>
    <w:rsid w:val="0070138A"/>
    <w:rsid w:val="0070157E"/>
    <w:rsid w:val="007030D4"/>
    <w:rsid w:val="00703262"/>
    <w:rsid w:val="00703279"/>
    <w:rsid w:val="00703B18"/>
    <w:rsid w:val="00703B61"/>
    <w:rsid w:val="00703E11"/>
    <w:rsid w:val="00704102"/>
    <w:rsid w:val="0070437C"/>
    <w:rsid w:val="0070461C"/>
    <w:rsid w:val="00704A8C"/>
    <w:rsid w:val="00705631"/>
    <w:rsid w:val="00705692"/>
    <w:rsid w:val="00705818"/>
    <w:rsid w:val="00705F62"/>
    <w:rsid w:val="007074DB"/>
    <w:rsid w:val="0070773F"/>
    <w:rsid w:val="007078BD"/>
    <w:rsid w:val="00707ED3"/>
    <w:rsid w:val="007101B7"/>
    <w:rsid w:val="00710668"/>
    <w:rsid w:val="007110F4"/>
    <w:rsid w:val="007112B1"/>
    <w:rsid w:val="0071130F"/>
    <w:rsid w:val="007119F3"/>
    <w:rsid w:val="00712714"/>
    <w:rsid w:val="007129AB"/>
    <w:rsid w:val="00712B63"/>
    <w:rsid w:val="00712D58"/>
    <w:rsid w:val="00713526"/>
    <w:rsid w:val="007136E4"/>
    <w:rsid w:val="00713FC5"/>
    <w:rsid w:val="00714DCA"/>
    <w:rsid w:val="00714F38"/>
    <w:rsid w:val="007159F5"/>
    <w:rsid w:val="00715BBF"/>
    <w:rsid w:val="00715C29"/>
    <w:rsid w:val="00715CBD"/>
    <w:rsid w:val="00715EAA"/>
    <w:rsid w:val="00716CAD"/>
    <w:rsid w:val="00716F18"/>
    <w:rsid w:val="00717363"/>
    <w:rsid w:val="00717786"/>
    <w:rsid w:val="00717ACB"/>
    <w:rsid w:val="0072138B"/>
    <w:rsid w:val="00721BFF"/>
    <w:rsid w:val="00723475"/>
    <w:rsid w:val="007236C4"/>
    <w:rsid w:val="007242A2"/>
    <w:rsid w:val="00724635"/>
    <w:rsid w:val="00724F21"/>
    <w:rsid w:val="00725134"/>
    <w:rsid w:val="0072544A"/>
    <w:rsid w:val="0072554B"/>
    <w:rsid w:val="00725AFD"/>
    <w:rsid w:val="00725B8C"/>
    <w:rsid w:val="00725E6A"/>
    <w:rsid w:val="00726603"/>
    <w:rsid w:val="00727B1D"/>
    <w:rsid w:val="00727DDC"/>
    <w:rsid w:val="00730CD6"/>
    <w:rsid w:val="00730F74"/>
    <w:rsid w:val="0073114B"/>
    <w:rsid w:val="0073196D"/>
    <w:rsid w:val="007319FA"/>
    <w:rsid w:val="00732151"/>
    <w:rsid w:val="0073223D"/>
    <w:rsid w:val="007338C5"/>
    <w:rsid w:val="00734952"/>
    <w:rsid w:val="00734990"/>
    <w:rsid w:val="00734FF5"/>
    <w:rsid w:val="00735B78"/>
    <w:rsid w:val="00735DA7"/>
    <w:rsid w:val="007368B4"/>
    <w:rsid w:val="00736936"/>
    <w:rsid w:val="00736A8A"/>
    <w:rsid w:val="007370F9"/>
    <w:rsid w:val="007378E0"/>
    <w:rsid w:val="00737D92"/>
    <w:rsid w:val="00740529"/>
    <w:rsid w:val="00740876"/>
    <w:rsid w:val="00741358"/>
    <w:rsid w:val="00741626"/>
    <w:rsid w:val="00742332"/>
    <w:rsid w:val="00742886"/>
    <w:rsid w:val="00742DD2"/>
    <w:rsid w:val="00742F60"/>
    <w:rsid w:val="00743095"/>
    <w:rsid w:val="007437A7"/>
    <w:rsid w:val="007437C6"/>
    <w:rsid w:val="007440CB"/>
    <w:rsid w:val="007441A2"/>
    <w:rsid w:val="00744E80"/>
    <w:rsid w:val="00745035"/>
    <w:rsid w:val="0074531C"/>
    <w:rsid w:val="00745547"/>
    <w:rsid w:val="007459D0"/>
    <w:rsid w:val="00745A1E"/>
    <w:rsid w:val="00745F81"/>
    <w:rsid w:val="0074608B"/>
    <w:rsid w:val="0074623A"/>
    <w:rsid w:val="00746420"/>
    <w:rsid w:val="00746A60"/>
    <w:rsid w:val="00746E04"/>
    <w:rsid w:val="00746E08"/>
    <w:rsid w:val="00746E3D"/>
    <w:rsid w:val="007473B9"/>
    <w:rsid w:val="0074740B"/>
    <w:rsid w:val="00747C96"/>
    <w:rsid w:val="00750075"/>
    <w:rsid w:val="007502EC"/>
    <w:rsid w:val="00750382"/>
    <w:rsid w:val="0075094E"/>
    <w:rsid w:val="00750FA8"/>
    <w:rsid w:val="00750FB5"/>
    <w:rsid w:val="007520F0"/>
    <w:rsid w:val="007522E8"/>
    <w:rsid w:val="00753BAC"/>
    <w:rsid w:val="00753E9B"/>
    <w:rsid w:val="00754A0B"/>
    <w:rsid w:val="007552DB"/>
    <w:rsid w:val="00755920"/>
    <w:rsid w:val="00755B08"/>
    <w:rsid w:val="00755DD0"/>
    <w:rsid w:val="007563D0"/>
    <w:rsid w:val="0075647A"/>
    <w:rsid w:val="0075666A"/>
    <w:rsid w:val="00756A2F"/>
    <w:rsid w:val="007573E1"/>
    <w:rsid w:val="0075749E"/>
    <w:rsid w:val="00757722"/>
    <w:rsid w:val="00757B2D"/>
    <w:rsid w:val="00757BAD"/>
    <w:rsid w:val="00757D62"/>
    <w:rsid w:val="00760021"/>
    <w:rsid w:val="00760561"/>
    <w:rsid w:val="00760867"/>
    <w:rsid w:val="00760C6E"/>
    <w:rsid w:val="00760EB6"/>
    <w:rsid w:val="007616DB"/>
    <w:rsid w:val="00761939"/>
    <w:rsid w:val="00761AB7"/>
    <w:rsid w:val="00761C64"/>
    <w:rsid w:val="00761CE6"/>
    <w:rsid w:val="0076228A"/>
    <w:rsid w:val="00762440"/>
    <w:rsid w:val="00762499"/>
    <w:rsid w:val="007629B7"/>
    <w:rsid w:val="00762E60"/>
    <w:rsid w:val="0076308E"/>
    <w:rsid w:val="007634AD"/>
    <w:rsid w:val="00763E0E"/>
    <w:rsid w:val="0076445F"/>
    <w:rsid w:val="00764497"/>
    <w:rsid w:val="00764EC5"/>
    <w:rsid w:val="00765BCA"/>
    <w:rsid w:val="00766A4A"/>
    <w:rsid w:val="00766ECC"/>
    <w:rsid w:val="007672F3"/>
    <w:rsid w:val="007677B5"/>
    <w:rsid w:val="007678B1"/>
    <w:rsid w:val="00767F6E"/>
    <w:rsid w:val="00770093"/>
    <w:rsid w:val="007703DB"/>
    <w:rsid w:val="00770632"/>
    <w:rsid w:val="00770690"/>
    <w:rsid w:val="007708A8"/>
    <w:rsid w:val="00770CEE"/>
    <w:rsid w:val="00772100"/>
    <w:rsid w:val="00772275"/>
    <w:rsid w:val="00772752"/>
    <w:rsid w:val="007731FA"/>
    <w:rsid w:val="007734E4"/>
    <w:rsid w:val="0077380D"/>
    <w:rsid w:val="00773BC8"/>
    <w:rsid w:val="0077466F"/>
    <w:rsid w:val="007752B7"/>
    <w:rsid w:val="007759A8"/>
    <w:rsid w:val="00775C27"/>
    <w:rsid w:val="00775D98"/>
    <w:rsid w:val="00776DBF"/>
    <w:rsid w:val="00776FE5"/>
    <w:rsid w:val="00777101"/>
    <w:rsid w:val="007774E7"/>
    <w:rsid w:val="00777522"/>
    <w:rsid w:val="0077768C"/>
    <w:rsid w:val="00777696"/>
    <w:rsid w:val="00777FF4"/>
    <w:rsid w:val="00780251"/>
    <w:rsid w:val="007804FE"/>
    <w:rsid w:val="00780F32"/>
    <w:rsid w:val="0078122E"/>
    <w:rsid w:val="00781939"/>
    <w:rsid w:val="00781D29"/>
    <w:rsid w:val="007825EF"/>
    <w:rsid w:val="0078286B"/>
    <w:rsid w:val="00782D2C"/>
    <w:rsid w:val="00782FC2"/>
    <w:rsid w:val="0078347A"/>
    <w:rsid w:val="007842D6"/>
    <w:rsid w:val="00784FC4"/>
    <w:rsid w:val="00785353"/>
    <w:rsid w:val="00785BBB"/>
    <w:rsid w:val="00786937"/>
    <w:rsid w:val="00786FAD"/>
    <w:rsid w:val="007870D7"/>
    <w:rsid w:val="0078754B"/>
    <w:rsid w:val="00787D90"/>
    <w:rsid w:val="00787F5E"/>
    <w:rsid w:val="00790164"/>
    <w:rsid w:val="00790A24"/>
    <w:rsid w:val="00790A37"/>
    <w:rsid w:val="00790A60"/>
    <w:rsid w:val="00790D86"/>
    <w:rsid w:val="0079146D"/>
    <w:rsid w:val="00791C32"/>
    <w:rsid w:val="00791FF0"/>
    <w:rsid w:val="007923D0"/>
    <w:rsid w:val="007930D3"/>
    <w:rsid w:val="007936F2"/>
    <w:rsid w:val="0079381F"/>
    <w:rsid w:val="00793A57"/>
    <w:rsid w:val="00793B2E"/>
    <w:rsid w:val="007948F5"/>
    <w:rsid w:val="00795647"/>
    <w:rsid w:val="007963F6"/>
    <w:rsid w:val="007968B8"/>
    <w:rsid w:val="00796DC8"/>
    <w:rsid w:val="00796E80"/>
    <w:rsid w:val="0079744F"/>
    <w:rsid w:val="007979AD"/>
    <w:rsid w:val="00797A9C"/>
    <w:rsid w:val="007A00FA"/>
    <w:rsid w:val="007A0EAB"/>
    <w:rsid w:val="007A2341"/>
    <w:rsid w:val="007A2754"/>
    <w:rsid w:val="007A2932"/>
    <w:rsid w:val="007A38A1"/>
    <w:rsid w:val="007A3BBE"/>
    <w:rsid w:val="007A4766"/>
    <w:rsid w:val="007A4947"/>
    <w:rsid w:val="007A5747"/>
    <w:rsid w:val="007A5947"/>
    <w:rsid w:val="007A595F"/>
    <w:rsid w:val="007A5C22"/>
    <w:rsid w:val="007A5DB3"/>
    <w:rsid w:val="007A717B"/>
    <w:rsid w:val="007B0313"/>
    <w:rsid w:val="007B0854"/>
    <w:rsid w:val="007B0E48"/>
    <w:rsid w:val="007B1D1B"/>
    <w:rsid w:val="007B303E"/>
    <w:rsid w:val="007B32C0"/>
    <w:rsid w:val="007B32F7"/>
    <w:rsid w:val="007B3659"/>
    <w:rsid w:val="007B38B5"/>
    <w:rsid w:val="007B3BF3"/>
    <w:rsid w:val="007B431B"/>
    <w:rsid w:val="007B4558"/>
    <w:rsid w:val="007B4632"/>
    <w:rsid w:val="007B46A2"/>
    <w:rsid w:val="007B4828"/>
    <w:rsid w:val="007B4B2D"/>
    <w:rsid w:val="007B4D4A"/>
    <w:rsid w:val="007B53DA"/>
    <w:rsid w:val="007B5428"/>
    <w:rsid w:val="007B57FF"/>
    <w:rsid w:val="007B59B7"/>
    <w:rsid w:val="007B5C40"/>
    <w:rsid w:val="007B6C64"/>
    <w:rsid w:val="007B6EC8"/>
    <w:rsid w:val="007B6F81"/>
    <w:rsid w:val="007B7DD4"/>
    <w:rsid w:val="007B7EA2"/>
    <w:rsid w:val="007C097D"/>
    <w:rsid w:val="007C0AF2"/>
    <w:rsid w:val="007C11CE"/>
    <w:rsid w:val="007C1672"/>
    <w:rsid w:val="007C29A0"/>
    <w:rsid w:val="007C2F60"/>
    <w:rsid w:val="007C312A"/>
    <w:rsid w:val="007C338A"/>
    <w:rsid w:val="007C34A9"/>
    <w:rsid w:val="007C3570"/>
    <w:rsid w:val="007C3F3B"/>
    <w:rsid w:val="007C4241"/>
    <w:rsid w:val="007C425E"/>
    <w:rsid w:val="007C51A1"/>
    <w:rsid w:val="007C55FF"/>
    <w:rsid w:val="007C5A87"/>
    <w:rsid w:val="007C5DA2"/>
    <w:rsid w:val="007C5F92"/>
    <w:rsid w:val="007C6339"/>
    <w:rsid w:val="007C753F"/>
    <w:rsid w:val="007C7C43"/>
    <w:rsid w:val="007C7F0D"/>
    <w:rsid w:val="007D06E3"/>
    <w:rsid w:val="007D1134"/>
    <w:rsid w:val="007D17F0"/>
    <w:rsid w:val="007D23F7"/>
    <w:rsid w:val="007D2566"/>
    <w:rsid w:val="007D2C18"/>
    <w:rsid w:val="007D2D74"/>
    <w:rsid w:val="007D3693"/>
    <w:rsid w:val="007D3C6D"/>
    <w:rsid w:val="007D42D3"/>
    <w:rsid w:val="007D481A"/>
    <w:rsid w:val="007D4D52"/>
    <w:rsid w:val="007D4ED0"/>
    <w:rsid w:val="007D5648"/>
    <w:rsid w:val="007D58C5"/>
    <w:rsid w:val="007D5DE8"/>
    <w:rsid w:val="007D6FE9"/>
    <w:rsid w:val="007D7CFC"/>
    <w:rsid w:val="007E0812"/>
    <w:rsid w:val="007E18DF"/>
    <w:rsid w:val="007E22B2"/>
    <w:rsid w:val="007E2C36"/>
    <w:rsid w:val="007E3309"/>
    <w:rsid w:val="007E350D"/>
    <w:rsid w:val="007E3ACA"/>
    <w:rsid w:val="007E564D"/>
    <w:rsid w:val="007E5C4A"/>
    <w:rsid w:val="007E64D4"/>
    <w:rsid w:val="007E66E9"/>
    <w:rsid w:val="007E69F2"/>
    <w:rsid w:val="007E7432"/>
    <w:rsid w:val="007E74BF"/>
    <w:rsid w:val="007F053A"/>
    <w:rsid w:val="007F063B"/>
    <w:rsid w:val="007F14D3"/>
    <w:rsid w:val="007F1D9D"/>
    <w:rsid w:val="007F1E28"/>
    <w:rsid w:val="007F1F63"/>
    <w:rsid w:val="007F22A0"/>
    <w:rsid w:val="007F2903"/>
    <w:rsid w:val="007F2F90"/>
    <w:rsid w:val="007F3320"/>
    <w:rsid w:val="007F382B"/>
    <w:rsid w:val="007F3AC1"/>
    <w:rsid w:val="007F4976"/>
    <w:rsid w:val="007F52AF"/>
    <w:rsid w:val="007F561C"/>
    <w:rsid w:val="007F5A56"/>
    <w:rsid w:val="007F616E"/>
    <w:rsid w:val="007F6B46"/>
    <w:rsid w:val="007F72CB"/>
    <w:rsid w:val="007F736A"/>
    <w:rsid w:val="007F7635"/>
    <w:rsid w:val="007F785F"/>
    <w:rsid w:val="007F7961"/>
    <w:rsid w:val="007F7AF6"/>
    <w:rsid w:val="007F7B36"/>
    <w:rsid w:val="007F7E36"/>
    <w:rsid w:val="007F7F8E"/>
    <w:rsid w:val="00800E6D"/>
    <w:rsid w:val="008014D9"/>
    <w:rsid w:val="0080150F"/>
    <w:rsid w:val="0080153A"/>
    <w:rsid w:val="00801A2A"/>
    <w:rsid w:val="00802041"/>
    <w:rsid w:val="008022C9"/>
    <w:rsid w:val="008024F9"/>
    <w:rsid w:val="00802605"/>
    <w:rsid w:val="008027F1"/>
    <w:rsid w:val="00802F9E"/>
    <w:rsid w:val="00803700"/>
    <w:rsid w:val="00803D9D"/>
    <w:rsid w:val="00804C3F"/>
    <w:rsid w:val="008059C6"/>
    <w:rsid w:val="00805AD7"/>
    <w:rsid w:val="00805BD6"/>
    <w:rsid w:val="00805DE3"/>
    <w:rsid w:val="00805F78"/>
    <w:rsid w:val="00807C35"/>
    <w:rsid w:val="00807F35"/>
    <w:rsid w:val="00807F69"/>
    <w:rsid w:val="008100F7"/>
    <w:rsid w:val="00810206"/>
    <w:rsid w:val="00811561"/>
    <w:rsid w:val="0081166C"/>
    <w:rsid w:val="00811898"/>
    <w:rsid w:val="00811CDC"/>
    <w:rsid w:val="008124D8"/>
    <w:rsid w:val="0081250A"/>
    <w:rsid w:val="00813A7B"/>
    <w:rsid w:val="00813F04"/>
    <w:rsid w:val="00814C2C"/>
    <w:rsid w:val="0081513E"/>
    <w:rsid w:val="00815DA5"/>
    <w:rsid w:val="00816221"/>
    <w:rsid w:val="00817063"/>
    <w:rsid w:val="00817500"/>
    <w:rsid w:val="0081766B"/>
    <w:rsid w:val="00817D03"/>
    <w:rsid w:val="00820705"/>
    <w:rsid w:val="00820BA7"/>
    <w:rsid w:val="00820CBF"/>
    <w:rsid w:val="00820DBC"/>
    <w:rsid w:val="00820FA8"/>
    <w:rsid w:val="008212FD"/>
    <w:rsid w:val="00821489"/>
    <w:rsid w:val="008217B7"/>
    <w:rsid w:val="0082239B"/>
    <w:rsid w:val="008227CD"/>
    <w:rsid w:val="0082292E"/>
    <w:rsid w:val="00822D06"/>
    <w:rsid w:val="00822EC4"/>
    <w:rsid w:val="0082348D"/>
    <w:rsid w:val="008235ED"/>
    <w:rsid w:val="00823624"/>
    <w:rsid w:val="008236BE"/>
    <w:rsid w:val="008241CE"/>
    <w:rsid w:val="008251BA"/>
    <w:rsid w:val="00825240"/>
    <w:rsid w:val="00825B43"/>
    <w:rsid w:val="00826BDF"/>
    <w:rsid w:val="00826F71"/>
    <w:rsid w:val="00827CC0"/>
    <w:rsid w:val="00831026"/>
    <w:rsid w:val="0083119B"/>
    <w:rsid w:val="008315FD"/>
    <w:rsid w:val="00831BAE"/>
    <w:rsid w:val="00831DB1"/>
    <w:rsid w:val="00832216"/>
    <w:rsid w:val="00832321"/>
    <w:rsid w:val="00832CD0"/>
    <w:rsid w:val="00833430"/>
    <w:rsid w:val="0083382A"/>
    <w:rsid w:val="00833FD4"/>
    <w:rsid w:val="00834128"/>
    <w:rsid w:val="0083417F"/>
    <w:rsid w:val="00835143"/>
    <w:rsid w:val="0083569B"/>
    <w:rsid w:val="00835741"/>
    <w:rsid w:val="0083622D"/>
    <w:rsid w:val="00836E74"/>
    <w:rsid w:val="00836EAB"/>
    <w:rsid w:val="00836FDF"/>
    <w:rsid w:val="00837673"/>
    <w:rsid w:val="00837937"/>
    <w:rsid w:val="00837D82"/>
    <w:rsid w:val="00840893"/>
    <w:rsid w:val="00840E88"/>
    <w:rsid w:val="008417E8"/>
    <w:rsid w:val="008418BE"/>
    <w:rsid w:val="008423EC"/>
    <w:rsid w:val="008429A6"/>
    <w:rsid w:val="00843615"/>
    <w:rsid w:val="00843698"/>
    <w:rsid w:val="008439E4"/>
    <w:rsid w:val="00843A4B"/>
    <w:rsid w:val="00843AAC"/>
    <w:rsid w:val="00843B57"/>
    <w:rsid w:val="00843B60"/>
    <w:rsid w:val="00843D33"/>
    <w:rsid w:val="008440DF"/>
    <w:rsid w:val="008444F0"/>
    <w:rsid w:val="00844D4F"/>
    <w:rsid w:val="00845AE3"/>
    <w:rsid w:val="008466A0"/>
    <w:rsid w:val="00847535"/>
    <w:rsid w:val="00847B6D"/>
    <w:rsid w:val="00850172"/>
    <w:rsid w:val="0085092D"/>
    <w:rsid w:val="00850C6C"/>
    <w:rsid w:val="00850C79"/>
    <w:rsid w:val="00850D82"/>
    <w:rsid w:val="00850F79"/>
    <w:rsid w:val="0085100B"/>
    <w:rsid w:val="00852C43"/>
    <w:rsid w:val="0085304C"/>
    <w:rsid w:val="008536BB"/>
    <w:rsid w:val="00853A3C"/>
    <w:rsid w:val="008548CA"/>
    <w:rsid w:val="00854ACB"/>
    <w:rsid w:val="00856B9F"/>
    <w:rsid w:val="00856C06"/>
    <w:rsid w:val="0085790B"/>
    <w:rsid w:val="008579B9"/>
    <w:rsid w:val="00857C95"/>
    <w:rsid w:val="00857E78"/>
    <w:rsid w:val="00860AEF"/>
    <w:rsid w:val="00860B18"/>
    <w:rsid w:val="00860D5E"/>
    <w:rsid w:val="0086122C"/>
    <w:rsid w:val="00861310"/>
    <w:rsid w:val="0086136D"/>
    <w:rsid w:val="00861F53"/>
    <w:rsid w:val="0086289E"/>
    <w:rsid w:val="008629CB"/>
    <w:rsid w:val="00862E11"/>
    <w:rsid w:val="0086394E"/>
    <w:rsid w:val="00863DE0"/>
    <w:rsid w:val="00863F8A"/>
    <w:rsid w:val="00863FE3"/>
    <w:rsid w:val="00864241"/>
    <w:rsid w:val="0086468A"/>
    <w:rsid w:val="008650BE"/>
    <w:rsid w:val="0086633B"/>
    <w:rsid w:val="00866495"/>
    <w:rsid w:val="00866881"/>
    <w:rsid w:val="00866931"/>
    <w:rsid w:val="00866AAA"/>
    <w:rsid w:val="00867512"/>
    <w:rsid w:val="008678A3"/>
    <w:rsid w:val="00867C13"/>
    <w:rsid w:val="00867C1D"/>
    <w:rsid w:val="0087033C"/>
    <w:rsid w:val="00870C8D"/>
    <w:rsid w:val="0087143D"/>
    <w:rsid w:val="008715ED"/>
    <w:rsid w:val="008717D8"/>
    <w:rsid w:val="00871E3C"/>
    <w:rsid w:val="00872CC1"/>
    <w:rsid w:val="00872F97"/>
    <w:rsid w:val="00873149"/>
    <w:rsid w:val="00873E79"/>
    <w:rsid w:val="00874607"/>
    <w:rsid w:val="00874915"/>
    <w:rsid w:val="00874B89"/>
    <w:rsid w:val="00875403"/>
    <w:rsid w:val="00875434"/>
    <w:rsid w:val="00875C1F"/>
    <w:rsid w:val="00876215"/>
    <w:rsid w:val="0087646C"/>
    <w:rsid w:val="00876815"/>
    <w:rsid w:val="00877932"/>
    <w:rsid w:val="008808C7"/>
    <w:rsid w:val="0088106B"/>
    <w:rsid w:val="0088107D"/>
    <w:rsid w:val="008815D1"/>
    <w:rsid w:val="00881E64"/>
    <w:rsid w:val="00882E39"/>
    <w:rsid w:val="00884200"/>
    <w:rsid w:val="008850EB"/>
    <w:rsid w:val="00885228"/>
    <w:rsid w:val="008861D2"/>
    <w:rsid w:val="0088680C"/>
    <w:rsid w:val="00886DF2"/>
    <w:rsid w:val="00886FB9"/>
    <w:rsid w:val="00887057"/>
    <w:rsid w:val="00887080"/>
    <w:rsid w:val="00887563"/>
    <w:rsid w:val="00887C79"/>
    <w:rsid w:val="0089091B"/>
    <w:rsid w:val="0089107B"/>
    <w:rsid w:val="008913CC"/>
    <w:rsid w:val="008914AE"/>
    <w:rsid w:val="008919CF"/>
    <w:rsid w:val="00891BB6"/>
    <w:rsid w:val="00891EDC"/>
    <w:rsid w:val="00891F84"/>
    <w:rsid w:val="008928EC"/>
    <w:rsid w:val="00892B7C"/>
    <w:rsid w:val="00892E5D"/>
    <w:rsid w:val="008935CF"/>
    <w:rsid w:val="0089425E"/>
    <w:rsid w:val="0089436B"/>
    <w:rsid w:val="00894436"/>
    <w:rsid w:val="0089494C"/>
    <w:rsid w:val="00894BB1"/>
    <w:rsid w:val="00894C4E"/>
    <w:rsid w:val="008951D0"/>
    <w:rsid w:val="00895828"/>
    <w:rsid w:val="0089582D"/>
    <w:rsid w:val="008959C6"/>
    <w:rsid w:val="0089606D"/>
    <w:rsid w:val="00896129"/>
    <w:rsid w:val="00896316"/>
    <w:rsid w:val="00896873"/>
    <w:rsid w:val="0089774F"/>
    <w:rsid w:val="00897875"/>
    <w:rsid w:val="00897B8F"/>
    <w:rsid w:val="008A00D9"/>
    <w:rsid w:val="008A07D5"/>
    <w:rsid w:val="008A187A"/>
    <w:rsid w:val="008A1FB7"/>
    <w:rsid w:val="008A229A"/>
    <w:rsid w:val="008A2A23"/>
    <w:rsid w:val="008A2AF5"/>
    <w:rsid w:val="008A2B5A"/>
    <w:rsid w:val="008A3F9D"/>
    <w:rsid w:val="008A4799"/>
    <w:rsid w:val="008A5474"/>
    <w:rsid w:val="008A5C9A"/>
    <w:rsid w:val="008A6005"/>
    <w:rsid w:val="008A614F"/>
    <w:rsid w:val="008A6273"/>
    <w:rsid w:val="008A6A55"/>
    <w:rsid w:val="008A6DF0"/>
    <w:rsid w:val="008A6F6E"/>
    <w:rsid w:val="008A7888"/>
    <w:rsid w:val="008A796E"/>
    <w:rsid w:val="008B0862"/>
    <w:rsid w:val="008B088C"/>
    <w:rsid w:val="008B1475"/>
    <w:rsid w:val="008B1BF5"/>
    <w:rsid w:val="008B2332"/>
    <w:rsid w:val="008B263F"/>
    <w:rsid w:val="008B3045"/>
    <w:rsid w:val="008B47A6"/>
    <w:rsid w:val="008B672C"/>
    <w:rsid w:val="008C065F"/>
    <w:rsid w:val="008C0743"/>
    <w:rsid w:val="008C0B4C"/>
    <w:rsid w:val="008C11F0"/>
    <w:rsid w:val="008C1DBA"/>
    <w:rsid w:val="008C24E7"/>
    <w:rsid w:val="008C2500"/>
    <w:rsid w:val="008C2CAC"/>
    <w:rsid w:val="008C2D70"/>
    <w:rsid w:val="008C3C57"/>
    <w:rsid w:val="008C3E2A"/>
    <w:rsid w:val="008C45A3"/>
    <w:rsid w:val="008C45BD"/>
    <w:rsid w:val="008C4B19"/>
    <w:rsid w:val="008C5139"/>
    <w:rsid w:val="008C62D4"/>
    <w:rsid w:val="008C6B89"/>
    <w:rsid w:val="008C732B"/>
    <w:rsid w:val="008D0689"/>
    <w:rsid w:val="008D18AA"/>
    <w:rsid w:val="008D18E2"/>
    <w:rsid w:val="008D1A2A"/>
    <w:rsid w:val="008D1ADE"/>
    <w:rsid w:val="008D27C5"/>
    <w:rsid w:val="008D35D9"/>
    <w:rsid w:val="008D3B79"/>
    <w:rsid w:val="008D3B85"/>
    <w:rsid w:val="008D417D"/>
    <w:rsid w:val="008D462D"/>
    <w:rsid w:val="008D4645"/>
    <w:rsid w:val="008D560B"/>
    <w:rsid w:val="008D6084"/>
    <w:rsid w:val="008D63B5"/>
    <w:rsid w:val="008D64AC"/>
    <w:rsid w:val="008D66CA"/>
    <w:rsid w:val="008D69B1"/>
    <w:rsid w:val="008D7338"/>
    <w:rsid w:val="008D785E"/>
    <w:rsid w:val="008E0012"/>
    <w:rsid w:val="008E0952"/>
    <w:rsid w:val="008E0DF7"/>
    <w:rsid w:val="008E0FAD"/>
    <w:rsid w:val="008E11E4"/>
    <w:rsid w:val="008E1252"/>
    <w:rsid w:val="008E1347"/>
    <w:rsid w:val="008E16E0"/>
    <w:rsid w:val="008E1C15"/>
    <w:rsid w:val="008E1C9A"/>
    <w:rsid w:val="008E2709"/>
    <w:rsid w:val="008E28BD"/>
    <w:rsid w:val="008E30C4"/>
    <w:rsid w:val="008E331C"/>
    <w:rsid w:val="008E38B4"/>
    <w:rsid w:val="008E3BA4"/>
    <w:rsid w:val="008E44AB"/>
    <w:rsid w:val="008E4F5E"/>
    <w:rsid w:val="008E5179"/>
    <w:rsid w:val="008E57FE"/>
    <w:rsid w:val="008E6428"/>
    <w:rsid w:val="008E6598"/>
    <w:rsid w:val="008E7214"/>
    <w:rsid w:val="008E7884"/>
    <w:rsid w:val="008E7D6E"/>
    <w:rsid w:val="008F1056"/>
    <w:rsid w:val="008F2E8D"/>
    <w:rsid w:val="008F361D"/>
    <w:rsid w:val="008F387B"/>
    <w:rsid w:val="008F3DD9"/>
    <w:rsid w:val="008F42F1"/>
    <w:rsid w:val="008F4814"/>
    <w:rsid w:val="008F4DA6"/>
    <w:rsid w:val="008F538E"/>
    <w:rsid w:val="008F5A20"/>
    <w:rsid w:val="008F5ABA"/>
    <w:rsid w:val="008F67B9"/>
    <w:rsid w:val="008F71AB"/>
    <w:rsid w:val="008F7905"/>
    <w:rsid w:val="008F7989"/>
    <w:rsid w:val="00900890"/>
    <w:rsid w:val="0090103E"/>
    <w:rsid w:val="00901369"/>
    <w:rsid w:val="0090156E"/>
    <w:rsid w:val="00901F1D"/>
    <w:rsid w:val="009020B3"/>
    <w:rsid w:val="00902494"/>
    <w:rsid w:val="009028E8"/>
    <w:rsid w:val="00902E5C"/>
    <w:rsid w:val="00902F36"/>
    <w:rsid w:val="0090363E"/>
    <w:rsid w:val="009046E5"/>
    <w:rsid w:val="009047C5"/>
    <w:rsid w:val="00906ECE"/>
    <w:rsid w:val="0090700A"/>
    <w:rsid w:val="009073A8"/>
    <w:rsid w:val="00910683"/>
    <w:rsid w:val="00910764"/>
    <w:rsid w:val="00910E00"/>
    <w:rsid w:val="009116CE"/>
    <w:rsid w:val="00911714"/>
    <w:rsid w:val="00911774"/>
    <w:rsid w:val="00911D04"/>
    <w:rsid w:val="00911EFF"/>
    <w:rsid w:val="009126F0"/>
    <w:rsid w:val="00912DEF"/>
    <w:rsid w:val="009136D4"/>
    <w:rsid w:val="00914B9A"/>
    <w:rsid w:val="00914C3F"/>
    <w:rsid w:val="00914F33"/>
    <w:rsid w:val="00915FCE"/>
    <w:rsid w:val="00916AFE"/>
    <w:rsid w:val="00916FC8"/>
    <w:rsid w:val="009170D3"/>
    <w:rsid w:val="00917258"/>
    <w:rsid w:val="0091759C"/>
    <w:rsid w:val="00920026"/>
    <w:rsid w:val="009203E2"/>
    <w:rsid w:val="00920F61"/>
    <w:rsid w:val="00921304"/>
    <w:rsid w:val="00921395"/>
    <w:rsid w:val="00921805"/>
    <w:rsid w:val="00921E63"/>
    <w:rsid w:val="009232B9"/>
    <w:rsid w:val="00923396"/>
    <w:rsid w:val="00923B36"/>
    <w:rsid w:val="00923F56"/>
    <w:rsid w:val="00925346"/>
    <w:rsid w:val="00925743"/>
    <w:rsid w:val="0092579F"/>
    <w:rsid w:val="0092643A"/>
    <w:rsid w:val="00926EF7"/>
    <w:rsid w:val="00927E8D"/>
    <w:rsid w:val="00927F23"/>
    <w:rsid w:val="00930144"/>
    <w:rsid w:val="009307CD"/>
    <w:rsid w:val="00930C72"/>
    <w:rsid w:val="009312BE"/>
    <w:rsid w:val="0093133D"/>
    <w:rsid w:val="00931365"/>
    <w:rsid w:val="00931451"/>
    <w:rsid w:val="009314FA"/>
    <w:rsid w:val="0093194F"/>
    <w:rsid w:val="00931BF3"/>
    <w:rsid w:val="00931C55"/>
    <w:rsid w:val="00931D27"/>
    <w:rsid w:val="00933333"/>
    <w:rsid w:val="0093349A"/>
    <w:rsid w:val="009338BA"/>
    <w:rsid w:val="00933FCB"/>
    <w:rsid w:val="00934CEC"/>
    <w:rsid w:val="00934E69"/>
    <w:rsid w:val="00935E70"/>
    <w:rsid w:val="0093609A"/>
    <w:rsid w:val="00937401"/>
    <w:rsid w:val="009376FB"/>
    <w:rsid w:val="00937D6B"/>
    <w:rsid w:val="00940477"/>
    <w:rsid w:val="00940876"/>
    <w:rsid w:val="00940A53"/>
    <w:rsid w:val="00940F3C"/>
    <w:rsid w:val="009410E0"/>
    <w:rsid w:val="00941A34"/>
    <w:rsid w:val="00941FA9"/>
    <w:rsid w:val="00942089"/>
    <w:rsid w:val="009444B4"/>
    <w:rsid w:val="00944644"/>
    <w:rsid w:val="00945623"/>
    <w:rsid w:val="00945C62"/>
    <w:rsid w:val="00946A24"/>
    <w:rsid w:val="009470D4"/>
    <w:rsid w:val="00947337"/>
    <w:rsid w:val="00947E6E"/>
    <w:rsid w:val="00947E93"/>
    <w:rsid w:val="0095025D"/>
    <w:rsid w:val="009509DA"/>
    <w:rsid w:val="009512FA"/>
    <w:rsid w:val="009516A9"/>
    <w:rsid w:val="00951E57"/>
    <w:rsid w:val="009524DB"/>
    <w:rsid w:val="00952505"/>
    <w:rsid w:val="00953018"/>
    <w:rsid w:val="009533E2"/>
    <w:rsid w:val="00953554"/>
    <w:rsid w:val="0095385A"/>
    <w:rsid w:val="0095416F"/>
    <w:rsid w:val="0095780A"/>
    <w:rsid w:val="009578C3"/>
    <w:rsid w:val="009579E4"/>
    <w:rsid w:val="00957AA4"/>
    <w:rsid w:val="00957ACB"/>
    <w:rsid w:val="00957F27"/>
    <w:rsid w:val="00960156"/>
    <w:rsid w:val="00960BDB"/>
    <w:rsid w:val="0096105C"/>
    <w:rsid w:val="0096147D"/>
    <w:rsid w:val="00961D53"/>
    <w:rsid w:val="00961E5F"/>
    <w:rsid w:val="009625C6"/>
    <w:rsid w:val="00962980"/>
    <w:rsid w:val="009629B5"/>
    <w:rsid w:val="00962A50"/>
    <w:rsid w:val="00963347"/>
    <w:rsid w:val="0096409A"/>
    <w:rsid w:val="00964138"/>
    <w:rsid w:val="009648D6"/>
    <w:rsid w:val="00964A0B"/>
    <w:rsid w:val="00964B3F"/>
    <w:rsid w:val="00964C98"/>
    <w:rsid w:val="00967100"/>
    <w:rsid w:val="00971441"/>
    <w:rsid w:val="009715D4"/>
    <w:rsid w:val="0097179A"/>
    <w:rsid w:val="00972105"/>
    <w:rsid w:val="009732A4"/>
    <w:rsid w:val="009739CC"/>
    <w:rsid w:val="00973C05"/>
    <w:rsid w:val="0097494E"/>
    <w:rsid w:val="00974999"/>
    <w:rsid w:val="00974B58"/>
    <w:rsid w:val="00975445"/>
    <w:rsid w:val="009761ED"/>
    <w:rsid w:val="0098022F"/>
    <w:rsid w:val="009808BE"/>
    <w:rsid w:val="00980EAB"/>
    <w:rsid w:val="00981042"/>
    <w:rsid w:val="009810DE"/>
    <w:rsid w:val="00981B91"/>
    <w:rsid w:val="00981DFC"/>
    <w:rsid w:val="009822D7"/>
    <w:rsid w:val="009827E6"/>
    <w:rsid w:val="00982F84"/>
    <w:rsid w:val="0098427D"/>
    <w:rsid w:val="00984567"/>
    <w:rsid w:val="00984E90"/>
    <w:rsid w:val="00985102"/>
    <w:rsid w:val="009854BC"/>
    <w:rsid w:val="00985D08"/>
    <w:rsid w:val="0098606C"/>
    <w:rsid w:val="009865D5"/>
    <w:rsid w:val="00986DF4"/>
    <w:rsid w:val="00986E96"/>
    <w:rsid w:val="009876F2"/>
    <w:rsid w:val="00987C77"/>
    <w:rsid w:val="00987FED"/>
    <w:rsid w:val="00990345"/>
    <w:rsid w:val="00990701"/>
    <w:rsid w:val="00990E2B"/>
    <w:rsid w:val="0099119C"/>
    <w:rsid w:val="0099137A"/>
    <w:rsid w:val="009917A5"/>
    <w:rsid w:val="009919B0"/>
    <w:rsid w:val="00992043"/>
    <w:rsid w:val="0099211C"/>
    <w:rsid w:val="0099349E"/>
    <w:rsid w:val="00993B78"/>
    <w:rsid w:val="00993DBE"/>
    <w:rsid w:val="00995119"/>
    <w:rsid w:val="0099531F"/>
    <w:rsid w:val="009953AD"/>
    <w:rsid w:val="0099583D"/>
    <w:rsid w:val="00996020"/>
    <w:rsid w:val="0099642F"/>
    <w:rsid w:val="00996992"/>
    <w:rsid w:val="00996E1E"/>
    <w:rsid w:val="00997148"/>
    <w:rsid w:val="00997392"/>
    <w:rsid w:val="0099747C"/>
    <w:rsid w:val="0099771C"/>
    <w:rsid w:val="00997C46"/>
    <w:rsid w:val="009A01E4"/>
    <w:rsid w:val="009A0917"/>
    <w:rsid w:val="009A0A33"/>
    <w:rsid w:val="009A1351"/>
    <w:rsid w:val="009A16AD"/>
    <w:rsid w:val="009A2435"/>
    <w:rsid w:val="009A35DC"/>
    <w:rsid w:val="009A38AB"/>
    <w:rsid w:val="009A3A0D"/>
    <w:rsid w:val="009A3D47"/>
    <w:rsid w:val="009A4D63"/>
    <w:rsid w:val="009A5356"/>
    <w:rsid w:val="009A5468"/>
    <w:rsid w:val="009A5D99"/>
    <w:rsid w:val="009A608C"/>
    <w:rsid w:val="009A6FDF"/>
    <w:rsid w:val="009A715F"/>
    <w:rsid w:val="009A76D6"/>
    <w:rsid w:val="009B0E0F"/>
    <w:rsid w:val="009B1DA0"/>
    <w:rsid w:val="009B2374"/>
    <w:rsid w:val="009B2E29"/>
    <w:rsid w:val="009B3163"/>
    <w:rsid w:val="009B422F"/>
    <w:rsid w:val="009B46BC"/>
    <w:rsid w:val="009B4D1A"/>
    <w:rsid w:val="009B4D85"/>
    <w:rsid w:val="009B502F"/>
    <w:rsid w:val="009B558B"/>
    <w:rsid w:val="009B5F29"/>
    <w:rsid w:val="009B61D7"/>
    <w:rsid w:val="009B6A34"/>
    <w:rsid w:val="009B6D21"/>
    <w:rsid w:val="009B78ED"/>
    <w:rsid w:val="009C078B"/>
    <w:rsid w:val="009C181C"/>
    <w:rsid w:val="009C1A44"/>
    <w:rsid w:val="009C1C7F"/>
    <w:rsid w:val="009C1EC7"/>
    <w:rsid w:val="009C28A2"/>
    <w:rsid w:val="009C3239"/>
    <w:rsid w:val="009C37CE"/>
    <w:rsid w:val="009C3828"/>
    <w:rsid w:val="009C3AD3"/>
    <w:rsid w:val="009C3AF4"/>
    <w:rsid w:val="009C3D2C"/>
    <w:rsid w:val="009C3DB7"/>
    <w:rsid w:val="009C3FEE"/>
    <w:rsid w:val="009C4987"/>
    <w:rsid w:val="009C4FDE"/>
    <w:rsid w:val="009C523F"/>
    <w:rsid w:val="009C59BF"/>
    <w:rsid w:val="009C5E4F"/>
    <w:rsid w:val="009C5F64"/>
    <w:rsid w:val="009C5F82"/>
    <w:rsid w:val="009C60EA"/>
    <w:rsid w:val="009C638C"/>
    <w:rsid w:val="009C6BFC"/>
    <w:rsid w:val="009C70F8"/>
    <w:rsid w:val="009C78A3"/>
    <w:rsid w:val="009C7E68"/>
    <w:rsid w:val="009D00D7"/>
    <w:rsid w:val="009D0156"/>
    <w:rsid w:val="009D05DA"/>
    <w:rsid w:val="009D11F6"/>
    <w:rsid w:val="009D131C"/>
    <w:rsid w:val="009D1A14"/>
    <w:rsid w:val="009D1E2A"/>
    <w:rsid w:val="009D1FA0"/>
    <w:rsid w:val="009D23A4"/>
    <w:rsid w:val="009D2562"/>
    <w:rsid w:val="009D2BDF"/>
    <w:rsid w:val="009D3580"/>
    <w:rsid w:val="009D3736"/>
    <w:rsid w:val="009D3EC2"/>
    <w:rsid w:val="009D4529"/>
    <w:rsid w:val="009D5CFD"/>
    <w:rsid w:val="009D604F"/>
    <w:rsid w:val="009D61BB"/>
    <w:rsid w:val="009D6410"/>
    <w:rsid w:val="009D65B8"/>
    <w:rsid w:val="009D6856"/>
    <w:rsid w:val="009D68BB"/>
    <w:rsid w:val="009D70C2"/>
    <w:rsid w:val="009D75A0"/>
    <w:rsid w:val="009D7ADB"/>
    <w:rsid w:val="009D7B33"/>
    <w:rsid w:val="009E06C3"/>
    <w:rsid w:val="009E0703"/>
    <w:rsid w:val="009E1035"/>
    <w:rsid w:val="009E16DA"/>
    <w:rsid w:val="009E1CD4"/>
    <w:rsid w:val="009E2391"/>
    <w:rsid w:val="009E34A5"/>
    <w:rsid w:val="009E35FE"/>
    <w:rsid w:val="009E41A0"/>
    <w:rsid w:val="009E476A"/>
    <w:rsid w:val="009E4E05"/>
    <w:rsid w:val="009E56FF"/>
    <w:rsid w:val="009E5CB1"/>
    <w:rsid w:val="009E5E56"/>
    <w:rsid w:val="009E61EA"/>
    <w:rsid w:val="009E6990"/>
    <w:rsid w:val="009E6FEE"/>
    <w:rsid w:val="009F00B9"/>
    <w:rsid w:val="009F060F"/>
    <w:rsid w:val="009F0781"/>
    <w:rsid w:val="009F0850"/>
    <w:rsid w:val="009F1BDF"/>
    <w:rsid w:val="009F1EAE"/>
    <w:rsid w:val="009F311F"/>
    <w:rsid w:val="009F369D"/>
    <w:rsid w:val="009F36FE"/>
    <w:rsid w:val="009F4990"/>
    <w:rsid w:val="009F4F25"/>
    <w:rsid w:val="009F59C2"/>
    <w:rsid w:val="009F7263"/>
    <w:rsid w:val="009F76EA"/>
    <w:rsid w:val="009F78EB"/>
    <w:rsid w:val="009F7F32"/>
    <w:rsid w:val="009F7FEB"/>
    <w:rsid w:val="00A003D5"/>
    <w:rsid w:val="00A010FD"/>
    <w:rsid w:val="00A0111D"/>
    <w:rsid w:val="00A014B5"/>
    <w:rsid w:val="00A01852"/>
    <w:rsid w:val="00A0188B"/>
    <w:rsid w:val="00A01E73"/>
    <w:rsid w:val="00A023E7"/>
    <w:rsid w:val="00A02B88"/>
    <w:rsid w:val="00A03160"/>
    <w:rsid w:val="00A036AC"/>
    <w:rsid w:val="00A0385E"/>
    <w:rsid w:val="00A03C54"/>
    <w:rsid w:val="00A03DE5"/>
    <w:rsid w:val="00A041BC"/>
    <w:rsid w:val="00A0447F"/>
    <w:rsid w:val="00A046D2"/>
    <w:rsid w:val="00A04A54"/>
    <w:rsid w:val="00A05587"/>
    <w:rsid w:val="00A05732"/>
    <w:rsid w:val="00A05B4B"/>
    <w:rsid w:val="00A05FED"/>
    <w:rsid w:val="00A066C3"/>
    <w:rsid w:val="00A06754"/>
    <w:rsid w:val="00A069E0"/>
    <w:rsid w:val="00A06E4A"/>
    <w:rsid w:val="00A06EE8"/>
    <w:rsid w:val="00A070E9"/>
    <w:rsid w:val="00A074D6"/>
    <w:rsid w:val="00A078FB"/>
    <w:rsid w:val="00A1036D"/>
    <w:rsid w:val="00A1069F"/>
    <w:rsid w:val="00A10ACA"/>
    <w:rsid w:val="00A10D08"/>
    <w:rsid w:val="00A11E78"/>
    <w:rsid w:val="00A11EDB"/>
    <w:rsid w:val="00A120A7"/>
    <w:rsid w:val="00A12355"/>
    <w:rsid w:val="00A127D2"/>
    <w:rsid w:val="00A12DED"/>
    <w:rsid w:val="00A13C44"/>
    <w:rsid w:val="00A13CF5"/>
    <w:rsid w:val="00A143EC"/>
    <w:rsid w:val="00A149E8"/>
    <w:rsid w:val="00A1500F"/>
    <w:rsid w:val="00A151AD"/>
    <w:rsid w:val="00A15621"/>
    <w:rsid w:val="00A15670"/>
    <w:rsid w:val="00A157A0"/>
    <w:rsid w:val="00A1585B"/>
    <w:rsid w:val="00A15C19"/>
    <w:rsid w:val="00A15FE9"/>
    <w:rsid w:val="00A16052"/>
    <w:rsid w:val="00A167AC"/>
    <w:rsid w:val="00A16809"/>
    <w:rsid w:val="00A17769"/>
    <w:rsid w:val="00A17941"/>
    <w:rsid w:val="00A17EA2"/>
    <w:rsid w:val="00A20264"/>
    <w:rsid w:val="00A208E4"/>
    <w:rsid w:val="00A20997"/>
    <w:rsid w:val="00A20B29"/>
    <w:rsid w:val="00A213DD"/>
    <w:rsid w:val="00A21454"/>
    <w:rsid w:val="00A216CE"/>
    <w:rsid w:val="00A22025"/>
    <w:rsid w:val="00A22498"/>
    <w:rsid w:val="00A22571"/>
    <w:rsid w:val="00A2298D"/>
    <w:rsid w:val="00A237BC"/>
    <w:rsid w:val="00A24560"/>
    <w:rsid w:val="00A2565F"/>
    <w:rsid w:val="00A25B0F"/>
    <w:rsid w:val="00A25BBB"/>
    <w:rsid w:val="00A26363"/>
    <w:rsid w:val="00A27207"/>
    <w:rsid w:val="00A279DE"/>
    <w:rsid w:val="00A27FB6"/>
    <w:rsid w:val="00A30121"/>
    <w:rsid w:val="00A30368"/>
    <w:rsid w:val="00A3043A"/>
    <w:rsid w:val="00A30E02"/>
    <w:rsid w:val="00A30F6A"/>
    <w:rsid w:val="00A3157B"/>
    <w:rsid w:val="00A31C3E"/>
    <w:rsid w:val="00A342DF"/>
    <w:rsid w:val="00A34538"/>
    <w:rsid w:val="00A34677"/>
    <w:rsid w:val="00A3540F"/>
    <w:rsid w:val="00A35587"/>
    <w:rsid w:val="00A3559E"/>
    <w:rsid w:val="00A35630"/>
    <w:rsid w:val="00A35692"/>
    <w:rsid w:val="00A35914"/>
    <w:rsid w:val="00A36189"/>
    <w:rsid w:val="00A37E73"/>
    <w:rsid w:val="00A37FB6"/>
    <w:rsid w:val="00A40781"/>
    <w:rsid w:val="00A409E2"/>
    <w:rsid w:val="00A40F08"/>
    <w:rsid w:val="00A4104A"/>
    <w:rsid w:val="00A41081"/>
    <w:rsid w:val="00A411CA"/>
    <w:rsid w:val="00A42080"/>
    <w:rsid w:val="00A42096"/>
    <w:rsid w:val="00A426F3"/>
    <w:rsid w:val="00A4271D"/>
    <w:rsid w:val="00A42FDF"/>
    <w:rsid w:val="00A430A9"/>
    <w:rsid w:val="00A431FE"/>
    <w:rsid w:val="00A4324A"/>
    <w:rsid w:val="00A439E5"/>
    <w:rsid w:val="00A43C3E"/>
    <w:rsid w:val="00A4495C"/>
    <w:rsid w:val="00A4497A"/>
    <w:rsid w:val="00A44BE8"/>
    <w:rsid w:val="00A44C96"/>
    <w:rsid w:val="00A44CDD"/>
    <w:rsid w:val="00A44F54"/>
    <w:rsid w:val="00A45EC5"/>
    <w:rsid w:val="00A45F9B"/>
    <w:rsid w:val="00A46574"/>
    <w:rsid w:val="00A500B1"/>
    <w:rsid w:val="00A52478"/>
    <w:rsid w:val="00A52A53"/>
    <w:rsid w:val="00A52EE5"/>
    <w:rsid w:val="00A53037"/>
    <w:rsid w:val="00A532B9"/>
    <w:rsid w:val="00A5351D"/>
    <w:rsid w:val="00A53AC2"/>
    <w:rsid w:val="00A53B95"/>
    <w:rsid w:val="00A53E79"/>
    <w:rsid w:val="00A54031"/>
    <w:rsid w:val="00A5426D"/>
    <w:rsid w:val="00A5471D"/>
    <w:rsid w:val="00A54FC2"/>
    <w:rsid w:val="00A55122"/>
    <w:rsid w:val="00A55CEA"/>
    <w:rsid w:val="00A563BD"/>
    <w:rsid w:val="00A56DE7"/>
    <w:rsid w:val="00A57EB2"/>
    <w:rsid w:val="00A60065"/>
    <w:rsid w:val="00A6009E"/>
    <w:rsid w:val="00A60265"/>
    <w:rsid w:val="00A60B1F"/>
    <w:rsid w:val="00A60BF3"/>
    <w:rsid w:val="00A6155D"/>
    <w:rsid w:val="00A61C60"/>
    <w:rsid w:val="00A6202C"/>
    <w:rsid w:val="00A62335"/>
    <w:rsid w:val="00A62589"/>
    <w:rsid w:val="00A62AD0"/>
    <w:rsid w:val="00A62C3A"/>
    <w:rsid w:val="00A62FD9"/>
    <w:rsid w:val="00A6319C"/>
    <w:rsid w:val="00A6326A"/>
    <w:rsid w:val="00A63812"/>
    <w:rsid w:val="00A63DF7"/>
    <w:rsid w:val="00A644CC"/>
    <w:rsid w:val="00A6454D"/>
    <w:rsid w:val="00A64CA9"/>
    <w:rsid w:val="00A64F18"/>
    <w:rsid w:val="00A64F2F"/>
    <w:rsid w:val="00A65EDE"/>
    <w:rsid w:val="00A6611E"/>
    <w:rsid w:val="00A668BA"/>
    <w:rsid w:val="00A66FA7"/>
    <w:rsid w:val="00A67E16"/>
    <w:rsid w:val="00A67EB1"/>
    <w:rsid w:val="00A67F7F"/>
    <w:rsid w:val="00A703CC"/>
    <w:rsid w:val="00A70C5C"/>
    <w:rsid w:val="00A710A2"/>
    <w:rsid w:val="00A71EA7"/>
    <w:rsid w:val="00A71F57"/>
    <w:rsid w:val="00A726DD"/>
    <w:rsid w:val="00A730AD"/>
    <w:rsid w:val="00A73741"/>
    <w:rsid w:val="00A73855"/>
    <w:rsid w:val="00A73D64"/>
    <w:rsid w:val="00A74216"/>
    <w:rsid w:val="00A744B4"/>
    <w:rsid w:val="00A751E3"/>
    <w:rsid w:val="00A75504"/>
    <w:rsid w:val="00A75FD7"/>
    <w:rsid w:val="00A76357"/>
    <w:rsid w:val="00A77168"/>
    <w:rsid w:val="00A7723B"/>
    <w:rsid w:val="00A7793C"/>
    <w:rsid w:val="00A77D21"/>
    <w:rsid w:val="00A77FDE"/>
    <w:rsid w:val="00A80085"/>
    <w:rsid w:val="00A8043B"/>
    <w:rsid w:val="00A80703"/>
    <w:rsid w:val="00A80DA0"/>
    <w:rsid w:val="00A81323"/>
    <w:rsid w:val="00A81E43"/>
    <w:rsid w:val="00A820CB"/>
    <w:rsid w:val="00A82342"/>
    <w:rsid w:val="00A82454"/>
    <w:rsid w:val="00A83BEF"/>
    <w:rsid w:val="00A84443"/>
    <w:rsid w:val="00A8487F"/>
    <w:rsid w:val="00A849A3"/>
    <w:rsid w:val="00A84A0E"/>
    <w:rsid w:val="00A86E0B"/>
    <w:rsid w:val="00A90F12"/>
    <w:rsid w:val="00A913C7"/>
    <w:rsid w:val="00A91DAA"/>
    <w:rsid w:val="00A93101"/>
    <w:rsid w:val="00A9366B"/>
    <w:rsid w:val="00A9413E"/>
    <w:rsid w:val="00A94281"/>
    <w:rsid w:val="00A94293"/>
    <w:rsid w:val="00A9496E"/>
    <w:rsid w:val="00A949F0"/>
    <w:rsid w:val="00A94BDE"/>
    <w:rsid w:val="00A94CD7"/>
    <w:rsid w:val="00A94FCA"/>
    <w:rsid w:val="00A95E4C"/>
    <w:rsid w:val="00A96998"/>
    <w:rsid w:val="00A96C60"/>
    <w:rsid w:val="00A9740B"/>
    <w:rsid w:val="00A9766C"/>
    <w:rsid w:val="00A977F8"/>
    <w:rsid w:val="00A979DB"/>
    <w:rsid w:val="00A97C93"/>
    <w:rsid w:val="00AA08E7"/>
    <w:rsid w:val="00AA0A06"/>
    <w:rsid w:val="00AA1351"/>
    <w:rsid w:val="00AA184C"/>
    <w:rsid w:val="00AA19F8"/>
    <w:rsid w:val="00AA1C84"/>
    <w:rsid w:val="00AA3D7B"/>
    <w:rsid w:val="00AA42A0"/>
    <w:rsid w:val="00AA442B"/>
    <w:rsid w:val="00AA46A4"/>
    <w:rsid w:val="00AA5779"/>
    <w:rsid w:val="00AA58A1"/>
    <w:rsid w:val="00AA61C7"/>
    <w:rsid w:val="00AA6559"/>
    <w:rsid w:val="00AA669D"/>
    <w:rsid w:val="00AA66ED"/>
    <w:rsid w:val="00AA6B59"/>
    <w:rsid w:val="00AA6BE1"/>
    <w:rsid w:val="00AA7416"/>
    <w:rsid w:val="00AA7A60"/>
    <w:rsid w:val="00AA7B42"/>
    <w:rsid w:val="00AB041C"/>
    <w:rsid w:val="00AB14E8"/>
    <w:rsid w:val="00AB1B1D"/>
    <w:rsid w:val="00AB1B32"/>
    <w:rsid w:val="00AB2216"/>
    <w:rsid w:val="00AB358D"/>
    <w:rsid w:val="00AB37A1"/>
    <w:rsid w:val="00AB3BAD"/>
    <w:rsid w:val="00AB3CFD"/>
    <w:rsid w:val="00AB4244"/>
    <w:rsid w:val="00AB49BC"/>
    <w:rsid w:val="00AB4DEE"/>
    <w:rsid w:val="00AB4E32"/>
    <w:rsid w:val="00AB5649"/>
    <w:rsid w:val="00AB5C19"/>
    <w:rsid w:val="00AB6534"/>
    <w:rsid w:val="00AB724B"/>
    <w:rsid w:val="00AB726C"/>
    <w:rsid w:val="00AB72B4"/>
    <w:rsid w:val="00AB7B86"/>
    <w:rsid w:val="00AC02AA"/>
    <w:rsid w:val="00AC0537"/>
    <w:rsid w:val="00AC0A84"/>
    <w:rsid w:val="00AC1508"/>
    <w:rsid w:val="00AC2A0B"/>
    <w:rsid w:val="00AC2BEE"/>
    <w:rsid w:val="00AC2E53"/>
    <w:rsid w:val="00AC484F"/>
    <w:rsid w:val="00AC4B20"/>
    <w:rsid w:val="00AC56F2"/>
    <w:rsid w:val="00AC71C3"/>
    <w:rsid w:val="00AC7AC6"/>
    <w:rsid w:val="00AD09F7"/>
    <w:rsid w:val="00AD1EFA"/>
    <w:rsid w:val="00AD2072"/>
    <w:rsid w:val="00AD2DBD"/>
    <w:rsid w:val="00AD2FBF"/>
    <w:rsid w:val="00AD31F5"/>
    <w:rsid w:val="00AD33AC"/>
    <w:rsid w:val="00AD340E"/>
    <w:rsid w:val="00AD455D"/>
    <w:rsid w:val="00AD463C"/>
    <w:rsid w:val="00AD4F60"/>
    <w:rsid w:val="00AD5044"/>
    <w:rsid w:val="00AD5114"/>
    <w:rsid w:val="00AD6236"/>
    <w:rsid w:val="00AD69D5"/>
    <w:rsid w:val="00AD6CF7"/>
    <w:rsid w:val="00AD7619"/>
    <w:rsid w:val="00AD7770"/>
    <w:rsid w:val="00AD7BE4"/>
    <w:rsid w:val="00AE04B0"/>
    <w:rsid w:val="00AE1772"/>
    <w:rsid w:val="00AE1990"/>
    <w:rsid w:val="00AE249C"/>
    <w:rsid w:val="00AE25C0"/>
    <w:rsid w:val="00AE25E8"/>
    <w:rsid w:val="00AE2AD4"/>
    <w:rsid w:val="00AE2CA7"/>
    <w:rsid w:val="00AE2F1D"/>
    <w:rsid w:val="00AE4C81"/>
    <w:rsid w:val="00AE534E"/>
    <w:rsid w:val="00AE5700"/>
    <w:rsid w:val="00AE586F"/>
    <w:rsid w:val="00AE6582"/>
    <w:rsid w:val="00AE6DC5"/>
    <w:rsid w:val="00AE6E4D"/>
    <w:rsid w:val="00AE7686"/>
    <w:rsid w:val="00AE799A"/>
    <w:rsid w:val="00AF041E"/>
    <w:rsid w:val="00AF0E81"/>
    <w:rsid w:val="00AF117A"/>
    <w:rsid w:val="00AF15A7"/>
    <w:rsid w:val="00AF16CA"/>
    <w:rsid w:val="00AF186E"/>
    <w:rsid w:val="00AF19DF"/>
    <w:rsid w:val="00AF1D41"/>
    <w:rsid w:val="00AF26CF"/>
    <w:rsid w:val="00AF2CC5"/>
    <w:rsid w:val="00AF344D"/>
    <w:rsid w:val="00AF39B3"/>
    <w:rsid w:val="00AF4402"/>
    <w:rsid w:val="00AF4639"/>
    <w:rsid w:val="00AF4E92"/>
    <w:rsid w:val="00AF554B"/>
    <w:rsid w:val="00AF5C9B"/>
    <w:rsid w:val="00AF5CED"/>
    <w:rsid w:val="00AF5D53"/>
    <w:rsid w:val="00AF5E2D"/>
    <w:rsid w:val="00AF644B"/>
    <w:rsid w:val="00AF69EB"/>
    <w:rsid w:val="00AF6CA6"/>
    <w:rsid w:val="00AF6EB6"/>
    <w:rsid w:val="00AF7796"/>
    <w:rsid w:val="00AF7EA2"/>
    <w:rsid w:val="00B011A7"/>
    <w:rsid w:val="00B011A9"/>
    <w:rsid w:val="00B01BAF"/>
    <w:rsid w:val="00B024ED"/>
    <w:rsid w:val="00B026B8"/>
    <w:rsid w:val="00B02B49"/>
    <w:rsid w:val="00B02EB3"/>
    <w:rsid w:val="00B02FCB"/>
    <w:rsid w:val="00B033F8"/>
    <w:rsid w:val="00B03C1E"/>
    <w:rsid w:val="00B04259"/>
    <w:rsid w:val="00B043FA"/>
    <w:rsid w:val="00B04400"/>
    <w:rsid w:val="00B04835"/>
    <w:rsid w:val="00B053A0"/>
    <w:rsid w:val="00B05A55"/>
    <w:rsid w:val="00B05DE1"/>
    <w:rsid w:val="00B06595"/>
    <w:rsid w:val="00B06C81"/>
    <w:rsid w:val="00B07031"/>
    <w:rsid w:val="00B07439"/>
    <w:rsid w:val="00B10109"/>
    <w:rsid w:val="00B10776"/>
    <w:rsid w:val="00B1085E"/>
    <w:rsid w:val="00B10FD1"/>
    <w:rsid w:val="00B1125B"/>
    <w:rsid w:val="00B11E1D"/>
    <w:rsid w:val="00B11F65"/>
    <w:rsid w:val="00B1219D"/>
    <w:rsid w:val="00B12735"/>
    <w:rsid w:val="00B12F44"/>
    <w:rsid w:val="00B13C48"/>
    <w:rsid w:val="00B13E35"/>
    <w:rsid w:val="00B13EC0"/>
    <w:rsid w:val="00B14102"/>
    <w:rsid w:val="00B14D32"/>
    <w:rsid w:val="00B1557C"/>
    <w:rsid w:val="00B155DC"/>
    <w:rsid w:val="00B15766"/>
    <w:rsid w:val="00B15E4A"/>
    <w:rsid w:val="00B1666A"/>
    <w:rsid w:val="00B1686D"/>
    <w:rsid w:val="00B16B4F"/>
    <w:rsid w:val="00B16BF7"/>
    <w:rsid w:val="00B17129"/>
    <w:rsid w:val="00B1741D"/>
    <w:rsid w:val="00B17447"/>
    <w:rsid w:val="00B1771D"/>
    <w:rsid w:val="00B17B91"/>
    <w:rsid w:val="00B20209"/>
    <w:rsid w:val="00B203C9"/>
    <w:rsid w:val="00B2088D"/>
    <w:rsid w:val="00B208FF"/>
    <w:rsid w:val="00B20943"/>
    <w:rsid w:val="00B22E22"/>
    <w:rsid w:val="00B22F5F"/>
    <w:rsid w:val="00B231D9"/>
    <w:rsid w:val="00B23813"/>
    <w:rsid w:val="00B23FD9"/>
    <w:rsid w:val="00B24342"/>
    <w:rsid w:val="00B24591"/>
    <w:rsid w:val="00B245D5"/>
    <w:rsid w:val="00B245EF"/>
    <w:rsid w:val="00B2464D"/>
    <w:rsid w:val="00B24966"/>
    <w:rsid w:val="00B24C36"/>
    <w:rsid w:val="00B24DE5"/>
    <w:rsid w:val="00B24F94"/>
    <w:rsid w:val="00B25126"/>
    <w:rsid w:val="00B25A52"/>
    <w:rsid w:val="00B25FC3"/>
    <w:rsid w:val="00B263B3"/>
    <w:rsid w:val="00B27875"/>
    <w:rsid w:val="00B30001"/>
    <w:rsid w:val="00B3008D"/>
    <w:rsid w:val="00B3050F"/>
    <w:rsid w:val="00B30E11"/>
    <w:rsid w:val="00B30EAE"/>
    <w:rsid w:val="00B30EEB"/>
    <w:rsid w:val="00B31423"/>
    <w:rsid w:val="00B323E0"/>
    <w:rsid w:val="00B326D8"/>
    <w:rsid w:val="00B32DC0"/>
    <w:rsid w:val="00B3346C"/>
    <w:rsid w:val="00B335E4"/>
    <w:rsid w:val="00B33C23"/>
    <w:rsid w:val="00B345B4"/>
    <w:rsid w:val="00B348B1"/>
    <w:rsid w:val="00B34A28"/>
    <w:rsid w:val="00B34BE2"/>
    <w:rsid w:val="00B34DF5"/>
    <w:rsid w:val="00B34E51"/>
    <w:rsid w:val="00B35046"/>
    <w:rsid w:val="00B35B6A"/>
    <w:rsid w:val="00B36114"/>
    <w:rsid w:val="00B36D2B"/>
    <w:rsid w:val="00B37171"/>
    <w:rsid w:val="00B37657"/>
    <w:rsid w:val="00B37AFD"/>
    <w:rsid w:val="00B37B07"/>
    <w:rsid w:val="00B4046F"/>
    <w:rsid w:val="00B406B3"/>
    <w:rsid w:val="00B40A36"/>
    <w:rsid w:val="00B40F3D"/>
    <w:rsid w:val="00B41D39"/>
    <w:rsid w:val="00B422C0"/>
    <w:rsid w:val="00B4231D"/>
    <w:rsid w:val="00B426CA"/>
    <w:rsid w:val="00B426E1"/>
    <w:rsid w:val="00B4387A"/>
    <w:rsid w:val="00B44746"/>
    <w:rsid w:val="00B44854"/>
    <w:rsid w:val="00B44BA5"/>
    <w:rsid w:val="00B458D0"/>
    <w:rsid w:val="00B46915"/>
    <w:rsid w:val="00B46A84"/>
    <w:rsid w:val="00B471FE"/>
    <w:rsid w:val="00B4792C"/>
    <w:rsid w:val="00B50CAE"/>
    <w:rsid w:val="00B512AD"/>
    <w:rsid w:val="00B5196C"/>
    <w:rsid w:val="00B51D2C"/>
    <w:rsid w:val="00B525CB"/>
    <w:rsid w:val="00B52697"/>
    <w:rsid w:val="00B5318C"/>
    <w:rsid w:val="00B537EA"/>
    <w:rsid w:val="00B54D8F"/>
    <w:rsid w:val="00B55857"/>
    <w:rsid w:val="00B55C69"/>
    <w:rsid w:val="00B56851"/>
    <w:rsid w:val="00B569D4"/>
    <w:rsid w:val="00B56BA8"/>
    <w:rsid w:val="00B56D6E"/>
    <w:rsid w:val="00B572F7"/>
    <w:rsid w:val="00B57B9D"/>
    <w:rsid w:val="00B57DAF"/>
    <w:rsid w:val="00B60094"/>
    <w:rsid w:val="00B6022C"/>
    <w:rsid w:val="00B614F8"/>
    <w:rsid w:val="00B61994"/>
    <w:rsid w:val="00B61FD4"/>
    <w:rsid w:val="00B62880"/>
    <w:rsid w:val="00B63872"/>
    <w:rsid w:val="00B63CB2"/>
    <w:rsid w:val="00B64246"/>
    <w:rsid w:val="00B64EDB"/>
    <w:rsid w:val="00B65010"/>
    <w:rsid w:val="00B65938"/>
    <w:rsid w:val="00B65C8A"/>
    <w:rsid w:val="00B65CE2"/>
    <w:rsid w:val="00B660AD"/>
    <w:rsid w:val="00B66109"/>
    <w:rsid w:val="00B66349"/>
    <w:rsid w:val="00B663F4"/>
    <w:rsid w:val="00B66CB4"/>
    <w:rsid w:val="00B67903"/>
    <w:rsid w:val="00B67FBF"/>
    <w:rsid w:val="00B70832"/>
    <w:rsid w:val="00B71376"/>
    <w:rsid w:val="00B71617"/>
    <w:rsid w:val="00B716D7"/>
    <w:rsid w:val="00B72110"/>
    <w:rsid w:val="00B72B91"/>
    <w:rsid w:val="00B73019"/>
    <w:rsid w:val="00B7315F"/>
    <w:rsid w:val="00B7323A"/>
    <w:rsid w:val="00B7353B"/>
    <w:rsid w:val="00B737FB"/>
    <w:rsid w:val="00B73E5D"/>
    <w:rsid w:val="00B73EF3"/>
    <w:rsid w:val="00B7423D"/>
    <w:rsid w:val="00B74D05"/>
    <w:rsid w:val="00B75893"/>
    <w:rsid w:val="00B777FA"/>
    <w:rsid w:val="00B77850"/>
    <w:rsid w:val="00B7796B"/>
    <w:rsid w:val="00B80BFD"/>
    <w:rsid w:val="00B80C72"/>
    <w:rsid w:val="00B81586"/>
    <w:rsid w:val="00B81964"/>
    <w:rsid w:val="00B81BCE"/>
    <w:rsid w:val="00B81E6F"/>
    <w:rsid w:val="00B82123"/>
    <w:rsid w:val="00B8225B"/>
    <w:rsid w:val="00B82BB5"/>
    <w:rsid w:val="00B83182"/>
    <w:rsid w:val="00B839F0"/>
    <w:rsid w:val="00B84769"/>
    <w:rsid w:val="00B848D0"/>
    <w:rsid w:val="00B851BA"/>
    <w:rsid w:val="00B851E4"/>
    <w:rsid w:val="00B854CE"/>
    <w:rsid w:val="00B85681"/>
    <w:rsid w:val="00B857EB"/>
    <w:rsid w:val="00B86162"/>
    <w:rsid w:val="00B86877"/>
    <w:rsid w:val="00B8695D"/>
    <w:rsid w:val="00B86E66"/>
    <w:rsid w:val="00B873BA"/>
    <w:rsid w:val="00B8746F"/>
    <w:rsid w:val="00B8760D"/>
    <w:rsid w:val="00B87706"/>
    <w:rsid w:val="00B90A49"/>
    <w:rsid w:val="00B90A73"/>
    <w:rsid w:val="00B90E0D"/>
    <w:rsid w:val="00B91B8E"/>
    <w:rsid w:val="00B91DFA"/>
    <w:rsid w:val="00B92531"/>
    <w:rsid w:val="00B92618"/>
    <w:rsid w:val="00B92751"/>
    <w:rsid w:val="00B92B69"/>
    <w:rsid w:val="00B92CC6"/>
    <w:rsid w:val="00B935C9"/>
    <w:rsid w:val="00B93E3D"/>
    <w:rsid w:val="00B95441"/>
    <w:rsid w:val="00B95464"/>
    <w:rsid w:val="00B95C30"/>
    <w:rsid w:val="00B95E3D"/>
    <w:rsid w:val="00B9691F"/>
    <w:rsid w:val="00B96EEC"/>
    <w:rsid w:val="00B97392"/>
    <w:rsid w:val="00B97669"/>
    <w:rsid w:val="00B976C7"/>
    <w:rsid w:val="00BA0B40"/>
    <w:rsid w:val="00BA0C54"/>
    <w:rsid w:val="00BA0E5F"/>
    <w:rsid w:val="00BA1382"/>
    <w:rsid w:val="00BA15E3"/>
    <w:rsid w:val="00BA1A8C"/>
    <w:rsid w:val="00BA20D8"/>
    <w:rsid w:val="00BA2140"/>
    <w:rsid w:val="00BA22FC"/>
    <w:rsid w:val="00BA290F"/>
    <w:rsid w:val="00BA2C2A"/>
    <w:rsid w:val="00BA2F30"/>
    <w:rsid w:val="00BA3982"/>
    <w:rsid w:val="00BA3BF9"/>
    <w:rsid w:val="00BA3F04"/>
    <w:rsid w:val="00BA4771"/>
    <w:rsid w:val="00BA5027"/>
    <w:rsid w:val="00BA59F2"/>
    <w:rsid w:val="00BA665B"/>
    <w:rsid w:val="00BA6FE8"/>
    <w:rsid w:val="00BA732D"/>
    <w:rsid w:val="00BA7370"/>
    <w:rsid w:val="00BA778B"/>
    <w:rsid w:val="00BA7E10"/>
    <w:rsid w:val="00BB0888"/>
    <w:rsid w:val="00BB0DF1"/>
    <w:rsid w:val="00BB0E81"/>
    <w:rsid w:val="00BB0E9B"/>
    <w:rsid w:val="00BB19CD"/>
    <w:rsid w:val="00BB2841"/>
    <w:rsid w:val="00BB300F"/>
    <w:rsid w:val="00BB32C9"/>
    <w:rsid w:val="00BB35C5"/>
    <w:rsid w:val="00BB4C8E"/>
    <w:rsid w:val="00BB57ED"/>
    <w:rsid w:val="00BB6545"/>
    <w:rsid w:val="00BB65C3"/>
    <w:rsid w:val="00BB662E"/>
    <w:rsid w:val="00BB67A9"/>
    <w:rsid w:val="00BB6C01"/>
    <w:rsid w:val="00BB7198"/>
    <w:rsid w:val="00BB7942"/>
    <w:rsid w:val="00BB7A1E"/>
    <w:rsid w:val="00BB7CD1"/>
    <w:rsid w:val="00BC0F33"/>
    <w:rsid w:val="00BC14A7"/>
    <w:rsid w:val="00BC17CC"/>
    <w:rsid w:val="00BC2898"/>
    <w:rsid w:val="00BC2928"/>
    <w:rsid w:val="00BC29BD"/>
    <w:rsid w:val="00BC2BB1"/>
    <w:rsid w:val="00BC34A3"/>
    <w:rsid w:val="00BC3FF9"/>
    <w:rsid w:val="00BC44B8"/>
    <w:rsid w:val="00BC4834"/>
    <w:rsid w:val="00BC4A97"/>
    <w:rsid w:val="00BC4E15"/>
    <w:rsid w:val="00BC5A25"/>
    <w:rsid w:val="00BC5FDD"/>
    <w:rsid w:val="00BC62AA"/>
    <w:rsid w:val="00BC68B4"/>
    <w:rsid w:val="00BC6C4E"/>
    <w:rsid w:val="00BC73A7"/>
    <w:rsid w:val="00BC7BC1"/>
    <w:rsid w:val="00BD0140"/>
    <w:rsid w:val="00BD02CC"/>
    <w:rsid w:val="00BD088E"/>
    <w:rsid w:val="00BD0F18"/>
    <w:rsid w:val="00BD194C"/>
    <w:rsid w:val="00BD2063"/>
    <w:rsid w:val="00BD33D9"/>
    <w:rsid w:val="00BD38C5"/>
    <w:rsid w:val="00BD3DEA"/>
    <w:rsid w:val="00BD3E97"/>
    <w:rsid w:val="00BD40E4"/>
    <w:rsid w:val="00BD4385"/>
    <w:rsid w:val="00BD52FE"/>
    <w:rsid w:val="00BD5FD5"/>
    <w:rsid w:val="00BD62CF"/>
    <w:rsid w:val="00BD67B2"/>
    <w:rsid w:val="00BD68E2"/>
    <w:rsid w:val="00BD6A55"/>
    <w:rsid w:val="00BD6C11"/>
    <w:rsid w:val="00BD76E5"/>
    <w:rsid w:val="00BD78FE"/>
    <w:rsid w:val="00BD7D10"/>
    <w:rsid w:val="00BD7D8A"/>
    <w:rsid w:val="00BE0149"/>
    <w:rsid w:val="00BE0767"/>
    <w:rsid w:val="00BE12D7"/>
    <w:rsid w:val="00BE1372"/>
    <w:rsid w:val="00BE1775"/>
    <w:rsid w:val="00BE18DA"/>
    <w:rsid w:val="00BE26C0"/>
    <w:rsid w:val="00BE3442"/>
    <w:rsid w:val="00BE37CD"/>
    <w:rsid w:val="00BE47B2"/>
    <w:rsid w:val="00BE488E"/>
    <w:rsid w:val="00BE48C7"/>
    <w:rsid w:val="00BE48F2"/>
    <w:rsid w:val="00BE4C4F"/>
    <w:rsid w:val="00BE4F66"/>
    <w:rsid w:val="00BE5238"/>
    <w:rsid w:val="00BE6074"/>
    <w:rsid w:val="00BE7257"/>
    <w:rsid w:val="00BF020D"/>
    <w:rsid w:val="00BF0609"/>
    <w:rsid w:val="00BF0E64"/>
    <w:rsid w:val="00BF0EE8"/>
    <w:rsid w:val="00BF1DD2"/>
    <w:rsid w:val="00BF23A3"/>
    <w:rsid w:val="00BF2A7E"/>
    <w:rsid w:val="00BF3331"/>
    <w:rsid w:val="00BF3A45"/>
    <w:rsid w:val="00BF436F"/>
    <w:rsid w:val="00BF5C05"/>
    <w:rsid w:val="00BF6FC6"/>
    <w:rsid w:val="00BF7C52"/>
    <w:rsid w:val="00BF7F99"/>
    <w:rsid w:val="00C00713"/>
    <w:rsid w:val="00C009A0"/>
    <w:rsid w:val="00C01912"/>
    <w:rsid w:val="00C01F74"/>
    <w:rsid w:val="00C02558"/>
    <w:rsid w:val="00C0285F"/>
    <w:rsid w:val="00C02F35"/>
    <w:rsid w:val="00C03305"/>
    <w:rsid w:val="00C03515"/>
    <w:rsid w:val="00C03738"/>
    <w:rsid w:val="00C037A6"/>
    <w:rsid w:val="00C043F5"/>
    <w:rsid w:val="00C044E3"/>
    <w:rsid w:val="00C04607"/>
    <w:rsid w:val="00C04BDB"/>
    <w:rsid w:val="00C052C6"/>
    <w:rsid w:val="00C05A61"/>
    <w:rsid w:val="00C05FEE"/>
    <w:rsid w:val="00C06CCF"/>
    <w:rsid w:val="00C06F3F"/>
    <w:rsid w:val="00C0794D"/>
    <w:rsid w:val="00C10688"/>
    <w:rsid w:val="00C10E78"/>
    <w:rsid w:val="00C114A0"/>
    <w:rsid w:val="00C1159D"/>
    <w:rsid w:val="00C1233E"/>
    <w:rsid w:val="00C123F6"/>
    <w:rsid w:val="00C12475"/>
    <w:rsid w:val="00C12FB3"/>
    <w:rsid w:val="00C138BC"/>
    <w:rsid w:val="00C13BFD"/>
    <w:rsid w:val="00C13D85"/>
    <w:rsid w:val="00C14639"/>
    <w:rsid w:val="00C14E82"/>
    <w:rsid w:val="00C14FF6"/>
    <w:rsid w:val="00C15A85"/>
    <w:rsid w:val="00C1637C"/>
    <w:rsid w:val="00C1641B"/>
    <w:rsid w:val="00C165FC"/>
    <w:rsid w:val="00C1684D"/>
    <w:rsid w:val="00C17109"/>
    <w:rsid w:val="00C17492"/>
    <w:rsid w:val="00C176D5"/>
    <w:rsid w:val="00C17D24"/>
    <w:rsid w:val="00C2082C"/>
    <w:rsid w:val="00C20EB0"/>
    <w:rsid w:val="00C21004"/>
    <w:rsid w:val="00C21005"/>
    <w:rsid w:val="00C220B6"/>
    <w:rsid w:val="00C22D7C"/>
    <w:rsid w:val="00C22DDE"/>
    <w:rsid w:val="00C2338B"/>
    <w:rsid w:val="00C233CE"/>
    <w:rsid w:val="00C23639"/>
    <w:rsid w:val="00C237DD"/>
    <w:rsid w:val="00C238F4"/>
    <w:rsid w:val="00C23A99"/>
    <w:rsid w:val="00C245EE"/>
    <w:rsid w:val="00C24AE1"/>
    <w:rsid w:val="00C24B8D"/>
    <w:rsid w:val="00C24BD7"/>
    <w:rsid w:val="00C25813"/>
    <w:rsid w:val="00C27143"/>
    <w:rsid w:val="00C272CE"/>
    <w:rsid w:val="00C27490"/>
    <w:rsid w:val="00C27D37"/>
    <w:rsid w:val="00C30945"/>
    <w:rsid w:val="00C309E8"/>
    <w:rsid w:val="00C31EEA"/>
    <w:rsid w:val="00C32017"/>
    <w:rsid w:val="00C32571"/>
    <w:rsid w:val="00C325CD"/>
    <w:rsid w:val="00C3322E"/>
    <w:rsid w:val="00C332AD"/>
    <w:rsid w:val="00C337F5"/>
    <w:rsid w:val="00C33B90"/>
    <w:rsid w:val="00C34161"/>
    <w:rsid w:val="00C34B5F"/>
    <w:rsid w:val="00C35720"/>
    <w:rsid w:val="00C358D4"/>
    <w:rsid w:val="00C35AAA"/>
    <w:rsid w:val="00C365C6"/>
    <w:rsid w:val="00C366F4"/>
    <w:rsid w:val="00C36785"/>
    <w:rsid w:val="00C36D17"/>
    <w:rsid w:val="00C3711C"/>
    <w:rsid w:val="00C37256"/>
    <w:rsid w:val="00C37A7B"/>
    <w:rsid w:val="00C37B0E"/>
    <w:rsid w:val="00C37FFE"/>
    <w:rsid w:val="00C40B50"/>
    <w:rsid w:val="00C41348"/>
    <w:rsid w:val="00C419E3"/>
    <w:rsid w:val="00C419F4"/>
    <w:rsid w:val="00C41E6A"/>
    <w:rsid w:val="00C42093"/>
    <w:rsid w:val="00C42247"/>
    <w:rsid w:val="00C439BE"/>
    <w:rsid w:val="00C4494B"/>
    <w:rsid w:val="00C4539B"/>
    <w:rsid w:val="00C45466"/>
    <w:rsid w:val="00C454EB"/>
    <w:rsid w:val="00C455C1"/>
    <w:rsid w:val="00C4581D"/>
    <w:rsid w:val="00C45FE3"/>
    <w:rsid w:val="00C46269"/>
    <w:rsid w:val="00C47472"/>
    <w:rsid w:val="00C500F0"/>
    <w:rsid w:val="00C504A7"/>
    <w:rsid w:val="00C506C9"/>
    <w:rsid w:val="00C50A16"/>
    <w:rsid w:val="00C51C9A"/>
    <w:rsid w:val="00C51FAA"/>
    <w:rsid w:val="00C52C68"/>
    <w:rsid w:val="00C52D98"/>
    <w:rsid w:val="00C52DA1"/>
    <w:rsid w:val="00C53D24"/>
    <w:rsid w:val="00C54640"/>
    <w:rsid w:val="00C547A6"/>
    <w:rsid w:val="00C54A3A"/>
    <w:rsid w:val="00C55B52"/>
    <w:rsid w:val="00C55C32"/>
    <w:rsid w:val="00C55FFD"/>
    <w:rsid w:val="00C56976"/>
    <w:rsid w:val="00C56A67"/>
    <w:rsid w:val="00C56CC2"/>
    <w:rsid w:val="00C57498"/>
    <w:rsid w:val="00C5763C"/>
    <w:rsid w:val="00C5780C"/>
    <w:rsid w:val="00C5796B"/>
    <w:rsid w:val="00C612C4"/>
    <w:rsid w:val="00C619A1"/>
    <w:rsid w:val="00C61B46"/>
    <w:rsid w:val="00C62027"/>
    <w:rsid w:val="00C621FC"/>
    <w:rsid w:val="00C62370"/>
    <w:rsid w:val="00C62BBB"/>
    <w:rsid w:val="00C6305F"/>
    <w:rsid w:val="00C6325B"/>
    <w:rsid w:val="00C63E99"/>
    <w:rsid w:val="00C649B8"/>
    <w:rsid w:val="00C64A64"/>
    <w:rsid w:val="00C65151"/>
    <w:rsid w:val="00C657F4"/>
    <w:rsid w:val="00C658D6"/>
    <w:rsid w:val="00C6598D"/>
    <w:rsid w:val="00C660FE"/>
    <w:rsid w:val="00C66119"/>
    <w:rsid w:val="00C66292"/>
    <w:rsid w:val="00C672A3"/>
    <w:rsid w:val="00C672F1"/>
    <w:rsid w:val="00C673D0"/>
    <w:rsid w:val="00C6742E"/>
    <w:rsid w:val="00C67B0B"/>
    <w:rsid w:val="00C67D3B"/>
    <w:rsid w:val="00C70012"/>
    <w:rsid w:val="00C71C91"/>
    <w:rsid w:val="00C71E2A"/>
    <w:rsid w:val="00C733BA"/>
    <w:rsid w:val="00C73D00"/>
    <w:rsid w:val="00C760DC"/>
    <w:rsid w:val="00C767D6"/>
    <w:rsid w:val="00C76931"/>
    <w:rsid w:val="00C7774B"/>
    <w:rsid w:val="00C8082B"/>
    <w:rsid w:val="00C812CE"/>
    <w:rsid w:val="00C81A88"/>
    <w:rsid w:val="00C81D46"/>
    <w:rsid w:val="00C82298"/>
    <w:rsid w:val="00C82A80"/>
    <w:rsid w:val="00C833B4"/>
    <w:rsid w:val="00C838B0"/>
    <w:rsid w:val="00C83D95"/>
    <w:rsid w:val="00C84284"/>
    <w:rsid w:val="00C84B35"/>
    <w:rsid w:val="00C84E33"/>
    <w:rsid w:val="00C85FFC"/>
    <w:rsid w:val="00C861FC"/>
    <w:rsid w:val="00C86C87"/>
    <w:rsid w:val="00C87F29"/>
    <w:rsid w:val="00C9005E"/>
    <w:rsid w:val="00C90111"/>
    <w:rsid w:val="00C9038E"/>
    <w:rsid w:val="00C9077B"/>
    <w:rsid w:val="00C90CA9"/>
    <w:rsid w:val="00C90F88"/>
    <w:rsid w:val="00C915F2"/>
    <w:rsid w:val="00C917B1"/>
    <w:rsid w:val="00C9193C"/>
    <w:rsid w:val="00C91AB6"/>
    <w:rsid w:val="00C91B77"/>
    <w:rsid w:val="00C920E2"/>
    <w:rsid w:val="00C926E0"/>
    <w:rsid w:val="00C93765"/>
    <w:rsid w:val="00C93877"/>
    <w:rsid w:val="00C93D8C"/>
    <w:rsid w:val="00C93E07"/>
    <w:rsid w:val="00C946CC"/>
    <w:rsid w:val="00C959BD"/>
    <w:rsid w:val="00C95DFE"/>
    <w:rsid w:val="00C95F44"/>
    <w:rsid w:val="00C96D1B"/>
    <w:rsid w:val="00C97106"/>
    <w:rsid w:val="00C978D4"/>
    <w:rsid w:val="00C979B3"/>
    <w:rsid w:val="00CA0031"/>
    <w:rsid w:val="00CA00DE"/>
    <w:rsid w:val="00CA0413"/>
    <w:rsid w:val="00CA043A"/>
    <w:rsid w:val="00CA0CBA"/>
    <w:rsid w:val="00CA0E51"/>
    <w:rsid w:val="00CA1691"/>
    <w:rsid w:val="00CA25D0"/>
    <w:rsid w:val="00CA2738"/>
    <w:rsid w:val="00CA2798"/>
    <w:rsid w:val="00CA2D2E"/>
    <w:rsid w:val="00CA41E7"/>
    <w:rsid w:val="00CA4A99"/>
    <w:rsid w:val="00CA5520"/>
    <w:rsid w:val="00CA5812"/>
    <w:rsid w:val="00CA5BD4"/>
    <w:rsid w:val="00CA5C14"/>
    <w:rsid w:val="00CA76FC"/>
    <w:rsid w:val="00CA781A"/>
    <w:rsid w:val="00CA7E7B"/>
    <w:rsid w:val="00CB0236"/>
    <w:rsid w:val="00CB1969"/>
    <w:rsid w:val="00CB19E3"/>
    <w:rsid w:val="00CB1B20"/>
    <w:rsid w:val="00CB2AE8"/>
    <w:rsid w:val="00CB2C3A"/>
    <w:rsid w:val="00CB2D38"/>
    <w:rsid w:val="00CB39CD"/>
    <w:rsid w:val="00CB4137"/>
    <w:rsid w:val="00CB4378"/>
    <w:rsid w:val="00CB44BD"/>
    <w:rsid w:val="00CB52D0"/>
    <w:rsid w:val="00CB5578"/>
    <w:rsid w:val="00CB5671"/>
    <w:rsid w:val="00CB591C"/>
    <w:rsid w:val="00CB5943"/>
    <w:rsid w:val="00CB61B3"/>
    <w:rsid w:val="00CB6F83"/>
    <w:rsid w:val="00CB72AE"/>
    <w:rsid w:val="00CC00CD"/>
    <w:rsid w:val="00CC0579"/>
    <w:rsid w:val="00CC0723"/>
    <w:rsid w:val="00CC0AF3"/>
    <w:rsid w:val="00CC0B5E"/>
    <w:rsid w:val="00CC0BC6"/>
    <w:rsid w:val="00CC0E68"/>
    <w:rsid w:val="00CC1780"/>
    <w:rsid w:val="00CC194E"/>
    <w:rsid w:val="00CC21AC"/>
    <w:rsid w:val="00CC232E"/>
    <w:rsid w:val="00CC2514"/>
    <w:rsid w:val="00CC2D34"/>
    <w:rsid w:val="00CC2F69"/>
    <w:rsid w:val="00CC315F"/>
    <w:rsid w:val="00CC390A"/>
    <w:rsid w:val="00CC3D38"/>
    <w:rsid w:val="00CC40C3"/>
    <w:rsid w:val="00CC4E5D"/>
    <w:rsid w:val="00CC50AE"/>
    <w:rsid w:val="00CC5FFE"/>
    <w:rsid w:val="00CC61B7"/>
    <w:rsid w:val="00CC61CA"/>
    <w:rsid w:val="00CC69EC"/>
    <w:rsid w:val="00CC71D3"/>
    <w:rsid w:val="00CC7414"/>
    <w:rsid w:val="00CC743D"/>
    <w:rsid w:val="00CC7A62"/>
    <w:rsid w:val="00CD050A"/>
    <w:rsid w:val="00CD1017"/>
    <w:rsid w:val="00CD205D"/>
    <w:rsid w:val="00CD2A22"/>
    <w:rsid w:val="00CD2B50"/>
    <w:rsid w:val="00CD3172"/>
    <w:rsid w:val="00CD3E1C"/>
    <w:rsid w:val="00CD405C"/>
    <w:rsid w:val="00CD4506"/>
    <w:rsid w:val="00CD520B"/>
    <w:rsid w:val="00CD592E"/>
    <w:rsid w:val="00CD5982"/>
    <w:rsid w:val="00CD5A1A"/>
    <w:rsid w:val="00CD7EFA"/>
    <w:rsid w:val="00CE020E"/>
    <w:rsid w:val="00CE0566"/>
    <w:rsid w:val="00CE0B60"/>
    <w:rsid w:val="00CE1CD4"/>
    <w:rsid w:val="00CE2761"/>
    <w:rsid w:val="00CE28FC"/>
    <w:rsid w:val="00CE2C18"/>
    <w:rsid w:val="00CE314E"/>
    <w:rsid w:val="00CE38BF"/>
    <w:rsid w:val="00CE3D5C"/>
    <w:rsid w:val="00CE3E09"/>
    <w:rsid w:val="00CE3E14"/>
    <w:rsid w:val="00CE4176"/>
    <w:rsid w:val="00CE44C7"/>
    <w:rsid w:val="00CE53B7"/>
    <w:rsid w:val="00CE53CC"/>
    <w:rsid w:val="00CE65A7"/>
    <w:rsid w:val="00CE68FE"/>
    <w:rsid w:val="00CE697B"/>
    <w:rsid w:val="00CE69CC"/>
    <w:rsid w:val="00CE6EC4"/>
    <w:rsid w:val="00CE7F26"/>
    <w:rsid w:val="00CF0A8D"/>
    <w:rsid w:val="00CF1226"/>
    <w:rsid w:val="00CF1ABB"/>
    <w:rsid w:val="00CF1BCA"/>
    <w:rsid w:val="00CF1E1D"/>
    <w:rsid w:val="00CF24FE"/>
    <w:rsid w:val="00CF287F"/>
    <w:rsid w:val="00CF2F00"/>
    <w:rsid w:val="00CF31B9"/>
    <w:rsid w:val="00CF35D0"/>
    <w:rsid w:val="00CF3B57"/>
    <w:rsid w:val="00CF3DD5"/>
    <w:rsid w:val="00CF3FF9"/>
    <w:rsid w:val="00CF481B"/>
    <w:rsid w:val="00CF4AF7"/>
    <w:rsid w:val="00CF4D20"/>
    <w:rsid w:val="00CF4D64"/>
    <w:rsid w:val="00CF73F8"/>
    <w:rsid w:val="00CF7928"/>
    <w:rsid w:val="00CF7CA2"/>
    <w:rsid w:val="00D00911"/>
    <w:rsid w:val="00D00A8E"/>
    <w:rsid w:val="00D00DE0"/>
    <w:rsid w:val="00D00F79"/>
    <w:rsid w:val="00D012BF"/>
    <w:rsid w:val="00D01760"/>
    <w:rsid w:val="00D030BD"/>
    <w:rsid w:val="00D0368E"/>
    <w:rsid w:val="00D0393E"/>
    <w:rsid w:val="00D03AC3"/>
    <w:rsid w:val="00D03D2D"/>
    <w:rsid w:val="00D03E7B"/>
    <w:rsid w:val="00D0401A"/>
    <w:rsid w:val="00D046C1"/>
    <w:rsid w:val="00D047E0"/>
    <w:rsid w:val="00D04B9F"/>
    <w:rsid w:val="00D04FFB"/>
    <w:rsid w:val="00D055FE"/>
    <w:rsid w:val="00D058E9"/>
    <w:rsid w:val="00D0612A"/>
    <w:rsid w:val="00D06E6B"/>
    <w:rsid w:val="00D06F14"/>
    <w:rsid w:val="00D07315"/>
    <w:rsid w:val="00D07FA1"/>
    <w:rsid w:val="00D1060D"/>
    <w:rsid w:val="00D10E7C"/>
    <w:rsid w:val="00D11182"/>
    <w:rsid w:val="00D1137B"/>
    <w:rsid w:val="00D11807"/>
    <w:rsid w:val="00D119AA"/>
    <w:rsid w:val="00D11DB3"/>
    <w:rsid w:val="00D12D82"/>
    <w:rsid w:val="00D12F77"/>
    <w:rsid w:val="00D1306E"/>
    <w:rsid w:val="00D134CD"/>
    <w:rsid w:val="00D14B5F"/>
    <w:rsid w:val="00D14E13"/>
    <w:rsid w:val="00D14F23"/>
    <w:rsid w:val="00D14FFE"/>
    <w:rsid w:val="00D160F6"/>
    <w:rsid w:val="00D16740"/>
    <w:rsid w:val="00D16A8B"/>
    <w:rsid w:val="00D16E39"/>
    <w:rsid w:val="00D172A4"/>
    <w:rsid w:val="00D1771A"/>
    <w:rsid w:val="00D17951"/>
    <w:rsid w:val="00D17AD8"/>
    <w:rsid w:val="00D2104A"/>
    <w:rsid w:val="00D21BB5"/>
    <w:rsid w:val="00D21FFC"/>
    <w:rsid w:val="00D223B6"/>
    <w:rsid w:val="00D223E8"/>
    <w:rsid w:val="00D224E1"/>
    <w:rsid w:val="00D22DC8"/>
    <w:rsid w:val="00D22F78"/>
    <w:rsid w:val="00D233A6"/>
    <w:rsid w:val="00D2477B"/>
    <w:rsid w:val="00D2522A"/>
    <w:rsid w:val="00D2531C"/>
    <w:rsid w:val="00D2553E"/>
    <w:rsid w:val="00D25B7E"/>
    <w:rsid w:val="00D25E64"/>
    <w:rsid w:val="00D26FFB"/>
    <w:rsid w:val="00D27266"/>
    <w:rsid w:val="00D2742F"/>
    <w:rsid w:val="00D2754F"/>
    <w:rsid w:val="00D2777A"/>
    <w:rsid w:val="00D277C5"/>
    <w:rsid w:val="00D279D9"/>
    <w:rsid w:val="00D3011D"/>
    <w:rsid w:val="00D305EC"/>
    <w:rsid w:val="00D312DC"/>
    <w:rsid w:val="00D31B84"/>
    <w:rsid w:val="00D31C6A"/>
    <w:rsid w:val="00D31EDF"/>
    <w:rsid w:val="00D31FF9"/>
    <w:rsid w:val="00D32149"/>
    <w:rsid w:val="00D32256"/>
    <w:rsid w:val="00D32A27"/>
    <w:rsid w:val="00D32ABC"/>
    <w:rsid w:val="00D33FA4"/>
    <w:rsid w:val="00D34B25"/>
    <w:rsid w:val="00D34F4E"/>
    <w:rsid w:val="00D357F3"/>
    <w:rsid w:val="00D35C0E"/>
    <w:rsid w:val="00D373A8"/>
    <w:rsid w:val="00D379A5"/>
    <w:rsid w:val="00D401BE"/>
    <w:rsid w:val="00D4043A"/>
    <w:rsid w:val="00D40DB0"/>
    <w:rsid w:val="00D41093"/>
    <w:rsid w:val="00D416D5"/>
    <w:rsid w:val="00D41858"/>
    <w:rsid w:val="00D422DB"/>
    <w:rsid w:val="00D42303"/>
    <w:rsid w:val="00D42AC2"/>
    <w:rsid w:val="00D4498E"/>
    <w:rsid w:val="00D4515F"/>
    <w:rsid w:val="00D451E8"/>
    <w:rsid w:val="00D46185"/>
    <w:rsid w:val="00D4641D"/>
    <w:rsid w:val="00D466C9"/>
    <w:rsid w:val="00D46FAA"/>
    <w:rsid w:val="00D47275"/>
    <w:rsid w:val="00D50689"/>
    <w:rsid w:val="00D51064"/>
    <w:rsid w:val="00D511DC"/>
    <w:rsid w:val="00D517F6"/>
    <w:rsid w:val="00D51E15"/>
    <w:rsid w:val="00D52411"/>
    <w:rsid w:val="00D52B7E"/>
    <w:rsid w:val="00D52E2F"/>
    <w:rsid w:val="00D52F59"/>
    <w:rsid w:val="00D53445"/>
    <w:rsid w:val="00D53E3E"/>
    <w:rsid w:val="00D54620"/>
    <w:rsid w:val="00D55904"/>
    <w:rsid w:val="00D5616F"/>
    <w:rsid w:val="00D56CBC"/>
    <w:rsid w:val="00D57861"/>
    <w:rsid w:val="00D57940"/>
    <w:rsid w:val="00D57E9C"/>
    <w:rsid w:val="00D60327"/>
    <w:rsid w:val="00D61384"/>
    <w:rsid w:val="00D61526"/>
    <w:rsid w:val="00D61F81"/>
    <w:rsid w:val="00D6276C"/>
    <w:rsid w:val="00D62BE6"/>
    <w:rsid w:val="00D62BFC"/>
    <w:rsid w:val="00D63286"/>
    <w:rsid w:val="00D63766"/>
    <w:rsid w:val="00D63912"/>
    <w:rsid w:val="00D63923"/>
    <w:rsid w:val="00D6451B"/>
    <w:rsid w:val="00D64B57"/>
    <w:rsid w:val="00D651A1"/>
    <w:rsid w:val="00D6528F"/>
    <w:rsid w:val="00D65DEA"/>
    <w:rsid w:val="00D66579"/>
    <w:rsid w:val="00D676D3"/>
    <w:rsid w:val="00D67B06"/>
    <w:rsid w:val="00D67BC7"/>
    <w:rsid w:val="00D701F1"/>
    <w:rsid w:val="00D705D3"/>
    <w:rsid w:val="00D709C2"/>
    <w:rsid w:val="00D70E00"/>
    <w:rsid w:val="00D70F7C"/>
    <w:rsid w:val="00D7145B"/>
    <w:rsid w:val="00D715AC"/>
    <w:rsid w:val="00D71851"/>
    <w:rsid w:val="00D718CF"/>
    <w:rsid w:val="00D728F5"/>
    <w:rsid w:val="00D72E9D"/>
    <w:rsid w:val="00D73249"/>
    <w:rsid w:val="00D73419"/>
    <w:rsid w:val="00D73CA9"/>
    <w:rsid w:val="00D751B7"/>
    <w:rsid w:val="00D7524B"/>
    <w:rsid w:val="00D75396"/>
    <w:rsid w:val="00D759C0"/>
    <w:rsid w:val="00D75E99"/>
    <w:rsid w:val="00D765CE"/>
    <w:rsid w:val="00D766C7"/>
    <w:rsid w:val="00D7692B"/>
    <w:rsid w:val="00D7734F"/>
    <w:rsid w:val="00D8044C"/>
    <w:rsid w:val="00D805D6"/>
    <w:rsid w:val="00D8075E"/>
    <w:rsid w:val="00D80860"/>
    <w:rsid w:val="00D80D4C"/>
    <w:rsid w:val="00D8184D"/>
    <w:rsid w:val="00D81957"/>
    <w:rsid w:val="00D81A7B"/>
    <w:rsid w:val="00D8223C"/>
    <w:rsid w:val="00D82B57"/>
    <w:rsid w:val="00D82CE5"/>
    <w:rsid w:val="00D830C9"/>
    <w:rsid w:val="00D831E3"/>
    <w:rsid w:val="00D8342C"/>
    <w:rsid w:val="00D85494"/>
    <w:rsid w:val="00D8582C"/>
    <w:rsid w:val="00D85D61"/>
    <w:rsid w:val="00D85FF2"/>
    <w:rsid w:val="00D8616D"/>
    <w:rsid w:val="00D86AC2"/>
    <w:rsid w:val="00D8711B"/>
    <w:rsid w:val="00D87384"/>
    <w:rsid w:val="00D90650"/>
    <w:rsid w:val="00D90683"/>
    <w:rsid w:val="00D90B2A"/>
    <w:rsid w:val="00D91483"/>
    <w:rsid w:val="00D915C8"/>
    <w:rsid w:val="00D91F06"/>
    <w:rsid w:val="00D92C14"/>
    <w:rsid w:val="00D9310B"/>
    <w:rsid w:val="00D931F3"/>
    <w:rsid w:val="00D9326A"/>
    <w:rsid w:val="00D93726"/>
    <w:rsid w:val="00D93F3E"/>
    <w:rsid w:val="00D9405B"/>
    <w:rsid w:val="00D94942"/>
    <w:rsid w:val="00D95145"/>
    <w:rsid w:val="00D951DA"/>
    <w:rsid w:val="00D96594"/>
    <w:rsid w:val="00D967CB"/>
    <w:rsid w:val="00D968D4"/>
    <w:rsid w:val="00D96EE0"/>
    <w:rsid w:val="00D97BD1"/>
    <w:rsid w:val="00D97DAD"/>
    <w:rsid w:val="00DA06B8"/>
    <w:rsid w:val="00DA14A9"/>
    <w:rsid w:val="00DA1DB8"/>
    <w:rsid w:val="00DA1F4B"/>
    <w:rsid w:val="00DA286D"/>
    <w:rsid w:val="00DA2969"/>
    <w:rsid w:val="00DA29B7"/>
    <w:rsid w:val="00DA337C"/>
    <w:rsid w:val="00DA4842"/>
    <w:rsid w:val="00DA5989"/>
    <w:rsid w:val="00DA5AB1"/>
    <w:rsid w:val="00DA5F9D"/>
    <w:rsid w:val="00DA5FFB"/>
    <w:rsid w:val="00DA69B2"/>
    <w:rsid w:val="00DA7462"/>
    <w:rsid w:val="00DA7AD0"/>
    <w:rsid w:val="00DB02D7"/>
    <w:rsid w:val="00DB03CC"/>
    <w:rsid w:val="00DB12D4"/>
    <w:rsid w:val="00DB14F0"/>
    <w:rsid w:val="00DB1745"/>
    <w:rsid w:val="00DB19BB"/>
    <w:rsid w:val="00DB1AFF"/>
    <w:rsid w:val="00DB219A"/>
    <w:rsid w:val="00DB24BE"/>
    <w:rsid w:val="00DB3165"/>
    <w:rsid w:val="00DB4292"/>
    <w:rsid w:val="00DB5023"/>
    <w:rsid w:val="00DB66A7"/>
    <w:rsid w:val="00DB6E46"/>
    <w:rsid w:val="00DB7117"/>
    <w:rsid w:val="00DB7760"/>
    <w:rsid w:val="00DB7DD4"/>
    <w:rsid w:val="00DC00B4"/>
    <w:rsid w:val="00DC0954"/>
    <w:rsid w:val="00DC0DF8"/>
    <w:rsid w:val="00DC0F91"/>
    <w:rsid w:val="00DC15BA"/>
    <w:rsid w:val="00DC18CD"/>
    <w:rsid w:val="00DC1A68"/>
    <w:rsid w:val="00DC2046"/>
    <w:rsid w:val="00DC2653"/>
    <w:rsid w:val="00DC30B8"/>
    <w:rsid w:val="00DC3CD2"/>
    <w:rsid w:val="00DC478F"/>
    <w:rsid w:val="00DC4D08"/>
    <w:rsid w:val="00DC62E5"/>
    <w:rsid w:val="00DC6D70"/>
    <w:rsid w:val="00DC6F33"/>
    <w:rsid w:val="00DC7349"/>
    <w:rsid w:val="00DD0D6A"/>
    <w:rsid w:val="00DD14D8"/>
    <w:rsid w:val="00DD1599"/>
    <w:rsid w:val="00DD1B03"/>
    <w:rsid w:val="00DD1C4A"/>
    <w:rsid w:val="00DD1E43"/>
    <w:rsid w:val="00DD20A7"/>
    <w:rsid w:val="00DD2A62"/>
    <w:rsid w:val="00DD2F2F"/>
    <w:rsid w:val="00DD2F7A"/>
    <w:rsid w:val="00DD3885"/>
    <w:rsid w:val="00DD44D1"/>
    <w:rsid w:val="00DD4F78"/>
    <w:rsid w:val="00DD51C3"/>
    <w:rsid w:val="00DD5808"/>
    <w:rsid w:val="00DD5946"/>
    <w:rsid w:val="00DD5B04"/>
    <w:rsid w:val="00DD5DAE"/>
    <w:rsid w:val="00DD5EC6"/>
    <w:rsid w:val="00DD605F"/>
    <w:rsid w:val="00DD72A0"/>
    <w:rsid w:val="00DD735D"/>
    <w:rsid w:val="00DE0159"/>
    <w:rsid w:val="00DE064A"/>
    <w:rsid w:val="00DE082D"/>
    <w:rsid w:val="00DE0FEE"/>
    <w:rsid w:val="00DE1410"/>
    <w:rsid w:val="00DE2038"/>
    <w:rsid w:val="00DE20C6"/>
    <w:rsid w:val="00DE2926"/>
    <w:rsid w:val="00DE3119"/>
    <w:rsid w:val="00DE3FF0"/>
    <w:rsid w:val="00DE4105"/>
    <w:rsid w:val="00DE41C4"/>
    <w:rsid w:val="00DE4853"/>
    <w:rsid w:val="00DE5189"/>
    <w:rsid w:val="00DE64DE"/>
    <w:rsid w:val="00DE7108"/>
    <w:rsid w:val="00DE78D1"/>
    <w:rsid w:val="00DE78FF"/>
    <w:rsid w:val="00DF0263"/>
    <w:rsid w:val="00DF04F1"/>
    <w:rsid w:val="00DF0EB4"/>
    <w:rsid w:val="00DF158B"/>
    <w:rsid w:val="00DF193C"/>
    <w:rsid w:val="00DF1E36"/>
    <w:rsid w:val="00DF236B"/>
    <w:rsid w:val="00DF2A91"/>
    <w:rsid w:val="00DF3889"/>
    <w:rsid w:val="00DF3CC9"/>
    <w:rsid w:val="00DF4076"/>
    <w:rsid w:val="00DF4451"/>
    <w:rsid w:val="00DF49FF"/>
    <w:rsid w:val="00DF4A0E"/>
    <w:rsid w:val="00DF4FFB"/>
    <w:rsid w:val="00DF5236"/>
    <w:rsid w:val="00DF651F"/>
    <w:rsid w:val="00DF670E"/>
    <w:rsid w:val="00DF6F43"/>
    <w:rsid w:val="00DF752F"/>
    <w:rsid w:val="00DF76A2"/>
    <w:rsid w:val="00E00B7A"/>
    <w:rsid w:val="00E01FDD"/>
    <w:rsid w:val="00E02186"/>
    <w:rsid w:val="00E026BB"/>
    <w:rsid w:val="00E027C5"/>
    <w:rsid w:val="00E03124"/>
    <w:rsid w:val="00E031C3"/>
    <w:rsid w:val="00E03951"/>
    <w:rsid w:val="00E03DB8"/>
    <w:rsid w:val="00E03F17"/>
    <w:rsid w:val="00E03F20"/>
    <w:rsid w:val="00E0420C"/>
    <w:rsid w:val="00E04EDD"/>
    <w:rsid w:val="00E05BC8"/>
    <w:rsid w:val="00E05E70"/>
    <w:rsid w:val="00E064BC"/>
    <w:rsid w:val="00E06975"/>
    <w:rsid w:val="00E06EA3"/>
    <w:rsid w:val="00E07225"/>
    <w:rsid w:val="00E076B4"/>
    <w:rsid w:val="00E07B55"/>
    <w:rsid w:val="00E10579"/>
    <w:rsid w:val="00E109DD"/>
    <w:rsid w:val="00E11229"/>
    <w:rsid w:val="00E114CA"/>
    <w:rsid w:val="00E11FE2"/>
    <w:rsid w:val="00E1397F"/>
    <w:rsid w:val="00E13AB8"/>
    <w:rsid w:val="00E1482E"/>
    <w:rsid w:val="00E1501F"/>
    <w:rsid w:val="00E16382"/>
    <w:rsid w:val="00E1699C"/>
    <w:rsid w:val="00E16E75"/>
    <w:rsid w:val="00E1746D"/>
    <w:rsid w:val="00E2012A"/>
    <w:rsid w:val="00E205A2"/>
    <w:rsid w:val="00E20B11"/>
    <w:rsid w:val="00E20BA4"/>
    <w:rsid w:val="00E228EE"/>
    <w:rsid w:val="00E2302A"/>
    <w:rsid w:val="00E23137"/>
    <w:rsid w:val="00E23621"/>
    <w:rsid w:val="00E23980"/>
    <w:rsid w:val="00E241E9"/>
    <w:rsid w:val="00E257C3"/>
    <w:rsid w:val="00E25CB3"/>
    <w:rsid w:val="00E25DA4"/>
    <w:rsid w:val="00E26237"/>
    <w:rsid w:val="00E26CB8"/>
    <w:rsid w:val="00E26D16"/>
    <w:rsid w:val="00E26FCF"/>
    <w:rsid w:val="00E27165"/>
    <w:rsid w:val="00E27367"/>
    <w:rsid w:val="00E275D9"/>
    <w:rsid w:val="00E27988"/>
    <w:rsid w:val="00E3044A"/>
    <w:rsid w:val="00E30BEB"/>
    <w:rsid w:val="00E30E49"/>
    <w:rsid w:val="00E3174A"/>
    <w:rsid w:val="00E31A4A"/>
    <w:rsid w:val="00E31C96"/>
    <w:rsid w:val="00E32912"/>
    <w:rsid w:val="00E33238"/>
    <w:rsid w:val="00E3344A"/>
    <w:rsid w:val="00E33B29"/>
    <w:rsid w:val="00E33B62"/>
    <w:rsid w:val="00E3403D"/>
    <w:rsid w:val="00E344BD"/>
    <w:rsid w:val="00E34E6C"/>
    <w:rsid w:val="00E353E2"/>
    <w:rsid w:val="00E36345"/>
    <w:rsid w:val="00E36C86"/>
    <w:rsid w:val="00E36CEB"/>
    <w:rsid w:val="00E372C5"/>
    <w:rsid w:val="00E37387"/>
    <w:rsid w:val="00E37A28"/>
    <w:rsid w:val="00E403BC"/>
    <w:rsid w:val="00E40430"/>
    <w:rsid w:val="00E40690"/>
    <w:rsid w:val="00E40AEB"/>
    <w:rsid w:val="00E4143A"/>
    <w:rsid w:val="00E424C8"/>
    <w:rsid w:val="00E42518"/>
    <w:rsid w:val="00E4251D"/>
    <w:rsid w:val="00E43D00"/>
    <w:rsid w:val="00E443B4"/>
    <w:rsid w:val="00E445E4"/>
    <w:rsid w:val="00E457CB"/>
    <w:rsid w:val="00E45D47"/>
    <w:rsid w:val="00E45DE4"/>
    <w:rsid w:val="00E45E63"/>
    <w:rsid w:val="00E469D6"/>
    <w:rsid w:val="00E46BBC"/>
    <w:rsid w:val="00E4759C"/>
    <w:rsid w:val="00E50A7B"/>
    <w:rsid w:val="00E50B0B"/>
    <w:rsid w:val="00E50E1F"/>
    <w:rsid w:val="00E510FE"/>
    <w:rsid w:val="00E516C0"/>
    <w:rsid w:val="00E516C7"/>
    <w:rsid w:val="00E51E25"/>
    <w:rsid w:val="00E5205B"/>
    <w:rsid w:val="00E521AE"/>
    <w:rsid w:val="00E529A3"/>
    <w:rsid w:val="00E53A21"/>
    <w:rsid w:val="00E53BCA"/>
    <w:rsid w:val="00E53BF4"/>
    <w:rsid w:val="00E53DE2"/>
    <w:rsid w:val="00E53F02"/>
    <w:rsid w:val="00E54534"/>
    <w:rsid w:val="00E548C3"/>
    <w:rsid w:val="00E54C5A"/>
    <w:rsid w:val="00E54F27"/>
    <w:rsid w:val="00E55FF1"/>
    <w:rsid w:val="00E56090"/>
    <w:rsid w:val="00E565B9"/>
    <w:rsid w:val="00E56E7B"/>
    <w:rsid w:val="00E5733B"/>
    <w:rsid w:val="00E5756C"/>
    <w:rsid w:val="00E57811"/>
    <w:rsid w:val="00E57D1A"/>
    <w:rsid w:val="00E601BE"/>
    <w:rsid w:val="00E60B5F"/>
    <w:rsid w:val="00E60F87"/>
    <w:rsid w:val="00E613AE"/>
    <w:rsid w:val="00E61429"/>
    <w:rsid w:val="00E61ABB"/>
    <w:rsid w:val="00E61FD7"/>
    <w:rsid w:val="00E623E6"/>
    <w:rsid w:val="00E626B8"/>
    <w:rsid w:val="00E630C0"/>
    <w:rsid w:val="00E63107"/>
    <w:rsid w:val="00E6312C"/>
    <w:rsid w:val="00E634E6"/>
    <w:rsid w:val="00E63DCE"/>
    <w:rsid w:val="00E6453E"/>
    <w:rsid w:val="00E64700"/>
    <w:rsid w:val="00E64BD8"/>
    <w:rsid w:val="00E65020"/>
    <w:rsid w:val="00E65074"/>
    <w:rsid w:val="00E65E70"/>
    <w:rsid w:val="00E66087"/>
    <w:rsid w:val="00E6655E"/>
    <w:rsid w:val="00E66D79"/>
    <w:rsid w:val="00E66FF9"/>
    <w:rsid w:val="00E6706F"/>
    <w:rsid w:val="00E67155"/>
    <w:rsid w:val="00E67856"/>
    <w:rsid w:val="00E679C8"/>
    <w:rsid w:val="00E70314"/>
    <w:rsid w:val="00E724E7"/>
    <w:rsid w:val="00E7289D"/>
    <w:rsid w:val="00E72B41"/>
    <w:rsid w:val="00E7347B"/>
    <w:rsid w:val="00E73792"/>
    <w:rsid w:val="00E73D03"/>
    <w:rsid w:val="00E74040"/>
    <w:rsid w:val="00E7471C"/>
    <w:rsid w:val="00E7498A"/>
    <w:rsid w:val="00E7514E"/>
    <w:rsid w:val="00E76537"/>
    <w:rsid w:val="00E77784"/>
    <w:rsid w:val="00E77AF5"/>
    <w:rsid w:val="00E823F9"/>
    <w:rsid w:val="00E82C1F"/>
    <w:rsid w:val="00E83671"/>
    <w:rsid w:val="00E840EE"/>
    <w:rsid w:val="00E84A71"/>
    <w:rsid w:val="00E84DC3"/>
    <w:rsid w:val="00E85786"/>
    <w:rsid w:val="00E86556"/>
    <w:rsid w:val="00E86D35"/>
    <w:rsid w:val="00E86DC2"/>
    <w:rsid w:val="00E86E32"/>
    <w:rsid w:val="00E86F2E"/>
    <w:rsid w:val="00E8732E"/>
    <w:rsid w:val="00E9011F"/>
    <w:rsid w:val="00E906EB"/>
    <w:rsid w:val="00E90A66"/>
    <w:rsid w:val="00E919FB"/>
    <w:rsid w:val="00E91BF6"/>
    <w:rsid w:val="00E9241E"/>
    <w:rsid w:val="00E92460"/>
    <w:rsid w:val="00E925D7"/>
    <w:rsid w:val="00E92E62"/>
    <w:rsid w:val="00E93804"/>
    <w:rsid w:val="00E9429D"/>
    <w:rsid w:val="00E95434"/>
    <w:rsid w:val="00E96467"/>
    <w:rsid w:val="00E965BC"/>
    <w:rsid w:val="00E966DA"/>
    <w:rsid w:val="00E96948"/>
    <w:rsid w:val="00E9737B"/>
    <w:rsid w:val="00E9744A"/>
    <w:rsid w:val="00E97A3F"/>
    <w:rsid w:val="00E97F0A"/>
    <w:rsid w:val="00EA0100"/>
    <w:rsid w:val="00EA0BCE"/>
    <w:rsid w:val="00EA2744"/>
    <w:rsid w:val="00EA37B9"/>
    <w:rsid w:val="00EA39F7"/>
    <w:rsid w:val="00EA3DC2"/>
    <w:rsid w:val="00EA3F20"/>
    <w:rsid w:val="00EA434E"/>
    <w:rsid w:val="00EA4757"/>
    <w:rsid w:val="00EA560B"/>
    <w:rsid w:val="00EA5669"/>
    <w:rsid w:val="00EA5CC6"/>
    <w:rsid w:val="00EA63EF"/>
    <w:rsid w:val="00EB0A89"/>
    <w:rsid w:val="00EB0C53"/>
    <w:rsid w:val="00EB1573"/>
    <w:rsid w:val="00EB184F"/>
    <w:rsid w:val="00EB1910"/>
    <w:rsid w:val="00EB291E"/>
    <w:rsid w:val="00EB2AF8"/>
    <w:rsid w:val="00EB2D83"/>
    <w:rsid w:val="00EB2E97"/>
    <w:rsid w:val="00EB3416"/>
    <w:rsid w:val="00EB3A93"/>
    <w:rsid w:val="00EB3B54"/>
    <w:rsid w:val="00EB4AE1"/>
    <w:rsid w:val="00EB52F4"/>
    <w:rsid w:val="00EB5694"/>
    <w:rsid w:val="00EB5779"/>
    <w:rsid w:val="00EB5D2F"/>
    <w:rsid w:val="00EB67F1"/>
    <w:rsid w:val="00EB72CD"/>
    <w:rsid w:val="00EB749A"/>
    <w:rsid w:val="00EB76B6"/>
    <w:rsid w:val="00EB7D8A"/>
    <w:rsid w:val="00EC05E2"/>
    <w:rsid w:val="00EC08AC"/>
    <w:rsid w:val="00EC0E84"/>
    <w:rsid w:val="00EC16E2"/>
    <w:rsid w:val="00EC1CE7"/>
    <w:rsid w:val="00EC2510"/>
    <w:rsid w:val="00EC26F1"/>
    <w:rsid w:val="00EC3C94"/>
    <w:rsid w:val="00EC44DF"/>
    <w:rsid w:val="00EC4FB9"/>
    <w:rsid w:val="00EC5393"/>
    <w:rsid w:val="00EC5741"/>
    <w:rsid w:val="00EC5DA3"/>
    <w:rsid w:val="00EC6014"/>
    <w:rsid w:val="00EC6B3E"/>
    <w:rsid w:val="00EC73DE"/>
    <w:rsid w:val="00EC7637"/>
    <w:rsid w:val="00EC7CF2"/>
    <w:rsid w:val="00ED046C"/>
    <w:rsid w:val="00ED053A"/>
    <w:rsid w:val="00ED0858"/>
    <w:rsid w:val="00ED19B4"/>
    <w:rsid w:val="00ED1F03"/>
    <w:rsid w:val="00ED2D27"/>
    <w:rsid w:val="00ED3198"/>
    <w:rsid w:val="00ED3347"/>
    <w:rsid w:val="00ED3438"/>
    <w:rsid w:val="00ED3441"/>
    <w:rsid w:val="00ED3860"/>
    <w:rsid w:val="00ED3954"/>
    <w:rsid w:val="00ED43A2"/>
    <w:rsid w:val="00ED4967"/>
    <w:rsid w:val="00ED5140"/>
    <w:rsid w:val="00ED538C"/>
    <w:rsid w:val="00ED5771"/>
    <w:rsid w:val="00ED585E"/>
    <w:rsid w:val="00ED587F"/>
    <w:rsid w:val="00ED5964"/>
    <w:rsid w:val="00ED623F"/>
    <w:rsid w:val="00ED63A5"/>
    <w:rsid w:val="00ED69BA"/>
    <w:rsid w:val="00ED6D1A"/>
    <w:rsid w:val="00ED72E9"/>
    <w:rsid w:val="00ED732E"/>
    <w:rsid w:val="00ED77F0"/>
    <w:rsid w:val="00ED7C60"/>
    <w:rsid w:val="00ED7FBC"/>
    <w:rsid w:val="00EE0253"/>
    <w:rsid w:val="00EE0297"/>
    <w:rsid w:val="00EE1258"/>
    <w:rsid w:val="00EE13DA"/>
    <w:rsid w:val="00EE1668"/>
    <w:rsid w:val="00EE1EDB"/>
    <w:rsid w:val="00EE2295"/>
    <w:rsid w:val="00EE24E2"/>
    <w:rsid w:val="00EE366D"/>
    <w:rsid w:val="00EE3BB0"/>
    <w:rsid w:val="00EE4CDF"/>
    <w:rsid w:val="00EE5454"/>
    <w:rsid w:val="00EE59B5"/>
    <w:rsid w:val="00EE5FB7"/>
    <w:rsid w:val="00EE6783"/>
    <w:rsid w:val="00EE7B54"/>
    <w:rsid w:val="00EE7C47"/>
    <w:rsid w:val="00EE7C88"/>
    <w:rsid w:val="00EE7C8B"/>
    <w:rsid w:val="00EF0209"/>
    <w:rsid w:val="00EF0508"/>
    <w:rsid w:val="00EF0EA4"/>
    <w:rsid w:val="00EF1E97"/>
    <w:rsid w:val="00EF2436"/>
    <w:rsid w:val="00EF2547"/>
    <w:rsid w:val="00EF27CE"/>
    <w:rsid w:val="00EF2B2B"/>
    <w:rsid w:val="00EF2E1C"/>
    <w:rsid w:val="00EF2FD6"/>
    <w:rsid w:val="00EF326A"/>
    <w:rsid w:val="00EF427A"/>
    <w:rsid w:val="00EF44A6"/>
    <w:rsid w:val="00EF45DF"/>
    <w:rsid w:val="00EF48A3"/>
    <w:rsid w:val="00EF4952"/>
    <w:rsid w:val="00EF498F"/>
    <w:rsid w:val="00EF4A42"/>
    <w:rsid w:val="00EF510C"/>
    <w:rsid w:val="00EF55C4"/>
    <w:rsid w:val="00EF57BC"/>
    <w:rsid w:val="00EF6784"/>
    <w:rsid w:val="00EF688A"/>
    <w:rsid w:val="00EF6A03"/>
    <w:rsid w:val="00EF6DC2"/>
    <w:rsid w:val="00EF7506"/>
    <w:rsid w:val="00EF78AB"/>
    <w:rsid w:val="00EF7BF4"/>
    <w:rsid w:val="00F0030F"/>
    <w:rsid w:val="00F0057D"/>
    <w:rsid w:val="00F00674"/>
    <w:rsid w:val="00F01657"/>
    <w:rsid w:val="00F01E67"/>
    <w:rsid w:val="00F02744"/>
    <w:rsid w:val="00F02926"/>
    <w:rsid w:val="00F02BFD"/>
    <w:rsid w:val="00F02D25"/>
    <w:rsid w:val="00F03C3D"/>
    <w:rsid w:val="00F0435D"/>
    <w:rsid w:val="00F04580"/>
    <w:rsid w:val="00F04ECA"/>
    <w:rsid w:val="00F04F8B"/>
    <w:rsid w:val="00F06E19"/>
    <w:rsid w:val="00F06F84"/>
    <w:rsid w:val="00F07286"/>
    <w:rsid w:val="00F07585"/>
    <w:rsid w:val="00F076E7"/>
    <w:rsid w:val="00F07AA1"/>
    <w:rsid w:val="00F105AE"/>
    <w:rsid w:val="00F10618"/>
    <w:rsid w:val="00F1108B"/>
    <w:rsid w:val="00F114FA"/>
    <w:rsid w:val="00F11768"/>
    <w:rsid w:val="00F11951"/>
    <w:rsid w:val="00F12262"/>
    <w:rsid w:val="00F12564"/>
    <w:rsid w:val="00F12AF8"/>
    <w:rsid w:val="00F12C52"/>
    <w:rsid w:val="00F13E62"/>
    <w:rsid w:val="00F148B7"/>
    <w:rsid w:val="00F14D67"/>
    <w:rsid w:val="00F14EA9"/>
    <w:rsid w:val="00F15505"/>
    <w:rsid w:val="00F15BFF"/>
    <w:rsid w:val="00F16B79"/>
    <w:rsid w:val="00F16E4F"/>
    <w:rsid w:val="00F17244"/>
    <w:rsid w:val="00F204CC"/>
    <w:rsid w:val="00F213A0"/>
    <w:rsid w:val="00F21D54"/>
    <w:rsid w:val="00F21EF4"/>
    <w:rsid w:val="00F223B3"/>
    <w:rsid w:val="00F23113"/>
    <w:rsid w:val="00F2319C"/>
    <w:rsid w:val="00F23255"/>
    <w:rsid w:val="00F23393"/>
    <w:rsid w:val="00F23759"/>
    <w:rsid w:val="00F238B4"/>
    <w:rsid w:val="00F24644"/>
    <w:rsid w:val="00F25947"/>
    <w:rsid w:val="00F262D6"/>
    <w:rsid w:val="00F26F33"/>
    <w:rsid w:val="00F2748A"/>
    <w:rsid w:val="00F27EA6"/>
    <w:rsid w:val="00F300A8"/>
    <w:rsid w:val="00F302C6"/>
    <w:rsid w:val="00F30400"/>
    <w:rsid w:val="00F3079E"/>
    <w:rsid w:val="00F33968"/>
    <w:rsid w:val="00F3399B"/>
    <w:rsid w:val="00F33F4B"/>
    <w:rsid w:val="00F346ED"/>
    <w:rsid w:val="00F34945"/>
    <w:rsid w:val="00F34E1E"/>
    <w:rsid w:val="00F34F5B"/>
    <w:rsid w:val="00F3570C"/>
    <w:rsid w:val="00F363A4"/>
    <w:rsid w:val="00F36765"/>
    <w:rsid w:val="00F368FF"/>
    <w:rsid w:val="00F37026"/>
    <w:rsid w:val="00F37068"/>
    <w:rsid w:val="00F37385"/>
    <w:rsid w:val="00F375D8"/>
    <w:rsid w:val="00F37F3F"/>
    <w:rsid w:val="00F40992"/>
    <w:rsid w:val="00F40F72"/>
    <w:rsid w:val="00F40FD8"/>
    <w:rsid w:val="00F41596"/>
    <w:rsid w:val="00F41D8B"/>
    <w:rsid w:val="00F42121"/>
    <w:rsid w:val="00F424B3"/>
    <w:rsid w:val="00F428B1"/>
    <w:rsid w:val="00F428B4"/>
    <w:rsid w:val="00F4345D"/>
    <w:rsid w:val="00F4387B"/>
    <w:rsid w:val="00F448EE"/>
    <w:rsid w:val="00F451D4"/>
    <w:rsid w:val="00F45612"/>
    <w:rsid w:val="00F45921"/>
    <w:rsid w:val="00F45B91"/>
    <w:rsid w:val="00F4613E"/>
    <w:rsid w:val="00F46639"/>
    <w:rsid w:val="00F46DBB"/>
    <w:rsid w:val="00F4753C"/>
    <w:rsid w:val="00F476FD"/>
    <w:rsid w:val="00F50183"/>
    <w:rsid w:val="00F50C18"/>
    <w:rsid w:val="00F50D92"/>
    <w:rsid w:val="00F51765"/>
    <w:rsid w:val="00F51A51"/>
    <w:rsid w:val="00F51BC6"/>
    <w:rsid w:val="00F51CB4"/>
    <w:rsid w:val="00F52324"/>
    <w:rsid w:val="00F52950"/>
    <w:rsid w:val="00F52C9D"/>
    <w:rsid w:val="00F533F1"/>
    <w:rsid w:val="00F53D10"/>
    <w:rsid w:val="00F55679"/>
    <w:rsid w:val="00F561E3"/>
    <w:rsid w:val="00F565E6"/>
    <w:rsid w:val="00F56772"/>
    <w:rsid w:val="00F56AFA"/>
    <w:rsid w:val="00F575E2"/>
    <w:rsid w:val="00F579FF"/>
    <w:rsid w:val="00F600E0"/>
    <w:rsid w:val="00F605EC"/>
    <w:rsid w:val="00F60F60"/>
    <w:rsid w:val="00F612CE"/>
    <w:rsid w:val="00F6133C"/>
    <w:rsid w:val="00F624A7"/>
    <w:rsid w:val="00F62AB6"/>
    <w:rsid w:val="00F65A3C"/>
    <w:rsid w:val="00F66039"/>
    <w:rsid w:val="00F66282"/>
    <w:rsid w:val="00F6639E"/>
    <w:rsid w:val="00F670E9"/>
    <w:rsid w:val="00F67AF1"/>
    <w:rsid w:val="00F67D8B"/>
    <w:rsid w:val="00F701C5"/>
    <w:rsid w:val="00F707E3"/>
    <w:rsid w:val="00F70961"/>
    <w:rsid w:val="00F70A8F"/>
    <w:rsid w:val="00F70B3A"/>
    <w:rsid w:val="00F70E36"/>
    <w:rsid w:val="00F71397"/>
    <w:rsid w:val="00F72389"/>
    <w:rsid w:val="00F72516"/>
    <w:rsid w:val="00F72A1E"/>
    <w:rsid w:val="00F72FB4"/>
    <w:rsid w:val="00F735E5"/>
    <w:rsid w:val="00F73E80"/>
    <w:rsid w:val="00F7469C"/>
    <w:rsid w:val="00F7492E"/>
    <w:rsid w:val="00F74945"/>
    <w:rsid w:val="00F749A3"/>
    <w:rsid w:val="00F74AE8"/>
    <w:rsid w:val="00F769CC"/>
    <w:rsid w:val="00F76C11"/>
    <w:rsid w:val="00F77021"/>
    <w:rsid w:val="00F77E61"/>
    <w:rsid w:val="00F77E9A"/>
    <w:rsid w:val="00F80221"/>
    <w:rsid w:val="00F807F6"/>
    <w:rsid w:val="00F80C81"/>
    <w:rsid w:val="00F81265"/>
    <w:rsid w:val="00F815AC"/>
    <w:rsid w:val="00F8187D"/>
    <w:rsid w:val="00F81AA6"/>
    <w:rsid w:val="00F83B33"/>
    <w:rsid w:val="00F83CAE"/>
    <w:rsid w:val="00F840BF"/>
    <w:rsid w:val="00F8427A"/>
    <w:rsid w:val="00F843DF"/>
    <w:rsid w:val="00F84899"/>
    <w:rsid w:val="00F85585"/>
    <w:rsid w:val="00F858A5"/>
    <w:rsid w:val="00F859F0"/>
    <w:rsid w:val="00F85CC1"/>
    <w:rsid w:val="00F86280"/>
    <w:rsid w:val="00F86B5D"/>
    <w:rsid w:val="00F875E1"/>
    <w:rsid w:val="00F87634"/>
    <w:rsid w:val="00F87C13"/>
    <w:rsid w:val="00F87C5A"/>
    <w:rsid w:val="00F87E29"/>
    <w:rsid w:val="00F87F18"/>
    <w:rsid w:val="00F87F68"/>
    <w:rsid w:val="00F90C4D"/>
    <w:rsid w:val="00F9167D"/>
    <w:rsid w:val="00F91CB2"/>
    <w:rsid w:val="00F927E8"/>
    <w:rsid w:val="00F9289C"/>
    <w:rsid w:val="00F93D5B"/>
    <w:rsid w:val="00F93DBC"/>
    <w:rsid w:val="00F93E41"/>
    <w:rsid w:val="00F94644"/>
    <w:rsid w:val="00F952E4"/>
    <w:rsid w:val="00F9537B"/>
    <w:rsid w:val="00F963FC"/>
    <w:rsid w:val="00F965CA"/>
    <w:rsid w:val="00F97107"/>
    <w:rsid w:val="00F97141"/>
    <w:rsid w:val="00F97CF1"/>
    <w:rsid w:val="00FA015F"/>
    <w:rsid w:val="00FA0160"/>
    <w:rsid w:val="00FA0FAC"/>
    <w:rsid w:val="00FA10F7"/>
    <w:rsid w:val="00FA1DA2"/>
    <w:rsid w:val="00FA2589"/>
    <w:rsid w:val="00FA3414"/>
    <w:rsid w:val="00FA347A"/>
    <w:rsid w:val="00FA3CDE"/>
    <w:rsid w:val="00FA3EDB"/>
    <w:rsid w:val="00FA49B7"/>
    <w:rsid w:val="00FA5043"/>
    <w:rsid w:val="00FA6569"/>
    <w:rsid w:val="00FA6F8B"/>
    <w:rsid w:val="00FA727C"/>
    <w:rsid w:val="00FA7788"/>
    <w:rsid w:val="00FA7A30"/>
    <w:rsid w:val="00FB033F"/>
    <w:rsid w:val="00FB0507"/>
    <w:rsid w:val="00FB12E3"/>
    <w:rsid w:val="00FB1570"/>
    <w:rsid w:val="00FB193B"/>
    <w:rsid w:val="00FB1E5B"/>
    <w:rsid w:val="00FB1FBC"/>
    <w:rsid w:val="00FB27B7"/>
    <w:rsid w:val="00FB2A6A"/>
    <w:rsid w:val="00FB35E3"/>
    <w:rsid w:val="00FB4893"/>
    <w:rsid w:val="00FB4C98"/>
    <w:rsid w:val="00FB4CE3"/>
    <w:rsid w:val="00FB534D"/>
    <w:rsid w:val="00FB583C"/>
    <w:rsid w:val="00FB630E"/>
    <w:rsid w:val="00FB6738"/>
    <w:rsid w:val="00FB67AD"/>
    <w:rsid w:val="00FB691B"/>
    <w:rsid w:val="00FB6BE6"/>
    <w:rsid w:val="00FB731C"/>
    <w:rsid w:val="00FB7628"/>
    <w:rsid w:val="00FB77C9"/>
    <w:rsid w:val="00FC05A0"/>
    <w:rsid w:val="00FC0811"/>
    <w:rsid w:val="00FC1196"/>
    <w:rsid w:val="00FC13D1"/>
    <w:rsid w:val="00FC15EB"/>
    <w:rsid w:val="00FC162C"/>
    <w:rsid w:val="00FC18DC"/>
    <w:rsid w:val="00FC2477"/>
    <w:rsid w:val="00FC2AC4"/>
    <w:rsid w:val="00FC2CAC"/>
    <w:rsid w:val="00FC2F73"/>
    <w:rsid w:val="00FC30FA"/>
    <w:rsid w:val="00FC341C"/>
    <w:rsid w:val="00FC3830"/>
    <w:rsid w:val="00FC3A9B"/>
    <w:rsid w:val="00FC3AE1"/>
    <w:rsid w:val="00FC3DFC"/>
    <w:rsid w:val="00FC3EF4"/>
    <w:rsid w:val="00FC431B"/>
    <w:rsid w:val="00FC434C"/>
    <w:rsid w:val="00FC472C"/>
    <w:rsid w:val="00FC4FDF"/>
    <w:rsid w:val="00FC5CF4"/>
    <w:rsid w:val="00FC5D64"/>
    <w:rsid w:val="00FC6097"/>
    <w:rsid w:val="00FC61A4"/>
    <w:rsid w:val="00FC6A39"/>
    <w:rsid w:val="00FC76A9"/>
    <w:rsid w:val="00FC79AB"/>
    <w:rsid w:val="00FC7BE7"/>
    <w:rsid w:val="00FC7DAC"/>
    <w:rsid w:val="00FC7F00"/>
    <w:rsid w:val="00FD005D"/>
    <w:rsid w:val="00FD023A"/>
    <w:rsid w:val="00FD04AE"/>
    <w:rsid w:val="00FD0CCF"/>
    <w:rsid w:val="00FD0DFA"/>
    <w:rsid w:val="00FD128D"/>
    <w:rsid w:val="00FD1606"/>
    <w:rsid w:val="00FD1890"/>
    <w:rsid w:val="00FD1994"/>
    <w:rsid w:val="00FD3508"/>
    <w:rsid w:val="00FD393C"/>
    <w:rsid w:val="00FD3AFF"/>
    <w:rsid w:val="00FD43BB"/>
    <w:rsid w:val="00FD48CD"/>
    <w:rsid w:val="00FD4AF3"/>
    <w:rsid w:val="00FD798D"/>
    <w:rsid w:val="00FE141E"/>
    <w:rsid w:val="00FE144E"/>
    <w:rsid w:val="00FE1768"/>
    <w:rsid w:val="00FE24F4"/>
    <w:rsid w:val="00FE2560"/>
    <w:rsid w:val="00FE3016"/>
    <w:rsid w:val="00FE35D0"/>
    <w:rsid w:val="00FE3730"/>
    <w:rsid w:val="00FE40EA"/>
    <w:rsid w:val="00FE42ED"/>
    <w:rsid w:val="00FE4E06"/>
    <w:rsid w:val="00FE55A7"/>
    <w:rsid w:val="00FE5C5A"/>
    <w:rsid w:val="00FE6432"/>
    <w:rsid w:val="00FE6D66"/>
    <w:rsid w:val="00FE72A0"/>
    <w:rsid w:val="00FE76F9"/>
    <w:rsid w:val="00FE784E"/>
    <w:rsid w:val="00FF0050"/>
    <w:rsid w:val="00FF045F"/>
    <w:rsid w:val="00FF13D4"/>
    <w:rsid w:val="00FF2053"/>
    <w:rsid w:val="00FF3B37"/>
    <w:rsid w:val="00FF3CC7"/>
    <w:rsid w:val="00FF3D6F"/>
    <w:rsid w:val="00FF4810"/>
    <w:rsid w:val="00FF4BD8"/>
    <w:rsid w:val="00FF4D11"/>
    <w:rsid w:val="00FF5214"/>
    <w:rsid w:val="00FF53DC"/>
    <w:rsid w:val="00FF596E"/>
    <w:rsid w:val="00FF5B59"/>
    <w:rsid w:val="00FF5BFD"/>
    <w:rsid w:val="00FF5DBF"/>
    <w:rsid w:val="00FF6095"/>
    <w:rsid w:val="00FF62FE"/>
    <w:rsid w:val="00FF655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5FFD"/>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character" w:styleId="Textodelmarcadordeposicin">
    <w:name w:val="Placeholder Text"/>
    <w:basedOn w:val="Fuentedeprrafopredeter"/>
    <w:uiPriority w:val="99"/>
    <w:semiHidden/>
    <w:rsid w:val="00A4271D"/>
    <w:rPr>
      <w:color w:val="808080"/>
    </w:rPr>
  </w:style>
  <w:style w:type="paragraph" w:styleId="Revisin">
    <w:name w:val="Revision"/>
    <w:hidden/>
    <w:uiPriority w:val="99"/>
    <w:semiHidden/>
    <w:rsid w:val="008815D1"/>
    <w:pPr>
      <w:spacing w:after="0" w:line="240" w:lineRule="auto"/>
    </w:pPr>
    <w:rPr>
      <w:rFonts w:ascii="Times New Roman" w:eastAsia="Times New Roman" w:hAnsi="Times New Roman" w:cs="Times New Roman"/>
      <w:sz w:val="24"/>
      <w:szCs w:val="24"/>
      <w:lang w:eastAsia="es-ES_tradnl"/>
    </w:rPr>
  </w:style>
  <w:style w:type="paragraph" w:customStyle="1" w:styleId="Style1">
    <w:name w:val="Style 1"/>
    <w:uiPriority w:val="99"/>
    <w:rsid w:val="00C1749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character" w:customStyle="1" w:styleId="CharacterStyle1">
    <w:name w:val="Character Style 1"/>
    <w:uiPriority w:val="99"/>
    <w:rsid w:val="00C17492"/>
    <w:rPr>
      <w:sz w:val="20"/>
      <w:szCs w:val="20"/>
    </w:rPr>
  </w:style>
  <w:style w:type="paragraph" w:customStyle="1" w:styleId="Style4">
    <w:name w:val="Style 4"/>
    <w:uiPriority w:val="99"/>
    <w:rsid w:val="00213EC5"/>
    <w:pPr>
      <w:widowControl w:val="0"/>
      <w:autoSpaceDE w:val="0"/>
      <w:autoSpaceDN w:val="0"/>
      <w:spacing w:before="288" w:after="0" w:line="240" w:lineRule="auto"/>
      <w:jc w:val="both"/>
    </w:pPr>
    <w:rPr>
      <w:rFonts w:ascii="Times New Roman" w:eastAsia="Times New Roman" w:hAnsi="Times New Roman" w:cs="Times New Roman"/>
      <w:sz w:val="24"/>
      <w:szCs w:val="24"/>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4502140">
      <w:bodyDiv w:val="1"/>
      <w:marLeft w:val="0"/>
      <w:marRight w:val="0"/>
      <w:marTop w:val="0"/>
      <w:marBottom w:val="0"/>
      <w:divBdr>
        <w:top w:val="none" w:sz="0" w:space="0" w:color="auto"/>
        <w:left w:val="none" w:sz="0" w:space="0" w:color="auto"/>
        <w:bottom w:val="none" w:sz="0" w:space="0" w:color="auto"/>
        <w:right w:val="none" w:sz="0" w:space="0" w:color="auto"/>
      </w:divBdr>
      <w:divsChild>
        <w:div w:id="1779519250">
          <w:marLeft w:val="0"/>
          <w:marRight w:val="0"/>
          <w:marTop w:val="0"/>
          <w:marBottom w:val="0"/>
          <w:divBdr>
            <w:top w:val="none" w:sz="0" w:space="0" w:color="auto"/>
            <w:left w:val="none" w:sz="0" w:space="0" w:color="auto"/>
            <w:bottom w:val="none" w:sz="0" w:space="0" w:color="auto"/>
            <w:right w:val="none" w:sz="0" w:space="0" w:color="auto"/>
          </w:divBdr>
          <w:divsChild>
            <w:div w:id="1734890087">
              <w:marLeft w:val="0"/>
              <w:marRight w:val="0"/>
              <w:marTop w:val="0"/>
              <w:marBottom w:val="0"/>
              <w:divBdr>
                <w:top w:val="none" w:sz="0" w:space="0" w:color="auto"/>
                <w:left w:val="none" w:sz="0" w:space="0" w:color="auto"/>
                <w:bottom w:val="none" w:sz="0" w:space="0" w:color="auto"/>
                <w:right w:val="none" w:sz="0" w:space="0" w:color="auto"/>
              </w:divBdr>
              <w:divsChild>
                <w:div w:id="67845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1138">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19399286">
      <w:bodyDiv w:val="1"/>
      <w:marLeft w:val="0"/>
      <w:marRight w:val="0"/>
      <w:marTop w:val="0"/>
      <w:marBottom w:val="0"/>
      <w:divBdr>
        <w:top w:val="none" w:sz="0" w:space="0" w:color="auto"/>
        <w:left w:val="none" w:sz="0" w:space="0" w:color="auto"/>
        <w:bottom w:val="none" w:sz="0" w:space="0" w:color="auto"/>
        <w:right w:val="none" w:sz="0" w:space="0" w:color="auto"/>
      </w:divBdr>
      <w:divsChild>
        <w:div w:id="816604050">
          <w:marLeft w:val="0"/>
          <w:marRight w:val="0"/>
          <w:marTop w:val="0"/>
          <w:marBottom w:val="0"/>
          <w:divBdr>
            <w:top w:val="none" w:sz="0" w:space="0" w:color="auto"/>
            <w:left w:val="none" w:sz="0" w:space="0" w:color="auto"/>
            <w:bottom w:val="none" w:sz="0" w:space="0" w:color="auto"/>
            <w:right w:val="none" w:sz="0" w:space="0" w:color="auto"/>
          </w:divBdr>
          <w:divsChild>
            <w:div w:id="330063373">
              <w:marLeft w:val="0"/>
              <w:marRight w:val="0"/>
              <w:marTop w:val="0"/>
              <w:marBottom w:val="0"/>
              <w:divBdr>
                <w:top w:val="none" w:sz="0" w:space="0" w:color="auto"/>
                <w:left w:val="none" w:sz="0" w:space="0" w:color="auto"/>
                <w:bottom w:val="none" w:sz="0" w:space="0" w:color="auto"/>
                <w:right w:val="none" w:sz="0" w:space="0" w:color="auto"/>
              </w:divBdr>
              <w:divsChild>
                <w:div w:id="169137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28576617">
      <w:bodyDiv w:val="1"/>
      <w:marLeft w:val="0"/>
      <w:marRight w:val="0"/>
      <w:marTop w:val="0"/>
      <w:marBottom w:val="0"/>
      <w:divBdr>
        <w:top w:val="none" w:sz="0" w:space="0" w:color="auto"/>
        <w:left w:val="none" w:sz="0" w:space="0" w:color="auto"/>
        <w:bottom w:val="none" w:sz="0" w:space="0" w:color="auto"/>
        <w:right w:val="none" w:sz="0" w:space="0" w:color="auto"/>
      </w:divBdr>
    </w:div>
    <w:div w:id="28727430">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3990463">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0949758">
      <w:bodyDiv w:val="1"/>
      <w:marLeft w:val="0"/>
      <w:marRight w:val="0"/>
      <w:marTop w:val="0"/>
      <w:marBottom w:val="0"/>
      <w:divBdr>
        <w:top w:val="none" w:sz="0" w:space="0" w:color="auto"/>
        <w:left w:val="none" w:sz="0" w:space="0" w:color="auto"/>
        <w:bottom w:val="none" w:sz="0" w:space="0" w:color="auto"/>
        <w:right w:val="none" w:sz="0" w:space="0" w:color="auto"/>
      </w:divBdr>
      <w:divsChild>
        <w:div w:id="2113237130">
          <w:marLeft w:val="0"/>
          <w:marRight w:val="0"/>
          <w:marTop w:val="0"/>
          <w:marBottom w:val="0"/>
          <w:divBdr>
            <w:top w:val="none" w:sz="0" w:space="0" w:color="auto"/>
            <w:left w:val="none" w:sz="0" w:space="0" w:color="auto"/>
            <w:bottom w:val="none" w:sz="0" w:space="0" w:color="auto"/>
            <w:right w:val="none" w:sz="0" w:space="0" w:color="auto"/>
          </w:divBdr>
          <w:divsChild>
            <w:div w:id="1782073139">
              <w:marLeft w:val="0"/>
              <w:marRight w:val="0"/>
              <w:marTop w:val="0"/>
              <w:marBottom w:val="0"/>
              <w:divBdr>
                <w:top w:val="none" w:sz="0" w:space="0" w:color="auto"/>
                <w:left w:val="none" w:sz="0" w:space="0" w:color="auto"/>
                <w:bottom w:val="none" w:sz="0" w:space="0" w:color="auto"/>
                <w:right w:val="none" w:sz="0" w:space="0" w:color="auto"/>
              </w:divBdr>
              <w:divsChild>
                <w:div w:id="36479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41194916">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4459391">
      <w:bodyDiv w:val="1"/>
      <w:marLeft w:val="0"/>
      <w:marRight w:val="0"/>
      <w:marTop w:val="0"/>
      <w:marBottom w:val="0"/>
      <w:divBdr>
        <w:top w:val="none" w:sz="0" w:space="0" w:color="auto"/>
        <w:left w:val="none" w:sz="0" w:space="0" w:color="auto"/>
        <w:bottom w:val="none" w:sz="0" w:space="0" w:color="auto"/>
        <w:right w:val="none" w:sz="0" w:space="0" w:color="auto"/>
      </w:divBdr>
    </w:div>
    <w:div w:id="19169670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15824421">
      <w:bodyDiv w:val="1"/>
      <w:marLeft w:val="0"/>
      <w:marRight w:val="0"/>
      <w:marTop w:val="0"/>
      <w:marBottom w:val="0"/>
      <w:divBdr>
        <w:top w:val="none" w:sz="0" w:space="0" w:color="auto"/>
        <w:left w:val="none" w:sz="0" w:space="0" w:color="auto"/>
        <w:bottom w:val="none" w:sz="0" w:space="0" w:color="auto"/>
        <w:right w:val="none" w:sz="0" w:space="0" w:color="auto"/>
      </w:divBdr>
    </w:div>
    <w:div w:id="230820502">
      <w:bodyDiv w:val="1"/>
      <w:marLeft w:val="0"/>
      <w:marRight w:val="0"/>
      <w:marTop w:val="0"/>
      <w:marBottom w:val="0"/>
      <w:divBdr>
        <w:top w:val="none" w:sz="0" w:space="0" w:color="auto"/>
        <w:left w:val="none" w:sz="0" w:space="0" w:color="auto"/>
        <w:bottom w:val="none" w:sz="0" w:space="0" w:color="auto"/>
        <w:right w:val="none" w:sz="0" w:space="0" w:color="auto"/>
      </w:divBdr>
      <w:divsChild>
        <w:div w:id="853305251">
          <w:marLeft w:val="0"/>
          <w:marRight w:val="0"/>
          <w:marTop w:val="0"/>
          <w:marBottom w:val="0"/>
          <w:divBdr>
            <w:top w:val="none" w:sz="0" w:space="0" w:color="auto"/>
            <w:left w:val="none" w:sz="0" w:space="0" w:color="auto"/>
            <w:bottom w:val="none" w:sz="0" w:space="0" w:color="auto"/>
            <w:right w:val="none" w:sz="0" w:space="0" w:color="auto"/>
          </w:divBdr>
          <w:divsChild>
            <w:div w:id="1393885802">
              <w:marLeft w:val="0"/>
              <w:marRight w:val="0"/>
              <w:marTop w:val="0"/>
              <w:marBottom w:val="0"/>
              <w:divBdr>
                <w:top w:val="none" w:sz="0" w:space="0" w:color="auto"/>
                <w:left w:val="none" w:sz="0" w:space="0" w:color="auto"/>
                <w:bottom w:val="none" w:sz="0" w:space="0" w:color="auto"/>
                <w:right w:val="none" w:sz="0" w:space="0" w:color="auto"/>
              </w:divBdr>
              <w:divsChild>
                <w:div w:id="65314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7716642">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140013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79266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56877285">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9011270">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222371">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235495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065233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284043">
      <w:bodyDiv w:val="1"/>
      <w:marLeft w:val="0"/>
      <w:marRight w:val="0"/>
      <w:marTop w:val="0"/>
      <w:marBottom w:val="0"/>
      <w:divBdr>
        <w:top w:val="none" w:sz="0" w:space="0" w:color="auto"/>
        <w:left w:val="none" w:sz="0" w:space="0" w:color="auto"/>
        <w:bottom w:val="none" w:sz="0" w:space="0" w:color="auto"/>
        <w:right w:val="none" w:sz="0" w:space="0" w:color="auto"/>
      </w:divBdr>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329070">
      <w:bodyDiv w:val="1"/>
      <w:marLeft w:val="0"/>
      <w:marRight w:val="0"/>
      <w:marTop w:val="0"/>
      <w:marBottom w:val="0"/>
      <w:divBdr>
        <w:top w:val="none" w:sz="0" w:space="0" w:color="auto"/>
        <w:left w:val="none" w:sz="0" w:space="0" w:color="auto"/>
        <w:bottom w:val="none" w:sz="0" w:space="0" w:color="auto"/>
        <w:right w:val="none" w:sz="0" w:space="0" w:color="auto"/>
      </w:divBdr>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4653300">
      <w:bodyDiv w:val="1"/>
      <w:marLeft w:val="0"/>
      <w:marRight w:val="0"/>
      <w:marTop w:val="0"/>
      <w:marBottom w:val="0"/>
      <w:divBdr>
        <w:top w:val="none" w:sz="0" w:space="0" w:color="auto"/>
        <w:left w:val="none" w:sz="0" w:space="0" w:color="auto"/>
        <w:bottom w:val="none" w:sz="0" w:space="0" w:color="auto"/>
        <w:right w:val="none" w:sz="0" w:space="0" w:color="auto"/>
      </w:divBdr>
      <w:divsChild>
        <w:div w:id="997465645">
          <w:marLeft w:val="0"/>
          <w:marRight w:val="0"/>
          <w:marTop w:val="0"/>
          <w:marBottom w:val="0"/>
          <w:divBdr>
            <w:top w:val="none" w:sz="0" w:space="0" w:color="auto"/>
            <w:left w:val="none" w:sz="0" w:space="0" w:color="auto"/>
            <w:bottom w:val="none" w:sz="0" w:space="0" w:color="auto"/>
            <w:right w:val="none" w:sz="0" w:space="0" w:color="auto"/>
          </w:divBdr>
          <w:divsChild>
            <w:div w:id="502864289">
              <w:marLeft w:val="0"/>
              <w:marRight w:val="0"/>
              <w:marTop w:val="0"/>
              <w:marBottom w:val="0"/>
              <w:divBdr>
                <w:top w:val="none" w:sz="0" w:space="0" w:color="auto"/>
                <w:left w:val="none" w:sz="0" w:space="0" w:color="auto"/>
                <w:bottom w:val="none" w:sz="0" w:space="0" w:color="auto"/>
                <w:right w:val="none" w:sz="0" w:space="0" w:color="auto"/>
              </w:divBdr>
              <w:divsChild>
                <w:div w:id="131472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10163729">
      <w:bodyDiv w:val="1"/>
      <w:marLeft w:val="0"/>
      <w:marRight w:val="0"/>
      <w:marTop w:val="0"/>
      <w:marBottom w:val="0"/>
      <w:divBdr>
        <w:top w:val="none" w:sz="0" w:space="0" w:color="auto"/>
        <w:left w:val="none" w:sz="0" w:space="0" w:color="auto"/>
        <w:bottom w:val="none" w:sz="0" w:space="0" w:color="auto"/>
        <w:right w:val="none" w:sz="0" w:space="0" w:color="auto"/>
      </w:divBdr>
    </w:div>
    <w:div w:id="617493286">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43775461">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5646275">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7491459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12491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3775468">
      <w:bodyDiv w:val="1"/>
      <w:marLeft w:val="0"/>
      <w:marRight w:val="0"/>
      <w:marTop w:val="0"/>
      <w:marBottom w:val="0"/>
      <w:divBdr>
        <w:top w:val="none" w:sz="0" w:space="0" w:color="auto"/>
        <w:left w:val="none" w:sz="0" w:space="0" w:color="auto"/>
        <w:bottom w:val="none" w:sz="0" w:space="0" w:color="auto"/>
        <w:right w:val="none" w:sz="0" w:space="0" w:color="auto"/>
      </w:divBdr>
      <w:divsChild>
        <w:div w:id="1932541824">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177637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43351">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112238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803852">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6629019">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18427827">
      <w:bodyDiv w:val="1"/>
      <w:marLeft w:val="0"/>
      <w:marRight w:val="0"/>
      <w:marTop w:val="0"/>
      <w:marBottom w:val="0"/>
      <w:divBdr>
        <w:top w:val="none" w:sz="0" w:space="0" w:color="auto"/>
        <w:left w:val="none" w:sz="0" w:space="0" w:color="auto"/>
        <w:bottom w:val="none" w:sz="0" w:space="0" w:color="auto"/>
        <w:right w:val="none" w:sz="0" w:space="0" w:color="auto"/>
      </w:divBdr>
    </w:div>
    <w:div w:id="824931210">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39077706">
      <w:bodyDiv w:val="1"/>
      <w:marLeft w:val="0"/>
      <w:marRight w:val="0"/>
      <w:marTop w:val="0"/>
      <w:marBottom w:val="0"/>
      <w:divBdr>
        <w:top w:val="none" w:sz="0" w:space="0" w:color="auto"/>
        <w:left w:val="none" w:sz="0" w:space="0" w:color="auto"/>
        <w:bottom w:val="none" w:sz="0" w:space="0" w:color="auto"/>
        <w:right w:val="none" w:sz="0" w:space="0" w:color="auto"/>
      </w:divBdr>
      <w:divsChild>
        <w:div w:id="1012681878">
          <w:marLeft w:val="0"/>
          <w:marRight w:val="0"/>
          <w:marTop w:val="0"/>
          <w:marBottom w:val="0"/>
          <w:divBdr>
            <w:top w:val="none" w:sz="0" w:space="0" w:color="auto"/>
            <w:left w:val="none" w:sz="0" w:space="0" w:color="auto"/>
            <w:bottom w:val="none" w:sz="0" w:space="0" w:color="auto"/>
            <w:right w:val="none" w:sz="0" w:space="0" w:color="auto"/>
          </w:divBdr>
          <w:divsChild>
            <w:div w:id="1639336313">
              <w:marLeft w:val="0"/>
              <w:marRight w:val="0"/>
              <w:marTop w:val="0"/>
              <w:marBottom w:val="0"/>
              <w:divBdr>
                <w:top w:val="none" w:sz="0" w:space="0" w:color="auto"/>
                <w:left w:val="none" w:sz="0" w:space="0" w:color="auto"/>
                <w:bottom w:val="none" w:sz="0" w:space="0" w:color="auto"/>
                <w:right w:val="none" w:sz="0" w:space="0" w:color="auto"/>
              </w:divBdr>
              <w:divsChild>
                <w:div w:id="53104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0503732">
      <w:bodyDiv w:val="1"/>
      <w:marLeft w:val="0"/>
      <w:marRight w:val="0"/>
      <w:marTop w:val="0"/>
      <w:marBottom w:val="0"/>
      <w:divBdr>
        <w:top w:val="none" w:sz="0" w:space="0" w:color="auto"/>
        <w:left w:val="none" w:sz="0" w:space="0" w:color="auto"/>
        <w:bottom w:val="none" w:sz="0" w:space="0" w:color="auto"/>
        <w:right w:val="none" w:sz="0" w:space="0" w:color="auto"/>
      </w:divBdr>
      <w:divsChild>
        <w:div w:id="64840735">
          <w:marLeft w:val="0"/>
          <w:marRight w:val="0"/>
          <w:marTop w:val="0"/>
          <w:marBottom w:val="0"/>
          <w:divBdr>
            <w:top w:val="none" w:sz="0" w:space="0" w:color="auto"/>
            <w:left w:val="none" w:sz="0" w:space="0" w:color="auto"/>
            <w:bottom w:val="none" w:sz="0" w:space="0" w:color="auto"/>
            <w:right w:val="none" w:sz="0" w:space="0" w:color="auto"/>
          </w:divBdr>
        </w:div>
        <w:div w:id="748162411">
          <w:marLeft w:val="0"/>
          <w:marRight w:val="0"/>
          <w:marTop w:val="0"/>
          <w:marBottom w:val="0"/>
          <w:divBdr>
            <w:top w:val="none" w:sz="0" w:space="0" w:color="auto"/>
            <w:left w:val="none" w:sz="0" w:space="0" w:color="auto"/>
            <w:bottom w:val="none" w:sz="0" w:space="0" w:color="auto"/>
            <w:right w:val="none" w:sz="0" w:space="0" w:color="auto"/>
          </w:divBdr>
        </w:div>
        <w:div w:id="1368945924">
          <w:marLeft w:val="0"/>
          <w:marRight w:val="0"/>
          <w:marTop w:val="0"/>
          <w:marBottom w:val="0"/>
          <w:divBdr>
            <w:top w:val="none" w:sz="0" w:space="0" w:color="auto"/>
            <w:left w:val="none" w:sz="0" w:space="0" w:color="auto"/>
            <w:bottom w:val="none" w:sz="0" w:space="0" w:color="auto"/>
            <w:right w:val="none" w:sz="0" w:space="0" w:color="auto"/>
          </w:divBdr>
        </w:div>
      </w:divsChild>
    </w:div>
    <w:div w:id="934825871">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631209">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436131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01641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4230052">
      <w:bodyDiv w:val="1"/>
      <w:marLeft w:val="0"/>
      <w:marRight w:val="0"/>
      <w:marTop w:val="0"/>
      <w:marBottom w:val="0"/>
      <w:divBdr>
        <w:top w:val="none" w:sz="0" w:space="0" w:color="auto"/>
        <w:left w:val="none" w:sz="0" w:space="0" w:color="auto"/>
        <w:bottom w:val="none" w:sz="0" w:space="0" w:color="auto"/>
        <w:right w:val="none" w:sz="0" w:space="0" w:color="auto"/>
      </w:divBdr>
    </w:div>
    <w:div w:id="1056318055">
      <w:bodyDiv w:val="1"/>
      <w:marLeft w:val="0"/>
      <w:marRight w:val="0"/>
      <w:marTop w:val="0"/>
      <w:marBottom w:val="0"/>
      <w:divBdr>
        <w:top w:val="none" w:sz="0" w:space="0" w:color="auto"/>
        <w:left w:val="none" w:sz="0" w:space="0" w:color="auto"/>
        <w:bottom w:val="none" w:sz="0" w:space="0" w:color="auto"/>
        <w:right w:val="none" w:sz="0" w:space="0" w:color="auto"/>
      </w:divBdr>
    </w:div>
    <w:div w:id="1057584220">
      <w:bodyDiv w:val="1"/>
      <w:marLeft w:val="0"/>
      <w:marRight w:val="0"/>
      <w:marTop w:val="0"/>
      <w:marBottom w:val="0"/>
      <w:divBdr>
        <w:top w:val="none" w:sz="0" w:space="0" w:color="auto"/>
        <w:left w:val="none" w:sz="0" w:space="0" w:color="auto"/>
        <w:bottom w:val="none" w:sz="0" w:space="0" w:color="auto"/>
        <w:right w:val="none" w:sz="0" w:space="0" w:color="auto"/>
      </w:divBdr>
    </w:div>
    <w:div w:id="1065646767">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585114">
      <w:bodyDiv w:val="1"/>
      <w:marLeft w:val="0"/>
      <w:marRight w:val="0"/>
      <w:marTop w:val="0"/>
      <w:marBottom w:val="0"/>
      <w:divBdr>
        <w:top w:val="none" w:sz="0" w:space="0" w:color="auto"/>
        <w:left w:val="none" w:sz="0" w:space="0" w:color="auto"/>
        <w:bottom w:val="none" w:sz="0" w:space="0" w:color="auto"/>
        <w:right w:val="none" w:sz="0" w:space="0" w:color="auto"/>
      </w:divBdr>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4568713">
      <w:bodyDiv w:val="1"/>
      <w:marLeft w:val="0"/>
      <w:marRight w:val="0"/>
      <w:marTop w:val="0"/>
      <w:marBottom w:val="0"/>
      <w:divBdr>
        <w:top w:val="none" w:sz="0" w:space="0" w:color="auto"/>
        <w:left w:val="none" w:sz="0" w:space="0" w:color="auto"/>
        <w:bottom w:val="none" w:sz="0" w:space="0" w:color="auto"/>
        <w:right w:val="none" w:sz="0" w:space="0" w:color="auto"/>
      </w:divBdr>
    </w:div>
    <w:div w:id="1096558198">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5534475">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3929162">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8955645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0768293">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7489096">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383800">
      <w:bodyDiv w:val="1"/>
      <w:marLeft w:val="0"/>
      <w:marRight w:val="0"/>
      <w:marTop w:val="0"/>
      <w:marBottom w:val="0"/>
      <w:divBdr>
        <w:top w:val="none" w:sz="0" w:space="0" w:color="auto"/>
        <w:left w:val="none" w:sz="0" w:space="0" w:color="auto"/>
        <w:bottom w:val="none" w:sz="0" w:space="0" w:color="auto"/>
        <w:right w:val="none" w:sz="0" w:space="0" w:color="auto"/>
      </w:divBdr>
    </w:div>
    <w:div w:id="1329752325">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39120563">
      <w:bodyDiv w:val="1"/>
      <w:marLeft w:val="0"/>
      <w:marRight w:val="0"/>
      <w:marTop w:val="0"/>
      <w:marBottom w:val="0"/>
      <w:divBdr>
        <w:top w:val="none" w:sz="0" w:space="0" w:color="auto"/>
        <w:left w:val="none" w:sz="0" w:space="0" w:color="auto"/>
        <w:bottom w:val="none" w:sz="0" w:space="0" w:color="auto"/>
        <w:right w:val="none" w:sz="0" w:space="0" w:color="auto"/>
      </w:divBdr>
      <w:divsChild>
        <w:div w:id="258299412">
          <w:marLeft w:val="0"/>
          <w:marRight w:val="0"/>
          <w:marTop w:val="0"/>
          <w:marBottom w:val="0"/>
          <w:divBdr>
            <w:top w:val="none" w:sz="0" w:space="0" w:color="auto"/>
            <w:left w:val="none" w:sz="0" w:space="0" w:color="auto"/>
            <w:bottom w:val="none" w:sz="0" w:space="0" w:color="auto"/>
            <w:right w:val="none" w:sz="0" w:space="0" w:color="auto"/>
          </w:divBdr>
          <w:divsChild>
            <w:div w:id="1850101576">
              <w:marLeft w:val="0"/>
              <w:marRight w:val="0"/>
              <w:marTop w:val="0"/>
              <w:marBottom w:val="0"/>
              <w:divBdr>
                <w:top w:val="none" w:sz="0" w:space="0" w:color="auto"/>
                <w:left w:val="none" w:sz="0" w:space="0" w:color="auto"/>
                <w:bottom w:val="none" w:sz="0" w:space="0" w:color="auto"/>
                <w:right w:val="none" w:sz="0" w:space="0" w:color="auto"/>
              </w:divBdr>
              <w:divsChild>
                <w:div w:id="123820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0472351">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615560">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514770">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197012">
      <w:bodyDiv w:val="1"/>
      <w:marLeft w:val="0"/>
      <w:marRight w:val="0"/>
      <w:marTop w:val="0"/>
      <w:marBottom w:val="0"/>
      <w:divBdr>
        <w:top w:val="none" w:sz="0" w:space="0" w:color="auto"/>
        <w:left w:val="none" w:sz="0" w:space="0" w:color="auto"/>
        <w:bottom w:val="none" w:sz="0" w:space="0" w:color="auto"/>
        <w:right w:val="none" w:sz="0" w:space="0" w:color="auto"/>
      </w:divBdr>
    </w:div>
    <w:div w:id="1437478582">
      <w:bodyDiv w:val="1"/>
      <w:marLeft w:val="0"/>
      <w:marRight w:val="0"/>
      <w:marTop w:val="0"/>
      <w:marBottom w:val="0"/>
      <w:divBdr>
        <w:top w:val="none" w:sz="0" w:space="0" w:color="auto"/>
        <w:left w:val="none" w:sz="0" w:space="0" w:color="auto"/>
        <w:bottom w:val="none" w:sz="0" w:space="0" w:color="auto"/>
        <w:right w:val="none" w:sz="0" w:space="0" w:color="auto"/>
      </w:divBdr>
      <w:divsChild>
        <w:div w:id="1045102601">
          <w:marLeft w:val="0"/>
          <w:marRight w:val="0"/>
          <w:marTop w:val="0"/>
          <w:marBottom w:val="0"/>
          <w:divBdr>
            <w:top w:val="none" w:sz="0" w:space="0" w:color="auto"/>
            <w:left w:val="none" w:sz="0" w:space="0" w:color="auto"/>
            <w:bottom w:val="none" w:sz="0" w:space="0" w:color="auto"/>
            <w:right w:val="none" w:sz="0" w:space="0" w:color="auto"/>
          </w:divBdr>
          <w:divsChild>
            <w:div w:id="1365717778">
              <w:marLeft w:val="0"/>
              <w:marRight w:val="0"/>
              <w:marTop w:val="0"/>
              <w:marBottom w:val="0"/>
              <w:divBdr>
                <w:top w:val="none" w:sz="0" w:space="0" w:color="auto"/>
                <w:left w:val="none" w:sz="0" w:space="0" w:color="auto"/>
                <w:bottom w:val="none" w:sz="0" w:space="0" w:color="auto"/>
                <w:right w:val="none" w:sz="0" w:space="0" w:color="auto"/>
              </w:divBdr>
              <w:divsChild>
                <w:div w:id="128542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5929761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498156499">
      <w:bodyDiv w:val="1"/>
      <w:marLeft w:val="0"/>
      <w:marRight w:val="0"/>
      <w:marTop w:val="0"/>
      <w:marBottom w:val="0"/>
      <w:divBdr>
        <w:top w:val="none" w:sz="0" w:space="0" w:color="auto"/>
        <w:left w:val="none" w:sz="0" w:space="0" w:color="auto"/>
        <w:bottom w:val="none" w:sz="0" w:space="0" w:color="auto"/>
        <w:right w:val="none" w:sz="0" w:space="0" w:color="auto"/>
      </w:divBdr>
    </w:div>
    <w:div w:id="1498376081">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2185197">
      <w:bodyDiv w:val="1"/>
      <w:marLeft w:val="0"/>
      <w:marRight w:val="0"/>
      <w:marTop w:val="0"/>
      <w:marBottom w:val="0"/>
      <w:divBdr>
        <w:top w:val="none" w:sz="0" w:space="0" w:color="auto"/>
        <w:left w:val="none" w:sz="0" w:space="0" w:color="auto"/>
        <w:bottom w:val="none" w:sz="0" w:space="0" w:color="auto"/>
        <w:right w:val="none" w:sz="0" w:space="0" w:color="auto"/>
      </w:divBdr>
    </w:div>
    <w:div w:id="1512379971">
      <w:bodyDiv w:val="1"/>
      <w:marLeft w:val="0"/>
      <w:marRight w:val="0"/>
      <w:marTop w:val="0"/>
      <w:marBottom w:val="0"/>
      <w:divBdr>
        <w:top w:val="none" w:sz="0" w:space="0" w:color="auto"/>
        <w:left w:val="none" w:sz="0" w:space="0" w:color="auto"/>
        <w:bottom w:val="none" w:sz="0" w:space="0" w:color="auto"/>
        <w:right w:val="none" w:sz="0" w:space="0" w:color="auto"/>
      </w:divBdr>
      <w:divsChild>
        <w:div w:id="49622318">
          <w:marLeft w:val="0"/>
          <w:marRight w:val="0"/>
          <w:marTop w:val="0"/>
          <w:marBottom w:val="0"/>
          <w:divBdr>
            <w:top w:val="none" w:sz="0" w:space="0" w:color="auto"/>
            <w:left w:val="none" w:sz="0" w:space="0" w:color="auto"/>
            <w:bottom w:val="none" w:sz="0" w:space="0" w:color="auto"/>
            <w:right w:val="none" w:sz="0" w:space="0" w:color="auto"/>
          </w:divBdr>
          <w:divsChild>
            <w:div w:id="1320771641">
              <w:marLeft w:val="0"/>
              <w:marRight w:val="0"/>
              <w:marTop w:val="0"/>
              <w:marBottom w:val="0"/>
              <w:divBdr>
                <w:top w:val="none" w:sz="0" w:space="0" w:color="auto"/>
                <w:left w:val="none" w:sz="0" w:space="0" w:color="auto"/>
                <w:bottom w:val="none" w:sz="0" w:space="0" w:color="auto"/>
                <w:right w:val="none" w:sz="0" w:space="0" w:color="auto"/>
              </w:divBdr>
              <w:divsChild>
                <w:div w:id="137857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8083769">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472906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811181">
      <w:bodyDiv w:val="1"/>
      <w:marLeft w:val="0"/>
      <w:marRight w:val="0"/>
      <w:marTop w:val="0"/>
      <w:marBottom w:val="0"/>
      <w:divBdr>
        <w:top w:val="none" w:sz="0" w:space="0" w:color="auto"/>
        <w:left w:val="none" w:sz="0" w:space="0" w:color="auto"/>
        <w:bottom w:val="none" w:sz="0" w:space="0" w:color="auto"/>
        <w:right w:val="none" w:sz="0" w:space="0" w:color="auto"/>
      </w:divBdr>
      <w:divsChild>
        <w:div w:id="418597455">
          <w:marLeft w:val="0"/>
          <w:marRight w:val="0"/>
          <w:marTop w:val="0"/>
          <w:marBottom w:val="0"/>
          <w:divBdr>
            <w:top w:val="none" w:sz="0" w:space="0" w:color="auto"/>
            <w:left w:val="none" w:sz="0" w:space="0" w:color="auto"/>
            <w:bottom w:val="none" w:sz="0" w:space="0" w:color="auto"/>
            <w:right w:val="none" w:sz="0" w:space="0" w:color="auto"/>
          </w:divBdr>
          <w:divsChild>
            <w:div w:id="1001472729">
              <w:marLeft w:val="0"/>
              <w:marRight w:val="0"/>
              <w:marTop w:val="0"/>
              <w:marBottom w:val="0"/>
              <w:divBdr>
                <w:top w:val="none" w:sz="0" w:space="0" w:color="auto"/>
                <w:left w:val="none" w:sz="0" w:space="0" w:color="auto"/>
                <w:bottom w:val="none" w:sz="0" w:space="0" w:color="auto"/>
                <w:right w:val="none" w:sz="0" w:space="0" w:color="auto"/>
              </w:divBdr>
              <w:divsChild>
                <w:div w:id="76480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4916429">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33554973">
      <w:bodyDiv w:val="1"/>
      <w:marLeft w:val="0"/>
      <w:marRight w:val="0"/>
      <w:marTop w:val="0"/>
      <w:marBottom w:val="0"/>
      <w:divBdr>
        <w:top w:val="none" w:sz="0" w:space="0" w:color="auto"/>
        <w:left w:val="none" w:sz="0" w:space="0" w:color="auto"/>
        <w:bottom w:val="none" w:sz="0" w:space="0" w:color="auto"/>
        <w:right w:val="none" w:sz="0" w:space="0" w:color="auto"/>
      </w:divBdr>
    </w:div>
    <w:div w:id="1635519712">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48122512">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664516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1734656">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9396715">
      <w:bodyDiv w:val="1"/>
      <w:marLeft w:val="0"/>
      <w:marRight w:val="0"/>
      <w:marTop w:val="0"/>
      <w:marBottom w:val="0"/>
      <w:divBdr>
        <w:top w:val="none" w:sz="0" w:space="0" w:color="auto"/>
        <w:left w:val="none" w:sz="0" w:space="0" w:color="auto"/>
        <w:bottom w:val="none" w:sz="0" w:space="0" w:color="auto"/>
        <w:right w:val="none" w:sz="0" w:space="0" w:color="auto"/>
      </w:divBdr>
      <w:divsChild>
        <w:div w:id="414205966">
          <w:marLeft w:val="0"/>
          <w:marRight w:val="0"/>
          <w:marTop w:val="0"/>
          <w:marBottom w:val="0"/>
          <w:divBdr>
            <w:top w:val="none" w:sz="0" w:space="0" w:color="auto"/>
            <w:left w:val="none" w:sz="0" w:space="0" w:color="auto"/>
            <w:bottom w:val="none" w:sz="0" w:space="0" w:color="auto"/>
            <w:right w:val="none" w:sz="0" w:space="0" w:color="auto"/>
          </w:divBdr>
        </w:div>
      </w:divsChild>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0584894">
      <w:bodyDiv w:val="1"/>
      <w:marLeft w:val="0"/>
      <w:marRight w:val="0"/>
      <w:marTop w:val="0"/>
      <w:marBottom w:val="0"/>
      <w:divBdr>
        <w:top w:val="none" w:sz="0" w:space="0" w:color="auto"/>
        <w:left w:val="none" w:sz="0" w:space="0" w:color="auto"/>
        <w:bottom w:val="none" w:sz="0" w:space="0" w:color="auto"/>
        <w:right w:val="none" w:sz="0" w:space="0" w:color="auto"/>
      </w:divBdr>
      <w:divsChild>
        <w:div w:id="762461414">
          <w:marLeft w:val="0"/>
          <w:marRight w:val="0"/>
          <w:marTop w:val="0"/>
          <w:marBottom w:val="0"/>
          <w:divBdr>
            <w:top w:val="none" w:sz="0" w:space="0" w:color="auto"/>
            <w:left w:val="none" w:sz="0" w:space="0" w:color="auto"/>
            <w:bottom w:val="none" w:sz="0" w:space="0" w:color="auto"/>
            <w:right w:val="none" w:sz="0" w:space="0" w:color="auto"/>
          </w:divBdr>
          <w:divsChild>
            <w:div w:id="1127822397">
              <w:marLeft w:val="0"/>
              <w:marRight w:val="0"/>
              <w:marTop w:val="0"/>
              <w:marBottom w:val="0"/>
              <w:divBdr>
                <w:top w:val="none" w:sz="0" w:space="0" w:color="auto"/>
                <w:left w:val="none" w:sz="0" w:space="0" w:color="auto"/>
                <w:bottom w:val="none" w:sz="0" w:space="0" w:color="auto"/>
                <w:right w:val="none" w:sz="0" w:space="0" w:color="auto"/>
              </w:divBdr>
              <w:divsChild>
                <w:div w:id="64123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2094871">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597897">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350112">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1628712">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847817">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29255">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0893020">
      <w:bodyDiv w:val="1"/>
      <w:marLeft w:val="0"/>
      <w:marRight w:val="0"/>
      <w:marTop w:val="0"/>
      <w:marBottom w:val="0"/>
      <w:divBdr>
        <w:top w:val="none" w:sz="0" w:space="0" w:color="auto"/>
        <w:left w:val="none" w:sz="0" w:space="0" w:color="auto"/>
        <w:bottom w:val="none" w:sz="0" w:space="0" w:color="auto"/>
        <w:right w:val="none" w:sz="0" w:space="0" w:color="auto"/>
      </w:divBdr>
    </w:div>
    <w:div w:id="1883974292">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1692212">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611677">
      <w:bodyDiv w:val="1"/>
      <w:marLeft w:val="0"/>
      <w:marRight w:val="0"/>
      <w:marTop w:val="0"/>
      <w:marBottom w:val="0"/>
      <w:divBdr>
        <w:top w:val="none" w:sz="0" w:space="0" w:color="auto"/>
        <w:left w:val="none" w:sz="0" w:space="0" w:color="auto"/>
        <w:bottom w:val="none" w:sz="0" w:space="0" w:color="auto"/>
        <w:right w:val="none" w:sz="0" w:space="0" w:color="auto"/>
      </w:divBdr>
      <w:divsChild>
        <w:div w:id="349180649">
          <w:marLeft w:val="0"/>
          <w:marRight w:val="0"/>
          <w:marTop w:val="0"/>
          <w:marBottom w:val="0"/>
          <w:divBdr>
            <w:top w:val="none" w:sz="0" w:space="0" w:color="auto"/>
            <w:left w:val="none" w:sz="0" w:space="0" w:color="auto"/>
            <w:bottom w:val="none" w:sz="0" w:space="0" w:color="auto"/>
            <w:right w:val="none" w:sz="0" w:space="0" w:color="auto"/>
          </w:divBdr>
          <w:divsChild>
            <w:div w:id="1309479924">
              <w:marLeft w:val="0"/>
              <w:marRight w:val="0"/>
              <w:marTop w:val="0"/>
              <w:marBottom w:val="0"/>
              <w:divBdr>
                <w:top w:val="none" w:sz="0" w:space="0" w:color="auto"/>
                <w:left w:val="none" w:sz="0" w:space="0" w:color="auto"/>
                <w:bottom w:val="none" w:sz="0" w:space="0" w:color="auto"/>
                <w:right w:val="none" w:sz="0" w:space="0" w:color="auto"/>
              </w:divBdr>
              <w:divsChild>
                <w:div w:id="124741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508136">
      <w:bodyDiv w:val="1"/>
      <w:marLeft w:val="0"/>
      <w:marRight w:val="0"/>
      <w:marTop w:val="0"/>
      <w:marBottom w:val="0"/>
      <w:divBdr>
        <w:top w:val="none" w:sz="0" w:space="0" w:color="auto"/>
        <w:left w:val="none" w:sz="0" w:space="0" w:color="auto"/>
        <w:bottom w:val="none" w:sz="0" w:space="0" w:color="auto"/>
        <w:right w:val="none" w:sz="0" w:space="0" w:color="auto"/>
      </w:divBdr>
      <w:divsChild>
        <w:div w:id="229657098">
          <w:marLeft w:val="0"/>
          <w:marRight w:val="0"/>
          <w:marTop w:val="0"/>
          <w:marBottom w:val="0"/>
          <w:divBdr>
            <w:top w:val="none" w:sz="0" w:space="0" w:color="auto"/>
            <w:left w:val="none" w:sz="0" w:space="0" w:color="auto"/>
            <w:bottom w:val="none" w:sz="0" w:space="0" w:color="auto"/>
            <w:right w:val="none" w:sz="0" w:space="0" w:color="auto"/>
          </w:divBdr>
          <w:divsChild>
            <w:div w:id="531261628">
              <w:marLeft w:val="0"/>
              <w:marRight w:val="0"/>
              <w:marTop w:val="0"/>
              <w:marBottom w:val="0"/>
              <w:divBdr>
                <w:top w:val="none" w:sz="0" w:space="0" w:color="auto"/>
                <w:left w:val="none" w:sz="0" w:space="0" w:color="auto"/>
                <w:bottom w:val="none" w:sz="0" w:space="0" w:color="auto"/>
                <w:right w:val="none" w:sz="0" w:space="0" w:color="auto"/>
              </w:divBdr>
              <w:divsChild>
                <w:div w:id="140648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514038">
      <w:bodyDiv w:val="1"/>
      <w:marLeft w:val="0"/>
      <w:marRight w:val="0"/>
      <w:marTop w:val="0"/>
      <w:marBottom w:val="0"/>
      <w:divBdr>
        <w:top w:val="none" w:sz="0" w:space="0" w:color="auto"/>
        <w:left w:val="none" w:sz="0" w:space="0" w:color="auto"/>
        <w:bottom w:val="none" w:sz="0" w:space="0" w:color="auto"/>
        <w:right w:val="none" w:sz="0" w:space="0" w:color="auto"/>
      </w:divBdr>
      <w:divsChild>
        <w:div w:id="113915164">
          <w:marLeft w:val="0"/>
          <w:marRight w:val="0"/>
          <w:marTop w:val="0"/>
          <w:marBottom w:val="0"/>
          <w:divBdr>
            <w:top w:val="none" w:sz="0" w:space="0" w:color="auto"/>
            <w:left w:val="none" w:sz="0" w:space="0" w:color="auto"/>
            <w:bottom w:val="none" w:sz="0" w:space="0" w:color="auto"/>
            <w:right w:val="none" w:sz="0" w:space="0" w:color="auto"/>
          </w:divBdr>
          <w:divsChild>
            <w:div w:id="1957129577">
              <w:marLeft w:val="0"/>
              <w:marRight w:val="0"/>
              <w:marTop w:val="0"/>
              <w:marBottom w:val="0"/>
              <w:divBdr>
                <w:top w:val="none" w:sz="0" w:space="0" w:color="auto"/>
                <w:left w:val="none" w:sz="0" w:space="0" w:color="auto"/>
                <w:bottom w:val="none" w:sz="0" w:space="0" w:color="auto"/>
                <w:right w:val="none" w:sz="0" w:space="0" w:color="auto"/>
              </w:divBdr>
              <w:divsChild>
                <w:div w:id="139777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56536903">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7339903">
      <w:bodyDiv w:val="1"/>
      <w:marLeft w:val="0"/>
      <w:marRight w:val="0"/>
      <w:marTop w:val="0"/>
      <w:marBottom w:val="0"/>
      <w:divBdr>
        <w:top w:val="none" w:sz="0" w:space="0" w:color="auto"/>
        <w:left w:val="none" w:sz="0" w:space="0" w:color="auto"/>
        <w:bottom w:val="none" w:sz="0" w:space="0" w:color="auto"/>
        <w:right w:val="none" w:sz="0" w:space="0" w:color="auto"/>
      </w:divBdr>
    </w:div>
    <w:div w:id="2091654183">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2871045">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6174188">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 w:id="2146963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6EB2765E-799B-432A-BF2E-024F9E2E47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22</Pages>
  <Words>8235</Words>
  <Characters>45297</Characters>
  <Application>Microsoft Office Word</Application>
  <DocSecurity>0</DocSecurity>
  <Lines>377</Lines>
  <Paragraphs>106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Edwin Johan Chocontá Quintero</cp:lastModifiedBy>
  <cp:revision>2</cp:revision>
  <cp:lastPrinted>2020-01-30T15:05:00Z</cp:lastPrinted>
  <dcterms:created xsi:type="dcterms:W3CDTF">2022-04-19T18:06:00Z</dcterms:created>
  <dcterms:modified xsi:type="dcterms:W3CDTF">2022-04-19T18:06:00Z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