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98858" w14:textId="77777777" w:rsidR="00857BD5" w:rsidRDefault="00857BD5" w:rsidP="00AF2004">
      <w:pPr>
        <w:spacing w:after="0" w:line="240" w:lineRule="auto"/>
        <w:rPr>
          <w:rFonts w:ascii="Verdana" w:eastAsia="Times New Roman" w:hAnsi="Verdana" w:cs="Arial"/>
          <w:lang w:eastAsia="es-ES_tradnl"/>
        </w:rPr>
      </w:pPr>
      <w:bookmarkStart w:id="0" w:name="_Hlk189391789"/>
    </w:p>
    <w:p w14:paraId="67F92FA4" w14:textId="44EBE59B" w:rsidR="00B274EB" w:rsidRDefault="00B274EB" w:rsidP="00B274EB">
      <w:pPr>
        <w:spacing w:after="0"/>
        <w:jc w:val="both"/>
        <w:rPr>
          <w:rFonts w:ascii="Verdana" w:eastAsia="Calibri" w:hAnsi="Verdana" w:cs="Arial"/>
          <w:b/>
          <w:lang w:val="es-ES_tradnl"/>
        </w:rPr>
      </w:pPr>
      <w:r w:rsidRPr="00B274EB">
        <w:rPr>
          <w:rFonts w:ascii="Verdana" w:eastAsia="Calibri" w:hAnsi="Verdana" w:cs="Arial"/>
          <w:b/>
          <w:lang w:val="es-ES_tradnl"/>
        </w:rPr>
        <w:t>PUBLICIDAD SECOP – Entidades exceptuadas – Artículo 53 – Ley 2195 de 2022</w:t>
      </w:r>
    </w:p>
    <w:p w14:paraId="70A7AB7E" w14:textId="77777777" w:rsidR="00B274EB" w:rsidRPr="00703419" w:rsidRDefault="00B274EB" w:rsidP="00B274EB">
      <w:pPr>
        <w:spacing w:after="0"/>
        <w:jc w:val="both"/>
        <w:rPr>
          <w:rFonts w:ascii="Verdana" w:hAnsi="Verdana" w:cs="Arial"/>
          <w:sz w:val="21"/>
          <w:szCs w:val="21"/>
          <w:lang w:val="es-ES_tradnl"/>
        </w:rPr>
      </w:pPr>
    </w:p>
    <w:p w14:paraId="14F16BE5" w14:textId="2A32793A" w:rsidR="00F82DB7" w:rsidRDefault="00F82DB7" w:rsidP="00F44AB6">
      <w:pPr>
        <w:spacing w:after="0" w:line="240" w:lineRule="auto"/>
        <w:jc w:val="both"/>
        <w:rPr>
          <w:rFonts w:ascii="Verdana" w:hAnsi="Verdana" w:cs="Arial"/>
          <w:iCs/>
          <w:color w:val="000000" w:themeColor="text1"/>
          <w:sz w:val="20"/>
          <w:szCs w:val="20"/>
          <w:lang w:val="es-ES_tradnl"/>
        </w:rPr>
      </w:pPr>
      <w:r w:rsidRPr="00F82DB7">
        <w:rPr>
          <w:rFonts w:ascii="Verdana" w:hAnsi="Verdana" w:cs="Arial"/>
          <w:iCs/>
          <w:color w:val="000000" w:themeColor="text1"/>
          <w:sz w:val="20"/>
          <w:szCs w:val="20"/>
          <w:lang w:val="es-ES_tradnl"/>
        </w:rPr>
        <w:t xml:space="preserve">Entre los principales principios de la función administrativa a los que se refiere el artículo 209 de la Constitución, que se proyecta hacia el desarrollo de la actividad contractual de las empresas de servicios públicos, es el de </w:t>
      </w:r>
      <w:r w:rsidRPr="00F82DB7">
        <w:rPr>
          <w:rFonts w:ascii="Verdana" w:hAnsi="Verdana" w:cs="Arial"/>
          <w:iCs/>
          <w:color w:val="000000" w:themeColor="text1"/>
          <w:sz w:val="20"/>
          <w:szCs w:val="20"/>
          <w:lang w:val="es-ES_tradnl"/>
        </w:rPr>
        <w:t>publicidad.</w:t>
      </w:r>
      <w:r w:rsidRPr="00F82DB7">
        <w:rPr>
          <w:rFonts w:ascii="Verdana" w:hAnsi="Verdana" w:cs="Arial"/>
          <w:iCs/>
          <w:color w:val="000000" w:themeColor="text1"/>
          <w:sz w:val="20"/>
          <w:szCs w:val="20"/>
          <w:lang w:val="es-ES_tradnl"/>
        </w:rPr>
        <w:t xml:space="preserve">  El principio de publicidad impone a las autoridades el deber de dar a conocer sus actos, contratos y decisiones, para que se divulguen y, eventualmente, se controlen dichas actuaciones. Es por eso </w:t>
      </w:r>
      <w:r w:rsidRPr="00F82DB7">
        <w:rPr>
          <w:rFonts w:ascii="Verdana" w:hAnsi="Verdana" w:cs="Arial"/>
          <w:iCs/>
          <w:color w:val="000000" w:themeColor="text1"/>
          <w:sz w:val="20"/>
          <w:szCs w:val="20"/>
          <w:lang w:val="es-ES_tradnl"/>
        </w:rPr>
        <w:t>por lo que</w:t>
      </w:r>
      <w:r w:rsidRPr="00F82DB7">
        <w:rPr>
          <w:rFonts w:ascii="Verdana" w:hAnsi="Verdana" w:cs="Arial"/>
          <w:iCs/>
          <w:color w:val="000000" w:themeColor="text1"/>
          <w:sz w:val="20"/>
          <w:szCs w:val="20"/>
          <w:lang w:val="es-ES_tradnl"/>
        </w:rPr>
        <w:t>,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F82DB7">
        <w:rPr>
          <w:rFonts w:ascii="Verdana" w:hAnsi="Verdana" w:cs="Arial"/>
          <w:iCs/>
          <w:color w:val="000000" w:themeColor="text1"/>
          <w:sz w:val="20"/>
          <w:szCs w:val="20"/>
          <w:lang w:val="es-ES_tradnl"/>
        </w:rPr>
        <w:t>”.</w:t>
      </w:r>
      <w:r w:rsidRPr="00F82DB7">
        <w:rPr>
          <w:rFonts w:ascii="Verdana" w:hAnsi="Verdana" w:cs="Arial"/>
          <w:iCs/>
          <w:color w:val="000000" w:themeColor="text1"/>
          <w:sz w:val="20"/>
          <w:szCs w:val="20"/>
          <w:lang w:val="es-ES_tradnl"/>
        </w:rPr>
        <w:t xml:space="preserve"> </w:t>
      </w:r>
    </w:p>
    <w:p w14:paraId="59267F3E" w14:textId="77777777" w:rsidR="00F82DB7" w:rsidRPr="00F82DB7" w:rsidRDefault="00F82DB7" w:rsidP="00F82DB7">
      <w:pPr>
        <w:spacing w:after="0"/>
        <w:jc w:val="both"/>
        <w:rPr>
          <w:rFonts w:ascii="Verdana" w:hAnsi="Verdana" w:cs="Arial"/>
          <w:iCs/>
          <w:color w:val="000000" w:themeColor="text1"/>
          <w:sz w:val="20"/>
          <w:szCs w:val="20"/>
          <w:lang w:val="es-ES_tradnl"/>
        </w:rPr>
      </w:pPr>
    </w:p>
    <w:p w14:paraId="042B0D25" w14:textId="60B59230" w:rsidR="00B274EB" w:rsidRDefault="00F82DB7" w:rsidP="00F44AB6">
      <w:pPr>
        <w:spacing w:after="0" w:line="240" w:lineRule="auto"/>
        <w:jc w:val="both"/>
        <w:rPr>
          <w:rFonts w:ascii="Verdana" w:hAnsi="Verdana" w:cs="Arial"/>
          <w:color w:val="000000" w:themeColor="text1"/>
          <w:sz w:val="20"/>
          <w:szCs w:val="20"/>
          <w:lang w:val="es-ES"/>
        </w:rPr>
      </w:pPr>
      <w:r w:rsidRPr="00F82DB7">
        <w:rPr>
          <w:rFonts w:ascii="Verdana" w:hAnsi="Verdana" w:cs="Arial"/>
          <w:iCs/>
          <w:color w:val="000000" w:themeColor="text1"/>
          <w:sz w:val="20"/>
          <w:szCs w:val="20"/>
          <w:lang w:val="es-ES_tradnl"/>
        </w:rPr>
        <w:t>En particular, tratándose del deber de publicación de las entidades estatales exceptuadas del Estatuto General de Contratación de la Administración Pública, resultan particularmente relevante lo dispuesto en el artículo 53 de la Ley 2195 de 2022,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02A3EEEE" w14:textId="77777777" w:rsidR="00B274EB" w:rsidRPr="00703419" w:rsidRDefault="00B274EB" w:rsidP="00B274EB">
      <w:pPr>
        <w:spacing w:after="0"/>
        <w:jc w:val="both"/>
        <w:rPr>
          <w:rFonts w:ascii="Verdana" w:hAnsi="Verdana" w:cs="Arial"/>
          <w:sz w:val="21"/>
          <w:szCs w:val="21"/>
          <w:lang w:val="es-ES_tradnl"/>
        </w:rPr>
      </w:pPr>
    </w:p>
    <w:p w14:paraId="54EE1082" w14:textId="12A9E80A" w:rsidR="00B274EB" w:rsidRDefault="00317194" w:rsidP="00B274EB">
      <w:pPr>
        <w:spacing w:after="0"/>
        <w:jc w:val="both"/>
        <w:rPr>
          <w:rFonts w:ascii="Verdana" w:eastAsia="Calibri" w:hAnsi="Verdana" w:cs="Arial"/>
          <w:b/>
          <w:lang w:val="es-ES_tradnl"/>
        </w:rPr>
      </w:pPr>
      <w:r w:rsidRPr="00317194">
        <w:rPr>
          <w:rFonts w:ascii="Verdana" w:eastAsia="Calibri" w:hAnsi="Verdana" w:cs="Arial"/>
          <w:b/>
          <w:lang w:val="es-ES_tradnl"/>
        </w:rPr>
        <w:t>EMPRESAS DE SERVICIOS PÚBLICOS DOMICILIARIOS – Naturaleza jurídica –Sociedades por acciones – Régimen jurídico</w:t>
      </w:r>
    </w:p>
    <w:p w14:paraId="3DBD13EE" w14:textId="77777777" w:rsidR="00317194" w:rsidRPr="00703419" w:rsidRDefault="00317194" w:rsidP="00B274EB">
      <w:pPr>
        <w:spacing w:after="0"/>
        <w:jc w:val="both"/>
        <w:rPr>
          <w:rFonts w:ascii="Verdana" w:hAnsi="Verdana" w:cs="Arial"/>
          <w:sz w:val="21"/>
          <w:szCs w:val="21"/>
          <w:lang w:val="es-ES_tradnl"/>
        </w:rPr>
      </w:pPr>
    </w:p>
    <w:p w14:paraId="3474AD3A" w14:textId="1ADE1CBB" w:rsidR="00B274EB" w:rsidRDefault="00AB5360" w:rsidP="00F44AB6">
      <w:pPr>
        <w:spacing w:after="0" w:line="240" w:lineRule="auto"/>
        <w:jc w:val="both"/>
        <w:rPr>
          <w:rFonts w:ascii="Verdana" w:hAnsi="Verdana" w:cs="Arial"/>
          <w:color w:val="000000" w:themeColor="text1"/>
          <w:sz w:val="20"/>
          <w:szCs w:val="20"/>
          <w:lang w:val="es-ES"/>
        </w:rPr>
      </w:pPr>
      <w:r w:rsidRPr="00AB5360">
        <w:rPr>
          <w:rFonts w:ascii="Verdana" w:hAnsi="Verdana" w:cs="Arial"/>
          <w:color w:val="000000" w:themeColor="text1"/>
          <w:sz w:val="20"/>
          <w:szCs w:val="20"/>
          <w:lang w:val="es-ES"/>
        </w:rPr>
        <w:t>A su turno, el artículo 17 de la ley citada señala que “las empresas de servicios públicos son sociedades por acciones cuyo objeto es la prestación de los servicios públicos de que trata esta ley”. 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00B274EB" w:rsidRPr="00825777">
        <w:rPr>
          <w:rFonts w:ascii="Verdana" w:hAnsi="Verdana" w:cs="Arial"/>
          <w:color w:val="000000" w:themeColor="text1"/>
          <w:sz w:val="20"/>
          <w:szCs w:val="20"/>
          <w:lang w:val="es-ES"/>
        </w:rPr>
        <w:t>.</w:t>
      </w:r>
    </w:p>
    <w:p w14:paraId="3564970E" w14:textId="77777777" w:rsidR="00E32525" w:rsidRDefault="00E32525" w:rsidP="00B274EB">
      <w:pPr>
        <w:spacing w:after="0"/>
        <w:jc w:val="both"/>
        <w:rPr>
          <w:rFonts w:ascii="Verdana" w:hAnsi="Verdana" w:cs="Arial"/>
          <w:color w:val="000000" w:themeColor="text1"/>
          <w:sz w:val="20"/>
          <w:szCs w:val="20"/>
          <w:lang w:val="es-ES"/>
        </w:rPr>
      </w:pPr>
    </w:p>
    <w:p w14:paraId="0DD8E0B6" w14:textId="51D56F29" w:rsidR="00E32525" w:rsidRDefault="00E32525" w:rsidP="00B274EB">
      <w:pPr>
        <w:spacing w:after="0"/>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w:t>
      </w:r>
    </w:p>
    <w:p w14:paraId="6A8365DA" w14:textId="77777777" w:rsidR="00E32525" w:rsidRDefault="00E32525" w:rsidP="00B274EB">
      <w:pPr>
        <w:spacing w:after="0"/>
        <w:jc w:val="both"/>
        <w:rPr>
          <w:rFonts w:ascii="Verdana" w:hAnsi="Verdana" w:cs="Arial"/>
          <w:color w:val="000000" w:themeColor="text1"/>
          <w:sz w:val="20"/>
          <w:szCs w:val="20"/>
          <w:lang w:val="es-ES"/>
        </w:rPr>
      </w:pPr>
    </w:p>
    <w:p w14:paraId="7E538209" w14:textId="78A8291B" w:rsidR="00E32525" w:rsidRDefault="00E32525" w:rsidP="00F44AB6">
      <w:pPr>
        <w:spacing w:after="0" w:line="240" w:lineRule="auto"/>
        <w:jc w:val="both"/>
        <w:rPr>
          <w:rFonts w:ascii="Verdana" w:hAnsi="Verdana" w:cs="Arial"/>
          <w:color w:val="000000" w:themeColor="text1"/>
          <w:sz w:val="20"/>
          <w:szCs w:val="20"/>
          <w:lang w:val="es-ES"/>
        </w:rPr>
      </w:pPr>
      <w:r w:rsidRPr="00E32525">
        <w:rPr>
          <w:rFonts w:ascii="Verdana" w:hAnsi="Verdana" w:cs="Arial"/>
          <w:color w:val="000000" w:themeColor="text1"/>
          <w:sz w:val="20"/>
          <w:szCs w:val="20"/>
          <w:lang w:val="es-ES"/>
        </w:rPr>
        <w:t xml:space="preserve">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w:t>
      </w:r>
      <w:r w:rsidRPr="00E32525">
        <w:rPr>
          <w:rFonts w:ascii="Verdana" w:hAnsi="Verdana" w:cs="Arial"/>
          <w:color w:val="000000" w:themeColor="text1"/>
          <w:sz w:val="20"/>
          <w:szCs w:val="20"/>
          <w:lang w:val="es-ES"/>
        </w:rPr>
        <w:lastRenderedPageBreak/>
        <w:t>de servicios públicos oficiales, mixtas y privadas. Ahora, sin importar su clasificación, todas hacen parte de la Rama Ejecutiva, del sector descentralizado por servicios.</w:t>
      </w:r>
    </w:p>
    <w:p w14:paraId="749B39A9" w14:textId="77777777" w:rsidR="00FA1162" w:rsidRDefault="00FA1162" w:rsidP="00B274EB">
      <w:pPr>
        <w:spacing w:after="0"/>
        <w:jc w:val="both"/>
        <w:rPr>
          <w:rFonts w:ascii="Verdana" w:hAnsi="Verdana" w:cs="Arial"/>
          <w:color w:val="000000" w:themeColor="text1"/>
          <w:sz w:val="20"/>
          <w:szCs w:val="20"/>
          <w:lang w:val="es-ES"/>
        </w:rPr>
      </w:pPr>
    </w:p>
    <w:p w14:paraId="53F542BF" w14:textId="20CA0EF6" w:rsidR="00FA1162" w:rsidRDefault="00FA1162" w:rsidP="00B274EB">
      <w:pPr>
        <w:spacing w:after="0"/>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w:t>
      </w:r>
    </w:p>
    <w:p w14:paraId="346CBF6F" w14:textId="77777777" w:rsidR="00FA1162" w:rsidRDefault="00FA1162" w:rsidP="00B274EB">
      <w:pPr>
        <w:spacing w:after="0"/>
        <w:jc w:val="both"/>
        <w:rPr>
          <w:rFonts w:ascii="Verdana" w:hAnsi="Verdana" w:cs="Arial"/>
          <w:color w:val="000000" w:themeColor="text1"/>
          <w:sz w:val="20"/>
          <w:szCs w:val="20"/>
          <w:lang w:val="es-ES"/>
        </w:rPr>
      </w:pPr>
    </w:p>
    <w:p w14:paraId="75847352" w14:textId="1D0286A2" w:rsidR="00E32525" w:rsidRDefault="00FA1162" w:rsidP="00F44AB6">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 xml:space="preserve">[…] </w:t>
      </w:r>
      <w:r w:rsidRPr="00FA1162">
        <w:rPr>
          <w:rFonts w:ascii="Verdana" w:hAnsi="Verdana" w:cs="Arial"/>
          <w:color w:val="000000" w:themeColor="text1"/>
          <w:sz w:val="20"/>
          <w:szCs w:val="20"/>
          <w:lang w:val="es-ES"/>
        </w:rPr>
        <w:t xml:space="preserve">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w:t>
      </w:r>
      <w:r w:rsidRPr="00FA1162">
        <w:rPr>
          <w:rFonts w:ascii="Verdana" w:hAnsi="Verdana" w:cs="Arial"/>
          <w:color w:val="000000" w:themeColor="text1"/>
          <w:sz w:val="20"/>
          <w:szCs w:val="20"/>
          <w:lang w:val="es-ES"/>
        </w:rPr>
        <w:t>Pública.</w:t>
      </w:r>
      <w:r w:rsidRPr="00FA1162">
        <w:rPr>
          <w:rFonts w:ascii="Verdana" w:hAnsi="Verdana" w:cs="Arial"/>
          <w:color w:val="000000" w:themeColor="text1"/>
          <w:sz w:val="20"/>
          <w:szCs w:val="20"/>
          <w:lang w:val="es-ES"/>
        </w:rPr>
        <w:t xml:space="preserve">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p w14:paraId="7B2649E8" w14:textId="77777777" w:rsidR="00B274EB" w:rsidRPr="00703419" w:rsidRDefault="00B274EB" w:rsidP="00B274EB">
      <w:pPr>
        <w:spacing w:after="0"/>
        <w:jc w:val="both"/>
        <w:rPr>
          <w:rFonts w:ascii="Verdana" w:hAnsi="Verdana" w:cs="Arial"/>
          <w:iCs/>
          <w:color w:val="000000" w:themeColor="text1"/>
          <w:sz w:val="20"/>
          <w:szCs w:val="20"/>
          <w:lang w:val="es-ES_tradnl"/>
        </w:rPr>
      </w:pPr>
    </w:p>
    <w:p w14:paraId="7D217BD4" w14:textId="0F34C70E" w:rsidR="00B274EB" w:rsidRDefault="00317194" w:rsidP="00B274EB">
      <w:pPr>
        <w:spacing w:after="0"/>
        <w:jc w:val="both"/>
        <w:rPr>
          <w:rFonts w:ascii="Verdana" w:eastAsia="Calibri" w:hAnsi="Verdana" w:cs="Arial"/>
          <w:b/>
          <w:lang w:val="es-ES_tradnl"/>
        </w:rPr>
      </w:pPr>
      <w:r w:rsidRPr="00317194">
        <w:rPr>
          <w:rFonts w:ascii="Verdana" w:eastAsia="Calibri" w:hAnsi="Verdana" w:cs="Arial"/>
          <w:b/>
          <w:lang w:val="es-ES_tradnl"/>
        </w:rPr>
        <w:t>SOCIEDADES POR ACCIONES – Noción – Suscripción de acciones – Enajenación de acciones</w:t>
      </w:r>
    </w:p>
    <w:p w14:paraId="7FCF4B8E" w14:textId="77777777" w:rsidR="00FA1162" w:rsidRPr="00110F8E" w:rsidRDefault="00FA1162" w:rsidP="00B274EB">
      <w:pPr>
        <w:spacing w:after="0"/>
        <w:jc w:val="both"/>
        <w:rPr>
          <w:rFonts w:ascii="Verdana" w:eastAsia="Calibri" w:hAnsi="Verdana" w:cs="Arial"/>
          <w:bCs/>
          <w:lang w:val="es-ES_tradnl"/>
        </w:rPr>
      </w:pPr>
    </w:p>
    <w:p w14:paraId="43AD113E" w14:textId="77777777" w:rsidR="00FA1162" w:rsidRDefault="00FA1162" w:rsidP="00F44AB6">
      <w:pPr>
        <w:spacing w:after="0" w:line="240" w:lineRule="auto"/>
        <w:jc w:val="both"/>
        <w:rPr>
          <w:rFonts w:ascii="Verdana" w:hAnsi="Verdana" w:cs="Arial"/>
          <w:color w:val="000000" w:themeColor="text1"/>
          <w:sz w:val="20"/>
          <w:szCs w:val="20"/>
          <w:lang w:val="es-ES"/>
        </w:rPr>
      </w:pPr>
      <w:r w:rsidRPr="00FA1162">
        <w:rPr>
          <w:rFonts w:ascii="Verdana" w:hAnsi="Verdana" w:cs="Arial"/>
          <w:color w:val="000000" w:themeColor="text1"/>
          <w:sz w:val="20"/>
          <w:szCs w:val="20"/>
          <w:lang w:val="es-ES"/>
        </w:rPr>
        <w:t>Esta fungibilidad de las acciones se viene a materializar a través de negocios jurídicos como la enajenación de acciones y la suscripción de acciones a los que se refiere los artículos 384 y 406 del Código de Comercio. El artículo 384 determina que la suscripción de acciones es “un contrato por el cual una persona se obliga a pagar un aporte a la sociedad de acuerdo con el reglamento respectivo y a someterse a sus estatutos. A su vez, la compañía se obliga a reconocerle la calidad de accionista y a entregarle el título correspondiente</w:t>
      </w:r>
      <w:r w:rsidRPr="00FA1162">
        <w:rPr>
          <w:rFonts w:ascii="Verdana" w:hAnsi="Verdana" w:cs="Arial"/>
          <w:color w:val="000000" w:themeColor="text1"/>
          <w:sz w:val="20"/>
          <w:szCs w:val="20"/>
          <w:lang w:val="es-ES"/>
        </w:rPr>
        <w:t>”.</w:t>
      </w:r>
      <w:r w:rsidRPr="00FA1162">
        <w:rPr>
          <w:rFonts w:ascii="Verdana" w:hAnsi="Verdana" w:cs="Arial"/>
          <w:color w:val="000000" w:themeColor="text1"/>
          <w:sz w:val="20"/>
          <w:szCs w:val="20"/>
          <w:lang w:val="es-ES"/>
        </w:rPr>
        <w:t xml:space="preserve"> Por su parte, de conformidad con el artículo 406, los titulares de las acciones nominativas de una sociedad por acciones tienen la posibilidad de enajenarlas mediante acuerdos de voluntades, cuya oponibilidad está condicionada por la inscripción en el libro del registro de </w:t>
      </w:r>
      <w:r w:rsidRPr="00FA1162">
        <w:rPr>
          <w:rFonts w:ascii="Verdana" w:hAnsi="Verdana" w:cs="Arial"/>
          <w:color w:val="000000" w:themeColor="text1"/>
          <w:sz w:val="20"/>
          <w:szCs w:val="20"/>
          <w:lang w:val="es-ES"/>
        </w:rPr>
        <w:t>acciones.</w:t>
      </w:r>
      <w:r w:rsidRPr="00FA1162">
        <w:rPr>
          <w:rFonts w:ascii="Verdana" w:hAnsi="Verdana" w:cs="Arial"/>
          <w:color w:val="000000" w:themeColor="text1"/>
          <w:sz w:val="20"/>
          <w:szCs w:val="20"/>
          <w:lang w:val="es-ES"/>
        </w:rPr>
        <w:t xml:space="preserve">   Según esto, la suscripción y la enajenación de acciones son acuerdos de voluntades a través de los cuales se negocia el capital de las sociedades de capital representado en las acciones. </w:t>
      </w:r>
    </w:p>
    <w:p w14:paraId="04C8C954" w14:textId="1A7CE014" w:rsidR="00FA1162" w:rsidRPr="00FA1162" w:rsidRDefault="00FA1162" w:rsidP="00FA1162">
      <w:pPr>
        <w:spacing w:after="0"/>
        <w:jc w:val="both"/>
        <w:rPr>
          <w:rFonts w:ascii="Verdana" w:hAnsi="Verdana" w:cs="Arial"/>
          <w:color w:val="000000" w:themeColor="text1"/>
          <w:sz w:val="20"/>
          <w:szCs w:val="20"/>
          <w:lang w:val="es-ES"/>
        </w:rPr>
      </w:pPr>
      <w:r w:rsidRPr="00FA1162">
        <w:rPr>
          <w:rFonts w:ascii="Verdana" w:hAnsi="Verdana" w:cs="Arial"/>
          <w:color w:val="000000" w:themeColor="text1"/>
          <w:sz w:val="20"/>
          <w:szCs w:val="20"/>
          <w:lang w:val="es-ES"/>
        </w:rPr>
        <w:t xml:space="preserve">  </w:t>
      </w:r>
    </w:p>
    <w:p w14:paraId="089860AA" w14:textId="69FC3A63" w:rsidR="00B274EB" w:rsidRDefault="00FA1162" w:rsidP="00F44AB6">
      <w:pPr>
        <w:spacing w:after="0" w:line="240" w:lineRule="auto"/>
        <w:jc w:val="both"/>
        <w:rPr>
          <w:rFonts w:ascii="Verdana" w:hAnsi="Verdana" w:cs="Arial"/>
          <w:color w:val="000000" w:themeColor="text1"/>
          <w:sz w:val="20"/>
          <w:szCs w:val="20"/>
          <w:lang w:val="es-ES"/>
        </w:rPr>
      </w:pPr>
      <w:r w:rsidRPr="00FA1162">
        <w:rPr>
          <w:rFonts w:ascii="Verdana" w:hAnsi="Verdana" w:cs="Arial"/>
          <w:color w:val="000000" w:themeColor="text1"/>
          <w:sz w:val="20"/>
          <w:szCs w:val="20"/>
          <w:lang w:val="es-ES"/>
        </w:rPr>
        <w:t>La anterior conclusión resulta particularmente relevante para el tema objeto de consulta, en la medida en que, a juicio de esta Subdirección, negocios jurídicos como el contrato de sociedad, la suscripción y la enajenación de acciones no constituyen una manifestación de la actividad contractual a la que se refiere el artículo 53 de la Ley 2195 de 2022, ni hacen parte de la contratación que recoge el Sistema Electrónico de Contratación Pública–SECOP–. Esto en la medida en que, la actividad contractual a la que se refiere dicha norma se circunscribe a los procesos dirigidos a la satisfacción de las necesidades de bienes, obras y servicios, que se le presentan a las entidades estatales con ocasión del desarrollo de su objeto social. Dicho proceso se materializa a través de la celebración y ejecución de un contrato, lo cual supone el agotamiento de etapas</w:t>
      </w:r>
      <w:r w:rsidR="00D8232D">
        <w:rPr>
          <w:rFonts w:ascii="Verdana" w:hAnsi="Verdana" w:cs="Arial"/>
          <w:color w:val="000000" w:themeColor="text1"/>
          <w:sz w:val="20"/>
          <w:szCs w:val="20"/>
          <w:lang w:val="es-ES"/>
        </w:rPr>
        <w:t xml:space="preserve"> </w:t>
      </w:r>
      <w:r w:rsidRPr="00FA1162">
        <w:rPr>
          <w:rFonts w:ascii="Verdana" w:hAnsi="Verdana" w:cs="Arial"/>
          <w:color w:val="000000" w:themeColor="text1"/>
          <w:sz w:val="20"/>
          <w:szCs w:val="20"/>
          <w:lang w:val="es-ES"/>
        </w:rPr>
        <w:t xml:space="preserve">precontractual, contractual y </w:t>
      </w:r>
      <w:proofErr w:type="spellStart"/>
      <w:r w:rsidRPr="00FA1162">
        <w:rPr>
          <w:rFonts w:ascii="Verdana" w:hAnsi="Verdana" w:cs="Arial"/>
          <w:color w:val="000000" w:themeColor="text1"/>
          <w:sz w:val="20"/>
          <w:szCs w:val="20"/>
          <w:lang w:val="es-ES"/>
        </w:rPr>
        <w:t>postcontractual</w:t>
      </w:r>
      <w:proofErr w:type="spellEnd"/>
      <w:r w:rsidRPr="00FA1162">
        <w:rPr>
          <w:rFonts w:ascii="Verdana" w:hAnsi="Verdana" w:cs="Arial"/>
          <w:color w:val="000000" w:themeColor="text1"/>
          <w:sz w:val="20"/>
          <w:szCs w:val="20"/>
          <w:lang w:val="es-ES"/>
        </w:rPr>
        <w:t xml:space="preserve">, que se desarrollan bajo seguimiento técnico, económico, jurídico y financiero que se realiza mediante la supervisión e </w:t>
      </w:r>
      <w:r w:rsidRPr="00FA1162">
        <w:rPr>
          <w:rFonts w:ascii="Verdana" w:hAnsi="Verdana" w:cs="Arial"/>
          <w:color w:val="000000" w:themeColor="text1"/>
          <w:sz w:val="20"/>
          <w:szCs w:val="20"/>
          <w:lang w:val="es-ES"/>
        </w:rPr>
        <w:t>interventoría.</w:t>
      </w:r>
    </w:p>
    <w:p w14:paraId="58C11BEB" w14:textId="77777777" w:rsidR="00B274EB" w:rsidRDefault="00B274EB" w:rsidP="00B274EB">
      <w:pPr>
        <w:spacing w:after="0"/>
        <w:jc w:val="both"/>
        <w:rPr>
          <w:rFonts w:ascii="Verdana" w:hAnsi="Verdana" w:cs="Arial"/>
          <w:iCs/>
          <w:color w:val="000000" w:themeColor="text1"/>
          <w:sz w:val="20"/>
          <w:szCs w:val="20"/>
          <w:lang w:val="es-ES_tradnl"/>
        </w:rPr>
      </w:pPr>
    </w:p>
    <w:p w14:paraId="05DA4F8F" w14:textId="65DE4ACA" w:rsidR="00B274EB" w:rsidRDefault="00317194" w:rsidP="00B274EB">
      <w:pPr>
        <w:spacing w:after="0"/>
        <w:jc w:val="both"/>
        <w:rPr>
          <w:rFonts w:ascii="Verdana" w:eastAsia="Calibri" w:hAnsi="Verdana" w:cs="Arial"/>
          <w:b/>
          <w:lang w:val="es-ES_tradnl"/>
        </w:rPr>
      </w:pPr>
      <w:r w:rsidRPr="00317194">
        <w:rPr>
          <w:rFonts w:ascii="Verdana" w:eastAsia="Calibri" w:hAnsi="Verdana" w:cs="Arial"/>
          <w:b/>
          <w:lang w:val="es-ES_tradnl"/>
        </w:rPr>
        <w:lastRenderedPageBreak/>
        <w:t>CÓDIGO ESTÁNDAR DE PRODUCTOS Y SERVICIOS DE NACIONES UNIDAS -UNSPC- – Solo aplica para adquisiciones de bienes y servicios</w:t>
      </w:r>
    </w:p>
    <w:p w14:paraId="23768170" w14:textId="77777777" w:rsidR="00317194" w:rsidRPr="00110F8E" w:rsidRDefault="00317194" w:rsidP="00B274EB">
      <w:pPr>
        <w:spacing w:after="0"/>
        <w:jc w:val="both"/>
        <w:rPr>
          <w:rFonts w:ascii="Verdana" w:hAnsi="Verdana" w:cs="Arial"/>
          <w:iCs/>
          <w:color w:val="000000" w:themeColor="text1"/>
          <w:sz w:val="20"/>
          <w:szCs w:val="20"/>
          <w:lang w:val="es-ES_tradnl"/>
        </w:rPr>
      </w:pPr>
    </w:p>
    <w:p w14:paraId="3AE82502" w14:textId="3509043E" w:rsidR="00B274EB" w:rsidRDefault="00F44AB6" w:rsidP="00F44AB6">
      <w:pPr>
        <w:spacing w:after="0" w:line="240" w:lineRule="auto"/>
        <w:jc w:val="both"/>
        <w:rPr>
          <w:rFonts w:ascii="Verdana" w:eastAsia="Times New Roman" w:hAnsi="Verdana" w:cs="Arial"/>
          <w:lang w:eastAsia="es-ES_tradnl"/>
        </w:rPr>
      </w:pPr>
      <w:r w:rsidRPr="00F44AB6">
        <w:rPr>
          <w:rFonts w:ascii="Verdana" w:hAnsi="Verdana" w:cs="Arial"/>
          <w:color w:val="000000" w:themeColor="text1"/>
          <w:sz w:val="20"/>
          <w:szCs w:val="20"/>
          <w:lang w:val="es-ES"/>
        </w:rPr>
        <w:t>Estas etapas, a las que expresamente hace alusión la definición de actividad contractual establecida por el artículo 53 de la Ley 2195 de 2022, no son propias los negocios jurídicos como el contrato de sociedad, la suscripción y la compraventa de acciones, las cuales se desarrollan conforme a lo previsto en los artículos 98, 384 y ss. del Código de Comercio, con el fin de gestionar los aportes de capital que determinadas personas destinan para el desarrollo de un objeto social, con el fin generar utilidades. Debido a esta diferenciación, es que los mencionados negocios societarios no son subsumibles dentro del Código Estándar de Productos y Servicios de Naciones Unidas -UNSPC-, que como su propio</w:t>
      </w:r>
      <w:r w:rsidRPr="00F44AB6">
        <w:rPr>
          <w:rFonts w:ascii="Verdana" w:hAnsi="Verdana" w:cs="Arial"/>
          <w:iCs/>
          <w:color w:val="000000" w:themeColor="text1"/>
          <w:sz w:val="20"/>
          <w:szCs w:val="20"/>
          <w:lang w:val="es-ES_tradnl"/>
        </w:rPr>
        <w:t xml:space="preserve"> nombre lo indica está destinado a la clasificación de bienes y servicios.</w:t>
      </w:r>
    </w:p>
    <w:p w14:paraId="76E07F36" w14:textId="77777777" w:rsidR="00B274EB" w:rsidRDefault="00B274EB" w:rsidP="00B274EB">
      <w:pPr>
        <w:spacing w:after="0" w:line="240" w:lineRule="auto"/>
        <w:rPr>
          <w:rFonts w:ascii="Verdana" w:eastAsia="Times New Roman" w:hAnsi="Verdana" w:cs="Arial"/>
          <w:lang w:eastAsia="es-ES_tradnl"/>
        </w:rPr>
      </w:pPr>
    </w:p>
    <w:p w14:paraId="1D7D3162" w14:textId="77777777" w:rsidR="00B274EB" w:rsidRDefault="00B274EB" w:rsidP="00B274EB">
      <w:pPr>
        <w:spacing w:after="0" w:line="240" w:lineRule="auto"/>
        <w:rPr>
          <w:rFonts w:ascii="Verdana" w:eastAsia="Times New Roman" w:hAnsi="Verdana" w:cs="Arial"/>
          <w:lang w:eastAsia="es-ES_tradnl"/>
        </w:rPr>
      </w:pPr>
    </w:p>
    <w:p w14:paraId="66DC2C54" w14:textId="77777777" w:rsidR="00B274EB" w:rsidRDefault="00B274EB" w:rsidP="00B274EB">
      <w:pPr>
        <w:spacing w:after="0" w:line="240" w:lineRule="auto"/>
        <w:rPr>
          <w:rFonts w:ascii="Verdana" w:eastAsia="Times New Roman" w:hAnsi="Verdana" w:cs="Arial"/>
          <w:lang w:eastAsia="es-ES_tradnl"/>
        </w:rPr>
      </w:pPr>
    </w:p>
    <w:p w14:paraId="279D8768" w14:textId="77777777" w:rsidR="00B274EB" w:rsidRDefault="00B274EB" w:rsidP="00B274EB">
      <w:pPr>
        <w:spacing w:after="0" w:line="240" w:lineRule="auto"/>
        <w:rPr>
          <w:rFonts w:ascii="Verdana" w:eastAsia="Times New Roman" w:hAnsi="Verdana" w:cs="Arial"/>
          <w:lang w:eastAsia="es-ES_tradnl"/>
        </w:rPr>
      </w:pPr>
    </w:p>
    <w:p w14:paraId="6160620B" w14:textId="77777777" w:rsidR="00B274EB" w:rsidRDefault="00B274EB" w:rsidP="00B274EB">
      <w:pPr>
        <w:spacing w:after="0" w:line="240" w:lineRule="auto"/>
        <w:rPr>
          <w:rFonts w:ascii="Verdana" w:eastAsia="Times New Roman" w:hAnsi="Verdana" w:cs="Arial"/>
          <w:lang w:eastAsia="es-ES_tradnl"/>
        </w:rPr>
      </w:pPr>
    </w:p>
    <w:p w14:paraId="499E21DA" w14:textId="77777777" w:rsidR="00B274EB" w:rsidRDefault="00B274EB" w:rsidP="00B274EB">
      <w:pPr>
        <w:spacing w:after="0" w:line="240" w:lineRule="auto"/>
        <w:rPr>
          <w:rFonts w:ascii="Verdana" w:eastAsia="Times New Roman" w:hAnsi="Verdana" w:cs="Arial"/>
          <w:lang w:eastAsia="es-ES_tradnl"/>
        </w:rPr>
      </w:pPr>
    </w:p>
    <w:p w14:paraId="52858A93" w14:textId="77777777" w:rsidR="00B274EB" w:rsidRDefault="00B274EB" w:rsidP="00B274EB">
      <w:pPr>
        <w:spacing w:after="0" w:line="240" w:lineRule="auto"/>
        <w:rPr>
          <w:rFonts w:ascii="Verdana" w:eastAsia="Times New Roman" w:hAnsi="Verdana" w:cs="Arial"/>
          <w:lang w:eastAsia="es-ES_tradnl"/>
        </w:rPr>
      </w:pPr>
    </w:p>
    <w:p w14:paraId="68221632" w14:textId="77777777" w:rsidR="00B274EB" w:rsidRDefault="00B274EB" w:rsidP="00B274EB">
      <w:pPr>
        <w:spacing w:after="0" w:line="240" w:lineRule="auto"/>
        <w:rPr>
          <w:rFonts w:ascii="Verdana" w:eastAsia="Times New Roman" w:hAnsi="Verdana" w:cs="Arial"/>
          <w:lang w:eastAsia="es-ES_tradnl"/>
        </w:rPr>
      </w:pPr>
    </w:p>
    <w:p w14:paraId="7EBA7279" w14:textId="77777777" w:rsidR="00B274EB" w:rsidRDefault="00B274EB" w:rsidP="00B274EB">
      <w:pPr>
        <w:spacing w:after="0" w:line="240" w:lineRule="auto"/>
        <w:rPr>
          <w:rFonts w:ascii="Verdana" w:eastAsia="Times New Roman" w:hAnsi="Verdana" w:cs="Arial"/>
          <w:lang w:eastAsia="es-ES_tradnl"/>
        </w:rPr>
      </w:pPr>
    </w:p>
    <w:p w14:paraId="51C684E4" w14:textId="77777777" w:rsidR="00B274EB" w:rsidRDefault="00B274EB" w:rsidP="00B274EB">
      <w:pPr>
        <w:spacing w:after="0" w:line="240" w:lineRule="auto"/>
        <w:rPr>
          <w:rFonts w:ascii="Verdana" w:eastAsia="Times New Roman" w:hAnsi="Verdana" w:cs="Arial"/>
          <w:lang w:eastAsia="es-ES_tradnl"/>
        </w:rPr>
      </w:pPr>
    </w:p>
    <w:p w14:paraId="47E4FF43" w14:textId="77777777" w:rsidR="00B274EB" w:rsidRDefault="00B274EB" w:rsidP="00B274EB">
      <w:pPr>
        <w:spacing w:after="0" w:line="240" w:lineRule="auto"/>
        <w:rPr>
          <w:rFonts w:ascii="Verdana" w:eastAsia="Times New Roman" w:hAnsi="Verdana" w:cs="Arial"/>
          <w:lang w:eastAsia="es-ES_tradnl"/>
        </w:rPr>
      </w:pPr>
    </w:p>
    <w:p w14:paraId="2E2A22EE" w14:textId="77777777" w:rsidR="00857BD5" w:rsidRDefault="00857BD5" w:rsidP="00AF2004">
      <w:pPr>
        <w:spacing w:after="0" w:line="240" w:lineRule="auto"/>
        <w:rPr>
          <w:rFonts w:ascii="Verdana" w:eastAsia="Times New Roman" w:hAnsi="Verdana" w:cs="Arial"/>
          <w:lang w:eastAsia="es-ES_tradnl"/>
        </w:rPr>
      </w:pPr>
    </w:p>
    <w:p w14:paraId="6379EFF1" w14:textId="77777777" w:rsidR="00857BD5" w:rsidRDefault="00857BD5" w:rsidP="00AF2004">
      <w:pPr>
        <w:spacing w:after="0" w:line="240" w:lineRule="auto"/>
        <w:rPr>
          <w:rFonts w:ascii="Verdana" w:eastAsia="Times New Roman" w:hAnsi="Verdana" w:cs="Arial"/>
          <w:lang w:eastAsia="es-ES_tradnl"/>
        </w:rPr>
      </w:pPr>
    </w:p>
    <w:p w14:paraId="344E9284" w14:textId="77777777" w:rsidR="00857BD5" w:rsidRDefault="00857BD5" w:rsidP="00AF2004">
      <w:pPr>
        <w:spacing w:after="0" w:line="240" w:lineRule="auto"/>
        <w:rPr>
          <w:rFonts w:ascii="Verdana" w:eastAsia="Times New Roman" w:hAnsi="Verdana" w:cs="Arial"/>
          <w:lang w:eastAsia="es-ES_tradnl"/>
        </w:rPr>
      </w:pPr>
    </w:p>
    <w:p w14:paraId="4C80BDC9" w14:textId="77777777" w:rsidR="00857BD5" w:rsidRDefault="00857BD5" w:rsidP="00AF2004">
      <w:pPr>
        <w:spacing w:after="0" w:line="240" w:lineRule="auto"/>
        <w:rPr>
          <w:rFonts w:ascii="Verdana" w:eastAsia="Times New Roman" w:hAnsi="Verdana" w:cs="Arial"/>
          <w:lang w:eastAsia="es-ES_tradnl"/>
        </w:rPr>
      </w:pPr>
    </w:p>
    <w:p w14:paraId="78825A40" w14:textId="77777777" w:rsidR="00857BD5" w:rsidRDefault="00857BD5" w:rsidP="00AF2004">
      <w:pPr>
        <w:spacing w:after="0" w:line="240" w:lineRule="auto"/>
        <w:rPr>
          <w:rFonts w:ascii="Verdana" w:eastAsia="Times New Roman" w:hAnsi="Verdana" w:cs="Arial"/>
          <w:lang w:eastAsia="es-ES_tradnl"/>
        </w:rPr>
      </w:pPr>
    </w:p>
    <w:p w14:paraId="4999BD14" w14:textId="77777777" w:rsidR="00857BD5" w:rsidRDefault="00857BD5" w:rsidP="00AF2004">
      <w:pPr>
        <w:spacing w:after="0" w:line="240" w:lineRule="auto"/>
        <w:rPr>
          <w:rFonts w:ascii="Verdana" w:eastAsia="Times New Roman" w:hAnsi="Verdana" w:cs="Arial"/>
          <w:lang w:eastAsia="es-ES_tradnl"/>
        </w:rPr>
      </w:pPr>
    </w:p>
    <w:p w14:paraId="1949A055" w14:textId="77777777" w:rsidR="00857BD5" w:rsidRDefault="00857BD5" w:rsidP="00AF2004">
      <w:pPr>
        <w:spacing w:after="0" w:line="240" w:lineRule="auto"/>
        <w:rPr>
          <w:rFonts w:ascii="Verdana" w:eastAsia="Times New Roman" w:hAnsi="Verdana" w:cs="Arial"/>
          <w:lang w:eastAsia="es-ES_tradnl"/>
        </w:rPr>
      </w:pPr>
    </w:p>
    <w:p w14:paraId="5444F26C" w14:textId="77777777" w:rsidR="00857BD5" w:rsidRDefault="00857BD5" w:rsidP="00AF2004">
      <w:pPr>
        <w:spacing w:after="0" w:line="240" w:lineRule="auto"/>
        <w:rPr>
          <w:rFonts w:ascii="Verdana" w:eastAsia="Times New Roman" w:hAnsi="Verdana" w:cs="Arial"/>
          <w:lang w:eastAsia="es-ES_tradnl"/>
        </w:rPr>
      </w:pPr>
    </w:p>
    <w:p w14:paraId="6F1D227D" w14:textId="77777777" w:rsidR="00F44AB6" w:rsidRDefault="00F44AB6" w:rsidP="00AF2004">
      <w:pPr>
        <w:spacing w:after="0" w:line="240" w:lineRule="auto"/>
        <w:rPr>
          <w:rFonts w:ascii="Verdana" w:eastAsia="Times New Roman" w:hAnsi="Verdana" w:cs="Arial"/>
          <w:lang w:eastAsia="es-ES_tradnl"/>
        </w:rPr>
      </w:pPr>
    </w:p>
    <w:p w14:paraId="46A0F9A7" w14:textId="77777777" w:rsidR="00F44AB6" w:rsidRDefault="00F44AB6" w:rsidP="00AF2004">
      <w:pPr>
        <w:spacing w:after="0" w:line="240" w:lineRule="auto"/>
        <w:rPr>
          <w:rFonts w:ascii="Verdana" w:eastAsia="Times New Roman" w:hAnsi="Verdana" w:cs="Arial"/>
          <w:lang w:eastAsia="es-ES_tradnl"/>
        </w:rPr>
      </w:pPr>
    </w:p>
    <w:p w14:paraId="279AED96" w14:textId="77777777" w:rsidR="00F44AB6" w:rsidRDefault="00F44AB6" w:rsidP="00AF2004">
      <w:pPr>
        <w:spacing w:after="0" w:line="240" w:lineRule="auto"/>
        <w:rPr>
          <w:rFonts w:ascii="Verdana" w:eastAsia="Times New Roman" w:hAnsi="Verdana" w:cs="Arial"/>
          <w:lang w:eastAsia="es-ES_tradnl"/>
        </w:rPr>
      </w:pPr>
    </w:p>
    <w:p w14:paraId="7E07B575" w14:textId="77777777" w:rsidR="00F44AB6" w:rsidRDefault="00F44AB6" w:rsidP="00AF2004">
      <w:pPr>
        <w:spacing w:after="0" w:line="240" w:lineRule="auto"/>
        <w:rPr>
          <w:rFonts w:ascii="Verdana" w:eastAsia="Times New Roman" w:hAnsi="Verdana" w:cs="Arial"/>
          <w:lang w:eastAsia="es-ES_tradnl"/>
        </w:rPr>
      </w:pPr>
    </w:p>
    <w:p w14:paraId="2DD56E3A" w14:textId="77777777" w:rsidR="00F44AB6" w:rsidRDefault="00F44AB6" w:rsidP="00AF2004">
      <w:pPr>
        <w:spacing w:after="0" w:line="240" w:lineRule="auto"/>
        <w:rPr>
          <w:rFonts w:ascii="Verdana" w:eastAsia="Times New Roman" w:hAnsi="Verdana" w:cs="Arial"/>
          <w:lang w:eastAsia="es-ES_tradnl"/>
        </w:rPr>
      </w:pPr>
    </w:p>
    <w:p w14:paraId="413A8B01" w14:textId="77777777" w:rsidR="00F44AB6" w:rsidRDefault="00F44AB6" w:rsidP="00AF2004">
      <w:pPr>
        <w:spacing w:after="0" w:line="240" w:lineRule="auto"/>
        <w:rPr>
          <w:rFonts w:ascii="Verdana" w:eastAsia="Times New Roman" w:hAnsi="Verdana" w:cs="Arial"/>
          <w:lang w:eastAsia="es-ES_tradnl"/>
        </w:rPr>
      </w:pPr>
    </w:p>
    <w:p w14:paraId="00108ED4" w14:textId="77777777" w:rsidR="00F44AB6" w:rsidRDefault="00F44AB6" w:rsidP="00AF2004">
      <w:pPr>
        <w:spacing w:after="0" w:line="240" w:lineRule="auto"/>
        <w:rPr>
          <w:rFonts w:ascii="Verdana" w:eastAsia="Times New Roman" w:hAnsi="Verdana" w:cs="Arial"/>
          <w:lang w:eastAsia="es-ES_tradnl"/>
        </w:rPr>
      </w:pPr>
    </w:p>
    <w:p w14:paraId="49FE5FB1" w14:textId="77777777" w:rsidR="00F44AB6" w:rsidRDefault="00F44AB6" w:rsidP="00AF2004">
      <w:pPr>
        <w:spacing w:after="0" w:line="240" w:lineRule="auto"/>
        <w:rPr>
          <w:rFonts w:ascii="Verdana" w:eastAsia="Times New Roman" w:hAnsi="Verdana" w:cs="Arial"/>
          <w:lang w:eastAsia="es-ES_tradnl"/>
        </w:rPr>
      </w:pPr>
    </w:p>
    <w:p w14:paraId="1573F19A" w14:textId="77777777" w:rsidR="00F44AB6" w:rsidRDefault="00F44AB6" w:rsidP="00AF2004">
      <w:pPr>
        <w:spacing w:after="0" w:line="240" w:lineRule="auto"/>
        <w:rPr>
          <w:rFonts w:ascii="Verdana" w:eastAsia="Times New Roman" w:hAnsi="Verdana" w:cs="Arial"/>
          <w:lang w:eastAsia="es-ES_tradnl"/>
        </w:rPr>
      </w:pPr>
    </w:p>
    <w:p w14:paraId="0573723B" w14:textId="77777777" w:rsidR="00F44AB6" w:rsidRDefault="00F44AB6" w:rsidP="00AF2004">
      <w:pPr>
        <w:spacing w:after="0" w:line="240" w:lineRule="auto"/>
        <w:rPr>
          <w:rFonts w:ascii="Verdana" w:eastAsia="Times New Roman" w:hAnsi="Verdana" w:cs="Arial"/>
          <w:lang w:eastAsia="es-ES_tradnl"/>
        </w:rPr>
      </w:pPr>
    </w:p>
    <w:p w14:paraId="359AFCD3" w14:textId="77777777" w:rsidR="00F44AB6" w:rsidRDefault="00F44AB6" w:rsidP="00AF2004">
      <w:pPr>
        <w:spacing w:after="0" w:line="240" w:lineRule="auto"/>
        <w:rPr>
          <w:rFonts w:ascii="Verdana" w:eastAsia="Times New Roman" w:hAnsi="Verdana" w:cs="Arial"/>
          <w:lang w:eastAsia="es-ES_tradnl"/>
        </w:rPr>
      </w:pPr>
    </w:p>
    <w:p w14:paraId="1B5481A1" w14:textId="77777777" w:rsidR="00F44AB6" w:rsidRDefault="00F44AB6" w:rsidP="00AF2004">
      <w:pPr>
        <w:spacing w:after="0" w:line="240" w:lineRule="auto"/>
        <w:rPr>
          <w:rFonts w:ascii="Verdana" w:eastAsia="Times New Roman" w:hAnsi="Verdana" w:cs="Arial"/>
          <w:lang w:eastAsia="es-ES_tradnl"/>
        </w:rPr>
      </w:pPr>
    </w:p>
    <w:p w14:paraId="075DDB30" w14:textId="77777777" w:rsidR="00F44AB6" w:rsidRDefault="00F44AB6" w:rsidP="00AF2004">
      <w:pPr>
        <w:spacing w:after="0" w:line="240" w:lineRule="auto"/>
        <w:rPr>
          <w:rFonts w:ascii="Verdana" w:eastAsia="Times New Roman" w:hAnsi="Verdana" w:cs="Arial"/>
          <w:lang w:eastAsia="es-ES_tradnl"/>
        </w:rPr>
      </w:pPr>
    </w:p>
    <w:p w14:paraId="14C7D5B9" w14:textId="13FDB6E3" w:rsidR="00AF2004" w:rsidRDefault="00AF2004" w:rsidP="00AF2004">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2583F1E0" w14:textId="77777777" w:rsidR="00E569F8" w:rsidRPr="005B7C42" w:rsidRDefault="00E569F8" w:rsidP="00AF2004">
      <w:pPr>
        <w:spacing w:after="0" w:line="240" w:lineRule="auto"/>
        <w:rPr>
          <w:rFonts w:ascii="Verdana" w:eastAsia="Times New Roman" w:hAnsi="Verdana" w:cs="Arial"/>
          <w:lang w:eastAsia="es-ES_tradnl"/>
        </w:rPr>
      </w:pPr>
    </w:p>
    <w:p w14:paraId="515EC7EA" w14:textId="7CF4D7EC" w:rsidR="00AF2004" w:rsidRPr="005B7C42" w:rsidRDefault="00E569F8" w:rsidP="00E569F8">
      <w:pPr>
        <w:spacing w:after="0" w:line="240" w:lineRule="auto"/>
        <w:jc w:val="right"/>
        <w:rPr>
          <w:rFonts w:ascii="Verdana" w:eastAsia="Times New Roman" w:hAnsi="Verdana" w:cs="Arial"/>
          <w:lang w:eastAsia="es-ES_tradnl"/>
        </w:rPr>
      </w:pPr>
      <w:r w:rsidRPr="00E569F8">
        <w:rPr>
          <w:rFonts w:ascii="Verdana" w:eastAsia="Times New Roman" w:hAnsi="Verdana" w:cs="Arial"/>
          <w:lang w:eastAsia="es-ES_tradnl"/>
        </w:rPr>
        <w:drawing>
          <wp:inline distT="0" distB="0" distL="0" distR="0" wp14:anchorId="580C76D6" wp14:editId="6F3D034A">
            <wp:extent cx="2942082" cy="834222"/>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51045" cy="836763"/>
                    </a:xfrm>
                    <a:prstGeom prst="rect">
                      <a:avLst/>
                    </a:prstGeom>
                  </pic:spPr>
                </pic:pic>
              </a:graphicData>
            </a:graphic>
          </wp:inline>
        </w:drawing>
      </w:r>
    </w:p>
    <w:p w14:paraId="3C282E34" w14:textId="77777777" w:rsidR="00AF2004" w:rsidRPr="005B7C42" w:rsidRDefault="00AF2004" w:rsidP="00AF2004">
      <w:pPr>
        <w:spacing w:after="0" w:line="240" w:lineRule="auto"/>
        <w:jc w:val="right"/>
        <w:rPr>
          <w:rFonts w:ascii="Verdana" w:eastAsia="Times New Roman" w:hAnsi="Verdana" w:cs="Arial"/>
          <w:lang w:eastAsia="es-ES_tradnl"/>
        </w:rPr>
      </w:pPr>
    </w:p>
    <w:p w14:paraId="6C8164B1" w14:textId="77777777" w:rsidR="00AF2004" w:rsidRPr="005B7C42" w:rsidRDefault="00AF2004" w:rsidP="00AF2004">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3B00D868" w14:textId="77777777" w:rsidR="00AF2004" w:rsidRPr="00187CED" w:rsidRDefault="00AF2004" w:rsidP="00AF2004">
      <w:pPr>
        <w:spacing w:after="0" w:line="240" w:lineRule="auto"/>
        <w:jc w:val="both"/>
        <w:rPr>
          <w:rFonts w:ascii="Verdana" w:eastAsia="Calibri" w:hAnsi="Verdana" w:cs="Arial"/>
          <w:b/>
          <w:bCs/>
          <w:lang w:val="pt-BR" w:eastAsia="es-ES_tradnl"/>
        </w:rPr>
      </w:pPr>
      <w:r w:rsidRPr="00187CED">
        <w:rPr>
          <w:rFonts w:ascii="Verdana" w:eastAsia="Calibri" w:hAnsi="Verdana" w:cs="Arial"/>
          <w:b/>
          <w:bCs/>
          <w:lang w:val="pt-BR" w:eastAsia="es-ES_tradnl"/>
        </w:rPr>
        <w:t>Lina Maria</w:t>
      </w:r>
      <w:r>
        <w:rPr>
          <w:rFonts w:ascii="Verdana" w:eastAsia="Calibri" w:hAnsi="Verdana" w:cs="Arial"/>
          <w:b/>
          <w:bCs/>
          <w:lang w:val="pt-BR" w:eastAsia="es-ES_tradnl"/>
        </w:rPr>
        <w:t xml:space="preserve"> </w:t>
      </w:r>
      <w:r w:rsidRPr="00187CED">
        <w:rPr>
          <w:rFonts w:ascii="Verdana" w:eastAsia="Calibri" w:hAnsi="Verdana" w:cs="Arial"/>
          <w:b/>
          <w:bCs/>
          <w:lang w:val="pt-BR" w:eastAsia="es-ES_tradnl"/>
        </w:rPr>
        <w:t>L</w:t>
      </w:r>
      <w:r>
        <w:rPr>
          <w:rFonts w:ascii="Verdana" w:eastAsia="Calibri" w:hAnsi="Verdana" w:cs="Arial"/>
          <w:b/>
          <w:bCs/>
          <w:lang w:val="pt-BR" w:eastAsia="es-ES_tradnl"/>
        </w:rPr>
        <w:t>ó</w:t>
      </w:r>
      <w:r w:rsidRPr="00187CED">
        <w:rPr>
          <w:rFonts w:ascii="Verdana" w:eastAsia="Calibri" w:hAnsi="Verdana" w:cs="Arial"/>
          <w:b/>
          <w:bCs/>
          <w:lang w:val="pt-BR" w:eastAsia="es-ES_tradnl"/>
        </w:rPr>
        <w:t>pez Bedoya</w:t>
      </w:r>
    </w:p>
    <w:p w14:paraId="2A7ADC3C" w14:textId="77777777" w:rsidR="00AF2004" w:rsidRPr="00E91E47" w:rsidRDefault="00AF2004" w:rsidP="00AF2004">
      <w:pPr>
        <w:spacing w:after="0" w:line="240" w:lineRule="auto"/>
        <w:rPr>
          <w:rFonts w:ascii="Verdana" w:eastAsia="Calibri" w:hAnsi="Verdana" w:cs="Arial"/>
          <w:lang w:val="pt-BR" w:eastAsia="es-ES_tradnl"/>
        </w:rPr>
      </w:pPr>
      <w:hyperlink r:id="rId8" w:history="1">
        <w:r w:rsidRPr="00E91E47">
          <w:rPr>
            <w:rStyle w:val="Hipervnculo"/>
            <w:rFonts w:ascii="Verdana" w:eastAsia="Calibri" w:hAnsi="Verdana" w:cs="Arial"/>
            <w:lang w:val="pt-BR" w:eastAsia="es-ES_tradnl"/>
          </w:rPr>
          <w:t>linamarialopezb@yahoo.es</w:t>
        </w:r>
      </w:hyperlink>
    </w:p>
    <w:p w14:paraId="465FA417" w14:textId="77777777" w:rsidR="00AF2004" w:rsidRPr="005B7C42" w:rsidRDefault="00AF2004" w:rsidP="00AF2004">
      <w:pPr>
        <w:spacing w:after="0" w:line="240" w:lineRule="auto"/>
        <w:rPr>
          <w:rFonts w:ascii="Verdana" w:eastAsia="Calibri" w:hAnsi="Verdana" w:cs="Arial"/>
          <w:lang w:eastAsia="es-ES_tradnl"/>
        </w:rPr>
      </w:pPr>
      <w:r>
        <w:rPr>
          <w:rFonts w:ascii="Verdana" w:eastAsia="Calibri" w:hAnsi="Verdana" w:cs="Arial"/>
          <w:lang w:eastAsia="es-ES_tradnl"/>
        </w:rPr>
        <w:t xml:space="preserve">Envigado, Antioquía </w:t>
      </w:r>
    </w:p>
    <w:p w14:paraId="5E26EC55" w14:textId="77777777" w:rsidR="00AF2004" w:rsidRPr="005B7C42" w:rsidRDefault="00AF2004" w:rsidP="00AF2004">
      <w:pPr>
        <w:spacing w:after="0" w:line="240" w:lineRule="auto"/>
        <w:rPr>
          <w:rFonts w:ascii="Verdana" w:eastAsia="Calibri" w:hAnsi="Verdana" w:cs="Arial"/>
          <w:lang w:eastAsia="es-ES_tradnl"/>
        </w:rPr>
      </w:pPr>
    </w:p>
    <w:p w14:paraId="16455AE3" w14:textId="77777777" w:rsidR="00AF2004" w:rsidRPr="005B7C42" w:rsidRDefault="00AF2004" w:rsidP="00AF2004">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009</w:t>
      </w:r>
      <w:r w:rsidRPr="005B7C42">
        <w:rPr>
          <w:rFonts w:ascii="Verdana" w:eastAsia="Calibri" w:hAnsi="Verdana" w:cs="Arial"/>
          <w:b/>
          <w:bCs/>
          <w:lang w:eastAsia="es-ES_tradnl"/>
        </w:rPr>
        <w:t xml:space="preserve"> de 202</w:t>
      </w:r>
      <w:r>
        <w:rPr>
          <w:rFonts w:ascii="Verdana" w:eastAsia="Calibri" w:hAnsi="Verdana" w:cs="Arial"/>
          <w:b/>
          <w:bCs/>
          <w:lang w:eastAsia="es-ES_tradnl"/>
        </w:rPr>
        <w:t>5</w:t>
      </w:r>
    </w:p>
    <w:p w14:paraId="7DBC806A" w14:textId="77777777" w:rsidR="00AF2004" w:rsidRPr="005B7C42" w:rsidRDefault="00AF2004" w:rsidP="00AF2004">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AF2004" w:rsidRPr="005B7C42" w14:paraId="78B651E0" w14:textId="77777777" w:rsidTr="00AA1DBD">
        <w:trPr>
          <w:trHeight w:val="1122"/>
          <w:jc w:val="right"/>
        </w:trPr>
        <w:tc>
          <w:tcPr>
            <w:tcW w:w="2688" w:type="dxa"/>
          </w:tcPr>
          <w:p w14:paraId="43976D6D" w14:textId="77777777" w:rsidR="00AF2004" w:rsidRPr="005B7C42" w:rsidRDefault="00AF2004" w:rsidP="00AA1DBD">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234DBF73" w14:textId="0F34C55E" w:rsidR="00AF2004" w:rsidRPr="00270604" w:rsidRDefault="00AF2004" w:rsidP="00AA1DBD">
            <w:pPr>
              <w:spacing w:line="276" w:lineRule="auto"/>
              <w:jc w:val="both"/>
              <w:rPr>
                <w:rFonts w:ascii="Verdana" w:eastAsia="Times New Roman" w:hAnsi="Verdana" w:cs="Arial"/>
                <w:lang w:val="es-MX" w:eastAsia="es-ES_tradnl"/>
              </w:rPr>
            </w:pPr>
            <w:r w:rsidRPr="00270604">
              <w:rPr>
                <w:rFonts w:ascii="Verdana" w:eastAsia="Calibri" w:hAnsi="Verdana" w:cs="Arial"/>
                <w:lang w:val="es-MX"/>
              </w:rPr>
              <w:t xml:space="preserve">PUBLICIDAD SECOP – </w:t>
            </w:r>
            <w:r w:rsidRPr="00191B27">
              <w:rPr>
                <w:rFonts w:ascii="Verdana" w:eastAsia="Calibri" w:hAnsi="Verdana" w:cs="Arial"/>
                <w:lang w:val="es-MX"/>
              </w:rPr>
              <w:t xml:space="preserve">Entidades exceptuadas – </w:t>
            </w:r>
            <w:r>
              <w:rPr>
                <w:rFonts w:ascii="Verdana" w:eastAsia="Calibri" w:hAnsi="Verdana" w:cs="Arial"/>
                <w:lang w:val="es-MX"/>
              </w:rPr>
              <w:t>A</w:t>
            </w:r>
            <w:r w:rsidRPr="00191B27">
              <w:rPr>
                <w:rFonts w:ascii="Verdana" w:eastAsia="Calibri" w:hAnsi="Verdana" w:cs="Arial"/>
                <w:lang w:val="es-MX"/>
              </w:rPr>
              <w:t>rtículo 53 – Ley 2195 de 2022</w:t>
            </w:r>
            <w:r>
              <w:rPr>
                <w:rFonts w:ascii="Verdana" w:eastAsia="Calibri" w:hAnsi="Verdana" w:cs="Arial"/>
                <w:lang w:val="es-MX"/>
              </w:rPr>
              <w:t xml:space="preserve"> </w:t>
            </w:r>
            <w:r w:rsidRPr="00191B27">
              <w:rPr>
                <w:rFonts w:ascii="Verdana" w:eastAsia="Calibri" w:hAnsi="Verdana" w:cs="Arial"/>
                <w:lang w:val="es-MX"/>
              </w:rPr>
              <w:t>/ EMPRESAS DE SERVICIOS PÚBLICOS DOMICILIARIOS –</w:t>
            </w:r>
            <w:r w:rsidR="00317194">
              <w:rPr>
                <w:rFonts w:ascii="Verdana" w:eastAsia="Calibri" w:hAnsi="Verdana" w:cs="Arial"/>
                <w:lang w:val="es-MX"/>
              </w:rPr>
              <w:t xml:space="preserve"> </w:t>
            </w:r>
            <w:r>
              <w:rPr>
                <w:rFonts w:ascii="Verdana" w:eastAsia="Calibri" w:hAnsi="Verdana" w:cs="Arial"/>
                <w:lang w:val="es-MX"/>
              </w:rPr>
              <w:t xml:space="preserve">Naturaleza jurídica –Sociedades por acciones – Régimen jurídico / SOCIEDADES POR ACCIONES – Noción – Suscripción de acciones – Enajenación de acciones / </w:t>
            </w:r>
            <w:r w:rsidRPr="00FD670E">
              <w:rPr>
                <w:rFonts w:ascii="Verdana" w:eastAsia="Calibri" w:hAnsi="Verdana" w:cs="Arial"/>
                <w:lang w:val="es-MX"/>
              </w:rPr>
              <w:t xml:space="preserve">CÓDIGO ESTÁNDAR DE PRODUCTOS Y SERVICIOS DE NACIONES UNIDAS -UNSPC- – Solo aplica para adquisiciones </w:t>
            </w:r>
            <w:r>
              <w:rPr>
                <w:rFonts w:ascii="Verdana" w:eastAsia="Calibri" w:hAnsi="Verdana" w:cs="Arial"/>
                <w:lang w:val="es-MX"/>
              </w:rPr>
              <w:t>de bienes y servicios</w:t>
            </w:r>
          </w:p>
        </w:tc>
      </w:tr>
      <w:tr w:rsidR="00AF2004" w:rsidRPr="005B7C42" w14:paraId="6917EDB9" w14:textId="77777777" w:rsidTr="00AA1DBD">
        <w:trPr>
          <w:jc w:val="right"/>
        </w:trPr>
        <w:tc>
          <w:tcPr>
            <w:tcW w:w="2688" w:type="dxa"/>
          </w:tcPr>
          <w:p w14:paraId="056FF9F0" w14:textId="77777777" w:rsidR="00AF2004" w:rsidRPr="005B7C42" w:rsidRDefault="00AF2004" w:rsidP="00AA1DBD">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33D40D88" w14:textId="77777777" w:rsidR="00AF2004" w:rsidRPr="005B7C42" w:rsidRDefault="00AF2004" w:rsidP="00AA1DBD">
            <w:pPr>
              <w:jc w:val="both"/>
              <w:rPr>
                <w:rFonts w:ascii="Verdana" w:eastAsia="Calibri" w:hAnsi="Verdana" w:cs="Arial"/>
                <w:lang w:eastAsia="es-ES_tradnl"/>
              </w:rPr>
            </w:pPr>
            <w:r w:rsidRPr="005B7C42">
              <w:rPr>
                <w:rFonts w:ascii="Verdana" w:eastAsia="Calibri" w:hAnsi="Verdana" w:cs="Arial"/>
                <w:lang w:eastAsia="es-ES_tradnl"/>
              </w:rPr>
              <w:t>Respuesta a consulta radicado</w:t>
            </w:r>
            <w:r>
              <w:rPr>
                <w:rFonts w:ascii="Verdana" w:eastAsia="Calibri" w:hAnsi="Verdana" w:cs="Arial"/>
                <w:lang w:eastAsia="es-ES_tradnl"/>
              </w:rPr>
              <w:t>s</w:t>
            </w:r>
            <w:r w:rsidRPr="005B7C42">
              <w:rPr>
                <w:rFonts w:ascii="Verdana" w:eastAsia="Calibri" w:hAnsi="Verdana" w:cs="Arial"/>
                <w:lang w:eastAsia="es-ES_tradnl"/>
              </w:rPr>
              <w:t xml:space="preserve"> No. </w:t>
            </w:r>
            <w:r w:rsidRPr="007F67D7">
              <w:rPr>
                <w:rFonts w:ascii="Verdana" w:eastAsia="Calibri" w:hAnsi="Verdana" w:cs="Arial"/>
                <w:lang w:eastAsia="es-ES_tradnl"/>
              </w:rPr>
              <w:t>P20250103000041</w:t>
            </w:r>
          </w:p>
        </w:tc>
      </w:tr>
    </w:tbl>
    <w:p w14:paraId="5607D1CF" w14:textId="77777777" w:rsidR="00AF2004" w:rsidRPr="005B7C42" w:rsidRDefault="00AF2004" w:rsidP="00AF2004">
      <w:pPr>
        <w:spacing w:after="0" w:line="240" w:lineRule="auto"/>
        <w:jc w:val="both"/>
        <w:rPr>
          <w:rFonts w:ascii="Verdana" w:eastAsia="Calibri" w:hAnsi="Verdana" w:cs="Arial"/>
          <w:lang w:eastAsia="es-ES_tradnl"/>
        </w:rPr>
      </w:pPr>
    </w:p>
    <w:p w14:paraId="0508D8DB" w14:textId="77777777" w:rsidR="00AF2004" w:rsidRPr="005B7C42" w:rsidRDefault="00AF2004" w:rsidP="00AF2004">
      <w:pPr>
        <w:spacing w:after="0" w:line="240" w:lineRule="auto"/>
        <w:jc w:val="both"/>
        <w:rPr>
          <w:rFonts w:ascii="Verdana" w:eastAsia="Calibri" w:hAnsi="Verdana" w:cs="Arial"/>
          <w:lang w:eastAsia="es-ES_tradnl"/>
        </w:rPr>
      </w:pPr>
    </w:p>
    <w:p w14:paraId="3F73F731" w14:textId="77777777" w:rsidR="00AF2004" w:rsidRPr="005B7C42" w:rsidRDefault="00AF2004" w:rsidP="00AF2004">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a señora López Bedoya</w:t>
      </w:r>
      <w:r w:rsidRPr="005B7C42">
        <w:rPr>
          <w:rFonts w:ascii="Verdana" w:eastAsia="Calibri" w:hAnsi="Verdana" w:cs="Arial"/>
          <w:bCs/>
          <w:lang w:eastAsia="es-ES_tradnl"/>
        </w:rPr>
        <w:t>,</w:t>
      </w:r>
      <w:r>
        <w:rPr>
          <w:rFonts w:ascii="Verdana" w:eastAsia="Calibri" w:hAnsi="Verdana" w:cs="Arial"/>
          <w:bCs/>
          <w:lang w:eastAsia="es-ES_tradnl"/>
        </w:rPr>
        <w:t xml:space="preserve"> </w:t>
      </w:r>
    </w:p>
    <w:p w14:paraId="5EDEDE07" w14:textId="77777777" w:rsidR="00AF2004" w:rsidRPr="005B7C42" w:rsidRDefault="00AF2004" w:rsidP="00AF2004">
      <w:pPr>
        <w:spacing w:after="0" w:line="276" w:lineRule="auto"/>
        <w:contextualSpacing/>
        <w:jc w:val="both"/>
        <w:rPr>
          <w:rFonts w:ascii="Verdana" w:eastAsia="Calibri" w:hAnsi="Verdana" w:cs="Arial"/>
          <w:lang w:eastAsia="es-ES_tradnl"/>
        </w:rPr>
      </w:pPr>
    </w:p>
    <w:p w14:paraId="26F89A78" w14:textId="77777777" w:rsidR="00AF2004" w:rsidRDefault="00AF2004" w:rsidP="00AF2004">
      <w:pPr>
        <w:spacing w:after="0"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w:t>
      </w:r>
      <w:r>
        <w:rPr>
          <w:rFonts w:ascii="Verdana" w:eastAsia="Calibri" w:hAnsi="Verdana" w:cs="Arial"/>
          <w:lang w:eastAsia="es-ES_tradnl"/>
        </w:rPr>
        <w:t>s</w:t>
      </w:r>
      <w:r w:rsidRPr="005B7C42">
        <w:rPr>
          <w:rFonts w:ascii="Verdana" w:eastAsia="Calibri" w:hAnsi="Verdana" w:cs="Arial"/>
          <w:lang w:eastAsia="es-ES_tradnl"/>
        </w:rPr>
        <w:t xml:space="preserve"> solicitud</w:t>
      </w:r>
      <w:r>
        <w:rPr>
          <w:rFonts w:ascii="Verdana" w:eastAsia="Calibri" w:hAnsi="Verdana" w:cs="Arial"/>
          <w:lang w:eastAsia="es-ES_tradnl"/>
        </w:rPr>
        <w:t>es</w:t>
      </w:r>
      <w:r w:rsidRPr="005B7C42">
        <w:rPr>
          <w:rFonts w:ascii="Verdana" w:eastAsia="Calibri" w:hAnsi="Verdana" w:cs="Arial"/>
          <w:lang w:eastAsia="es-ES_tradnl"/>
        </w:rPr>
        <w:t xml:space="preserve"> de consulta de fecha </w:t>
      </w:r>
      <w:r>
        <w:rPr>
          <w:rFonts w:ascii="Verdana" w:eastAsia="Calibri" w:hAnsi="Verdana" w:cs="Arial"/>
          <w:lang w:eastAsia="es-ES_tradnl"/>
        </w:rPr>
        <w:t>03</w:t>
      </w:r>
      <w:r w:rsidRPr="005B7C42">
        <w:rPr>
          <w:rFonts w:ascii="Verdana" w:eastAsia="Calibri" w:hAnsi="Verdana" w:cs="Arial"/>
          <w:lang w:eastAsia="es-ES_tradnl"/>
        </w:rPr>
        <w:t xml:space="preserve"> de </w:t>
      </w:r>
      <w:r>
        <w:rPr>
          <w:rFonts w:ascii="Verdana" w:eastAsia="Calibri" w:hAnsi="Verdana" w:cs="Arial"/>
          <w:lang w:eastAsia="es-ES_tradnl"/>
        </w:rPr>
        <w:t>enero</w:t>
      </w:r>
      <w:r w:rsidRPr="005B7C42">
        <w:rPr>
          <w:rFonts w:ascii="Verdana" w:eastAsia="Calibri" w:hAnsi="Verdana" w:cs="Arial"/>
          <w:lang w:eastAsia="es-ES_tradnl"/>
        </w:rPr>
        <w:t xml:space="preserve"> de 202</w:t>
      </w:r>
      <w:r>
        <w:rPr>
          <w:rFonts w:ascii="Verdana" w:eastAsia="Calibri" w:hAnsi="Verdana" w:cs="Arial"/>
          <w:lang w:eastAsia="es-ES_tradnl"/>
        </w:rPr>
        <w:t>5</w:t>
      </w:r>
      <w:r w:rsidRPr="005B7C42">
        <w:rPr>
          <w:rFonts w:ascii="Verdana" w:eastAsia="Calibri" w:hAnsi="Verdana" w:cs="Arial"/>
          <w:lang w:eastAsia="es-ES_tradnl"/>
        </w:rPr>
        <w:t xml:space="preserve">, </w:t>
      </w:r>
      <w:r>
        <w:rPr>
          <w:rFonts w:ascii="Verdana" w:eastAsia="Calibri" w:hAnsi="Verdana" w:cs="Arial"/>
          <w:lang w:eastAsia="es-ES_tradnl"/>
        </w:rPr>
        <w:t>que fueron formuladas en los siguientes términos:</w:t>
      </w:r>
    </w:p>
    <w:p w14:paraId="2A4AC4F6" w14:textId="77777777" w:rsidR="00AF2004" w:rsidRDefault="00AF2004" w:rsidP="00AF2004">
      <w:pPr>
        <w:spacing w:after="0" w:line="276" w:lineRule="auto"/>
        <w:jc w:val="both"/>
        <w:rPr>
          <w:rFonts w:ascii="Verdana" w:eastAsia="Calibri" w:hAnsi="Verdana" w:cs="Arial"/>
          <w:lang w:eastAsia="es-ES_tradnl"/>
        </w:rPr>
      </w:pPr>
    </w:p>
    <w:p w14:paraId="1172E344" w14:textId="77777777" w:rsidR="00AF2004" w:rsidRDefault="00AF2004" w:rsidP="00AF2004">
      <w:pPr>
        <w:spacing w:after="120" w:line="240" w:lineRule="auto"/>
        <w:ind w:left="709" w:right="709"/>
        <w:jc w:val="both"/>
        <w:rPr>
          <w:rFonts w:ascii="Verdana" w:eastAsia="Times New Roman" w:hAnsi="Verdana" w:cs="Arial"/>
          <w:iCs/>
          <w:sz w:val="20"/>
          <w:szCs w:val="20"/>
          <w:lang w:eastAsia="es-ES_tradnl"/>
        </w:rPr>
      </w:pPr>
      <w:r w:rsidRPr="004E1A87">
        <w:rPr>
          <w:rFonts w:ascii="Verdana" w:eastAsia="Times New Roman" w:hAnsi="Verdana" w:cs="Arial"/>
          <w:iCs/>
          <w:sz w:val="20"/>
          <w:szCs w:val="20"/>
          <w:lang w:eastAsia="es-ES_tradnl"/>
        </w:rPr>
        <w:t>“</w:t>
      </w:r>
      <w:r w:rsidRPr="00F8448F">
        <w:rPr>
          <w:rFonts w:ascii="Verdana" w:eastAsia="Times New Roman" w:hAnsi="Verdana" w:cs="Arial"/>
          <w:iCs/>
          <w:sz w:val="20"/>
          <w:szCs w:val="20"/>
          <w:lang w:eastAsia="es-ES_tradnl"/>
        </w:rPr>
        <w:t xml:space="preserve">¿Una empresa de servicios públicos domiciliarios, que por disposición de la ley 142 de 1994 cuenta con un régimen contractual excepcional al del Estatuto General de Contratación de la Administración Pública, además de su actividad contractual relacionada con su un rol de comprador (adquirente) o vendedor (proveedor o prestador) de bienes y servicios, también debe publicar en el SECOP aquellos procesos derivados de su rol </w:t>
      </w:r>
      <w:r w:rsidRPr="00F8448F">
        <w:rPr>
          <w:rFonts w:ascii="Verdana" w:eastAsia="Times New Roman" w:hAnsi="Verdana" w:cs="Arial"/>
          <w:iCs/>
          <w:sz w:val="20"/>
          <w:szCs w:val="20"/>
          <w:lang w:eastAsia="es-ES_tradnl"/>
        </w:rPr>
        <w:lastRenderedPageBreak/>
        <w:t xml:space="preserve">de “empresario”, que el Código de Comercio concibe como contratos, por ejemplo el </w:t>
      </w:r>
      <w:proofErr w:type="spellStart"/>
      <w:r>
        <w:rPr>
          <w:rFonts w:ascii="Verdana" w:eastAsia="Times New Roman" w:hAnsi="Verdana" w:cs="Arial"/>
          <w:iCs/>
          <w:sz w:val="20"/>
          <w:szCs w:val="20"/>
          <w:lang w:eastAsia="es-ES_tradnl"/>
        </w:rPr>
        <w:t>com</w:t>
      </w:r>
      <w:proofErr w:type="spellEnd"/>
      <w:r w:rsidRPr="00F8448F">
        <w:rPr>
          <w:rFonts w:ascii="Verdana" w:eastAsia="Times New Roman" w:hAnsi="Verdana" w:cs="Arial"/>
          <w:iCs/>
          <w:sz w:val="20"/>
          <w:szCs w:val="20"/>
          <w:lang w:eastAsia="es-ES_tradnl"/>
        </w:rPr>
        <w:t>?</w:t>
      </w:r>
    </w:p>
    <w:p w14:paraId="7F856FA1" w14:textId="77777777" w:rsidR="00AF2004" w:rsidRPr="004E1A87" w:rsidRDefault="00AF2004" w:rsidP="00AF2004">
      <w:pPr>
        <w:spacing w:after="120" w:line="240" w:lineRule="auto"/>
        <w:ind w:left="709" w:right="709"/>
        <w:jc w:val="both"/>
        <w:rPr>
          <w:rFonts w:ascii="Verdana" w:eastAsia="Times New Roman" w:hAnsi="Verdana" w:cs="Arial"/>
          <w:i/>
          <w:sz w:val="20"/>
          <w:szCs w:val="20"/>
          <w:lang w:eastAsia="es-ES_tradnl"/>
        </w:rPr>
      </w:pPr>
      <w:r w:rsidRPr="00F8448F">
        <w:rPr>
          <w:rFonts w:ascii="Verdana" w:eastAsia="Times New Roman" w:hAnsi="Verdana" w:cs="Arial"/>
          <w:iCs/>
          <w:sz w:val="20"/>
          <w:szCs w:val="20"/>
          <w:lang w:eastAsia="es-ES_tradnl"/>
        </w:rPr>
        <w:t>En el evento en que la respuesta a la anterior pregunta sea positiva, es decir, que sí se debe publicar en el SECOP aquellos procesos derivados de su rol de “empresario”, entonces ¿cuál sería el grupo, segmento, familia, clase y producto de la clasificación de las Naciones Unidas con el cual se reportaría los contratos como por ejemplo el contrato de sociedad, el contrato de suscripción de acciones, el contrato de compraventa de acciones?</w:t>
      </w:r>
      <w:r w:rsidRPr="004E1A87">
        <w:rPr>
          <w:rFonts w:ascii="Verdana" w:eastAsia="Times New Roman" w:hAnsi="Verdana" w:cs="Arial"/>
          <w:iCs/>
          <w:sz w:val="20"/>
          <w:szCs w:val="20"/>
          <w:lang w:eastAsia="es-ES_tradnl"/>
        </w:rPr>
        <w:t>” [SIC].</w:t>
      </w:r>
    </w:p>
    <w:p w14:paraId="3D188214" w14:textId="77777777" w:rsidR="00AF2004" w:rsidRPr="005B7C42" w:rsidRDefault="00AF2004" w:rsidP="00AF2004">
      <w:pPr>
        <w:spacing w:after="0" w:line="240" w:lineRule="auto"/>
        <w:ind w:left="709" w:right="709"/>
        <w:jc w:val="both"/>
        <w:rPr>
          <w:rFonts w:ascii="Verdana" w:eastAsia="Times New Roman" w:hAnsi="Verdana" w:cs="Arial"/>
          <w:i/>
          <w:lang w:eastAsia="es-ES_tradnl"/>
        </w:rPr>
      </w:pPr>
    </w:p>
    <w:p w14:paraId="70430637" w14:textId="77777777" w:rsidR="00AF2004" w:rsidRPr="005B7C42" w:rsidRDefault="00AF2004" w:rsidP="00AF2004">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56525AB9" w14:textId="77777777" w:rsidR="00AF2004" w:rsidRPr="005B7C42" w:rsidRDefault="00AF2004" w:rsidP="00AF2004">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306F5708" w14:textId="77777777" w:rsidR="00AF2004" w:rsidRPr="005B7C42" w:rsidRDefault="00AF2004" w:rsidP="00AF2004">
      <w:pPr>
        <w:spacing w:after="0" w:line="276" w:lineRule="auto"/>
        <w:contextualSpacing/>
        <w:jc w:val="both"/>
        <w:rPr>
          <w:rFonts w:ascii="Verdana" w:eastAsia="Times New Roman" w:hAnsi="Verdana" w:cs="Arial"/>
          <w:szCs w:val="24"/>
          <w:lang w:eastAsia="es-ES_tradnl"/>
        </w:rPr>
      </w:pPr>
    </w:p>
    <w:p w14:paraId="3A6A8FFE" w14:textId="77777777" w:rsidR="00AF2004" w:rsidRPr="005B7C42" w:rsidRDefault="00AF2004" w:rsidP="00AF2004">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2522E50F" w14:textId="77777777" w:rsidR="00AF2004" w:rsidRPr="005B7C42" w:rsidRDefault="00AF2004" w:rsidP="00AF2004">
      <w:pPr>
        <w:tabs>
          <w:tab w:val="left" w:pos="0"/>
          <w:tab w:val="left" w:pos="284"/>
        </w:tabs>
        <w:spacing w:after="0" w:line="276" w:lineRule="auto"/>
        <w:contextualSpacing/>
        <w:jc w:val="both"/>
        <w:rPr>
          <w:rFonts w:ascii="Verdana" w:eastAsia="Calibri" w:hAnsi="Verdana" w:cs="Arial"/>
          <w:b/>
        </w:rPr>
      </w:pPr>
    </w:p>
    <w:p w14:paraId="46BA2580" w14:textId="77777777" w:rsidR="00AF2004" w:rsidRDefault="00AF2004" w:rsidP="00AF2004">
      <w:pPr>
        <w:spacing w:after="0" w:line="276" w:lineRule="auto"/>
        <w:jc w:val="both"/>
        <w:rPr>
          <w:rFonts w:ascii="Verdana" w:hAnsi="Verdana"/>
        </w:rPr>
      </w:pPr>
      <w:r w:rsidRPr="0079666E">
        <w:rPr>
          <w:rFonts w:ascii="Verdana" w:hAnsi="Verdana"/>
        </w:rPr>
        <w:t xml:space="preserve">De acuerdo con el contenido de su solicitud, esta Agencia resolverá el </w:t>
      </w:r>
      <w:r>
        <w:rPr>
          <w:rFonts w:ascii="Verdana" w:hAnsi="Verdana"/>
        </w:rPr>
        <w:t>interrogante</w:t>
      </w:r>
      <w:r w:rsidRPr="0079666E">
        <w:rPr>
          <w:rFonts w:ascii="Verdana" w:hAnsi="Verdana"/>
        </w:rPr>
        <w:t>:</w:t>
      </w:r>
      <w:r>
        <w:rPr>
          <w:rFonts w:ascii="Verdana" w:hAnsi="Verdana"/>
        </w:rPr>
        <w:t xml:space="preserve"> ¿Las Empresas de Servicios Públicos deben publicar en el SECOP II los contratos de sociedad, suscripción y compraventa de acciones?</w:t>
      </w:r>
    </w:p>
    <w:p w14:paraId="6E3D6A0D" w14:textId="77777777" w:rsidR="00AF2004" w:rsidRDefault="00AF2004" w:rsidP="00AF2004">
      <w:pPr>
        <w:spacing w:after="0" w:line="276" w:lineRule="auto"/>
        <w:jc w:val="both"/>
        <w:rPr>
          <w:rFonts w:ascii="Verdana" w:hAnsi="Verdana"/>
        </w:rPr>
      </w:pPr>
    </w:p>
    <w:p w14:paraId="451A6AA9" w14:textId="77777777" w:rsidR="00AF2004" w:rsidRPr="005B7C42" w:rsidRDefault="00AF2004" w:rsidP="00AF2004">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217AABA4" w14:textId="77777777" w:rsidR="00AF2004" w:rsidRPr="005B7C42" w:rsidRDefault="00AF2004" w:rsidP="00AF2004">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2004" w:rsidRPr="005B7C42" w14:paraId="6F17943B" w14:textId="77777777" w:rsidTr="00AA1DBD">
        <w:tc>
          <w:tcPr>
            <w:tcW w:w="8828" w:type="dxa"/>
            <w:shd w:val="clear" w:color="auto" w:fill="auto"/>
          </w:tcPr>
          <w:p w14:paraId="7A1768AC" w14:textId="77777777" w:rsidR="00AF2004" w:rsidRPr="00971BEE" w:rsidRDefault="00AF2004" w:rsidP="00AA1DBD">
            <w:pPr>
              <w:spacing w:after="120" w:line="276" w:lineRule="auto"/>
              <w:jc w:val="both"/>
              <w:rPr>
                <w:rFonts w:ascii="Verdana" w:eastAsia="Times New Roman" w:hAnsi="Verdana" w:cs="Arial"/>
                <w:iCs/>
                <w:lang w:val="es-ES_tradnl" w:eastAsia="es-ES_tradnl"/>
                <w14:ligatures w14:val="standardContextual"/>
              </w:rPr>
            </w:pPr>
            <w:r>
              <w:rPr>
                <w:rFonts w:ascii="Verdana" w:eastAsia="Times New Roman" w:hAnsi="Verdana" w:cs="Arial"/>
                <w:iCs/>
                <w:lang w:val="es-ES_tradnl" w:eastAsia="es-ES_tradnl"/>
                <w14:ligatures w14:val="standardContextual"/>
              </w:rPr>
              <w:t xml:space="preserve">Las Empresas de Servicios Públicos no están obligadas a publicar en el SECOP II los negocios jurídicos que desarrollen para su constitución y la gestión de su capital social, como los </w:t>
            </w:r>
            <w:r>
              <w:rPr>
                <w:rFonts w:ascii="Verdana" w:hAnsi="Verdana"/>
              </w:rPr>
              <w:t xml:space="preserve">contratos de sociedad, suscripción y compraventa </w:t>
            </w:r>
            <w:r>
              <w:rPr>
                <w:rFonts w:ascii="Verdana" w:hAnsi="Verdana"/>
              </w:rPr>
              <w:lastRenderedPageBreak/>
              <w:t xml:space="preserve">de acciones. Esto en la medida en que, tales negocios jurídicos no se enmarcan dentro de la </w:t>
            </w:r>
            <w:r w:rsidRPr="001272A0">
              <w:rPr>
                <w:rFonts w:ascii="Verdana" w:hAnsi="Verdana"/>
                <w:i/>
                <w:iCs/>
              </w:rPr>
              <w:t>actividad contractual</w:t>
            </w:r>
            <w:r>
              <w:rPr>
                <w:rFonts w:ascii="Verdana" w:hAnsi="Verdana"/>
              </w:rPr>
              <w:t xml:space="preserve"> a la que se refiere en el segundo inciso del artículo 13 de la Ley 1150 de 2007, adicionado por el artículo 53 de la Ley 2195 de 2022, la cual comprende las </w:t>
            </w:r>
            <w:proofErr w:type="gramStart"/>
            <w:r>
              <w:rPr>
                <w:rFonts w:ascii="Verdana" w:hAnsi="Verdana"/>
              </w:rPr>
              <w:t>etapas precontractual</w:t>
            </w:r>
            <w:proofErr w:type="gramEnd"/>
            <w:r>
              <w:rPr>
                <w:rFonts w:ascii="Verdana" w:hAnsi="Verdana"/>
              </w:rPr>
              <w:t xml:space="preserve">, contractual y </w:t>
            </w:r>
            <w:proofErr w:type="spellStart"/>
            <w:r>
              <w:rPr>
                <w:rFonts w:ascii="Verdana" w:hAnsi="Verdana"/>
              </w:rPr>
              <w:t>postcontractual</w:t>
            </w:r>
            <w:proofErr w:type="spellEnd"/>
            <w:r>
              <w:rPr>
                <w:rFonts w:ascii="Verdana" w:hAnsi="Verdana"/>
              </w:rPr>
              <w:t xml:space="preserve"> que las entidades estatales deben agotar para el aprovisionamiento de los bienes y servicios que requieren para el desarrollo de su objeto social.  </w:t>
            </w:r>
          </w:p>
        </w:tc>
      </w:tr>
    </w:tbl>
    <w:p w14:paraId="769E7E1C" w14:textId="77777777" w:rsidR="00AF2004" w:rsidRPr="005B7C42" w:rsidRDefault="00AF2004" w:rsidP="00AF2004">
      <w:pPr>
        <w:spacing w:after="0" w:line="276" w:lineRule="auto"/>
        <w:contextualSpacing/>
        <w:jc w:val="both"/>
        <w:rPr>
          <w:rFonts w:ascii="Verdana" w:eastAsia="Times New Roman" w:hAnsi="Verdana" w:cs="Arial"/>
          <w:lang w:eastAsia="es-ES_tradnl"/>
        </w:rPr>
      </w:pPr>
    </w:p>
    <w:p w14:paraId="395900EB" w14:textId="77777777" w:rsidR="00AF2004" w:rsidRPr="005B7C42" w:rsidRDefault="00AF2004" w:rsidP="00AF200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2684FDE1" w14:textId="77777777" w:rsidR="00AF2004" w:rsidRPr="005B7C42" w:rsidRDefault="00AF2004" w:rsidP="00AF2004">
      <w:pPr>
        <w:spacing w:after="0" w:line="276" w:lineRule="auto"/>
        <w:jc w:val="both"/>
        <w:rPr>
          <w:rFonts w:ascii="Verdana" w:eastAsia="Calibri" w:hAnsi="Verdana" w:cs="Arial"/>
          <w:color w:val="7030A0"/>
        </w:rPr>
      </w:pPr>
    </w:p>
    <w:p w14:paraId="570C77A7" w14:textId="77777777" w:rsidR="00AF2004" w:rsidRPr="005B7C42" w:rsidRDefault="00AF2004" w:rsidP="00AF2004">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1457367C" w14:textId="77777777" w:rsidR="00AF2004" w:rsidRPr="00215670" w:rsidRDefault="00AF2004" w:rsidP="00AF2004">
      <w:pPr>
        <w:spacing w:after="0" w:line="276" w:lineRule="auto"/>
        <w:jc w:val="both"/>
        <w:rPr>
          <w:rFonts w:ascii="Verdana" w:eastAsia="Calibri" w:hAnsi="Verdana" w:cs="Arial"/>
        </w:rPr>
      </w:pPr>
    </w:p>
    <w:p w14:paraId="70D1ED57" w14:textId="77777777" w:rsidR="00AF2004" w:rsidRDefault="00AF2004" w:rsidP="00AF2004">
      <w:pPr>
        <w:widowControl w:val="0"/>
        <w:spacing w:after="0" w:line="276" w:lineRule="auto"/>
        <w:ind w:right="112"/>
        <w:jc w:val="both"/>
        <w:rPr>
          <w:rFonts w:ascii="Verdana" w:eastAsia="Arial" w:hAnsi="Verdana" w:cs="Arial"/>
          <w:lang w:eastAsia="es-CO"/>
        </w:rPr>
      </w:pPr>
      <w:r>
        <w:rPr>
          <w:rFonts w:ascii="Verdana" w:eastAsia="Arial" w:hAnsi="Verdana" w:cs="Arial"/>
          <w:lang w:eastAsia="es-CO"/>
        </w:rPr>
        <w:t>El</w:t>
      </w:r>
      <w:r w:rsidRPr="00484B65">
        <w:rPr>
          <w:rFonts w:ascii="Verdana" w:eastAsia="Arial" w:hAnsi="Verdana" w:cs="Arial"/>
          <w:lang w:eastAsia="es-CO"/>
        </w:rPr>
        <w:t xml:space="preserve">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408B0895" w14:textId="77777777" w:rsidR="00AF2004" w:rsidRPr="00484B65" w:rsidRDefault="00AF2004" w:rsidP="00AF2004">
      <w:pPr>
        <w:widowControl w:val="0"/>
        <w:spacing w:after="0" w:line="276" w:lineRule="auto"/>
        <w:ind w:right="112"/>
        <w:jc w:val="both"/>
        <w:rPr>
          <w:rFonts w:ascii="Verdana" w:eastAsia="Arial" w:hAnsi="Verdana" w:cs="Arial"/>
          <w:sz w:val="16"/>
          <w:szCs w:val="16"/>
          <w:lang w:eastAsia="es-CO"/>
        </w:rPr>
      </w:pPr>
    </w:p>
    <w:p w14:paraId="30D51E36" w14:textId="77777777" w:rsidR="00AF2004" w:rsidRPr="00CA1BE7" w:rsidRDefault="00AF2004" w:rsidP="00AF2004">
      <w:pPr>
        <w:widowControl w:val="0"/>
        <w:numPr>
          <w:ilvl w:val="1"/>
          <w:numId w:val="2"/>
        </w:numPr>
        <w:tabs>
          <w:tab w:val="left" w:pos="1361"/>
        </w:tabs>
        <w:spacing w:after="120" w:line="240" w:lineRule="auto"/>
        <w:ind w:left="70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Empresa de servicios públicos oficial. Es aquella en cuyo capital la Nación, las entidades territoriales, o las entidades descentralizadas de aquella o estas tienen el 100% de los aportes.</w:t>
      </w:r>
    </w:p>
    <w:p w14:paraId="7AF4CE89" w14:textId="77777777" w:rsidR="00AF2004" w:rsidRPr="00CA1BE7" w:rsidRDefault="00AF2004" w:rsidP="00AF2004">
      <w:pPr>
        <w:widowControl w:val="0"/>
        <w:numPr>
          <w:ilvl w:val="1"/>
          <w:numId w:val="2"/>
        </w:numPr>
        <w:tabs>
          <w:tab w:val="left" w:pos="1363"/>
        </w:tabs>
        <w:spacing w:after="120" w:line="240" w:lineRule="auto"/>
        <w:ind w:left="70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Empresa de servicios públicos mixta. Es aquella en cuyo capital la Nación, las entidades territoriales, o las entidades descentralizadas de aquella o éstas tienen aportes iguales o superiores al 50%.</w:t>
      </w:r>
    </w:p>
    <w:p w14:paraId="1CA46491" w14:textId="77777777" w:rsidR="00AF2004" w:rsidRPr="00CA1BE7" w:rsidRDefault="00AF2004" w:rsidP="00AF2004">
      <w:pPr>
        <w:widowControl w:val="0"/>
        <w:numPr>
          <w:ilvl w:val="1"/>
          <w:numId w:val="2"/>
        </w:numPr>
        <w:tabs>
          <w:tab w:val="left" w:pos="1531"/>
        </w:tabs>
        <w:spacing w:before="1" w:after="0" w:line="240" w:lineRule="auto"/>
        <w:ind w:left="70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Empresa de servicios públicos privada. Es aquella cuyo capital pertenece mayoritariamente a particulares, o a entidades surgidas de convenios internacionales que deseen someterse íntegramente para estos efectos a las reglas a las que se someten los particulares.</w:t>
      </w:r>
    </w:p>
    <w:p w14:paraId="69B2DFD2" w14:textId="77777777" w:rsidR="00AF2004" w:rsidRPr="00484B65" w:rsidRDefault="00AF2004" w:rsidP="00AF2004">
      <w:pPr>
        <w:widowControl w:val="0"/>
        <w:spacing w:after="0"/>
        <w:rPr>
          <w:rFonts w:ascii="Verdana" w:eastAsia="Arial" w:hAnsi="Verdana" w:cs="Arial"/>
          <w:szCs w:val="24"/>
          <w:lang w:eastAsia="es-CO"/>
        </w:rPr>
      </w:pPr>
    </w:p>
    <w:p w14:paraId="0E4170A1" w14:textId="77777777" w:rsidR="00AF2004" w:rsidRPr="00484B65" w:rsidRDefault="00AF2004" w:rsidP="00AF2004">
      <w:pPr>
        <w:widowControl w:val="0"/>
        <w:spacing w:after="120" w:line="276" w:lineRule="auto"/>
        <w:ind w:right="112" w:firstLine="708"/>
        <w:jc w:val="both"/>
        <w:rPr>
          <w:rFonts w:ascii="Verdana" w:eastAsia="Calibri" w:hAnsi="Verdana" w:cs="Calibri"/>
          <w:szCs w:val="24"/>
          <w:lang w:eastAsia="es-CO"/>
        </w:rPr>
      </w:pPr>
      <w:r w:rsidRPr="00484B65">
        <w:rPr>
          <w:rFonts w:ascii="Verdana" w:eastAsia="Arial" w:hAnsi="Verdana" w:cs="Arial"/>
          <w:lang w:eastAsia="es-CO"/>
        </w:rPr>
        <w:t xml:space="preserve">A su turno, el artículo 17 de la ley citada señala que </w:t>
      </w:r>
      <w:r>
        <w:rPr>
          <w:rFonts w:ascii="Verdana" w:eastAsia="Arial" w:hAnsi="Verdana" w:cs="Arial"/>
          <w:lang w:eastAsia="es-CO"/>
        </w:rPr>
        <w:t>“</w:t>
      </w:r>
      <w:r w:rsidRPr="00484B65">
        <w:rPr>
          <w:rFonts w:ascii="Verdana" w:eastAsia="Arial" w:hAnsi="Verdana" w:cs="Arial"/>
          <w:lang w:eastAsia="es-CO"/>
        </w:rPr>
        <w:t>las empresas de servicios públicos son sociedades por acciones cuyo objeto es la prestación de los servicios públicos de que trata esta ley</w:t>
      </w:r>
      <w:r>
        <w:rPr>
          <w:rFonts w:ascii="Verdana" w:eastAsia="Arial" w:hAnsi="Verdana" w:cs="Arial"/>
          <w:lang w:eastAsia="es-CO"/>
        </w:rPr>
        <w:t>”</w:t>
      </w:r>
      <w:r w:rsidRPr="00484B65">
        <w:rPr>
          <w:rFonts w:ascii="Verdana" w:eastAsia="Arial" w:hAnsi="Verdana" w:cs="Arial"/>
          <w:lang w:eastAsia="es-CO"/>
        </w:rPr>
        <w:t xml:space="preserve">. 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w:t>
      </w:r>
      <w:r w:rsidRPr="00484B65">
        <w:rPr>
          <w:rFonts w:ascii="Verdana" w:eastAsia="Arial" w:hAnsi="Verdana" w:cs="Arial"/>
          <w:lang w:eastAsia="es-CO"/>
        </w:rPr>
        <w:lastRenderedPageBreak/>
        <w:t>públicos, esto es, aquellas en las que la participación del Estado es del 100%</w:t>
      </w:r>
      <w:r w:rsidRPr="00484B65">
        <w:rPr>
          <w:rFonts w:ascii="Verdana" w:eastAsia="Arial" w:hAnsi="Verdana" w:cs="Arial"/>
          <w:vertAlign w:val="superscript"/>
          <w:lang w:eastAsia="es-CO"/>
        </w:rPr>
        <w:footnoteReference w:id="1"/>
      </w:r>
      <w:r w:rsidRPr="00484B65">
        <w:rPr>
          <w:rFonts w:ascii="Verdana" w:eastAsia="Arial" w:hAnsi="Verdana" w:cs="Arial"/>
          <w:lang w:eastAsia="es-CO"/>
        </w:rPr>
        <w:t>.</w:t>
      </w:r>
    </w:p>
    <w:p w14:paraId="7F8A9532" w14:textId="77777777" w:rsidR="00AF2004" w:rsidRPr="00484B65" w:rsidRDefault="00AF2004" w:rsidP="00AF2004">
      <w:pPr>
        <w:widowControl w:val="0"/>
        <w:spacing w:after="120" w:line="276" w:lineRule="auto"/>
        <w:ind w:right="104" w:firstLine="720"/>
        <w:jc w:val="both"/>
        <w:rPr>
          <w:rFonts w:ascii="Verdana" w:eastAsia="Calibri" w:hAnsi="Verdana" w:cs="Calibri"/>
          <w:szCs w:val="24"/>
          <w:lang w:eastAsia="es-CO"/>
        </w:rPr>
      </w:pPr>
      <w:r w:rsidRPr="00484B65">
        <w:rPr>
          <w:rFonts w:ascii="Verdana" w:eastAsia="Arial" w:hAnsi="Verdana" w:cs="Arial"/>
          <w:lang w:eastAsia="es-CO"/>
        </w:rPr>
        <w:t xml:space="preserve">Lo anterior llevó a pensar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w:t>
      </w:r>
      <w:r>
        <w:rPr>
          <w:rFonts w:ascii="Verdana" w:eastAsia="Arial" w:hAnsi="Verdana" w:cs="Arial"/>
          <w:lang w:eastAsia="es-CO"/>
        </w:rPr>
        <w:t>“</w:t>
      </w:r>
      <w:r w:rsidRPr="00484B65">
        <w:rPr>
          <w:rFonts w:ascii="Verdana" w:eastAsia="Arial" w:hAnsi="Verdana" w:cs="Arial"/>
          <w:lang w:eastAsia="es-CO"/>
        </w:rPr>
        <w:t>g) Las demás entidades administrativas nacionales con personería jurídica que cree, organice o autorice la ley para que formen parte de la Rama Ejecutiva del Poder Público</w:t>
      </w:r>
      <w:r>
        <w:rPr>
          <w:rFonts w:ascii="Verdana" w:eastAsia="Arial" w:hAnsi="Verdana" w:cs="Arial"/>
          <w:lang w:eastAsia="es-CO"/>
        </w:rPr>
        <w:t>”</w:t>
      </w:r>
      <w:r w:rsidRPr="00484B65">
        <w:rPr>
          <w:rFonts w:ascii="Verdana" w:eastAsia="Arial" w:hAnsi="Verdana" w:cs="Arial"/>
          <w:lang w:eastAsia="es-CO"/>
        </w:rPr>
        <w:t xml:space="preserve">. </w:t>
      </w:r>
    </w:p>
    <w:p w14:paraId="028A8EA9" w14:textId="77777777" w:rsidR="00AF2004" w:rsidRPr="00484B65" w:rsidRDefault="00AF2004" w:rsidP="00AF2004">
      <w:pPr>
        <w:widowControl w:val="0"/>
        <w:spacing w:before="93" w:after="0" w:line="276" w:lineRule="auto"/>
        <w:ind w:right="106" w:firstLine="720"/>
        <w:jc w:val="both"/>
        <w:rPr>
          <w:rFonts w:ascii="Verdana" w:eastAsia="Calibri" w:hAnsi="Verdana" w:cs="Calibri"/>
          <w:szCs w:val="24"/>
          <w:lang w:eastAsia="es-CO"/>
        </w:rPr>
      </w:pPr>
      <w:r w:rsidRPr="00484B65">
        <w:rPr>
          <w:rFonts w:ascii="Verdana" w:eastAsia="Arial" w:hAnsi="Verdana" w:cs="Arial"/>
          <w:lang w:eastAsia="es-CO"/>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p>
    <w:p w14:paraId="188FA7AA" w14:textId="77777777" w:rsidR="00AF2004" w:rsidRPr="00484B65" w:rsidRDefault="00AF2004" w:rsidP="00AF2004">
      <w:pPr>
        <w:widowControl w:val="0"/>
        <w:spacing w:after="0"/>
        <w:rPr>
          <w:rFonts w:ascii="Verdana" w:eastAsia="Arial" w:hAnsi="Verdana" w:cs="Arial"/>
          <w:lang w:eastAsia="es-CO"/>
        </w:rPr>
      </w:pPr>
    </w:p>
    <w:p w14:paraId="5A1FD610" w14:textId="77777777" w:rsidR="00AF2004" w:rsidRPr="001272A0" w:rsidRDefault="00AF2004" w:rsidP="00AF2004">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1264023A" w14:textId="77777777" w:rsidR="00AF2004" w:rsidRPr="001272A0" w:rsidRDefault="00AF2004" w:rsidP="00AF2004">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21B61974" w14:textId="77777777" w:rsidR="00AF2004" w:rsidRPr="001272A0" w:rsidRDefault="00AF2004" w:rsidP="00AF2004">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 xml:space="preserve">Nótese cómo en el literal d) el legislador incluye a las “demás entidades administrativas nacionales con personería jurídica que cree, organice o </w:t>
      </w:r>
      <w:r w:rsidRPr="001272A0">
        <w:rPr>
          <w:rFonts w:ascii="Verdana" w:eastAsia="Arial" w:hAnsi="Verdana" w:cs="Arial"/>
          <w:sz w:val="20"/>
          <w:szCs w:val="20"/>
          <w:lang w:eastAsia="es-CO"/>
        </w:rPr>
        <w:lastRenderedPageBreak/>
        <w:t xml:space="preserve">autorice la ley para que formen parte de la Rama Ejecutiva del Poder Público”, categoría dentro de la cual deben entenderse incluidas las empresas de servicios públicos mixtas o privadas, </w:t>
      </w:r>
      <w:proofErr w:type="gramStart"/>
      <w:r w:rsidRPr="001272A0">
        <w:rPr>
          <w:rFonts w:ascii="Verdana" w:eastAsia="Arial" w:hAnsi="Verdana" w:cs="Arial"/>
          <w:sz w:val="20"/>
          <w:szCs w:val="20"/>
          <w:lang w:eastAsia="es-CO"/>
        </w:rPr>
        <w:t>que</w:t>
      </w:r>
      <w:proofErr w:type="gramEnd"/>
      <w:r w:rsidRPr="001272A0">
        <w:rPr>
          <w:rFonts w:ascii="Verdana" w:eastAsia="Arial" w:hAnsi="Verdana" w:cs="Arial"/>
          <w:sz w:val="20"/>
          <w:szCs w:val="20"/>
          <w:lang w:eastAsia="es-CO"/>
        </w:rPr>
        <w:t xml:space="preserve"> de esta manera, se entienden como parte de la Rama Ejecutiva en su sector descentralizado nacional.</w:t>
      </w:r>
    </w:p>
    <w:p w14:paraId="61FB3B53" w14:textId="77777777" w:rsidR="00AF2004" w:rsidRPr="001272A0" w:rsidRDefault="00AF2004" w:rsidP="00AF2004">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 xml:space="preserve">Así las cosas, de cara a la constitucionalidad del artículo 38 de la Ley 498 de 1998, y concretamente de la expresión “las empresas oficiales de servicios públicos domiciliarios” contenida en su literal d), la Corte declarará su </w:t>
      </w:r>
      <w:proofErr w:type="spellStart"/>
      <w:r w:rsidRPr="001272A0">
        <w:rPr>
          <w:rFonts w:ascii="Verdana" w:eastAsia="Arial" w:hAnsi="Verdana" w:cs="Arial"/>
          <w:sz w:val="20"/>
          <w:szCs w:val="20"/>
          <w:lang w:eastAsia="es-CO"/>
        </w:rPr>
        <w:t>exequibilidad</w:t>
      </w:r>
      <w:proofErr w:type="spellEnd"/>
      <w:r w:rsidRPr="001272A0">
        <w:rPr>
          <w:rFonts w:ascii="Verdana" w:eastAsia="Arial" w:hAnsi="Verdana" w:cs="Arial"/>
          <w:sz w:val="20"/>
          <w:szCs w:val="20"/>
          <w:lang w:eastAsia="es-CO"/>
        </w:rPr>
        <w:t>, por considerar que dentro del supuesto normativo del literal g) se comprenden las empresas mixtas o privadas de servicios públicos, que de esta manera viene a conformar también la Rama Ejecutiva del poder público.</w:t>
      </w:r>
    </w:p>
    <w:p w14:paraId="7E1FC43A" w14:textId="77777777" w:rsidR="00AF2004" w:rsidRPr="001272A0" w:rsidRDefault="00AF2004" w:rsidP="00AF2004">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w:t>
      </w:r>
    </w:p>
    <w:p w14:paraId="23B7E68C" w14:textId="77777777" w:rsidR="00AF2004" w:rsidRPr="001272A0" w:rsidRDefault="00AF2004" w:rsidP="00AF2004">
      <w:pPr>
        <w:widowControl w:val="0"/>
        <w:spacing w:after="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1272A0">
        <w:rPr>
          <w:rFonts w:ascii="Verdana" w:eastAsia="Arial" w:hAnsi="Verdana" w:cs="Arial"/>
          <w:sz w:val="20"/>
          <w:szCs w:val="20"/>
          <w:vertAlign w:val="superscript"/>
          <w:lang w:eastAsia="es-CO"/>
        </w:rPr>
        <w:footnoteReference w:id="2"/>
      </w:r>
      <w:r w:rsidRPr="001272A0">
        <w:rPr>
          <w:rFonts w:ascii="Verdana" w:eastAsia="Arial" w:hAnsi="Verdana" w:cs="Arial"/>
          <w:sz w:val="20"/>
          <w:szCs w:val="20"/>
          <w:lang w:eastAsia="es-CO"/>
        </w:rPr>
        <w:t>.</w:t>
      </w:r>
    </w:p>
    <w:p w14:paraId="61145DE7" w14:textId="77777777" w:rsidR="00AF2004" w:rsidRPr="00484B65" w:rsidRDefault="00AF2004" w:rsidP="00AF2004">
      <w:pPr>
        <w:widowControl w:val="0"/>
        <w:spacing w:before="1" w:after="0" w:line="276" w:lineRule="auto"/>
        <w:ind w:left="100" w:right="110"/>
        <w:jc w:val="both"/>
        <w:rPr>
          <w:rFonts w:ascii="Verdana" w:eastAsia="Arial" w:hAnsi="Verdana" w:cs="Arial"/>
          <w:lang w:eastAsia="es-CO"/>
        </w:rPr>
      </w:pPr>
    </w:p>
    <w:p w14:paraId="656346F9" w14:textId="77777777" w:rsidR="00AF2004" w:rsidRPr="00484B65" w:rsidRDefault="00AF2004" w:rsidP="00AF2004">
      <w:pPr>
        <w:widowControl w:val="0"/>
        <w:spacing w:before="1" w:after="0" w:line="276" w:lineRule="auto"/>
        <w:ind w:right="110" w:firstLine="720"/>
        <w:jc w:val="both"/>
        <w:rPr>
          <w:rFonts w:ascii="Verdana" w:eastAsia="Calibri" w:hAnsi="Verdana" w:cs="Calibri"/>
          <w:szCs w:val="24"/>
          <w:lang w:eastAsia="es-CO"/>
        </w:rPr>
      </w:pPr>
      <w:r w:rsidRPr="00484B65">
        <w:rPr>
          <w:rFonts w:ascii="Verdana" w:eastAsia="Arial" w:hAnsi="Verdana" w:cs="Arial"/>
          <w:lang w:eastAsia="es-CO"/>
        </w:rPr>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 dio a las Empresas de Servicios Públicos:</w:t>
      </w:r>
    </w:p>
    <w:p w14:paraId="2CA6B96A" w14:textId="77777777" w:rsidR="00AF2004" w:rsidRPr="00484B65" w:rsidRDefault="00AF2004" w:rsidP="00AF2004">
      <w:pPr>
        <w:widowControl w:val="0"/>
        <w:spacing w:before="3" w:after="0"/>
        <w:rPr>
          <w:rFonts w:ascii="Verdana" w:eastAsia="Arial" w:hAnsi="Verdana" w:cs="Arial"/>
          <w:sz w:val="25"/>
          <w:szCs w:val="25"/>
          <w:lang w:eastAsia="es-CO"/>
        </w:rPr>
      </w:pPr>
    </w:p>
    <w:p w14:paraId="1323F41F" w14:textId="77777777" w:rsidR="00AF2004" w:rsidRPr="001272A0" w:rsidRDefault="00AF2004" w:rsidP="00AF2004">
      <w:pPr>
        <w:widowControl w:val="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 xml:space="preserve">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w:t>
      </w:r>
      <w:r w:rsidRPr="001272A0">
        <w:rPr>
          <w:rFonts w:ascii="Verdana" w:eastAsia="Arial" w:hAnsi="Verdana" w:cs="Arial"/>
          <w:sz w:val="20"/>
          <w:szCs w:val="20"/>
          <w:lang w:eastAsia="es-CO"/>
        </w:rPr>
        <w:lastRenderedPageBreak/>
        <w:t>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65591038" w14:textId="77777777" w:rsidR="00AF2004" w:rsidRPr="001272A0" w:rsidRDefault="00AF2004" w:rsidP="00AF2004">
      <w:pPr>
        <w:widowControl w:val="0"/>
        <w:spacing w:before="1" w:after="120"/>
        <w:ind w:left="709" w:right="709"/>
        <w:rPr>
          <w:rFonts w:ascii="Verdana" w:eastAsia="Calibri" w:hAnsi="Verdana" w:cs="Calibri"/>
          <w:sz w:val="20"/>
          <w:szCs w:val="20"/>
          <w:lang w:eastAsia="es-CO"/>
        </w:rPr>
      </w:pPr>
      <w:r w:rsidRPr="001272A0">
        <w:rPr>
          <w:rFonts w:ascii="Verdana" w:eastAsia="Arial" w:hAnsi="Verdana" w:cs="Arial"/>
          <w:sz w:val="20"/>
          <w:szCs w:val="20"/>
          <w:lang w:eastAsia="es-CO"/>
        </w:rPr>
        <w:t>[…]</w:t>
      </w:r>
    </w:p>
    <w:p w14:paraId="24D00EB6" w14:textId="77777777" w:rsidR="00AF2004" w:rsidRPr="001272A0" w:rsidRDefault="00AF2004" w:rsidP="00AF2004">
      <w:pPr>
        <w:widowControl w:val="0"/>
        <w:spacing w:before="1" w:after="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 las sociedades de economía mixta</w:t>
      </w:r>
      <w:r w:rsidRPr="001272A0">
        <w:rPr>
          <w:rFonts w:ascii="Verdana" w:eastAsia="Arial" w:hAnsi="Verdana" w:cs="Arial"/>
          <w:sz w:val="20"/>
          <w:szCs w:val="20"/>
          <w:vertAlign w:val="superscript"/>
          <w:lang w:eastAsia="es-CO"/>
        </w:rPr>
        <w:footnoteReference w:id="3"/>
      </w:r>
      <w:r w:rsidRPr="001272A0">
        <w:rPr>
          <w:rFonts w:ascii="Verdana" w:eastAsia="Arial" w:hAnsi="Verdana" w:cs="Arial"/>
          <w:sz w:val="20"/>
          <w:szCs w:val="20"/>
          <w:lang w:eastAsia="es-CO"/>
        </w:rPr>
        <w:t>.</w:t>
      </w:r>
    </w:p>
    <w:p w14:paraId="5CD111D7" w14:textId="77777777" w:rsidR="00AF2004" w:rsidRPr="00484B65" w:rsidRDefault="00AF2004" w:rsidP="00AF2004">
      <w:pPr>
        <w:widowControl w:val="0"/>
        <w:spacing w:before="3" w:after="0"/>
        <w:rPr>
          <w:rFonts w:ascii="Verdana" w:eastAsia="Arial" w:hAnsi="Verdana" w:cs="Arial"/>
          <w:sz w:val="25"/>
          <w:szCs w:val="25"/>
          <w:lang w:eastAsia="es-CO"/>
        </w:rPr>
      </w:pPr>
    </w:p>
    <w:p w14:paraId="5BA64802" w14:textId="77777777" w:rsidR="00AF2004" w:rsidRDefault="00AF2004" w:rsidP="00AF2004">
      <w:pPr>
        <w:pStyle w:val="Prrafodelista"/>
        <w:tabs>
          <w:tab w:val="left" w:pos="284"/>
        </w:tabs>
        <w:spacing w:line="276" w:lineRule="auto"/>
        <w:ind w:left="0" w:firstLine="567"/>
        <w:jc w:val="both"/>
        <w:rPr>
          <w:rFonts w:ascii="Verdana" w:eastAsia="Arial" w:hAnsi="Verdana" w:cs="Arial"/>
          <w:lang w:eastAsia="es-CO"/>
        </w:rPr>
      </w:pPr>
      <w:r w:rsidRPr="00484B65">
        <w:rPr>
          <w:rFonts w:ascii="Verdana" w:eastAsia="Arial" w:hAnsi="Verdana" w:cs="Arial"/>
          <w:lang w:eastAsia="es-CO"/>
        </w:rPr>
        <w:tab/>
        <w:t>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15256BF1" w14:textId="77777777" w:rsidR="00AF2004" w:rsidRPr="008E6A3E" w:rsidRDefault="00AF2004" w:rsidP="00AF2004">
      <w:pPr>
        <w:spacing w:line="276" w:lineRule="auto"/>
        <w:ind w:firstLine="709"/>
        <w:jc w:val="both"/>
        <w:rPr>
          <w:rFonts w:ascii="Verdana" w:eastAsia="Calibri" w:hAnsi="Verdana" w:cs="Arial"/>
          <w:color w:val="000000" w:themeColor="text1"/>
          <w:szCs w:val="24"/>
          <w:lang w:val="es-ES_tradnl" w:eastAsia="es-ES_tradnl"/>
        </w:rPr>
      </w:pPr>
      <w:r>
        <w:rPr>
          <w:rFonts w:ascii="Verdana" w:eastAsia="Arial" w:hAnsi="Verdana" w:cs="Arial"/>
          <w:lang w:eastAsia="es-CO"/>
        </w:rPr>
        <w:t>En ese orden, l</w:t>
      </w:r>
      <w:r w:rsidRPr="008E6A3E">
        <w:rPr>
          <w:rFonts w:ascii="Verdana" w:eastAsia="Calibri" w:hAnsi="Verdana" w:cs="Arial"/>
          <w:color w:val="000000" w:themeColor="text1"/>
          <w:szCs w:val="24"/>
          <w:lang w:val="es-ES_tradnl" w:eastAsia="es-ES_tradnl"/>
        </w:rPr>
        <w:t>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8E6A3E">
        <w:rPr>
          <w:rFonts w:ascii="Verdana" w:eastAsia="Calibri" w:hAnsi="Verdana" w:cs="Arial"/>
          <w:color w:val="000000" w:themeColor="text1"/>
          <w:szCs w:val="24"/>
          <w:vertAlign w:val="superscript"/>
          <w:lang w:val="es-ES_tradnl" w:eastAsia="es-ES_tradnl"/>
        </w:rPr>
        <w:footnoteReference w:id="4"/>
      </w:r>
      <w:r w:rsidRPr="008E6A3E">
        <w:rPr>
          <w:rFonts w:ascii="Verdana" w:eastAsia="Calibri" w:hAnsi="Verdana" w:cs="Arial"/>
          <w:color w:val="000000" w:themeColor="text1"/>
          <w:szCs w:val="24"/>
          <w:lang w:val="es-ES_tradnl" w:eastAsia="es-ES_tradnl"/>
        </w:rPr>
        <w:t xml:space="preserve">. </w:t>
      </w:r>
    </w:p>
    <w:p w14:paraId="57AAAFA7" w14:textId="77777777" w:rsidR="00AF2004" w:rsidRPr="008E6A3E" w:rsidRDefault="00AF2004" w:rsidP="00AF2004">
      <w:pPr>
        <w:spacing w:line="276" w:lineRule="auto"/>
        <w:ind w:firstLine="709"/>
        <w:jc w:val="both"/>
        <w:rPr>
          <w:rFonts w:ascii="Verdana" w:eastAsia="Calibri" w:hAnsi="Verdana" w:cs="Arial"/>
          <w:color w:val="000000" w:themeColor="text1"/>
          <w:szCs w:val="24"/>
          <w:lang w:val="es-ES_tradnl" w:eastAsia="es-ES_tradnl"/>
        </w:rPr>
      </w:pPr>
      <w:bookmarkStart w:id="1" w:name="_Hlk71791168"/>
      <w:r w:rsidRPr="008E6A3E">
        <w:rPr>
          <w:rFonts w:ascii="Verdana" w:hAnsi="Verdana" w:cs="Arial"/>
          <w:color w:val="000000"/>
          <w:bdr w:val="none" w:sz="0" w:space="0" w:color="auto" w:frame="1"/>
        </w:rPr>
        <w:lastRenderedPageBreak/>
        <w:t xml:space="preserve">Con base en este presupuesto constitucional de liberalización de los servicios públicos domiciliarios el legislador expidió la Ley 142 de 1994, mediante la cual se establece el régimen de los servicios públicos domiciliarios. </w:t>
      </w:r>
      <w:r w:rsidRPr="008E6A3E">
        <w:rPr>
          <w:rFonts w:ascii="Verdana" w:eastAsia="Calibri" w:hAnsi="Verdana" w:cs="Arial"/>
          <w:color w:val="000000" w:themeColor="text1"/>
          <w:szCs w:val="24"/>
          <w:lang w:eastAsia="es-ES_tradnl"/>
        </w:rPr>
        <w:t>E</w:t>
      </w:r>
      <w:r w:rsidRPr="008E6A3E">
        <w:rPr>
          <w:rFonts w:ascii="Verdana" w:eastAsia="Calibri" w:hAnsi="Verdana" w:cs="Arial"/>
          <w:color w:val="000000" w:themeColor="text1"/>
          <w:szCs w:val="24"/>
          <w:lang w:val="es-ES_tradnl" w:eastAsia="es-ES_tradnl"/>
        </w:rPr>
        <w:t xml:space="preserve">l </w:t>
      </w:r>
      <w:bookmarkStart w:id="2" w:name="_Hlk71294880"/>
      <w:r w:rsidRPr="008E6A3E">
        <w:rPr>
          <w:rFonts w:ascii="Verdana" w:eastAsia="Calibri" w:hAnsi="Verdana" w:cs="Arial"/>
          <w:color w:val="000000" w:themeColor="text1"/>
          <w:szCs w:val="24"/>
          <w:lang w:val="es-ES_tradnl" w:eastAsia="es-ES_tradnl"/>
        </w:rPr>
        <w:t xml:space="preserve">artículo 15 </w:t>
      </w:r>
      <w:bookmarkStart w:id="3" w:name="_Hlk71296753"/>
      <w:bookmarkEnd w:id="2"/>
      <w:proofErr w:type="spellStart"/>
      <w:r w:rsidRPr="008E6A3E">
        <w:rPr>
          <w:rFonts w:ascii="Verdana" w:eastAsia="Calibri" w:hAnsi="Verdana" w:cs="Arial"/>
          <w:i/>
          <w:iCs/>
          <w:color w:val="000000" w:themeColor="text1"/>
          <w:szCs w:val="24"/>
          <w:lang w:val="es-ES_tradnl" w:eastAsia="es-ES_tradnl"/>
        </w:rPr>
        <w:t>ibídem</w:t>
      </w:r>
      <w:proofErr w:type="spellEnd"/>
      <w:r w:rsidRPr="008E6A3E">
        <w:rPr>
          <w:rFonts w:ascii="Verdana" w:eastAsia="Calibri" w:hAnsi="Verdana" w:cs="Arial"/>
          <w:color w:val="000000" w:themeColor="text1"/>
          <w:szCs w:val="24"/>
          <w:lang w:val="es-ES_tradnl" w:eastAsia="es-ES_tradnl"/>
        </w:rPr>
        <w:t xml:space="preserve"> enuncia las </w:t>
      </w:r>
      <w:bookmarkStart w:id="4" w:name="_Hlk71294901"/>
      <w:r w:rsidRPr="008E6A3E">
        <w:rPr>
          <w:rFonts w:ascii="Verdana" w:eastAsia="Calibri" w:hAnsi="Verdana" w:cs="Arial"/>
          <w:color w:val="000000" w:themeColor="text1"/>
          <w:szCs w:val="24"/>
          <w:lang w:val="es-ES_tradnl" w:eastAsia="es-ES_tradnl"/>
        </w:rPr>
        <w:t xml:space="preserve">personas autorizadas para prestar los servicios públicos domiciliarios: </w:t>
      </w:r>
      <w:bookmarkEnd w:id="4"/>
      <w:r w:rsidRPr="008E6A3E">
        <w:rPr>
          <w:rFonts w:ascii="Verdana" w:eastAsia="Calibri" w:hAnsi="Verdana" w:cs="Arial"/>
          <w:color w:val="000000" w:themeColor="text1"/>
          <w:szCs w:val="24"/>
          <w:lang w:val="es-ES_tradnl" w:eastAsia="es-ES_tradnl"/>
        </w:rPr>
        <w:t xml:space="preserve">i) las empresas de servicios públicos, </w:t>
      </w:r>
      <w:proofErr w:type="spellStart"/>
      <w:r w:rsidRPr="008E6A3E">
        <w:rPr>
          <w:rFonts w:ascii="Verdana" w:eastAsia="Calibri" w:hAnsi="Verdana" w:cs="Arial"/>
          <w:color w:val="000000" w:themeColor="text1"/>
          <w:szCs w:val="24"/>
          <w:lang w:val="es-ES_tradnl" w:eastAsia="es-ES_tradnl"/>
        </w:rPr>
        <w:t>ii</w:t>
      </w:r>
      <w:proofErr w:type="spellEnd"/>
      <w:r w:rsidRPr="008E6A3E">
        <w:rPr>
          <w:rFonts w:ascii="Verdana" w:eastAsia="Calibri" w:hAnsi="Verdana" w:cs="Arial"/>
          <w:color w:val="000000" w:themeColor="text1"/>
          <w:szCs w:val="24"/>
          <w:lang w:val="es-ES_tradnl" w:eastAsia="es-ES_tradnl"/>
        </w:rPr>
        <w:t xml:space="preserve">) los productores marginales, </w:t>
      </w:r>
      <w:proofErr w:type="spellStart"/>
      <w:r w:rsidRPr="008E6A3E">
        <w:rPr>
          <w:rFonts w:ascii="Verdana" w:eastAsia="Calibri" w:hAnsi="Verdana" w:cs="Arial"/>
          <w:color w:val="000000" w:themeColor="text1"/>
          <w:szCs w:val="24"/>
          <w:lang w:val="es-ES_tradnl" w:eastAsia="es-ES_tradnl"/>
        </w:rPr>
        <w:t>iii</w:t>
      </w:r>
      <w:proofErr w:type="spellEnd"/>
      <w:r w:rsidRPr="008E6A3E">
        <w:rPr>
          <w:rFonts w:ascii="Verdana" w:eastAsia="Calibri" w:hAnsi="Verdana" w:cs="Arial"/>
          <w:color w:val="000000" w:themeColor="text1"/>
          <w:szCs w:val="24"/>
          <w:lang w:val="es-ES_tradnl" w:eastAsia="es-ES_tradnl"/>
        </w:rPr>
        <w:t xml:space="preserve">) los municipios, en ciertos casos, </w:t>
      </w:r>
      <w:proofErr w:type="spellStart"/>
      <w:r w:rsidRPr="008E6A3E">
        <w:rPr>
          <w:rFonts w:ascii="Verdana" w:eastAsia="Calibri" w:hAnsi="Verdana" w:cs="Arial"/>
          <w:color w:val="000000" w:themeColor="text1"/>
          <w:szCs w:val="24"/>
          <w:lang w:val="es-ES_tradnl" w:eastAsia="es-ES_tradnl"/>
        </w:rPr>
        <w:t>iv</w:t>
      </w:r>
      <w:proofErr w:type="spellEnd"/>
      <w:r w:rsidRPr="008E6A3E">
        <w:rPr>
          <w:rFonts w:ascii="Verdana" w:eastAsia="Calibri" w:hAnsi="Verdana" w:cs="Arial"/>
          <w:color w:val="000000" w:themeColor="text1"/>
          <w:szCs w:val="24"/>
          <w:lang w:val="es-ES_tradnl" w:eastAsia="es-ES_tradnl"/>
        </w:rPr>
        <w:t>) las organizaciones autorizadas y v) las entidades descentralizadas que se encontraran prestándolos y cumplan los requisitos establecidos en la le</w:t>
      </w:r>
      <w:bookmarkEnd w:id="3"/>
      <w:r w:rsidRPr="008E6A3E">
        <w:rPr>
          <w:rFonts w:ascii="Verdana" w:eastAsia="Calibri" w:hAnsi="Verdana" w:cs="Arial"/>
          <w:color w:val="000000" w:themeColor="text1"/>
          <w:szCs w:val="24"/>
          <w:lang w:val="es-ES_tradnl" w:eastAsia="es-ES_tradnl"/>
        </w:rPr>
        <w:t>y</w:t>
      </w:r>
      <w:bookmarkEnd w:id="1"/>
      <w:r w:rsidRPr="008E6A3E">
        <w:rPr>
          <w:rFonts w:ascii="Verdana" w:eastAsia="Calibri" w:hAnsi="Verdana" w:cs="Arial"/>
          <w:color w:val="000000" w:themeColor="text1"/>
          <w:szCs w:val="24"/>
          <w:vertAlign w:val="superscript"/>
          <w:lang w:val="es-ES_tradnl" w:eastAsia="es-ES_tradnl"/>
        </w:rPr>
        <w:footnoteReference w:id="5"/>
      </w:r>
      <w:r w:rsidRPr="008E6A3E">
        <w:rPr>
          <w:rFonts w:ascii="Verdana" w:eastAsia="Calibri" w:hAnsi="Verdana" w:cs="Arial"/>
          <w:color w:val="000000" w:themeColor="text1"/>
          <w:szCs w:val="24"/>
          <w:lang w:val="es-ES_tradnl" w:eastAsia="es-ES_tradnl"/>
        </w:rPr>
        <w:t>.</w:t>
      </w:r>
    </w:p>
    <w:p w14:paraId="4A216EDC" w14:textId="77777777" w:rsidR="00AF2004" w:rsidRPr="008E6A3E" w:rsidRDefault="00AF2004" w:rsidP="00AF2004">
      <w:pPr>
        <w:spacing w:before="120" w:line="276" w:lineRule="auto"/>
        <w:ind w:firstLine="709"/>
        <w:jc w:val="both"/>
        <w:rPr>
          <w:rFonts w:ascii="Verdana" w:eastAsia="Calibri" w:hAnsi="Verdana" w:cs="Arial"/>
          <w:color w:val="000000" w:themeColor="text1"/>
          <w:szCs w:val="24"/>
          <w:lang w:val="es-ES_tradnl" w:eastAsia="es-ES_tradnl"/>
        </w:rPr>
      </w:pPr>
      <w:r>
        <w:rPr>
          <w:rFonts w:ascii="Verdana" w:eastAsia="Calibri" w:hAnsi="Verdana" w:cs="Arial"/>
          <w:color w:val="000000" w:themeColor="text1"/>
          <w:szCs w:val="24"/>
          <w:lang w:val="es-ES_tradnl" w:eastAsia="es-ES_tradnl"/>
        </w:rPr>
        <w:t>E</w:t>
      </w:r>
      <w:r w:rsidRPr="008E6A3E">
        <w:rPr>
          <w:rFonts w:ascii="Verdana" w:eastAsia="Calibri" w:hAnsi="Verdana" w:cs="Arial"/>
          <w:color w:val="000000" w:themeColor="text1"/>
          <w:szCs w:val="24"/>
          <w:lang w:val="es-ES_tradnl" w:eastAsia="es-ES_tradnl"/>
        </w:rPr>
        <w:t>n lo que atañe específicamente al régimen de contratación, el artículo 31 de la Ley 142 de 1994, modificado por el artículo 3 de la Ley 689 de 2001, dispone que</w:t>
      </w:r>
      <w:r w:rsidRPr="008E6A3E">
        <w:rPr>
          <w:rFonts w:ascii="Verdana" w:hAnsi="Verdana" w:cs="Arial"/>
          <w:color w:val="000000"/>
          <w:bdr w:val="none" w:sz="0" w:space="0" w:color="auto" w:frame="1"/>
        </w:rPr>
        <w:t xml:space="preserve"> los contratos que celebren las entidades estatales que prestan los servicios públicos domiciliarios </w:t>
      </w:r>
      <w:r w:rsidRPr="001272A0">
        <w:rPr>
          <w:rFonts w:ascii="Verdana" w:hAnsi="Verdana" w:cs="Arial"/>
          <w:i/>
          <w:color w:val="000000"/>
          <w:bdr w:val="none" w:sz="0" w:space="0" w:color="auto" w:frame="1"/>
        </w:rPr>
        <w:t>“no estarán sujetos a las disposiciones del Estatuto General de Contratación de la Administración Pública, salvo en lo que la presente ley disponga otra cosa”</w:t>
      </w:r>
      <w:r w:rsidRPr="008E6A3E">
        <w:rPr>
          <w:rFonts w:ascii="Verdana" w:eastAsia="Calibri" w:hAnsi="Verdana" w:cs="Arial"/>
          <w:color w:val="000000" w:themeColor="text1"/>
          <w:szCs w:val="24"/>
          <w:lang w:val="es-ES_tradnl" w:eastAsia="es-ES_tradnl"/>
        </w:rPr>
        <w:t>. Por su parte, el artículo 32 de la Ley 142 consagra el régimen de derecho privado para las empresas de servicios públicos domiciliarios, indicando que sus actos se rigen por los principios y reglas aplicables a los particulares</w:t>
      </w:r>
      <w:r w:rsidRPr="008E6A3E">
        <w:rPr>
          <w:rFonts w:ascii="Verdana" w:eastAsia="Calibri" w:hAnsi="Verdana" w:cs="Arial"/>
          <w:color w:val="000000" w:themeColor="text1"/>
          <w:szCs w:val="24"/>
          <w:vertAlign w:val="superscript"/>
          <w:lang w:val="es-ES_tradnl" w:eastAsia="es-ES_tradnl"/>
        </w:rPr>
        <w:footnoteReference w:id="6"/>
      </w:r>
      <w:r w:rsidRPr="008E6A3E">
        <w:rPr>
          <w:rFonts w:ascii="Verdana" w:eastAsia="Calibri" w:hAnsi="Verdana" w:cs="Arial"/>
          <w:color w:val="000000" w:themeColor="text1"/>
          <w:szCs w:val="24"/>
          <w:lang w:val="es-ES_tradnl" w:eastAsia="es-ES_tradnl"/>
        </w:rPr>
        <w:t>.</w:t>
      </w:r>
    </w:p>
    <w:p w14:paraId="7FA6DBEA" w14:textId="77777777" w:rsidR="00AF2004" w:rsidRPr="008E6A3E" w:rsidRDefault="00AF2004" w:rsidP="00AF2004">
      <w:pPr>
        <w:spacing w:before="120" w:line="276" w:lineRule="auto"/>
        <w:ind w:firstLine="709"/>
        <w:jc w:val="both"/>
        <w:rPr>
          <w:rFonts w:ascii="Verdana" w:eastAsia="Calibri" w:hAnsi="Verdana" w:cs="Arial"/>
          <w:color w:val="000000" w:themeColor="text1"/>
          <w:szCs w:val="24"/>
          <w:lang w:val="es-ES_tradnl" w:eastAsia="es-ES_tradnl"/>
        </w:rPr>
      </w:pPr>
      <w:r w:rsidRPr="008E6A3E">
        <w:rPr>
          <w:rFonts w:ascii="Verdana" w:eastAsia="Calibri" w:hAnsi="Verdana" w:cs="Arial"/>
          <w:color w:val="000000" w:themeColor="text1"/>
          <w:lang w:val="es-ES" w:eastAsia="es-ES"/>
        </w:rPr>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r w:rsidRPr="008E6A3E">
        <w:rPr>
          <w:rFonts w:ascii="Verdana" w:eastAsia="Calibri" w:hAnsi="Verdana" w:cs="Arial"/>
          <w:color w:val="000000" w:themeColor="text1"/>
          <w:sz w:val="21"/>
          <w:szCs w:val="21"/>
          <w:vertAlign w:val="superscript"/>
          <w:lang w:val="es-ES" w:eastAsia="es-ES"/>
        </w:rPr>
        <w:footnoteReference w:id="7"/>
      </w:r>
      <w:r w:rsidRPr="008E6A3E">
        <w:rPr>
          <w:rFonts w:ascii="Verdana" w:eastAsia="Calibri" w:hAnsi="Verdana" w:cs="Arial"/>
          <w:color w:val="000000" w:themeColor="text1"/>
          <w:sz w:val="21"/>
          <w:szCs w:val="21"/>
          <w:lang w:val="es-ES" w:eastAsia="es-ES"/>
        </w:rPr>
        <w:t>.</w:t>
      </w:r>
      <w:r w:rsidRPr="008E6A3E">
        <w:rPr>
          <w:rFonts w:ascii="Verdana" w:eastAsia="Calibri" w:hAnsi="Verdana" w:cs="Arial"/>
          <w:color w:val="000000" w:themeColor="text1"/>
          <w:lang w:val="es-ES" w:eastAsia="es-ES"/>
        </w:rPr>
        <w:t xml:space="preserve"> En otras palabras, </w:t>
      </w:r>
      <w:bookmarkStart w:id="5" w:name="_Hlk71653647"/>
      <w:r w:rsidRPr="008E6A3E">
        <w:rPr>
          <w:rFonts w:ascii="Verdana" w:eastAsia="Calibri" w:hAnsi="Verdana" w:cs="Arial"/>
          <w:color w:val="000000" w:themeColor="text1"/>
          <w:lang w:val="es-ES" w:eastAsia="es-ES"/>
        </w:rPr>
        <w:t xml:space="preserve">las empresas prestadoras de servicios públicos domiciliarios </w:t>
      </w:r>
      <w:bookmarkStart w:id="6" w:name="_Hlk71738505"/>
      <w:r w:rsidRPr="008E6A3E">
        <w:rPr>
          <w:rFonts w:ascii="Verdana" w:eastAsia="Calibri" w:hAnsi="Verdana" w:cs="Arial"/>
          <w:color w:val="000000" w:themeColor="text1"/>
          <w:lang w:val="es-ES" w:eastAsia="es-ES"/>
        </w:rPr>
        <w:t xml:space="preserve">se sujetan, en su actividad contractual, a las disposiciones del derecho privado, salvo en aquellos casos en los que la Constitución, la Ley 142 de 1994 u otras </w:t>
      </w:r>
      <w:r w:rsidRPr="008E6A3E">
        <w:rPr>
          <w:rFonts w:ascii="Verdana" w:eastAsia="Calibri" w:hAnsi="Verdana" w:cs="Arial"/>
          <w:color w:val="000000" w:themeColor="text1"/>
          <w:lang w:val="es-ES" w:eastAsia="es-ES"/>
        </w:rPr>
        <w:lastRenderedPageBreak/>
        <w:t xml:space="preserve">leyes especiales, sometan tal conducta al Estatuto General de Contratación de la Administración Pública, es decir, a la Ley 80 de 1993, Ley 1150 de 2007 y demás normas complementarias. </w:t>
      </w:r>
      <w:bookmarkEnd w:id="5"/>
      <w:bookmarkEnd w:id="6"/>
      <w:r>
        <w:rPr>
          <w:rFonts w:ascii="Verdana" w:eastAsia="Calibri" w:hAnsi="Verdana" w:cs="Arial"/>
          <w:color w:val="000000" w:themeColor="text1"/>
          <w:szCs w:val="24"/>
          <w:lang w:val="es-ES_tradnl" w:eastAsia="es-ES_tradnl"/>
        </w:rPr>
        <w:t xml:space="preserve">Esto </w:t>
      </w:r>
      <w:r w:rsidRPr="008E6A3E">
        <w:rPr>
          <w:rFonts w:ascii="Verdana" w:eastAsia="Calibri" w:hAnsi="Verdana" w:cs="Arial"/>
          <w:color w:val="000000" w:themeColor="text1"/>
          <w:szCs w:val="24"/>
          <w:lang w:val="es-ES_tradnl" w:eastAsia="es-ES_tradnl"/>
        </w:rPr>
        <w:t xml:space="preserve">no significa que la actividad contractual de las empresas prestadoras de servicios públicos domiciliarios se rija por un </w:t>
      </w:r>
      <w:r>
        <w:rPr>
          <w:rFonts w:ascii="Verdana" w:eastAsia="Calibri" w:hAnsi="Verdana" w:cs="Arial"/>
          <w:color w:val="000000" w:themeColor="text1"/>
          <w:szCs w:val="24"/>
          <w:lang w:val="es-ES_tradnl" w:eastAsia="es-ES_tradnl"/>
        </w:rPr>
        <w:t>“</w:t>
      </w:r>
      <w:r w:rsidRPr="008E6A3E">
        <w:rPr>
          <w:rFonts w:ascii="Verdana" w:eastAsia="Calibri" w:hAnsi="Verdana" w:cs="Arial"/>
          <w:color w:val="000000" w:themeColor="text1"/>
          <w:szCs w:val="24"/>
          <w:lang w:val="es-ES_tradnl" w:eastAsia="es-ES_tradnl"/>
        </w:rPr>
        <w:t>derecho privado puro</w:t>
      </w:r>
      <w:r>
        <w:rPr>
          <w:rFonts w:ascii="Verdana" w:eastAsia="Calibri" w:hAnsi="Verdana" w:cs="Arial"/>
          <w:color w:val="000000" w:themeColor="text1"/>
          <w:szCs w:val="24"/>
          <w:lang w:val="es-ES_tradnl" w:eastAsia="es-ES_tradnl"/>
        </w:rPr>
        <w:t>”</w:t>
      </w:r>
      <w:r w:rsidRPr="008E6A3E">
        <w:rPr>
          <w:rFonts w:ascii="Verdana" w:eastAsia="Calibri" w:hAnsi="Verdana" w:cs="Arial"/>
          <w:color w:val="000000" w:themeColor="text1"/>
          <w:szCs w:val="24"/>
          <w:lang w:val="es-ES_tradnl" w:eastAsia="es-ES_tradnl"/>
        </w:rPr>
        <w:t>, pues este se encuentra irrigado, entre otras cosas, por los principios de la función administrativa y de la gestión fiscal, previstos en los artículos 209 y 267 de la Constitución, toda vez que así lo dispone el artículo 13 de la Ley 1150 de 2007</w:t>
      </w:r>
      <w:r w:rsidRPr="008E6A3E">
        <w:rPr>
          <w:rFonts w:ascii="Verdana" w:eastAsia="Calibri" w:hAnsi="Verdana" w:cs="Arial"/>
          <w:color w:val="000000" w:themeColor="text1"/>
          <w:szCs w:val="24"/>
          <w:vertAlign w:val="superscript"/>
          <w:lang w:val="es-ES_tradnl" w:eastAsia="es-ES_tradnl"/>
        </w:rPr>
        <w:footnoteReference w:id="8"/>
      </w:r>
      <w:r w:rsidRPr="008E6A3E">
        <w:rPr>
          <w:rFonts w:ascii="Verdana" w:eastAsia="Calibri" w:hAnsi="Verdana" w:cs="Arial"/>
          <w:color w:val="000000" w:themeColor="text1"/>
          <w:szCs w:val="24"/>
          <w:lang w:val="es-ES_tradnl" w:eastAsia="es-ES_tradnl"/>
        </w:rPr>
        <w:t>.</w:t>
      </w:r>
    </w:p>
    <w:p w14:paraId="3F4F92B9" w14:textId="77777777" w:rsidR="00AF2004" w:rsidRPr="002539DB" w:rsidRDefault="00AF2004" w:rsidP="00AF2004">
      <w:pPr>
        <w:spacing w:after="120" w:line="276" w:lineRule="auto"/>
        <w:ind w:firstLine="709"/>
        <w:jc w:val="both"/>
        <w:rPr>
          <w:rFonts w:ascii="Verdana" w:eastAsia="Calibri" w:hAnsi="Verdana" w:cstheme="majorHAnsi"/>
          <w:bCs/>
          <w:lang w:val="es-MX"/>
        </w:rPr>
      </w:pPr>
      <w:r>
        <w:rPr>
          <w:rFonts w:ascii="Verdana" w:eastAsia="Calibri" w:hAnsi="Verdana" w:cs="Arial"/>
          <w:color w:val="000000" w:themeColor="text1"/>
          <w:szCs w:val="24"/>
          <w:lang w:val="es-ES_tradnl" w:eastAsia="es-ES_tradnl"/>
        </w:rPr>
        <w:t>Entre los principales principios de la función administrativa a los que se refiere el artículo 209 de la Constitución, que se proyecta hacia el desarrollo de la actividad contractual de las empresas de servicios públicos, es el de publicidad</w:t>
      </w:r>
      <w:r w:rsidRPr="002539DB">
        <w:rPr>
          <w:rFonts w:ascii="Verdana" w:eastAsia="Calibri" w:hAnsi="Verdana" w:cstheme="majorHAnsi"/>
          <w:bCs/>
          <w:sz w:val="21"/>
          <w:szCs w:val="21"/>
          <w:vertAlign w:val="superscript"/>
          <w:lang w:val="es-MX"/>
        </w:rPr>
        <w:footnoteReference w:id="9"/>
      </w:r>
      <w:r>
        <w:rPr>
          <w:rFonts w:ascii="Verdana" w:eastAsia="Calibri" w:hAnsi="Verdana" w:cstheme="majorHAnsi"/>
          <w:bCs/>
          <w:sz w:val="21"/>
          <w:szCs w:val="21"/>
          <w:lang w:val="es-MX"/>
        </w:rPr>
        <w:t xml:space="preserve">. </w:t>
      </w:r>
      <w:r>
        <w:rPr>
          <w:rFonts w:ascii="Verdana" w:eastAsia="Calibri" w:hAnsi="Verdana" w:cstheme="majorHAnsi"/>
          <w:bCs/>
          <w:lang w:val="es-MX"/>
        </w:rPr>
        <w:t xml:space="preserve"> </w:t>
      </w:r>
      <w:r w:rsidRPr="002539DB">
        <w:rPr>
          <w:rFonts w:ascii="Verdana" w:eastAsia="Calibri" w:hAnsi="Verdana" w:cstheme="majorHAnsi"/>
          <w:bCs/>
          <w:lang w:val="es-MX"/>
        </w:rPr>
        <w:t xml:space="preserve">El principio de publicidad impone a las autoridades el deber de dar a conocer sus actos, contratos y decisiones, para que se divulguen y, eventualmente, se controlen dichas actuaciones. Es por eso </w:t>
      </w:r>
      <w:proofErr w:type="gramStart"/>
      <w:r w:rsidRPr="002539DB">
        <w:rPr>
          <w:rFonts w:ascii="Verdana" w:eastAsia="Calibri" w:hAnsi="Verdana" w:cstheme="majorHAnsi"/>
          <w:bCs/>
          <w:lang w:val="es-MX"/>
        </w:rPr>
        <w:t>que</w:t>
      </w:r>
      <w:proofErr w:type="gramEnd"/>
      <w:r w:rsidRPr="002539DB">
        <w:rPr>
          <w:rFonts w:ascii="Verdana" w:eastAsia="Calibri" w:hAnsi="Verdana" w:cstheme="majorHAnsi"/>
          <w:bCs/>
          <w:lang w:val="es-MX"/>
        </w:rPr>
        <w:t>,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2539DB">
        <w:rPr>
          <w:rFonts w:ascii="Verdana" w:eastAsia="Calibri" w:hAnsi="Verdana" w:cstheme="majorHAnsi"/>
          <w:bCs/>
          <w:vertAlign w:val="superscript"/>
          <w:lang w:val="es-MX"/>
        </w:rPr>
        <w:footnoteReference w:id="10"/>
      </w:r>
      <w:r w:rsidRPr="002539DB">
        <w:rPr>
          <w:rFonts w:ascii="Verdana" w:eastAsia="Calibri" w:hAnsi="Verdana" w:cstheme="majorHAnsi"/>
          <w:bCs/>
          <w:lang w:val="es-MX"/>
        </w:rPr>
        <w:t xml:space="preserve">. </w:t>
      </w:r>
    </w:p>
    <w:p w14:paraId="6ABCA0A4" w14:textId="77777777" w:rsidR="00AF2004" w:rsidRPr="001272A0" w:rsidRDefault="00AF2004" w:rsidP="00AF2004">
      <w:pPr>
        <w:spacing w:line="276" w:lineRule="auto"/>
        <w:ind w:firstLine="708"/>
        <w:contextualSpacing/>
        <w:jc w:val="both"/>
        <w:rPr>
          <w:rFonts w:ascii="Verdana" w:hAnsi="Verdana" w:cs="Arial"/>
          <w:bCs/>
        </w:rPr>
      </w:pPr>
      <w:r w:rsidRPr="00CA3378">
        <w:rPr>
          <w:rFonts w:ascii="Verdana" w:eastAsia="Calibri" w:hAnsi="Verdana" w:cs="Arial"/>
          <w:lang w:val="es-ES" w:eastAsia="es-ES"/>
        </w:rPr>
        <w:t xml:space="preserve">En particular, tratándose del deber de publicación de las entidades estatales exceptuadas del Estatuto General de Contratación de la Administración Pública, resultan particularmente relevante lo dispuesto en el artículo 53 de la Ley 2195 de 2022, </w:t>
      </w:r>
      <w:r w:rsidRPr="001272A0">
        <w:rPr>
          <w:rFonts w:ascii="Verdana" w:hAnsi="Verdana" w:cs="Arial"/>
          <w:bCs/>
        </w:rPr>
        <w:t xml:space="preserve">mediante el cual se adiciona el artículo 13 de la Ley 1150 de </w:t>
      </w:r>
      <w:r w:rsidRPr="001272A0">
        <w:rPr>
          <w:rFonts w:ascii="Verdana" w:hAnsi="Verdana" w:cs="Arial"/>
          <w:bCs/>
        </w:rPr>
        <w:lastRenderedPageBreak/>
        <w:t>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Al respecto, la norma citada, de manera expresa, señala:</w:t>
      </w:r>
    </w:p>
    <w:p w14:paraId="616BA0D2" w14:textId="77777777" w:rsidR="00AF2004" w:rsidRPr="001272A0" w:rsidRDefault="00AF2004" w:rsidP="00AF2004">
      <w:pPr>
        <w:ind w:firstLine="301"/>
        <w:contextualSpacing/>
        <w:rPr>
          <w:rFonts w:ascii="Verdana" w:hAnsi="Verdana" w:cs="Arial"/>
          <w:bCs/>
        </w:rPr>
      </w:pPr>
    </w:p>
    <w:p w14:paraId="7905920B" w14:textId="77777777" w:rsidR="00AF2004" w:rsidRPr="001272A0" w:rsidRDefault="00AF2004" w:rsidP="00AF2004">
      <w:pPr>
        <w:ind w:left="709" w:right="709"/>
        <w:contextualSpacing/>
        <w:jc w:val="both"/>
        <w:rPr>
          <w:rFonts w:ascii="Verdana" w:hAnsi="Verdana" w:cs="Arial"/>
          <w:bCs/>
          <w:sz w:val="20"/>
          <w:szCs w:val="20"/>
        </w:rPr>
      </w:pPr>
      <w:r w:rsidRPr="001272A0">
        <w:rPr>
          <w:rFonts w:ascii="Verdana" w:hAnsi="Verdana" w:cs="Arial"/>
          <w:bCs/>
          <w:sz w:val="20"/>
          <w:szCs w:val="20"/>
        </w:rPr>
        <w:t>“Adiciónese los siguientes incisos al artículo 13 de la Ley 1150 de 2007, el cual quedará así:</w:t>
      </w:r>
    </w:p>
    <w:p w14:paraId="65C0B691" w14:textId="77777777" w:rsidR="00AF2004" w:rsidRPr="001272A0" w:rsidRDefault="00AF2004" w:rsidP="00AF2004">
      <w:pPr>
        <w:ind w:left="709" w:right="709"/>
        <w:contextualSpacing/>
        <w:jc w:val="both"/>
        <w:rPr>
          <w:rFonts w:ascii="Verdana" w:hAnsi="Verdana" w:cs="Arial"/>
          <w:bCs/>
          <w:sz w:val="20"/>
          <w:szCs w:val="20"/>
        </w:rPr>
      </w:pPr>
    </w:p>
    <w:p w14:paraId="2D28BB35" w14:textId="77777777" w:rsidR="00AF2004" w:rsidRPr="001272A0" w:rsidRDefault="00AF2004" w:rsidP="00AF2004">
      <w:pPr>
        <w:ind w:left="709" w:right="709"/>
        <w:contextualSpacing/>
        <w:jc w:val="both"/>
        <w:rPr>
          <w:rFonts w:ascii="Verdana" w:hAnsi="Verdana" w:cs="Arial"/>
          <w:bCs/>
          <w:sz w:val="20"/>
          <w:szCs w:val="20"/>
        </w:rPr>
      </w:pPr>
      <w:r w:rsidRPr="001272A0">
        <w:rPr>
          <w:rFonts w:ascii="Verdana" w:hAnsi="Verdana" w:cs="Arial"/>
          <w:bCs/>
          <w:sz w:val="20"/>
          <w:szCs w:val="20"/>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EA2B4A0" w14:textId="77777777" w:rsidR="00AF2004" w:rsidRPr="001272A0" w:rsidRDefault="00AF2004" w:rsidP="00AF2004">
      <w:pPr>
        <w:ind w:left="709" w:right="709"/>
        <w:contextualSpacing/>
        <w:jc w:val="both"/>
        <w:rPr>
          <w:rFonts w:ascii="Verdana" w:hAnsi="Verdana" w:cs="Arial"/>
          <w:bCs/>
          <w:sz w:val="20"/>
          <w:szCs w:val="20"/>
        </w:rPr>
      </w:pPr>
    </w:p>
    <w:p w14:paraId="12F825D6" w14:textId="77777777" w:rsidR="00AF2004" w:rsidRPr="001272A0" w:rsidRDefault="00AF2004" w:rsidP="00AF2004">
      <w:pPr>
        <w:ind w:left="709" w:right="709"/>
        <w:contextualSpacing/>
        <w:jc w:val="both"/>
        <w:rPr>
          <w:rFonts w:ascii="Verdana" w:hAnsi="Verdana" w:cs="Arial"/>
          <w:bCs/>
          <w:sz w:val="20"/>
          <w:szCs w:val="20"/>
        </w:rPr>
      </w:pPr>
      <w:r w:rsidRPr="001272A0">
        <w:rPr>
          <w:rFonts w:ascii="Verdana" w:hAnsi="Verdana" w:cs="Arial"/>
          <w:bCs/>
          <w:sz w:val="20"/>
          <w:szCs w:val="20"/>
        </w:rPr>
        <w:t xml:space="preserve">En desarrollo de los anteriores principios, deberán publicar los documentos relacionados con su </w:t>
      </w:r>
      <w:r w:rsidRPr="001272A0">
        <w:rPr>
          <w:rFonts w:ascii="Verdana" w:hAnsi="Verdana" w:cs="Arial"/>
          <w:bCs/>
          <w:i/>
          <w:iCs/>
          <w:sz w:val="20"/>
          <w:szCs w:val="20"/>
        </w:rPr>
        <w:t>actividad contractual</w:t>
      </w:r>
      <w:r w:rsidRPr="001272A0">
        <w:rPr>
          <w:rFonts w:ascii="Verdana" w:hAnsi="Verdana" w:cs="Arial"/>
          <w:bCs/>
          <w:sz w:val="20"/>
          <w:szCs w:val="20"/>
        </w:rPr>
        <w:t xml:space="preserve"> en el Sistema Electrónico para la Contratación Pública –SECOP II– o la plataforma transaccional que haga sus veces. Para los efectos de este artículo,</w:t>
      </w:r>
      <w:r w:rsidRPr="001272A0">
        <w:rPr>
          <w:rFonts w:ascii="Verdana" w:hAnsi="Verdana" w:cs="Arial"/>
          <w:bCs/>
          <w:i/>
          <w:iCs/>
          <w:sz w:val="20"/>
          <w:szCs w:val="20"/>
        </w:rPr>
        <w:t xml:space="preserve"> se entiende por actividad contractual los documentos, contratos, actos e información generada por oferentes, contratista, contratante, supervisor o interventor, tanto en la etapa precontractual, como en la contractual y la </w:t>
      </w:r>
      <w:proofErr w:type="spellStart"/>
      <w:r w:rsidRPr="001272A0">
        <w:rPr>
          <w:rFonts w:ascii="Verdana" w:hAnsi="Verdana" w:cs="Arial"/>
          <w:bCs/>
          <w:i/>
          <w:iCs/>
          <w:sz w:val="20"/>
          <w:szCs w:val="20"/>
        </w:rPr>
        <w:t>postcontractual</w:t>
      </w:r>
      <w:proofErr w:type="spellEnd"/>
      <w:r w:rsidRPr="001272A0">
        <w:rPr>
          <w:rFonts w:ascii="Verdana" w:hAnsi="Verdana" w:cs="Arial"/>
          <w:bCs/>
          <w:i/>
          <w:iCs/>
          <w:sz w:val="20"/>
          <w:szCs w:val="20"/>
        </w:rPr>
        <w:t>.</w:t>
      </w:r>
    </w:p>
    <w:p w14:paraId="54D02FB3" w14:textId="77777777" w:rsidR="00AF2004" w:rsidRPr="001272A0" w:rsidRDefault="00AF2004" w:rsidP="00AF2004">
      <w:pPr>
        <w:ind w:left="709" w:right="709"/>
        <w:contextualSpacing/>
        <w:jc w:val="both"/>
        <w:rPr>
          <w:rFonts w:ascii="Verdana" w:hAnsi="Verdana" w:cs="Arial"/>
          <w:bCs/>
          <w:sz w:val="20"/>
          <w:szCs w:val="20"/>
        </w:rPr>
      </w:pPr>
    </w:p>
    <w:p w14:paraId="51C2BF44" w14:textId="77777777" w:rsidR="00AF2004" w:rsidRPr="001272A0" w:rsidRDefault="00AF2004" w:rsidP="00AF2004">
      <w:pPr>
        <w:ind w:left="709" w:right="709"/>
        <w:contextualSpacing/>
        <w:jc w:val="both"/>
        <w:rPr>
          <w:rFonts w:ascii="Verdana" w:hAnsi="Verdana" w:cs="Arial"/>
          <w:bCs/>
          <w:sz w:val="20"/>
          <w:szCs w:val="20"/>
        </w:rPr>
      </w:pPr>
      <w:r w:rsidRPr="001272A0">
        <w:rPr>
          <w:rFonts w:ascii="Verdana" w:hAnsi="Verdana" w:cs="Arial"/>
          <w:bCs/>
          <w:sz w:val="20"/>
          <w:szCs w:val="20"/>
        </w:rPr>
        <w:t xml:space="preserve">A partir de la </w:t>
      </w:r>
      <w:proofErr w:type="gramStart"/>
      <w:r w:rsidRPr="001272A0">
        <w:rPr>
          <w:rFonts w:ascii="Verdana" w:hAnsi="Verdana" w:cs="Arial"/>
          <w:bCs/>
          <w:sz w:val="20"/>
          <w:szCs w:val="20"/>
        </w:rPr>
        <w:t>entrada en vigencia</w:t>
      </w:r>
      <w:proofErr w:type="gramEnd"/>
      <w:r w:rsidRPr="001272A0">
        <w:rPr>
          <w:rFonts w:ascii="Verdana" w:hAnsi="Verdana" w:cs="Arial"/>
          <w:bCs/>
          <w:sz w:val="20"/>
          <w:szCs w:val="20"/>
        </w:rPr>
        <w:t xml:space="preserve"> de la presente Ley, se establecerá un periodo de transición de seis (6) meses, para que las entidades den cumplimiento efectivo a lo aquí establecido”. [Cursiva fuera de texto].</w:t>
      </w:r>
    </w:p>
    <w:p w14:paraId="37307A5B" w14:textId="77777777" w:rsidR="00AF2004" w:rsidRPr="001272A0" w:rsidRDefault="00AF2004" w:rsidP="00AF2004">
      <w:pPr>
        <w:ind w:firstLine="709"/>
        <w:contextualSpacing/>
        <w:jc w:val="both"/>
        <w:rPr>
          <w:rFonts w:ascii="Verdana" w:hAnsi="Verdana" w:cs="Arial"/>
          <w:bCs/>
        </w:rPr>
      </w:pPr>
    </w:p>
    <w:p w14:paraId="59D2C90D" w14:textId="77777777" w:rsidR="00AF2004" w:rsidRPr="001272A0" w:rsidRDefault="00AF2004" w:rsidP="00AF2004">
      <w:pPr>
        <w:spacing w:after="120" w:line="276" w:lineRule="auto"/>
        <w:ind w:firstLine="709"/>
        <w:jc w:val="both"/>
        <w:rPr>
          <w:rFonts w:ascii="Verdana" w:hAnsi="Verdana" w:cs="Arial"/>
          <w:bCs/>
        </w:rPr>
      </w:pPr>
      <w:r w:rsidRPr="001272A0">
        <w:rPr>
          <w:rFonts w:ascii="Verdana" w:hAnsi="Verdana" w:cs="Arial"/>
          <w:bCs/>
        </w:rPr>
        <w:t xml:space="preserve">Cabe destacar que cuando la norma trascrita hace referencia a que el mencionado deber de publicidad debe cumplirse en el SECOP II </w:t>
      </w:r>
      <w:r w:rsidRPr="001272A0">
        <w:rPr>
          <w:rFonts w:ascii="Verdana" w:hAnsi="Verdana" w:cs="Arial"/>
          <w:bCs/>
          <w:i/>
          <w:iCs/>
        </w:rPr>
        <w:t>“o la plataforma transaccional que haga sus veces”</w:t>
      </w:r>
      <w:r w:rsidRPr="001272A0">
        <w:rPr>
          <w:rFonts w:ascii="Verdana" w:hAnsi="Verdana" w:cs="Arial"/>
          <w:bCs/>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w:t>
      </w:r>
      <w:r w:rsidRPr="001272A0">
        <w:rPr>
          <w:rFonts w:ascii="Verdana" w:hAnsi="Verdana" w:cs="Arial"/>
          <w:bCs/>
        </w:rPr>
        <w:lastRenderedPageBreak/>
        <w:t>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0677E951" w14:textId="77777777" w:rsidR="00AF2004" w:rsidRDefault="00AF2004" w:rsidP="00AF2004">
      <w:pPr>
        <w:spacing w:before="120" w:after="120" w:line="276" w:lineRule="auto"/>
        <w:ind w:firstLine="709"/>
        <w:jc w:val="both"/>
        <w:rPr>
          <w:rFonts w:ascii="Verdana" w:hAnsi="Verdana" w:cs="Arial"/>
          <w:bCs/>
        </w:rPr>
      </w:pPr>
      <w:bookmarkStart w:id="7" w:name="_Hlk109111956"/>
      <w:r w:rsidRPr="001272A0">
        <w:rPr>
          <w:rFonts w:ascii="Verdana" w:hAnsi="Verdana" w:cs="Arial"/>
          <w:bCs/>
        </w:rPr>
        <w:t xml:space="preserve">En cuanto </w:t>
      </w:r>
      <w:r>
        <w:rPr>
          <w:rFonts w:ascii="Verdana" w:hAnsi="Verdana" w:cs="Arial"/>
          <w:bCs/>
        </w:rPr>
        <w:t xml:space="preserve">alcance del deber de publicación regulado por la norma transcrita, es importante tener en cuenta que esta lo circunscribe a la </w:t>
      </w:r>
      <w:r w:rsidRPr="001272A0">
        <w:rPr>
          <w:rFonts w:ascii="Verdana" w:hAnsi="Verdana" w:cs="Arial"/>
          <w:bCs/>
          <w:i/>
          <w:iCs/>
        </w:rPr>
        <w:t>“actividad contractual”</w:t>
      </w:r>
      <w:r>
        <w:rPr>
          <w:rFonts w:ascii="Verdana" w:hAnsi="Verdana" w:cs="Arial"/>
          <w:bCs/>
        </w:rPr>
        <w:t xml:space="preserve">, expresión que el propio artículo acota en función de su aplicación. De acuerdo con esta acotación, el deber de publicación que le asiste a entidades estatales exceptuadas recae sobre </w:t>
      </w:r>
      <w:r w:rsidRPr="001272A0">
        <w:rPr>
          <w:rFonts w:ascii="Verdana" w:hAnsi="Verdana" w:cs="Arial"/>
          <w:bCs/>
          <w:i/>
          <w:iCs/>
        </w:rPr>
        <w:t xml:space="preserve">“[…] los documentos, contratos, actos e información generada por oferentes, contratista, contratante, supervisor o interventor, tanto en la etapa precontractual, como en la contractual y la </w:t>
      </w:r>
      <w:proofErr w:type="spellStart"/>
      <w:r w:rsidRPr="001272A0">
        <w:rPr>
          <w:rFonts w:ascii="Verdana" w:hAnsi="Verdana" w:cs="Arial"/>
          <w:bCs/>
          <w:i/>
          <w:iCs/>
        </w:rPr>
        <w:t>postcontractual</w:t>
      </w:r>
      <w:proofErr w:type="spellEnd"/>
      <w:r w:rsidRPr="001272A0">
        <w:rPr>
          <w:rFonts w:ascii="Verdana" w:hAnsi="Verdana" w:cs="Arial"/>
          <w:bCs/>
          <w:i/>
          <w:iCs/>
        </w:rPr>
        <w:t>”</w:t>
      </w:r>
      <w:r w:rsidRPr="001272A0">
        <w:rPr>
          <w:rFonts w:ascii="Verdana" w:hAnsi="Verdana" w:cs="Arial"/>
          <w:bCs/>
        </w:rPr>
        <w:t>. En ese sentido, el artículo 53 de la Ley 2195 de 2022 establece el deber de publicar toda aquella información relacionada con</w:t>
      </w:r>
      <w:r>
        <w:rPr>
          <w:rFonts w:ascii="Verdana" w:hAnsi="Verdana" w:cs="Arial"/>
          <w:bCs/>
        </w:rPr>
        <w:t xml:space="preserve"> las diferentes fases de a través de las que se desarrollan los </w:t>
      </w:r>
      <w:r w:rsidRPr="001272A0">
        <w:rPr>
          <w:rFonts w:ascii="Verdana" w:hAnsi="Verdana" w:cs="Arial"/>
          <w:bCs/>
        </w:rPr>
        <w:t>contrato</w:t>
      </w:r>
      <w:r>
        <w:rPr>
          <w:rFonts w:ascii="Verdana" w:hAnsi="Verdana" w:cs="Arial"/>
          <w:bCs/>
        </w:rPr>
        <w:t xml:space="preserve">s que celebran para el desarrollo de su objeto social.  </w:t>
      </w:r>
    </w:p>
    <w:p w14:paraId="413E89FD" w14:textId="77777777" w:rsidR="00AF2004" w:rsidRPr="001272A0" w:rsidRDefault="00AF2004" w:rsidP="00AF2004">
      <w:pPr>
        <w:spacing w:before="120" w:after="120" w:line="276" w:lineRule="auto"/>
        <w:ind w:firstLine="709"/>
        <w:jc w:val="both"/>
        <w:rPr>
          <w:rFonts w:ascii="Verdana" w:hAnsi="Verdana" w:cs="Arial"/>
          <w:bCs/>
        </w:rPr>
      </w:pPr>
      <w:r w:rsidRPr="006D583B">
        <w:rPr>
          <w:rFonts w:ascii="Verdana" w:hAnsi="Verdana" w:cs="Arial"/>
          <w:bCs/>
        </w:rPr>
        <w:t>Conforme a lo anterior,</w:t>
      </w:r>
      <w:r w:rsidRPr="001272A0">
        <w:rPr>
          <w:rFonts w:ascii="Verdana" w:hAnsi="Verdana" w:cs="Arial"/>
          <w:bCs/>
        </w:rPr>
        <w:t xml:space="preserve">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Sin perjuicio de lo anterior, vale la pena aclarar que el cumplimiento del deber de publicación de la documentación contractual debe armonizarse con las normas aplicables al tipo de información que estas contienen</w:t>
      </w:r>
      <w:r w:rsidRPr="001272A0">
        <w:rPr>
          <w:rFonts w:ascii="Verdana" w:hAnsi="Verdana" w:cs="Arial"/>
          <w:bCs/>
          <w:vertAlign w:val="superscript"/>
        </w:rPr>
        <w:footnoteReference w:id="11"/>
      </w:r>
      <w:r w:rsidRPr="001272A0">
        <w:rPr>
          <w:rFonts w:ascii="Verdana" w:hAnsi="Verdana" w:cs="Arial"/>
          <w:bCs/>
        </w:rPr>
        <w:t xml:space="preserve">. Lo anterior significa que, respecto de datos sensibles, información sometida a reserva o de la cual proceda un tratamiento especial que impida su publicidad, las entidades </w:t>
      </w:r>
      <w:r w:rsidRPr="001272A0">
        <w:rPr>
          <w:rFonts w:ascii="Verdana" w:hAnsi="Verdana" w:cs="Arial"/>
          <w:bCs/>
        </w:rPr>
        <w:lastRenderedPageBreak/>
        <w:t xml:space="preserve">deberán proceder de conformidad con el tratamiento que impongan tales normas. </w:t>
      </w:r>
    </w:p>
    <w:p w14:paraId="17408648" w14:textId="77777777" w:rsidR="00AF2004" w:rsidRDefault="00AF2004" w:rsidP="00AF2004">
      <w:pPr>
        <w:spacing w:line="276" w:lineRule="auto"/>
        <w:ind w:firstLine="709"/>
        <w:jc w:val="both"/>
        <w:rPr>
          <w:rFonts w:ascii="Verdana" w:eastAsia="Calibri" w:hAnsi="Verdana" w:cs="Arial"/>
          <w:color w:val="000000" w:themeColor="text1"/>
          <w:szCs w:val="24"/>
          <w:lang w:val="es-ES_tradnl" w:eastAsia="es-ES_tradnl"/>
        </w:rPr>
      </w:pPr>
      <w:r>
        <w:rPr>
          <w:rFonts w:ascii="Verdana" w:eastAsia="Calibri" w:hAnsi="Verdana" w:cs="Arial"/>
          <w:color w:val="000000" w:themeColor="text1"/>
          <w:szCs w:val="24"/>
          <w:lang w:val="es-ES_tradnl" w:eastAsia="es-ES_tradnl"/>
        </w:rPr>
        <w:t xml:space="preserve">Ahora bien, para responder al tema objeto de consulta es importante mencionar que, el hecho de que las Empresas de Servicios Públicos deban ser constituidas como </w:t>
      </w:r>
      <w:r w:rsidRPr="00D841C3">
        <w:rPr>
          <w:rFonts w:ascii="Verdana" w:eastAsia="Calibri" w:hAnsi="Verdana" w:cs="Arial"/>
          <w:i/>
          <w:iCs/>
          <w:color w:val="000000" w:themeColor="text1"/>
          <w:szCs w:val="24"/>
          <w:lang w:val="es-ES_tradnl" w:eastAsia="es-ES_tradnl"/>
        </w:rPr>
        <w:t>sociedades por acciones</w:t>
      </w:r>
      <w:r>
        <w:rPr>
          <w:rFonts w:ascii="Verdana" w:eastAsia="Calibri" w:hAnsi="Verdana" w:cs="Arial"/>
          <w:color w:val="000000" w:themeColor="text1"/>
          <w:szCs w:val="24"/>
          <w:lang w:val="es-ES_tradnl" w:eastAsia="es-ES_tradnl"/>
        </w:rPr>
        <w:t xml:space="preserve"> implica que su naturaleza jurídica se encuentra permeada por una particular mixtura de aplicación de derecho público y privado. Esto se encuentra particularmente en regulado en el Capítulo I del Título I de la Ley 142 de 1994–artículos 17 a 26–. De este capítulo se destaca el artículo 19, el cual, al referirse al régimen jurídico de las Empresas de Servicios Públicos Domiciliarios determina una serie de reglas especiales aplicables a la constitución, gestión, composición y disolución de este tipo de entidades. Sin perjuicio de las demás reglas especiales desarrolladas por dicho artículo, el artículo 19.15 establece que, en lo no regulado por dicha norma, </w:t>
      </w:r>
      <w:r w:rsidRPr="00D841C3">
        <w:rPr>
          <w:rFonts w:ascii="Verdana" w:eastAsia="Calibri" w:hAnsi="Verdana" w:cs="Arial"/>
          <w:i/>
          <w:iCs/>
          <w:color w:val="000000" w:themeColor="text1"/>
          <w:szCs w:val="24"/>
          <w:lang w:val="es-ES_tradnl" w:eastAsia="es-ES_tradnl"/>
        </w:rPr>
        <w:t xml:space="preserve">“las Empresas de Servicios Públicos </w:t>
      </w:r>
      <w:r w:rsidRPr="00D841C3">
        <w:rPr>
          <w:rFonts w:ascii="Verdana" w:eastAsia="Calibri" w:hAnsi="Verdana" w:cs="Arial"/>
          <w:i/>
          <w:iCs/>
          <w:color w:val="000000" w:themeColor="text1"/>
          <w:szCs w:val="24"/>
          <w:lang w:eastAsia="es-ES_tradnl"/>
        </w:rPr>
        <w:t>se regirán por las reglas del Código de Comercio sobre sociedades anónimas”.</w:t>
      </w:r>
      <w:r w:rsidRPr="00B97567">
        <w:rPr>
          <w:rFonts w:ascii="Verdana" w:eastAsia="Calibri" w:hAnsi="Verdana" w:cs="Arial"/>
          <w:color w:val="000000" w:themeColor="text1"/>
          <w:szCs w:val="24"/>
          <w:lang w:eastAsia="es-ES_tradnl"/>
        </w:rPr>
        <w:t> </w:t>
      </w:r>
      <w:r>
        <w:rPr>
          <w:rFonts w:ascii="Verdana" w:eastAsia="Calibri" w:hAnsi="Verdana" w:cs="Arial"/>
          <w:color w:val="000000" w:themeColor="text1"/>
          <w:szCs w:val="24"/>
          <w:lang w:val="es-ES_tradnl" w:eastAsia="es-ES_tradnl"/>
        </w:rPr>
        <w:t xml:space="preserve"> </w:t>
      </w:r>
    </w:p>
    <w:p w14:paraId="216C23B1" w14:textId="77777777" w:rsidR="00AF2004" w:rsidRDefault="00AF2004" w:rsidP="00AF2004">
      <w:pPr>
        <w:spacing w:line="276" w:lineRule="auto"/>
        <w:ind w:firstLine="709"/>
        <w:jc w:val="both"/>
        <w:rPr>
          <w:rFonts w:ascii="Verdana" w:eastAsia="Calibri" w:hAnsi="Verdana" w:cs="Arial"/>
          <w:color w:val="000000" w:themeColor="text1"/>
          <w:szCs w:val="24"/>
          <w:lang w:val="es-ES_tradnl" w:eastAsia="es-ES_tradnl"/>
        </w:rPr>
      </w:pPr>
      <w:r>
        <w:rPr>
          <w:rFonts w:ascii="Verdana" w:eastAsia="Calibri" w:hAnsi="Verdana" w:cs="Arial"/>
          <w:color w:val="000000" w:themeColor="text1"/>
          <w:szCs w:val="24"/>
          <w:lang w:val="es-ES_tradnl" w:eastAsia="es-ES_tradnl"/>
        </w:rPr>
        <w:t xml:space="preserve">De eso se deriva que, las Empresas de Servicios Públicos pueden crearse como resultado de la celebración de un </w:t>
      </w:r>
      <w:r w:rsidRPr="00D841C3">
        <w:rPr>
          <w:rFonts w:ascii="Verdana" w:eastAsia="Calibri" w:hAnsi="Verdana" w:cs="Arial"/>
          <w:i/>
          <w:iCs/>
          <w:color w:val="000000" w:themeColor="text1"/>
          <w:szCs w:val="24"/>
          <w:lang w:val="es-ES_tradnl" w:eastAsia="es-ES_tradnl"/>
        </w:rPr>
        <w:t>contrato de sociedad</w:t>
      </w:r>
      <w:r>
        <w:rPr>
          <w:rFonts w:ascii="Verdana" w:eastAsia="Calibri" w:hAnsi="Verdana" w:cs="Arial"/>
          <w:color w:val="000000" w:themeColor="text1"/>
          <w:szCs w:val="24"/>
          <w:lang w:val="es-ES_tradnl" w:eastAsia="es-ES_tradnl"/>
        </w:rPr>
        <w:t xml:space="preserve">, el cual supone un negocio jurídico en virtud del cual </w:t>
      </w:r>
      <w:r w:rsidRPr="00807B83">
        <w:rPr>
          <w:rFonts w:ascii="Verdana" w:eastAsia="Calibri" w:hAnsi="Verdana" w:cs="Arial"/>
          <w:color w:val="000000" w:themeColor="text1"/>
          <w:lang w:eastAsia="es-ES_tradnl"/>
        </w:rPr>
        <w:t> </w:t>
      </w:r>
      <w:r w:rsidRPr="00D841C3">
        <w:rPr>
          <w:rFonts w:ascii="Verdana" w:eastAsia="Calibri" w:hAnsi="Verdana" w:cs="Arial"/>
          <w:i/>
          <w:iCs/>
          <w:color w:val="000000" w:themeColor="text1"/>
          <w:lang w:eastAsia="es-ES_tradnl"/>
        </w:rPr>
        <w:t>“[…] dos o más personas se obligan a hacer un aporte en dinero, en trabajo o en otros bienes apreciables en dinero, con el fin de repartirse entre sí las utilidades obtenidas en la empresa o actividad social […] [dando lugar a]</w:t>
      </w:r>
      <w:r w:rsidRPr="00D841C3">
        <w:rPr>
          <w:rFonts w:ascii="Verdana" w:eastAsia="Calibri" w:hAnsi="Verdana" w:cs="Arial"/>
          <w:i/>
          <w:iCs/>
          <w:color w:val="000000" w:themeColor="text1"/>
          <w:szCs w:val="24"/>
          <w:lang w:eastAsia="es-ES_tradnl"/>
        </w:rPr>
        <w:t xml:space="preserve"> una persona jurídica distinta de los socios individualmente considerados”</w:t>
      </w:r>
      <w:r>
        <w:rPr>
          <w:rFonts w:ascii="Verdana" w:eastAsia="Calibri" w:hAnsi="Verdana" w:cs="Arial"/>
          <w:color w:val="000000" w:themeColor="text1"/>
          <w:szCs w:val="24"/>
          <w:lang w:eastAsia="es-ES_tradnl"/>
        </w:rPr>
        <w:t xml:space="preserve">, según </w:t>
      </w:r>
      <w:r>
        <w:rPr>
          <w:rFonts w:ascii="Verdana" w:eastAsia="Calibri" w:hAnsi="Verdana" w:cs="Arial"/>
          <w:color w:val="000000" w:themeColor="text1"/>
          <w:szCs w:val="24"/>
          <w:lang w:val="es-ES_tradnl" w:eastAsia="es-ES_tradnl"/>
        </w:rPr>
        <w:t xml:space="preserve">establece el artículo 98 del Código de Comercio. Al respecto, vale la pena recordar que las </w:t>
      </w:r>
      <w:r w:rsidRPr="00D841C3">
        <w:rPr>
          <w:rFonts w:ascii="Verdana" w:eastAsia="Calibri" w:hAnsi="Verdana" w:cs="Arial"/>
          <w:i/>
          <w:iCs/>
          <w:color w:val="000000" w:themeColor="text1"/>
          <w:szCs w:val="24"/>
          <w:lang w:val="es-ES_tradnl" w:eastAsia="es-ES_tradnl"/>
        </w:rPr>
        <w:t>sociedades por acciones</w:t>
      </w:r>
      <w:r>
        <w:rPr>
          <w:rFonts w:ascii="Verdana" w:eastAsia="Calibri" w:hAnsi="Verdana" w:cs="Arial"/>
          <w:color w:val="000000" w:themeColor="text1"/>
          <w:szCs w:val="24"/>
          <w:lang w:val="es-ES_tradnl" w:eastAsia="es-ES_tradnl"/>
        </w:rPr>
        <w:t xml:space="preserve"> son una particular categoría del contrato de sociedad y es utilizada para referirse a tipos societarios– concebidos como sociedades de capital– como las sociedades anónimas, por acciones simplificada y en comandita por acciones, en las que las acciones constituyen el método de división de capital, que suponen “partes iguales de capital de igual valor representadas en títulos, que, bajo principio supletorio, son libremente negociables”</w:t>
      </w:r>
      <w:r>
        <w:rPr>
          <w:rStyle w:val="Refdenotaalpie"/>
          <w:rFonts w:ascii="Verdana" w:eastAsia="Calibri" w:hAnsi="Verdana" w:cs="Arial"/>
          <w:color w:val="000000" w:themeColor="text1"/>
          <w:szCs w:val="24"/>
          <w:lang w:val="es-ES_tradnl" w:eastAsia="es-ES_tradnl"/>
        </w:rPr>
        <w:footnoteReference w:id="12"/>
      </w:r>
      <w:r>
        <w:rPr>
          <w:rFonts w:ascii="Verdana" w:eastAsia="Calibri" w:hAnsi="Verdana" w:cs="Arial"/>
          <w:color w:val="000000" w:themeColor="text1"/>
          <w:szCs w:val="24"/>
          <w:lang w:val="es-ES_tradnl" w:eastAsia="es-ES_tradnl"/>
        </w:rPr>
        <w:t xml:space="preserve">. El artículo 375 del Código de Comercio determina que </w:t>
      </w:r>
      <w:r w:rsidRPr="00D841C3">
        <w:rPr>
          <w:rFonts w:ascii="Verdana" w:eastAsia="Calibri" w:hAnsi="Verdana" w:cs="Arial"/>
          <w:i/>
          <w:iCs/>
          <w:color w:val="000000" w:themeColor="text1"/>
          <w:szCs w:val="24"/>
          <w:lang w:val="es-ES_tradnl" w:eastAsia="es-ES_tradnl"/>
        </w:rPr>
        <w:t>“El capital</w:t>
      </w:r>
      <w:r w:rsidRPr="00D841C3">
        <w:rPr>
          <w:rFonts w:ascii="Verdana" w:eastAsia="Calibri" w:hAnsi="Verdana" w:cs="Arial"/>
          <w:i/>
          <w:iCs/>
          <w:color w:val="000000" w:themeColor="text1"/>
          <w:szCs w:val="24"/>
          <w:lang w:eastAsia="es-ES_tradnl"/>
        </w:rPr>
        <w:t xml:space="preserve"> de la sociedad anónima se dividirá en acciones de igual valor que se representarán en títulos negociables”</w:t>
      </w:r>
      <w:r>
        <w:rPr>
          <w:rFonts w:ascii="Verdana" w:eastAsia="Calibri" w:hAnsi="Verdana" w:cs="Arial"/>
          <w:color w:val="000000" w:themeColor="text1"/>
          <w:szCs w:val="24"/>
          <w:lang w:val="es-ES_tradnl" w:eastAsia="es-ES_tradnl"/>
        </w:rPr>
        <w:t xml:space="preserve">. Lo anterior, supone </w:t>
      </w:r>
      <w:r w:rsidRPr="00D841C3">
        <w:rPr>
          <w:rFonts w:ascii="Verdana" w:eastAsia="Calibri" w:hAnsi="Verdana" w:cs="Arial"/>
          <w:i/>
          <w:iCs/>
          <w:color w:val="000000" w:themeColor="text1"/>
          <w:szCs w:val="24"/>
          <w:lang w:val="es-ES_tradnl" w:eastAsia="es-ES_tradnl"/>
        </w:rPr>
        <w:t>“la fungibilidad económica y jurídica del accionista, pues permite la sucesiva y constante sustitución de los titulares del capital”</w:t>
      </w:r>
      <w:r>
        <w:rPr>
          <w:rStyle w:val="Refdenotaalpie"/>
          <w:rFonts w:ascii="Verdana" w:eastAsia="Calibri" w:hAnsi="Verdana" w:cs="Arial"/>
          <w:i/>
          <w:iCs/>
          <w:color w:val="000000" w:themeColor="text1"/>
          <w:szCs w:val="24"/>
          <w:lang w:val="es-ES_tradnl" w:eastAsia="es-ES_tradnl"/>
        </w:rPr>
        <w:footnoteReference w:id="13"/>
      </w:r>
      <w:r>
        <w:rPr>
          <w:rFonts w:ascii="Verdana" w:eastAsia="Calibri" w:hAnsi="Verdana" w:cs="Arial"/>
          <w:color w:val="000000" w:themeColor="text1"/>
          <w:szCs w:val="24"/>
          <w:lang w:val="es-ES_tradnl" w:eastAsia="es-ES_tradnl"/>
        </w:rPr>
        <w:t xml:space="preserve">.  </w:t>
      </w:r>
    </w:p>
    <w:p w14:paraId="4CA2053B" w14:textId="77777777" w:rsidR="00AF2004" w:rsidRDefault="00AF2004" w:rsidP="00AF2004">
      <w:pPr>
        <w:spacing w:line="276" w:lineRule="auto"/>
        <w:ind w:firstLine="709"/>
        <w:jc w:val="both"/>
        <w:rPr>
          <w:rFonts w:ascii="Verdana" w:eastAsia="Calibri" w:hAnsi="Verdana" w:cs="Arial"/>
          <w:color w:val="000000" w:themeColor="text1"/>
          <w:szCs w:val="24"/>
          <w:lang w:val="es-ES_tradnl" w:eastAsia="es-ES_tradnl"/>
        </w:rPr>
      </w:pPr>
      <w:r>
        <w:rPr>
          <w:rFonts w:ascii="Verdana" w:eastAsia="Calibri" w:hAnsi="Verdana" w:cs="Arial"/>
          <w:color w:val="000000" w:themeColor="text1"/>
          <w:szCs w:val="24"/>
          <w:lang w:val="es-ES_tradnl" w:eastAsia="es-ES_tradnl"/>
        </w:rPr>
        <w:lastRenderedPageBreak/>
        <w:t xml:space="preserve">Esta fungibilidad de las acciones se viene a materializar a través de negocios jurídicos como la </w:t>
      </w:r>
      <w:r w:rsidRPr="00D841C3">
        <w:rPr>
          <w:rFonts w:ascii="Verdana" w:eastAsia="Calibri" w:hAnsi="Verdana" w:cs="Arial"/>
          <w:i/>
          <w:iCs/>
          <w:color w:val="000000" w:themeColor="text1"/>
          <w:szCs w:val="24"/>
          <w:lang w:val="es-ES_tradnl" w:eastAsia="es-ES_tradnl"/>
        </w:rPr>
        <w:t>enajenación de acciones</w:t>
      </w:r>
      <w:r>
        <w:rPr>
          <w:rFonts w:ascii="Verdana" w:eastAsia="Calibri" w:hAnsi="Verdana" w:cs="Arial"/>
          <w:color w:val="000000" w:themeColor="text1"/>
          <w:szCs w:val="24"/>
          <w:lang w:val="es-ES_tradnl" w:eastAsia="es-ES_tradnl"/>
        </w:rPr>
        <w:t xml:space="preserve"> y la </w:t>
      </w:r>
      <w:r w:rsidRPr="00D841C3">
        <w:rPr>
          <w:rFonts w:ascii="Verdana" w:eastAsia="Calibri" w:hAnsi="Verdana" w:cs="Arial"/>
          <w:i/>
          <w:iCs/>
          <w:color w:val="000000" w:themeColor="text1"/>
          <w:szCs w:val="24"/>
          <w:lang w:val="es-ES_tradnl" w:eastAsia="es-ES_tradnl"/>
        </w:rPr>
        <w:t>suscripción de acciones</w:t>
      </w:r>
      <w:r>
        <w:rPr>
          <w:rFonts w:ascii="Verdana" w:eastAsia="Calibri" w:hAnsi="Verdana" w:cs="Arial"/>
          <w:color w:val="000000" w:themeColor="text1"/>
          <w:szCs w:val="24"/>
          <w:lang w:val="es-ES_tradnl" w:eastAsia="es-ES_tradnl"/>
        </w:rPr>
        <w:t xml:space="preserve"> a los que se refiere los artículos 384 y 406 del Código de Comercio. El artículo 384 determina que la</w:t>
      </w:r>
      <w:r>
        <w:rPr>
          <w:rFonts w:ascii="Verdana" w:eastAsia="Calibri" w:hAnsi="Verdana" w:cs="Arial"/>
          <w:color w:val="000000" w:themeColor="text1"/>
          <w:szCs w:val="24"/>
          <w:lang w:eastAsia="es-ES_tradnl"/>
        </w:rPr>
        <w:t xml:space="preserve"> </w:t>
      </w:r>
      <w:r w:rsidRPr="003928D7">
        <w:rPr>
          <w:rFonts w:ascii="Verdana" w:eastAsia="Calibri" w:hAnsi="Verdana" w:cs="Arial"/>
          <w:color w:val="000000" w:themeColor="text1"/>
          <w:szCs w:val="24"/>
          <w:lang w:eastAsia="es-ES_tradnl"/>
        </w:rPr>
        <w:t xml:space="preserve">suscripción de acciones es </w:t>
      </w:r>
      <w:r w:rsidRPr="00D841C3">
        <w:rPr>
          <w:rFonts w:ascii="Verdana" w:eastAsia="Calibri" w:hAnsi="Verdana" w:cs="Arial"/>
          <w:i/>
          <w:iCs/>
          <w:color w:val="000000" w:themeColor="text1"/>
          <w:szCs w:val="24"/>
          <w:lang w:eastAsia="es-ES_tradnl"/>
        </w:rPr>
        <w:t>“un contrato por el cual una persona se obliga a pagar un aporte a la sociedad de acuerdo con el reglamento respectivo y a someterse a sus estatutos. A su vez, la compañía se obliga a reconocerle la calidad de accionista y a entregarle el título correspondiente”</w:t>
      </w:r>
      <w:r>
        <w:rPr>
          <w:rStyle w:val="Refdenotaalpie"/>
          <w:rFonts w:ascii="Verdana" w:eastAsia="Calibri" w:hAnsi="Verdana" w:cs="Arial"/>
          <w:i/>
          <w:iCs/>
          <w:color w:val="000000" w:themeColor="text1"/>
          <w:szCs w:val="24"/>
          <w:lang w:eastAsia="es-ES_tradnl"/>
        </w:rPr>
        <w:footnoteReference w:id="14"/>
      </w:r>
      <w:r w:rsidRPr="003928D7">
        <w:rPr>
          <w:rFonts w:ascii="Verdana" w:eastAsia="Calibri" w:hAnsi="Verdana" w:cs="Arial"/>
          <w:color w:val="000000" w:themeColor="text1"/>
          <w:szCs w:val="24"/>
          <w:lang w:eastAsia="es-ES_tradnl"/>
        </w:rPr>
        <w:t>.</w:t>
      </w:r>
      <w:r>
        <w:rPr>
          <w:rFonts w:ascii="Verdana" w:eastAsia="Calibri" w:hAnsi="Verdana" w:cs="Arial"/>
          <w:color w:val="000000" w:themeColor="text1"/>
          <w:szCs w:val="24"/>
          <w:lang w:val="es-ES_tradnl" w:eastAsia="es-ES_tradnl"/>
        </w:rPr>
        <w:t xml:space="preserve"> Por su parte, de conformidad con el artículo 406, los titulares de las acciones nominativas de una sociedad por acciones tienen la posibilidad de enajenarlas mediante acuerdos de voluntades, cuya oponibilidad está condicionada por la inscripción en el libro del registro de acciones</w:t>
      </w:r>
      <w:r>
        <w:rPr>
          <w:rStyle w:val="Refdenotaalpie"/>
          <w:rFonts w:ascii="Verdana" w:eastAsia="Calibri" w:hAnsi="Verdana" w:cs="Arial"/>
          <w:color w:val="000000" w:themeColor="text1"/>
          <w:szCs w:val="24"/>
          <w:lang w:val="es-ES_tradnl" w:eastAsia="es-ES_tradnl"/>
        </w:rPr>
        <w:footnoteReference w:id="15"/>
      </w:r>
      <w:r>
        <w:rPr>
          <w:rFonts w:ascii="Verdana" w:eastAsia="Calibri" w:hAnsi="Verdana" w:cs="Arial"/>
          <w:color w:val="000000" w:themeColor="text1"/>
          <w:szCs w:val="24"/>
          <w:lang w:val="es-ES_tradnl" w:eastAsia="es-ES_tradnl"/>
        </w:rPr>
        <w:t xml:space="preserve">.   Según esto, la suscripción y la enajenación de acciones son acuerdos de voluntades a través de los cuales se negocia el capital de las sociedades de capital representado en las acciones.   </w:t>
      </w:r>
    </w:p>
    <w:p w14:paraId="7EAF90A8" w14:textId="77777777" w:rsidR="00AF2004" w:rsidRDefault="00AF2004" w:rsidP="00AF2004">
      <w:pPr>
        <w:spacing w:line="276" w:lineRule="auto"/>
        <w:ind w:firstLine="709"/>
        <w:jc w:val="both"/>
        <w:rPr>
          <w:rFonts w:ascii="Verdana" w:eastAsia="Calibri" w:hAnsi="Verdana" w:cs="Arial"/>
          <w:color w:val="000000" w:themeColor="text1"/>
          <w:szCs w:val="24"/>
          <w:lang w:val="es-ES_tradnl" w:eastAsia="es-ES_tradnl"/>
        </w:rPr>
      </w:pPr>
      <w:r>
        <w:rPr>
          <w:rFonts w:ascii="Verdana" w:eastAsia="Calibri" w:hAnsi="Verdana" w:cs="Arial"/>
          <w:color w:val="000000" w:themeColor="text1"/>
          <w:szCs w:val="24"/>
          <w:lang w:val="es-ES_tradnl" w:eastAsia="es-ES_tradnl"/>
        </w:rPr>
        <w:t xml:space="preserve">La anterior conclusión resulta particularmente relevante para el tema objeto de consulta, en la medida en que, a juicio de esta Subdirección, negocios jurídicos como el contrato de sociedad, la suscripción y la enajenación de acciones no constituyen una manifestación de la </w:t>
      </w:r>
      <w:r w:rsidRPr="001272A0">
        <w:rPr>
          <w:rFonts w:ascii="Verdana" w:eastAsia="Calibri" w:hAnsi="Verdana" w:cs="Arial"/>
          <w:i/>
          <w:iCs/>
          <w:color w:val="000000" w:themeColor="text1"/>
          <w:szCs w:val="24"/>
          <w:lang w:val="es-ES_tradnl" w:eastAsia="es-ES_tradnl"/>
        </w:rPr>
        <w:t>actividad contractual</w:t>
      </w:r>
      <w:r>
        <w:rPr>
          <w:rFonts w:ascii="Verdana" w:eastAsia="Calibri" w:hAnsi="Verdana" w:cs="Arial"/>
          <w:color w:val="000000" w:themeColor="text1"/>
          <w:szCs w:val="24"/>
          <w:lang w:val="es-ES_tradnl" w:eastAsia="es-ES_tradnl"/>
        </w:rPr>
        <w:t xml:space="preserve"> a la que se refiere el artículo 53 de la Ley 2195 de 2022, ni hacen parte de la contratación que recoge el Sistema Electrónico de Contratación Pública–SECOP–. Esto en la medida en que, la actividad contractual a la que se refiere dicha norma se circunscribe a los procesos dirigidos a la satisfacción de las necesidades de bienes, obras y servicios, que se le presentan a las entidades estatales con ocasión del desarrollo de su objeto social. Dicho proceso se materializa a través de la celebración y ejecución de un contrato, lo cual supone el agotamiento de etapas precontractual, contractual y </w:t>
      </w:r>
      <w:proofErr w:type="spellStart"/>
      <w:r>
        <w:rPr>
          <w:rFonts w:ascii="Verdana" w:eastAsia="Calibri" w:hAnsi="Verdana" w:cs="Arial"/>
          <w:color w:val="000000" w:themeColor="text1"/>
          <w:szCs w:val="24"/>
          <w:lang w:val="es-ES_tradnl" w:eastAsia="es-ES_tradnl"/>
        </w:rPr>
        <w:t>postcontractual</w:t>
      </w:r>
      <w:proofErr w:type="spellEnd"/>
      <w:r>
        <w:rPr>
          <w:rFonts w:ascii="Verdana" w:eastAsia="Calibri" w:hAnsi="Verdana" w:cs="Arial"/>
          <w:color w:val="000000" w:themeColor="text1"/>
          <w:szCs w:val="24"/>
          <w:lang w:val="es-ES_tradnl" w:eastAsia="es-ES_tradnl"/>
        </w:rPr>
        <w:t xml:space="preserve">, que se desarrollan bajo seguimiento técnico, económico, jurídico y financiero que se realiza mediante la supervisión e interventoría.   </w:t>
      </w:r>
    </w:p>
    <w:p w14:paraId="304D7046" w14:textId="77777777" w:rsidR="00AF2004" w:rsidRPr="00555CDC" w:rsidRDefault="00AF2004" w:rsidP="00AF2004">
      <w:pPr>
        <w:spacing w:line="276" w:lineRule="auto"/>
        <w:ind w:firstLine="709"/>
        <w:jc w:val="both"/>
        <w:rPr>
          <w:rFonts w:ascii="Verdana" w:hAnsi="Verdana" w:cs="Arial"/>
          <w:shd w:val="clear" w:color="auto" w:fill="FFFFFF"/>
        </w:rPr>
      </w:pPr>
      <w:r>
        <w:rPr>
          <w:rFonts w:ascii="Verdana" w:eastAsia="Calibri" w:hAnsi="Verdana" w:cs="Arial"/>
          <w:color w:val="000000" w:themeColor="text1"/>
          <w:szCs w:val="24"/>
          <w:lang w:val="es-ES_tradnl" w:eastAsia="es-ES_tradnl"/>
        </w:rPr>
        <w:t xml:space="preserve">Estas etapas, a las que expresamente hace alusión la definición de </w:t>
      </w:r>
      <w:r w:rsidRPr="001272A0">
        <w:rPr>
          <w:rFonts w:ascii="Verdana" w:eastAsia="Calibri" w:hAnsi="Verdana" w:cs="Arial"/>
          <w:i/>
          <w:iCs/>
          <w:color w:val="000000" w:themeColor="text1"/>
          <w:szCs w:val="24"/>
          <w:lang w:val="es-ES_tradnl" w:eastAsia="es-ES_tradnl"/>
        </w:rPr>
        <w:t>actividad contractual</w:t>
      </w:r>
      <w:r>
        <w:rPr>
          <w:rFonts w:ascii="Verdana" w:eastAsia="Calibri" w:hAnsi="Verdana" w:cs="Arial"/>
          <w:color w:val="000000" w:themeColor="text1"/>
          <w:szCs w:val="24"/>
          <w:lang w:val="es-ES_tradnl" w:eastAsia="es-ES_tradnl"/>
        </w:rPr>
        <w:t xml:space="preserve"> establecida por el artículo 53 de la Ley 2195 de 2022, no son propias los negocios jurídicos como el contrato de sociedad, la suscripción y </w:t>
      </w:r>
      <w:r>
        <w:rPr>
          <w:rFonts w:ascii="Verdana" w:eastAsia="Calibri" w:hAnsi="Verdana" w:cs="Arial"/>
          <w:color w:val="000000" w:themeColor="text1"/>
          <w:szCs w:val="24"/>
          <w:lang w:val="es-ES_tradnl" w:eastAsia="es-ES_tradnl"/>
        </w:rPr>
        <w:lastRenderedPageBreak/>
        <w:t xml:space="preserve">la compraventa de acciones, las cuales se desarrollan conforme a lo previsto en los artículos 98, 384 y ss. del Código de Comercio, con el fin de gestionar los aportes de capital que determinadas personas destinan para el desarrollo de un objeto social, con el fin generar utilidades. Debido a esta diferenciación, es que los mencionados negocios societarios no son subsumibles dentro del </w:t>
      </w:r>
      <w:r w:rsidRPr="00B3698F">
        <w:rPr>
          <w:rFonts w:ascii="Verdana" w:eastAsia="Times New Roman" w:hAnsi="Verdana" w:cs="Arial"/>
          <w:iCs/>
          <w:lang w:val="es-ES_tradnl" w:eastAsia="es-ES_tradnl"/>
          <w14:ligatures w14:val="standardContextual"/>
        </w:rPr>
        <w:t>Código Estándar de Productos y Servicios de Naciones Unidas -UNSPC-</w:t>
      </w:r>
      <w:r>
        <w:rPr>
          <w:rFonts w:ascii="Verdana" w:eastAsia="Times New Roman" w:hAnsi="Verdana" w:cs="Arial"/>
          <w:iCs/>
          <w:lang w:val="es-ES_tradnl" w:eastAsia="es-ES_tradnl"/>
          <w14:ligatures w14:val="standardContextual"/>
        </w:rPr>
        <w:t xml:space="preserve">, que como su propio nombre lo indica está destinado a la clasificación de bienes y servicios. </w:t>
      </w:r>
    </w:p>
    <w:p w14:paraId="25D8EEFE" w14:textId="77777777" w:rsidR="00AF2004" w:rsidRDefault="00AF2004" w:rsidP="00AF2004">
      <w:pPr>
        <w:spacing w:line="276" w:lineRule="auto"/>
        <w:ind w:firstLine="709"/>
        <w:jc w:val="both"/>
        <w:rPr>
          <w:rFonts w:ascii="Verdana" w:eastAsia="Calibri" w:hAnsi="Verdana" w:cs="Arial"/>
          <w:color w:val="000000" w:themeColor="text1"/>
          <w:szCs w:val="24"/>
          <w:lang w:val="es-ES_tradnl" w:eastAsia="es-ES_tradnl"/>
        </w:rPr>
      </w:pPr>
      <w:r>
        <w:rPr>
          <w:rFonts w:ascii="Verdana" w:eastAsia="Calibri" w:hAnsi="Verdana" w:cs="Arial"/>
          <w:color w:val="000000" w:themeColor="text1"/>
          <w:szCs w:val="24"/>
          <w:lang w:val="es-ES_tradnl" w:eastAsia="es-ES_tradnl"/>
        </w:rPr>
        <w:t xml:space="preserve">Con todo, si bien es posible concluir que las Empresas de Servicios Públicos no están obligadas a publicar en el SECOP los contratos de sociedad, suscripción y compraventa de acciones, ello no significa que estos no estén llamados a garantizar el principio de publicidad respecto de este tipo de actuaciones. Para tales efectos, las entidades deben verificar el alcance de disposiciones como los artículos 19.10 y 79.9 de la Ley 142 de 1994, así como de lo dispuesto en el Código de Comercio, el Decreto 2555 de 2010 y demás normas que regulan los negocios jurídicos de enajenación de acciones de sociedades de capital y contemplan mecanismos como el Registro Nacional de Valores.    </w:t>
      </w:r>
    </w:p>
    <w:bookmarkEnd w:id="7"/>
    <w:p w14:paraId="0E555DA5" w14:textId="77777777" w:rsidR="00AF2004" w:rsidRPr="005B7C42" w:rsidRDefault="00AF2004" w:rsidP="00AF2004">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7BF62E79" w14:textId="77777777" w:rsidR="00AF2004" w:rsidRPr="005B7C42" w:rsidRDefault="00AF2004" w:rsidP="00AF200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2004" w:rsidRPr="005B7C42" w14:paraId="561580FA" w14:textId="77777777" w:rsidTr="00AA1DBD">
        <w:trPr>
          <w:trHeight w:val="870"/>
        </w:trPr>
        <w:tc>
          <w:tcPr>
            <w:tcW w:w="8647" w:type="dxa"/>
          </w:tcPr>
          <w:p w14:paraId="2E61C641" w14:textId="77777777" w:rsidR="00AF2004" w:rsidRDefault="00AF2004" w:rsidP="00AF2004">
            <w:pPr>
              <w:pStyle w:val="Prrafodelista"/>
              <w:numPr>
                <w:ilvl w:val="0"/>
                <w:numId w:val="1"/>
              </w:numPr>
              <w:jc w:val="both"/>
              <w:rPr>
                <w:rFonts w:ascii="Verdana" w:eastAsia="Calibri" w:hAnsi="Verdana" w:cs="Arial"/>
                <w:shd w:val="clear" w:color="auto" w:fill="FFFFFF"/>
              </w:rPr>
            </w:pPr>
            <w:r w:rsidRPr="0014064B">
              <w:rPr>
                <w:rFonts w:ascii="Verdana" w:eastAsia="Calibri" w:hAnsi="Verdana" w:cs="Arial"/>
                <w:shd w:val="clear" w:color="auto" w:fill="FFFFFF"/>
              </w:rPr>
              <w:t>Constitución Política de 1991</w:t>
            </w:r>
            <w:r>
              <w:rPr>
                <w:rFonts w:ascii="Verdana" w:eastAsia="Calibri" w:hAnsi="Verdana" w:cs="Arial"/>
                <w:shd w:val="clear" w:color="auto" w:fill="FFFFFF"/>
              </w:rPr>
              <w:t xml:space="preserve">, artículos </w:t>
            </w:r>
            <w:r w:rsidRPr="0014064B">
              <w:rPr>
                <w:rFonts w:ascii="Verdana" w:eastAsia="Calibri" w:hAnsi="Verdana" w:cs="Arial"/>
                <w:shd w:val="clear" w:color="auto" w:fill="FFFFFF"/>
              </w:rPr>
              <w:t>74</w:t>
            </w:r>
            <w:r>
              <w:rPr>
                <w:rFonts w:ascii="Verdana" w:eastAsia="Calibri" w:hAnsi="Verdana" w:cs="Arial"/>
                <w:shd w:val="clear" w:color="auto" w:fill="FFFFFF"/>
              </w:rPr>
              <w:t>,</w:t>
            </w:r>
            <w:r w:rsidRPr="0014064B">
              <w:rPr>
                <w:rFonts w:ascii="Verdana" w:eastAsia="Calibri" w:hAnsi="Verdana" w:cs="Arial"/>
                <w:shd w:val="clear" w:color="auto" w:fill="FFFFFF"/>
              </w:rPr>
              <w:t xml:space="preserve"> 209</w:t>
            </w:r>
            <w:r>
              <w:rPr>
                <w:rFonts w:ascii="Verdana" w:eastAsia="Calibri" w:hAnsi="Verdana" w:cs="Arial"/>
                <w:shd w:val="clear" w:color="auto" w:fill="FFFFFF"/>
              </w:rPr>
              <w:t xml:space="preserve"> y 267</w:t>
            </w:r>
          </w:p>
          <w:p w14:paraId="77FF6D79" w14:textId="77777777" w:rsidR="00AF2004" w:rsidRDefault="00AF2004" w:rsidP="00AF2004">
            <w:pPr>
              <w:pStyle w:val="Prrafodelista"/>
              <w:numPr>
                <w:ilvl w:val="0"/>
                <w:numId w:val="1"/>
              </w:numPr>
              <w:jc w:val="both"/>
              <w:rPr>
                <w:rFonts w:ascii="Verdana" w:eastAsia="Calibri" w:hAnsi="Verdana" w:cs="Arial"/>
                <w:shd w:val="clear" w:color="auto" w:fill="FFFFFF"/>
              </w:rPr>
            </w:pPr>
            <w:r w:rsidRPr="00B50883">
              <w:rPr>
                <w:rFonts w:ascii="Verdana" w:eastAsia="Calibri" w:hAnsi="Verdana" w:cs="Arial"/>
                <w:shd w:val="clear" w:color="auto" w:fill="FFFFFF"/>
              </w:rPr>
              <w:t>Ley 1150 de 2007</w:t>
            </w:r>
            <w:r>
              <w:rPr>
                <w:rFonts w:ascii="Verdana" w:eastAsia="Calibri" w:hAnsi="Verdana" w:cs="Arial"/>
                <w:shd w:val="clear" w:color="auto" w:fill="FFFFFF"/>
              </w:rPr>
              <w:t>, artículos 3 y 13</w:t>
            </w:r>
          </w:p>
          <w:p w14:paraId="1D17AE33" w14:textId="77777777" w:rsidR="00AF2004" w:rsidRDefault="00AF2004" w:rsidP="00AF2004">
            <w:pPr>
              <w:pStyle w:val="Prrafodelista"/>
              <w:numPr>
                <w:ilvl w:val="0"/>
                <w:numId w:val="1"/>
              </w:numPr>
              <w:jc w:val="both"/>
              <w:rPr>
                <w:rFonts w:ascii="Verdana" w:eastAsia="Calibri" w:hAnsi="Verdana" w:cs="Arial"/>
                <w:shd w:val="clear" w:color="auto" w:fill="FFFFFF"/>
              </w:rPr>
            </w:pPr>
            <w:r w:rsidRPr="0000554D">
              <w:rPr>
                <w:rFonts w:ascii="Verdana" w:eastAsia="Calibri" w:hAnsi="Verdana" w:cs="Arial"/>
                <w:shd w:val="clear" w:color="auto" w:fill="FFFFFF"/>
              </w:rPr>
              <w:t xml:space="preserve">Ley 142 de 1994, artículos </w:t>
            </w:r>
            <w:r>
              <w:rPr>
                <w:rFonts w:ascii="Verdana" w:eastAsia="Calibri" w:hAnsi="Verdana" w:cs="Arial"/>
                <w:shd w:val="clear" w:color="auto" w:fill="FFFFFF"/>
              </w:rPr>
              <w:t xml:space="preserve">14, </w:t>
            </w:r>
            <w:r w:rsidRPr="0000554D">
              <w:rPr>
                <w:rFonts w:ascii="Verdana" w:eastAsia="Calibri" w:hAnsi="Verdana" w:cs="Arial"/>
                <w:shd w:val="clear" w:color="auto" w:fill="FFFFFF"/>
              </w:rPr>
              <w:t>15, 17 al 26</w:t>
            </w:r>
            <w:r>
              <w:rPr>
                <w:rFonts w:ascii="Verdana" w:eastAsia="Calibri" w:hAnsi="Verdana" w:cs="Arial"/>
                <w:shd w:val="clear" w:color="auto" w:fill="FFFFFF"/>
              </w:rPr>
              <w:t xml:space="preserve">, </w:t>
            </w:r>
            <w:r w:rsidRPr="0000554D">
              <w:rPr>
                <w:rFonts w:ascii="Verdana" w:eastAsia="Calibri" w:hAnsi="Verdana" w:cs="Arial"/>
                <w:shd w:val="clear" w:color="auto" w:fill="FFFFFF"/>
              </w:rPr>
              <w:t>19.10, 31</w:t>
            </w:r>
            <w:r>
              <w:rPr>
                <w:rFonts w:ascii="Verdana" w:eastAsia="Calibri" w:hAnsi="Verdana" w:cs="Arial"/>
                <w:shd w:val="clear" w:color="auto" w:fill="FFFFFF"/>
              </w:rPr>
              <w:t xml:space="preserve"> y</w:t>
            </w:r>
            <w:r w:rsidRPr="0000554D">
              <w:rPr>
                <w:rFonts w:ascii="Verdana" w:eastAsia="Calibri" w:hAnsi="Verdana" w:cs="Arial"/>
                <w:shd w:val="clear" w:color="auto" w:fill="FFFFFF"/>
              </w:rPr>
              <w:t xml:space="preserve"> 79.9</w:t>
            </w:r>
          </w:p>
          <w:p w14:paraId="30829C17" w14:textId="77777777" w:rsidR="00AF2004" w:rsidRPr="0000554D" w:rsidRDefault="00AF2004" w:rsidP="00AF2004">
            <w:pPr>
              <w:pStyle w:val="Prrafodelista"/>
              <w:numPr>
                <w:ilvl w:val="0"/>
                <w:numId w:val="1"/>
              </w:numPr>
              <w:jc w:val="both"/>
              <w:rPr>
                <w:rFonts w:ascii="Verdana" w:eastAsia="Calibri" w:hAnsi="Verdana" w:cs="Arial"/>
                <w:shd w:val="clear" w:color="auto" w:fill="FFFFFF"/>
              </w:rPr>
            </w:pPr>
            <w:r w:rsidRPr="00484B65">
              <w:rPr>
                <w:rFonts w:ascii="Verdana" w:eastAsia="Arial" w:hAnsi="Verdana" w:cs="Arial"/>
                <w:lang w:eastAsia="es-CO"/>
              </w:rPr>
              <w:t>Ley 489 de 1998</w:t>
            </w:r>
            <w:r>
              <w:rPr>
                <w:rFonts w:ascii="Verdana" w:eastAsia="Arial" w:hAnsi="Verdana" w:cs="Arial"/>
                <w:lang w:eastAsia="es-CO"/>
              </w:rPr>
              <w:t>, artículo 38</w:t>
            </w:r>
          </w:p>
          <w:p w14:paraId="1DAAF5B9" w14:textId="77777777" w:rsidR="00AF2004" w:rsidRPr="00371953" w:rsidRDefault="00AF2004" w:rsidP="00AF2004">
            <w:pPr>
              <w:pStyle w:val="Prrafodelista"/>
              <w:numPr>
                <w:ilvl w:val="0"/>
                <w:numId w:val="1"/>
              </w:numPr>
              <w:jc w:val="both"/>
              <w:rPr>
                <w:rFonts w:ascii="Verdana" w:eastAsia="Calibri" w:hAnsi="Verdana" w:cs="Arial"/>
                <w:shd w:val="clear" w:color="auto" w:fill="FFFFFF"/>
              </w:rPr>
            </w:pPr>
            <w:r w:rsidRPr="00510220">
              <w:rPr>
                <w:rFonts w:ascii="Verdana" w:eastAsia="Calibri" w:hAnsi="Verdana" w:cs="Arial"/>
                <w:shd w:val="clear" w:color="auto" w:fill="FFFFFF"/>
              </w:rPr>
              <w:t>Decreto 1081 de 2015</w:t>
            </w:r>
            <w:r>
              <w:rPr>
                <w:rFonts w:ascii="Verdana" w:eastAsia="Calibri" w:hAnsi="Verdana" w:cs="Arial"/>
                <w:shd w:val="clear" w:color="auto" w:fill="FFFFFF"/>
              </w:rPr>
              <w:t xml:space="preserve">, artículos </w:t>
            </w:r>
            <w:r w:rsidRPr="00B82B1C">
              <w:rPr>
                <w:rFonts w:ascii="Verdana" w:hAnsi="Verdana" w:cs="Arial"/>
                <w:shd w:val="clear" w:color="auto" w:fill="FFFFFF"/>
              </w:rPr>
              <w:t>2.1.1.1.1. al 2.1.1.6.1.</w:t>
            </w:r>
            <w:r>
              <w:rPr>
                <w:rFonts w:ascii="Verdana" w:hAnsi="Verdana" w:cs="Arial"/>
                <w:shd w:val="clear" w:color="auto" w:fill="FFFFFF"/>
              </w:rPr>
              <w:t xml:space="preserve"> y </w:t>
            </w:r>
            <w:r w:rsidRPr="002539DB">
              <w:rPr>
                <w:rFonts w:ascii="Verdana" w:eastAsia="Calibri" w:hAnsi="Verdana" w:cstheme="majorHAnsi"/>
                <w:bCs/>
                <w:lang w:val="es-MX"/>
              </w:rPr>
              <w:t>2.1.1.2.1.7.</w:t>
            </w:r>
          </w:p>
          <w:p w14:paraId="42A18C1B" w14:textId="77777777" w:rsidR="00AF2004" w:rsidRDefault="00AF2004" w:rsidP="00AF2004">
            <w:pPr>
              <w:pStyle w:val="Prrafodelista"/>
              <w:numPr>
                <w:ilvl w:val="0"/>
                <w:numId w:val="1"/>
              </w:numPr>
              <w:jc w:val="both"/>
              <w:rPr>
                <w:rFonts w:ascii="Verdana" w:eastAsia="Calibri" w:hAnsi="Verdana" w:cs="Arial"/>
                <w:shd w:val="clear" w:color="auto" w:fill="FFFFFF"/>
              </w:rPr>
            </w:pPr>
            <w:r w:rsidRPr="000946F5">
              <w:rPr>
                <w:rFonts w:ascii="Verdana" w:eastAsia="Calibri" w:hAnsi="Verdana" w:cs="Arial"/>
                <w:shd w:val="clear" w:color="auto" w:fill="FFFFFF"/>
              </w:rPr>
              <w:t>Ley 2195 de 2022, artículo</w:t>
            </w:r>
            <w:r>
              <w:rPr>
                <w:rFonts w:ascii="Verdana" w:eastAsia="Calibri" w:hAnsi="Verdana" w:cs="Arial"/>
                <w:shd w:val="clear" w:color="auto" w:fill="FFFFFF"/>
              </w:rPr>
              <w:t>s</w:t>
            </w:r>
            <w:r w:rsidRPr="000946F5">
              <w:rPr>
                <w:rFonts w:ascii="Verdana" w:eastAsia="Calibri" w:hAnsi="Verdana" w:cs="Arial"/>
                <w:shd w:val="clear" w:color="auto" w:fill="FFFFFF"/>
              </w:rPr>
              <w:t xml:space="preserve"> 1 </w:t>
            </w:r>
            <w:r>
              <w:rPr>
                <w:rFonts w:ascii="Verdana" w:eastAsia="Calibri" w:hAnsi="Verdana" w:cs="Arial"/>
                <w:shd w:val="clear" w:color="auto" w:fill="FFFFFF"/>
              </w:rPr>
              <w:t xml:space="preserve">y </w:t>
            </w:r>
            <w:r w:rsidRPr="000946F5">
              <w:rPr>
                <w:rFonts w:ascii="Verdana" w:eastAsia="Calibri" w:hAnsi="Verdana" w:cs="Arial"/>
                <w:shd w:val="clear" w:color="auto" w:fill="FFFFFF"/>
              </w:rPr>
              <w:t>53</w:t>
            </w:r>
          </w:p>
          <w:p w14:paraId="4A88AFBD" w14:textId="77777777" w:rsidR="00AF2004" w:rsidRDefault="00AF2004" w:rsidP="00AF2004">
            <w:pPr>
              <w:pStyle w:val="Prrafodelista"/>
              <w:numPr>
                <w:ilvl w:val="0"/>
                <w:numId w:val="1"/>
              </w:numPr>
              <w:jc w:val="both"/>
              <w:rPr>
                <w:rFonts w:ascii="Verdana" w:eastAsia="Calibri" w:hAnsi="Verdana" w:cs="Arial"/>
                <w:shd w:val="clear" w:color="auto" w:fill="FFFFFF"/>
              </w:rPr>
            </w:pPr>
            <w:r>
              <w:rPr>
                <w:rFonts w:ascii="Verdana" w:eastAsia="Calibri" w:hAnsi="Verdana" w:cs="Arial"/>
                <w:color w:val="000000" w:themeColor="text1"/>
                <w:szCs w:val="24"/>
                <w:lang w:val="es-ES_tradnl" w:eastAsia="es-ES_tradnl"/>
              </w:rPr>
              <w:t>Decreto 2555 de 2010</w:t>
            </w:r>
          </w:p>
          <w:p w14:paraId="78CACDE2" w14:textId="77777777" w:rsidR="00AF2004" w:rsidRDefault="00AF2004" w:rsidP="00AF2004">
            <w:pPr>
              <w:pStyle w:val="Prrafodelista"/>
              <w:numPr>
                <w:ilvl w:val="0"/>
                <w:numId w:val="1"/>
              </w:numPr>
              <w:jc w:val="both"/>
              <w:rPr>
                <w:rFonts w:ascii="Verdana" w:eastAsia="Calibri" w:hAnsi="Verdana" w:cs="Arial"/>
                <w:shd w:val="clear" w:color="auto" w:fill="FFFFFF"/>
              </w:rPr>
            </w:pPr>
            <w:r w:rsidRPr="009A1122">
              <w:rPr>
                <w:rFonts w:ascii="Verdana" w:eastAsia="Calibri" w:hAnsi="Verdana" w:cs="Arial"/>
                <w:shd w:val="clear" w:color="auto" w:fill="FFFFFF"/>
              </w:rPr>
              <w:t xml:space="preserve">Ley 1712 de 2014 </w:t>
            </w:r>
            <w:r>
              <w:rPr>
                <w:rFonts w:ascii="Verdana" w:eastAsia="Calibri" w:hAnsi="Verdana" w:cs="Arial"/>
                <w:shd w:val="clear" w:color="auto" w:fill="FFFFFF"/>
              </w:rPr>
              <w:t xml:space="preserve">artículos </w:t>
            </w:r>
            <w:r w:rsidRPr="009A1122">
              <w:rPr>
                <w:rFonts w:ascii="Verdana" w:eastAsia="Calibri" w:hAnsi="Verdana" w:cs="Arial"/>
                <w:shd w:val="clear" w:color="auto" w:fill="FFFFFF"/>
              </w:rPr>
              <w:t>3</w:t>
            </w:r>
            <w:r>
              <w:rPr>
                <w:rFonts w:ascii="Verdana" w:eastAsia="Calibri" w:hAnsi="Verdana" w:cs="Arial"/>
                <w:shd w:val="clear" w:color="auto" w:fill="FFFFFF"/>
              </w:rPr>
              <w:t>,</w:t>
            </w:r>
            <w:r w:rsidRPr="009A1122">
              <w:rPr>
                <w:rFonts w:ascii="Verdana" w:eastAsia="Calibri" w:hAnsi="Verdana" w:cs="Arial"/>
                <w:shd w:val="clear" w:color="auto" w:fill="FFFFFF"/>
              </w:rPr>
              <w:t xml:space="preserve"> </w:t>
            </w:r>
            <w:r>
              <w:rPr>
                <w:rFonts w:ascii="Verdana" w:eastAsia="Calibri" w:hAnsi="Verdana" w:cs="Arial"/>
                <w:shd w:val="clear" w:color="auto" w:fill="FFFFFF"/>
              </w:rPr>
              <w:t>5,</w:t>
            </w:r>
            <w:r w:rsidRPr="009A1122">
              <w:rPr>
                <w:rFonts w:ascii="Verdana" w:eastAsia="Calibri" w:hAnsi="Verdana" w:cs="Arial"/>
                <w:shd w:val="clear" w:color="auto" w:fill="FFFFFF"/>
              </w:rPr>
              <w:t xml:space="preserve"> 9</w:t>
            </w:r>
            <w:r>
              <w:rPr>
                <w:rFonts w:ascii="Verdana" w:eastAsia="Calibri" w:hAnsi="Verdana" w:cs="Arial"/>
                <w:shd w:val="clear" w:color="auto" w:fill="FFFFFF"/>
              </w:rPr>
              <w:t xml:space="preserve"> y</w:t>
            </w:r>
            <w:r w:rsidRPr="009A1122">
              <w:rPr>
                <w:rFonts w:ascii="Verdana" w:eastAsia="Calibri" w:hAnsi="Verdana" w:cs="Arial"/>
                <w:shd w:val="clear" w:color="auto" w:fill="FFFFFF"/>
              </w:rPr>
              <w:t xml:space="preserve"> 11</w:t>
            </w:r>
          </w:p>
          <w:p w14:paraId="17494A58" w14:textId="77777777" w:rsidR="00AF2004" w:rsidRDefault="00AF2004" w:rsidP="00AF2004">
            <w:pPr>
              <w:pStyle w:val="Prrafodelista"/>
              <w:numPr>
                <w:ilvl w:val="0"/>
                <w:numId w:val="1"/>
              </w:numPr>
              <w:jc w:val="both"/>
              <w:rPr>
                <w:rFonts w:ascii="Verdana" w:eastAsia="Calibri" w:hAnsi="Verdana" w:cs="Arial"/>
                <w:shd w:val="clear" w:color="auto" w:fill="FFFFFF"/>
              </w:rPr>
            </w:pPr>
            <w:r>
              <w:rPr>
                <w:rFonts w:ascii="Verdana" w:eastAsia="Calibri" w:hAnsi="Verdana" w:cs="Arial"/>
                <w:shd w:val="clear" w:color="auto" w:fill="FFFFFF"/>
              </w:rPr>
              <w:t>Código de Comercio artículo 98, 375, 384, 406 y 901</w:t>
            </w:r>
          </w:p>
          <w:p w14:paraId="71B5D387" w14:textId="77777777" w:rsidR="00AF2004" w:rsidRDefault="00AF2004" w:rsidP="00AF2004">
            <w:pPr>
              <w:pStyle w:val="Prrafodelista"/>
              <w:numPr>
                <w:ilvl w:val="0"/>
                <w:numId w:val="1"/>
              </w:numPr>
              <w:jc w:val="both"/>
              <w:rPr>
                <w:rFonts w:ascii="Verdana" w:eastAsia="Calibri" w:hAnsi="Verdana" w:cs="Arial"/>
                <w:shd w:val="clear" w:color="auto" w:fill="FFFFFF"/>
              </w:rPr>
            </w:pPr>
            <w:r w:rsidRPr="002D2511">
              <w:rPr>
                <w:rFonts w:ascii="Verdana" w:eastAsia="Calibri" w:hAnsi="Verdana" w:cs="Arial"/>
                <w:shd w:val="clear" w:color="auto" w:fill="FFFFFF"/>
              </w:rPr>
              <w:t>Corte Constitucional. Sentencia C- 341 del 4 de junio de 2014. M. P. Mauricio González Cuervo.</w:t>
            </w:r>
          </w:p>
          <w:p w14:paraId="6780DFC5" w14:textId="77777777" w:rsidR="00AF2004" w:rsidRPr="000C0AD4" w:rsidRDefault="00AF2004" w:rsidP="00AF2004">
            <w:pPr>
              <w:pStyle w:val="Prrafodelista"/>
              <w:numPr>
                <w:ilvl w:val="0"/>
                <w:numId w:val="1"/>
              </w:numPr>
              <w:jc w:val="both"/>
              <w:rPr>
                <w:rFonts w:ascii="Verdana" w:eastAsia="Calibri" w:hAnsi="Verdana" w:cs="Arial"/>
                <w:shd w:val="clear" w:color="auto" w:fill="FFFFFF"/>
              </w:rPr>
            </w:pPr>
            <w:r w:rsidRPr="00353804">
              <w:rPr>
                <w:rFonts w:ascii="Verdana" w:eastAsia="Calibri" w:hAnsi="Verdana" w:cs="Arial"/>
                <w:shd w:val="clear" w:color="auto" w:fill="FFFFFF"/>
              </w:rPr>
              <w:t xml:space="preserve">Circular 002 del 1 de junio de 2022 </w:t>
            </w:r>
            <w:r>
              <w:rPr>
                <w:rFonts w:ascii="Verdana" w:eastAsia="Calibri" w:hAnsi="Verdana" w:cs="Arial"/>
                <w:shd w:val="clear" w:color="auto" w:fill="FFFFFF"/>
              </w:rPr>
              <w:t>d</w:t>
            </w:r>
            <w:r w:rsidRPr="00353804">
              <w:rPr>
                <w:rFonts w:ascii="Verdana" w:eastAsia="Calibri" w:hAnsi="Verdana" w:cs="Arial"/>
                <w:shd w:val="clear" w:color="auto" w:fill="FFFFFF"/>
              </w:rPr>
              <w:t>el Departamento Administrativo de la Presidencia de la Republica</w:t>
            </w:r>
            <w:r>
              <w:rPr>
                <w:rFonts w:ascii="Verdana" w:eastAsia="Calibri" w:hAnsi="Verdana" w:cs="Arial"/>
                <w:shd w:val="clear" w:color="auto" w:fill="FFFFFF"/>
              </w:rPr>
              <w:t xml:space="preserve"> </w:t>
            </w:r>
            <w:r w:rsidRPr="00640B68">
              <w:rPr>
                <w:rFonts w:ascii="Verdana" w:hAnsi="Verdana"/>
              </w:rPr>
              <w:t xml:space="preserve">– </w:t>
            </w:r>
            <w:r>
              <w:rPr>
                <w:rFonts w:ascii="Verdana" w:eastAsia="Calibri" w:hAnsi="Verdana" w:cs="Arial"/>
                <w:shd w:val="clear" w:color="auto" w:fill="FFFFFF"/>
              </w:rPr>
              <w:t xml:space="preserve">DAPR </w:t>
            </w:r>
          </w:p>
        </w:tc>
      </w:tr>
    </w:tbl>
    <w:p w14:paraId="1201CCB1" w14:textId="77777777" w:rsidR="00AF2004" w:rsidRPr="005B7C42" w:rsidRDefault="00AF2004" w:rsidP="00AF200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A165BEB" w14:textId="77777777" w:rsidR="00AF2004" w:rsidRPr="005B7C42" w:rsidRDefault="00AF2004" w:rsidP="00AF200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76D13A5B" w14:textId="77777777" w:rsidR="00AF2004" w:rsidRPr="005B7C42" w:rsidRDefault="00AF2004" w:rsidP="00AF2004">
      <w:pPr>
        <w:spacing w:after="0" w:line="276" w:lineRule="auto"/>
        <w:ind w:firstLine="709"/>
        <w:jc w:val="both"/>
        <w:rPr>
          <w:rFonts w:ascii="Verdana" w:eastAsia="Times New Roman" w:hAnsi="Verdana" w:cs="Arial"/>
          <w:szCs w:val="24"/>
          <w:lang w:eastAsia="es-ES_tradnl"/>
        </w:rPr>
      </w:pPr>
    </w:p>
    <w:p w14:paraId="53B8BC27" w14:textId="77777777" w:rsidR="00AF2004" w:rsidRDefault="00AF2004" w:rsidP="00AF2004">
      <w:pPr>
        <w:widowControl w:val="0"/>
        <w:autoSpaceDE w:val="0"/>
        <w:autoSpaceDN w:val="0"/>
        <w:spacing w:after="0" w:line="276" w:lineRule="auto"/>
        <w:jc w:val="both"/>
        <w:rPr>
          <w:rFonts w:ascii="Verdana" w:hAnsi="Verdana"/>
        </w:rPr>
      </w:pPr>
      <w:r w:rsidRPr="00640B68">
        <w:rPr>
          <w:rFonts w:ascii="Verdana" w:hAnsi="Verdana"/>
        </w:rPr>
        <w:t xml:space="preserve">La Agencia Nacional de Contratación Pública – Colombia Compra Eficiente </w:t>
      </w:r>
      <w:r w:rsidRPr="00E64E45">
        <w:rPr>
          <w:rFonts w:ascii="Verdana" w:hAnsi="Verdana"/>
        </w:rPr>
        <w:t xml:space="preserve">se ha pronunciado en diferentes oportunidades respecto a la aplicación los principios de publicidad y de acceso a la información pública en la contratación estatal sus fundamentos normativos y el deber de publicar la documentación contractual en </w:t>
      </w:r>
      <w:r w:rsidRPr="00E64E45">
        <w:rPr>
          <w:rFonts w:ascii="Verdana" w:hAnsi="Verdana"/>
        </w:rPr>
        <w:lastRenderedPageBreak/>
        <w:t>el SECOP, en conceptos como el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w:t>
      </w:r>
      <w:r>
        <w:rPr>
          <w:rFonts w:ascii="Verdana" w:hAnsi="Verdana"/>
        </w:rPr>
        <w:t>,</w:t>
      </w:r>
      <w:r w:rsidRPr="00E64E45">
        <w:rPr>
          <w:rFonts w:ascii="Verdana" w:hAnsi="Verdana"/>
        </w:rPr>
        <w:t xml:space="preserve"> C-071 del 28 de marzo de 2023</w:t>
      </w:r>
      <w:r>
        <w:rPr>
          <w:rFonts w:ascii="Verdana" w:hAnsi="Verdana"/>
        </w:rPr>
        <w:t xml:space="preserve"> y C-044 del 3 de abril de 2024, entre otros</w:t>
      </w:r>
      <w:r w:rsidRPr="002321ED">
        <w:rPr>
          <w:rFonts w:ascii="Verdana" w:hAnsi="Verdana"/>
        </w:rPr>
        <w:t>.</w:t>
      </w:r>
      <w:r>
        <w:rPr>
          <w:rFonts w:ascii="Verdana" w:hAnsi="Verdana"/>
        </w:rPr>
        <w:t xml:space="preserve"> </w:t>
      </w:r>
      <w:r w:rsidRPr="00945DBF">
        <w:rPr>
          <w:rStyle w:val="normaltextrun"/>
          <w:rFonts w:ascii="Verdana" w:hAnsi="Verdana" w:cs="Arial"/>
          <w:shd w:val="clear" w:color="auto" w:fill="FFFFFF"/>
          <w:lang w:val="es-ES"/>
        </w:rPr>
        <w:t>Es</w:t>
      </w:r>
      <w:r w:rsidRPr="00945DBF">
        <w:rPr>
          <w:rFonts w:ascii="Verdana" w:hAnsi="Verdana"/>
        </w:rPr>
        <w:t>tos y otros conceptos se encuentran disponibles para consulta en el Sistema de relatoría de la Agencia, al cual se puede acceder a través del siguiente enlace</w:t>
      </w:r>
      <w:r w:rsidRPr="00A1554D">
        <w:rPr>
          <w:rFonts w:ascii="Verdana" w:hAnsi="Verdana"/>
        </w:rPr>
        <w:t>:</w:t>
      </w:r>
    </w:p>
    <w:p w14:paraId="71171130" w14:textId="77777777" w:rsidR="00AF2004" w:rsidRPr="005B7C42" w:rsidRDefault="00AF2004" w:rsidP="00AF2004">
      <w:pPr>
        <w:widowControl w:val="0"/>
        <w:autoSpaceDE w:val="0"/>
        <w:autoSpaceDN w:val="0"/>
        <w:spacing w:after="0" w:line="276" w:lineRule="auto"/>
        <w:jc w:val="both"/>
        <w:rPr>
          <w:rStyle w:val="normaltextrun"/>
          <w:rFonts w:ascii="Verdana" w:hAnsi="Verdana"/>
          <w:color w:val="000000"/>
        </w:rPr>
      </w:pPr>
    </w:p>
    <w:p w14:paraId="1CFB434B" w14:textId="77777777" w:rsidR="00AF2004" w:rsidRPr="005B7C42" w:rsidRDefault="00AF2004" w:rsidP="00AF2004">
      <w:pPr>
        <w:widowControl w:val="0"/>
        <w:autoSpaceDE w:val="0"/>
        <w:autoSpaceDN w:val="0"/>
        <w:spacing w:after="0" w:line="276" w:lineRule="auto"/>
        <w:jc w:val="both"/>
        <w:rPr>
          <w:rFonts w:ascii="Verdana" w:eastAsia="Calibri" w:hAnsi="Verdana" w:cs="Arial"/>
          <w:lang w:eastAsia="es-ES_tradnl"/>
        </w:rPr>
      </w:pPr>
      <w:hyperlink r:id="rId9" w:history="1">
        <w:r w:rsidRPr="007505E9">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6E515A9A" w14:textId="77777777" w:rsidR="00AF2004" w:rsidRPr="005B7C42" w:rsidRDefault="00AF2004" w:rsidP="00AF2004">
      <w:pPr>
        <w:widowControl w:val="0"/>
        <w:autoSpaceDE w:val="0"/>
        <w:autoSpaceDN w:val="0"/>
        <w:spacing w:after="0" w:line="276" w:lineRule="auto"/>
        <w:jc w:val="both"/>
        <w:rPr>
          <w:rFonts w:ascii="Verdana" w:eastAsia="Calibri" w:hAnsi="Verdana" w:cs="Arial"/>
          <w:lang w:eastAsia="es-ES_tradnl"/>
        </w:rPr>
      </w:pPr>
    </w:p>
    <w:p w14:paraId="420DB54A" w14:textId="77777777" w:rsidR="00AF2004" w:rsidRDefault="00AF2004" w:rsidP="00AF2004">
      <w:pPr>
        <w:spacing w:after="0" w:line="240" w:lineRule="auto"/>
        <w:jc w:val="both"/>
        <w:rPr>
          <w:rFonts w:ascii="Verdana" w:eastAsia="Calibri" w:hAnsi="Verdana" w:cs="Arial"/>
          <w:lang w:val="es-ES" w:eastAsia="es-ES"/>
        </w:rPr>
      </w:pPr>
      <w:r w:rsidRPr="00944E10">
        <w:rPr>
          <w:rFonts w:ascii="Verdana" w:eastAsia="Calibri" w:hAnsi="Verdana" w:cs="Arial"/>
          <w:lang w:eastAsia="es-ES"/>
        </w:rPr>
        <w:t xml:space="preserve">Te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0" w:history="1">
        <w:r w:rsidRPr="00944E10">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22F0AEBA" w14:textId="77777777" w:rsidR="00AF2004" w:rsidRPr="00944E10" w:rsidRDefault="00AF2004" w:rsidP="00AF2004">
      <w:pPr>
        <w:spacing w:after="0" w:line="240" w:lineRule="auto"/>
        <w:jc w:val="both"/>
        <w:rPr>
          <w:rFonts w:ascii="Verdana" w:eastAsia="Calibri" w:hAnsi="Verdana" w:cs="Arial"/>
          <w:lang w:eastAsia="es-ES"/>
        </w:rPr>
      </w:pPr>
    </w:p>
    <w:p w14:paraId="066BDD0E" w14:textId="77777777" w:rsidR="00AF2004" w:rsidRDefault="00AF2004" w:rsidP="00AF2004">
      <w:pPr>
        <w:spacing w:after="0" w:line="240"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1" w:history="1">
        <w:r w:rsidRPr="00944E10">
          <w:rPr>
            <w:rStyle w:val="Hipervnculo"/>
            <w:rFonts w:ascii="Verdana" w:eastAsia="Calibri" w:hAnsi="Verdana" w:cs="Arial"/>
            <w:lang w:eastAsia="es-ES"/>
          </w:rPr>
          <w:t>Calendario | Colombia Compra Eficiente | Agencia Nacional de Contratación Pública</w:t>
        </w:r>
      </w:hyperlink>
    </w:p>
    <w:p w14:paraId="730C2080" w14:textId="77777777" w:rsidR="00AF2004" w:rsidRPr="00944E10" w:rsidRDefault="00AF2004" w:rsidP="00AF2004">
      <w:pPr>
        <w:spacing w:after="0" w:line="240" w:lineRule="auto"/>
        <w:jc w:val="both"/>
        <w:rPr>
          <w:rFonts w:ascii="Verdana" w:eastAsia="Calibri" w:hAnsi="Verdana" w:cs="Arial"/>
          <w:lang w:eastAsia="es-ES"/>
        </w:rPr>
      </w:pPr>
    </w:p>
    <w:p w14:paraId="3347B41B" w14:textId="77777777" w:rsidR="00AF2004" w:rsidRPr="00944E10" w:rsidRDefault="00AF2004" w:rsidP="00AF2004">
      <w:pPr>
        <w:spacing w:after="0" w:line="240"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w:t>
      </w:r>
      <w:r w:rsidRPr="00944E10">
        <w:rPr>
          <w:rFonts w:ascii="Verdana" w:eastAsia="Calibri" w:hAnsi="Verdana" w:cs="Arial"/>
          <w:lang w:eastAsia="es-ES"/>
        </w:rPr>
        <w:lastRenderedPageBreak/>
        <w:t xml:space="preserve">Objetivos de Desarrollo Sostenible (ODS) a través de criterios y obligaciones ambientales y sociales en todas las etapas del proceso. Puede consultar la guía en el siguiente enlace: </w:t>
      </w:r>
      <w:hyperlink r:id="rId12" w:history="1">
        <w:r w:rsidRPr="00944E10">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60D52EF9" w14:textId="77777777" w:rsidR="00AF2004" w:rsidRDefault="00AF2004" w:rsidP="00AF2004">
      <w:pPr>
        <w:spacing w:after="0" w:line="240" w:lineRule="auto"/>
        <w:jc w:val="both"/>
      </w:pPr>
    </w:p>
    <w:p w14:paraId="6D77E504" w14:textId="77777777" w:rsidR="00AF2004" w:rsidRPr="00504DD6" w:rsidRDefault="00AF2004" w:rsidP="00AF2004">
      <w:pPr>
        <w:spacing w:after="0" w:line="240"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3" w:history="1">
        <w:r w:rsidRPr="00B84822">
          <w:rPr>
            <w:rStyle w:val="Hipervnculo"/>
            <w:rFonts w:ascii="Verdana" w:eastAsia="Calibri" w:hAnsi="Verdana"/>
            <w:lang w:eastAsia="es-ES_tradnl"/>
          </w:rPr>
          <w:t>https://www.colombiacompra.gov.co/sites/cce_public/files/files_2020/boletin_de_realtoria_viii.pdf</w:t>
        </w:r>
      </w:hyperlink>
    </w:p>
    <w:p w14:paraId="2B99AD23" w14:textId="77777777" w:rsidR="00AF2004" w:rsidRPr="005B7C42" w:rsidRDefault="00AF2004" w:rsidP="00AF2004">
      <w:pPr>
        <w:spacing w:after="0" w:line="240" w:lineRule="auto"/>
        <w:jc w:val="both"/>
        <w:rPr>
          <w:rFonts w:ascii="Verdana" w:hAnsi="Verdana"/>
        </w:rPr>
      </w:pPr>
    </w:p>
    <w:p w14:paraId="4193D3BC" w14:textId="77777777" w:rsidR="00AF2004" w:rsidRPr="005B7C42" w:rsidRDefault="00AF2004" w:rsidP="00AF2004">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5F2E99BA" w14:textId="77777777" w:rsidR="00AF2004" w:rsidRPr="005B7C42" w:rsidRDefault="00AF2004" w:rsidP="00AF2004">
      <w:pPr>
        <w:spacing w:after="0" w:line="240" w:lineRule="auto"/>
        <w:jc w:val="both"/>
        <w:rPr>
          <w:rFonts w:ascii="Verdana" w:hAnsi="Verdana"/>
        </w:rPr>
      </w:pPr>
    </w:p>
    <w:p w14:paraId="19CC6AE2" w14:textId="77777777" w:rsidR="00AF2004" w:rsidRPr="005B7C42" w:rsidRDefault="00AF2004" w:rsidP="00AF2004">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522D32AC" w14:textId="77777777" w:rsidR="00AF2004" w:rsidRPr="005B7C42" w:rsidRDefault="00AF2004" w:rsidP="00AF2004">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2AFDD0C5" w14:textId="77777777" w:rsidR="00AF2004" w:rsidRPr="005B7C42" w:rsidRDefault="00AF2004" w:rsidP="00AF2004">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663ED8B3" w14:textId="77777777" w:rsidR="00AF2004" w:rsidRPr="005B7C42" w:rsidRDefault="00AF2004" w:rsidP="00AF2004">
      <w:pPr>
        <w:widowControl w:val="0"/>
        <w:autoSpaceDE w:val="0"/>
        <w:autoSpaceDN w:val="0"/>
        <w:spacing w:after="0" w:line="276" w:lineRule="auto"/>
        <w:jc w:val="both"/>
        <w:rPr>
          <w:rFonts w:ascii="Verdana" w:hAnsi="Verdana"/>
        </w:rPr>
      </w:pPr>
    </w:p>
    <w:p w14:paraId="140C41A4" w14:textId="77777777" w:rsidR="00AF2004" w:rsidRPr="005B7C42" w:rsidRDefault="00AF2004" w:rsidP="00AF2004">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3EF8A9" w14:textId="77777777" w:rsidR="00AF2004" w:rsidRPr="005B7C42" w:rsidRDefault="00AF2004" w:rsidP="00AF2004">
      <w:pPr>
        <w:spacing w:after="0" w:line="276" w:lineRule="auto"/>
        <w:ind w:firstLine="709"/>
        <w:jc w:val="both"/>
        <w:rPr>
          <w:rFonts w:ascii="Verdana" w:eastAsia="Times New Roman" w:hAnsi="Verdana" w:cs="Arial"/>
          <w:szCs w:val="24"/>
          <w:lang w:eastAsia="es-ES_tradnl"/>
        </w:rPr>
      </w:pPr>
    </w:p>
    <w:p w14:paraId="4BD63B31" w14:textId="77777777" w:rsidR="00AF2004" w:rsidRPr="005B7C42" w:rsidRDefault="00AF2004" w:rsidP="00AF2004">
      <w:pPr>
        <w:spacing w:after="0" w:line="276" w:lineRule="auto"/>
        <w:jc w:val="both"/>
        <w:rPr>
          <w:rFonts w:ascii="Verdana" w:eastAsia="Times New Roman" w:hAnsi="Verdana" w:cs="Arial"/>
          <w:lang w:eastAsia="es-CO"/>
        </w:rPr>
      </w:pPr>
      <w:bookmarkStart w:id="10" w:name="_Hlk117695077"/>
      <w:r w:rsidRPr="005B7C42">
        <w:rPr>
          <w:rFonts w:ascii="Verdana" w:eastAsia="Times New Roman" w:hAnsi="Verdana" w:cs="Arial"/>
          <w:lang w:eastAsia="es-CO"/>
        </w:rPr>
        <w:t>Atentamente,</w:t>
      </w:r>
    </w:p>
    <w:bookmarkEnd w:id="10"/>
    <w:p w14:paraId="74A9B1CC" w14:textId="126F02A1" w:rsidR="00AF2004" w:rsidRPr="005B7C42" w:rsidRDefault="000E05F7" w:rsidP="00AF2004">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47C48A71" wp14:editId="59FFF47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AF2004" w:rsidRPr="005B7C42" w14:paraId="411981FB" w14:textId="77777777" w:rsidTr="00AA1DBD">
        <w:trPr>
          <w:trHeight w:val="286"/>
        </w:trPr>
        <w:tc>
          <w:tcPr>
            <w:tcW w:w="893" w:type="dxa"/>
            <w:vAlign w:val="center"/>
            <w:hideMark/>
          </w:tcPr>
          <w:p w14:paraId="2D16C7A3" w14:textId="77777777" w:rsidR="00AF2004" w:rsidRPr="005B7C42" w:rsidRDefault="00AF2004" w:rsidP="00AA1DB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5DF57AAD" w14:textId="77777777" w:rsidR="00AF2004" w:rsidRPr="005B7C42" w:rsidRDefault="00AF2004" w:rsidP="00AA1DBD">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2D701D1C" w14:textId="77777777" w:rsidR="00AF2004" w:rsidRPr="005B7C42" w:rsidRDefault="00AF2004" w:rsidP="00AA1DB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AF2004" w:rsidRPr="005B7C42" w14:paraId="67757B6C" w14:textId="77777777" w:rsidTr="00AA1DBD">
        <w:trPr>
          <w:trHeight w:val="299"/>
        </w:trPr>
        <w:tc>
          <w:tcPr>
            <w:tcW w:w="893" w:type="dxa"/>
            <w:vAlign w:val="center"/>
            <w:hideMark/>
          </w:tcPr>
          <w:p w14:paraId="0A9C469D" w14:textId="77777777" w:rsidR="00AF2004" w:rsidRPr="005B7C42" w:rsidRDefault="00AF2004" w:rsidP="00AA1DB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284DB301" w14:textId="77777777" w:rsidR="00AF2004" w:rsidRPr="005B7C42" w:rsidRDefault="00AF2004" w:rsidP="00AA1DBD">
            <w:pPr>
              <w:rPr>
                <w:rFonts w:ascii="Verdana" w:eastAsia="Times New Roman" w:hAnsi="Verdana" w:cs="Arial"/>
                <w:sz w:val="16"/>
                <w:szCs w:val="16"/>
                <w:lang w:eastAsia="es-ES"/>
              </w:rPr>
            </w:pPr>
            <w:r>
              <w:rPr>
                <w:rFonts w:ascii="Verdana" w:eastAsia="Times New Roman" w:hAnsi="Verdana" w:cs="Arial"/>
                <w:sz w:val="16"/>
                <w:szCs w:val="16"/>
                <w:lang w:eastAsia="es-ES"/>
              </w:rPr>
              <w:t>Alejandro R. Sarmiento Cantillo</w:t>
            </w:r>
          </w:p>
          <w:p w14:paraId="47D8E928" w14:textId="77777777" w:rsidR="00AF2004" w:rsidRPr="005B7C42" w:rsidRDefault="00AF2004" w:rsidP="00AA1DB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Gestor T1 -1</w:t>
            </w:r>
            <w:r>
              <w:rPr>
                <w:rFonts w:ascii="Verdana" w:eastAsia="Times New Roman" w:hAnsi="Verdana" w:cs="Arial"/>
                <w:sz w:val="16"/>
                <w:szCs w:val="16"/>
                <w:lang w:eastAsia="es-ES"/>
              </w:rPr>
              <w:t>5</w:t>
            </w:r>
            <w:r w:rsidRPr="005B7C42">
              <w:rPr>
                <w:rFonts w:ascii="Verdana" w:eastAsia="Times New Roman" w:hAnsi="Verdana" w:cs="Arial"/>
                <w:sz w:val="16"/>
                <w:szCs w:val="16"/>
                <w:lang w:eastAsia="es-ES"/>
              </w:rPr>
              <w:t xml:space="preserve"> de la Subdirección de Gestión Contractual</w:t>
            </w:r>
          </w:p>
        </w:tc>
      </w:tr>
      <w:tr w:rsidR="00AF2004" w:rsidRPr="005B7C42" w14:paraId="73BB02A9" w14:textId="77777777" w:rsidTr="00AA1DBD">
        <w:trPr>
          <w:trHeight w:val="272"/>
        </w:trPr>
        <w:tc>
          <w:tcPr>
            <w:tcW w:w="893" w:type="dxa"/>
            <w:vAlign w:val="center"/>
            <w:hideMark/>
          </w:tcPr>
          <w:p w14:paraId="210CBA8C" w14:textId="77777777" w:rsidR="00AF2004" w:rsidRPr="005B7C42" w:rsidRDefault="00AF2004" w:rsidP="00AA1DB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005D5E50" w14:textId="77777777" w:rsidR="00AF2004" w:rsidRPr="005B7C42" w:rsidRDefault="00AF2004" w:rsidP="00AA1DBD">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 xml:space="preserve">Carolina Quintero </w:t>
            </w:r>
            <w:proofErr w:type="spellStart"/>
            <w:r w:rsidRPr="005B7C42">
              <w:rPr>
                <w:rFonts w:ascii="Verdana" w:eastAsia="Times New Roman" w:hAnsi="Verdana" w:cs="Arial"/>
                <w:sz w:val="16"/>
                <w:szCs w:val="16"/>
                <w:lang w:eastAsia="es-ES"/>
              </w:rPr>
              <w:t>Gacharná</w:t>
            </w:r>
            <w:proofErr w:type="spellEnd"/>
          </w:p>
          <w:p w14:paraId="18F7C130" w14:textId="77777777" w:rsidR="00AF2004" w:rsidRPr="005B7C42" w:rsidRDefault="00AF2004" w:rsidP="00AA1DB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bookmarkEnd w:id="0"/>
    </w:tbl>
    <w:p w14:paraId="68620CC0" w14:textId="77777777" w:rsidR="00AF2004" w:rsidRPr="005B7C42" w:rsidRDefault="00AF2004" w:rsidP="000E05F7">
      <w:pPr>
        <w:spacing w:after="0" w:line="276" w:lineRule="auto"/>
        <w:jc w:val="both"/>
        <w:rPr>
          <w:rFonts w:ascii="Verdana" w:eastAsia="Times New Roman" w:hAnsi="Verdana" w:cs="Arial"/>
        </w:rPr>
      </w:pPr>
    </w:p>
    <w:sectPr w:rsidR="00AF2004" w:rsidRPr="005B7C42" w:rsidSect="00CD4D0E">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0FD8E" w14:textId="77777777" w:rsidR="00CD4D0E" w:rsidRDefault="00CD4D0E" w:rsidP="00AF2004">
      <w:pPr>
        <w:spacing w:after="0" w:line="240" w:lineRule="auto"/>
      </w:pPr>
      <w:r>
        <w:separator/>
      </w:r>
    </w:p>
  </w:endnote>
  <w:endnote w:type="continuationSeparator" w:id="0">
    <w:p w14:paraId="346E5269" w14:textId="77777777" w:rsidR="00CD4D0E" w:rsidRDefault="00CD4D0E" w:rsidP="00AF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2A78C" w14:textId="77777777" w:rsidR="00000000" w:rsidRDefault="00000000">
    <w:pPr>
      <w:pStyle w:val="Piedepgina"/>
    </w:pPr>
  </w:p>
  <w:p w14:paraId="0B32A7A4"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155E2C5"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6E96F24"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04598E2D"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3CA43" w14:textId="77777777" w:rsidR="00CD4D0E" w:rsidRDefault="00CD4D0E" w:rsidP="00AF2004">
      <w:pPr>
        <w:spacing w:after="0" w:line="240" w:lineRule="auto"/>
      </w:pPr>
      <w:r>
        <w:separator/>
      </w:r>
    </w:p>
  </w:footnote>
  <w:footnote w:type="continuationSeparator" w:id="0">
    <w:p w14:paraId="5066583A" w14:textId="77777777" w:rsidR="00CD4D0E" w:rsidRDefault="00CD4D0E" w:rsidP="00AF2004">
      <w:pPr>
        <w:spacing w:after="0" w:line="240" w:lineRule="auto"/>
      </w:pPr>
      <w:r>
        <w:continuationSeparator/>
      </w:r>
    </w:p>
  </w:footnote>
  <w:footnote w:id="1">
    <w:p w14:paraId="250C77FA" w14:textId="77777777" w:rsidR="00AF2004" w:rsidRPr="00F46BF1" w:rsidRDefault="00AF2004" w:rsidP="00AF2004">
      <w:pPr>
        <w:ind w:firstLine="707"/>
        <w:jc w:val="both"/>
        <w:rPr>
          <w:rFonts w:ascii="Verdana" w:eastAsia="Arial" w:hAnsi="Verdana" w:cs="Arial"/>
          <w:sz w:val="12"/>
          <w:szCs w:val="12"/>
        </w:rPr>
      </w:pPr>
      <w:r w:rsidRPr="00F46BF1">
        <w:rPr>
          <w:rFonts w:ascii="Verdana" w:hAnsi="Verdana" w:cs="Arial"/>
          <w:sz w:val="12"/>
          <w:szCs w:val="12"/>
          <w:vertAlign w:val="superscript"/>
        </w:rPr>
        <w:footnoteRef/>
      </w:r>
      <w:r w:rsidRPr="00F46BF1">
        <w:rPr>
          <w:rFonts w:ascii="Verdana" w:eastAsia="Arial" w:hAnsi="Verdana" w:cs="Arial"/>
          <w:sz w:val="12"/>
          <w:szCs w:val="12"/>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F46BF1">
        <w:rPr>
          <w:rFonts w:ascii="Verdana" w:eastAsia="Arial" w:hAnsi="Verdana" w:cs="Arial"/>
          <w:b/>
          <w:sz w:val="12"/>
          <w:szCs w:val="12"/>
        </w:rPr>
        <w:t xml:space="preserve">las empresas oficiales de servicios públicos </w:t>
      </w:r>
      <w:r w:rsidRPr="00F46BF1">
        <w:rPr>
          <w:rFonts w:ascii="Verdana" w:eastAsia="Arial" w:hAnsi="Verdana" w:cs="Arial"/>
          <w:sz w:val="12"/>
          <w:szCs w:val="12"/>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6A63690A" w14:textId="77777777" w:rsidR="00AF2004" w:rsidRPr="00F46BF1" w:rsidRDefault="00AF2004" w:rsidP="00AF2004">
      <w:pPr>
        <w:pBdr>
          <w:top w:val="nil"/>
          <w:left w:val="nil"/>
          <w:bottom w:val="nil"/>
          <w:right w:val="nil"/>
          <w:between w:val="nil"/>
        </w:pBdr>
        <w:jc w:val="both"/>
        <w:rPr>
          <w:rFonts w:ascii="Verdana" w:eastAsia="Arial" w:hAnsi="Verdana" w:cs="Arial"/>
          <w:color w:val="000000"/>
          <w:sz w:val="12"/>
          <w:szCs w:val="12"/>
        </w:rPr>
      </w:pPr>
    </w:p>
  </w:footnote>
  <w:footnote w:id="2">
    <w:p w14:paraId="02C19FD2" w14:textId="77777777" w:rsidR="00AF2004" w:rsidRPr="00F46BF1" w:rsidRDefault="00AF2004" w:rsidP="00AF2004">
      <w:pPr>
        <w:pBdr>
          <w:top w:val="nil"/>
          <w:left w:val="nil"/>
          <w:bottom w:val="nil"/>
          <w:right w:val="nil"/>
          <w:between w:val="nil"/>
        </w:pBdr>
        <w:ind w:firstLine="708"/>
        <w:rPr>
          <w:rFonts w:ascii="Verdana" w:eastAsia="Arial" w:hAnsi="Verdana" w:cs="Arial"/>
          <w:color w:val="000000"/>
          <w:sz w:val="12"/>
          <w:szCs w:val="12"/>
        </w:rPr>
      </w:pPr>
      <w:r w:rsidRPr="00F46BF1">
        <w:rPr>
          <w:rFonts w:ascii="Verdana" w:hAnsi="Verdana" w:cs="Arial"/>
          <w:sz w:val="12"/>
          <w:szCs w:val="12"/>
          <w:vertAlign w:val="superscript"/>
        </w:rPr>
        <w:footnoteRef/>
      </w:r>
      <w:r w:rsidRPr="00F46BF1">
        <w:rPr>
          <w:rFonts w:ascii="Verdana" w:eastAsia="Arial" w:hAnsi="Verdana" w:cs="Arial"/>
          <w:color w:val="000000"/>
          <w:sz w:val="12"/>
          <w:szCs w:val="12"/>
        </w:rPr>
        <w:t xml:space="preserve"> Corte Constitucional. Sentencia C-736 de 2007. C.P. Marco Gerardo Monroy Cabra.</w:t>
      </w:r>
    </w:p>
  </w:footnote>
  <w:footnote w:id="3">
    <w:p w14:paraId="591CE014" w14:textId="77777777" w:rsidR="00AF2004" w:rsidRPr="00F46BF1" w:rsidRDefault="00AF2004" w:rsidP="00AF2004">
      <w:pPr>
        <w:pBdr>
          <w:top w:val="nil"/>
          <w:left w:val="nil"/>
          <w:bottom w:val="nil"/>
          <w:right w:val="nil"/>
          <w:between w:val="nil"/>
        </w:pBdr>
        <w:ind w:firstLine="606"/>
        <w:rPr>
          <w:rFonts w:ascii="Verdana" w:eastAsia="Arial" w:hAnsi="Verdana" w:cs="Arial"/>
          <w:color w:val="000000"/>
          <w:sz w:val="12"/>
          <w:szCs w:val="12"/>
        </w:rPr>
      </w:pPr>
      <w:r w:rsidRPr="00F46BF1">
        <w:rPr>
          <w:rFonts w:ascii="Verdana" w:hAnsi="Verdana" w:cs="Arial"/>
          <w:sz w:val="12"/>
          <w:szCs w:val="12"/>
          <w:vertAlign w:val="superscript"/>
        </w:rPr>
        <w:footnoteRef/>
      </w:r>
      <w:r w:rsidRPr="00F46BF1">
        <w:rPr>
          <w:rFonts w:ascii="Verdana" w:eastAsia="Arial" w:hAnsi="Verdana" w:cs="Arial"/>
          <w:color w:val="000000"/>
          <w:sz w:val="12"/>
          <w:szCs w:val="12"/>
        </w:rPr>
        <w:t xml:space="preserve"> </w:t>
      </w:r>
      <w:proofErr w:type="spellStart"/>
      <w:r w:rsidRPr="00F46BF1">
        <w:rPr>
          <w:rFonts w:ascii="Verdana" w:eastAsia="Arial" w:hAnsi="Verdana" w:cs="Arial"/>
          <w:color w:val="000000"/>
          <w:sz w:val="12"/>
          <w:szCs w:val="12"/>
        </w:rPr>
        <w:t>Ibíd</w:t>
      </w:r>
      <w:proofErr w:type="spellEnd"/>
      <w:r w:rsidRPr="00F46BF1">
        <w:rPr>
          <w:rFonts w:ascii="Verdana" w:eastAsia="Arial" w:hAnsi="Verdana" w:cs="Arial"/>
          <w:color w:val="000000"/>
          <w:sz w:val="12"/>
          <w:szCs w:val="12"/>
        </w:rPr>
        <w:t>.</w:t>
      </w:r>
    </w:p>
  </w:footnote>
  <w:footnote w:id="4">
    <w:p w14:paraId="43CD403A" w14:textId="77777777" w:rsidR="00AF2004" w:rsidRPr="00F46BF1" w:rsidRDefault="00AF2004" w:rsidP="00AF2004">
      <w:pPr>
        <w:pStyle w:val="Textonotapie"/>
        <w:ind w:firstLine="709"/>
        <w:jc w:val="both"/>
        <w:rPr>
          <w:rFonts w:ascii="Verdana" w:hAnsi="Verdana" w:cs="Arial"/>
          <w:color w:val="000000" w:themeColor="text1"/>
          <w:sz w:val="12"/>
          <w:szCs w:val="12"/>
          <w:lang w:val="es-ES_tradnl"/>
        </w:rPr>
      </w:pPr>
      <w:r w:rsidRPr="00F46BF1">
        <w:rPr>
          <w:rStyle w:val="Refdenotaalpie"/>
          <w:rFonts w:ascii="Verdana" w:hAnsi="Verdana" w:cs="Arial"/>
          <w:color w:val="000000" w:themeColor="text1"/>
          <w:sz w:val="12"/>
          <w:szCs w:val="12"/>
          <w:lang w:val="es-ES_tradnl"/>
        </w:rPr>
        <w:footnoteRef/>
      </w:r>
      <w:r w:rsidRPr="00F46BF1">
        <w:rPr>
          <w:rFonts w:ascii="Verdana" w:hAnsi="Verdana" w:cs="Arial"/>
          <w:color w:val="000000" w:themeColor="text1"/>
          <w:sz w:val="12"/>
          <w:szCs w:val="12"/>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3425BD33" w14:textId="77777777" w:rsidR="00AF2004" w:rsidRPr="00F46BF1" w:rsidRDefault="00AF2004" w:rsidP="00AF2004">
      <w:pPr>
        <w:pStyle w:val="Textonotapie"/>
        <w:ind w:firstLine="709"/>
        <w:jc w:val="both"/>
        <w:rPr>
          <w:rFonts w:ascii="Verdana" w:hAnsi="Verdana" w:cs="Arial"/>
          <w:color w:val="000000" w:themeColor="text1"/>
          <w:sz w:val="12"/>
          <w:szCs w:val="12"/>
          <w:lang w:val="es-ES_tradnl"/>
        </w:rPr>
      </w:pPr>
      <w:r w:rsidRPr="00F46BF1">
        <w:rPr>
          <w:rFonts w:ascii="Verdana" w:hAnsi="Verdana" w:cs="Arial"/>
          <w:color w:val="000000" w:themeColor="text1"/>
          <w:sz w:val="12"/>
          <w:szCs w:val="12"/>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26D815FC" w14:textId="77777777" w:rsidR="00AF2004" w:rsidRPr="00F46BF1" w:rsidRDefault="00AF2004" w:rsidP="00AF2004">
      <w:pPr>
        <w:pStyle w:val="Textonotapie"/>
        <w:ind w:firstLine="709"/>
        <w:jc w:val="both"/>
        <w:rPr>
          <w:rFonts w:ascii="Verdana" w:hAnsi="Verdana" w:cs="Arial"/>
          <w:color w:val="000000" w:themeColor="text1"/>
          <w:sz w:val="12"/>
          <w:szCs w:val="12"/>
          <w:lang w:val="es-ES_tradnl"/>
        </w:rPr>
      </w:pPr>
      <w:r w:rsidRPr="00F46BF1">
        <w:rPr>
          <w:rFonts w:ascii="Verdana" w:hAnsi="Verdana" w:cs="Arial"/>
          <w:color w:val="000000" w:themeColor="text1"/>
          <w:sz w:val="12"/>
          <w:szCs w:val="12"/>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4AD030D3" w14:textId="77777777" w:rsidR="00AF2004" w:rsidRPr="00F46BF1" w:rsidRDefault="00AF2004" w:rsidP="00AF2004">
      <w:pPr>
        <w:pStyle w:val="Textonotapie"/>
        <w:ind w:firstLine="709"/>
        <w:jc w:val="both"/>
        <w:rPr>
          <w:rFonts w:ascii="Verdana" w:hAnsi="Verdana" w:cs="Arial"/>
          <w:color w:val="000000" w:themeColor="text1"/>
          <w:sz w:val="12"/>
          <w:szCs w:val="12"/>
          <w:lang w:val="es-ES_tradnl"/>
        </w:rPr>
      </w:pPr>
    </w:p>
  </w:footnote>
  <w:footnote w:id="5">
    <w:p w14:paraId="2FEDE50C"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Style w:val="Refdenotaalpie"/>
          <w:rFonts w:ascii="Verdana" w:hAnsi="Verdana" w:cs="Arial"/>
          <w:color w:val="000000" w:themeColor="text1"/>
          <w:sz w:val="12"/>
          <w:szCs w:val="12"/>
        </w:rPr>
        <w:footnoteRef/>
      </w:r>
      <w:r w:rsidRPr="00F46BF1">
        <w:rPr>
          <w:rFonts w:ascii="Verdana" w:hAnsi="Verdana" w:cs="Arial"/>
          <w:color w:val="000000" w:themeColor="text1"/>
          <w:sz w:val="12"/>
          <w:szCs w:val="12"/>
        </w:rPr>
        <w:t xml:space="preserve"> En efecto, dicho artículo establece: “Pueden prestar los servicios públicos:</w:t>
      </w:r>
    </w:p>
    <w:p w14:paraId="5478C165"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15.1. Las empresas de servicios públicos.</w:t>
      </w:r>
    </w:p>
    <w:p w14:paraId="37A016D5"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15.2. Las personas naturales o jurídicas que produzcan para ellas mismas, o como consecuencia o complemento de su actividad principal, los bienes y servicios propios del objeto de las empresas de servicios públicos.</w:t>
      </w:r>
    </w:p>
    <w:p w14:paraId="1398CCBD"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15.3. Los municipios cuando asuman en forma directa, a través de su administración central, la prestación de los servicios públicos, conforme a lo dispuesto en esta Ley.</w:t>
      </w:r>
    </w:p>
    <w:p w14:paraId="67F31C97"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15.4. Las organizaciones autorizadas conforme a esta Ley para prestar servicios públicos en municipios menores en zonas rurales y en áreas o zonas urbanas específicas.</w:t>
      </w:r>
    </w:p>
    <w:p w14:paraId="749CB3F4"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15.5. Las entidades autorizadas para prestar servicios públicos durante los períodos de transición previstos en esta Ley.</w:t>
      </w:r>
    </w:p>
    <w:p w14:paraId="3AB09572"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15.6. Las entidades descentralizadas de cualquier orden territorial o nacional que al momento de expedirse esta Ley estén prestando cualquiera de los servicios públicos y se ajusten a lo establecido en el parágrafo del artículo 17”.</w:t>
      </w:r>
    </w:p>
    <w:p w14:paraId="23620F5B" w14:textId="77777777" w:rsidR="00AF2004" w:rsidRPr="00F46BF1" w:rsidRDefault="00AF2004" w:rsidP="00AF2004">
      <w:pPr>
        <w:pStyle w:val="Textonotapie"/>
        <w:ind w:firstLine="709"/>
        <w:jc w:val="both"/>
        <w:rPr>
          <w:rFonts w:ascii="Verdana" w:hAnsi="Verdana" w:cs="Arial"/>
          <w:color w:val="000000" w:themeColor="text1"/>
          <w:sz w:val="12"/>
          <w:szCs w:val="12"/>
          <w:lang w:val="es-ES"/>
        </w:rPr>
      </w:pPr>
    </w:p>
  </w:footnote>
  <w:footnote w:id="6">
    <w:p w14:paraId="03F3E0D7"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Style w:val="Refdenotaalpie"/>
          <w:rFonts w:ascii="Verdana" w:hAnsi="Verdana" w:cs="Arial"/>
          <w:color w:val="000000" w:themeColor="text1"/>
          <w:sz w:val="12"/>
          <w:szCs w:val="12"/>
        </w:rPr>
        <w:footnoteRef/>
      </w:r>
      <w:r w:rsidRPr="00F46BF1">
        <w:rPr>
          <w:rFonts w:ascii="Verdana" w:hAnsi="Verdana" w:cs="Arial"/>
          <w:color w:val="000000" w:themeColor="text1"/>
          <w:sz w:val="12"/>
          <w:szCs w:val="12"/>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E055639"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La regla precedente se aplicará, inclusive, a las sociedades en las que las entidades públicas sean parte, sin atender al porcentaje que sus aportes representen dentro del capital social, ni a la naturaleza del acto o del derecho que se ejerce.</w:t>
      </w:r>
    </w:p>
    <w:p w14:paraId="6DC9926F" w14:textId="77777777" w:rsidR="00AF2004" w:rsidRPr="00F46BF1" w:rsidRDefault="00AF2004" w:rsidP="00AF2004">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footnote>
  <w:footnote w:id="7">
    <w:p w14:paraId="6903A256" w14:textId="77777777" w:rsidR="00AF2004" w:rsidRPr="00F46BF1" w:rsidRDefault="00AF2004" w:rsidP="00AF2004">
      <w:pPr>
        <w:ind w:firstLine="709"/>
        <w:jc w:val="both"/>
        <w:rPr>
          <w:rFonts w:ascii="Verdana" w:hAnsi="Verdana" w:cs="Arial"/>
          <w:color w:val="000000" w:themeColor="text1"/>
          <w:sz w:val="12"/>
          <w:szCs w:val="12"/>
          <w:lang w:val="es-ES_tradnl"/>
        </w:rPr>
      </w:pPr>
      <w:r w:rsidRPr="00F46BF1">
        <w:rPr>
          <w:rStyle w:val="Refdenotaalpie"/>
          <w:rFonts w:ascii="Verdana" w:hAnsi="Verdana" w:cs="Arial"/>
          <w:color w:val="000000" w:themeColor="text1"/>
          <w:sz w:val="12"/>
          <w:szCs w:val="12"/>
          <w:lang w:val="es-ES_tradnl"/>
        </w:rPr>
        <w:footnoteRef/>
      </w:r>
      <w:r w:rsidRPr="00F46BF1">
        <w:rPr>
          <w:rFonts w:ascii="Verdana" w:hAnsi="Verdana" w:cs="Arial"/>
          <w:color w:val="000000" w:themeColor="text1"/>
          <w:sz w:val="12"/>
          <w:szCs w:val="12"/>
          <w:lang w:val="es-ES_tradnl"/>
        </w:rPr>
        <w:t xml:space="preserve"> Consejo de Estado. Sección Tercera, Subsección C. Sentencia del 13 de abril de 2011. </w:t>
      </w:r>
      <w:proofErr w:type="spellStart"/>
      <w:r w:rsidRPr="00F46BF1">
        <w:rPr>
          <w:rFonts w:ascii="Verdana" w:hAnsi="Verdana" w:cs="Arial"/>
          <w:color w:val="000000" w:themeColor="text1"/>
          <w:sz w:val="12"/>
          <w:szCs w:val="12"/>
          <w:lang w:val="es-ES_tradnl"/>
        </w:rPr>
        <w:t>Exp</w:t>
      </w:r>
      <w:proofErr w:type="spellEnd"/>
      <w:r w:rsidRPr="00F46BF1">
        <w:rPr>
          <w:rFonts w:ascii="Verdana" w:hAnsi="Verdana" w:cs="Arial"/>
          <w:color w:val="000000" w:themeColor="text1"/>
          <w:sz w:val="12"/>
          <w:szCs w:val="12"/>
          <w:lang w:val="es-ES_tradnl"/>
        </w:rPr>
        <w:t xml:space="preserve">. 37423. Consejero Ponente: Jaime Orlando Santofimio Gamboa. En similar sentido, puede verse la Sentencia del Consejo de Estado. Sección Tercera. Subsección B, del 15 de noviembre de 2011. </w:t>
      </w:r>
      <w:proofErr w:type="spellStart"/>
      <w:r w:rsidRPr="00F46BF1">
        <w:rPr>
          <w:rFonts w:ascii="Verdana" w:hAnsi="Verdana" w:cs="Arial"/>
          <w:color w:val="000000" w:themeColor="text1"/>
          <w:sz w:val="12"/>
          <w:szCs w:val="12"/>
          <w:lang w:val="es-ES_tradnl"/>
        </w:rPr>
        <w:t>Exp</w:t>
      </w:r>
      <w:proofErr w:type="spellEnd"/>
      <w:r w:rsidRPr="00F46BF1">
        <w:rPr>
          <w:rFonts w:ascii="Verdana" w:hAnsi="Verdana" w:cs="Arial"/>
          <w:color w:val="000000" w:themeColor="text1"/>
          <w:sz w:val="12"/>
          <w:szCs w:val="12"/>
          <w:lang w:val="es-ES_tradnl"/>
        </w:rPr>
        <w:t>. 21178. Consejera ponente: Ruth Stella Correa Palacio.</w:t>
      </w:r>
    </w:p>
  </w:footnote>
  <w:footnote w:id="8">
    <w:p w14:paraId="4B779A61" w14:textId="77777777" w:rsidR="00AF2004" w:rsidRPr="00F46BF1" w:rsidRDefault="00AF2004" w:rsidP="00AF2004">
      <w:pPr>
        <w:ind w:firstLine="709"/>
        <w:jc w:val="both"/>
        <w:rPr>
          <w:rFonts w:ascii="Verdana" w:eastAsia="Calibri" w:hAnsi="Verdana" w:cs="Arial"/>
          <w:color w:val="000000" w:themeColor="text1"/>
          <w:sz w:val="12"/>
          <w:szCs w:val="12"/>
          <w:lang w:val="es-ES_tradnl"/>
        </w:rPr>
      </w:pPr>
      <w:r w:rsidRPr="00F46BF1">
        <w:rPr>
          <w:rStyle w:val="Refdenotaalpie"/>
          <w:rFonts w:ascii="Verdana" w:hAnsi="Verdana" w:cs="Arial"/>
          <w:color w:val="000000" w:themeColor="text1"/>
          <w:sz w:val="12"/>
          <w:szCs w:val="12"/>
        </w:rPr>
        <w:footnoteRef/>
      </w:r>
      <w:r w:rsidRPr="00F46BF1">
        <w:rPr>
          <w:rFonts w:ascii="Verdana" w:hAnsi="Verdana" w:cs="Arial"/>
          <w:color w:val="000000" w:themeColor="text1"/>
          <w:sz w:val="12"/>
          <w:szCs w:val="12"/>
        </w:rPr>
        <w:t xml:space="preserve"> </w:t>
      </w:r>
      <w:r w:rsidRPr="00F46BF1">
        <w:rPr>
          <w:rFonts w:ascii="Verdana" w:hAnsi="Verdana" w:cs="Arial"/>
          <w:color w:val="000000" w:themeColor="text1"/>
          <w:sz w:val="12"/>
          <w:szCs w:val="12"/>
          <w:lang w:val="es-ES"/>
        </w:rPr>
        <w:t>Esta norma dispone: “</w:t>
      </w:r>
      <w:r w:rsidRPr="00F46BF1">
        <w:rPr>
          <w:rFonts w:ascii="Verdana" w:eastAsia="Calibri" w:hAnsi="Verdana" w:cs="Arial"/>
          <w:color w:val="000000" w:themeColor="text1"/>
          <w:sz w:val="12"/>
          <w:szCs w:val="12"/>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9">
    <w:p w14:paraId="466A4C9C" w14:textId="77777777" w:rsidR="00AF2004" w:rsidRPr="00F46BF1" w:rsidRDefault="00AF2004" w:rsidP="00AF2004">
      <w:pPr>
        <w:pStyle w:val="Textonotapie"/>
        <w:ind w:firstLine="709"/>
        <w:contextualSpacing/>
        <w:jc w:val="both"/>
        <w:rPr>
          <w:rFonts w:ascii="Verdana" w:hAnsi="Verdana" w:cs="Arial"/>
          <w:color w:val="000000"/>
          <w:sz w:val="12"/>
          <w:szCs w:val="12"/>
        </w:rPr>
      </w:pPr>
    </w:p>
    <w:p w14:paraId="7709E08C" w14:textId="77777777" w:rsidR="00AF2004" w:rsidRPr="00F46BF1" w:rsidRDefault="00AF2004" w:rsidP="00AF2004">
      <w:pPr>
        <w:spacing w:after="0" w:line="276" w:lineRule="auto"/>
        <w:ind w:firstLine="708"/>
        <w:contextualSpacing/>
        <w:jc w:val="both"/>
        <w:rPr>
          <w:rFonts w:ascii="Verdana" w:hAnsi="Verdana" w:cs="Arial"/>
          <w:color w:val="000000"/>
          <w:sz w:val="12"/>
          <w:szCs w:val="12"/>
        </w:rPr>
      </w:pPr>
      <w:r w:rsidRPr="00F46BF1">
        <w:rPr>
          <w:rStyle w:val="Refdenotaalpie"/>
          <w:rFonts w:ascii="Verdana" w:hAnsi="Verdana" w:cs="Arial"/>
          <w:color w:val="000000"/>
          <w:sz w:val="12"/>
          <w:szCs w:val="12"/>
        </w:rPr>
        <w:footnoteRef/>
      </w:r>
      <w:r w:rsidRPr="00F46BF1">
        <w:rPr>
          <w:rFonts w:ascii="Verdana" w:hAnsi="Verdana" w:cs="Arial"/>
          <w:color w:val="000000"/>
          <w:sz w:val="12"/>
          <w:szCs w:val="12"/>
        </w:rPr>
        <w:t xml:space="preserve"> </w:t>
      </w:r>
      <w:r w:rsidRPr="00F46BF1">
        <w:rPr>
          <w:rFonts w:ascii="Verdana" w:eastAsia="Calibri" w:hAnsi="Verdana" w:cstheme="majorHAnsi"/>
          <w:bCs/>
          <w:sz w:val="12"/>
          <w:szCs w:val="12"/>
          <w:lang w:val="es-MX"/>
        </w:rPr>
        <w:t>La Corte Constitucional ha señalado que el principio de publicidad es la garantía que tienen las personas de conocer las actuaciones judiciales y administrativas. De este modo, explica:</w:t>
      </w:r>
      <m:oMath>
        <m:r>
          <m:rPr>
            <m:sty m:val="p"/>
          </m:rPr>
          <w:rPr>
            <w:rFonts w:ascii="Cambria Math" w:eastAsia="Calibri" w:hAnsi="Cambria Math" w:cstheme="majorHAnsi"/>
            <w:sz w:val="12"/>
            <w:szCs w:val="12"/>
            <w:lang w:val="es-MX"/>
          </w:rPr>
          <m:t>“</m:t>
        </m:r>
      </m:oMath>
      <w:r w:rsidRPr="00F46BF1">
        <w:rPr>
          <w:rFonts w:ascii="Verdana" w:eastAsia="Calibri" w:hAnsi="Verdana" w:cstheme="majorHAnsi"/>
          <w:bCs/>
          <w:sz w:val="12"/>
          <w:szCs w:val="12"/>
          <w:lang w:val="es-MX"/>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w:t>
      </w:r>
      <w:proofErr w:type="spellStart"/>
      <w:r w:rsidRPr="00F46BF1">
        <w:rPr>
          <w:rFonts w:ascii="Verdana" w:eastAsia="Calibri" w:hAnsi="Verdana" w:cstheme="majorHAnsi"/>
          <w:bCs/>
          <w:sz w:val="12"/>
          <w:szCs w:val="12"/>
          <w:lang w:val="es-MX"/>
        </w:rPr>
        <w:t>ación</w:t>
      </w:r>
      <w:proofErr w:type="spellEnd"/>
      <w:r w:rsidRPr="00F46BF1">
        <w:rPr>
          <w:rFonts w:ascii="Verdana" w:eastAsia="Calibri" w:hAnsi="Verdana" w:cstheme="majorHAnsi"/>
          <w:bCs/>
          <w:sz w:val="12"/>
          <w:szCs w:val="12"/>
          <w:lang w:val="es-MX"/>
        </w:rPr>
        <w:t xml:space="preserve"> y la segunda, como el reconocimiento del derecho que tiene la comunidad de conocer las actuaciones de las </w:t>
      </w:r>
      <w:proofErr w:type="gramStart"/>
      <w:r w:rsidRPr="00F46BF1">
        <w:rPr>
          <w:rFonts w:ascii="Verdana" w:eastAsia="Calibri" w:hAnsi="Verdana" w:cstheme="majorHAnsi"/>
          <w:bCs/>
          <w:sz w:val="12"/>
          <w:szCs w:val="12"/>
          <w:lang w:val="es-MX"/>
        </w:rPr>
        <w:t>autoridades públicas</w:t>
      </w:r>
      <w:proofErr w:type="gramEnd"/>
      <w:r w:rsidRPr="00F46BF1">
        <w:rPr>
          <w:rFonts w:ascii="Verdana" w:eastAsia="Calibri" w:hAnsi="Verdana" w:cstheme="majorHAnsi"/>
          <w:bCs/>
          <w:sz w:val="12"/>
          <w:szCs w:val="12"/>
          <w:lang w:val="es-MX"/>
        </w:rPr>
        <w:t xml:space="preserve"> y, a través de ese conocimiento, a exigir que ellas se surtan conforme a la ley”.</w:t>
      </w:r>
      <w:r w:rsidRPr="00F46BF1">
        <w:rPr>
          <w:rFonts w:ascii="Verdana" w:hAnsi="Verdana" w:cs="Arial"/>
          <w:color w:val="000000"/>
          <w:sz w:val="12"/>
          <w:szCs w:val="12"/>
        </w:rPr>
        <w:t xml:space="preserve"> Corte Constitucional. Sentencia C- 341 del 4 de junio de 2014. M. P. Mauricio González Cuervo.</w:t>
      </w:r>
    </w:p>
    <w:p w14:paraId="50F85FEE" w14:textId="77777777" w:rsidR="00AF2004" w:rsidRPr="00F46BF1" w:rsidRDefault="00AF2004" w:rsidP="00AF2004">
      <w:pPr>
        <w:pStyle w:val="Textonotapie"/>
        <w:ind w:firstLine="709"/>
        <w:contextualSpacing/>
        <w:jc w:val="both"/>
        <w:rPr>
          <w:rFonts w:ascii="Verdana" w:hAnsi="Verdana" w:cs="Arial"/>
          <w:color w:val="000000"/>
          <w:sz w:val="12"/>
          <w:szCs w:val="12"/>
        </w:rPr>
      </w:pPr>
    </w:p>
  </w:footnote>
  <w:footnote w:id="10">
    <w:p w14:paraId="63851E14" w14:textId="77777777" w:rsidR="00AF2004" w:rsidRPr="00F46BF1" w:rsidRDefault="00AF2004" w:rsidP="00AF2004">
      <w:pPr>
        <w:pStyle w:val="Textonotapie"/>
        <w:ind w:firstLine="709"/>
        <w:contextualSpacing/>
        <w:jc w:val="both"/>
        <w:rPr>
          <w:rFonts w:ascii="Verdana" w:hAnsi="Verdana" w:cs="Arial"/>
          <w:color w:val="000000"/>
          <w:sz w:val="12"/>
          <w:szCs w:val="12"/>
        </w:rPr>
      </w:pPr>
      <w:r w:rsidRPr="00F46BF1">
        <w:rPr>
          <w:rStyle w:val="Refdenotaalpie"/>
          <w:rFonts w:ascii="Verdana" w:hAnsi="Verdana" w:cs="Arial"/>
          <w:color w:val="000000"/>
          <w:sz w:val="12"/>
          <w:szCs w:val="12"/>
        </w:rPr>
        <w:footnoteRef/>
      </w:r>
      <w:r w:rsidRPr="00F46BF1">
        <w:rPr>
          <w:rFonts w:ascii="Verdana" w:hAnsi="Verdana" w:cs="Arial"/>
          <w:color w:val="000000"/>
          <w:sz w:val="12"/>
          <w:szCs w:val="12"/>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4DFBF55" w14:textId="77777777" w:rsidR="00AF2004" w:rsidRPr="00F46BF1" w:rsidRDefault="00AF2004" w:rsidP="00AF2004">
      <w:pPr>
        <w:pStyle w:val="Textonotapie"/>
        <w:ind w:firstLine="709"/>
        <w:contextualSpacing/>
        <w:jc w:val="both"/>
        <w:rPr>
          <w:rFonts w:ascii="Verdana" w:hAnsi="Verdana" w:cs="Arial"/>
          <w:color w:val="000000"/>
          <w:sz w:val="12"/>
          <w:szCs w:val="12"/>
        </w:rPr>
      </w:pPr>
      <w:r w:rsidRPr="00F46BF1">
        <w:rPr>
          <w:rFonts w:ascii="Verdana" w:hAnsi="Verdana" w:cs="Arial"/>
          <w:color w:val="000000"/>
          <w:sz w:val="12"/>
          <w:szCs w:val="12"/>
        </w:rPr>
        <w:t>Lo anterior, sin perjuicio de las publicaciones previstas en el numeral 3 del artículo 30 de la Ley 80 de 1993.</w:t>
      </w:r>
    </w:p>
    <w:p w14:paraId="16BBE018" w14:textId="77777777" w:rsidR="00AF2004" w:rsidRPr="00F46BF1" w:rsidRDefault="00AF2004" w:rsidP="00AF2004">
      <w:pPr>
        <w:pStyle w:val="Textonotapie"/>
        <w:ind w:firstLine="709"/>
        <w:contextualSpacing/>
        <w:jc w:val="both"/>
        <w:rPr>
          <w:rFonts w:ascii="Verdana" w:hAnsi="Verdana" w:cs="Arial"/>
          <w:color w:val="000000"/>
          <w:sz w:val="12"/>
          <w:szCs w:val="12"/>
        </w:rPr>
      </w:pPr>
      <w:r w:rsidRPr="00F46BF1">
        <w:rPr>
          <w:rFonts w:ascii="Verdana" w:hAnsi="Verdana" w:cs="Arial"/>
          <w:color w:val="000000"/>
          <w:sz w:val="12"/>
          <w:szCs w:val="12"/>
        </w:rPr>
        <w:t xml:space="preserve">Con el fin de materializar los objetivos a que se refiere el inciso anterior, el Gobierno Nacional desarrollará el Sistema Electrónico para la Contratación Pública, </w:t>
      </w:r>
      <w:proofErr w:type="spellStart"/>
      <w:r w:rsidRPr="00F46BF1">
        <w:rPr>
          <w:rFonts w:ascii="Verdana" w:hAnsi="Verdana" w:cs="Arial"/>
          <w:color w:val="000000"/>
          <w:sz w:val="12"/>
          <w:szCs w:val="12"/>
        </w:rPr>
        <w:t>Secop</w:t>
      </w:r>
      <w:proofErr w:type="spellEnd"/>
      <w:r w:rsidRPr="00F46BF1">
        <w:rPr>
          <w:rFonts w:ascii="Verdana" w:hAnsi="Verdana" w:cs="Arial"/>
          <w:color w:val="000000"/>
          <w:sz w:val="12"/>
          <w:szCs w:val="12"/>
        </w:rPr>
        <w:t xml:space="preserve">, el cual: </w:t>
      </w:r>
    </w:p>
    <w:p w14:paraId="4090C5BF" w14:textId="77777777" w:rsidR="00AF2004" w:rsidRPr="00F46BF1" w:rsidRDefault="00AF2004" w:rsidP="00AF2004">
      <w:pPr>
        <w:pStyle w:val="Textonotapie"/>
        <w:ind w:firstLine="709"/>
        <w:contextualSpacing/>
        <w:jc w:val="both"/>
        <w:rPr>
          <w:rFonts w:ascii="Verdana" w:hAnsi="Verdana" w:cs="Arial"/>
          <w:color w:val="000000"/>
          <w:sz w:val="12"/>
          <w:szCs w:val="12"/>
        </w:rPr>
      </w:pPr>
      <w:r w:rsidRPr="00F46BF1">
        <w:rPr>
          <w:rFonts w:ascii="Verdana" w:hAnsi="Verdana" w:cs="Arial"/>
          <w:color w:val="000000"/>
          <w:sz w:val="12"/>
          <w:szCs w:val="12"/>
        </w:rPr>
        <w:t>[…]</w:t>
      </w:r>
    </w:p>
    <w:p w14:paraId="0CFEFFBD" w14:textId="77777777" w:rsidR="00AF2004" w:rsidRPr="00F46BF1" w:rsidRDefault="00AF2004" w:rsidP="00AF2004">
      <w:pPr>
        <w:pStyle w:val="Textonotapie"/>
        <w:ind w:firstLine="709"/>
        <w:contextualSpacing/>
        <w:jc w:val="both"/>
        <w:rPr>
          <w:rFonts w:ascii="Verdana" w:hAnsi="Verdana" w:cs="Arial"/>
          <w:color w:val="000000"/>
          <w:sz w:val="12"/>
          <w:szCs w:val="12"/>
        </w:rPr>
      </w:pPr>
      <w:r w:rsidRPr="00F46BF1">
        <w:rPr>
          <w:rFonts w:ascii="Verdana" w:hAnsi="Verdana" w:cs="Arial"/>
          <w:color w:val="000000"/>
          <w:sz w:val="12"/>
          <w:szCs w:val="12"/>
        </w:rPr>
        <w:t xml:space="preserve">c) Contará con la información oficial de la contratación realizada con dineros públicos, para lo cual establecerá los patrones a que haya lugar y se encargará de su difusión a través de canales electrónico”. </w:t>
      </w:r>
    </w:p>
    <w:p w14:paraId="2DA5B6D9" w14:textId="77777777" w:rsidR="00AF2004" w:rsidRPr="00F46BF1" w:rsidRDefault="00AF2004" w:rsidP="00AF2004">
      <w:pPr>
        <w:pStyle w:val="Textonotapie"/>
        <w:ind w:firstLine="709"/>
        <w:contextualSpacing/>
        <w:jc w:val="both"/>
        <w:rPr>
          <w:rFonts w:ascii="Verdana" w:hAnsi="Verdana" w:cs="Arial"/>
          <w:color w:val="000000"/>
          <w:sz w:val="12"/>
          <w:szCs w:val="12"/>
        </w:rPr>
      </w:pPr>
    </w:p>
  </w:footnote>
  <w:footnote w:id="11">
    <w:p w14:paraId="49647DB8" w14:textId="77777777" w:rsidR="00AF2004" w:rsidRPr="00F46BF1" w:rsidRDefault="00AF2004" w:rsidP="00AF2004">
      <w:pPr>
        <w:pStyle w:val="Textonotapie"/>
        <w:ind w:firstLine="709"/>
        <w:jc w:val="both"/>
        <w:rPr>
          <w:rFonts w:ascii="Verdana" w:hAnsi="Verdana" w:cs="Arial"/>
          <w:sz w:val="12"/>
          <w:szCs w:val="12"/>
        </w:rPr>
      </w:pPr>
      <w:r w:rsidRPr="00F46BF1">
        <w:rPr>
          <w:rStyle w:val="Refdenotaalpie"/>
          <w:rFonts w:ascii="Verdana" w:hAnsi="Verdana" w:cs="Arial"/>
          <w:sz w:val="12"/>
          <w:szCs w:val="12"/>
        </w:rPr>
        <w:footnoteRef/>
      </w:r>
      <w:r w:rsidRPr="00F46BF1">
        <w:rPr>
          <w:rFonts w:ascii="Verdana" w:hAnsi="Verdana" w:cs="Arial"/>
          <w:sz w:val="12"/>
          <w:szCs w:val="12"/>
        </w:rPr>
        <w:t xml:space="preserve"> Ley 1437 de 2011: “Artículo 24. Informaciones y documentos reservados. Solo tendrán carácter reservado las informaciones y documentos expresamente sometidos a reserva por la Constitución Política o la ley, y en especial:  </w:t>
      </w:r>
    </w:p>
    <w:p w14:paraId="2F37E259"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1. Los relacionados con la defensa o seguridad nacionales.  </w:t>
      </w:r>
    </w:p>
    <w:p w14:paraId="0DF33665"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2. Las instrucciones en materia diplomática o sobre negociaciones reservadas.  </w:t>
      </w:r>
    </w:p>
    <w:p w14:paraId="467A6DCC"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61D31249"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797158ED"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5. Los datos referentes a la información financiera y comercial, en los términos de la Ley Estatutaria 1266 de 2008.  </w:t>
      </w:r>
    </w:p>
    <w:p w14:paraId="0C6D7735"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6. Los protegidos por el secreto comercial o industrial, así como los planes estratégicos de las empresas públicas de servicios públicos.  </w:t>
      </w:r>
    </w:p>
    <w:p w14:paraId="5E82F083"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7. Los amparados por el secreto profesional.  </w:t>
      </w:r>
    </w:p>
    <w:p w14:paraId="6051BDA3"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8. Los datos genéticos humanos.  </w:t>
      </w:r>
    </w:p>
    <w:p w14:paraId="3AE4ED35" w14:textId="77777777" w:rsidR="00AF2004" w:rsidRPr="00F46BF1" w:rsidRDefault="00AF2004" w:rsidP="00AF2004">
      <w:pPr>
        <w:pStyle w:val="Textonotapie"/>
        <w:ind w:firstLine="709"/>
        <w:jc w:val="both"/>
        <w:rPr>
          <w:rFonts w:ascii="Verdana" w:hAnsi="Verdana" w:cs="Arial"/>
          <w:sz w:val="12"/>
          <w:szCs w:val="12"/>
        </w:rPr>
      </w:pPr>
      <w:r w:rsidRPr="00F46BF1">
        <w:rPr>
          <w:rFonts w:ascii="Verdana" w:hAnsi="Verdana" w:cs="Arial"/>
          <w:sz w:val="12"/>
          <w:szCs w:val="12"/>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7B6CDFAB" w14:textId="77777777" w:rsidR="00AF2004" w:rsidRPr="00F46BF1" w:rsidRDefault="00AF2004" w:rsidP="00AF2004">
      <w:pPr>
        <w:pStyle w:val="Textonotapie"/>
        <w:ind w:firstLine="709"/>
        <w:jc w:val="both"/>
        <w:rPr>
          <w:rFonts w:ascii="Verdana" w:hAnsi="Verdana" w:cs="Arial"/>
          <w:sz w:val="12"/>
          <w:szCs w:val="12"/>
        </w:rPr>
      </w:pPr>
    </w:p>
  </w:footnote>
  <w:footnote w:id="12">
    <w:p w14:paraId="1ACDA606" w14:textId="77777777" w:rsidR="00AF2004" w:rsidRPr="00F46BF1" w:rsidRDefault="00AF2004" w:rsidP="00AF2004">
      <w:pPr>
        <w:pStyle w:val="Textonotapie"/>
        <w:ind w:firstLine="708"/>
        <w:rPr>
          <w:rFonts w:ascii="Verdana" w:hAnsi="Verdana"/>
          <w:sz w:val="12"/>
          <w:szCs w:val="12"/>
        </w:rPr>
      </w:pPr>
      <w:r w:rsidRPr="00F46BF1">
        <w:rPr>
          <w:rStyle w:val="Refdenotaalpie"/>
          <w:rFonts w:ascii="Verdana" w:hAnsi="Verdana"/>
          <w:sz w:val="12"/>
          <w:szCs w:val="12"/>
        </w:rPr>
        <w:footnoteRef/>
      </w:r>
      <w:r w:rsidRPr="00F46BF1">
        <w:rPr>
          <w:rFonts w:ascii="Verdana" w:hAnsi="Verdana"/>
          <w:sz w:val="12"/>
          <w:szCs w:val="12"/>
        </w:rPr>
        <w:t xml:space="preserve"> REYES VILLAMIZAR, Francisco. Derecho societario. Tomo I.  Editorial Temis, Bogotá, 2020. </w:t>
      </w:r>
      <w:proofErr w:type="spellStart"/>
      <w:r w:rsidRPr="00F46BF1">
        <w:rPr>
          <w:rFonts w:ascii="Verdana" w:hAnsi="Verdana"/>
          <w:sz w:val="12"/>
          <w:szCs w:val="12"/>
        </w:rPr>
        <w:t>pág</w:t>
      </w:r>
      <w:proofErr w:type="spellEnd"/>
      <w:r w:rsidRPr="00F46BF1">
        <w:rPr>
          <w:rFonts w:ascii="Verdana" w:hAnsi="Verdana"/>
          <w:sz w:val="12"/>
          <w:szCs w:val="12"/>
        </w:rPr>
        <w:t xml:space="preserve"> 44. </w:t>
      </w:r>
    </w:p>
    <w:p w14:paraId="5E66F43E" w14:textId="77777777" w:rsidR="00AF2004" w:rsidRPr="00F46BF1" w:rsidRDefault="00AF2004" w:rsidP="00AF2004">
      <w:pPr>
        <w:pStyle w:val="Textonotapie"/>
        <w:ind w:firstLine="708"/>
        <w:rPr>
          <w:rFonts w:ascii="Verdana" w:hAnsi="Verdana"/>
          <w:sz w:val="12"/>
          <w:szCs w:val="12"/>
        </w:rPr>
      </w:pPr>
      <w:r w:rsidRPr="00F46BF1">
        <w:rPr>
          <w:rFonts w:ascii="Verdana" w:hAnsi="Verdana"/>
          <w:sz w:val="12"/>
          <w:szCs w:val="12"/>
        </w:rPr>
        <w:t xml:space="preserve"> </w:t>
      </w:r>
    </w:p>
  </w:footnote>
  <w:footnote w:id="13">
    <w:p w14:paraId="2EB4D3FA" w14:textId="77777777" w:rsidR="00AF2004" w:rsidRPr="00F46BF1" w:rsidRDefault="00AF2004" w:rsidP="00AF2004">
      <w:pPr>
        <w:pStyle w:val="Textonotapie"/>
        <w:ind w:firstLine="708"/>
        <w:rPr>
          <w:rFonts w:ascii="Verdana" w:hAnsi="Verdana"/>
          <w:sz w:val="12"/>
          <w:szCs w:val="12"/>
        </w:rPr>
      </w:pPr>
      <w:r w:rsidRPr="00F46BF1">
        <w:rPr>
          <w:rStyle w:val="Refdenotaalpie"/>
          <w:rFonts w:ascii="Verdana" w:hAnsi="Verdana"/>
          <w:sz w:val="12"/>
          <w:szCs w:val="12"/>
        </w:rPr>
        <w:footnoteRef/>
      </w:r>
      <w:r w:rsidRPr="00F46BF1">
        <w:rPr>
          <w:rFonts w:ascii="Verdana" w:hAnsi="Verdana"/>
          <w:sz w:val="12"/>
          <w:szCs w:val="12"/>
        </w:rPr>
        <w:t xml:space="preserve"> Ibid.  </w:t>
      </w:r>
    </w:p>
  </w:footnote>
  <w:footnote w:id="14">
    <w:p w14:paraId="6A34F569" w14:textId="77777777" w:rsidR="00AF2004" w:rsidRPr="00F46BF1" w:rsidRDefault="00AF2004" w:rsidP="00AF2004">
      <w:pPr>
        <w:pStyle w:val="Textonotapie"/>
        <w:ind w:firstLine="708"/>
        <w:rPr>
          <w:rFonts w:ascii="Verdana" w:hAnsi="Verdana"/>
          <w:sz w:val="12"/>
          <w:szCs w:val="12"/>
        </w:rPr>
      </w:pPr>
    </w:p>
    <w:p w14:paraId="0CB7A3F3" w14:textId="77777777" w:rsidR="00AF2004" w:rsidRPr="00F46BF1" w:rsidRDefault="00AF2004" w:rsidP="00AF2004">
      <w:pPr>
        <w:pStyle w:val="Textonotapie"/>
        <w:ind w:firstLine="708"/>
        <w:jc w:val="both"/>
        <w:rPr>
          <w:rFonts w:ascii="Verdana" w:hAnsi="Verdana"/>
          <w:sz w:val="12"/>
          <w:szCs w:val="12"/>
          <w:lang w:val="es-CO"/>
        </w:rPr>
      </w:pPr>
      <w:r w:rsidRPr="00F46BF1">
        <w:rPr>
          <w:rStyle w:val="Refdenotaalpie"/>
          <w:rFonts w:ascii="Verdana" w:hAnsi="Verdana"/>
          <w:sz w:val="12"/>
          <w:szCs w:val="12"/>
        </w:rPr>
        <w:footnoteRef/>
      </w:r>
      <w:r w:rsidRPr="00F46BF1">
        <w:rPr>
          <w:rFonts w:ascii="Verdana" w:hAnsi="Verdana"/>
          <w:sz w:val="12"/>
          <w:szCs w:val="12"/>
        </w:rPr>
        <w:t xml:space="preserve"> </w:t>
      </w:r>
      <w:bookmarkStart w:id="8" w:name="384"/>
      <w:r w:rsidRPr="00F46BF1">
        <w:rPr>
          <w:rFonts w:ascii="Verdana" w:hAnsi="Verdana"/>
          <w:sz w:val="12"/>
          <w:szCs w:val="12"/>
        </w:rPr>
        <w:t>“</w:t>
      </w:r>
      <w:r w:rsidRPr="00F46BF1">
        <w:rPr>
          <w:rFonts w:ascii="Verdana" w:hAnsi="Verdana"/>
          <w:sz w:val="12"/>
          <w:szCs w:val="12"/>
          <w:lang w:val="es-CO"/>
        </w:rPr>
        <w:t>Artículo 384. Definición de suscripción de acciones.</w:t>
      </w:r>
      <w:bookmarkEnd w:id="8"/>
      <w:r w:rsidRPr="00F46BF1">
        <w:rPr>
          <w:rFonts w:ascii="Verdana" w:hAnsi="Verdana"/>
          <w:sz w:val="12"/>
          <w:szCs w:val="12"/>
          <w:lang w:val="es-CO"/>
        </w:rPr>
        <w:t> La suscripción de acciones es un contrato por el cual una persona se obliga a pagar un aporte a la sociedad de acuerdo con el reglamento respectivo y a someterse a sus estatutos. A su vez, la compañía se obliga a reconocerle la calidad de accionista y a entregarle el título correspondiente.</w:t>
      </w:r>
    </w:p>
    <w:p w14:paraId="7C195CD8" w14:textId="77777777" w:rsidR="00AF2004" w:rsidRPr="00F46BF1" w:rsidRDefault="00AF2004" w:rsidP="00AF2004">
      <w:pPr>
        <w:pStyle w:val="Textonotapie"/>
        <w:ind w:firstLine="708"/>
        <w:jc w:val="both"/>
        <w:rPr>
          <w:rFonts w:ascii="Verdana" w:hAnsi="Verdana"/>
          <w:sz w:val="12"/>
          <w:szCs w:val="12"/>
        </w:rPr>
      </w:pPr>
      <w:r w:rsidRPr="00F46BF1">
        <w:rPr>
          <w:rFonts w:ascii="Verdana" w:hAnsi="Verdana"/>
          <w:sz w:val="12"/>
          <w:szCs w:val="12"/>
          <w:lang w:val="es-CO"/>
        </w:rPr>
        <w:t>En el contrato de suscripción no podrá pactarse estipulación alguna que origine una disminución del capital suscrito o del pagado”.</w:t>
      </w:r>
    </w:p>
  </w:footnote>
  <w:footnote w:id="15">
    <w:p w14:paraId="740BB3D1" w14:textId="77777777" w:rsidR="00AF2004" w:rsidRPr="00F46BF1" w:rsidRDefault="00AF2004" w:rsidP="00AF2004">
      <w:pPr>
        <w:pStyle w:val="Textonotapie"/>
        <w:ind w:firstLine="708"/>
        <w:rPr>
          <w:rFonts w:ascii="Verdana" w:hAnsi="Verdana"/>
          <w:sz w:val="12"/>
          <w:szCs w:val="12"/>
        </w:rPr>
      </w:pPr>
    </w:p>
    <w:p w14:paraId="7FFE41BF" w14:textId="77777777" w:rsidR="00AF2004" w:rsidRPr="00F46BF1" w:rsidRDefault="00AF2004" w:rsidP="00AF2004">
      <w:pPr>
        <w:pStyle w:val="Textonotapie"/>
        <w:ind w:firstLine="708"/>
        <w:jc w:val="both"/>
        <w:rPr>
          <w:rFonts w:ascii="Verdana" w:hAnsi="Verdana"/>
          <w:sz w:val="12"/>
          <w:szCs w:val="12"/>
          <w:lang w:val="es-CO"/>
        </w:rPr>
      </w:pPr>
      <w:r w:rsidRPr="00F46BF1">
        <w:rPr>
          <w:rStyle w:val="Refdenotaalpie"/>
          <w:rFonts w:ascii="Verdana" w:hAnsi="Verdana"/>
          <w:sz w:val="12"/>
          <w:szCs w:val="12"/>
        </w:rPr>
        <w:footnoteRef/>
      </w:r>
      <w:r w:rsidRPr="00F46BF1">
        <w:rPr>
          <w:rFonts w:ascii="Verdana" w:hAnsi="Verdana"/>
          <w:sz w:val="12"/>
          <w:szCs w:val="12"/>
        </w:rPr>
        <w:t xml:space="preserve"> </w:t>
      </w:r>
      <w:bookmarkStart w:id="9" w:name="406"/>
      <w:r w:rsidRPr="00F46BF1">
        <w:rPr>
          <w:rFonts w:ascii="Verdana" w:hAnsi="Verdana"/>
          <w:sz w:val="12"/>
          <w:szCs w:val="12"/>
        </w:rPr>
        <w:t>“</w:t>
      </w:r>
      <w:r w:rsidRPr="00F46BF1">
        <w:rPr>
          <w:rFonts w:ascii="Verdana" w:hAnsi="Verdana"/>
          <w:sz w:val="12"/>
          <w:szCs w:val="12"/>
          <w:lang w:val="es-CO"/>
        </w:rPr>
        <w:t>Artículo 406. Negociación de acciones nominativas.</w:t>
      </w:r>
      <w:bookmarkEnd w:id="9"/>
      <w:r w:rsidRPr="00F46BF1">
        <w:rPr>
          <w:rFonts w:ascii="Verdana" w:hAnsi="Verdana"/>
          <w:sz w:val="12"/>
          <w:szCs w:val="12"/>
          <w:lang w:val="es-CO"/>
        </w:rPr>
        <w:t xml:space="preserve"> La enajenación de las acciones nominativas podrá hacerse por el simple acuerdo de las partes; </w:t>
      </w:r>
      <w:proofErr w:type="spellStart"/>
      <w:r w:rsidRPr="00F46BF1">
        <w:rPr>
          <w:rFonts w:ascii="Verdana" w:hAnsi="Verdana"/>
          <w:sz w:val="12"/>
          <w:szCs w:val="12"/>
          <w:lang w:val="es-CO"/>
        </w:rPr>
        <w:t>mas</w:t>
      </w:r>
      <w:proofErr w:type="spellEnd"/>
      <w:r w:rsidRPr="00F46BF1">
        <w:rPr>
          <w:rFonts w:ascii="Verdana" w:hAnsi="Verdana"/>
          <w:sz w:val="12"/>
          <w:szCs w:val="12"/>
          <w:lang w:val="es-CO"/>
        </w:rPr>
        <w:t xml:space="preserve"> para que produzca efecto respecto de la sociedad y de terceros, será necesaria su inscripción en el libro de registro de acciones, mediante orden escrita del enajenante. Esta orden podrá darse en forma de endoso hecho sobre el título respectivo.</w:t>
      </w:r>
    </w:p>
    <w:p w14:paraId="582D4115" w14:textId="77777777" w:rsidR="00AF2004" w:rsidRPr="00F46BF1" w:rsidRDefault="00AF2004" w:rsidP="00AF2004">
      <w:pPr>
        <w:pStyle w:val="Textonotapie"/>
        <w:ind w:firstLine="708"/>
        <w:rPr>
          <w:rFonts w:ascii="Verdana" w:hAnsi="Verdana"/>
          <w:sz w:val="12"/>
          <w:szCs w:val="12"/>
          <w:lang w:val="es-CO"/>
        </w:rPr>
      </w:pPr>
      <w:r w:rsidRPr="00F46BF1">
        <w:rPr>
          <w:rFonts w:ascii="Verdana" w:hAnsi="Verdana"/>
          <w:sz w:val="12"/>
          <w:szCs w:val="12"/>
          <w:lang w:val="es-CO"/>
        </w:rPr>
        <w:t xml:space="preserve">Para hacer la nueva inscripción y expedir el título al adquirente, será menester la previa cancelación de los títulos expedidos al </w:t>
      </w:r>
      <w:proofErr w:type="spellStart"/>
      <w:r w:rsidRPr="00F46BF1">
        <w:rPr>
          <w:rFonts w:ascii="Verdana" w:hAnsi="Verdana"/>
          <w:sz w:val="12"/>
          <w:szCs w:val="12"/>
          <w:lang w:val="es-CO"/>
        </w:rPr>
        <w:t>tradente</w:t>
      </w:r>
      <w:proofErr w:type="spellEnd"/>
      <w:r w:rsidRPr="00F46BF1">
        <w:rPr>
          <w:rFonts w:ascii="Verdana" w:hAnsi="Verdana"/>
          <w:sz w:val="12"/>
          <w:szCs w:val="12"/>
          <w:lang w:val="es-CO"/>
        </w:rPr>
        <w:t>.</w:t>
      </w:r>
    </w:p>
    <w:p w14:paraId="5B26B6D7" w14:textId="77777777" w:rsidR="00AF2004" w:rsidRPr="00F46BF1" w:rsidRDefault="00AF2004" w:rsidP="00AF2004">
      <w:pPr>
        <w:pStyle w:val="Textonotapie"/>
        <w:ind w:firstLine="708"/>
        <w:rPr>
          <w:rFonts w:ascii="Verdana" w:hAnsi="Verdana"/>
          <w:sz w:val="12"/>
          <w:szCs w:val="12"/>
        </w:rPr>
      </w:pPr>
      <w:r w:rsidRPr="00F46BF1">
        <w:rPr>
          <w:rFonts w:ascii="Verdana" w:hAnsi="Verdana"/>
          <w:sz w:val="12"/>
          <w:szCs w:val="12"/>
          <w:lang w:val="es-CO"/>
        </w:rPr>
        <w:t>Parágrafo. En las ventas forzadas y en las adjudicaciones judiciales de acciones nominativas, el registro se hará mediante exhibición del original o de copia auténtica de los documentos pertinentes”.</w:t>
      </w:r>
      <w:r w:rsidRPr="00F46BF1">
        <w:rPr>
          <w:rFonts w:ascii="Verdana" w:hAnsi="Verdana"/>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4BBD"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C76EEDA" wp14:editId="09B60321">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6A2CBFA" wp14:editId="4E77F82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F03989C" w14:textId="77777777" w:rsidR="00000000" w:rsidRDefault="00000000">
    <w:pPr>
      <w:pStyle w:val="Encabezado"/>
    </w:pPr>
  </w:p>
  <w:p w14:paraId="68025164" w14:textId="77777777" w:rsidR="00000000" w:rsidRDefault="00000000" w:rsidP="004A305D">
    <w:pPr>
      <w:spacing w:after="0"/>
      <w:rPr>
        <w:rFonts w:ascii="Verdana" w:hAnsi="Verdana"/>
        <w:b/>
        <w:bCs/>
      </w:rPr>
    </w:pPr>
  </w:p>
  <w:p w14:paraId="3BF9566D" w14:textId="77777777" w:rsidR="00000000" w:rsidRPr="004A305D" w:rsidRDefault="00000000" w:rsidP="00B01B1A">
    <w:pPr>
      <w:spacing w:after="0" w:line="120" w:lineRule="auto"/>
      <w:rPr>
        <w:rFonts w:ascii="Century Gothic" w:eastAsia="Geo" w:hAnsi="Century Gothic" w:cs="Geo"/>
        <w:sz w:val="16"/>
        <w:szCs w:val="16"/>
        <w:lang w:eastAsia="es-CO"/>
      </w:rPr>
    </w:pPr>
  </w:p>
  <w:p w14:paraId="6775590E"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1A"/>
    <w:multiLevelType w:val="multilevel"/>
    <w:tmpl w:val="F9586922"/>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0"/>
        <w:szCs w:val="20"/>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3770745B"/>
    <w:multiLevelType w:val="hybridMultilevel"/>
    <w:tmpl w:val="2048B5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82781270">
    <w:abstractNumId w:val="1"/>
  </w:num>
  <w:num w:numId="2" w16cid:durableId="38071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004"/>
    <w:rsid w:val="000E05F7"/>
    <w:rsid w:val="00274079"/>
    <w:rsid w:val="00317194"/>
    <w:rsid w:val="00857BD5"/>
    <w:rsid w:val="00AB5360"/>
    <w:rsid w:val="00AF2004"/>
    <w:rsid w:val="00B274EB"/>
    <w:rsid w:val="00C27AB6"/>
    <w:rsid w:val="00CD4D0E"/>
    <w:rsid w:val="00D8232D"/>
    <w:rsid w:val="00E32525"/>
    <w:rsid w:val="00E569F8"/>
    <w:rsid w:val="00F44AB6"/>
    <w:rsid w:val="00F82DB7"/>
    <w:rsid w:val="00FA11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F624F"/>
  <w15:chartTrackingRefBased/>
  <w15:docId w15:val="{35127B65-50FE-46D9-A639-CA2F11812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004"/>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F20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2004"/>
    <w:rPr>
      <w:kern w:val="0"/>
      <w14:ligatures w14:val="none"/>
    </w:rPr>
  </w:style>
  <w:style w:type="paragraph" w:styleId="Piedepgina">
    <w:name w:val="footer"/>
    <w:basedOn w:val="Normal"/>
    <w:link w:val="PiedepginaCar"/>
    <w:uiPriority w:val="99"/>
    <w:unhideWhenUsed/>
    <w:rsid w:val="00AF20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2004"/>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AF200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AF200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F200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F2004"/>
    <w:rPr>
      <w:vertAlign w:val="superscript"/>
    </w:rPr>
  </w:style>
  <w:style w:type="character" w:customStyle="1" w:styleId="normaltextrun">
    <w:name w:val="normaltextrun"/>
    <w:basedOn w:val="Fuentedeprrafopredeter"/>
    <w:rsid w:val="00AF2004"/>
  </w:style>
  <w:style w:type="table" w:styleId="Tablaconcuadrcula">
    <w:name w:val="Table Grid"/>
    <w:basedOn w:val="Tablanormal"/>
    <w:uiPriority w:val="39"/>
    <w:qFormat/>
    <w:rsid w:val="00AF20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AF2004"/>
    <w:pPr>
      <w:ind w:left="720"/>
      <w:contextualSpacing/>
    </w:pPr>
    <w:rPr>
      <w:rFonts w:ascii="Geomanist Light" w:hAnsi="Geomanist Light"/>
      <w:lang w:val="es-ES"/>
    </w:rPr>
  </w:style>
  <w:style w:type="character" w:styleId="Hipervnculo">
    <w:name w:val="Hyperlink"/>
    <w:basedOn w:val="Fuentedeprrafopredeter"/>
    <w:uiPriority w:val="99"/>
    <w:unhideWhenUsed/>
    <w:rsid w:val="00AF2004"/>
    <w:rPr>
      <w:color w:val="0000FF"/>
      <w:u w:val="single"/>
    </w:rPr>
  </w:style>
  <w:style w:type="table" w:customStyle="1" w:styleId="Tablaconcuadrcula1">
    <w:name w:val="Tabla con cuadrícula1"/>
    <w:basedOn w:val="Tablanormal"/>
    <w:next w:val="Tablaconcuadrcula"/>
    <w:uiPriority w:val="59"/>
    <w:rsid w:val="00AF200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F2004"/>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2004"/>
    <w:rPr>
      <w:rFonts w:ascii="Geomanist Light" w:hAnsi="Geomanist Light"/>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amarialopezb@yahoo.es" TargetMode="External"/><Relationship Id="rId13" Type="http://schemas.openxmlformats.org/officeDocument/2006/relationships/hyperlink" Target="https://www.colombiacompra.gov.co/sites/cce_public/files/files_2020/boletin_de_realtoria_viii.pdf"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3E7DD0-614A-43F1-819E-456575AC0358}"/>
</file>

<file path=customXml/itemProps2.xml><?xml version="1.0" encoding="utf-8"?>
<ds:datastoreItem xmlns:ds="http://schemas.openxmlformats.org/officeDocument/2006/customXml" ds:itemID="{B096C59A-B014-49D3-9E86-C0ED867B799D}"/>
</file>

<file path=customXml/itemProps3.xml><?xml version="1.0" encoding="utf-8"?>
<ds:datastoreItem xmlns:ds="http://schemas.openxmlformats.org/officeDocument/2006/customXml" ds:itemID="{D5775368-3ECD-446C-BB51-273E6B468E57}"/>
</file>

<file path=docProps/app.xml><?xml version="1.0" encoding="utf-8"?>
<Properties xmlns="http://schemas.openxmlformats.org/officeDocument/2006/extended-properties" xmlns:vt="http://schemas.openxmlformats.org/officeDocument/2006/docPropsVTypes">
  <Template>Normal</Template>
  <TotalTime>21</TotalTime>
  <Pages>18</Pages>
  <Words>6359</Words>
  <Characters>34976</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12</cp:revision>
  <dcterms:created xsi:type="dcterms:W3CDTF">2025-02-18T01:04:00Z</dcterms:created>
  <dcterms:modified xsi:type="dcterms:W3CDTF">2025-02-21T15:56:00Z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