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D43FE" w:rsidR="004D43FE" w:rsidP="004D43FE" w:rsidRDefault="004D43FE" w14:paraId="59DE5D5B" w14:textId="77777777">
      <w:pPr>
        <w:spacing w:after="0" w:line="240" w:lineRule="auto"/>
        <w:jc w:val="both"/>
        <w:rPr>
          <w:rFonts w:ascii="Verdana" w:hAnsi="Verdana" w:eastAsia="Calibri" w:cs="Arial"/>
          <w:b/>
          <w:color w:val="000000" w:themeColor="text1"/>
          <w:lang w:val="es-ES"/>
        </w:rPr>
      </w:pPr>
      <w:r w:rsidRPr="004D43FE">
        <w:rPr>
          <w:rFonts w:ascii="Verdana" w:hAnsi="Verdana" w:eastAsia="Calibri" w:cs="Arial"/>
          <w:b/>
          <w:color w:val="000000" w:themeColor="text1"/>
          <w:lang w:val="es-ES"/>
        </w:rPr>
        <w:t xml:space="preserve">EGCAP – Ámbito de aplicación – Entidades estatales </w:t>
      </w:r>
    </w:p>
    <w:p w:rsidRPr="004D43FE" w:rsidR="004D43FE" w:rsidP="004D43FE" w:rsidRDefault="004D43FE" w14:paraId="42B043F3" w14:textId="77777777">
      <w:pPr>
        <w:spacing w:after="0" w:line="240" w:lineRule="auto"/>
        <w:jc w:val="both"/>
        <w:rPr>
          <w:rFonts w:ascii="Verdana" w:hAnsi="Verdana" w:eastAsia="Calibri" w:cs="Arial"/>
          <w:bCs/>
          <w:color w:val="000000" w:themeColor="text1"/>
          <w:sz w:val="20"/>
          <w:szCs w:val="20"/>
          <w:lang w:val="es-ES"/>
        </w:rPr>
      </w:pPr>
    </w:p>
    <w:p w:rsidRPr="004D43FE" w:rsidR="004D43FE" w:rsidP="004D43FE" w:rsidRDefault="004D43FE" w14:paraId="7F2B9D96" w14:textId="77777777">
      <w:pPr>
        <w:spacing w:after="0" w:line="240" w:lineRule="auto"/>
        <w:jc w:val="both"/>
        <w:rPr>
          <w:rFonts w:ascii="Verdana" w:hAnsi="Verdana" w:eastAsia="Calibri" w:cs="Arial"/>
          <w:bCs/>
          <w:color w:val="000000" w:themeColor="text1"/>
          <w:sz w:val="20"/>
          <w:szCs w:val="20"/>
          <w:lang w:val="es-ES" w:eastAsia="es-ES_tradnl"/>
        </w:rPr>
      </w:pPr>
      <w:r w:rsidRPr="004D43FE">
        <w:rPr>
          <w:rFonts w:ascii="Verdana" w:hAnsi="Verdana" w:eastAsia="Calibri"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4D43FE">
        <w:rPr>
          <w:rFonts w:ascii="Verdana" w:hAnsi="Verdana" w:eastAsia="Calibri" w:cs="Arial"/>
          <w:bCs/>
          <w:i/>
          <w:iCs/>
          <w:color w:val="000000" w:themeColor="text1"/>
          <w:sz w:val="20"/>
          <w:szCs w:val="20"/>
          <w:lang w:val="es-ES" w:eastAsia="es-ES_tradnl"/>
        </w:rPr>
        <w:t>entidades estatales</w:t>
      </w:r>
      <w:r w:rsidRPr="004D43FE">
        <w:rPr>
          <w:rFonts w:ascii="Verdana" w:hAnsi="Verdana" w:eastAsia="Calibri" w:cs="Arial"/>
          <w:bCs/>
          <w:color w:val="000000" w:themeColor="text1"/>
          <w:sz w:val="20"/>
          <w:szCs w:val="20"/>
          <w:lang w:val="es-ES" w:eastAsia="es-ES_tradnl"/>
        </w:rPr>
        <w:t xml:space="preserve">, esto es, aquellas previstas en los literales a) y b) del numeral 1 del artículo 2 </w:t>
      </w:r>
      <w:r w:rsidRPr="004D43FE">
        <w:rPr>
          <w:rFonts w:ascii="Verdana" w:hAnsi="Verdana" w:eastAsia="Calibri" w:cs="Arial"/>
          <w:bCs/>
          <w:i/>
          <w:iCs/>
          <w:color w:val="000000" w:themeColor="text1"/>
          <w:sz w:val="20"/>
          <w:szCs w:val="20"/>
          <w:lang w:val="es-ES" w:eastAsia="es-ES_tradnl"/>
        </w:rPr>
        <w:t>ibidem</w:t>
      </w:r>
      <w:r w:rsidRPr="004D43FE">
        <w:rPr>
          <w:rFonts w:ascii="Verdana" w:hAnsi="Verdana" w:eastAsia="Calibri" w:cs="Arial"/>
          <w:bCs/>
          <w:color w:val="000000" w:themeColor="text1"/>
          <w:sz w:val="20"/>
          <w:szCs w:val="20"/>
          <w:lang w:val="es-ES" w:eastAsia="es-ES_tradnl"/>
        </w:rPr>
        <w:t xml:space="preserve">. La norma citada define la competencia contractual en los siguientes términos: </w:t>
      </w:r>
    </w:p>
    <w:p w:rsidRPr="004D43FE" w:rsidR="004D43FE" w:rsidP="004D43FE" w:rsidRDefault="004D43FE" w14:paraId="47497B4D" w14:textId="77777777">
      <w:pPr>
        <w:spacing w:after="0" w:line="240" w:lineRule="auto"/>
        <w:jc w:val="both"/>
        <w:rPr>
          <w:rFonts w:ascii="Verdana" w:hAnsi="Verdana" w:eastAsia="Calibri" w:cs="Arial"/>
          <w:bCs/>
          <w:color w:val="000000" w:themeColor="text1"/>
          <w:sz w:val="20"/>
          <w:szCs w:val="20"/>
          <w:lang w:val="es-ES" w:eastAsia="es-ES_tradnl"/>
        </w:rPr>
      </w:pPr>
    </w:p>
    <w:p w:rsidRPr="004D43FE" w:rsidR="004D43FE" w:rsidP="004D43FE" w:rsidRDefault="004D43FE" w14:paraId="690C23E5" w14:textId="77777777">
      <w:pPr>
        <w:spacing w:after="0" w:line="240" w:lineRule="auto"/>
        <w:jc w:val="both"/>
        <w:rPr>
          <w:rFonts w:ascii="Verdana" w:hAnsi="Verdana" w:eastAsia="Calibri" w:cs="Arial"/>
          <w:bCs/>
          <w:color w:val="000000" w:themeColor="text1"/>
          <w:sz w:val="20"/>
          <w:szCs w:val="20"/>
          <w:lang w:val="es-ES" w:eastAsia="es-ES_tradnl"/>
        </w:rPr>
      </w:pPr>
      <w:r w:rsidRPr="004D43FE">
        <w:rPr>
          <w:rFonts w:ascii="Verdana" w:hAnsi="Verdana" w:eastAsia="Calibri"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rsidRPr="004D43FE" w:rsidR="004D43FE" w:rsidP="004D43FE" w:rsidRDefault="004D43FE" w14:paraId="11C9E9C0" w14:textId="77777777">
      <w:pPr>
        <w:spacing w:after="0" w:line="240" w:lineRule="auto"/>
        <w:jc w:val="both"/>
        <w:rPr>
          <w:rFonts w:ascii="Verdana" w:hAnsi="Verdana" w:eastAsia="Calibri" w:cs="Arial"/>
          <w:bCs/>
          <w:color w:val="000000" w:themeColor="text1"/>
          <w:sz w:val="20"/>
          <w:szCs w:val="20"/>
          <w:lang w:val="es-ES" w:eastAsia="es-ES_tradnl"/>
        </w:rPr>
      </w:pPr>
      <w:r w:rsidRPr="004D43FE">
        <w:rPr>
          <w:rFonts w:ascii="Verdana" w:hAnsi="Verdana" w:eastAsia="Calibri" w:cs="Arial"/>
          <w:bCs/>
          <w:color w:val="000000" w:themeColor="text1"/>
          <w:sz w:val="20"/>
          <w:szCs w:val="20"/>
          <w:lang w:val="es-ES" w:eastAsia="es-ES_tradnl"/>
        </w:rPr>
        <w:t xml:space="preserve"> </w:t>
      </w:r>
    </w:p>
    <w:p w:rsidRPr="004D43FE" w:rsidR="004D43FE" w:rsidP="004D43FE" w:rsidRDefault="004D43FE" w14:paraId="0A193143" w14:textId="77777777">
      <w:pPr>
        <w:spacing w:after="0" w:line="240" w:lineRule="auto"/>
        <w:jc w:val="both"/>
        <w:rPr>
          <w:rFonts w:ascii="Verdana" w:hAnsi="Verdana" w:eastAsia="Calibri" w:cs="Arial"/>
          <w:color w:val="000000" w:themeColor="text1"/>
          <w:sz w:val="20"/>
          <w:szCs w:val="20"/>
          <w:lang w:val="es-ES_tradnl"/>
        </w:rPr>
      </w:pPr>
      <w:r w:rsidRPr="004D43FE">
        <w:rPr>
          <w:rFonts w:ascii="Verdana" w:hAnsi="Verdana" w:eastAsia="Calibri"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4D43FE">
        <w:rPr>
          <w:rFonts w:ascii="Verdana" w:hAnsi="Verdana" w:eastAsia="Calibri" w:cs="Arial"/>
          <w:color w:val="000000" w:themeColor="text1"/>
          <w:sz w:val="20"/>
          <w:szCs w:val="20"/>
          <w:lang w:val="es-ES_tradnl"/>
        </w:rPr>
        <w:t>.</w:t>
      </w:r>
    </w:p>
    <w:p w:rsidRPr="004D43FE" w:rsidR="004D43FE" w:rsidP="004D43FE" w:rsidRDefault="004D43FE" w14:paraId="038387E6" w14:textId="77777777">
      <w:pPr>
        <w:spacing w:after="0" w:line="240" w:lineRule="auto"/>
        <w:jc w:val="both"/>
        <w:rPr>
          <w:rFonts w:ascii="Verdana" w:hAnsi="Verdana" w:eastAsia="Calibri" w:cs="Arial"/>
          <w:iCs/>
          <w:color w:val="000000" w:themeColor="text1"/>
          <w:sz w:val="20"/>
          <w:szCs w:val="20"/>
          <w:lang w:eastAsia="es-ES_tradnl"/>
        </w:rPr>
      </w:pPr>
    </w:p>
    <w:p w:rsidRPr="004D43FE" w:rsidR="004D43FE" w:rsidP="004D43FE" w:rsidRDefault="004D43FE" w14:paraId="68012AA4" w14:textId="77777777">
      <w:pPr>
        <w:tabs>
          <w:tab w:val="left" w:pos="426"/>
        </w:tabs>
        <w:spacing w:after="0" w:line="240" w:lineRule="auto"/>
        <w:jc w:val="both"/>
        <w:rPr>
          <w:rFonts w:ascii="Verdana" w:hAnsi="Verdana" w:cs="Arial"/>
          <w:b/>
          <w:lang w:eastAsia="es-CO"/>
        </w:rPr>
      </w:pPr>
      <w:r w:rsidRPr="004D43FE">
        <w:rPr>
          <w:rFonts w:ascii="Verdana" w:hAnsi="Verdana" w:cs="Arial"/>
          <w:b/>
          <w:lang w:eastAsia="es-CO"/>
        </w:rPr>
        <w:t xml:space="preserve">CONTRATO ESTATAL – Criterio orgánico  </w:t>
      </w:r>
    </w:p>
    <w:p w:rsidRPr="004D43FE" w:rsidR="004D43FE" w:rsidP="004D43FE" w:rsidRDefault="004D43FE" w14:paraId="0FCDB63D" w14:textId="77777777">
      <w:pPr>
        <w:tabs>
          <w:tab w:val="left" w:pos="426"/>
        </w:tabs>
        <w:spacing w:after="0" w:line="240" w:lineRule="auto"/>
        <w:jc w:val="both"/>
        <w:rPr>
          <w:rFonts w:ascii="Verdana" w:hAnsi="Verdana" w:cs="Arial"/>
          <w:b/>
          <w:sz w:val="20"/>
          <w:szCs w:val="20"/>
          <w:lang w:eastAsia="es-CO"/>
        </w:rPr>
      </w:pPr>
    </w:p>
    <w:p w:rsidRPr="004D43FE" w:rsidR="004D43FE" w:rsidP="004D43FE" w:rsidRDefault="004D43FE" w14:paraId="61D501C6" w14:textId="77777777">
      <w:pPr>
        <w:spacing w:after="0" w:line="240" w:lineRule="auto"/>
        <w:jc w:val="both"/>
        <w:rPr>
          <w:rFonts w:ascii="Verdana" w:hAnsi="Verdana" w:cs="Arial"/>
          <w:bCs/>
          <w:sz w:val="20"/>
          <w:szCs w:val="20"/>
          <w:lang w:val="es-ES" w:eastAsia="es-CO"/>
        </w:rPr>
      </w:pPr>
      <w:r w:rsidRPr="004D43FE">
        <w:rPr>
          <w:rFonts w:ascii="Verdana" w:hAnsi="Verdana" w:cs="Arial"/>
          <w:bCs/>
          <w:sz w:val="20"/>
          <w:szCs w:val="20"/>
          <w:lang w:eastAsia="es-CO"/>
        </w:rPr>
        <w:t>El contrato estatal se identifica por el criterio orgánico o subjetivo, de manera que –como explica el Consejo de Estado– el “[…] elemento esencial para calificar de estatal un contrato, es que haya sido celebrado por una entidad estatal, es decir, una entidad pública con capacidad legal para celebrarlo […]</w:t>
      </w:r>
      <w:proofErr w:type="gramStart"/>
      <w:r w:rsidRPr="004D43FE">
        <w:rPr>
          <w:rFonts w:ascii="Verdana" w:hAnsi="Verdana" w:cs="Arial"/>
          <w:bCs/>
          <w:sz w:val="20"/>
          <w:szCs w:val="20"/>
          <w:lang w:eastAsia="es-CO"/>
        </w:rPr>
        <w:t>” .</w:t>
      </w:r>
      <w:proofErr w:type="gramEnd"/>
      <w:r w:rsidRPr="004D43FE">
        <w:rPr>
          <w:rFonts w:ascii="Verdana" w:hAnsi="Verdana" w:cs="Arial"/>
          <w:bCs/>
          <w:sz w:val="20"/>
          <w:szCs w:val="20"/>
          <w:lang w:eastAsia="es-CO"/>
        </w:rPr>
        <w:t xml:space="preserve"> Por tanto, es el acto jurídico creador de obligaciones a cuya celebración concurra una de entidades estatal, independientemente de que se trate de contratos previstos o tipificados en el derecho privado, en disposiciones especiales o que resulten del ejercicio de la autonomía de la voluntad, como sucede con los que se clasifican como atípicos e innominados</w:t>
      </w:r>
      <w:r w:rsidRPr="004D43FE">
        <w:rPr>
          <w:rFonts w:ascii="Verdana" w:hAnsi="Verdana" w:cs="Arial"/>
          <w:bCs/>
          <w:sz w:val="20"/>
          <w:szCs w:val="20"/>
          <w:lang w:val="es-ES" w:eastAsia="es-CO"/>
        </w:rPr>
        <w:t>.</w:t>
      </w:r>
    </w:p>
    <w:p w:rsidRPr="004D43FE" w:rsidR="004D43FE" w:rsidP="004D43FE" w:rsidRDefault="004D43FE" w14:paraId="43B1EAF0" w14:textId="77777777">
      <w:pPr>
        <w:spacing w:after="0" w:line="240" w:lineRule="auto"/>
        <w:ind w:right="102"/>
        <w:jc w:val="both"/>
        <w:rPr>
          <w:rFonts w:ascii="Verdana" w:hAnsi="Verdana" w:cs="Arial" w:eastAsiaTheme="minorEastAsia"/>
          <w:b/>
          <w:color w:val="000000" w:themeColor="text1"/>
          <w:sz w:val="20"/>
          <w:szCs w:val="20"/>
          <w:lang w:val="es-ES_tradnl" w:eastAsia="es-CO"/>
        </w:rPr>
      </w:pPr>
    </w:p>
    <w:p w:rsidRPr="004D43FE" w:rsidR="004D43FE" w:rsidP="004D43FE" w:rsidRDefault="004D43FE" w14:paraId="1B8EC325" w14:textId="77777777">
      <w:pPr>
        <w:spacing w:after="0" w:line="240" w:lineRule="auto"/>
        <w:ind w:right="102"/>
        <w:jc w:val="both"/>
        <w:rPr>
          <w:rFonts w:ascii="Verdana" w:hAnsi="Verdana" w:cs="Arial" w:eastAsiaTheme="minorEastAsia"/>
          <w:b/>
          <w:color w:val="000000" w:themeColor="text1"/>
          <w:lang w:val="es-ES_tradnl" w:eastAsia="es-CO"/>
        </w:rPr>
      </w:pPr>
      <w:r w:rsidRPr="004D43FE">
        <w:rPr>
          <w:rFonts w:ascii="Verdana" w:hAnsi="Verdana" w:cs="Arial" w:eastAsiaTheme="minorEastAsia"/>
          <w:b/>
          <w:color w:val="000000" w:themeColor="text1"/>
          <w:lang w:val="es-ES_tradnl" w:eastAsia="es-CO"/>
        </w:rPr>
        <w:t xml:space="preserve">CONTRATO DE ARRENDAMIENTO – Definición – Características  </w:t>
      </w:r>
    </w:p>
    <w:p w:rsidRPr="004D43FE" w:rsidR="004D43FE" w:rsidP="004D43FE" w:rsidRDefault="004D43FE" w14:paraId="4EE120A2" w14:textId="77777777">
      <w:pPr>
        <w:spacing w:after="0" w:line="240" w:lineRule="auto"/>
        <w:ind w:right="102"/>
        <w:jc w:val="both"/>
        <w:rPr>
          <w:rFonts w:ascii="Verdana" w:hAnsi="Verdana" w:cs="Arial" w:eastAsiaTheme="minorEastAsia"/>
          <w:color w:val="000000" w:themeColor="text1"/>
          <w:sz w:val="20"/>
          <w:szCs w:val="20"/>
          <w:lang w:val="es-ES_tradnl" w:eastAsia="es-CO"/>
        </w:rPr>
      </w:pPr>
    </w:p>
    <w:p w:rsidRPr="004D43FE" w:rsidR="004D43FE" w:rsidP="004D43FE" w:rsidRDefault="004D43FE" w14:paraId="2DADB78D" w14:textId="77777777">
      <w:pPr>
        <w:spacing w:after="0" w:line="240" w:lineRule="auto"/>
        <w:jc w:val="both"/>
        <w:rPr>
          <w:rFonts w:ascii="Verdana" w:hAnsi="Verdana" w:eastAsia="Arial" w:cs="Arial"/>
          <w:color w:val="000000" w:themeColor="text1"/>
          <w:sz w:val="20"/>
          <w:szCs w:val="20"/>
          <w:lang w:val="es-ES"/>
        </w:rPr>
      </w:pPr>
      <w:r w:rsidRPr="004D43FE">
        <w:rPr>
          <w:rFonts w:ascii="Verdana" w:hAnsi="Verdana" w:eastAsia="Arial" w:cs="Arial"/>
          <w:color w:val="000000" w:themeColor="text1"/>
          <w:sz w:val="20"/>
          <w:szCs w:val="20"/>
          <w:lang w:val="es-ES"/>
        </w:rPr>
        <w:t xml:space="preserve">El artículo 1973 del Código Civil define el arrendamiento como “[…] un contrato en que las dos partes se obligan recíprocamente, la una a conceder el goce de una cosa, o a </w:t>
      </w:r>
      <w:r w:rsidRPr="004D43FE">
        <w:rPr>
          <w:rFonts w:ascii="Verdana" w:hAnsi="Verdana" w:eastAsia="Arial" w:cs="Arial"/>
          <w:color w:val="000000" w:themeColor="text1"/>
          <w:sz w:val="20"/>
          <w:szCs w:val="20"/>
          <w:lang w:val="es-ES"/>
        </w:rPr>
        <w:t>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rsidRPr="004D43FE" w:rsidR="004D43FE" w:rsidP="004D43FE" w:rsidRDefault="004D43FE" w14:paraId="7C6767BF" w14:textId="77777777">
      <w:pPr>
        <w:spacing w:after="0" w:line="240" w:lineRule="auto"/>
        <w:jc w:val="both"/>
        <w:rPr>
          <w:rFonts w:ascii="Verdana" w:hAnsi="Verdana" w:eastAsia="Arial" w:cs="Arial"/>
          <w:color w:val="000000" w:themeColor="text1"/>
          <w:sz w:val="20"/>
          <w:szCs w:val="20"/>
          <w:lang w:val="es-ES"/>
        </w:rPr>
      </w:pPr>
    </w:p>
    <w:p w:rsidRPr="004D43FE" w:rsidR="004D43FE" w:rsidP="004D43FE" w:rsidRDefault="004D43FE" w14:paraId="26040E30" w14:textId="77777777">
      <w:pPr>
        <w:spacing w:after="0" w:line="240" w:lineRule="auto"/>
        <w:jc w:val="both"/>
        <w:rPr>
          <w:rFonts w:ascii="Verdana" w:hAnsi="Verdana" w:eastAsia="Arial" w:cs="Arial"/>
          <w:color w:val="000000" w:themeColor="text1"/>
          <w:sz w:val="20"/>
          <w:szCs w:val="20"/>
        </w:rPr>
      </w:pPr>
      <w:r w:rsidRPr="004D43FE">
        <w:rPr>
          <w:rFonts w:ascii="Verdana" w:hAnsi="Verdana" w:eastAsia="Arial" w:cs="Arial"/>
          <w:color w:val="000000" w:themeColor="text1"/>
          <w:sz w:val="20"/>
          <w:szCs w:val="20"/>
          <w:lang w:val="es-ES"/>
        </w:rPr>
        <w:t xml:space="preserve">En cuanto a sus características, la doctrina ha indicado que el arrendamiento es un contrato: i) bilateral, pues ambas partes se obligan recíprocamente; </w:t>
      </w:r>
      <w:proofErr w:type="spellStart"/>
      <w:r w:rsidRPr="004D43FE">
        <w:rPr>
          <w:rFonts w:ascii="Verdana" w:hAnsi="Verdana" w:eastAsia="Arial" w:cs="Arial"/>
          <w:color w:val="000000" w:themeColor="text1"/>
          <w:sz w:val="20"/>
          <w:szCs w:val="20"/>
          <w:lang w:val="es-ES"/>
        </w:rPr>
        <w:t>ii</w:t>
      </w:r>
      <w:proofErr w:type="spellEnd"/>
      <w:r w:rsidRPr="004D43FE">
        <w:rPr>
          <w:rFonts w:ascii="Verdana" w:hAnsi="Verdana" w:eastAsia="Arial" w:cs="Arial"/>
          <w:color w:val="000000" w:themeColor="text1"/>
          <w:sz w:val="20"/>
          <w:szCs w:val="20"/>
          <w:lang w:val="es-ES"/>
        </w:rPr>
        <w:t xml:space="preserve">) consensual, dado que se perfecciona con el consentimiento ; </w:t>
      </w:r>
      <w:proofErr w:type="spellStart"/>
      <w:r w:rsidRPr="004D43FE">
        <w:rPr>
          <w:rFonts w:ascii="Verdana" w:hAnsi="Verdana" w:eastAsia="Arial" w:cs="Arial"/>
          <w:color w:val="000000" w:themeColor="text1"/>
          <w:sz w:val="20"/>
          <w:szCs w:val="20"/>
          <w:lang w:val="es-ES"/>
        </w:rPr>
        <w:t>iii</w:t>
      </w:r>
      <w:proofErr w:type="spellEnd"/>
      <w:r w:rsidRPr="004D43FE">
        <w:rPr>
          <w:rFonts w:ascii="Verdana" w:hAnsi="Verdana" w:eastAsia="Arial" w:cs="Arial"/>
          <w:color w:val="000000" w:themeColor="text1"/>
          <w:sz w:val="20"/>
          <w:szCs w:val="20"/>
          <w:lang w:val="es-ES"/>
        </w:rPr>
        <w:t xml:space="preserve">) oneroso, ya que ambas partes obtienen utilidades –el arrendatario, el uso y goce del bien, y el arrendador la renta o canon–; </w:t>
      </w:r>
      <w:proofErr w:type="spellStart"/>
      <w:r w:rsidRPr="004D43FE">
        <w:rPr>
          <w:rFonts w:ascii="Verdana" w:hAnsi="Verdana" w:eastAsia="Arial" w:cs="Arial"/>
          <w:color w:val="000000" w:themeColor="text1"/>
          <w:sz w:val="20"/>
          <w:szCs w:val="20"/>
          <w:lang w:val="es-ES"/>
        </w:rPr>
        <w:t>iv</w:t>
      </w:r>
      <w:proofErr w:type="spellEnd"/>
      <w:r w:rsidRPr="004D43FE">
        <w:rPr>
          <w:rFonts w:ascii="Verdana" w:hAnsi="Verdana" w:eastAsia="Arial" w:cs="Arial"/>
          <w:color w:val="000000" w:themeColor="text1"/>
          <w:sz w:val="20"/>
          <w:szCs w:val="20"/>
          <w:lang w:val="es-ES"/>
        </w:rPr>
        <w:t>) de ejecución sucesiva, en la medida en que se ejecuta en forma periódica; v) principal, porque existe en forma autónoma; y v) nominado, porque está tipificado y desarrollado en la ley</w:t>
      </w:r>
      <w:r w:rsidRPr="004D43FE">
        <w:rPr>
          <w:rFonts w:ascii="Verdana" w:hAnsi="Verdana" w:eastAsia="Arial" w:cs="Arial"/>
          <w:color w:val="000000" w:themeColor="text1"/>
          <w:sz w:val="20"/>
          <w:szCs w:val="20"/>
        </w:rPr>
        <w:t xml:space="preserve">. </w:t>
      </w:r>
    </w:p>
    <w:p w:rsidRPr="004D43FE" w:rsidR="004D43FE" w:rsidP="004D43FE" w:rsidRDefault="004D43FE" w14:paraId="04A10E66" w14:textId="77777777">
      <w:pPr>
        <w:spacing w:after="0" w:line="240" w:lineRule="auto"/>
        <w:ind w:right="102"/>
        <w:jc w:val="both"/>
        <w:rPr>
          <w:rFonts w:ascii="Verdana" w:hAnsi="Verdana" w:cs="Arial" w:eastAsiaTheme="minorEastAsia"/>
          <w:b/>
          <w:color w:val="000000" w:themeColor="text1"/>
          <w:sz w:val="20"/>
          <w:szCs w:val="20"/>
          <w:lang w:val="es-ES_tradnl" w:eastAsia="es-CO"/>
        </w:rPr>
      </w:pPr>
    </w:p>
    <w:p w:rsidRPr="004D43FE" w:rsidR="004D43FE" w:rsidP="004D43FE" w:rsidRDefault="004D43FE" w14:paraId="31B2130E" w14:textId="77777777">
      <w:pPr>
        <w:spacing w:after="0" w:line="240" w:lineRule="auto"/>
        <w:jc w:val="both"/>
        <w:rPr>
          <w:rFonts w:ascii="Verdana" w:hAnsi="Verdana" w:cs="Arial"/>
          <w:b/>
          <w:bCs/>
          <w:color w:val="000000" w:themeColor="text1"/>
          <w:lang w:val="es-ES_tradnl"/>
        </w:rPr>
      </w:pPr>
      <w:r w:rsidRPr="004D43FE">
        <w:rPr>
          <w:rFonts w:ascii="Verdana" w:hAnsi="Verdana" w:cs="Arial"/>
          <w:b/>
          <w:bCs/>
          <w:color w:val="000000" w:themeColor="text1"/>
          <w:lang w:val="es-ES_tradnl"/>
        </w:rPr>
        <w:t xml:space="preserve">CONTRATACIÓN DIRECTA – Arrendamiento – Bienes inmuebles – Alcance </w:t>
      </w:r>
    </w:p>
    <w:p w:rsidRPr="004D43FE" w:rsidR="004D43FE" w:rsidP="004D43FE" w:rsidRDefault="004D43FE" w14:paraId="1791DC2D" w14:textId="77777777">
      <w:pPr>
        <w:spacing w:after="0" w:line="240" w:lineRule="auto"/>
        <w:jc w:val="both"/>
        <w:rPr>
          <w:rFonts w:ascii="Verdana" w:hAnsi="Verdana" w:cs="Arial"/>
          <w:color w:val="000000" w:themeColor="text1"/>
          <w:sz w:val="20"/>
          <w:szCs w:val="20"/>
          <w:lang w:val="es-ES_tradnl"/>
        </w:rPr>
      </w:pPr>
    </w:p>
    <w:p w:rsidRPr="004D43FE" w:rsidR="004D43FE" w:rsidP="004D43FE" w:rsidRDefault="004D43FE" w14:paraId="51B866E4" w14:textId="77777777">
      <w:pPr>
        <w:tabs>
          <w:tab w:val="left" w:pos="426"/>
        </w:tabs>
        <w:spacing w:after="0" w:line="240" w:lineRule="auto"/>
        <w:contextualSpacing/>
        <w:jc w:val="both"/>
        <w:rPr>
          <w:rFonts w:ascii="Verdana" w:hAnsi="Verdana" w:cs="Arial"/>
          <w:bCs/>
          <w:color w:val="000000" w:themeColor="text1"/>
          <w:sz w:val="20"/>
          <w:szCs w:val="20"/>
          <w:lang w:val="es-ES"/>
        </w:rPr>
      </w:pPr>
      <w:r w:rsidRPr="004D43FE">
        <w:rPr>
          <w:rFonts w:ascii="Verdana" w:hAnsi="Verdana" w:cs="Arial"/>
          <w:bCs/>
          <w:color w:val="000000" w:themeColor="text1"/>
          <w:sz w:val="20"/>
          <w:szCs w:val="20"/>
          <w:lang w:val="es-ES"/>
        </w:rPr>
        <w:t xml:space="preserve">El literal i) del artículo 2.4 de la Ley 1150 de 2011 permite la contratación directa tratándose de “El arrendamiento […] de inmuebles”. 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 </w:t>
      </w:r>
    </w:p>
    <w:p w:rsidRPr="004D43FE" w:rsidR="004D43FE" w:rsidP="004D43FE" w:rsidRDefault="004D43FE" w14:paraId="2A5009AD" w14:textId="77777777">
      <w:pPr>
        <w:tabs>
          <w:tab w:val="left" w:pos="426"/>
        </w:tabs>
        <w:spacing w:after="0" w:line="240" w:lineRule="auto"/>
        <w:contextualSpacing/>
        <w:jc w:val="both"/>
        <w:rPr>
          <w:rFonts w:ascii="Verdana" w:hAnsi="Verdana" w:cs="Arial"/>
          <w:bCs/>
          <w:color w:val="000000" w:themeColor="text1"/>
          <w:sz w:val="20"/>
          <w:szCs w:val="20"/>
          <w:lang w:val="es-ES"/>
        </w:rPr>
      </w:pPr>
    </w:p>
    <w:p w:rsidRPr="004D43FE" w:rsidR="004D43FE" w:rsidP="004D43FE" w:rsidRDefault="004D43FE" w14:paraId="5B900B50" w14:textId="77777777">
      <w:pPr>
        <w:tabs>
          <w:tab w:val="left" w:pos="426"/>
        </w:tabs>
        <w:spacing w:after="0" w:line="240" w:lineRule="auto"/>
        <w:contextualSpacing/>
        <w:jc w:val="both"/>
        <w:rPr>
          <w:rFonts w:ascii="Verdana" w:hAnsi="Verdana" w:eastAsia="Calibri" w:cs="Arial"/>
          <w:noProof/>
          <w:sz w:val="20"/>
          <w:szCs w:val="20"/>
          <w:lang w:val="es-ES_tradnl"/>
        </w:rPr>
      </w:pPr>
      <w:r w:rsidRPr="004D43FE">
        <w:rPr>
          <w:rFonts w:ascii="Verdana" w:hAnsi="Verdana" w:cs="Arial"/>
          <w:bCs/>
          <w:color w:val="000000" w:themeColor="text1"/>
          <w:sz w:val="20"/>
          <w:szCs w:val="20"/>
          <w:lang w:val="es-ES"/>
        </w:rPr>
        <w:t xml:space="preserve">Cuando la entidad estatal actúe como arrendadora puede evaluar si es conveniente o no adelantar una convocatoria pública en garantía del principio de libre concurrencia. Hacerlo no es obligatorio sino facultativo, pues lo cierto es que el EGCAP permite la contratación directa tratándose del arrendamiento de inmuebles, al margen de la posición que asuma la entidad en el negocio. En todo caso, aquella es autónoma y responsable de la estructuración de sus procesos de contratación, así como determinar su necesidad y la modalidad de selección del contratista. </w:t>
      </w:r>
      <w:r w:rsidRPr="004D43FE">
        <w:rPr>
          <w:rFonts w:ascii="Verdana" w:hAnsi="Verdana" w:cs="Arial"/>
          <w:color w:val="000000" w:themeColor="text1"/>
          <w:sz w:val="20"/>
          <w:szCs w:val="20"/>
          <w:lang w:val="es-ES"/>
        </w:rPr>
        <w:t xml:space="preserve">  </w:t>
      </w:r>
      <w:r w:rsidRPr="004D43FE">
        <w:rPr>
          <w:rFonts w:ascii="Verdana" w:hAnsi="Verdana" w:eastAsia="Calibri" w:cs="Arial"/>
          <w:noProof/>
          <w:sz w:val="20"/>
          <w:szCs w:val="20"/>
          <w:lang w:val="es-ES_tradnl"/>
        </w:rPr>
        <w:t xml:space="preserve">    </w:t>
      </w:r>
    </w:p>
    <w:p w:rsidRPr="004D43FE" w:rsidR="004D43FE" w:rsidP="004D43FE" w:rsidRDefault="004D43FE" w14:paraId="400ED142" w14:textId="77777777">
      <w:pPr>
        <w:spacing w:after="0" w:line="240" w:lineRule="auto"/>
        <w:rPr>
          <w:rFonts w:ascii="Verdana" w:hAnsi="Verdana" w:eastAsia="Geomanist Light" w:cs="Arial"/>
          <w:color w:val="000000" w:themeColor="text1"/>
          <w:lang w:val="es-ES_tradnl"/>
        </w:rPr>
      </w:pPr>
    </w:p>
    <w:p w:rsidRPr="004D43FE" w:rsidR="004D43FE" w:rsidP="004D43FE" w:rsidRDefault="004D43FE" w14:paraId="137E989C"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7AB16505"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027D748B"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21ECB890"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11712B68"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3D9AFD03"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7DE939D2"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775C3668" w14:textId="77777777">
      <w:pPr>
        <w:spacing w:after="0" w:line="240" w:lineRule="auto"/>
        <w:rPr>
          <w:rFonts w:ascii="Verdana" w:hAnsi="Verdana" w:eastAsia="Geomanist Light" w:cs="Arial"/>
          <w:color w:val="000000" w:themeColor="text1"/>
          <w:lang w:val="es-MX"/>
        </w:rPr>
      </w:pPr>
    </w:p>
    <w:p w:rsidRPr="004D43FE" w:rsidR="004D43FE" w:rsidP="004D43FE" w:rsidRDefault="004D43FE" w14:paraId="27A01D35" w14:textId="77777777">
      <w:pPr>
        <w:spacing w:after="0" w:line="240" w:lineRule="auto"/>
        <w:rPr>
          <w:rFonts w:ascii="Verdana" w:hAnsi="Verdana" w:eastAsia="Geomanist Light" w:cs="Arial"/>
          <w:color w:val="000000" w:themeColor="text1"/>
          <w:lang w:val="es-MX"/>
        </w:rPr>
      </w:pPr>
    </w:p>
    <w:p w:rsidR="004D43FE" w:rsidP="004D43FE" w:rsidRDefault="004D43FE" w14:paraId="448D439C" w14:textId="31819971">
      <w:pPr>
        <w:spacing w:after="0" w:line="240" w:lineRule="auto"/>
        <w:rPr>
          <w:rFonts w:ascii="Verdana" w:hAnsi="Verdana" w:eastAsia="Geomanist Light" w:cs="Arial"/>
          <w:color w:val="000000" w:themeColor="text1"/>
          <w:lang w:val="es-MX"/>
        </w:rPr>
      </w:pPr>
      <w:r w:rsidRPr="004D43FE">
        <w:rPr>
          <w:rFonts w:ascii="Verdana" w:hAnsi="Verdana" w:eastAsia="Geomanist Light" w:cs="Arial"/>
          <w:color w:val="000000" w:themeColor="text1"/>
          <w:lang w:val="es-MX"/>
        </w:rPr>
        <w:t xml:space="preserve">Bogotá D.C., </w:t>
      </w:r>
      <w:r w:rsidR="005029E9">
        <w:rPr>
          <w:rFonts w:ascii="Verdana" w:hAnsi="Verdana" w:eastAsia="Geomanist Light" w:cs="Arial"/>
          <w:color w:val="000000" w:themeColor="text1"/>
          <w:lang w:val="es-MX"/>
        </w:rPr>
        <w:t>13 de febrero de 2026</w:t>
      </w:r>
    </w:p>
    <w:p w:rsidR="005029E9" w:rsidP="004D43FE" w:rsidRDefault="005029E9" w14:paraId="13D42C19" w14:textId="77777777">
      <w:pPr>
        <w:spacing w:after="0" w:line="240" w:lineRule="auto"/>
        <w:rPr>
          <w:rFonts w:ascii="Verdana" w:hAnsi="Verdana" w:eastAsia="Geomanist Light" w:cs="Arial"/>
          <w:color w:val="000000" w:themeColor="text1"/>
          <w:lang w:val="es-MX"/>
        </w:rPr>
      </w:pPr>
    </w:p>
    <w:p w:rsidRPr="004D43FE" w:rsidR="005029E9" w:rsidP="005029E9" w:rsidRDefault="005029E9" w14:paraId="6DC936B6" w14:textId="738B9F2C">
      <w:pPr>
        <w:spacing w:after="0" w:line="240" w:lineRule="auto"/>
        <w:jc w:val="right"/>
        <w:rPr>
          <w:rFonts w:ascii="Verdana" w:hAnsi="Verdana" w:eastAsia="Geomanist Light" w:cs="Arial"/>
          <w:color w:val="201F1E"/>
          <w:lang w:val="es-MX"/>
        </w:rPr>
      </w:pPr>
      <w:r w:rsidRPr="005029E9">
        <w:rPr>
          <w:rFonts w:ascii="Verdana" w:hAnsi="Verdana" w:eastAsia="Geomanist Light" w:cs="Arial"/>
          <w:color w:val="201F1E"/>
          <w:lang w:val="es-MX"/>
        </w:rPr>
        <w:drawing>
          <wp:inline distT="0" distB="0" distL="0" distR="0" wp14:anchorId="4E6654E4" wp14:editId="037025DE">
            <wp:extent cx="3648584" cy="962159"/>
            <wp:effectExtent l="0" t="0" r="9525" b="9525"/>
            <wp:docPr id="6373985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98540" name="Imagen 1" descr="Texto&#10;&#10;El contenido generado por IA puede ser incorrecto."/>
                    <pic:cNvPicPr/>
                  </pic:nvPicPr>
                  <pic:blipFill>
                    <a:blip r:embed="rId10"/>
                    <a:stretch>
                      <a:fillRect/>
                    </a:stretch>
                  </pic:blipFill>
                  <pic:spPr>
                    <a:xfrm>
                      <a:off x="0" y="0"/>
                      <a:ext cx="3648584" cy="962159"/>
                    </a:xfrm>
                    <a:prstGeom prst="rect">
                      <a:avLst/>
                    </a:prstGeom>
                  </pic:spPr>
                </pic:pic>
              </a:graphicData>
            </a:graphic>
          </wp:inline>
        </w:drawing>
      </w:r>
    </w:p>
    <w:p w:rsidRPr="004D43FE" w:rsidR="004D43FE" w:rsidP="004D43FE" w:rsidRDefault="004D43FE" w14:paraId="7A678AD7" w14:textId="77777777">
      <w:pPr>
        <w:spacing w:after="0" w:line="240" w:lineRule="auto"/>
        <w:jc w:val="right"/>
        <w:rPr>
          <w:rFonts w:ascii="Verdana" w:hAnsi="Verdana" w:eastAsia="Calibri" w:cs="Arial"/>
          <w:color w:val="000000"/>
          <w:lang w:val="es-MX"/>
        </w:rPr>
      </w:pPr>
    </w:p>
    <w:p w:rsidRPr="004D43FE" w:rsidR="004D43FE" w:rsidP="004D43FE" w:rsidRDefault="004D43FE" w14:paraId="71464BC5" w14:textId="77777777">
      <w:pPr>
        <w:spacing w:after="0" w:line="240" w:lineRule="auto"/>
        <w:jc w:val="both"/>
        <w:rPr>
          <w:rFonts w:ascii="Verdana" w:hAnsi="Verdana" w:eastAsia="Calibri" w:cs="Arial"/>
          <w:color w:val="000000"/>
          <w:lang w:val="es-ES"/>
        </w:rPr>
      </w:pPr>
    </w:p>
    <w:p w:rsidRPr="004D43FE" w:rsidR="004D43FE" w:rsidP="004D43FE" w:rsidRDefault="004D43FE" w14:paraId="30D5B389" w14:textId="77777777">
      <w:pPr>
        <w:spacing w:after="0" w:line="240" w:lineRule="auto"/>
        <w:jc w:val="both"/>
        <w:rPr>
          <w:rFonts w:ascii="Verdana" w:hAnsi="Verdana" w:eastAsia="Calibri" w:cs="Arial"/>
          <w:lang w:val="es-ES" w:eastAsia="es-ES"/>
        </w:rPr>
      </w:pPr>
      <w:r w:rsidRPr="004D43FE">
        <w:rPr>
          <w:rFonts w:ascii="Verdana" w:hAnsi="Verdana" w:eastAsia="Calibri" w:cs="Arial"/>
          <w:lang w:val="es-ES" w:eastAsia="es-ES"/>
        </w:rPr>
        <w:t>Señora</w:t>
      </w:r>
    </w:p>
    <w:p w:rsidRPr="004D43FE" w:rsidR="004D43FE" w:rsidP="24F7EABD" w:rsidRDefault="004D43FE" w14:paraId="11556910" w14:textId="77777777">
      <w:pPr>
        <w:spacing w:after="0" w:line="240" w:lineRule="auto"/>
        <w:rPr>
          <w:rFonts w:ascii="Verdana" w:hAnsi="Verdana" w:eastAsia="Calibri" w:cs="Arial"/>
          <w:b w:val="1"/>
          <w:bCs w:val="1"/>
          <w:lang w:val="es-ES" w:eastAsia="es-ES"/>
        </w:rPr>
      </w:pPr>
      <w:r w:rsidRPr="24F7EABD" w:rsidR="004D43FE">
        <w:rPr>
          <w:rFonts w:ascii="Verdana" w:hAnsi="Verdana" w:eastAsia="Calibri" w:cs="Arial"/>
          <w:b w:val="1"/>
          <w:bCs w:val="1"/>
          <w:lang w:val="es-ES" w:eastAsia="es-ES"/>
        </w:rPr>
        <w:t>Nataly</w:t>
      </w:r>
      <w:r w:rsidRPr="24F7EABD" w:rsidR="004D43FE">
        <w:rPr>
          <w:rFonts w:ascii="Verdana" w:hAnsi="Verdana" w:eastAsia="Calibri" w:cs="Arial"/>
          <w:b w:val="1"/>
          <w:bCs w:val="1"/>
          <w:lang w:val="es-ES" w:eastAsia="es-ES"/>
        </w:rPr>
        <w:t xml:space="preserve"> Reina</w:t>
      </w:r>
    </w:p>
    <w:p w:rsidRPr="004D43FE" w:rsidR="004D43FE" w:rsidP="004D43FE" w:rsidRDefault="004D43FE" w14:paraId="14AC3992" w14:textId="77777777">
      <w:pPr>
        <w:spacing w:after="0" w:line="240" w:lineRule="auto"/>
        <w:rPr>
          <w:rFonts w:ascii="Verdana" w:hAnsi="Verdana" w:eastAsia="Calibri" w:cs="Arial"/>
          <w:lang w:val="es-ES" w:eastAsia="es-ES"/>
        </w:rPr>
      </w:pPr>
      <w:r w:rsidRPr="004D43FE">
        <w:rPr>
          <w:rFonts w:ascii="Verdana" w:hAnsi="Verdana" w:eastAsia="Geomanist Light" w:cs="Arial"/>
          <w:color w:val="000000" w:themeColor="text1"/>
          <w:lang w:val="es-MX"/>
        </w:rPr>
        <w:t>Ciudad</w:t>
      </w:r>
    </w:p>
    <w:p w:rsidRPr="004D43FE" w:rsidR="004D43FE" w:rsidP="004D43FE" w:rsidRDefault="004D43FE" w14:paraId="2E2956B4" w14:textId="77777777">
      <w:pPr>
        <w:spacing w:after="0" w:line="240" w:lineRule="auto"/>
        <w:rPr>
          <w:rFonts w:ascii="Verdana" w:hAnsi="Verdana" w:eastAsia="Calibri" w:cs="Arial"/>
          <w:b/>
          <w:bCs/>
          <w:color w:val="000000"/>
          <w:lang w:val="es-ES_tradnl" w:eastAsia="es-ES_tradnl"/>
        </w:rPr>
      </w:pPr>
    </w:p>
    <w:p w:rsidRPr="004D43FE" w:rsidR="004D43FE" w:rsidP="004D43FE" w:rsidRDefault="004D43FE" w14:paraId="02F007DE"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4D43FE" w:rsidR="004D43FE" w:rsidTr="000D4CD0" w14:paraId="4DB19769" w14:textId="77777777">
        <w:trPr>
          <w:trHeight w:val="884"/>
        </w:trPr>
        <w:tc>
          <w:tcPr>
            <w:tcW w:w="2689" w:type="dxa"/>
          </w:tcPr>
          <w:p w:rsidRPr="004D43FE" w:rsidR="004D43FE" w:rsidP="004D43FE" w:rsidRDefault="004D43FE" w14:paraId="4D6A8645" w14:textId="77777777">
            <w:pPr>
              <w:jc w:val="both"/>
              <w:rPr>
                <w:rFonts w:ascii="Verdana" w:hAnsi="Verdana" w:eastAsia="Calibri" w:cs="Arial"/>
                <w:b/>
                <w:bCs/>
                <w:color w:val="7030A0"/>
                <w:lang w:val="es-ES_tradnl" w:eastAsia="es-ES_tradnl"/>
              </w:rPr>
            </w:pPr>
          </w:p>
        </w:tc>
        <w:tc>
          <w:tcPr>
            <w:tcW w:w="6100" w:type="dxa"/>
          </w:tcPr>
          <w:p w:rsidRPr="004D43FE" w:rsidR="004D43FE" w:rsidP="004D43FE" w:rsidRDefault="004D43FE" w14:paraId="0AADEEDF" w14:textId="77777777">
            <w:pPr>
              <w:jc w:val="both"/>
              <w:rPr>
                <w:rFonts w:ascii="Verdana" w:hAnsi="Verdana" w:eastAsia="Calibri" w:cs="Arial"/>
                <w:b/>
                <w:bCs/>
                <w:color w:val="7030A0"/>
                <w:lang w:val="es-ES" w:eastAsia="es-ES"/>
              </w:rPr>
            </w:pPr>
            <w:r w:rsidRPr="004D43FE">
              <w:rPr>
                <w:rFonts w:ascii="Verdana" w:hAnsi="Verdana" w:eastAsia="Calibri" w:cs="Arial"/>
                <w:b/>
                <w:bCs/>
                <w:lang w:val="es-ES" w:eastAsia="es-ES"/>
              </w:rPr>
              <w:t>Concepto C – 010 de 2026</w:t>
            </w:r>
          </w:p>
        </w:tc>
      </w:tr>
      <w:tr w:rsidRPr="004D43FE" w:rsidR="004D43FE" w:rsidTr="000D4CD0" w14:paraId="09ADA338" w14:textId="77777777">
        <w:trPr>
          <w:trHeight w:val="884"/>
        </w:trPr>
        <w:tc>
          <w:tcPr>
            <w:tcW w:w="2689" w:type="dxa"/>
          </w:tcPr>
          <w:p w:rsidRPr="004D43FE" w:rsidR="004D43FE" w:rsidP="004D43FE" w:rsidRDefault="004D43FE" w14:paraId="310A6C0A" w14:textId="77777777">
            <w:pPr>
              <w:jc w:val="both"/>
              <w:rPr>
                <w:rFonts w:ascii="Verdana" w:hAnsi="Verdana" w:eastAsia="Calibri" w:cs="Arial"/>
                <w:color w:val="000000"/>
                <w:lang w:val="es-ES_tradnl" w:eastAsia="es-ES_tradnl"/>
              </w:rPr>
            </w:pPr>
            <w:r w:rsidRPr="004D43FE">
              <w:rPr>
                <w:rFonts w:ascii="Verdana" w:hAnsi="Verdana" w:eastAsia="Calibri" w:cs="Arial"/>
                <w:b/>
                <w:color w:val="000000"/>
                <w:lang w:val="es-ES_tradnl" w:eastAsia="es-ES_tradnl"/>
              </w:rPr>
              <w:t>Temas:</w:t>
            </w:r>
            <w:r w:rsidRPr="004D43FE">
              <w:rPr>
                <w:rFonts w:ascii="Verdana" w:hAnsi="Verdana" w:eastAsia="Calibri" w:cs="Arial"/>
                <w:color w:val="000000"/>
                <w:lang w:val="es-ES_tradnl" w:eastAsia="es-ES_tradnl"/>
              </w:rPr>
              <w:t xml:space="preserve">                   </w:t>
            </w:r>
          </w:p>
        </w:tc>
        <w:tc>
          <w:tcPr>
            <w:tcW w:w="6100" w:type="dxa"/>
          </w:tcPr>
          <w:p w:rsidRPr="004D43FE" w:rsidR="004D43FE" w:rsidP="004D43FE" w:rsidRDefault="004D43FE" w14:paraId="77DF8DC0" w14:textId="77777777">
            <w:pPr>
              <w:spacing w:line="276" w:lineRule="auto"/>
              <w:jc w:val="both"/>
              <w:rPr>
                <w:rFonts w:ascii="Verdana" w:hAnsi="Verdana" w:eastAsia="Calibri" w:cs="Arial"/>
                <w:lang w:val="es-ES" w:eastAsia="es-ES"/>
              </w:rPr>
            </w:pPr>
            <w:r w:rsidRPr="004D43FE">
              <w:rPr>
                <w:rFonts w:ascii="Verdana" w:hAnsi="Verdana" w:eastAsia="Calibri" w:cs="Arial"/>
                <w:lang w:val="es-ES" w:eastAsia="es-ES"/>
              </w:rPr>
              <w:t xml:space="preserve">EGCAP – Ámbito de aplicación – Entidades estatales / CONTRATO ESTATAL – Criterio orgánico / CONTRATO DE ARRENDAMIENTO – Definición – Características / CONTRATACIÓN DIRECTA – Arrendamiento – Bienes inmuebles – Alcance                      </w:t>
            </w:r>
          </w:p>
          <w:p w:rsidRPr="004D43FE" w:rsidR="004D43FE" w:rsidP="004D43FE" w:rsidRDefault="004D43FE" w14:paraId="564E01F3" w14:textId="77777777">
            <w:pPr>
              <w:spacing w:line="276" w:lineRule="auto"/>
              <w:jc w:val="both"/>
              <w:rPr>
                <w:rFonts w:ascii="Verdana" w:hAnsi="Verdana" w:eastAsia="Calibri" w:cs="Arial"/>
                <w:lang w:val="es-ES" w:eastAsia="es-ES"/>
              </w:rPr>
            </w:pPr>
            <w:r w:rsidRPr="004D43FE">
              <w:rPr>
                <w:rFonts w:ascii="Verdana" w:hAnsi="Verdana" w:eastAsia="Calibri" w:cs="Arial"/>
                <w:lang w:val="es-ES" w:eastAsia="es-ES"/>
              </w:rPr>
              <w:t xml:space="preserve">  </w:t>
            </w:r>
          </w:p>
        </w:tc>
      </w:tr>
      <w:tr w:rsidRPr="004D43FE" w:rsidR="004D43FE" w:rsidTr="000D4CD0" w14:paraId="3C8396DD" w14:textId="77777777">
        <w:tc>
          <w:tcPr>
            <w:tcW w:w="2689" w:type="dxa"/>
          </w:tcPr>
          <w:p w:rsidRPr="004D43FE" w:rsidR="004D43FE" w:rsidP="004D43FE" w:rsidRDefault="004D43FE" w14:paraId="655B49F2" w14:textId="77777777">
            <w:pPr>
              <w:jc w:val="both"/>
              <w:rPr>
                <w:rFonts w:ascii="Verdana" w:hAnsi="Verdana" w:eastAsia="Calibri" w:cs="Arial"/>
                <w:b/>
                <w:lang w:val="es-ES_tradnl" w:eastAsia="es-ES_tradnl"/>
              </w:rPr>
            </w:pPr>
            <w:r w:rsidRPr="004D43FE">
              <w:rPr>
                <w:rFonts w:ascii="Verdana" w:hAnsi="Verdana" w:eastAsia="Calibri" w:cs="Arial"/>
                <w:b/>
                <w:lang w:val="es-ES_tradnl" w:eastAsia="es-ES_tradnl"/>
              </w:rPr>
              <w:t>Radicación:</w:t>
            </w:r>
            <w:r w:rsidRPr="004D43FE">
              <w:rPr>
                <w:rFonts w:ascii="Verdana" w:hAnsi="Verdana" w:eastAsia="Calibri" w:cs="Arial"/>
                <w:lang w:val="es-ES_tradnl" w:eastAsia="es-ES_tradnl"/>
              </w:rPr>
              <w:t xml:space="preserve">               </w:t>
            </w:r>
          </w:p>
        </w:tc>
        <w:tc>
          <w:tcPr>
            <w:tcW w:w="6100" w:type="dxa"/>
          </w:tcPr>
          <w:p w:rsidRPr="004D43FE" w:rsidR="004D43FE" w:rsidP="004D43FE" w:rsidRDefault="004D43FE" w14:paraId="7A30C85D" w14:textId="77777777">
            <w:pPr>
              <w:spacing w:line="276" w:lineRule="auto"/>
              <w:jc w:val="both"/>
              <w:rPr>
                <w:rFonts w:ascii="Verdana" w:hAnsi="Verdana" w:eastAsia="Calibri" w:cs="Arial"/>
                <w:lang w:eastAsia="es-ES_tradnl"/>
              </w:rPr>
            </w:pPr>
            <w:r w:rsidRPr="004D43FE">
              <w:rPr>
                <w:rFonts w:ascii="Verdana" w:hAnsi="Verdana" w:eastAsia="Calibri" w:cs="Arial"/>
                <w:lang w:val="es-ES_tradnl" w:eastAsia="es-ES_tradnl"/>
              </w:rPr>
              <w:t xml:space="preserve">Respuesta a la consulta con radicado No. 1_2026_01_05_000074                                  </w:t>
            </w:r>
          </w:p>
        </w:tc>
      </w:tr>
    </w:tbl>
    <w:p w:rsidRPr="004D43FE" w:rsidR="004D43FE" w:rsidP="004D43FE" w:rsidRDefault="004D43FE" w14:paraId="1F3F7886" w14:textId="77777777">
      <w:pPr>
        <w:spacing w:after="0" w:line="240" w:lineRule="auto"/>
        <w:jc w:val="both"/>
        <w:rPr>
          <w:rFonts w:ascii="Verdana" w:hAnsi="Verdana" w:eastAsia="Calibri" w:cs="Arial"/>
          <w:color w:val="000000"/>
          <w:lang w:val="es-ES_tradnl" w:eastAsia="es-ES_tradnl"/>
        </w:rPr>
      </w:pPr>
    </w:p>
    <w:p w:rsidRPr="004D43FE" w:rsidR="004D43FE" w:rsidP="004D43FE" w:rsidRDefault="004D43FE" w14:paraId="60FF7728" w14:textId="77777777">
      <w:pPr>
        <w:spacing w:after="0" w:line="240" w:lineRule="auto"/>
        <w:jc w:val="both"/>
        <w:rPr>
          <w:rFonts w:ascii="Verdana" w:hAnsi="Verdana" w:eastAsia="Calibri" w:cs="Arial"/>
          <w:color w:val="000000"/>
          <w:lang w:val="es-ES_tradnl" w:eastAsia="es-ES_tradnl"/>
        </w:rPr>
      </w:pPr>
    </w:p>
    <w:p w:rsidRPr="004D43FE" w:rsidR="004D43FE" w:rsidP="004D43FE" w:rsidRDefault="004D43FE" w14:paraId="438B2880" w14:textId="77777777">
      <w:pPr>
        <w:spacing w:after="0" w:line="276" w:lineRule="auto"/>
        <w:jc w:val="both"/>
        <w:rPr>
          <w:rFonts w:ascii="Verdana" w:hAnsi="Verdana" w:eastAsia="Calibri" w:cs="Arial"/>
          <w:lang w:val="es-ES" w:eastAsia="es-ES"/>
        </w:rPr>
      </w:pPr>
      <w:r w:rsidRPr="004D43FE">
        <w:rPr>
          <w:rFonts w:ascii="Verdana" w:hAnsi="Verdana" w:eastAsia="Calibri" w:cs="Arial"/>
          <w:lang w:val="es-ES" w:eastAsia="es-ES"/>
        </w:rPr>
        <w:t xml:space="preserve">Estimada señora Reina: </w:t>
      </w:r>
    </w:p>
    <w:p w:rsidRPr="004D43FE" w:rsidR="004D43FE" w:rsidP="004D43FE" w:rsidRDefault="004D43FE" w14:paraId="4C9D90B7" w14:textId="77777777">
      <w:pPr>
        <w:tabs>
          <w:tab w:val="left" w:pos="3768"/>
        </w:tabs>
        <w:spacing w:after="0" w:line="276" w:lineRule="auto"/>
        <w:jc w:val="both"/>
        <w:rPr>
          <w:rFonts w:ascii="Verdana" w:hAnsi="Verdana" w:eastAsia="Calibri" w:cs="Arial"/>
          <w:color w:val="000000" w:themeColor="text1"/>
          <w:lang w:val="es-ES" w:eastAsia="es-ES"/>
        </w:rPr>
      </w:pPr>
      <w:r w:rsidRPr="004D43FE">
        <w:rPr>
          <w:rFonts w:ascii="Verdana" w:hAnsi="Verdana" w:eastAsia="Calibri" w:cs="Arial"/>
          <w:color w:val="000000" w:themeColor="text1"/>
          <w:lang w:val="es-ES" w:eastAsia="es-ES"/>
        </w:rPr>
        <w:tab/>
      </w:r>
    </w:p>
    <w:p w:rsidRPr="004D43FE" w:rsidR="004D43FE" w:rsidP="004D43FE" w:rsidRDefault="004D43FE" w14:paraId="53C58AA1" w14:textId="77777777">
      <w:pPr>
        <w:spacing w:after="0" w:line="276" w:lineRule="auto"/>
        <w:jc w:val="both"/>
        <w:rPr>
          <w:rFonts w:ascii="Verdana" w:hAnsi="Verdana" w:eastAsia="Calibri" w:cs="Arial"/>
          <w:color w:val="7030A0"/>
          <w:lang w:val="es-ES" w:eastAsia="es-ES"/>
        </w:rPr>
      </w:pPr>
      <w:r w:rsidRPr="004D43FE">
        <w:rPr>
          <w:rFonts w:ascii="Verdana" w:hAnsi="Verdana" w:eastAsia="Calibri" w:cs="Arial"/>
          <w:color w:val="000000" w:themeColor="text1"/>
          <w:lang w:val="es-ES" w:eastAsia="es-ES"/>
        </w:rPr>
        <w:t>En ejercicio de la competencia otorgada por los artículos 3, numeral 5º, y 11, numeral 8º, del Decreto Ley 4170 de 2011,</w:t>
      </w:r>
      <w:r w:rsidRPr="004D43FE">
        <w:rPr>
          <w:rFonts w:ascii="Verdana" w:hAnsi="Verdana" w:eastAsia="Arial MT" w:cs="Arial MT"/>
          <w:lang w:val="es-ES" w:eastAsia="es-ES"/>
        </w:rPr>
        <w:t xml:space="preserve"> </w:t>
      </w:r>
      <w:r w:rsidRPr="004D43FE">
        <w:rPr>
          <w:rFonts w:ascii="Verdana" w:hAnsi="Verdana" w:cs="Arial"/>
        </w:rPr>
        <w:t xml:space="preserve">así como lo establecido en el artículo 4 de la Resolución 1707 de 2018 expedida por esta Entidad, </w:t>
      </w:r>
      <w:r w:rsidRPr="004D43FE">
        <w:rPr>
          <w:rFonts w:ascii="Verdana" w:hAnsi="Verdana" w:eastAsia="Calibri" w:cs="Arial"/>
          <w:color w:val="000000" w:themeColor="text1"/>
          <w:lang w:val="es-ES" w:eastAsia="es-ES"/>
        </w:rPr>
        <w:t xml:space="preserve">la Agencia Nacional de Contratación Pública – Colombia Compra Eficiente responde su solicitud de consulta de </w:t>
      </w:r>
      <w:r w:rsidRPr="004D43FE">
        <w:rPr>
          <w:rFonts w:ascii="Verdana" w:hAnsi="Verdana" w:eastAsia="Calibri" w:cs="Arial"/>
          <w:lang w:val="es-ES" w:eastAsia="es-ES"/>
        </w:rPr>
        <w:t xml:space="preserve">fecha 5 de enero de 2026, en la cual solicita: </w:t>
      </w:r>
    </w:p>
    <w:p w:rsidRPr="004D43FE" w:rsidR="004D43FE" w:rsidP="004D43FE" w:rsidRDefault="004D43FE" w14:paraId="5C642DA2" w14:textId="77777777">
      <w:pPr>
        <w:tabs>
          <w:tab w:val="left" w:pos="142"/>
          <w:tab w:val="left" w:pos="284"/>
        </w:tabs>
        <w:spacing w:after="0" w:line="276" w:lineRule="auto"/>
        <w:contextualSpacing/>
        <w:jc w:val="both"/>
        <w:rPr>
          <w:rFonts w:ascii="Verdana" w:hAnsi="Verdana" w:eastAsia="Century Gothic" w:cs="Century Gothic"/>
          <w:b/>
          <w:bCs/>
          <w:lang w:val="es-ES"/>
        </w:rPr>
      </w:pPr>
    </w:p>
    <w:p w:rsidRPr="004D43FE" w:rsidR="004D43FE" w:rsidP="004D43FE" w:rsidRDefault="004D43FE" w14:paraId="0A379651" w14:textId="77777777">
      <w:pPr>
        <w:spacing w:after="120" w:line="240" w:lineRule="auto"/>
        <w:ind w:left="709" w:right="709"/>
        <w:jc w:val="both"/>
        <w:rPr>
          <w:rFonts w:ascii="Verdana" w:hAnsi="Verdana" w:eastAsia="Century Gothic" w:cs="Century Gothic"/>
          <w:sz w:val="20"/>
          <w:szCs w:val="20"/>
          <w:lang w:val="es-ES"/>
        </w:rPr>
      </w:pPr>
      <w:bookmarkStart w:name="_Hlk95313578" w:id="0"/>
      <w:r w:rsidRPr="004D43FE">
        <w:rPr>
          <w:rFonts w:ascii="Verdana" w:hAnsi="Verdana" w:eastAsia="Century Gothic" w:cs="Century Gothic"/>
          <w:sz w:val="20"/>
          <w:szCs w:val="20"/>
          <w:lang w:val="es-ES"/>
        </w:rPr>
        <w:t>“</w:t>
      </w:r>
      <w:bookmarkEnd w:id="0"/>
      <w:r w:rsidRPr="004D43FE">
        <w:rPr>
          <w:rFonts w:ascii="Verdana" w:hAnsi="Verdana" w:eastAsia="Century Gothic" w:cs="Century Gothic"/>
          <w:sz w:val="20"/>
          <w:szCs w:val="20"/>
          <w:lang w:val="es-ES"/>
        </w:rPr>
        <w:t xml:space="preserve">En ejercicio del derecho de petición me permito solicitar su concepto en el que se analicen de fondo las dudas planteadas. Relacionadas con la aplicación de la causal de "contratación directa" por celebración de </w:t>
      </w:r>
      <w:r w:rsidRPr="004D43FE">
        <w:rPr>
          <w:rFonts w:ascii="Verdana" w:hAnsi="Verdana" w:eastAsia="Century Gothic" w:cs="Century Gothic"/>
          <w:sz w:val="20"/>
          <w:szCs w:val="20"/>
          <w:lang w:val="es-ES"/>
        </w:rPr>
        <w:t>contratos de arrendamiento cuando la entidad pública no es arrendataria sino "arrendadora" y se presentan pluralidad de interesados u oferentes.</w:t>
      </w:r>
    </w:p>
    <w:p w:rsidRPr="004D43FE" w:rsidR="004D43FE" w:rsidP="004D43FE" w:rsidRDefault="004D43FE" w14:paraId="118E5B93"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Normas analizadas:</w:t>
      </w:r>
    </w:p>
    <w:p w:rsidRPr="004D43FE" w:rsidR="004D43FE" w:rsidP="004D43FE" w:rsidRDefault="004D43FE" w14:paraId="1D5BC815"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 La Ley 1150 de 2007 (artículo 2, numeral 4) se refiere al arrendamiento o adquisición de inmuebles, lo que sugiere que la contratación directa aplica cuando la entidad es "arrendataria".</w:t>
      </w:r>
    </w:p>
    <w:p w:rsidRPr="004D43FE" w:rsidR="004D43FE" w:rsidP="004D43FE" w:rsidRDefault="004D43FE" w14:paraId="65179183"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 El Decreto 1082 de 2015 (artículo 2.2.1.2.1.4.11) establece requisitos para la aplicación de la excepción, como verificar las condiciones del mercado inmobiliario en la ciudad en la que la Entidad Estatal "requiere el inmueble" y analizar y comparar las condiciones "de los bienes inmuebles que satisfacen las necesidades identificadas, lo que implica que la entidad está buscando un inmueble para arrendar (arrendataria).</w:t>
      </w:r>
    </w:p>
    <w:p w:rsidRPr="004D43FE" w:rsidR="004D43FE" w:rsidP="004D43FE" w:rsidRDefault="004D43FE" w14:paraId="54363E28"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 xml:space="preserve">La duda obedece a que el numeral 4 del artículo 2 de la Ley 1150 de 2007 establece que se aplicará la contratación directa para "El arrendamiento o adquisición de inmuebles”, en ese sentido parece que la norma indica que se aplicará la excepción cuando la entidad requiera adquirir o tomar en arriendo inmuebles porque o no incluyó la venta de inmuebles en la excepción.  </w:t>
      </w:r>
    </w:p>
    <w:p w:rsidRPr="004D43FE" w:rsidR="004D43FE" w:rsidP="004D43FE" w:rsidRDefault="004D43FE" w14:paraId="3FFB7021"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 xml:space="preserve">Adicionalmente, el artículo 2.2.1.2.1.4.11 del Decreto 1082 de 2015 dispone que, para que aplique esa excepción La entidad debe verificar las condiciones del mercado inmobiliario en la ciudad en la que la Entidad Estatal "requiere el inmueble" y analizar y "comparar" las condiciones "de los bienes inmuebles que satisfacen las necesidades identificadas y las opciones de arrendamiento", análisis que deberá tener en cuenta los principios y objetivos del sistema de compra y contratación pública. </w:t>
      </w:r>
    </w:p>
    <w:p w:rsidRPr="004D43FE" w:rsidR="004D43FE" w:rsidP="004D43FE" w:rsidRDefault="004D43FE" w14:paraId="2C097589"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En ese se cree que el sentido de las normas que permiten la causal limita su aplicación a cuando la Entidad Estatal sea arrendataria y no arrendado por lo tanto se solicita su amable gestión en despejar la duda planteada y resolver la modalidad aplicable al contrato de arrendamiento cuando la entidad estatal es arrendadora es decir que se puedan presentar pluralidad de interesados o proponentes.</w:t>
      </w:r>
    </w:p>
    <w:p w:rsidRPr="004D43FE" w:rsidR="004D43FE" w:rsidP="004D43FE" w:rsidRDefault="004D43FE" w14:paraId="01EED08E" w14:textId="77777777">
      <w:pPr>
        <w:spacing w:after="120" w:line="240" w:lineRule="auto"/>
        <w:ind w:left="709" w:right="709"/>
        <w:jc w:val="both"/>
        <w:rPr>
          <w:rFonts w:ascii="Verdana" w:hAnsi="Verdana" w:eastAsia="Century Gothic" w:cs="Century Gothic"/>
          <w:sz w:val="20"/>
          <w:szCs w:val="20"/>
          <w:lang w:val="es-ES"/>
        </w:rPr>
      </w:pPr>
      <w:r w:rsidRPr="004D43FE">
        <w:rPr>
          <w:rFonts w:ascii="Verdana" w:hAnsi="Verdana" w:eastAsia="Century Gothic" w:cs="Century Gothic"/>
          <w:sz w:val="20"/>
          <w:szCs w:val="20"/>
          <w:lang w:val="es-ES"/>
        </w:rPr>
        <w:t xml:space="preserve">En caso de indicarse que la causal aplica indistintamente si la entidad es arrendadora o arrendataria señalar el fundamento jurídico y si la escogencia del oferente cuando exista pluralidad puede ser discrecional, pues se insiste en que no hay proceso de selección ni verificación de requisitos de ponderables”. </w:t>
      </w:r>
    </w:p>
    <w:p w:rsidRPr="004D43FE" w:rsidR="004D43FE" w:rsidP="004D43FE" w:rsidRDefault="004D43FE" w14:paraId="41C38B83" w14:textId="77777777">
      <w:pPr>
        <w:tabs>
          <w:tab w:val="left" w:pos="142"/>
          <w:tab w:val="left" w:pos="284"/>
        </w:tabs>
        <w:spacing w:after="0" w:line="276" w:lineRule="auto"/>
        <w:contextualSpacing/>
        <w:jc w:val="both"/>
        <w:rPr>
          <w:rFonts w:ascii="Verdana" w:hAnsi="Verdana" w:eastAsia="Century Gothic" w:cs="Century Gothic"/>
          <w:b/>
          <w:bCs/>
          <w:lang w:val="es-ES"/>
        </w:rPr>
      </w:pPr>
    </w:p>
    <w:p w:rsidRPr="004D43FE" w:rsidR="004D43FE" w:rsidP="004D43FE" w:rsidRDefault="004D43FE" w14:paraId="05CBF5B7" w14:textId="77777777">
      <w:pPr>
        <w:spacing w:after="120" w:line="276" w:lineRule="auto"/>
        <w:ind w:firstLine="709"/>
        <w:jc w:val="both"/>
        <w:rPr>
          <w:rFonts w:ascii="Verdana" w:hAnsi="Verdana" w:eastAsia="Calibri" w:cs="Arial"/>
          <w:color w:val="000000"/>
          <w:lang w:val="es-ES" w:eastAsia="es-ES"/>
        </w:rPr>
      </w:pPr>
      <w:r w:rsidRPr="004D43FE">
        <w:rPr>
          <w:rFonts w:ascii="Verdana" w:hAnsi="Verdana" w:eastAsia="Calibri"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w:t>
      </w:r>
      <w:r w:rsidRPr="004D43FE">
        <w:rPr>
          <w:rFonts w:ascii="Verdana" w:hAnsi="Verdana" w:eastAsia="Calibri" w:cs="Arial"/>
          <w:color w:val="000000"/>
          <w:lang w:val="es-ES" w:eastAsia="es-ES"/>
        </w:rPr>
        <w:t xml:space="preserve">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D43FE">
        <w:rPr>
          <w:rFonts w:ascii="Verdana" w:hAnsi="Verdana" w:eastAsia="Calibri" w:cs="Arial"/>
          <w:color w:val="000000"/>
          <w:szCs w:val="24"/>
          <w:lang w:val="es-ES_tradnl" w:eastAsia="es-ES_tradnl"/>
        </w:rPr>
        <w:tab/>
      </w:r>
    </w:p>
    <w:p w:rsidRPr="004D43FE" w:rsidR="004D43FE" w:rsidP="004D43FE" w:rsidRDefault="004D43FE" w14:paraId="7C9E1EC8" w14:textId="77777777">
      <w:pPr>
        <w:spacing w:after="0" w:line="276" w:lineRule="auto"/>
        <w:ind w:firstLine="709"/>
        <w:jc w:val="both"/>
        <w:rPr>
          <w:rFonts w:ascii="Verdana" w:hAnsi="Verdana" w:eastAsia="Calibri" w:cs="Arial"/>
          <w:color w:val="000000"/>
          <w:lang w:val="es-ES" w:eastAsia="es-ES"/>
        </w:rPr>
      </w:pPr>
      <w:r w:rsidRPr="004D43FE">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4D43FE">
        <w:rPr>
          <w:rFonts w:ascii="Verdana" w:hAnsi="Verdana" w:eastAsia="Calibri" w:cs="Arial"/>
          <w:color w:val="7030A0"/>
          <w:lang w:val="es-ES" w:eastAsia="es-ES"/>
        </w:rPr>
        <w:t xml:space="preserve"> </w:t>
      </w:r>
      <w:r w:rsidRPr="004D43FE">
        <w:rPr>
          <w:rFonts w:ascii="Verdana" w:hAnsi="Verdana" w:eastAsia="Calibri" w:cs="Arial"/>
          <w:color w:val="000000"/>
          <w:lang w:val="es-ES" w:eastAsia="es-ES"/>
        </w:rPr>
        <w:t>problema</w:t>
      </w:r>
      <w:r w:rsidRPr="004D43FE">
        <w:rPr>
          <w:rFonts w:ascii="Verdana" w:hAnsi="Verdana" w:eastAsia="Calibri" w:cs="Arial"/>
          <w:color w:val="7030A0"/>
          <w:lang w:val="es-ES" w:eastAsia="es-ES"/>
        </w:rPr>
        <w:t xml:space="preserve"> </w:t>
      </w:r>
      <w:r w:rsidRPr="004D43FE">
        <w:rPr>
          <w:rFonts w:ascii="Verdana" w:hAnsi="Verdana" w:eastAsia="Calibri" w:cs="Arial"/>
          <w:color w:val="000000"/>
          <w:lang w:val="es-ES" w:eastAsia="es-ES"/>
        </w:rPr>
        <w:t>jurídico</w:t>
      </w:r>
      <w:r w:rsidRPr="004D43FE">
        <w:rPr>
          <w:rFonts w:ascii="Verdana" w:hAnsi="Verdana" w:eastAsia="Calibri" w:cs="Arial"/>
          <w:color w:val="7030A0"/>
          <w:lang w:val="es-ES" w:eastAsia="es-ES"/>
        </w:rPr>
        <w:t xml:space="preserve"> </w:t>
      </w:r>
      <w:r w:rsidRPr="004D43FE">
        <w:rPr>
          <w:rFonts w:ascii="Verdana" w:hAnsi="Verdana" w:eastAsia="Calibri" w:cs="Arial"/>
          <w:color w:val="000000"/>
          <w:lang w:val="es-ES" w:eastAsia="es-ES"/>
        </w:rPr>
        <w:t xml:space="preserve">de su consulta.  </w:t>
      </w:r>
    </w:p>
    <w:p w:rsidRPr="004D43FE" w:rsidR="004D43FE" w:rsidP="004D43FE" w:rsidRDefault="004D43FE" w14:paraId="590FCC6D" w14:textId="77777777">
      <w:pPr>
        <w:spacing w:after="0" w:line="276" w:lineRule="auto"/>
        <w:ind w:firstLine="709"/>
        <w:jc w:val="both"/>
        <w:rPr>
          <w:rFonts w:ascii="Verdana" w:hAnsi="Verdana" w:eastAsia="Calibri" w:cs="Arial"/>
          <w:color w:val="000000"/>
          <w:lang w:val="es-ES" w:eastAsia="es-ES"/>
        </w:rPr>
      </w:pPr>
    </w:p>
    <w:p w:rsidRPr="004D43FE" w:rsidR="004D43FE" w:rsidP="004D43FE" w:rsidRDefault="004D43FE" w14:paraId="4E224F7B" w14:textId="77777777">
      <w:pPr>
        <w:numPr>
          <w:ilvl w:val="0"/>
          <w:numId w:val="16"/>
        </w:numPr>
        <w:tabs>
          <w:tab w:val="left" w:pos="142"/>
          <w:tab w:val="left" w:pos="284"/>
        </w:tabs>
        <w:spacing w:after="0" w:line="276" w:lineRule="auto"/>
        <w:contextualSpacing/>
        <w:jc w:val="both"/>
        <w:rPr>
          <w:rFonts w:ascii="Verdana" w:hAnsi="Verdana" w:eastAsia="Century Gothic" w:cs="Century Gothic"/>
          <w:b/>
          <w:bCs/>
          <w:lang w:val="es-ES"/>
        </w:rPr>
      </w:pPr>
      <w:r w:rsidRPr="004D43FE">
        <w:rPr>
          <w:rFonts w:ascii="Verdana" w:hAnsi="Verdana" w:eastAsia="Century Gothic" w:cs="Century Gothic"/>
          <w:b/>
          <w:bCs/>
          <w:lang w:val="es-ES"/>
        </w:rPr>
        <w:t>Problema planteado:</w:t>
      </w:r>
    </w:p>
    <w:p w:rsidRPr="004D43FE" w:rsidR="004D43FE" w:rsidP="004D43FE" w:rsidRDefault="004D43FE" w14:paraId="15501261" w14:textId="77777777">
      <w:pPr>
        <w:tabs>
          <w:tab w:val="left" w:pos="426"/>
        </w:tabs>
        <w:spacing w:after="0" w:line="276" w:lineRule="auto"/>
        <w:jc w:val="both"/>
        <w:rPr>
          <w:rFonts w:ascii="Verdana" w:hAnsi="Verdana" w:eastAsia="Century Gothic" w:cs="Century Gothic"/>
          <w:lang w:val="es-ES"/>
        </w:rPr>
      </w:pPr>
    </w:p>
    <w:p w:rsidRPr="004D43FE" w:rsidR="004D43FE" w:rsidP="004D43FE" w:rsidRDefault="004D43FE" w14:paraId="3BDDCDE8" w14:textId="77777777">
      <w:pPr>
        <w:spacing w:after="0" w:line="276" w:lineRule="auto"/>
        <w:jc w:val="both"/>
        <w:rPr>
          <w:rFonts w:ascii="Verdana" w:hAnsi="Verdana" w:eastAsia="Century Gothic" w:cs="Century Gothic"/>
        </w:rPr>
      </w:pPr>
      <w:r w:rsidRPr="004D43FE">
        <w:rPr>
          <w:rFonts w:ascii="Verdana" w:hAnsi="Verdana" w:eastAsia="Century Gothic" w:cs="Century Gothic"/>
        </w:rPr>
        <w:t xml:space="preserve">De acuerdo con el contenido de su solicitud, esta Agencia resolverá el siguiente problema jurídico: ¿el literal i) del artículo 2.4 de la Ley 1150 de 2011 sólo permite la contratación directa cuando la entidad estatal es la arrendataria del bien inmueble?              </w:t>
      </w:r>
      <w:r w:rsidRPr="004D43FE">
        <w:rPr>
          <w:rFonts w:ascii="Verdana" w:hAnsi="Verdana" w:eastAsia="Century Gothic" w:cs="Century Gothic"/>
          <w:color w:val="7030A0"/>
        </w:rPr>
        <w:t xml:space="preserve"> </w:t>
      </w:r>
    </w:p>
    <w:p w:rsidRPr="004D43FE" w:rsidR="004D43FE" w:rsidP="004D43FE" w:rsidRDefault="004D43FE" w14:paraId="47311FBD" w14:textId="77777777">
      <w:pPr>
        <w:spacing w:after="0" w:line="276" w:lineRule="auto"/>
        <w:jc w:val="both"/>
        <w:rPr>
          <w:rFonts w:ascii="Verdana" w:hAnsi="Verdana" w:eastAsia="Calibri" w:cs="Arial"/>
          <w:color w:val="7030A0"/>
        </w:rPr>
      </w:pPr>
    </w:p>
    <w:p w:rsidRPr="004D43FE" w:rsidR="004D43FE" w:rsidP="004D43FE" w:rsidRDefault="004D43FE" w14:paraId="429B6310"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4D43FE">
        <w:rPr>
          <w:rFonts w:ascii="Verdana" w:hAnsi="Verdana" w:eastAsia="Century Gothic" w:cs="Century Gothic"/>
          <w:b/>
          <w:bCs/>
          <w:lang w:val="es-ES"/>
        </w:rPr>
        <w:t>Respuesta:</w:t>
      </w:r>
    </w:p>
    <w:p w:rsidRPr="004D43FE" w:rsidR="004D43FE" w:rsidP="004D43FE" w:rsidRDefault="004D43FE" w14:paraId="5E3428A3"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4D43FE" w:rsidR="004D43FE" w:rsidTr="000D4CD0" w14:paraId="03D4CC0A" w14:textId="77777777">
        <w:trPr>
          <w:jc w:val="center"/>
        </w:trPr>
        <w:tc>
          <w:tcPr>
            <w:tcW w:w="8828" w:type="dxa"/>
          </w:tcPr>
          <w:p w:rsidRPr="004D43FE" w:rsidR="004D43FE" w:rsidP="004D43FE" w:rsidRDefault="004D43FE" w14:paraId="1207EE87" w14:textId="77777777">
            <w:pPr>
              <w:spacing w:after="120" w:line="276" w:lineRule="auto"/>
              <w:jc w:val="both"/>
              <w:rPr>
                <w:rFonts w:ascii="Verdana" w:hAnsi="Verdana" w:eastAsia="Times New Roman" w:cs="Arial"/>
                <w:lang w:eastAsia="es-MX"/>
              </w:rPr>
            </w:pPr>
            <w:bookmarkStart w:name="_Hlk171694685" w:id="1"/>
            <w:r w:rsidRPr="004D43FE">
              <w:rPr>
                <w:rFonts w:ascii="Verdana" w:hAnsi="Verdana" w:eastAsia="Calibri" w:cs="Times New Roman"/>
                <w:iCs/>
                <w:lang w:val="es-ES"/>
              </w:rPr>
              <w:t xml:space="preserve">Conforme a la interpretación general de las normas del sistema de compras públicas, </w:t>
            </w:r>
            <w:r w:rsidRPr="004D43FE">
              <w:rPr>
                <w:rFonts w:ascii="Verdana" w:hAnsi="Verdana" w:eastAsia="Times New Roman" w:cs="Arial"/>
                <w:lang w:eastAsia="es-MX"/>
              </w:rPr>
              <w:t xml:space="preserve">el literal i) del artículo 2.4 de la Ley 1150 de 2011 permite la contratación directa tratándose de “El arrendamiento […] de inmuebles”. 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 </w:t>
            </w:r>
          </w:p>
          <w:p w:rsidRPr="004D43FE" w:rsidR="004D43FE" w:rsidP="004D43FE" w:rsidRDefault="004D43FE" w14:paraId="55566771" w14:textId="77777777">
            <w:pPr>
              <w:spacing w:line="276" w:lineRule="auto"/>
              <w:ind w:firstLine="708"/>
              <w:jc w:val="both"/>
              <w:rPr>
                <w:rFonts w:ascii="Verdana" w:hAnsi="Verdana" w:eastAsia="Calibri" w:cs="Arial"/>
                <w:lang w:val="es-ES"/>
              </w:rPr>
            </w:pPr>
            <w:r w:rsidRPr="004D43FE">
              <w:rPr>
                <w:rFonts w:ascii="Verdana" w:hAnsi="Verdana" w:eastAsia="Calibri" w:cs="Arial"/>
                <w:lang w:val="es-ES"/>
              </w:rPr>
              <w:t xml:space="preserve">Cuando la entidad estatal actúe como arrendadora puede evaluar si es conveniente o no adelantar una convocatoria pública en garantía del principio de libre concurrencia. Hacerlo no es obligatorio sino facultativo, pues lo cierto es que el EGCAP permite la contratación directa tratándose del arrendamiento de inmuebles, al margen de la posición que asuma la entidad en el negocio. En todo caso, aquella es autónoma y responsable de la estructuración de sus procesos de contratación, así como determinar su necesidad y la modalidad de selección del contratista. </w:t>
            </w:r>
          </w:p>
          <w:p w:rsidRPr="004D43FE" w:rsidR="004D43FE" w:rsidP="004D43FE" w:rsidRDefault="004D43FE" w14:paraId="6ECB2EF1" w14:textId="77777777">
            <w:pPr>
              <w:spacing w:before="120" w:line="276" w:lineRule="auto"/>
              <w:ind w:firstLine="737"/>
              <w:jc w:val="both"/>
              <w:rPr>
                <w:rFonts w:ascii="Verdana" w:hAnsi="Verdana" w:eastAsia="Calibri" w:cs="Arial"/>
                <w:bCs/>
                <w:color w:val="000000" w:themeColor="text1"/>
              </w:rPr>
            </w:pPr>
            <w:r w:rsidRPr="004D43FE">
              <w:rPr>
                <w:rFonts w:ascii="Verdana" w:hAnsi="Verdana" w:eastAsia="Calibri" w:cs="Arial"/>
                <w:bCs/>
                <w:color w:val="000000" w:themeColor="text1"/>
              </w:rPr>
              <w:t xml:space="preserve">Al margen de la explicación precedente debe advertirse que </w:t>
            </w:r>
            <w:r w:rsidRPr="004D43FE">
              <w:rPr>
                <w:rFonts w:ascii="Verdana" w:hAnsi="Verdana"/>
                <w:color w:val="000000"/>
              </w:rPr>
              <w:t>el análisis requerido para resolver problemas específicos en torno a la gestión contractual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 Esto significa que, fuera de la orientación del presente oficio, la ANCP – CCE carece de atribuciones normativas para desarrollar las actuaciones contractuales objeto de la solicitud.</w:t>
            </w:r>
          </w:p>
        </w:tc>
      </w:tr>
    </w:tbl>
    <w:p w:rsidRPr="004D43FE" w:rsidR="004D43FE" w:rsidP="004D43FE" w:rsidRDefault="004D43FE" w14:paraId="15A4521C"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4D43FE" w:rsidR="004D43FE" w:rsidP="004D43FE" w:rsidRDefault="004D43FE" w14:paraId="5BEEB1AB"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4D43FE">
        <w:rPr>
          <w:rFonts w:ascii="Verdana" w:hAnsi="Verdana" w:eastAsia="Century Gothic" w:cs="Century Gothic"/>
          <w:b/>
          <w:bCs/>
          <w:lang w:val="es-ES"/>
        </w:rPr>
        <w:t>Razones de la respuesta:</w:t>
      </w:r>
    </w:p>
    <w:p w:rsidRPr="004D43FE" w:rsidR="004D43FE" w:rsidP="004D43FE" w:rsidRDefault="004D43FE" w14:paraId="6F22E17B" w14:textId="77777777">
      <w:pPr>
        <w:spacing w:after="0" w:line="276" w:lineRule="auto"/>
        <w:jc w:val="both"/>
        <w:rPr>
          <w:rFonts w:ascii="Verdana" w:hAnsi="Verdana" w:eastAsia="Calibri" w:cs="Arial"/>
          <w:color w:val="7030A0"/>
          <w:lang w:val="es-ES"/>
        </w:rPr>
      </w:pPr>
    </w:p>
    <w:p w:rsidRPr="004D43FE" w:rsidR="004D43FE" w:rsidP="004D43FE" w:rsidRDefault="004D43FE" w14:paraId="28312F42" w14:textId="77777777">
      <w:pPr>
        <w:spacing w:after="0" w:line="276" w:lineRule="auto"/>
        <w:jc w:val="both"/>
        <w:rPr>
          <w:rFonts w:ascii="Verdana" w:hAnsi="Verdana" w:eastAsia="Calibri" w:cs="Arial"/>
          <w:lang w:val="es-ES"/>
        </w:rPr>
      </w:pPr>
      <w:r w:rsidRPr="004D43FE">
        <w:rPr>
          <w:rFonts w:ascii="Verdana" w:hAnsi="Verdana" w:eastAsia="Calibri" w:cs="Arial"/>
          <w:lang w:val="es-ES"/>
        </w:rPr>
        <w:t>Lo anterior se sustenta en las siguientes consideraciones:</w:t>
      </w:r>
    </w:p>
    <w:p w:rsidRPr="004D43FE" w:rsidR="004D43FE" w:rsidP="004D43FE" w:rsidRDefault="004D43FE" w14:paraId="01EECF52" w14:textId="77777777">
      <w:pPr>
        <w:spacing w:after="0" w:line="276" w:lineRule="auto"/>
        <w:jc w:val="both"/>
        <w:rPr>
          <w:rFonts w:ascii="Verdana" w:hAnsi="Verdana" w:eastAsia="Calibri" w:cs="Arial"/>
          <w:lang w:val="es-ES"/>
        </w:rPr>
      </w:pPr>
    </w:p>
    <w:p w:rsidRPr="004D43FE" w:rsidR="004D43FE" w:rsidP="004D43FE" w:rsidRDefault="004D43FE" w14:paraId="4194362F" w14:textId="77777777">
      <w:pPr>
        <w:spacing w:after="120" w:line="276" w:lineRule="auto"/>
        <w:jc w:val="both"/>
        <w:rPr>
          <w:rFonts w:ascii="Verdana" w:hAnsi="Verdana" w:cs="Arial"/>
          <w:lang w:val="es-ES"/>
        </w:rPr>
      </w:pPr>
      <w:r w:rsidRPr="004D43FE">
        <w:rPr>
          <w:rFonts w:ascii="Verdana" w:hAnsi="Verdana" w:cs="Arial"/>
          <w:lang w:val="es-ES"/>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4D43FE">
        <w:rPr>
          <w:rFonts w:ascii="Verdana" w:hAnsi="Verdana" w:cs="Arial"/>
          <w:i/>
          <w:iCs/>
          <w:lang w:val="es-ES"/>
        </w:rPr>
        <w:t>entidades estatales</w:t>
      </w:r>
      <w:r w:rsidRPr="004D43FE">
        <w:rPr>
          <w:rFonts w:ascii="Verdana" w:hAnsi="Verdana" w:cs="Arial"/>
          <w:lang w:val="es-ES"/>
        </w:rPr>
        <w:t xml:space="preserve">, esto es, aquellas previstas en los literales a) y b) del numeral 1 del artículo 2 </w:t>
      </w:r>
      <w:r w:rsidRPr="004D43FE">
        <w:rPr>
          <w:rFonts w:ascii="Verdana" w:hAnsi="Verdana" w:cs="Arial"/>
          <w:i/>
          <w:iCs/>
          <w:lang w:val="es-ES"/>
        </w:rPr>
        <w:t>ibidem</w:t>
      </w:r>
      <w:r w:rsidRPr="004D43FE">
        <w:rPr>
          <w:rFonts w:ascii="Verdana" w:hAnsi="Verdana" w:cs="Arial"/>
          <w:lang w:val="es-ES"/>
        </w:rPr>
        <w:t xml:space="preserve">. La norma citada define la competencia contractual en los siguientes términos: </w:t>
      </w:r>
    </w:p>
    <w:p w:rsidRPr="004D43FE" w:rsidR="004D43FE" w:rsidP="004D43FE" w:rsidRDefault="004D43FE" w14:paraId="6DEF8828" w14:textId="77777777">
      <w:pPr>
        <w:spacing w:after="120" w:line="276" w:lineRule="auto"/>
        <w:ind w:firstLine="708"/>
        <w:jc w:val="both"/>
        <w:rPr>
          <w:rFonts w:ascii="Verdana" w:hAnsi="Verdana" w:cs="Arial"/>
          <w:lang w:val="es-ES"/>
        </w:rPr>
      </w:pPr>
      <w:r w:rsidRPr="004D43FE">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w:t>
      </w:r>
      <w:r w:rsidRPr="004D43FE">
        <w:rPr>
          <w:rFonts w:ascii="Verdana" w:hAnsi="Verdana" w:cs="Arial"/>
          <w:lang w:val="es-ES"/>
        </w:rPr>
        <w:t xml:space="preserve">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rsidRPr="004D43FE" w:rsidR="004D43FE" w:rsidP="004D43FE" w:rsidRDefault="004D43FE" w14:paraId="19476AA2" w14:textId="77777777">
      <w:pPr>
        <w:spacing w:after="120" w:line="276" w:lineRule="auto"/>
        <w:ind w:firstLine="708"/>
        <w:jc w:val="both"/>
        <w:rPr>
          <w:rFonts w:ascii="Verdana" w:hAnsi="Verdana" w:cs="Arial"/>
          <w:lang w:val="es-ES"/>
        </w:rPr>
      </w:pPr>
      <w:r w:rsidRPr="004D43FE">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Ley 111 de 1996, modificado por el artículo 124 de la Ley 1957 de 2019</w:t>
      </w:r>
      <w:r w:rsidRPr="004D43FE">
        <w:rPr>
          <w:rFonts w:ascii="Verdana" w:hAnsi="Verdana" w:cs="Arial"/>
          <w:vertAlign w:val="superscript"/>
          <w:lang w:val="es-ES"/>
        </w:rPr>
        <w:footnoteReference w:id="1"/>
      </w:r>
      <w:r w:rsidRPr="004D43FE">
        <w:rPr>
          <w:rFonts w:ascii="Verdana" w:hAnsi="Verdana" w:cs="Arial"/>
          <w:lang w:val="es-ES"/>
        </w:rPr>
        <w:t xml:space="preserve">. </w:t>
      </w:r>
    </w:p>
    <w:p w:rsidRPr="004D43FE" w:rsidR="004D43FE" w:rsidP="004D43FE" w:rsidRDefault="004D43FE" w14:paraId="63D28551" w14:textId="77777777">
      <w:pPr>
        <w:spacing w:after="0" w:line="276" w:lineRule="auto"/>
        <w:ind w:firstLine="708"/>
        <w:jc w:val="both"/>
        <w:rPr>
          <w:rFonts w:ascii="Verdana" w:hAnsi="Verdana" w:cs="Arial"/>
          <w:bCs/>
          <w:lang w:val="es-MX"/>
        </w:rPr>
      </w:pPr>
      <w:r w:rsidRPr="004D43FE">
        <w:rPr>
          <w:rFonts w:ascii="Verdana" w:hAnsi="Verdana" w:cs="Arial"/>
          <w:lang w:val="es-ES"/>
        </w:rPr>
        <w:t xml:space="preserve">Para las entidades de los párrafos anteriores, sin perjuicio de las excepciones puntales a la aplicación del EGCAP, los procesos de selección se rigen por el artículo 2 de la Ley 1150 de 2007. El </w:t>
      </w:r>
      <w:r w:rsidRPr="004D43FE">
        <w:rPr>
          <w:rFonts w:ascii="Verdana" w:hAnsi="Verdana" w:cs="Arial"/>
          <w:bCs/>
          <w:lang w:val="es-MX"/>
        </w:rPr>
        <w:t xml:space="preserve">numeral uno, inciso primero, dispone que “La escogencia del contratista se efectuará por </w:t>
      </w:r>
      <w:r w:rsidRPr="004D43FE">
        <w:rPr>
          <w:rFonts w:ascii="Verdana" w:hAnsi="Verdana" w:cs="Arial"/>
          <w:bCs/>
          <w:i/>
          <w:iCs/>
          <w:lang w:val="es-MX"/>
        </w:rPr>
        <w:t>regla general</w:t>
      </w:r>
      <w:r w:rsidRPr="004D43FE">
        <w:rPr>
          <w:rFonts w:ascii="Verdana" w:hAnsi="Verdana" w:cs="Arial"/>
          <w:bCs/>
          <w:lang w:val="es-MX"/>
        </w:rPr>
        <w:t xml:space="preserve"> a través de licitación pública, con las </w:t>
      </w:r>
      <w:r w:rsidRPr="004D43FE">
        <w:rPr>
          <w:rFonts w:ascii="Verdana" w:hAnsi="Verdana" w:cs="Arial"/>
          <w:bCs/>
          <w:i/>
          <w:iCs/>
          <w:lang w:val="es-MX"/>
        </w:rPr>
        <w:t>excepciones</w:t>
      </w:r>
      <w:r w:rsidRPr="004D43FE">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4D43FE">
        <w:rPr>
          <w:rFonts w:ascii="Verdana" w:hAnsi="Verdana" w:cs="Arial"/>
          <w:bCs/>
          <w:vertAlign w:val="superscript"/>
          <w:lang w:val="es-MX"/>
        </w:rPr>
        <w:footnoteReference w:id="2"/>
      </w:r>
      <w:r w:rsidRPr="004D43FE">
        <w:rPr>
          <w:rFonts w:ascii="Verdana" w:hAnsi="Verdana" w:cs="Arial"/>
          <w:bCs/>
          <w:lang w:val="es-MX"/>
        </w:rPr>
        <w:t xml:space="preserve">. En este contexto, salvo norma especial que ordene la celebración </w:t>
      </w:r>
      <w:r w:rsidRPr="004D43FE">
        <w:rPr>
          <w:rFonts w:ascii="Verdana" w:hAnsi="Verdana" w:cs="Arial"/>
          <w:bCs/>
          <w:lang w:val="es-MX"/>
        </w:rPr>
        <w:t>del negocio jurídico por selección abreviada, concurso de méritos, mínima cuantía o contratación directa, debe aplicarse la regla general de licitación pública</w:t>
      </w:r>
      <w:r w:rsidRPr="004D43FE">
        <w:rPr>
          <w:rFonts w:ascii="Verdana" w:hAnsi="Verdana" w:cs="Arial"/>
          <w:bCs/>
          <w:vertAlign w:val="superscript"/>
          <w:lang w:val="es-MX"/>
        </w:rPr>
        <w:footnoteReference w:id="3"/>
      </w:r>
      <w:r w:rsidRPr="004D43FE">
        <w:rPr>
          <w:rFonts w:ascii="Verdana" w:hAnsi="Verdana" w:cs="Arial"/>
          <w:bCs/>
          <w:lang w:val="es-MX"/>
        </w:rPr>
        <w:t>.</w:t>
      </w:r>
    </w:p>
    <w:p w:rsidRPr="004D43FE" w:rsidR="004D43FE" w:rsidP="004D43FE" w:rsidRDefault="004D43FE" w14:paraId="1E5164AC" w14:textId="77777777">
      <w:pPr>
        <w:spacing w:after="0" w:line="276" w:lineRule="auto"/>
        <w:jc w:val="both"/>
        <w:rPr>
          <w:rFonts w:ascii="Verdana" w:hAnsi="Verdana" w:cs="Arial"/>
          <w:bCs/>
          <w:lang w:val="es-MX"/>
        </w:rPr>
      </w:pPr>
    </w:p>
    <w:p w:rsidRPr="004D43FE" w:rsidR="004D43FE" w:rsidP="004D43FE" w:rsidRDefault="004D43FE" w14:paraId="338FD1B5" w14:textId="77777777">
      <w:pPr>
        <w:spacing w:after="0" w:line="276" w:lineRule="auto"/>
        <w:jc w:val="both"/>
        <w:rPr>
          <w:rFonts w:ascii="Verdana" w:hAnsi="Verdana" w:eastAsia="Arial" w:cs="Arial"/>
          <w:color w:val="000000"/>
          <w:lang w:val="es-ES"/>
        </w:rPr>
      </w:pPr>
      <w:proofErr w:type="spellStart"/>
      <w:r w:rsidRPr="004D43FE">
        <w:rPr>
          <w:rFonts w:ascii="Verdana" w:hAnsi="Verdana" w:eastAsia="Calibri" w:cs="Arial"/>
          <w:lang w:val="es-MX"/>
        </w:rPr>
        <w:t>ii</w:t>
      </w:r>
      <w:proofErr w:type="spellEnd"/>
      <w:r w:rsidRPr="004D43FE">
        <w:rPr>
          <w:rFonts w:ascii="Verdana" w:hAnsi="Verdana" w:eastAsia="Calibri" w:cs="Arial"/>
          <w:lang w:val="es-MX"/>
        </w:rPr>
        <w:t xml:space="preserve">. </w:t>
      </w:r>
      <w:r w:rsidRPr="004D43FE">
        <w:rPr>
          <w:rFonts w:ascii="Verdana" w:hAnsi="Verdana" w:cs="Arial"/>
          <w:bCs/>
          <w:lang w:val="es-MX"/>
        </w:rPr>
        <w:t>E</w:t>
      </w:r>
      <w:r w:rsidRPr="004D43FE">
        <w:rPr>
          <w:rFonts w:ascii="Verdana" w:hAnsi="Verdana" w:cs="Arial"/>
          <w:bCs/>
        </w:rPr>
        <w:t xml:space="preserve">l contrato estatal se identifica por el criterio orgánico o subjetivo, de manera que –como explica el Consejo de Estado– el “[…] </w:t>
      </w:r>
      <w:r w:rsidRPr="004D43FE">
        <w:rPr>
          <w:rFonts w:ascii="Verdana" w:hAnsi="Verdana" w:eastAsia="Arial" w:cs="Arial"/>
          <w:color w:val="000000"/>
          <w:lang w:val="es-ES"/>
        </w:rPr>
        <w:t>elemento esencial para calificar de estatal un contrato, es que haya sido celebrado por una entidad estatal, es decir, una entidad pública con capacidad legal para celebrarlo […]”</w:t>
      </w:r>
      <w:r w:rsidRPr="004D43FE">
        <w:rPr>
          <w:rFonts w:ascii="Verdana" w:hAnsi="Verdana" w:eastAsia="Arial" w:cs="Arial"/>
          <w:color w:val="000000"/>
          <w:vertAlign w:val="superscript"/>
          <w:lang w:val="es-ES"/>
        </w:rPr>
        <w:footnoteReference w:id="4"/>
      </w:r>
      <w:r w:rsidRPr="004D43FE">
        <w:rPr>
          <w:rFonts w:ascii="Verdana" w:hAnsi="Verdana" w:eastAsia="Arial" w:cs="Arial"/>
          <w:color w:val="000000"/>
          <w:lang w:val="es-ES"/>
        </w:rPr>
        <w:t>.</w:t>
      </w:r>
      <w:r w:rsidRPr="004D43FE">
        <w:rPr>
          <w:rFonts w:ascii="Verdana" w:hAnsi="Verdana" w:cs="Arial"/>
          <w:bCs/>
          <w:lang w:val="es-ES"/>
        </w:rPr>
        <w:t xml:space="preserve"> </w:t>
      </w:r>
      <w:r w:rsidRPr="004D43FE">
        <w:rPr>
          <w:rFonts w:ascii="Verdana" w:hAnsi="Verdana" w:eastAsia="Arial" w:cs="Arial"/>
          <w:color w:val="000000"/>
          <w:lang w:val="es-ES"/>
        </w:rPr>
        <w:t>Por tanto, es el acto jurídico creador de obligaciones a cuya celebración concurra una de entidades estatal, independientemente de que se trate de contratos previstos o tipificados en el derecho privado, en disposiciones especiales o que resulten del ejercicio de la autonomía de la voluntad, como sucede con los que se clasifican como atípicos e innominados</w:t>
      </w:r>
      <w:r w:rsidRPr="004D43FE">
        <w:rPr>
          <w:rFonts w:ascii="Verdana" w:hAnsi="Verdana" w:eastAsia="Arial" w:cs="Arial"/>
          <w:color w:val="000000"/>
          <w:vertAlign w:val="superscript"/>
          <w:lang w:val="es-ES"/>
        </w:rPr>
        <w:footnoteReference w:id="5"/>
      </w:r>
      <w:r w:rsidRPr="004D43FE">
        <w:rPr>
          <w:rFonts w:ascii="Verdana" w:hAnsi="Verdana" w:eastAsia="Arial" w:cs="Arial"/>
          <w:color w:val="000000"/>
          <w:lang w:val="es-ES"/>
        </w:rPr>
        <w:t xml:space="preserve">. Conforme con lo anterior, el contrato estatal es un acuerdo de voluntades efectuado por las entidades públicas que genera, </w:t>
      </w:r>
      <w:r w:rsidRPr="004D43FE">
        <w:rPr>
          <w:rFonts w:ascii="Verdana" w:hAnsi="Verdana" w:eastAsia="Arial" w:cs="Arial"/>
          <w:color w:val="000000"/>
          <w:lang w:val="es-ES"/>
        </w:rPr>
        <w:t>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4D43FE">
        <w:rPr>
          <w:rFonts w:ascii="Verdana" w:hAnsi="Verdana" w:eastAsia="Arial" w:cs="Arial"/>
          <w:color w:val="000000"/>
          <w:vertAlign w:val="superscript"/>
          <w:lang w:val="es-ES"/>
        </w:rPr>
        <w:footnoteReference w:id="6"/>
      </w:r>
      <w:r w:rsidRPr="004D43FE">
        <w:rPr>
          <w:rFonts w:ascii="Verdana" w:hAnsi="Verdana" w:eastAsia="Arial" w:cs="Arial"/>
          <w:color w:val="000000"/>
          <w:lang w:val="es-ES"/>
        </w:rPr>
        <w:t xml:space="preserve">. </w:t>
      </w:r>
    </w:p>
    <w:p w:rsidRPr="004D43FE" w:rsidR="004D43FE" w:rsidP="004D43FE" w:rsidRDefault="004D43FE" w14:paraId="2F6CE193" w14:textId="77777777">
      <w:pPr>
        <w:spacing w:after="0" w:line="276" w:lineRule="auto"/>
        <w:jc w:val="both"/>
        <w:rPr>
          <w:rFonts w:ascii="Verdana" w:hAnsi="Verdana" w:eastAsia="Arial" w:cs="Arial"/>
          <w:color w:val="000000"/>
          <w:lang w:val="es-ES"/>
        </w:rPr>
      </w:pPr>
    </w:p>
    <w:p w:rsidRPr="004D43FE" w:rsidR="004D43FE" w:rsidP="004D43FE" w:rsidRDefault="004D43FE" w14:paraId="7F168F8D" w14:textId="77777777">
      <w:pPr>
        <w:spacing w:after="120" w:line="276" w:lineRule="auto"/>
        <w:jc w:val="both"/>
        <w:rPr>
          <w:rFonts w:ascii="Verdana" w:hAnsi="Verdana" w:cs="Arial"/>
        </w:rPr>
      </w:pPr>
      <w:proofErr w:type="spellStart"/>
      <w:r w:rsidRPr="004D43FE">
        <w:rPr>
          <w:rFonts w:ascii="Verdana" w:hAnsi="Verdana" w:eastAsia="Arial" w:cs="Arial"/>
          <w:color w:val="000000"/>
          <w:lang w:val="es-ES"/>
        </w:rPr>
        <w:t>iii</w:t>
      </w:r>
      <w:proofErr w:type="spellEnd"/>
      <w:r w:rsidRPr="004D43FE">
        <w:rPr>
          <w:rFonts w:ascii="Verdana" w:hAnsi="Verdana" w:eastAsia="Arial" w:cs="Arial"/>
          <w:color w:val="000000"/>
          <w:lang w:val="es-ES"/>
        </w:rPr>
        <w:t xml:space="preserve">. </w:t>
      </w:r>
      <w:r w:rsidRPr="004D43FE">
        <w:rPr>
          <w:rFonts w:ascii="Verdana" w:hAnsi="Verdana" w:eastAsia="Calibri" w:cs="Arial"/>
          <w:lang w:val="es-ES"/>
        </w:rPr>
        <w:t xml:space="preserve">Tratándose de las entidades sometidas a la Ley 80 de 1993,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4D43FE">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rsidRPr="004D43FE" w:rsidR="004D43FE" w:rsidP="004D43FE" w:rsidRDefault="004D43FE" w14:paraId="1F8E1B8C" w14:textId="77777777">
      <w:pPr>
        <w:spacing w:after="0" w:line="276" w:lineRule="auto"/>
        <w:ind w:firstLine="709"/>
        <w:jc w:val="both"/>
        <w:rPr>
          <w:rFonts w:ascii="Verdana" w:hAnsi="Verdana" w:cs="Arial"/>
        </w:rPr>
      </w:pPr>
      <w:r w:rsidRPr="004D43FE">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rsidRPr="004D43FE" w:rsidR="004D43FE" w:rsidP="004D43FE" w:rsidRDefault="004D43FE" w14:paraId="29C37F23" w14:textId="77777777">
      <w:pPr>
        <w:spacing w:after="0" w:line="276" w:lineRule="auto"/>
        <w:ind w:firstLine="709"/>
        <w:jc w:val="both"/>
        <w:rPr>
          <w:rFonts w:ascii="Verdana" w:hAnsi="Verdana" w:cs="Arial"/>
        </w:rPr>
      </w:pPr>
    </w:p>
    <w:p w:rsidRPr="004D43FE" w:rsidR="004D43FE" w:rsidP="004D43FE" w:rsidRDefault="004D43FE" w14:paraId="4BF11ACF" w14:textId="77777777">
      <w:pPr>
        <w:spacing w:after="0" w:line="276" w:lineRule="auto"/>
        <w:jc w:val="both"/>
        <w:rPr>
          <w:rFonts w:ascii="Verdana" w:hAnsi="Verdana" w:cs="Arial"/>
        </w:rPr>
      </w:pPr>
      <w:proofErr w:type="spellStart"/>
      <w:r w:rsidRPr="004D43FE">
        <w:rPr>
          <w:rFonts w:ascii="Verdana" w:hAnsi="Verdana" w:cs="Arial"/>
        </w:rPr>
        <w:t>iv</w:t>
      </w:r>
      <w:proofErr w:type="spellEnd"/>
      <w:r w:rsidRPr="004D43FE">
        <w:rPr>
          <w:rFonts w:ascii="Verdana" w:hAnsi="Verdana" w:cs="Arial"/>
        </w:rPr>
        <w:t>. 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4D43FE">
        <w:rPr>
          <w:rFonts w:ascii="Verdana" w:hAnsi="Verdana" w:cs="Arial"/>
          <w:vertAlign w:val="superscript"/>
        </w:rPr>
        <w:footnoteReference w:id="7"/>
      </w:r>
      <w:r w:rsidRPr="004D43FE">
        <w:rPr>
          <w:rFonts w:ascii="Verdana" w:hAnsi="Verdana" w:cs="Arial"/>
        </w:rPr>
        <w:t>. Para la doctrina, la mixtura del régimen contractual:</w:t>
      </w:r>
    </w:p>
    <w:p w:rsidRPr="004D43FE" w:rsidR="004D43FE" w:rsidP="004D43FE" w:rsidRDefault="004D43FE" w14:paraId="7B9E60C5" w14:textId="77777777">
      <w:pPr>
        <w:spacing w:after="0" w:line="276" w:lineRule="auto"/>
        <w:ind w:firstLine="709"/>
        <w:jc w:val="both"/>
        <w:rPr>
          <w:rFonts w:ascii="Verdana" w:hAnsi="Verdana" w:cs="Arial"/>
        </w:rPr>
      </w:pPr>
    </w:p>
    <w:p w:rsidRPr="004D43FE" w:rsidR="004D43FE" w:rsidP="004D43FE" w:rsidRDefault="004D43FE" w14:paraId="05F36326" w14:textId="77777777">
      <w:pPr>
        <w:spacing w:after="0" w:line="240" w:lineRule="auto"/>
        <w:ind w:left="709" w:right="709"/>
        <w:jc w:val="both"/>
        <w:rPr>
          <w:rFonts w:ascii="Verdana" w:hAnsi="Verdana" w:cs="Arial"/>
          <w:sz w:val="20"/>
          <w:szCs w:val="20"/>
        </w:rPr>
      </w:pPr>
      <w:r w:rsidRPr="004D43FE">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rsidRPr="004D43FE" w:rsidR="004D43FE" w:rsidP="004D43FE" w:rsidRDefault="004D43FE" w14:paraId="652F6CC3" w14:textId="77777777">
      <w:pPr>
        <w:spacing w:after="0" w:line="240" w:lineRule="auto"/>
        <w:ind w:right="709"/>
        <w:jc w:val="both"/>
        <w:rPr>
          <w:rFonts w:ascii="Verdana" w:hAnsi="Verdana" w:cs="Arial"/>
          <w:sz w:val="12"/>
          <w:szCs w:val="12"/>
        </w:rPr>
      </w:pPr>
      <w:r w:rsidRPr="004D43FE">
        <w:rPr>
          <w:rFonts w:ascii="Verdana" w:hAnsi="Verdana" w:cs="Arial"/>
          <w:sz w:val="21"/>
          <w:szCs w:val="21"/>
        </w:rPr>
        <w:tab/>
      </w:r>
    </w:p>
    <w:p w:rsidRPr="004D43FE" w:rsidR="004D43FE" w:rsidP="004D43FE" w:rsidRDefault="004D43FE" w14:paraId="676C6B60" w14:textId="77777777">
      <w:pPr>
        <w:spacing w:after="0" w:line="240" w:lineRule="auto"/>
        <w:ind w:left="709" w:right="709"/>
        <w:jc w:val="both"/>
        <w:rPr>
          <w:rFonts w:ascii="Verdana" w:hAnsi="Verdana" w:cs="Arial"/>
          <w:sz w:val="20"/>
          <w:szCs w:val="20"/>
        </w:rPr>
      </w:pPr>
      <w:r w:rsidRPr="004D43FE">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4D43FE">
        <w:rPr>
          <w:rFonts w:ascii="Verdana" w:hAnsi="Verdana" w:cs="Arial"/>
          <w:sz w:val="20"/>
          <w:szCs w:val="20"/>
          <w:vertAlign w:val="superscript"/>
        </w:rPr>
        <w:footnoteReference w:id="8"/>
      </w:r>
      <w:r w:rsidRPr="004D43FE">
        <w:rPr>
          <w:rFonts w:ascii="Verdana" w:hAnsi="Verdana" w:cs="Arial"/>
          <w:sz w:val="20"/>
          <w:szCs w:val="20"/>
        </w:rPr>
        <w:t xml:space="preserve">. </w:t>
      </w:r>
    </w:p>
    <w:p w:rsidRPr="004D43FE" w:rsidR="004D43FE" w:rsidP="004D43FE" w:rsidRDefault="004D43FE" w14:paraId="4560295A" w14:textId="77777777">
      <w:pPr>
        <w:spacing w:after="0" w:line="276" w:lineRule="auto"/>
        <w:ind w:left="709" w:right="709"/>
        <w:jc w:val="both"/>
        <w:rPr>
          <w:rFonts w:ascii="Verdana" w:hAnsi="Verdana" w:cs="Arial"/>
        </w:rPr>
      </w:pPr>
    </w:p>
    <w:p w:rsidRPr="004D43FE" w:rsidR="004D43FE" w:rsidP="004D43FE" w:rsidRDefault="004D43FE" w14:paraId="151F359E" w14:textId="77777777">
      <w:pPr>
        <w:spacing w:after="0" w:line="276" w:lineRule="auto"/>
        <w:jc w:val="both"/>
        <w:rPr>
          <w:rFonts w:ascii="Verdana" w:hAnsi="Verdana" w:cs="Arial"/>
        </w:rPr>
      </w:pPr>
      <w:r w:rsidRPr="004D43FE">
        <w:rPr>
          <w:rFonts w:ascii="Verdana" w:hAnsi="Verdana" w:cs="Arial"/>
        </w:rPr>
        <w:tab/>
      </w:r>
      <w:r w:rsidRPr="004D43FE">
        <w:rPr>
          <w:rFonts w:ascii="Verdana" w:hAnsi="Verdana" w:cs="Arial"/>
        </w:rPr>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arrendamiento se encuentra tipificado en el Código Civil y allí se encuentra gran parte de su régimen jurídico, sin perjuicio de normas especiales sobre la materia.</w:t>
      </w:r>
    </w:p>
    <w:p w:rsidRPr="004D43FE" w:rsidR="004D43FE" w:rsidP="004D43FE" w:rsidRDefault="004D43FE" w14:paraId="6958B2A8" w14:textId="77777777">
      <w:pPr>
        <w:spacing w:after="0" w:line="276" w:lineRule="auto"/>
        <w:jc w:val="both"/>
        <w:rPr>
          <w:rFonts w:ascii="Verdana" w:hAnsi="Verdana" w:eastAsia="Arial" w:cs="Arial"/>
          <w:color w:val="000000"/>
          <w:lang w:val="es-ES"/>
        </w:rPr>
      </w:pPr>
    </w:p>
    <w:p w:rsidRPr="004D43FE" w:rsidR="004D43FE" w:rsidP="004D43FE" w:rsidRDefault="004D43FE" w14:paraId="0ACAC315" w14:textId="77777777">
      <w:pPr>
        <w:tabs>
          <w:tab w:val="left" w:pos="142"/>
          <w:tab w:val="left" w:pos="426"/>
        </w:tabs>
        <w:spacing w:after="120" w:line="276" w:lineRule="auto"/>
        <w:contextualSpacing/>
        <w:jc w:val="both"/>
        <w:rPr>
          <w:rFonts w:ascii="Verdana" w:hAnsi="Verdana" w:eastAsia="Calibri" w:cs="Arial"/>
          <w:bCs/>
          <w:lang w:val="es-ES"/>
        </w:rPr>
      </w:pPr>
      <w:r w:rsidRPr="004D43FE">
        <w:rPr>
          <w:rFonts w:ascii="Verdana" w:hAnsi="Verdana" w:eastAsia="Arial" w:cs="Arial"/>
          <w:color w:val="000000"/>
          <w:lang w:val="es-ES"/>
        </w:rPr>
        <w:t xml:space="preserve">v. </w:t>
      </w:r>
      <w:r w:rsidRPr="004D43FE">
        <w:rPr>
          <w:rFonts w:ascii="Verdana" w:hAnsi="Verdana" w:eastAsia="Calibri" w:cs="Arial"/>
          <w:bCs/>
          <w:lang w:val="es-ES"/>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Pr="004D43FE">
        <w:rPr>
          <w:rFonts w:ascii="Verdana" w:hAnsi="Verdana" w:eastAsia="Calibri" w:cs="Arial"/>
          <w:bCs/>
          <w:vertAlign w:val="superscript"/>
          <w:lang w:val="es-ES"/>
        </w:rPr>
        <w:footnoteReference w:id="9"/>
      </w:r>
      <w:r w:rsidRPr="004D43FE">
        <w:rPr>
          <w:rFonts w:ascii="Verdana" w:hAnsi="Verdana" w:eastAsia="Calibri" w:cs="Arial"/>
          <w:bCs/>
          <w:lang w:val="es-ES"/>
        </w:rPr>
        <w:t xml:space="preserve">. Por tanto, se diferencia del contrato de </w:t>
      </w:r>
      <w:r w:rsidRPr="004D43FE">
        <w:rPr>
          <w:rFonts w:ascii="Verdana" w:hAnsi="Verdana" w:eastAsia="Calibri" w:cs="Arial"/>
          <w:bCs/>
          <w:lang w:val="es-ES"/>
        </w:rPr>
        <w:t>compraventa en que no opera una transferencia del dominio del bien cuyo uso y goce se entrega.</w:t>
      </w:r>
    </w:p>
    <w:p w:rsidRPr="004D43FE" w:rsidR="004D43FE" w:rsidP="004D43FE" w:rsidRDefault="004D43FE" w14:paraId="1FAAAD42" w14:textId="77777777">
      <w:pPr>
        <w:spacing w:after="0" w:line="276" w:lineRule="auto"/>
        <w:ind w:firstLine="709"/>
        <w:jc w:val="both"/>
        <w:rPr>
          <w:rFonts w:ascii="Verdana" w:hAnsi="Verdana" w:eastAsia="Calibri" w:cs="Arial"/>
          <w:bCs/>
          <w:lang w:val="es-ES"/>
        </w:rPr>
      </w:pPr>
      <w:r w:rsidRPr="004D43FE">
        <w:rPr>
          <w:rFonts w:ascii="Verdana" w:hAnsi="Verdana" w:eastAsia="Calibri" w:cs="Arial"/>
          <w:bCs/>
          <w:lang w:val="es-ES"/>
        </w:rPr>
        <w:t xml:space="preserve">En </w:t>
      </w:r>
      <w:r w:rsidRPr="004D43FE">
        <w:rPr>
          <w:rFonts w:ascii="Verdana" w:hAnsi="Verdana" w:cs="Arial"/>
          <w:lang w:val="es-ES"/>
        </w:rPr>
        <w:t>cuanto</w:t>
      </w:r>
      <w:r w:rsidRPr="004D43FE">
        <w:rPr>
          <w:rFonts w:ascii="Verdana" w:hAnsi="Verdana" w:eastAsia="Calibri" w:cs="Arial"/>
          <w:bCs/>
          <w:lang w:val="es-ES"/>
        </w:rPr>
        <w:t xml:space="preserve"> a sus características, la doctrina ha indicado que el arrendamiento es un contrato: i) bilateral, pues ambas partes se obligan recíprocamente; </w:t>
      </w:r>
      <w:proofErr w:type="spellStart"/>
      <w:r w:rsidRPr="004D43FE">
        <w:rPr>
          <w:rFonts w:ascii="Verdana" w:hAnsi="Verdana" w:eastAsia="Calibri" w:cs="Arial"/>
          <w:bCs/>
          <w:lang w:val="es-ES"/>
        </w:rPr>
        <w:t>ii</w:t>
      </w:r>
      <w:proofErr w:type="spellEnd"/>
      <w:r w:rsidRPr="004D43FE">
        <w:rPr>
          <w:rFonts w:ascii="Verdana" w:hAnsi="Verdana" w:eastAsia="Calibri" w:cs="Arial"/>
          <w:bCs/>
          <w:lang w:val="es-ES"/>
        </w:rPr>
        <w:t>) consensual, dado que se perfecciona con el consentimiento</w:t>
      </w:r>
      <w:r w:rsidRPr="004D43FE">
        <w:rPr>
          <w:rFonts w:ascii="Verdana" w:hAnsi="Verdana" w:eastAsia="Calibri" w:cs="Arial"/>
          <w:bCs/>
          <w:vertAlign w:val="superscript"/>
          <w:lang w:val="es-ES"/>
        </w:rPr>
        <w:footnoteReference w:id="10"/>
      </w:r>
      <w:r w:rsidRPr="004D43FE">
        <w:rPr>
          <w:rFonts w:ascii="Verdana" w:hAnsi="Verdana" w:eastAsia="Calibri" w:cs="Arial"/>
          <w:bCs/>
          <w:lang w:val="es-ES"/>
        </w:rPr>
        <w:t xml:space="preserve">; </w:t>
      </w:r>
      <w:proofErr w:type="spellStart"/>
      <w:r w:rsidRPr="004D43FE">
        <w:rPr>
          <w:rFonts w:ascii="Verdana" w:hAnsi="Verdana" w:eastAsia="Calibri" w:cs="Arial"/>
          <w:bCs/>
          <w:lang w:val="es-ES"/>
        </w:rPr>
        <w:t>iii</w:t>
      </w:r>
      <w:proofErr w:type="spellEnd"/>
      <w:r w:rsidRPr="004D43FE">
        <w:rPr>
          <w:rFonts w:ascii="Verdana" w:hAnsi="Verdana" w:eastAsia="Calibri" w:cs="Arial"/>
          <w:bCs/>
          <w:lang w:val="es-ES"/>
        </w:rPr>
        <w:t xml:space="preserve">) oneroso, ya que ambas partes obtienen utilidades –el arrendatario, el uso y goce del bien, y el arrendador la renta o canon–; </w:t>
      </w:r>
      <w:proofErr w:type="spellStart"/>
      <w:r w:rsidRPr="004D43FE">
        <w:rPr>
          <w:rFonts w:ascii="Verdana" w:hAnsi="Verdana" w:eastAsia="Calibri" w:cs="Arial"/>
          <w:bCs/>
          <w:lang w:val="es-ES"/>
        </w:rPr>
        <w:t>iv</w:t>
      </w:r>
      <w:proofErr w:type="spellEnd"/>
      <w:r w:rsidRPr="004D43FE">
        <w:rPr>
          <w:rFonts w:ascii="Verdana" w:hAnsi="Verdana" w:eastAsia="Calibri" w:cs="Arial"/>
          <w:bCs/>
          <w:lang w:val="es-ES"/>
        </w:rPr>
        <w:t>) de ejecución sucesiva, en la medida en que se ejecuta en forma periódica; v) principal, porque existe en forma autónoma; y v) nominado, porque está tipificado y desarrollado en la ley</w:t>
      </w:r>
      <w:r w:rsidRPr="004D43FE">
        <w:rPr>
          <w:rFonts w:ascii="Verdana" w:hAnsi="Verdana" w:eastAsia="Calibri" w:cs="Arial"/>
          <w:bCs/>
          <w:vertAlign w:val="superscript"/>
          <w:lang w:val="es-ES"/>
        </w:rPr>
        <w:footnoteReference w:id="11"/>
      </w:r>
      <w:r w:rsidRPr="004D43FE">
        <w:rPr>
          <w:rFonts w:ascii="Verdana" w:hAnsi="Verdana" w:eastAsia="Calibri" w:cs="Arial"/>
          <w:bCs/>
          <w:lang w:val="es-ES"/>
        </w:rPr>
        <w:t xml:space="preserve">. </w:t>
      </w:r>
    </w:p>
    <w:p w:rsidRPr="004D43FE" w:rsidR="004D43FE" w:rsidP="004D43FE" w:rsidRDefault="004D43FE" w14:paraId="71C59264" w14:textId="77777777">
      <w:pPr>
        <w:spacing w:after="0" w:line="276" w:lineRule="auto"/>
        <w:ind w:firstLine="709"/>
        <w:jc w:val="both"/>
        <w:rPr>
          <w:rFonts w:ascii="Verdana" w:hAnsi="Verdana" w:eastAsia="Calibri" w:cs="Arial"/>
          <w:bCs/>
          <w:lang w:val="es-ES"/>
        </w:rPr>
      </w:pPr>
    </w:p>
    <w:p w:rsidRPr="004D43FE" w:rsidR="004D43FE" w:rsidP="004D43FE" w:rsidRDefault="004D43FE" w14:paraId="438E093A" w14:textId="77777777">
      <w:pPr>
        <w:spacing w:after="120" w:line="276" w:lineRule="auto"/>
        <w:jc w:val="both"/>
        <w:rPr>
          <w:rFonts w:ascii="Verdana" w:hAnsi="Verdana" w:cs="Arial"/>
          <w:lang w:val="es-ES" w:eastAsia="es-MX"/>
        </w:rPr>
      </w:pPr>
      <w:r w:rsidRPr="004D43FE">
        <w:rPr>
          <w:rFonts w:ascii="Verdana" w:hAnsi="Verdana" w:eastAsia="Calibri" w:cs="Arial"/>
          <w:lang w:val="es-ES"/>
        </w:rPr>
        <w:t xml:space="preserve">vi. Respecto los procedimientos de selección, </w:t>
      </w:r>
      <w:r w:rsidRPr="004D43FE">
        <w:rPr>
          <w:rFonts w:ascii="Verdana" w:hAnsi="Verdana" w:eastAsia="Times New Roman" w:cs="Arial"/>
          <w:lang w:eastAsia="es-MX"/>
        </w:rPr>
        <w:t>la exposición de motivos de la Ley 1150 de 2007 señala las razones por las cuales se establecieron, pues “[…] las experiencias exitosas a nivel internacional demuestran que el criterio de distinción que debe gobernar un esquema contractual eficiente es el de modular las modalidades de selección en razón a las características del objeto”</w:t>
      </w:r>
      <w:r w:rsidRPr="004D43FE">
        <w:rPr>
          <w:rFonts w:ascii="Verdana" w:hAnsi="Verdana" w:eastAsia="Times New Roman" w:cs="Arial"/>
          <w:vertAlign w:val="superscript"/>
          <w:lang w:eastAsia="es-MX"/>
        </w:rPr>
        <w:footnoteReference w:id="12"/>
      </w:r>
      <w:r w:rsidRPr="004D43FE">
        <w:rPr>
          <w:rFonts w:ascii="Verdana" w:hAnsi="Verdana" w:eastAsia="Times New Roman" w:cs="Arial"/>
          <w:lang w:eastAsia="es-MX"/>
        </w:rPr>
        <w:t>.</w:t>
      </w:r>
      <w:r w:rsidRPr="004D43FE">
        <w:rPr>
          <w:rFonts w:ascii="Verdana" w:hAnsi="Verdana" w:cs="Arial"/>
          <w:lang w:eastAsia="es-MX"/>
        </w:rPr>
        <w:t xml:space="preserve"> Así, las </w:t>
      </w:r>
      <w:r w:rsidRPr="004D43FE">
        <w:rPr>
          <w:rFonts w:ascii="Verdana" w:hAnsi="Verdana" w:eastAsia="Times New Roman" w:cs="Arial"/>
          <w:lang w:eastAsia="es-MX"/>
        </w:rPr>
        <w:t xml:space="preserve">modalidades pueden dividirse en i) competitivas y </w:t>
      </w:r>
      <w:proofErr w:type="spellStart"/>
      <w:r w:rsidRPr="004D43FE">
        <w:rPr>
          <w:rFonts w:ascii="Verdana" w:hAnsi="Verdana" w:eastAsia="Times New Roman" w:cs="Arial"/>
          <w:lang w:eastAsia="es-MX"/>
        </w:rPr>
        <w:t>ii</w:t>
      </w:r>
      <w:proofErr w:type="spellEnd"/>
      <w:r w:rsidRPr="004D43FE">
        <w:rPr>
          <w:rFonts w:ascii="Verdana" w:hAnsi="Verdana" w:eastAsia="Times New Roman" w:cs="Arial"/>
          <w:lang w:eastAsia="es-MX"/>
        </w:rPr>
        <w:t>)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4D43FE">
        <w:rPr>
          <w:rFonts w:ascii="Verdana" w:hAnsi="Verdana" w:eastAsia="Times New Roman" w:cs="Arial"/>
          <w:vertAlign w:val="superscript"/>
          <w:lang w:eastAsia="es-MX"/>
        </w:rPr>
        <w:footnoteReference w:id="13"/>
      </w:r>
      <w:r w:rsidRPr="004D43FE">
        <w:rPr>
          <w:rFonts w:ascii="Verdana" w:hAnsi="Verdana" w:eastAsia="Times New Roman" w:cs="Arial"/>
          <w:lang w:eastAsia="es-MX"/>
        </w:rPr>
        <w:t xml:space="preserve">. </w:t>
      </w:r>
    </w:p>
    <w:p w:rsidRPr="004D43FE" w:rsidR="004D43FE" w:rsidP="004D43FE" w:rsidRDefault="004D43FE" w14:paraId="3B04DC7F" w14:textId="77777777">
      <w:pPr>
        <w:spacing w:after="120" w:line="276" w:lineRule="auto"/>
        <w:ind w:firstLine="709"/>
        <w:jc w:val="both"/>
        <w:rPr>
          <w:rFonts w:ascii="Verdana" w:hAnsi="Verdana" w:eastAsia="Times New Roman" w:cs="Arial"/>
          <w:lang w:eastAsia="es-MX"/>
        </w:rPr>
      </w:pPr>
      <w:r w:rsidRPr="004D43FE">
        <w:rPr>
          <w:rFonts w:ascii="Verdana" w:hAnsi="Verdana" w:eastAsia="Times New Roman" w:cs="Arial"/>
          <w:lang w:eastAsia="es-MX"/>
        </w:rPr>
        <w:t xml:space="preserve">Por ejemplo, procesos como la licitación pública y el concurso de méritos son modalidades de selección abiertas a competencia, pues en ellas tiene lugar la participación de varios proponentes en una fase pública de presentación de </w:t>
      </w:r>
      <w:r w:rsidRPr="004D43FE">
        <w:rPr>
          <w:rFonts w:ascii="Verdana" w:hAnsi="Verdana" w:eastAsia="Times New Roman" w:cs="Arial"/>
          <w:lang w:eastAsia="es-MX"/>
        </w:rPr>
        <w:t>ofertas. Esto permite que todas las personas interesadas concurran al proceso en igualdad de condiciones y compitan en el mismo. En contraste, la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rsidRPr="004D43FE" w:rsidR="004D43FE" w:rsidP="004D43FE" w:rsidRDefault="004D43FE" w14:paraId="448BD997" w14:textId="77777777">
      <w:pPr>
        <w:spacing w:after="0" w:line="276" w:lineRule="auto"/>
        <w:ind w:firstLine="708"/>
        <w:jc w:val="both"/>
        <w:rPr>
          <w:rFonts w:ascii="Verdana" w:hAnsi="Verdana" w:eastAsia="Times New Roman" w:cs="Arial"/>
          <w:lang w:eastAsia="es-MX"/>
        </w:rPr>
      </w:pPr>
      <w:r w:rsidRPr="004D43FE">
        <w:rPr>
          <w:rFonts w:ascii="Verdana" w:hAnsi="Verdana" w:eastAsia="Times New Roman" w:cs="Arial"/>
          <w:lang w:eastAsia="es-MX"/>
        </w:rPr>
        <w:t>Lo expuesto se complementa con lo explicado por la Corte Constitucional en Sentencia C-713 de 2009, la cual estudió la constitucionalidad de los artículos 2 ‒parcial‒ y 5 ‒parcial‒ de la Ley 1150 de 2007. En esa decisi</w:t>
      </w:r>
      <w:r w:rsidRPr="004D43FE">
        <w:rPr>
          <w:rFonts w:ascii="Verdana" w:hAnsi="Verdana" w:eastAsia="Times New Roman" w:cs="Century Gothic"/>
          <w:lang w:eastAsia="es-MX"/>
        </w:rPr>
        <w:t>ó</w:t>
      </w:r>
      <w:r w:rsidRPr="004D43FE">
        <w:rPr>
          <w:rFonts w:ascii="Verdana" w:hAnsi="Verdana" w:eastAsia="Times New Roman" w:cs="Arial"/>
          <w:lang w:eastAsia="es-MX"/>
        </w:rPr>
        <w:t>n judicial se desarrollaron los principios de libre concurrencia y selecci</w:t>
      </w:r>
      <w:r w:rsidRPr="004D43FE">
        <w:rPr>
          <w:rFonts w:ascii="Verdana" w:hAnsi="Verdana" w:eastAsia="Times New Roman" w:cs="Century Gothic"/>
          <w:lang w:eastAsia="es-MX"/>
        </w:rPr>
        <w:t>ó</w:t>
      </w:r>
      <w:r w:rsidRPr="004D43FE">
        <w:rPr>
          <w:rFonts w:ascii="Verdana" w:hAnsi="Verdana" w:eastAsia="Times New Roman" w:cs="Arial"/>
          <w:lang w:eastAsia="es-MX"/>
        </w:rPr>
        <w:t>n objetiva en la contrataci</w:t>
      </w:r>
      <w:r w:rsidRPr="004D43FE">
        <w:rPr>
          <w:rFonts w:ascii="Verdana" w:hAnsi="Verdana" w:eastAsia="Times New Roman" w:cs="Century Gothic"/>
          <w:lang w:eastAsia="es-MX"/>
        </w:rPr>
        <w:t>ó</w:t>
      </w:r>
      <w:r w:rsidRPr="004D43FE">
        <w:rPr>
          <w:rFonts w:ascii="Verdana" w:hAnsi="Verdana" w:eastAsia="Times New Roman" w:cs="Arial"/>
          <w:lang w:eastAsia="es-MX"/>
        </w:rPr>
        <w:t>n p</w:t>
      </w:r>
      <w:r w:rsidRPr="004D43FE">
        <w:rPr>
          <w:rFonts w:ascii="Verdana" w:hAnsi="Verdana" w:eastAsia="Times New Roman" w:cs="Century Gothic"/>
          <w:lang w:eastAsia="es-MX"/>
        </w:rPr>
        <w:t>ú</w:t>
      </w:r>
      <w:r w:rsidRPr="004D43FE">
        <w:rPr>
          <w:rFonts w:ascii="Verdana" w:hAnsi="Verdana" w:eastAsia="Times New Roman" w:cs="Arial"/>
          <w:lang w:eastAsia="es-MX"/>
        </w:rPr>
        <w:t>blica, como expresiones del derecho a la igualdad de oportunidades para quienes tengan inter</w:t>
      </w:r>
      <w:r w:rsidRPr="004D43FE">
        <w:rPr>
          <w:rFonts w:ascii="Verdana" w:hAnsi="Verdana" w:eastAsia="Times New Roman" w:cs="Century Gothic"/>
          <w:lang w:eastAsia="es-MX"/>
        </w:rPr>
        <w:t>é</w:t>
      </w:r>
      <w:r w:rsidRPr="004D43FE">
        <w:rPr>
          <w:rFonts w:ascii="Verdana" w:hAnsi="Verdana" w:eastAsia="Times New Roman" w:cs="Arial"/>
          <w:lang w:eastAsia="es-MX"/>
        </w:rPr>
        <w:t>s en participar en la contrataci</w:t>
      </w:r>
      <w:r w:rsidRPr="004D43FE">
        <w:rPr>
          <w:rFonts w:ascii="Verdana" w:hAnsi="Verdana" w:eastAsia="Times New Roman" w:cs="Century Gothic"/>
          <w:lang w:eastAsia="es-MX"/>
        </w:rPr>
        <w:t>ó</w:t>
      </w:r>
      <w:r w:rsidRPr="004D43FE">
        <w:rPr>
          <w:rFonts w:ascii="Verdana" w:hAnsi="Verdana" w:eastAsia="Times New Roman" w:cs="Arial"/>
          <w:lang w:eastAsia="es-MX"/>
        </w:rPr>
        <w:t>n estatal. La materializaci</w:t>
      </w:r>
      <w:r w:rsidRPr="004D43FE">
        <w:rPr>
          <w:rFonts w:ascii="Verdana" w:hAnsi="Verdana" w:eastAsia="Times New Roman" w:cs="Century Gothic"/>
          <w:lang w:eastAsia="es-MX"/>
        </w:rPr>
        <w:t>ó</w:t>
      </w:r>
      <w:r w:rsidRPr="004D43FE">
        <w:rPr>
          <w:rFonts w:ascii="Verdana" w:hAnsi="Verdana" w:eastAsia="Times New Roman" w:cs="Arial"/>
          <w:lang w:eastAsia="es-MX"/>
        </w:rPr>
        <w:t>n de esos principios pretende que no exista discriminaci</w:t>
      </w:r>
      <w:r w:rsidRPr="004D43FE">
        <w:rPr>
          <w:rFonts w:ascii="Verdana" w:hAnsi="Verdana" w:eastAsia="Times New Roman" w:cs="Century Gothic"/>
          <w:lang w:eastAsia="es-MX"/>
        </w:rPr>
        <w:t>ó</w:t>
      </w:r>
      <w:r w:rsidRPr="004D43FE">
        <w:rPr>
          <w:rFonts w:ascii="Verdana" w:hAnsi="Verdana" w:eastAsia="Times New Roman" w:cs="Arial"/>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D43FE">
        <w:rPr>
          <w:rFonts w:ascii="Verdana" w:hAnsi="Verdana" w:eastAsia="Times New Roman" w:cs="Arial"/>
          <w:vertAlign w:val="superscript"/>
          <w:lang w:eastAsia="es-MX"/>
        </w:rPr>
        <w:footnoteReference w:id="14"/>
      </w:r>
      <w:r w:rsidRPr="004D43FE">
        <w:rPr>
          <w:rFonts w:ascii="Verdana" w:hAnsi="Verdana" w:eastAsia="Times New Roman" w:cs="Arial"/>
          <w:lang w:eastAsia="es-MX"/>
        </w:rPr>
        <w:t>.</w:t>
      </w:r>
    </w:p>
    <w:p w:rsidRPr="004D43FE" w:rsidR="004D43FE" w:rsidP="004D43FE" w:rsidRDefault="004D43FE" w14:paraId="44274D72" w14:textId="77777777">
      <w:pPr>
        <w:spacing w:after="0" w:line="276" w:lineRule="auto"/>
        <w:jc w:val="both"/>
        <w:rPr>
          <w:rFonts w:ascii="Verdana" w:hAnsi="Verdana" w:eastAsia="Times New Roman" w:cs="Arial"/>
          <w:lang w:eastAsia="es-MX"/>
        </w:rPr>
      </w:pPr>
    </w:p>
    <w:p w:rsidRPr="004D43FE" w:rsidR="004D43FE" w:rsidP="004D43FE" w:rsidRDefault="004D43FE" w14:paraId="32D2F538" w14:textId="77777777">
      <w:pPr>
        <w:spacing w:after="120" w:line="276" w:lineRule="auto"/>
        <w:jc w:val="both"/>
        <w:rPr>
          <w:rFonts w:ascii="Verdana" w:hAnsi="Verdana" w:eastAsia="Times New Roman" w:cs="Arial"/>
          <w:lang w:eastAsia="es-MX"/>
        </w:rPr>
      </w:pPr>
      <w:proofErr w:type="spellStart"/>
      <w:r w:rsidRPr="004D43FE">
        <w:rPr>
          <w:rFonts w:ascii="Verdana" w:hAnsi="Verdana" w:eastAsia="Times New Roman" w:cs="Arial"/>
          <w:lang w:eastAsia="es-MX"/>
        </w:rPr>
        <w:t>vii</w:t>
      </w:r>
      <w:proofErr w:type="spellEnd"/>
      <w:r w:rsidRPr="004D43FE">
        <w:rPr>
          <w:rFonts w:ascii="Verdana" w:hAnsi="Verdana" w:eastAsia="Times New Roman" w:cs="Arial"/>
          <w:lang w:eastAsia="es-MX"/>
        </w:rPr>
        <w:t xml:space="preserve">. 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rsidRPr="004D43FE" w:rsidR="004D43FE" w:rsidP="004D43FE" w:rsidRDefault="004D43FE" w14:paraId="621620E9" w14:textId="77777777">
      <w:pPr>
        <w:spacing w:after="120" w:line="276" w:lineRule="auto"/>
        <w:ind w:right="45" w:firstLine="709"/>
        <w:jc w:val="both"/>
        <w:rPr>
          <w:rFonts w:ascii="Verdana" w:hAnsi="Verdana" w:eastAsia="Times New Roman" w:cs="Arial"/>
          <w:lang w:eastAsia="es-MX"/>
        </w:rPr>
      </w:pPr>
      <w:r w:rsidRPr="004D43FE">
        <w:rPr>
          <w:rFonts w:ascii="Verdana" w:hAnsi="Verdana" w:eastAsia="Times New Roman" w:cs="Arial"/>
          <w:lang w:eastAsia="es-MX"/>
        </w:rPr>
        <w:t xml:space="preserve">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 se ha aceptado que la selección objetiva fundada en el ofrecimiento más favorable no </w:t>
      </w:r>
      <w:r w:rsidRPr="004D43FE">
        <w:rPr>
          <w:rFonts w:ascii="Verdana" w:hAnsi="Verdana" w:eastAsia="Times New Roman" w:cs="Arial"/>
          <w:lang w:eastAsia="es-MX"/>
        </w:rPr>
        <w:t>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4D43FE">
        <w:rPr>
          <w:rFonts w:ascii="Verdana" w:hAnsi="Verdana" w:eastAsia="Times New Roman" w:cs="Arial"/>
          <w:vertAlign w:val="superscript"/>
          <w:lang w:eastAsia="es-MX"/>
        </w:rPr>
        <w:footnoteReference w:id="15"/>
      </w:r>
      <w:r w:rsidRPr="004D43FE">
        <w:rPr>
          <w:rFonts w:ascii="Verdana" w:hAnsi="Verdana" w:eastAsia="Times New Roman" w:cs="Arial"/>
          <w:lang w:eastAsia="es-MX"/>
        </w:rPr>
        <w:t>.</w:t>
      </w:r>
    </w:p>
    <w:p w:rsidRPr="004D43FE" w:rsidR="004D43FE" w:rsidP="004D43FE" w:rsidRDefault="004D43FE" w14:paraId="05F973FF" w14:textId="77777777">
      <w:pPr>
        <w:spacing w:after="0" w:line="276" w:lineRule="auto"/>
        <w:ind w:firstLine="708"/>
        <w:jc w:val="both"/>
        <w:rPr>
          <w:rFonts w:ascii="Verdana" w:hAnsi="Verdana" w:eastAsia="Times New Roman" w:cs="Arial"/>
          <w:lang w:eastAsia="es-MX"/>
        </w:rPr>
      </w:pPr>
      <w:r w:rsidRPr="004D43FE">
        <w:rPr>
          <w:rFonts w:ascii="Verdana" w:hAnsi="Verdana" w:eastAsia="Times New Roman" w:cs="Arial"/>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4D43FE">
        <w:rPr>
          <w:rFonts w:ascii="Verdana" w:hAnsi="Verdana" w:eastAsia="Times New Roman" w:cs="Arial"/>
          <w:vertAlign w:val="superscript"/>
          <w:lang w:eastAsia="es-MX"/>
        </w:rPr>
        <w:footnoteReference w:id="16"/>
      </w:r>
      <w:r w:rsidRPr="004D43FE">
        <w:rPr>
          <w:rFonts w:ascii="Verdana" w:hAnsi="Verdana" w:eastAsia="Times New Roman" w:cs="Arial"/>
          <w:lang w:eastAsia="es-MX"/>
        </w:rPr>
        <w:t xml:space="preserve">. Esta contratación puede estar fundada en que el proponente es único, existe alguna situación de urgencia manifiesta o el legislador privilegió algunos objetos contractuales u oferentes para contratarlos de manera directa, teniendo en cuenta las causales expresamente señaladas en la ley. </w:t>
      </w:r>
    </w:p>
    <w:p w:rsidRPr="004D43FE" w:rsidR="004D43FE" w:rsidP="004D43FE" w:rsidRDefault="004D43FE" w14:paraId="4DE3BFF3" w14:textId="77777777">
      <w:pPr>
        <w:spacing w:after="0" w:line="276" w:lineRule="auto"/>
        <w:jc w:val="both"/>
        <w:rPr>
          <w:rFonts w:ascii="Verdana" w:hAnsi="Verdana" w:eastAsia="Times New Roman" w:cs="Arial"/>
          <w:lang w:eastAsia="es-MX"/>
        </w:rPr>
      </w:pPr>
    </w:p>
    <w:p w:rsidRPr="004D43FE" w:rsidR="004D43FE" w:rsidP="004D43FE" w:rsidRDefault="004D43FE" w14:paraId="35479D9A" w14:textId="77777777">
      <w:pPr>
        <w:spacing w:after="120" w:line="276" w:lineRule="auto"/>
        <w:jc w:val="both"/>
        <w:rPr>
          <w:rFonts w:ascii="Verdana" w:hAnsi="Verdana" w:eastAsia="Times New Roman" w:cs="Arial"/>
          <w:lang w:eastAsia="es-MX"/>
        </w:rPr>
      </w:pPr>
      <w:proofErr w:type="spellStart"/>
      <w:r w:rsidRPr="004D43FE">
        <w:rPr>
          <w:rFonts w:ascii="Verdana" w:hAnsi="Verdana" w:eastAsia="Times New Roman" w:cs="Arial"/>
          <w:lang w:eastAsia="es-MX"/>
        </w:rPr>
        <w:t>viii</w:t>
      </w:r>
      <w:proofErr w:type="spellEnd"/>
      <w:r w:rsidRPr="004D43FE">
        <w:rPr>
          <w:rFonts w:ascii="Verdana" w:hAnsi="Verdana" w:eastAsia="Times New Roman" w:cs="Arial"/>
          <w:lang w:eastAsia="es-MX"/>
        </w:rPr>
        <w:t xml:space="preserve">. 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w:t>
      </w:r>
      <w:r w:rsidRPr="004D43FE">
        <w:rPr>
          <w:rFonts w:ascii="Verdana" w:hAnsi="Verdana" w:eastAsia="Times New Roman" w:cs="Arial"/>
          <w:lang w:eastAsia="es-MX"/>
        </w:rPr>
        <w:t>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4D43FE">
        <w:rPr>
          <w:rFonts w:ascii="Verdana" w:hAnsi="Verdana" w:eastAsia="Times New Roman" w:cs="Arial"/>
          <w:vertAlign w:val="superscript"/>
          <w:lang w:eastAsia="es-MX"/>
        </w:rPr>
        <w:footnoteReference w:id="17"/>
      </w:r>
      <w:r w:rsidRPr="004D43FE">
        <w:rPr>
          <w:rFonts w:ascii="Verdana" w:hAnsi="Verdana" w:eastAsia="Times New Roman" w:cs="Arial"/>
          <w:lang w:eastAsia="es-MX"/>
        </w:rPr>
        <w:t>.</w:t>
      </w:r>
    </w:p>
    <w:p w:rsidRPr="004D43FE" w:rsidR="004D43FE" w:rsidP="004D43FE" w:rsidRDefault="004D43FE" w14:paraId="1775EBFF" w14:textId="77777777">
      <w:pPr>
        <w:spacing w:after="0" w:line="276" w:lineRule="auto"/>
        <w:ind w:firstLine="708"/>
        <w:jc w:val="both"/>
        <w:rPr>
          <w:rFonts w:ascii="Verdana" w:hAnsi="Verdana" w:eastAsia="Times New Roman" w:cs="Arial"/>
          <w:lang w:eastAsia="es-MX"/>
        </w:rPr>
      </w:pPr>
      <w:r w:rsidRPr="004D43FE">
        <w:rPr>
          <w:rFonts w:ascii="Verdana" w:hAnsi="Verdana" w:eastAsia="Times New Roman" w:cs="Arial"/>
          <w:lang w:eastAsia="es-MX"/>
        </w:rPr>
        <w:t>Por consiguiente, en la contratación directa la entidad no establece puntaje para ponderar ofertas, porque se presenta una sola propuesta,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rsidRPr="004D43FE" w:rsidR="004D43FE" w:rsidP="004D43FE" w:rsidRDefault="004D43FE" w14:paraId="21EB6151" w14:textId="77777777">
      <w:pPr>
        <w:spacing w:after="0" w:line="276" w:lineRule="auto"/>
        <w:jc w:val="both"/>
        <w:rPr>
          <w:rFonts w:ascii="Verdana" w:hAnsi="Verdana" w:eastAsia="Times New Roman" w:cs="Arial"/>
          <w:lang w:eastAsia="es-MX"/>
        </w:rPr>
      </w:pPr>
    </w:p>
    <w:p w:rsidRPr="004D43FE" w:rsidR="004D43FE" w:rsidP="004D43FE" w:rsidRDefault="004D43FE" w14:paraId="5E01256F" w14:textId="77777777">
      <w:pPr>
        <w:spacing w:after="120" w:line="276" w:lineRule="auto"/>
        <w:jc w:val="both"/>
        <w:rPr>
          <w:rFonts w:ascii="Verdana" w:hAnsi="Verdana" w:cs="Arial"/>
          <w:bCs/>
          <w:color w:val="000000" w:themeColor="text1"/>
          <w:lang w:val="es-ES"/>
        </w:rPr>
      </w:pPr>
      <w:proofErr w:type="spellStart"/>
      <w:r w:rsidRPr="004D43FE">
        <w:rPr>
          <w:rFonts w:ascii="Verdana" w:hAnsi="Verdana" w:eastAsia="Times New Roman" w:cs="Arial"/>
          <w:lang w:eastAsia="es-MX"/>
        </w:rPr>
        <w:t>ix</w:t>
      </w:r>
      <w:proofErr w:type="spellEnd"/>
      <w:r w:rsidRPr="004D43FE">
        <w:rPr>
          <w:rFonts w:ascii="Verdana" w:hAnsi="Verdana" w:eastAsia="Times New Roman" w:cs="Arial"/>
          <w:lang w:eastAsia="es-MX"/>
        </w:rPr>
        <w:t xml:space="preserve">. De esta manera, al igual que el literal e) del derogado artículo 24.1 de la Ley 80 de 1993, el literal i) del artículo 2.4 de la Ley 1150 de 2011 permite la contratación directa tratándose de “El arrendamiento […] de inmuebles”. Es decir, </w:t>
      </w:r>
      <w:r w:rsidRPr="004D43FE">
        <w:rPr>
          <w:rFonts w:ascii="Verdana" w:hAnsi="Verdana" w:eastAsia="Calibri" w:cs="Arial"/>
          <w:lang w:val="es-ES"/>
        </w:rPr>
        <w:t xml:space="preserve">si se trata de arrendamiento de bienes </w:t>
      </w:r>
      <w:r w:rsidRPr="004D43FE">
        <w:rPr>
          <w:rFonts w:ascii="Verdana" w:hAnsi="Verdana" w:eastAsia="Calibri" w:cs="Arial"/>
          <w:iCs/>
          <w:lang w:val="es-ES"/>
        </w:rPr>
        <w:t>muebles</w:t>
      </w:r>
      <w:r w:rsidRPr="004D43FE">
        <w:rPr>
          <w:rFonts w:ascii="Verdana" w:hAnsi="Verdana" w:eastAsia="Calibri" w:cs="Arial"/>
          <w:i/>
          <w:lang w:val="es-ES"/>
        </w:rPr>
        <w:t>,</w:t>
      </w:r>
      <w:r w:rsidRPr="004D43FE">
        <w:rPr>
          <w:rFonts w:ascii="Verdana" w:hAnsi="Verdana" w:eastAsia="Calibri" w:cs="Arial"/>
          <w:lang w:val="es-ES"/>
        </w:rPr>
        <w:t xml:space="preserve">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la norma precitada.</w:t>
      </w:r>
      <w:r w:rsidRPr="004D43FE">
        <w:rPr>
          <w:rFonts w:ascii="Verdana" w:hAnsi="Verdana" w:cs="Arial"/>
          <w:bCs/>
          <w:color w:val="000000" w:themeColor="text1"/>
          <w:lang w:val="es-ES"/>
        </w:rPr>
        <w:t xml:space="preserve"> </w:t>
      </w:r>
    </w:p>
    <w:p w:rsidRPr="004D43FE" w:rsidR="004D43FE" w:rsidP="004D43FE" w:rsidRDefault="004D43FE" w14:paraId="6D05F853" w14:textId="77777777">
      <w:pPr>
        <w:spacing w:after="120" w:line="276" w:lineRule="auto"/>
        <w:jc w:val="both"/>
        <w:rPr>
          <w:rFonts w:ascii="Verdana" w:hAnsi="Verdana" w:eastAsia="Times New Roman" w:cs="Arial"/>
          <w:lang w:eastAsia="es-MX"/>
        </w:rPr>
      </w:pPr>
      <w:r w:rsidRPr="004D43FE">
        <w:rPr>
          <w:rFonts w:ascii="Verdana" w:hAnsi="Verdana" w:cs="Arial"/>
          <w:bCs/>
          <w:color w:val="000000" w:themeColor="text1"/>
          <w:lang w:val="es-ES"/>
        </w:rPr>
        <w:tab/>
      </w:r>
      <w:r w:rsidRPr="004D43FE">
        <w:rPr>
          <w:rFonts w:ascii="Verdana" w:hAnsi="Verdana" w:cs="Arial"/>
          <w:bCs/>
          <w:color w:val="000000" w:themeColor="text1"/>
          <w:lang w:val="es-ES"/>
        </w:rPr>
        <w:t>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w:t>
      </w:r>
      <w:r w:rsidRPr="004D43FE">
        <w:rPr>
          <w:rFonts w:ascii="Verdana" w:hAnsi="Verdana" w:eastAsia="Times New Roman" w:cs="Arial"/>
          <w:lang w:eastAsia="es-MX"/>
        </w:rPr>
        <w:t xml:space="preserve"> </w:t>
      </w:r>
    </w:p>
    <w:p w:rsidRPr="004D43FE" w:rsidR="004D43FE" w:rsidP="004D43FE" w:rsidRDefault="004D43FE" w14:paraId="191482AA" w14:textId="77777777">
      <w:pPr>
        <w:spacing w:after="120" w:line="276" w:lineRule="auto"/>
        <w:ind w:firstLine="709"/>
        <w:jc w:val="both"/>
        <w:rPr>
          <w:rFonts w:ascii="Verdana" w:hAnsi="Verdana" w:eastAsia="Times New Roman" w:cs="Arial"/>
          <w:lang w:eastAsia="es-MX"/>
        </w:rPr>
      </w:pPr>
      <w:r w:rsidRPr="004D43FE">
        <w:rPr>
          <w:rFonts w:ascii="Verdana" w:hAnsi="Verdana" w:eastAsia="Times New Roman" w:cs="Arial"/>
          <w:lang w:eastAsia="es-MX"/>
        </w:rPr>
        <w:t xml:space="preserve">Aunque el literal e) del derogado artículo 24.1 de la Ley 80 de 1993 tiene una redacción distinta a la prevista en los mencionados decretos leyes, autores como PINO RICCI entienden que “En el E.C. no se estableció que el evento de contratación directa del contrato de arrendamiento de inmuebles se refiere </w:t>
      </w:r>
      <w:r w:rsidRPr="004D43FE">
        <w:rPr>
          <w:rFonts w:ascii="Verdana" w:hAnsi="Verdana" w:eastAsia="Times New Roman" w:cs="Arial"/>
          <w:lang w:eastAsia="es-MX"/>
        </w:rPr>
        <w:t xml:space="preserve">únicamente al evento en el que una entidad alquila un inmueble para su servicio, es decir, se constituye en arrendataria. </w:t>
      </w:r>
      <w:r w:rsidRPr="004D43FE">
        <w:rPr>
          <w:rFonts w:ascii="Verdana" w:hAnsi="Verdana" w:eastAsia="Times New Roman" w:cs="Arial"/>
          <w:i/>
          <w:iCs/>
          <w:lang w:eastAsia="es-MX"/>
        </w:rPr>
        <w:t>Por tanto, también para el caso en el que actúa como arrendadora puede acudir a un evento especial de contratación directa</w:t>
      </w:r>
      <w:r w:rsidRPr="004D43FE">
        <w:rPr>
          <w:rFonts w:ascii="Verdana" w:hAnsi="Verdana" w:eastAsia="Times New Roman" w:cs="Arial"/>
          <w:lang w:eastAsia="es-MX"/>
        </w:rPr>
        <w:t xml:space="preserve"> […]”</w:t>
      </w:r>
      <w:r w:rsidRPr="004D43FE">
        <w:rPr>
          <w:rFonts w:ascii="Verdana" w:hAnsi="Verdana" w:eastAsia="Times New Roman" w:cs="Arial"/>
          <w:vertAlign w:val="superscript"/>
          <w:lang w:eastAsia="es-MX"/>
        </w:rPr>
        <w:footnoteReference w:id="18"/>
      </w:r>
      <w:r w:rsidRPr="004D43FE">
        <w:rPr>
          <w:rFonts w:ascii="Verdana" w:hAnsi="Verdana" w:eastAsia="Times New Roman" w:cs="Arial"/>
          <w:lang w:eastAsia="es-MX"/>
        </w:rPr>
        <w:t xml:space="preserve"> (Énfasis fuera de texto). Dicho entendimiento tampoco cambió después de la reforma de la Ley 1150 de 2007, pues DÁVILA VINUEZA considera que “</w:t>
      </w:r>
      <w:r w:rsidRPr="004D43FE">
        <w:rPr>
          <w:rFonts w:ascii="Verdana" w:hAnsi="Verdana" w:eastAsia="Times New Roman" w:cs="Arial"/>
          <w:i/>
          <w:iCs/>
          <w:lang w:eastAsia="es-MX"/>
        </w:rPr>
        <w:t>La contratación directa está admitida tanto cuando la entidad es arrendataria como cuando es arrendadora y no se requiere obtener varias ofertas</w:t>
      </w:r>
      <w:r w:rsidRPr="004D43FE">
        <w:rPr>
          <w:rFonts w:ascii="Verdana" w:hAnsi="Verdana" w:eastAsia="Times New Roman" w:cs="Arial"/>
          <w:lang w:eastAsia="es-MX"/>
        </w:rPr>
        <w:t xml:space="preserve"> […]”</w:t>
      </w:r>
      <w:r w:rsidRPr="004D43FE">
        <w:rPr>
          <w:rFonts w:ascii="Verdana" w:hAnsi="Verdana" w:eastAsia="Times New Roman" w:cs="Arial"/>
          <w:vertAlign w:val="superscript"/>
          <w:lang w:eastAsia="es-MX"/>
        </w:rPr>
        <w:footnoteReference w:id="19"/>
      </w:r>
      <w:r w:rsidRPr="004D43FE">
        <w:rPr>
          <w:rFonts w:ascii="Verdana" w:hAnsi="Verdana" w:eastAsia="Times New Roman" w:cs="Arial"/>
          <w:lang w:eastAsia="es-MX"/>
        </w:rPr>
        <w:t xml:space="preserve"> (Énfasis fuera de texto); razón por la cual, también debe “[…] asegurarse la aplicación del deber de selección objetiva, que para este caso se materializa, si actúa la Administración como arrendataria, que se trate de un inmueble apto para el servicio, y si es arrendadora, que el canon pactado esté ajustado a un precio real y conveniente”</w:t>
      </w:r>
      <w:r w:rsidRPr="004D43FE">
        <w:rPr>
          <w:rFonts w:ascii="Verdana" w:hAnsi="Verdana" w:eastAsia="Times New Roman" w:cs="Arial"/>
          <w:vertAlign w:val="superscript"/>
          <w:lang w:eastAsia="es-MX"/>
        </w:rPr>
        <w:footnoteReference w:id="20"/>
      </w:r>
      <w:r w:rsidRPr="004D43FE">
        <w:rPr>
          <w:rFonts w:ascii="Verdana" w:hAnsi="Verdana" w:eastAsia="Times New Roman" w:cs="Arial"/>
          <w:lang w:eastAsia="es-MX"/>
        </w:rPr>
        <w:t xml:space="preserve">. </w:t>
      </w:r>
    </w:p>
    <w:p w:rsidRPr="004D43FE" w:rsidR="004D43FE" w:rsidP="004D43FE" w:rsidRDefault="004D43FE" w14:paraId="42E566A2" w14:textId="77777777">
      <w:pPr>
        <w:spacing w:after="0" w:line="276" w:lineRule="auto"/>
        <w:ind w:firstLine="709"/>
        <w:jc w:val="both"/>
        <w:rPr>
          <w:rFonts w:ascii="Verdana" w:hAnsi="Verdana" w:cs="Arial"/>
          <w:bCs/>
          <w:color w:val="000000" w:themeColor="text1"/>
          <w:lang w:val="es-ES"/>
        </w:rPr>
      </w:pPr>
      <w:r w:rsidRPr="004D43FE">
        <w:rPr>
          <w:rFonts w:ascii="Verdana" w:hAnsi="Verdana" w:cs="Arial"/>
          <w:bCs/>
          <w:color w:val="000000" w:themeColor="text1"/>
          <w:lang w:val="es-ES"/>
        </w:rPr>
        <w:t xml:space="preserve">Adicionalmente, el artículo 2.2.1.2.1.4.11 del Decreto 1082 de 2015 dispone que las entidades estatales pueden alquilar o arrendar inmuebles mediante contratación directa para lo cual deben seguir las siguientes reglas: </w:t>
      </w:r>
    </w:p>
    <w:p w:rsidRPr="004D43FE" w:rsidR="004D43FE" w:rsidP="004D43FE" w:rsidRDefault="004D43FE" w14:paraId="759F3B80" w14:textId="77777777">
      <w:pPr>
        <w:spacing w:after="0" w:line="276" w:lineRule="auto"/>
        <w:ind w:firstLine="709"/>
        <w:jc w:val="both"/>
        <w:rPr>
          <w:rFonts w:ascii="Verdana" w:hAnsi="Verdana" w:cs="Arial"/>
          <w:bCs/>
          <w:color w:val="000000" w:themeColor="text1"/>
          <w:lang w:val="es-ES"/>
        </w:rPr>
      </w:pPr>
    </w:p>
    <w:p w:rsidRPr="004D43FE" w:rsidR="004D43FE" w:rsidP="004D43FE" w:rsidRDefault="004D43FE" w14:paraId="78BA97DB" w14:textId="77777777">
      <w:pPr>
        <w:spacing w:after="120" w:line="240" w:lineRule="auto"/>
        <w:ind w:left="709" w:right="709"/>
        <w:jc w:val="both"/>
        <w:rPr>
          <w:rFonts w:ascii="Verdana" w:hAnsi="Verdana" w:eastAsia="Calibri" w:cs="Arial"/>
          <w:sz w:val="20"/>
          <w:szCs w:val="20"/>
        </w:rPr>
      </w:pPr>
      <w:r w:rsidRPr="004D43FE">
        <w:rPr>
          <w:rFonts w:ascii="Verdana" w:hAnsi="Verdana" w:eastAsia="Calibri" w:cs="Arial"/>
          <w:sz w:val="20"/>
          <w:szCs w:val="20"/>
        </w:rPr>
        <w:t>“1. Verificar las condiciones del mercado inmobiliario en la ciudad en la que la Entidad Estatal requiere el inmueble.</w:t>
      </w:r>
    </w:p>
    <w:p w:rsidRPr="004D43FE" w:rsidR="004D43FE" w:rsidP="004D43FE" w:rsidRDefault="004D43FE" w14:paraId="29609E3A" w14:textId="77777777">
      <w:pPr>
        <w:spacing w:after="0" w:line="240" w:lineRule="auto"/>
        <w:ind w:left="709" w:right="709"/>
        <w:jc w:val="both"/>
        <w:rPr>
          <w:rFonts w:ascii="Verdana" w:hAnsi="Verdana" w:eastAsia="Calibri" w:cs="Arial"/>
          <w:sz w:val="20"/>
          <w:szCs w:val="20"/>
        </w:rPr>
      </w:pPr>
      <w:r w:rsidRPr="004D43FE">
        <w:rPr>
          <w:rFonts w:ascii="Verdana" w:hAnsi="Verdana" w:eastAsia="Calibri" w:cs="Arial"/>
          <w:sz w:val="20"/>
          <w:szCs w:val="20"/>
        </w:rPr>
        <w:t>2. Analizar y comparar las condiciones de los bienes inmuebles que satisfacen las necesidades identificadas y las opciones de arrendamiento, análisis que deberá tener en cuenta los principios y objetivos del sistema de compra y contratación pública”.</w:t>
      </w:r>
    </w:p>
    <w:p w:rsidRPr="004D43FE" w:rsidR="004D43FE" w:rsidP="004D43FE" w:rsidRDefault="004D43FE" w14:paraId="7AA2DFAC" w14:textId="77777777">
      <w:pPr>
        <w:spacing w:after="0" w:line="276" w:lineRule="auto"/>
        <w:ind w:firstLine="708"/>
        <w:jc w:val="both"/>
        <w:rPr>
          <w:rFonts w:ascii="Verdana" w:hAnsi="Verdana" w:eastAsia="Calibri" w:cs="Arial"/>
          <w:color w:val="000000" w:themeColor="text1"/>
        </w:rPr>
      </w:pPr>
    </w:p>
    <w:p w:rsidRPr="004D43FE" w:rsidR="004D43FE" w:rsidP="004D43FE" w:rsidRDefault="004D43FE" w14:paraId="556BCA0F" w14:textId="77777777">
      <w:pPr>
        <w:spacing w:after="120" w:line="276" w:lineRule="auto"/>
        <w:ind w:firstLine="708"/>
        <w:jc w:val="both"/>
        <w:rPr>
          <w:rFonts w:ascii="Verdana" w:hAnsi="Verdana" w:eastAsia="Calibri" w:cs="Arial"/>
          <w:lang w:val="es-ES"/>
        </w:rPr>
      </w:pPr>
      <w:r w:rsidRPr="004D43FE">
        <w:rPr>
          <w:rFonts w:ascii="Verdana" w:hAnsi="Verdana" w:eastAsia="Calibri" w:cs="Arial"/>
          <w:lang w:val="es-ES"/>
        </w:rPr>
        <w:t xml:space="preserve">Para autores como GONZÁLEZ LÓPEZ, </w:t>
      </w:r>
      <w:r w:rsidRPr="004D43FE">
        <w:rPr>
          <w:rFonts w:ascii="Verdana" w:hAnsi="Verdana" w:eastAsia="Calibri" w:cs="Arial"/>
          <w:sz w:val="20"/>
          <w:szCs w:val="20"/>
          <w:lang w:val="es-ES"/>
        </w:rPr>
        <w:t>“</w:t>
      </w:r>
      <w:r w:rsidRPr="004D43FE">
        <w:rPr>
          <w:rFonts w:ascii="Verdana" w:hAnsi="Verdana" w:eastAsia="Calibri" w:cs="Arial"/>
          <w:lang w:val="es-ES"/>
        </w:rPr>
        <w:t xml:space="preserve">[…] la ley se refiere en forma indistinta al arrendamiento de inmuebles, mientras que el reglamento solo alude a cuando la entidad alquile o arriende inmuebles, en su calidad de arrendataria. No obstante, la falta de claridad del reglamento, cuando la ley no distingue no le corresponde al interprete distinguir y, por ende, </w:t>
      </w:r>
      <w:r w:rsidRPr="004D43FE">
        <w:rPr>
          <w:rFonts w:ascii="Verdana" w:hAnsi="Verdana" w:eastAsia="Calibri" w:cs="Arial"/>
          <w:i/>
          <w:iCs/>
          <w:lang w:val="es-ES"/>
        </w:rPr>
        <w:t>es viable la modalidad de contratación directa siempre que se trae de un contrato de arrendamiento que suscriba una entidad estatal regulada por la Ley 80 de 1993</w:t>
      </w:r>
      <w:r w:rsidRPr="004D43FE">
        <w:rPr>
          <w:rFonts w:ascii="Verdana" w:hAnsi="Verdana" w:eastAsia="Calibri" w:cs="Arial"/>
          <w:lang w:val="es-ES"/>
        </w:rPr>
        <w:t>”</w:t>
      </w:r>
      <w:r w:rsidRPr="004D43FE">
        <w:rPr>
          <w:rFonts w:ascii="Verdana" w:hAnsi="Verdana" w:eastAsia="Calibri" w:cs="Arial"/>
          <w:vertAlign w:val="superscript"/>
          <w:lang w:val="es-ES"/>
        </w:rPr>
        <w:footnoteReference w:id="21"/>
      </w:r>
      <w:r w:rsidRPr="004D43FE">
        <w:rPr>
          <w:rFonts w:ascii="Verdana" w:hAnsi="Verdana" w:eastAsia="Calibri" w:cs="Arial"/>
          <w:lang w:val="es-ES"/>
        </w:rPr>
        <w:t xml:space="preserve"> (Énfasis fuera de texto).</w:t>
      </w:r>
    </w:p>
    <w:p w:rsidRPr="004D43FE" w:rsidR="004D43FE" w:rsidP="004D43FE" w:rsidRDefault="004D43FE" w14:paraId="233395F7" w14:textId="77777777">
      <w:pPr>
        <w:spacing w:after="0" w:line="276" w:lineRule="auto"/>
        <w:ind w:firstLine="708"/>
        <w:jc w:val="both"/>
        <w:rPr>
          <w:rFonts w:ascii="Verdana" w:hAnsi="Verdana" w:eastAsia="Calibri" w:cs="Arial"/>
          <w:lang w:val="es-ES"/>
        </w:rPr>
      </w:pPr>
      <w:r w:rsidRPr="004D43FE">
        <w:rPr>
          <w:rFonts w:ascii="Verdana" w:hAnsi="Verdana" w:eastAsia="Calibri" w:cs="Arial"/>
          <w:lang w:val="es-ES"/>
        </w:rPr>
        <w:t>RICO PUERTA sostiene la misma opinión, pero agrega que “[…] no existe prohibición legal para que, en los eventos en los que la entidad estatal actúa como arrendadora pueda adelantar una convocatoria pública para obtener las mejores condiciones en el negocio y para garantizar el principio de libre concurrencia”</w:t>
      </w:r>
      <w:r w:rsidRPr="004D43FE">
        <w:rPr>
          <w:rFonts w:ascii="Verdana" w:hAnsi="Verdana" w:eastAsia="Calibri" w:cs="Arial"/>
          <w:vertAlign w:val="superscript"/>
          <w:lang w:val="es-ES"/>
        </w:rPr>
        <w:footnoteReference w:id="22"/>
      </w:r>
      <w:r w:rsidRPr="004D43FE">
        <w:rPr>
          <w:rFonts w:ascii="Verdana" w:hAnsi="Verdana" w:eastAsia="Calibri" w:cs="Arial"/>
          <w:lang w:val="es-ES"/>
        </w:rPr>
        <w:t>. Aunque existe la discusión sobre la conveniencia o no de esta postura, lo cierto es que el literal i) del artículo 2.4 de la Ley 1150 de 2011 permite la contratación directa tratándose del arrendamiento de inmuebles, al margen de la posición que asuma la entidad en el negocio</w:t>
      </w:r>
      <w:r w:rsidRPr="004D43FE">
        <w:rPr>
          <w:rFonts w:ascii="Verdana" w:hAnsi="Verdana" w:eastAsia="Calibri" w:cs="Arial"/>
          <w:vertAlign w:val="superscript"/>
          <w:lang w:val="es-ES"/>
        </w:rPr>
        <w:footnoteReference w:id="23"/>
      </w:r>
      <w:r w:rsidRPr="004D43FE">
        <w:rPr>
          <w:rFonts w:ascii="Verdana" w:hAnsi="Verdana" w:eastAsia="Calibri" w:cs="Arial"/>
          <w:lang w:val="es-ES"/>
        </w:rPr>
        <w:t xml:space="preserve">. En todo caso, aquella es autónoma y responsable de la estructuración de sus procesos de contratación, así como determinar su necesidad y la modalidad de selección del contratista. </w:t>
      </w:r>
    </w:p>
    <w:p w:rsidRPr="004D43FE" w:rsidR="004D43FE" w:rsidP="004D43FE" w:rsidRDefault="004D43FE" w14:paraId="0D0CE985" w14:textId="77777777">
      <w:pPr>
        <w:spacing w:after="0" w:line="276" w:lineRule="auto"/>
        <w:ind w:firstLine="708"/>
        <w:jc w:val="both"/>
        <w:rPr>
          <w:rFonts w:ascii="Verdana" w:hAnsi="Verdana" w:eastAsia="Calibri" w:cs="Arial"/>
          <w:lang w:val="es-ES"/>
        </w:rPr>
      </w:pPr>
    </w:p>
    <w:p w:rsidRPr="004D43FE" w:rsidR="004D43FE" w:rsidP="004D43FE" w:rsidRDefault="004D43FE" w14:paraId="43673D0D" w14:textId="77777777">
      <w:pPr>
        <w:spacing w:after="120" w:line="276" w:lineRule="auto"/>
        <w:jc w:val="both"/>
        <w:rPr>
          <w:rFonts w:ascii="Verdana" w:hAnsi="Verdana" w:eastAsia="Calibri" w:cs="Arial"/>
          <w:bCs/>
          <w:color w:val="000000" w:themeColor="text1"/>
        </w:rPr>
      </w:pPr>
      <w:r w:rsidRPr="004D43FE">
        <w:rPr>
          <w:rFonts w:ascii="Verdana" w:hAnsi="Verdana" w:eastAsia="Calibri" w:cs="Arial"/>
          <w:lang w:val="es-ES"/>
        </w:rPr>
        <w:t xml:space="preserve">x. </w:t>
      </w:r>
      <w:r w:rsidRPr="004D43FE">
        <w:rPr>
          <w:rFonts w:ascii="Verdana" w:hAnsi="Verdana" w:eastAsia="Calibri" w:cs="Arial"/>
          <w:bCs/>
          <w:color w:val="000000" w:themeColor="text1"/>
        </w:rPr>
        <w:t xml:space="preserve">Al margen de la explicación precedente debe advertirse que </w:t>
      </w:r>
      <w:r w:rsidRPr="004D43FE">
        <w:rPr>
          <w:rFonts w:ascii="Verdana" w:hAnsi="Verdana"/>
          <w:color w:val="000000"/>
        </w:rPr>
        <w:t>el análisis requerido para resolver problemas específicos en torno a la gestión contractual debe ser realizado por quienes tengan interés en ello, de acuerdo con lo explicado la aclaración preliminar del presente oficio</w:t>
      </w:r>
      <w:r w:rsidRPr="004D43FE">
        <w:rPr>
          <w:rFonts w:ascii="Verdana" w:hAnsi="Verdana" w:eastAsia="Calibri" w:cs="Arial"/>
          <w:bCs/>
          <w:color w:val="000000" w:themeColor="text1"/>
        </w:rPr>
        <w:t xml:space="preserve">. De esta manera, las afirmaciones aquí realizadas no pueden ser interpretadas como juicios de valor </w:t>
      </w:r>
      <w:r w:rsidRPr="004D43FE">
        <w:rPr>
          <w:rFonts w:ascii="Verdana" w:hAnsi="Verdana" w:eastAsia="Calibri" w:cs="Arial"/>
          <w:bCs/>
          <w:color w:val="000000" w:themeColor="text1"/>
        </w:rPr>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rsidRPr="004D43FE" w:rsidR="004D43FE" w:rsidP="004D43FE" w:rsidRDefault="004D43FE" w14:paraId="6A9DFC3A" w14:textId="77777777">
      <w:pPr>
        <w:spacing w:after="0" w:line="276" w:lineRule="auto"/>
        <w:ind w:firstLine="708"/>
        <w:jc w:val="both"/>
        <w:rPr>
          <w:rFonts w:ascii="Verdana" w:hAnsi="Verdana" w:eastAsia="Calibri" w:cs="Arial"/>
          <w:bCs/>
          <w:color w:val="000000" w:themeColor="text1"/>
        </w:rPr>
      </w:pPr>
      <w:r w:rsidRPr="004D43FE">
        <w:rPr>
          <w:rFonts w:ascii="Verdana" w:hAnsi="Verdana" w:eastAsia="Calibri"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4D43FE">
        <w:rPr>
          <w:rFonts w:ascii="Verdana" w:hAnsi="Verdana"/>
          <w:color w:val="000000"/>
        </w:rPr>
        <w:t>Esto significa que,</w:t>
      </w:r>
      <w:r w:rsidRPr="004D43FE">
        <w:rPr>
          <w:rFonts w:ascii="Verdana" w:hAnsi="Verdana" w:eastAsia="Calibri" w:cs="Arial"/>
          <w:bCs/>
          <w:color w:val="000000" w:themeColor="text1"/>
        </w:rPr>
        <w:t xml:space="preserve"> fuera de la orientación del presente oficio, la ANCP – CCE carece de atribuciones normativas para desarrollar las actuaciones contractuales objeto de la solicitud</w:t>
      </w:r>
      <w:r w:rsidRPr="004D43FE">
        <w:rPr>
          <w:rFonts w:ascii="Verdana" w:hAnsi="Verdana" w:eastAsia="Calibri" w:cs="Arial"/>
          <w:bCs/>
          <w:color w:val="000000" w:themeColor="text1"/>
          <w:vertAlign w:val="superscript"/>
        </w:rPr>
        <w:footnoteReference w:id="24"/>
      </w:r>
      <w:r w:rsidRPr="004D43FE">
        <w:rPr>
          <w:rFonts w:ascii="Verdana" w:hAnsi="Verdana" w:eastAsia="Calibri" w:cs="Arial"/>
          <w:bCs/>
          <w:color w:val="000000" w:themeColor="text1"/>
        </w:rPr>
        <w:t xml:space="preserve">. </w:t>
      </w:r>
    </w:p>
    <w:p w:rsidRPr="004D43FE" w:rsidR="004D43FE" w:rsidP="004D43FE" w:rsidRDefault="004D43FE" w14:paraId="49E23B79" w14:textId="77777777">
      <w:pPr>
        <w:tabs>
          <w:tab w:val="left" w:pos="709"/>
        </w:tabs>
        <w:spacing w:after="0" w:line="276" w:lineRule="auto"/>
        <w:jc w:val="both"/>
        <w:rPr>
          <w:rFonts w:ascii="Verdana" w:hAnsi="Verdana" w:eastAsia="Calibri" w:cs="Arial"/>
          <w:color w:val="000000" w:themeColor="text1"/>
        </w:rPr>
      </w:pPr>
    </w:p>
    <w:p w:rsidRPr="004D43FE" w:rsidR="004D43FE" w:rsidP="004D43FE" w:rsidRDefault="004D43FE" w14:paraId="07107B36"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4D43FE">
        <w:rPr>
          <w:rFonts w:ascii="Verdana" w:hAnsi="Verdana" w:eastAsia="Century Gothic" w:cs="Century Gothic"/>
          <w:b/>
          <w:bCs/>
          <w:lang w:val="es-ES"/>
        </w:rPr>
        <w:t>Referencias normativas:</w:t>
      </w:r>
    </w:p>
    <w:p w:rsidRPr="004D43FE" w:rsidR="004D43FE" w:rsidP="004D43FE" w:rsidRDefault="004D43FE" w14:paraId="1E536976"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4D43FE" w:rsidR="004D43FE" w:rsidTr="000D4CD0" w14:paraId="201F4BA3" w14:textId="77777777">
        <w:trPr>
          <w:trHeight w:val="870"/>
          <w:jc w:val="center"/>
        </w:trPr>
        <w:tc>
          <w:tcPr>
            <w:tcW w:w="8647" w:type="dxa"/>
          </w:tcPr>
          <w:p w:rsidRPr="004D43FE" w:rsidR="004D43FE" w:rsidP="004D43FE" w:rsidRDefault="004D43FE" w14:paraId="0101991B" w14:textId="77777777">
            <w:pPr>
              <w:widowControl w:val="0"/>
              <w:numPr>
                <w:ilvl w:val="0"/>
                <w:numId w:val="17"/>
              </w:numPr>
              <w:autoSpaceDE w:val="0"/>
              <w:autoSpaceDN w:val="0"/>
              <w:spacing w:after="120" w:line="276" w:lineRule="auto"/>
              <w:ind w:left="714" w:hanging="357"/>
              <w:jc w:val="both"/>
              <w:rPr>
                <w:rFonts w:ascii="Verdana" w:hAnsi="Verdana" w:cs="Arial"/>
                <w:lang w:val="es-ES"/>
              </w:rPr>
            </w:pPr>
            <w:r w:rsidRPr="004D43FE">
              <w:rPr>
                <w:rFonts w:ascii="Verdana" w:hAnsi="Verdana" w:cs="Arial"/>
                <w:lang w:val="es-ES"/>
              </w:rPr>
              <w:t>Constitución Política de 1991, artículos 150, 209 y 267.</w:t>
            </w:r>
          </w:p>
          <w:p w:rsidRPr="004D43FE" w:rsidR="004D43FE" w:rsidP="004D43FE" w:rsidRDefault="004D43FE" w14:paraId="355B4DFE" w14:textId="77777777">
            <w:pPr>
              <w:widowControl w:val="0"/>
              <w:numPr>
                <w:ilvl w:val="0"/>
                <w:numId w:val="17"/>
              </w:numPr>
              <w:autoSpaceDE w:val="0"/>
              <w:autoSpaceDN w:val="0"/>
              <w:spacing w:after="120" w:line="276" w:lineRule="auto"/>
              <w:ind w:left="714" w:hanging="357"/>
              <w:jc w:val="both"/>
              <w:rPr>
                <w:rFonts w:ascii="Verdana" w:hAnsi="Verdana" w:cs="Arial"/>
                <w:lang w:val="es-ES"/>
              </w:rPr>
            </w:pPr>
            <w:r w:rsidRPr="004D43FE">
              <w:rPr>
                <w:rFonts w:ascii="Verdana" w:hAnsi="Verdana" w:cs="Arial"/>
                <w:lang w:val="es-ES"/>
              </w:rPr>
              <w:t>Ley 80 de 1993, artículos 2, 13, 14, 32 y 40.</w:t>
            </w:r>
          </w:p>
          <w:p w:rsidRPr="004D43FE" w:rsidR="004D43FE" w:rsidP="004D43FE" w:rsidRDefault="004D43FE" w14:paraId="0ACBD10F" w14:textId="77777777">
            <w:pPr>
              <w:widowControl w:val="0"/>
              <w:numPr>
                <w:ilvl w:val="0"/>
                <w:numId w:val="17"/>
              </w:numPr>
              <w:autoSpaceDE w:val="0"/>
              <w:autoSpaceDN w:val="0"/>
              <w:spacing w:after="120" w:line="276" w:lineRule="auto"/>
              <w:ind w:left="714" w:hanging="357"/>
              <w:jc w:val="both"/>
              <w:rPr>
                <w:rFonts w:ascii="Verdana" w:hAnsi="Verdana" w:cs="Arial"/>
                <w:lang w:val="es-ES"/>
              </w:rPr>
            </w:pPr>
            <w:r w:rsidRPr="004D43FE">
              <w:rPr>
                <w:rFonts w:ascii="Verdana" w:hAnsi="Verdana" w:cs="Arial"/>
                <w:lang w:val="es-ES"/>
              </w:rPr>
              <w:t>Ley 1150 de 2007, artículo 2 y 5.</w:t>
            </w:r>
          </w:p>
          <w:p w:rsidRPr="004D43FE" w:rsidR="004D43FE" w:rsidP="004D43FE" w:rsidRDefault="004D43FE" w14:paraId="481FEBE0" w14:textId="77777777">
            <w:pPr>
              <w:widowControl w:val="0"/>
              <w:numPr>
                <w:ilvl w:val="0"/>
                <w:numId w:val="17"/>
              </w:numPr>
              <w:autoSpaceDE w:val="0"/>
              <w:autoSpaceDN w:val="0"/>
              <w:spacing w:after="120" w:line="276" w:lineRule="auto"/>
              <w:ind w:left="714" w:hanging="357"/>
              <w:jc w:val="both"/>
              <w:rPr>
                <w:rFonts w:ascii="Verdana" w:hAnsi="Verdana" w:cs="Arial"/>
                <w:lang w:val="es-ES"/>
              </w:rPr>
            </w:pPr>
            <w:r w:rsidRPr="004D43FE">
              <w:rPr>
                <w:rFonts w:ascii="Verdana" w:hAnsi="Verdana" w:cs="Arial"/>
                <w:lang w:val="es-ES"/>
              </w:rPr>
              <w:t>Decreto 1082 de 2015, artículo 2.2.1.2.1.4.11.</w:t>
            </w:r>
          </w:p>
          <w:p w:rsidRPr="004D43FE" w:rsidR="004D43FE" w:rsidP="004D43FE" w:rsidRDefault="004D43FE" w14:paraId="0BA8D425" w14:textId="77777777">
            <w:pPr>
              <w:widowControl w:val="0"/>
              <w:numPr>
                <w:ilvl w:val="0"/>
                <w:numId w:val="17"/>
              </w:numPr>
              <w:autoSpaceDE w:val="0"/>
              <w:autoSpaceDN w:val="0"/>
              <w:spacing w:after="120" w:line="276" w:lineRule="auto"/>
              <w:ind w:left="714" w:hanging="357"/>
              <w:jc w:val="both"/>
              <w:rPr>
                <w:rFonts w:ascii="Verdana" w:hAnsi="Verdana" w:cs="Arial"/>
                <w:lang w:val="es-ES"/>
              </w:rPr>
            </w:pPr>
            <w:r w:rsidRPr="004D43FE">
              <w:rPr>
                <w:rFonts w:ascii="Verdana" w:hAnsi="Verdana" w:cs="Arial"/>
                <w:lang w:val="es-ES"/>
              </w:rPr>
              <w:t>Decreto Ley 111 de 1996, artículo 110.</w:t>
            </w:r>
          </w:p>
          <w:p w:rsidRPr="004D43FE" w:rsidR="004D43FE" w:rsidP="004D43FE" w:rsidRDefault="004D43FE" w14:paraId="66DF507A" w14:textId="77777777">
            <w:pPr>
              <w:widowControl w:val="0"/>
              <w:numPr>
                <w:ilvl w:val="0"/>
                <w:numId w:val="17"/>
              </w:numPr>
              <w:autoSpaceDE w:val="0"/>
              <w:autoSpaceDN w:val="0"/>
              <w:spacing w:line="276" w:lineRule="auto"/>
              <w:ind w:left="714" w:hanging="357"/>
              <w:jc w:val="both"/>
              <w:rPr>
                <w:rFonts w:ascii="Verdana" w:hAnsi="Verdana" w:cs="Arial"/>
                <w:color w:val="000000" w:themeColor="text1"/>
                <w:lang w:val="es-ES_tradnl"/>
              </w:rPr>
            </w:pPr>
            <w:r w:rsidRPr="004D43FE">
              <w:rPr>
                <w:rFonts w:ascii="Verdana" w:hAnsi="Verdana" w:cs="Arial"/>
                <w:lang w:val="es-ES"/>
              </w:rPr>
              <w:t xml:space="preserve">Código Civil, artículo 1973. </w:t>
            </w:r>
          </w:p>
        </w:tc>
      </w:tr>
    </w:tbl>
    <w:p w:rsidRPr="004D43FE" w:rsidR="004D43FE" w:rsidP="004D43FE" w:rsidRDefault="004D43FE" w14:paraId="6BA57498" w14:textId="77777777">
      <w:pPr>
        <w:widowControl w:val="0"/>
        <w:autoSpaceDE w:val="0"/>
        <w:autoSpaceDN w:val="0"/>
        <w:spacing w:after="0" w:line="276" w:lineRule="auto"/>
        <w:jc w:val="both"/>
        <w:rPr>
          <w:rFonts w:ascii="Verdana" w:hAnsi="Verdana" w:cs="Arial"/>
        </w:rPr>
      </w:pPr>
    </w:p>
    <w:p w:rsidRPr="004D43FE" w:rsidR="004D43FE" w:rsidP="004D43FE" w:rsidRDefault="004D43FE" w14:paraId="4576D6E4"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4D43FE">
        <w:rPr>
          <w:rFonts w:ascii="Verdana" w:hAnsi="Verdana" w:eastAsia="Century Gothic" w:cs="Century Gothic"/>
          <w:b/>
          <w:bCs/>
          <w:lang w:val="es-ES"/>
        </w:rPr>
        <w:t>Doctrina de la Agencia Nacional de Contratación Pública:</w:t>
      </w:r>
    </w:p>
    <w:p w:rsidRPr="004D43FE" w:rsidR="004D43FE" w:rsidP="004D43FE" w:rsidRDefault="004D43FE" w14:paraId="7B1EC36A" w14:textId="77777777">
      <w:pPr>
        <w:widowControl w:val="0"/>
        <w:autoSpaceDE w:val="0"/>
        <w:autoSpaceDN w:val="0"/>
        <w:spacing w:after="0" w:line="276" w:lineRule="auto"/>
        <w:jc w:val="both"/>
        <w:rPr>
          <w:rFonts w:ascii="Verdana" w:hAnsi="Verdana" w:cs="Arial"/>
        </w:rPr>
      </w:pPr>
    </w:p>
    <w:p w:rsidRPr="004D43FE" w:rsidR="004D43FE" w:rsidP="004D43FE" w:rsidRDefault="004D43FE" w14:paraId="663BAA7F" w14:textId="77777777">
      <w:pPr>
        <w:widowControl w:val="0"/>
        <w:autoSpaceDE w:val="0"/>
        <w:autoSpaceDN w:val="0"/>
        <w:spacing w:after="0" w:line="276" w:lineRule="auto"/>
        <w:jc w:val="both"/>
        <w:rPr>
          <w:rFonts w:ascii="Verdana" w:hAnsi="Verdana" w:cs="Arial"/>
          <w:shd w:val="clear" w:color="auto" w:fill="FFFFFF"/>
        </w:rPr>
      </w:pPr>
      <w:r w:rsidRPr="004D43FE">
        <w:rPr>
          <w:rFonts w:ascii="Verdana" w:hAnsi="Verdana" w:cs="Arial"/>
          <w:shd w:val="clear" w:color="auto" w:fill="FFFFFF"/>
          <w:lang w:val="es-ES_tradnl"/>
        </w:rPr>
        <w:t>Esta Subdirección se ha pronunciado sobre el régimen jurídico de los contratos de arrendamiento en los conceptos C-646 del 22 de noviembre de 2021, C-214 del 22 de abril de 2022, C-830 del 16 de diciembre de 2024, C-159 del 20 de marzo de 2025 y C-1648 del 14 de noviembre de 2025. Es</w:t>
      </w:r>
      <w:r w:rsidRPr="004D43FE">
        <w:rPr>
          <w:rFonts w:ascii="Verdana" w:hAnsi="Verdana"/>
          <w:lang w:val="es-ES_tradnl"/>
        </w:rPr>
        <w:t>tos y otros se encuentran disponibles para consulta en el Sistema de relatoría de la Agencia, al cual puede accederse a través del siguiente enlace:</w:t>
      </w:r>
      <w:r w:rsidRPr="004D43FE">
        <w:rPr>
          <w:rFonts w:ascii="Verdana" w:hAnsi="Verdana" w:cs="Arial"/>
          <w:shd w:val="clear" w:color="auto" w:fill="FFFFFF"/>
        </w:rPr>
        <w:t xml:space="preserve"> </w:t>
      </w:r>
      <w:hyperlink w:history="1" r:id="rId11">
        <w:r w:rsidRPr="004D43FE">
          <w:rPr>
            <w:rFonts w:ascii="Verdana" w:hAnsi="Verdana" w:cs="Arial"/>
            <w:color w:val="0000FF"/>
            <w:u w:val="single"/>
            <w:shd w:val="clear" w:color="auto" w:fill="FFFFFF"/>
          </w:rPr>
          <w:t>https://relatoria.colombiacompra.gov.co/busqueda/conceptos</w:t>
        </w:r>
      </w:hyperlink>
    </w:p>
    <w:p w:rsidRPr="004D43FE" w:rsidR="004D43FE" w:rsidP="004D43FE" w:rsidRDefault="004D43FE" w14:paraId="1A08C70B"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4D43FE" w:rsidR="004D43FE" w:rsidP="004D43FE" w:rsidRDefault="004D43FE" w14:paraId="5DC8C2F7" w14:textId="77777777">
      <w:pPr>
        <w:shd w:val="clear" w:color="auto" w:fill="FFFFFF"/>
        <w:spacing w:after="0" w:line="276" w:lineRule="auto"/>
        <w:jc w:val="both"/>
        <w:rPr>
          <w:rFonts w:ascii="Verdana" w:hAnsi="Verdana"/>
          <w:color w:val="467886"/>
          <w:u w:val="single"/>
        </w:rPr>
      </w:pPr>
      <w:r w:rsidRPr="004D43FE">
        <w:rPr>
          <w:rFonts w:ascii="Verdana" w:hAnsi="Verdana"/>
          <w:color w:val="000000"/>
        </w:rPr>
        <w:t>Te informamos que ya se encuentra disponible la </w:t>
      </w:r>
      <w:r w:rsidRPr="004D43FE">
        <w:rPr>
          <w:rFonts w:ascii="Verdana" w:hAnsi="Verdana"/>
          <w:b/>
          <w:bCs/>
          <w:color w:val="000000"/>
        </w:rPr>
        <w:t>Guía de lineamientos de transparencia y selección objetiva para el departamento de La Guajira – Objetivo sexto constitucional de la Sentencia T-302 del 2017. </w:t>
      </w:r>
      <w:r w:rsidRPr="004D43F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4D43FE">
        <w:rPr>
          <w:rFonts w:ascii="Verdana" w:hAnsi="Verdana"/>
          <w:color w:val="000000"/>
        </w:rPr>
        <w:t>Wayúu</w:t>
      </w:r>
      <w:proofErr w:type="spellEnd"/>
      <w:r w:rsidRPr="004D43FE">
        <w:rPr>
          <w:rFonts w:ascii="Verdana" w:hAnsi="Verdana"/>
          <w:color w:val="000000"/>
        </w:rPr>
        <w:t>. Puede consultar la guía en el siguiente enlace: </w:t>
      </w:r>
      <w:hyperlink w:tgtFrame="_blank" w:tooltip="Dirección URL original: https://www.colombiacompra.gov.co/wp-content/uploads/2025/05/GUIA-DE-LINEAMIENTOS-DE-TRANSPARENCIA-Y-SELECCION-OBJETIVA-1.0.pdf. Haga clic o pulse si confía en este vínculo." w:history="1" r:id="rId12">
        <w:r w:rsidRPr="004D43FE">
          <w:rPr>
            <w:rFonts w:ascii="Verdana" w:hAnsi="Verdana"/>
            <w:color w:val="0000FF"/>
            <w:u w:val="single"/>
          </w:rPr>
          <w:t>Guía de lineamientos de transparencia y selección objetiva para el departamento de La Guajira – Objetivo sexto constitucional de la Sentencia T-302 del 2017</w:t>
        </w:r>
      </w:hyperlink>
      <w:r w:rsidRPr="004D43FE">
        <w:rPr>
          <w:rFonts w:ascii="Verdana" w:hAnsi="Verdana"/>
          <w:color w:val="000000"/>
          <w:u w:val="single"/>
        </w:rPr>
        <w:t>.</w:t>
      </w:r>
    </w:p>
    <w:p w:rsidRPr="004D43FE" w:rsidR="004D43FE" w:rsidP="004D43FE" w:rsidRDefault="004D43FE" w14:paraId="79EC72FD" w14:textId="77777777">
      <w:pPr>
        <w:widowControl w:val="0"/>
        <w:autoSpaceDE w:val="0"/>
        <w:autoSpaceDN w:val="0"/>
        <w:spacing w:after="0" w:line="276" w:lineRule="auto"/>
        <w:jc w:val="both"/>
        <w:rPr>
          <w:rFonts w:ascii="Verdana" w:hAnsi="Verdana" w:cs="Arial"/>
          <w:color w:val="000000" w:themeColor="text1"/>
          <w:shd w:val="clear" w:color="auto" w:fill="FFFFFF"/>
          <w:lang w:val="es-ES_tradnl"/>
        </w:rPr>
      </w:pPr>
    </w:p>
    <w:p w:rsidRPr="004D43FE" w:rsidR="004D43FE" w:rsidP="004D43FE" w:rsidRDefault="004D43FE" w14:paraId="7F045E60" w14:textId="77777777">
      <w:pPr>
        <w:spacing w:after="0"/>
        <w:jc w:val="both"/>
        <w:rPr>
          <w:rFonts w:ascii="Verdana" w:hAnsi="Verdana"/>
        </w:rPr>
      </w:pPr>
      <w:r w:rsidRPr="004D43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rsidRPr="004D43FE" w:rsidR="004D43FE" w:rsidP="004D43FE" w:rsidRDefault="004D43FE" w14:paraId="65A57C7D" w14:textId="77777777">
      <w:pPr>
        <w:spacing w:after="0"/>
        <w:jc w:val="both"/>
        <w:rPr>
          <w:rFonts w:ascii="Verdana" w:hAnsi="Verdana"/>
        </w:rPr>
      </w:pPr>
    </w:p>
    <w:p w:rsidRPr="004D43FE" w:rsidR="004D43FE" w:rsidP="004D43FE" w:rsidRDefault="004D43FE" w14:paraId="18A5ABBE" w14:textId="77777777">
      <w:pPr>
        <w:numPr>
          <w:ilvl w:val="0"/>
          <w:numId w:val="15"/>
        </w:numPr>
        <w:spacing w:after="0" w:line="240" w:lineRule="auto"/>
        <w:contextualSpacing/>
        <w:jc w:val="both"/>
        <w:rPr>
          <w:rFonts w:ascii="Verdana" w:hAnsi="Verdana" w:eastAsia="Verdana" w:cs="Verdana"/>
          <w:color w:val="4472C4" w:themeColor="accent1"/>
          <w:u w:val="single"/>
          <w:lang w:val="es-ES"/>
        </w:rPr>
      </w:pPr>
      <w:r w:rsidRPr="004D43FE">
        <w:rPr>
          <w:rFonts w:ascii="Verdana" w:hAnsi="Verdana" w:eastAsia="Verdana" w:cs="Verdana"/>
          <w:lang w:val="es-ES"/>
        </w:rPr>
        <w:t xml:space="preserve">Línea nacional gratuita o servicio a la ciudadanía (Mesa de servicio): </w:t>
      </w:r>
      <w:r w:rsidRPr="004D43FE">
        <w:rPr>
          <w:rFonts w:ascii="Verdana" w:hAnsi="Verdana"/>
          <w:color w:val="0000FF"/>
          <w:u w:val="single"/>
          <w:lang w:val="es-ES"/>
        </w:rPr>
        <w:t>01800 0520808</w:t>
      </w:r>
    </w:p>
    <w:p w:rsidRPr="004D43FE" w:rsidR="004D43FE" w:rsidP="004D43FE" w:rsidRDefault="004D43FE" w14:paraId="26BA53D1" w14:textId="77777777">
      <w:pPr>
        <w:numPr>
          <w:ilvl w:val="0"/>
          <w:numId w:val="15"/>
        </w:numPr>
        <w:spacing w:after="0"/>
        <w:contextualSpacing/>
        <w:rPr>
          <w:rFonts w:ascii="Verdana" w:hAnsi="Verdana" w:eastAsia="Verdana" w:cs="Verdana"/>
          <w:color w:val="4472C4" w:themeColor="accent1"/>
          <w:u w:val="single"/>
          <w:lang w:val="es-ES"/>
        </w:rPr>
      </w:pPr>
      <w:r w:rsidRPr="004D43FE">
        <w:rPr>
          <w:rFonts w:ascii="Verdana" w:hAnsi="Verdana" w:eastAsia="Verdana" w:cs="Verdana"/>
          <w:lang w:val="es-ES"/>
        </w:rPr>
        <w:t>Línea en Bogotá (Mesa de servicio</w:t>
      </w:r>
      <w:proofErr w:type="gramStart"/>
      <w:r w:rsidRPr="004D43FE">
        <w:rPr>
          <w:rFonts w:ascii="Verdana" w:hAnsi="Verdana" w:eastAsia="Verdana" w:cs="Verdana"/>
          <w:lang w:val="es-ES"/>
        </w:rPr>
        <w:t>):</w:t>
      </w:r>
      <w:r w:rsidRPr="004D43FE">
        <w:rPr>
          <w:rFonts w:ascii="Verdana" w:hAnsi="Verdana"/>
          <w:color w:val="0000FF"/>
          <w:u w:val="single"/>
          <w:lang w:val="es-ES"/>
        </w:rPr>
        <w:t>+</w:t>
      </w:r>
      <w:proofErr w:type="gramEnd"/>
      <w:r w:rsidRPr="004D43FE">
        <w:rPr>
          <w:rFonts w:ascii="Verdana" w:hAnsi="Verdana"/>
          <w:color w:val="0000FF"/>
          <w:u w:val="single"/>
          <w:lang w:val="es-ES"/>
        </w:rPr>
        <w:t>57 601 7456788</w:t>
      </w:r>
    </w:p>
    <w:p w:rsidRPr="004D43FE" w:rsidR="004D43FE" w:rsidP="004D43FE" w:rsidRDefault="004D43FE" w14:paraId="552E50D1" w14:textId="77777777">
      <w:pPr>
        <w:numPr>
          <w:ilvl w:val="0"/>
          <w:numId w:val="15"/>
        </w:numPr>
        <w:spacing w:after="0"/>
        <w:contextualSpacing/>
        <w:rPr>
          <w:rFonts w:ascii="Verdana" w:hAnsi="Verdana" w:eastAsia="Verdana" w:cs="Verdana"/>
          <w:color w:val="0000FF"/>
          <w:u w:val="single"/>
          <w:lang w:val="es-ES"/>
        </w:rPr>
      </w:pPr>
      <w:r w:rsidRPr="004D43FE">
        <w:rPr>
          <w:rFonts w:ascii="Verdana" w:hAnsi="Verdana" w:eastAsia="Verdana" w:cs="Verdana"/>
          <w:lang w:val="es-ES"/>
        </w:rPr>
        <w:t xml:space="preserve">Correo de radicación de correspondencia: </w:t>
      </w:r>
      <w:hyperlink r:id="rId13">
        <w:r w:rsidRPr="004D43FE">
          <w:rPr>
            <w:rFonts w:ascii="Verdana" w:hAnsi="Verdana" w:eastAsia="Verdana" w:cs="Verdana"/>
            <w:color w:val="0000FF"/>
            <w:u w:val="single"/>
            <w:lang w:val="es-ES"/>
          </w:rPr>
          <w:t>ventanilladeradicacion@colombiacompra.gov.co</w:t>
        </w:r>
      </w:hyperlink>
    </w:p>
    <w:p w:rsidRPr="004D43FE" w:rsidR="004D43FE" w:rsidP="004D43FE" w:rsidRDefault="004D43FE" w14:paraId="6CDF3E3C" w14:textId="77777777">
      <w:pPr>
        <w:numPr>
          <w:ilvl w:val="0"/>
          <w:numId w:val="15"/>
        </w:numPr>
        <w:spacing w:after="0"/>
        <w:contextualSpacing/>
        <w:rPr>
          <w:rFonts w:ascii="Verdana" w:hAnsi="Verdana" w:eastAsia="Verdana" w:cs="Verdana"/>
          <w:color w:val="0000FF"/>
          <w:u w:val="single"/>
          <w:lang w:val="es-ES"/>
        </w:rPr>
      </w:pPr>
      <w:r w:rsidRPr="004D43FE">
        <w:rPr>
          <w:rFonts w:ascii="Verdana" w:hAnsi="Verdana" w:eastAsia="Verdana" w:cs="Verdana"/>
          <w:lang w:val="es-ES"/>
        </w:rPr>
        <w:t>Formulario web para</w:t>
      </w:r>
      <w:r w:rsidRPr="004D43FE">
        <w:rPr>
          <w:rFonts w:ascii="Verdana" w:hAnsi="Verdana" w:eastAsia="Verdana" w:cs="Verdana"/>
          <w:lang w:val="es"/>
        </w:rPr>
        <w:t xml:space="preserve"> PQRSD: </w:t>
      </w:r>
      <w:hyperlink r:id="rId14">
        <w:r w:rsidRPr="004D43FE">
          <w:rPr>
            <w:rFonts w:ascii="Verdana" w:hAnsi="Verdana" w:eastAsia="Verdana" w:cs="Verdana"/>
            <w:color w:val="0000FF"/>
            <w:u w:val="single"/>
            <w:lang w:val="es-ES"/>
          </w:rPr>
          <w:t>https://www.colombiacompra.gov.co/pqrsd/informacion-importante-antes-de-formular-una-pqrsd</w:t>
        </w:r>
      </w:hyperlink>
    </w:p>
    <w:p w:rsidRPr="004D43FE" w:rsidR="004D43FE" w:rsidP="004D43FE" w:rsidRDefault="004D43FE" w14:paraId="4B637B9B" w14:textId="77777777">
      <w:pPr>
        <w:spacing w:after="0" w:line="240" w:lineRule="auto"/>
        <w:ind w:left="720"/>
        <w:jc w:val="both"/>
        <w:rPr>
          <w:rFonts w:ascii="Verdana" w:hAnsi="Verdana"/>
        </w:rPr>
      </w:pPr>
    </w:p>
    <w:p w:rsidRPr="004D43FE" w:rsidR="004D43FE" w:rsidP="004D43FE" w:rsidRDefault="004D43FE" w14:paraId="4289D43B" w14:textId="77777777">
      <w:pPr>
        <w:spacing w:after="0" w:line="240" w:lineRule="auto"/>
        <w:rPr>
          <w:rFonts w:ascii="Verdana" w:hAnsi="Verdana"/>
        </w:rPr>
      </w:pPr>
      <w:r w:rsidRPr="004D43FE">
        <w:rPr>
          <w:rFonts w:ascii="Verdana" w:hAnsi="Verdana"/>
        </w:rPr>
        <w:t xml:space="preserve">Evalúa el servicio que ofrece la Agencia por el canal de atención de PQRSD en el siguiente </w:t>
      </w:r>
      <w:proofErr w:type="gramStart"/>
      <w:r w:rsidRPr="004D43FE">
        <w:rPr>
          <w:rFonts w:ascii="Verdana" w:hAnsi="Verdana"/>
        </w:rPr>
        <w:t>enlace :</w:t>
      </w:r>
      <w:proofErr w:type="gramEnd"/>
      <w:hyperlink w:tgtFrame="_blank" w:tooltip="https://forms.office.com/r/pphywvs2sz" w:history="1" r:id="rId15">
        <w:r w:rsidRPr="004D43FE">
          <w:rPr>
            <w:rFonts w:ascii="Verdana" w:hAnsi="Verdana"/>
            <w:color w:val="0000FF"/>
            <w:u w:val="single"/>
          </w:rPr>
          <w:t>https://forms.office.com/r/pPHyWVs2SZ</w:t>
        </w:r>
      </w:hyperlink>
      <w:r w:rsidRPr="004D43FE">
        <w:rPr>
          <w:rFonts w:ascii="Verdana" w:hAnsi="Verdana"/>
        </w:rPr>
        <w:t xml:space="preserve"> .¡Ayúdanos a mejorar porque el compromiso es de todos!</w:t>
      </w:r>
    </w:p>
    <w:p w:rsidRPr="004D43FE" w:rsidR="004D43FE" w:rsidP="004D43FE" w:rsidRDefault="004D43FE" w14:paraId="3C9FBCFE" w14:textId="77777777">
      <w:pPr>
        <w:spacing w:after="0" w:line="240" w:lineRule="auto"/>
        <w:rPr>
          <w:rFonts w:ascii="Verdana" w:hAnsi="Verdana"/>
        </w:rPr>
      </w:pPr>
    </w:p>
    <w:p w:rsidRPr="004D43FE" w:rsidR="004D43FE" w:rsidP="004D43FE" w:rsidRDefault="004D43FE" w14:paraId="572222C8" w14:textId="77777777">
      <w:pPr>
        <w:spacing w:after="0" w:line="240" w:lineRule="auto"/>
        <w:jc w:val="both"/>
        <w:rPr>
          <w:rFonts w:ascii="Verdana" w:hAnsi="Verdana"/>
        </w:rPr>
      </w:pPr>
      <w:r w:rsidRPr="004D43FE">
        <w:rPr>
          <w:rFonts w:ascii="Verdana" w:hAnsi="Verdana"/>
        </w:rPr>
        <w:t xml:space="preserve">Por último, lo invitamos a seguirnos en las redes sociales en las cuales se difunde información institucional: </w:t>
      </w:r>
    </w:p>
    <w:p w:rsidRPr="004D43FE" w:rsidR="004D43FE" w:rsidP="004D43FE" w:rsidRDefault="004D43FE" w14:paraId="539D2992" w14:textId="77777777">
      <w:pPr>
        <w:spacing w:after="0" w:line="240" w:lineRule="auto"/>
        <w:jc w:val="both"/>
        <w:rPr>
          <w:rFonts w:ascii="Verdana" w:hAnsi="Verdana"/>
        </w:rPr>
      </w:pPr>
    </w:p>
    <w:p w:rsidRPr="004D43FE" w:rsidR="004D43FE" w:rsidP="004D43FE" w:rsidRDefault="004D43FE" w14:paraId="4F50BADA" w14:textId="77777777">
      <w:pPr>
        <w:spacing w:after="0" w:line="240" w:lineRule="auto"/>
        <w:jc w:val="both"/>
        <w:rPr>
          <w:rFonts w:ascii="Verdana" w:hAnsi="Verdana"/>
        </w:rPr>
      </w:pPr>
      <w:r w:rsidRPr="004D43FE">
        <w:rPr>
          <w:rFonts w:ascii="Verdana" w:hAnsi="Verdana"/>
        </w:rPr>
        <w:t xml:space="preserve">Twitter: </w:t>
      </w:r>
      <w:r w:rsidRPr="004D43FE">
        <w:rPr>
          <w:rFonts w:ascii="Verdana" w:hAnsi="Verdana"/>
          <w:color w:val="0000FF"/>
          <w:u w:val="single"/>
        </w:rPr>
        <w:t>@colombiacompra</w:t>
      </w:r>
      <w:r w:rsidRPr="004D43FE">
        <w:rPr>
          <w:rFonts w:ascii="Verdana" w:hAnsi="Verdana"/>
        </w:rPr>
        <w:t xml:space="preserve"> </w:t>
      </w:r>
    </w:p>
    <w:p w:rsidRPr="004D43FE" w:rsidR="004D43FE" w:rsidP="004D43FE" w:rsidRDefault="004D43FE" w14:paraId="671D1DDA" w14:textId="77777777">
      <w:pPr>
        <w:spacing w:after="0" w:line="240" w:lineRule="auto"/>
        <w:jc w:val="both"/>
        <w:rPr>
          <w:rFonts w:ascii="Verdana" w:hAnsi="Verdana"/>
        </w:rPr>
      </w:pPr>
      <w:r w:rsidRPr="004D43FE">
        <w:rPr>
          <w:rFonts w:ascii="Verdana" w:hAnsi="Verdana"/>
        </w:rPr>
        <w:t xml:space="preserve">Facebook: </w:t>
      </w:r>
      <w:proofErr w:type="spellStart"/>
      <w:r w:rsidRPr="004D43FE">
        <w:rPr>
          <w:rFonts w:ascii="Verdana" w:hAnsi="Verdana"/>
          <w:color w:val="0000FF"/>
          <w:u w:val="single"/>
        </w:rPr>
        <w:t>ColombiaCompraEficiente</w:t>
      </w:r>
      <w:proofErr w:type="spellEnd"/>
    </w:p>
    <w:p w:rsidRPr="004D43FE" w:rsidR="004D43FE" w:rsidP="004D43FE" w:rsidRDefault="004D43FE" w14:paraId="630F1A2C" w14:textId="77777777">
      <w:pPr>
        <w:spacing w:after="0" w:line="240" w:lineRule="auto"/>
        <w:jc w:val="both"/>
        <w:rPr>
          <w:rFonts w:ascii="Verdana" w:hAnsi="Verdana"/>
        </w:rPr>
      </w:pPr>
      <w:r w:rsidRPr="004D43FE">
        <w:rPr>
          <w:rFonts w:ascii="Verdana" w:hAnsi="Verdana"/>
        </w:rPr>
        <w:t xml:space="preserve">LinkedIn: </w:t>
      </w:r>
      <w:r w:rsidRPr="004D43FE">
        <w:rPr>
          <w:rFonts w:ascii="Verdana" w:hAnsi="Verdana"/>
          <w:color w:val="0000FF"/>
          <w:u w:val="single"/>
        </w:rPr>
        <w:t>Agencia Nacional de Contratación Pública - Colombia Compra Eficiente</w:t>
      </w:r>
      <w:r w:rsidRPr="004D43FE">
        <w:rPr>
          <w:rFonts w:ascii="Verdana" w:hAnsi="Verdana"/>
        </w:rPr>
        <w:t xml:space="preserve"> Instagram: </w:t>
      </w:r>
      <w:r w:rsidRPr="004D43FE">
        <w:rPr>
          <w:rFonts w:ascii="Verdana" w:hAnsi="Verdana"/>
          <w:color w:val="0000FF"/>
          <w:u w:val="single"/>
        </w:rPr>
        <w:t>@colombiacompraeficiente_cce</w:t>
      </w:r>
    </w:p>
    <w:p w:rsidRPr="004D43FE" w:rsidR="004D43FE" w:rsidP="004D43FE" w:rsidRDefault="004D43FE" w14:paraId="556BEBFD" w14:textId="77777777">
      <w:pPr>
        <w:widowControl w:val="0"/>
        <w:autoSpaceDE w:val="0"/>
        <w:autoSpaceDN w:val="0"/>
        <w:spacing w:after="0" w:line="276" w:lineRule="auto"/>
        <w:jc w:val="both"/>
        <w:rPr>
          <w:rFonts w:ascii="Verdana" w:hAnsi="Verdana" w:cs="Arial"/>
          <w:color w:val="FF0000"/>
          <w:shd w:val="clear" w:color="auto" w:fill="FFFFFF"/>
          <w:lang w:val="es-ES_tradnl"/>
        </w:rPr>
      </w:pPr>
      <w:r w:rsidRPr="004D43FE">
        <w:rPr>
          <w:rFonts w:ascii="Verdana" w:hAnsi="Verdana" w:cs="Arial"/>
          <w:color w:val="000000" w:themeColor="text1"/>
          <w:shd w:val="clear" w:color="auto" w:fill="FFFFFF"/>
          <w:lang w:val="es-ES_tradnl"/>
        </w:rPr>
        <w:t xml:space="preserve"> </w:t>
      </w:r>
      <w:r w:rsidRPr="004D43FE">
        <w:rPr>
          <w:rFonts w:ascii="Verdana" w:hAnsi="Verdana" w:cs="Arial"/>
          <w:color w:val="FF0000"/>
          <w:shd w:val="clear" w:color="auto" w:fill="FFFFFF"/>
          <w:lang w:val="es-ES_tradnl"/>
        </w:rPr>
        <w:t xml:space="preserve">        </w:t>
      </w:r>
    </w:p>
    <w:p w:rsidRPr="004D43FE" w:rsidR="004D43FE" w:rsidP="004D43FE" w:rsidRDefault="004D43FE" w14:paraId="2849393B" w14:textId="77777777">
      <w:pPr>
        <w:widowControl w:val="0"/>
        <w:autoSpaceDE w:val="0"/>
        <w:autoSpaceDN w:val="0"/>
        <w:spacing w:after="0" w:line="276" w:lineRule="auto"/>
        <w:jc w:val="both"/>
        <w:rPr>
          <w:rFonts w:ascii="Verdana" w:hAnsi="Verdana" w:cs="Arial"/>
          <w:lang w:val="es-ES_tradnl"/>
        </w:rPr>
      </w:pPr>
      <w:r w:rsidRPr="004D43FE">
        <w:rPr>
          <w:rFonts w:ascii="Verdana" w:hAnsi="Verdana" w:cs="Arial"/>
        </w:rPr>
        <w:t xml:space="preserve">Este concepto tiene el alcance previsto en el artículo 28 del Código de Procedimiento Administrativo y de lo Contencioso Administrativo </w:t>
      </w:r>
      <w:r w:rsidRPr="004D43FE">
        <w:rPr>
          <w:rFonts w:ascii="Verdana" w:hAnsi="Verdana" w:cs="Arial"/>
          <w:lang w:val="es-ES_tradnl"/>
        </w:rPr>
        <w:t>y las expresiones aquí utilizadas con mayúscula inicial deben ser entendidas con el significado que les otorga el artículo 2.2.1.1.1.3.1. del Decreto 1082 de 2015.</w:t>
      </w:r>
    </w:p>
    <w:p w:rsidRPr="004D43FE" w:rsidR="004D43FE" w:rsidP="004D43FE" w:rsidRDefault="004D43FE" w14:paraId="1C254AA0" w14:textId="77777777">
      <w:pPr>
        <w:widowControl w:val="0"/>
        <w:autoSpaceDE w:val="0"/>
        <w:autoSpaceDN w:val="0"/>
        <w:spacing w:after="0" w:line="276" w:lineRule="auto"/>
        <w:jc w:val="both"/>
        <w:rPr>
          <w:rFonts w:ascii="Verdana" w:hAnsi="Verdana" w:cs="Arial"/>
        </w:rPr>
      </w:pPr>
    </w:p>
    <w:p w:rsidRPr="004D43FE" w:rsidR="004D43FE" w:rsidP="004D43FE" w:rsidRDefault="004D43FE" w14:paraId="5DACACD2" w14:textId="77777777">
      <w:pPr>
        <w:spacing w:after="0" w:line="276" w:lineRule="auto"/>
        <w:rPr>
          <w:rFonts w:ascii="Verdana" w:hAnsi="Verdana" w:eastAsia="Calibri" w:cs="Arial"/>
          <w:lang w:eastAsia="es-CO"/>
        </w:rPr>
      </w:pPr>
      <w:r w:rsidRPr="004D43FE">
        <w:rPr>
          <w:rFonts w:ascii="Verdana" w:hAnsi="Verdana" w:eastAsia="Times New Roman" w:cs="Arial"/>
          <w:lang w:eastAsia="es-CO"/>
        </w:rPr>
        <w:t>Atentamente,</w:t>
      </w:r>
      <w:r w:rsidRPr="004D43FE">
        <w:rPr>
          <w:rFonts w:ascii="Verdana" w:hAnsi="Verdana" w:eastAsia="Calibri" w:cs="Arial"/>
          <w:lang w:eastAsia="es-CO"/>
        </w:rPr>
        <w:t xml:space="preserve"> </w:t>
      </w:r>
    </w:p>
    <w:p w:rsidRPr="004D43FE" w:rsidR="004D43FE" w:rsidP="004D43FE" w:rsidRDefault="005029E9" w14:paraId="446EE62E" w14:textId="5B3AF793">
      <w:pPr>
        <w:spacing w:line="276" w:lineRule="auto"/>
        <w:jc w:val="center"/>
        <w:rPr>
          <w:rFonts w:ascii="Verdana" w:hAnsi="Verdana" w:eastAsia="Times New Roman" w:cs="Arial"/>
          <w:sz w:val="24"/>
          <w:szCs w:val="24"/>
          <w:lang w:eastAsia="es-ES"/>
        </w:rPr>
      </w:pPr>
      <w:r>
        <w:rPr>
          <w:noProof/>
        </w:rPr>
        <w:drawing>
          <wp:inline distT="0" distB="0" distL="0" distR="0" wp14:anchorId="0038B379" wp14:editId="1A49E01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Pr="004D43FE" w:rsidR="004D43FE" w:rsidTr="000D4CD0" w14:paraId="500DABD4" w14:textId="77777777">
        <w:trPr>
          <w:trHeight w:val="315"/>
        </w:trPr>
        <w:tc>
          <w:tcPr>
            <w:tcW w:w="993" w:type="dxa"/>
            <w:vAlign w:val="center"/>
            <w:hideMark/>
          </w:tcPr>
          <w:p w:rsidRPr="004D43FE" w:rsidR="004D43FE" w:rsidP="004D43FE" w:rsidRDefault="004D43FE" w14:paraId="6D815025" w14:textId="77777777">
            <w:pPr>
              <w:spacing w:after="0" w:line="276" w:lineRule="auto"/>
              <w:rPr>
                <w:rFonts w:ascii="Verdana" w:hAnsi="Verdana" w:eastAsia="Calibri" w:cs="Arial"/>
                <w:bCs/>
                <w:sz w:val="16"/>
                <w:szCs w:val="16"/>
                <w:lang w:eastAsia="es-CO"/>
              </w:rPr>
            </w:pPr>
            <w:r w:rsidRPr="004D43FE">
              <w:rPr>
                <w:rFonts w:ascii="Verdana" w:hAnsi="Verdana" w:eastAsia="Calibri" w:cs="Arial"/>
                <w:bCs/>
                <w:sz w:val="16"/>
                <w:szCs w:val="16"/>
                <w:lang w:eastAsia="es-CO"/>
              </w:rPr>
              <w:t>Elaboró:</w:t>
            </w:r>
          </w:p>
        </w:tc>
        <w:tc>
          <w:tcPr>
            <w:tcW w:w="4677" w:type="dxa"/>
            <w:tcBorders>
              <w:top w:val="nil"/>
              <w:left w:val="nil"/>
              <w:bottom w:val="dotted" w:color="7F7F7F" w:sz="4" w:space="0"/>
              <w:right w:val="nil"/>
            </w:tcBorders>
            <w:vAlign w:val="center"/>
            <w:hideMark/>
          </w:tcPr>
          <w:p w:rsidRPr="004D43FE" w:rsidR="004D43FE" w:rsidP="004D43FE" w:rsidRDefault="004D43FE" w14:paraId="14EC88B1"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Ximena Ríos López</w:t>
            </w:r>
          </w:p>
          <w:p w:rsidRPr="004D43FE" w:rsidR="004D43FE" w:rsidP="004D43FE" w:rsidRDefault="004D43FE" w14:paraId="51449B7B"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Gestor T1 -11 Subdirección de Gestión Contractual</w:t>
            </w:r>
          </w:p>
        </w:tc>
      </w:tr>
      <w:tr w:rsidRPr="004D43FE" w:rsidR="004D43FE" w:rsidTr="000D4CD0" w14:paraId="3B67EA18" w14:textId="77777777">
        <w:trPr>
          <w:trHeight w:val="330"/>
        </w:trPr>
        <w:tc>
          <w:tcPr>
            <w:tcW w:w="993" w:type="dxa"/>
            <w:vAlign w:val="center"/>
            <w:hideMark/>
          </w:tcPr>
          <w:p w:rsidRPr="004D43FE" w:rsidR="004D43FE" w:rsidP="004D43FE" w:rsidRDefault="004D43FE" w14:paraId="3785BE4E" w14:textId="77777777">
            <w:pPr>
              <w:spacing w:after="0" w:line="276" w:lineRule="auto"/>
              <w:rPr>
                <w:rFonts w:ascii="Verdana" w:hAnsi="Verdana" w:eastAsia="Calibri" w:cs="Arial"/>
                <w:bCs/>
                <w:sz w:val="16"/>
                <w:szCs w:val="16"/>
                <w:lang w:eastAsia="es-CO"/>
              </w:rPr>
            </w:pPr>
            <w:r w:rsidRPr="004D43FE">
              <w:rPr>
                <w:rFonts w:ascii="Verdana" w:hAnsi="Verdana" w:eastAsia="Calibri" w:cs="Arial"/>
                <w:bCs/>
                <w:sz w:val="16"/>
                <w:szCs w:val="16"/>
                <w:lang w:eastAsia="es-CO"/>
              </w:rPr>
              <w:t>Revisó:</w:t>
            </w:r>
          </w:p>
        </w:tc>
        <w:tc>
          <w:tcPr>
            <w:tcW w:w="4677" w:type="dxa"/>
            <w:tcBorders>
              <w:top w:val="dotted" w:color="7F7F7F" w:sz="4" w:space="0"/>
              <w:left w:val="nil"/>
              <w:bottom w:val="dotted" w:color="7F7F7F" w:sz="4" w:space="0"/>
              <w:right w:val="nil"/>
            </w:tcBorders>
            <w:vAlign w:val="center"/>
            <w:hideMark/>
          </w:tcPr>
          <w:p w:rsidRPr="004D43FE" w:rsidR="004D43FE" w:rsidP="004D43FE" w:rsidRDefault="004D43FE" w14:paraId="20E28B75"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Martha Romero</w:t>
            </w:r>
          </w:p>
          <w:p w:rsidRPr="004D43FE" w:rsidR="004D43FE" w:rsidP="004D43FE" w:rsidRDefault="004D43FE" w14:paraId="2E0CC82B"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Gestor T1 -15 Subdirección de Gestión Contractual</w:t>
            </w:r>
          </w:p>
        </w:tc>
      </w:tr>
      <w:tr w:rsidRPr="004D43FE" w:rsidR="004D43FE" w:rsidTr="000D4CD0" w14:paraId="705D62E8" w14:textId="77777777">
        <w:trPr>
          <w:trHeight w:val="300"/>
        </w:trPr>
        <w:tc>
          <w:tcPr>
            <w:tcW w:w="993" w:type="dxa"/>
            <w:vAlign w:val="center"/>
            <w:hideMark/>
          </w:tcPr>
          <w:p w:rsidRPr="004D43FE" w:rsidR="004D43FE" w:rsidP="004D43FE" w:rsidRDefault="004D43FE" w14:paraId="1C8C77B5" w14:textId="77777777">
            <w:pPr>
              <w:spacing w:after="0" w:line="276" w:lineRule="auto"/>
              <w:rPr>
                <w:rFonts w:ascii="Verdana" w:hAnsi="Verdana" w:eastAsia="Calibri" w:cs="Arial"/>
                <w:bCs/>
                <w:sz w:val="16"/>
                <w:szCs w:val="16"/>
                <w:lang w:eastAsia="es-CO"/>
              </w:rPr>
            </w:pPr>
            <w:r w:rsidRPr="004D43FE">
              <w:rPr>
                <w:rFonts w:ascii="Verdana" w:hAnsi="Verdana" w:eastAsia="Calibri" w:cs="Arial"/>
                <w:bCs/>
                <w:sz w:val="16"/>
                <w:szCs w:val="16"/>
                <w:lang w:eastAsia="es-CO"/>
              </w:rPr>
              <w:t>Aprobó:</w:t>
            </w:r>
          </w:p>
        </w:tc>
        <w:tc>
          <w:tcPr>
            <w:tcW w:w="4677" w:type="dxa"/>
            <w:tcBorders>
              <w:top w:val="dotted" w:color="7F7F7F" w:sz="4" w:space="0"/>
              <w:left w:val="nil"/>
              <w:bottom w:val="dotted" w:color="7F7F7F" w:sz="4" w:space="0"/>
              <w:right w:val="nil"/>
            </w:tcBorders>
            <w:vAlign w:val="center"/>
            <w:hideMark/>
          </w:tcPr>
          <w:p w:rsidRPr="004D43FE" w:rsidR="004D43FE" w:rsidP="004D43FE" w:rsidRDefault="004D43FE" w14:paraId="53D91E30"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Carolina Quintero Gacharná</w:t>
            </w:r>
          </w:p>
          <w:p w:rsidRPr="004D43FE" w:rsidR="004D43FE" w:rsidP="004D43FE" w:rsidRDefault="004D43FE" w14:paraId="4B68038F" w14:textId="77777777">
            <w:pPr>
              <w:spacing w:after="0" w:line="240" w:lineRule="auto"/>
              <w:rPr>
                <w:rFonts w:ascii="Verdana" w:hAnsi="Verdana" w:eastAsia="Calibri" w:cs="Arial"/>
                <w:sz w:val="16"/>
                <w:szCs w:val="16"/>
                <w:lang w:eastAsia="es-CO"/>
              </w:rPr>
            </w:pPr>
            <w:r w:rsidRPr="004D43FE">
              <w:rPr>
                <w:rFonts w:ascii="Verdana" w:hAnsi="Verdana" w:eastAsia="Calibri" w:cs="Arial"/>
                <w:sz w:val="16"/>
                <w:szCs w:val="16"/>
                <w:lang w:eastAsia="es-CO"/>
              </w:rPr>
              <w:t>Subdirectora de Gestión Contractual ANCP – CCE</w:t>
            </w:r>
          </w:p>
        </w:tc>
      </w:tr>
    </w:tbl>
    <w:p w:rsidRPr="004D43FE" w:rsidR="004D43FE" w:rsidP="004D43FE" w:rsidRDefault="004D43FE" w14:paraId="49A855F1" w14:textId="77777777">
      <w:pPr>
        <w:widowControl w:val="0"/>
        <w:autoSpaceDE w:val="0"/>
        <w:autoSpaceDN w:val="0"/>
        <w:spacing w:after="0" w:line="276" w:lineRule="auto"/>
        <w:jc w:val="both"/>
        <w:rPr>
          <w:rFonts w:ascii="Verdana" w:hAnsi="Verdana" w:cs="Arial"/>
        </w:rPr>
      </w:pPr>
    </w:p>
    <w:p w:rsidRPr="004D43FE" w:rsidR="00127233" w:rsidP="004D43FE" w:rsidRDefault="000A0CD3" w14:paraId="0F293BF4" w14:textId="758A80C4">
      <w:r>
        <w:rPr>
          <w:noProof/>
        </w:rPr>
        <w:drawing>
          <wp:inline distT="0" distB="0" distL="0" distR="0" wp14:anchorId="0172DF4C" wp14:editId="5005473B">
            <wp:extent cx="2176145" cy="271145"/>
            <wp:effectExtent l="0" t="0" r="0" b="0"/>
            <wp:docPr id="1685188431" name="Imagen 1"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6145" cy="271145"/>
                    </a:xfrm>
                    <a:prstGeom prst="rect">
                      <a:avLst/>
                    </a:prstGeom>
                    <a:noFill/>
                    <a:ln>
                      <a:noFill/>
                    </a:ln>
                  </pic:spPr>
                </pic:pic>
              </a:graphicData>
            </a:graphic>
          </wp:inline>
        </w:drawing>
      </w:r>
    </w:p>
    <w:sectPr w:rsidRPr="004D43FE" w:rsidR="00127233"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3B2" w:rsidP="004A1847" w:rsidRDefault="008243B2" w14:paraId="1B0510E7" w14:textId="77777777">
      <w:pPr>
        <w:spacing w:after="0" w:line="240" w:lineRule="auto"/>
      </w:pPr>
      <w:r>
        <w:separator/>
      </w:r>
    </w:p>
  </w:endnote>
  <w:endnote w:type="continuationSeparator" w:id="0">
    <w:p w:rsidR="008243B2" w:rsidP="004A1847" w:rsidRDefault="008243B2" w14:paraId="65F947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356CEDFD" w:rsidRDefault="356CEDFD" w14:paraId="744661F5" w14:textId="22B9E88F">
    <w:pPr>
      <w:pBdr>
        <w:top w:val="nil"/>
        <w:left w:val="nil"/>
        <w:bottom w:val="nil"/>
        <w:right w:val="nil"/>
        <w:between w:val="nil"/>
      </w:pBdr>
      <w:tabs>
        <w:tab w:val="center" w:pos="4419"/>
        <w:tab w:val="right" w:pos="8838"/>
        <w:tab w:val="center" w:pos="5400"/>
      </w:tabs>
      <w:spacing w:after="0"/>
      <w:jc w:val="right"/>
    </w:pPr>
    <w:r w:rsidRPr="356CEDFD">
      <w:rPr>
        <w:rFonts w:ascii="Century Gothic" w:hAnsi="Century Gothic" w:eastAsia="Geo" w:cs="Geo"/>
        <w:b/>
        <w:bCs/>
        <w:color w:val="000000" w:themeColor="text1"/>
        <w:sz w:val="16"/>
        <w:szCs w:val="16"/>
        <w:lang w:eastAsia="es-CO"/>
      </w:rPr>
      <w:t xml:space="preserve">Código: </w:t>
    </w:r>
    <w:r w:rsidRPr="356CEDFD">
      <w:rPr>
        <w:rFonts w:ascii="Century Gothic" w:hAnsi="Century Gothic" w:eastAsia="Geo" w:cs="Geo"/>
        <w:color w:val="000000" w:themeColor="text1"/>
        <w:sz w:val="16"/>
        <w:szCs w:val="16"/>
        <w:lang w:eastAsia="es-CO"/>
      </w:rPr>
      <w:t xml:space="preserve">CCE-REC-FM-17 </w:t>
    </w:r>
    <w:r w:rsidRPr="356CEDFD">
      <w:rPr>
        <w:rFonts w:ascii="Century Gothic" w:hAnsi="Century Gothic" w:eastAsia="Geo" w:cs="Geo"/>
        <w:b/>
        <w:bCs/>
        <w:color w:val="000000" w:themeColor="text1"/>
        <w:sz w:val="16"/>
        <w:szCs w:val="16"/>
        <w:lang w:eastAsia="es-CO"/>
      </w:rPr>
      <w:t>V</w:t>
    </w:r>
    <w:r w:rsidRPr="356CEDFD">
      <w:rPr>
        <w:rFonts w:ascii="Century Gothic" w:hAnsi="Century Gothic" w:eastAsia="Arial Nova" w:cs="Arial Nova"/>
        <w:b/>
        <w:bCs/>
        <w:color w:val="000000" w:themeColor="text1"/>
        <w:sz w:val="16"/>
        <w:szCs w:val="16"/>
        <w:lang w:eastAsia="es-CO"/>
      </w:rPr>
      <w:t xml:space="preserve">: </w:t>
    </w:r>
    <w:r w:rsidRPr="356CEDFD">
      <w:rPr>
        <w:rFonts w:ascii="Century Gothic" w:hAnsi="Century Gothic" w:eastAsia="Geo"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3B2" w:rsidP="004A1847" w:rsidRDefault="008243B2" w14:paraId="581352F6" w14:textId="77777777">
      <w:pPr>
        <w:spacing w:after="0" w:line="240" w:lineRule="auto"/>
      </w:pPr>
      <w:r>
        <w:separator/>
      </w:r>
    </w:p>
  </w:footnote>
  <w:footnote w:type="continuationSeparator" w:id="0">
    <w:p w:rsidR="008243B2" w:rsidP="004A1847" w:rsidRDefault="008243B2" w14:paraId="774E310D" w14:textId="77777777">
      <w:pPr>
        <w:spacing w:after="0" w:line="240" w:lineRule="auto"/>
      </w:pPr>
      <w:r>
        <w:continuationSeparator/>
      </w:r>
    </w:p>
  </w:footnote>
  <w:footnote w:id="1">
    <w:p w:rsidRPr="0031671B" w:rsidR="004D43FE" w:rsidP="004D43FE" w:rsidRDefault="004D43FE" w14:paraId="76C6A6CB" w14:textId="77777777">
      <w:pPr>
        <w:pStyle w:val="Textonotapie"/>
        <w:ind w:firstLine="708"/>
        <w:jc w:val="both"/>
        <w:rPr>
          <w:rFonts w:ascii="Verdana" w:hAnsi="Verdana"/>
          <w:sz w:val="16"/>
          <w:szCs w:val="16"/>
        </w:rPr>
      </w:pPr>
      <w:r w:rsidRPr="0031671B">
        <w:rPr>
          <w:rStyle w:val="Refdenotaalpie"/>
          <w:rFonts w:ascii="Verdana" w:hAnsi="Verdana"/>
          <w:sz w:val="16"/>
          <w:szCs w:val="16"/>
        </w:rPr>
        <w:footnoteRef/>
      </w:r>
      <w:r w:rsidRPr="0031671B">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rsidRPr="0031671B" w:rsidR="004D43FE" w:rsidP="004D43FE" w:rsidRDefault="004D43FE" w14:paraId="3DF9BE12" w14:textId="77777777">
      <w:pPr>
        <w:pStyle w:val="Textonotapie"/>
        <w:ind w:firstLine="708"/>
        <w:jc w:val="both"/>
        <w:rPr>
          <w:rFonts w:ascii="Verdana" w:hAnsi="Verdana"/>
          <w:sz w:val="16"/>
          <w:szCs w:val="16"/>
        </w:rPr>
      </w:pPr>
      <w:r w:rsidRPr="0031671B">
        <w:rPr>
          <w:rFonts w:ascii="Verdana" w:hAnsi="Verdana"/>
          <w:sz w:val="16"/>
          <w:szCs w:val="16"/>
        </w:rPr>
        <w:t>[…]</w:t>
      </w:r>
    </w:p>
    <w:p w:rsidRPr="0031671B" w:rsidR="004D43FE" w:rsidP="004D43FE" w:rsidRDefault="004D43FE" w14:paraId="30FD89FD" w14:textId="77777777">
      <w:pPr>
        <w:pStyle w:val="Textonotapie"/>
        <w:ind w:firstLine="708"/>
        <w:jc w:val="both"/>
        <w:rPr>
          <w:rFonts w:ascii="Verdana" w:hAnsi="Verdana"/>
          <w:sz w:val="16"/>
          <w:szCs w:val="16"/>
        </w:rPr>
      </w:pPr>
      <w:r w:rsidRPr="0031671B">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rsidRPr="0031671B" w:rsidR="004D43FE" w:rsidP="004D43FE" w:rsidRDefault="004D43FE" w14:paraId="09A37366" w14:textId="77777777">
      <w:pPr>
        <w:pStyle w:val="Textonotapie"/>
        <w:ind w:firstLine="708"/>
        <w:jc w:val="both"/>
        <w:rPr>
          <w:rFonts w:ascii="Verdana" w:hAnsi="Verdana"/>
          <w:sz w:val="16"/>
          <w:szCs w:val="16"/>
        </w:rPr>
      </w:pPr>
      <w:r w:rsidRPr="0031671B">
        <w:rPr>
          <w:rFonts w:ascii="Verdana" w:hAnsi="Verdana"/>
          <w:sz w:val="16"/>
          <w:szCs w:val="16"/>
        </w:rPr>
        <w:t>En todo caso, el Presidente de la República podrá celebrar contratos a nombre de la Nación”.</w:t>
      </w:r>
    </w:p>
  </w:footnote>
  <w:footnote w:id="2">
    <w:p w:rsidRPr="0031671B" w:rsidR="004D43FE" w:rsidP="004D43FE" w:rsidRDefault="004D43FE" w14:paraId="5E8EC447" w14:textId="77777777">
      <w:pPr>
        <w:pStyle w:val="Textonotapie"/>
        <w:ind w:firstLine="708"/>
        <w:jc w:val="both"/>
        <w:rPr>
          <w:rFonts w:ascii="Verdana" w:hAnsi="Verdana" w:cs="Arial"/>
          <w:sz w:val="16"/>
          <w:szCs w:val="16"/>
        </w:rPr>
      </w:pPr>
      <w:r w:rsidRPr="0031671B">
        <w:rPr>
          <w:rStyle w:val="Refdenotaalpie"/>
          <w:rFonts w:ascii="Verdana" w:hAnsi="Verdana" w:cs="Arial"/>
          <w:sz w:val="16"/>
          <w:szCs w:val="16"/>
        </w:rPr>
        <w:footnoteRef/>
      </w:r>
      <w:r w:rsidRPr="0031671B">
        <w:rPr>
          <w:rFonts w:ascii="Verdana" w:hAnsi="Verdana" w:cs="Arial"/>
          <w:sz w:val="16"/>
          <w:szCs w:val="16"/>
        </w:rPr>
        <w:t xml:space="preserve"> El inciso primero de norma disponía que, conforme al principio de transparencia, “</w:t>
      </w:r>
      <w:r w:rsidRPr="0031671B">
        <w:rPr>
          <w:rFonts w:ascii="Verdana" w:hAnsi="Verdana" w:cs="Arial"/>
          <w:i/>
          <w:iCs/>
          <w:sz w:val="16"/>
          <w:szCs w:val="16"/>
        </w:rPr>
        <w:t>La escogencia del contratista se efectuará siempre a través de licitación o concurso públicos</w:t>
      </w:r>
      <w:r w:rsidRPr="0031671B">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rsidRPr="0031671B" w:rsidR="004D43FE" w:rsidP="004D43FE" w:rsidRDefault="004D43FE" w14:paraId="260CC8C9" w14:textId="77777777">
      <w:pPr>
        <w:pStyle w:val="Textonotapie"/>
        <w:ind w:firstLine="708"/>
        <w:jc w:val="both"/>
        <w:rPr>
          <w:rFonts w:ascii="Verdana" w:hAnsi="Verdana" w:cs="Arial"/>
          <w:sz w:val="16"/>
          <w:szCs w:val="16"/>
        </w:rPr>
      </w:pPr>
      <w:r w:rsidRPr="0031671B">
        <w:rPr>
          <w:rStyle w:val="Refdenotaalpie"/>
          <w:rFonts w:ascii="Verdana" w:hAnsi="Verdana" w:cs="Arial"/>
          <w:sz w:val="16"/>
          <w:szCs w:val="16"/>
        </w:rPr>
        <w:footnoteRef/>
      </w:r>
      <w:r w:rsidRPr="0031671B">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31671B">
        <w:rPr>
          <w:rFonts w:ascii="Verdana" w:hAnsi="Verdana" w:cs="Arial"/>
          <w:i/>
          <w:iCs/>
          <w:sz w:val="16"/>
          <w:szCs w:val="16"/>
        </w:rPr>
        <w:t>Presentación de la oferta de manera dinámica</w:t>
      </w:r>
      <w:r w:rsidRPr="0031671B">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w:t>
      </w:r>
      <w:r w:rsidRPr="0031671B">
        <w:rPr>
          <w:rFonts w:ascii="Verdana" w:hAnsi="Verdana" w:cs="Arial"/>
          <w:sz w:val="16"/>
          <w:szCs w:val="16"/>
        </w:rPr>
        <w:t xml:space="preserve">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rsidRPr="0031671B" w:rsidR="004D43FE" w:rsidP="004D43FE" w:rsidRDefault="004D43FE" w14:paraId="537F9D90" w14:textId="77777777">
      <w:pPr>
        <w:pStyle w:val="Textonotapie"/>
        <w:ind w:right="108" w:firstLine="709"/>
        <w:jc w:val="both"/>
        <w:rPr>
          <w:rFonts w:ascii="Verdana" w:hAnsi="Verdana" w:cs="Arial"/>
          <w:sz w:val="16"/>
          <w:szCs w:val="16"/>
        </w:rPr>
      </w:pPr>
      <w:r w:rsidRPr="0031671B">
        <w:rPr>
          <w:rStyle w:val="Refdenotaalpie"/>
          <w:rFonts w:ascii="Verdana" w:hAnsi="Verdana" w:cs="Arial"/>
          <w:sz w:val="16"/>
          <w:szCs w:val="16"/>
        </w:rPr>
        <w:footnoteRef/>
      </w:r>
      <w:r w:rsidRPr="0031671B">
        <w:rPr>
          <w:rFonts w:ascii="Verdana" w:hAnsi="Verdana" w:cs="Arial"/>
          <w:sz w:val="16"/>
          <w:szCs w:val="16"/>
        </w:rPr>
        <w:t xml:space="preserve"> CONSEJO DE ESTADO. Sección Tercera. Sentencia del 4 de abril de 2002, C.P. Alier E. Hernández Enríquez, Rad. 1999-0290-01 (17.244).</w:t>
      </w:r>
    </w:p>
  </w:footnote>
  <w:footnote w:id="5">
    <w:p w:rsidRPr="0031671B" w:rsidR="004D43FE" w:rsidP="004D43FE" w:rsidRDefault="004D43FE" w14:paraId="61CC6F48" w14:textId="77777777">
      <w:pPr>
        <w:spacing w:after="0" w:line="242" w:lineRule="auto"/>
        <w:ind w:right="108" w:firstLine="709"/>
        <w:jc w:val="both"/>
        <w:rPr>
          <w:rFonts w:ascii="Verdana" w:hAnsi="Verdana" w:cs="Arial"/>
          <w:sz w:val="16"/>
          <w:szCs w:val="16"/>
        </w:rPr>
      </w:pPr>
      <w:r w:rsidRPr="0031671B">
        <w:rPr>
          <w:rStyle w:val="Refdenotaalpie"/>
          <w:rFonts w:ascii="Verdana" w:hAnsi="Verdana" w:cs="Arial"/>
          <w:sz w:val="16"/>
          <w:szCs w:val="16"/>
        </w:rPr>
        <w:footnoteRef/>
      </w:r>
      <w:r w:rsidRPr="0031671B">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31671B">
        <w:rPr>
          <w:rFonts w:ascii="Verdana" w:hAnsi="Verdana" w:cs="Arial"/>
          <w:spacing w:val="-2"/>
          <w:sz w:val="16"/>
          <w:szCs w:val="16"/>
        </w:rPr>
        <w:t xml:space="preserve"> </w:t>
      </w:r>
      <w:r w:rsidRPr="0031671B">
        <w:rPr>
          <w:rFonts w:ascii="Verdana" w:hAnsi="Verdana" w:cs="Arial"/>
          <w:sz w:val="16"/>
          <w:szCs w:val="16"/>
        </w:rPr>
        <w:t xml:space="preserve">estatal”. </w:t>
      </w:r>
    </w:p>
  </w:footnote>
  <w:footnote w:id="6">
    <w:p w:rsidRPr="0031671B" w:rsidR="004D43FE" w:rsidP="004D43FE" w:rsidRDefault="004D43FE" w14:paraId="7AD6126A" w14:textId="77777777">
      <w:pPr>
        <w:pStyle w:val="Textonotapie"/>
        <w:ind w:firstLine="708"/>
        <w:jc w:val="both"/>
        <w:rPr>
          <w:rFonts w:ascii="Verdana" w:hAnsi="Verdana"/>
          <w:sz w:val="16"/>
          <w:szCs w:val="16"/>
          <w:lang w:val="es-CO"/>
        </w:rPr>
      </w:pPr>
      <w:r w:rsidRPr="0031671B">
        <w:rPr>
          <w:rStyle w:val="Refdenotaalpie"/>
          <w:rFonts w:ascii="Verdana" w:hAnsi="Verdana"/>
          <w:sz w:val="16"/>
          <w:szCs w:val="16"/>
        </w:rPr>
        <w:footnoteRef/>
      </w:r>
      <w:r w:rsidRPr="0031671B">
        <w:rPr>
          <w:rFonts w:ascii="Verdana" w:hAnsi="Verdana"/>
          <w:sz w:val="16"/>
          <w:szCs w:val="16"/>
        </w:rPr>
        <w:t xml:space="preserve"> </w:t>
      </w:r>
      <w:r w:rsidRPr="0031671B">
        <w:rPr>
          <w:rFonts w:ascii="Verdana" w:hAnsi="Verdana" w:cs="Arial"/>
          <w:sz w:val="16"/>
          <w:szCs w:val="16"/>
          <w:lang w:val="es-ES"/>
        </w:rPr>
        <w:t xml:space="preserve">Por ello, “[…] </w:t>
      </w:r>
      <w:r w:rsidRPr="0031671B">
        <w:rPr>
          <w:rFonts w:ascii="Verdana" w:hAnsi="Verdana" w:cs="Arial"/>
          <w:sz w:val="16"/>
          <w:szCs w:val="16"/>
        </w:rPr>
        <w:t xml:space="preserve">la clasificación de estatal, respecto de un determinado contrato, no determina, </w:t>
      </w:r>
      <w:r w:rsidRPr="0031671B">
        <w:rPr>
          <w:rFonts w:ascii="Verdana" w:hAnsi="Verdana" w:cs="Arial"/>
          <w:i/>
          <w:iCs/>
          <w:sz w:val="16"/>
          <w:szCs w:val="16"/>
        </w:rPr>
        <w:t>per se</w:t>
      </w:r>
      <w:r w:rsidRPr="0031671B">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31671B">
        <w:rPr>
          <w:rFonts w:ascii="Verdana" w:hAnsi="Verdana" w:cs="Arial"/>
          <w:i/>
          <w:iCs/>
          <w:sz w:val="16"/>
          <w:szCs w:val="16"/>
        </w:rPr>
        <w:t>Ibidem</w:t>
      </w:r>
      <w:r w:rsidRPr="0031671B">
        <w:rPr>
          <w:rFonts w:ascii="Verdana" w:hAnsi="Verdana" w:cs="Arial"/>
          <w:sz w:val="16"/>
          <w:szCs w:val="16"/>
        </w:rPr>
        <w:t>).</w:t>
      </w:r>
    </w:p>
  </w:footnote>
  <w:footnote w:id="7">
    <w:p w:rsidRPr="0031671B" w:rsidR="004D43FE" w:rsidP="004D43FE" w:rsidRDefault="004D43FE" w14:paraId="018D76FB" w14:textId="77777777">
      <w:pPr>
        <w:pStyle w:val="Textonotapie"/>
        <w:ind w:firstLine="708"/>
        <w:jc w:val="both"/>
        <w:rPr>
          <w:rFonts w:ascii="Verdana" w:hAnsi="Verdana" w:cs="Arial"/>
          <w:sz w:val="16"/>
          <w:szCs w:val="16"/>
          <w:lang w:val="es-ES"/>
        </w:rPr>
      </w:pPr>
      <w:r w:rsidRPr="0031671B">
        <w:rPr>
          <w:rStyle w:val="Refdenotaalpie"/>
          <w:rFonts w:ascii="Verdana" w:hAnsi="Verdana" w:cs="Arial"/>
          <w:sz w:val="16"/>
          <w:szCs w:val="16"/>
        </w:rPr>
        <w:footnoteRef/>
      </w:r>
      <w:r w:rsidRPr="0031671B">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8">
    <w:p w:rsidRPr="0031671B" w:rsidR="004D43FE" w:rsidP="004D43FE" w:rsidRDefault="004D43FE" w14:paraId="2B1A2213" w14:textId="77777777">
      <w:pPr>
        <w:pStyle w:val="Textonotapie"/>
        <w:ind w:firstLine="708"/>
        <w:jc w:val="both"/>
        <w:rPr>
          <w:rFonts w:ascii="Verdana" w:hAnsi="Verdana" w:cs="Arial"/>
          <w:sz w:val="16"/>
          <w:szCs w:val="16"/>
          <w:lang w:val="es-ES"/>
        </w:rPr>
      </w:pPr>
      <w:r w:rsidRPr="0031671B">
        <w:rPr>
          <w:rStyle w:val="Refdenotaalpie"/>
          <w:rFonts w:ascii="Verdana" w:hAnsi="Verdana" w:cs="Arial"/>
          <w:sz w:val="16"/>
          <w:szCs w:val="16"/>
        </w:rPr>
        <w:footnoteRef/>
      </w:r>
      <w:r w:rsidRPr="0031671B">
        <w:rPr>
          <w:rFonts w:ascii="Verdana" w:hAnsi="Verdana" w:cs="Arial"/>
          <w:sz w:val="16"/>
          <w:szCs w:val="16"/>
        </w:rPr>
        <w:t xml:space="preserve"> BETANCUR JARAMILLO, Carlos. Derecho procesal administrativo. Octava edición. Medellín: Señal Editora, 2013. p. 627. </w:t>
      </w:r>
    </w:p>
  </w:footnote>
  <w:footnote w:id="9">
    <w:p w:rsidRPr="0031671B" w:rsidR="004D43FE" w:rsidP="004D43FE" w:rsidRDefault="004D43FE" w14:paraId="2499F0CC" w14:textId="77777777">
      <w:pPr>
        <w:pStyle w:val="Textonotapie"/>
        <w:ind w:firstLine="709"/>
        <w:jc w:val="both"/>
        <w:rPr>
          <w:rFonts w:ascii="Verdana" w:hAnsi="Verdana" w:cs="Arial"/>
          <w:color w:val="000000" w:themeColor="text1"/>
          <w:sz w:val="16"/>
          <w:szCs w:val="16"/>
          <w:lang w:val="es-ES"/>
        </w:rPr>
      </w:pPr>
      <w:r w:rsidRPr="0031671B">
        <w:rPr>
          <w:rStyle w:val="Refdenotaalpie"/>
          <w:rFonts w:ascii="Verdana" w:hAnsi="Verdana" w:cs="Arial"/>
          <w:color w:val="000000" w:themeColor="text1"/>
          <w:sz w:val="16"/>
          <w:szCs w:val="16"/>
        </w:rPr>
        <w:footnoteRef/>
      </w:r>
      <w:r w:rsidRPr="0031671B">
        <w:rPr>
          <w:rFonts w:ascii="Verdana" w:hAnsi="Verdana" w:cs="Arial"/>
          <w:color w:val="000000" w:themeColor="text1"/>
          <w:sz w:val="16"/>
          <w:szCs w:val="16"/>
        </w:rPr>
        <w:t xml:space="preserve"> </w:t>
      </w:r>
      <w:r w:rsidRPr="0031671B">
        <w:rPr>
          <w:rFonts w:ascii="Verdana" w:hAnsi="Verdana" w:cs="Arial"/>
          <w:color w:val="000000" w:themeColor="text1"/>
          <w:sz w:val="16"/>
          <w:szCs w:val="16"/>
          <w:lang w:val="es-ES"/>
        </w:rPr>
        <w:t>Para la doctrina, “El arrendamiento es el contrato en virtud del cual una de las partes se obliga a proporcionarle a otra el uso y goce de una cosa, durante cierto tiempo, y ésta a pagar, como contraprestación, un precio determinado.</w:t>
      </w:r>
    </w:p>
    <w:p w:rsidRPr="0031671B" w:rsidR="004D43FE" w:rsidP="004D43FE" w:rsidRDefault="004D43FE" w14:paraId="40B78270" w14:textId="77777777">
      <w:pPr>
        <w:pStyle w:val="Textonotapie"/>
        <w:ind w:firstLine="709"/>
        <w:jc w:val="both"/>
        <w:rPr>
          <w:rFonts w:ascii="Verdana" w:hAnsi="Verdana" w:cs="Arial"/>
          <w:color w:val="000000" w:themeColor="text1"/>
          <w:sz w:val="16"/>
          <w:szCs w:val="16"/>
          <w:lang w:val="es-ES"/>
        </w:rPr>
      </w:pPr>
      <w:r w:rsidRPr="0031671B">
        <w:rPr>
          <w:rFonts w:ascii="Verdana" w:hAnsi="Verdana" w:cs="Arial"/>
          <w:color w:val="000000" w:themeColor="text1"/>
          <w:sz w:val="16"/>
          <w:szCs w:val="16"/>
          <w:lang w:val="es-ES"/>
        </w:rPr>
        <w:t xml:space="preserve">La parte que proporciona el goce se llama </w:t>
      </w:r>
      <w:r w:rsidRPr="0031671B">
        <w:rPr>
          <w:rFonts w:ascii="Verdana" w:hAnsi="Verdana" w:cs="Arial"/>
          <w:b/>
          <w:bCs/>
          <w:color w:val="000000" w:themeColor="text1"/>
          <w:sz w:val="16"/>
          <w:szCs w:val="16"/>
          <w:lang w:val="es-ES"/>
        </w:rPr>
        <w:t>arrendador</w:t>
      </w:r>
      <w:r w:rsidRPr="0031671B">
        <w:rPr>
          <w:rFonts w:ascii="Verdana" w:hAnsi="Verdana" w:cs="Arial"/>
          <w:color w:val="000000" w:themeColor="text1"/>
          <w:sz w:val="16"/>
          <w:szCs w:val="16"/>
          <w:lang w:val="es-ES"/>
        </w:rPr>
        <w:t xml:space="preserve"> y la parte que da el precio </w:t>
      </w:r>
      <w:r w:rsidRPr="0031671B">
        <w:rPr>
          <w:rFonts w:ascii="Verdana" w:hAnsi="Verdana" w:cs="Arial"/>
          <w:b/>
          <w:bCs/>
          <w:color w:val="000000" w:themeColor="text1"/>
          <w:sz w:val="16"/>
          <w:szCs w:val="16"/>
          <w:lang w:val="es-ES"/>
        </w:rPr>
        <w:t>arrendatario</w:t>
      </w:r>
      <w:r w:rsidRPr="0031671B">
        <w:rPr>
          <w:rFonts w:ascii="Verdana" w:hAnsi="Verdana" w:cs="Arial"/>
          <w:color w:val="000000" w:themeColor="text1"/>
          <w:sz w:val="16"/>
          <w:szCs w:val="16"/>
          <w:lang w:val="es-ES"/>
        </w:rPr>
        <w:t xml:space="preserve">. También se conoce con el nombre de </w:t>
      </w:r>
      <w:r w:rsidRPr="0031671B">
        <w:rPr>
          <w:rFonts w:ascii="Verdana" w:hAnsi="Verdana" w:cs="Arial"/>
          <w:b/>
          <w:bCs/>
          <w:color w:val="000000" w:themeColor="text1"/>
          <w:sz w:val="16"/>
          <w:szCs w:val="16"/>
          <w:lang w:val="es-ES"/>
        </w:rPr>
        <w:t>inquilino</w:t>
      </w:r>
      <w:r w:rsidRPr="0031671B">
        <w:rPr>
          <w:rFonts w:ascii="Verdana" w:hAnsi="Verdana" w:cs="Arial"/>
          <w:color w:val="000000" w:themeColor="text1"/>
          <w:sz w:val="16"/>
          <w:szCs w:val="16"/>
          <w:lang w:val="es-ES"/>
        </w:rPr>
        <w:t xml:space="preserve"> cuando se trata de arrendamiento de casas, almacenes u otros edificios, y </w:t>
      </w:r>
      <w:r w:rsidRPr="0031671B">
        <w:rPr>
          <w:rFonts w:ascii="Verdana" w:hAnsi="Verdana" w:cs="Arial"/>
          <w:b/>
          <w:bCs/>
          <w:color w:val="000000" w:themeColor="text1"/>
          <w:sz w:val="16"/>
          <w:szCs w:val="16"/>
          <w:lang w:val="es-ES"/>
        </w:rPr>
        <w:t>colono</w:t>
      </w:r>
      <w:r w:rsidRPr="0031671B">
        <w:rPr>
          <w:rFonts w:ascii="Verdana" w:hAnsi="Verdana" w:cs="Arial"/>
          <w:color w:val="000000" w:themeColor="text1"/>
          <w:sz w:val="16"/>
          <w:szCs w:val="16"/>
          <w:lang w:val="es-ES"/>
        </w:rPr>
        <w:t xml:space="preserve">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p. 569. Énfasis dentro del texto). </w:t>
      </w:r>
    </w:p>
  </w:footnote>
  <w:footnote w:id="10">
    <w:p w:rsidRPr="0031671B" w:rsidR="004D43FE" w:rsidP="004D43FE" w:rsidRDefault="004D43FE" w14:paraId="5B13C6FC" w14:textId="77777777">
      <w:pPr>
        <w:pStyle w:val="Textonotapie"/>
        <w:ind w:firstLine="708"/>
        <w:jc w:val="both"/>
        <w:rPr>
          <w:rFonts w:ascii="Verdana" w:hAnsi="Verdana" w:cs="Arial"/>
          <w:sz w:val="16"/>
          <w:szCs w:val="16"/>
        </w:rPr>
      </w:pPr>
      <w:r w:rsidRPr="0031671B">
        <w:rPr>
          <w:rStyle w:val="Refdenotaalpie"/>
          <w:rFonts w:ascii="Verdana" w:hAnsi="Verdana" w:cs="Arial"/>
          <w:sz w:val="16"/>
          <w:szCs w:val="16"/>
        </w:rPr>
        <w:footnoteRef/>
      </w:r>
      <w:r w:rsidRPr="0031671B">
        <w:rPr>
          <w:rFonts w:ascii="Verdana" w:hAnsi="Verdana" w:cs="Arial"/>
          <w:sz w:val="16"/>
          <w:szCs w:val="16"/>
        </w:rPr>
        <w:t xml:space="preserve"> Lo anterior bajo el régimen del derecho privado, sin perjuicio de que cuando se trata de un contrato estatal deben cumplirse los requisitos de perfeccionamiento establecidos en el artículo 41 de la Ley 80 de 1993.</w:t>
      </w:r>
    </w:p>
  </w:footnote>
  <w:footnote w:id="11">
    <w:p w:rsidRPr="0031671B" w:rsidR="004D43FE" w:rsidP="004D43FE" w:rsidRDefault="004D43FE" w14:paraId="20C58DDC" w14:textId="77777777">
      <w:pPr>
        <w:pStyle w:val="Textonotapie"/>
        <w:ind w:firstLine="709"/>
        <w:jc w:val="both"/>
        <w:rPr>
          <w:rFonts w:ascii="Verdana" w:hAnsi="Verdana" w:cs="Arial"/>
          <w:color w:val="000000" w:themeColor="text1"/>
          <w:sz w:val="16"/>
          <w:szCs w:val="16"/>
        </w:rPr>
      </w:pPr>
      <w:r w:rsidRPr="0031671B">
        <w:rPr>
          <w:rStyle w:val="Refdenotaalpie"/>
          <w:rFonts w:ascii="Verdana" w:hAnsi="Verdana" w:cs="Arial"/>
          <w:color w:val="000000" w:themeColor="text1"/>
          <w:sz w:val="16"/>
          <w:szCs w:val="16"/>
        </w:rPr>
        <w:footnoteRef/>
      </w:r>
      <w:r w:rsidRPr="0031671B">
        <w:rPr>
          <w:rFonts w:ascii="Verdana" w:hAnsi="Verdana" w:cs="Arial"/>
          <w:color w:val="000000" w:themeColor="text1"/>
          <w:sz w:val="16"/>
          <w:szCs w:val="16"/>
        </w:rPr>
        <w:t xml:space="preserve"> </w:t>
      </w:r>
      <w:r w:rsidRPr="0031671B">
        <w:rPr>
          <w:rFonts w:ascii="Verdana" w:hAnsi="Verdana" w:cs="Arial"/>
          <w:i/>
          <w:iCs/>
          <w:color w:val="000000" w:themeColor="text1"/>
          <w:sz w:val="16"/>
          <w:szCs w:val="16"/>
        </w:rPr>
        <w:t>Ibidem</w:t>
      </w:r>
      <w:r w:rsidRPr="0031671B">
        <w:rPr>
          <w:rFonts w:ascii="Verdana" w:hAnsi="Verdana" w:cs="Arial"/>
          <w:color w:val="000000" w:themeColor="text1"/>
          <w:sz w:val="16"/>
          <w:szCs w:val="16"/>
        </w:rPr>
        <w:t>. pp. 569-570.</w:t>
      </w:r>
    </w:p>
  </w:footnote>
  <w:footnote w:id="12">
    <w:p w:rsidRPr="00480D85" w:rsidR="004D43FE" w:rsidP="004D43FE" w:rsidRDefault="004D43FE" w14:paraId="55E0025E" w14:textId="77777777">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Congreso de la República, Gaceta 466 del 2 de agosto de 2005. Exposición de motivos del Proyecto de Ley 19 de 2005 – Senado. </w:t>
      </w:r>
    </w:p>
  </w:footnote>
  <w:footnote w:id="13">
    <w:p w:rsidRPr="00480D85" w:rsidR="004D43FE" w:rsidP="004D43FE" w:rsidRDefault="004D43FE" w14:paraId="0DC7BB00" w14:textId="77777777">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w:history="1" r:id="rId1">
        <w:r w:rsidRPr="00480D85">
          <w:rPr>
            <w:rStyle w:val="Hipervnculo"/>
            <w:rFonts w:ascii="Verdana" w:hAnsi="Verdana" w:cs="Arial"/>
            <w:sz w:val="16"/>
            <w:szCs w:val="16"/>
            <w:lang w:val="es-ES"/>
          </w:rPr>
          <w:t>https://colombiacompra.gov.co/sites/cce_public/files/cce_documents/cce_guia_competencia_0.pdf</w:t>
        </w:r>
      </w:hyperlink>
      <w:r w:rsidRPr="00480D85">
        <w:rPr>
          <w:rFonts w:ascii="Verdana" w:hAnsi="Verdana" w:cs="Arial"/>
          <w:sz w:val="16"/>
          <w:szCs w:val="16"/>
          <w:lang w:val="es-ES"/>
        </w:rPr>
        <w:t xml:space="preserve">. </w:t>
      </w:r>
    </w:p>
  </w:footnote>
  <w:footnote w:id="14">
    <w:p w:rsidRPr="00480D85" w:rsidR="004D43FE" w:rsidP="004D43FE" w:rsidRDefault="004D43FE" w14:paraId="425DA33A" w14:textId="77777777">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lang w:val="pt-BR"/>
        </w:rPr>
        <w:t xml:space="preserve"> Corte Constitucional. </w:t>
      </w:r>
      <w:r w:rsidRPr="00480D85">
        <w:rPr>
          <w:rFonts w:ascii="Verdana" w:hAnsi="Verdana" w:cs="Arial"/>
          <w:sz w:val="16"/>
          <w:szCs w:val="16"/>
          <w:lang w:val="es-CO"/>
        </w:rPr>
        <w:t xml:space="preserve">Sentencia C-713 del 7 de octubre de 2009. </w:t>
      </w:r>
      <w:r w:rsidRPr="00480D85">
        <w:rPr>
          <w:rFonts w:ascii="Verdana" w:hAnsi="Verdana" w:cs="Arial"/>
          <w:sz w:val="16"/>
          <w:szCs w:val="16"/>
        </w:rPr>
        <w:t>M.P. María Victoria Calle Correa.</w:t>
      </w:r>
    </w:p>
  </w:footnote>
  <w:footnote w:id="15">
    <w:p w:rsidRPr="00480D85" w:rsidR="004D43FE" w:rsidP="004D43FE" w:rsidRDefault="004D43FE" w14:paraId="1D4BB2B4" w14:textId="77777777">
      <w:pPr>
        <w:pStyle w:val="Textonotapie"/>
        <w:ind w:firstLine="709"/>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Sección Tercera. Subsección A. Sentencia del 24 de mayo de 2018. Exp. 50.222. C.P. Marta Nubia Velásquez Rico.</w:t>
      </w:r>
    </w:p>
  </w:footnote>
  <w:footnote w:id="16">
    <w:p w:rsidRPr="00480D85" w:rsidR="004D43FE" w:rsidP="004D43FE" w:rsidRDefault="004D43FE" w14:paraId="7C135391" w14:textId="77777777">
      <w:pPr>
        <w:pStyle w:val="Textonotapie"/>
        <w:ind w:firstLine="708"/>
        <w:jc w:val="both"/>
        <w:rPr>
          <w:rFonts w:ascii="Verdana" w:hAnsi="Verdana" w:cs="Arial"/>
          <w:iCs/>
          <w:sz w:val="16"/>
          <w:szCs w:val="16"/>
          <w:lang w:val="es-ES_tradnl"/>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_tradnl"/>
        </w:rPr>
        <w:t xml:space="preserve">En efecto, de acuerdo con el Consejo de Estado: </w:t>
      </w:r>
      <w:r w:rsidRPr="00480D85">
        <w:rPr>
          <w:rFonts w:ascii="Verdana" w:hAnsi="Verdana" w:eastAsia="Times New Roman" w:cs="Arial"/>
          <w:sz w:val="16"/>
          <w:szCs w:val="16"/>
          <w:lang w:val="es-CO" w:eastAsia="es-MX"/>
        </w:rPr>
        <w:t>“</w:t>
      </w:r>
      <w:r w:rsidRPr="00480D85">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480D85">
        <w:rPr>
          <w:rFonts w:ascii="Verdana" w:hAnsi="Verdana" w:eastAsia="Times New Roman" w:cs="Arial"/>
          <w:sz w:val="16"/>
          <w:szCs w:val="16"/>
          <w:lang w:val="es-CO" w:eastAsia="es-MX"/>
        </w:rPr>
        <w:t>”</w:t>
      </w:r>
      <w:r w:rsidRPr="00480D85">
        <w:rPr>
          <w:rFonts w:ascii="Verdana" w:hAnsi="Verdana" w:cs="Arial"/>
          <w:iCs/>
          <w:sz w:val="16"/>
          <w:szCs w:val="16"/>
          <w:lang w:val="es-ES_tradnl"/>
        </w:rPr>
        <w:t>.</w:t>
      </w:r>
      <w:r w:rsidRPr="00480D85">
        <w:rPr>
          <w:rFonts w:ascii="Verdana" w:hAnsi="Verdana" w:cs="Arial"/>
          <w:sz w:val="16"/>
          <w:szCs w:val="16"/>
        </w:rPr>
        <w:t xml:space="preserve"> Consejo de Estado. Sección Tercera. Sentencia del 23 de julio de 2015. Exp. 36.805. C.P. Hernán Andrade Rincón.</w:t>
      </w:r>
    </w:p>
  </w:footnote>
  <w:footnote w:id="17">
    <w:p w:rsidRPr="00480D85" w:rsidR="004D43FE" w:rsidP="004D43FE" w:rsidRDefault="004D43FE" w14:paraId="0C79DA04" w14:textId="77777777">
      <w:pPr>
        <w:pStyle w:val="Textonotapie"/>
        <w:ind w:firstLine="708"/>
        <w:jc w:val="both"/>
        <w:rPr>
          <w:rFonts w:ascii="Verdana" w:hAnsi="Verdana" w:cs="Arial"/>
          <w:sz w:val="16"/>
          <w:szCs w:val="16"/>
          <w:lang w:val="es-CO"/>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Sala de consulta y servicio civil. Sentencia del 20 de febrero de 2006. Exp. 1.727. C.P. Enrique José Arboleda Perdomo.</w:t>
      </w:r>
    </w:p>
  </w:footnote>
  <w:footnote w:id="18">
    <w:p w:rsidRPr="00013ED1" w:rsidR="004D43FE" w:rsidP="004D43FE" w:rsidRDefault="004D43FE" w14:paraId="39AD7424" w14:textId="77777777">
      <w:pPr>
        <w:pStyle w:val="Textonotapie"/>
        <w:ind w:firstLine="708"/>
        <w:jc w:val="both"/>
        <w:rPr>
          <w:rFonts w:ascii="Verdana" w:hAnsi="Verdana"/>
          <w:sz w:val="16"/>
          <w:szCs w:val="16"/>
          <w:lang w:val="es-CO"/>
        </w:rPr>
      </w:pPr>
      <w:r w:rsidRPr="00E73AA2">
        <w:rPr>
          <w:rStyle w:val="Refdenotaalpie"/>
          <w:rFonts w:ascii="Verdana" w:hAnsi="Verdana"/>
          <w:sz w:val="16"/>
          <w:szCs w:val="16"/>
        </w:rPr>
        <w:footnoteRef/>
      </w:r>
      <w:r w:rsidRPr="00E73AA2">
        <w:rPr>
          <w:rFonts w:ascii="Verdana" w:hAnsi="Verdana"/>
          <w:sz w:val="16"/>
          <w:szCs w:val="16"/>
        </w:rPr>
        <w:t xml:space="preserve"> </w:t>
      </w:r>
      <w:r>
        <w:rPr>
          <w:rFonts w:ascii="Verdana" w:hAnsi="Verdana"/>
          <w:sz w:val="16"/>
          <w:szCs w:val="16"/>
        </w:rPr>
        <w:t>PINO RICCI, Jorge. Régimen jurídico de los contratos estatales. Bogotá: Universidad Externado de Colombia, 2005. p. 264.</w:t>
      </w:r>
    </w:p>
  </w:footnote>
  <w:footnote w:id="19">
    <w:p w:rsidRPr="00EA7B5D" w:rsidR="004D43FE" w:rsidP="004D43FE" w:rsidRDefault="004D43FE" w14:paraId="4E4D54C1" w14:textId="77777777">
      <w:pPr>
        <w:pStyle w:val="Textonotapie"/>
        <w:ind w:firstLine="708"/>
        <w:rPr>
          <w:rFonts w:ascii="Verdana" w:hAnsi="Verdana"/>
          <w:sz w:val="16"/>
          <w:szCs w:val="16"/>
          <w:lang w:val="es-CO"/>
        </w:rPr>
      </w:pPr>
      <w:r w:rsidRPr="00EA7B5D">
        <w:rPr>
          <w:rStyle w:val="Refdenotaalpie"/>
          <w:rFonts w:ascii="Verdana" w:hAnsi="Verdana"/>
          <w:sz w:val="16"/>
          <w:szCs w:val="16"/>
        </w:rPr>
        <w:footnoteRef/>
      </w:r>
      <w:r w:rsidRPr="00EA7B5D">
        <w:rPr>
          <w:rFonts w:ascii="Verdana" w:hAnsi="Verdana"/>
          <w:sz w:val="16"/>
          <w:szCs w:val="16"/>
        </w:rPr>
        <w:t xml:space="preserve"> DÁVILA VINUEZA</w:t>
      </w:r>
      <w:r>
        <w:rPr>
          <w:rFonts w:ascii="Verdana" w:hAnsi="Verdana"/>
          <w:sz w:val="16"/>
          <w:szCs w:val="16"/>
        </w:rPr>
        <w:t>, Régimen jurídico… Ob. cit., p. 505.</w:t>
      </w:r>
    </w:p>
  </w:footnote>
  <w:footnote w:id="20">
    <w:p w:rsidRPr="00E67EC9" w:rsidR="004D43FE" w:rsidP="004D43FE" w:rsidRDefault="004D43FE" w14:paraId="07B95B7D" w14:textId="77777777">
      <w:pPr>
        <w:pStyle w:val="Textonotapie"/>
        <w:ind w:firstLine="708"/>
        <w:jc w:val="both"/>
        <w:rPr>
          <w:rFonts w:ascii="Verdana" w:hAnsi="Verdana"/>
          <w:sz w:val="16"/>
          <w:szCs w:val="16"/>
          <w:lang w:val="es-CO"/>
        </w:rPr>
      </w:pPr>
      <w:r w:rsidRPr="00E672E3">
        <w:rPr>
          <w:rStyle w:val="Refdenotaalpie"/>
          <w:rFonts w:ascii="Verdana" w:hAnsi="Verdana"/>
          <w:sz w:val="16"/>
          <w:szCs w:val="16"/>
        </w:rPr>
        <w:footnoteRef/>
      </w:r>
      <w:r w:rsidRPr="00E672E3">
        <w:rPr>
          <w:rFonts w:ascii="Verdana" w:hAnsi="Verdana"/>
          <w:sz w:val="16"/>
          <w:szCs w:val="16"/>
        </w:rPr>
        <w:t xml:space="preserve"> </w:t>
      </w:r>
      <w:r w:rsidRPr="00E672E3">
        <w:rPr>
          <w:rFonts w:ascii="Verdana" w:hAnsi="Verdana"/>
          <w:i/>
          <w:iCs/>
          <w:sz w:val="16"/>
          <w:szCs w:val="16"/>
        </w:rPr>
        <w:t>Ibidem</w:t>
      </w:r>
      <w:r>
        <w:rPr>
          <w:rFonts w:ascii="Verdana" w:hAnsi="Verdana"/>
          <w:sz w:val="16"/>
          <w:szCs w:val="16"/>
        </w:rPr>
        <w:t xml:space="preserve">. </w:t>
      </w:r>
    </w:p>
  </w:footnote>
  <w:footnote w:id="21">
    <w:p w:rsidRPr="00F04E54" w:rsidR="004D43FE" w:rsidP="004D43FE" w:rsidRDefault="004D43FE" w14:paraId="6CF7890C" w14:textId="77777777">
      <w:pPr>
        <w:pStyle w:val="Textonotapie"/>
        <w:ind w:firstLine="708"/>
        <w:jc w:val="both"/>
        <w:rPr>
          <w:rFonts w:ascii="Verdana" w:hAnsi="Verdana"/>
          <w:sz w:val="16"/>
          <w:szCs w:val="16"/>
        </w:rPr>
      </w:pPr>
      <w:r w:rsidRPr="00E672E3">
        <w:rPr>
          <w:rStyle w:val="Refdenotaalpie"/>
          <w:rFonts w:ascii="Verdana" w:hAnsi="Verdana"/>
          <w:sz w:val="16"/>
          <w:szCs w:val="16"/>
        </w:rPr>
        <w:footnoteRef/>
      </w:r>
      <w:r w:rsidRPr="00E672E3">
        <w:rPr>
          <w:rFonts w:ascii="Verdana" w:hAnsi="Verdana"/>
          <w:sz w:val="16"/>
          <w:szCs w:val="16"/>
        </w:rPr>
        <w:t xml:space="preserve"> </w:t>
      </w:r>
      <w:r w:rsidRPr="002B6A8A">
        <w:rPr>
          <w:rFonts w:ascii="Verdana" w:hAnsi="Verdana"/>
          <w:sz w:val="16"/>
          <w:szCs w:val="16"/>
        </w:rPr>
        <w:t>GONZÁLEZ LÓPEZ</w:t>
      </w:r>
      <w:r>
        <w:rPr>
          <w:rFonts w:ascii="Verdana" w:hAnsi="Verdana"/>
          <w:sz w:val="16"/>
          <w:szCs w:val="16"/>
        </w:rPr>
        <w:t xml:space="preserve">, Edgar. </w:t>
      </w:r>
      <w:r w:rsidRPr="00F04E54">
        <w:rPr>
          <w:rFonts w:ascii="Verdana" w:hAnsi="Verdana"/>
          <w:sz w:val="16"/>
          <w:szCs w:val="16"/>
        </w:rPr>
        <w:t>Los contratos</w:t>
      </w:r>
      <w:r>
        <w:rPr>
          <w:rFonts w:ascii="Verdana" w:hAnsi="Verdana"/>
          <w:sz w:val="16"/>
          <w:szCs w:val="16"/>
        </w:rPr>
        <w:t xml:space="preserve"> </w:t>
      </w:r>
      <w:r w:rsidRPr="00F04E54">
        <w:rPr>
          <w:rFonts w:ascii="Verdana" w:hAnsi="Verdana"/>
          <w:sz w:val="16"/>
          <w:szCs w:val="16"/>
        </w:rPr>
        <w:t>estatales.</w:t>
      </w:r>
      <w:r>
        <w:rPr>
          <w:rFonts w:ascii="Verdana" w:hAnsi="Verdana"/>
          <w:sz w:val="16"/>
          <w:szCs w:val="16"/>
        </w:rPr>
        <w:t xml:space="preserve"> </w:t>
      </w:r>
      <w:r w:rsidRPr="00F04E54">
        <w:rPr>
          <w:rFonts w:ascii="Verdana" w:hAnsi="Verdana"/>
          <w:sz w:val="16"/>
          <w:szCs w:val="16"/>
        </w:rPr>
        <w:t>El proceso de</w:t>
      </w:r>
      <w:r>
        <w:rPr>
          <w:rFonts w:ascii="Verdana" w:hAnsi="Verdana"/>
          <w:sz w:val="16"/>
          <w:szCs w:val="16"/>
        </w:rPr>
        <w:t xml:space="preserve"> </w:t>
      </w:r>
      <w:r w:rsidRPr="00F04E54">
        <w:rPr>
          <w:rFonts w:ascii="Verdana" w:hAnsi="Verdana"/>
          <w:sz w:val="16"/>
          <w:szCs w:val="16"/>
        </w:rPr>
        <w:t>selección y la</w:t>
      </w:r>
      <w:r>
        <w:rPr>
          <w:rFonts w:ascii="Verdana" w:hAnsi="Verdana"/>
          <w:sz w:val="16"/>
          <w:szCs w:val="16"/>
        </w:rPr>
        <w:t xml:space="preserve"> </w:t>
      </w:r>
      <w:r w:rsidRPr="00F04E54">
        <w:rPr>
          <w:rFonts w:ascii="Verdana" w:hAnsi="Verdana"/>
          <w:sz w:val="16"/>
          <w:szCs w:val="16"/>
        </w:rPr>
        <w:t>modificación de</w:t>
      </w:r>
      <w:r>
        <w:rPr>
          <w:rFonts w:ascii="Verdana" w:hAnsi="Verdana"/>
          <w:sz w:val="16"/>
          <w:szCs w:val="16"/>
        </w:rPr>
        <w:t xml:space="preserve"> </w:t>
      </w:r>
      <w:r w:rsidRPr="00F04E54">
        <w:rPr>
          <w:rFonts w:ascii="Verdana" w:hAnsi="Verdana"/>
          <w:sz w:val="16"/>
          <w:szCs w:val="16"/>
        </w:rPr>
        <w:t>los contratos</w:t>
      </w:r>
      <w:r>
        <w:rPr>
          <w:rFonts w:ascii="Verdana" w:hAnsi="Verdana"/>
          <w:sz w:val="16"/>
          <w:szCs w:val="16"/>
        </w:rPr>
        <w:t>. Bógotá: Universidad Externado de Colombia – Tirant lo Blanch, 2023.</w:t>
      </w:r>
      <w:r w:rsidRPr="00F04E54">
        <w:rPr>
          <w:rFonts w:ascii="Verdana" w:hAnsi="Verdana"/>
          <w:sz w:val="16"/>
          <w:szCs w:val="16"/>
        </w:rPr>
        <w:t xml:space="preserve"> </w:t>
      </w:r>
      <w:r>
        <w:rPr>
          <w:rFonts w:ascii="Verdana" w:hAnsi="Verdana"/>
          <w:sz w:val="16"/>
          <w:szCs w:val="16"/>
        </w:rPr>
        <w:t>p. 564.</w:t>
      </w:r>
    </w:p>
  </w:footnote>
  <w:footnote w:id="22">
    <w:p w:rsidRPr="003A0333" w:rsidR="004D43FE" w:rsidP="004D43FE" w:rsidRDefault="004D43FE" w14:paraId="6F518BDD" w14:textId="77777777">
      <w:pPr>
        <w:pStyle w:val="Textonotapie"/>
        <w:ind w:firstLine="708"/>
        <w:jc w:val="both"/>
        <w:rPr>
          <w:rFonts w:ascii="Verdana" w:hAnsi="Verdana"/>
          <w:sz w:val="16"/>
          <w:szCs w:val="16"/>
        </w:rPr>
      </w:pPr>
      <w:r w:rsidRPr="003A0333">
        <w:rPr>
          <w:rStyle w:val="Refdenotaalpie"/>
          <w:rFonts w:ascii="Verdana" w:hAnsi="Verdana"/>
          <w:sz w:val="16"/>
          <w:szCs w:val="16"/>
        </w:rPr>
        <w:footnoteRef/>
      </w:r>
      <w:r w:rsidRPr="003A0333">
        <w:rPr>
          <w:rFonts w:ascii="Verdana" w:hAnsi="Verdana"/>
          <w:sz w:val="16"/>
          <w:szCs w:val="16"/>
        </w:rPr>
        <w:t xml:space="preserve"> </w:t>
      </w:r>
      <w:r>
        <w:rPr>
          <w:rFonts w:ascii="Verdana" w:hAnsi="Verdana"/>
          <w:sz w:val="16"/>
          <w:szCs w:val="16"/>
        </w:rPr>
        <w:t xml:space="preserve">RICO PUERTA, Luis Alonso. </w:t>
      </w:r>
      <w:r w:rsidRPr="003A0333">
        <w:rPr>
          <w:rFonts w:ascii="Verdana" w:hAnsi="Verdana"/>
          <w:sz w:val="16"/>
          <w:szCs w:val="16"/>
        </w:rPr>
        <w:t>Teoría general</w:t>
      </w:r>
      <w:r>
        <w:rPr>
          <w:rFonts w:ascii="Verdana" w:hAnsi="Verdana"/>
          <w:sz w:val="16"/>
          <w:szCs w:val="16"/>
        </w:rPr>
        <w:t xml:space="preserve"> </w:t>
      </w:r>
      <w:r w:rsidRPr="003A0333">
        <w:rPr>
          <w:rFonts w:ascii="Verdana" w:hAnsi="Verdana"/>
          <w:sz w:val="16"/>
          <w:szCs w:val="16"/>
        </w:rPr>
        <w:t>y práctica de la</w:t>
      </w:r>
      <w:r>
        <w:rPr>
          <w:rFonts w:ascii="Verdana" w:hAnsi="Verdana"/>
          <w:sz w:val="16"/>
          <w:szCs w:val="16"/>
        </w:rPr>
        <w:t xml:space="preserve"> </w:t>
      </w:r>
      <w:r w:rsidRPr="003A0333">
        <w:rPr>
          <w:rFonts w:ascii="Verdana" w:hAnsi="Verdana"/>
          <w:sz w:val="16"/>
          <w:szCs w:val="16"/>
        </w:rPr>
        <w:t>contratación estatal</w:t>
      </w:r>
      <w:r>
        <w:rPr>
          <w:rFonts w:ascii="Verdana" w:hAnsi="Verdana"/>
          <w:sz w:val="16"/>
          <w:szCs w:val="16"/>
        </w:rPr>
        <w:t xml:space="preserve">. Volumen II. </w:t>
      </w:r>
      <w:r w:rsidRPr="003A0333">
        <w:rPr>
          <w:rFonts w:ascii="Verdana" w:hAnsi="Verdana"/>
          <w:sz w:val="16"/>
          <w:szCs w:val="16"/>
        </w:rPr>
        <w:t>Decimotercera edición</w:t>
      </w:r>
      <w:r>
        <w:rPr>
          <w:rFonts w:ascii="Verdana" w:hAnsi="Verdana"/>
          <w:sz w:val="16"/>
          <w:szCs w:val="16"/>
        </w:rPr>
        <w:t xml:space="preserve">. Bogotá: </w:t>
      </w:r>
      <w:r w:rsidRPr="003A0333">
        <w:rPr>
          <w:rFonts w:ascii="Verdana" w:hAnsi="Verdana"/>
          <w:sz w:val="16"/>
          <w:szCs w:val="16"/>
        </w:rPr>
        <w:t>Grupo Editorial Ibañez</w:t>
      </w:r>
      <w:r>
        <w:rPr>
          <w:rFonts w:ascii="Verdana" w:hAnsi="Verdana"/>
          <w:sz w:val="16"/>
          <w:szCs w:val="16"/>
        </w:rPr>
        <w:t>, 2025. p. 1142.</w:t>
      </w:r>
    </w:p>
  </w:footnote>
  <w:footnote w:id="23">
    <w:p w:rsidR="004D43FE" w:rsidP="004D43FE" w:rsidRDefault="004D43FE" w14:paraId="266F9CE4" w14:textId="77777777">
      <w:pPr>
        <w:pStyle w:val="Textonotapie"/>
        <w:ind w:firstLine="708"/>
        <w:jc w:val="both"/>
        <w:rPr>
          <w:rFonts w:ascii="Verdana" w:hAnsi="Verdana"/>
          <w:sz w:val="16"/>
          <w:szCs w:val="16"/>
        </w:rPr>
      </w:pPr>
      <w:r w:rsidRPr="000A5783">
        <w:rPr>
          <w:rStyle w:val="Refdenotaalpie"/>
          <w:rFonts w:ascii="Verdana" w:hAnsi="Verdana"/>
          <w:sz w:val="16"/>
          <w:szCs w:val="16"/>
        </w:rPr>
        <w:footnoteRef/>
      </w:r>
      <w:r w:rsidRPr="000A5783">
        <w:rPr>
          <w:rFonts w:ascii="Verdana" w:hAnsi="Verdana"/>
          <w:sz w:val="16"/>
          <w:szCs w:val="16"/>
        </w:rPr>
        <w:t xml:space="preserve"> </w:t>
      </w:r>
      <w:r>
        <w:rPr>
          <w:rFonts w:ascii="Verdana" w:hAnsi="Verdana"/>
          <w:sz w:val="16"/>
          <w:szCs w:val="16"/>
        </w:rPr>
        <w:t xml:space="preserve">Por ejemplo, para RODRÍGUEZ TAMAYO “[…] </w:t>
      </w:r>
      <w:r w:rsidRPr="00B73A6D">
        <w:rPr>
          <w:rFonts w:ascii="Verdana" w:hAnsi="Verdana"/>
          <w:sz w:val="16"/>
          <w:szCs w:val="16"/>
        </w:rPr>
        <w:t>resulta inútil la tramitación de convocatorias públicas que hacen algunas entidades estatales, cuando van a entregar en arrendamiento bienes inmuebles de</w:t>
      </w:r>
      <w:r>
        <w:rPr>
          <w:rFonts w:ascii="Verdana" w:hAnsi="Verdana"/>
          <w:sz w:val="16"/>
          <w:szCs w:val="16"/>
        </w:rPr>
        <w:t xml:space="preserve"> </w:t>
      </w:r>
      <w:r w:rsidRPr="00B73A6D">
        <w:rPr>
          <w:rFonts w:ascii="Verdana" w:hAnsi="Verdana"/>
          <w:sz w:val="16"/>
          <w:szCs w:val="16"/>
        </w:rPr>
        <w:t>su propiedad, pues en esos casos, el ordenamiento jurídico no exige tal procedimiento</w:t>
      </w:r>
      <w:r>
        <w:rPr>
          <w:rFonts w:ascii="Verdana" w:hAnsi="Verdana"/>
          <w:sz w:val="16"/>
          <w:szCs w:val="16"/>
        </w:rPr>
        <w:t xml:space="preserve"> </w:t>
      </w:r>
      <w:r w:rsidRPr="00B73A6D">
        <w:rPr>
          <w:rFonts w:ascii="Verdana" w:hAnsi="Verdana"/>
          <w:sz w:val="16"/>
          <w:szCs w:val="16"/>
        </w:rPr>
        <w:t>y, por el contrario, ello se presta para conflictos con los interesados que concurren a dichos llamados. Tanto la ley como el reglamento, dieron flexibilidad a la administración,</w:t>
      </w:r>
      <w:r>
        <w:rPr>
          <w:rFonts w:ascii="Verdana" w:hAnsi="Verdana"/>
          <w:sz w:val="16"/>
          <w:szCs w:val="16"/>
        </w:rPr>
        <w:t xml:space="preserve"> </w:t>
      </w:r>
      <w:r w:rsidRPr="00B73A6D">
        <w:rPr>
          <w:rFonts w:ascii="Verdana" w:hAnsi="Verdana"/>
          <w:sz w:val="16"/>
          <w:szCs w:val="16"/>
        </w:rPr>
        <w:t>ya s</w:t>
      </w:r>
      <w:r>
        <w:rPr>
          <w:rFonts w:ascii="Verdana" w:hAnsi="Verdana"/>
          <w:sz w:val="16"/>
          <w:szCs w:val="16"/>
        </w:rPr>
        <w:t>e</w:t>
      </w:r>
      <w:r w:rsidRPr="00B73A6D">
        <w:rPr>
          <w:rFonts w:ascii="Verdana" w:hAnsi="Verdana"/>
          <w:sz w:val="16"/>
          <w:szCs w:val="16"/>
        </w:rPr>
        <w:t>a para obrar como arrendador o como arrendatario, obviamente, teniendo como</w:t>
      </w:r>
      <w:r>
        <w:rPr>
          <w:rFonts w:ascii="Verdana" w:hAnsi="Verdana"/>
          <w:sz w:val="16"/>
          <w:szCs w:val="16"/>
        </w:rPr>
        <w:t xml:space="preserve"> </w:t>
      </w:r>
      <w:r w:rsidRPr="00B73A6D">
        <w:rPr>
          <w:rFonts w:ascii="Verdana" w:hAnsi="Verdana"/>
          <w:sz w:val="16"/>
          <w:szCs w:val="16"/>
        </w:rPr>
        <w:t>límite los precios del mercado y obrar en sentido contrario, en la práctica, implica regular aspectos no autorizados por la ley</w:t>
      </w:r>
      <w:r>
        <w:rPr>
          <w:rFonts w:ascii="Verdana" w:hAnsi="Verdana"/>
          <w:sz w:val="16"/>
          <w:szCs w:val="16"/>
        </w:rPr>
        <w:t xml:space="preserve">” (RODRÍGUEZ TAMAYO, Mauricio Fernando. </w:t>
      </w:r>
      <w:r w:rsidRPr="005950B7">
        <w:rPr>
          <w:rFonts w:ascii="Verdana" w:hAnsi="Verdana"/>
          <w:sz w:val="16"/>
          <w:szCs w:val="16"/>
        </w:rPr>
        <w:t>Los contratos</w:t>
      </w:r>
      <w:r>
        <w:rPr>
          <w:rFonts w:ascii="Verdana" w:hAnsi="Verdana"/>
          <w:sz w:val="16"/>
          <w:szCs w:val="16"/>
        </w:rPr>
        <w:t xml:space="preserve"> </w:t>
      </w:r>
      <w:r w:rsidRPr="005950B7">
        <w:rPr>
          <w:rFonts w:ascii="Verdana" w:hAnsi="Verdana"/>
          <w:sz w:val="16"/>
          <w:szCs w:val="16"/>
        </w:rPr>
        <w:t>estatales en</w:t>
      </w:r>
      <w:r>
        <w:rPr>
          <w:rFonts w:ascii="Verdana" w:hAnsi="Verdana"/>
          <w:sz w:val="16"/>
          <w:szCs w:val="16"/>
        </w:rPr>
        <w:t xml:space="preserve"> C</w:t>
      </w:r>
      <w:r w:rsidRPr="005950B7">
        <w:rPr>
          <w:rFonts w:ascii="Verdana" w:hAnsi="Verdana"/>
          <w:sz w:val="16"/>
          <w:szCs w:val="16"/>
        </w:rPr>
        <w:t>olombia</w:t>
      </w:r>
      <w:r>
        <w:rPr>
          <w:rFonts w:ascii="Verdana" w:hAnsi="Verdana"/>
          <w:sz w:val="16"/>
          <w:szCs w:val="16"/>
        </w:rPr>
        <w:t>. Bogotá: Tirant lo Blanch, 2022. p. 199).</w:t>
      </w:r>
    </w:p>
    <w:p w:rsidRPr="0086542E" w:rsidR="004D43FE" w:rsidP="004D43FE" w:rsidRDefault="004D43FE" w14:paraId="22E29732" w14:textId="77777777">
      <w:pPr>
        <w:pStyle w:val="Textonotapie"/>
        <w:ind w:firstLine="708"/>
        <w:jc w:val="both"/>
        <w:rPr>
          <w:rFonts w:ascii="Verdana" w:hAnsi="Verdana"/>
          <w:sz w:val="16"/>
          <w:szCs w:val="16"/>
        </w:rPr>
      </w:pPr>
      <w:r>
        <w:rPr>
          <w:rFonts w:ascii="Verdana" w:hAnsi="Verdana"/>
          <w:sz w:val="16"/>
          <w:szCs w:val="16"/>
        </w:rPr>
        <w:t xml:space="preserve">En contraste, para SÁNCHEZ ESTRADA “[…] </w:t>
      </w:r>
      <w:r w:rsidRPr="0086542E">
        <w:rPr>
          <w:rFonts w:ascii="Verdana" w:hAnsi="Verdana"/>
          <w:sz w:val="16"/>
          <w:szCs w:val="16"/>
        </w:rPr>
        <w:t>el legislador desaprovechó la oportunidad de</w:t>
      </w:r>
      <w:r>
        <w:rPr>
          <w:rFonts w:ascii="Verdana" w:hAnsi="Verdana"/>
          <w:sz w:val="16"/>
          <w:szCs w:val="16"/>
        </w:rPr>
        <w:t xml:space="preserve"> </w:t>
      </w:r>
      <w:r w:rsidRPr="0086542E">
        <w:rPr>
          <w:rFonts w:ascii="Verdana" w:hAnsi="Verdana"/>
          <w:sz w:val="16"/>
          <w:szCs w:val="16"/>
        </w:rPr>
        <w:t>corregir el yerro que viene desde los decretos 150 de 1976 y 222 de 1983, de</w:t>
      </w:r>
      <w:r>
        <w:rPr>
          <w:rFonts w:ascii="Verdana" w:hAnsi="Verdana"/>
          <w:sz w:val="16"/>
          <w:szCs w:val="16"/>
        </w:rPr>
        <w:t xml:space="preserve"> </w:t>
      </w:r>
      <w:r w:rsidRPr="0086542E">
        <w:rPr>
          <w:rFonts w:ascii="Verdana" w:hAnsi="Verdana"/>
          <w:sz w:val="16"/>
          <w:szCs w:val="16"/>
        </w:rPr>
        <w:t>habilitar la contratación directa tanto cuando la entidad estatal es arrendataria</w:t>
      </w:r>
      <w:r>
        <w:rPr>
          <w:rFonts w:ascii="Verdana" w:hAnsi="Verdana"/>
          <w:sz w:val="16"/>
          <w:szCs w:val="16"/>
        </w:rPr>
        <w:t xml:space="preserve"> </w:t>
      </w:r>
      <w:r w:rsidRPr="0086542E">
        <w:rPr>
          <w:rFonts w:ascii="Verdana" w:hAnsi="Verdana"/>
          <w:sz w:val="16"/>
          <w:szCs w:val="16"/>
        </w:rPr>
        <w:t>como cuando funge de arrendadora. En efecto, en la primera de las hipótesis</w:t>
      </w:r>
      <w:r>
        <w:rPr>
          <w:rFonts w:ascii="Verdana" w:hAnsi="Verdana"/>
          <w:sz w:val="16"/>
          <w:szCs w:val="16"/>
        </w:rPr>
        <w:t xml:space="preserve"> </w:t>
      </w:r>
      <w:r w:rsidRPr="0086542E">
        <w:rPr>
          <w:rFonts w:ascii="Verdana" w:hAnsi="Verdana"/>
          <w:sz w:val="16"/>
          <w:szCs w:val="16"/>
        </w:rPr>
        <w:t>está justificada la causal, pues cuando un ente estatal busca un inmueble el factor</w:t>
      </w:r>
      <w:r>
        <w:rPr>
          <w:rFonts w:ascii="Verdana" w:hAnsi="Verdana"/>
          <w:sz w:val="16"/>
          <w:szCs w:val="16"/>
        </w:rPr>
        <w:t xml:space="preserve"> </w:t>
      </w:r>
      <w:r w:rsidRPr="0086542E">
        <w:rPr>
          <w:rFonts w:ascii="Verdana" w:hAnsi="Verdana"/>
          <w:sz w:val="16"/>
          <w:szCs w:val="16"/>
        </w:rPr>
        <w:t>menos importante termina siendo el precio. La ubicación, funcionalidad,</w:t>
      </w:r>
      <w:r>
        <w:rPr>
          <w:rFonts w:ascii="Verdana" w:hAnsi="Verdana"/>
          <w:sz w:val="16"/>
          <w:szCs w:val="16"/>
        </w:rPr>
        <w:t xml:space="preserve"> </w:t>
      </w:r>
      <w:r w:rsidRPr="0086542E">
        <w:rPr>
          <w:rFonts w:ascii="Verdana" w:hAnsi="Verdana"/>
          <w:sz w:val="16"/>
          <w:szCs w:val="16"/>
        </w:rPr>
        <w:t>capacidad, etc., son criterios determinantes y muy difíciles de evaluar en un</w:t>
      </w:r>
      <w:r>
        <w:rPr>
          <w:rFonts w:ascii="Verdana" w:hAnsi="Verdana"/>
          <w:sz w:val="16"/>
          <w:szCs w:val="16"/>
        </w:rPr>
        <w:t xml:space="preserve"> </w:t>
      </w:r>
      <w:r w:rsidRPr="0086542E">
        <w:rPr>
          <w:rFonts w:ascii="Verdana" w:hAnsi="Verdana"/>
          <w:sz w:val="16"/>
          <w:szCs w:val="16"/>
        </w:rPr>
        <w:t>trámite licitatorio. No ocurre lo mismo cuando se trata de arrendar bienes de</w:t>
      </w:r>
      <w:r>
        <w:rPr>
          <w:rFonts w:ascii="Verdana" w:hAnsi="Verdana"/>
          <w:sz w:val="16"/>
          <w:szCs w:val="16"/>
        </w:rPr>
        <w:t xml:space="preserve"> </w:t>
      </w:r>
      <w:r w:rsidRPr="0086542E">
        <w:rPr>
          <w:rFonts w:ascii="Verdana" w:hAnsi="Verdana"/>
          <w:sz w:val="16"/>
          <w:szCs w:val="16"/>
        </w:rPr>
        <w:t>propiedad el Estado. En ese caso nada le impide a la administración adelantar</w:t>
      </w:r>
      <w:r>
        <w:rPr>
          <w:rFonts w:ascii="Verdana" w:hAnsi="Verdana"/>
          <w:sz w:val="16"/>
          <w:szCs w:val="16"/>
        </w:rPr>
        <w:t xml:space="preserve"> </w:t>
      </w:r>
      <w:r w:rsidRPr="0086542E">
        <w:rPr>
          <w:rFonts w:ascii="Verdana" w:hAnsi="Verdana"/>
          <w:sz w:val="16"/>
          <w:szCs w:val="16"/>
        </w:rPr>
        <w:t>un proceso de selección en el que escoja a quien, cumpliendo unas exigencias</w:t>
      </w:r>
      <w:r>
        <w:rPr>
          <w:rFonts w:ascii="Verdana" w:hAnsi="Verdana"/>
          <w:sz w:val="16"/>
          <w:szCs w:val="16"/>
        </w:rPr>
        <w:t xml:space="preserve"> </w:t>
      </w:r>
      <w:r w:rsidRPr="0086542E">
        <w:rPr>
          <w:rFonts w:ascii="Verdana" w:hAnsi="Verdana"/>
          <w:sz w:val="16"/>
          <w:szCs w:val="16"/>
        </w:rPr>
        <w:t>mínimas, le ofrezca pagar el mejor canon. De hecho, la aplicación amplia de la</w:t>
      </w:r>
      <w:r>
        <w:rPr>
          <w:rFonts w:ascii="Verdana" w:hAnsi="Verdana"/>
          <w:sz w:val="16"/>
          <w:szCs w:val="16"/>
        </w:rPr>
        <w:t xml:space="preserve"> </w:t>
      </w:r>
      <w:r w:rsidRPr="0086542E">
        <w:rPr>
          <w:rFonts w:ascii="Verdana" w:hAnsi="Verdana"/>
          <w:sz w:val="16"/>
          <w:szCs w:val="16"/>
        </w:rPr>
        <w:t>causal ha propiciado el favoritismo a la hora de arrendar bienes del Estado con</w:t>
      </w:r>
      <w:r>
        <w:rPr>
          <w:rFonts w:ascii="Verdana" w:hAnsi="Verdana"/>
          <w:sz w:val="16"/>
          <w:szCs w:val="16"/>
        </w:rPr>
        <w:t xml:space="preserve"> </w:t>
      </w:r>
      <w:r w:rsidRPr="0086542E">
        <w:rPr>
          <w:rFonts w:ascii="Verdana" w:hAnsi="Verdana"/>
          <w:sz w:val="16"/>
          <w:szCs w:val="16"/>
        </w:rPr>
        <w:t>privilegiada ubicación, no sólo en los entes territoriales.</w:t>
      </w:r>
    </w:p>
    <w:p w:rsidRPr="00B73A6D" w:rsidR="004D43FE" w:rsidP="004D43FE" w:rsidRDefault="004D43FE" w14:paraId="69CF0DC3" w14:textId="77777777">
      <w:pPr>
        <w:pStyle w:val="Textonotapie"/>
        <w:ind w:firstLine="708"/>
        <w:jc w:val="both"/>
        <w:rPr>
          <w:rFonts w:ascii="Verdana" w:hAnsi="Verdana"/>
          <w:sz w:val="16"/>
          <w:szCs w:val="16"/>
        </w:rPr>
      </w:pPr>
      <w:r w:rsidRPr="0086542E">
        <w:rPr>
          <w:rFonts w:ascii="Verdana" w:hAnsi="Verdana"/>
          <w:sz w:val="16"/>
          <w:szCs w:val="16"/>
        </w:rPr>
        <w:t>A manera de ejemplo, recordemos los recientes contratos de arrendamiento</w:t>
      </w:r>
      <w:r>
        <w:rPr>
          <w:rFonts w:ascii="Verdana" w:hAnsi="Verdana"/>
          <w:sz w:val="16"/>
          <w:szCs w:val="16"/>
        </w:rPr>
        <w:t xml:space="preserve"> </w:t>
      </w:r>
      <w:r w:rsidRPr="0086542E">
        <w:rPr>
          <w:rFonts w:ascii="Verdana" w:hAnsi="Verdana"/>
          <w:sz w:val="16"/>
          <w:szCs w:val="16"/>
        </w:rPr>
        <w:t xml:space="preserve">suscritos por el </w:t>
      </w:r>
      <w:r>
        <w:rPr>
          <w:rFonts w:ascii="Verdana" w:hAnsi="Verdana"/>
          <w:sz w:val="16"/>
          <w:szCs w:val="16"/>
        </w:rPr>
        <w:t>I</w:t>
      </w:r>
      <w:r w:rsidRPr="0086542E">
        <w:rPr>
          <w:rFonts w:ascii="Verdana" w:hAnsi="Verdana"/>
          <w:sz w:val="16"/>
          <w:szCs w:val="16"/>
        </w:rPr>
        <w:t>ncoder-Ministerio de Agricultura con los ocupantes ilegales</w:t>
      </w:r>
      <w:r>
        <w:rPr>
          <w:rFonts w:ascii="Verdana" w:hAnsi="Verdana"/>
          <w:sz w:val="16"/>
          <w:szCs w:val="16"/>
        </w:rPr>
        <w:t xml:space="preserve"> </w:t>
      </w:r>
      <w:r w:rsidRPr="0086542E">
        <w:rPr>
          <w:rFonts w:ascii="Verdana" w:hAnsi="Verdana"/>
          <w:sz w:val="16"/>
          <w:szCs w:val="16"/>
        </w:rPr>
        <w:t xml:space="preserve">de las Islas del Rosario, a quienes se les </w:t>
      </w:r>
      <w:r>
        <w:rPr>
          <w:rFonts w:ascii="Verdana" w:hAnsi="Verdana"/>
          <w:sz w:val="16"/>
          <w:szCs w:val="16"/>
        </w:rPr>
        <w:t>‘</w:t>
      </w:r>
      <w:r w:rsidRPr="0086542E">
        <w:rPr>
          <w:rFonts w:ascii="Verdana" w:hAnsi="Verdana"/>
          <w:sz w:val="16"/>
          <w:szCs w:val="16"/>
        </w:rPr>
        <w:t>sancionó</w:t>
      </w:r>
      <w:r>
        <w:rPr>
          <w:rFonts w:ascii="Verdana" w:hAnsi="Verdana"/>
          <w:sz w:val="16"/>
          <w:szCs w:val="16"/>
        </w:rPr>
        <w:t>’</w:t>
      </w:r>
      <w:r w:rsidRPr="0086542E">
        <w:rPr>
          <w:rFonts w:ascii="Verdana" w:hAnsi="Verdana"/>
          <w:sz w:val="16"/>
          <w:szCs w:val="16"/>
        </w:rPr>
        <w:t xml:space="preserve"> su infracción celebrando</w:t>
      </w:r>
      <w:r>
        <w:rPr>
          <w:rFonts w:ascii="Verdana" w:hAnsi="Verdana"/>
          <w:sz w:val="16"/>
          <w:szCs w:val="16"/>
        </w:rPr>
        <w:t xml:space="preserve"> </w:t>
      </w:r>
      <w:r w:rsidRPr="0086542E">
        <w:rPr>
          <w:rFonts w:ascii="Verdana" w:hAnsi="Verdana"/>
          <w:sz w:val="16"/>
          <w:szCs w:val="16"/>
        </w:rPr>
        <w:t>con ellos, de forma directa y a precios risibles, contratos de arrendamiento. Sin</w:t>
      </w:r>
      <w:r>
        <w:rPr>
          <w:rFonts w:ascii="Verdana" w:hAnsi="Verdana"/>
          <w:sz w:val="16"/>
          <w:szCs w:val="16"/>
        </w:rPr>
        <w:t xml:space="preserve"> </w:t>
      </w:r>
      <w:r w:rsidRPr="0086542E">
        <w:rPr>
          <w:rFonts w:ascii="Verdana" w:hAnsi="Verdana"/>
          <w:sz w:val="16"/>
          <w:szCs w:val="16"/>
        </w:rPr>
        <w:t>duda, de haberse efectuado convocatoria pública, el Estado hubiera conseguido</w:t>
      </w:r>
      <w:r>
        <w:rPr>
          <w:rFonts w:ascii="Verdana" w:hAnsi="Verdana"/>
          <w:sz w:val="16"/>
          <w:szCs w:val="16"/>
        </w:rPr>
        <w:t xml:space="preserve"> </w:t>
      </w:r>
      <w:r w:rsidRPr="0086542E">
        <w:rPr>
          <w:rFonts w:ascii="Verdana" w:hAnsi="Verdana"/>
          <w:sz w:val="16"/>
          <w:szCs w:val="16"/>
        </w:rPr>
        <w:t>mejores contratistas. No entendemos cómo para los casos de compra y venta se</w:t>
      </w:r>
      <w:r>
        <w:rPr>
          <w:rFonts w:ascii="Verdana" w:hAnsi="Verdana"/>
          <w:sz w:val="16"/>
          <w:szCs w:val="16"/>
        </w:rPr>
        <w:t xml:space="preserve"> </w:t>
      </w:r>
      <w:r w:rsidRPr="0086542E">
        <w:rPr>
          <w:rFonts w:ascii="Verdana" w:hAnsi="Verdana"/>
          <w:sz w:val="16"/>
          <w:szCs w:val="16"/>
        </w:rPr>
        <w:t>tienen previstos procedimientos distintos y no ocurre lo mismo cuando se toman</w:t>
      </w:r>
      <w:r>
        <w:rPr>
          <w:rFonts w:ascii="Verdana" w:hAnsi="Verdana"/>
          <w:sz w:val="16"/>
          <w:szCs w:val="16"/>
        </w:rPr>
        <w:t xml:space="preserve"> </w:t>
      </w:r>
      <w:r w:rsidRPr="0086542E">
        <w:rPr>
          <w:rFonts w:ascii="Verdana" w:hAnsi="Verdana"/>
          <w:sz w:val="16"/>
          <w:szCs w:val="16"/>
        </w:rPr>
        <w:t>o dan en arriendo inmuebles de propiedad de las entidades del Estado</w:t>
      </w:r>
      <w:r>
        <w:rPr>
          <w:rFonts w:ascii="Verdana" w:hAnsi="Verdana"/>
          <w:sz w:val="16"/>
          <w:szCs w:val="16"/>
        </w:rPr>
        <w:t>” (</w:t>
      </w:r>
      <w:r w:rsidRPr="00F6336E">
        <w:rPr>
          <w:rFonts w:ascii="Verdana" w:hAnsi="Verdana"/>
          <w:sz w:val="16"/>
          <w:szCs w:val="16"/>
        </w:rPr>
        <w:t>ESTRADA SÁNCHEZ, Juan Pablo. Contratación directa, convenios interadministrativos y contratos de cooperación internacional. En: Contratación estatal. Estudios sobre la reforma del Estatuto Contractual Ley 1150 de 2007. Bogotá: Universidad Externado de Colombia, 2009.</w:t>
      </w:r>
      <w:r>
        <w:rPr>
          <w:rFonts w:ascii="Verdana" w:hAnsi="Verdana"/>
          <w:sz w:val="16"/>
          <w:szCs w:val="16"/>
        </w:rPr>
        <w:t xml:space="preserve"> p</w:t>
      </w:r>
      <w:r w:rsidRPr="0086542E">
        <w:rPr>
          <w:rFonts w:ascii="Verdana" w:hAnsi="Verdana"/>
          <w:sz w:val="16"/>
          <w:szCs w:val="16"/>
        </w:rPr>
        <w:t>.</w:t>
      </w:r>
      <w:r>
        <w:rPr>
          <w:rFonts w:ascii="Verdana" w:hAnsi="Verdana"/>
          <w:sz w:val="16"/>
          <w:szCs w:val="16"/>
        </w:rPr>
        <w:t xml:space="preserve"> 315).</w:t>
      </w:r>
    </w:p>
  </w:footnote>
  <w:footnote w:id="24">
    <w:p w:rsidRPr="00F26E5F" w:rsidR="004D43FE" w:rsidP="004D43FE" w:rsidRDefault="004D43FE" w14:paraId="474FDF4F" w14:textId="77777777">
      <w:pPr>
        <w:pStyle w:val="Textonotapie"/>
        <w:ind w:firstLine="708"/>
        <w:jc w:val="both"/>
        <w:rPr>
          <w:rFonts w:ascii="Verdana" w:hAnsi="Verdana"/>
          <w:sz w:val="16"/>
          <w:szCs w:val="16"/>
        </w:rPr>
      </w:pPr>
      <w:r w:rsidRPr="00F26E5F">
        <w:rPr>
          <w:rStyle w:val="Refdenotaalpie"/>
          <w:rFonts w:ascii="Verdana" w:hAnsi="Verdana"/>
          <w:sz w:val="16"/>
          <w:szCs w:val="16"/>
        </w:rPr>
        <w:footnoteRef/>
      </w:r>
      <w:r w:rsidRPr="00F26E5F">
        <w:rPr>
          <w:rFonts w:ascii="Verdana" w:hAnsi="Verdana"/>
          <w:sz w:val="16"/>
          <w:szCs w:val="16"/>
        </w:rPr>
        <w:t xml:space="preserve"> </w:t>
      </w:r>
      <w:r>
        <w:rPr>
          <w:rFonts w:ascii="Verdana" w:hAnsi="Verdana"/>
          <w:sz w:val="16"/>
          <w:szCs w:val="16"/>
        </w:rPr>
        <w:t xml:space="preserve">Para la doctrina, “[…] </w:t>
      </w:r>
      <w:r w:rsidRPr="00F26E5F">
        <w:rPr>
          <w:rFonts w:ascii="Verdana" w:hAnsi="Verdana"/>
          <w:sz w:val="16"/>
          <w:szCs w:val="16"/>
        </w:rPr>
        <w:t>ni el objeto (art. 2.º) ni las funciones (art. 3.º) que</w:t>
      </w:r>
      <w:r>
        <w:rPr>
          <w:rFonts w:ascii="Verdana" w:hAnsi="Verdana"/>
          <w:sz w:val="16"/>
          <w:szCs w:val="16"/>
        </w:rPr>
        <w:t xml:space="preserve"> </w:t>
      </w:r>
      <w:r w:rsidRPr="00F26E5F">
        <w:rPr>
          <w:rFonts w:ascii="Verdana" w:hAnsi="Verdana"/>
          <w:sz w:val="16"/>
          <w:szCs w:val="16"/>
        </w:rPr>
        <w:t>la ley de creación confió a la Agencia (</w:t>
      </w:r>
      <w:r w:rsidRPr="00F26E5F">
        <w:rPr>
          <w:rFonts w:ascii="Verdana" w:hAnsi="Verdana"/>
          <w:sz w:val="16"/>
          <w:szCs w:val="16"/>
        </w:rPr>
        <w:t>Dcto.-Ley 4170/11)</w:t>
      </w:r>
      <w:r>
        <w:rPr>
          <w:rFonts w:ascii="Verdana" w:hAnsi="Verdana"/>
          <w:sz w:val="16"/>
          <w:szCs w:val="16"/>
        </w:rPr>
        <w:t xml:space="preserve"> </w:t>
      </w:r>
      <w:r w:rsidRPr="00F26E5F">
        <w:rPr>
          <w:rFonts w:ascii="Verdana" w:hAnsi="Verdana"/>
          <w:sz w:val="16"/>
          <w:szCs w:val="16"/>
        </w:rPr>
        <w:t>comprenden competencias normativas sobre la contratación.</w:t>
      </w:r>
      <w:r>
        <w:rPr>
          <w:rFonts w:ascii="Verdana" w:hAnsi="Verdana"/>
          <w:sz w:val="16"/>
          <w:szCs w:val="16"/>
        </w:rPr>
        <w:t xml:space="preserve"> </w:t>
      </w:r>
      <w:r w:rsidRPr="00F26E5F">
        <w:rPr>
          <w:rFonts w:ascii="Verdana" w:hAnsi="Verdana"/>
          <w:sz w:val="16"/>
          <w:szCs w:val="16"/>
        </w:rPr>
        <w:t>Aunque el numeral 2.º del artículo 3.º le confiere las funciones</w:t>
      </w:r>
      <w:r>
        <w:rPr>
          <w:rFonts w:ascii="Verdana" w:hAnsi="Verdana"/>
          <w:sz w:val="16"/>
          <w:szCs w:val="16"/>
        </w:rPr>
        <w:t xml:space="preserve"> </w:t>
      </w:r>
      <w:r w:rsidRPr="00F26E5F">
        <w:rPr>
          <w:rFonts w:ascii="Verdana" w:hAnsi="Verdana"/>
          <w:sz w:val="16"/>
          <w:szCs w:val="16"/>
        </w:rPr>
        <w:t xml:space="preserve">de </w:t>
      </w:r>
      <w:r>
        <w:rPr>
          <w:rFonts w:ascii="Verdana" w:hAnsi="Verdana"/>
          <w:sz w:val="16"/>
          <w:szCs w:val="16"/>
        </w:rPr>
        <w:t>‘</w:t>
      </w:r>
      <w:r w:rsidRPr="00F26E5F">
        <w:rPr>
          <w:rFonts w:ascii="Verdana" w:hAnsi="Verdana"/>
          <w:sz w:val="16"/>
          <w:szCs w:val="16"/>
        </w:rPr>
        <w:t>desarrollar, implementar […] normas […] que faciliten</w:t>
      </w:r>
      <w:r>
        <w:rPr>
          <w:rFonts w:ascii="Verdana" w:hAnsi="Verdana"/>
          <w:sz w:val="16"/>
          <w:szCs w:val="16"/>
        </w:rPr>
        <w:t xml:space="preserve"> </w:t>
      </w:r>
      <w:r w:rsidRPr="00F26E5F">
        <w:rPr>
          <w:rFonts w:ascii="Verdana" w:hAnsi="Verdana"/>
          <w:sz w:val="16"/>
          <w:szCs w:val="16"/>
        </w:rPr>
        <w:t>las compras y contratación pública del Estado y promuevan las mejores prácticas</w:t>
      </w:r>
      <w:r>
        <w:rPr>
          <w:rFonts w:ascii="Verdana" w:hAnsi="Verdana"/>
          <w:sz w:val="16"/>
          <w:szCs w:val="16"/>
        </w:rPr>
        <w:t>’</w:t>
      </w:r>
      <w:r w:rsidRPr="00F26E5F">
        <w:rPr>
          <w:rFonts w:ascii="Verdana" w:hAnsi="Verdana"/>
          <w:sz w:val="16"/>
          <w:szCs w:val="16"/>
        </w:rPr>
        <w:t>, ello no puede concebirse como</w:t>
      </w:r>
      <w:r>
        <w:rPr>
          <w:rFonts w:ascii="Verdana" w:hAnsi="Verdana"/>
          <w:sz w:val="16"/>
          <w:szCs w:val="16"/>
        </w:rPr>
        <w:t xml:space="preserve"> </w:t>
      </w:r>
      <w:r w:rsidRPr="00F26E5F">
        <w:rPr>
          <w:rFonts w:ascii="Verdana" w:hAnsi="Verdana"/>
          <w:sz w:val="16"/>
          <w:szCs w:val="16"/>
        </w:rPr>
        <w:t>una competencia específicamente normativa. Su misión de</w:t>
      </w:r>
      <w:r>
        <w:rPr>
          <w:rFonts w:ascii="Verdana" w:hAnsi="Verdana"/>
          <w:sz w:val="16"/>
          <w:szCs w:val="16"/>
        </w:rPr>
        <w:t xml:space="preserve"> </w:t>
      </w:r>
      <w:r w:rsidRPr="00F26E5F">
        <w:rPr>
          <w:rFonts w:ascii="Verdana" w:hAnsi="Verdana"/>
          <w:sz w:val="16"/>
          <w:szCs w:val="16"/>
        </w:rPr>
        <w:t>carácter técnico es promover las mejores condiciones de</w:t>
      </w:r>
      <w:r>
        <w:rPr>
          <w:rFonts w:ascii="Verdana" w:hAnsi="Verdana"/>
          <w:sz w:val="16"/>
          <w:szCs w:val="16"/>
        </w:rPr>
        <w:t xml:space="preserve"> </w:t>
      </w:r>
      <w:r w:rsidRPr="00F26E5F">
        <w:rPr>
          <w:rFonts w:ascii="Verdana" w:hAnsi="Verdana"/>
          <w:sz w:val="16"/>
          <w:szCs w:val="16"/>
        </w:rPr>
        <w:t>contratación, lo que comprende la realización de estudios</w:t>
      </w:r>
      <w:r>
        <w:rPr>
          <w:rFonts w:ascii="Verdana" w:hAnsi="Verdana"/>
          <w:sz w:val="16"/>
          <w:szCs w:val="16"/>
        </w:rPr>
        <w:t xml:space="preserve"> </w:t>
      </w:r>
      <w:r w:rsidRPr="00F26E5F">
        <w:rPr>
          <w:rFonts w:ascii="Verdana" w:hAnsi="Verdana"/>
          <w:sz w:val="16"/>
          <w:szCs w:val="16"/>
        </w:rPr>
        <w:t>y diagnósticos (num. 4.º), la difusión de normas, reglas y</w:t>
      </w:r>
      <w:r>
        <w:rPr>
          <w:rFonts w:ascii="Verdana" w:hAnsi="Verdana"/>
          <w:sz w:val="16"/>
          <w:szCs w:val="16"/>
        </w:rPr>
        <w:t xml:space="preserve"> </w:t>
      </w:r>
      <w:r w:rsidRPr="00F26E5F">
        <w:rPr>
          <w:rFonts w:ascii="Verdana" w:hAnsi="Verdana"/>
          <w:sz w:val="16"/>
          <w:szCs w:val="16"/>
        </w:rPr>
        <w:t>procedimientos (num. 10), el brindar apoyo a entidades</w:t>
      </w:r>
      <w:r>
        <w:rPr>
          <w:rFonts w:ascii="Verdana" w:hAnsi="Verdana"/>
          <w:sz w:val="16"/>
          <w:szCs w:val="16"/>
        </w:rPr>
        <w:t xml:space="preserve"> </w:t>
      </w:r>
      <w:r w:rsidRPr="00F26E5F">
        <w:rPr>
          <w:rFonts w:ascii="Verdana" w:hAnsi="Verdana"/>
          <w:sz w:val="16"/>
          <w:szCs w:val="16"/>
        </w:rPr>
        <w:t>territoriales (num. 11) y la promoción de políticas y normas ante el Gobierno Nacional (num. 1.º). Estas labores de</w:t>
      </w:r>
      <w:r>
        <w:rPr>
          <w:rFonts w:ascii="Verdana" w:hAnsi="Verdana"/>
          <w:sz w:val="16"/>
          <w:szCs w:val="16"/>
        </w:rPr>
        <w:t xml:space="preserve"> </w:t>
      </w:r>
      <w:r w:rsidRPr="00F26E5F">
        <w:rPr>
          <w:rFonts w:ascii="Verdana" w:hAnsi="Verdana"/>
          <w:sz w:val="16"/>
          <w:szCs w:val="16"/>
        </w:rPr>
        <w:t>apoyo, tanto a las entidades contratantes como al Gobierno</w:t>
      </w:r>
      <w:r>
        <w:rPr>
          <w:rFonts w:ascii="Verdana" w:hAnsi="Verdana"/>
          <w:sz w:val="16"/>
          <w:szCs w:val="16"/>
        </w:rPr>
        <w:t xml:space="preserve"> </w:t>
      </w:r>
      <w:r w:rsidRPr="00F26E5F">
        <w:rPr>
          <w:rFonts w:ascii="Verdana" w:hAnsi="Verdana"/>
          <w:sz w:val="16"/>
          <w:szCs w:val="16"/>
        </w:rPr>
        <w:t>Nacional, no comportan una función normativa propia</w:t>
      </w:r>
      <w:r>
        <w:rPr>
          <w:rFonts w:ascii="Verdana" w:hAnsi="Verdana"/>
          <w:sz w:val="16"/>
          <w:szCs w:val="16"/>
        </w:rPr>
        <w:t xml:space="preserve"> […]” (Cfr. BENAVIDES, José Luis</w:t>
      </w:r>
      <w:r w:rsidRPr="00F26E5F">
        <w:rPr>
          <w:rFonts w:ascii="Verdana" w:hAnsi="Verdana"/>
          <w:sz w:val="16"/>
          <w:szCs w:val="16"/>
        </w:rPr>
        <w:t>.</w:t>
      </w:r>
      <w:r>
        <w:rPr>
          <w:rFonts w:ascii="Verdana" w:hAnsi="Verdana"/>
          <w:sz w:val="16"/>
          <w:szCs w:val="16"/>
        </w:rPr>
        <w:t xml:space="preserve">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85pt;height:11.85pt" o:bullet="t" type="#_x0000_t75">
        <v:imagedata o:title="mso1B13" r:id="rId1"/>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5"/>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3876"/>
    <w:rsid w:val="000A0CD3"/>
    <w:rsid w:val="000A683E"/>
    <w:rsid w:val="000B19B9"/>
    <w:rsid w:val="000D0334"/>
    <w:rsid w:val="000D5DA7"/>
    <w:rsid w:val="000F6486"/>
    <w:rsid w:val="00116940"/>
    <w:rsid w:val="00125105"/>
    <w:rsid w:val="00127233"/>
    <w:rsid w:val="0015699B"/>
    <w:rsid w:val="001A33BF"/>
    <w:rsid w:val="001D4DDD"/>
    <w:rsid w:val="001E4177"/>
    <w:rsid w:val="001F0B24"/>
    <w:rsid w:val="001F737B"/>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43FE"/>
    <w:rsid w:val="004F21C4"/>
    <w:rsid w:val="004F685F"/>
    <w:rsid w:val="005029E9"/>
    <w:rsid w:val="005566E8"/>
    <w:rsid w:val="00574867"/>
    <w:rsid w:val="00591460"/>
    <w:rsid w:val="005A65E0"/>
    <w:rsid w:val="005C3777"/>
    <w:rsid w:val="005C5CDC"/>
    <w:rsid w:val="005D476C"/>
    <w:rsid w:val="005D6FC8"/>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43B2"/>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77CF"/>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0ECA"/>
    <w:rsid w:val="00FC2B5D"/>
    <w:rsid w:val="00FC4F86"/>
    <w:rsid w:val="00FF1449"/>
    <w:rsid w:val="00FF7963"/>
    <w:rsid w:val="071B8F93"/>
    <w:rsid w:val="09908A09"/>
    <w:rsid w:val="0FF4CCA8"/>
    <w:rsid w:val="13CFC91B"/>
    <w:rsid w:val="19A2EC2C"/>
    <w:rsid w:val="24F7EABD"/>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4D43F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ventanilladeradicacion@colombiacompra.gov.co"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busqueda/conceptos" TargetMode="External" Id="rId11" /><Relationship Type="http://schemas.openxmlformats.org/officeDocument/2006/relationships/styles" Target="styles.xml" Id="rId5" /><Relationship Type="http://schemas.openxmlformats.org/officeDocument/2006/relationships/hyperlink" Target="https://forms.office.com/r/pPHyWVs2SZ" TargetMode="External" Id="rId15"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pqrsd/informacion-importante-antes-de-formular-una-pqrsd"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D20BA256-9CEA-497D-B850-A63F512D252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Andrea Camila Polo Paz</lastModifiedBy>
  <revision>4</revision>
  <lastPrinted>2023-01-10T21:18:00.0000000Z</lastPrinted>
  <dcterms:created xsi:type="dcterms:W3CDTF">2026-02-12T20:54:00.0000000Z</dcterms:created>
  <dcterms:modified xsi:type="dcterms:W3CDTF">2026-02-16T18:22:55.3250715Z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