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4930D7" w:rsidRDefault="005A79FE" w:rsidP="001E053F">
      <w:pPr>
        <w:spacing w:line="276" w:lineRule="auto"/>
        <w:jc w:val="right"/>
        <w:rPr>
          <w:rFonts w:ascii="Arial" w:eastAsia="Calibri" w:hAnsi="Arial" w:cs="Arial"/>
          <w:b/>
          <w:sz w:val="18"/>
          <w:szCs w:val="18"/>
        </w:rPr>
      </w:pPr>
      <w:r w:rsidRPr="004930D7">
        <w:rPr>
          <w:rFonts w:ascii="Arial" w:hAnsi="Arial" w:cs="Arial"/>
          <w:sz w:val="18"/>
          <w:szCs w:val="18"/>
        </w:rPr>
        <w:t>CCE-DES-FM-17</w:t>
      </w:r>
    </w:p>
    <w:p w14:paraId="06760211" w14:textId="77777777" w:rsidR="00C96108" w:rsidRPr="004930D7" w:rsidRDefault="00C96108" w:rsidP="00C96108">
      <w:pPr>
        <w:jc w:val="both"/>
        <w:rPr>
          <w:rFonts w:ascii="Arial" w:eastAsia="Calibri" w:hAnsi="Arial" w:cs="Arial"/>
          <w:b/>
          <w:bCs/>
          <w:sz w:val="22"/>
        </w:rPr>
      </w:pPr>
    </w:p>
    <w:p w14:paraId="5C377636" w14:textId="3CCB2EE6" w:rsidR="00C96108" w:rsidRPr="004930D7" w:rsidRDefault="00C96108" w:rsidP="00C96108">
      <w:pPr>
        <w:jc w:val="both"/>
        <w:rPr>
          <w:rFonts w:ascii="Arial" w:eastAsia="Calibri" w:hAnsi="Arial" w:cs="Arial"/>
          <w:b/>
          <w:bCs/>
          <w:sz w:val="22"/>
        </w:rPr>
      </w:pPr>
      <w:r w:rsidRPr="004930D7">
        <w:rPr>
          <w:rFonts w:ascii="Arial" w:eastAsia="Calibri" w:hAnsi="Arial" w:cs="Arial"/>
          <w:b/>
          <w:bCs/>
          <w:sz w:val="22"/>
        </w:rPr>
        <w:t xml:space="preserve">DOCUMENTOS TIPO – Matriz 1 – </w:t>
      </w:r>
      <w:r w:rsidR="002922FF" w:rsidRPr="004930D7">
        <w:rPr>
          <w:rFonts w:ascii="Arial" w:eastAsia="Calibri" w:hAnsi="Arial" w:cs="Arial"/>
          <w:b/>
          <w:bCs/>
          <w:sz w:val="22"/>
        </w:rPr>
        <w:t xml:space="preserve">Actividad </w:t>
      </w:r>
      <w:r w:rsidR="002922FF" w:rsidRPr="004930D7">
        <w:rPr>
          <w:rFonts w:ascii="Arial" w:eastAsia="Arial" w:hAnsi="Arial" w:cs="Arial"/>
          <w:b/>
          <w:bCs/>
          <w:sz w:val="22"/>
        </w:rPr>
        <w:t xml:space="preserve">– </w:t>
      </w:r>
      <w:r w:rsidRPr="004930D7">
        <w:rPr>
          <w:rFonts w:ascii="Arial" w:eastAsia="Calibri" w:hAnsi="Arial" w:cs="Arial"/>
          <w:b/>
          <w:bCs/>
          <w:sz w:val="22"/>
        </w:rPr>
        <w:t xml:space="preserve">Experiencia </w:t>
      </w:r>
      <w:r w:rsidRPr="004930D7">
        <w:rPr>
          <w:rFonts w:ascii="Arial" w:eastAsia="Arial" w:hAnsi="Arial" w:cs="Arial"/>
          <w:b/>
          <w:bCs/>
          <w:sz w:val="22"/>
        </w:rPr>
        <w:t xml:space="preserve">– </w:t>
      </w:r>
      <w:r w:rsidR="002922FF" w:rsidRPr="004930D7">
        <w:rPr>
          <w:rFonts w:ascii="Arial" w:eastAsia="Arial" w:hAnsi="Arial" w:cs="Arial"/>
          <w:b/>
          <w:bCs/>
          <w:sz w:val="22"/>
        </w:rPr>
        <w:t>Glosario</w:t>
      </w:r>
    </w:p>
    <w:p w14:paraId="56BED72D" w14:textId="77777777" w:rsidR="00C96108" w:rsidRPr="004930D7" w:rsidRDefault="00C96108" w:rsidP="00C96108">
      <w:pPr>
        <w:jc w:val="both"/>
        <w:rPr>
          <w:rFonts w:ascii="Arial" w:eastAsia="Calibri" w:hAnsi="Arial" w:cs="Arial"/>
          <w:b/>
          <w:sz w:val="20"/>
          <w:szCs w:val="20"/>
        </w:rPr>
      </w:pPr>
    </w:p>
    <w:p w14:paraId="43E0E3C6" w14:textId="5B1026C7" w:rsidR="00C96108" w:rsidRPr="004930D7" w:rsidRDefault="00E25414" w:rsidP="00C96108">
      <w:pPr>
        <w:jc w:val="both"/>
        <w:rPr>
          <w:rFonts w:ascii="Arial" w:eastAsia="Calibri" w:hAnsi="Arial" w:cs="Arial"/>
          <w:sz w:val="20"/>
          <w:szCs w:val="20"/>
        </w:rPr>
      </w:pPr>
      <w:r w:rsidRPr="00E25414">
        <w:rPr>
          <w:rFonts w:ascii="Arial" w:eastAsia="Calibri" w:hAnsi="Arial" w:cs="Arial"/>
          <w:sz w:val="20"/>
          <w:szCs w:val="20"/>
        </w:rPr>
        <w:t>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 Además, debe tener en cuenta los conceptos propios de la ingeniería civil y los definidos del «Anexo 3 – Glosario», con el fin de verificar si el objeto a contratar se encuentra enmarcado en dichas actividades.</w:t>
      </w:r>
    </w:p>
    <w:p w14:paraId="60F2AE5D" w14:textId="77777777" w:rsidR="002922FF" w:rsidRPr="004930D7" w:rsidRDefault="002922FF" w:rsidP="00C96108">
      <w:pPr>
        <w:jc w:val="both"/>
        <w:rPr>
          <w:rFonts w:ascii="Arial" w:eastAsia="Calibri" w:hAnsi="Arial" w:cs="Arial"/>
          <w:sz w:val="20"/>
          <w:szCs w:val="20"/>
          <w:lang w:val="es-CO"/>
        </w:rPr>
      </w:pPr>
    </w:p>
    <w:p w14:paraId="258EF248" w14:textId="77777777" w:rsidR="00C96108" w:rsidRPr="004930D7" w:rsidRDefault="00C96108" w:rsidP="00C96108">
      <w:pPr>
        <w:jc w:val="both"/>
        <w:rPr>
          <w:rFonts w:ascii="Arial" w:eastAsia="Calibri" w:hAnsi="Arial" w:cs="Arial"/>
          <w:b/>
          <w:bCs/>
          <w:sz w:val="22"/>
        </w:rPr>
      </w:pPr>
      <w:r w:rsidRPr="004930D7">
        <w:rPr>
          <w:rFonts w:ascii="Arial" w:eastAsia="Calibri" w:hAnsi="Arial" w:cs="Arial"/>
          <w:b/>
          <w:bCs/>
          <w:sz w:val="22"/>
        </w:rPr>
        <w:t>INALTERABILIDAD – Documentos tipo – Licitación pública – Fundamento</w:t>
      </w:r>
    </w:p>
    <w:p w14:paraId="77F17557" w14:textId="77777777" w:rsidR="00C96108" w:rsidRPr="004930D7" w:rsidRDefault="00C96108" w:rsidP="00C96108">
      <w:pPr>
        <w:jc w:val="both"/>
        <w:rPr>
          <w:rFonts w:ascii="Arial" w:eastAsia="Calibri" w:hAnsi="Arial" w:cs="Arial"/>
          <w:sz w:val="20"/>
          <w:szCs w:val="20"/>
        </w:rPr>
      </w:pPr>
    </w:p>
    <w:p w14:paraId="183B42C7" w14:textId="21894670" w:rsidR="00511F0A" w:rsidRPr="004930D7" w:rsidRDefault="00E25414" w:rsidP="00EE35BD">
      <w:pPr>
        <w:jc w:val="both"/>
        <w:rPr>
          <w:rFonts w:ascii="Arial" w:hAnsi="Arial" w:cs="Arial"/>
          <w:sz w:val="22"/>
        </w:rPr>
      </w:pPr>
      <w:r w:rsidRPr="00E25414">
        <w:rPr>
          <w:rFonts w:ascii="Arial" w:eastAsia="Calibri" w:hAnsi="Arial" w:cs="Arial"/>
          <w:bCs/>
          <w:sz w:val="20"/>
          <w:szCs w:val="20"/>
        </w:rPr>
        <w:t>Para el procedimiento de licitación pública, el artículo 2.2.1.2.6.1.4 del Decreto 1082 de 2015 y el artículo 3 de las resoluciones 240 y 241, ambas del 27 de noviembre de 2020, establecen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00EE35BD" w:rsidRPr="004930D7">
        <w:rPr>
          <w:rFonts w:ascii="Arial" w:eastAsia="Calibri" w:hAnsi="Arial" w:cs="Arial"/>
          <w:bCs/>
          <w:sz w:val="20"/>
          <w:szCs w:val="20"/>
        </w:rPr>
        <w:t>.</w:t>
      </w:r>
    </w:p>
    <w:p w14:paraId="3D5C96D1" w14:textId="77777777" w:rsidR="00B226F6" w:rsidRPr="004930D7" w:rsidRDefault="00B226F6" w:rsidP="00AB1D78">
      <w:pPr>
        <w:rPr>
          <w:rFonts w:ascii="Arial" w:hAnsi="Arial" w:cs="Arial"/>
          <w:sz w:val="22"/>
        </w:rPr>
      </w:pPr>
    </w:p>
    <w:p w14:paraId="02D2E8B9" w14:textId="77777777" w:rsidR="003C1847" w:rsidRPr="004930D7" w:rsidRDefault="003C1847" w:rsidP="003C1847">
      <w:pPr>
        <w:jc w:val="both"/>
        <w:rPr>
          <w:rFonts w:ascii="Arial" w:eastAsia="Calibri" w:hAnsi="Arial" w:cs="Arial"/>
          <w:b/>
          <w:sz w:val="22"/>
        </w:rPr>
      </w:pPr>
      <w:r w:rsidRPr="004930D7">
        <w:rPr>
          <w:rFonts w:ascii="Arial" w:eastAsia="Calibri" w:hAnsi="Arial" w:cs="Arial"/>
          <w:b/>
          <w:sz w:val="22"/>
        </w:rPr>
        <w:t>DOCUMENTOS TIPO – Ponderación oferta económica – TRM</w:t>
      </w:r>
    </w:p>
    <w:p w14:paraId="7036A6F8" w14:textId="77777777" w:rsidR="003C1847" w:rsidRPr="004930D7" w:rsidRDefault="003C1847" w:rsidP="003C1847">
      <w:pPr>
        <w:jc w:val="both"/>
        <w:rPr>
          <w:rFonts w:ascii="Arial" w:hAnsi="Arial" w:cs="Arial"/>
          <w:sz w:val="20"/>
          <w:szCs w:val="20"/>
        </w:rPr>
      </w:pPr>
    </w:p>
    <w:p w14:paraId="7533BFF0" w14:textId="57F455BB" w:rsidR="00E25414" w:rsidRDefault="00E25414" w:rsidP="00E25414">
      <w:pPr>
        <w:jc w:val="both"/>
        <w:rPr>
          <w:rFonts w:ascii="Arial" w:eastAsia="Calibri" w:hAnsi="Arial" w:cs="Arial"/>
          <w:sz w:val="20"/>
          <w:szCs w:val="20"/>
        </w:rPr>
      </w:pPr>
      <w:r w:rsidRPr="00E25414">
        <w:rPr>
          <w:rFonts w:ascii="Arial" w:eastAsia="Calibri" w:hAnsi="Arial" w:cs="Arial"/>
          <w:sz w:val="20"/>
          <w:szCs w:val="20"/>
        </w:rPr>
        <w:t>Además, para saber cuál es la TRM que se tiene en cuenta para determinar el método para la ponderación de las nuevas ofertas económicas, es necesario regirse por lo dispuesto en los documentos tipo. Esto es, que la TRM es la del día hábil siguiente al día en que efectivamente sea la apertura del segundo sobre que contiene las ofertas económicas.</w:t>
      </w:r>
    </w:p>
    <w:p w14:paraId="5389DC92" w14:textId="77777777" w:rsidR="00E25414" w:rsidRPr="00E25414" w:rsidRDefault="00E25414" w:rsidP="00E25414">
      <w:pPr>
        <w:jc w:val="both"/>
        <w:rPr>
          <w:rFonts w:ascii="Arial" w:eastAsia="Calibri" w:hAnsi="Arial" w:cs="Arial"/>
          <w:sz w:val="20"/>
          <w:szCs w:val="20"/>
        </w:rPr>
      </w:pPr>
    </w:p>
    <w:p w14:paraId="31E9CF8B" w14:textId="5D852549" w:rsidR="00F21E26" w:rsidRPr="004930D7" w:rsidRDefault="00E25414" w:rsidP="00E25414">
      <w:pPr>
        <w:jc w:val="both"/>
        <w:rPr>
          <w:rFonts w:ascii="Arial" w:eastAsia="Calibri" w:hAnsi="Arial" w:cs="Arial"/>
          <w:sz w:val="20"/>
          <w:szCs w:val="20"/>
        </w:rPr>
      </w:pPr>
      <w:r w:rsidRPr="00E25414">
        <w:rPr>
          <w:rFonts w:ascii="Arial" w:eastAsia="Calibri" w:hAnsi="Arial" w:cs="Arial"/>
          <w:sz w:val="20"/>
          <w:szCs w:val="20"/>
        </w:rPr>
        <w:t>Por ende, es del caso precisar, respecto de lo señalado sobre el método para la ponderación de la oferta económica, que la entidad no podrá abrir los sobres económicos conociendo la TRM que regirá al día hábil siguiente, toda vez que la apertura debe realizarse antes de las 3:00 pm. Finalmente, que le corresponde a la entidad, de acuerdo con su autonomía para tomar decisiones respecto del proceso de contratación, adelantar las actuaciones que considere necesarias frente a las situaciones particulares que se presenten en su actividad contractual</w:t>
      </w:r>
      <w:r w:rsidR="00F21E26" w:rsidRPr="004930D7">
        <w:rPr>
          <w:rFonts w:ascii="Arial" w:eastAsia="Calibri" w:hAnsi="Arial" w:cs="Arial"/>
          <w:sz w:val="20"/>
          <w:szCs w:val="20"/>
        </w:rPr>
        <w:t xml:space="preserve">. </w:t>
      </w:r>
    </w:p>
    <w:p w14:paraId="21F61B1F" w14:textId="1F56706D" w:rsidR="003C1847" w:rsidRPr="004930D7" w:rsidRDefault="003C1847" w:rsidP="003C1847">
      <w:pPr>
        <w:pStyle w:val="Prrafodelista"/>
        <w:ind w:left="0"/>
        <w:jc w:val="both"/>
        <w:rPr>
          <w:rFonts w:ascii="Arial" w:eastAsia="Calibri" w:hAnsi="Arial" w:cs="Arial"/>
          <w:sz w:val="20"/>
          <w:szCs w:val="20"/>
        </w:rPr>
      </w:pPr>
    </w:p>
    <w:p w14:paraId="3AF8C0AE" w14:textId="77777777" w:rsidR="002922FF" w:rsidRPr="004930D7" w:rsidRDefault="002922FF" w:rsidP="002922FF">
      <w:pPr>
        <w:jc w:val="both"/>
        <w:rPr>
          <w:rFonts w:ascii="Arial" w:eastAsia="Calibri" w:hAnsi="Arial" w:cs="Arial"/>
          <w:b/>
          <w:bCs/>
          <w:sz w:val="22"/>
        </w:rPr>
      </w:pPr>
      <w:r w:rsidRPr="004930D7">
        <w:rPr>
          <w:rFonts w:ascii="Arial" w:eastAsia="Calibri" w:hAnsi="Arial" w:cs="Arial"/>
          <w:b/>
          <w:bCs/>
          <w:sz w:val="22"/>
        </w:rPr>
        <w:t xml:space="preserve">PRECIOS ARTIFICIALMENTE BAJOS </w:t>
      </w:r>
      <w:r w:rsidRPr="004930D7">
        <w:rPr>
          <w:rFonts w:ascii="Arial" w:eastAsia="Calibri" w:hAnsi="Arial" w:cs="Arial"/>
          <w:b/>
          <w:sz w:val="22"/>
        </w:rPr>
        <w:t>–</w:t>
      </w:r>
      <w:r w:rsidRPr="004930D7">
        <w:rPr>
          <w:rFonts w:ascii="Arial" w:eastAsia="Calibri" w:hAnsi="Arial" w:cs="Arial"/>
          <w:b/>
          <w:bCs/>
          <w:sz w:val="22"/>
        </w:rPr>
        <w:t xml:space="preserve"> Noción</w:t>
      </w:r>
    </w:p>
    <w:p w14:paraId="74049512" w14:textId="77777777" w:rsidR="002922FF" w:rsidRPr="004930D7" w:rsidRDefault="002922FF" w:rsidP="002922FF">
      <w:pPr>
        <w:jc w:val="both"/>
        <w:rPr>
          <w:rFonts w:ascii="Arial" w:eastAsia="Calibri" w:hAnsi="Arial" w:cs="Arial"/>
          <w:sz w:val="20"/>
          <w:szCs w:val="20"/>
          <w:lang w:val="es-ES"/>
        </w:rPr>
      </w:pPr>
    </w:p>
    <w:p w14:paraId="73E5EA32" w14:textId="77777777" w:rsidR="00E25414" w:rsidRPr="00E25414" w:rsidRDefault="00E25414" w:rsidP="00E25414">
      <w:pPr>
        <w:jc w:val="both"/>
        <w:rPr>
          <w:rFonts w:ascii="Arial" w:eastAsia="Calibri" w:hAnsi="Arial" w:cs="Arial"/>
          <w:sz w:val="20"/>
          <w:szCs w:val="20"/>
          <w:lang w:val="es-ES"/>
        </w:rPr>
      </w:pPr>
      <w:r w:rsidRPr="00E25414">
        <w:rPr>
          <w:rFonts w:ascii="Arial" w:eastAsia="Calibri" w:hAnsi="Arial" w:cs="Arial"/>
          <w:sz w:val="20"/>
          <w:szCs w:val="20"/>
          <w:lang w:val="es-ES"/>
        </w:rPr>
        <w:t>Es importante definir el concepto de «precio artificialmente bajo»,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56566637" w14:textId="77777777" w:rsidR="00E25414" w:rsidRPr="00E25414" w:rsidRDefault="00E25414" w:rsidP="00E25414">
      <w:pPr>
        <w:jc w:val="both"/>
        <w:rPr>
          <w:rFonts w:ascii="Arial" w:eastAsia="Calibri" w:hAnsi="Arial" w:cs="Arial"/>
          <w:sz w:val="20"/>
          <w:szCs w:val="20"/>
          <w:lang w:val="es-ES"/>
        </w:rPr>
      </w:pPr>
      <w:r w:rsidRPr="00E25414">
        <w:rPr>
          <w:rFonts w:ascii="Arial" w:eastAsia="Calibri" w:hAnsi="Arial" w:cs="Arial"/>
          <w:sz w:val="20"/>
          <w:szCs w:val="20"/>
          <w:lang w:val="es-ES"/>
        </w:rPr>
        <w:tab/>
      </w:r>
    </w:p>
    <w:p w14:paraId="5FCF43C9" w14:textId="2D24AA74" w:rsidR="002922FF" w:rsidRPr="004930D7" w:rsidRDefault="00E25414" w:rsidP="00E25414">
      <w:pPr>
        <w:jc w:val="both"/>
        <w:rPr>
          <w:rFonts w:ascii="Arial" w:eastAsia="Calibri" w:hAnsi="Arial" w:cs="Arial"/>
          <w:sz w:val="20"/>
          <w:szCs w:val="20"/>
          <w:lang w:val="es-ES"/>
        </w:rPr>
      </w:pPr>
      <w:r w:rsidRPr="00E25414">
        <w:rPr>
          <w:rFonts w:ascii="Arial" w:eastAsia="Calibri" w:hAnsi="Arial" w:cs="Arial"/>
          <w:sz w:val="20"/>
          <w:szCs w:val="20"/>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002922FF" w:rsidRPr="004930D7">
        <w:rPr>
          <w:rFonts w:ascii="Arial" w:eastAsia="Calibri" w:hAnsi="Arial" w:cs="Arial"/>
          <w:sz w:val="20"/>
          <w:szCs w:val="20"/>
          <w:lang w:val="es-ES"/>
        </w:rPr>
        <w:t>.</w:t>
      </w:r>
    </w:p>
    <w:p w14:paraId="2D684EE3" w14:textId="77777777" w:rsidR="002922FF" w:rsidRPr="004930D7" w:rsidRDefault="002922FF" w:rsidP="002922FF">
      <w:pPr>
        <w:jc w:val="both"/>
        <w:rPr>
          <w:rFonts w:ascii="Arial" w:eastAsia="Calibri" w:hAnsi="Arial" w:cs="Arial"/>
          <w:sz w:val="20"/>
          <w:szCs w:val="20"/>
          <w:lang w:val="es-ES"/>
        </w:rPr>
      </w:pPr>
    </w:p>
    <w:p w14:paraId="15A71E47" w14:textId="77777777" w:rsidR="002922FF" w:rsidRPr="004930D7" w:rsidRDefault="002922FF" w:rsidP="002922FF">
      <w:pPr>
        <w:jc w:val="both"/>
        <w:rPr>
          <w:rFonts w:ascii="Arial" w:eastAsia="Calibri" w:hAnsi="Arial" w:cs="Arial"/>
          <w:b/>
          <w:sz w:val="22"/>
        </w:rPr>
      </w:pPr>
      <w:r w:rsidRPr="004930D7">
        <w:rPr>
          <w:rFonts w:ascii="Arial" w:eastAsia="Calibri" w:hAnsi="Arial" w:cs="Arial"/>
          <w:b/>
          <w:bCs/>
          <w:sz w:val="22"/>
        </w:rPr>
        <w:lastRenderedPageBreak/>
        <w:t xml:space="preserve">PRECIOS ARTIFICIALMENTE BAJOS </w:t>
      </w:r>
      <w:r w:rsidRPr="004930D7">
        <w:rPr>
          <w:rFonts w:ascii="Arial" w:eastAsia="Calibri" w:hAnsi="Arial" w:cs="Arial"/>
          <w:b/>
          <w:sz w:val="22"/>
        </w:rPr>
        <w:t>–</w:t>
      </w:r>
      <w:r w:rsidRPr="004930D7">
        <w:rPr>
          <w:rFonts w:ascii="Arial" w:eastAsia="Calibri" w:hAnsi="Arial" w:cs="Arial"/>
          <w:b/>
          <w:bCs/>
          <w:sz w:val="22"/>
        </w:rPr>
        <w:t xml:space="preserve"> Noción </w:t>
      </w:r>
      <w:r w:rsidRPr="004930D7">
        <w:rPr>
          <w:rFonts w:ascii="Arial" w:eastAsia="Calibri" w:hAnsi="Arial" w:cs="Arial"/>
          <w:b/>
          <w:sz w:val="22"/>
        </w:rPr>
        <w:t>– Colombia Compra Eficiente</w:t>
      </w:r>
    </w:p>
    <w:p w14:paraId="47414C08" w14:textId="77777777" w:rsidR="002922FF" w:rsidRPr="004930D7" w:rsidRDefault="002922FF" w:rsidP="002922FF">
      <w:pPr>
        <w:jc w:val="both"/>
        <w:rPr>
          <w:rFonts w:ascii="Arial" w:eastAsia="Calibri" w:hAnsi="Arial" w:cs="Arial"/>
          <w:sz w:val="20"/>
          <w:szCs w:val="20"/>
          <w:lang w:val="es-ES"/>
        </w:rPr>
      </w:pPr>
    </w:p>
    <w:p w14:paraId="7241B11B" w14:textId="29621DF6" w:rsidR="00E25414" w:rsidRDefault="00E25414" w:rsidP="00E25414">
      <w:pPr>
        <w:jc w:val="both"/>
        <w:rPr>
          <w:rFonts w:ascii="Arial" w:eastAsia="Calibri" w:hAnsi="Arial" w:cs="Arial"/>
          <w:sz w:val="20"/>
          <w:szCs w:val="20"/>
          <w:lang w:val="es-ES"/>
        </w:rPr>
      </w:pPr>
      <w:r w:rsidRPr="00E25414">
        <w:rPr>
          <w:rFonts w:ascii="Arial" w:eastAsia="Calibri" w:hAnsi="Arial" w:cs="Arial"/>
          <w:sz w:val="20"/>
          <w:szCs w:val="20"/>
          <w:lang w:val="es-ES"/>
        </w:rPr>
        <w:t xml:space="preserve">Con la precisión anterior, la Guía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 […]». </w:t>
      </w:r>
    </w:p>
    <w:p w14:paraId="42BB6017" w14:textId="77777777" w:rsidR="00E25414" w:rsidRPr="00E25414" w:rsidRDefault="00E25414" w:rsidP="00E25414">
      <w:pPr>
        <w:jc w:val="both"/>
        <w:rPr>
          <w:rFonts w:ascii="Arial" w:eastAsia="Calibri" w:hAnsi="Arial" w:cs="Arial"/>
          <w:sz w:val="20"/>
          <w:szCs w:val="20"/>
          <w:lang w:val="es-ES"/>
        </w:rPr>
      </w:pPr>
    </w:p>
    <w:p w14:paraId="5DF41582" w14:textId="75A3AA53" w:rsidR="002922FF" w:rsidRDefault="00E25414" w:rsidP="00E25414">
      <w:pPr>
        <w:jc w:val="both"/>
        <w:rPr>
          <w:rFonts w:ascii="Arial" w:eastAsia="Calibri" w:hAnsi="Arial" w:cs="Arial"/>
          <w:sz w:val="20"/>
          <w:szCs w:val="20"/>
          <w:lang w:val="es-ES"/>
        </w:rPr>
      </w:pPr>
      <w:r w:rsidRPr="00E25414">
        <w:rPr>
          <w:rFonts w:ascii="Arial" w:eastAsia="Calibri" w:hAnsi="Arial" w:cs="Arial"/>
          <w:sz w:val="20"/>
          <w:szCs w:val="20"/>
          <w:lang w:val="es-ES"/>
        </w:rPr>
        <w:t>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w:t>
      </w:r>
    </w:p>
    <w:p w14:paraId="22CA31D5" w14:textId="77777777" w:rsidR="00E25414" w:rsidRPr="004930D7" w:rsidRDefault="00E25414" w:rsidP="00E25414">
      <w:pPr>
        <w:jc w:val="both"/>
        <w:rPr>
          <w:rFonts w:ascii="Arial" w:eastAsia="Calibri" w:hAnsi="Arial" w:cs="Arial"/>
          <w:sz w:val="20"/>
          <w:szCs w:val="20"/>
          <w:lang w:val="es-ES"/>
        </w:rPr>
      </w:pPr>
    </w:p>
    <w:p w14:paraId="77EA0DE4" w14:textId="77777777" w:rsidR="002922FF" w:rsidRPr="004930D7" w:rsidRDefault="002922FF" w:rsidP="002922FF">
      <w:pPr>
        <w:jc w:val="both"/>
        <w:rPr>
          <w:rFonts w:ascii="Arial" w:eastAsia="Calibri" w:hAnsi="Arial" w:cs="Arial"/>
          <w:b/>
          <w:sz w:val="22"/>
        </w:rPr>
      </w:pPr>
      <w:r w:rsidRPr="004930D7">
        <w:rPr>
          <w:rFonts w:ascii="Arial" w:eastAsia="Calibri" w:hAnsi="Arial" w:cs="Arial"/>
          <w:b/>
          <w:bCs/>
          <w:sz w:val="22"/>
        </w:rPr>
        <w:t xml:space="preserve">GUÍA PARA EL MANEJO DE OFERTAS ARTIFICIALMENTE BAJAS </w:t>
      </w:r>
      <w:r w:rsidRPr="004930D7">
        <w:rPr>
          <w:rFonts w:ascii="Arial" w:eastAsia="Calibri" w:hAnsi="Arial" w:cs="Arial"/>
          <w:b/>
          <w:sz w:val="22"/>
        </w:rPr>
        <w:t>– Identificación</w:t>
      </w:r>
    </w:p>
    <w:p w14:paraId="6923D2B8" w14:textId="77777777" w:rsidR="002922FF" w:rsidRPr="004930D7" w:rsidRDefault="002922FF" w:rsidP="002922FF">
      <w:pPr>
        <w:jc w:val="both"/>
        <w:rPr>
          <w:rFonts w:ascii="Arial" w:eastAsia="Calibri" w:hAnsi="Arial" w:cs="Arial"/>
          <w:sz w:val="20"/>
          <w:szCs w:val="20"/>
          <w:lang w:val="es-ES"/>
        </w:rPr>
      </w:pPr>
    </w:p>
    <w:p w14:paraId="2ACAF26A" w14:textId="17A8425F" w:rsidR="002922FF" w:rsidRDefault="00E25414" w:rsidP="002922FF">
      <w:pPr>
        <w:jc w:val="both"/>
        <w:rPr>
          <w:rFonts w:ascii="Arial" w:eastAsia="Calibri" w:hAnsi="Arial" w:cs="Arial"/>
          <w:sz w:val="20"/>
          <w:szCs w:val="20"/>
          <w:lang w:val="es-ES"/>
        </w:rPr>
      </w:pPr>
      <w:r w:rsidRPr="00E25414">
        <w:rPr>
          <w:rFonts w:ascii="Arial" w:eastAsia="Calibri" w:hAnsi="Arial" w:cs="Arial"/>
          <w:sz w:val="20"/>
          <w:szCs w:val="20"/>
          <w:lang w:val="es-ES"/>
        </w:rPr>
        <w:t>Con esta información, la Guía propone dos (2) «herramientas» y una (1) «metodología»,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pueden contener precios artificialmente bajos. Por consiguiente, esta herramienta no se puede aplicar cuando se reciben cinco (5) o más ofertas, y no todas las ofertas deben ser tratadas por posibles «precios artificialmente bajos» sino aquellas con un valor por debajo del 20% o un porcentaje superior, respecto del valor que la entidad definió como precio del bien, obra o servicio.</w:t>
      </w:r>
    </w:p>
    <w:p w14:paraId="2D070497" w14:textId="77777777" w:rsidR="00E25414" w:rsidRPr="004930D7" w:rsidRDefault="00E25414" w:rsidP="002922FF">
      <w:pPr>
        <w:jc w:val="both"/>
        <w:rPr>
          <w:rFonts w:ascii="Arial" w:eastAsia="Calibri" w:hAnsi="Arial" w:cs="Arial"/>
          <w:sz w:val="20"/>
          <w:szCs w:val="20"/>
          <w:lang w:val="es-ES"/>
        </w:rPr>
      </w:pPr>
    </w:p>
    <w:p w14:paraId="46C290EB" w14:textId="47F3D33B" w:rsidR="002922FF" w:rsidRPr="004930D7" w:rsidRDefault="00E25414" w:rsidP="002922FF">
      <w:pPr>
        <w:jc w:val="both"/>
        <w:rPr>
          <w:rFonts w:ascii="Arial" w:eastAsia="Calibri" w:hAnsi="Arial" w:cs="Arial"/>
          <w:sz w:val="20"/>
          <w:szCs w:val="20"/>
          <w:lang w:val="es-ES"/>
        </w:rPr>
      </w:pPr>
      <w:r w:rsidRPr="00E25414">
        <w:rPr>
          <w:rFonts w:ascii="Arial" w:eastAsia="Calibri" w:hAnsi="Arial" w:cs="Arial"/>
          <w:sz w:val="20"/>
          <w:szCs w:val="20"/>
          <w:lang w:val="es-ES"/>
        </w:rPr>
        <w:t xml:space="preserve">La segunda herramienta, denominada comparación relativa, corresponde a la «comparación de cada oferta con las demás presentadas», sin que se indique la cantidad de ofertas que recibió la entidad, por lo cual nada obsta para aplicarla, independientemente del número de ofertas presentadas al procedimiento. </w:t>
      </w:r>
      <w:r w:rsidR="002922FF" w:rsidRPr="004930D7">
        <w:rPr>
          <w:rFonts w:ascii="Arial" w:eastAsia="Calibri" w:hAnsi="Arial" w:cs="Arial"/>
          <w:sz w:val="20"/>
          <w:szCs w:val="20"/>
          <w:lang w:val="es-ES"/>
        </w:rPr>
        <w:t xml:space="preserve">[...] </w:t>
      </w:r>
      <w:r w:rsidRPr="00E25414">
        <w:rPr>
          <w:rFonts w:ascii="Arial" w:eastAsia="Calibri" w:hAnsi="Arial" w:cs="Arial"/>
          <w:sz w:val="20"/>
          <w:szCs w:val="20"/>
          <w:lang w:val="es-ES"/>
        </w:rPr>
        <w:t xml:space="preserve">Por otra parte, Colombia Compra Eficiente ha sugerido aplicar la siguiente metodología con pasos sucesivos, para identificar ofertas que pueden tener «precios artificialmente bajos», en los procedimientos donde hay cinco (5) o más ofertas, </w:t>
      </w:r>
      <w:r w:rsidR="002922FF" w:rsidRPr="004930D7">
        <w:rPr>
          <w:rFonts w:ascii="Arial" w:eastAsia="Calibri" w:hAnsi="Arial" w:cs="Arial"/>
          <w:sz w:val="20"/>
          <w:szCs w:val="20"/>
          <w:lang w:val="es-ES"/>
        </w:rPr>
        <w:t>[...].</w:t>
      </w:r>
    </w:p>
    <w:p w14:paraId="7542CF40" w14:textId="62096958" w:rsidR="003C1847" w:rsidRPr="004930D7" w:rsidRDefault="003C1847" w:rsidP="003C1847">
      <w:pPr>
        <w:pStyle w:val="Prrafodelista"/>
        <w:ind w:left="0"/>
        <w:jc w:val="both"/>
        <w:rPr>
          <w:rFonts w:ascii="Arial" w:eastAsia="Calibri" w:hAnsi="Arial" w:cs="Arial"/>
          <w:sz w:val="20"/>
          <w:szCs w:val="20"/>
        </w:rPr>
      </w:pPr>
    </w:p>
    <w:p w14:paraId="1E1B50D4" w14:textId="77777777" w:rsidR="002922FF" w:rsidRPr="004930D7" w:rsidRDefault="002922FF" w:rsidP="003C1847">
      <w:pPr>
        <w:pStyle w:val="Prrafodelista"/>
        <w:ind w:left="0"/>
        <w:jc w:val="both"/>
        <w:rPr>
          <w:rFonts w:ascii="Arial" w:eastAsia="Calibri" w:hAnsi="Arial" w:cs="Arial"/>
          <w:sz w:val="20"/>
          <w:szCs w:val="20"/>
        </w:rPr>
      </w:pPr>
    </w:p>
    <w:p w14:paraId="21D3B82A" w14:textId="524CDD8D" w:rsidR="003C1847" w:rsidRPr="004930D7" w:rsidRDefault="003C1847" w:rsidP="003C1847">
      <w:pPr>
        <w:pStyle w:val="Prrafodelista"/>
        <w:ind w:left="0"/>
        <w:jc w:val="both"/>
        <w:rPr>
          <w:rFonts w:ascii="Arial" w:eastAsia="Calibri" w:hAnsi="Arial" w:cs="Arial"/>
          <w:sz w:val="20"/>
          <w:szCs w:val="20"/>
        </w:rPr>
      </w:pPr>
    </w:p>
    <w:p w14:paraId="69DC5033" w14:textId="43FD9689" w:rsidR="003C1847" w:rsidRPr="004930D7" w:rsidRDefault="003C1847" w:rsidP="003C1847">
      <w:pPr>
        <w:pStyle w:val="Prrafodelista"/>
        <w:ind w:left="0"/>
        <w:jc w:val="both"/>
        <w:rPr>
          <w:rFonts w:ascii="Arial" w:eastAsia="Calibri" w:hAnsi="Arial" w:cs="Arial"/>
          <w:sz w:val="20"/>
          <w:szCs w:val="20"/>
        </w:rPr>
      </w:pPr>
    </w:p>
    <w:p w14:paraId="7284CFB9" w14:textId="6FFB6130" w:rsidR="003C1847" w:rsidRDefault="003C1847" w:rsidP="003C1847">
      <w:pPr>
        <w:pStyle w:val="Prrafodelista"/>
        <w:ind w:left="0"/>
        <w:jc w:val="both"/>
        <w:rPr>
          <w:rFonts w:ascii="Arial" w:eastAsia="Calibri" w:hAnsi="Arial" w:cs="Arial"/>
          <w:sz w:val="20"/>
          <w:szCs w:val="20"/>
        </w:rPr>
      </w:pPr>
    </w:p>
    <w:p w14:paraId="19CC57B7" w14:textId="4F4DC2E6" w:rsidR="00E25414" w:rsidRDefault="00E25414" w:rsidP="003C1847">
      <w:pPr>
        <w:pStyle w:val="Prrafodelista"/>
        <w:ind w:left="0"/>
        <w:jc w:val="both"/>
        <w:rPr>
          <w:rFonts w:ascii="Arial" w:eastAsia="Calibri" w:hAnsi="Arial" w:cs="Arial"/>
          <w:sz w:val="20"/>
          <w:szCs w:val="20"/>
        </w:rPr>
      </w:pPr>
    </w:p>
    <w:p w14:paraId="753ACCF7" w14:textId="6BD610A5" w:rsidR="00E25414" w:rsidRDefault="00E25414" w:rsidP="003C1847">
      <w:pPr>
        <w:pStyle w:val="Prrafodelista"/>
        <w:ind w:left="0"/>
        <w:jc w:val="both"/>
        <w:rPr>
          <w:rFonts w:ascii="Arial" w:eastAsia="Calibri" w:hAnsi="Arial" w:cs="Arial"/>
          <w:sz w:val="20"/>
          <w:szCs w:val="20"/>
        </w:rPr>
      </w:pPr>
    </w:p>
    <w:p w14:paraId="0E497FF5" w14:textId="34BE90C7" w:rsidR="00E25414" w:rsidRDefault="00E25414" w:rsidP="003C1847">
      <w:pPr>
        <w:pStyle w:val="Prrafodelista"/>
        <w:ind w:left="0"/>
        <w:jc w:val="both"/>
        <w:rPr>
          <w:rFonts w:ascii="Arial" w:eastAsia="Calibri" w:hAnsi="Arial" w:cs="Arial"/>
          <w:sz w:val="20"/>
          <w:szCs w:val="20"/>
        </w:rPr>
      </w:pPr>
    </w:p>
    <w:p w14:paraId="0DC4F3AB" w14:textId="77777777" w:rsidR="00E25414" w:rsidRPr="004930D7" w:rsidRDefault="00E25414" w:rsidP="003C1847">
      <w:pPr>
        <w:pStyle w:val="Prrafodelista"/>
        <w:ind w:left="0"/>
        <w:jc w:val="both"/>
        <w:rPr>
          <w:rFonts w:ascii="Arial" w:eastAsia="Calibri" w:hAnsi="Arial" w:cs="Arial"/>
          <w:sz w:val="20"/>
          <w:szCs w:val="20"/>
        </w:rPr>
      </w:pPr>
    </w:p>
    <w:p w14:paraId="43247BAF" w14:textId="5F1A03FB" w:rsidR="003C1847" w:rsidRPr="004930D7" w:rsidRDefault="003C1847" w:rsidP="003C1847">
      <w:pPr>
        <w:pStyle w:val="Prrafodelista"/>
        <w:ind w:left="0"/>
        <w:jc w:val="both"/>
        <w:rPr>
          <w:rFonts w:ascii="Arial" w:eastAsia="Calibri" w:hAnsi="Arial" w:cs="Arial"/>
          <w:sz w:val="20"/>
          <w:szCs w:val="20"/>
        </w:rPr>
      </w:pPr>
    </w:p>
    <w:p w14:paraId="0417AD93" w14:textId="77777777" w:rsidR="009A69E3" w:rsidRPr="004930D7" w:rsidRDefault="009A69E3" w:rsidP="003C1847">
      <w:pPr>
        <w:pStyle w:val="Prrafodelista"/>
        <w:ind w:left="0"/>
        <w:jc w:val="both"/>
        <w:rPr>
          <w:rFonts w:ascii="Arial" w:eastAsia="Calibri" w:hAnsi="Arial" w:cs="Arial"/>
          <w:sz w:val="20"/>
          <w:szCs w:val="20"/>
        </w:rPr>
      </w:pPr>
    </w:p>
    <w:p w14:paraId="1D60DDD6" w14:textId="77777777" w:rsidR="002922FF" w:rsidRPr="004930D7" w:rsidRDefault="002922FF" w:rsidP="003C1847">
      <w:pPr>
        <w:pStyle w:val="Prrafodelista"/>
        <w:ind w:left="0"/>
        <w:jc w:val="both"/>
        <w:rPr>
          <w:rFonts w:ascii="Arial" w:eastAsia="Calibri" w:hAnsi="Arial" w:cs="Arial"/>
          <w:sz w:val="20"/>
          <w:szCs w:val="20"/>
        </w:rPr>
      </w:pPr>
    </w:p>
    <w:p w14:paraId="52CFF00A" w14:textId="0E388B0C" w:rsidR="003C1847" w:rsidRPr="004930D7" w:rsidRDefault="003C1847" w:rsidP="003C1847">
      <w:pPr>
        <w:pStyle w:val="Prrafodelista"/>
        <w:ind w:left="0"/>
        <w:jc w:val="both"/>
        <w:rPr>
          <w:rFonts w:ascii="Arial" w:eastAsia="Calibri" w:hAnsi="Arial" w:cs="Arial"/>
          <w:sz w:val="20"/>
          <w:szCs w:val="20"/>
        </w:rPr>
      </w:pPr>
    </w:p>
    <w:p w14:paraId="2A3B15EA" w14:textId="37C48195" w:rsidR="003C1847" w:rsidRPr="004930D7" w:rsidRDefault="003C1847" w:rsidP="003C1847">
      <w:pPr>
        <w:pStyle w:val="Prrafodelista"/>
        <w:ind w:left="0"/>
        <w:jc w:val="both"/>
        <w:rPr>
          <w:rFonts w:ascii="Arial" w:eastAsia="Calibri" w:hAnsi="Arial" w:cs="Arial"/>
          <w:sz w:val="20"/>
          <w:szCs w:val="20"/>
        </w:rPr>
      </w:pPr>
    </w:p>
    <w:p w14:paraId="08AC073A" w14:textId="4A9DE43B" w:rsidR="003C1847" w:rsidRPr="004930D7" w:rsidRDefault="003C1847" w:rsidP="003C1847">
      <w:pPr>
        <w:pStyle w:val="Prrafodelista"/>
        <w:ind w:left="0"/>
        <w:jc w:val="both"/>
        <w:rPr>
          <w:rFonts w:ascii="Arial" w:eastAsia="Calibri" w:hAnsi="Arial" w:cs="Arial"/>
          <w:sz w:val="20"/>
          <w:szCs w:val="20"/>
        </w:rPr>
      </w:pPr>
    </w:p>
    <w:p w14:paraId="26499310" w14:textId="6F9B884E" w:rsidR="003C1847" w:rsidRPr="004930D7" w:rsidRDefault="003C1847" w:rsidP="003C1847">
      <w:pPr>
        <w:pStyle w:val="Prrafodelista"/>
        <w:ind w:left="0"/>
        <w:jc w:val="both"/>
        <w:rPr>
          <w:rFonts w:ascii="Arial" w:eastAsia="Calibri" w:hAnsi="Arial" w:cs="Arial"/>
          <w:sz w:val="20"/>
          <w:szCs w:val="20"/>
        </w:rPr>
      </w:pPr>
    </w:p>
    <w:p w14:paraId="3CC8FAB8" w14:textId="05472B5B" w:rsidR="003C1847" w:rsidRPr="004930D7" w:rsidRDefault="003C1847" w:rsidP="003C1847">
      <w:pPr>
        <w:pStyle w:val="Prrafodelista"/>
        <w:ind w:left="0"/>
        <w:jc w:val="both"/>
        <w:rPr>
          <w:rFonts w:ascii="Arial" w:eastAsia="Calibri" w:hAnsi="Arial" w:cs="Arial"/>
          <w:sz w:val="20"/>
          <w:szCs w:val="20"/>
        </w:rPr>
      </w:pPr>
    </w:p>
    <w:p w14:paraId="1656F29D" w14:textId="77777777" w:rsidR="003C1847" w:rsidRPr="004930D7" w:rsidRDefault="003C1847" w:rsidP="003C1847">
      <w:pPr>
        <w:pStyle w:val="Prrafodelista"/>
        <w:ind w:left="0"/>
        <w:jc w:val="both"/>
        <w:rPr>
          <w:rFonts w:ascii="Arial" w:eastAsia="Calibri" w:hAnsi="Arial" w:cs="Arial"/>
          <w:sz w:val="20"/>
          <w:szCs w:val="20"/>
        </w:rPr>
      </w:pPr>
    </w:p>
    <w:p w14:paraId="088D22D9" w14:textId="77777777" w:rsidR="003C1847" w:rsidRPr="004930D7" w:rsidRDefault="003C1847" w:rsidP="003C1847">
      <w:pPr>
        <w:pStyle w:val="Prrafodelista"/>
        <w:ind w:left="0"/>
        <w:jc w:val="both"/>
        <w:rPr>
          <w:rFonts w:ascii="Arial" w:eastAsia="Calibri" w:hAnsi="Arial" w:cs="Arial"/>
          <w:sz w:val="20"/>
          <w:szCs w:val="20"/>
        </w:rPr>
      </w:pPr>
    </w:p>
    <w:p w14:paraId="1904E73E" w14:textId="51A1A6C2" w:rsidR="00352662" w:rsidRPr="004930D7" w:rsidRDefault="00DD46B3" w:rsidP="00352662">
      <w:pPr>
        <w:spacing w:line="276" w:lineRule="auto"/>
        <w:rPr>
          <w:rFonts w:ascii="Arial" w:hAnsi="Arial" w:cs="Arial"/>
          <w:b/>
          <w:sz w:val="22"/>
          <w:szCs w:val="20"/>
          <w:lang w:val="es-CO"/>
        </w:rPr>
      </w:pPr>
      <w:r w:rsidRPr="004930D7">
        <w:rPr>
          <w:rFonts w:ascii="Arial" w:hAnsi="Arial" w:cs="Arial"/>
          <w:sz w:val="22"/>
          <w:szCs w:val="20"/>
        </w:rPr>
        <w:lastRenderedPageBreak/>
        <w:t xml:space="preserve">Bogotá D.C., </w:t>
      </w:r>
      <w:r w:rsidR="006A2FAE">
        <w:rPr>
          <w:rFonts w:ascii="Arial" w:hAnsi="Arial" w:cs="Arial"/>
          <w:b/>
          <w:sz w:val="22"/>
          <w:szCs w:val="20"/>
        </w:rPr>
        <w:t>17/02/2021</w:t>
      </w:r>
    </w:p>
    <w:p w14:paraId="6C27E9D2" w14:textId="708A2FFB" w:rsidR="00352662" w:rsidRPr="004930D7" w:rsidRDefault="00352662" w:rsidP="00352662">
      <w:pPr>
        <w:jc w:val="right"/>
        <w:rPr>
          <w:rFonts w:ascii="Arial" w:hAnsi="Arial" w:cs="Arial"/>
          <w:sz w:val="22"/>
        </w:rPr>
      </w:pPr>
      <w:proofErr w:type="spellStart"/>
      <w:r w:rsidRPr="004930D7">
        <w:rPr>
          <w:rFonts w:ascii="Arial" w:hAnsi="Arial" w:cs="Arial"/>
          <w:b/>
          <w:sz w:val="22"/>
          <w:szCs w:val="20"/>
        </w:rPr>
        <w:t>N°</w:t>
      </w:r>
      <w:proofErr w:type="spellEnd"/>
      <w:r w:rsidRPr="004930D7">
        <w:rPr>
          <w:rFonts w:ascii="Arial" w:hAnsi="Arial" w:cs="Arial"/>
          <w:b/>
          <w:sz w:val="22"/>
          <w:szCs w:val="20"/>
        </w:rPr>
        <w:t xml:space="preserve"> Radicado: </w:t>
      </w:r>
      <w:r w:rsidR="006A2FAE">
        <w:rPr>
          <w:rFonts w:ascii="Arial" w:hAnsi="Arial" w:cs="Arial"/>
          <w:b/>
          <w:sz w:val="22"/>
          <w:szCs w:val="20"/>
        </w:rPr>
        <w:t>RS20210216001061</w:t>
      </w:r>
    </w:p>
    <w:p w14:paraId="6858FE7F" w14:textId="52421540" w:rsidR="00937E03" w:rsidRPr="004930D7" w:rsidRDefault="00937E03" w:rsidP="00352662">
      <w:pPr>
        <w:spacing w:line="276" w:lineRule="auto"/>
        <w:rPr>
          <w:rFonts w:ascii="Arial" w:hAnsi="Arial" w:cs="Arial"/>
          <w:b/>
          <w:sz w:val="22"/>
        </w:rPr>
      </w:pPr>
    </w:p>
    <w:p w14:paraId="2853595C" w14:textId="77777777" w:rsidR="005A79FE" w:rsidRPr="004930D7" w:rsidRDefault="005A79FE" w:rsidP="005A79FE">
      <w:pPr>
        <w:tabs>
          <w:tab w:val="left" w:pos="3374"/>
        </w:tabs>
        <w:rPr>
          <w:rFonts w:ascii="Arial" w:eastAsia="Calibri" w:hAnsi="Arial" w:cs="Arial"/>
          <w:sz w:val="22"/>
        </w:rPr>
      </w:pPr>
      <w:r w:rsidRPr="004930D7">
        <w:rPr>
          <w:rFonts w:ascii="Arial" w:eastAsia="Calibri" w:hAnsi="Arial" w:cs="Arial"/>
          <w:sz w:val="22"/>
        </w:rPr>
        <w:tab/>
      </w:r>
    </w:p>
    <w:p w14:paraId="2097EFDF" w14:textId="63C020B4" w:rsidR="005A79FE" w:rsidRPr="004930D7" w:rsidRDefault="005A79FE" w:rsidP="005A79FE">
      <w:pPr>
        <w:rPr>
          <w:rFonts w:ascii="Arial" w:eastAsia="Calibri" w:hAnsi="Arial" w:cs="Arial"/>
          <w:sz w:val="22"/>
        </w:rPr>
      </w:pPr>
      <w:r w:rsidRPr="004930D7">
        <w:rPr>
          <w:rFonts w:ascii="Arial" w:eastAsia="Calibri" w:hAnsi="Arial" w:cs="Arial"/>
          <w:sz w:val="22"/>
        </w:rPr>
        <w:t>Señor</w:t>
      </w:r>
    </w:p>
    <w:p w14:paraId="0B266ABF" w14:textId="2626EB5B" w:rsidR="00E62DE4" w:rsidRPr="004930D7" w:rsidRDefault="003A0566" w:rsidP="005A79FE">
      <w:pPr>
        <w:rPr>
          <w:rFonts w:ascii="Arial" w:eastAsia="Calibri" w:hAnsi="Arial" w:cs="Arial"/>
          <w:b/>
          <w:sz w:val="22"/>
          <w:lang w:val="es-ES"/>
        </w:rPr>
      </w:pPr>
      <w:r w:rsidRPr="004930D7">
        <w:rPr>
          <w:rFonts w:ascii="Arial" w:eastAsia="Calibri" w:hAnsi="Arial" w:cs="Arial"/>
          <w:b/>
          <w:sz w:val="22"/>
          <w:lang w:val="es-ES"/>
        </w:rPr>
        <w:t>Juan Andrés González</w:t>
      </w:r>
    </w:p>
    <w:p w14:paraId="699E9CB9" w14:textId="0272DA1E" w:rsidR="005A79FE" w:rsidRPr="004930D7" w:rsidRDefault="00DD46B3" w:rsidP="005A79FE">
      <w:pPr>
        <w:rPr>
          <w:rFonts w:ascii="Arial" w:eastAsia="Calibri" w:hAnsi="Arial" w:cs="Arial"/>
          <w:sz w:val="22"/>
        </w:rPr>
      </w:pPr>
      <w:r w:rsidRPr="004930D7">
        <w:rPr>
          <w:rFonts w:ascii="Arial" w:eastAsia="Calibri" w:hAnsi="Arial" w:cs="Arial"/>
          <w:sz w:val="22"/>
        </w:rPr>
        <w:t>Bogotá D.C.</w:t>
      </w:r>
    </w:p>
    <w:p w14:paraId="2111D15F" w14:textId="6FC8A947" w:rsidR="00937E03" w:rsidRPr="004930D7" w:rsidRDefault="00937E03" w:rsidP="00937E03">
      <w:pPr>
        <w:rPr>
          <w:rFonts w:ascii="Arial" w:eastAsia="Calibri" w:hAnsi="Arial" w:cs="Arial"/>
          <w:sz w:val="22"/>
        </w:rPr>
      </w:pPr>
      <w:r w:rsidRPr="004930D7">
        <w:rPr>
          <w:rFonts w:ascii="Arial" w:eastAsia="Calibri" w:hAnsi="Arial" w:cs="Arial"/>
          <w:sz w:val="22"/>
        </w:rPr>
        <w:t xml:space="preserve">                                            </w:t>
      </w:r>
    </w:p>
    <w:p w14:paraId="056891EA" w14:textId="77777777" w:rsidR="00937E03" w:rsidRPr="004930D7" w:rsidRDefault="00937E03">
      <w:pPr>
        <w:rPr>
          <w:rFonts w:ascii="Arial" w:eastAsia="Calibri" w:hAnsi="Arial" w:cs="Arial"/>
          <w:sz w:val="22"/>
        </w:rPr>
      </w:pPr>
    </w:p>
    <w:p w14:paraId="04EF5647" w14:textId="77622BAC" w:rsidR="005A79FE" w:rsidRPr="004930D7" w:rsidRDefault="00937E03" w:rsidP="001E053F">
      <w:pPr>
        <w:rPr>
          <w:rFonts w:ascii="Arial" w:eastAsia="Calibri" w:hAnsi="Arial" w:cs="Arial"/>
          <w:b/>
          <w:sz w:val="22"/>
        </w:rPr>
      </w:pPr>
      <w:r w:rsidRPr="004930D7">
        <w:rPr>
          <w:rFonts w:ascii="Arial" w:eastAsia="Calibri" w:hAnsi="Arial" w:cs="Arial"/>
          <w:b/>
          <w:sz w:val="22"/>
        </w:rPr>
        <w:t xml:space="preserve">                                            </w:t>
      </w:r>
      <w:r w:rsidR="005A79FE" w:rsidRPr="004930D7">
        <w:rPr>
          <w:rFonts w:ascii="Arial" w:eastAsia="Calibri" w:hAnsi="Arial" w:cs="Arial"/>
          <w:b/>
          <w:sz w:val="22"/>
        </w:rPr>
        <w:t xml:space="preserve">Concepto C </w:t>
      </w:r>
      <w:r w:rsidRPr="004930D7">
        <w:rPr>
          <w:rFonts w:ascii="Arial" w:eastAsia="Calibri" w:hAnsi="Arial" w:cs="Arial"/>
          <w:b/>
          <w:sz w:val="22"/>
        </w:rPr>
        <w:t>–</w:t>
      </w:r>
      <w:r w:rsidR="005A79FE" w:rsidRPr="004930D7">
        <w:rPr>
          <w:rFonts w:ascii="Arial" w:eastAsia="Calibri" w:hAnsi="Arial" w:cs="Arial"/>
          <w:b/>
          <w:sz w:val="22"/>
        </w:rPr>
        <w:t xml:space="preserve"> </w:t>
      </w:r>
      <w:r w:rsidR="003A0566" w:rsidRPr="004930D7">
        <w:rPr>
          <w:rFonts w:ascii="Arial" w:eastAsia="Calibri" w:hAnsi="Arial" w:cs="Arial"/>
          <w:b/>
          <w:sz w:val="22"/>
        </w:rPr>
        <w:t>011</w:t>
      </w:r>
      <w:r w:rsidR="005A79FE" w:rsidRPr="004930D7">
        <w:rPr>
          <w:rFonts w:ascii="Arial" w:eastAsia="Calibri" w:hAnsi="Arial" w:cs="Arial"/>
          <w:b/>
          <w:sz w:val="22"/>
        </w:rPr>
        <w:t xml:space="preserve"> de 2020</w:t>
      </w:r>
    </w:p>
    <w:p w14:paraId="6CCD98F0" w14:textId="77777777" w:rsidR="005A79FE" w:rsidRPr="004930D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4A28" w:rsidRPr="004930D7" w14:paraId="21699201" w14:textId="77777777" w:rsidTr="00897943">
        <w:tc>
          <w:tcPr>
            <w:tcW w:w="2689" w:type="dxa"/>
            <w:hideMark/>
          </w:tcPr>
          <w:p w14:paraId="26712367" w14:textId="77777777" w:rsidR="005A79FE" w:rsidRPr="004930D7" w:rsidRDefault="005A79FE" w:rsidP="00897943">
            <w:pPr>
              <w:rPr>
                <w:rFonts w:ascii="Arial" w:eastAsia="Calibri" w:hAnsi="Arial" w:cs="Arial"/>
                <w:sz w:val="22"/>
              </w:rPr>
            </w:pPr>
            <w:r w:rsidRPr="004930D7">
              <w:rPr>
                <w:rFonts w:ascii="Arial" w:eastAsia="Calibri" w:hAnsi="Arial" w:cs="Arial"/>
                <w:b/>
                <w:sz w:val="22"/>
              </w:rPr>
              <w:t>Temas:</w:t>
            </w:r>
            <w:r w:rsidRPr="004930D7">
              <w:rPr>
                <w:rFonts w:ascii="Arial" w:eastAsia="Calibri" w:hAnsi="Arial" w:cs="Arial"/>
                <w:sz w:val="22"/>
              </w:rPr>
              <w:t xml:space="preserve">           </w:t>
            </w:r>
          </w:p>
          <w:p w14:paraId="5D67F5C4" w14:textId="77777777" w:rsidR="005A79FE" w:rsidRPr="004930D7" w:rsidRDefault="005A79FE" w:rsidP="00897943">
            <w:pPr>
              <w:rPr>
                <w:rFonts w:ascii="Arial" w:eastAsia="Calibri" w:hAnsi="Arial" w:cs="Arial"/>
                <w:sz w:val="22"/>
              </w:rPr>
            </w:pPr>
            <w:r w:rsidRPr="004930D7">
              <w:rPr>
                <w:rFonts w:ascii="Arial" w:eastAsia="Calibri" w:hAnsi="Arial" w:cs="Arial"/>
                <w:sz w:val="22"/>
              </w:rPr>
              <w:t xml:space="preserve">                           </w:t>
            </w:r>
          </w:p>
        </w:tc>
        <w:tc>
          <w:tcPr>
            <w:tcW w:w="6237" w:type="dxa"/>
            <w:hideMark/>
          </w:tcPr>
          <w:p w14:paraId="784C47C0" w14:textId="74E3D926" w:rsidR="005A79FE" w:rsidRPr="004930D7" w:rsidRDefault="002922FF" w:rsidP="00DD46B3">
            <w:pPr>
              <w:jc w:val="both"/>
              <w:rPr>
                <w:rFonts w:ascii="Arial" w:eastAsia="Calibri" w:hAnsi="Arial" w:cs="Arial"/>
                <w:sz w:val="22"/>
              </w:rPr>
            </w:pPr>
            <w:r w:rsidRPr="004930D7">
              <w:rPr>
                <w:rFonts w:ascii="Arial" w:hAnsi="Arial" w:cs="Arial"/>
                <w:sz w:val="22"/>
                <w:lang w:val="es-CO"/>
              </w:rPr>
              <w:t xml:space="preserve">DOCUMENTOS TIPO – Matriz 1 – Actividad – Experiencia – Glosario </w:t>
            </w:r>
            <w:r w:rsidR="00C96108" w:rsidRPr="004930D7">
              <w:rPr>
                <w:rFonts w:ascii="Arial" w:hAnsi="Arial" w:cs="Arial"/>
                <w:sz w:val="22"/>
                <w:lang w:val="es-CO"/>
              </w:rPr>
              <w:t xml:space="preserve">/ INALTERABILIDAD – Documentos tipo – Licitación pública – Fundamento </w:t>
            </w:r>
            <w:r w:rsidR="003C1847" w:rsidRPr="004930D7">
              <w:rPr>
                <w:rFonts w:ascii="Arial" w:hAnsi="Arial" w:cs="Arial"/>
                <w:sz w:val="22"/>
                <w:lang w:val="es-CO"/>
              </w:rPr>
              <w:t>/ DOCUMENTOS TIPO – Ponderación oferta económica – TRM</w:t>
            </w:r>
            <w:r w:rsidRPr="004930D7">
              <w:rPr>
                <w:rFonts w:ascii="Arial" w:hAnsi="Arial" w:cs="Arial"/>
                <w:sz w:val="22"/>
                <w:lang w:val="es-CO"/>
              </w:rPr>
              <w:t xml:space="preserve"> / PRECIOS ARTIFICIALMENTE BAJOS – Noción / PRECIOS ARTIFICIALMENTE BAJOS – Noción – Colombia Compra Eficiente / GUÍA PARA EL MANEJO DE OFERTAS ARTIFICIALMENTE BAJAS – Identificación</w:t>
            </w:r>
          </w:p>
        </w:tc>
      </w:tr>
      <w:tr w:rsidR="00A945C1" w:rsidRPr="004930D7" w14:paraId="7C0A7D18" w14:textId="77777777" w:rsidTr="00897943">
        <w:tc>
          <w:tcPr>
            <w:tcW w:w="2689" w:type="dxa"/>
          </w:tcPr>
          <w:p w14:paraId="6A12F093" w14:textId="77777777" w:rsidR="005A79FE" w:rsidRPr="004930D7" w:rsidRDefault="005A79FE" w:rsidP="00897943">
            <w:pPr>
              <w:rPr>
                <w:rFonts w:ascii="Arial" w:eastAsia="Calibri" w:hAnsi="Arial" w:cs="Arial"/>
                <w:b/>
                <w:sz w:val="22"/>
              </w:rPr>
            </w:pPr>
            <w:r w:rsidRPr="004930D7">
              <w:rPr>
                <w:rFonts w:ascii="Arial" w:eastAsia="Calibri" w:hAnsi="Arial" w:cs="Arial"/>
                <w:b/>
                <w:sz w:val="22"/>
              </w:rPr>
              <w:t>Radicación:</w:t>
            </w:r>
            <w:r w:rsidRPr="004930D7">
              <w:rPr>
                <w:rFonts w:ascii="Arial" w:eastAsia="Calibri" w:hAnsi="Arial" w:cs="Arial"/>
                <w:sz w:val="22"/>
              </w:rPr>
              <w:t xml:space="preserve">                              </w:t>
            </w:r>
          </w:p>
        </w:tc>
        <w:tc>
          <w:tcPr>
            <w:tcW w:w="6237" w:type="dxa"/>
          </w:tcPr>
          <w:p w14:paraId="73A42ACA" w14:textId="7E555768" w:rsidR="005A79FE" w:rsidRPr="004930D7" w:rsidRDefault="005A79FE" w:rsidP="00897943">
            <w:pPr>
              <w:jc w:val="both"/>
              <w:rPr>
                <w:rFonts w:ascii="Arial" w:eastAsia="Calibri" w:hAnsi="Arial" w:cs="Arial"/>
                <w:sz w:val="22"/>
              </w:rPr>
            </w:pPr>
            <w:r w:rsidRPr="004930D7">
              <w:rPr>
                <w:rFonts w:ascii="Arial" w:eastAsia="Calibri" w:hAnsi="Arial" w:cs="Arial"/>
                <w:sz w:val="22"/>
              </w:rPr>
              <w:t xml:space="preserve">Respuesta a consulta # </w:t>
            </w:r>
            <w:r w:rsidR="003A0566" w:rsidRPr="004930D7">
              <w:rPr>
                <w:rFonts w:ascii="Arial" w:eastAsia="Calibri" w:hAnsi="Arial" w:cs="Arial"/>
                <w:sz w:val="22"/>
              </w:rPr>
              <w:t>P20210105000056</w:t>
            </w:r>
          </w:p>
        </w:tc>
      </w:tr>
    </w:tbl>
    <w:p w14:paraId="396DE958" w14:textId="77777777" w:rsidR="005A79FE" w:rsidRPr="004930D7" w:rsidRDefault="005A79FE" w:rsidP="005A79FE">
      <w:pPr>
        <w:jc w:val="both"/>
        <w:rPr>
          <w:rFonts w:ascii="Arial" w:eastAsia="Calibri" w:hAnsi="Arial" w:cs="Arial"/>
          <w:sz w:val="22"/>
        </w:rPr>
      </w:pPr>
    </w:p>
    <w:p w14:paraId="489DB6E6" w14:textId="77777777" w:rsidR="005A79FE" w:rsidRPr="004930D7" w:rsidRDefault="005A79FE" w:rsidP="005A79FE">
      <w:pPr>
        <w:rPr>
          <w:rFonts w:ascii="Arial" w:eastAsia="Calibri" w:hAnsi="Arial" w:cs="Arial"/>
          <w:sz w:val="22"/>
        </w:rPr>
      </w:pPr>
    </w:p>
    <w:p w14:paraId="657E7EE7" w14:textId="7361BBAB" w:rsidR="005A79FE" w:rsidRPr="004930D7" w:rsidRDefault="005A79FE" w:rsidP="005A79FE">
      <w:pPr>
        <w:rPr>
          <w:rFonts w:ascii="Arial" w:eastAsia="Calibri" w:hAnsi="Arial" w:cs="Arial"/>
          <w:sz w:val="22"/>
        </w:rPr>
      </w:pPr>
      <w:r w:rsidRPr="004930D7">
        <w:rPr>
          <w:rFonts w:ascii="Arial" w:eastAsia="Calibri" w:hAnsi="Arial" w:cs="Arial"/>
          <w:sz w:val="22"/>
        </w:rPr>
        <w:t>Estimado seño</w:t>
      </w:r>
      <w:r w:rsidR="00E62DE4" w:rsidRPr="004930D7">
        <w:rPr>
          <w:rFonts w:ascii="Arial" w:eastAsia="Calibri" w:hAnsi="Arial" w:cs="Arial"/>
          <w:sz w:val="22"/>
        </w:rPr>
        <w:t>r</w:t>
      </w:r>
      <w:r w:rsidR="003A0566" w:rsidRPr="004930D7">
        <w:rPr>
          <w:rFonts w:ascii="Arial" w:eastAsia="Calibri" w:hAnsi="Arial" w:cs="Arial"/>
          <w:sz w:val="22"/>
        </w:rPr>
        <w:t xml:space="preserve"> González</w:t>
      </w:r>
      <w:r w:rsidRPr="004930D7">
        <w:rPr>
          <w:rFonts w:ascii="Arial" w:eastAsia="Calibri" w:hAnsi="Arial" w:cs="Arial"/>
          <w:sz w:val="22"/>
        </w:rPr>
        <w:t>,</w:t>
      </w:r>
    </w:p>
    <w:p w14:paraId="40D74C98" w14:textId="77777777" w:rsidR="005A79FE" w:rsidRPr="004930D7" w:rsidRDefault="005A79FE" w:rsidP="005A79FE">
      <w:pPr>
        <w:rPr>
          <w:rFonts w:ascii="Arial" w:eastAsia="Calibri" w:hAnsi="Arial" w:cs="Arial"/>
          <w:sz w:val="22"/>
        </w:rPr>
      </w:pPr>
    </w:p>
    <w:p w14:paraId="1412627B" w14:textId="5AE7C743" w:rsidR="001D20CD" w:rsidRPr="004930D7" w:rsidRDefault="001D20CD" w:rsidP="009A69E3">
      <w:pPr>
        <w:spacing w:line="276" w:lineRule="auto"/>
        <w:jc w:val="both"/>
        <w:rPr>
          <w:rFonts w:ascii="Arial" w:eastAsia="Calibri" w:hAnsi="Arial" w:cs="Arial"/>
          <w:sz w:val="22"/>
        </w:rPr>
      </w:pPr>
      <w:r w:rsidRPr="004930D7">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3A0566" w:rsidRPr="004930D7">
        <w:rPr>
          <w:rFonts w:ascii="Arial" w:eastAsia="Calibri" w:hAnsi="Arial" w:cs="Arial"/>
          <w:sz w:val="22"/>
        </w:rPr>
        <w:t>5</w:t>
      </w:r>
      <w:r w:rsidRPr="004930D7">
        <w:rPr>
          <w:rFonts w:ascii="Arial" w:eastAsia="Calibri" w:hAnsi="Arial" w:cs="Arial"/>
          <w:sz w:val="22"/>
        </w:rPr>
        <w:t xml:space="preserve"> de </w:t>
      </w:r>
      <w:r w:rsidR="003A0566" w:rsidRPr="004930D7">
        <w:rPr>
          <w:rFonts w:ascii="Arial" w:eastAsia="Calibri" w:hAnsi="Arial" w:cs="Arial"/>
          <w:sz w:val="22"/>
        </w:rPr>
        <w:t>enero</w:t>
      </w:r>
      <w:r w:rsidRPr="004930D7">
        <w:rPr>
          <w:rFonts w:ascii="Arial" w:eastAsia="Calibri" w:hAnsi="Arial" w:cs="Arial"/>
          <w:sz w:val="22"/>
        </w:rPr>
        <w:t xml:space="preserve"> del 202</w:t>
      </w:r>
      <w:r w:rsidR="003A0566" w:rsidRPr="004930D7">
        <w:rPr>
          <w:rFonts w:ascii="Arial" w:eastAsia="Calibri" w:hAnsi="Arial" w:cs="Arial"/>
          <w:sz w:val="22"/>
        </w:rPr>
        <w:t>1</w:t>
      </w:r>
      <w:r w:rsidRPr="004930D7">
        <w:rPr>
          <w:rFonts w:ascii="Arial" w:eastAsia="Calibri" w:hAnsi="Arial" w:cs="Arial"/>
          <w:sz w:val="22"/>
        </w:rPr>
        <w:t>.</w:t>
      </w:r>
    </w:p>
    <w:p w14:paraId="4FA02A8B" w14:textId="77777777" w:rsidR="005A79FE" w:rsidRPr="004930D7" w:rsidRDefault="005A79FE" w:rsidP="009A69E3">
      <w:pPr>
        <w:spacing w:line="276" w:lineRule="auto"/>
        <w:jc w:val="both"/>
        <w:rPr>
          <w:rFonts w:ascii="Arial" w:eastAsia="Calibri" w:hAnsi="Arial" w:cs="Arial"/>
          <w:sz w:val="22"/>
        </w:rPr>
      </w:pPr>
    </w:p>
    <w:p w14:paraId="17A88694" w14:textId="78B8F8D7" w:rsidR="00A945C1" w:rsidRPr="004930D7" w:rsidRDefault="00A945C1" w:rsidP="009A69E3">
      <w:pPr>
        <w:pStyle w:val="Prrafodelista"/>
        <w:tabs>
          <w:tab w:val="left" w:pos="284"/>
        </w:tabs>
        <w:spacing w:line="276" w:lineRule="auto"/>
        <w:ind w:left="0"/>
        <w:jc w:val="both"/>
        <w:rPr>
          <w:rFonts w:ascii="Arial" w:eastAsia="Calibri" w:hAnsi="Arial" w:cs="Arial"/>
          <w:b/>
          <w:sz w:val="22"/>
        </w:rPr>
      </w:pPr>
      <w:bookmarkStart w:id="0" w:name="_Hlk29890381"/>
      <w:r w:rsidRPr="004930D7">
        <w:rPr>
          <w:rFonts w:ascii="Arial" w:eastAsia="Calibri" w:hAnsi="Arial" w:cs="Arial"/>
          <w:b/>
          <w:sz w:val="22"/>
        </w:rPr>
        <w:t>1. Problema</w:t>
      </w:r>
      <w:r w:rsidR="003A0566" w:rsidRPr="004930D7">
        <w:rPr>
          <w:rFonts w:ascii="Arial" w:eastAsia="Calibri" w:hAnsi="Arial" w:cs="Arial"/>
          <w:b/>
          <w:sz w:val="22"/>
        </w:rPr>
        <w:t>s</w:t>
      </w:r>
      <w:r w:rsidRPr="004930D7">
        <w:rPr>
          <w:rFonts w:ascii="Arial" w:eastAsia="Calibri" w:hAnsi="Arial" w:cs="Arial"/>
          <w:b/>
          <w:sz w:val="22"/>
        </w:rPr>
        <w:t xml:space="preserve"> planteado</w:t>
      </w:r>
      <w:r w:rsidR="003A0566" w:rsidRPr="004930D7">
        <w:rPr>
          <w:rFonts w:ascii="Arial" w:eastAsia="Calibri" w:hAnsi="Arial" w:cs="Arial"/>
          <w:b/>
          <w:sz w:val="22"/>
        </w:rPr>
        <w:t>s</w:t>
      </w:r>
    </w:p>
    <w:p w14:paraId="373F8D38" w14:textId="77777777" w:rsidR="00A945C1" w:rsidRPr="004930D7" w:rsidRDefault="00A945C1" w:rsidP="009A69E3">
      <w:pPr>
        <w:tabs>
          <w:tab w:val="left" w:pos="426"/>
        </w:tabs>
        <w:spacing w:line="276" w:lineRule="auto"/>
        <w:jc w:val="both"/>
        <w:rPr>
          <w:rFonts w:ascii="Arial" w:eastAsia="Calibri" w:hAnsi="Arial" w:cs="Arial"/>
          <w:b/>
          <w:sz w:val="22"/>
        </w:rPr>
      </w:pPr>
    </w:p>
    <w:p w14:paraId="4FAD37D3" w14:textId="615E79CA" w:rsidR="003A0566" w:rsidRPr="004930D7" w:rsidRDefault="00A945C1" w:rsidP="009A69E3">
      <w:pPr>
        <w:tabs>
          <w:tab w:val="left" w:pos="426"/>
        </w:tabs>
        <w:spacing w:line="276" w:lineRule="auto"/>
        <w:jc w:val="both"/>
        <w:rPr>
          <w:rFonts w:ascii="Arial" w:eastAsia="Calibri" w:hAnsi="Arial" w:cs="Arial"/>
          <w:sz w:val="22"/>
        </w:rPr>
      </w:pPr>
      <w:r w:rsidRPr="004930D7">
        <w:rPr>
          <w:rFonts w:ascii="Arial" w:eastAsia="Calibri" w:hAnsi="Arial" w:cs="Arial"/>
          <w:sz w:val="22"/>
        </w:rPr>
        <w:t>Usted realiza la</w:t>
      </w:r>
      <w:r w:rsidR="003A0566" w:rsidRPr="004930D7">
        <w:rPr>
          <w:rFonts w:ascii="Arial" w:eastAsia="Calibri" w:hAnsi="Arial" w:cs="Arial"/>
          <w:sz w:val="22"/>
        </w:rPr>
        <w:t>s</w:t>
      </w:r>
      <w:r w:rsidRPr="004930D7">
        <w:rPr>
          <w:rFonts w:ascii="Arial" w:eastAsia="Calibri" w:hAnsi="Arial" w:cs="Arial"/>
          <w:sz w:val="22"/>
        </w:rPr>
        <w:t xml:space="preserve"> siguiente</w:t>
      </w:r>
      <w:r w:rsidR="003A0566" w:rsidRPr="004930D7">
        <w:rPr>
          <w:rFonts w:ascii="Arial" w:eastAsia="Calibri" w:hAnsi="Arial" w:cs="Arial"/>
          <w:sz w:val="22"/>
        </w:rPr>
        <w:t>s</w:t>
      </w:r>
      <w:r w:rsidRPr="004930D7">
        <w:rPr>
          <w:rFonts w:ascii="Arial" w:eastAsia="Calibri" w:hAnsi="Arial" w:cs="Arial"/>
          <w:sz w:val="22"/>
        </w:rPr>
        <w:t xml:space="preserve"> pregunta</w:t>
      </w:r>
      <w:r w:rsidR="003A0566" w:rsidRPr="004930D7">
        <w:rPr>
          <w:rFonts w:ascii="Arial" w:eastAsia="Calibri" w:hAnsi="Arial" w:cs="Arial"/>
          <w:sz w:val="22"/>
        </w:rPr>
        <w:t>s</w:t>
      </w:r>
      <w:r w:rsidRPr="004930D7">
        <w:rPr>
          <w:rFonts w:ascii="Arial" w:eastAsia="Calibri" w:hAnsi="Arial" w:cs="Arial"/>
          <w:sz w:val="22"/>
        </w:rPr>
        <w:t xml:space="preserve">: </w:t>
      </w:r>
    </w:p>
    <w:p w14:paraId="00733738" w14:textId="77777777" w:rsidR="009A69E3" w:rsidRPr="004930D7" w:rsidRDefault="009A69E3" w:rsidP="009A69E3">
      <w:pPr>
        <w:tabs>
          <w:tab w:val="left" w:pos="426"/>
        </w:tabs>
        <w:spacing w:line="276" w:lineRule="auto"/>
        <w:jc w:val="both"/>
        <w:rPr>
          <w:rFonts w:ascii="Arial" w:eastAsia="Calibri" w:hAnsi="Arial" w:cs="Arial"/>
          <w:sz w:val="22"/>
        </w:rPr>
      </w:pPr>
    </w:p>
    <w:p w14:paraId="1C1972B1" w14:textId="7B290632" w:rsidR="00A945C1" w:rsidRPr="004930D7" w:rsidRDefault="000E4342" w:rsidP="009A69E3">
      <w:pPr>
        <w:tabs>
          <w:tab w:val="left" w:pos="426"/>
        </w:tabs>
        <w:ind w:left="709" w:right="709"/>
        <w:jc w:val="both"/>
        <w:rPr>
          <w:rFonts w:ascii="Arial" w:eastAsia="Calibri" w:hAnsi="Arial" w:cs="Arial"/>
          <w:sz w:val="21"/>
          <w:szCs w:val="21"/>
        </w:rPr>
      </w:pPr>
      <w:r w:rsidRPr="004930D7">
        <w:rPr>
          <w:rFonts w:ascii="Arial" w:eastAsia="Calibri" w:hAnsi="Arial" w:cs="Arial"/>
          <w:sz w:val="21"/>
          <w:szCs w:val="21"/>
        </w:rPr>
        <w:t>«</w:t>
      </w:r>
      <w:r w:rsidR="003A0566" w:rsidRPr="004930D7">
        <w:rPr>
          <w:rFonts w:ascii="Arial" w:eastAsia="Calibri" w:hAnsi="Arial" w:cs="Arial"/>
          <w:sz w:val="21"/>
          <w:szCs w:val="21"/>
        </w:rPr>
        <w:t>1. Una entidad estatal puede dar definiciones diferentes a las establecidas en el documento denominado Anexo 3. Glosario? Por poner un ejemplo, si una entidad estatal solicita como experiencia construcción de puentes en estructura mixta, ¿puede modificar la definición establecida en el glosario y verificar la experiencia basado (sic) en esta nueva definición?</w:t>
      </w:r>
    </w:p>
    <w:p w14:paraId="5E541C44" w14:textId="56A83CE1" w:rsidR="003A0566" w:rsidRPr="004930D7" w:rsidRDefault="003A0566" w:rsidP="009A69E3">
      <w:pPr>
        <w:tabs>
          <w:tab w:val="left" w:pos="426"/>
        </w:tabs>
        <w:ind w:left="709" w:right="709"/>
        <w:jc w:val="both"/>
        <w:rPr>
          <w:rFonts w:ascii="Arial" w:eastAsia="Calibri" w:hAnsi="Arial" w:cs="Arial"/>
          <w:sz w:val="21"/>
          <w:szCs w:val="21"/>
        </w:rPr>
      </w:pPr>
      <w:r w:rsidRPr="004930D7">
        <w:rPr>
          <w:rFonts w:ascii="Arial" w:eastAsia="Calibri" w:hAnsi="Arial" w:cs="Arial"/>
          <w:sz w:val="21"/>
          <w:szCs w:val="21"/>
        </w:rPr>
        <w:t>»2. En procesos de Secop 2</w:t>
      </w:r>
      <w:r w:rsidR="00267368" w:rsidRPr="004930D7">
        <w:rPr>
          <w:rFonts w:ascii="Arial" w:eastAsia="Calibri" w:hAnsi="Arial" w:cs="Arial"/>
          <w:sz w:val="21"/>
          <w:szCs w:val="21"/>
        </w:rPr>
        <w:t xml:space="preserve"> (sic) </w:t>
      </w:r>
      <w:r w:rsidRPr="004930D7">
        <w:rPr>
          <w:rFonts w:ascii="Arial" w:eastAsia="Calibri" w:hAnsi="Arial" w:cs="Arial"/>
          <w:sz w:val="21"/>
          <w:szCs w:val="21"/>
        </w:rPr>
        <w:t xml:space="preserve">, que (sic) sucede si la entidad da apertura de los sobres económicos un día y al día siguiente publica una resolución de saneamiento donde establece un nuevo cronograma, y ese día apertura nuevas ofertas económica. Con que </w:t>
      </w:r>
      <w:r w:rsidR="00267368" w:rsidRPr="004930D7">
        <w:rPr>
          <w:rFonts w:ascii="Arial" w:eastAsia="Calibri" w:hAnsi="Arial" w:cs="Arial"/>
          <w:sz w:val="21"/>
          <w:szCs w:val="21"/>
        </w:rPr>
        <w:t xml:space="preserve">(sic) </w:t>
      </w:r>
      <w:r w:rsidRPr="004930D7">
        <w:rPr>
          <w:rFonts w:ascii="Arial" w:eastAsia="Calibri" w:hAnsi="Arial" w:cs="Arial"/>
          <w:sz w:val="21"/>
          <w:szCs w:val="21"/>
        </w:rPr>
        <w:t>fecha debería la TRM</w:t>
      </w:r>
      <w:r w:rsidR="00267368" w:rsidRPr="004930D7">
        <w:rPr>
          <w:rFonts w:ascii="Arial" w:eastAsia="Calibri" w:hAnsi="Arial" w:cs="Arial"/>
          <w:sz w:val="21"/>
          <w:szCs w:val="21"/>
        </w:rPr>
        <w:t xml:space="preserve"> (sic)</w:t>
      </w:r>
      <w:r w:rsidRPr="004930D7">
        <w:rPr>
          <w:rFonts w:ascii="Arial" w:eastAsia="Calibri" w:hAnsi="Arial" w:cs="Arial"/>
          <w:sz w:val="21"/>
          <w:szCs w:val="21"/>
        </w:rPr>
        <w:t xml:space="preserve"> para escoger la formula</w:t>
      </w:r>
      <w:r w:rsidR="00267368" w:rsidRPr="004930D7">
        <w:rPr>
          <w:rFonts w:ascii="Arial" w:eastAsia="Calibri" w:hAnsi="Arial" w:cs="Arial"/>
          <w:sz w:val="21"/>
          <w:szCs w:val="21"/>
        </w:rPr>
        <w:t xml:space="preserve"> (sic)</w:t>
      </w:r>
      <w:r w:rsidRPr="004930D7">
        <w:rPr>
          <w:rFonts w:ascii="Arial" w:eastAsia="Calibri" w:hAnsi="Arial" w:cs="Arial"/>
          <w:sz w:val="21"/>
          <w:szCs w:val="21"/>
        </w:rPr>
        <w:t xml:space="preserve"> de asignación de puntaje?</w:t>
      </w:r>
    </w:p>
    <w:p w14:paraId="0F0DA7BF" w14:textId="3C2B7D7C" w:rsidR="003A0566" w:rsidRPr="004930D7" w:rsidRDefault="003A0566" w:rsidP="009A69E3">
      <w:pPr>
        <w:tabs>
          <w:tab w:val="left" w:pos="426"/>
        </w:tabs>
        <w:ind w:left="709" w:right="709"/>
        <w:jc w:val="both"/>
        <w:rPr>
          <w:rFonts w:ascii="Arial" w:eastAsia="Calibri" w:hAnsi="Arial" w:cs="Arial"/>
          <w:sz w:val="21"/>
          <w:szCs w:val="21"/>
        </w:rPr>
      </w:pPr>
      <w:r w:rsidRPr="004930D7">
        <w:rPr>
          <w:rFonts w:ascii="Arial" w:eastAsia="Calibri" w:hAnsi="Arial" w:cs="Arial"/>
          <w:sz w:val="21"/>
          <w:szCs w:val="21"/>
        </w:rPr>
        <w:t xml:space="preserve">»3. En procesos de </w:t>
      </w:r>
      <w:proofErr w:type="spellStart"/>
      <w:r w:rsidRPr="004930D7">
        <w:rPr>
          <w:rFonts w:ascii="Arial" w:eastAsia="Calibri" w:hAnsi="Arial" w:cs="Arial"/>
          <w:sz w:val="21"/>
          <w:szCs w:val="21"/>
        </w:rPr>
        <w:t>secop</w:t>
      </w:r>
      <w:proofErr w:type="spellEnd"/>
      <w:r w:rsidRPr="004930D7">
        <w:rPr>
          <w:rFonts w:ascii="Arial" w:eastAsia="Calibri" w:hAnsi="Arial" w:cs="Arial"/>
          <w:sz w:val="21"/>
          <w:szCs w:val="21"/>
        </w:rPr>
        <w:t xml:space="preserve"> 2</w:t>
      </w:r>
      <w:r w:rsidR="00267368" w:rsidRPr="004930D7">
        <w:rPr>
          <w:rFonts w:ascii="Arial" w:eastAsia="Calibri" w:hAnsi="Arial" w:cs="Arial"/>
          <w:sz w:val="21"/>
          <w:szCs w:val="21"/>
        </w:rPr>
        <w:t xml:space="preserve"> (sic)</w:t>
      </w:r>
      <w:r w:rsidRPr="004930D7">
        <w:rPr>
          <w:rFonts w:ascii="Arial" w:eastAsia="Calibri" w:hAnsi="Arial" w:cs="Arial"/>
          <w:sz w:val="21"/>
          <w:szCs w:val="21"/>
        </w:rPr>
        <w:t xml:space="preserve">, que </w:t>
      </w:r>
      <w:r w:rsidR="00267368" w:rsidRPr="004930D7">
        <w:rPr>
          <w:rFonts w:ascii="Arial" w:eastAsia="Calibri" w:hAnsi="Arial" w:cs="Arial"/>
          <w:sz w:val="21"/>
          <w:szCs w:val="21"/>
        </w:rPr>
        <w:t xml:space="preserve">(sic) </w:t>
      </w:r>
      <w:r w:rsidRPr="004930D7">
        <w:rPr>
          <w:rFonts w:ascii="Arial" w:eastAsia="Calibri" w:hAnsi="Arial" w:cs="Arial"/>
          <w:sz w:val="21"/>
          <w:szCs w:val="21"/>
        </w:rPr>
        <w:t>sucede si una entidad da apertura de sobres económicos un día y por problemas de la plataforma quedan publicados el siguiente día?</w:t>
      </w:r>
    </w:p>
    <w:p w14:paraId="1CFABAF5" w14:textId="0BB25CA8" w:rsidR="003A0566" w:rsidRPr="004930D7" w:rsidRDefault="003A0566" w:rsidP="009A69E3">
      <w:pPr>
        <w:tabs>
          <w:tab w:val="left" w:pos="426"/>
        </w:tabs>
        <w:ind w:left="709" w:right="709"/>
        <w:jc w:val="both"/>
        <w:rPr>
          <w:rFonts w:ascii="Arial" w:eastAsia="Calibri" w:hAnsi="Arial" w:cs="Arial"/>
          <w:sz w:val="21"/>
          <w:szCs w:val="21"/>
        </w:rPr>
      </w:pPr>
      <w:r w:rsidRPr="004930D7">
        <w:rPr>
          <w:rFonts w:ascii="Arial" w:eastAsia="Calibri" w:hAnsi="Arial" w:cs="Arial"/>
          <w:sz w:val="21"/>
          <w:szCs w:val="21"/>
        </w:rPr>
        <w:lastRenderedPageBreak/>
        <w:t xml:space="preserve">»4. Para la aplicación de la guía de precios artificialmente bajos, es obligatoria </w:t>
      </w:r>
      <w:r w:rsidR="00267368" w:rsidRPr="004930D7">
        <w:rPr>
          <w:rFonts w:ascii="Arial" w:eastAsia="Calibri" w:hAnsi="Arial" w:cs="Arial"/>
          <w:sz w:val="21"/>
          <w:szCs w:val="21"/>
        </w:rPr>
        <w:t xml:space="preserve">(sic) </w:t>
      </w:r>
      <w:r w:rsidRPr="004930D7">
        <w:rPr>
          <w:rFonts w:ascii="Arial" w:eastAsia="Calibri" w:hAnsi="Arial" w:cs="Arial"/>
          <w:sz w:val="21"/>
          <w:szCs w:val="21"/>
        </w:rPr>
        <w:t xml:space="preserve">aplicar la formula </w:t>
      </w:r>
      <w:r w:rsidR="00267368" w:rsidRPr="004930D7">
        <w:rPr>
          <w:rFonts w:ascii="Arial" w:eastAsia="Calibri" w:hAnsi="Arial" w:cs="Arial"/>
          <w:sz w:val="21"/>
          <w:szCs w:val="21"/>
        </w:rPr>
        <w:t xml:space="preserve">(sic) </w:t>
      </w:r>
      <w:r w:rsidRPr="004930D7">
        <w:rPr>
          <w:rFonts w:ascii="Arial" w:eastAsia="Calibri" w:hAnsi="Arial" w:cs="Arial"/>
          <w:sz w:val="21"/>
          <w:szCs w:val="21"/>
        </w:rPr>
        <w:t>establecida para determinar el valor mínimo aceptable?</w:t>
      </w:r>
    </w:p>
    <w:p w14:paraId="17519F82" w14:textId="72552C0F" w:rsidR="00A945C1" w:rsidRPr="004930D7" w:rsidRDefault="003A0566" w:rsidP="009A69E3">
      <w:pPr>
        <w:tabs>
          <w:tab w:val="left" w:pos="426"/>
        </w:tabs>
        <w:ind w:left="709" w:right="709"/>
        <w:jc w:val="both"/>
        <w:rPr>
          <w:rFonts w:ascii="Arial" w:eastAsia="Calibri" w:hAnsi="Arial" w:cs="Arial"/>
          <w:sz w:val="21"/>
          <w:szCs w:val="21"/>
        </w:rPr>
      </w:pPr>
      <w:r w:rsidRPr="004930D7">
        <w:rPr>
          <w:rFonts w:ascii="Arial" w:eastAsia="Calibri" w:hAnsi="Arial" w:cs="Arial"/>
          <w:sz w:val="21"/>
          <w:szCs w:val="21"/>
        </w:rPr>
        <w:t xml:space="preserve">»a. La </w:t>
      </w:r>
      <w:r w:rsidR="00267368" w:rsidRPr="004930D7">
        <w:rPr>
          <w:rFonts w:ascii="Arial" w:eastAsia="Calibri" w:hAnsi="Arial" w:cs="Arial"/>
          <w:sz w:val="21"/>
          <w:szCs w:val="21"/>
        </w:rPr>
        <w:t xml:space="preserve">(sic) </w:t>
      </w:r>
      <w:r w:rsidRPr="004930D7">
        <w:rPr>
          <w:rFonts w:ascii="Arial" w:eastAsia="Calibri" w:hAnsi="Arial" w:cs="Arial"/>
          <w:sz w:val="21"/>
          <w:szCs w:val="21"/>
        </w:rPr>
        <w:t>entidad puede evaluar de manera individual un ítem? Por ejemplo, podría una entidad rechazar a un oferente por que tiene el PMT</w:t>
      </w:r>
      <w:r w:rsidR="00267368" w:rsidRPr="004930D7">
        <w:rPr>
          <w:rFonts w:ascii="Arial" w:eastAsia="Calibri" w:hAnsi="Arial" w:cs="Arial"/>
          <w:sz w:val="21"/>
          <w:szCs w:val="21"/>
        </w:rPr>
        <w:t xml:space="preserve"> (sic)</w:t>
      </w:r>
      <w:r w:rsidRPr="004930D7">
        <w:rPr>
          <w:rFonts w:ascii="Arial" w:eastAsia="Calibri" w:hAnsi="Arial" w:cs="Arial"/>
          <w:sz w:val="21"/>
          <w:szCs w:val="21"/>
        </w:rPr>
        <w:t xml:space="preserve"> muy por debajo del valor oficial?».</w:t>
      </w:r>
    </w:p>
    <w:p w14:paraId="48883488" w14:textId="77777777" w:rsidR="00267368" w:rsidRPr="004930D7" w:rsidRDefault="00267368" w:rsidP="009A69E3">
      <w:pPr>
        <w:tabs>
          <w:tab w:val="left" w:pos="426"/>
        </w:tabs>
        <w:ind w:left="709" w:right="709"/>
        <w:jc w:val="both"/>
        <w:rPr>
          <w:rFonts w:ascii="Arial" w:eastAsia="Calibri" w:hAnsi="Arial" w:cs="Arial"/>
          <w:sz w:val="22"/>
        </w:rPr>
      </w:pPr>
    </w:p>
    <w:p w14:paraId="31610256" w14:textId="77777777" w:rsidR="00A945C1" w:rsidRPr="004930D7" w:rsidRDefault="00A945C1" w:rsidP="009A69E3">
      <w:pPr>
        <w:tabs>
          <w:tab w:val="left" w:pos="426"/>
        </w:tabs>
        <w:spacing w:line="276" w:lineRule="auto"/>
        <w:jc w:val="both"/>
        <w:rPr>
          <w:rFonts w:ascii="Arial" w:eastAsia="Calibri" w:hAnsi="Arial" w:cs="Arial"/>
          <w:b/>
          <w:sz w:val="22"/>
        </w:rPr>
      </w:pPr>
      <w:r w:rsidRPr="004930D7">
        <w:rPr>
          <w:rFonts w:ascii="Arial" w:eastAsia="Calibri" w:hAnsi="Arial" w:cs="Arial"/>
          <w:b/>
          <w:sz w:val="22"/>
        </w:rPr>
        <w:t>2. Consideraciones</w:t>
      </w:r>
    </w:p>
    <w:p w14:paraId="71A37B59" w14:textId="77777777" w:rsidR="00A945C1" w:rsidRPr="004930D7" w:rsidRDefault="00A945C1" w:rsidP="009A69E3">
      <w:pPr>
        <w:tabs>
          <w:tab w:val="left" w:pos="426"/>
        </w:tabs>
        <w:spacing w:line="276" w:lineRule="auto"/>
        <w:jc w:val="both"/>
        <w:rPr>
          <w:rFonts w:ascii="Arial" w:eastAsia="Calibri" w:hAnsi="Arial" w:cs="Arial"/>
          <w:b/>
          <w:sz w:val="22"/>
        </w:rPr>
      </w:pPr>
    </w:p>
    <w:p w14:paraId="58AF6101" w14:textId="25E930DE" w:rsidR="00D60E6A" w:rsidRPr="004930D7" w:rsidRDefault="00D60E6A" w:rsidP="00E25414">
      <w:pPr>
        <w:spacing w:after="120" w:line="276" w:lineRule="auto"/>
        <w:jc w:val="both"/>
        <w:rPr>
          <w:rFonts w:ascii="Arial" w:hAnsi="Arial" w:cs="Arial"/>
          <w:sz w:val="22"/>
        </w:rPr>
      </w:pPr>
      <w:r w:rsidRPr="004930D7">
        <w:rPr>
          <w:rFonts w:ascii="Arial" w:hAnsi="Arial" w:cs="Arial"/>
          <w:sz w:val="22"/>
        </w:rPr>
        <w:t>Teniendo en cuenta que su consulta se hace en vigencia de la versión 3 de los documentos tipo para procesos de contratación cuyo objeto sean las obras públicas de infraestructura de transporte, se dará respuesta con base en dichos documentos.</w:t>
      </w:r>
    </w:p>
    <w:p w14:paraId="316AFABC" w14:textId="259AB65B" w:rsidR="007E5045" w:rsidRPr="004930D7" w:rsidRDefault="00C96108" w:rsidP="007E5045">
      <w:pPr>
        <w:spacing w:after="120" w:line="276" w:lineRule="auto"/>
        <w:ind w:firstLine="709"/>
        <w:jc w:val="both"/>
        <w:rPr>
          <w:rFonts w:ascii="Arial" w:hAnsi="Arial" w:cs="Arial"/>
          <w:sz w:val="22"/>
        </w:rPr>
      </w:pPr>
      <w:r w:rsidRPr="004930D7">
        <w:rPr>
          <w:rFonts w:ascii="Arial" w:hAnsi="Arial" w:cs="Arial"/>
          <w:sz w:val="22"/>
        </w:rPr>
        <w:t xml:space="preserve">La Agencia Nacional de Contratación Pública </w:t>
      </w:r>
      <w:r w:rsidRPr="004930D7">
        <w:rPr>
          <w:rFonts w:ascii="Arial" w:eastAsia="Calibri" w:hAnsi="Arial" w:cs="Arial"/>
          <w:sz w:val="22"/>
        </w:rPr>
        <w:t>–</w:t>
      </w:r>
      <w:r w:rsidRPr="004930D7">
        <w:rPr>
          <w:rFonts w:ascii="Arial" w:hAnsi="Arial" w:cs="Arial"/>
          <w:sz w:val="22"/>
        </w:rPr>
        <w:t xml:space="preserve"> Colombia Compra Eficiente se ha pronunciado en diferentes conceptos sobre la forma de establecer y acreditar la experiencia exigible en procesos de contratación adelantados con documentos tipo,</w:t>
      </w:r>
      <w:r w:rsidR="00C34429" w:rsidRPr="004930D7">
        <w:rPr>
          <w:rFonts w:ascii="Arial" w:hAnsi="Arial" w:cs="Arial"/>
          <w:sz w:val="22"/>
        </w:rPr>
        <w:t xml:space="preserve"> </w:t>
      </w:r>
      <w:r w:rsidR="00D42560" w:rsidRPr="004930D7">
        <w:rPr>
          <w:rFonts w:ascii="Arial" w:hAnsi="Arial" w:cs="Arial"/>
          <w:sz w:val="22"/>
        </w:rPr>
        <w:t>siendo las obras establecidas en la matriz de experiencia frente a los proyectos que aplican estos documentos. En efecto, así se pronunció en los c</w:t>
      </w:r>
      <w:r w:rsidRPr="004930D7">
        <w:rPr>
          <w:rFonts w:ascii="Arial" w:hAnsi="Arial" w:cs="Arial"/>
          <w:sz w:val="22"/>
        </w:rPr>
        <w:t>onceptos C-056 del 8 de enero de 2020, C-069 del 24 de enero de 2020, C-097 del 5 de febrero de 2020, C-198 del 17 de abril de 2020, C</w:t>
      </w:r>
      <w:r w:rsidR="00D42560" w:rsidRPr="004930D7">
        <w:rPr>
          <w:rFonts w:ascii="Arial" w:hAnsi="Arial" w:cs="Arial"/>
          <w:sz w:val="22"/>
        </w:rPr>
        <w:t>-</w:t>
      </w:r>
      <w:r w:rsidRPr="004930D7">
        <w:rPr>
          <w:rFonts w:ascii="Arial" w:hAnsi="Arial" w:cs="Arial"/>
          <w:sz w:val="22"/>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w:t>
      </w:r>
      <w:r w:rsidR="00E644DC" w:rsidRPr="004930D7">
        <w:rPr>
          <w:rFonts w:ascii="Arial" w:hAnsi="Arial" w:cs="Arial"/>
          <w:sz w:val="22"/>
        </w:rPr>
        <w:t>,</w:t>
      </w:r>
      <w:r w:rsidRPr="004930D7">
        <w:rPr>
          <w:rFonts w:ascii="Arial" w:hAnsi="Arial" w:cs="Arial"/>
          <w:sz w:val="22"/>
        </w:rPr>
        <w:t xml:space="preserve"> C-697 del 2 de diciembre de 2020</w:t>
      </w:r>
      <w:r w:rsidR="00E644DC" w:rsidRPr="004930D7">
        <w:rPr>
          <w:rFonts w:ascii="Arial" w:hAnsi="Arial" w:cs="Arial"/>
          <w:sz w:val="22"/>
        </w:rPr>
        <w:t xml:space="preserve"> y C-773 del 14 de enero de 2021</w:t>
      </w:r>
      <w:r w:rsidRPr="004930D7">
        <w:rPr>
          <w:rFonts w:ascii="Arial" w:hAnsi="Arial" w:cs="Arial"/>
          <w:sz w:val="22"/>
        </w:rPr>
        <w:t xml:space="preserve">. </w:t>
      </w:r>
    </w:p>
    <w:p w14:paraId="593B2065" w14:textId="270D5BBC" w:rsidR="00C96108" w:rsidRPr="004930D7" w:rsidRDefault="007E5045" w:rsidP="009A69E3">
      <w:pPr>
        <w:spacing w:line="276" w:lineRule="auto"/>
        <w:ind w:firstLine="709"/>
        <w:jc w:val="both"/>
        <w:rPr>
          <w:rFonts w:ascii="Arial" w:hAnsi="Arial" w:cs="Arial"/>
          <w:sz w:val="22"/>
        </w:rPr>
      </w:pPr>
      <w:r w:rsidRPr="004930D7">
        <w:rPr>
          <w:rFonts w:ascii="Arial" w:hAnsi="Arial" w:cs="Arial"/>
          <w:sz w:val="22"/>
        </w:rPr>
        <w:t>Adicionalmente,</w:t>
      </w:r>
      <w:r w:rsidR="009C2C65" w:rsidRPr="004930D7">
        <w:rPr>
          <w:rFonts w:ascii="Arial" w:hAnsi="Arial" w:cs="Arial"/>
          <w:sz w:val="22"/>
        </w:rPr>
        <w:t xml:space="preserve"> sobre la ponderación de la oferta económica en procedimientos contractuales regidos por los documentos tipo, se pronunció en los conceptos No. 4202013000001564 del 18 de marzo de 2020, reiterado y desarrollado en el concepto C-193 del 6 de abril de 2020, C-279 del 18 de mayo de 2020, C-349 del 23 de junio de 2020 y C-431 del 9 de julio de 2020. Sobre el manejo de</w:t>
      </w:r>
      <w:r w:rsidR="00FC269D" w:rsidRPr="004930D7">
        <w:rPr>
          <w:rFonts w:ascii="Arial" w:hAnsi="Arial" w:cs="Arial"/>
          <w:sz w:val="22"/>
        </w:rPr>
        <w:t xml:space="preserve"> ofertas con</w:t>
      </w:r>
      <w:r w:rsidR="009C2C65" w:rsidRPr="004930D7">
        <w:rPr>
          <w:rFonts w:ascii="Arial" w:hAnsi="Arial" w:cs="Arial"/>
          <w:sz w:val="22"/>
        </w:rPr>
        <w:t xml:space="preserve"> precios artificialmente bajo</w:t>
      </w:r>
      <w:r w:rsidR="00FC269D" w:rsidRPr="004930D7">
        <w:rPr>
          <w:rFonts w:ascii="Arial" w:hAnsi="Arial" w:cs="Arial"/>
          <w:sz w:val="22"/>
        </w:rPr>
        <w:t>s</w:t>
      </w:r>
      <w:r w:rsidR="009C2C65" w:rsidRPr="004930D7">
        <w:rPr>
          <w:rFonts w:ascii="Arial" w:hAnsi="Arial" w:cs="Arial"/>
          <w:sz w:val="22"/>
        </w:rPr>
        <w:t xml:space="preserve"> en documentos tipo, se pronunció en los conceptos No. C-012 del 28 de enero de 2020 –radicado No. 2202013000000496–, así como en los conceptos del 21 y 28 de octubre, 7 de noviembre, 11 y 20 de diciembre de 2019, 7 de enero de 2020 –radicados Nos. 2201913000007853, 2201913000008058, 2201913000008288, 2201913000009110, 2201913000009489, 2202013000000038</w:t>
      </w:r>
      <w:r w:rsidR="006F48D3" w:rsidRPr="004930D7">
        <w:rPr>
          <w:rFonts w:ascii="Arial" w:hAnsi="Arial" w:cs="Arial"/>
          <w:sz w:val="22"/>
        </w:rPr>
        <w:t>–</w:t>
      </w:r>
      <w:r w:rsidR="009C2C65" w:rsidRPr="004930D7">
        <w:rPr>
          <w:rFonts w:ascii="Arial" w:hAnsi="Arial" w:cs="Arial"/>
          <w:sz w:val="22"/>
        </w:rPr>
        <w:t xml:space="preserve">, C-163 del 31 de marzo de 2020, C-200 del 14 de abril de 2020, C-299 del 16 de julio de 2020, C-473 del 13 de julio de 2020 y C-506 del 29 de julio de 2020. </w:t>
      </w:r>
      <w:r w:rsidR="00C96108" w:rsidRPr="004930D7">
        <w:rPr>
          <w:rFonts w:ascii="Arial" w:hAnsi="Arial" w:cs="Arial"/>
          <w:sz w:val="22"/>
        </w:rPr>
        <w:t>En lo pertinente, la</w:t>
      </w:r>
      <w:r w:rsidR="006F48D3" w:rsidRPr="004930D7">
        <w:rPr>
          <w:rFonts w:ascii="Arial" w:hAnsi="Arial" w:cs="Arial"/>
          <w:sz w:val="22"/>
        </w:rPr>
        <w:t>s</w:t>
      </w:r>
      <w:r w:rsidR="00C96108" w:rsidRPr="004930D7">
        <w:rPr>
          <w:rFonts w:ascii="Arial" w:hAnsi="Arial" w:cs="Arial"/>
          <w:sz w:val="22"/>
        </w:rPr>
        <w:t xml:space="preserve"> tesis expuesta</w:t>
      </w:r>
      <w:r w:rsidR="006F48D3" w:rsidRPr="004930D7">
        <w:rPr>
          <w:rFonts w:ascii="Arial" w:hAnsi="Arial" w:cs="Arial"/>
          <w:sz w:val="22"/>
        </w:rPr>
        <w:t>s</w:t>
      </w:r>
      <w:r w:rsidR="00C96108" w:rsidRPr="004930D7">
        <w:rPr>
          <w:rFonts w:ascii="Arial" w:hAnsi="Arial" w:cs="Arial"/>
          <w:sz w:val="22"/>
        </w:rPr>
        <w:t xml:space="preserve"> en</w:t>
      </w:r>
      <w:r w:rsidR="001371EA" w:rsidRPr="004930D7">
        <w:rPr>
          <w:rFonts w:ascii="Arial" w:hAnsi="Arial" w:cs="Arial"/>
          <w:sz w:val="22"/>
        </w:rPr>
        <w:t xml:space="preserve"> los</w:t>
      </w:r>
      <w:r w:rsidR="00C96108" w:rsidRPr="004930D7">
        <w:rPr>
          <w:rFonts w:ascii="Arial" w:hAnsi="Arial" w:cs="Arial"/>
          <w:sz w:val="22"/>
        </w:rPr>
        <w:t xml:space="preserve"> conceptos</w:t>
      </w:r>
      <w:r w:rsidR="001371EA" w:rsidRPr="004930D7">
        <w:rPr>
          <w:rFonts w:ascii="Arial" w:hAnsi="Arial" w:cs="Arial"/>
          <w:sz w:val="22"/>
        </w:rPr>
        <w:t xml:space="preserve"> mencionados</w:t>
      </w:r>
      <w:r w:rsidR="00C96108" w:rsidRPr="004930D7">
        <w:rPr>
          <w:rFonts w:ascii="Arial" w:hAnsi="Arial" w:cs="Arial"/>
          <w:sz w:val="22"/>
        </w:rPr>
        <w:t xml:space="preserve"> se reitera</w:t>
      </w:r>
      <w:r w:rsidR="006F48D3" w:rsidRPr="004930D7">
        <w:rPr>
          <w:rFonts w:ascii="Arial" w:hAnsi="Arial" w:cs="Arial"/>
          <w:sz w:val="22"/>
        </w:rPr>
        <w:t>n</w:t>
      </w:r>
      <w:r w:rsidR="00C96108" w:rsidRPr="004930D7">
        <w:rPr>
          <w:rFonts w:ascii="Arial" w:hAnsi="Arial" w:cs="Arial"/>
          <w:sz w:val="22"/>
        </w:rPr>
        <w:t xml:space="preserve"> a continuación</w:t>
      </w:r>
      <w:r w:rsidR="00D42560" w:rsidRPr="004930D7">
        <w:rPr>
          <w:rFonts w:ascii="Arial" w:hAnsi="Arial" w:cs="Arial"/>
          <w:sz w:val="22"/>
        </w:rPr>
        <w:t>.</w:t>
      </w:r>
    </w:p>
    <w:p w14:paraId="16AA2EC0" w14:textId="19D03AC4" w:rsidR="00A325FD" w:rsidRPr="004930D7" w:rsidRDefault="00A325FD" w:rsidP="009A69E3">
      <w:pPr>
        <w:spacing w:line="276" w:lineRule="auto"/>
        <w:jc w:val="both"/>
        <w:rPr>
          <w:rFonts w:ascii="Arial" w:eastAsia="Calibri" w:hAnsi="Arial" w:cs="Arial"/>
          <w:bCs/>
          <w:color w:val="0D0D0D" w:themeColor="text1" w:themeTint="F2"/>
          <w:sz w:val="22"/>
        </w:rPr>
      </w:pPr>
    </w:p>
    <w:p w14:paraId="646B41D3" w14:textId="0B216CF1" w:rsidR="00A325FD" w:rsidRPr="004930D7" w:rsidRDefault="00A325FD" w:rsidP="009A69E3">
      <w:pPr>
        <w:spacing w:line="276" w:lineRule="auto"/>
        <w:jc w:val="both"/>
        <w:rPr>
          <w:rFonts w:ascii="Arial" w:eastAsia="Calibri" w:hAnsi="Arial" w:cs="Arial"/>
          <w:b/>
          <w:color w:val="0D0D0D" w:themeColor="text1" w:themeTint="F2"/>
          <w:sz w:val="22"/>
        </w:rPr>
      </w:pPr>
      <w:r w:rsidRPr="004930D7">
        <w:rPr>
          <w:rFonts w:ascii="Arial" w:eastAsia="Calibri" w:hAnsi="Arial" w:cs="Arial"/>
          <w:b/>
          <w:color w:val="0D0D0D" w:themeColor="text1" w:themeTint="F2"/>
          <w:sz w:val="22"/>
        </w:rPr>
        <w:lastRenderedPageBreak/>
        <w:t>2.</w:t>
      </w:r>
      <w:r w:rsidR="006F48D3" w:rsidRPr="004930D7">
        <w:rPr>
          <w:rFonts w:ascii="Arial" w:eastAsia="Calibri" w:hAnsi="Arial" w:cs="Arial"/>
          <w:b/>
          <w:color w:val="0D0D0D" w:themeColor="text1" w:themeTint="F2"/>
          <w:sz w:val="22"/>
        </w:rPr>
        <w:t>1</w:t>
      </w:r>
      <w:r w:rsidRPr="004930D7">
        <w:rPr>
          <w:rFonts w:ascii="Arial" w:eastAsia="Calibri" w:hAnsi="Arial" w:cs="Arial"/>
          <w:b/>
          <w:color w:val="0D0D0D" w:themeColor="text1" w:themeTint="F2"/>
          <w:sz w:val="22"/>
        </w:rPr>
        <w:t>. La experiencia en los documentos tipo</w:t>
      </w:r>
    </w:p>
    <w:p w14:paraId="25AAD322" w14:textId="77777777" w:rsidR="00A325FD" w:rsidRPr="004930D7" w:rsidRDefault="00A325FD" w:rsidP="009A69E3">
      <w:pPr>
        <w:spacing w:line="276" w:lineRule="auto"/>
        <w:jc w:val="both"/>
        <w:rPr>
          <w:rFonts w:ascii="Arial" w:eastAsia="Calibri" w:hAnsi="Arial" w:cs="Arial"/>
          <w:b/>
          <w:color w:val="0D0D0D" w:themeColor="text1" w:themeTint="F2"/>
          <w:sz w:val="22"/>
        </w:rPr>
      </w:pPr>
    </w:p>
    <w:p w14:paraId="67F2BA45" w14:textId="1C5D1186" w:rsidR="00C96108" w:rsidRPr="004930D7" w:rsidRDefault="006F48D3" w:rsidP="00E25414">
      <w:pPr>
        <w:spacing w:line="276" w:lineRule="auto"/>
        <w:jc w:val="both"/>
        <w:rPr>
          <w:rFonts w:ascii="Arial" w:hAnsi="Arial" w:cs="Arial"/>
          <w:sz w:val="22"/>
        </w:rPr>
      </w:pPr>
      <w:r w:rsidRPr="004930D7">
        <w:rPr>
          <w:rFonts w:ascii="Arial" w:hAnsi="Arial" w:cs="Arial"/>
          <w:sz w:val="22"/>
        </w:rPr>
        <w:t>En relación con los documentos tipo de obra pública de infraestructura de transporte</w:t>
      </w:r>
      <w:r w:rsidR="00C96108" w:rsidRPr="004930D7">
        <w:rPr>
          <w:rFonts w:ascii="Arial" w:hAnsi="Arial" w:cs="Arial"/>
          <w:sz w:val="22"/>
        </w:rPr>
        <w:t xml:space="preserve">, de acuerdo con las condiciones fijadas en los «Documentos Base»,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354B90" w:rsidRPr="004930D7">
        <w:rPr>
          <w:rFonts w:ascii="Arial" w:hAnsi="Arial" w:cs="Arial"/>
          <w:sz w:val="22"/>
        </w:rPr>
        <w:t>con</w:t>
      </w:r>
      <w:r w:rsidR="00C96108" w:rsidRPr="004930D7">
        <w:rPr>
          <w:rFonts w:ascii="Arial" w:hAnsi="Arial" w:cs="Arial"/>
          <w:sz w:val="22"/>
        </w:rPr>
        <w:t xml:space="preserve"> la sumatoria de los valores totales ejecutados de los contratos que cumplan con los requisitos establecidos en el pliego de condiciones. </w:t>
      </w:r>
    </w:p>
    <w:p w14:paraId="65E0E718" w14:textId="6CD3C0E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Para fijar las condiciones que deben cumplir los contratos aportados, en términos de actividades ejecutadas, </w:t>
      </w:r>
      <w:bookmarkStart w:id="1" w:name="_Hlk63048518"/>
      <w:r w:rsidRPr="004930D7">
        <w:rPr>
          <w:rFonts w:ascii="Arial" w:hAnsi="Arial" w:cs="Arial"/>
          <w:sz w:val="22"/>
        </w:rPr>
        <w:t>las</w:t>
      </w:r>
      <w:r w:rsidR="00C03751" w:rsidRPr="004930D7">
        <w:rPr>
          <w:rFonts w:ascii="Arial" w:hAnsi="Arial" w:cs="Arial"/>
          <w:sz w:val="22"/>
        </w:rPr>
        <w:t xml:space="preserve"> </w:t>
      </w:r>
      <w:r w:rsidRPr="004930D7">
        <w:rPr>
          <w:rFonts w:ascii="Arial" w:hAnsi="Arial" w:cs="Arial"/>
          <w:sz w:val="22"/>
        </w:rPr>
        <w:t xml:space="preserve">entidades deben </w:t>
      </w:r>
      <w:r w:rsidR="006F48D3" w:rsidRPr="004930D7">
        <w:rPr>
          <w:rFonts w:ascii="Arial" w:hAnsi="Arial" w:cs="Arial"/>
          <w:sz w:val="22"/>
        </w:rPr>
        <w:t xml:space="preserve">utilizar </w:t>
      </w:r>
      <w:r w:rsidRPr="004930D7">
        <w:rPr>
          <w:rFonts w:ascii="Arial" w:hAnsi="Arial" w:cs="Arial"/>
          <w:sz w:val="22"/>
        </w:rPr>
        <w:t xml:space="preserve">la Matriz 1, documento que estandariza las condiciones de experiencia general y/o experiencia específica que deben requerir las entidades estatales de acuerdo con: i) el tipo de obra de infraestructura de transporte, </w:t>
      </w:r>
      <w:proofErr w:type="spellStart"/>
      <w:r w:rsidRPr="004930D7">
        <w:rPr>
          <w:rFonts w:ascii="Arial" w:hAnsi="Arial" w:cs="Arial"/>
          <w:sz w:val="22"/>
        </w:rPr>
        <w:t>ii</w:t>
      </w:r>
      <w:proofErr w:type="spellEnd"/>
      <w:r w:rsidRPr="004930D7">
        <w:rPr>
          <w:rFonts w:ascii="Arial" w:hAnsi="Arial" w:cs="Arial"/>
          <w:sz w:val="22"/>
        </w:rPr>
        <w:t xml:space="preserve">) la actividad a contratar y </w:t>
      </w:r>
      <w:proofErr w:type="spellStart"/>
      <w:r w:rsidRPr="004930D7">
        <w:rPr>
          <w:rFonts w:ascii="Arial" w:hAnsi="Arial" w:cs="Arial"/>
          <w:sz w:val="22"/>
        </w:rPr>
        <w:t>iii</w:t>
      </w:r>
      <w:proofErr w:type="spellEnd"/>
      <w:r w:rsidRPr="004930D7">
        <w:rPr>
          <w:rFonts w:ascii="Arial" w:hAnsi="Arial" w:cs="Arial"/>
          <w:sz w:val="22"/>
        </w:rPr>
        <w:t>) la cuantía del proceso de contratación.</w:t>
      </w:r>
    </w:p>
    <w:p w14:paraId="000E717E" w14:textId="129C3C8F"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En relación con el primer aspecto,</w:t>
      </w:r>
      <w:r w:rsidR="00515142" w:rsidRPr="004930D7">
        <w:rPr>
          <w:rFonts w:ascii="Arial" w:hAnsi="Arial" w:cs="Arial"/>
          <w:sz w:val="22"/>
        </w:rPr>
        <w:t xml:space="preserve"> por ser el objeto de su consulta,</w:t>
      </w:r>
      <w:r w:rsidRPr="004930D7">
        <w:rPr>
          <w:rFonts w:ascii="Arial" w:hAnsi="Arial" w:cs="Arial"/>
          <w:sz w:val="22"/>
        </w:rPr>
        <w:t xml:space="preserve">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w:t>
      </w:r>
    </w:p>
    <w:p w14:paraId="4524A638" w14:textId="7BE290FA" w:rsidR="00C96108" w:rsidRPr="004930D7" w:rsidRDefault="00C96108" w:rsidP="004F0B27">
      <w:pPr>
        <w:spacing w:before="120" w:line="276" w:lineRule="auto"/>
        <w:ind w:firstLine="708"/>
        <w:jc w:val="both"/>
        <w:rPr>
          <w:rFonts w:ascii="Arial" w:hAnsi="Arial" w:cs="Arial"/>
          <w:sz w:val="22"/>
        </w:rPr>
      </w:pPr>
      <w:r w:rsidRPr="004930D7">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bookmarkEnd w:id="1"/>
      <w:r w:rsidRPr="004930D7">
        <w:rPr>
          <w:rFonts w:ascii="Arial" w:hAnsi="Arial" w:cs="Arial"/>
          <w:sz w:val="22"/>
        </w:rPr>
        <w:t>Por ejemplo, para el tipo de infraestructura «</w:t>
      </w:r>
      <w:r w:rsidR="004F0B27" w:rsidRPr="004930D7">
        <w:rPr>
          <w:rFonts w:ascii="Arial" w:hAnsi="Arial" w:cs="Arial"/>
          <w:sz w:val="22"/>
        </w:rPr>
        <w:t>7</w:t>
      </w:r>
      <w:r w:rsidR="00515142" w:rsidRPr="004930D7">
        <w:rPr>
          <w:rFonts w:ascii="Arial" w:hAnsi="Arial" w:cs="Arial"/>
          <w:sz w:val="22"/>
        </w:rPr>
        <w:t xml:space="preserve">. OBRAS </w:t>
      </w:r>
      <w:r w:rsidR="004F0B27" w:rsidRPr="004930D7">
        <w:rPr>
          <w:rFonts w:ascii="Arial" w:hAnsi="Arial" w:cs="Arial"/>
          <w:sz w:val="22"/>
        </w:rPr>
        <w:t>EN PUENTES</w:t>
      </w:r>
      <w:r w:rsidRPr="004930D7">
        <w:rPr>
          <w:rFonts w:ascii="Arial" w:hAnsi="Arial" w:cs="Arial"/>
          <w:sz w:val="22"/>
        </w:rPr>
        <w:t>» la entidad podrá verificar la experiencia requerida en su proceso, de acuerdo con las siguientes actividades</w:t>
      </w:r>
      <w:r w:rsidR="00A325FD" w:rsidRPr="004930D7">
        <w:rPr>
          <w:rFonts w:ascii="Arial" w:hAnsi="Arial" w:cs="Arial"/>
          <w:sz w:val="22"/>
        </w:rPr>
        <w:t>, dependiendo del proyecto a ejecutar</w:t>
      </w:r>
      <w:r w:rsidRPr="004930D7">
        <w:rPr>
          <w:rFonts w:ascii="Arial" w:hAnsi="Arial" w:cs="Arial"/>
          <w:sz w:val="22"/>
        </w:rPr>
        <w:t xml:space="preserve">: </w:t>
      </w:r>
      <w:r w:rsidR="00515142"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.1</w:t>
      </w:r>
      <w:r w:rsidR="004F0B27" w:rsidRPr="004930D7">
        <w:rPr>
          <w:rFonts w:ascii="Arial" w:hAnsi="Arial" w:cs="Arial"/>
          <w:sz w:val="22"/>
        </w:rPr>
        <w:t xml:space="preserve"> proyectos de construcción de puentes en estructura en concreto</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.2 </w:t>
      </w:r>
      <w:r w:rsidR="004F0B27" w:rsidRPr="004930D7">
        <w:rPr>
          <w:rFonts w:ascii="Arial" w:hAnsi="Arial" w:cs="Arial"/>
          <w:sz w:val="22"/>
        </w:rPr>
        <w:t>proyectos de construcción de puentes en estructura metálica</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.3 </w:t>
      </w:r>
      <w:r w:rsidR="004F0B27" w:rsidRPr="004930D7">
        <w:rPr>
          <w:rFonts w:ascii="Arial" w:hAnsi="Arial" w:cs="Arial"/>
          <w:sz w:val="22"/>
        </w:rPr>
        <w:t>construcción de puentes en estructura mixta (en concreto y metálica)</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.4 </w:t>
      </w:r>
      <w:r w:rsidR="004F0B27" w:rsidRPr="004930D7">
        <w:rPr>
          <w:rFonts w:ascii="Arial" w:hAnsi="Arial" w:cs="Arial"/>
          <w:sz w:val="22"/>
        </w:rPr>
        <w:t xml:space="preserve">mejoramiento o mantenimiento o rehabilitación o conservación o repotenciación o refuerzo o actualización sísmica de </w:t>
      </w:r>
      <w:r w:rsidR="004F0B27" w:rsidRPr="004930D7">
        <w:rPr>
          <w:rFonts w:ascii="Arial" w:hAnsi="Arial" w:cs="Arial"/>
          <w:sz w:val="22"/>
        </w:rPr>
        <w:lastRenderedPageBreak/>
        <w:t>puentes vehiculares o férreos, en estructura en concreto</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.5 </w:t>
      </w:r>
      <w:r w:rsidR="004F0B27" w:rsidRPr="004930D7">
        <w:rPr>
          <w:rFonts w:ascii="Arial" w:hAnsi="Arial" w:cs="Arial"/>
          <w:sz w:val="22"/>
        </w:rPr>
        <w:t>mejoramiento o mantenimiento o rehabilitación o conservación o repotenciación o refuerzo o actualización sísmica de puentes vehiculares o férreos, en estructura metálica</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.6 </w:t>
      </w:r>
      <w:r w:rsidR="004F0B27" w:rsidRPr="004930D7">
        <w:rPr>
          <w:rFonts w:ascii="Arial" w:hAnsi="Arial" w:cs="Arial"/>
          <w:sz w:val="22"/>
        </w:rPr>
        <w:t>mejoramiento o mantenimiento o rehabilitación o conservación o repotenciación o refuerzo o actualización sísmica de puentes vehiculares o férreos, en estructura mixta (en concreto y metálica)</w:t>
      </w:r>
      <w:r w:rsidR="008359B9" w:rsidRPr="004930D7">
        <w:rPr>
          <w:rFonts w:ascii="Arial" w:hAnsi="Arial" w:cs="Arial"/>
          <w:sz w:val="22"/>
        </w:rPr>
        <w:t>»</w:t>
      </w:r>
      <w:r w:rsidR="00515142" w:rsidRPr="004930D7">
        <w:rPr>
          <w:rFonts w:ascii="Arial" w:hAnsi="Arial" w:cs="Arial"/>
          <w:sz w:val="22"/>
        </w:rPr>
        <w:t xml:space="preserve">,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.7 </w:t>
      </w:r>
      <w:r w:rsidR="004F0B27" w:rsidRPr="004930D7">
        <w:rPr>
          <w:rFonts w:ascii="Arial" w:hAnsi="Arial" w:cs="Arial"/>
          <w:sz w:val="22"/>
        </w:rPr>
        <w:t>construcción de puentes peatonales en estructura metálica o en concreto o mixta</w:t>
      </w:r>
      <w:r w:rsidR="008359B9" w:rsidRPr="004930D7">
        <w:rPr>
          <w:rFonts w:ascii="Arial" w:hAnsi="Arial" w:cs="Arial"/>
          <w:sz w:val="22"/>
        </w:rPr>
        <w:t>»</w:t>
      </w:r>
      <w:r w:rsidR="00515142" w:rsidRPr="004930D7">
        <w:rPr>
          <w:rFonts w:ascii="Arial" w:hAnsi="Arial" w:cs="Arial"/>
          <w:sz w:val="22"/>
        </w:rPr>
        <w:t xml:space="preserve">, </w:t>
      </w:r>
      <w:r w:rsidR="004F0B27" w:rsidRPr="004930D7">
        <w:rPr>
          <w:rFonts w:ascii="Arial" w:hAnsi="Arial" w:cs="Arial"/>
          <w:sz w:val="22"/>
        </w:rPr>
        <w:t xml:space="preserve">y </w:t>
      </w:r>
      <w:r w:rsidR="008359B9" w:rsidRPr="004930D7">
        <w:rPr>
          <w:rFonts w:ascii="Arial" w:hAnsi="Arial" w:cs="Arial"/>
          <w:sz w:val="22"/>
        </w:rPr>
        <w:t>«</w:t>
      </w:r>
      <w:r w:rsidR="004F0B27" w:rsidRPr="004930D7">
        <w:rPr>
          <w:rFonts w:ascii="Arial" w:hAnsi="Arial" w:cs="Arial"/>
          <w:sz w:val="22"/>
        </w:rPr>
        <w:t>7</w:t>
      </w:r>
      <w:r w:rsidR="00515142" w:rsidRPr="004930D7">
        <w:rPr>
          <w:rFonts w:ascii="Arial" w:hAnsi="Arial" w:cs="Arial"/>
          <w:sz w:val="22"/>
        </w:rPr>
        <w:t xml:space="preserve">.8 </w:t>
      </w:r>
      <w:r w:rsidR="004F0B27" w:rsidRPr="004930D7">
        <w:rPr>
          <w:rFonts w:ascii="Arial" w:hAnsi="Arial" w:cs="Arial"/>
          <w:sz w:val="22"/>
        </w:rPr>
        <w:t>mantenimiento o mejoramiento o conservación o reforzamiento o actualización de puentes peatonales en estructura metálica o en concreto o mixta</w:t>
      </w:r>
      <w:r w:rsidR="008359B9" w:rsidRPr="004930D7">
        <w:rPr>
          <w:rFonts w:ascii="Arial" w:hAnsi="Arial" w:cs="Arial"/>
          <w:sz w:val="22"/>
        </w:rPr>
        <w:t>»</w:t>
      </w:r>
      <w:r w:rsidR="004F0B27" w:rsidRPr="004930D7">
        <w:rPr>
          <w:rFonts w:ascii="Arial" w:hAnsi="Arial" w:cs="Arial"/>
          <w:sz w:val="22"/>
        </w:rPr>
        <w:t>.</w:t>
      </w:r>
    </w:p>
    <w:p w14:paraId="2A099C12" w14:textId="31E91C33" w:rsidR="00C96108" w:rsidRPr="004930D7" w:rsidRDefault="00C96108" w:rsidP="00C96108">
      <w:pPr>
        <w:spacing w:before="120" w:line="276" w:lineRule="auto"/>
        <w:ind w:firstLine="708"/>
        <w:jc w:val="both"/>
        <w:rPr>
          <w:rFonts w:ascii="Arial" w:hAnsi="Arial" w:cs="Arial"/>
          <w:sz w:val="22"/>
        </w:rPr>
      </w:pPr>
      <w:bookmarkStart w:id="2" w:name="_Hlk63048659"/>
      <w:r w:rsidRPr="004930D7">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w:t>
      </w:r>
      <w:r w:rsidR="006F48D3" w:rsidRPr="004930D7">
        <w:rPr>
          <w:rFonts w:ascii="Arial" w:hAnsi="Arial" w:cs="Arial"/>
          <w:sz w:val="22"/>
        </w:rPr>
        <w:t xml:space="preserve">en </w:t>
      </w:r>
      <w:r w:rsidRPr="004930D7">
        <w:rPr>
          <w:rFonts w:ascii="Arial" w:hAnsi="Arial" w:cs="Arial"/>
          <w:sz w:val="22"/>
        </w:rPr>
        <w:t xml:space="preserve">la Ley 1882 de 2018 y </w:t>
      </w:r>
      <w:r w:rsidR="006F48D3" w:rsidRPr="004930D7">
        <w:rPr>
          <w:rFonts w:ascii="Arial" w:hAnsi="Arial" w:cs="Arial"/>
          <w:sz w:val="22"/>
        </w:rPr>
        <w:t>2022 de 2020</w:t>
      </w:r>
      <w:r w:rsidRPr="004930D7">
        <w:rPr>
          <w:rFonts w:ascii="Arial" w:hAnsi="Arial" w:cs="Arial"/>
          <w:sz w:val="22"/>
        </w:rPr>
        <w:t>, conforme a l</w:t>
      </w:r>
      <w:r w:rsidR="006F48D3" w:rsidRPr="004930D7">
        <w:rPr>
          <w:rFonts w:ascii="Arial" w:hAnsi="Arial" w:cs="Arial"/>
          <w:sz w:val="22"/>
        </w:rPr>
        <w:t>a</w:t>
      </w:r>
      <w:r w:rsidRPr="004930D7">
        <w:rPr>
          <w:rFonts w:ascii="Arial" w:hAnsi="Arial" w:cs="Arial"/>
          <w:sz w:val="22"/>
        </w:rPr>
        <w:t xml:space="preserve">s cuales las condiciones habilitantes fijadas en los documentos tipo deben tener en cuenta la naturaleza y cuantía del tipo de intervención. </w:t>
      </w:r>
    </w:p>
    <w:p w14:paraId="4DB52AF7" w14:textId="02DD2641" w:rsidR="00C96108" w:rsidRPr="004930D7" w:rsidRDefault="00FA0C7C" w:rsidP="00C96108">
      <w:pPr>
        <w:spacing w:before="120" w:after="120" w:line="276" w:lineRule="auto"/>
        <w:ind w:firstLine="709"/>
        <w:jc w:val="both"/>
        <w:rPr>
          <w:rFonts w:ascii="Arial" w:hAnsi="Arial" w:cs="Arial"/>
          <w:sz w:val="22"/>
        </w:rPr>
      </w:pPr>
      <w:bookmarkStart w:id="3" w:name="_Hlk63048761"/>
      <w:bookmarkEnd w:id="2"/>
      <w:r w:rsidRPr="004930D7">
        <w:rPr>
          <w:rFonts w:ascii="Arial" w:hAnsi="Arial" w:cs="Arial"/>
          <w:sz w:val="22"/>
        </w:rPr>
        <w:t>Con lo anterior</w:t>
      </w:r>
      <w:r w:rsidR="006F48D3" w:rsidRPr="004930D7">
        <w:rPr>
          <w:rFonts w:ascii="Arial" w:hAnsi="Arial" w:cs="Arial"/>
          <w:sz w:val="22"/>
        </w:rPr>
        <w:t>,</w:t>
      </w:r>
      <w:r w:rsidRPr="004930D7">
        <w:rPr>
          <w:rFonts w:ascii="Arial" w:hAnsi="Arial" w:cs="Arial"/>
          <w:sz w:val="22"/>
        </w:rPr>
        <w:t xml:space="preserve"> es posible determinar las obras relacionadas con los tipos de infraestructura </w:t>
      </w:r>
      <w:r w:rsidR="00C96108" w:rsidRPr="004930D7">
        <w:rPr>
          <w:rFonts w:ascii="Arial" w:hAnsi="Arial" w:cs="Arial"/>
          <w:sz w:val="22"/>
        </w:rPr>
        <w:t>establecido</w:t>
      </w:r>
      <w:r w:rsidRPr="004930D7">
        <w:rPr>
          <w:rFonts w:ascii="Arial" w:hAnsi="Arial" w:cs="Arial"/>
          <w:sz w:val="22"/>
        </w:rPr>
        <w:t>s</w:t>
      </w:r>
      <w:r w:rsidR="00C96108" w:rsidRPr="004930D7">
        <w:rPr>
          <w:rFonts w:ascii="Arial" w:hAnsi="Arial" w:cs="Arial"/>
          <w:sz w:val="22"/>
        </w:rPr>
        <w:t xml:space="preserve"> en los documentos desarrollados por la Agencia Nacional de Contratación Pública – Colombia Compra Eficiente, </w:t>
      </w:r>
      <w:r w:rsidRPr="004930D7">
        <w:rPr>
          <w:rFonts w:ascii="Arial" w:hAnsi="Arial" w:cs="Arial"/>
          <w:sz w:val="22"/>
        </w:rPr>
        <w:t>los cuales están</w:t>
      </w:r>
      <w:r w:rsidR="00C96108" w:rsidRPr="004930D7">
        <w:rPr>
          <w:rFonts w:ascii="Arial" w:hAnsi="Arial" w:cs="Arial"/>
          <w:sz w:val="22"/>
        </w:rPr>
        <w:t xml:space="preserve"> incluido</w:t>
      </w:r>
      <w:r w:rsidRPr="004930D7">
        <w:rPr>
          <w:rFonts w:ascii="Arial" w:hAnsi="Arial" w:cs="Arial"/>
          <w:sz w:val="22"/>
        </w:rPr>
        <w:t>s</w:t>
      </w:r>
      <w:r w:rsidR="00C96108" w:rsidRPr="004930D7">
        <w:rPr>
          <w:rFonts w:ascii="Arial" w:hAnsi="Arial" w:cs="Arial"/>
          <w:sz w:val="22"/>
        </w:rPr>
        <w:t xml:space="preserve"> en la Matriz 1, por lo que son de obligatorio cumplimiento</w:t>
      </w:r>
      <w:r w:rsidR="006F48D3" w:rsidRPr="004930D7">
        <w:rPr>
          <w:rFonts w:ascii="Arial" w:hAnsi="Arial" w:cs="Arial"/>
          <w:sz w:val="22"/>
        </w:rPr>
        <w:t xml:space="preserve"> para todas las entidades sometidas al Estatuto General de Contratación de la Administración Pública, </w:t>
      </w:r>
      <w:r w:rsidR="008D4672" w:rsidRPr="004930D7">
        <w:rPr>
          <w:rFonts w:ascii="Arial" w:hAnsi="Arial" w:cs="Arial"/>
          <w:sz w:val="22"/>
        </w:rPr>
        <w:t>de manera que los documentos tipo</w:t>
      </w:r>
      <w:r w:rsidR="00C96108" w:rsidRPr="004930D7">
        <w:rPr>
          <w:rFonts w:ascii="Arial" w:hAnsi="Arial" w:cs="Arial"/>
          <w:sz w:val="22"/>
        </w:rPr>
        <w:t xml:space="preserve"> no pueden ser alterados, modificados o adicionados en su contenido</w:t>
      </w:r>
      <w:r w:rsidR="008D4672" w:rsidRPr="004930D7">
        <w:rPr>
          <w:rFonts w:ascii="Arial" w:hAnsi="Arial" w:cs="Arial"/>
          <w:sz w:val="22"/>
        </w:rPr>
        <w:t>, salvo cuando estos mismos lo permitan.</w:t>
      </w:r>
    </w:p>
    <w:bookmarkEnd w:id="3"/>
    <w:p w14:paraId="3A3E2A0F"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DE0639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5A0934"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b) Definido el tipo de infraestructura, identificar la </w:t>
      </w:r>
      <w:r w:rsidRPr="004930D7">
        <w:rPr>
          <w:rFonts w:ascii="Arial" w:eastAsia="Calibri" w:hAnsi="Arial" w:cs="Arial"/>
          <w:sz w:val="22"/>
        </w:rPr>
        <w:t>«</w:t>
      </w:r>
      <w:r w:rsidRPr="004930D7">
        <w:rPr>
          <w:rFonts w:ascii="Arial" w:hAnsi="Arial" w:cs="Arial"/>
          <w:sz w:val="22"/>
        </w:rPr>
        <w:t>ACTIVIDAD A CONTRATAR</w:t>
      </w:r>
      <w:r w:rsidRPr="004930D7">
        <w:rPr>
          <w:rFonts w:ascii="Arial" w:eastAsia="Calibri" w:hAnsi="Arial" w:cs="Arial"/>
          <w:sz w:val="22"/>
        </w:rPr>
        <w:t>»</w:t>
      </w:r>
      <w:r w:rsidRPr="004930D7">
        <w:rPr>
          <w:rFonts w:ascii="Arial" w:hAnsi="Arial" w:cs="Arial"/>
          <w:sz w:val="22"/>
        </w:rPr>
        <w:t xml:space="preserve"> acorde con la Matriz 1. </w:t>
      </w:r>
    </w:p>
    <w:p w14:paraId="2D1FC5E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c) Identificar el rango en el cual se encuentra el Proceso de Contratación de acuerdo con el presupuesto oficial. </w:t>
      </w:r>
    </w:p>
    <w:p w14:paraId="36F87A6D"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d) Identificar la </w:t>
      </w:r>
      <w:r w:rsidRPr="004930D7">
        <w:rPr>
          <w:rFonts w:ascii="Arial" w:eastAsia="Calibri" w:hAnsi="Arial" w:cs="Arial"/>
          <w:sz w:val="22"/>
        </w:rPr>
        <w:t>«</w:t>
      </w:r>
      <w:r w:rsidRPr="004930D7">
        <w:rPr>
          <w:rFonts w:ascii="Arial" w:hAnsi="Arial" w:cs="Arial"/>
          <w:sz w:val="22"/>
        </w:rPr>
        <w:t>experiencia general</w:t>
      </w:r>
      <w:r w:rsidRPr="004930D7">
        <w:rPr>
          <w:rFonts w:ascii="Arial" w:eastAsia="Calibri" w:hAnsi="Arial" w:cs="Arial"/>
          <w:sz w:val="22"/>
        </w:rPr>
        <w:t>»</w:t>
      </w:r>
      <w:r w:rsidRPr="004930D7">
        <w:rPr>
          <w:rFonts w:ascii="Arial" w:hAnsi="Arial" w:cs="Arial"/>
          <w:sz w:val="22"/>
        </w:rPr>
        <w:t xml:space="preserve"> exigible acorde con la Matriz 1 teniendo en cuenta la actividad a contratar y el rango de la cuantía del Proceso de Contratación. </w:t>
      </w:r>
    </w:p>
    <w:p w14:paraId="757D67F5" w14:textId="77777777" w:rsidR="00C96108" w:rsidRPr="004930D7" w:rsidRDefault="00C96108" w:rsidP="00D623A5">
      <w:pPr>
        <w:spacing w:before="120" w:after="120" w:line="276" w:lineRule="auto"/>
        <w:ind w:firstLine="709"/>
        <w:jc w:val="both"/>
        <w:rPr>
          <w:rFonts w:ascii="Arial" w:hAnsi="Arial" w:cs="Arial"/>
          <w:sz w:val="22"/>
        </w:rPr>
      </w:pPr>
      <w:r w:rsidRPr="004930D7">
        <w:rPr>
          <w:rFonts w:ascii="Arial" w:hAnsi="Arial" w:cs="Arial"/>
          <w:sz w:val="22"/>
        </w:rPr>
        <w:t xml:space="preserve">e) Identificar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exigible y el porcentaje de dimensionamiento que se puede solicitar acorde con la longitud a ejecutar, de acuerdo con la cuantía del proceso de contratación. Cuando en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se indiquen </w:t>
      </w:r>
      <w:r w:rsidRPr="004930D7">
        <w:rPr>
          <w:rFonts w:ascii="Arial" w:hAnsi="Arial" w:cs="Arial"/>
          <w:sz w:val="22"/>
        </w:rPr>
        <w:lastRenderedPageBreak/>
        <w:t xml:space="preserve">las siglas </w:t>
      </w:r>
      <w:r w:rsidRPr="004930D7">
        <w:rPr>
          <w:rFonts w:ascii="Arial" w:hAnsi="Arial" w:cs="Arial"/>
          <w:i/>
          <w:iCs/>
          <w:sz w:val="22"/>
        </w:rPr>
        <w:t>N.A</w:t>
      </w:r>
      <w:r w:rsidRPr="004930D7">
        <w:rPr>
          <w:rFonts w:ascii="Arial" w:hAnsi="Arial" w:cs="Arial"/>
          <w:sz w:val="22"/>
        </w:rPr>
        <w:t xml:space="preserve"> significa que la entidad estatal no puede exigir a los proponentes experiencia específica en los procesos de contratación. </w:t>
      </w:r>
    </w:p>
    <w:p w14:paraId="1B44D093" w14:textId="6F6D7EAC" w:rsidR="00C96108" w:rsidRPr="004930D7" w:rsidRDefault="00C96108" w:rsidP="00FA0C7C">
      <w:pPr>
        <w:spacing w:after="120" w:line="276" w:lineRule="auto"/>
        <w:jc w:val="both"/>
        <w:rPr>
          <w:rFonts w:ascii="Arial" w:hAnsi="Arial" w:cs="Arial"/>
          <w:color w:val="000000" w:themeColor="text1"/>
          <w:sz w:val="22"/>
          <w:lang w:val="es-CO"/>
        </w:rPr>
      </w:pPr>
      <w:r w:rsidRPr="004930D7">
        <w:rPr>
          <w:rFonts w:ascii="Arial" w:eastAsia="Calibri" w:hAnsi="Arial" w:cs="Arial"/>
          <w:color w:val="000000" w:themeColor="text1"/>
          <w:sz w:val="22"/>
          <w:lang w:val="es-CO"/>
        </w:rPr>
        <w:tab/>
      </w:r>
      <w:r w:rsidR="00D623A5" w:rsidRPr="004930D7">
        <w:rPr>
          <w:rFonts w:ascii="Arial" w:hAnsi="Arial" w:cs="Arial"/>
          <w:color w:val="000000" w:themeColor="text1"/>
          <w:sz w:val="22"/>
          <w:lang w:val="es-CO"/>
        </w:rPr>
        <w:t>L</w:t>
      </w:r>
      <w:r w:rsidRPr="004930D7">
        <w:rPr>
          <w:rFonts w:ascii="Arial" w:hAnsi="Arial" w:cs="Arial"/>
          <w:color w:val="000000" w:themeColor="text1"/>
          <w:sz w:val="22"/>
          <w:lang w:val="es-CO"/>
        </w:rPr>
        <w:t xml:space="preserve">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general</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y la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específica</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 </w:t>
      </w:r>
    </w:p>
    <w:p w14:paraId="3A024748" w14:textId="3DC6FC24" w:rsidR="00C96108" w:rsidRPr="004930D7" w:rsidRDefault="00C96108" w:rsidP="00A43BAE">
      <w:pPr>
        <w:spacing w:before="120" w:after="120" w:line="276" w:lineRule="auto"/>
        <w:ind w:firstLine="709"/>
        <w:jc w:val="both"/>
        <w:rPr>
          <w:rStyle w:val="normaltextrun"/>
          <w:rFonts w:ascii="Arial" w:hAnsi="Arial" w:cs="Arial"/>
          <w:color w:val="000000"/>
          <w:sz w:val="22"/>
          <w:shd w:val="clear" w:color="auto" w:fill="FFFFFF"/>
          <w:lang w:val="es-ES"/>
        </w:rPr>
      </w:pPr>
      <w:bookmarkStart w:id="4" w:name="_Hlk63048833"/>
      <w:r w:rsidRPr="004930D7">
        <w:rPr>
          <w:rFonts w:ascii="Arial" w:hAnsi="Arial" w:cs="Arial"/>
          <w:color w:val="000000" w:themeColor="text1"/>
          <w:sz w:val="22"/>
          <w:lang w:val="es-CO"/>
        </w:rPr>
        <w:t>De esta forma</w:t>
      </w:r>
      <w:r w:rsidRPr="004930D7">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r w:rsidR="00C55D02" w:rsidRPr="004930D7">
        <w:t xml:space="preserve"> </w:t>
      </w:r>
      <w:r w:rsidR="00C55D02" w:rsidRPr="004930D7">
        <w:rPr>
          <w:rStyle w:val="normaltextrun"/>
          <w:rFonts w:ascii="Arial" w:hAnsi="Arial" w:cs="Arial"/>
          <w:color w:val="000000"/>
          <w:sz w:val="22"/>
          <w:shd w:val="clear" w:color="auto" w:fill="FFFFFF"/>
          <w:lang w:val="es-ES"/>
        </w:rPr>
        <w:t>Además, debe tener en cuenta los conceptos propios de la ingeniería civil y los definidos del «Anexo 3 – Glosario», con el fin de verificar si el objeto a contratar se encuentra enmarcado en dichas actividades.</w:t>
      </w:r>
    </w:p>
    <w:bookmarkEnd w:id="4"/>
    <w:p w14:paraId="1A0D12F0" w14:textId="4ECBA042" w:rsidR="00C55D02" w:rsidRPr="004930D7" w:rsidRDefault="00C96108" w:rsidP="00C55D02">
      <w:pPr>
        <w:spacing w:after="120" w:line="276" w:lineRule="auto"/>
        <w:ind w:firstLine="709"/>
        <w:jc w:val="both"/>
        <w:rPr>
          <w:rFonts w:ascii="Arial" w:hAnsi="Arial" w:cs="Arial"/>
          <w:sz w:val="22"/>
          <w:shd w:val="clear" w:color="auto" w:fill="FFFFFF"/>
        </w:rPr>
      </w:pPr>
      <w:r w:rsidRPr="004930D7">
        <w:rPr>
          <w:rFonts w:ascii="Arial" w:hAnsi="Arial" w:cs="Arial"/>
          <w:sz w:val="22"/>
          <w:shd w:val="clear" w:color="auto" w:fill="FFFFFF"/>
        </w:rPr>
        <w:t xml:space="preserve">Para el procedimiento de licitación pública, el artículo 2.2.1.2.6.1.4 del Decreto 1082 de 2015 </w:t>
      </w:r>
      <w:r w:rsidR="008D4672" w:rsidRPr="004930D7">
        <w:rPr>
          <w:rFonts w:ascii="Arial" w:hAnsi="Arial" w:cs="Arial"/>
          <w:sz w:val="22"/>
          <w:shd w:val="clear" w:color="auto" w:fill="FFFFFF"/>
        </w:rPr>
        <w:t xml:space="preserve">y el artículo 3 de las resoluciones 240 y 241, ambas del 27 de noviembre de 2020, establecen </w:t>
      </w:r>
      <w:r w:rsidRPr="004930D7">
        <w:rPr>
          <w:rFonts w:ascii="Arial" w:hAnsi="Arial" w:cs="Arial"/>
          <w:sz w:val="22"/>
          <w:shd w:val="clear" w:color="auto" w:fill="FFFFFF"/>
        </w:rPr>
        <w:t xml:space="preserve"> la inalterabilidad de los Documentos Tipo, </w:t>
      </w:r>
      <w:r w:rsidR="008D4672" w:rsidRPr="004930D7">
        <w:rPr>
          <w:rFonts w:ascii="Arial" w:hAnsi="Arial" w:cs="Arial"/>
          <w:sz w:val="22"/>
          <w:shd w:val="clear" w:color="auto" w:fill="FFFFFF"/>
        </w:rPr>
        <w:t>que</w:t>
      </w:r>
      <w:r w:rsidRPr="004930D7">
        <w:rPr>
          <w:rFonts w:ascii="Arial" w:hAnsi="Arial" w:cs="Arial"/>
          <w:sz w:val="22"/>
          <w:shd w:val="clear" w:color="auto" w:fill="FFFFFF"/>
        </w:rPr>
        <w:t xml:space="preserve"> consiste en que las entidades estatales no pueden incluir o modificar en los </w:t>
      </w:r>
      <w:r w:rsidR="008D4672" w:rsidRPr="004930D7">
        <w:rPr>
          <w:rFonts w:ascii="Arial" w:hAnsi="Arial" w:cs="Arial"/>
          <w:sz w:val="22"/>
          <w:shd w:val="clear" w:color="auto" w:fill="FFFFFF"/>
        </w:rPr>
        <w:t>d</w:t>
      </w:r>
      <w:r w:rsidRPr="004930D7">
        <w:rPr>
          <w:rFonts w:ascii="Arial" w:hAnsi="Arial" w:cs="Arial"/>
          <w:sz w:val="22"/>
          <w:shd w:val="clear" w:color="auto" w:fill="FFFFFF"/>
        </w:rPr>
        <w:t xml:space="preserve">ocumentos del </w:t>
      </w:r>
      <w:r w:rsidR="008D4672" w:rsidRPr="004930D7">
        <w:rPr>
          <w:rFonts w:ascii="Arial" w:hAnsi="Arial" w:cs="Arial"/>
          <w:sz w:val="22"/>
          <w:shd w:val="clear" w:color="auto" w:fill="FFFFFF"/>
        </w:rPr>
        <w:t>p</w:t>
      </w:r>
      <w:r w:rsidRPr="004930D7">
        <w:rPr>
          <w:rFonts w:ascii="Arial" w:hAnsi="Arial" w:cs="Arial"/>
          <w:sz w:val="22"/>
          <w:shd w:val="clear" w:color="auto" w:fill="FFFFFF"/>
        </w:rPr>
        <w:t xml:space="preserve">roceso las condiciones habilitantes, los factores técnicos y económicos de escogencia y los sistemas de ponderación distintos a los señalados en los Documentos Tipo. </w:t>
      </w:r>
    </w:p>
    <w:p w14:paraId="6E9BE0E6" w14:textId="250C3F92" w:rsidR="00C55D02" w:rsidRPr="004930D7" w:rsidRDefault="00C55D02" w:rsidP="009A69E3">
      <w:pPr>
        <w:spacing w:line="276" w:lineRule="auto"/>
        <w:ind w:firstLine="709"/>
        <w:jc w:val="both"/>
        <w:rPr>
          <w:rFonts w:ascii="Arial" w:hAnsi="Arial" w:cs="Arial"/>
          <w:sz w:val="22"/>
          <w:shd w:val="clear" w:color="auto" w:fill="FFFFFF"/>
        </w:rPr>
      </w:pPr>
      <w:r w:rsidRPr="004930D7">
        <w:rPr>
          <w:rFonts w:ascii="Arial" w:hAnsi="Arial" w:cs="Arial"/>
          <w:sz w:val="22"/>
          <w:shd w:val="clear" w:color="auto" w:fill="FFFFFF"/>
        </w:rPr>
        <w:t xml:space="preserve">Lo anterior es aplicable al «Anexo 3 – Glosario», teniendo en cuenta que es parte de los documentos tipo, pero dicho principio de inalterabilidad tiene como excepción los espacios </w:t>
      </w:r>
      <w:r w:rsidR="00387C67" w:rsidRPr="004930D7">
        <w:rPr>
          <w:rFonts w:ascii="Arial" w:hAnsi="Arial" w:cs="Arial"/>
          <w:sz w:val="22"/>
          <w:shd w:val="clear" w:color="auto" w:fill="FFFFFF"/>
        </w:rPr>
        <w:t xml:space="preserve">o notas </w:t>
      </w:r>
      <w:r w:rsidRPr="004930D7">
        <w:rPr>
          <w:rFonts w:ascii="Arial" w:hAnsi="Arial" w:cs="Arial"/>
          <w:sz w:val="22"/>
          <w:shd w:val="clear" w:color="auto" w:fill="FFFFFF"/>
        </w:rPr>
        <w:t>señalad</w:t>
      </w:r>
      <w:r w:rsidR="00387C67" w:rsidRPr="004930D7">
        <w:rPr>
          <w:rFonts w:ascii="Arial" w:hAnsi="Arial" w:cs="Arial"/>
          <w:sz w:val="22"/>
          <w:shd w:val="clear" w:color="auto" w:fill="FFFFFF"/>
        </w:rPr>
        <w:t>o</w:t>
      </w:r>
      <w:r w:rsidRPr="004930D7">
        <w:rPr>
          <w:rFonts w:ascii="Arial" w:hAnsi="Arial" w:cs="Arial"/>
          <w:sz w:val="22"/>
          <w:shd w:val="clear" w:color="auto" w:fill="FFFFFF"/>
        </w:rPr>
        <w:t xml:space="preserve">s en gris y corchetes </w:t>
      </w:r>
      <w:r w:rsidR="00387C67" w:rsidRPr="004930D7">
        <w:rPr>
          <w:rFonts w:ascii="Arial" w:hAnsi="Arial" w:cs="Arial"/>
          <w:sz w:val="22"/>
          <w:shd w:val="clear" w:color="auto" w:fill="FFFFFF"/>
        </w:rPr>
        <w:t>que indican que la entidad debe modificar el espacio demarcado</w:t>
      </w:r>
      <w:r w:rsidR="00752701" w:rsidRPr="004930D7">
        <w:rPr>
          <w:rFonts w:ascii="Arial" w:hAnsi="Arial" w:cs="Arial"/>
          <w:sz w:val="22"/>
          <w:shd w:val="clear" w:color="auto" w:fill="FFFFFF"/>
        </w:rPr>
        <w:t>,</w:t>
      </w:r>
      <w:r w:rsidR="00387C67" w:rsidRPr="004930D7">
        <w:rPr>
          <w:rFonts w:ascii="Arial" w:hAnsi="Arial" w:cs="Arial"/>
          <w:sz w:val="22"/>
          <w:shd w:val="clear" w:color="auto" w:fill="FFFFFF"/>
        </w:rPr>
        <w:t xml:space="preserve"> o que debe seguir las indicaciones de la nota así dispuesta. En ese sentido, el «Anexo 3 – Glosario» incluye</w:t>
      </w:r>
      <w:r w:rsidR="004259FB" w:rsidRPr="004930D7">
        <w:rPr>
          <w:rFonts w:ascii="Arial" w:hAnsi="Arial" w:cs="Arial"/>
          <w:sz w:val="22"/>
          <w:shd w:val="clear" w:color="auto" w:fill="FFFFFF"/>
        </w:rPr>
        <w:t>, que</w:t>
      </w:r>
      <w:r w:rsidR="00387C67" w:rsidRPr="004930D7">
        <w:rPr>
          <w:rFonts w:ascii="Arial" w:hAnsi="Arial" w:cs="Arial"/>
          <w:sz w:val="22"/>
          <w:shd w:val="clear" w:color="auto" w:fill="FFFFFF"/>
        </w:rPr>
        <w:t>:</w:t>
      </w:r>
      <w:r w:rsidR="00387C67" w:rsidRPr="004930D7">
        <w:rPr>
          <w:rStyle w:val="normaltextrun"/>
          <w:rFonts w:ascii="Arial" w:hAnsi="Arial" w:cs="Arial"/>
          <w:color w:val="000000"/>
          <w:sz w:val="22"/>
          <w:shd w:val="clear" w:color="auto" w:fill="FFFFFF"/>
          <w:lang w:val="es-ES"/>
        </w:rPr>
        <w:t xml:space="preserve"> </w:t>
      </w:r>
      <w:r w:rsidR="00387C67" w:rsidRPr="00E25414">
        <w:rPr>
          <w:rFonts w:ascii="Arial" w:eastAsia="Arial" w:hAnsi="Arial" w:cs="Times New Roman"/>
          <w:sz w:val="22"/>
          <w:lang w:val="es-CO"/>
        </w:rPr>
        <w:t>[La Entidad deberá incluir en orden alfabético los conceptos adicionales que aplican al proceso de selección que no estén incluidos en el presente anexo, con su respectiva fuente].</w:t>
      </w:r>
      <w:r w:rsidR="004259FB" w:rsidRPr="004930D7">
        <w:rPr>
          <w:rFonts w:ascii="Arial" w:eastAsia="Arial" w:hAnsi="Arial" w:cs="Times New Roman"/>
          <w:sz w:val="22"/>
          <w:lang w:val="es-CO"/>
        </w:rPr>
        <w:t xml:space="preserve"> De esta manera, la entidad puede incluir términos adicionales que considere conveniente establecer en el glosario, conservando los términos ya definidos</w:t>
      </w:r>
      <w:r w:rsidR="00AB3BFA" w:rsidRPr="004930D7">
        <w:rPr>
          <w:rFonts w:ascii="Arial" w:eastAsia="Arial" w:hAnsi="Arial" w:cs="Times New Roman"/>
          <w:sz w:val="22"/>
          <w:lang w:val="es-CO"/>
        </w:rPr>
        <w:t>, los cuales no podrá modificar.</w:t>
      </w:r>
    </w:p>
    <w:p w14:paraId="6D276306" w14:textId="484D5674" w:rsidR="00A43BAE" w:rsidRPr="004930D7" w:rsidRDefault="00A43BAE" w:rsidP="009A69E3">
      <w:pPr>
        <w:spacing w:line="276" w:lineRule="auto"/>
        <w:jc w:val="both"/>
        <w:rPr>
          <w:rFonts w:ascii="Arial" w:eastAsia="Calibri" w:hAnsi="Arial" w:cs="Arial"/>
          <w:b/>
          <w:color w:val="0D0D0D" w:themeColor="text1" w:themeTint="F2"/>
          <w:sz w:val="22"/>
        </w:rPr>
      </w:pPr>
    </w:p>
    <w:p w14:paraId="63397AC0" w14:textId="61EF8B85" w:rsidR="00267368" w:rsidRPr="004930D7" w:rsidRDefault="00A43BAE" w:rsidP="009A69E3">
      <w:pPr>
        <w:spacing w:line="276" w:lineRule="auto"/>
        <w:jc w:val="both"/>
        <w:rPr>
          <w:rFonts w:ascii="Arial" w:eastAsia="Calibri" w:hAnsi="Arial" w:cs="Arial"/>
          <w:b/>
          <w:color w:val="0D0D0D" w:themeColor="text1" w:themeTint="F2"/>
          <w:sz w:val="22"/>
        </w:rPr>
      </w:pPr>
      <w:r w:rsidRPr="004930D7">
        <w:rPr>
          <w:rFonts w:ascii="Arial" w:eastAsia="Calibri" w:hAnsi="Arial" w:cs="Arial"/>
          <w:b/>
          <w:color w:val="0D0D0D" w:themeColor="text1" w:themeTint="F2"/>
          <w:sz w:val="22"/>
        </w:rPr>
        <w:t>2.</w:t>
      </w:r>
      <w:r w:rsidR="004259FB" w:rsidRPr="004930D7">
        <w:rPr>
          <w:rFonts w:ascii="Arial" w:eastAsia="Calibri" w:hAnsi="Arial" w:cs="Arial"/>
          <w:b/>
          <w:color w:val="0D0D0D" w:themeColor="text1" w:themeTint="F2"/>
          <w:sz w:val="22"/>
        </w:rPr>
        <w:t>2</w:t>
      </w:r>
      <w:r w:rsidRPr="004930D7">
        <w:rPr>
          <w:rFonts w:ascii="Arial" w:eastAsia="Calibri" w:hAnsi="Arial" w:cs="Arial"/>
          <w:b/>
          <w:color w:val="0D0D0D" w:themeColor="text1" w:themeTint="F2"/>
          <w:sz w:val="22"/>
        </w:rPr>
        <w:t xml:space="preserve">. </w:t>
      </w:r>
      <w:r w:rsidR="00564BBB" w:rsidRPr="004930D7">
        <w:rPr>
          <w:rFonts w:ascii="Arial" w:eastAsia="Calibri" w:hAnsi="Arial" w:cs="Arial"/>
          <w:b/>
          <w:color w:val="0D0D0D" w:themeColor="text1" w:themeTint="F2"/>
          <w:sz w:val="22"/>
        </w:rPr>
        <w:t>Ponderación de la oferta económica en procedimientos contractuales regidos por los documentos tipo</w:t>
      </w:r>
    </w:p>
    <w:p w14:paraId="0D0C6E5C" w14:textId="30F27718" w:rsidR="00643AD2" w:rsidRPr="004930D7" w:rsidRDefault="00643AD2" w:rsidP="009A69E3">
      <w:pPr>
        <w:spacing w:line="276" w:lineRule="auto"/>
        <w:jc w:val="both"/>
        <w:rPr>
          <w:rFonts w:ascii="Arial" w:eastAsia="Calibri" w:hAnsi="Arial" w:cs="Arial"/>
          <w:b/>
          <w:color w:val="0D0D0D" w:themeColor="text1" w:themeTint="F2"/>
          <w:sz w:val="22"/>
        </w:rPr>
      </w:pPr>
    </w:p>
    <w:p w14:paraId="3297E160" w14:textId="3DC85218" w:rsidR="00564BBB" w:rsidRPr="004930D7" w:rsidRDefault="00564BBB" w:rsidP="009A69E3">
      <w:pPr>
        <w:spacing w:after="120" w:line="276" w:lineRule="auto"/>
        <w:jc w:val="both"/>
        <w:rPr>
          <w:rFonts w:ascii="Arial" w:eastAsia="Calibri" w:hAnsi="Arial" w:cs="Arial"/>
          <w:sz w:val="22"/>
        </w:rPr>
      </w:pPr>
      <w:r w:rsidRPr="004930D7">
        <w:rPr>
          <w:rFonts w:ascii="Arial" w:eastAsia="Calibri" w:hAnsi="Arial" w:cs="Arial"/>
          <w:sz w:val="22"/>
        </w:rPr>
        <w:lastRenderedPageBreak/>
        <w:t xml:space="preserve">El numeral 4.1.4. del documento base señala las alternativas para escoger el método de ponderación de la propuesta económica. Estas son las siguientes: i) mediana con valor absoluto, </w:t>
      </w:r>
      <w:proofErr w:type="spellStart"/>
      <w:r w:rsidRPr="004930D7">
        <w:rPr>
          <w:rFonts w:ascii="Arial" w:eastAsia="Calibri" w:hAnsi="Arial" w:cs="Arial"/>
          <w:sz w:val="22"/>
        </w:rPr>
        <w:t>ii</w:t>
      </w:r>
      <w:proofErr w:type="spellEnd"/>
      <w:r w:rsidRPr="004930D7">
        <w:rPr>
          <w:rFonts w:ascii="Arial" w:eastAsia="Calibri" w:hAnsi="Arial" w:cs="Arial"/>
          <w:sz w:val="22"/>
        </w:rPr>
        <w:t xml:space="preserve">) media geométrica, </w:t>
      </w:r>
      <w:proofErr w:type="spellStart"/>
      <w:r w:rsidRPr="004930D7">
        <w:rPr>
          <w:rFonts w:ascii="Arial" w:eastAsia="Calibri" w:hAnsi="Arial" w:cs="Arial"/>
          <w:sz w:val="22"/>
        </w:rPr>
        <w:t>iii</w:t>
      </w:r>
      <w:proofErr w:type="spellEnd"/>
      <w:r w:rsidRPr="004930D7">
        <w:rPr>
          <w:rFonts w:ascii="Arial" w:eastAsia="Calibri" w:hAnsi="Arial" w:cs="Arial"/>
          <w:sz w:val="22"/>
        </w:rPr>
        <w:t xml:space="preserve">) media aritmética baja y </w:t>
      </w:r>
      <w:proofErr w:type="spellStart"/>
      <w:r w:rsidRPr="004930D7">
        <w:rPr>
          <w:rFonts w:ascii="Arial" w:eastAsia="Calibri" w:hAnsi="Arial" w:cs="Arial"/>
          <w:sz w:val="22"/>
        </w:rPr>
        <w:t>iv</w:t>
      </w:r>
      <w:proofErr w:type="spellEnd"/>
      <w:r w:rsidRPr="004930D7">
        <w:rPr>
          <w:rFonts w:ascii="Arial" w:eastAsia="Calibri" w:hAnsi="Arial" w:cs="Arial"/>
          <w:sz w:val="22"/>
        </w:rPr>
        <w:t>) menor valor</w:t>
      </w:r>
      <w:r w:rsidRPr="004930D7">
        <w:rPr>
          <w:rStyle w:val="Refdenotaalpie"/>
          <w:rFonts w:ascii="Arial" w:eastAsia="Calibri" w:hAnsi="Arial" w:cs="Arial"/>
          <w:sz w:val="22"/>
        </w:rPr>
        <w:footnoteReference w:id="1"/>
      </w:r>
      <w:r w:rsidRPr="004930D7">
        <w:rPr>
          <w:rFonts w:ascii="Arial" w:eastAsia="Calibri" w:hAnsi="Arial" w:cs="Arial"/>
          <w:sz w:val="22"/>
        </w:rPr>
        <w:t>.</w:t>
      </w:r>
    </w:p>
    <w:p w14:paraId="07ADDDFF" w14:textId="77777777" w:rsidR="00564BBB" w:rsidRPr="004930D7" w:rsidRDefault="00564BBB" w:rsidP="00564BBB">
      <w:pPr>
        <w:spacing w:line="276" w:lineRule="auto"/>
        <w:ind w:firstLine="708"/>
        <w:jc w:val="both"/>
        <w:rPr>
          <w:rFonts w:ascii="Arial" w:eastAsia="Calibri" w:hAnsi="Arial" w:cs="Arial"/>
          <w:sz w:val="22"/>
        </w:rPr>
      </w:pPr>
      <w:r w:rsidRPr="004930D7">
        <w:rPr>
          <w:rFonts w:ascii="Arial" w:eastAsia="Calibri" w:hAnsi="Arial" w:cs="Arial"/>
          <w:sz w:val="22"/>
        </w:rPr>
        <w:t>La entidad escogerá uno u otro método de ponderación de acuerdo con la Tasa de Cambio Representativa del Mercado –TRM– del día hábil siguiente al día en que efectivamente sea la apertura del segundo sobre que contiene las ofertas económicas. La entidad debe tener en cuenta los centavos de la TRM para definir el método de ponderación de acuerdo con los rangos del siguiente cuadro:</w:t>
      </w:r>
    </w:p>
    <w:p w14:paraId="342A2301" w14:textId="77777777" w:rsidR="00564BBB" w:rsidRPr="004930D7" w:rsidRDefault="00564BBB" w:rsidP="00564BBB">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564BBB" w:rsidRPr="004930D7" w14:paraId="4A63D40A" w14:textId="77777777" w:rsidTr="00BF1C6E">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4F8DAD03" w14:textId="77777777" w:rsidR="00564BBB" w:rsidRPr="004930D7" w:rsidRDefault="00564BBB" w:rsidP="00BF1C6E">
            <w:pPr>
              <w:spacing w:line="276" w:lineRule="auto"/>
              <w:jc w:val="center"/>
              <w:rPr>
                <w:rFonts w:eastAsia="Arial,Calibri" w:cs="Arial"/>
                <w:b/>
                <w:bCs/>
                <w:color w:val="DBDBDB" w:themeColor="background1"/>
                <w:sz w:val="16"/>
                <w:szCs w:val="16"/>
                <w:lang w:val="es-CO"/>
              </w:rPr>
            </w:pPr>
            <w:r w:rsidRPr="004930D7">
              <w:rPr>
                <w:rFonts w:cs="Arial"/>
                <w:b/>
                <w:bCs/>
                <w:color w:val="DBDBDB" w:themeColor="background1"/>
                <w:sz w:val="16"/>
                <w:szCs w:val="16"/>
              </w:rPr>
              <w:t>Rango</w:t>
            </w:r>
            <w:r w:rsidRPr="004930D7">
              <w:rPr>
                <w:rFonts w:eastAsia="Arial,Calibri" w:cs="Arial"/>
                <w:b/>
                <w:bCs/>
                <w:color w:val="DBDBDB" w:themeColor="background1"/>
                <w:sz w:val="16"/>
                <w:szCs w:val="16"/>
              </w:rPr>
              <w:t xml:space="preserve"> </w:t>
            </w:r>
            <w:r w:rsidRPr="004930D7">
              <w:rPr>
                <w:rFonts w:cs="Arial"/>
                <w:b/>
                <w:bCs/>
                <w:color w:val="DBDBDB" w:themeColor="background1"/>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9332928" w14:textId="77777777" w:rsidR="00564BBB" w:rsidRPr="004930D7" w:rsidRDefault="00564BBB" w:rsidP="00BF1C6E">
            <w:pPr>
              <w:spacing w:line="276" w:lineRule="auto"/>
              <w:jc w:val="center"/>
              <w:rPr>
                <w:rFonts w:eastAsia="Arial,Calibri" w:cs="Arial"/>
                <w:b/>
                <w:bCs/>
                <w:color w:val="DBDBDB" w:themeColor="background1"/>
                <w:sz w:val="16"/>
                <w:szCs w:val="16"/>
              </w:rPr>
            </w:pPr>
            <w:r w:rsidRPr="004930D7">
              <w:rPr>
                <w:rFonts w:cs="Arial"/>
                <w:b/>
                <w:bCs/>
                <w:color w:val="DBDBDB" w:themeColor="background1"/>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0ABE8793" w14:textId="77777777" w:rsidR="00564BBB" w:rsidRPr="004930D7" w:rsidRDefault="00564BBB" w:rsidP="00BF1C6E">
            <w:pPr>
              <w:spacing w:line="276" w:lineRule="auto"/>
              <w:jc w:val="center"/>
              <w:rPr>
                <w:rFonts w:eastAsia="Arial,Calibri" w:cs="Arial"/>
                <w:b/>
                <w:bCs/>
                <w:color w:val="DBDBDB" w:themeColor="background1"/>
                <w:sz w:val="16"/>
                <w:szCs w:val="16"/>
              </w:rPr>
            </w:pPr>
            <w:r w:rsidRPr="004930D7">
              <w:rPr>
                <w:rFonts w:cs="Arial"/>
                <w:b/>
                <w:bCs/>
                <w:color w:val="DBDBDB" w:themeColor="background1"/>
                <w:sz w:val="16"/>
                <w:szCs w:val="16"/>
              </w:rPr>
              <w:t>Método</w:t>
            </w:r>
          </w:p>
        </w:tc>
      </w:tr>
      <w:tr w:rsidR="00564BBB" w:rsidRPr="004930D7" w14:paraId="29CB22DF" w14:textId="77777777" w:rsidTr="00BF1C6E">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2CA61F7" w14:textId="77777777" w:rsidR="00564BBB" w:rsidRPr="004930D7" w:rsidRDefault="00564BBB" w:rsidP="00BF1C6E">
            <w:pPr>
              <w:spacing w:line="276" w:lineRule="auto"/>
              <w:jc w:val="center"/>
              <w:rPr>
                <w:rFonts w:cs="Arial"/>
                <w:color w:val="3C3C3C" w:themeColor="background2" w:themeShade="40"/>
                <w:sz w:val="16"/>
                <w:szCs w:val="16"/>
                <w:lang w:val="es-ES" w:eastAsia="es-CO"/>
              </w:rPr>
            </w:pPr>
            <w:r w:rsidRPr="004930D7">
              <w:rPr>
                <w:rFonts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591D34DE"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50821777"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Mediana con valor absoluto</w:t>
            </w:r>
          </w:p>
        </w:tc>
      </w:tr>
      <w:tr w:rsidR="00564BBB" w:rsidRPr="004930D7" w14:paraId="7D5B3C9A" w14:textId="77777777" w:rsidTr="00BF1C6E">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1059B67"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F27A8D0"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eastAsia="Arial,Times New Roman"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F843112"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Media geométrica</w:t>
            </w:r>
          </w:p>
        </w:tc>
      </w:tr>
      <w:tr w:rsidR="00564BBB" w:rsidRPr="004930D7" w14:paraId="18C813FB" w14:textId="77777777" w:rsidTr="00BF1C6E">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3030E193"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5E4A812B"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6B4A345F"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Media aritmética baja</w:t>
            </w:r>
          </w:p>
        </w:tc>
      </w:tr>
      <w:tr w:rsidR="00564BBB" w:rsidRPr="004930D7" w14:paraId="17BDF094" w14:textId="77777777" w:rsidTr="00BF1C6E">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hideMark/>
          </w:tcPr>
          <w:p w14:paraId="4EB33436"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hideMark/>
          </w:tcPr>
          <w:p w14:paraId="4BE6E604"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hideMark/>
          </w:tcPr>
          <w:p w14:paraId="7412FE98"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Menor valor</w:t>
            </w:r>
          </w:p>
        </w:tc>
      </w:tr>
    </w:tbl>
    <w:p w14:paraId="6CC30BD8" w14:textId="77777777" w:rsidR="00564BBB" w:rsidRPr="004930D7" w:rsidRDefault="00564BBB" w:rsidP="00564BBB">
      <w:pPr>
        <w:spacing w:line="276" w:lineRule="auto"/>
        <w:jc w:val="both"/>
        <w:rPr>
          <w:rFonts w:ascii="Arial" w:eastAsia="Calibri" w:hAnsi="Arial" w:cs="Arial"/>
          <w:sz w:val="22"/>
        </w:rPr>
      </w:pPr>
    </w:p>
    <w:p w14:paraId="11AA5283" w14:textId="779D5750" w:rsidR="00564BBB" w:rsidRPr="004930D7" w:rsidRDefault="004259FB" w:rsidP="00564BBB">
      <w:pPr>
        <w:spacing w:after="120" w:line="276" w:lineRule="auto"/>
        <w:ind w:firstLine="709"/>
        <w:jc w:val="both"/>
        <w:rPr>
          <w:rFonts w:ascii="Arial" w:eastAsia="Times New Roman" w:hAnsi="Arial" w:cs="Arial"/>
          <w:sz w:val="22"/>
        </w:rPr>
      </w:pPr>
      <w:r w:rsidRPr="004930D7">
        <w:rPr>
          <w:rFonts w:ascii="Arial" w:eastAsia="Times New Roman" w:hAnsi="Arial" w:cs="Arial"/>
          <w:sz w:val="22"/>
        </w:rPr>
        <w:t xml:space="preserve">En </w:t>
      </w:r>
      <w:r w:rsidR="00564BBB" w:rsidRPr="004930D7">
        <w:rPr>
          <w:rFonts w:ascii="Arial" w:eastAsia="Times New Roman" w:hAnsi="Arial" w:cs="Arial"/>
          <w:sz w:val="22"/>
        </w:rPr>
        <w:t xml:space="preserve">relación </w:t>
      </w:r>
      <w:r w:rsidRPr="004930D7">
        <w:rPr>
          <w:rFonts w:ascii="Arial" w:eastAsia="Times New Roman" w:hAnsi="Arial" w:cs="Arial"/>
          <w:sz w:val="22"/>
        </w:rPr>
        <w:t>con</w:t>
      </w:r>
      <w:r w:rsidR="00564BBB" w:rsidRPr="004930D7">
        <w:rPr>
          <w:rFonts w:ascii="Arial" w:eastAsia="Times New Roman" w:hAnsi="Arial" w:cs="Arial"/>
          <w:sz w:val="22"/>
        </w:rPr>
        <w:t xml:space="preserve"> los métodos de ponderación aplicables al procedimiento de contratación, en cuanto a la apertura de los sobres No. 2, el documento base señala que «</w:t>
      </w:r>
      <w:r w:rsidR="00D52944" w:rsidRPr="004930D7">
        <w:rPr>
          <w:rFonts w:ascii="Arial" w:eastAsia="Times New Roman" w:hAnsi="Arial" w:cs="Arial"/>
          <w:sz w:val="22"/>
        </w:rPr>
        <w:t>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w:t>
      </w:r>
      <w:r w:rsidR="00564BBB" w:rsidRPr="004930D7">
        <w:rPr>
          <w:rFonts w:ascii="Arial" w:eastAsia="Times New Roman" w:hAnsi="Arial" w:cs="Arial"/>
          <w:sz w:val="22"/>
        </w:rPr>
        <w:t>».</w:t>
      </w:r>
    </w:p>
    <w:p w14:paraId="4E2C1493" w14:textId="6A2B9CFC" w:rsidR="00564BBB" w:rsidRPr="004930D7" w:rsidRDefault="00564BBB" w:rsidP="00564BBB">
      <w:pPr>
        <w:spacing w:after="120" w:line="276" w:lineRule="auto"/>
        <w:ind w:firstLine="709"/>
        <w:jc w:val="both"/>
        <w:rPr>
          <w:rFonts w:ascii="Arial" w:eastAsia="Calibri" w:hAnsi="Arial" w:cs="Arial"/>
          <w:sz w:val="22"/>
        </w:rPr>
      </w:pPr>
      <w:r w:rsidRPr="004930D7">
        <w:rPr>
          <w:rFonts w:ascii="Arial" w:eastAsia="Times New Roman" w:hAnsi="Arial" w:cs="Arial"/>
          <w:sz w:val="22"/>
        </w:rPr>
        <w:t xml:space="preserve">En ese sentido, es necesario observar que la definición del método de ponderación aplicable a la oferta económica, que es la que se presenta en el sobre No. 2, ocurre en la audiencia de adjudicación que tiene dos actividades: i) respuesta a las observaciones del informe de evaluación y </w:t>
      </w:r>
      <w:proofErr w:type="spellStart"/>
      <w:r w:rsidRPr="004930D7">
        <w:rPr>
          <w:rFonts w:ascii="Arial" w:eastAsia="Times New Roman" w:hAnsi="Arial" w:cs="Arial"/>
          <w:sz w:val="22"/>
        </w:rPr>
        <w:t>ii</w:t>
      </w:r>
      <w:proofErr w:type="spellEnd"/>
      <w:r w:rsidRPr="004930D7">
        <w:rPr>
          <w:rFonts w:ascii="Arial" w:eastAsia="Times New Roman" w:hAnsi="Arial" w:cs="Arial"/>
          <w:sz w:val="22"/>
        </w:rPr>
        <w:t xml:space="preserve">) apertura de las ofertas económicas contenidas en los sobres No. 2. La entidad debe desarrollar esta última actividad en un mismo día </w:t>
      </w:r>
      <w:r w:rsidR="00D52944" w:rsidRPr="004930D7">
        <w:rPr>
          <w:rFonts w:ascii="Arial" w:eastAsia="Times New Roman" w:hAnsi="Arial" w:cs="Arial"/>
          <w:sz w:val="22"/>
        </w:rPr>
        <w:t xml:space="preserve">y antes de las 3:00 p.m. </w:t>
      </w:r>
      <w:r w:rsidRPr="004930D7">
        <w:rPr>
          <w:rFonts w:ascii="Arial" w:eastAsia="Times New Roman" w:hAnsi="Arial" w:cs="Arial"/>
          <w:sz w:val="22"/>
        </w:rPr>
        <w:t>como lo indic</w:t>
      </w:r>
      <w:r w:rsidR="004259FB" w:rsidRPr="004930D7">
        <w:rPr>
          <w:rFonts w:ascii="Arial" w:eastAsia="Times New Roman" w:hAnsi="Arial" w:cs="Arial"/>
          <w:sz w:val="22"/>
        </w:rPr>
        <w:t>a</w:t>
      </w:r>
      <w:r w:rsidRPr="004930D7">
        <w:rPr>
          <w:rFonts w:ascii="Arial" w:eastAsia="Times New Roman" w:hAnsi="Arial" w:cs="Arial"/>
          <w:sz w:val="22"/>
        </w:rPr>
        <w:t xml:space="preserve"> el documento base citado; y de acuerdo con su consulta se presenta la situación en que la entidad </w:t>
      </w:r>
      <w:r w:rsidR="00D52944" w:rsidRPr="004930D7">
        <w:rPr>
          <w:rFonts w:ascii="Arial" w:eastAsia="Times New Roman" w:hAnsi="Arial" w:cs="Arial"/>
          <w:sz w:val="22"/>
        </w:rPr>
        <w:t>da</w:t>
      </w:r>
      <w:r w:rsidRPr="004930D7">
        <w:rPr>
          <w:rFonts w:ascii="Arial" w:eastAsia="Times New Roman" w:hAnsi="Arial" w:cs="Arial"/>
          <w:sz w:val="22"/>
        </w:rPr>
        <w:t xml:space="preserve"> apertura de los sobres No. 2 y </w:t>
      </w:r>
      <w:r w:rsidR="00D52944" w:rsidRPr="004930D7">
        <w:rPr>
          <w:rFonts w:ascii="Arial" w:eastAsia="Times New Roman" w:hAnsi="Arial" w:cs="Arial"/>
          <w:sz w:val="22"/>
        </w:rPr>
        <w:t xml:space="preserve">publica una </w:t>
      </w:r>
      <w:r w:rsidR="00D52944" w:rsidRPr="004930D7">
        <w:rPr>
          <w:rFonts w:ascii="Arial" w:eastAsia="Times New Roman" w:hAnsi="Arial" w:cs="Arial"/>
          <w:sz w:val="22"/>
        </w:rPr>
        <w:lastRenderedPageBreak/>
        <w:t>resolución de saneamiento</w:t>
      </w:r>
      <w:r w:rsidR="00A56C47" w:rsidRPr="004930D7">
        <w:rPr>
          <w:rFonts w:ascii="Arial" w:eastAsia="Times New Roman" w:hAnsi="Arial" w:cs="Arial"/>
          <w:sz w:val="22"/>
        </w:rPr>
        <w:t>,</w:t>
      </w:r>
      <w:r w:rsidR="00D52944" w:rsidRPr="004930D7">
        <w:rPr>
          <w:rFonts w:ascii="Arial" w:eastAsia="Times New Roman" w:hAnsi="Arial" w:cs="Arial"/>
          <w:sz w:val="22"/>
        </w:rPr>
        <w:t xml:space="preserve"> donde establece un nuevo cronograma</w:t>
      </w:r>
      <w:r w:rsidR="00A56C47" w:rsidRPr="004930D7">
        <w:rPr>
          <w:rFonts w:ascii="Arial" w:eastAsia="Times New Roman" w:hAnsi="Arial" w:cs="Arial"/>
          <w:sz w:val="22"/>
        </w:rPr>
        <w:t xml:space="preserve"> y recibe nuevas ofertas económicas</w:t>
      </w:r>
      <w:r w:rsidRPr="004930D7">
        <w:rPr>
          <w:rFonts w:ascii="Arial" w:eastAsia="Calibri" w:hAnsi="Arial" w:cs="Arial"/>
          <w:sz w:val="22"/>
        </w:rPr>
        <w:t>.</w:t>
      </w:r>
      <w:r w:rsidR="00D52944" w:rsidRPr="004930D7">
        <w:t xml:space="preserve"> </w:t>
      </w:r>
    </w:p>
    <w:p w14:paraId="7D959586" w14:textId="26325261" w:rsidR="00564BBB" w:rsidRPr="004930D7" w:rsidRDefault="00564BBB" w:rsidP="00830EF9">
      <w:pPr>
        <w:spacing w:after="120" w:line="276" w:lineRule="auto"/>
        <w:ind w:firstLine="709"/>
        <w:jc w:val="both"/>
        <w:rPr>
          <w:rFonts w:ascii="Arial" w:eastAsia="Calibri" w:hAnsi="Arial" w:cs="Arial"/>
          <w:sz w:val="22"/>
        </w:rPr>
      </w:pPr>
      <w:bookmarkStart w:id="5" w:name="_Hlk37983941"/>
      <w:r w:rsidRPr="004930D7">
        <w:rPr>
          <w:rFonts w:ascii="Arial" w:eastAsia="Calibri" w:hAnsi="Arial" w:cs="Arial"/>
          <w:sz w:val="22"/>
        </w:rPr>
        <w:t xml:space="preserve">En el caso señalado en la petición se </w:t>
      </w:r>
      <w:bookmarkEnd w:id="5"/>
      <w:r w:rsidRPr="004930D7">
        <w:rPr>
          <w:rFonts w:ascii="Arial" w:eastAsia="Calibri" w:hAnsi="Arial" w:cs="Arial"/>
          <w:sz w:val="22"/>
        </w:rPr>
        <w:t xml:space="preserve">advierte que </w:t>
      </w:r>
      <w:r w:rsidR="0014732B" w:rsidRPr="004930D7">
        <w:rPr>
          <w:rFonts w:ascii="Arial" w:eastAsia="Calibri" w:hAnsi="Arial" w:cs="Arial"/>
          <w:sz w:val="22"/>
        </w:rPr>
        <w:t>ya había ocurrido</w:t>
      </w:r>
      <w:r w:rsidRPr="004930D7">
        <w:rPr>
          <w:rFonts w:ascii="Arial" w:eastAsia="Calibri" w:hAnsi="Arial" w:cs="Arial"/>
          <w:sz w:val="22"/>
        </w:rPr>
        <w:t xml:space="preserve"> la apertura de los sobres No. 2 que contienen la oferta económica</w:t>
      </w:r>
      <w:r w:rsidR="00830EF9" w:rsidRPr="004930D7">
        <w:rPr>
          <w:rFonts w:ascii="Arial" w:eastAsia="Calibri" w:hAnsi="Arial" w:cs="Arial"/>
          <w:sz w:val="22"/>
        </w:rPr>
        <w:t>,</w:t>
      </w:r>
      <w:r w:rsidRPr="004930D7">
        <w:rPr>
          <w:rFonts w:ascii="Arial" w:eastAsia="Calibri" w:hAnsi="Arial" w:cs="Arial"/>
          <w:sz w:val="22"/>
        </w:rPr>
        <w:t xml:space="preserve"> </w:t>
      </w:r>
      <w:r w:rsidR="00830EF9" w:rsidRPr="004930D7">
        <w:rPr>
          <w:rFonts w:ascii="Arial" w:eastAsia="Calibri" w:hAnsi="Arial" w:cs="Arial"/>
          <w:sz w:val="22"/>
        </w:rPr>
        <w:t xml:space="preserve">y se debió definir el método de ponderación </w:t>
      </w:r>
      <w:r w:rsidR="0014732B" w:rsidRPr="004930D7">
        <w:rPr>
          <w:rFonts w:ascii="Arial" w:eastAsia="Calibri" w:hAnsi="Arial" w:cs="Arial"/>
          <w:sz w:val="22"/>
        </w:rPr>
        <w:t>con la TRM publicada por</w:t>
      </w:r>
      <w:r w:rsidRPr="004930D7">
        <w:rPr>
          <w:rFonts w:ascii="Arial" w:eastAsia="Calibri" w:hAnsi="Arial" w:cs="Arial"/>
          <w:sz w:val="22"/>
        </w:rPr>
        <w:t xml:space="preserve"> la Superintendencia Financiera de Colombia, lo cual</w:t>
      </w:r>
      <w:r w:rsidR="0014732B" w:rsidRPr="004930D7">
        <w:rPr>
          <w:rFonts w:ascii="Arial" w:eastAsia="Calibri" w:hAnsi="Arial" w:cs="Arial"/>
          <w:sz w:val="22"/>
        </w:rPr>
        <w:t>, como se señaló</w:t>
      </w:r>
      <w:r w:rsidR="00E951F4" w:rsidRPr="004930D7">
        <w:rPr>
          <w:rFonts w:ascii="Arial" w:eastAsia="Calibri" w:hAnsi="Arial" w:cs="Arial"/>
          <w:sz w:val="22"/>
        </w:rPr>
        <w:t>,</w:t>
      </w:r>
      <w:r w:rsidR="0014732B" w:rsidRPr="004930D7">
        <w:rPr>
          <w:rFonts w:ascii="Arial" w:eastAsia="Calibri" w:hAnsi="Arial" w:cs="Arial"/>
          <w:sz w:val="22"/>
        </w:rPr>
        <w:t xml:space="preserve"> debe ocurrir en un mismo día hasta antes de las 3:00 p.m.</w:t>
      </w:r>
      <w:r w:rsidR="00E951F4" w:rsidRPr="004930D7">
        <w:rPr>
          <w:rFonts w:ascii="Arial" w:eastAsia="Calibri" w:hAnsi="Arial" w:cs="Arial"/>
          <w:sz w:val="22"/>
        </w:rPr>
        <w:t>;</w:t>
      </w:r>
      <w:r w:rsidR="0014732B" w:rsidRPr="004930D7">
        <w:rPr>
          <w:rFonts w:ascii="Arial" w:eastAsia="Calibri" w:hAnsi="Arial" w:cs="Arial"/>
          <w:sz w:val="22"/>
        </w:rPr>
        <w:t xml:space="preserve"> y </w:t>
      </w:r>
      <w:r w:rsidR="00830EF9" w:rsidRPr="004930D7">
        <w:rPr>
          <w:rFonts w:ascii="Arial" w:eastAsia="Calibri" w:hAnsi="Arial" w:cs="Arial"/>
          <w:sz w:val="22"/>
        </w:rPr>
        <w:t>e</w:t>
      </w:r>
      <w:r w:rsidR="00E951F4" w:rsidRPr="004930D7">
        <w:rPr>
          <w:rFonts w:ascii="Arial" w:eastAsia="Calibri" w:hAnsi="Arial" w:cs="Arial"/>
          <w:sz w:val="22"/>
        </w:rPr>
        <w:t>se</w:t>
      </w:r>
      <w:r w:rsidR="00830EF9" w:rsidRPr="004930D7">
        <w:rPr>
          <w:rFonts w:ascii="Arial" w:eastAsia="Calibri" w:hAnsi="Arial" w:cs="Arial"/>
          <w:sz w:val="22"/>
        </w:rPr>
        <w:t xml:space="preserve"> método definido el día de la apertura del sobre económico seguirá rigiendo aun cuando la entidad deba suspender la audiencia</w:t>
      </w:r>
      <w:r w:rsidR="004259FB" w:rsidRPr="004930D7">
        <w:rPr>
          <w:rFonts w:ascii="Arial" w:eastAsia="Calibri" w:hAnsi="Arial" w:cs="Arial"/>
          <w:sz w:val="22"/>
        </w:rPr>
        <w:t>, conforme la regla establecida en el documento base.</w:t>
      </w:r>
    </w:p>
    <w:p w14:paraId="6ADC2386" w14:textId="7AF259D5" w:rsidR="00A56C47" w:rsidRPr="004930D7" w:rsidRDefault="00564BBB" w:rsidP="0090648B">
      <w:pPr>
        <w:spacing w:before="120" w:line="276" w:lineRule="auto"/>
        <w:ind w:firstLine="709"/>
        <w:jc w:val="both"/>
        <w:rPr>
          <w:rFonts w:ascii="Arial" w:hAnsi="Arial" w:cs="Arial"/>
          <w:color w:val="000000" w:themeColor="text1"/>
          <w:sz w:val="22"/>
        </w:rPr>
      </w:pPr>
      <w:r w:rsidRPr="004930D7">
        <w:rPr>
          <w:rFonts w:ascii="Arial" w:hAnsi="Arial" w:cs="Arial"/>
          <w:color w:val="000000" w:themeColor="text1"/>
          <w:sz w:val="22"/>
        </w:rPr>
        <w:t>Además, para saber cuál es la TRM que se tiene en cuenta para determinar el método para la ponderación de la</w:t>
      </w:r>
      <w:r w:rsidR="00A56C47" w:rsidRPr="004930D7">
        <w:rPr>
          <w:rFonts w:ascii="Arial" w:hAnsi="Arial" w:cs="Arial"/>
          <w:color w:val="000000" w:themeColor="text1"/>
          <w:sz w:val="22"/>
        </w:rPr>
        <w:t>s nuevas</w:t>
      </w:r>
      <w:r w:rsidRPr="004930D7">
        <w:rPr>
          <w:rFonts w:ascii="Arial" w:hAnsi="Arial" w:cs="Arial"/>
          <w:color w:val="000000" w:themeColor="text1"/>
          <w:sz w:val="22"/>
        </w:rPr>
        <w:t xml:space="preserve"> oferta</w:t>
      </w:r>
      <w:r w:rsidR="00A56C47" w:rsidRPr="004930D7">
        <w:rPr>
          <w:rFonts w:ascii="Arial" w:hAnsi="Arial" w:cs="Arial"/>
          <w:color w:val="000000" w:themeColor="text1"/>
          <w:sz w:val="22"/>
        </w:rPr>
        <w:t>s</w:t>
      </w:r>
      <w:r w:rsidRPr="004930D7">
        <w:rPr>
          <w:rFonts w:ascii="Arial" w:hAnsi="Arial" w:cs="Arial"/>
          <w:color w:val="000000" w:themeColor="text1"/>
          <w:sz w:val="22"/>
        </w:rPr>
        <w:t xml:space="preserve"> económica</w:t>
      </w:r>
      <w:r w:rsidR="00A56C47" w:rsidRPr="004930D7">
        <w:rPr>
          <w:rFonts w:ascii="Arial" w:hAnsi="Arial" w:cs="Arial"/>
          <w:color w:val="000000" w:themeColor="text1"/>
          <w:sz w:val="22"/>
        </w:rPr>
        <w:t>s</w:t>
      </w:r>
      <w:r w:rsidRPr="004930D7">
        <w:rPr>
          <w:rFonts w:ascii="Arial" w:hAnsi="Arial" w:cs="Arial"/>
          <w:color w:val="000000" w:themeColor="text1"/>
          <w:sz w:val="22"/>
        </w:rPr>
        <w:t xml:space="preserve">, es necesario </w:t>
      </w:r>
      <w:r w:rsidR="009420E2" w:rsidRPr="004930D7">
        <w:rPr>
          <w:rFonts w:ascii="Arial" w:hAnsi="Arial" w:cs="Arial"/>
          <w:color w:val="000000" w:themeColor="text1"/>
          <w:sz w:val="22"/>
        </w:rPr>
        <w:t>regirse por</w:t>
      </w:r>
      <w:r w:rsidRPr="004930D7">
        <w:rPr>
          <w:rFonts w:ascii="Arial" w:hAnsi="Arial" w:cs="Arial"/>
          <w:color w:val="000000" w:themeColor="text1"/>
          <w:sz w:val="22"/>
        </w:rPr>
        <w:t xml:space="preserve"> lo dispuesto en los documentos tipo</w:t>
      </w:r>
      <w:r w:rsidR="00830EF9" w:rsidRPr="004930D7">
        <w:rPr>
          <w:rFonts w:ascii="Arial" w:hAnsi="Arial" w:cs="Arial"/>
          <w:color w:val="000000" w:themeColor="text1"/>
          <w:sz w:val="22"/>
        </w:rPr>
        <w:t>.</w:t>
      </w:r>
      <w:r w:rsidR="00084247" w:rsidRPr="004930D7">
        <w:rPr>
          <w:rFonts w:ascii="Arial" w:hAnsi="Arial" w:cs="Arial"/>
          <w:color w:val="000000" w:themeColor="text1"/>
          <w:sz w:val="22"/>
        </w:rPr>
        <w:t xml:space="preserve"> </w:t>
      </w:r>
      <w:r w:rsidR="00A56C47" w:rsidRPr="004930D7">
        <w:rPr>
          <w:rFonts w:ascii="Arial" w:hAnsi="Arial" w:cs="Arial"/>
          <w:color w:val="000000" w:themeColor="text1"/>
          <w:sz w:val="22"/>
        </w:rPr>
        <w:t xml:space="preserve">Esto es, que la TRM es la del </w:t>
      </w:r>
      <w:r w:rsidR="00A56C47" w:rsidRPr="004930D7">
        <w:rPr>
          <w:rFonts w:ascii="Arial" w:eastAsia="Calibri" w:hAnsi="Arial" w:cs="Arial"/>
          <w:sz w:val="22"/>
        </w:rPr>
        <w:t xml:space="preserve">día hábil siguiente al día en que efectivamente sea la </w:t>
      </w:r>
      <w:r w:rsidR="00A56C47" w:rsidRPr="00E25414">
        <w:rPr>
          <w:rFonts w:ascii="Arial" w:eastAsia="Calibri" w:hAnsi="Arial" w:cs="Arial"/>
          <w:i/>
          <w:iCs/>
          <w:sz w:val="22"/>
        </w:rPr>
        <w:t>apertura</w:t>
      </w:r>
      <w:r w:rsidR="00A56C47" w:rsidRPr="004930D7">
        <w:rPr>
          <w:rFonts w:ascii="Arial" w:eastAsia="Calibri" w:hAnsi="Arial" w:cs="Arial"/>
          <w:sz w:val="22"/>
        </w:rPr>
        <w:t xml:space="preserve"> del segundo sobre que contiene las ofertas económicas.</w:t>
      </w:r>
    </w:p>
    <w:p w14:paraId="73699439" w14:textId="1DD6A872" w:rsidR="00564BBB" w:rsidRPr="004930D7" w:rsidRDefault="00084247" w:rsidP="0090648B">
      <w:pPr>
        <w:spacing w:before="120" w:line="276" w:lineRule="auto"/>
        <w:ind w:firstLine="709"/>
        <w:jc w:val="both"/>
        <w:rPr>
          <w:rFonts w:ascii="Arial" w:hAnsi="Arial" w:cs="Arial"/>
          <w:color w:val="000000" w:themeColor="text1"/>
          <w:sz w:val="22"/>
        </w:rPr>
      </w:pPr>
      <w:r w:rsidRPr="004930D7">
        <w:rPr>
          <w:rFonts w:ascii="Arial" w:hAnsi="Arial" w:cs="Arial"/>
          <w:color w:val="000000" w:themeColor="text1"/>
          <w:sz w:val="22"/>
        </w:rPr>
        <w:t>Por ende, e</w:t>
      </w:r>
      <w:r w:rsidR="00564BBB" w:rsidRPr="004930D7">
        <w:rPr>
          <w:rFonts w:ascii="Arial" w:hAnsi="Arial" w:cs="Arial"/>
          <w:color w:val="000000" w:themeColor="text1"/>
          <w:sz w:val="22"/>
        </w:rPr>
        <w:t>s del caso precisar</w:t>
      </w:r>
      <w:r w:rsidR="00960E34" w:rsidRPr="004930D7">
        <w:rPr>
          <w:rFonts w:ascii="Arial" w:hAnsi="Arial" w:cs="Arial"/>
          <w:color w:val="000000" w:themeColor="text1"/>
          <w:sz w:val="22"/>
        </w:rPr>
        <w:t>,</w:t>
      </w:r>
      <w:r w:rsidR="00564BBB" w:rsidRPr="004930D7">
        <w:rPr>
          <w:rFonts w:ascii="Arial" w:hAnsi="Arial" w:cs="Arial"/>
          <w:color w:val="000000" w:themeColor="text1"/>
          <w:sz w:val="22"/>
        </w:rPr>
        <w:t xml:space="preserve"> respe</w:t>
      </w:r>
      <w:r w:rsidR="00830EF9" w:rsidRPr="004930D7">
        <w:rPr>
          <w:rFonts w:ascii="Arial" w:hAnsi="Arial" w:cs="Arial"/>
          <w:color w:val="000000" w:themeColor="text1"/>
          <w:sz w:val="22"/>
        </w:rPr>
        <w:t>c</w:t>
      </w:r>
      <w:r w:rsidR="00564BBB" w:rsidRPr="004930D7">
        <w:rPr>
          <w:rFonts w:ascii="Arial" w:hAnsi="Arial" w:cs="Arial"/>
          <w:color w:val="000000" w:themeColor="text1"/>
          <w:sz w:val="22"/>
        </w:rPr>
        <w:t xml:space="preserve">to </w:t>
      </w:r>
      <w:r w:rsidR="00830EF9" w:rsidRPr="004930D7">
        <w:rPr>
          <w:rFonts w:ascii="Arial" w:hAnsi="Arial" w:cs="Arial"/>
          <w:color w:val="000000" w:themeColor="text1"/>
          <w:sz w:val="22"/>
        </w:rPr>
        <w:t>de lo señalado sobre e</w:t>
      </w:r>
      <w:r w:rsidR="00564BBB" w:rsidRPr="004930D7">
        <w:rPr>
          <w:rFonts w:ascii="Arial" w:hAnsi="Arial" w:cs="Arial"/>
          <w:color w:val="000000" w:themeColor="text1"/>
          <w:sz w:val="22"/>
        </w:rPr>
        <w:t>l método para la ponderación de la oferta económica</w:t>
      </w:r>
      <w:r w:rsidR="00E951F4" w:rsidRPr="004930D7">
        <w:rPr>
          <w:rFonts w:ascii="Arial" w:hAnsi="Arial" w:cs="Arial"/>
          <w:color w:val="000000" w:themeColor="text1"/>
          <w:sz w:val="22"/>
        </w:rPr>
        <w:t>,</w:t>
      </w:r>
      <w:r w:rsidR="00564BBB" w:rsidRPr="004930D7">
        <w:rPr>
          <w:rFonts w:ascii="Arial" w:hAnsi="Arial" w:cs="Arial"/>
          <w:color w:val="000000" w:themeColor="text1"/>
          <w:sz w:val="22"/>
        </w:rPr>
        <w:t xml:space="preserve"> </w:t>
      </w:r>
      <w:r w:rsidR="00830EF9" w:rsidRPr="004930D7">
        <w:rPr>
          <w:rFonts w:ascii="Arial" w:hAnsi="Arial" w:cs="Arial"/>
          <w:color w:val="000000" w:themeColor="text1"/>
          <w:sz w:val="22"/>
        </w:rPr>
        <w:t xml:space="preserve">que la entidad no podrá abrir los sobres económicos </w:t>
      </w:r>
      <w:r w:rsidR="00035D12" w:rsidRPr="004930D7">
        <w:rPr>
          <w:rFonts w:ascii="Arial" w:hAnsi="Arial" w:cs="Arial"/>
          <w:color w:val="000000" w:themeColor="text1"/>
          <w:sz w:val="22"/>
        </w:rPr>
        <w:t>conociendo</w:t>
      </w:r>
      <w:r w:rsidR="00830EF9" w:rsidRPr="004930D7">
        <w:rPr>
          <w:rFonts w:ascii="Arial" w:hAnsi="Arial" w:cs="Arial"/>
          <w:color w:val="000000" w:themeColor="text1"/>
          <w:sz w:val="22"/>
        </w:rPr>
        <w:t xml:space="preserve"> la TRM que regirá al día hábil siguiente</w:t>
      </w:r>
      <w:r w:rsidR="00035D12" w:rsidRPr="004930D7">
        <w:rPr>
          <w:rFonts w:ascii="Arial" w:hAnsi="Arial" w:cs="Arial"/>
          <w:color w:val="000000" w:themeColor="text1"/>
          <w:sz w:val="22"/>
        </w:rPr>
        <w:t>, toda vez que la apertura debe realizarse antes de las 3:00 pm.</w:t>
      </w:r>
      <w:r w:rsidR="00830EF9" w:rsidRPr="004930D7">
        <w:rPr>
          <w:rFonts w:ascii="Arial" w:hAnsi="Arial" w:cs="Arial"/>
          <w:color w:val="000000" w:themeColor="text1"/>
          <w:sz w:val="22"/>
        </w:rPr>
        <w:t xml:space="preserve"> </w:t>
      </w:r>
      <w:r w:rsidR="00035D12" w:rsidRPr="004930D7">
        <w:rPr>
          <w:rFonts w:ascii="Arial" w:hAnsi="Arial" w:cs="Arial"/>
          <w:color w:val="000000" w:themeColor="text1"/>
          <w:sz w:val="22"/>
        </w:rPr>
        <w:t>Finalmente, que</w:t>
      </w:r>
      <w:r w:rsidR="00830EF9" w:rsidRPr="004930D7">
        <w:rPr>
          <w:rFonts w:ascii="Arial" w:hAnsi="Arial" w:cs="Arial"/>
          <w:color w:val="000000" w:themeColor="text1"/>
          <w:sz w:val="22"/>
        </w:rPr>
        <w:t xml:space="preserve"> le corresponde a la entidad, </w:t>
      </w:r>
      <w:r w:rsidRPr="004930D7">
        <w:rPr>
          <w:rFonts w:ascii="Arial" w:hAnsi="Arial" w:cs="Arial"/>
          <w:color w:val="000000" w:themeColor="text1"/>
          <w:sz w:val="22"/>
        </w:rPr>
        <w:t xml:space="preserve">de acuerdo con su autonomía para </w:t>
      </w:r>
      <w:r w:rsidR="00035D12" w:rsidRPr="004930D7">
        <w:rPr>
          <w:rFonts w:ascii="Arial" w:hAnsi="Arial" w:cs="Arial"/>
          <w:color w:val="000000" w:themeColor="text1"/>
          <w:sz w:val="22"/>
        </w:rPr>
        <w:t>tomar</w:t>
      </w:r>
      <w:r w:rsidR="00E951F4" w:rsidRPr="004930D7">
        <w:rPr>
          <w:rFonts w:ascii="Arial" w:hAnsi="Arial" w:cs="Arial"/>
          <w:color w:val="000000" w:themeColor="text1"/>
          <w:sz w:val="22"/>
        </w:rPr>
        <w:t xml:space="preserve"> decisiones respecto del proceso de contratación, adelantar las actuaciones que considere necesarias </w:t>
      </w:r>
      <w:r w:rsidR="00035D12" w:rsidRPr="004930D7">
        <w:rPr>
          <w:rFonts w:ascii="Arial" w:hAnsi="Arial" w:cs="Arial"/>
          <w:color w:val="000000" w:themeColor="text1"/>
          <w:sz w:val="22"/>
        </w:rPr>
        <w:t>frente a</w:t>
      </w:r>
      <w:r w:rsidR="00A56C47" w:rsidRPr="004930D7">
        <w:rPr>
          <w:rFonts w:ascii="Arial" w:hAnsi="Arial" w:cs="Arial"/>
          <w:color w:val="000000" w:themeColor="text1"/>
          <w:sz w:val="22"/>
        </w:rPr>
        <w:t xml:space="preserve"> las situaciones particulares que se presenten en </w:t>
      </w:r>
      <w:r w:rsidR="00960E34" w:rsidRPr="004930D7">
        <w:rPr>
          <w:rFonts w:ascii="Arial" w:hAnsi="Arial" w:cs="Arial"/>
          <w:color w:val="000000" w:themeColor="text1"/>
          <w:sz w:val="22"/>
        </w:rPr>
        <w:t>su actividad contractual</w:t>
      </w:r>
      <w:r w:rsidR="00A56C47" w:rsidRPr="004930D7">
        <w:rPr>
          <w:rFonts w:ascii="Arial" w:hAnsi="Arial" w:cs="Arial"/>
          <w:color w:val="000000" w:themeColor="text1"/>
          <w:sz w:val="22"/>
        </w:rPr>
        <w:t>.</w:t>
      </w:r>
      <w:r w:rsidR="00E951F4" w:rsidRPr="004930D7">
        <w:rPr>
          <w:rFonts w:ascii="Arial" w:hAnsi="Arial" w:cs="Arial"/>
          <w:color w:val="000000" w:themeColor="text1"/>
          <w:sz w:val="22"/>
        </w:rPr>
        <w:t xml:space="preserve"> </w:t>
      </w:r>
    </w:p>
    <w:p w14:paraId="60CFABFC" w14:textId="77777777" w:rsidR="00643AD2" w:rsidRPr="004930D7" w:rsidRDefault="00643AD2" w:rsidP="00A43BAE">
      <w:pPr>
        <w:spacing w:line="276" w:lineRule="auto"/>
        <w:jc w:val="both"/>
        <w:rPr>
          <w:rFonts w:ascii="Arial" w:eastAsia="Calibri" w:hAnsi="Arial" w:cs="Arial"/>
          <w:b/>
          <w:color w:val="0D0D0D" w:themeColor="text1" w:themeTint="F2"/>
          <w:sz w:val="22"/>
        </w:rPr>
      </w:pPr>
    </w:p>
    <w:p w14:paraId="370089AC" w14:textId="22BAF00D" w:rsidR="00A43BAE" w:rsidRPr="004930D7" w:rsidRDefault="00A43BAE" w:rsidP="00A43BAE">
      <w:pPr>
        <w:spacing w:line="276" w:lineRule="auto"/>
        <w:jc w:val="both"/>
        <w:rPr>
          <w:rFonts w:ascii="Arial" w:eastAsia="Calibri" w:hAnsi="Arial" w:cs="Arial"/>
          <w:b/>
          <w:color w:val="0D0D0D" w:themeColor="text1" w:themeTint="F2"/>
          <w:sz w:val="22"/>
        </w:rPr>
      </w:pPr>
      <w:r w:rsidRPr="004930D7">
        <w:rPr>
          <w:rFonts w:ascii="Arial" w:eastAsia="Calibri" w:hAnsi="Arial" w:cs="Arial"/>
          <w:b/>
          <w:color w:val="0D0D0D" w:themeColor="text1" w:themeTint="F2"/>
          <w:sz w:val="22"/>
        </w:rPr>
        <w:t>2.</w:t>
      </w:r>
      <w:r w:rsidR="004259FB" w:rsidRPr="004930D7">
        <w:rPr>
          <w:rFonts w:ascii="Arial" w:eastAsia="Calibri" w:hAnsi="Arial" w:cs="Arial"/>
          <w:b/>
          <w:color w:val="0D0D0D" w:themeColor="text1" w:themeTint="F2"/>
          <w:sz w:val="22"/>
        </w:rPr>
        <w:t>3.</w:t>
      </w:r>
      <w:r w:rsidRPr="004930D7">
        <w:rPr>
          <w:rFonts w:ascii="Arial" w:eastAsia="Calibri" w:hAnsi="Arial" w:cs="Arial"/>
          <w:b/>
          <w:color w:val="0D0D0D" w:themeColor="text1" w:themeTint="F2"/>
          <w:sz w:val="22"/>
        </w:rPr>
        <w:t xml:space="preserve"> Falla del SECOP II en la apertura de ofertas</w:t>
      </w:r>
    </w:p>
    <w:p w14:paraId="3325D026" w14:textId="4CAF1859" w:rsidR="00A43BAE" w:rsidRPr="004930D7" w:rsidRDefault="00A43BAE" w:rsidP="00A43BAE">
      <w:pPr>
        <w:spacing w:line="276" w:lineRule="auto"/>
        <w:jc w:val="both"/>
        <w:rPr>
          <w:rFonts w:ascii="Arial" w:eastAsia="Calibri" w:hAnsi="Arial" w:cs="Arial"/>
          <w:b/>
          <w:color w:val="0D0D0D" w:themeColor="text1" w:themeTint="F2"/>
          <w:sz w:val="22"/>
        </w:rPr>
      </w:pPr>
    </w:p>
    <w:p w14:paraId="68A88768" w14:textId="77777777" w:rsidR="005A2638" w:rsidRPr="004930D7" w:rsidRDefault="005A2638" w:rsidP="00E25414">
      <w:pPr>
        <w:spacing w:after="120" w:line="276" w:lineRule="auto"/>
        <w:jc w:val="both"/>
        <w:rPr>
          <w:rFonts w:ascii="Arial" w:eastAsia="Times New Roman" w:hAnsi="Arial" w:cs="Arial"/>
          <w:color w:val="262626" w:themeColor="text1" w:themeTint="D9"/>
          <w:sz w:val="22"/>
          <w:lang w:eastAsia="es-ES"/>
        </w:rPr>
      </w:pPr>
      <w:bookmarkStart w:id="6" w:name="_Hlk62582661"/>
      <w:bookmarkStart w:id="7" w:name="_Hlk38298777"/>
      <w:bookmarkStart w:id="8" w:name="_Hlk52216259"/>
      <w:r w:rsidRPr="004930D7">
        <w:rPr>
          <w:rFonts w:ascii="Arial" w:eastAsia="Times New Roman" w:hAnsi="Arial" w:cs="Arial"/>
          <w:color w:val="262626" w:themeColor="text1" w:themeTint="D9"/>
          <w:sz w:val="22"/>
          <w:lang w:eastAsia="es-ES"/>
        </w:rPr>
        <w:t xml:space="preserve">El SECOP II es una plataforma transaccional que permite a las entidades estatales gestionar en línea todos los procesos de contratación. Esta herramienta dispone de cuentas para entidades estatales, proveedores y veedores, además de contar con la vista pública para cualquier tercero interesado en hacer seguimiento a la contratación pública. Desde sus cuentas, las entidades crean, evalúan, responden observaciones, adjudican procesos de contratación, y gestionan la fase de ejecución del contrato, hasta su liquidación y cierre del expediente contractual.  </w:t>
      </w:r>
    </w:p>
    <w:p w14:paraId="245F8291" w14:textId="77777777" w:rsidR="005A2638" w:rsidRPr="004930D7" w:rsidRDefault="005A2638" w:rsidP="005A2638">
      <w:pPr>
        <w:spacing w:after="120" w:line="276" w:lineRule="auto"/>
        <w:ind w:firstLine="709"/>
        <w:jc w:val="both"/>
        <w:rPr>
          <w:rFonts w:ascii="Arial" w:eastAsia="Calibri" w:hAnsi="Arial" w:cs="Arial"/>
          <w:iCs/>
          <w:color w:val="262626" w:themeColor="text1" w:themeTint="D9"/>
          <w:sz w:val="22"/>
          <w:lang w:val="es-ES"/>
        </w:rPr>
      </w:pPr>
      <w:r w:rsidRPr="004930D7">
        <w:rPr>
          <w:rFonts w:ascii="Arial" w:eastAsia="Times New Roman" w:hAnsi="Arial" w:cs="Arial"/>
          <w:color w:val="262626" w:themeColor="text1" w:themeTint="D9"/>
          <w:sz w:val="22"/>
          <w:lang w:eastAsia="es-ES"/>
        </w:rPr>
        <w:t xml:space="preserve">Ahora bien, la </w:t>
      </w:r>
      <w:r w:rsidRPr="004930D7">
        <w:rPr>
          <w:rFonts w:ascii="Arial" w:eastAsia="Calibri" w:hAnsi="Arial" w:cs="Arial"/>
          <w:iCs/>
          <w:color w:val="262626" w:themeColor="text1" w:themeTint="D9"/>
          <w:sz w:val="22"/>
          <w:lang w:val="es-ES"/>
        </w:rPr>
        <w:t xml:space="preserve">ANCP  ̶ CCE </w:t>
      </w:r>
      <w:r w:rsidRPr="004930D7">
        <w:rPr>
          <w:rFonts w:ascii="Arial" w:eastAsia="Times New Roman" w:hAnsi="Arial" w:cs="Arial"/>
          <w:color w:val="262626" w:themeColor="text1" w:themeTint="D9"/>
          <w:sz w:val="22"/>
          <w:lang w:eastAsia="es-ES"/>
        </w:rPr>
        <w:t xml:space="preserve">únicamente administra y desarrolla el Sistema Electrónico para la Contratación Pública  ̶  SECOP, pero no es responsable de las acciones u omisiones de las entidades en la plataforma. Siendo así, debe resaltarse que la responsabilidad por la publicación de la información contenida en los sobres que hacen parte de un proceso contractual corresponde a la entidad contratante y por ende es decisión de esta tomar las medidas necesarias y asumir acciones o consecuencias que correspondan y se deriven por el incumplimiento de esta acción. </w:t>
      </w:r>
    </w:p>
    <w:p w14:paraId="7F20A9B9" w14:textId="77777777" w:rsidR="005A2638" w:rsidRPr="004930D7" w:rsidRDefault="005A2638" w:rsidP="005A2638">
      <w:pPr>
        <w:spacing w:after="120" w:line="276" w:lineRule="auto"/>
        <w:ind w:firstLine="709"/>
        <w:jc w:val="both"/>
        <w:rPr>
          <w:rFonts w:ascii="Arial" w:eastAsia="Calibri" w:hAnsi="Arial" w:cs="Arial"/>
          <w:iCs/>
          <w:color w:val="262626" w:themeColor="text1" w:themeTint="D9"/>
          <w:sz w:val="22"/>
          <w:lang w:val="es-ES"/>
        </w:rPr>
      </w:pPr>
      <w:r w:rsidRPr="004930D7">
        <w:rPr>
          <w:rFonts w:ascii="Arial" w:eastAsia="Calibri" w:hAnsi="Arial" w:cs="Arial"/>
          <w:iCs/>
          <w:color w:val="262626" w:themeColor="text1" w:themeTint="D9"/>
          <w:sz w:val="22"/>
          <w:lang w:val="es-ES"/>
        </w:rPr>
        <w:lastRenderedPageBreak/>
        <w:t>Teniendo en cuenta lo anterior, cuando se gestiona un proceso contractual que cuenta con dos o más sobres, la entidad podrá realizar la publicación de la información contenida en cada uno de los sobres teniendo en cuenta lo siguiente:</w:t>
      </w:r>
    </w:p>
    <w:p w14:paraId="231C0F20"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 xml:space="preserve">1. Las Entidades Estatales tienen autonomía para establecer las reglas de sus Procesos de Contratación y, en ese sentido, definen mecanismos que permiten a los interesados tener acceso a las ofertas, respetando las disposiciones legales. </w:t>
      </w:r>
    </w:p>
    <w:p w14:paraId="067D0E47"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 xml:space="preserve">2. En desarrollo del principio de transparencia, la normativa establece que «las actuaciones de las autoridades serán públicas y los expedientes que las contengan estarán abiertos al público» [numeral 3, artículo 24, Ley 80 de 1993].   </w:t>
      </w:r>
    </w:p>
    <w:p w14:paraId="0699707F"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 xml:space="preserve">3. La Entidad Estatal tiene la obligación de publicar los Documentos del Proceso, los cuales de acuerdo con la definición del Decreto 1082 de 2015, incluyen la propuesta adjudicataria. </w:t>
      </w:r>
    </w:p>
    <w:p w14:paraId="477D5C2D"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 xml:space="preserve">4. Para los Procesos de Contratación que se publiquen en SECOP I, las autoridades expedirán a costa de aquellas personas que demuestren interés legítimo, copias de las actuaciones y propuestas recibidas, respetando la reserva de que gocen legalmente las patentes, procedimientos y privilegios [numeral 4, artículo 24, Ley 80 de 1993].  </w:t>
      </w:r>
    </w:p>
    <w:p w14:paraId="2F461259"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 xml:space="preserve">5. De tal forma que la Entidad Estatal no puede limitar el acceso al expediente del Proceso de Contratación al público en general, ni negarse a expedir a quienes demuestren un interés legítimo copias de las propuestas recibidas, una vez realizado el cierre. </w:t>
      </w:r>
    </w:p>
    <w:p w14:paraId="2E3ABEAB" w14:textId="77777777" w:rsidR="005A2638" w:rsidRPr="004930D7" w:rsidRDefault="005A2638" w:rsidP="005A2638">
      <w:pPr>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6. En cuanto a los Procesos de Contratación que se adelanten en SECOP II, la Entidad debe dar «</w:t>
      </w:r>
      <w:proofErr w:type="spellStart"/>
      <w:r w:rsidRPr="004930D7">
        <w:rPr>
          <w:rFonts w:ascii="Arial" w:eastAsia="Times New Roman" w:hAnsi="Arial" w:cs="Arial"/>
          <w:color w:val="262626" w:themeColor="text1" w:themeTint="D9"/>
          <w:sz w:val="22"/>
          <w:lang w:eastAsia="es-ES"/>
        </w:rPr>
        <w:t>click</w:t>
      </w:r>
      <w:proofErr w:type="spellEnd"/>
      <w:r w:rsidRPr="004930D7">
        <w:rPr>
          <w:rFonts w:ascii="Arial" w:eastAsia="Times New Roman" w:hAnsi="Arial" w:cs="Arial"/>
          <w:color w:val="262626" w:themeColor="text1" w:themeTint="D9"/>
          <w:sz w:val="22"/>
          <w:lang w:eastAsia="es-ES"/>
        </w:rPr>
        <w:t xml:space="preserve">» en la opción «publicar ofertas» para que los documentos sean visibles a todos los proponentes. Si el proceso tiene dos sobres, la entidad lo debe llevar a cabo esta acción en cada uno de los sobres para que la información se actualice.  </w:t>
      </w:r>
    </w:p>
    <w:p w14:paraId="1EB173E6" w14:textId="77777777" w:rsidR="005A2638" w:rsidRPr="004930D7" w:rsidRDefault="005A2638" w:rsidP="005A2638">
      <w:pPr>
        <w:tabs>
          <w:tab w:val="left" w:pos="6663"/>
        </w:tabs>
        <w:spacing w:line="276" w:lineRule="auto"/>
        <w:ind w:firstLine="709"/>
        <w:jc w:val="both"/>
        <w:rPr>
          <w:rFonts w:ascii="Arial" w:hAnsi="Arial" w:cs="Arial"/>
          <w:color w:val="262626" w:themeColor="text1" w:themeTint="D9"/>
          <w:sz w:val="22"/>
          <w:lang w:val="es-ES"/>
        </w:rPr>
      </w:pPr>
    </w:p>
    <w:p w14:paraId="18B806DD" w14:textId="77777777" w:rsidR="005A2638" w:rsidRPr="004930D7" w:rsidRDefault="005A2638" w:rsidP="005A2638">
      <w:pPr>
        <w:tabs>
          <w:tab w:val="left" w:pos="6663"/>
        </w:tabs>
        <w:spacing w:line="276" w:lineRule="auto"/>
        <w:ind w:firstLine="709"/>
        <w:jc w:val="both"/>
        <w:rPr>
          <w:rFonts w:ascii="Arial" w:eastAsia="Helvetica Neue" w:hAnsi="Arial" w:cs="Arial"/>
          <w:color w:val="262626" w:themeColor="text1" w:themeTint="D9"/>
          <w:sz w:val="22"/>
        </w:rPr>
      </w:pPr>
      <w:r w:rsidRPr="004930D7">
        <w:rPr>
          <w:rFonts w:ascii="Arial" w:hAnsi="Arial" w:cs="Arial"/>
          <w:noProof/>
          <w:color w:val="262626" w:themeColor="text1" w:themeTint="D9"/>
          <w:sz w:val="22"/>
          <w:lang w:val="es-ES" w:eastAsia="es-ES"/>
        </w:rPr>
        <mc:AlternateContent>
          <mc:Choice Requires="wps">
            <w:drawing>
              <wp:anchor distT="0" distB="0" distL="114300" distR="114300" simplePos="0" relativeHeight="251661312" behindDoc="0" locked="0" layoutInCell="1" allowOverlap="1" wp14:anchorId="6FB85F7A" wp14:editId="0F33D065">
                <wp:simplePos x="0" y="0"/>
                <wp:positionH relativeFrom="column">
                  <wp:posOffset>1853565</wp:posOffset>
                </wp:positionH>
                <wp:positionV relativeFrom="paragraph">
                  <wp:posOffset>116205</wp:posOffset>
                </wp:positionV>
                <wp:extent cx="933450" cy="438150"/>
                <wp:effectExtent l="0" t="0" r="19050" b="19050"/>
                <wp:wrapNone/>
                <wp:docPr id="3" name="Rectángulo: esquinas redondeadas 3"/>
                <wp:cNvGraphicFramePr/>
                <a:graphic xmlns:a="http://schemas.openxmlformats.org/drawingml/2006/main">
                  <a:graphicData uri="http://schemas.microsoft.com/office/word/2010/wordprocessingShape">
                    <wps:wsp>
                      <wps:cNvSpPr/>
                      <wps:spPr>
                        <a:xfrm>
                          <a:off x="0" y="0"/>
                          <a:ext cx="933450" cy="4381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757882" id="Rectángulo: esquinas redondeadas 3" o:spid="_x0000_s1026" style="position:absolute;margin-left:145.95pt;margin-top:9.15pt;width:73.5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" filled="f" strokecolor="red" strokeweight="2pt"/>
            </w:pict>
          </mc:Fallback>
        </mc:AlternateContent>
      </w:r>
      <w:r w:rsidRPr="004930D7">
        <w:rPr>
          <w:rFonts w:ascii="Arial" w:hAnsi="Arial" w:cs="Arial"/>
          <w:noProof/>
          <w:color w:val="262626" w:themeColor="text1" w:themeTint="D9"/>
          <w:sz w:val="22"/>
          <w:lang w:val="es-ES" w:eastAsia="es-ES"/>
        </w:rPr>
        <w:drawing>
          <wp:inline distT="0" distB="0" distL="0" distR="0" wp14:anchorId="51CE7CF2" wp14:editId="17EA818D">
            <wp:extent cx="5343525" cy="1464251"/>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3540" t="1" r="1" b="59166"/>
                    <a:stretch/>
                  </pic:blipFill>
                  <pic:spPr bwMode="auto">
                    <a:xfrm>
                      <a:off x="0" y="0"/>
                      <a:ext cx="5343525" cy="146425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66EC0AA0" w14:textId="77777777" w:rsidR="005A2638" w:rsidRPr="004930D7" w:rsidRDefault="005A2638" w:rsidP="005A2638">
      <w:pPr>
        <w:tabs>
          <w:tab w:val="left" w:pos="6663"/>
        </w:tabs>
        <w:spacing w:line="276" w:lineRule="auto"/>
        <w:ind w:firstLine="709"/>
        <w:jc w:val="both"/>
        <w:rPr>
          <w:rFonts w:ascii="Arial" w:eastAsia="Times New Roman" w:hAnsi="Arial" w:cs="Arial"/>
          <w:color w:val="262626" w:themeColor="text1" w:themeTint="D9"/>
          <w:sz w:val="22"/>
          <w:lang w:eastAsia="es-ES"/>
        </w:rPr>
      </w:pPr>
    </w:p>
    <w:p w14:paraId="08607AC3" w14:textId="77777777" w:rsidR="005A2638" w:rsidRPr="004930D7" w:rsidRDefault="005A2638" w:rsidP="005A2638">
      <w:pPr>
        <w:tabs>
          <w:tab w:val="left" w:pos="6663"/>
        </w:tabs>
        <w:spacing w:after="120" w:line="276" w:lineRule="auto"/>
        <w:ind w:firstLine="709"/>
        <w:jc w:val="both"/>
        <w:rPr>
          <w:rFonts w:ascii="Arial" w:eastAsia="Times New Roman" w:hAnsi="Arial" w:cs="Arial"/>
          <w:color w:val="262626" w:themeColor="text1" w:themeTint="D9"/>
          <w:sz w:val="22"/>
          <w:lang w:eastAsia="es-ES"/>
        </w:rPr>
      </w:pPr>
      <w:r w:rsidRPr="004930D7">
        <w:rPr>
          <w:rFonts w:ascii="Arial" w:eastAsia="Times New Roman" w:hAnsi="Arial" w:cs="Arial"/>
          <w:color w:val="262626" w:themeColor="text1" w:themeTint="D9"/>
          <w:sz w:val="22"/>
          <w:lang w:eastAsia="es-ES"/>
        </w:rPr>
        <w:t>7. Tanto en SECOP I como en SECOP II la Entidad Estatal tiene la potestad para decidir el momento en el cual entrega las copias o publica las ofertas, ya sea una vez realizado el cierre o una vez publique el informe de evaluación preliminar, ya que el Sistema de Compra Pública no lo establece.</w:t>
      </w:r>
    </w:p>
    <w:p w14:paraId="78524E1F" w14:textId="77777777" w:rsidR="005A2638" w:rsidRPr="004930D7" w:rsidRDefault="005A2638" w:rsidP="005A2638">
      <w:pPr>
        <w:tabs>
          <w:tab w:val="left" w:pos="6663"/>
        </w:tabs>
        <w:spacing w:after="120" w:line="276" w:lineRule="auto"/>
        <w:ind w:firstLine="709"/>
        <w:jc w:val="both"/>
      </w:pPr>
      <w:r w:rsidRPr="004930D7">
        <w:rPr>
          <w:rFonts w:ascii="Arial" w:eastAsia="Calibri" w:hAnsi="Arial" w:cs="Arial"/>
          <w:iCs/>
          <w:color w:val="262626" w:themeColor="text1" w:themeTint="D9"/>
          <w:sz w:val="22"/>
          <w:lang w:val="es-ES"/>
        </w:rPr>
        <w:lastRenderedPageBreak/>
        <w:t xml:space="preserve">Si usted quiere conocer el paso a paso para realizar esta publicación lo invitamos a que consulte el material dispuesto en el minisitio del SECOP II, a través del siguiente enlace: </w:t>
      </w:r>
      <w:hyperlink r:id="rId13" w:history="1">
        <w:r w:rsidRPr="004930D7">
          <w:rPr>
            <w:rFonts w:ascii="Arial" w:eastAsia="Calibri" w:hAnsi="Arial" w:cs="Arial"/>
            <w:iCs/>
            <w:color w:val="262626" w:themeColor="text1" w:themeTint="D9"/>
            <w:sz w:val="22"/>
            <w:lang w:val="es-ES"/>
          </w:rPr>
          <w:t>https://www.colombiacompra.gov.co/perfil-compradores-secop/perfil-compradores-secop</w:t>
        </w:r>
      </w:hyperlink>
    </w:p>
    <w:p w14:paraId="088BFFD0" w14:textId="77777777" w:rsidR="005A2638" w:rsidRPr="004930D7" w:rsidRDefault="005A2638" w:rsidP="005A2638">
      <w:pPr>
        <w:tabs>
          <w:tab w:val="left" w:pos="6663"/>
        </w:tabs>
        <w:spacing w:after="120" w:line="276" w:lineRule="auto"/>
        <w:ind w:firstLine="709"/>
        <w:jc w:val="both"/>
        <w:rPr>
          <w:rFonts w:ascii="Arial" w:eastAsia="Times New Roman" w:hAnsi="Arial" w:cs="Arial"/>
          <w:color w:val="262626" w:themeColor="text1" w:themeTint="D9"/>
          <w:sz w:val="22"/>
          <w:lang w:val="es-ES" w:eastAsia="es-ES"/>
        </w:rPr>
      </w:pPr>
      <w:r w:rsidRPr="004930D7">
        <w:rPr>
          <w:rFonts w:ascii="Arial" w:eastAsia="Times New Roman" w:hAnsi="Arial" w:cs="Arial"/>
          <w:color w:val="262626" w:themeColor="text1" w:themeTint="D9"/>
          <w:sz w:val="22"/>
          <w:lang w:val="es-ES" w:eastAsia="es-ES"/>
        </w:rPr>
        <w:t xml:space="preserve">Ahora bien, en caso de que la entidad haya realizado el paso a paso descrito en las guías para publicar la información contenida de los sobres, y esta no se visualice en la vista pública, la entidad deberá comunicarse con la mesa de servicio de Colombia Compra </w:t>
      </w:r>
      <w:r w:rsidRPr="004930D7">
        <w:rPr>
          <w:rFonts w:ascii="Arial" w:eastAsia="Calibri" w:hAnsi="Arial" w:cs="Arial"/>
          <w:iCs/>
          <w:color w:val="262626" w:themeColor="text1" w:themeTint="D9"/>
          <w:sz w:val="22"/>
          <w:lang w:val="es-ES"/>
        </w:rPr>
        <w:t xml:space="preserve">Eficiente para reportar el caso a través de los canales especificados en este enlace </w:t>
      </w:r>
      <w:hyperlink r:id="rId14" w:history="1">
        <w:r w:rsidRPr="004930D7">
          <w:rPr>
            <w:rFonts w:ascii="Arial" w:eastAsia="Calibri" w:hAnsi="Arial" w:cs="Arial"/>
            <w:iCs/>
            <w:color w:val="262626" w:themeColor="text1" w:themeTint="D9"/>
            <w:sz w:val="22"/>
            <w:lang w:val="es-ES"/>
          </w:rPr>
          <w:t>https://www.colombiacompra.gov.co/mesa-de-servicio</w:t>
        </w:r>
      </w:hyperlink>
      <w:r w:rsidRPr="004930D7">
        <w:rPr>
          <w:rFonts w:ascii="Arial" w:eastAsia="Calibri" w:hAnsi="Arial" w:cs="Arial"/>
          <w:iCs/>
          <w:color w:val="262626" w:themeColor="text1" w:themeTint="D9"/>
          <w:sz w:val="22"/>
          <w:lang w:val="es-ES"/>
        </w:rPr>
        <w:t>,</w:t>
      </w:r>
      <w:r w:rsidRPr="004930D7">
        <w:rPr>
          <w:rFonts w:ascii="Arial" w:eastAsia="Times New Roman" w:hAnsi="Arial" w:cs="Arial"/>
          <w:color w:val="262626" w:themeColor="text1" w:themeTint="D9"/>
          <w:sz w:val="22"/>
          <w:lang w:eastAsia="es-ES"/>
        </w:rPr>
        <w:t xml:space="preserve"> </w:t>
      </w:r>
      <w:r w:rsidRPr="004930D7">
        <w:rPr>
          <w:rFonts w:ascii="Arial" w:eastAsia="Times New Roman" w:hAnsi="Arial" w:cs="Arial"/>
          <w:color w:val="262626" w:themeColor="text1" w:themeTint="D9"/>
          <w:sz w:val="22"/>
          <w:lang w:val="es-ES" w:eastAsia="es-ES"/>
        </w:rPr>
        <w:t>con el fin de que sea validado lo que está ocurriendo y brindemos una solución oportuna.</w:t>
      </w:r>
    </w:p>
    <w:p w14:paraId="7DE18E79" w14:textId="77777777" w:rsidR="005A2638" w:rsidRPr="004930D7" w:rsidRDefault="005A2638" w:rsidP="005A2638">
      <w:pPr>
        <w:tabs>
          <w:tab w:val="left" w:pos="6663"/>
        </w:tabs>
        <w:spacing w:after="120"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Se debe mencionar que cuando ocurra una falla en la apertura de los sobres, la entidad debe reportar la incidencia a la mesa de servicio de Colombia Compra Eficiente, la cual deberá validar y en dado caso escalar con el proveedor de la plataforma para determinar si hubo una falla particular o no.</w:t>
      </w:r>
    </w:p>
    <w:p w14:paraId="5123B5D6" w14:textId="77777777" w:rsidR="005A2638" w:rsidRPr="004930D7" w:rsidRDefault="005A2638" w:rsidP="005A2638">
      <w:pPr>
        <w:tabs>
          <w:tab w:val="left" w:pos="6663"/>
        </w:tabs>
        <w:spacing w:after="120"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En caso de que exista una falla particular, la Mesa de Servicio procede a generar un certificado de falla particular de conformidad con el Protocolo de Indisponibilidad del SECOP II, el cual, al ser parte integral de los términos y condiciones de uso de la plataforma</w:t>
      </w:r>
      <w:r w:rsidRPr="00E25414">
        <w:rPr>
          <w:rFonts w:ascii="Arial" w:eastAsia="Calibri" w:hAnsi="Arial" w:cs="Arial"/>
          <w:color w:val="262626" w:themeColor="text1" w:themeTint="D9"/>
          <w:sz w:val="22"/>
          <w:vertAlign w:val="superscript"/>
        </w:rPr>
        <w:footnoteReference w:id="2"/>
      </w:r>
      <w:r w:rsidRPr="004930D7">
        <w:rPr>
          <w:rFonts w:ascii="Arial" w:eastAsia="Calibri" w:hAnsi="Arial" w:cs="Arial"/>
          <w:color w:val="262626" w:themeColor="text1" w:themeTint="D9"/>
          <w:sz w:val="22"/>
        </w:rPr>
        <w:t>, es de obligatorio cumplimiento. A continuación, relacionamos la definición de las fallas particulares:</w:t>
      </w:r>
    </w:p>
    <w:p w14:paraId="6203B293" w14:textId="77777777" w:rsidR="005A2638" w:rsidRPr="004930D7" w:rsidRDefault="005A2638" w:rsidP="005A2638">
      <w:pPr>
        <w:tabs>
          <w:tab w:val="left" w:pos="7020"/>
        </w:tabs>
        <w:spacing w:line="276" w:lineRule="auto"/>
        <w:ind w:firstLine="709"/>
        <w:jc w:val="both"/>
        <w:rPr>
          <w:rFonts w:ascii="Arial Nova" w:eastAsia="Arial Nova" w:hAnsi="Arial Nova" w:cs="Arial Nova"/>
          <w:color w:val="585858"/>
          <w:szCs w:val="20"/>
        </w:rPr>
      </w:pPr>
    </w:p>
    <w:p w14:paraId="42E69774" w14:textId="77777777" w:rsidR="005A2638" w:rsidRPr="004930D7" w:rsidRDefault="005A2638" w:rsidP="005A2638">
      <w:pPr>
        <w:ind w:left="708" w:right="709"/>
        <w:jc w:val="both"/>
        <w:rPr>
          <w:rFonts w:ascii="Arial" w:eastAsia="Calibri" w:hAnsi="Arial" w:cs="Arial"/>
          <w:color w:val="262626" w:themeColor="text1" w:themeTint="D9"/>
          <w:sz w:val="21"/>
          <w:szCs w:val="21"/>
        </w:rPr>
      </w:pPr>
      <w:r w:rsidRPr="004930D7">
        <w:rPr>
          <w:rFonts w:ascii="Arial" w:eastAsia="Calibri" w:hAnsi="Arial" w:cs="Arial"/>
          <w:b/>
          <w:bCs/>
          <w:color w:val="262626" w:themeColor="text1" w:themeTint="D9"/>
          <w:sz w:val="21"/>
          <w:szCs w:val="21"/>
        </w:rPr>
        <w:t>Fallas Particulares:</w:t>
      </w:r>
      <w:r w:rsidRPr="004930D7">
        <w:rPr>
          <w:rFonts w:ascii="Arial" w:eastAsia="Calibri" w:hAnsi="Arial" w:cs="Arial"/>
          <w:color w:val="262626" w:themeColor="text1" w:themeTint="D9"/>
          <w:sz w:val="21"/>
          <w:szCs w:val="21"/>
        </w:rPr>
        <w:t xml:space="preserve"> Son las que se presentan para una cuenta de Entidad, Proveedor o usuario en particular y que impiden la culminación de una etapa o acto del Proceso de contratación en específico. Estos casos particulares son certificados por la Mesa de servicio de Colombia Compra Eficiente mediante un correo electrónico que responde al caso radicado por el Proveedor o Entidad Estatal a través del formulario de soporte disponible en </w:t>
      </w:r>
      <w:hyperlink r:id="rId15" w:history="1">
        <w:r w:rsidRPr="004930D7">
          <w:rPr>
            <w:rFonts w:ascii="Arial" w:eastAsia="Calibri" w:hAnsi="Arial" w:cs="Arial"/>
            <w:color w:val="262626" w:themeColor="text1" w:themeTint="D9"/>
            <w:sz w:val="21"/>
            <w:szCs w:val="21"/>
          </w:rPr>
          <w:t>https://www.colombiacompra.gov.co/soporte/formulario-de-soporte</w:t>
        </w:r>
      </w:hyperlink>
      <w:r w:rsidRPr="004930D7">
        <w:rPr>
          <w:rFonts w:ascii="Arial" w:eastAsia="Calibri" w:hAnsi="Arial" w:cs="Arial"/>
          <w:color w:val="262626" w:themeColor="text1" w:themeTint="D9"/>
          <w:sz w:val="21"/>
          <w:szCs w:val="21"/>
        </w:rPr>
        <w:t xml:space="preserve">.  En el correo Colombia Compra Eficiente determinará la existencia de una Falla </w:t>
      </w:r>
      <w:r w:rsidRPr="004930D7">
        <w:rPr>
          <w:rFonts w:ascii="Arial" w:eastAsia="Calibri" w:hAnsi="Arial" w:cs="Arial"/>
          <w:color w:val="262626" w:themeColor="text1" w:themeTint="D9"/>
          <w:sz w:val="21"/>
          <w:szCs w:val="21"/>
          <w:u w:val="single"/>
        </w:rPr>
        <w:t xml:space="preserve">y ese correo constituye el certificado que habilitará, tanto a la Entidad Estatal como al </w:t>
      </w:r>
      <w:r w:rsidRPr="004930D7">
        <w:rPr>
          <w:rFonts w:ascii="Arial" w:eastAsia="Calibri" w:hAnsi="Arial" w:cs="Arial"/>
          <w:color w:val="262626" w:themeColor="text1" w:themeTint="D9"/>
          <w:sz w:val="21"/>
          <w:szCs w:val="21"/>
          <w:u w:val="single"/>
        </w:rPr>
        <w:lastRenderedPageBreak/>
        <w:t>Proveedor, para hacer uso del Protocolo de indisponibilidad.</w:t>
      </w:r>
      <w:r w:rsidRPr="004930D7">
        <w:rPr>
          <w:rFonts w:ascii="Arial" w:eastAsia="Calibri" w:hAnsi="Arial" w:cs="Arial"/>
          <w:color w:val="262626" w:themeColor="text1" w:themeTint="D9"/>
          <w:sz w:val="21"/>
          <w:szCs w:val="21"/>
        </w:rPr>
        <w:t xml:space="preserve"> [Subrayado fuera de texto]. </w:t>
      </w:r>
    </w:p>
    <w:p w14:paraId="234D261E" w14:textId="77777777" w:rsidR="005A2638" w:rsidRPr="004930D7" w:rsidRDefault="005A2638" w:rsidP="005A2638">
      <w:pPr>
        <w:tabs>
          <w:tab w:val="left" w:pos="7020"/>
        </w:tabs>
        <w:spacing w:line="276" w:lineRule="auto"/>
        <w:ind w:firstLine="709"/>
        <w:jc w:val="both"/>
        <w:rPr>
          <w:rFonts w:ascii="Arial Nova" w:eastAsia="Arial Nova" w:hAnsi="Arial Nova" w:cs="Arial Nova"/>
          <w:color w:val="585858"/>
          <w:szCs w:val="20"/>
        </w:rPr>
      </w:pPr>
    </w:p>
    <w:p w14:paraId="61BC12BB" w14:textId="77777777" w:rsidR="005A2638" w:rsidRPr="004930D7" w:rsidRDefault="005A2638" w:rsidP="005A2638">
      <w:pPr>
        <w:spacing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Una vez se emite el certificado de falla particular, este es válido y suficiente desde la ANCP  ̶  CCE para los propósitos de los procesos de contratación adelantados por las Entidades Estatales, y certifica la existencia de una falla técnica en la plataforma, ajena a las acciones realizadas por la Entidad Estatal. La notificación de la ocurrencia de una falla particular podrá ser compartida con los interesados del proceso de contratación como establece el protocolo de indisponibilidad:</w:t>
      </w:r>
    </w:p>
    <w:p w14:paraId="072774DE" w14:textId="77777777" w:rsidR="005A2638" w:rsidRPr="004930D7" w:rsidRDefault="005A2638" w:rsidP="005A2638">
      <w:pPr>
        <w:tabs>
          <w:tab w:val="left" w:pos="7020"/>
        </w:tabs>
        <w:spacing w:line="276" w:lineRule="auto"/>
        <w:ind w:firstLine="709"/>
        <w:jc w:val="both"/>
      </w:pPr>
    </w:p>
    <w:p w14:paraId="0FBB0F77" w14:textId="7897E3D5" w:rsidR="005A2638" w:rsidRPr="004930D7" w:rsidRDefault="005A2638" w:rsidP="005A2638">
      <w:pPr>
        <w:ind w:left="708"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w:t>
      </w:r>
      <w:r w:rsidR="004259FB" w:rsidRPr="004930D7">
        <w:rPr>
          <w:rFonts w:ascii="Arial" w:eastAsia="Calibri" w:hAnsi="Arial" w:cs="Arial"/>
          <w:color w:val="262626" w:themeColor="text1" w:themeTint="D9"/>
          <w:sz w:val="21"/>
          <w:szCs w:val="21"/>
        </w:rPr>
        <w:t>…</w:t>
      </w:r>
      <w:r w:rsidRPr="004930D7">
        <w:rPr>
          <w:rFonts w:ascii="Arial" w:eastAsia="Calibri" w:hAnsi="Arial" w:cs="Arial"/>
          <w:color w:val="262626" w:themeColor="text1" w:themeTint="D9"/>
          <w:sz w:val="21"/>
          <w:szCs w:val="21"/>
        </w:rPr>
        <w:t>]</w:t>
      </w:r>
    </w:p>
    <w:p w14:paraId="164CFF28" w14:textId="77777777" w:rsidR="005A2638" w:rsidRPr="004930D7" w:rsidRDefault="005A2638" w:rsidP="005A2638">
      <w:pPr>
        <w:spacing w:after="120"/>
        <w:ind w:left="709"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 xml:space="preserve">Una Falla Particular que se de en un Proceso de contratación, en una fase particular o Evento, en la cuenta de Entidad Compradora o Proveedor, o en el Usuario de Entidad Compradora o Proveedor, deberá ser puesta en conocimiento de los interesados por la Entidad Compradora o Proveedor que experimentó la Falla. Si la Falla Particular es reportada por el Proveedor, esta debe ser puesta en conocimiento de la Entidad Compradora al correo electrónico que esta determine en los pliegos de condiciones. Si la Falla Particular es reportada por la Entidad Compradora, esta puede ser comunicada a los interesados en el Proceso mediante un mensaje público en el SECOP II o en su página Web. </w:t>
      </w:r>
    </w:p>
    <w:p w14:paraId="53CCD5F5" w14:textId="05B53258" w:rsidR="005A2638" w:rsidRPr="004930D7" w:rsidRDefault="005A2638" w:rsidP="00E25414">
      <w:pPr>
        <w:ind w:left="709"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Para consultar el protocolo de indisponibilidad, le sugerimos ingresar al siguiente enlace: https://www.colombiacompra.gov.co/secop-ii/indisponibilidad-en-el-secop-ii</w:t>
      </w:r>
    </w:p>
    <w:p w14:paraId="1358FBFD" w14:textId="77777777" w:rsidR="008E2994" w:rsidRPr="004930D7" w:rsidRDefault="008E2994" w:rsidP="00E25414">
      <w:pPr>
        <w:ind w:left="709" w:right="709"/>
        <w:jc w:val="both"/>
        <w:rPr>
          <w:rFonts w:ascii="Arial" w:eastAsia="Calibri" w:hAnsi="Arial" w:cs="Arial"/>
          <w:color w:val="262626" w:themeColor="text1" w:themeTint="D9"/>
          <w:sz w:val="21"/>
          <w:szCs w:val="21"/>
        </w:rPr>
      </w:pPr>
    </w:p>
    <w:p w14:paraId="7438F776" w14:textId="534BAA04" w:rsidR="005A2638" w:rsidRPr="004930D7" w:rsidRDefault="005A2638" w:rsidP="005A2638">
      <w:pPr>
        <w:tabs>
          <w:tab w:val="left" w:pos="7020"/>
        </w:tabs>
        <w:spacing w:after="120"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Ahora bien, de conformidad con la competencia otorgada en el numeral 5 del artículo 3 y el numeral 4 del artículo 13 del Decreto 4170 de 2011, la ANCP  ̶  CCE atiende consultas relativas a temas contractuales en lo que se refiere a la aplicación de normas de carácter general</w:t>
      </w:r>
      <w:r w:rsidRPr="004930D7">
        <w:rPr>
          <w:rFonts w:ascii="Arial" w:eastAsia="Calibri" w:hAnsi="Arial" w:cs="Arial"/>
          <w:color w:val="262626" w:themeColor="text1" w:themeTint="D9"/>
          <w:sz w:val="22"/>
          <w:vertAlign w:val="superscript"/>
        </w:rPr>
        <w:footnoteReference w:id="3"/>
      </w:r>
      <w:r w:rsidRPr="004930D7">
        <w:rPr>
          <w:rFonts w:ascii="Arial" w:eastAsia="Calibri" w:hAnsi="Arial" w:cs="Arial"/>
          <w:color w:val="262626" w:themeColor="text1" w:themeTint="D9"/>
          <w:sz w:val="22"/>
          <w:vertAlign w:val="superscript"/>
        </w:rPr>
        <w:t xml:space="preserve"> </w:t>
      </w:r>
      <w:r w:rsidRPr="004930D7">
        <w:rPr>
          <w:rFonts w:ascii="Arial" w:eastAsia="Calibri" w:hAnsi="Arial" w:cs="Arial"/>
          <w:color w:val="262626" w:themeColor="text1" w:themeTint="D9"/>
          <w:sz w:val="22"/>
        </w:rPr>
        <w:t>en materia de compras y contratación pública</w:t>
      </w:r>
      <w:r w:rsidR="00174A59" w:rsidRPr="004930D7">
        <w:rPr>
          <w:rFonts w:ascii="Arial" w:eastAsia="Calibri" w:hAnsi="Arial" w:cs="Arial"/>
          <w:color w:val="262626" w:themeColor="text1" w:themeTint="D9"/>
          <w:sz w:val="22"/>
        </w:rPr>
        <w:t>.</w:t>
      </w:r>
      <w:r w:rsidRPr="004930D7">
        <w:rPr>
          <w:rFonts w:ascii="Arial" w:eastAsia="Calibri" w:hAnsi="Arial" w:cs="Arial"/>
          <w:color w:val="262626" w:themeColor="text1" w:themeTint="D9"/>
          <w:sz w:val="22"/>
        </w:rPr>
        <w:t xml:space="preserve"> </w:t>
      </w:r>
      <w:r w:rsidR="00174A59" w:rsidRPr="004930D7">
        <w:rPr>
          <w:rFonts w:ascii="Arial" w:eastAsia="Calibri" w:hAnsi="Arial" w:cs="Arial"/>
          <w:color w:val="262626" w:themeColor="text1" w:themeTint="D9"/>
          <w:sz w:val="22"/>
        </w:rPr>
        <w:t>P</w:t>
      </w:r>
      <w:r w:rsidRPr="004930D7">
        <w:rPr>
          <w:rFonts w:ascii="Arial" w:eastAsia="Calibri" w:hAnsi="Arial" w:cs="Arial"/>
          <w:color w:val="262626" w:themeColor="text1" w:themeTint="D9"/>
          <w:sz w:val="22"/>
        </w:rPr>
        <w:t>or tal motivo, no es competente para resolver consultas referidas a actividades contractuales específicas de las entidades estatales, ni para determinar las decisiones que estas toman durante sus procesos de contratación, ni tampoco, para establecer la fecha que deben tener en cuenta las entidades como apertura del sobre número 2 – económico ̶ .</w:t>
      </w:r>
    </w:p>
    <w:p w14:paraId="487A5371" w14:textId="18C64794" w:rsidR="005A2638" w:rsidRPr="004930D7" w:rsidRDefault="005A2638" w:rsidP="005A2638">
      <w:pPr>
        <w:tabs>
          <w:tab w:val="left" w:pos="7020"/>
        </w:tabs>
        <w:spacing w:after="120"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lastRenderedPageBreak/>
        <w:t xml:space="preserve">Dicho lo anterior, considerando que las Entidades inicien la </w:t>
      </w:r>
      <w:r w:rsidRPr="004930D7">
        <w:rPr>
          <w:rFonts w:ascii="Arial" w:eastAsia="Calibri" w:hAnsi="Arial" w:cs="Arial"/>
          <w:i/>
          <w:iCs/>
          <w:color w:val="262626" w:themeColor="text1" w:themeTint="D9"/>
          <w:sz w:val="22"/>
        </w:rPr>
        <w:t>«Audiencia de Adjudicación y apertura sobre económico»</w:t>
      </w:r>
      <w:r w:rsidRPr="004930D7">
        <w:rPr>
          <w:rFonts w:ascii="Arial" w:eastAsia="Calibri" w:hAnsi="Arial" w:cs="Arial"/>
          <w:color w:val="262626" w:themeColor="text1" w:themeTint="D9"/>
          <w:sz w:val="22"/>
        </w:rPr>
        <w:t xml:space="preserve"> en la fecha establecida en el cronograma del proceso de contratación, pero que en su desarrollo se presenta una falla particular debidamente certificada por la mesa de servicio de la ANCP ̶ CCE [con la validez expuesta], la Entidad Estatal deberá proceder de acuerdo con lo establecido en el pliego de condiciones y cronograma del proceso de contratación. </w:t>
      </w:r>
    </w:p>
    <w:p w14:paraId="17DFED58" w14:textId="77777777" w:rsidR="005A2638" w:rsidRPr="004930D7" w:rsidRDefault="005A2638" w:rsidP="005A2638">
      <w:pPr>
        <w:tabs>
          <w:tab w:val="left" w:pos="7020"/>
        </w:tabs>
        <w:spacing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Ahora bien, el Consejo de Estado ha determinado que el pliego de condiciones es ley para las partes, y en él se debe establecer todo el reglamento del proceso de contratación, conforme a la ley, garantizando la selección objetiva del contratista. Por lo tanto, el pliego de condiciones:</w:t>
      </w:r>
    </w:p>
    <w:p w14:paraId="04A113E7" w14:textId="77777777" w:rsidR="005A2638" w:rsidRPr="004930D7" w:rsidRDefault="005A2638" w:rsidP="00E25414">
      <w:pPr>
        <w:widowControl w:val="0"/>
        <w:autoSpaceDE w:val="0"/>
        <w:autoSpaceDN w:val="0"/>
        <w:spacing w:line="276" w:lineRule="auto"/>
        <w:ind w:firstLine="709"/>
        <w:jc w:val="both"/>
        <w:rPr>
          <w:rFonts w:ascii="Arial" w:eastAsia="Arial" w:hAnsi="Arial" w:cs="Arial"/>
          <w:sz w:val="23"/>
          <w:szCs w:val="20"/>
          <w:lang w:val="es-ES" w:eastAsia="es-ES" w:bidi="es-ES"/>
        </w:rPr>
      </w:pPr>
    </w:p>
    <w:p w14:paraId="32852A9C" w14:textId="1A78CF39" w:rsidR="005A2638" w:rsidRPr="004930D7" w:rsidRDefault="005A2638" w:rsidP="00E25414">
      <w:pPr>
        <w:ind w:left="709"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r w:rsidRPr="004930D7">
        <w:rPr>
          <w:rFonts w:ascii="Arial" w:eastAsia="Calibri" w:hAnsi="Arial" w:cs="Arial"/>
          <w:color w:val="262626" w:themeColor="text1" w:themeTint="D9"/>
          <w:sz w:val="21"/>
          <w:szCs w:val="21"/>
          <w:vertAlign w:val="superscript"/>
        </w:rPr>
        <w:footnoteReference w:id="4"/>
      </w:r>
      <w:r w:rsidRPr="004930D7">
        <w:rPr>
          <w:rFonts w:ascii="Arial" w:eastAsia="Calibri" w:hAnsi="Arial" w:cs="Arial"/>
          <w:color w:val="262626" w:themeColor="text1" w:themeTint="D9"/>
          <w:sz w:val="21"/>
          <w:szCs w:val="21"/>
        </w:rPr>
        <w:t>.</w:t>
      </w:r>
    </w:p>
    <w:p w14:paraId="27B27EBF" w14:textId="77777777" w:rsidR="008E2994" w:rsidRPr="004930D7" w:rsidRDefault="008E2994" w:rsidP="00E25414">
      <w:pPr>
        <w:ind w:left="709" w:right="709"/>
        <w:jc w:val="both"/>
        <w:rPr>
          <w:rFonts w:ascii="Arial" w:eastAsia="Calibri" w:hAnsi="Arial" w:cs="Arial"/>
          <w:color w:val="262626" w:themeColor="text1" w:themeTint="D9"/>
          <w:sz w:val="21"/>
          <w:szCs w:val="21"/>
        </w:rPr>
      </w:pPr>
    </w:p>
    <w:p w14:paraId="39C06429" w14:textId="77777777" w:rsidR="005A2638" w:rsidRPr="004930D7" w:rsidRDefault="005A2638" w:rsidP="005A2638">
      <w:pPr>
        <w:tabs>
          <w:tab w:val="left" w:pos="7020"/>
        </w:tabs>
        <w:spacing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Finalmente tenga en cuenta que la ANCP ̶ CCE como administradora de las plataformas de compra pública, carece de competencia para pronunciarse sobre el desarrollo de los procesos de contratación que adelantan las Entidades Estatales:</w:t>
      </w:r>
    </w:p>
    <w:p w14:paraId="24CF494B" w14:textId="77777777" w:rsidR="005A2638" w:rsidRPr="004930D7" w:rsidRDefault="005A2638" w:rsidP="00436D70">
      <w:pPr>
        <w:tabs>
          <w:tab w:val="left" w:pos="7020"/>
        </w:tabs>
        <w:spacing w:line="276" w:lineRule="auto"/>
        <w:ind w:firstLine="709"/>
        <w:jc w:val="both"/>
      </w:pPr>
    </w:p>
    <w:p w14:paraId="3F3B9844" w14:textId="77777777" w:rsidR="005A2638" w:rsidRPr="004930D7" w:rsidRDefault="005A2638" w:rsidP="00E25414">
      <w:pPr>
        <w:ind w:left="709"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 Colombia Compra Eficiente como administradora del SECOP II no tiene injerencia alguna sobre los Procesos de Contratación ni sobre la legalidad o veracidad de la información cargada por Proveedores y Entidades en la plataforma.</w:t>
      </w:r>
    </w:p>
    <w:p w14:paraId="6C4D3042" w14:textId="77777777" w:rsidR="005A2638" w:rsidRPr="004930D7" w:rsidRDefault="005A2638" w:rsidP="00436D70">
      <w:pPr>
        <w:tabs>
          <w:tab w:val="left" w:pos="7020"/>
        </w:tabs>
        <w:spacing w:line="276" w:lineRule="auto"/>
        <w:ind w:left="708" w:firstLine="709"/>
        <w:jc w:val="both"/>
        <w:rPr>
          <w:rFonts w:ascii="Arial Nova" w:eastAsia="Arial Nova" w:hAnsi="Arial Nova" w:cs="Arial Nova"/>
          <w:i/>
          <w:iCs/>
          <w:color w:val="585858"/>
          <w:szCs w:val="20"/>
          <w:lang w:val="es"/>
        </w:rPr>
      </w:pPr>
    </w:p>
    <w:p w14:paraId="68413FB9" w14:textId="6511A227" w:rsidR="005A2638" w:rsidRPr="004930D7" w:rsidRDefault="005A2638" w:rsidP="00E25414">
      <w:pPr>
        <w:ind w:left="709" w:right="709"/>
        <w:jc w:val="both"/>
        <w:rPr>
          <w:rFonts w:ascii="Arial" w:eastAsia="Calibri" w:hAnsi="Arial" w:cs="Arial"/>
          <w:color w:val="262626" w:themeColor="text1" w:themeTint="D9"/>
          <w:sz w:val="21"/>
          <w:szCs w:val="21"/>
        </w:rPr>
      </w:pPr>
      <w:r w:rsidRPr="004930D7">
        <w:rPr>
          <w:rFonts w:ascii="Arial" w:eastAsia="Calibri" w:hAnsi="Arial" w:cs="Arial"/>
          <w:color w:val="262626" w:themeColor="text1" w:themeTint="D9"/>
          <w:sz w:val="21"/>
          <w:szCs w:val="21"/>
        </w:rPr>
        <w:t xml:space="preserve">Términos y condiciones de uso del SECOP II: </w:t>
      </w:r>
      <w:hyperlink r:id="rId16" w:history="1">
        <w:r w:rsidRPr="004930D7">
          <w:rPr>
            <w:rFonts w:ascii="Arial" w:eastAsia="Calibri" w:hAnsi="Arial" w:cs="Arial"/>
            <w:color w:val="262626" w:themeColor="text1" w:themeTint="D9"/>
            <w:sz w:val="21"/>
            <w:szCs w:val="21"/>
          </w:rPr>
          <w:t>https://www.colombiacompra.gov.co/secop/terminos-y-condiciones</w:t>
        </w:r>
      </w:hyperlink>
      <w:r w:rsidRPr="004930D7">
        <w:rPr>
          <w:rFonts w:ascii="Arial" w:eastAsia="Calibri" w:hAnsi="Arial" w:cs="Arial"/>
          <w:color w:val="262626" w:themeColor="text1" w:themeTint="D9"/>
          <w:sz w:val="21"/>
          <w:szCs w:val="21"/>
        </w:rPr>
        <w:t xml:space="preserve"> </w:t>
      </w:r>
    </w:p>
    <w:p w14:paraId="70868D34" w14:textId="77777777" w:rsidR="008E2994" w:rsidRPr="004930D7" w:rsidRDefault="008E2994" w:rsidP="00E25414">
      <w:pPr>
        <w:ind w:left="709" w:right="709"/>
        <w:jc w:val="both"/>
        <w:rPr>
          <w:rFonts w:ascii="Arial" w:eastAsia="Calibri" w:hAnsi="Arial" w:cs="Arial"/>
          <w:color w:val="262626" w:themeColor="text1" w:themeTint="D9"/>
          <w:sz w:val="21"/>
          <w:szCs w:val="21"/>
        </w:rPr>
      </w:pPr>
    </w:p>
    <w:p w14:paraId="2A367DD7" w14:textId="77777777" w:rsidR="005A2638" w:rsidRPr="004930D7" w:rsidRDefault="005A2638" w:rsidP="005A2638">
      <w:pPr>
        <w:tabs>
          <w:tab w:val="left" w:pos="7020"/>
        </w:tabs>
        <w:spacing w:after="120" w:line="276" w:lineRule="auto"/>
        <w:ind w:firstLine="709"/>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 xml:space="preserve">En caso de presentar inquietudes o requerir soporte en el uso de las plataformas de compra pública, puede comunicarse a través de los canales de atención de la Mesa de Servicio de la ANCP – CCE: </w:t>
      </w:r>
    </w:p>
    <w:p w14:paraId="07866E96" w14:textId="77777777" w:rsidR="005A2638" w:rsidRPr="004930D7" w:rsidRDefault="006A2FAE" w:rsidP="005A2638">
      <w:pPr>
        <w:numPr>
          <w:ilvl w:val="0"/>
          <w:numId w:val="10"/>
        </w:numPr>
        <w:tabs>
          <w:tab w:val="left" w:pos="7020"/>
        </w:tabs>
        <w:spacing w:after="120" w:line="276" w:lineRule="auto"/>
        <w:contextualSpacing/>
        <w:jc w:val="both"/>
        <w:rPr>
          <w:rFonts w:ascii="Arial" w:eastAsia="Calibri" w:hAnsi="Arial" w:cs="Arial"/>
          <w:color w:val="262626" w:themeColor="text1" w:themeTint="D9"/>
          <w:sz w:val="22"/>
        </w:rPr>
      </w:pPr>
      <w:hyperlink r:id="rId17">
        <w:r w:rsidR="005A2638" w:rsidRPr="004930D7">
          <w:rPr>
            <w:rFonts w:ascii="Arial" w:eastAsia="Calibri" w:hAnsi="Arial" w:cs="Arial"/>
            <w:color w:val="262626" w:themeColor="text1" w:themeTint="D9"/>
            <w:sz w:val="22"/>
          </w:rPr>
          <w:t>Soporte técnico</w:t>
        </w:r>
      </w:hyperlink>
      <w:r w:rsidR="005A2638" w:rsidRPr="004930D7">
        <w:rPr>
          <w:rFonts w:ascii="Arial" w:eastAsia="Calibri" w:hAnsi="Arial" w:cs="Arial"/>
          <w:color w:val="262626" w:themeColor="text1" w:themeTint="D9"/>
          <w:sz w:val="22"/>
        </w:rPr>
        <w:t xml:space="preserve"> </w:t>
      </w:r>
      <w:hyperlink r:id="rId18">
        <w:r w:rsidR="005A2638" w:rsidRPr="004930D7">
          <w:rPr>
            <w:rFonts w:ascii="Arial" w:eastAsia="Calibri" w:hAnsi="Arial" w:cs="Arial"/>
            <w:color w:val="0E63A8" w:themeColor="text2"/>
            <w:sz w:val="22"/>
            <w:u w:val="single"/>
          </w:rPr>
          <w:t>https://www.colombiacompra.gov.co/node/21371</w:t>
        </w:r>
      </w:hyperlink>
      <w:r w:rsidR="005A2638" w:rsidRPr="004930D7">
        <w:rPr>
          <w:rFonts w:ascii="Arial" w:eastAsia="Calibri" w:hAnsi="Arial" w:cs="Arial"/>
          <w:color w:val="262626" w:themeColor="text1" w:themeTint="D9"/>
          <w:sz w:val="22"/>
          <w:u w:val="single"/>
        </w:rPr>
        <w:t xml:space="preserve"> </w:t>
      </w:r>
      <w:r w:rsidR="005A2638" w:rsidRPr="004930D7">
        <w:rPr>
          <w:rFonts w:ascii="Arial" w:eastAsia="Calibri" w:hAnsi="Arial" w:cs="Arial"/>
          <w:color w:val="262626" w:themeColor="text1" w:themeTint="D9"/>
          <w:sz w:val="22"/>
        </w:rPr>
        <w:t xml:space="preserve"> </w:t>
      </w:r>
    </w:p>
    <w:p w14:paraId="4B4D1CED" w14:textId="77777777" w:rsidR="005A2638" w:rsidRPr="004930D7" w:rsidRDefault="005A2638" w:rsidP="005A2638">
      <w:pPr>
        <w:numPr>
          <w:ilvl w:val="0"/>
          <w:numId w:val="10"/>
        </w:numPr>
        <w:tabs>
          <w:tab w:val="left" w:pos="7020"/>
        </w:tabs>
        <w:spacing w:after="120" w:line="276" w:lineRule="auto"/>
        <w:contextualSpacing/>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 xml:space="preserve">Chat en línea: </w:t>
      </w:r>
      <w:hyperlink r:id="rId19">
        <w:r w:rsidRPr="004930D7">
          <w:rPr>
            <w:rFonts w:ascii="Arial" w:eastAsia="Calibri" w:hAnsi="Arial" w:cs="Arial"/>
            <w:color w:val="0E63A8" w:themeColor="text2"/>
            <w:sz w:val="22"/>
            <w:u w:val="single"/>
          </w:rPr>
          <w:t>https://jota-chat.herokuapp.com/</w:t>
        </w:r>
      </w:hyperlink>
      <w:r w:rsidRPr="004930D7">
        <w:rPr>
          <w:rFonts w:ascii="Arial" w:eastAsia="Calibri" w:hAnsi="Arial" w:cs="Arial"/>
          <w:color w:val="262626" w:themeColor="text1" w:themeTint="D9"/>
          <w:sz w:val="22"/>
        </w:rPr>
        <w:t xml:space="preserve"> </w:t>
      </w:r>
    </w:p>
    <w:p w14:paraId="685B7EEC" w14:textId="77777777" w:rsidR="005A2638" w:rsidRPr="004930D7" w:rsidRDefault="005A2638" w:rsidP="005A2638">
      <w:pPr>
        <w:numPr>
          <w:ilvl w:val="0"/>
          <w:numId w:val="10"/>
        </w:numPr>
        <w:tabs>
          <w:tab w:val="left" w:pos="7020"/>
        </w:tabs>
        <w:spacing w:after="120" w:line="276" w:lineRule="auto"/>
        <w:contextualSpacing/>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t>Línea en Bogotá: 7456788</w:t>
      </w:r>
    </w:p>
    <w:p w14:paraId="192100DF" w14:textId="77777777" w:rsidR="005A2638" w:rsidRPr="004930D7" w:rsidRDefault="005A2638" w:rsidP="005A2638">
      <w:pPr>
        <w:numPr>
          <w:ilvl w:val="0"/>
          <w:numId w:val="10"/>
        </w:numPr>
        <w:tabs>
          <w:tab w:val="left" w:pos="7020"/>
        </w:tabs>
        <w:spacing w:after="120" w:line="276" w:lineRule="auto"/>
        <w:contextualSpacing/>
        <w:jc w:val="both"/>
        <w:rPr>
          <w:rFonts w:ascii="Arial" w:eastAsia="Calibri" w:hAnsi="Arial" w:cs="Arial"/>
          <w:color w:val="262626" w:themeColor="text1" w:themeTint="D9"/>
          <w:sz w:val="22"/>
        </w:rPr>
      </w:pPr>
      <w:r w:rsidRPr="004930D7">
        <w:rPr>
          <w:rFonts w:ascii="Arial" w:eastAsia="Calibri" w:hAnsi="Arial" w:cs="Arial"/>
          <w:color w:val="262626" w:themeColor="text1" w:themeTint="D9"/>
          <w:sz w:val="22"/>
        </w:rPr>
        <w:lastRenderedPageBreak/>
        <w:t>Línea Nacional: 01 8000 520 808</w:t>
      </w:r>
    </w:p>
    <w:p w14:paraId="222B3C63" w14:textId="77777777" w:rsidR="005A2638" w:rsidRPr="004930D7" w:rsidRDefault="005A2638" w:rsidP="005A2638">
      <w:pPr>
        <w:tabs>
          <w:tab w:val="left" w:pos="7020"/>
        </w:tabs>
        <w:spacing w:line="276" w:lineRule="auto"/>
        <w:ind w:left="720" w:firstLine="709"/>
        <w:contextualSpacing/>
        <w:jc w:val="both"/>
        <w:rPr>
          <w:rFonts w:eastAsiaTheme="minorEastAsia"/>
          <w:color w:val="595959" w:themeColor="text1" w:themeTint="A6"/>
          <w:sz w:val="20"/>
          <w:szCs w:val="20"/>
        </w:rPr>
      </w:pPr>
    </w:p>
    <w:bookmarkEnd w:id="6"/>
    <w:bookmarkEnd w:id="7"/>
    <w:bookmarkEnd w:id="8"/>
    <w:p w14:paraId="54191323" w14:textId="68785D6A" w:rsidR="003D5E96" w:rsidRPr="004930D7" w:rsidRDefault="009C2C65" w:rsidP="003D5E96">
      <w:pPr>
        <w:spacing w:line="276" w:lineRule="auto"/>
        <w:jc w:val="both"/>
        <w:rPr>
          <w:rFonts w:ascii="Arial" w:eastAsia="Calibri" w:hAnsi="Arial" w:cs="Arial"/>
          <w:b/>
          <w:sz w:val="22"/>
        </w:rPr>
      </w:pPr>
      <w:r w:rsidRPr="004930D7">
        <w:rPr>
          <w:rFonts w:ascii="Arial" w:eastAsia="Calibri" w:hAnsi="Arial" w:cs="Arial"/>
          <w:b/>
          <w:color w:val="0D0D0D" w:themeColor="text1" w:themeTint="F2"/>
          <w:sz w:val="22"/>
        </w:rPr>
        <w:t>2.</w:t>
      </w:r>
      <w:r w:rsidR="009F6C5D" w:rsidRPr="004930D7">
        <w:rPr>
          <w:rFonts w:ascii="Arial" w:eastAsia="Calibri" w:hAnsi="Arial" w:cs="Arial"/>
          <w:b/>
          <w:color w:val="0D0D0D" w:themeColor="text1" w:themeTint="F2"/>
          <w:sz w:val="22"/>
        </w:rPr>
        <w:t>4.</w:t>
      </w:r>
      <w:r w:rsidRPr="004930D7">
        <w:rPr>
          <w:rFonts w:ascii="Arial" w:eastAsia="Calibri" w:hAnsi="Arial" w:cs="Arial"/>
          <w:b/>
          <w:color w:val="0D0D0D" w:themeColor="text1" w:themeTint="F2"/>
          <w:sz w:val="22"/>
        </w:rPr>
        <w:t xml:space="preserve"> </w:t>
      </w:r>
      <w:r w:rsidR="003D5E96" w:rsidRPr="004930D7">
        <w:rPr>
          <w:rFonts w:ascii="Arial" w:eastAsia="Calibri" w:hAnsi="Arial" w:cs="Arial"/>
          <w:b/>
          <w:sz w:val="22"/>
        </w:rPr>
        <w:t>Regulación de los «precios artificialmente bajos» en la contratación pública: aproximación al concepto</w:t>
      </w:r>
    </w:p>
    <w:p w14:paraId="610006AC" w14:textId="77777777" w:rsidR="003D5E96" w:rsidRPr="004930D7" w:rsidRDefault="003D5E96" w:rsidP="003D5E96">
      <w:pPr>
        <w:spacing w:line="276" w:lineRule="auto"/>
        <w:jc w:val="both"/>
        <w:rPr>
          <w:rFonts w:ascii="Arial" w:eastAsia="Calibri" w:hAnsi="Arial" w:cs="Arial"/>
          <w:b/>
          <w:sz w:val="22"/>
        </w:rPr>
      </w:pPr>
    </w:p>
    <w:p w14:paraId="590CCFF8" w14:textId="77777777" w:rsidR="003D5E96" w:rsidRPr="004930D7" w:rsidRDefault="003D5E96" w:rsidP="00E25414">
      <w:pPr>
        <w:spacing w:line="276" w:lineRule="auto"/>
        <w:jc w:val="both"/>
        <w:rPr>
          <w:rFonts w:ascii="Arial" w:hAnsi="Arial" w:cs="Arial"/>
          <w:sz w:val="22"/>
        </w:rPr>
      </w:pPr>
      <w:r w:rsidRPr="004930D7">
        <w:rPr>
          <w:rFonts w:ascii="Arial" w:hAnsi="Arial" w:cs="Arial"/>
          <w:sz w:val="22"/>
        </w:rPr>
        <w:t xml:space="preserve">Es importante definir el concepto de </w:t>
      </w:r>
      <w:r w:rsidRPr="004930D7">
        <w:rPr>
          <w:rFonts w:ascii="Arial" w:eastAsia="Calibri" w:hAnsi="Arial" w:cs="Arial"/>
          <w:sz w:val="22"/>
        </w:rPr>
        <w:t xml:space="preserve">«precio artificialmente bajo», por lo cual </w:t>
      </w:r>
      <w:r w:rsidRPr="004930D7">
        <w:rPr>
          <w:rFonts w:ascii="Arial" w:hAnsi="Arial" w:cs="Arial"/>
          <w:sz w:val="22"/>
        </w:rPr>
        <w:t>la jurisprudencia de la Sección Tercera del Consejo de Estado señala que es aquel que, por un lado, resulta artificioso, disimulado o falso y, por el otro, no tiene sustento o fundamento en relación con su estructuración dentro del tráfico comercial:</w:t>
      </w:r>
    </w:p>
    <w:p w14:paraId="5B9354FA" w14:textId="77777777" w:rsidR="003D5E96" w:rsidRPr="004930D7" w:rsidRDefault="003D5E96" w:rsidP="003D5E96">
      <w:pPr>
        <w:spacing w:line="276" w:lineRule="auto"/>
        <w:jc w:val="both"/>
        <w:rPr>
          <w:rFonts w:ascii="Arial" w:hAnsi="Arial" w:cs="Arial"/>
          <w:sz w:val="21"/>
          <w:szCs w:val="21"/>
        </w:rPr>
      </w:pPr>
      <w:r w:rsidRPr="004930D7">
        <w:rPr>
          <w:rFonts w:ascii="Arial" w:hAnsi="Arial" w:cs="Arial"/>
          <w:sz w:val="22"/>
        </w:rPr>
        <w:tab/>
      </w:r>
    </w:p>
    <w:p w14:paraId="3E2FECA3" w14:textId="77777777" w:rsidR="003D5E96" w:rsidRPr="004930D7" w:rsidRDefault="003D5E96" w:rsidP="003D5E96">
      <w:pPr>
        <w:ind w:left="708" w:right="709"/>
        <w:jc w:val="both"/>
        <w:rPr>
          <w:rFonts w:ascii="Arial" w:hAnsi="Arial" w:cs="Arial"/>
          <w:sz w:val="21"/>
          <w:szCs w:val="21"/>
        </w:rPr>
      </w:pPr>
      <w:r w:rsidRPr="004930D7">
        <w:rPr>
          <w:rFonts w:ascii="Arial" w:hAnsi="Arial" w:cs="Arial"/>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4930D7">
        <w:rPr>
          <w:rStyle w:val="Refdenotaalpie"/>
          <w:rFonts w:ascii="Arial" w:hAnsi="Arial" w:cs="Arial"/>
          <w:sz w:val="21"/>
          <w:szCs w:val="21"/>
        </w:rPr>
        <w:footnoteReference w:id="5"/>
      </w:r>
      <w:r w:rsidRPr="004930D7">
        <w:rPr>
          <w:rFonts w:ascii="Arial" w:hAnsi="Arial" w:cs="Arial"/>
          <w:sz w:val="21"/>
          <w:szCs w:val="21"/>
        </w:rPr>
        <w:t>.</w:t>
      </w:r>
    </w:p>
    <w:p w14:paraId="4F95FFAE" w14:textId="77777777" w:rsidR="003D5E96" w:rsidRPr="004930D7" w:rsidRDefault="003D5E96" w:rsidP="003D5E96">
      <w:pPr>
        <w:ind w:left="708" w:right="709"/>
        <w:jc w:val="both"/>
        <w:rPr>
          <w:rFonts w:ascii="Arial" w:hAnsi="Arial" w:cs="Arial"/>
          <w:sz w:val="21"/>
          <w:szCs w:val="21"/>
        </w:rPr>
      </w:pPr>
    </w:p>
    <w:p w14:paraId="487EA794" w14:textId="559AF153" w:rsidR="003D5E96" w:rsidRPr="004930D7" w:rsidRDefault="003D5E96" w:rsidP="003D5E96">
      <w:pPr>
        <w:spacing w:after="120" w:line="276" w:lineRule="auto"/>
        <w:ind w:firstLine="709"/>
        <w:jc w:val="both"/>
        <w:rPr>
          <w:rFonts w:ascii="Arial" w:hAnsi="Arial" w:cs="Arial"/>
          <w:sz w:val="22"/>
        </w:rPr>
      </w:pPr>
      <w:r w:rsidRPr="004930D7">
        <w:rPr>
          <w:rFonts w:ascii="Arial" w:hAnsi="Arial" w:cs="Arial"/>
          <w:sz w:val="22"/>
        </w:rPr>
        <w:t>A partir de esta definición</w:t>
      </w:r>
      <w:r w:rsidR="007333D0" w:rsidRPr="004930D7">
        <w:rPr>
          <w:rFonts w:ascii="Arial" w:hAnsi="Arial" w:cs="Arial"/>
          <w:sz w:val="22"/>
        </w:rPr>
        <w:t>, la</w:t>
      </w:r>
      <w:r w:rsidRPr="004930D7">
        <w:rPr>
          <w:rFonts w:ascii="Arial" w:hAnsi="Arial" w:cs="Arial"/>
          <w:sz w:val="22"/>
        </w:rPr>
        <w:t xml:space="preserve"> Ley 80 de 1993 indica </w:t>
      </w:r>
      <w:r w:rsidR="007333D0" w:rsidRPr="004930D7">
        <w:rPr>
          <w:rFonts w:ascii="Arial" w:hAnsi="Arial" w:cs="Arial"/>
          <w:sz w:val="22"/>
        </w:rPr>
        <w:t xml:space="preserve">que esta figura es </w:t>
      </w:r>
      <w:r w:rsidRPr="004930D7">
        <w:rPr>
          <w:rFonts w:ascii="Arial" w:hAnsi="Arial" w:cs="Arial"/>
          <w:sz w:val="22"/>
        </w:rPr>
        <w:t>una de las manifestaciones del principio de responsabilidad su relación con aquellos contratistas, que cuando presentaron su oferta antes de ser adjudicatarios del contrato la estructuraron con una valoración económica del bien, obra o servicio inferior a otras ofertas, pero sin fundamento y con el fin de asegurar la adjudicación y ejecución del contrato</w:t>
      </w:r>
      <w:r w:rsidRPr="004930D7">
        <w:rPr>
          <w:rFonts w:ascii="Arial" w:hAnsi="Arial" w:cs="Arial"/>
          <w:sz w:val="22"/>
          <w:vertAlign w:val="superscript"/>
        </w:rPr>
        <w:footnoteReference w:id="6"/>
      </w:r>
      <w:r w:rsidRPr="004930D7">
        <w:rPr>
          <w:rFonts w:ascii="Arial" w:hAnsi="Arial" w:cs="Arial"/>
          <w:sz w:val="22"/>
        </w:rPr>
        <w:t>.</w:t>
      </w:r>
    </w:p>
    <w:p w14:paraId="3DEFABC9" w14:textId="77777777" w:rsidR="003D5E96" w:rsidRPr="004930D7" w:rsidRDefault="003D5E96" w:rsidP="003D5E96">
      <w:pPr>
        <w:spacing w:after="120" w:line="276" w:lineRule="auto"/>
        <w:ind w:firstLine="709"/>
        <w:jc w:val="both"/>
        <w:rPr>
          <w:rFonts w:ascii="Arial" w:hAnsi="Arial" w:cs="Arial"/>
          <w:sz w:val="22"/>
        </w:rPr>
      </w:pPr>
      <w:r w:rsidRPr="004930D7">
        <w:rPr>
          <w:rFonts w:ascii="Arial" w:hAnsi="Arial" w:cs="Arial"/>
          <w:sz w:val="22"/>
        </w:rPr>
        <w:t>Por ende, para que la entidad confirme que una oferta ofrece precios inferiores a otras, de forma artificiosa y sin sustento, lo cual se denomina «precios artificialmente bajos», tiene un deber, señalado en el artículo 5 de la Ley 1150 de 2007, que regula el principio de selección objetiva, que busca que las entidades seleccionen la oferta más favorable a sus necesidades, comparando lo ofrecido con los precios de mercado y demás estudios que realice la entidad.</w:t>
      </w:r>
    </w:p>
    <w:p w14:paraId="2E9E21C0" w14:textId="77777777" w:rsidR="003D5E96" w:rsidRPr="004930D7" w:rsidRDefault="003D5E96" w:rsidP="003D5E96">
      <w:pPr>
        <w:spacing w:after="120" w:line="276" w:lineRule="auto"/>
        <w:ind w:firstLine="709"/>
        <w:jc w:val="both"/>
        <w:rPr>
          <w:rFonts w:ascii="Arial" w:eastAsia="Calibri" w:hAnsi="Arial" w:cs="Arial"/>
          <w:sz w:val="22"/>
        </w:rPr>
      </w:pPr>
      <w:r w:rsidRPr="004930D7">
        <w:rPr>
          <w:rFonts w:ascii="Arial" w:hAnsi="Arial" w:cs="Arial"/>
          <w:sz w:val="22"/>
        </w:rPr>
        <w:t xml:space="preserve">En concordancia con lo anterior, el Decreto 1082 de 2015 desarrolla el deber que tienen las entidades de analizar el mercado para conocer el valor del bien, obra o servicio que requieren para satisfacer su necesidad, lo cual les permitirá identificar si el precio que </w:t>
      </w:r>
      <w:r w:rsidRPr="004930D7">
        <w:rPr>
          <w:rFonts w:ascii="Arial" w:hAnsi="Arial" w:cs="Arial"/>
          <w:sz w:val="22"/>
        </w:rPr>
        <w:lastRenderedPageBreak/>
        <w:t xml:space="preserve">ofrece el proveedor no corresponde con la estructura de costos y gastos de todos aquellos </w:t>
      </w:r>
      <w:r w:rsidRPr="004930D7">
        <w:rPr>
          <w:rFonts w:ascii="Arial" w:eastAsia="Calibri" w:hAnsi="Arial" w:cs="Arial"/>
          <w:sz w:val="22"/>
        </w:rPr>
        <w:t>que fabrican, comercializan y distribuyen el mismo producto en condiciones normales de operación</w:t>
      </w:r>
      <w:r w:rsidRPr="004930D7">
        <w:rPr>
          <w:rStyle w:val="Refdenotaalpie"/>
          <w:rFonts w:ascii="Arial" w:eastAsia="Calibri" w:hAnsi="Arial" w:cs="Arial"/>
          <w:sz w:val="22"/>
        </w:rPr>
        <w:footnoteReference w:id="7"/>
      </w:r>
      <w:r w:rsidRPr="004930D7">
        <w:rPr>
          <w:rFonts w:ascii="Arial" w:eastAsia="Calibri" w:hAnsi="Arial" w:cs="Arial"/>
          <w:sz w:val="22"/>
        </w:rPr>
        <w:t>.</w:t>
      </w:r>
    </w:p>
    <w:p w14:paraId="03819387" w14:textId="3428F364" w:rsidR="003D5E96" w:rsidRPr="004930D7" w:rsidRDefault="003D5E96" w:rsidP="003D5E96">
      <w:pPr>
        <w:spacing w:after="120" w:line="276" w:lineRule="auto"/>
        <w:ind w:firstLine="709"/>
        <w:jc w:val="both"/>
        <w:rPr>
          <w:rFonts w:ascii="Arial" w:eastAsia="Calibri" w:hAnsi="Arial" w:cs="Arial"/>
          <w:sz w:val="22"/>
        </w:rPr>
      </w:pPr>
      <w:r w:rsidRPr="004930D7">
        <w:rPr>
          <w:rFonts w:ascii="Arial" w:eastAsia="Calibri" w:hAnsi="Arial" w:cs="Arial"/>
          <w:sz w:val="22"/>
        </w:rPr>
        <w:t xml:space="preserve">Adicionalmente, el artículo 2.2.1.1.2.2.4. del Decreto 1082 de 2015 establece lo que debe hacer la entidad cuando el precio de una oferta parece artificialmente bajo: i) solicitar explicación al oferente, </w:t>
      </w:r>
      <w:proofErr w:type="spellStart"/>
      <w:r w:rsidRPr="004930D7">
        <w:rPr>
          <w:rFonts w:ascii="Arial" w:eastAsia="Calibri" w:hAnsi="Arial" w:cs="Arial"/>
          <w:sz w:val="22"/>
        </w:rPr>
        <w:t>ii</w:t>
      </w:r>
      <w:proofErr w:type="spellEnd"/>
      <w:r w:rsidRPr="004930D7">
        <w:rPr>
          <w:rFonts w:ascii="Arial" w:eastAsia="Calibri" w:hAnsi="Arial" w:cs="Arial"/>
          <w:sz w:val="22"/>
        </w:rPr>
        <w:t xml:space="preserve">) analizar las explicaciones del oferente, </w:t>
      </w:r>
      <w:proofErr w:type="spellStart"/>
      <w:r w:rsidRPr="004930D7">
        <w:rPr>
          <w:rFonts w:ascii="Arial" w:eastAsia="Calibri" w:hAnsi="Arial" w:cs="Arial"/>
          <w:sz w:val="22"/>
        </w:rPr>
        <w:t>iii</w:t>
      </w:r>
      <w:proofErr w:type="spellEnd"/>
      <w:r w:rsidRPr="004930D7">
        <w:rPr>
          <w:rFonts w:ascii="Arial" w:eastAsia="Calibri" w:hAnsi="Arial" w:cs="Arial"/>
          <w:sz w:val="22"/>
        </w:rPr>
        <w:t xml:space="preserve">) el responsable de la evaluación de las ofertas debe recomendar rechazar o continuar la evaluación de la oferta, y </w:t>
      </w:r>
      <w:proofErr w:type="spellStart"/>
      <w:r w:rsidRPr="004930D7">
        <w:rPr>
          <w:rFonts w:ascii="Arial" w:eastAsia="Calibri" w:hAnsi="Arial" w:cs="Arial"/>
          <w:sz w:val="22"/>
        </w:rPr>
        <w:t>iv</w:t>
      </w:r>
      <w:proofErr w:type="spellEnd"/>
      <w:r w:rsidRPr="004930D7">
        <w:rPr>
          <w:rFonts w:ascii="Arial" w:eastAsia="Calibri" w:hAnsi="Arial" w:cs="Arial"/>
          <w:sz w:val="22"/>
        </w:rPr>
        <w:t>) para la subasta inversa, lo anterior se debe hacer al finalizar el evento</w:t>
      </w:r>
      <w:r w:rsidRPr="004930D7">
        <w:rPr>
          <w:rStyle w:val="Refdenotaalpie"/>
          <w:rFonts w:ascii="Arial" w:eastAsia="Calibri" w:hAnsi="Arial" w:cs="Arial"/>
          <w:sz w:val="22"/>
        </w:rPr>
        <w:footnoteReference w:id="8"/>
      </w:r>
      <w:r w:rsidRPr="004930D7">
        <w:rPr>
          <w:rFonts w:ascii="Arial" w:eastAsia="Calibri" w:hAnsi="Arial" w:cs="Arial"/>
          <w:sz w:val="22"/>
        </w:rPr>
        <w:t>.</w:t>
      </w:r>
    </w:p>
    <w:p w14:paraId="1D054E2E" w14:textId="77777777" w:rsidR="003D5E96" w:rsidRPr="004930D7" w:rsidRDefault="003D5E96" w:rsidP="003D5E96">
      <w:pPr>
        <w:spacing w:after="120" w:line="276" w:lineRule="auto"/>
        <w:ind w:firstLine="709"/>
        <w:jc w:val="both"/>
        <w:rPr>
          <w:rFonts w:ascii="Arial" w:eastAsia="Calibri" w:hAnsi="Arial" w:cs="Arial"/>
          <w:sz w:val="22"/>
        </w:rPr>
      </w:pPr>
      <w:r w:rsidRPr="004930D7">
        <w:rPr>
          <w:rFonts w:ascii="Arial" w:eastAsia="Calibri" w:hAnsi="Arial" w:cs="Arial"/>
          <w:sz w:val="22"/>
        </w:rPr>
        <w:t>El análisis de los precios de una oferta se hace en la fase de evaluación del procedimiento, que es la oportunidad para verificar, a través del comité evaluador</w:t>
      </w:r>
      <w:r w:rsidRPr="004930D7">
        <w:rPr>
          <w:vertAlign w:val="superscript"/>
        </w:rPr>
        <w:footnoteReference w:id="9"/>
      </w:r>
      <w:r w:rsidRPr="004930D7">
        <w:rPr>
          <w:rFonts w:ascii="Arial" w:eastAsia="Calibri" w:hAnsi="Arial" w:cs="Arial"/>
          <w:sz w:val="22"/>
        </w:rPr>
        <w:t xml:space="preserve">, las reglas diseñadas en la estructuración del procedimiento y plasmadas en los pliegos de condiciones, con el fin de comprobar si las cumplen o no, calificar a los oferentes o rechazarlos para establecer un orden de elegibilidad. </w:t>
      </w:r>
    </w:p>
    <w:p w14:paraId="6F94EDA9" w14:textId="77777777" w:rsidR="003D5E96" w:rsidRPr="004930D7" w:rsidRDefault="003D5E96" w:rsidP="003D5E96">
      <w:pPr>
        <w:spacing w:after="120" w:line="276" w:lineRule="auto"/>
        <w:ind w:firstLine="709"/>
        <w:jc w:val="both"/>
        <w:rPr>
          <w:rFonts w:ascii="Arial" w:eastAsia="Calibri" w:hAnsi="Arial" w:cs="Arial"/>
          <w:sz w:val="22"/>
        </w:rPr>
      </w:pPr>
      <w:r w:rsidRPr="004930D7">
        <w:rPr>
          <w:rFonts w:ascii="Arial" w:eastAsia="Calibri" w:hAnsi="Arial" w:cs="Arial"/>
          <w:sz w:val="22"/>
        </w:rPr>
        <w:lastRenderedPageBreak/>
        <w:t>En ese sentido, en la evaluación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w:t>
      </w:r>
    </w:p>
    <w:p w14:paraId="3F6E5A04" w14:textId="77777777" w:rsidR="003D5E96" w:rsidRPr="004930D7" w:rsidRDefault="003D5E96" w:rsidP="003D5E96">
      <w:pPr>
        <w:spacing w:line="276" w:lineRule="auto"/>
        <w:ind w:firstLine="708"/>
        <w:jc w:val="both"/>
        <w:rPr>
          <w:rFonts w:ascii="Arial" w:eastAsia="Calibri" w:hAnsi="Arial" w:cs="Arial"/>
          <w:sz w:val="22"/>
        </w:rPr>
      </w:pPr>
      <w:r w:rsidRPr="004930D7">
        <w:rPr>
          <w:rFonts w:ascii="Arial" w:eastAsia="Calibri" w:hAnsi="Arial" w:cs="Arial"/>
          <w:sz w:val="22"/>
        </w:rPr>
        <w:t>Finalmente, concluido ese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07801B68" w14:textId="77777777" w:rsidR="003D5E96" w:rsidRPr="004930D7" w:rsidRDefault="003D5E96" w:rsidP="003D5E96">
      <w:pPr>
        <w:spacing w:line="276" w:lineRule="auto"/>
        <w:jc w:val="both"/>
        <w:rPr>
          <w:rFonts w:ascii="Arial" w:eastAsia="Calibri" w:hAnsi="Arial" w:cs="Arial"/>
          <w:b/>
          <w:bCs/>
          <w:sz w:val="22"/>
        </w:rPr>
      </w:pPr>
    </w:p>
    <w:p w14:paraId="58A810FD" w14:textId="220E0EEF" w:rsidR="003D5E96" w:rsidRPr="004930D7" w:rsidRDefault="003D5E96" w:rsidP="003D5E96">
      <w:pPr>
        <w:spacing w:line="276" w:lineRule="auto"/>
        <w:jc w:val="both"/>
        <w:rPr>
          <w:rFonts w:ascii="Arial" w:eastAsia="Calibri" w:hAnsi="Arial" w:cs="Arial"/>
          <w:b/>
          <w:bCs/>
          <w:sz w:val="22"/>
        </w:rPr>
      </w:pPr>
      <w:r w:rsidRPr="004930D7">
        <w:rPr>
          <w:rFonts w:ascii="Arial" w:eastAsia="Calibri" w:hAnsi="Arial" w:cs="Arial"/>
          <w:b/>
          <w:bCs/>
          <w:sz w:val="22"/>
        </w:rPr>
        <w:t>2.</w:t>
      </w:r>
      <w:r w:rsidR="009F6C5D" w:rsidRPr="004930D7">
        <w:rPr>
          <w:rFonts w:ascii="Arial" w:eastAsia="Calibri" w:hAnsi="Arial" w:cs="Arial"/>
          <w:b/>
          <w:bCs/>
          <w:sz w:val="22"/>
        </w:rPr>
        <w:t>4</w:t>
      </w:r>
      <w:r w:rsidRPr="004930D7">
        <w:rPr>
          <w:rFonts w:ascii="Arial" w:eastAsia="Calibri" w:hAnsi="Arial" w:cs="Arial"/>
          <w:b/>
          <w:bCs/>
          <w:sz w:val="22"/>
        </w:rPr>
        <w:t xml:space="preserve">.1 Recomendaciones del ente rector de la contratación pública - Colombia Compra Eficiente respecto del manejo de ofertas que pueden tener </w:t>
      </w:r>
      <w:r w:rsidRPr="004930D7">
        <w:rPr>
          <w:rFonts w:ascii="Arial" w:eastAsia="Calibri" w:hAnsi="Arial" w:cs="Arial"/>
          <w:b/>
          <w:sz w:val="22"/>
        </w:rPr>
        <w:t>«precios artificialmente bajos»</w:t>
      </w:r>
    </w:p>
    <w:p w14:paraId="42A09A31" w14:textId="77777777" w:rsidR="003D5E96" w:rsidRPr="004930D7" w:rsidRDefault="003D5E96" w:rsidP="003D5E96">
      <w:pPr>
        <w:spacing w:line="276" w:lineRule="auto"/>
        <w:ind w:firstLine="709"/>
        <w:jc w:val="both"/>
        <w:rPr>
          <w:rFonts w:ascii="Arial" w:hAnsi="Arial" w:cs="Arial"/>
          <w:sz w:val="22"/>
        </w:rPr>
      </w:pPr>
    </w:p>
    <w:p w14:paraId="4664E064" w14:textId="77777777" w:rsidR="00C647D9" w:rsidRPr="004930D7" w:rsidRDefault="003D5E96" w:rsidP="00E25414">
      <w:pPr>
        <w:spacing w:after="120" w:line="276" w:lineRule="auto"/>
        <w:jc w:val="both"/>
        <w:rPr>
          <w:rFonts w:ascii="Arial" w:hAnsi="Arial" w:cs="Arial"/>
          <w:sz w:val="22"/>
        </w:rPr>
      </w:pPr>
      <w:r w:rsidRPr="004930D7">
        <w:rPr>
          <w:rFonts w:ascii="Arial" w:hAnsi="Arial" w:cs="Arial"/>
          <w:sz w:val="22"/>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w:t>
      </w:r>
    </w:p>
    <w:p w14:paraId="2648334D" w14:textId="690D82EE" w:rsidR="003D5E96" w:rsidRPr="004930D7" w:rsidRDefault="003D5E96" w:rsidP="003D5E96">
      <w:pPr>
        <w:spacing w:after="120" w:line="276" w:lineRule="auto"/>
        <w:ind w:firstLine="709"/>
        <w:jc w:val="both"/>
        <w:rPr>
          <w:rFonts w:ascii="Arial" w:eastAsia="Calibri" w:hAnsi="Arial" w:cs="Arial"/>
          <w:sz w:val="22"/>
        </w:rPr>
      </w:pPr>
      <w:r w:rsidRPr="004930D7">
        <w:rPr>
          <w:rFonts w:ascii="Arial" w:hAnsi="Arial" w:cs="Arial"/>
          <w:sz w:val="22"/>
        </w:rPr>
        <w:t>Esta Guía brinda recomendaciones a los participantes de la contratación pública, en cumplimiento d</w:t>
      </w:r>
      <w:r w:rsidRPr="004930D7">
        <w:rPr>
          <w:rFonts w:ascii="Arial" w:eastAsia="Calibri" w:hAnsi="Arial" w:cs="Arial"/>
          <w:sz w:val="22"/>
        </w:rPr>
        <w:t>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w:t>
      </w:r>
      <w:r w:rsidRPr="004930D7">
        <w:rPr>
          <w:rStyle w:val="Refdenotaalpie"/>
          <w:rFonts w:ascii="Arial" w:eastAsia="Calibri" w:hAnsi="Arial" w:cs="Arial"/>
          <w:sz w:val="22"/>
        </w:rPr>
        <w:footnoteReference w:id="10"/>
      </w:r>
      <w:r w:rsidRPr="004930D7">
        <w:rPr>
          <w:rFonts w:ascii="Arial" w:eastAsia="Calibri" w:hAnsi="Arial" w:cs="Arial"/>
          <w:sz w:val="22"/>
        </w:rPr>
        <w:t xml:space="preserve">. </w:t>
      </w:r>
    </w:p>
    <w:p w14:paraId="3AE4E139" w14:textId="77777777" w:rsidR="003D5E96" w:rsidRPr="004930D7" w:rsidRDefault="003D5E96" w:rsidP="003D5E96">
      <w:pPr>
        <w:spacing w:after="120" w:line="276" w:lineRule="auto"/>
        <w:ind w:firstLine="708"/>
        <w:jc w:val="both"/>
        <w:rPr>
          <w:rFonts w:ascii="Arial" w:eastAsia="Calibri" w:hAnsi="Arial" w:cs="Arial"/>
          <w:sz w:val="22"/>
        </w:rPr>
      </w:pPr>
      <w:r w:rsidRPr="004930D7">
        <w:rPr>
          <w:rFonts w:ascii="Arial" w:eastAsia="Calibri" w:hAnsi="Arial" w:cs="Arial"/>
          <w:sz w:val="22"/>
        </w:rPr>
        <w:lastRenderedPageBreak/>
        <w:t xml:space="preserve">Entre las funciones asignadas se contempla el desarrollo y publicación de instrumentos y herramientas que ayuden a los </w:t>
      </w:r>
      <w:r w:rsidRPr="004930D7">
        <w:rPr>
          <w:rFonts w:ascii="Arial" w:hAnsi="Arial" w:cs="Arial"/>
          <w:sz w:val="22"/>
        </w:rPr>
        <w:t>participantes de la contratación pública</w:t>
      </w:r>
      <w:r w:rsidRPr="004930D7">
        <w:rPr>
          <w:rFonts w:ascii="Arial" w:eastAsia="Calibri" w:hAnsi="Arial" w:cs="Arial"/>
          <w:sz w:val="22"/>
        </w:rPr>
        <w:t xml:space="preserve">,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43387C83" w14:textId="40449B69" w:rsidR="00C647D9" w:rsidRPr="004930D7" w:rsidRDefault="003D5E96" w:rsidP="003D5E96">
      <w:pPr>
        <w:spacing w:after="120" w:line="276" w:lineRule="auto"/>
        <w:ind w:firstLine="709"/>
        <w:jc w:val="both"/>
        <w:rPr>
          <w:rFonts w:ascii="Arial" w:hAnsi="Arial" w:cs="Arial"/>
          <w:sz w:val="22"/>
        </w:rPr>
      </w:pPr>
      <w:r w:rsidRPr="004930D7">
        <w:rPr>
          <w:rFonts w:ascii="Arial" w:hAnsi="Arial" w:cs="Arial"/>
          <w:sz w:val="22"/>
        </w:rPr>
        <w:t>Con la precisión anterior, la Guía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w:t>
      </w:r>
      <w:r w:rsidR="00EF7D76" w:rsidRPr="004930D7">
        <w:rPr>
          <w:rFonts w:ascii="Arial" w:hAnsi="Arial" w:cs="Arial"/>
          <w:sz w:val="22"/>
        </w:rPr>
        <w:t xml:space="preserve"> </w:t>
      </w:r>
      <w:r w:rsidRPr="004930D7">
        <w:rPr>
          <w:rFonts w:ascii="Arial" w:hAnsi="Arial" w:cs="Arial"/>
          <w:sz w:val="22"/>
        </w:rPr>
        <w:t>[…]»</w:t>
      </w:r>
      <w:r w:rsidRPr="004930D7">
        <w:rPr>
          <w:rStyle w:val="Refdenotaalpie"/>
          <w:rFonts w:ascii="Arial" w:hAnsi="Arial" w:cs="Arial"/>
          <w:sz w:val="22"/>
        </w:rPr>
        <w:footnoteReference w:id="11"/>
      </w:r>
      <w:r w:rsidRPr="004930D7">
        <w:rPr>
          <w:rFonts w:ascii="Arial" w:hAnsi="Arial" w:cs="Arial"/>
          <w:sz w:val="22"/>
        </w:rPr>
        <w:t xml:space="preserve">. </w:t>
      </w:r>
    </w:p>
    <w:p w14:paraId="79A10FC9" w14:textId="723A576A" w:rsidR="003D5E96" w:rsidRPr="004930D7" w:rsidRDefault="003D5E96" w:rsidP="003D5E96">
      <w:pPr>
        <w:spacing w:after="120" w:line="276" w:lineRule="auto"/>
        <w:ind w:firstLine="709"/>
        <w:jc w:val="both"/>
        <w:rPr>
          <w:rFonts w:ascii="Arial" w:hAnsi="Arial" w:cs="Arial"/>
          <w:sz w:val="22"/>
        </w:rPr>
      </w:pPr>
      <w:r w:rsidRPr="004930D7">
        <w:rPr>
          <w:rFonts w:ascii="Arial" w:hAnsi="Arial" w:cs="Arial"/>
          <w:sz w:val="22"/>
        </w:rPr>
        <w:t xml:space="preserve">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32E7882F" w14:textId="442CE197" w:rsidR="003D5E96" w:rsidRPr="004930D7" w:rsidRDefault="001B1B5B" w:rsidP="003D5E96">
      <w:pPr>
        <w:spacing w:line="276" w:lineRule="auto"/>
        <w:ind w:firstLine="709"/>
        <w:jc w:val="both"/>
        <w:rPr>
          <w:rFonts w:ascii="Arial" w:hAnsi="Arial" w:cs="Arial"/>
          <w:sz w:val="22"/>
        </w:rPr>
      </w:pPr>
      <w:r w:rsidRPr="004930D7">
        <w:rPr>
          <w:rFonts w:ascii="Arial" w:hAnsi="Arial" w:cs="Arial"/>
          <w:sz w:val="22"/>
        </w:rPr>
        <w:t xml:space="preserve">Por último, se </w:t>
      </w:r>
      <w:r w:rsidR="003D5E96" w:rsidRPr="004930D7">
        <w:rPr>
          <w:rFonts w:ascii="Arial" w:hAnsi="Arial" w:cs="Arial"/>
          <w:sz w:val="22"/>
        </w:rPr>
        <w:t>diferencia</w:t>
      </w:r>
      <w:r w:rsidRPr="004930D7">
        <w:rPr>
          <w:rFonts w:ascii="Arial" w:hAnsi="Arial" w:cs="Arial"/>
          <w:sz w:val="22"/>
        </w:rPr>
        <w:t>n</w:t>
      </w:r>
      <w:r w:rsidR="003D5E96" w:rsidRPr="004930D7">
        <w:rPr>
          <w:rFonts w:ascii="Arial" w:hAnsi="Arial" w:cs="Arial"/>
          <w:sz w:val="22"/>
        </w:rPr>
        <w:t xml:space="preserve"> dos procedimientos de la Guía: a) la identificación de ofertas que pueden ofrecer «precios artificialmente bajos» y b) el manejo de las ofertas con posibles «precios artificialmente bajos»</w:t>
      </w:r>
      <w:r w:rsidR="00EF7D76" w:rsidRPr="004930D7">
        <w:rPr>
          <w:rFonts w:ascii="Arial" w:hAnsi="Arial" w:cs="Arial"/>
          <w:sz w:val="22"/>
        </w:rPr>
        <w:t>. N</w:t>
      </w:r>
      <w:r w:rsidRPr="004930D7">
        <w:rPr>
          <w:rFonts w:ascii="Arial" w:hAnsi="Arial" w:cs="Arial"/>
          <w:sz w:val="22"/>
        </w:rPr>
        <w:t xml:space="preserve">o obstante, </w:t>
      </w:r>
      <w:r w:rsidR="003D5E96" w:rsidRPr="004930D7">
        <w:rPr>
          <w:rFonts w:ascii="Arial" w:hAnsi="Arial" w:cs="Arial"/>
          <w:sz w:val="22"/>
        </w:rPr>
        <w:t xml:space="preserve">para definir </w:t>
      </w:r>
      <w:r w:rsidRPr="004930D7">
        <w:rPr>
          <w:rFonts w:ascii="Arial" w:hAnsi="Arial" w:cs="Arial"/>
          <w:sz w:val="22"/>
        </w:rPr>
        <w:t>la aplicación de la fórmula con la cual se define el valor mínimo aceptable,</w:t>
      </w:r>
      <w:r w:rsidR="003D5E96" w:rsidRPr="004930D7">
        <w:rPr>
          <w:rFonts w:ascii="Arial" w:hAnsi="Arial" w:cs="Arial"/>
          <w:sz w:val="22"/>
        </w:rPr>
        <w:t xml:space="preserve"> de acuerdo con su consulta</w:t>
      </w:r>
      <w:r w:rsidRPr="004930D7">
        <w:rPr>
          <w:rFonts w:ascii="Arial" w:hAnsi="Arial" w:cs="Arial"/>
          <w:sz w:val="22"/>
        </w:rPr>
        <w:t>, se analizará el primer procedimiento de la Guía.</w:t>
      </w:r>
    </w:p>
    <w:p w14:paraId="776037C8" w14:textId="77777777" w:rsidR="003D5E96" w:rsidRPr="004930D7" w:rsidRDefault="003D5E96" w:rsidP="003D5E96">
      <w:pPr>
        <w:spacing w:line="276" w:lineRule="auto"/>
        <w:jc w:val="both"/>
        <w:rPr>
          <w:rFonts w:ascii="Arial" w:hAnsi="Arial" w:cs="Arial"/>
          <w:sz w:val="22"/>
        </w:rPr>
      </w:pPr>
    </w:p>
    <w:p w14:paraId="4148E326" w14:textId="08D7341A" w:rsidR="003D5E96" w:rsidRPr="004930D7" w:rsidRDefault="00AB3BFA" w:rsidP="003D5E96">
      <w:pPr>
        <w:spacing w:line="276" w:lineRule="auto"/>
        <w:jc w:val="both"/>
        <w:rPr>
          <w:rFonts w:ascii="Arial" w:hAnsi="Arial" w:cs="Arial"/>
          <w:b/>
          <w:bCs/>
          <w:sz w:val="22"/>
        </w:rPr>
      </w:pPr>
      <w:r w:rsidRPr="004930D7">
        <w:rPr>
          <w:rFonts w:ascii="Arial" w:hAnsi="Arial" w:cs="Arial"/>
          <w:b/>
          <w:bCs/>
          <w:sz w:val="22"/>
        </w:rPr>
        <w:t>2.4.2</w:t>
      </w:r>
      <w:r w:rsidR="003D5E96" w:rsidRPr="004930D7">
        <w:rPr>
          <w:rFonts w:ascii="Arial" w:hAnsi="Arial" w:cs="Arial"/>
          <w:b/>
          <w:bCs/>
          <w:sz w:val="22"/>
        </w:rPr>
        <w:t xml:space="preserve"> Identificación de ofertas que pueden ofrecer «precios artificialmente bajos»</w:t>
      </w:r>
    </w:p>
    <w:p w14:paraId="243F0D6F" w14:textId="77777777" w:rsidR="003D5E96" w:rsidRPr="004930D7" w:rsidRDefault="003D5E96" w:rsidP="003D5E96">
      <w:pPr>
        <w:spacing w:line="276" w:lineRule="auto"/>
        <w:jc w:val="both"/>
        <w:rPr>
          <w:rFonts w:ascii="Arial" w:hAnsi="Arial" w:cs="Arial"/>
          <w:b/>
          <w:bCs/>
          <w:sz w:val="22"/>
        </w:rPr>
      </w:pPr>
    </w:p>
    <w:p w14:paraId="55427975" w14:textId="196E6066" w:rsidR="00C647D9" w:rsidRPr="004930D7" w:rsidRDefault="003D5E96" w:rsidP="00E25414">
      <w:pPr>
        <w:spacing w:after="120" w:line="276" w:lineRule="auto"/>
        <w:jc w:val="both"/>
        <w:rPr>
          <w:rFonts w:ascii="Arial" w:hAnsi="Arial" w:cs="Arial"/>
          <w:sz w:val="22"/>
        </w:rPr>
      </w:pPr>
      <w:r w:rsidRPr="004930D7">
        <w:rPr>
          <w:rFonts w:ascii="Arial" w:hAnsi="Arial" w:cs="Arial"/>
          <w:sz w:val="22"/>
        </w:rPr>
        <w:t>En la introducción de la Guía</w:t>
      </w:r>
      <w:r w:rsidRPr="004930D7">
        <w:rPr>
          <w:rStyle w:val="Refdenotaalpie"/>
          <w:rFonts w:ascii="Arial" w:hAnsi="Arial" w:cs="Arial"/>
          <w:sz w:val="22"/>
        </w:rPr>
        <w:footnoteReference w:id="12"/>
      </w:r>
      <w:r w:rsidR="007333D0" w:rsidRPr="004930D7">
        <w:rPr>
          <w:rFonts w:ascii="Arial" w:hAnsi="Arial" w:cs="Arial"/>
          <w:sz w:val="22"/>
        </w:rPr>
        <w:t>,</w:t>
      </w:r>
      <w:r w:rsidRPr="004930D7">
        <w:rPr>
          <w:rFonts w:ascii="Arial" w:hAnsi="Arial" w:cs="Arial"/>
          <w:sz w:val="22"/>
        </w:rPr>
        <w:t xml:space="preserve"> se indica que su propósito es identificar las características de este tipo de ofertas, y después se señalan las consecuencias para la ejecución del contrato, cuando la oferta tiene «precios artificialmente bajos», como sobrecostos y distorsiones del mercado. Sobre las causas, se indica que puede ser el desconocimiento o que se busca afectar la competencia y la participación de otros proponentes. </w:t>
      </w:r>
    </w:p>
    <w:p w14:paraId="09F801AF" w14:textId="2869D9E0" w:rsidR="003D5E96" w:rsidRPr="004930D7" w:rsidRDefault="003D5E96" w:rsidP="00E25414">
      <w:pPr>
        <w:spacing w:after="120" w:line="276" w:lineRule="auto"/>
        <w:ind w:firstLine="709"/>
        <w:jc w:val="both"/>
        <w:rPr>
          <w:rFonts w:ascii="Arial" w:hAnsi="Arial" w:cs="Arial"/>
          <w:sz w:val="22"/>
        </w:rPr>
      </w:pPr>
      <w:r w:rsidRPr="004930D7">
        <w:rPr>
          <w:rFonts w:ascii="Arial" w:hAnsi="Arial" w:cs="Arial"/>
          <w:sz w:val="22"/>
        </w:rPr>
        <w:t xml:space="preserve">Con lo anterior, la Guía </w:t>
      </w:r>
      <w:r w:rsidR="007333D0" w:rsidRPr="004930D7">
        <w:rPr>
          <w:rFonts w:ascii="Arial" w:hAnsi="Arial" w:cs="Arial"/>
          <w:sz w:val="22"/>
        </w:rPr>
        <w:t>propone que el análisis se realice con todas</w:t>
      </w:r>
      <w:r w:rsidRPr="004930D7">
        <w:rPr>
          <w:rFonts w:ascii="Arial" w:hAnsi="Arial" w:cs="Arial"/>
          <w:sz w:val="22"/>
        </w:rPr>
        <w:t xml:space="preserve"> las ofertas en general, </w:t>
      </w:r>
      <w:r w:rsidR="007333D0" w:rsidRPr="004930D7">
        <w:rPr>
          <w:rFonts w:ascii="Arial" w:hAnsi="Arial" w:cs="Arial"/>
          <w:sz w:val="22"/>
        </w:rPr>
        <w:t>no de forma aislada, por</w:t>
      </w:r>
      <w:r w:rsidRPr="004930D7">
        <w:rPr>
          <w:rFonts w:ascii="Arial" w:hAnsi="Arial" w:cs="Arial"/>
          <w:sz w:val="22"/>
        </w:rPr>
        <w:t xml:space="preserve">que sin ese análisis </w:t>
      </w:r>
      <w:r w:rsidR="007333D0" w:rsidRPr="004930D7">
        <w:rPr>
          <w:rFonts w:ascii="Arial" w:hAnsi="Arial" w:cs="Arial"/>
          <w:sz w:val="22"/>
        </w:rPr>
        <w:t xml:space="preserve">global </w:t>
      </w:r>
      <w:r w:rsidRPr="004930D7">
        <w:rPr>
          <w:rFonts w:ascii="Arial" w:hAnsi="Arial" w:cs="Arial"/>
          <w:sz w:val="22"/>
        </w:rPr>
        <w:t>no se pueden separar las que ofrecen «precios artificialmente bajos» de las que no</w:t>
      </w:r>
      <w:r w:rsidR="007333D0" w:rsidRPr="004930D7">
        <w:rPr>
          <w:rFonts w:ascii="Arial" w:hAnsi="Arial" w:cs="Arial"/>
          <w:sz w:val="22"/>
        </w:rPr>
        <w:t>.</w:t>
      </w:r>
      <w:r w:rsidRPr="004930D7">
        <w:rPr>
          <w:rFonts w:ascii="Arial" w:hAnsi="Arial" w:cs="Arial"/>
          <w:sz w:val="22"/>
        </w:rPr>
        <w:t xml:space="preserve"> Para identificar las ofertas, la entidad debe tener como insumos: i) el promedio del valor de las ofertas; </w:t>
      </w:r>
      <w:proofErr w:type="spellStart"/>
      <w:r w:rsidRPr="004930D7">
        <w:rPr>
          <w:rFonts w:ascii="Arial" w:hAnsi="Arial" w:cs="Arial"/>
          <w:sz w:val="22"/>
        </w:rPr>
        <w:t>ii</w:t>
      </w:r>
      <w:proofErr w:type="spellEnd"/>
      <w:r w:rsidRPr="004930D7">
        <w:rPr>
          <w:rFonts w:ascii="Arial" w:hAnsi="Arial" w:cs="Arial"/>
          <w:sz w:val="22"/>
        </w:rPr>
        <w:t xml:space="preserve">) la mediana del valor </w:t>
      </w:r>
      <w:r w:rsidRPr="004930D7">
        <w:rPr>
          <w:rFonts w:ascii="Arial" w:hAnsi="Arial" w:cs="Arial"/>
          <w:sz w:val="22"/>
        </w:rPr>
        <w:lastRenderedPageBreak/>
        <w:t>las ofertas</w:t>
      </w:r>
      <w:r w:rsidRPr="004930D7">
        <w:rPr>
          <w:rStyle w:val="Refdenotaalpie"/>
          <w:rFonts w:ascii="Arial" w:hAnsi="Arial" w:cs="Arial"/>
          <w:sz w:val="22"/>
        </w:rPr>
        <w:footnoteReference w:id="13"/>
      </w:r>
      <w:r w:rsidRPr="004930D7">
        <w:rPr>
          <w:rFonts w:ascii="Arial" w:hAnsi="Arial" w:cs="Arial"/>
          <w:sz w:val="22"/>
        </w:rPr>
        <w:t xml:space="preserve">; </w:t>
      </w:r>
      <w:proofErr w:type="spellStart"/>
      <w:r w:rsidRPr="004930D7">
        <w:rPr>
          <w:rFonts w:ascii="Arial" w:hAnsi="Arial" w:cs="Arial"/>
          <w:sz w:val="22"/>
        </w:rPr>
        <w:t>iii</w:t>
      </w:r>
      <w:proofErr w:type="spellEnd"/>
      <w:r w:rsidRPr="004930D7">
        <w:rPr>
          <w:rFonts w:ascii="Arial" w:hAnsi="Arial" w:cs="Arial"/>
          <w:sz w:val="22"/>
        </w:rPr>
        <w:t xml:space="preserve">) la desviación estándar del valor de las ofertas; </w:t>
      </w:r>
      <w:proofErr w:type="spellStart"/>
      <w:r w:rsidRPr="004930D7">
        <w:rPr>
          <w:rFonts w:ascii="Arial" w:hAnsi="Arial" w:cs="Arial"/>
          <w:sz w:val="22"/>
        </w:rPr>
        <w:t>iv</w:t>
      </w:r>
      <w:proofErr w:type="spellEnd"/>
      <w:r w:rsidRPr="004930D7">
        <w:rPr>
          <w:rFonts w:ascii="Arial" w:hAnsi="Arial" w:cs="Arial"/>
          <w:sz w:val="22"/>
        </w:rPr>
        <w:t xml:space="preserve">) la diferencia entre el costo estimado del contrato y el promedio o mediana del valor de las ofertas; v) la diferencia entre el valor de la oferta que puede ser artificialmente baja y el promedio del valor de las ofertas; vi) la diferencia entre el valor de la oferta que puede ser artificialmente baja y el costo estimado del contrato y </w:t>
      </w:r>
      <w:proofErr w:type="spellStart"/>
      <w:r w:rsidRPr="004930D7">
        <w:rPr>
          <w:rFonts w:ascii="Arial" w:hAnsi="Arial" w:cs="Arial"/>
          <w:sz w:val="22"/>
        </w:rPr>
        <w:t>vii</w:t>
      </w:r>
      <w:proofErr w:type="spellEnd"/>
      <w:r w:rsidRPr="004930D7">
        <w:rPr>
          <w:rFonts w:ascii="Arial" w:hAnsi="Arial" w:cs="Arial"/>
          <w:sz w:val="22"/>
        </w:rPr>
        <w:t xml:space="preserve">) la información histórica de ofertas y contratos del objeto del proceso de contratación. </w:t>
      </w:r>
    </w:p>
    <w:p w14:paraId="0A654E06" w14:textId="7FD8229D" w:rsidR="003D5E96" w:rsidRPr="004930D7" w:rsidRDefault="003D5E96" w:rsidP="003D5E96">
      <w:pPr>
        <w:spacing w:after="120" w:line="276" w:lineRule="auto"/>
        <w:ind w:firstLine="708"/>
        <w:jc w:val="both"/>
        <w:rPr>
          <w:rFonts w:ascii="Arial" w:hAnsi="Arial" w:cs="Arial"/>
          <w:sz w:val="22"/>
        </w:rPr>
      </w:pPr>
      <w:r w:rsidRPr="004930D7">
        <w:rPr>
          <w:rFonts w:ascii="Arial" w:hAnsi="Arial" w:cs="Arial"/>
          <w:sz w:val="22"/>
        </w:rPr>
        <w:t xml:space="preserve">Con esta información, la Guía propone dos (2) «herramientas» y una (1) «metodología», y su aplicación depende de la cantidad de ofertas que se presentaron al procedimiento. Para la primera herramienta, la entidad puede acudir a la </w:t>
      </w:r>
      <w:r w:rsidRPr="004930D7">
        <w:rPr>
          <w:rFonts w:ascii="Arial" w:hAnsi="Arial" w:cs="Arial"/>
          <w:i/>
          <w:iCs/>
          <w:sz w:val="22"/>
        </w:rPr>
        <w:t>comparación absoluta,</w:t>
      </w:r>
      <w:r w:rsidRPr="004930D7">
        <w:rPr>
          <w:rFonts w:ascii="Arial" w:hAnsi="Arial" w:cs="Arial"/>
          <w:sz w:val="22"/>
        </w:rPr>
        <w:t xml:space="preserve">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w:t>
      </w:r>
      <w:r w:rsidR="00AB3BFA" w:rsidRPr="004930D7">
        <w:rPr>
          <w:rFonts w:ascii="Arial" w:hAnsi="Arial" w:cs="Arial"/>
          <w:sz w:val="22"/>
        </w:rPr>
        <w:t>pueden contener</w:t>
      </w:r>
      <w:r w:rsidRPr="004930D7">
        <w:rPr>
          <w:rFonts w:ascii="Arial" w:hAnsi="Arial" w:cs="Arial"/>
          <w:sz w:val="22"/>
        </w:rPr>
        <w:t xml:space="preserve"> precios artificialmente bajos. Por consiguiente, esta herramienta no se puede aplicar cuando se reciben cinco (5) o más ofertas, y no todas las ofertas deben ser tratadas por posibles «precios artificialmente bajos</w:t>
      </w:r>
      <w:r w:rsidRPr="004930D7">
        <w:rPr>
          <w:rFonts w:ascii="Arial" w:hAnsi="Arial" w:cs="Arial"/>
          <w:sz w:val="22"/>
          <w:lang w:val="es-ES"/>
        </w:rPr>
        <w:t>» sino aquellas con un valor por debajo del 20% o un porcentaje superior, respecto del valor que la entidad definió como precio del bien, obra o servicio.</w:t>
      </w:r>
    </w:p>
    <w:p w14:paraId="6B6EFF8A" w14:textId="336B3052" w:rsidR="003D5E96" w:rsidRPr="004930D7" w:rsidRDefault="003D5E96" w:rsidP="003D5E96">
      <w:pPr>
        <w:spacing w:after="120" w:line="276" w:lineRule="auto"/>
        <w:ind w:firstLine="708"/>
        <w:jc w:val="both"/>
        <w:rPr>
          <w:rFonts w:ascii="Arial" w:hAnsi="Arial" w:cs="Arial"/>
          <w:sz w:val="22"/>
        </w:rPr>
      </w:pPr>
      <w:bookmarkStart w:id="9" w:name="_Hlk64372641"/>
      <w:r w:rsidRPr="004930D7">
        <w:rPr>
          <w:rFonts w:ascii="Arial" w:hAnsi="Arial" w:cs="Arial"/>
          <w:sz w:val="22"/>
        </w:rPr>
        <w:t xml:space="preserve">La segunda herramienta, denominada </w:t>
      </w:r>
      <w:r w:rsidRPr="004930D7">
        <w:rPr>
          <w:rFonts w:ascii="Arial" w:hAnsi="Arial" w:cs="Arial"/>
          <w:i/>
          <w:iCs/>
          <w:sz w:val="22"/>
        </w:rPr>
        <w:t>comparación relativa,</w:t>
      </w:r>
      <w:r w:rsidRPr="004930D7">
        <w:rPr>
          <w:rFonts w:ascii="Arial" w:hAnsi="Arial" w:cs="Arial"/>
          <w:sz w:val="22"/>
        </w:rPr>
        <w:t xml:space="preserve"> corresponde a la «comparación de cada oferta con las demás presentadas», sin que se indique la cantidad de ofertas que recib</w:t>
      </w:r>
      <w:r w:rsidR="00AB3BFA" w:rsidRPr="004930D7">
        <w:rPr>
          <w:rFonts w:ascii="Arial" w:hAnsi="Arial" w:cs="Arial"/>
          <w:sz w:val="22"/>
        </w:rPr>
        <w:t>ió</w:t>
      </w:r>
      <w:r w:rsidRPr="004930D7">
        <w:rPr>
          <w:rFonts w:ascii="Arial" w:hAnsi="Arial" w:cs="Arial"/>
          <w:sz w:val="22"/>
        </w:rPr>
        <w:t xml:space="preserve"> la entidad, por lo cual nada obsta para aplicarla, independientemente del número de ofertas presentadas al procedimiento. Sin embargo, las herramientas mencionadas no son funcionales cuando el mercado se encuentra coludido, ya que los precios están distorsionados y no permiten una comparación objetiva, porque son precios que no corresponden a las dinámicas de mercado, al ser acordados entre los proponentes e impiden identificar diferencias significativas que evidencien «precios artificialmente bajos», los cuales no serán visibles por esta circunstancia.</w:t>
      </w:r>
    </w:p>
    <w:p w14:paraId="1C4E364A" w14:textId="77777777" w:rsidR="003D5E96" w:rsidRPr="004930D7" w:rsidRDefault="003D5E96" w:rsidP="003D5E96">
      <w:pPr>
        <w:spacing w:before="120" w:after="120" w:line="276" w:lineRule="auto"/>
        <w:ind w:firstLine="709"/>
        <w:jc w:val="both"/>
        <w:rPr>
          <w:rFonts w:ascii="Arial" w:hAnsi="Arial" w:cs="Arial"/>
          <w:sz w:val="21"/>
          <w:szCs w:val="21"/>
          <w:lang w:val="es-CO"/>
        </w:rPr>
      </w:pPr>
      <w:bookmarkStart w:id="10" w:name="_Hlk64372704"/>
      <w:bookmarkEnd w:id="9"/>
      <w:r w:rsidRPr="004930D7">
        <w:rPr>
          <w:rFonts w:ascii="Arial" w:hAnsi="Arial" w:cs="Arial"/>
          <w:sz w:val="22"/>
        </w:rPr>
        <w:t xml:space="preserve">Por otra parte, Colombia Compra Eficiente ha sugerido aplicar la siguiente metodología con pasos sucesivos, para identificar ofertas que pueden tener «precios artificialmente bajos», en los procedimientos donde hay cinco (5) o más ofertas, </w:t>
      </w:r>
      <w:bookmarkEnd w:id="10"/>
      <w:r w:rsidRPr="004930D7">
        <w:rPr>
          <w:rFonts w:ascii="Arial" w:hAnsi="Arial" w:cs="Arial"/>
          <w:sz w:val="22"/>
        </w:rPr>
        <w:t xml:space="preserve">es decir, no es posible aplicarla cuando se reciben menos de cinco (5) ofertas: i) tomar el conjunto de ofertas a evaluar, </w:t>
      </w:r>
      <w:proofErr w:type="spellStart"/>
      <w:r w:rsidRPr="004930D7">
        <w:rPr>
          <w:rFonts w:ascii="Arial" w:hAnsi="Arial" w:cs="Arial"/>
          <w:sz w:val="22"/>
        </w:rPr>
        <w:t>ii</w:t>
      </w:r>
      <w:proofErr w:type="spellEnd"/>
      <w:r w:rsidRPr="004930D7">
        <w:rPr>
          <w:rFonts w:ascii="Arial" w:hAnsi="Arial" w:cs="Arial"/>
          <w:sz w:val="22"/>
        </w:rPr>
        <w:t xml:space="preserve">) calcular la mediana, o dependiendo de la dispersión de los datos el promedio, del valor de cada oferta o de cada ítem dentro de la oferta, </w:t>
      </w:r>
      <w:proofErr w:type="spellStart"/>
      <w:r w:rsidRPr="004930D7">
        <w:rPr>
          <w:rFonts w:ascii="Arial" w:hAnsi="Arial" w:cs="Arial"/>
          <w:sz w:val="22"/>
        </w:rPr>
        <w:t>iii</w:t>
      </w:r>
      <w:proofErr w:type="spellEnd"/>
      <w:r w:rsidRPr="004930D7">
        <w:rPr>
          <w:rFonts w:ascii="Arial" w:hAnsi="Arial" w:cs="Arial"/>
          <w:sz w:val="22"/>
        </w:rPr>
        <w:t xml:space="preserve">) calcular la desviación estándar del conjunto y </w:t>
      </w:r>
      <w:proofErr w:type="spellStart"/>
      <w:r w:rsidRPr="004930D7">
        <w:rPr>
          <w:rFonts w:ascii="Arial" w:hAnsi="Arial" w:cs="Arial"/>
          <w:sz w:val="22"/>
        </w:rPr>
        <w:t>iv</w:t>
      </w:r>
      <w:proofErr w:type="spellEnd"/>
      <w:r w:rsidRPr="004930D7">
        <w:rPr>
          <w:rFonts w:ascii="Arial" w:hAnsi="Arial" w:cs="Arial"/>
          <w:sz w:val="22"/>
        </w:rPr>
        <w:t>) determinar el valor mínimo aceptable</w:t>
      </w:r>
      <w:r w:rsidRPr="004930D7">
        <w:rPr>
          <w:rStyle w:val="Refdenotaalpie"/>
          <w:rFonts w:ascii="Arial" w:hAnsi="Arial" w:cs="Arial"/>
          <w:sz w:val="21"/>
          <w:szCs w:val="21"/>
        </w:rPr>
        <w:footnoteReference w:id="14"/>
      </w:r>
      <w:r w:rsidRPr="004930D7">
        <w:rPr>
          <w:rFonts w:ascii="Arial" w:hAnsi="Arial" w:cs="Arial"/>
          <w:sz w:val="21"/>
          <w:szCs w:val="21"/>
          <w:lang w:val="es-CO"/>
        </w:rPr>
        <w:t>.</w:t>
      </w:r>
    </w:p>
    <w:p w14:paraId="7F8570BF" w14:textId="0030F7BE" w:rsidR="003D5E96" w:rsidRPr="004930D7" w:rsidRDefault="003D5E96" w:rsidP="003D5E96">
      <w:pPr>
        <w:spacing w:line="276" w:lineRule="auto"/>
        <w:ind w:firstLine="708"/>
        <w:jc w:val="both"/>
        <w:rPr>
          <w:rFonts w:ascii="Arial" w:hAnsi="Arial" w:cs="Arial"/>
          <w:sz w:val="22"/>
        </w:rPr>
      </w:pPr>
      <w:r w:rsidRPr="004930D7">
        <w:rPr>
          <w:rFonts w:ascii="Arial" w:hAnsi="Arial" w:cs="Arial"/>
          <w:sz w:val="22"/>
        </w:rPr>
        <w:lastRenderedPageBreak/>
        <w:t xml:space="preserve">La </w:t>
      </w:r>
      <w:r w:rsidRPr="004930D7">
        <w:rPr>
          <w:rFonts w:ascii="Arial" w:hAnsi="Arial" w:cs="Arial"/>
          <w:i/>
          <w:iCs/>
          <w:sz w:val="22"/>
        </w:rPr>
        <w:t>mediana</w:t>
      </w:r>
      <w:r w:rsidRPr="004930D7">
        <w:rPr>
          <w:rFonts w:ascii="Arial" w:hAnsi="Arial" w:cs="Arial"/>
          <w:sz w:val="22"/>
        </w:rPr>
        <w:t xml:space="preserve"> se debe calcular ordenando los valores de mayor a menor y tomando el valor de la oferta en la mitad de la lista. Si el número de ofertas es par, no habrá una oferta «en la mitad», </w:t>
      </w:r>
      <w:r w:rsidR="00AB3BFA" w:rsidRPr="004930D7">
        <w:rPr>
          <w:rFonts w:ascii="Arial" w:hAnsi="Arial" w:cs="Arial"/>
          <w:sz w:val="22"/>
        </w:rPr>
        <w:t xml:space="preserve">por lo que </w:t>
      </w:r>
      <w:r w:rsidRPr="004930D7">
        <w:rPr>
          <w:rFonts w:ascii="Arial" w:hAnsi="Arial" w:cs="Arial"/>
          <w:sz w:val="22"/>
        </w:rPr>
        <w:t xml:space="preserve">se toman los dos valores del medio, se suman y dividen en dos. Posteriormente, es necesario calcular la </w:t>
      </w:r>
      <w:r w:rsidRPr="004930D7">
        <w:rPr>
          <w:rFonts w:ascii="Arial" w:hAnsi="Arial" w:cs="Arial"/>
          <w:i/>
          <w:iCs/>
          <w:sz w:val="22"/>
        </w:rPr>
        <w:t>desviación estándar</w:t>
      </w:r>
      <w:r w:rsidRPr="004930D7">
        <w:rPr>
          <w:rFonts w:ascii="Arial" w:hAnsi="Arial" w:cs="Arial"/>
          <w:sz w:val="22"/>
        </w:rPr>
        <w:t xml:space="preserve">, utilizando la siguiente fórmula, en la que el </w:t>
      </w:r>
      <w:r w:rsidRPr="004930D7">
        <w:rPr>
          <w:rFonts w:ascii="Arial" w:eastAsia="Calibri" w:hAnsi="Arial" w:cs="Arial"/>
          <w:sz w:val="22"/>
          <w:lang w:val="es-ES"/>
        </w:rPr>
        <w:t xml:space="preserve">valor </w:t>
      </w:r>
      <w:r w:rsidRPr="004930D7">
        <w:rPr>
          <w:rFonts w:ascii="Arial" w:eastAsia="Calibri" w:hAnsi="Arial" w:cs="Arial"/>
          <w:i/>
          <w:sz w:val="22"/>
          <w:lang w:val="es-ES"/>
        </w:rPr>
        <w:t>n</w:t>
      </w:r>
      <w:r w:rsidRPr="004930D7">
        <w:rPr>
          <w:rFonts w:ascii="Arial" w:eastAsia="Calibri" w:hAnsi="Arial" w:cs="Arial"/>
          <w:sz w:val="22"/>
          <w:lang w:val="es-ES"/>
        </w:rPr>
        <w:t xml:space="preserve"> es el número de ofertas</w:t>
      </w:r>
      <w:r w:rsidRPr="004930D7">
        <w:rPr>
          <w:rFonts w:ascii="Arial" w:hAnsi="Arial" w:cs="Arial"/>
          <w:sz w:val="22"/>
        </w:rPr>
        <w:t xml:space="preserve">: </w:t>
      </w:r>
    </w:p>
    <w:p w14:paraId="3D43549C" w14:textId="77777777" w:rsidR="003D5E96" w:rsidRPr="004930D7" w:rsidRDefault="003D5E96" w:rsidP="003D5E96">
      <w:pPr>
        <w:spacing w:line="276" w:lineRule="auto"/>
        <w:ind w:firstLine="708"/>
        <w:jc w:val="both"/>
        <w:rPr>
          <w:rFonts w:ascii="Arial" w:hAnsi="Arial" w:cs="Arial"/>
          <w:sz w:val="22"/>
        </w:rPr>
      </w:pPr>
    </w:p>
    <w:p w14:paraId="5B11BD03" w14:textId="77777777" w:rsidR="003D5E96" w:rsidRPr="004930D7" w:rsidRDefault="003D5E96" w:rsidP="003D5E96">
      <w:pPr>
        <w:spacing w:line="276" w:lineRule="auto"/>
        <w:ind w:left="709" w:right="709"/>
        <w:jc w:val="both"/>
        <w:rPr>
          <w:rFonts w:ascii="Arial" w:hAnsi="Arial" w:cs="Arial"/>
          <w:sz w:val="22"/>
        </w:rPr>
      </w:pPr>
      <w:r w:rsidRPr="004930D7">
        <w:rPr>
          <w:rFonts w:ascii="Arial" w:hAnsi="Arial" w:cs="Arial"/>
          <w:noProof/>
        </w:rPr>
        <w:drawing>
          <wp:inline distT="0" distB="0" distL="0" distR="0" wp14:anchorId="09840FA6" wp14:editId="2A591611">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528CFBD9" w14:textId="77777777" w:rsidR="003D5E96" w:rsidRPr="004930D7" w:rsidRDefault="003D5E96" w:rsidP="003D5E96">
      <w:pPr>
        <w:spacing w:line="276" w:lineRule="auto"/>
        <w:jc w:val="both"/>
        <w:rPr>
          <w:rFonts w:ascii="Arial" w:hAnsi="Arial" w:cs="Arial"/>
          <w:sz w:val="22"/>
        </w:rPr>
      </w:pPr>
    </w:p>
    <w:p w14:paraId="05A692EB" w14:textId="72E6C119" w:rsidR="003D5E96" w:rsidRPr="004930D7" w:rsidRDefault="003D5E96" w:rsidP="00950379">
      <w:pPr>
        <w:spacing w:line="276" w:lineRule="auto"/>
        <w:ind w:firstLine="709"/>
        <w:jc w:val="both"/>
        <w:rPr>
          <w:rFonts w:ascii="Arial" w:eastAsia="Calibri" w:hAnsi="Arial" w:cs="Arial"/>
          <w:sz w:val="22"/>
          <w:lang w:val="es-ES"/>
        </w:rPr>
      </w:pPr>
      <w:r w:rsidRPr="004930D7">
        <w:rPr>
          <w:rFonts w:ascii="Arial" w:hAnsi="Arial" w:cs="Arial"/>
          <w:sz w:val="22"/>
        </w:rPr>
        <w:t xml:space="preserve">El </w:t>
      </w:r>
      <w:r w:rsidRPr="004930D7">
        <w:rPr>
          <w:rFonts w:ascii="Arial" w:hAnsi="Arial" w:cs="Arial"/>
          <w:i/>
          <w:iCs/>
          <w:sz w:val="22"/>
        </w:rPr>
        <w:t>valor mínimo aceptable</w:t>
      </w:r>
      <w:r w:rsidRPr="004930D7">
        <w:rPr>
          <w:rFonts w:ascii="Arial" w:hAnsi="Arial" w:cs="Arial"/>
          <w:sz w:val="22"/>
        </w:rPr>
        <w:t xml:space="preserve">, por último, será igual a la </w:t>
      </w:r>
      <w:r w:rsidRPr="004930D7">
        <w:rPr>
          <w:rFonts w:ascii="Arial" w:hAnsi="Arial" w:cs="Arial"/>
          <w:i/>
          <w:iCs/>
          <w:sz w:val="22"/>
        </w:rPr>
        <w:t>mediana</w:t>
      </w:r>
      <w:r w:rsidRPr="004930D7">
        <w:rPr>
          <w:rFonts w:ascii="Arial" w:hAnsi="Arial" w:cs="Arial"/>
          <w:sz w:val="22"/>
        </w:rPr>
        <w:t xml:space="preserve"> menos la </w:t>
      </w:r>
      <w:r w:rsidRPr="004930D7">
        <w:rPr>
          <w:rFonts w:ascii="Arial" w:hAnsi="Arial" w:cs="Arial"/>
          <w:i/>
          <w:iCs/>
          <w:sz w:val="22"/>
        </w:rPr>
        <w:t>desviación estándar</w:t>
      </w:r>
      <w:r w:rsidRPr="004930D7">
        <w:rPr>
          <w:rFonts w:ascii="Arial" w:hAnsi="Arial" w:cs="Arial"/>
          <w:sz w:val="22"/>
        </w:rPr>
        <w:t>. Con todo, dicho valor puede ser diferente al obtenido con la anterior metodología, dependiendo de la información y los datos con los que cuenten las entidades. Esto es así porque l</w:t>
      </w:r>
      <w:r w:rsidRPr="004930D7">
        <w:rPr>
          <w:rFonts w:ascii="Arial" w:eastAsia="Calibri" w:hAnsi="Arial" w:cs="Arial"/>
          <w:sz w:val="22"/>
          <w:lang w:val="es-ES"/>
        </w:rPr>
        <w:t>as entidades pueden o no acoger la metodología explicada, toda vez que la Guía no es de obligatorio cumplimiento para las entidades</w:t>
      </w:r>
      <w:r w:rsidR="00AB3BFA" w:rsidRPr="004930D7">
        <w:rPr>
          <w:rFonts w:ascii="Arial" w:eastAsia="Calibri" w:hAnsi="Arial" w:cs="Arial"/>
          <w:sz w:val="22"/>
          <w:lang w:val="es-ES"/>
        </w:rPr>
        <w:t>,</w:t>
      </w:r>
      <w:r w:rsidRPr="004930D7">
        <w:rPr>
          <w:rFonts w:ascii="Arial" w:eastAsia="Calibri" w:hAnsi="Arial" w:cs="Arial"/>
          <w:sz w:val="22"/>
          <w:lang w:val="es-ES"/>
        </w:rPr>
        <w:t xml:space="preserve"> sino que es una orientación o lineamiento para sus procedimientos de contratación. En todo caso, «La Entidad Estatal puede identificar como posibles ofertas artificialmente bajas a todas las ofertas que cuenten con valores por debajo del valor mínimo aceptable».</w:t>
      </w:r>
    </w:p>
    <w:p w14:paraId="5D8C7AD2" w14:textId="77777777" w:rsidR="00950379" w:rsidRPr="004930D7" w:rsidRDefault="00950379" w:rsidP="00950379">
      <w:pPr>
        <w:spacing w:line="276" w:lineRule="auto"/>
        <w:ind w:firstLine="709"/>
        <w:jc w:val="both"/>
        <w:rPr>
          <w:rFonts w:ascii="Arial" w:eastAsia="Calibri" w:hAnsi="Arial" w:cs="Arial"/>
          <w:sz w:val="22"/>
          <w:lang w:val="es-ES"/>
        </w:rPr>
      </w:pPr>
    </w:p>
    <w:p w14:paraId="760E4337" w14:textId="6F8FE7CA" w:rsidR="00A945C1" w:rsidRPr="004930D7" w:rsidRDefault="00A945C1" w:rsidP="00860CDF">
      <w:pPr>
        <w:pStyle w:val="Prrafodelista"/>
        <w:tabs>
          <w:tab w:val="left" w:pos="284"/>
        </w:tabs>
        <w:spacing w:line="276" w:lineRule="auto"/>
        <w:ind w:left="0"/>
        <w:jc w:val="both"/>
        <w:rPr>
          <w:rFonts w:ascii="Arial" w:eastAsia="Calibri" w:hAnsi="Arial" w:cs="Arial"/>
          <w:sz w:val="22"/>
        </w:rPr>
      </w:pPr>
      <w:r w:rsidRPr="004930D7">
        <w:rPr>
          <w:rFonts w:ascii="Arial" w:eastAsia="Calibri" w:hAnsi="Arial" w:cs="Arial"/>
          <w:b/>
          <w:sz w:val="22"/>
        </w:rPr>
        <w:t>3. Respuesta</w:t>
      </w:r>
      <w:r w:rsidR="005A2638" w:rsidRPr="004930D7">
        <w:rPr>
          <w:rFonts w:ascii="Arial" w:eastAsia="Calibri" w:hAnsi="Arial" w:cs="Arial"/>
          <w:b/>
          <w:sz w:val="22"/>
        </w:rPr>
        <w:t>s</w:t>
      </w:r>
    </w:p>
    <w:p w14:paraId="1C3599AE" w14:textId="77777777" w:rsidR="00A945C1" w:rsidRPr="004930D7" w:rsidRDefault="00A945C1" w:rsidP="00A945C1">
      <w:pPr>
        <w:spacing w:line="276" w:lineRule="auto"/>
        <w:ind w:left="709" w:right="709"/>
        <w:jc w:val="both"/>
        <w:rPr>
          <w:rFonts w:ascii="Arial" w:eastAsia="Calibri" w:hAnsi="Arial" w:cs="Arial"/>
          <w:i/>
          <w:sz w:val="22"/>
        </w:rPr>
      </w:pPr>
    </w:p>
    <w:p w14:paraId="0D16052A" w14:textId="77777777" w:rsidR="009C2C65" w:rsidRPr="004930D7" w:rsidRDefault="009C2C65" w:rsidP="009C2C65">
      <w:pPr>
        <w:ind w:left="709" w:right="709"/>
        <w:jc w:val="both"/>
        <w:rPr>
          <w:rFonts w:ascii="Arial" w:eastAsia="Calibri" w:hAnsi="Arial" w:cs="Arial"/>
          <w:sz w:val="21"/>
          <w:szCs w:val="21"/>
        </w:rPr>
      </w:pPr>
      <w:r w:rsidRPr="004930D7">
        <w:rPr>
          <w:rFonts w:ascii="Arial" w:eastAsia="Calibri" w:hAnsi="Arial" w:cs="Arial"/>
          <w:sz w:val="21"/>
          <w:szCs w:val="21"/>
        </w:rPr>
        <w:t>«1. Una entidad estatal puede dar definiciones diferentes a las establecidas en el documento denominado Anexo 3. Glosario? Por poner un ejemplo, si una entidad estatal solicita como experiencia construcción de puentes en estructura mixta, ¿puede modificar la definición establecida en el glosario y verificar la experiencia basado (sic) en esta nueva definición?</w:t>
      </w:r>
    </w:p>
    <w:p w14:paraId="74F85EF9" w14:textId="77777777" w:rsidR="00487D0D" w:rsidRPr="004930D7" w:rsidRDefault="00487D0D" w:rsidP="0037725F">
      <w:pPr>
        <w:spacing w:line="276" w:lineRule="auto"/>
        <w:ind w:left="709" w:right="709"/>
        <w:jc w:val="both"/>
        <w:rPr>
          <w:rFonts w:ascii="Arial" w:eastAsia="Calibri" w:hAnsi="Arial" w:cs="Arial"/>
          <w:sz w:val="22"/>
        </w:rPr>
      </w:pPr>
    </w:p>
    <w:p w14:paraId="43EE6861" w14:textId="234A5D85" w:rsidR="00C50586" w:rsidRPr="004930D7" w:rsidRDefault="00C50586" w:rsidP="00E25414">
      <w:pPr>
        <w:spacing w:after="120" w:line="276" w:lineRule="auto"/>
        <w:jc w:val="both"/>
        <w:rPr>
          <w:rFonts w:ascii="Arial" w:eastAsia="Calibri" w:hAnsi="Arial" w:cs="Arial"/>
          <w:sz w:val="22"/>
        </w:rPr>
      </w:pPr>
      <w:r w:rsidRPr="004930D7">
        <w:rPr>
          <w:rFonts w:ascii="Arial" w:eastAsia="Calibri" w:hAnsi="Arial" w:cs="Arial"/>
          <w:sz w:val="22"/>
        </w:rPr>
        <w:t xml:space="preserve">En los Documentos Tipo aplicables a los procesos de licitación de obra pública de infraestructura de transporte, para definir </w:t>
      </w:r>
      <w:r w:rsidR="00BA1889" w:rsidRPr="004930D7">
        <w:rPr>
          <w:rFonts w:ascii="Arial" w:eastAsia="Calibri" w:hAnsi="Arial" w:cs="Arial"/>
          <w:sz w:val="22"/>
        </w:rPr>
        <w:t xml:space="preserve">las obras incluidas en </w:t>
      </w:r>
      <w:r w:rsidRPr="004930D7">
        <w:rPr>
          <w:rFonts w:ascii="Arial" w:eastAsia="Calibri" w:hAnsi="Arial" w:cs="Arial"/>
          <w:sz w:val="22"/>
        </w:rPr>
        <w:t xml:space="preserve">un tipo de </w:t>
      </w:r>
      <w:r w:rsidR="00BA1889" w:rsidRPr="004930D7">
        <w:rPr>
          <w:rFonts w:ascii="Arial" w:eastAsia="Calibri" w:hAnsi="Arial" w:cs="Arial"/>
          <w:sz w:val="22"/>
        </w:rPr>
        <w:t>infraestructura</w:t>
      </w:r>
      <w:r w:rsidRPr="004930D7">
        <w:rPr>
          <w:rFonts w:ascii="Arial" w:eastAsia="Calibri" w:hAnsi="Arial" w:cs="Arial"/>
          <w:sz w:val="22"/>
        </w:rPr>
        <w:t xml:space="preserve"> específico,</w:t>
      </w:r>
      <w:r w:rsidR="00BA1889" w:rsidRPr="004930D7">
        <w:rPr>
          <w:rFonts w:ascii="Arial" w:eastAsia="Calibri" w:hAnsi="Arial" w:cs="Arial"/>
          <w:sz w:val="22"/>
        </w:rPr>
        <w:t xml:space="preserve"> como </w:t>
      </w:r>
      <w:r w:rsidR="00BA1889" w:rsidRPr="004930D7">
        <w:rPr>
          <w:rFonts w:ascii="Arial" w:hAnsi="Arial" w:cs="Arial"/>
          <w:sz w:val="22"/>
        </w:rPr>
        <w:t>el tipo de infraestructura «</w:t>
      </w:r>
      <w:r w:rsidR="00C55D02" w:rsidRPr="004930D7">
        <w:rPr>
          <w:rFonts w:ascii="Arial" w:hAnsi="Arial" w:cs="Arial"/>
          <w:sz w:val="22"/>
        </w:rPr>
        <w:t>7</w:t>
      </w:r>
      <w:r w:rsidR="00BA1889" w:rsidRPr="004930D7">
        <w:rPr>
          <w:rFonts w:ascii="Arial" w:hAnsi="Arial" w:cs="Arial"/>
          <w:sz w:val="22"/>
        </w:rPr>
        <w:t xml:space="preserve">. OBRAS </w:t>
      </w:r>
      <w:r w:rsidR="00C55D02" w:rsidRPr="004930D7">
        <w:rPr>
          <w:rFonts w:ascii="Arial" w:hAnsi="Arial" w:cs="Arial"/>
          <w:sz w:val="22"/>
        </w:rPr>
        <w:t>EN PUENTES</w:t>
      </w:r>
      <w:r w:rsidR="00BA1889" w:rsidRPr="004930D7">
        <w:rPr>
          <w:rFonts w:ascii="Arial" w:hAnsi="Arial" w:cs="Arial"/>
          <w:sz w:val="22"/>
        </w:rPr>
        <w:t>»,</w:t>
      </w:r>
      <w:r w:rsidRPr="004930D7">
        <w:rPr>
          <w:rFonts w:ascii="Arial" w:eastAsia="Calibri" w:hAnsi="Arial" w:cs="Arial"/>
          <w:sz w:val="22"/>
        </w:rPr>
        <w:t xml:space="preserve"> la entidad estatal debe identificar </w:t>
      </w:r>
      <w:r w:rsidR="00BA1889" w:rsidRPr="004930D7">
        <w:rPr>
          <w:rFonts w:ascii="Arial" w:eastAsia="Calibri" w:hAnsi="Arial" w:cs="Arial"/>
          <w:sz w:val="22"/>
        </w:rPr>
        <w:t xml:space="preserve">las actividades a contratar </w:t>
      </w:r>
      <w:r w:rsidRPr="004930D7">
        <w:rPr>
          <w:rFonts w:ascii="Arial" w:eastAsia="Calibri" w:hAnsi="Arial" w:cs="Arial"/>
          <w:sz w:val="22"/>
        </w:rPr>
        <w:t>definidas en la «Matriz 1 – Experiencia»</w:t>
      </w:r>
      <w:r w:rsidR="009B41C9" w:rsidRPr="004930D7">
        <w:rPr>
          <w:rFonts w:ascii="Arial" w:eastAsia="Calibri" w:hAnsi="Arial" w:cs="Arial"/>
          <w:sz w:val="22"/>
        </w:rPr>
        <w:t xml:space="preserve">, que son </w:t>
      </w:r>
      <w:r w:rsidR="00C55D02" w:rsidRPr="004930D7">
        <w:rPr>
          <w:rFonts w:ascii="Arial" w:eastAsia="Calibri" w:hAnsi="Arial" w:cs="Arial"/>
          <w:sz w:val="22"/>
        </w:rPr>
        <w:t>8</w:t>
      </w:r>
      <w:r w:rsidR="009B41C9" w:rsidRPr="004930D7">
        <w:rPr>
          <w:rFonts w:ascii="Arial" w:eastAsia="Calibri" w:hAnsi="Arial" w:cs="Arial"/>
          <w:sz w:val="22"/>
        </w:rPr>
        <w:t xml:space="preserve"> actividades enlistadas en las consideraciones de este concepto</w:t>
      </w:r>
      <w:r w:rsidR="009403BC" w:rsidRPr="004930D7">
        <w:rPr>
          <w:rFonts w:ascii="Arial" w:eastAsia="Calibri" w:hAnsi="Arial" w:cs="Arial"/>
          <w:sz w:val="22"/>
        </w:rPr>
        <w:t>. Además,</w:t>
      </w:r>
      <w:r w:rsidRPr="004930D7">
        <w:rPr>
          <w:rFonts w:ascii="Arial" w:eastAsia="Calibri" w:hAnsi="Arial" w:cs="Arial"/>
          <w:sz w:val="22"/>
        </w:rPr>
        <w:t xml:space="preserve"> debe tener en cuenta los conceptos propios de la ingeniería civil y los definidos del «Anexo 3 – Glosario», con el fin de verificar si el objeto a contratar se encuentra enmarcado en dichas actividades.</w:t>
      </w:r>
    </w:p>
    <w:p w14:paraId="4C9FE34C" w14:textId="719CE014" w:rsidR="00A154D8" w:rsidRPr="004930D7" w:rsidRDefault="00A154D8" w:rsidP="00A154D8">
      <w:pPr>
        <w:spacing w:line="276" w:lineRule="auto"/>
        <w:ind w:firstLine="709"/>
        <w:jc w:val="both"/>
        <w:rPr>
          <w:rFonts w:ascii="Arial" w:hAnsi="Arial" w:cs="Arial"/>
          <w:sz w:val="22"/>
          <w:shd w:val="clear" w:color="auto" w:fill="FFFFFF"/>
        </w:rPr>
      </w:pPr>
      <w:r w:rsidRPr="004930D7">
        <w:rPr>
          <w:rFonts w:ascii="Arial" w:eastAsia="Calibri" w:hAnsi="Arial" w:cs="Arial"/>
          <w:sz w:val="22"/>
        </w:rPr>
        <w:t xml:space="preserve">En ese sentido, </w:t>
      </w:r>
      <w:r w:rsidRPr="004930D7">
        <w:rPr>
          <w:rFonts w:ascii="Arial" w:hAnsi="Arial" w:cs="Arial"/>
          <w:sz w:val="22"/>
          <w:shd w:val="clear" w:color="auto" w:fill="FFFFFF"/>
        </w:rPr>
        <w:t>el «Anexo 3 – Glosario» incluye la siguiente nota:</w:t>
      </w:r>
      <w:r w:rsidRPr="004930D7">
        <w:rPr>
          <w:rStyle w:val="normaltextrun"/>
          <w:rFonts w:ascii="Arial" w:hAnsi="Arial" w:cs="Arial"/>
          <w:color w:val="000000"/>
          <w:sz w:val="22"/>
          <w:shd w:val="clear" w:color="auto" w:fill="FFFFFF"/>
          <w:lang w:val="es-ES"/>
        </w:rPr>
        <w:t xml:space="preserve"> </w:t>
      </w:r>
      <w:r w:rsidRPr="00E25414">
        <w:rPr>
          <w:rFonts w:ascii="Arial" w:eastAsia="Arial" w:hAnsi="Arial" w:cs="Times New Roman"/>
          <w:sz w:val="22"/>
          <w:lang w:val="es-CO"/>
        </w:rPr>
        <w:t>[La Entidad deberá incluir en orden alfabético los conceptos adicionales que aplican al proceso de selección que no estén incluidos en el presente anexo, con su respectiva fuente].</w:t>
      </w:r>
      <w:r w:rsidRPr="004930D7">
        <w:rPr>
          <w:rFonts w:ascii="Arial" w:eastAsia="Arial" w:hAnsi="Arial" w:cs="Times New Roman"/>
          <w:sz w:val="20"/>
          <w:lang w:val="es-CO"/>
        </w:rPr>
        <w:t xml:space="preserve"> </w:t>
      </w:r>
      <w:r w:rsidRPr="004930D7">
        <w:rPr>
          <w:rFonts w:ascii="Arial" w:hAnsi="Arial" w:cs="Arial"/>
          <w:sz w:val="22"/>
          <w:shd w:val="clear" w:color="auto" w:fill="FFFFFF"/>
        </w:rPr>
        <w:t xml:space="preserve">Por tanto, la entidad puede incluir conceptos adicionales para aquellas actividades a contratar no </w:t>
      </w:r>
      <w:r w:rsidRPr="004930D7">
        <w:rPr>
          <w:rFonts w:ascii="Arial" w:hAnsi="Arial" w:cs="Arial"/>
          <w:sz w:val="22"/>
          <w:shd w:val="clear" w:color="auto" w:fill="FFFFFF"/>
        </w:rPr>
        <w:lastRenderedPageBreak/>
        <w:t xml:space="preserve">definidas en el glosario, pero si la actividad se encuentra definida, no es posible modificar la definición, la cual corresponde con lo señalado en la </w:t>
      </w:r>
      <w:r w:rsidRPr="004930D7">
        <w:rPr>
          <w:rFonts w:ascii="Arial" w:eastAsia="Calibri" w:hAnsi="Arial" w:cs="Arial"/>
          <w:sz w:val="22"/>
        </w:rPr>
        <w:t>«Matriz 1 – Experiencia» con base en la cual se debe verificar la experiencia, y esta tiene concordancia con l</w:t>
      </w:r>
      <w:r w:rsidR="00B9749B" w:rsidRPr="004930D7">
        <w:rPr>
          <w:rFonts w:ascii="Arial" w:eastAsia="Calibri" w:hAnsi="Arial" w:cs="Arial"/>
          <w:sz w:val="22"/>
        </w:rPr>
        <w:t>a</w:t>
      </w:r>
      <w:r w:rsidRPr="004930D7">
        <w:rPr>
          <w:rFonts w:ascii="Arial" w:eastAsia="Calibri" w:hAnsi="Arial" w:cs="Arial"/>
          <w:sz w:val="22"/>
        </w:rPr>
        <w:t xml:space="preserve"> definición dispuesta en el </w:t>
      </w:r>
      <w:r w:rsidRPr="004930D7">
        <w:rPr>
          <w:rFonts w:ascii="Arial" w:hAnsi="Arial" w:cs="Arial"/>
          <w:sz w:val="22"/>
          <w:shd w:val="clear" w:color="auto" w:fill="FFFFFF"/>
        </w:rPr>
        <w:t>«Anexo 3 – Glosario», regido por el principio de inalterabilidad de los documentos tipo.</w:t>
      </w:r>
    </w:p>
    <w:p w14:paraId="19E3AC23" w14:textId="77777777" w:rsidR="00A154D8" w:rsidRPr="004930D7" w:rsidRDefault="00A154D8" w:rsidP="009C2C65">
      <w:pPr>
        <w:ind w:left="709" w:right="709"/>
        <w:jc w:val="both"/>
        <w:rPr>
          <w:rFonts w:ascii="Arial" w:eastAsia="Calibri" w:hAnsi="Arial" w:cs="Arial"/>
          <w:sz w:val="21"/>
          <w:szCs w:val="21"/>
        </w:rPr>
      </w:pPr>
    </w:p>
    <w:p w14:paraId="1129A289" w14:textId="5D0B69B8" w:rsidR="009C2C65" w:rsidRPr="004930D7" w:rsidRDefault="009C2C65" w:rsidP="009C2C65">
      <w:pPr>
        <w:ind w:left="709" w:right="709"/>
        <w:jc w:val="both"/>
        <w:rPr>
          <w:rFonts w:ascii="Arial" w:eastAsia="Calibri" w:hAnsi="Arial" w:cs="Arial"/>
          <w:sz w:val="21"/>
          <w:szCs w:val="21"/>
        </w:rPr>
      </w:pPr>
      <w:r w:rsidRPr="004930D7">
        <w:rPr>
          <w:rFonts w:ascii="Arial" w:eastAsia="Calibri" w:hAnsi="Arial" w:cs="Arial"/>
          <w:sz w:val="21"/>
          <w:szCs w:val="21"/>
        </w:rPr>
        <w:t>»2. En procesos de Secop 2 (sic) , que (sic) sucede si la entidad da apertura de los sobres económicos un día y al día siguiente publica una resolución de saneamiento donde establece un nuevo cronograma, y ese día apertura nuevas ofertas económica. Con que (sic) fecha debería la TRM (sic) para escoger la formula (sic) de asignación de puntaje?</w:t>
      </w:r>
    </w:p>
    <w:p w14:paraId="25FF0EF0" w14:textId="44ECD040" w:rsidR="009C2C65" w:rsidRPr="004930D7" w:rsidRDefault="009C2C65" w:rsidP="009C2C65">
      <w:pPr>
        <w:ind w:left="709" w:right="709"/>
        <w:jc w:val="both"/>
        <w:rPr>
          <w:rFonts w:ascii="Arial" w:eastAsia="Calibri" w:hAnsi="Arial" w:cs="Arial"/>
          <w:sz w:val="21"/>
          <w:szCs w:val="21"/>
        </w:rPr>
      </w:pPr>
    </w:p>
    <w:p w14:paraId="27AC8B85" w14:textId="5A0E0ECD" w:rsidR="00967AFB" w:rsidRPr="004930D7" w:rsidRDefault="00967AFB" w:rsidP="00E25414">
      <w:pPr>
        <w:tabs>
          <w:tab w:val="left" w:pos="6663"/>
        </w:tabs>
        <w:spacing w:after="120" w:line="276" w:lineRule="auto"/>
        <w:jc w:val="both"/>
        <w:rPr>
          <w:rFonts w:ascii="Arial" w:eastAsia="Arial" w:hAnsi="Arial" w:cs="Arial"/>
          <w:sz w:val="22"/>
          <w:lang w:val="es-ES" w:eastAsia="es-ES" w:bidi="es-ES"/>
        </w:rPr>
      </w:pPr>
      <w:r w:rsidRPr="004930D7">
        <w:rPr>
          <w:rFonts w:ascii="Arial" w:eastAsia="Arial" w:hAnsi="Arial" w:cs="Arial"/>
          <w:sz w:val="22"/>
          <w:lang w:val="es-ES" w:eastAsia="es-ES" w:bidi="es-ES"/>
        </w:rPr>
        <w:t>Con base en las consideraciones expuestas, se procede a responder la pregunta formulada, no sin antes recordar que los conceptos emitidos por la Agencia Nacional de Contratación Pública –Colombia Compra Eficiente– son orientaciones de carácter general. Por tanto, no suponen la solución directa de controversias específicas o de preguntas que pretendan una asesoría para determinar qué decisiones debe adoptar la entidad contratante o los proponentes, lo cual debe ser definido por los participantes de la contratación pública con base en la regulación aplicable.</w:t>
      </w:r>
    </w:p>
    <w:p w14:paraId="10C3084A" w14:textId="72B4D7C2" w:rsidR="00564BBB" w:rsidRPr="004930D7" w:rsidRDefault="00564BBB" w:rsidP="00564BBB">
      <w:pPr>
        <w:tabs>
          <w:tab w:val="left" w:pos="6663"/>
        </w:tabs>
        <w:spacing w:after="120" w:line="276" w:lineRule="auto"/>
        <w:ind w:firstLine="709"/>
        <w:jc w:val="both"/>
        <w:rPr>
          <w:rFonts w:ascii="Arial" w:eastAsia="Calibri" w:hAnsi="Arial" w:cs="Arial"/>
          <w:sz w:val="22"/>
        </w:rPr>
      </w:pPr>
      <w:r w:rsidRPr="004930D7">
        <w:rPr>
          <w:rFonts w:ascii="Arial" w:eastAsia="Calibri" w:hAnsi="Arial" w:cs="Arial"/>
          <w:sz w:val="22"/>
        </w:rPr>
        <w:t xml:space="preserve">El Documento Base de los Documentos Tipo Versión </w:t>
      </w:r>
      <w:r w:rsidR="00960E34" w:rsidRPr="004930D7">
        <w:rPr>
          <w:rFonts w:ascii="Arial" w:eastAsia="Calibri" w:hAnsi="Arial" w:cs="Arial"/>
          <w:sz w:val="22"/>
        </w:rPr>
        <w:t>3</w:t>
      </w:r>
      <w:r w:rsidRPr="004930D7">
        <w:rPr>
          <w:rFonts w:ascii="Arial" w:eastAsia="Calibri" w:hAnsi="Arial" w:cs="Arial"/>
          <w:sz w:val="22"/>
        </w:rPr>
        <w:t xml:space="preserve"> señala que la entidad debe dar apertura al sobre No. 2 en un mismo día</w:t>
      </w:r>
      <w:r w:rsidR="00960E34" w:rsidRPr="004930D7">
        <w:rPr>
          <w:rFonts w:ascii="Arial" w:eastAsia="Calibri" w:hAnsi="Arial" w:cs="Arial"/>
          <w:sz w:val="22"/>
        </w:rPr>
        <w:t xml:space="preserve"> y hasta antes de las 3:00 p.m.</w:t>
      </w:r>
      <w:r w:rsidRPr="004930D7">
        <w:rPr>
          <w:rFonts w:ascii="Arial" w:eastAsia="Calibri" w:hAnsi="Arial" w:cs="Arial"/>
          <w:sz w:val="22"/>
        </w:rPr>
        <w:t>, y también debe definir el método de ponderación de la oferta económica de acuerdo con la TRM del día siguiente a esta actividad, que se desarrolla dentro de la audiencia de adjudicación, la cual es certificada por la Superintendencia Financiera de Colombia.</w:t>
      </w:r>
    </w:p>
    <w:p w14:paraId="4F7A8920" w14:textId="7434EBA8" w:rsidR="008D3E76" w:rsidRPr="004930D7" w:rsidRDefault="00AB3BFA" w:rsidP="002E1D5C">
      <w:pPr>
        <w:spacing w:line="276" w:lineRule="auto"/>
        <w:ind w:firstLine="709"/>
        <w:jc w:val="both"/>
        <w:rPr>
          <w:rFonts w:ascii="Arial" w:hAnsi="Arial" w:cs="Arial"/>
          <w:color w:val="000000" w:themeColor="text1"/>
          <w:sz w:val="22"/>
        </w:rPr>
      </w:pPr>
      <w:r w:rsidRPr="004930D7">
        <w:rPr>
          <w:rFonts w:ascii="Arial" w:eastAsia="Calibri" w:hAnsi="Arial" w:cs="Arial"/>
          <w:sz w:val="22"/>
        </w:rPr>
        <w:t>En todo caso</w:t>
      </w:r>
      <w:r w:rsidR="00564BBB" w:rsidRPr="004930D7">
        <w:rPr>
          <w:rFonts w:ascii="Arial" w:eastAsia="Calibri" w:hAnsi="Arial" w:cs="Arial"/>
          <w:sz w:val="22"/>
        </w:rPr>
        <w:t>,</w:t>
      </w:r>
      <w:r w:rsidR="002811A1" w:rsidRPr="004930D7">
        <w:rPr>
          <w:rFonts w:ascii="Arial" w:eastAsia="Calibri" w:hAnsi="Arial" w:cs="Arial"/>
          <w:sz w:val="22"/>
        </w:rPr>
        <w:t xml:space="preserve"> se debe tener en cuenta que</w:t>
      </w:r>
      <w:r w:rsidR="00564BBB" w:rsidRPr="004930D7">
        <w:rPr>
          <w:rFonts w:ascii="Arial" w:eastAsia="Calibri" w:hAnsi="Arial" w:cs="Arial"/>
          <w:sz w:val="22"/>
        </w:rPr>
        <w:t xml:space="preserve"> </w:t>
      </w:r>
      <w:r w:rsidR="000F27E6" w:rsidRPr="004930D7">
        <w:rPr>
          <w:rFonts w:ascii="Arial" w:eastAsia="Calibri" w:hAnsi="Arial" w:cs="Arial"/>
          <w:sz w:val="22"/>
        </w:rPr>
        <w:t>la entidad no podrá abrir los sobres económicos teniendo conocimiento de la TRM que regirá al día hábil siguiente</w:t>
      </w:r>
      <w:r w:rsidR="00224412" w:rsidRPr="004930D7">
        <w:rPr>
          <w:rFonts w:ascii="Arial" w:eastAsia="Calibri" w:hAnsi="Arial" w:cs="Arial"/>
          <w:sz w:val="22"/>
        </w:rPr>
        <w:t>,</w:t>
      </w:r>
      <w:r w:rsidR="008D3E76" w:rsidRPr="004930D7">
        <w:rPr>
          <w:rFonts w:ascii="Arial" w:eastAsia="Calibri" w:hAnsi="Arial" w:cs="Arial"/>
          <w:sz w:val="22"/>
        </w:rPr>
        <w:t xml:space="preserve"> y</w:t>
      </w:r>
      <w:r w:rsidR="00224412" w:rsidRPr="004930D7">
        <w:rPr>
          <w:rFonts w:ascii="Arial" w:eastAsia="Calibri" w:hAnsi="Arial" w:cs="Arial"/>
          <w:sz w:val="22"/>
        </w:rPr>
        <w:t xml:space="preserve"> por tanto</w:t>
      </w:r>
      <w:r w:rsidR="008D3E76" w:rsidRPr="004930D7">
        <w:rPr>
          <w:rFonts w:ascii="Arial" w:eastAsia="Calibri" w:hAnsi="Arial" w:cs="Arial"/>
          <w:sz w:val="22"/>
        </w:rPr>
        <w:t xml:space="preserve"> para definir el método de ponderación </w:t>
      </w:r>
      <w:r w:rsidR="00224412" w:rsidRPr="004930D7">
        <w:rPr>
          <w:rFonts w:ascii="Arial" w:eastAsia="Calibri" w:hAnsi="Arial" w:cs="Arial"/>
          <w:sz w:val="22"/>
        </w:rPr>
        <w:t>de</w:t>
      </w:r>
      <w:r w:rsidR="008D3E76" w:rsidRPr="004930D7">
        <w:rPr>
          <w:rFonts w:ascii="Arial" w:eastAsia="Calibri" w:hAnsi="Arial" w:cs="Arial"/>
          <w:sz w:val="22"/>
        </w:rPr>
        <w:t xml:space="preserve"> las ofertas económicas</w:t>
      </w:r>
      <w:r w:rsidR="00AD3AF2" w:rsidRPr="004930D7">
        <w:rPr>
          <w:rFonts w:ascii="Arial" w:eastAsia="Calibri" w:hAnsi="Arial" w:cs="Arial"/>
          <w:sz w:val="22"/>
        </w:rPr>
        <w:t>, la entidad debe seguir las reglas señaladas en los documentos tipo</w:t>
      </w:r>
      <w:r w:rsidRPr="004930D7">
        <w:rPr>
          <w:rFonts w:ascii="Arial" w:eastAsia="Calibri" w:hAnsi="Arial" w:cs="Arial"/>
          <w:sz w:val="22"/>
        </w:rPr>
        <w:t>.</w:t>
      </w:r>
    </w:p>
    <w:p w14:paraId="1C8CF16F" w14:textId="2AEB7268" w:rsidR="009C2C65" w:rsidRPr="004930D7" w:rsidRDefault="008D3E76" w:rsidP="002E1D5C">
      <w:pPr>
        <w:autoSpaceDE w:val="0"/>
        <w:autoSpaceDN w:val="0"/>
        <w:adjustRightInd w:val="0"/>
        <w:spacing w:line="276" w:lineRule="auto"/>
        <w:jc w:val="both"/>
        <w:rPr>
          <w:rFonts w:ascii="Arial" w:eastAsia="Calibri" w:hAnsi="Arial" w:cs="Arial"/>
          <w:sz w:val="21"/>
          <w:szCs w:val="21"/>
        </w:rPr>
      </w:pPr>
      <w:r w:rsidRPr="004930D7">
        <w:rPr>
          <w:rFonts w:ascii="Arial" w:eastAsia="Calibri" w:hAnsi="Arial" w:cs="Arial"/>
          <w:sz w:val="22"/>
        </w:rPr>
        <w:t xml:space="preserve"> </w:t>
      </w:r>
    </w:p>
    <w:p w14:paraId="054D0F1B" w14:textId="13E48C03" w:rsidR="009C2C65" w:rsidRPr="004930D7" w:rsidRDefault="009C2C65" w:rsidP="002E1D5C">
      <w:pPr>
        <w:ind w:left="709" w:right="709"/>
        <w:jc w:val="both"/>
        <w:rPr>
          <w:rFonts w:ascii="Arial" w:eastAsia="Calibri" w:hAnsi="Arial" w:cs="Arial"/>
          <w:sz w:val="21"/>
          <w:szCs w:val="21"/>
        </w:rPr>
      </w:pPr>
      <w:r w:rsidRPr="004930D7">
        <w:rPr>
          <w:rFonts w:ascii="Arial" w:eastAsia="Calibri" w:hAnsi="Arial" w:cs="Arial"/>
          <w:sz w:val="21"/>
          <w:szCs w:val="21"/>
        </w:rPr>
        <w:t xml:space="preserve">»3. En procesos de </w:t>
      </w:r>
      <w:proofErr w:type="spellStart"/>
      <w:r w:rsidRPr="004930D7">
        <w:rPr>
          <w:rFonts w:ascii="Arial" w:eastAsia="Calibri" w:hAnsi="Arial" w:cs="Arial"/>
          <w:sz w:val="21"/>
          <w:szCs w:val="21"/>
        </w:rPr>
        <w:t>secop</w:t>
      </w:r>
      <w:proofErr w:type="spellEnd"/>
      <w:r w:rsidRPr="004930D7">
        <w:rPr>
          <w:rFonts w:ascii="Arial" w:eastAsia="Calibri" w:hAnsi="Arial" w:cs="Arial"/>
          <w:sz w:val="21"/>
          <w:szCs w:val="21"/>
        </w:rPr>
        <w:t xml:space="preserve"> 2 (sic) , que (sic) sucede si una entidad da apertura de sobres económicos un día y por problemas de la plataforma quedan publicados el siguiente día?</w:t>
      </w:r>
    </w:p>
    <w:p w14:paraId="5E1FCB1C" w14:textId="04BFDA26" w:rsidR="006E1ACE" w:rsidRPr="004930D7" w:rsidRDefault="006E1ACE" w:rsidP="006E1ACE">
      <w:pPr>
        <w:ind w:right="709"/>
        <w:jc w:val="both"/>
        <w:rPr>
          <w:rFonts w:ascii="Arial" w:eastAsia="Calibri" w:hAnsi="Arial" w:cs="Arial"/>
          <w:sz w:val="21"/>
          <w:szCs w:val="21"/>
        </w:rPr>
      </w:pPr>
    </w:p>
    <w:p w14:paraId="5B516940" w14:textId="4BE438A6" w:rsidR="009C2C65" w:rsidRPr="004930D7" w:rsidRDefault="006E1ACE" w:rsidP="00E25414">
      <w:pPr>
        <w:tabs>
          <w:tab w:val="left" w:pos="6663"/>
        </w:tabs>
        <w:spacing w:after="120" w:line="276" w:lineRule="auto"/>
        <w:jc w:val="both"/>
        <w:rPr>
          <w:rFonts w:ascii="Arial" w:eastAsia="Calibri" w:hAnsi="Arial" w:cs="Arial"/>
          <w:sz w:val="21"/>
          <w:szCs w:val="21"/>
        </w:rPr>
      </w:pPr>
      <w:r w:rsidRPr="004930D7">
        <w:rPr>
          <w:rFonts w:ascii="Arial" w:eastAsia="Calibri" w:hAnsi="Arial" w:cs="Arial"/>
          <w:color w:val="262626" w:themeColor="text1" w:themeTint="D9"/>
          <w:sz w:val="22"/>
        </w:rPr>
        <w:t>Cuando ocurre una falla en la apertura de los sobres que contienen la oferta, la entidad debe reportar la incidencia a la mesa de servicio de Colombia Compra Eficiente, la cual deberá validar y en dado caso escalar con el proveedor de la plataforma para determinar si hubo una falla particular o no. Cuando existe dicha falla, será certificada por Colombia Compra Eficiente y la Entidad Estatal deberá proceder de acuerdo con lo establecido en el pliego de condiciones y</w:t>
      </w:r>
      <w:r w:rsidR="00AB3BFA" w:rsidRPr="004930D7">
        <w:rPr>
          <w:rFonts w:ascii="Arial" w:eastAsia="Calibri" w:hAnsi="Arial" w:cs="Arial"/>
          <w:color w:val="262626" w:themeColor="text1" w:themeTint="D9"/>
          <w:sz w:val="22"/>
        </w:rPr>
        <w:t xml:space="preserve"> el</w:t>
      </w:r>
      <w:r w:rsidRPr="004930D7">
        <w:rPr>
          <w:rFonts w:ascii="Arial" w:eastAsia="Calibri" w:hAnsi="Arial" w:cs="Arial"/>
          <w:color w:val="262626" w:themeColor="text1" w:themeTint="D9"/>
          <w:sz w:val="22"/>
        </w:rPr>
        <w:t xml:space="preserve"> cronograma del proceso de contratación.</w:t>
      </w:r>
      <w:r w:rsidR="00AB3BFA" w:rsidRPr="004930D7">
        <w:rPr>
          <w:rFonts w:ascii="Arial" w:eastAsia="Calibri" w:hAnsi="Arial" w:cs="Arial"/>
          <w:color w:val="262626" w:themeColor="text1" w:themeTint="D9"/>
          <w:sz w:val="22"/>
        </w:rPr>
        <w:t xml:space="preserve"> </w:t>
      </w:r>
      <w:r w:rsidR="0005679A" w:rsidRPr="004930D7">
        <w:rPr>
          <w:rFonts w:ascii="Arial" w:eastAsia="Calibri" w:hAnsi="Arial" w:cs="Arial"/>
          <w:color w:val="262626" w:themeColor="text1" w:themeTint="D9"/>
          <w:sz w:val="22"/>
        </w:rPr>
        <w:t xml:space="preserve">En todo caso, de conformidad con lo establecido en los documentos tipo –Versión 3– y la respuesta anterior, la TRM para definir el método de ponderación de las ofertas económicas será la que rija el </w:t>
      </w:r>
      <w:r w:rsidR="0005679A" w:rsidRPr="004930D7">
        <w:rPr>
          <w:rFonts w:ascii="Arial" w:eastAsia="Calibri" w:hAnsi="Arial" w:cs="Arial"/>
          <w:color w:val="262626" w:themeColor="text1" w:themeTint="D9"/>
          <w:sz w:val="22"/>
        </w:rPr>
        <w:lastRenderedPageBreak/>
        <w:t xml:space="preserve">día hábil siguiente a la </w:t>
      </w:r>
      <w:r w:rsidR="0005679A" w:rsidRPr="004930D7">
        <w:rPr>
          <w:rFonts w:ascii="Arial" w:eastAsia="Calibri" w:hAnsi="Arial" w:cs="Arial"/>
          <w:i/>
          <w:iCs/>
          <w:color w:val="262626" w:themeColor="text1" w:themeTint="D9"/>
          <w:sz w:val="22"/>
        </w:rPr>
        <w:t xml:space="preserve">apertura </w:t>
      </w:r>
      <w:r w:rsidR="0005679A" w:rsidRPr="004930D7">
        <w:rPr>
          <w:rFonts w:ascii="Arial" w:eastAsia="Calibri" w:hAnsi="Arial" w:cs="Arial"/>
          <w:color w:val="262626" w:themeColor="text1" w:themeTint="D9"/>
          <w:sz w:val="22"/>
        </w:rPr>
        <w:t xml:space="preserve">de los sobres que contienen las ofertas económicas, apertura que debe realizarse hasta antes de las 3:00 pm del día respectivo. </w:t>
      </w:r>
    </w:p>
    <w:p w14:paraId="702ACB73" w14:textId="77777777" w:rsidR="009C2C65" w:rsidRPr="004930D7" w:rsidRDefault="009C2C65" w:rsidP="009C2C65">
      <w:pPr>
        <w:ind w:left="709" w:right="709"/>
        <w:jc w:val="both"/>
        <w:rPr>
          <w:rFonts w:ascii="Arial" w:eastAsia="Calibri" w:hAnsi="Arial" w:cs="Arial"/>
          <w:sz w:val="21"/>
          <w:szCs w:val="21"/>
        </w:rPr>
      </w:pPr>
    </w:p>
    <w:p w14:paraId="78492E29" w14:textId="34CBEDCB" w:rsidR="009C2C65" w:rsidRPr="004930D7" w:rsidRDefault="009C2C65" w:rsidP="009C2C65">
      <w:pPr>
        <w:ind w:left="709" w:right="709"/>
        <w:jc w:val="both"/>
        <w:rPr>
          <w:rFonts w:ascii="Arial" w:eastAsia="Calibri" w:hAnsi="Arial" w:cs="Arial"/>
          <w:sz w:val="21"/>
          <w:szCs w:val="21"/>
        </w:rPr>
      </w:pPr>
      <w:r w:rsidRPr="004930D7">
        <w:rPr>
          <w:rFonts w:ascii="Arial" w:eastAsia="Calibri" w:hAnsi="Arial" w:cs="Arial"/>
          <w:sz w:val="21"/>
          <w:szCs w:val="21"/>
        </w:rPr>
        <w:t>»4. Para la aplicación de la guía de precios artificialmente bajos, es obligatoria (sic) aplicar la formula (sic) establecida para determinar el valor mínimo aceptable?</w:t>
      </w:r>
    </w:p>
    <w:p w14:paraId="0E6E57B2" w14:textId="3A26FE10" w:rsidR="009C2C65" w:rsidRPr="004930D7" w:rsidRDefault="009C2C65" w:rsidP="009C2C65">
      <w:pPr>
        <w:ind w:left="709" w:right="709"/>
        <w:jc w:val="both"/>
        <w:rPr>
          <w:rFonts w:ascii="Arial" w:eastAsia="Calibri" w:hAnsi="Arial" w:cs="Arial"/>
          <w:sz w:val="21"/>
          <w:szCs w:val="21"/>
        </w:rPr>
      </w:pPr>
    </w:p>
    <w:p w14:paraId="2A1D6487" w14:textId="2D418411" w:rsidR="00752701" w:rsidRPr="00E25414" w:rsidRDefault="00534EBC" w:rsidP="00E25414">
      <w:pPr>
        <w:spacing w:line="276" w:lineRule="auto"/>
        <w:jc w:val="both"/>
        <w:rPr>
          <w:rFonts w:ascii="Arial" w:hAnsi="Arial" w:cs="Arial"/>
          <w:sz w:val="22"/>
        </w:rPr>
      </w:pPr>
      <w:r w:rsidRPr="004930D7">
        <w:rPr>
          <w:rFonts w:ascii="Arial" w:hAnsi="Arial" w:cs="Arial"/>
          <w:sz w:val="22"/>
        </w:rPr>
        <w:t xml:space="preserve">La Agencia Nacional de Contratación Pública – Colombia Compra Eficiente expidió la «Guía para el manejo de ofertas artificialmente bajas en Procesos de Contratación». </w:t>
      </w:r>
      <w:r w:rsidRPr="004930D7">
        <w:rPr>
          <w:rFonts w:ascii="Arial" w:hAnsi="Arial" w:cs="Arial"/>
          <w:color w:val="000000" w:themeColor="text1"/>
          <w:sz w:val="22"/>
        </w:rPr>
        <w:t>Esta</w:t>
      </w:r>
      <w:r w:rsidR="002922FF" w:rsidRPr="004930D7">
        <w:rPr>
          <w:rFonts w:ascii="Arial" w:hAnsi="Arial" w:cs="Arial"/>
          <w:color w:val="000000" w:themeColor="text1"/>
          <w:sz w:val="22"/>
        </w:rPr>
        <w:t xml:space="preserve"> Guía propone dos (2) «herramientas» y una (1) «metodología», y su aplicación depende de la cantidad de ofertas que se presentaron al procedimiento.</w:t>
      </w:r>
      <w:r w:rsidR="008E2994" w:rsidRPr="004930D7">
        <w:rPr>
          <w:rFonts w:ascii="Arial" w:hAnsi="Arial" w:cs="Arial"/>
          <w:color w:val="000000" w:themeColor="text1"/>
          <w:sz w:val="22"/>
        </w:rPr>
        <w:t xml:space="preserve"> </w:t>
      </w:r>
      <w:r w:rsidR="008E2994" w:rsidRPr="004930D7">
        <w:rPr>
          <w:rFonts w:ascii="Arial" w:hAnsi="Arial" w:cs="Arial"/>
          <w:sz w:val="22"/>
        </w:rPr>
        <w:t xml:space="preserve">Cuando se presenten menos de cinco (5) ofertas, son aplicables las </w:t>
      </w:r>
      <w:r w:rsidR="008E2994" w:rsidRPr="004930D7">
        <w:rPr>
          <w:rFonts w:ascii="Arial" w:hAnsi="Arial" w:cs="Arial"/>
          <w:color w:val="000000" w:themeColor="text1"/>
          <w:sz w:val="22"/>
        </w:rPr>
        <w:t>dos (2) «herramientas» denominadas: comparación relativa y comparación absoluta.</w:t>
      </w:r>
      <w:r w:rsidR="008E2994" w:rsidRPr="004930D7">
        <w:rPr>
          <w:rFonts w:ascii="Arial" w:hAnsi="Arial" w:cs="Arial"/>
          <w:sz w:val="22"/>
        </w:rPr>
        <w:t xml:space="preserve"> Por otra parte, la </w:t>
      </w:r>
      <w:r w:rsidR="00D80503" w:rsidRPr="004930D7">
        <w:rPr>
          <w:rFonts w:ascii="Arial" w:hAnsi="Arial" w:cs="Arial"/>
          <w:color w:val="000000" w:themeColor="text1"/>
          <w:sz w:val="22"/>
        </w:rPr>
        <w:t>«metodología»</w:t>
      </w:r>
      <w:r w:rsidR="008E2994" w:rsidRPr="004930D7">
        <w:rPr>
          <w:rFonts w:ascii="Arial" w:hAnsi="Arial" w:cs="Arial"/>
          <w:sz w:val="22"/>
        </w:rPr>
        <w:t xml:space="preserve"> para identificar ofertas que pueden tener «precios artificialmente bajos», es aplicable a los procedimientos donde hay cinco (5) o más ofertas, y señala estos pasos sucesivos: i) tomar el conjunto de ofertas a evaluar, </w:t>
      </w:r>
      <w:proofErr w:type="spellStart"/>
      <w:r w:rsidR="008E2994" w:rsidRPr="004930D7">
        <w:rPr>
          <w:rFonts w:ascii="Arial" w:hAnsi="Arial" w:cs="Arial"/>
          <w:sz w:val="22"/>
        </w:rPr>
        <w:t>ii</w:t>
      </w:r>
      <w:proofErr w:type="spellEnd"/>
      <w:r w:rsidR="008E2994" w:rsidRPr="004930D7">
        <w:rPr>
          <w:rFonts w:ascii="Arial" w:hAnsi="Arial" w:cs="Arial"/>
          <w:sz w:val="22"/>
        </w:rPr>
        <w:t xml:space="preserve">) calcular la mediana, o dependiendo de la dispersión de los datos el promedio, del valor de cada oferta o de cada ítem dentro de la oferta, </w:t>
      </w:r>
      <w:proofErr w:type="spellStart"/>
      <w:r w:rsidR="008E2994" w:rsidRPr="004930D7">
        <w:rPr>
          <w:rFonts w:ascii="Arial" w:hAnsi="Arial" w:cs="Arial"/>
          <w:sz w:val="22"/>
        </w:rPr>
        <w:t>iii</w:t>
      </w:r>
      <w:proofErr w:type="spellEnd"/>
      <w:r w:rsidR="008E2994" w:rsidRPr="004930D7">
        <w:rPr>
          <w:rFonts w:ascii="Arial" w:hAnsi="Arial" w:cs="Arial"/>
          <w:sz w:val="22"/>
        </w:rPr>
        <w:t xml:space="preserve">) calcular la desviación estándar del conjunto y </w:t>
      </w:r>
      <w:proofErr w:type="spellStart"/>
      <w:r w:rsidR="008E2994" w:rsidRPr="004930D7">
        <w:rPr>
          <w:rFonts w:ascii="Arial" w:hAnsi="Arial" w:cs="Arial"/>
          <w:sz w:val="22"/>
        </w:rPr>
        <w:t>iv</w:t>
      </w:r>
      <w:proofErr w:type="spellEnd"/>
      <w:r w:rsidR="008E2994" w:rsidRPr="004930D7">
        <w:rPr>
          <w:rFonts w:ascii="Arial" w:hAnsi="Arial" w:cs="Arial"/>
          <w:sz w:val="22"/>
        </w:rPr>
        <w:t>) determinar el valor mínimo aceptable.</w:t>
      </w:r>
      <w:r w:rsidRPr="004930D7">
        <w:rPr>
          <w:rFonts w:ascii="Arial" w:hAnsi="Arial" w:cs="Arial"/>
          <w:sz w:val="22"/>
        </w:rPr>
        <w:t xml:space="preserve"> En todo caso, si bien la entidad debe observar lo establecido en el artículo </w:t>
      </w:r>
      <w:r w:rsidRPr="00E25414">
        <w:rPr>
          <w:rFonts w:ascii="Arial" w:hAnsi="Arial" w:cs="Arial"/>
          <w:sz w:val="22"/>
        </w:rPr>
        <w:t xml:space="preserve">2.2.1.1.2.2.4. del Decreto 1082 de 2015, </w:t>
      </w:r>
      <w:r w:rsidRPr="00E25414">
        <w:rPr>
          <w:rFonts w:ascii="Arial" w:hAnsi="Arial" w:cs="Arial"/>
          <w:i/>
          <w:iCs/>
          <w:sz w:val="22"/>
        </w:rPr>
        <w:t>facultativamente</w:t>
      </w:r>
      <w:r w:rsidRPr="00E25414">
        <w:rPr>
          <w:rFonts w:ascii="Arial" w:hAnsi="Arial" w:cs="Arial"/>
          <w:sz w:val="22"/>
        </w:rPr>
        <w:t xml:space="preserve"> podrá acudir a los parámetros definidos en la Guía </w:t>
      </w:r>
      <w:r w:rsidRPr="004930D7">
        <w:rPr>
          <w:rFonts w:ascii="Arial" w:hAnsi="Arial" w:cs="Arial"/>
          <w:sz w:val="22"/>
        </w:rPr>
        <w:t>indicada</w:t>
      </w:r>
      <w:r w:rsidRPr="00E25414">
        <w:rPr>
          <w:rFonts w:ascii="Arial" w:hAnsi="Arial" w:cs="Arial"/>
          <w:sz w:val="22"/>
        </w:rPr>
        <w:t>.</w:t>
      </w:r>
    </w:p>
    <w:p w14:paraId="2B75C3DE" w14:textId="77777777" w:rsidR="002922FF" w:rsidRPr="004930D7" w:rsidRDefault="002922FF" w:rsidP="00752701">
      <w:pPr>
        <w:ind w:right="709"/>
        <w:jc w:val="both"/>
        <w:rPr>
          <w:rFonts w:ascii="Arial" w:eastAsia="Calibri" w:hAnsi="Arial" w:cs="Arial"/>
          <w:sz w:val="21"/>
          <w:szCs w:val="21"/>
        </w:rPr>
      </w:pPr>
    </w:p>
    <w:p w14:paraId="2A7CD34E" w14:textId="77777777" w:rsidR="009C2C65" w:rsidRPr="004930D7" w:rsidRDefault="009C2C65" w:rsidP="009C2C65">
      <w:pPr>
        <w:ind w:left="709" w:right="709"/>
        <w:jc w:val="both"/>
        <w:rPr>
          <w:rFonts w:ascii="Arial" w:eastAsia="Calibri" w:hAnsi="Arial" w:cs="Arial"/>
          <w:sz w:val="21"/>
          <w:szCs w:val="21"/>
        </w:rPr>
      </w:pPr>
      <w:r w:rsidRPr="004930D7">
        <w:rPr>
          <w:rFonts w:ascii="Arial" w:eastAsia="Calibri" w:hAnsi="Arial" w:cs="Arial"/>
          <w:sz w:val="21"/>
          <w:szCs w:val="21"/>
        </w:rPr>
        <w:t>»a. La (sic) entidad puede evaluar de manera individual un ítem? Por ejemplo, podría una entidad rechazar a un oferente por que tiene el PMT (sic) muy por debajo del valor oficial?»</w:t>
      </w:r>
    </w:p>
    <w:p w14:paraId="02AA1A67" w14:textId="108E9B9B" w:rsidR="00A945C1" w:rsidRPr="004930D7" w:rsidRDefault="00A945C1" w:rsidP="00A945C1">
      <w:pPr>
        <w:spacing w:line="276" w:lineRule="auto"/>
        <w:jc w:val="both"/>
        <w:rPr>
          <w:rFonts w:ascii="Arial" w:eastAsia="Calibri" w:hAnsi="Arial" w:cs="Arial"/>
          <w:sz w:val="22"/>
        </w:rPr>
      </w:pPr>
    </w:p>
    <w:p w14:paraId="5CA35D3F" w14:textId="1BA29DA5" w:rsidR="00752701" w:rsidRPr="004930D7" w:rsidRDefault="00752701" w:rsidP="00E25414">
      <w:pPr>
        <w:spacing w:after="120" w:line="276" w:lineRule="auto"/>
        <w:jc w:val="both"/>
        <w:rPr>
          <w:rFonts w:ascii="Arial" w:hAnsi="Arial" w:cs="Arial"/>
          <w:color w:val="000000" w:themeColor="text1"/>
          <w:sz w:val="22"/>
        </w:rPr>
      </w:pPr>
      <w:r w:rsidRPr="004930D7">
        <w:rPr>
          <w:rFonts w:ascii="Arial" w:hAnsi="Arial" w:cs="Arial"/>
          <w:color w:val="000000" w:themeColor="text1"/>
          <w:sz w:val="22"/>
        </w:rPr>
        <w:t>De conformidad con la competencia otorgada en el numeral 8 del artículo 11 y numeral 5 del artículo 3 del Decreto Ley 4170 de 2011, la Agencia Nacional de Contratación Pública – Colombia Compra Eficiente atiende consultas relativas a temas contractuales en lo que se refiere a la aplicación de normas de carácter general en materia de compras y contratación pública. Por tal motivo, esta entidad carece de competencia para pronunciarse respecto de actuaciones contractuales específicas y</w:t>
      </w:r>
      <w:r w:rsidR="00BF0128" w:rsidRPr="004930D7">
        <w:rPr>
          <w:rFonts w:ascii="Arial" w:hAnsi="Arial" w:cs="Arial"/>
          <w:color w:val="000000" w:themeColor="text1"/>
          <w:sz w:val="22"/>
        </w:rPr>
        <w:t>,</w:t>
      </w:r>
      <w:r w:rsidRPr="004930D7">
        <w:rPr>
          <w:rFonts w:ascii="Arial" w:hAnsi="Arial" w:cs="Arial"/>
          <w:color w:val="000000" w:themeColor="text1"/>
          <w:sz w:val="22"/>
        </w:rPr>
        <w:t xml:space="preserve"> por ende, no es posible determinar cómo se debe evaluar una oferta o si la entidad debe rechazar o no una </w:t>
      </w:r>
      <w:r w:rsidR="009D0D75" w:rsidRPr="004930D7">
        <w:rPr>
          <w:rFonts w:ascii="Arial" w:hAnsi="Arial" w:cs="Arial"/>
          <w:color w:val="000000" w:themeColor="text1"/>
          <w:sz w:val="22"/>
        </w:rPr>
        <w:t xml:space="preserve">propuesta </w:t>
      </w:r>
      <w:r w:rsidRPr="004930D7">
        <w:rPr>
          <w:rFonts w:ascii="Arial" w:hAnsi="Arial" w:cs="Arial"/>
          <w:color w:val="000000" w:themeColor="text1"/>
          <w:sz w:val="22"/>
        </w:rPr>
        <w:t>con base en los criterios ponderables y las causales de rechazo establecidos en el pliego de condiciones.</w:t>
      </w:r>
    </w:p>
    <w:p w14:paraId="1BF0BC60" w14:textId="316779F4" w:rsidR="00752701" w:rsidRPr="004930D7" w:rsidRDefault="00752701" w:rsidP="00E25414">
      <w:pPr>
        <w:spacing w:after="120" w:line="276" w:lineRule="auto"/>
        <w:jc w:val="both"/>
        <w:rPr>
          <w:rFonts w:ascii="Arial" w:eastAsia="Calibri" w:hAnsi="Arial" w:cs="Arial"/>
          <w:sz w:val="22"/>
        </w:rPr>
      </w:pPr>
      <w:r w:rsidRPr="004930D7">
        <w:rPr>
          <w:rFonts w:ascii="Arial" w:eastAsia="Calibri" w:hAnsi="Arial" w:cs="Arial"/>
          <w:sz w:val="22"/>
        </w:rPr>
        <w:tab/>
        <w:t xml:space="preserve">Es bueno señalar que corresponde a las autoridades administrativas de manera autónoma e independiente, como responsables de sus procedimientos contractuales, conforme las disposiciones que rigen la contratación estatal, así como las exigencias contenidas en los documentos </w:t>
      </w:r>
      <w:r w:rsidR="009D0D75" w:rsidRPr="004930D7">
        <w:rPr>
          <w:rFonts w:ascii="Arial" w:eastAsia="Calibri" w:hAnsi="Arial" w:cs="Arial"/>
          <w:sz w:val="22"/>
        </w:rPr>
        <w:t>del proceso</w:t>
      </w:r>
      <w:r w:rsidRPr="004930D7">
        <w:rPr>
          <w:rFonts w:ascii="Arial" w:eastAsia="Calibri" w:hAnsi="Arial" w:cs="Arial"/>
          <w:sz w:val="22"/>
        </w:rPr>
        <w:t xml:space="preserve">, </w:t>
      </w:r>
      <w:r w:rsidR="009D0D75" w:rsidRPr="004930D7">
        <w:rPr>
          <w:rFonts w:ascii="Arial" w:eastAsia="Calibri" w:hAnsi="Arial" w:cs="Arial"/>
          <w:sz w:val="22"/>
        </w:rPr>
        <w:t>evaluar las ofertas presentadas en sus procedimientos de selección</w:t>
      </w:r>
      <w:r w:rsidRPr="004930D7">
        <w:rPr>
          <w:rFonts w:ascii="Arial" w:eastAsia="Calibri" w:hAnsi="Arial" w:cs="Arial"/>
          <w:sz w:val="22"/>
        </w:rPr>
        <w:t xml:space="preserve">. En virtud de lo anterior, le corresponde </w:t>
      </w:r>
      <w:r w:rsidR="009D0D75" w:rsidRPr="004930D7">
        <w:rPr>
          <w:rFonts w:ascii="Arial" w:eastAsia="Calibri" w:hAnsi="Arial" w:cs="Arial"/>
          <w:sz w:val="22"/>
        </w:rPr>
        <w:t xml:space="preserve">a cada entidad estatal </w:t>
      </w:r>
      <w:r w:rsidRPr="004930D7">
        <w:rPr>
          <w:rFonts w:ascii="Arial" w:eastAsia="Calibri" w:hAnsi="Arial" w:cs="Arial"/>
          <w:sz w:val="22"/>
        </w:rPr>
        <w:lastRenderedPageBreak/>
        <w:t>decidir sobre la habilitación o rechazo de las propuestas presentadas por los proponentes en sus procesos de contratación, en situaciones como la enunciada.</w:t>
      </w:r>
    </w:p>
    <w:p w14:paraId="49F44254" w14:textId="7D776B57" w:rsidR="009C2C65" w:rsidRPr="004930D7" w:rsidRDefault="009C2C65" w:rsidP="00A945C1">
      <w:pPr>
        <w:spacing w:line="276" w:lineRule="auto"/>
        <w:jc w:val="both"/>
        <w:rPr>
          <w:rFonts w:ascii="Arial" w:eastAsia="Calibri" w:hAnsi="Arial" w:cs="Arial"/>
          <w:sz w:val="22"/>
        </w:rPr>
      </w:pPr>
    </w:p>
    <w:p w14:paraId="5ECA4799" w14:textId="77777777" w:rsidR="009C2C65" w:rsidRPr="004930D7" w:rsidRDefault="009C2C65" w:rsidP="00A945C1">
      <w:pPr>
        <w:spacing w:line="276" w:lineRule="auto"/>
        <w:jc w:val="both"/>
        <w:rPr>
          <w:rFonts w:ascii="Arial" w:eastAsia="Calibri" w:hAnsi="Arial" w:cs="Arial"/>
          <w:sz w:val="22"/>
        </w:rPr>
      </w:pPr>
    </w:p>
    <w:p w14:paraId="063FF8BF" w14:textId="77777777" w:rsidR="00506910" w:rsidRPr="004930D7" w:rsidRDefault="00506910" w:rsidP="00506910">
      <w:pPr>
        <w:spacing w:line="276" w:lineRule="auto"/>
        <w:jc w:val="both"/>
        <w:rPr>
          <w:rFonts w:ascii="Arial" w:hAnsi="Arial" w:cs="Arial"/>
          <w:noProof/>
          <w:color w:val="000000" w:themeColor="text1"/>
          <w:sz w:val="22"/>
          <w:lang w:val="es-ES_tradnl"/>
        </w:rPr>
      </w:pPr>
      <w:r w:rsidRPr="004930D7">
        <w:rPr>
          <w:rFonts w:ascii="Arial" w:hAnsi="Arial" w:cs="Arial"/>
          <w:noProof/>
          <w:color w:val="000000" w:themeColor="text1"/>
          <w:sz w:val="22"/>
          <w:lang w:val="es-ES_tradnl"/>
        </w:rPr>
        <w:t>Este concepto tiene el alcance previsto en el artículo 28 del Código de Procedimiento Administrativo y de lo Contencioso Administrativo.</w:t>
      </w:r>
    </w:p>
    <w:p w14:paraId="5F367820" w14:textId="77777777" w:rsidR="00506910" w:rsidRPr="004930D7" w:rsidRDefault="00506910" w:rsidP="00506910">
      <w:pPr>
        <w:spacing w:line="276" w:lineRule="auto"/>
        <w:jc w:val="both"/>
        <w:rPr>
          <w:rFonts w:ascii="Arial" w:hAnsi="Arial" w:cs="Arial"/>
          <w:noProof/>
          <w:color w:val="000000" w:themeColor="text1"/>
          <w:sz w:val="22"/>
          <w:lang w:val="es-ES_tradnl"/>
        </w:rPr>
      </w:pPr>
    </w:p>
    <w:p w14:paraId="47AB3B11" w14:textId="77777777" w:rsidR="00506910" w:rsidRPr="004930D7" w:rsidRDefault="00506910" w:rsidP="00506910">
      <w:pPr>
        <w:spacing w:line="276" w:lineRule="auto"/>
        <w:jc w:val="both"/>
        <w:rPr>
          <w:rFonts w:ascii="Arial" w:hAnsi="Arial" w:cs="Arial"/>
          <w:noProof/>
          <w:color w:val="000000" w:themeColor="text1"/>
          <w:sz w:val="22"/>
          <w:lang w:val="es-ES_tradnl"/>
        </w:rPr>
      </w:pPr>
      <w:r w:rsidRPr="004930D7">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EF7FEEF" wp14:editId="3AFC0F9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E8F424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F05D40B" w14:textId="77777777" w:rsidR="00506910" w:rsidRPr="004930D7" w:rsidRDefault="00506910" w:rsidP="00506910">
      <w:pPr>
        <w:rPr>
          <w:rFonts w:ascii="Arial" w:eastAsia="Times New Roman" w:hAnsi="Arial" w:cs="Arial"/>
          <w:sz w:val="22"/>
          <w:lang w:val="es-CO" w:eastAsia="es-CO"/>
        </w:rPr>
      </w:pPr>
      <w:bookmarkStart w:id="11" w:name="_Hlk50986665"/>
      <w:bookmarkStart w:id="12" w:name="_Hlk55258198"/>
      <w:bookmarkStart w:id="13" w:name="_Hlk63048178"/>
      <w:r w:rsidRPr="004930D7">
        <w:rPr>
          <w:rFonts w:ascii="Arial" w:hAnsi="Arial" w:cs="Arial"/>
          <w:sz w:val="22"/>
          <w:lang w:eastAsia="es-CO"/>
        </w:rPr>
        <w:t>Atentamente,</w:t>
      </w:r>
    </w:p>
    <w:p w14:paraId="6DA46DCE" w14:textId="77777777" w:rsidR="00506910" w:rsidRPr="004930D7" w:rsidRDefault="00506910" w:rsidP="00506910">
      <w:pPr>
        <w:rPr>
          <w:rFonts w:ascii="Arial" w:hAnsi="Arial" w:cs="Arial"/>
          <w:sz w:val="22"/>
          <w:lang w:eastAsia="es-CO"/>
        </w:rPr>
      </w:pPr>
    </w:p>
    <w:p w14:paraId="5815606F" w14:textId="77777777" w:rsidR="00506910" w:rsidRPr="004930D7" w:rsidRDefault="00506910" w:rsidP="00506910">
      <w:pPr>
        <w:jc w:val="center"/>
        <w:rPr>
          <w:rFonts w:ascii="Arial" w:hAnsi="Arial" w:cs="Arial"/>
          <w:sz w:val="18"/>
          <w:szCs w:val="20"/>
          <w:lang w:eastAsia="es-CO"/>
        </w:rPr>
      </w:pPr>
      <w:r w:rsidRPr="004930D7">
        <w:rPr>
          <w:rFonts w:ascii="Arial" w:hAnsi="Arial" w:cs="Arial"/>
          <w:noProof/>
        </w:rPr>
        <w:drawing>
          <wp:inline distT="0" distB="0" distL="0" distR="0" wp14:anchorId="72EFA604" wp14:editId="6EC0D931">
            <wp:extent cx="2165350" cy="1331595"/>
            <wp:effectExtent l="0" t="0" r="635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5350" cy="1331595"/>
                    </a:xfrm>
                    <a:prstGeom prst="rect">
                      <a:avLst/>
                    </a:prstGeom>
                    <a:noFill/>
                    <a:ln>
                      <a:noFill/>
                    </a:ln>
                  </pic:spPr>
                </pic:pic>
              </a:graphicData>
            </a:graphic>
          </wp:inline>
        </w:drawing>
      </w:r>
    </w:p>
    <w:p w14:paraId="4721720B" w14:textId="77777777" w:rsidR="00506910" w:rsidRPr="004930D7" w:rsidRDefault="00506910" w:rsidP="00506910">
      <w:pPr>
        <w:jc w:val="center"/>
        <w:rPr>
          <w:rFonts w:ascii="Arial" w:hAnsi="Arial" w:cs="Arial"/>
          <w:sz w:val="18"/>
          <w:szCs w:val="20"/>
          <w:lang w:eastAsia="es-CO"/>
        </w:rPr>
      </w:pPr>
    </w:p>
    <w:p w14:paraId="6920E32A" w14:textId="77777777" w:rsidR="00506910" w:rsidRPr="004930D7" w:rsidRDefault="00506910" w:rsidP="00506910">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06910" w:rsidRPr="004930D7" w14:paraId="1A1D70A5" w14:textId="77777777" w:rsidTr="00BF1C6E">
        <w:trPr>
          <w:trHeight w:val="315"/>
        </w:trPr>
        <w:tc>
          <w:tcPr>
            <w:tcW w:w="488" w:type="dxa"/>
            <w:vAlign w:val="center"/>
            <w:hideMark/>
          </w:tcPr>
          <w:p w14:paraId="2DB7B3ED"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B7E53A0"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Ximena Ríos López</w:t>
            </w:r>
          </w:p>
          <w:p w14:paraId="2FFF31E4"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Gestor T1-11 de la Subdirección de Gestión Contractual</w:t>
            </w:r>
          </w:p>
          <w:p w14:paraId="6C29B4F8" w14:textId="1C4BB87E" w:rsidR="00A43BAE" w:rsidRPr="004930D7" w:rsidRDefault="00A43BAE" w:rsidP="00A43BAE">
            <w:pPr>
              <w:rPr>
                <w:rFonts w:ascii="Arial" w:hAnsi="Arial" w:cs="Arial"/>
                <w:sz w:val="16"/>
                <w:szCs w:val="16"/>
                <w:lang w:eastAsia="es-ES"/>
              </w:rPr>
            </w:pPr>
            <w:r w:rsidRPr="004930D7">
              <w:rPr>
                <w:rFonts w:ascii="Arial" w:hAnsi="Arial" w:cs="Arial"/>
                <w:sz w:val="16"/>
                <w:szCs w:val="16"/>
                <w:lang w:eastAsia="es-ES"/>
              </w:rPr>
              <w:t>Jessica Tatiana Carreño</w:t>
            </w:r>
          </w:p>
          <w:p w14:paraId="385B1ABC" w14:textId="3716A0CB" w:rsidR="00A43BAE" w:rsidRPr="004930D7" w:rsidRDefault="00A43BAE" w:rsidP="00A43BAE">
            <w:pPr>
              <w:rPr>
                <w:rFonts w:ascii="Arial" w:hAnsi="Arial" w:cs="Arial"/>
                <w:sz w:val="16"/>
                <w:szCs w:val="16"/>
                <w:lang w:eastAsia="es-ES"/>
              </w:rPr>
            </w:pPr>
            <w:r w:rsidRPr="004930D7">
              <w:rPr>
                <w:rFonts w:ascii="Arial" w:hAnsi="Arial" w:cs="Arial"/>
                <w:sz w:val="16"/>
                <w:szCs w:val="16"/>
                <w:lang w:eastAsia="es-ES"/>
              </w:rPr>
              <w:t>Contratista de la Subdirección de Información y Desarrollo Tecnológico</w:t>
            </w:r>
          </w:p>
        </w:tc>
      </w:tr>
      <w:tr w:rsidR="00506910" w:rsidRPr="004930D7" w14:paraId="14C8373F" w14:textId="77777777" w:rsidTr="00BF1C6E">
        <w:trPr>
          <w:trHeight w:val="330"/>
        </w:trPr>
        <w:tc>
          <w:tcPr>
            <w:tcW w:w="488" w:type="dxa"/>
            <w:vAlign w:val="center"/>
            <w:hideMark/>
          </w:tcPr>
          <w:p w14:paraId="76773551"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455A49" w14:textId="3F09B33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Sebastián Ramírez Grisales</w:t>
            </w:r>
          </w:p>
          <w:p w14:paraId="0C8E6D80"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Gestor T1-15 de la Subdirección de Gestión Contractual</w:t>
            </w:r>
          </w:p>
          <w:p w14:paraId="23241411" w14:textId="77777777" w:rsidR="00A43BAE" w:rsidRPr="004930D7" w:rsidRDefault="00A43BAE" w:rsidP="00BF1C6E">
            <w:pPr>
              <w:rPr>
                <w:rFonts w:ascii="Arial" w:hAnsi="Arial" w:cs="Arial"/>
                <w:sz w:val="16"/>
                <w:szCs w:val="16"/>
                <w:lang w:eastAsia="es-ES"/>
              </w:rPr>
            </w:pPr>
            <w:r w:rsidRPr="004930D7">
              <w:rPr>
                <w:rFonts w:ascii="Arial" w:hAnsi="Arial" w:cs="Arial"/>
                <w:sz w:val="16"/>
                <w:szCs w:val="16"/>
                <w:lang w:eastAsia="es-ES"/>
              </w:rPr>
              <w:t>Felipe Ruiz</w:t>
            </w:r>
          </w:p>
          <w:p w14:paraId="3DA59815" w14:textId="6F705A3D" w:rsidR="00A43BAE" w:rsidRPr="004930D7" w:rsidRDefault="00A43BAE" w:rsidP="00BF1C6E">
            <w:pPr>
              <w:rPr>
                <w:rFonts w:ascii="Arial" w:hAnsi="Arial" w:cs="Arial"/>
                <w:sz w:val="16"/>
                <w:szCs w:val="16"/>
                <w:lang w:eastAsia="es-ES"/>
              </w:rPr>
            </w:pPr>
            <w:r w:rsidRPr="004930D7">
              <w:rPr>
                <w:rFonts w:ascii="Arial" w:hAnsi="Arial" w:cs="Arial"/>
                <w:sz w:val="16"/>
                <w:szCs w:val="16"/>
                <w:lang w:eastAsia="es-ES"/>
              </w:rPr>
              <w:t>Gestor T1-15 de la Subdirección de Información y Desarrollo Tecnológico</w:t>
            </w:r>
          </w:p>
        </w:tc>
      </w:tr>
      <w:tr w:rsidR="00506910" w:rsidRPr="004930D7" w14:paraId="7D38598E" w14:textId="77777777" w:rsidTr="00BF1C6E">
        <w:trPr>
          <w:trHeight w:val="300"/>
        </w:trPr>
        <w:tc>
          <w:tcPr>
            <w:tcW w:w="488" w:type="dxa"/>
            <w:vAlign w:val="center"/>
            <w:hideMark/>
          </w:tcPr>
          <w:p w14:paraId="5FFC28A7"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B0746B"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Jorge Augusto Tirado Navarro</w:t>
            </w:r>
          </w:p>
          <w:p w14:paraId="776F2055"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Subdirector de Gestión Contractual</w:t>
            </w:r>
          </w:p>
        </w:tc>
      </w:tr>
      <w:tr w:rsidR="00506910" w:rsidRPr="00425B43" w14:paraId="6A4E9B6C" w14:textId="77777777" w:rsidTr="00BF1C6E">
        <w:trPr>
          <w:trHeight w:val="300"/>
        </w:trPr>
        <w:tc>
          <w:tcPr>
            <w:tcW w:w="488" w:type="dxa"/>
            <w:vAlign w:val="center"/>
            <w:hideMark/>
          </w:tcPr>
          <w:p w14:paraId="75D0A660"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8BB293" w14:textId="77777777" w:rsidR="00506910" w:rsidRPr="00425B43" w:rsidRDefault="00506910" w:rsidP="00BF1C6E">
            <w:pPr>
              <w:rPr>
                <w:rFonts w:ascii="Arial" w:hAnsi="Arial" w:cs="Arial"/>
                <w:sz w:val="16"/>
                <w:szCs w:val="16"/>
                <w:lang w:eastAsia="es-ES"/>
              </w:rPr>
            </w:pPr>
            <w:r w:rsidRPr="004930D7">
              <w:rPr>
                <w:rFonts w:ascii="Arial" w:hAnsi="Arial" w:cs="Arial"/>
                <w:sz w:val="16"/>
                <w:szCs w:val="16"/>
                <w:lang w:eastAsia="es-ES"/>
              </w:rPr>
              <w:t>0</w:t>
            </w:r>
          </w:p>
        </w:tc>
        <w:bookmarkEnd w:id="11"/>
      </w:tr>
      <w:bookmarkEnd w:id="12"/>
    </w:tbl>
    <w:p w14:paraId="64AD7F42" w14:textId="77777777" w:rsidR="00506910" w:rsidRPr="00425B43" w:rsidRDefault="00506910" w:rsidP="00506910">
      <w:pPr>
        <w:jc w:val="both"/>
        <w:rPr>
          <w:rFonts w:ascii="Arial" w:hAnsi="Arial" w:cs="Arial"/>
          <w:sz w:val="22"/>
        </w:rPr>
      </w:pPr>
    </w:p>
    <w:bookmarkEnd w:id="0"/>
    <w:bookmarkEnd w:id="13"/>
    <w:p w14:paraId="7EBF297E" w14:textId="77777777" w:rsidR="007B0854" w:rsidRPr="009A4A28" w:rsidRDefault="007B0854" w:rsidP="00436D70">
      <w:pPr>
        <w:pStyle w:val="Prrafodelista"/>
        <w:tabs>
          <w:tab w:val="left" w:pos="284"/>
        </w:tabs>
        <w:spacing w:line="276" w:lineRule="auto"/>
        <w:ind w:left="0"/>
        <w:jc w:val="both"/>
        <w:rPr>
          <w:rFonts w:ascii="Arial" w:eastAsia="Calibri" w:hAnsi="Arial" w:cs="Arial"/>
          <w:sz w:val="22"/>
        </w:rPr>
      </w:pPr>
    </w:p>
    <w:sectPr w:rsidR="007B0854" w:rsidRPr="009A4A28" w:rsidSect="005A79FE">
      <w:headerReference w:type="default" r:id="rId22"/>
      <w:footerReference w:type="default" r:id="rId2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0C0EC" w14:textId="77777777" w:rsidR="00DA5271" w:rsidRDefault="00DA5271">
      <w:r>
        <w:separator/>
      </w:r>
    </w:p>
  </w:endnote>
  <w:endnote w:type="continuationSeparator" w:id="0">
    <w:p w14:paraId="519332C4" w14:textId="77777777" w:rsidR="00DA5271" w:rsidRDefault="00DA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 w:name="Helvetica Neue">
    <w:altName w:val="Sylfaen"/>
    <w:panose1 w:val="00000000000000000000"/>
    <w:charset w:val="00"/>
    <w:family w:val="roman"/>
    <w:notTrueType/>
    <w:pitch w:val="default"/>
  </w:font>
  <w:font w:name="Arial Nova">
    <w:altName w:val="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174A59" w:rsidRDefault="00174A59" w:rsidP="007B0854">
    <w:pPr>
      <w:pStyle w:val="Sinespaciado"/>
      <w:jc w:val="center"/>
      <w:rPr>
        <w:rFonts w:ascii="Arial" w:hAnsi="Arial" w:cs="Arial"/>
        <w:sz w:val="18"/>
        <w:szCs w:val="18"/>
      </w:rPr>
    </w:pPr>
  </w:p>
  <w:p w14:paraId="312C4A14" w14:textId="1CC17C36" w:rsidR="00174A59" w:rsidRPr="005A79FE" w:rsidRDefault="00174A59"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74A59" w:rsidRDefault="00174A59"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174A59" w:rsidRPr="007B0854" w:rsidRDefault="00174A5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8BB98A" w14:textId="77777777" w:rsidR="00DA5271" w:rsidRDefault="00DA5271">
      <w:r>
        <w:separator/>
      </w:r>
    </w:p>
  </w:footnote>
  <w:footnote w:type="continuationSeparator" w:id="0">
    <w:p w14:paraId="1A805E80" w14:textId="77777777" w:rsidR="00DA5271" w:rsidRDefault="00DA5271">
      <w:r>
        <w:continuationSeparator/>
      </w:r>
    </w:p>
  </w:footnote>
  <w:footnote w:id="1">
    <w:p w14:paraId="34683C67"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Documento Base o Pliego Tipo, numeral 4.1.4 «La Entidad seleccionará el método de ponderación de la propuesta económica de acuerdo con las siguientes alternativas:</w:t>
      </w:r>
    </w:p>
    <w:p w14:paraId="1DE21243" w14:textId="77777777" w:rsidR="00174A59" w:rsidRPr="009A69E3" w:rsidRDefault="00174A59" w:rsidP="009A69E3">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174A59" w:rsidRPr="009A69E3" w14:paraId="25ACADC8" w14:textId="77777777" w:rsidTr="00BF1C6E">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04E35BD3" w14:textId="77777777" w:rsidR="00174A59" w:rsidRPr="009A69E3" w:rsidRDefault="00174A59" w:rsidP="009A69E3">
            <w:pPr>
              <w:jc w:val="both"/>
              <w:rPr>
                <w:rFonts w:ascii="Arial" w:hAnsi="Arial" w:cs="Arial"/>
                <w:b/>
                <w:bCs/>
                <w:color w:val="FFFFFF" w:themeColor="accent2"/>
                <w:sz w:val="19"/>
                <w:szCs w:val="19"/>
                <w:lang w:val="es-CO"/>
              </w:rPr>
            </w:pPr>
            <w:r w:rsidRPr="009A69E3">
              <w:rPr>
                <w:rFonts w:ascii="Arial" w:hAnsi="Arial" w:cs="Arial"/>
                <w:b/>
                <w:bCs/>
                <w:color w:val="FFFFFF" w:themeColor="accent2"/>
                <w:sz w:val="19"/>
                <w:szCs w:val="19"/>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21466C12" w14:textId="77777777" w:rsidR="00174A59" w:rsidRPr="009A69E3" w:rsidRDefault="00174A59" w:rsidP="009A69E3">
            <w:pPr>
              <w:jc w:val="both"/>
              <w:rPr>
                <w:rFonts w:ascii="Arial" w:hAnsi="Arial" w:cs="Arial"/>
                <w:b/>
                <w:bCs/>
                <w:color w:val="FFFFFF" w:themeColor="accent2"/>
                <w:sz w:val="19"/>
                <w:szCs w:val="19"/>
              </w:rPr>
            </w:pPr>
            <w:r w:rsidRPr="009A69E3">
              <w:rPr>
                <w:rFonts w:ascii="Arial" w:hAnsi="Arial" w:cs="Arial"/>
                <w:b/>
                <w:bCs/>
                <w:color w:val="FFFFFF" w:themeColor="accent2"/>
                <w:sz w:val="19"/>
                <w:szCs w:val="19"/>
              </w:rPr>
              <w:t>Método</w:t>
            </w:r>
          </w:p>
        </w:tc>
      </w:tr>
      <w:tr w:rsidR="00174A59" w:rsidRPr="009A69E3" w14:paraId="3038B5AA"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C9390D2"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7427A6D9"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Mediana con valor absoluto</w:t>
            </w:r>
          </w:p>
        </w:tc>
      </w:tr>
      <w:tr w:rsidR="00174A59" w:rsidRPr="009A69E3" w14:paraId="69FEFD2E"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0A9E04B7"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B279EAB"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 geométrica</w:t>
            </w:r>
          </w:p>
        </w:tc>
      </w:tr>
      <w:tr w:rsidR="00174A59" w:rsidRPr="009A69E3" w14:paraId="1B6A6460"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7643BFAD"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01D3441"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 aritmética baja</w:t>
            </w:r>
          </w:p>
        </w:tc>
      </w:tr>
      <w:tr w:rsidR="00174A59" w:rsidRPr="009A69E3" w14:paraId="487FC66A" w14:textId="77777777" w:rsidTr="00BF1C6E">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5B998AA5"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2C68B8A1"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Menor Valor</w:t>
            </w:r>
          </w:p>
        </w:tc>
      </w:tr>
    </w:tbl>
    <w:p w14:paraId="68EBA6C0" w14:textId="77777777" w:rsidR="00174A59" w:rsidRPr="009A69E3" w:rsidRDefault="00174A59" w:rsidP="009A69E3">
      <w:pPr>
        <w:pStyle w:val="Textonotapie"/>
        <w:jc w:val="both"/>
        <w:rPr>
          <w:rFonts w:ascii="Arial" w:hAnsi="Arial" w:cs="Arial"/>
          <w:sz w:val="19"/>
          <w:szCs w:val="19"/>
        </w:rPr>
      </w:pPr>
    </w:p>
    <w:p w14:paraId="3368F036" w14:textId="77777777" w:rsidR="00174A59" w:rsidRPr="009A69E3" w:rsidRDefault="00174A59" w:rsidP="009A69E3">
      <w:pPr>
        <w:pStyle w:val="Textonotapie"/>
        <w:jc w:val="both"/>
        <w:rPr>
          <w:rFonts w:ascii="Arial" w:hAnsi="Arial" w:cs="Arial"/>
          <w:sz w:val="19"/>
          <w:szCs w:val="19"/>
        </w:rPr>
      </w:pPr>
      <w:r w:rsidRPr="009A69E3">
        <w:rPr>
          <w:rFonts w:ascii="Arial" w:hAnsi="Arial" w:cs="Arial"/>
          <w:sz w:val="19"/>
          <w:szCs w:val="19"/>
        </w:rPr>
        <w:t xml:space="preserve"> »Para determinar el método de ponderación, la Entidad tomará los centavos de la Tasa de Cambio Representativa del Mercado (TRM), certificada por la Superintendencia Financiera de Colombia (en su sitio web: https://www.superfinanciera.gov.co/publicacion/60819)».</w:t>
      </w:r>
    </w:p>
    <w:p w14:paraId="5BD42700" w14:textId="77777777" w:rsidR="00174A59" w:rsidRPr="009A69E3" w:rsidRDefault="00174A59" w:rsidP="009A69E3">
      <w:pPr>
        <w:pStyle w:val="Textonotapie"/>
        <w:jc w:val="both"/>
        <w:rPr>
          <w:rFonts w:ascii="Arial" w:hAnsi="Arial" w:cs="Arial"/>
          <w:sz w:val="19"/>
          <w:szCs w:val="19"/>
        </w:rPr>
      </w:pPr>
    </w:p>
  </w:footnote>
  <w:footnote w:id="2">
    <w:p w14:paraId="77034265" w14:textId="77777777" w:rsidR="00174A59" w:rsidRPr="009A69E3" w:rsidRDefault="00174A59" w:rsidP="009A69E3">
      <w:pPr>
        <w:pStyle w:val="Textonotapie"/>
        <w:ind w:firstLine="709"/>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w:t>
      </w:r>
      <w:r w:rsidRPr="009A69E3">
        <w:rPr>
          <w:rFonts w:ascii="Arial" w:hAnsi="Arial" w:cs="Arial"/>
          <w:i/>
          <w:iCs/>
          <w:sz w:val="19"/>
          <w:szCs w:val="19"/>
        </w:rPr>
        <w:t xml:space="preserve">De conformidad con los términos y condiciones de uso del SECOP II que podrá consultar accediendo al siguiente enlace: </w:t>
      </w:r>
      <w:hyperlink r:id="rId1" w:history="1">
        <w:r w:rsidRPr="009A69E3">
          <w:rPr>
            <w:rFonts w:ascii="Arial" w:hAnsi="Arial" w:cs="Arial"/>
            <w:i/>
            <w:iCs/>
            <w:sz w:val="19"/>
            <w:szCs w:val="19"/>
          </w:rPr>
          <w:t>https://www.colombiacompra.gov.co/secop/terminos-y-condiciones</w:t>
        </w:r>
      </w:hyperlink>
      <w:r w:rsidRPr="009A69E3">
        <w:rPr>
          <w:rFonts w:ascii="Arial" w:hAnsi="Arial" w:cs="Arial"/>
          <w:i/>
          <w:iCs/>
          <w:sz w:val="19"/>
          <w:szCs w:val="19"/>
        </w:rPr>
        <w:t>:</w:t>
      </w:r>
      <w:r w:rsidRPr="009A69E3">
        <w:rPr>
          <w:rFonts w:ascii="Arial" w:hAnsi="Arial" w:cs="Arial"/>
          <w:sz w:val="19"/>
          <w:szCs w:val="19"/>
        </w:rPr>
        <w:t xml:space="preserve"> </w:t>
      </w:r>
    </w:p>
    <w:p w14:paraId="53171028" w14:textId="77777777" w:rsidR="00174A59" w:rsidRPr="009A69E3" w:rsidRDefault="00174A59" w:rsidP="009A69E3">
      <w:pPr>
        <w:pStyle w:val="Textonotapie"/>
        <w:jc w:val="both"/>
        <w:rPr>
          <w:rFonts w:ascii="Arial" w:hAnsi="Arial" w:cs="Arial"/>
          <w:i/>
          <w:iCs/>
          <w:sz w:val="19"/>
          <w:szCs w:val="19"/>
        </w:rPr>
      </w:pPr>
      <w:r w:rsidRPr="009A69E3">
        <w:rPr>
          <w:rFonts w:ascii="Arial" w:hAnsi="Arial" w:cs="Arial"/>
          <w:i/>
          <w:iCs/>
          <w:sz w:val="19"/>
          <w:szCs w:val="19"/>
        </w:rPr>
        <w:t>“</w:t>
      </w:r>
      <w:r w:rsidRPr="009A69E3">
        <w:rPr>
          <w:rFonts w:ascii="Arial" w:hAnsi="Arial" w:cs="Arial"/>
          <w:b/>
          <w:bCs/>
          <w:i/>
          <w:iCs/>
          <w:sz w:val="19"/>
          <w:szCs w:val="19"/>
        </w:rPr>
        <w:t>5.     Disponibilidad y Acceso al Servicio</w:t>
      </w:r>
    </w:p>
    <w:p w14:paraId="36D3A4ED" w14:textId="77777777" w:rsidR="00174A59" w:rsidRPr="009A69E3" w:rsidRDefault="00174A59" w:rsidP="009A69E3">
      <w:pPr>
        <w:pStyle w:val="Textonotapie"/>
        <w:jc w:val="both"/>
        <w:rPr>
          <w:rFonts w:ascii="Arial" w:hAnsi="Arial" w:cs="Arial"/>
          <w:i/>
          <w:iCs/>
          <w:sz w:val="19"/>
          <w:szCs w:val="19"/>
        </w:rPr>
      </w:pPr>
      <w:r w:rsidRPr="009A69E3">
        <w:rPr>
          <w:rFonts w:ascii="Arial" w:hAnsi="Arial" w:cs="Arial"/>
          <w:i/>
          <w:iCs/>
          <w:sz w:val="19"/>
          <w:szCs w:val="19"/>
        </w:rPr>
        <w:t>(b)    Las fallas en SECOP II permiten el uso de manera inmediata del Protocolo de Fallas Generales y Específicas disponible</w:t>
      </w:r>
      <w:r w:rsidRPr="009A69E3">
        <w:rPr>
          <w:rFonts w:ascii="Arial" w:hAnsi="Arial" w:cs="Arial"/>
          <w:i/>
          <w:iCs/>
          <w:sz w:val="19"/>
          <w:szCs w:val="19"/>
        </w:rPr>
        <w:tab/>
        <w:t xml:space="preserve">  </w:t>
      </w:r>
      <w:hyperlink r:id="rId2" w:history="1">
        <w:r w:rsidRPr="009A69E3">
          <w:rPr>
            <w:rFonts w:ascii="Arial" w:hAnsi="Arial" w:cs="Arial"/>
            <w:i/>
            <w:iCs/>
            <w:sz w:val="19"/>
            <w:szCs w:val="19"/>
          </w:rPr>
          <w:t>https://www.colombiacompra.gov.co/sites/cce_public/files/cce_documentos/guia_indisponibilidad_secopii.pdf</w:t>
        </w:r>
      </w:hyperlink>
      <w:r w:rsidRPr="009A69E3">
        <w:rPr>
          <w:rFonts w:ascii="Arial" w:hAnsi="Arial" w:cs="Arial"/>
          <w:i/>
          <w:iCs/>
          <w:sz w:val="19"/>
          <w:szCs w:val="19"/>
        </w:rPr>
        <w:t xml:space="preserve"> </w:t>
      </w:r>
    </w:p>
    <w:p w14:paraId="706ADC21" w14:textId="77777777" w:rsidR="00174A59" w:rsidRPr="009A69E3" w:rsidRDefault="00174A59" w:rsidP="009A69E3">
      <w:pPr>
        <w:pStyle w:val="Textonotapie"/>
        <w:jc w:val="both"/>
        <w:rPr>
          <w:rFonts w:ascii="Arial" w:hAnsi="Arial" w:cs="Arial"/>
          <w:b/>
          <w:bCs/>
          <w:i/>
          <w:iCs/>
          <w:sz w:val="19"/>
          <w:szCs w:val="19"/>
        </w:rPr>
      </w:pPr>
      <w:r w:rsidRPr="009A69E3">
        <w:rPr>
          <w:rFonts w:ascii="Arial" w:hAnsi="Arial" w:cs="Arial"/>
          <w:b/>
          <w:bCs/>
          <w:i/>
          <w:iCs/>
          <w:sz w:val="19"/>
          <w:szCs w:val="19"/>
        </w:rPr>
        <w:t>8.      Condiciones de uso del SECOP II</w:t>
      </w:r>
    </w:p>
    <w:p w14:paraId="4E8BDB7E" w14:textId="77777777" w:rsidR="00174A59" w:rsidRPr="009A69E3" w:rsidRDefault="00174A59" w:rsidP="009A69E3">
      <w:pPr>
        <w:pStyle w:val="Textonotapie"/>
        <w:jc w:val="both"/>
        <w:rPr>
          <w:rFonts w:ascii="Arial" w:hAnsi="Arial" w:cs="Arial"/>
          <w:sz w:val="19"/>
          <w:szCs w:val="19"/>
        </w:rPr>
      </w:pPr>
      <w:r w:rsidRPr="009A69E3">
        <w:rPr>
          <w:rFonts w:ascii="Arial" w:hAnsi="Arial" w:cs="Arial"/>
          <w:i/>
          <w:iCs/>
          <w:sz w:val="19"/>
          <w:szCs w:val="19"/>
        </w:rPr>
        <w:t xml:space="preserve">(l)     Los Usuarios aceptan y deben aplicar los protocolos, lineamientos y procedimientos descritos en el Minisitio de SECOP II https://www.colombiacompra.gov.co/secop-ii, incluidos manuales, conceptos y guías de uso, cualquier actuación que contradiga lo establecido en estos es responsabilidad exclusiva de los Usuarios.”  </w:t>
      </w:r>
    </w:p>
  </w:footnote>
  <w:footnote w:id="3">
    <w:p w14:paraId="66705434" w14:textId="77777777" w:rsidR="00174A59" w:rsidRPr="009A69E3" w:rsidRDefault="00174A59" w:rsidP="009A69E3">
      <w:pPr>
        <w:pStyle w:val="Textonotapie"/>
        <w:ind w:firstLine="708"/>
        <w:jc w:val="both"/>
        <w:rPr>
          <w:rFonts w:ascii="Arial" w:hAnsi="Arial" w:cs="Arial"/>
          <w:sz w:val="19"/>
          <w:szCs w:val="19"/>
          <w:lang w:val="es-ES"/>
        </w:rPr>
      </w:pPr>
      <w:r w:rsidRPr="009A69E3">
        <w:rPr>
          <w:rStyle w:val="Refdenotaalpie"/>
          <w:rFonts w:ascii="Arial" w:hAnsi="Arial" w:cs="Arial"/>
          <w:sz w:val="19"/>
          <w:szCs w:val="19"/>
        </w:rPr>
        <w:footnoteRef/>
      </w:r>
      <w:r w:rsidRPr="009A69E3">
        <w:rPr>
          <w:rFonts w:ascii="Arial" w:hAnsi="Arial" w:cs="Arial"/>
          <w:sz w:val="19"/>
          <w:szCs w:val="19"/>
        </w:rPr>
        <w:t xml:space="preserve"> </w:t>
      </w:r>
      <w:r w:rsidRPr="009A69E3">
        <w:rPr>
          <w:rFonts w:ascii="Arial" w:hAnsi="Arial" w:cs="Arial"/>
          <w:sz w:val="19"/>
          <w:szCs w:val="19"/>
          <w:lang w:val="es-ES"/>
        </w:rPr>
        <w:t xml:space="preserve">«Artículo 3°. Funciones. La Agencia Nacional de Contratación Pública –Colombia Compra Eficiente– ejercerá las siguientes funciones: </w:t>
      </w:r>
    </w:p>
    <w:p w14:paraId="7E5B2A26" w14:textId="77777777" w:rsidR="00174A59" w:rsidRPr="009A69E3" w:rsidRDefault="00174A59" w:rsidP="009A69E3">
      <w:pPr>
        <w:pStyle w:val="Textonotapie"/>
        <w:ind w:firstLine="708"/>
        <w:jc w:val="both"/>
        <w:rPr>
          <w:rFonts w:ascii="Arial" w:hAnsi="Arial" w:cs="Arial"/>
          <w:sz w:val="19"/>
          <w:szCs w:val="19"/>
          <w:lang w:val="es-ES"/>
        </w:rPr>
      </w:pPr>
      <w:r w:rsidRPr="009A69E3">
        <w:rPr>
          <w:rFonts w:ascii="Arial" w:hAnsi="Arial" w:cs="Arial"/>
          <w:sz w:val="19"/>
          <w:szCs w:val="19"/>
          <w:lang w:val="es-ES"/>
        </w:rPr>
        <w:t xml:space="preserve">» [...] </w:t>
      </w:r>
    </w:p>
    <w:p w14:paraId="0A6CFD27" w14:textId="77777777" w:rsidR="00174A59" w:rsidRPr="009A69E3" w:rsidRDefault="00174A59" w:rsidP="009A69E3">
      <w:pPr>
        <w:pStyle w:val="Textonotapie"/>
        <w:ind w:firstLine="708"/>
        <w:jc w:val="both"/>
        <w:rPr>
          <w:rFonts w:ascii="Arial" w:hAnsi="Arial" w:cs="Arial"/>
          <w:sz w:val="19"/>
          <w:szCs w:val="19"/>
          <w:lang w:val="es-ES"/>
        </w:rPr>
      </w:pPr>
      <w:r w:rsidRPr="009A69E3">
        <w:rPr>
          <w:rFonts w:ascii="Arial" w:hAnsi="Arial" w:cs="Arial"/>
          <w:sz w:val="19"/>
          <w:szCs w:val="19"/>
          <w:lang w:val="es-ES"/>
        </w:rPr>
        <w:t>» 5. Absolver consultas sobre la aplicación de normas de carácter general y expedir circulares externas en materia de compras y contratación pública».</w:t>
      </w:r>
    </w:p>
    <w:p w14:paraId="123872B3" w14:textId="77777777" w:rsidR="00174A59" w:rsidRPr="009A69E3" w:rsidRDefault="00174A59" w:rsidP="009A69E3">
      <w:pPr>
        <w:pStyle w:val="Textonotapie"/>
        <w:ind w:firstLine="708"/>
        <w:jc w:val="both"/>
        <w:rPr>
          <w:rFonts w:ascii="Arial" w:hAnsi="Arial" w:cs="Arial"/>
          <w:sz w:val="19"/>
          <w:szCs w:val="19"/>
          <w:lang w:val="es-ES"/>
        </w:rPr>
      </w:pPr>
      <w:r w:rsidRPr="009A69E3">
        <w:rPr>
          <w:rFonts w:ascii="Arial" w:hAnsi="Arial" w:cs="Arial"/>
          <w:sz w:val="19"/>
          <w:szCs w:val="19"/>
          <w:lang w:val="es-ES"/>
        </w:rPr>
        <w:t xml:space="preserve">» Artículo 13. Subdirección de Información y Desarrollo Tecnológico. Son funciones de la Subdirección de Información y Desarrollo Tecnológico las siguientes: </w:t>
      </w:r>
    </w:p>
    <w:p w14:paraId="1A94F2FA" w14:textId="77777777" w:rsidR="00174A59" w:rsidRPr="009A69E3" w:rsidRDefault="00174A59" w:rsidP="009A69E3">
      <w:pPr>
        <w:pStyle w:val="Textonotapie"/>
        <w:ind w:firstLine="708"/>
        <w:jc w:val="both"/>
        <w:rPr>
          <w:rFonts w:ascii="Arial" w:hAnsi="Arial" w:cs="Arial"/>
          <w:sz w:val="19"/>
          <w:szCs w:val="19"/>
          <w:lang w:val="es-ES"/>
        </w:rPr>
      </w:pPr>
      <w:r w:rsidRPr="009A69E3">
        <w:rPr>
          <w:rFonts w:ascii="Arial" w:hAnsi="Arial" w:cs="Arial"/>
          <w:sz w:val="19"/>
          <w:szCs w:val="19"/>
          <w:lang w:val="es-ES"/>
        </w:rPr>
        <w:t xml:space="preserve">»[...] </w:t>
      </w:r>
    </w:p>
    <w:p w14:paraId="5F3A3244" w14:textId="77777777" w:rsidR="00174A59" w:rsidRPr="009A69E3" w:rsidRDefault="00174A59" w:rsidP="009A69E3">
      <w:pPr>
        <w:pStyle w:val="Textonotapie"/>
        <w:ind w:firstLine="708"/>
        <w:jc w:val="both"/>
        <w:rPr>
          <w:rFonts w:ascii="Arial" w:hAnsi="Arial" w:cs="Arial"/>
          <w:sz w:val="19"/>
          <w:szCs w:val="19"/>
          <w:lang w:val="es-ES"/>
        </w:rPr>
      </w:pPr>
      <w:r w:rsidRPr="009A69E3">
        <w:rPr>
          <w:rFonts w:ascii="Arial" w:eastAsia="Times New Roman" w:hAnsi="Arial" w:cs="Arial"/>
          <w:sz w:val="19"/>
          <w:szCs w:val="19"/>
          <w:lang w:eastAsia="es-ES_tradnl"/>
        </w:rPr>
        <w:t>»</w:t>
      </w:r>
      <w:r w:rsidRPr="009A69E3">
        <w:rPr>
          <w:rFonts w:ascii="Arial" w:hAnsi="Arial" w:cs="Arial"/>
          <w:sz w:val="19"/>
          <w:szCs w:val="19"/>
        </w:rPr>
        <w:t xml:space="preserve"> </w:t>
      </w:r>
      <w:r w:rsidRPr="009A69E3">
        <w:rPr>
          <w:rFonts w:ascii="Arial" w:hAnsi="Arial" w:cs="Arial"/>
          <w:sz w:val="19"/>
          <w:szCs w:val="19"/>
          <w:lang w:val="es-ES"/>
        </w:rPr>
        <w:t xml:space="preserve">4. Absolver consultas de carácter general sobre asuntos de competencia de la dependencia.». </w:t>
      </w:r>
    </w:p>
    <w:p w14:paraId="56A7458D" w14:textId="77777777" w:rsidR="00174A59" w:rsidRPr="009A69E3" w:rsidRDefault="00174A59" w:rsidP="009A69E3">
      <w:pPr>
        <w:pStyle w:val="Textonotapie"/>
        <w:ind w:firstLine="708"/>
        <w:jc w:val="both"/>
        <w:rPr>
          <w:rFonts w:ascii="Arial" w:eastAsia="Calibri" w:hAnsi="Arial" w:cs="Arial"/>
          <w:sz w:val="19"/>
          <w:szCs w:val="19"/>
        </w:rPr>
      </w:pPr>
    </w:p>
    <w:p w14:paraId="6A240CCF" w14:textId="77777777" w:rsidR="00174A59" w:rsidRPr="009A69E3" w:rsidRDefault="00174A59" w:rsidP="009A69E3">
      <w:pPr>
        <w:pStyle w:val="Textonotapie"/>
        <w:ind w:firstLine="708"/>
        <w:jc w:val="both"/>
        <w:rPr>
          <w:rFonts w:ascii="Arial" w:hAnsi="Arial" w:cs="Arial"/>
          <w:sz w:val="19"/>
          <w:szCs w:val="19"/>
        </w:rPr>
      </w:pPr>
    </w:p>
  </w:footnote>
  <w:footnote w:id="4">
    <w:p w14:paraId="040C5232" w14:textId="77777777" w:rsidR="00174A59" w:rsidRPr="009A69E3" w:rsidRDefault="00174A59" w:rsidP="009A69E3">
      <w:pPr>
        <w:pStyle w:val="Textonotapie"/>
        <w:ind w:firstLine="708"/>
        <w:jc w:val="both"/>
        <w:rPr>
          <w:rFonts w:ascii="Arial" w:hAnsi="Arial" w:cs="Arial"/>
          <w:sz w:val="19"/>
          <w:szCs w:val="19"/>
          <w:lang w:val="es-CO"/>
        </w:rPr>
      </w:pPr>
      <w:r w:rsidRPr="009A69E3">
        <w:rPr>
          <w:rStyle w:val="Refdenotaalpie"/>
          <w:rFonts w:ascii="Arial" w:hAnsi="Arial" w:cs="Arial"/>
          <w:sz w:val="19"/>
          <w:szCs w:val="19"/>
        </w:rPr>
        <w:footnoteRef/>
      </w:r>
      <w:r w:rsidRPr="009A69E3">
        <w:rPr>
          <w:rFonts w:ascii="Arial" w:hAnsi="Arial" w:cs="Arial"/>
          <w:sz w:val="19"/>
          <w:szCs w:val="19"/>
        </w:rPr>
        <w:t xml:space="preserve"> </w:t>
      </w:r>
      <w:r w:rsidRPr="009A69E3">
        <w:rPr>
          <w:rFonts w:ascii="Arial" w:hAnsi="Arial" w:cs="Arial"/>
          <w:sz w:val="19"/>
          <w:szCs w:val="19"/>
          <w:lang w:val="es-ES"/>
        </w:rPr>
        <w:t xml:space="preserve">Consejo de Estado. Sección Tercera. Sentencia del 24 de julio de 2013.  </w:t>
      </w:r>
      <w:r w:rsidRPr="009A69E3">
        <w:rPr>
          <w:rFonts w:ascii="Arial" w:hAnsi="Arial" w:cs="Arial"/>
          <w:sz w:val="19"/>
          <w:szCs w:val="19"/>
          <w:lang w:val="es-ES"/>
        </w:rPr>
        <w:t>Exp. 25.642. C.P. Enrique Gil Botero.</w:t>
      </w:r>
    </w:p>
  </w:footnote>
  <w:footnote w:id="5">
    <w:p w14:paraId="36B05DF2"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Consejo de Estado. Sección Tercera. Sentencia del 4 de junio de 2008. </w:t>
      </w:r>
      <w:r w:rsidRPr="009A69E3">
        <w:rPr>
          <w:rFonts w:ascii="Arial" w:hAnsi="Arial" w:cs="Arial"/>
          <w:sz w:val="19"/>
          <w:szCs w:val="19"/>
        </w:rPr>
        <w:t>Exp. No. 17.783. C.P. Myriam Guerrero de Escobar.</w:t>
      </w:r>
    </w:p>
    <w:p w14:paraId="2710E99A" w14:textId="77777777" w:rsidR="00174A59" w:rsidRPr="009A69E3" w:rsidRDefault="00174A59" w:rsidP="009A69E3">
      <w:pPr>
        <w:pStyle w:val="Textonotapie"/>
        <w:ind w:firstLine="708"/>
        <w:jc w:val="both"/>
        <w:rPr>
          <w:rFonts w:ascii="Arial" w:hAnsi="Arial" w:cs="Arial"/>
          <w:sz w:val="19"/>
          <w:szCs w:val="19"/>
          <w:lang w:val="es-ES"/>
        </w:rPr>
      </w:pPr>
    </w:p>
  </w:footnote>
  <w:footnote w:id="6">
    <w:p w14:paraId="4EDE86DF" w14:textId="77777777" w:rsidR="00174A59" w:rsidRPr="009A69E3" w:rsidRDefault="00174A59" w:rsidP="009A69E3">
      <w:pPr>
        <w:pStyle w:val="Textonotapie"/>
        <w:ind w:firstLine="708"/>
        <w:jc w:val="both"/>
        <w:rPr>
          <w:rFonts w:ascii="Arial" w:eastAsia="Times New Roman" w:hAnsi="Arial" w:cs="Arial"/>
          <w:sz w:val="19"/>
          <w:szCs w:val="19"/>
          <w:lang w:val="es-CO"/>
        </w:rPr>
      </w:pPr>
      <w:r w:rsidRPr="009A69E3">
        <w:rPr>
          <w:rStyle w:val="Refdenotaalpie"/>
          <w:rFonts w:ascii="Arial" w:hAnsi="Arial" w:cs="Arial"/>
          <w:sz w:val="19"/>
          <w:szCs w:val="19"/>
        </w:rPr>
        <w:footnoteRef/>
      </w:r>
      <w:r w:rsidRPr="009A69E3">
        <w:rPr>
          <w:rFonts w:ascii="Arial" w:hAnsi="Arial" w:cs="Arial"/>
          <w:sz w:val="19"/>
          <w:szCs w:val="19"/>
        </w:rPr>
        <w:t xml:space="preserve"> </w:t>
      </w:r>
      <w:r w:rsidRPr="009A69E3">
        <w:rPr>
          <w:rFonts w:ascii="Arial" w:eastAsia="Times New Roman" w:hAnsi="Arial" w:cs="Arial"/>
          <w:sz w:val="19"/>
          <w:szCs w:val="19"/>
          <w:lang w:val="es-CO"/>
        </w:rPr>
        <w:t>Ley 80 de 1993: «Artículo 26. Del Principio de Responsabilidad. En virtud de este principio:</w:t>
      </w:r>
    </w:p>
    <w:p w14:paraId="49E8EF41" w14:textId="77777777" w:rsidR="00174A59" w:rsidRPr="009A69E3" w:rsidRDefault="00174A59" w:rsidP="009A69E3">
      <w:pPr>
        <w:pStyle w:val="Textonotapie"/>
        <w:jc w:val="both"/>
        <w:rPr>
          <w:rFonts w:ascii="Arial" w:eastAsia="Times New Roman" w:hAnsi="Arial" w:cs="Arial"/>
          <w:sz w:val="19"/>
          <w:szCs w:val="19"/>
          <w:lang w:val="es-CO"/>
        </w:rPr>
      </w:pPr>
      <w:r w:rsidRPr="009A69E3">
        <w:rPr>
          <w:rFonts w:ascii="Arial" w:eastAsia="Times New Roman" w:hAnsi="Arial" w:cs="Arial"/>
          <w:sz w:val="19"/>
          <w:szCs w:val="19"/>
          <w:lang w:val="es-CO"/>
        </w:rPr>
        <w:tab/>
        <w:t>»[…]</w:t>
      </w:r>
    </w:p>
    <w:p w14:paraId="082F6D14" w14:textId="77777777" w:rsidR="00174A59" w:rsidRPr="009A69E3" w:rsidRDefault="00174A59" w:rsidP="009A69E3">
      <w:pPr>
        <w:pStyle w:val="Textonotapie"/>
        <w:ind w:firstLine="708"/>
        <w:jc w:val="both"/>
        <w:rPr>
          <w:rFonts w:ascii="Arial" w:eastAsia="Times New Roman" w:hAnsi="Arial" w:cs="Arial"/>
          <w:sz w:val="19"/>
          <w:szCs w:val="19"/>
          <w:lang w:val="es-CO"/>
        </w:rPr>
      </w:pPr>
      <w:r w:rsidRPr="009A69E3">
        <w:rPr>
          <w:rFonts w:ascii="Arial" w:eastAsia="Times New Roman" w:hAnsi="Arial" w:cs="Arial"/>
          <w:sz w:val="19"/>
          <w:szCs w:val="19"/>
          <w:lang w:val="es-CO"/>
        </w:rPr>
        <w:t>»6. Los contratistas responderán cuando formulen propuestas en las que se fijen condiciones económicas y de contratación artificialmente bajas con el propósito de obtener la adjudicación del contrato».</w:t>
      </w:r>
    </w:p>
    <w:p w14:paraId="1E78514A" w14:textId="77777777" w:rsidR="00174A59" w:rsidRPr="009A69E3" w:rsidRDefault="00174A59" w:rsidP="009A69E3">
      <w:pPr>
        <w:pStyle w:val="Textonotapie"/>
        <w:jc w:val="both"/>
        <w:rPr>
          <w:rFonts w:ascii="Arial" w:hAnsi="Arial" w:cs="Arial"/>
          <w:sz w:val="19"/>
          <w:szCs w:val="19"/>
          <w:lang w:val="es-CO"/>
        </w:rPr>
      </w:pPr>
    </w:p>
  </w:footnote>
  <w:footnote w:id="7">
    <w:p w14:paraId="08D34021"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1082 de 2015: </w:t>
      </w:r>
      <w:r w:rsidRPr="009A69E3">
        <w:rPr>
          <w:rFonts w:ascii="Arial" w:eastAsia="Times New Roman" w:hAnsi="Arial" w:cs="Arial"/>
          <w:sz w:val="19"/>
          <w:szCs w:val="19"/>
          <w:lang w:val="es-CO"/>
        </w:rPr>
        <w:t>«</w:t>
      </w:r>
      <w:r w:rsidRPr="009A69E3">
        <w:rPr>
          <w:rFonts w:ascii="Arial" w:hAnsi="Arial" w:cs="Arial"/>
          <w:sz w:val="19"/>
          <w:szCs w:val="19"/>
        </w:rPr>
        <w:t>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B4FE6F7" w14:textId="77777777" w:rsidR="00174A59" w:rsidRPr="009A69E3" w:rsidRDefault="00174A59" w:rsidP="009A69E3">
      <w:pPr>
        <w:pStyle w:val="Textonotapie"/>
        <w:ind w:firstLine="708"/>
        <w:jc w:val="both"/>
        <w:rPr>
          <w:rFonts w:ascii="Arial" w:hAnsi="Arial" w:cs="Arial"/>
          <w:sz w:val="19"/>
          <w:szCs w:val="19"/>
          <w:lang w:val="es-CO"/>
        </w:rPr>
      </w:pPr>
    </w:p>
  </w:footnote>
  <w:footnote w:id="8">
    <w:p w14:paraId="335C5551"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1082 de 2015: </w:t>
      </w:r>
      <w:r w:rsidRPr="009A69E3">
        <w:rPr>
          <w:rFonts w:ascii="Arial" w:eastAsia="Times New Roman" w:hAnsi="Arial" w:cs="Arial"/>
          <w:sz w:val="19"/>
          <w:szCs w:val="19"/>
          <w:lang w:val="es-CO"/>
        </w:rPr>
        <w:t>«</w:t>
      </w:r>
      <w:r w:rsidRPr="009A69E3">
        <w:rPr>
          <w:rFonts w:ascii="Arial" w:hAnsi="Arial" w:cs="Arial"/>
          <w:sz w:val="19"/>
          <w:szCs w:val="19"/>
        </w:rPr>
        <w:t>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7841D81E"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10CF2FC"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»En la subasta inversa esta disposición es aplicable sobre el precio obtenido al final de la misma».</w:t>
      </w:r>
    </w:p>
    <w:p w14:paraId="38D2593B" w14:textId="77777777" w:rsidR="00174A59" w:rsidRPr="009A69E3" w:rsidRDefault="00174A59" w:rsidP="009A69E3">
      <w:pPr>
        <w:pStyle w:val="Textonotapie"/>
        <w:ind w:firstLine="708"/>
        <w:jc w:val="both"/>
        <w:rPr>
          <w:rFonts w:ascii="Arial" w:hAnsi="Arial" w:cs="Arial"/>
          <w:sz w:val="19"/>
          <w:szCs w:val="19"/>
          <w:lang w:val="es-CO"/>
        </w:rPr>
      </w:pPr>
    </w:p>
  </w:footnote>
  <w:footnote w:id="9">
    <w:p w14:paraId="78B6024C"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1082 de 2015: </w:t>
      </w:r>
      <w:r w:rsidRPr="009A69E3">
        <w:rPr>
          <w:rFonts w:ascii="Arial" w:eastAsia="Times New Roman" w:hAnsi="Arial" w:cs="Arial"/>
          <w:sz w:val="19"/>
          <w:szCs w:val="19"/>
          <w:lang w:val="es-CO"/>
        </w:rPr>
        <w:t>«</w:t>
      </w:r>
      <w:r w:rsidRPr="009A69E3">
        <w:rPr>
          <w:rFonts w:ascii="Arial" w:hAnsi="Arial" w:cs="Arial"/>
          <w:sz w:val="19"/>
          <w:szCs w:val="19"/>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798323F4"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»Los miembros del comité evaluador están sujetos al régimen de inhabilidades e incompatibilidades y conflicto de interés previstos en la Constitución y la ley.</w:t>
      </w:r>
    </w:p>
    <w:p w14:paraId="37073BB5"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»La verificación y la evaluación de las ofertas para la mínima cuantía será adelantada por quien sea designado por el ordenador del gasto sin que se requiera un comité plural».</w:t>
      </w:r>
    </w:p>
    <w:p w14:paraId="2B8A502B" w14:textId="77777777" w:rsidR="00174A59" w:rsidRPr="009A69E3" w:rsidRDefault="00174A59" w:rsidP="009A69E3">
      <w:pPr>
        <w:pStyle w:val="Textonotapie"/>
        <w:ind w:firstLine="708"/>
        <w:jc w:val="both"/>
        <w:rPr>
          <w:rFonts w:ascii="Arial" w:hAnsi="Arial" w:cs="Arial"/>
          <w:sz w:val="19"/>
          <w:szCs w:val="19"/>
          <w:lang w:val="es-ES"/>
        </w:rPr>
      </w:pPr>
    </w:p>
  </w:footnote>
  <w:footnote w:id="10">
    <w:p w14:paraId="74324B0C"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4170 de 2011: «Artículo 2. Objetivo de la Agencia Nacional de Contratación Pública </w:t>
      </w:r>
      <w:r w:rsidRPr="009A69E3">
        <w:rPr>
          <w:rFonts w:ascii="Arial" w:hAnsi="Arial" w:cs="Arial"/>
          <w:sz w:val="19"/>
          <w:szCs w:val="19"/>
        </w:rPr>
        <w:softHyphen/>
        <w:t xml:space="preserve">Colombia Compra Eficiente-. La Agencia Nacional de Contratación Pública </w:t>
      </w:r>
      <w:r w:rsidRPr="009A69E3">
        <w:rPr>
          <w:rFonts w:ascii="Arial" w:hAnsi="Arial" w:cs="Arial"/>
          <w:sz w:val="19"/>
          <w:szCs w:val="19"/>
        </w:rPr>
        <w:softHyphen/>
        <w:t xml:space="preserve">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p>
    <w:p w14:paraId="48760BDC"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 xml:space="preserve">»Artículo 3. Funciones. La Agencia Nacional de Contratación Pública </w:t>
      </w:r>
      <w:r w:rsidRPr="009A69E3">
        <w:rPr>
          <w:rFonts w:ascii="Arial" w:hAnsi="Arial" w:cs="Arial"/>
          <w:sz w:val="19"/>
          <w:szCs w:val="19"/>
        </w:rPr>
        <w:softHyphen/>
        <w:t xml:space="preserve"> Colombia Compra Eficiente- ejercerá las siguientes funciones:</w:t>
      </w:r>
    </w:p>
    <w:p w14:paraId="73B1E48A"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»1. Proponer al Gobierno Nacional las políticas públicas, planes, programas y normas en materia de compras y contratación pública buscando la efectividad entre la oferta y la demanda en el mercado y criterios de racionalización normativa, con el fin de lograr una mayor eficiencia, transparencia y optimización de los recursos del Estado.</w:t>
      </w:r>
    </w:p>
    <w:p w14:paraId="0A997860"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»2.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p>
    <w:p w14:paraId="3CABA044" w14:textId="77777777" w:rsidR="00174A59" w:rsidRPr="009A69E3" w:rsidRDefault="00174A59" w:rsidP="009A69E3">
      <w:pPr>
        <w:pStyle w:val="Textonotapie"/>
        <w:ind w:firstLine="708"/>
        <w:jc w:val="both"/>
        <w:rPr>
          <w:rFonts w:ascii="Arial" w:hAnsi="Arial" w:cs="Arial"/>
          <w:sz w:val="19"/>
          <w:szCs w:val="19"/>
        </w:rPr>
      </w:pPr>
      <w:r w:rsidRPr="009A69E3">
        <w:rPr>
          <w:rFonts w:ascii="Arial" w:hAnsi="Arial" w:cs="Arial"/>
          <w:sz w:val="19"/>
          <w:szCs w:val="19"/>
        </w:rPr>
        <w:t>[...]».</w:t>
      </w:r>
    </w:p>
    <w:p w14:paraId="1F301CAF" w14:textId="77777777" w:rsidR="00174A59" w:rsidRPr="009A69E3" w:rsidRDefault="00174A59" w:rsidP="009A69E3">
      <w:pPr>
        <w:pStyle w:val="Textonotapie"/>
        <w:ind w:firstLine="708"/>
        <w:jc w:val="both"/>
        <w:rPr>
          <w:rFonts w:ascii="Arial" w:hAnsi="Arial" w:cs="Arial"/>
          <w:sz w:val="19"/>
          <w:szCs w:val="19"/>
          <w:lang w:val="es-ES"/>
        </w:rPr>
      </w:pPr>
    </w:p>
  </w:footnote>
  <w:footnote w:id="11">
    <w:p w14:paraId="13C92019" w14:textId="77777777" w:rsidR="00174A59" w:rsidRPr="009A69E3" w:rsidRDefault="00174A59" w:rsidP="009A69E3">
      <w:pPr>
        <w:pStyle w:val="Textonotapie"/>
        <w:ind w:firstLine="708"/>
        <w:jc w:val="both"/>
        <w:rPr>
          <w:rFonts w:ascii="Arial" w:hAnsi="Arial" w:cs="Arial"/>
          <w:sz w:val="19"/>
          <w:szCs w:val="19"/>
          <w:lang w:val="es-CO"/>
        </w:rPr>
      </w:pPr>
      <w:r w:rsidRPr="009A69E3">
        <w:rPr>
          <w:rStyle w:val="Refdenotaalpie"/>
          <w:rFonts w:ascii="Arial" w:hAnsi="Arial" w:cs="Arial"/>
          <w:sz w:val="19"/>
          <w:szCs w:val="19"/>
        </w:rPr>
        <w:footnoteRef/>
      </w:r>
      <w:r w:rsidRPr="009A69E3">
        <w:rPr>
          <w:rFonts w:ascii="Arial" w:hAnsi="Arial" w:cs="Arial"/>
          <w:sz w:val="19"/>
          <w:szCs w:val="19"/>
        </w:rPr>
        <w:t xml:space="preserve"> Colombia Compra Eficiente. Guía para el manejo de ofertas artificialmente bajas en Procesos de Contratación. p. 3.</w:t>
      </w:r>
    </w:p>
  </w:footnote>
  <w:footnote w:id="12">
    <w:p w14:paraId="25E10D3D" w14:textId="77777777" w:rsidR="00174A59" w:rsidRPr="009A69E3" w:rsidRDefault="00174A59" w:rsidP="009A69E3">
      <w:pPr>
        <w:pStyle w:val="Textonotapie"/>
        <w:jc w:val="both"/>
        <w:rPr>
          <w:rFonts w:ascii="Arial" w:hAnsi="Arial" w:cs="Arial"/>
          <w:sz w:val="19"/>
          <w:szCs w:val="19"/>
        </w:rPr>
      </w:pPr>
    </w:p>
    <w:p w14:paraId="45C5B2CE"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Ibidem. p. 3.</w:t>
      </w:r>
    </w:p>
    <w:p w14:paraId="4C6953EA" w14:textId="77777777" w:rsidR="00174A59" w:rsidRPr="009A69E3" w:rsidRDefault="00174A59" w:rsidP="009A69E3">
      <w:pPr>
        <w:pStyle w:val="Textonotapie"/>
        <w:ind w:firstLine="708"/>
        <w:jc w:val="both"/>
        <w:rPr>
          <w:rFonts w:ascii="Arial" w:hAnsi="Arial" w:cs="Arial"/>
          <w:sz w:val="19"/>
          <w:szCs w:val="19"/>
          <w:lang w:val="es-CO"/>
        </w:rPr>
      </w:pPr>
    </w:p>
  </w:footnote>
  <w:footnote w:id="13">
    <w:p w14:paraId="7FC511FE"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La mediana representa el valor de la variable en posición central para un conjunto de datos ordenados.</w:t>
      </w:r>
    </w:p>
    <w:p w14:paraId="4650433F" w14:textId="77777777" w:rsidR="00174A59" w:rsidRPr="009A69E3" w:rsidRDefault="00174A59" w:rsidP="009A69E3">
      <w:pPr>
        <w:pStyle w:val="Textonotapie"/>
        <w:ind w:firstLine="708"/>
        <w:jc w:val="both"/>
        <w:rPr>
          <w:rFonts w:ascii="Arial" w:hAnsi="Arial" w:cs="Arial"/>
          <w:sz w:val="19"/>
          <w:szCs w:val="19"/>
          <w:lang w:val="es-ES"/>
        </w:rPr>
      </w:pPr>
    </w:p>
  </w:footnote>
  <w:footnote w:id="14">
    <w:p w14:paraId="1030990A"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Colombia Compra Eficiente. Guía para el manejo de ofertas artificialmente bajas en Procesos de Contratación. p.5.</w:t>
      </w:r>
    </w:p>
    <w:p w14:paraId="336BBD3F" w14:textId="77777777" w:rsidR="00174A59" w:rsidRPr="009A69E3" w:rsidRDefault="00174A59" w:rsidP="009A69E3">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74A59" w:rsidRDefault="00174A59">
    <w:pPr>
      <w:pStyle w:val="Encabezado"/>
    </w:pPr>
  </w:p>
  <w:p w14:paraId="6A4C7F2C" w14:textId="7D093DBB" w:rsidR="00174A59" w:rsidRDefault="00174A59">
    <w:pPr>
      <w:pStyle w:val="Encabezado"/>
    </w:pPr>
  </w:p>
  <w:p w14:paraId="055F2E1F" w14:textId="0B935ADD" w:rsidR="00174A59" w:rsidRDefault="00174A59">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74A59" w:rsidRDefault="00174A59">
    <w:pPr>
      <w:pStyle w:val="Encabezado"/>
    </w:pPr>
  </w:p>
  <w:p w14:paraId="3D323BDB" w14:textId="04AF0DE6" w:rsidR="00174A59" w:rsidRDefault="00174A59">
    <w:pPr>
      <w:pStyle w:val="Encabezado"/>
    </w:pPr>
  </w:p>
  <w:p w14:paraId="6520770B" w14:textId="18EB07B5" w:rsidR="00174A59" w:rsidRDefault="00174A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1B3E61EF"/>
    <w:multiLevelType w:val="hybridMultilevel"/>
    <w:tmpl w:val="ACF26D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78AA"/>
    <w:rsid w:val="00007D5B"/>
    <w:rsid w:val="00010979"/>
    <w:rsid w:val="00013D7D"/>
    <w:rsid w:val="000231D8"/>
    <w:rsid w:val="00027ABA"/>
    <w:rsid w:val="0003179A"/>
    <w:rsid w:val="00035D12"/>
    <w:rsid w:val="00035FBD"/>
    <w:rsid w:val="00041ECC"/>
    <w:rsid w:val="0004309E"/>
    <w:rsid w:val="00051242"/>
    <w:rsid w:val="0005679A"/>
    <w:rsid w:val="00084247"/>
    <w:rsid w:val="00087C0E"/>
    <w:rsid w:val="000907B8"/>
    <w:rsid w:val="000942EB"/>
    <w:rsid w:val="00095DCC"/>
    <w:rsid w:val="000B103F"/>
    <w:rsid w:val="000D0DB2"/>
    <w:rsid w:val="000D27C4"/>
    <w:rsid w:val="000E0CC8"/>
    <w:rsid w:val="000E1447"/>
    <w:rsid w:val="000E4342"/>
    <w:rsid w:val="000F14E8"/>
    <w:rsid w:val="000F27E6"/>
    <w:rsid w:val="00103915"/>
    <w:rsid w:val="0010586E"/>
    <w:rsid w:val="00121C2D"/>
    <w:rsid w:val="00122B23"/>
    <w:rsid w:val="00122D9B"/>
    <w:rsid w:val="00123B36"/>
    <w:rsid w:val="00124FC1"/>
    <w:rsid w:val="00125630"/>
    <w:rsid w:val="00131F8A"/>
    <w:rsid w:val="001371EA"/>
    <w:rsid w:val="00137FFA"/>
    <w:rsid w:val="00142106"/>
    <w:rsid w:val="00145E82"/>
    <w:rsid w:val="0014613F"/>
    <w:rsid w:val="0014732B"/>
    <w:rsid w:val="00147429"/>
    <w:rsid w:val="0014743E"/>
    <w:rsid w:val="00163756"/>
    <w:rsid w:val="0017348D"/>
    <w:rsid w:val="001746D4"/>
    <w:rsid w:val="00174A59"/>
    <w:rsid w:val="00191D2F"/>
    <w:rsid w:val="00197327"/>
    <w:rsid w:val="0019793F"/>
    <w:rsid w:val="00197ADD"/>
    <w:rsid w:val="001A1007"/>
    <w:rsid w:val="001B1B5B"/>
    <w:rsid w:val="001B7014"/>
    <w:rsid w:val="001D20CD"/>
    <w:rsid w:val="001D3005"/>
    <w:rsid w:val="001E053F"/>
    <w:rsid w:val="001F0CBE"/>
    <w:rsid w:val="001F49CD"/>
    <w:rsid w:val="00201212"/>
    <w:rsid w:val="00211D02"/>
    <w:rsid w:val="00224412"/>
    <w:rsid w:val="00234B84"/>
    <w:rsid w:val="002351A0"/>
    <w:rsid w:val="0024086E"/>
    <w:rsid w:val="0025225C"/>
    <w:rsid w:val="00256ABA"/>
    <w:rsid w:val="00257BF2"/>
    <w:rsid w:val="002638A9"/>
    <w:rsid w:val="00267368"/>
    <w:rsid w:val="0027135A"/>
    <w:rsid w:val="00275CEE"/>
    <w:rsid w:val="002761E5"/>
    <w:rsid w:val="002811A1"/>
    <w:rsid w:val="002826C0"/>
    <w:rsid w:val="00285AF6"/>
    <w:rsid w:val="002909A5"/>
    <w:rsid w:val="002922FF"/>
    <w:rsid w:val="002A171C"/>
    <w:rsid w:val="002B637D"/>
    <w:rsid w:val="002C05C4"/>
    <w:rsid w:val="002C7489"/>
    <w:rsid w:val="002E1D5C"/>
    <w:rsid w:val="002F3515"/>
    <w:rsid w:val="003033BA"/>
    <w:rsid w:val="003132A3"/>
    <w:rsid w:val="003408FE"/>
    <w:rsid w:val="0034412E"/>
    <w:rsid w:val="00345843"/>
    <w:rsid w:val="00346338"/>
    <w:rsid w:val="0034680A"/>
    <w:rsid w:val="00352662"/>
    <w:rsid w:val="00354B90"/>
    <w:rsid w:val="003616B8"/>
    <w:rsid w:val="003620E1"/>
    <w:rsid w:val="00370953"/>
    <w:rsid w:val="003766A6"/>
    <w:rsid w:val="00376712"/>
    <w:rsid w:val="0037725F"/>
    <w:rsid w:val="00386456"/>
    <w:rsid w:val="00387C67"/>
    <w:rsid w:val="003927AA"/>
    <w:rsid w:val="003A0566"/>
    <w:rsid w:val="003A4C3D"/>
    <w:rsid w:val="003A581E"/>
    <w:rsid w:val="003B1A82"/>
    <w:rsid w:val="003C1847"/>
    <w:rsid w:val="003C2D98"/>
    <w:rsid w:val="003D30D3"/>
    <w:rsid w:val="003D5E96"/>
    <w:rsid w:val="003E0AB0"/>
    <w:rsid w:val="003F5217"/>
    <w:rsid w:val="004015A7"/>
    <w:rsid w:val="004071F5"/>
    <w:rsid w:val="0041235E"/>
    <w:rsid w:val="004213E6"/>
    <w:rsid w:val="00421516"/>
    <w:rsid w:val="004259FB"/>
    <w:rsid w:val="00436D70"/>
    <w:rsid w:val="004422D6"/>
    <w:rsid w:val="00451CB4"/>
    <w:rsid w:val="00460876"/>
    <w:rsid w:val="00464F10"/>
    <w:rsid w:val="00465C4A"/>
    <w:rsid w:val="00466FE8"/>
    <w:rsid w:val="00487CDF"/>
    <w:rsid w:val="00487D0D"/>
    <w:rsid w:val="004930D7"/>
    <w:rsid w:val="00494D08"/>
    <w:rsid w:val="004A34D2"/>
    <w:rsid w:val="004A5B4D"/>
    <w:rsid w:val="004B13B0"/>
    <w:rsid w:val="004F0B27"/>
    <w:rsid w:val="004F0E02"/>
    <w:rsid w:val="00505631"/>
    <w:rsid w:val="00506910"/>
    <w:rsid w:val="0051074C"/>
    <w:rsid w:val="00511F0A"/>
    <w:rsid w:val="00513AF2"/>
    <w:rsid w:val="00515142"/>
    <w:rsid w:val="00523D5F"/>
    <w:rsid w:val="0053204A"/>
    <w:rsid w:val="005342CA"/>
    <w:rsid w:val="00534EBC"/>
    <w:rsid w:val="0054413A"/>
    <w:rsid w:val="0054642B"/>
    <w:rsid w:val="00546D7B"/>
    <w:rsid w:val="00547FF4"/>
    <w:rsid w:val="005564CA"/>
    <w:rsid w:val="00561988"/>
    <w:rsid w:val="00562817"/>
    <w:rsid w:val="00564BBB"/>
    <w:rsid w:val="00566472"/>
    <w:rsid w:val="00567074"/>
    <w:rsid w:val="00577621"/>
    <w:rsid w:val="00581D70"/>
    <w:rsid w:val="00582551"/>
    <w:rsid w:val="005A2638"/>
    <w:rsid w:val="005A79FE"/>
    <w:rsid w:val="005C1EA6"/>
    <w:rsid w:val="005C59C8"/>
    <w:rsid w:val="005D46AC"/>
    <w:rsid w:val="005E1B99"/>
    <w:rsid w:val="005F11D1"/>
    <w:rsid w:val="005F1448"/>
    <w:rsid w:val="005F39A2"/>
    <w:rsid w:val="005F7DF1"/>
    <w:rsid w:val="00601044"/>
    <w:rsid w:val="006131E1"/>
    <w:rsid w:val="00627FA4"/>
    <w:rsid w:val="006374D2"/>
    <w:rsid w:val="00643AD2"/>
    <w:rsid w:val="006441DA"/>
    <w:rsid w:val="00644D10"/>
    <w:rsid w:val="00654542"/>
    <w:rsid w:val="00655371"/>
    <w:rsid w:val="006624FB"/>
    <w:rsid w:val="00664A94"/>
    <w:rsid w:val="006838BB"/>
    <w:rsid w:val="0069051D"/>
    <w:rsid w:val="006908F4"/>
    <w:rsid w:val="00691333"/>
    <w:rsid w:val="006918B3"/>
    <w:rsid w:val="00696FAD"/>
    <w:rsid w:val="00697665"/>
    <w:rsid w:val="006A1E97"/>
    <w:rsid w:val="006A2FAE"/>
    <w:rsid w:val="006A7FD0"/>
    <w:rsid w:val="006B0E9A"/>
    <w:rsid w:val="006B3BB5"/>
    <w:rsid w:val="006B6FCB"/>
    <w:rsid w:val="006B744B"/>
    <w:rsid w:val="006C73E7"/>
    <w:rsid w:val="006D0B81"/>
    <w:rsid w:val="006D3138"/>
    <w:rsid w:val="006D7687"/>
    <w:rsid w:val="006E0572"/>
    <w:rsid w:val="006E1ACE"/>
    <w:rsid w:val="006F48D3"/>
    <w:rsid w:val="006F6EB9"/>
    <w:rsid w:val="00700A94"/>
    <w:rsid w:val="00705631"/>
    <w:rsid w:val="00706DB7"/>
    <w:rsid w:val="00707240"/>
    <w:rsid w:val="007106DA"/>
    <w:rsid w:val="00712060"/>
    <w:rsid w:val="00724FA3"/>
    <w:rsid w:val="00725ECD"/>
    <w:rsid w:val="00727B05"/>
    <w:rsid w:val="007333D0"/>
    <w:rsid w:val="00742DD2"/>
    <w:rsid w:val="0074434B"/>
    <w:rsid w:val="00752701"/>
    <w:rsid w:val="0075647A"/>
    <w:rsid w:val="007634AD"/>
    <w:rsid w:val="0077157E"/>
    <w:rsid w:val="00776C38"/>
    <w:rsid w:val="00777245"/>
    <w:rsid w:val="0078122E"/>
    <w:rsid w:val="007865C2"/>
    <w:rsid w:val="00787D11"/>
    <w:rsid w:val="007976FB"/>
    <w:rsid w:val="007A1EA2"/>
    <w:rsid w:val="007A2272"/>
    <w:rsid w:val="007B0854"/>
    <w:rsid w:val="007B6449"/>
    <w:rsid w:val="007C1187"/>
    <w:rsid w:val="007C147D"/>
    <w:rsid w:val="007C7A5C"/>
    <w:rsid w:val="007D65CC"/>
    <w:rsid w:val="007E2F42"/>
    <w:rsid w:val="007E5045"/>
    <w:rsid w:val="007E689F"/>
    <w:rsid w:val="007E75DE"/>
    <w:rsid w:val="007F1DD3"/>
    <w:rsid w:val="007F390C"/>
    <w:rsid w:val="007F72CB"/>
    <w:rsid w:val="00803BE6"/>
    <w:rsid w:val="0080625A"/>
    <w:rsid w:val="008071A1"/>
    <w:rsid w:val="0080776D"/>
    <w:rsid w:val="00822915"/>
    <w:rsid w:val="008243F2"/>
    <w:rsid w:val="00830EF9"/>
    <w:rsid w:val="0083119B"/>
    <w:rsid w:val="008359B9"/>
    <w:rsid w:val="00836EAB"/>
    <w:rsid w:val="00841FF1"/>
    <w:rsid w:val="0085092D"/>
    <w:rsid w:val="008526AF"/>
    <w:rsid w:val="00860CDF"/>
    <w:rsid w:val="0088474C"/>
    <w:rsid w:val="008920F3"/>
    <w:rsid w:val="0089404F"/>
    <w:rsid w:val="00897943"/>
    <w:rsid w:val="008B1D94"/>
    <w:rsid w:val="008D193F"/>
    <w:rsid w:val="008D3E76"/>
    <w:rsid w:val="008D4672"/>
    <w:rsid w:val="008D7194"/>
    <w:rsid w:val="008E1C15"/>
    <w:rsid w:val="008E2994"/>
    <w:rsid w:val="008E5456"/>
    <w:rsid w:val="00901EC2"/>
    <w:rsid w:val="009047C5"/>
    <w:rsid w:val="00905E2D"/>
    <w:rsid w:val="0090615F"/>
    <w:rsid w:val="0090648B"/>
    <w:rsid w:val="009307A1"/>
    <w:rsid w:val="0093385A"/>
    <w:rsid w:val="00937E03"/>
    <w:rsid w:val="009403BC"/>
    <w:rsid w:val="00941B4B"/>
    <w:rsid w:val="009420E2"/>
    <w:rsid w:val="009461B4"/>
    <w:rsid w:val="00950379"/>
    <w:rsid w:val="0095385A"/>
    <w:rsid w:val="00960E34"/>
    <w:rsid w:val="00963569"/>
    <w:rsid w:val="00963784"/>
    <w:rsid w:val="00967AFB"/>
    <w:rsid w:val="00970E87"/>
    <w:rsid w:val="00977F75"/>
    <w:rsid w:val="00983578"/>
    <w:rsid w:val="009962F4"/>
    <w:rsid w:val="009A247F"/>
    <w:rsid w:val="009A42A4"/>
    <w:rsid w:val="009A4A28"/>
    <w:rsid w:val="009A69E3"/>
    <w:rsid w:val="009B41C9"/>
    <w:rsid w:val="009B62DB"/>
    <w:rsid w:val="009C2458"/>
    <w:rsid w:val="009C2C65"/>
    <w:rsid w:val="009C4AC7"/>
    <w:rsid w:val="009D0C84"/>
    <w:rsid w:val="009D0D75"/>
    <w:rsid w:val="009F6C5D"/>
    <w:rsid w:val="00A154D8"/>
    <w:rsid w:val="00A24560"/>
    <w:rsid w:val="00A325FD"/>
    <w:rsid w:val="00A34538"/>
    <w:rsid w:val="00A3490D"/>
    <w:rsid w:val="00A34C26"/>
    <w:rsid w:val="00A34DFB"/>
    <w:rsid w:val="00A429B5"/>
    <w:rsid w:val="00A43BAE"/>
    <w:rsid w:val="00A55DD5"/>
    <w:rsid w:val="00A56C47"/>
    <w:rsid w:val="00A6721F"/>
    <w:rsid w:val="00A75945"/>
    <w:rsid w:val="00A84A49"/>
    <w:rsid w:val="00A928E9"/>
    <w:rsid w:val="00A945C1"/>
    <w:rsid w:val="00AA442B"/>
    <w:rsid w:val="00AB1806"/>
    <w:rsid w:val="00AB19AD"/>
    <w:rsid w:val="00AB1D39"/>
    <w:rsid w:val="00AB1D78"/>
    <w:rsid w:val="00AB3BFA"/>
    <w:rsid w:val="00AB7956"/>
    <w:rsid w:val="00AC3FB0"/>
    <w:rsid w:val="00AC6173"/>
    <w:rsid w:val="00AD3AF2"/>
    <w:rsid w:val="00AE2508"/>
    <w:rsid w:val="00B0080A"/>
    <w:rsid w:val="00B2019B"/>
    <w:rsid w:val="00B226F6"/>
    <w:rsid w:val="00B22E22"/>
    <w:rsid w:val="00B525CB"/>
    <w:rsid w:val="00B539C1"/>
    <w:rsid w:val="00B53F15"/>
    <w:rsid w:val="00B55CA4"/>
    <w:rsid w:val="00B63C03"/>
    <w:rsid w:val="00B63CB2"/>
    <w:rsid w:val="00B67F34"/>
    <w:rsid w:val="00B94685"/>
    <w:rsid w:val="00B95151"/>
    <w:rsid w:val="00B9749B"/>
    <w:rsid w:val="00BA1889"/>
    <w:rsid w:val="00BC6417"/>
    <w:rsid w:val="00BD2054"/>
    <w:rsid w:val="00BD78FE"/>
    <w:rsid w:val="00BE0980"/>
    <w:rsid w:val="00BE4067"/>
    <w:rsid w:val="00BF0128"/>
    <w:rsid w:val="00BF1C6E"/>
    <w:rsid w:val="00BF215D"/>
    <w:rsid w:val="00C00B91"/>
    <w:rsid w:val="00C03751"/>
    <w:rsid w:val="00C11860"/>
    <w:rsid w:val="00C13F7D"/>
    <w:rsid w:val="00C145F3"/>
    <w:rsid w:val="00C163A4"/>
    <w:rsid w:val="00C3439C"/>
    <w:rsid w:val="00C34429"/>
    <w:rsid w:val="00C35089"/>
    <w:rsid w:val="00C36036"/>
    <w:rsid w:val="00C43635"/>
    <w:rsid w:val="00C44FE6"/>
    <w:rsid w:val="00C50586"/>
    <w:rsid w:val="00C55D02"/>
    <w:rsid w:val="00C57BDD"/>
    <w:rsid w:val="00C647D9"/>
    <w:rsid w:val="00C6620F"/>
    <w:rsid w:val="00C74B91"/>
    <w:rsid w:val="00C8140C"/>
    <w:rsid w:val="00C9016E"/>
    <w:rsid w:val="00C96108"/>
    <w:rsid w:val="00CA287E"/>
    <w:rsid w:val="00CB00C5"/>
    <w:rsid w:val="00CC00CD"/>
    <w:rsid w:val="00CD75EC"/>
    <w:rsid w:val="00CF23AE"/>
    <w:rsid w:val="00CF7B1D"/>
    <w:rsid w:val="00D03173"/>
    <w:rsid w:val="00D101E9"/>
    <w:rsid w:val="00D11B8B"/>
    <w:rsid w:val="00D15514"/>
    <w:rsid w:val="00D16E39"/>
    <w:rsid w:val="00D16ECC"/>
    <w:rsid w:val="00D2315E"/>
    <w:rsid w:val="00D42560"/>
    <w:rsid w:val="00D43475"/>
    <w:rsid w:val="00D44F8C"/>
    <w:rsid w:val="00D52944"/>
    <w:rsid w:val="00D558D5"/>
    <w:rsid w:val="00D60E6A"/>
    <w:rsid w:val="00D623A5"/>
    <w:rsid w:val="00D72E9D"/>
    <w:rsid w:val="00D73FD3"/>
    <w:rsid w:val="00D766B8"/>
    <w:rsid w:val="00D80503"/>
    <w:rsid w:val="00D80630"/>
    <w:rsid w:val="00D82CE5"/>
    <w:rsid w:val="00D83705"/>
    <w:rsid w:val="00DA1ACF"/>
    <w:rsid w:val="00DA260B"/>
    <w:rsid w:val="00DA5271"/>
    <w:rsid w:val="00DA5AB1"/>
    <w:rsid w:val="00DA6592"/>
    <w:rsid w:val="00DB6039"/>
    <w:rsid w:val="00DC62E5"/>
    <w:rsid w:val="00DC6A38"/>
    <w:rsid w:val="00DD46B3"/>
    <w:rsid w:val="00DD735D"/>
    <w:rsid w:val="00DE262E"/>
    <w:rsid w:val="00DE29D3"/>
    <w:rsid w:val="00DE3119"/>
    <w:rsid w:val="00DE73B4"/>
    <w:rsid w:val="00DF236B"/>
    <w:rsid w:val="00DF5F44"/>
    <w:rsid w:val="00E12483"/>
    <w:rsid w:val="00E13AB8"/>
    <w:rsid w:val="00E25414"/>
    <w:rsid w:val="00E325A7"/>
    <w:rsid w:val="00E33B62"/>
    <w:rsid w:val="00E36426"/>
    <w:rsid w:val="00E368D8"/>
    <w:rsid w:val="00E47408"/>
    <w:rsid w:val="00E51E69"/>
    <w:rsid w:val="00E60329"/>
    <w:rsid w:val="00E62AED"/>
    <w:rsid w:val="00E62DE4"/>
    <w:rsid w:val="00E644DC"/>
    <w:rsid w:val="00E71D04"/>
    <w:rsid w:val="00E76DDD"/>
    <w:rsid w:val="00E84881"/>
    <w:rsid w:val="00E86F09"/>
    <w:rsid w:val="00E873C4"/>
    <w:rsid w:val="00E951F4"/>
    <w:rsid w:val="00E953AC"/>
    <w:rsid w:val="00E953C5"/>
    <w:rsid w:val="00EA1123"/>
    <w:rsid w:val="00EA7835"/>
    <w:rsid w:val="00EB2EDC"/>
    <w:rsid w:val="00EB643A"/>
    <w:rsid w:val="00EC3DFE"/>
    <w:rsid w:val="00ED5AB4"/>
    <w:rsid w:val="00ED7ECF"/>
    <w:rsid w:val="00EE35BD"/>
    <w:rsid w:val="00EF4809"/>
    <w:rsid w:val="00EF7D76"/>
    <w:rsid w:val="00F071F7"/>
    <w:rsid w:val="00F0743E"/>
    <w:rsid w:val="00F11F68"/>
    <w:rsid w:val="00F21E26"/>
    <w:rsid w:val="00F2543D"/>
    <w:rsid w:val="00F42BD4"/>
    <w:rsid w:val="00F43169"/>
    <w:rsid w:val="00F5043C"/>
    <w:rsid w:val="00F54D7D"/>
    <w:rsid w:val="00F82838"/>
    <w:rsid w:val="00F84899"/>
    <w:rsid w:val="00F859F0"/>
    <w:rsid w:val="00F9101B"/>
    <w:rsid w:val="00F91722"/>
    <w:rsid w:val="00F97EA8"/>
    <w:rsid w:val="00FA0C7C"/>
    <w:rsid w:val="00FA1DA9"/>
    <w:rsid w:val="00FA5084"/>
    <w:rsid w:val="00FA5450"/>
    <w:rsid w:val="00FC11D1"/>
    <w:rsid w:val="00FC269D"/>
    <w:rsid w:val="00FC2F33"/>
    <w:rsid w:val="00FE141E"/>
    <w:rsid w:val="00FF0BEB"/>
    <w:rsid w:val="00FF0C59"/>
    <w:rsid w:val="00FF4FC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F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C96108"/>
    <w:pPr>
      <w:spacing w:after="160" w:line="240" w:lineRule="exact"/>
    </w:pPr>
    <w:rPr>
      <w:sz w:val="22"/>
      <w:vertAlign w:val="superscript"/>
      <w:lang w:val="es-CO"/>
    </w:rPr>
  </w:style>
  <w:style w:type="character" w:customStyle="1" w:styleId="normaltextrun">
    <w:name w:val="normaltextrun"/>
    <w:basedOn w:val="Fuentedeprrafopredeter"/>
    <w:rsid w:val="00C96108"/>
  </w:style>
  <w:style w:type="character" w:styleId="Mencinsinresolver">
    <w:name w:val="Unresolved Mention"/>
    <w:basedOn w:val="Fuentedeprrafopredeter"/>
    <w:uiPriority w:val="99"/>
    <w:semiHidden/>
    <w:unhideWhenUsed/>
    <w:rsid w:val="008E2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4635455">
      <w:bodyDiv w:val="1"/>
      <w:marLeft w:val="0"/>
      <w:marRight w:val="0"/>
      <w:marTop w:val="0"/>
      <w:marBottom w:val="0"/>
      <w:divBdr>
        <w:top w:val="none" w:sz="0" w:space="0" w:color="auto"/>
        <w:left w:val="none" w:sz="0" w:space="0" w:color="auto"/>
        <w:bottom w:val="none" w:sz="0" w:space="0" w:color="auto"/>
        <w:right w:val="none" w:sz="0" w:space="0" w:color="auto"/>
      </w:divBdr>
    </w:div>
    <w:div w:id="18221179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7140535">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76612122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069765558">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 w:id="200627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lombiacompra.gov.co/perfil-compradores-secop/perfil-compradores-secop" TargetMode="External"/><Relationship Id="rId18" Type="http://schemas.openxmlformats.org/officeDocument/2006/relationships/hyperlink" Target="https://www.colombiacompra.gov.co/node/21371" TargetMode="Externa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colombiacompra.gov.co/soport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secop/terminos-y-condiciones" TargetMode="External"/><Relationship Id="rId20" Type="http://schemas.openxmlformats.org/officeDocument/2006/relationships/image" Target="media/image2.png"/><Relationship Id="rId24" Type="http://schemas.openxmlformats.org/officeDocument/2006/relationships/fontTable" Target="fontTable.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olombiacompra.gov.co/soporte/formulario-de-soporte"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jota-chat.herokuapp.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lombiacompra.gov.co/mesa-de-servicio"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guia_indisponibilidad_secopii.pdf" TargetMode="External"/><Relationship Id="rId1" Type="http://schemas.openxmlformats.org/officeDocument/2006/relationships/hyperlink" Target="https://www.colombiacompra.gov.co/secop/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Urls xmlns="http://schemas.microsoft.com/sharepoint/v3/contenttype/forms/url">
  <Display>_layouts/15/MS.InformationManagement.Metadata/DocumentType.aspx?mode=view</Display>
  <Edit>_layouts/15/MS.InformationManagement.Metadata/DocumentType.aspx?mode=edit</Edit>
  <New>_layouts/15/MS.InformationManagement.Metadata/DocumentType.aspx?mode=new</New>
</FormUrl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5942184-946D-430D-92E6-2B7677246C86}">
  <ds:schemaRefs>
    <ds:schemaRef ds:uri="http://schemas.microsoft.com/sharepoint/v3/contenttype/forms/url"/>
  </ds:schemaRefs>
</ds:datastoreItem>
</file>

<file path=customXml/itemProps2.xml><?xml version="1.0" encoding="utf-8"?>
<ds:datastoreItem xmlns:ds="http://schemas.openxmlformats.org/officeDocument/2006/customXml" ds:itemID="{3A2A81CE-8A6A-48B5-B92E-386EE98E09FF}"/>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6.xml><?xml version="1.0" encoding="utf-8"?>
<ds:datastoreItem xmlns:ds="http://schemas.openxmlformats.org/officeDocument/2006/customXml" ds:itemID="{FF7AEBEE-65F1-47CC-811B-3F67049EF125}"/>
</file>

<file path=docProps/app.xml><?xml version="1.0" encoding="utf-8"?>
<Properties xmlns="http://schemas.openxmlformats.org/officeDocument/2006/extended-properties" xmlns:vt="http://schemas.openxmlformats.org/officeDocument/2006/docPropsVTypes">
  <Template>Respuesta a consultas</Template>
  <TotalTime>0</TotalTime>
  <Pages>22</Pages>
  <Words>8108</Words>
  <Characters>44594</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Ximena Ríos López</cp:lastModifiedBy>
  <cp:revision>59</cp:revision>
  <dcterms:created xsi:type="dcterms:W3CDTF">2021-02-15T21:53:00Z</dcterms:created>
  <dcterms:modified xsi:type="dcterms:W3CDTF">2021-02-17T00:49:00Z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