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ACC04" w14:textId="77777777" w:rsidR="00F050BF" w:rsidRPr="00682C93" w:rsidRDefault="00F050BF" w:rsidP="00F050BF">
      <w:pPr>
        <w:spacing w:after="0" w:line="240" w:lineRule="auto"/>
        <w:jc w:val="both"/>
        <w:rPr>
          <w:rFonts w:ascii="Verdana" w:hAnsi="Verdana" w:cs="Arial"/>
          <w:b/>
          <w:lang w:val="es-MX" w:eastAsia="es-ES_tradnl"/>
        </w:rPr>
      </w:pPr>
      <w:r w:rsidRPr="00682C93">
        <w:rPr>
          <w:rFonts w:ascii="Verdana" w:hAnsi="Verdana" w:cs="Arial"/>
          <w:b/>
          <w:lang w:val="es-MX" w:eastAsia="es-ES_tradnl"/>
        </w:rPr>
        <w:t xml:space="preserve">LEY DE GARANTÍAS ELECTORALES </w:t>
      </w:r>
      <w:r w:rsidRPr="00682C93">
        <w:rPr>
          <w:rFonts w:ascii="Verdana" w:hAnsi="Verdana" w:cs="Arial"/>
          <w:b/>
          <w:bCs/>
          <w:lang w:val="es-MX" w:eastAsia="es-ES_tradnl"/>
        </w:rPr>
        <w:t>‒</w:t>
      </w:r>
      <w:r w:rsidRPr="00682C93">
        <w:rPr>
          <w:rFonts w:ascii="Verdana" w:hAnsi="Verdana" w:cs="Arial"/>
          <w:b/>
          <w:lang w:val="es-MX" w:eastAsia="es-ES_tradnl"/>
        </w:rPr>
        <w:t xml:space="preserve"> Finalidad </w:t>
      </w:r>
    </w:p>
    <w:p w14:paraId="73416E05" w14:textId="77777777" w:rsidR="00F050BF" w:rsidRDefault="00F050BF" w:rsidP="00F050BF">
      <w:pPr>
        <w:spacing w:after="0" w:line="240" w:lineRule="auto"/>
        <w:jc w:val="both"/>
        <w:rPr>
          <w:rFonts w:ascii="Verdana" w:hAnsi="Verdana" w:cs="Arial"/>
          <w:b/>
          <w:lang w:val="es-MX" w:eastAsia="es-ES_tradnl"/>
        </w:rPr>
      </w:pPr>
    </w:p>
    <w:p w14:paraId="3026BB58" w14:textId="77777777" w:rsidR="00F050BF" w:rsidRDefault="00F050BF" w:rsidP="00F050BF">
      <w:pPr>
        <w:spacing w:after="0" w:line="240" w:lineRule="auto"/>
        <w:jc w:val="both"/>
        <w:rPr>
          <w:rFonts w:ascii="Verdana" w:eastAsia="Times New Roman" w:hAnsi="Verdana" w:cs="Arial"/>
          <w:sz w:val="20"/>
          <w:lang w:val="es-MX" w:eastAsia="es-CO"/>
        </w:rPr>
      </w:pPr>
      <w:r w:rsidRPr="00682C93">
        <w:rPr>
          <w:rFonts w:ascii="Verdana" w:eastAsia="Times New Roman" w:hAnsi="Verdana" w:cs="Arial"/>
          <w:sz w:val="20"/>
          <w:lang w:val="es-MX" w:eastAsia="es-CO"/>
        </w:rPr>
        <w:t>En este contexto, la Ley de Garantías Electorales establece el marco jurídico para el desarrollo de las elecciones, procurando condiciones de igualdad y transparencia para los aspirantes. Paralelamente, se incluyen restricciones en las actuaciones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w:t>
      </w:r>
    </w:p>
    <w:p w14:paraId="58EDDD62" w14:textId="77777777" w:rsidR="00F050BF" w:rsidRPr="00682C93" w:rsidRDefault="00F050BF" w:rsidP="00F050BF">
      <w:pPr>
        <w:spacing w:after="0" w:line="240" w:lineRule="auto"/>
        <w:jc w:val="both"/>
        <w:rPr>
          <w:rFonts w:ascii="Verdana" w:hAnsi="Verdana" w:cs="Arial"/>
          <w:b/>
          <w:sz w:val="20"/>
          <w:lang w:val="es-MX" w:eastAsia="es-ES_tradnl"/>
        </w:rPr>
      </w:pPr>
    </w:p>
    <w:p w14:paraId="3852DE35" w14:textId="77777777" w:rsidR="00F050BF" w:rsidRPr="00682C93" w:rsidRDefault="00F050BF" w:rsidP="00F050BF">
      <w:pPr>
        <w:spacing w:after="0" w:line="240" w:lineRule="auto"/>
        <w:jc w:val="both"/>
        <w:rPr>
          <w:rFonts w:ascii="Verdana" w:hAnsi="Verdana" w:cs="Arial"/>
          <w:b/>
          <w:lang w:val="es-MX" w:eastAsia="es-ES_tradnl"/>
        </w:rPr>
      </w:pPr>
      <w:r w:rsidRPr="00682C93">
        <w:rPr>
          <w:rFonts w:ascii="Verdana" w:hAnsi="Verdana" w:cs="Arial"/>
          <w:b/>
          <w:lang w:val="es-MX" w:eastAsia="es-ES_tradnl"/>
        </w:rPr>
        <w:t xml:space="preserve">LEY DE GARANTÍAS ELECTORALES </w:t>
      </w:r>
      <w:r w:rsidRPr="00682C93">
        <w:rPr>
          <w:rFonts w:ascii="Verdana" w:hAnsi="Verdana" w:cs="Arial"/>
          <w:b/>
          <w:bCs/>
          <w:lang w:val="es-MX" w:eastAsia="es-ES_tradnl"/>
        </w:rPr>
        <w:t>‒</w:t>
      </w:r>
      <w:r w:rsidRPr="00682C93">
        <w:rPr>
          <w:rFonts w:ascii="Verdana" w:hAnsi="Verdana" w:cs="Arial"/>
          <w:b/>
          <w:lang w:val="es-MX" w:eastAsia="es-ES_tradnl"/>
        </w:rPr>
        <w:t xml:space="preserve"> Tipos de restricciones </w:t>
      </w:r>
      <w:r w:rsidRPr="00682C93">
        <w:rPr>
          <w:rFonts w:ascii="Verdana" w:hAnsi="Verdana" w:cs="Arial"/>
          <w:b/>
          <w:bCs/>
          <w:lang w:val="es-MX" w:eastAsia="es-ES_tradnl"/>
        </w:rPr>
        <w:t>‒</w:t>
      </w:r>
      <w:r w:rsidRPr="00682C93">
        <w:rPr>
          <w:rFonts w:ascii="Verdana" w:hAnsi="Verdana" w:cs="Arial"/>
          <w:b/>
          <w:lang w:val="es-MX" w:eastAsia="es-ES_tradnl"/>
        </w:rPr>
        <w:t xml:space="preserve"> Ámbito temporal – </w:t>
      </w:r>
      <w:r>
        <w:rPr>
          <w:rFonts w:ascii="Verdana" w:hAnsi="Verdana" w:cs="Arial"/>
          <w:b/>
          <w:lang w:val="es-MX" w:eastAsia="es-ES_tradnl"/>
        </w:rPr>
        <w:t>C</w:t>
      </w:r>
      <w:r w:rsidRPr="00682C93">
        <w:rPr>
          <w:rFonts w:ascii="Verdana" w:hAnsi="Verdana" w:cs="Arial"/>
          <w:b/>
          <w:lang w:val="es-MX" w:eastAsia="es-ES_tradnl"/>
        </w:rPr>
        <w:t>elebración</w:t>
      </w:r>
      <w:r>
        <w:rPr>
          <w:rFonts w:ascii="Verdana" w:hAnsi="Verdana" w:cs="Arial"/>
          <w:b/>
          <w:lang w:val="es-MX" w:eastAsia="es-ES_tradnl"/>
        </w:rPr>
        <w:t xml:space="preserve"> </w:t>
      </w:r>
      <w:r w:rsidRPr="00820131">
        <w:rPr>
          <w:rFonts w:ascii="Verdana" w:hAnsi="Verdana" w:cs="Arial"/>
          <w:b/>
          <w:bCs/>
          <w:lang w:val="es-ES" w:eastAsia="es-ES_tradnl"/>
        </w:rPr>
        <w:t>–</w:t>
      </w:r>
      <w:r w:rsidRPr="00682C93">
        <w:rPr>
          <w:rFonts w:ascii="Verdana" w:hAnsi="Verdana" w:cs="Arial"/>
          <w:b/>
          <w:lang w:val="es-MX" w:eastAsia="es-ES_tradnl"/>
        </w:rPr>
        <w:t xml:space="preserve"> </w:t>
      </w:r>
      <w:r>
        <w:rPr>
          <w:rFonts w:ascii="Verdana" w:hAnsi="Verdana" w:cs="Arial"/>
          <w:b/>
          <w:lang w:val="es-MX" w:eastAsia="es-ES_tradnl"/>
        </w:rPr>
        <w:t>L</w:t>
      </w:r>
      <w:r w:rsidRPr="00682C93">
        <w:rPr>
          <w:rFonts w:ascii="Verdana" w:hAnsi="Verdana" w:cs="Arial"/>
          <w:b/>
          <w:lang w:val="es-MX" w:eastAsia="es-ES_tradnl"/>
        </w:rPr>
        <w:t>ímite</w:t>
      </w:r>
    </w:p>
    <w:p w14:paraId="5E23566B" w14:textId="77777777" w:rsidR="00F050BF" w:rsidRDefault="00F050BF" w:rsidP="00F050BF">
      <w:pPr>
        <w:spacing w:after="0" w:line="240" w:lineRule="auto"/>
        <w:jc w:val="both"/>
        <w:rPr>
          <w:rFonts w:ascii="Verdana" w:hAnsi="Verdana" w:cs="Arial"/>
          <w:b/>
          <w:lang w:val="es-MX" w:eastAsia="es-ES_tradnl"/>
        </w:rPr>
      </w:pPr>
    </w:p>
    <w:p w14:paraId="0CB7256F" w14:textId="77777777" w:rsidR="00F050BF" w:rsidRPr="00E41F23" w:rsidRDefault="00F050BF" w:rsidP="00F050BF">
      <w:pPr>
        <w:spacing w:after="0" w:line="240" w:lineRule="auto"/>
        <w:jc w:val="both"/>
        <w:rPr>
          <w:rFonts w:ascii="Verdana" w:eastAsia="Calibri" w:hAnsi="Verdana" w:cs="Arial"/>
          <w:sz w:val="20"/>
        </w:rPr>
      </w:pPr>
      <w:r w:rsidRPr="00E41F23">
        <w:rPr>
          <w:rFonts w:ascii="Verdana" w:eastAsia="Calibri" w:hAnsi="Verdana" w:cs="Arial"/>
          <w:sz w:val="20"/>
        </w:rPr>
        <w:t xml:space="preserve">Por un lado, el </w:t>
      </w:r>
      <w:r w:rsidRPr="00E41F23">
        <w:rPr>
          <w:rFonts w:ascii="Verdana" w:eastAsia="Calibri" w:hAnsi="Verdana" w:cs="Arial"/>
          <w:i/>
          <w:iCs/>
          <w:sz w:val="20"/>
        </w:rPr>
        <w:t>artículo 33 de la Ley 996 de 2005</w:t>
      </w:r>
      <w:r w:rsidRPr="00E41F23">
        <w:rPr>
          <w:rFonts w:ascii="Verdana" w:eastAsia="Calibri" w:hAnsi="Verdana" w:cs="Arial"/>
          <w:sz w:val="20"/>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6923CFA4" w14:textId="77777777" w:rsidR="00F050BF" w:rsidRPr="00E41F23" w:rsidRDefault="00F050BF" w:rsidP="00F050BF">
      <w:pPr>
        <w:spacing w:after="0" w:line="240" w:lineRule="auto"/>
        <w:jc w:val="both"/>
        <w:rPr>
          <w:rFonts w:ascii="Verdana" w:eastAsia="Calibri" w:hAnsi="Verdana" w:cs="Arial"/>
          <w:sz w:val="20"/>
        </w:rPr>
      </w:pPr>
    </w:p>
    <w:p w14:paraId="1DE1A8E3" w14:textId="77777777" w:rsidR="00F050BF" w:rsidRDefault="00F050BF" w:rsidP="00F050BF">
      <w:pPr>
        <w:widowControl w:val="0"/>
        <w:autoSpaceDE w:val="0"/>
        <w:autoSpaceDN w:val="0"/>
        <w:spacing w:after="0" w:line="240" w:lineRule="auto"/>
        <w:ind w:right="113"/>
        <w:jc w:val="both"/>
        <w:rPr>
          <w:rFonts w:ascii="Verdana" w:eastAsia="Arial" w:hAnsi="Verdana" w:cs="Arial"/>
          <w:sz w:val="20"/>
          <w:lang w:val="es-ES" w:eastAsia="es-ES" w:bidi="es-ES"/>
        </w:rPr>
      </w:pPr>
      <w:r w:rsidRPr="00E41F23">
        <w:rPr>
          <w:rFonts w:ascii="Verdana" w:eastAsia="Calibri" w:hAnsi="Verdana" w:cs="Arial"/>
          <w:sz w:val="20"/>
        </w:rPr>
        <w:t xml:space="preserve">Por otro lado, </w:t>
      </w:r>
      <w:r w:rsidRPr="00E41F23">
        <w:rPr>
          <w:rFonts w:ascii="Verdana" w:eastAsia="Calibri" w:hAnsi="Verdana" w:cs="Arial"/>
          <w:i/>
          <w:iCs/>
          <w:sz w:val="20"/>
        </w:rPr>
        <w:t>el parágrafo del artículo 38 de la Ley 996 de 2005</w:t>
      </w:r>
      <w:r w:rsidRPr="00E41F23">
        <w:rPr>
          <w:rFonts w:ascii="Verdana" w:eastAsia="Calibri" w:hAnsi="Verdana" w:cs="Arial"/>
          <w:sz w:val="20"/>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E41F23">
        <w:rPr>
          <w:rFonts w:ascii="Verdana" w:eastAsia="Calibri" w:hAnsi="Verdana" w:cs="Arial"/>
          <w:sz w:val="20"/>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E41F23">
        <w:rPr>
          <w:rFonts w:ascii="Verdana" w:eastAsia="Calibri" w:hAnsi="Verdana" w:cs="Arial"/>
          <w:sz w:val="20"/>
        </w:rPr>
        <w:t>”</w:t>
      </w:r>
      <w:r w:rsidRPr="00E41F23">
        <w:rPr>
          <w:rFonts w:ascii="Verdana" w:eastAsia="Calibri" w:hAnsi="Verdana" w:cs="Arial"/>
          <w:sz w:val="20"/>
          <w:lang w:val="es-MX"/>
        </w:rPr>
        <w:t>.</w:t>
      </w:r>
      <w:r w:rsidRPr="00E41F23">
        <w:rPr>
          <w:rFonts w:ascii="Verdana" w:eastAsia="Arial" w:hAnsi="Verdana" w:cs="Arial"/>
          <w:sz w:val="20"/>
          <w:lang w:val="es-ES" w:eastAsia="es-ES" w:bidi="es-ES"/>
        </w:rPr>
        <w:t xml:space="preserve"> </w:t>
      </w:r>
    </w:p>
    <w:p w14:paraId="7518CBED" w14:textId="77777777" w:rsidR="00F050BF" w:rsidRPr="00E41F23" w:rsidRDefault="00F050BF" w:rsidP="00F050BF">
      <w:pPr>
        <w:widowControl w:val="0"/>
        <w:autoSpaceDE w:val="0"/>
        <w:autoSpaceDN w:val="0"/>
        <w:spacing w:after="0" w:line="240" w:lineRule="auto"/>
        <w:ind w:right="113"/>
        <w:jc w:val="both"/>
        <w:rPr>
          <w:rFonts w:ascii="Verdana" w:eastAsia="Arial" w:hAnsi="Verdana" w:cs="Arial"/>
          <w:sz w:val="20"/>
          <w:lang w:val="es-ES" w:eastAsia="es-ES" w:bidi="es-ES"/>
        </w:rPr>
      </w:pPr>
    </w:p>
    <w:p w14:paraId="53543D88" w14:textId="77777777" w:rsidR="00F050BF" w:rsidRPr="00E41F23" w:rsidRDefault="00F050BF" w:rsidP="00F050BF">
      <w:pPr>
        <w:spacing w:after="0" w:line="240" w:lineRule="auto"/>
        <w:jc w:val="both"/>
        <w:rPr>
          <w:rFonts w:ascii="Verdana" w:eastAsia="Times New Roman" w:hAnsi="Verdana" w:cs="Arial"/>
          <w:bCs/>
          <w:sz w:val="20"/>
          <w:lang w:val="es-ES" w:eastAsia="es-CO"/>
        </w:rPr>
      </w:pPr>
      <w:r w:rsidRPr="00E41F23">
        <w:rPr>
          <w:rFonts w:ascii="Verdana" w:eastAsia="Times New Roman" w:hAnsi="Verdana" w:cs="Arial"/>
          <w:bCs/>
          <w:sz w:val="20"/>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E41F23">
        <w:rPr>
          <w:rFonts w:ascii="Verdana" w:eastAsia="Times New Roman" w:hAnsi="Verdana" w:cs="Arial"/>
          <w:bCs/>
          <w:sz w:val="20"/>
          <w:lang w:val="es-ES" w:eastAsia="es-CO"/>
        </w:rPr>
        <w:t xml:space="preserve">la existencia de los contratos estatales, es decir, la producción de efectos jurídicos en los términos del artículo 1501 </w:t>
      </w:r>
      <w:proofErr w:type="spellStart"/>
      <w:r w:rsidRPr="00E41F23">
        <w:rPr>
          <w:rFonts w:ascii="Verdana" w:eastAsia="Times New Roman" w:hAnsi="Verdana" w:cs="Arial"/>
          <w:bCs/>
          <w:i/>
          <w:sz w:val="20"/>
          <w:lang w:val="es-ES" w:eastAsia="es-CO"/>
        </w:rPr>
        <w:t>ibídem</w:t>
      </w:r>
      <w:proofErr w:type="spellEnd"/>
      <w:r w:rsidRPr="00E41F23">
        <w:rPr>
          <w:rFonts w:ascii="Verdana" w:eastAsia="Times New Roman" w:hAnsi="Verdana" w:cs="Arial"/>
          <w:bCs/>
          <w:sz w:val="20"/>
          <w:lang w:val="es-ES" w:eastAsia="es-CO"/>
        </w:rPr>
        <w:t xml:space="preserve">, depende de la regulación del inciso primero de los artículos 39 y 41 de la Ley 80 de 1993.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 </w:t>
      </w:r>
    </w:p>
    <w:p w14:paraId="61C95CC0" w14:textId="77777777" w:rsidR="00F050BF" w:rsidRPr="003F2A9C" w:rsidRDefault="00F050BF" w:rsidP="00F050BF">
      <w:pPr>
        <w:spacing w:after="0" w:line="240" w:lineRule="auto"/>
        <w:jc w:val="both"/>
        <w:rPr>
          <w:rFonts w:ascii="Verdana" w:hAnsi="Verdana" w:cs="Arial"/>
          <w:b/>
          <w:sz w:val="20"/>
          <w:lang w:val="es-MX" w:eastAsia="es-ES_tradnl"/>
        </w:rPr>
      </w:pPr>
    </w:p>
    <w:p w14:paraId="04F8237F" w14:textId="77777777" w:rsidR="00F050BF" w:rsidRPr="00682C93" w:rsidRDefault="00F050BF" w:rsidP="00F050BF">
      <w:pPr>
        <w:spacing w:after="0" w:line="240" w:lineRule="auto"/>
        <w:jc w:val="both"/>
        <w:rPr>
          <w:rFonts w:ascii="Verdana" w:hAnsi="Verdana" w:cs="Arial"/>
          <w:b/>
          <w:lang w:val="es-MX" w:eastAsia="es-ES_tradnl"/>
        </w:rPr>
      </w:pPr>
      <w:r w:rsidRPr="00682C93">
        <w:rPr>
          <w:rFonts w:ascii="Verdana" w:hAnsi="Verdana" w:cs="Arial"/>
          <w:b/>
          <w:lang w:val="es-MX" w:eastAsia="es-ES_tradnl"/>
        </w:rPr>
        <w:t xml:space="preserve">LEY DE GARANTÍAS ELECTORALES – Prohibición artículo 33 – Contratación directa – Alcance </w:t>
      </w:r>
    </w:p>
    <w:p w14:paraId="3E766846" w14:textId="77777777" w:rsidR="00F050BF" w:rsidRDefault="00F050BF" w:rsidP="00F050BF">
      <w:pPr>
        <w:spacing w:after="0" w:line="240" w:lineRule="auto"/>
        <w:jc w:val="both"/>
        <w:rPr>
          <w:rFonts w:ascii="Verdana" w:hAnsi="Verdana" w:cs="Arial"/>
          <w:b/>
          <w:lang w:val="es-MX" w:eastAsia="es-ES_tradnl"/>
        </w:rPr>
      </w:pPr>
    </w:p>
    <w:p w14:paraId="5F8B148D" w14:textId="77777777" w:rsidR="00F050BF" w:rsidRPr="00E41F23" w:rsidRDefault="00F050BF" w:rsidP="00F050BF">
      <w:pPr>
        <w:spacing w:after="0" w:line="240" w:lineRule="auto"/>
        <w:jc w:val="both"/>
        <w:rPr>
          <w:rFonts w:ascii="Verdana" w:eastAsia="Times New Roman" w:hAnsi="Verdana" w:cs="Arial"/>
          <w:bCs/>
          <w:sz w:val="20"/>
          <w:lang w:eastAsia="x-none"/>
        </w:rPr>
      </w:pPr>
      <w:r w:rsidRPr="00E41F23">
        <w:rPr>
          <w:rFonts w:ascii="Verdana" w:eastAsia="Times New Roman" w:hAnsi="Verdana" w:cs="Arial"/>
          <w:sz w:val="20"/>
          <w:lang w:eastAsia="x-none"/>
        </w:rPr>
        <w:t xml:space="preserve">De acuerdo con el citado concepto, la prohibición del artículo 33 de la Ley de Garantías Electorales se refiere a </w:t>
      </w:r>
      <w:r w:rsidRPr="00E41F23">
        <w:rPr>
          <w:rFonts w:ascii="Verdana" w:eastAsia="Times New Roman" w:hAnsi="Verdana" w:cs="Arial"/>
          <w:sz w:val="18"/>
          <w:szCs w:val="19"/>
          <w:lang w:eastAsia="en-GB"/>
        </w:rPr>
        <w:t>“</w:t>
      </w:r>
      <w:r w:rsidRPr="00E41F23">
        <w:rPr>
          <w:rFonts w:ascii="Verdana" w:eastAsia="Times New Roman" w:hAnsi="Verdana" w:cs="Arial"/>
          <w:sz w:val="20"/>
          <w:lang w:eastAsia="x-none"/>
        </w:rPr>
        <w:t>cualquier sistema que no implique convocatoria pública y posibilidad de pluralidad de oferentes</w:t>
      </w:r>
      <w:r w:rsidRPr="00E41F23">
        <w:rPr>
          <w:rFonts w:ascii="Verdana" w:eastAsia="Times New Roman" w:hAnsi="Verdana" w:cs="Arial"/>
          <w:sz w:val="20"/>
          <w:lang w:eastAsia="en-GB"/>
        </w:rPr>
        <w:t>”</w:t>
      </w:r>
      <w:r w:rsidRPr="00E41F23">
        <w:rPr>
          <w:rFonts w:ascii="Verdana" w:eastAsia="Times New Roman" w:hAnsi="Verdana" w:cs="Arial"/>
          <w:sz w:val="20"/>
          <w:lang w:eastAsia="x-none"/>
        </w:rPr>
        <w:t xml:space="preserve">, por lo que excluye las demás modalidades de contratación previstas en la Ley 1150 de 2007, es decir, la licitación pública, la selección abreviada, el concurso de méritos </w:t>
      </w:r>
      <w:r w:rsidRPr="00E41F23">
        <w:rPr>
          <w:rFonts w:ascii="Verdana" w:eastAsia="Times New Roman" w:hAnsi="Verdana" w:cs="Arial"/>
          <w:sz w:val="20"/>
          <w:lang w:val="es-ES_tradnl" w:eastAsia="x-none"/>
        </w:rPr>
        <w:t>y la mínima cuantía</w:t>
      </w:r>
      <w:r w:rsidRPr="00E41F23" w:rsidDel="00A85D9F">
        <w:rPr>
          <w:rFonts w:ascii="Verdana" w:eastAsia="Times New Roman" w:hAnsi="Verdana" w:cs="Arial"/>
          <w:sz w:val="20"/>
          <w:lang w:eastAsia="x-none"/>
        </w:rPr>
        <w:t xml:space="preserve"> </w:t>
      </w:r>
      <w:r w:rsidRPr="00E41F23">
        <w:rPr>
          <w:rFonts w:ascii="Verdana" w:eastAsia="Times New Roman" w:hAnsi="Verdana" w:cs="Arial"/>
          <w:sz w:val="20"/>
          <w:lang w:eastAsia="x-none"/>
        </w:rPr>
        <w:t xml:space="preserve">u otros previstos en normas especiales. Esta posición es congruente con la expedición de la Ley 1150 de 2007 que, entre otras reformas, introdujo la selección abreviada, rediseñó el concurso de méritos y sistematizó las causales de contratación directa, </w:t>
      </w:r>
      <w:r w:rsidRPr="00E41F23">
        <w:rPr>
          <w:rFonts w:ascii="Verdana" w:eastAsia="Calibri" w:hAnsi="Verdana" w:cs="Arial"/>
          <w:sz w:val="20"/>
          <w:szCs w:val="24"/>
          <w:lang w:eastAsia="x-none"/>
        </w:rPr>
        <w:t>además lo es con la posterior creación de la modalidad de mínima cuantía establecida actualmente en el numeral 5 del artículo 2 de la Ley 1150 de 2007, de acuerdo con las modificaciones realizadas por leyes posteriores.</w:t>
      </w:r>
    </w:p>
    <w:p w14:paraId="75A05E3B" w14:textId="77777777" w:rsidR="00F050BF" w:rsidRPr="00E41F23" w:rsidRDefault="00F050BF" w:rsidP="00F050BF">
      <w:pPr>
        <w:spacing w:after="0" w:line="240" w:lineRule="auto"/>
        <w:jc w:val="both"/>
        <w:rPr>
          <w:rFonts w:ascii="Verdana" w:hAnsi="Verdana" w:cs="Arial"/>
          <w:b/>
          <w:lang w:eastAsia="es-ES_tradnl"/>
        </w:rPr>
      </w:pPr>
    </w:p>
    <w:p w14:paraId="244BE4B0" w14:textId="77777777" w:rsidR="00F050BF" w:rsidRPr="00682C93" w:rsidRDefault="00F050BF" w:rsidP="00F050BF">
      <w:pPr>
        <w:spacing w:after="0" w:line="240" w:lineRule="auto"/>
        <w:jc w:val="both"/>
        <w:rPr>
          <w:rFonts w:ascii="Verdana" w:hAnsi="Verdana" w:cs="Arial"/>
          <w:b/>
          <w:lang w:val="es-MX" w:eastAsia="es-ES_tradnl"/>
        </w:rPr>
      </w:pPr>
      <w:r w:rsidRPr="00682C93">
        <w:rPr>
          <w:rFonts w:ascii="Verdana" w:hAnsi="Verdana" w:cs="Arial"/>
          <w:b/>
          <w:lang w:val="es-MX" w:eastAsia="es-ES_tradnl"/>
        </w:rPr>
        <w:t>LEY DE GARANTÍAS ELECTORALES – Excepciones</w:t>
      </w:r>
    </w:p>
    <w:p w14:paraId="0E90F31B" w14:textId="77777777" w:rsidR="00F050BF" w:rsidRPr="00E41F23" w:rsidRDefault="00F050BF" w:rsidP="00F050BF">
      <w:pPr>
        <w:spacing w:after="0" w:line="240" w:lineRule="auto"/>
        <w:jc w:val="both"/>
        <w:rPr>
          <w:rFonts w:ascii="Verdana" w:hAnsi="Verdana" w:cs="Arial"/>
          <w:b/>
          <w:sz w:val="20"/>
          <w:lang w:val="es-MX" w:eastAsia="es-ES_tradnl"/>
        </w:rPr>
      </w:pPr>
    </w:p>
    <w:p w14:paraId="69CB0B01" w14:textId="77777777" w:rsidR="00F050BF" w:rsidRPr="00E41F23" w:rsidRDefault="00F050BF" w:rsidP="00F050BF">
      <w:pPr>
        <w:spacing w:after="0" w:line="240" w:lineRule="auto"/>
        <w:jc w:val="both"/>
        <w:rPr>
          <w:rFonts w:ascii="Verdana" w:eastAsia="Times New Roman" w:hAnsi="Verdana" w:cs="Arial"/>
          <w:bCs/>
          <w:sz w:val="20"/>
          <w:lang w:val="es-MX" w:eastAsia="es-CO"/>
        </w:rPr>
      </w:pPr>
      <w:r w:rsidRPr="00E41F23">
        <w:rPr>
          <w:rFonts w:ascii="Verdana" w:eastAsia="Times New Roman" w:hAnsi="Verdana" w:cs="Arial"/>
          <w:bCs/>
          <w:sz w:val="20"/>
          <w:lang w:val="es-MX" w:eastAsia="x-none"/>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expresamente en el inciso final del citado artículo 33 de la Ley 996 de 2005 en lo referente a i) la defensa y seguridad del Estado; </w:t>
      </w:r>
      <w:proofErr w:type="spellStart"/>
      <w:r w:rsidRPr="00E41F23">
        <w:rPr>
          <w:rFonts w:ascii="Verdana" w:eastAsia="Times New Roman" w:hAnsi="Verdana" w:cs="Arial"/>
          <w:bCs/>
          <w:sz w:val="20"/>
          <w:lang w:val="es-MX" w:eastAsia="x-none"/>
        </w:rPr>
        <w:t>ii</w:t>
      </w:r>
      <w:proofErr w:type="spellEnd"/>
      <w:r w:rsidRPr="00E41F23">
        <w:rPr>
          <w:rFonts w:ascii="Verdana" w:eastAsia="Times New Roman" w:hAnsi="Verdana" w:cs="Arial"/>
          <w:bCs/>
          <w:sz w:val="20"/>
          <w:lang w:val="es-MX" w:eastAsia="x-none"/>
        </w:rPr>
        <w:t xml:space="preserve">) los contratos de crédito público; </w:t>
      </w:r>
      <w:proofErr w:type="spellStart"/>
      <w:r w:rsidRPr="00E41F23">
        <w:rPr>
          <w:rFonts w:ascii="Verdana" w:eastAsia="Times New Roman" w:hAnsi="Verdana" w:cs="Arial"/>
          <w:bCs/>
          <w:sz w:val="20"/>
          <w:lang w:val="es-MX" w:eastAsia="x-none"/>
        </w:rPr>
        <w:t>iii</w:t>
      </w:r>
      <w:proofErr w:type="spellEnd"/>
      <w:r w:rsidRPr="00E41F23">
        <w:rPr>
          <w:rFonts w:ascii="Verdana" w:eastAsia="Times New Roman" w:hAnsi="Verdana" w:cs="Arial"/>
          <w:bCs/>
          <w:sz w:val="20"/>
          <w:lang w:val="es-MX" w:eastAsia="x-none"/>
        </w:rPr>
        <w:t xml:space="preserve">) los requeridos para cubrir las emergencias educativas, sanitarias y desastres; </w:t>
      </w:r>
      <w:proofErr w:type="spellStart"/>
      <w:r w:rsidRPr="00E41F23">
        <w:rPr>
          <w:rFonts w:ascii="Verdana" w:eastAsia="Times New Roman" w:hAnsi="Verdana" w:cs="Arial"/>
          <w:bCs/>
          <w:sz w:val="20"/>
          <w:lang w:val="es-MX" w:eastAsia="x-none"/>
        </w:rPr>
        <w:t>iv</w:t>
      </w:r>
      <w:proofErr w:type="spellEnd"/>
      <w:r w:rsidRPr="00E41F23">
        <w:rPr>
          <w:rFonts w:ascii="Verdana" w:eastAsia="Times New Roman" w:hAnsi="Verdana" w:cs="Arial"/>
          <w:bCs/>
          <w:sz w:val="20"/>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E41F23">
        <w:rPr>
          <w:rFonts w:ascii="Verdana" w:eastAsia="Times New Roman" w:hAnsi="Verdana" w:cs="Arial"/>
          <w:bCs/>
          <w:sz w:val="20"/>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2D72080C" w14:textId="77777777" w:rsidR="00F050BF" w:rsidRPr="00682C93" w:rsidRDefault="00F050BF" w:rsidP="00F050BF">
      <w:pPr>
        <w:spacing w:after="0" w:line="240" w:lineRule="auto"/>
        <w:jc w:val="both"/>
        <w:rPr>
          <w:rFonts w:ascii="Verdana" w:hAnsi="Verdana" w:cs="Arial"/>
          <w:b/>
          <w:lang w:val="es-MX" w:eastAsia="es-ES_tradnl"/>
        </w:rPr>
      </w:pPr>
    </w:p>
    <w:p w14:paraId="0AAB704E" w14:textId="77777777" w:rsidR="00F050BF" w:rsidRPr="00682C93" w:rsidRDefault="00F050BF" w:rsidP="00F050BF">
      <w:pPr>
        <w:spacing w:after="0" w:line="240" w:lineRule="auto"/>
        <w:jc w:val="both"/>
        <w:rPr>
          <w:rFonts w:ascii="Verdana" w:hAnsi="Verdana" w:cs="Arial"/>
          <w:b/>
          <w:lang w:val="es-MX" w:eastAsia="es-ES_tradnl"/>
        </w:rPr>
      </w:pPr>
      <w:r w:rsidRPr="00682C93">
        <w:rPr>
          <w:rFonts w:ascii="Verdana" w:hAnsi="Verdana" w:cs="Arial"/>
          <w:b/>
          <w:lang w:val="es-MX" w:eastAsia="es-ES_tradnl"/>
        </w:rPr>
        <w:t xml:space="preserve"> LEY DE GARANTÍAS ELECTORALES – Prohibición del artículo 33 – Destinatarios </w:t>
      </w:r>
    </w:p>
    <w:p w14:paraId="6E001FCC" w14:textId="77777777" w:rsidR="00F050BF" w:rsidRDefault="00F050BF" w:rsidP="00F050BF">
      <w:pPr>
        <w:spacing w:after="0" w:line="240" w:lineRule="auto"/>
        <w:rPr>
          <w:rFonts w:ascii="Verdana" w:hAnsi="Verdana" w:cs="Arial"/>
          <w:lang w:val="es-MX" w:eastAsia="es-ES_tradnl"/>
        </w:rPr>
      </w:pPr>
    </w:p>
    <w:p w14:paraId="15D0CF8C" w14:textId="77777777" w:rsidR="00F050BF" w:rsidRDefault="00F050BF" w:rsidP="00F050BF">
      <w:pPr>
        <w:spacing w:after="0" w:line="240" w:lineRule="auto"/>
        <w:jc w:val="both"/>
        <w:rPr>
          <w:rFonts w:ascii="Verdana" w:eastAsia="Calibri" w:hAnsi="Verdana" w:cs="Arial"/>
          <w:sz w:val="20"/>
          <w:lang w:val="es-MX"/>
        </w:rPr>
      </w:pPr>
      <w:r w:rsidRPr="00E41F23">
        <w:rPr>
          <w:rFonts w:ascii="Verdana" w:eastAsia="Calibri" w:hAnsi="Verdana" w:cs="Arial"/>
          <w:sz w:val="20"/>
          <w:lang w:val="es-MX"/>
        </w:rPr>
        <w:t xml:space="preserve">De acuerdo con estos pronunciamientos de la Sala de Consulta y Servicio Civil del Consejo de Estado, la prohibición de la contratación directa también aplica frente a las entidades exceptuadas de la aplicación del EGCAP y que se rigen en materia contractual por el derecho privado. Sin embargo, señaló que algunas de estas entidades, como sucede con las empresas de servicios públicos domiciliarios, los </w:t>
      </w:r>
      <w:r w:rsidRPr="00E41F23">
        <w:rPr>
          <w:rFonts w:ascii="Verdana" w:eastAsia="Times New Roman" w:hAnsi="Verdana" w:cs="Arial"/>
          <w:bCs/>
          <w:sz w:val="20"/>
          <w:lang w:val="es-MX" w:eastAsia="x-none"/>
        </w:rPr>
        <w:t>establecimientos de crédito, las sociedades de servicios financieros y las entidades aseguradoras</w:t>
      </w:r>
      <w:r w:rsidRPr="00E41F23">
        <w:rPr>
          <w:rFonts w:ascii="Verdana" w:eastAsia="Calibri" w:hAnsi="Verdana" w:cs="Arial"/>
          <w:sz w:val="20"/>
          <w:lang w:val="es-MX"/>
        </w:rPr>
        <w:t xml:space="preserve"> no pueden adquirir los suministros de bienes y servicios necesarios para la realización de su </w:t>
      </w:r>
      <w:r w:rsidRPr="00E41F23">
        <w:rPr>
          <w:rFonts w:ascii="Verdana" w:eastAsia="Calibri" w:hAnsi="Verdana" w:cs="Arial"/>
          <w:sz w:val="20"/>
          <w:lang w:val="es-MX"/>
        </w:rPr>
        <w:lastRenderedPageBreak/>
        <w:t>actividad por contratación directa, sino por mecanismos competitivos que impliquen convocatoria pública y la posibilidad de la existencia de pluralidad de oferentes, pero indicó que en estos casos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r>
        <w:rPr>
          <w:rFonts w:ascii="Verdana" w:eastAsia="Calibri" w:hAnsi="Verdana" w:cs="Arial"/>
          <w:sz w:val="20"/>
          <w:lang w:val="es-MX"/>
        </w:rPr>
        <w:t>.</w:t>
      </w:r>
    </w:p>
    <w:p w14:paraId="06B6D9D9" w14:textId="77777777" w:rsidR="00F050BF" w:rsidRDefault="00F050BF" w:rsidP="00F050BF">
      <w:pPr>
        <w:spacing w:after="0"/>
        <w:rPr>
          <w:rFonts w:ascii="Verdana" w:hAnsi="Verdana"/>
          <w:lang w:val="es-MX"/>
        </w:rPr>
      </w:pPr>
    </w:p>
    <w:p w14:paraId="2FCFFED9" w14:textId="77777777" w:rsidR="00F050BF" w:rsidRPr="00B45051" w:rsidRDefault="00F050BF" w:rsidP="00F050BF">
      <w:pPr>
        <w:spacing w:after="0" w:line="240" w:lineRule="auto"/>
        <w:jc w:val="both"/>
        <w:rPr>
          <w:rFonts w:ascii="Verdana" w:hAnsi="Verdana"/>
          <w:b/>
          <w:lang w:val="es-MX"/>
        </w:rPr>
      </w:pPr>
      <w:r w:rsidRPr="00B45051">
        <w:rPr>
          <w:rFonts w:ascii="Verdana" w:hAnsi="Verdana"/>
          <w:b/>
          <w:lang w:val="es-MX"/>
        </w:rPr>
        <w:t xml:space="preserve">LEY DE GARANTÍAS ELECTORALES – Contratos y convenios interadministrativos – Criterio orgánico </w:t>
      </w:r>
    </w:p>
    <w:p w14:paraId="59709A54" w14:textId="77777777" w:rsidR="00F050BF" w:rsidRPr="007F019B" w:rsidRDefault="00F050BF" w:rsidP="00F050BF">
      <w:pPr>
        <w:spacing w:after="0" w:line="240" w:lineRule="auto"/>
        <w:jc w:val="both"/>
        <w:rPr>
          <w:rFonts w:ascii="Verdana" w:hAnsi="Verdana"/>
          <w:sz w:val="20"/>
          <w:lang w:val="es-MX"/>
        </w:rPr>
      </w:pPr>
    </w:p>
    <w:p w14:paraId="4FDD7E01" w14:textId="77777777" w:rsidR="00F050BF" w:rsidRDefault="00F050BF" w:rsidP="00F050BF">
      <w:pPr>
        <w:spacing w:after="0" w:line="240" w:lineRule="auto"/>
        <w:jc w:val="both"/>
        <w:rPr>
          <w:rFonts w:ascii="Verdana" w:hAnsi="Verdana"/>
          <w:sz w:val="20"/>
          <w:lang w:val="es-MX"/>
        </w:rPr>
      </w:pPr>
      <w:r w:rsidRPr="007F019B">
        <w:rPr>
          <w:rFonts w:ascii="Verdana" w:hAnsi="Verdana"/>
          <w:sz w:val="20"/>
          <w:lang w:val="es-ES"/>
        </w:rPr>
        <w:t xml:space="preserve">Ahora bien, respecto del alcance del parágrafo </w:t>
      </w:r>
      <w:r w:rsidRPr="007F019B">
        <w:rPr>
          <w:rFonts w:ascii="Verdana" w:hAnsi="Verdana"/>
          <w:sz w:val="20"/>
        </w:rPr>
        <w:t xml:space="preserve">del artículo 38 de la Ley 996 de 2005, esta prohibición dispone en primera medida que: “[l]os Gobernadores, </w:t>
      </w:r>
      <w:proofErr w:type="gramStart"/>
      <w:r w:rsidRPr="007F019B">
        <w:rPr>
          <w:rFonts w:ascii="Verdana" w:hAnsi="Verdana"/>
          <w:sz w:val="20"/>
        </w:rPr>
        <w:t>Alcaldes</w:t>
      </w:r>
      <w:proofErr w:type="gramEnd"/>
      <w:r w:rsidRPr="007F019B">
        <w:rPr>
          <w:rFonts w:ascii="Verdana" w:hAnsi="Verdana"/>
          <w:sz w:val="20"/>
        </w:rPr>
        <w:t xml:space="preserve"> Municipales y/o Distritales, </w:t>
      </w:r>
      <w:proofErr w:type="gramStart"/>
      <w:r w:rsidRPr="007F019B">
        <w:rPr>
          <w:rFonts w:ascii="Verdana" w:hAnsi="Verdana"/>
          <w:sz w:val="20"/>
        </w:rPr>
        <w:t>Secretarios</w:t>
      </w:r>
      <w:proofErr w:type="gramEnd"/>
      <w:r w:rsidRPr="007F019B">
        <w:rPr>
          <w:rFonts w:ascii="Verdana" w:hAnsi="Verdana"/>
          <w:sz w:val="20"/>
        </w:rPr>
        <w:t xml:space="preserve">, Gerentes y directores de Entidades Descentralizadas del orden Municipal, Departamental o Distrital, dentro de los cuatro (4) meses anteriores a las elecciones, no podrán celebrar </w:t>
      </w:r>
      <w:r w:rsidRPr="007F019B">
        <w:rPr>
          <w:rFonts w:ascii="Verdana" w:hAnsi="Verdana"/>
          <w:i/>
          <w:iCs/>
          <w:sz w:val="20"/>
        </w:rPr>
        <w:t>convenios interadministrativos</w:t>
      </w:r>
      <w:r w:rsidRPr="007F019B">
        <w:rPr>
          <w:rFonts w:ascii="Verdana" w:hAnsi="Verdana"/>
          <w:sz w:val="20"/>
        </w:rPr>
        <w:t xml:space="preserve"> </w:t>
      </w:r>
      <w:r w:rsidRPr="007F019B">
        <w:rPr>
          <w:rFonts w:ascii="Verdana" w:hAnsi="Verdana"/>
          <w:i/>
          <w:iCs/>
          <w:sz w:val="20"/>
        </w:rPr>
        <w:t>para la ejecución de recursos públicos</w:t>
      </w:r>
      <w:r w:rsidRPr="007F019B">
        <w:rPr>
          <w:rFonts w:ascii="Verdana" w:hAnsi="Verdana"/>
          <w:sz w:val="20"/>
        </w:rPr>
        <w:t>”.</w:t>
      </w:r>
      <w:r w:rsidRPr="007F019B">
        <w:rPr>
          <w:rFonts w:ascii="Verdana" w:hAnsi="Verdana"/>
          <w:sz w:val="20"/>
          <w:lang w:val="es-MX"/>
        </w:rPr>
        <w:t xml:space="preserve"> [Énfasis fuera del texto original]</w:t>
      </w:r>
    </w:p>
    <w:p w14:paraId="7F37BF01" w14:textId="77777777" w:rsidR="00F050BF" w:rsidRPr="007F019B" w:rsidRDefault="00F050BF" w:rsidP="00F050BF">
      <w:pPr>
        <w:spacing w:after="0" w:line="240" w:lineRule="auto"/>
        <w:jc w:val="both"/>
        <w:rPr>
          <w:rFonts w:ascii="Verdana" w:hAnsi="Verdana"/>
          <w:sz w:val="20"/>
          <w:lang w:val="es-ES"/>
        </w:rPr>
      </w:pPr>
    </w:p>
    <w:p w14:paraId="18A796FB" w14:textId="77777777" w:rsidR="00F050BF" w:rsidRDefault="00F050BF" w:rsidP="00F050BF">
      <w:pPr>
        <w:spacing w:after="0" w:line="240" w:lineRule="auto"/>
        <w:jc w:val="both"/>
        <w:rPr>
          <w:rFonts w:ascii="Verdana" w:hAnsi="Verdana"/>
          <w:sz w:val="20"/>
        </w:rPr>
      </w:pPr>
      <w:r w:rsidRPr="007F019B">
        <w:rPr>
          <w:rFonts w:ascii="Verdana" w:hAnsi="Verdana"/>
          <w:sz w:val="20"/>
          <w:lang w:val="es-ES"/>
        </w:rPr>
        <w:t xml:space="preserve">Para tales efectos, debe precisarse que los contratos o convenios interadministrativos están determinados por un criterio orgánico, pues es necesario que los extremos de la relación contractual sean entidades públicas, </w:t>
      </w:r>
      <w:r w:rsidRPr="007F019B">
        <w:rPr>
          <w:rFonts w:ascii="Verdana" w:hAnsi="Verdana"/>
          <w:sz w:val="20"/>
        </w:rPr>
        <w:t>independientemente de las normas que regulan la relación contractual. En este sentido, los convenios interadministrativos solo pueden ser celebrados entre entidades públicas, pues a éstas corresponde la realización de los fines y tareas que el legislador les ha asignado.</w:t>
      </w:r>
    </w:p>
    <w:p w14:paraId="7057DA58" w14:textId="77777777" w:rsidR="00F050BF" w:rsidRPr="007F019B" w:rsidRDefault="00F050BF" w:rsidP="00F050BF">
      <w:pPr>
        <w:spacing w:after="0" w:line="240" w:lineRule="auto"/>
        <w:jc w:val="both"/>
        <w:rPr>
          <w:rFonts w:ascii="Verdana" w:hAnsi="Verdana"/>
          <w:sz w:val="20"/>
        </w:rPr>
      </w:pPr>
    </w:p>
    <w:p w14:paraId="6C462601" w14:textId="756066E3" w:rsidR="00F050BF" w:rsidRDefault="00F050BF" w:rsidP="00F050BF">
      <w:pPr>
        <w:spacing w:after="0" w:line="240" w:lineRule="auto"/>
        <w:jc w:val="both"/>
        <w:rPr>
          <w:rFonts w:ascii="Verdana" w:hAnsi="Verdana"/>
          <w:sz w:val="20"/>
          <w:lang w:val="es-ES_tradnl"/>
        </w:rPr>
      </w:pPr>
      <w:r w:rsidRPr="007F019B">
        <w:rPr>
          <w:rFonts w:ascii="Verdana" w:hAnsi="Verdana"/>
          <w:sz w:val="20"/>
          <w:lang w:val="es-ES_tradnl"/>
        </w:rPr>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 como es el caso de un municipio – bien puede celebrar esta clase de convenios con una Entidad Estatal de régimen especial y no por ello dejará de ser un contrato o convenio interadministrativo.</w:t>
      </w:r>
    </w:p>
    <w:p w14:paraId="7205E891" w14:textId="5FA034F3" w:rsidR="006271BC" w:rsidRDefault="006271BC" w:rsidP="006271BC">
      <w:pPr>
        <w:spacing w:after="0" w:line="240" w:lineRule="auto"/>
        <w:jc w:val="both"/>
        <w:rPr>
          <w:rFonts w:ascii="Verdana" w:hAnsi="Verdana"/>
          <w:b/>
          <w:lang w:val="es-MX"/>
        </w:rPr>
      </w:pPr>
    </w:p>
    <w:p w14:paraId="781E404F" w14:textId="3B9620DE" w:rsidR="006271BC" w:rsidRPr="006271BC" w:rsidRDefault="006271BC" w:rsidP="006271BC">
      <w:pPr>
        <w:spacing w:after="0" w:line="240" w:lineRule="auto"/>
        <w:jc w:val="both"/>
        <w:rPr>
          <w:rFonts w:ascii="Verdana" w:hAnsi="Verdana"/>
          <w:b/>
          <w:bCs/>
          <w:lang w:val="es-MX"/>
        </w:rPr>
      </w:pPr>
      <w:r w:rsidRPr="006271BC">
        <w:rPr>
          <w:rFonts w:ascii="Verdana" w:hAnsi="Verdana" w:cs="Arial"/>
          <w:b/>
          <w:bCs/>
          <w:lang w:val="es-MX" w:eastAsia="es-ES_tradnl"/>
        </w:rPr>
        <w:t>LEY DE GARANTÍAS ELECTORALES –Restricción- Convenios interadministrativos – Convenios derivados</w:t>
      </w:r>
    </w:p>
    <w:p w14:paraId="67B809EB" w14:textId="77777777" w:rsidR="006271BC" w:rsidRDefault="006271BC" w:rsidP="006271BC">
      <w:pPr>
        <w:spacing w:after="0"/>
        <w:rPr>
          <w:rFonts w:ascii="Verdana" w:hAnsi="Verdana"/>
          <w:lang w:val="es-MX"/>
        </w:rPr>
      </w:pPr>
    </w:p>
    <w:p w14:paraId="41F23F83" w14:textId="77777777" w:rsidR="008C6F22" w:rsidRDefault="008C6F22" w:rsidP="008C6F22">
      <w:pPr>
        <w:spacing w:after="0" w:line="240" w:lineRule="auto"/>
        <w:jc w:val="both"/>
        <w:rPr>
          <w:rFonts w:ascii="Verdana" w:hAnsi="Verdana"/>
          <w:i/>
          <w:iCs/>
          <w:sz w:val="20"/>
        </w:rPr>
      </w:pPr>
      <w:r w:rsidRPr="007F019B">
        <w:rPr>
          <w:rFonts w:ascii="Verdana" w:hAnsi="Verdana"/>
          <w:sz w:val="20"/>
          <w:lang w:val="es-MX"/>
        </w:rPr>
        <w:t xml:space="preserve">De conformidad con los argumentos de dicha providencia, se parte de la distinción entre los conceptos </w:t>
      </w:r>
      <w:r w:rsidRPr="007F019B">
        <w:rPr>
          <w:rFonts w:ascii="Verdana" w:hAnsi="Verdana"/>
          <w:sz w:val="20"/>
        </w:rPr>
        <w:t xml:space="preserve">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 En este sentido, en relación con el parágrafo del artículo 38 de la Ley 996 de 2005 concluyó que </w:t>
      </w:r>
      <w:r w:rsidRPr="007F019B">
        <w:rPr>
          <w:rFonts w:ascii="Verdana" w:hAnsi="Verdana"/>
          <w:i/>
          <w:iCs/>
          <w:sz w:val="20"/>
        </w:rPr>
        <w:t xml:space="preserve">“si el legislador no diferenció al establecer la prohibición o la restricción, mal haría el reglamento en aplicar un efecto expansivo o extensivo para incluir una categoría no cobijada con la limitación, (…)”. </w:t>
      </w:r>
      <w:r w:rsidRPr="007F019B">
        <w:rPr>
          <w:rFonts w:ascii="Verdana" w:hAnsi="Verdana"/>
          <w:sz w:val="20"/>
        </w:rPr>
        <w:t xml:space="preserve">Por tal motivo, para efectos de decretar la medida de </w:t>
      </w:r>
      <w:r w:rsidRPr="007F019B">
        <w:rPr>
          <w:rFonts w:ascii="Verdana" w:hAnsi="Verdana"/>
          <w:sz w:val="20"/>
        </w:rPr>
        <w:lastRenderedPageBreak/>
        <w:t xml:space="preserve">suspensión provisional de los apartes señalados del numeral 16.2 de la Circular Externa Única, argumentó que </w:t>
      </w:r>
      <w:r w:rsidRPr="007F019B">
        <w:rPr>
          <w:rFonts w:ascii="Verdana" w:hAnsi="Verdana"/>
          <w:i/>
          <w:iCs/>
          <w:sz w:val="20"/>
        </w:rPr>
        <w:t>“con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w:t>
      </w:r>
      <w:r w:rsidRPr="007F019B">
        <w:rPr>
          <w:rFonts w:ascii="Verdana" w:hAnsi="Verdana"/>
          <w:sz w:val="20"/>
        </w:rPr>
        <w:t>”</w:t>
      </w:r>
      <w:r w:rsidRPr="007F019B">
        <w:rPr>
          <w:rFonts w:ascii="Verdana" w:hAnsi="Verdana"/>
          <w:i/>
          <w:iCs/>
          <w:sz w:val="20"/>
        </w:rPr>
        <w:t>.</w:t>
      </w:r>
    </w:p>
    <w:p w14:paraId="057B56A4" w14:textId="77777777" w:rsidR="008C6F22" w:rsidRPr="007F019B" w:rsidRDefault="008C6F22" w:rsidP="008C6F22">
      <w:pPr>
        <w:spacing w:after="0" w:line="240" w:lineRule="auto"/>
        <w:jc w:val="both"/>
        <w:rPr>
          <w:rFonts w:ascii="Verdana" w:hAnsi="Verdana"/>
          <w:i/>
          <w:iCs/>
          <w:sz w:val="20"/>
        </w:rPr>
      </w:pPr>
      <w:r w:rsidRPr="007F019B">
        <w:rPr>
          <w:rFonts w:ascii="Verdana" w:hAnsi="Verdana"/>
          <w:i/>
          <w:iCs/>
          <w:sz w:val="20"/>
        </w:rPr>
        <w:t xml:space="preserve"> </w:t>
      </w:r>
    </w:p>
    <w:p w14:paraId="67B78115" w14:textId="77777777" w:rsidR="008C6F22" w:rsidRDefault="008C6F22" w:rsidP="008C6F22">
      <w:pPr>
        <w:spacing w:after="0" w:line="240" w:lineRule="auto"/>
        <w:jc w:val="both"/>
        <w:rPr>
          <w:rFonts w:ascii="Verdana" w:hAnsi="Verdana"/>
          <w:sz w:val="20"/>
        </w:rPr>
      </w:pPr>
      <w:r w:rsidRPr="007F019B">
        <w:rPr>
          <w:rFonts w:ascii="Verdana" w:hAnsi="Verdana"/>
          <w:sz w:val="20"/>
        </w:rPr>
        <w:t>De igual manera, mediante auto del 6 de noviembre de 2025, el Consejo de Estado, Subsección A de la Sección Tercera, decretó</w:t>
      </w:r>
      <w:r w:rsidRPr="007F019B">
        <w:rPr>
          <w:rFonts w:ascii="Verdana" w:hAnsi="Verdana"/>
          <w:bCs/>
          <w:sz w:val="20"/>
        </w:rPr>
        <w:t xml:space="preserve"> </w:t>
      </w:r>
      <w:r w:rsidRPr="007F019B">
        <w:rPr>
          <w:rFonts w:ascii="Verdana" w:hAnsi="Verdana"/>
          <w:sz w:val="20"/>
        </w:rPr>
        <w:t xml:space="preserve">la suspensión provisional de los apartes cuestionados del inciso segundo y del inciso cuarto del numeral 16.2 de la Circular Externa Única, versión 3 del 27 de diciembre de 2023, expedida por la Agencia Nacional de Contratación Pública – Colombia Compra Eficiente relacionados con los contratos interadministrativos. Para tales efectos, el alto tribunal resaltó la interpretación restrictiva de las normas que contienen prohibiciones, como la del parágrafo del artículo 38 de la Ley 996 de 2005, por manera que se excluye la analogía </w:t>
      </w:r>
      <w:proofErr w:type="spellStart"/>
      <w:r w:rsidRPr="007F019B">
        <w:rPr>
          <w:rFonts w:ascii="Verdana" w:hAnsi="Verdana"/>
          <w:sz w:val="20"/>
        </w:rPr>
        <w:t>legis</w:t>
      </w:r>
      <w:proofErr w:type="spellEnd"/>
      <w:r w:rsidRPr="007F019B">
        <w:rPr>
          <w:rFonts w:ascii="Verdana" w:hAnsi="Verdana"/>
          <w:sz w:val="20"/>
        </w:rPr>
        <w:t xml:space="preserve"> o iuris y la interpretación extensiva y reiteró los argumentos sobre la diferencia entre contratos y convenios interadministrativos. </w:t>
      </w:r>
    </w:p>
    <w:p w14:paraId="05DFE29E" w14:textId="77777777" w:rsidR="008C6F22" w:rsidRPr="007F019B" w:rsidRDefault="008C6F22" w:rsidP="008C6F22">
      <w:pPr>
        <w:spacing w:after="0" w:line="240" w:lineRule="auto"/>
        <w:jc w:val="both"/>
        <w:rPr>
          <w:rFonts w:ascii="Verdana" w:hAnsi="Verdana"/>
          <w:sz w:val="20"/>
        </w:rPr>
      </w:pPr>
    </w:p>
    <w:p w14:paraId="79056EA8" w14:textId="77777777" w:rsidR="008C6F22" w:rsidRPr="007F019B" w:rsidRDefault="008C6F22" w:rsidP="008C6F22">
      <w:pPr>
        <w:spacing w:after="0" w:line="240" w:lineRule="auto"/>
        <w:jc w:val="both"/>
        <w:rPr>
          <w:rFonts w:ascii="Verdana" w:hAnsi="Verdana"/>
          <w:sz w:val="20"/>
        </w:rPr>
      </w:pPr>
      <w:r w:rsidRPr="007F019B">
        <w:rPr>
          <w:rFonts w:ascii="Verdana" w:hAnsi="Verdana"/>
          <w:sz w:val="20"/>
        </w:rPr>
        <w:t xml:space="preserve">Finalmente, mediante sentencia del 17 de octubre de 2025, emitida por la Sección Tercera del Consejo de Estado, dentro del expediente 11001-03-26-000-2023-00139-00, se declaró la nulidad parcial del numeral 16.2 de la Circular Externa Única de 2022 expedida por la Agencia Nacional de Contratación Pública - Colombia Compra Eficiente que indicaba: “Esta restricción es aplicable tanto a los convenios como a los contratos interadministrativos […]”. </w:t>
      </w:r>
    </w:p>
    <w:p w14:paraId="33AF9578" w14:textId="6A8F1CCF" w:rsidR="006271BC" w:rsidRDefault="006271BC" w:rsidP="000D21F5">
      <w:pPr>
        <w:spacing w:after="0" w:line="240" w:lineRule="auto"/>
        <w:jc w:val="both"/>
        <w:rPr>
          <w:rFonts w:ascii="Verdana" w:hAnsi="Verdana"/>
        </w:rPr>
      </w:pPr>
    </w:p>
    <w:p w14:paraId="04D84817" w14:textId="77777777" w:rsidR="00F050BF" w:rsidRDefault="00F050BF" w:rsidP="009E5C98">
      <w:pPr>
        <w:spacing w:after="0" w:line="240" w:lineRule="auto"/>
        <w:jc w:val="both"/>
        <w:rPr>
          <w:rFonts w:ascii="Verdana" w:hAnsi="Verdana"/>
        </w:rPr>
      </w:pPr>
    </w:p>
    <w:p w14:paraId="0A27430B" w14:textId="77777777" w:rsidR="00F050BF" w:rsidRDefault="00F050BF" w:rsidP="009E5C98">
      <w:pPr>
        <w:spacing w:after="0" w:line="240" w:lineRule="auto"/>
        <w:jc w:val="both"/>
        <w:rPr>
          <w:rFonts w:ascii="Verdana" w:hAnsi="Verdana"/>
        </w:rPr>
      </w:pPr>
    </w:p>
    <w:p w14:paraId="03FB1671" w14:textId="77777777" w:rsidR="00F050BF" w:rsidRDefault="00F050BF" w:rsidP="009E5C98">
      <w:pPr>
        <w:spacing w:after="0" w:line="240" w:lineRule="auto"/>
        <w:jc w:val="both"/>
        <w:rPr>
          <w:rFonts w:ascii="Verdana" w:hAnsi="Verdana"/>
        </w:rPr>
      </w:pPr>
    </w:p>
    <w:p w14:paraId="44812AA5" w14:textId="77777777" w:rsidR="00F050BF" w:rsidRDefault="00F050BF" w:rsidP="009E5C98">
      <w:pPr>
        <w:spacing w:after="0" w:line="240" w:lineRule="auto"/>
        <w:jc w:val="both"/>
        <w:rPr>
          <w:rFonts w:ascii="Verdana" w:hAnsi="Verdana"/>
        </w:rPr>
      </w:pPr>
    </w:p>
    <w:p w14:paraId="089BD97C" w14:textId="77777777" w:rsidR="00F050BF" w:rsidRDefault="00F050BF" w:rsidP="009E5C98">
      <w:pPr>
        <w:spacing w:after="0" w:line="240" w:lineRule="auto"/>
        <w:jc w:val="both"/>
        <w:rPr>
          <w:rFonts w:ascii="Verdana" w:hAnsi="Verdana"/>
        </w:rPr>
      </w:pPr>
    </w:p>
    <w:p w14:paraId="53B1E47D" w14:textId="77777777" w:rsidR="00F050BF" w:rsidRDefault="00F050BF" w:rsidP="009E5C98">
      <w:pPr>
        <w:spacing w:after="0" w:line="240" w:lineRule="auto"/>
        <w:jc w:val="both"/>
        <w:rPr>
          <w:rFonts w:ascii="Verdana" w:hAnsi="Verdana"/>
        </w:rPr>
      </w:pPr>
    </w:p>
    <w:p w14:paraId="4D79D040" w14:textId="77777777" w:rsidR="00F050BF" w:rsidRDefault="00F050BF" w:rsidP="009E5C98">
      <w:pPr>
        <w:spacing w:after="0" w:line="240" w:lineRule="auto"/>
        <w:jc w:val="both"/>
        <w:rPr>
          <w:rFonts w:ascii="Verdana" w:hAnsi="Verdana"/>
        </w:rPr>
      </w:pPr>
    </w:p>
    <w:p w14:paraId="39BEA633" w14:textId="77777777" w:rsidR="00F050BF" w:rsidRDefault="00F050BF" w:rsidP="009E5C98">
      <w:pPr>
        <w:spacing w:after="0" w:line="240" w:lineRule="auto"/>
        <w:jc w:val="both"/>
        <w:rPr>
          <w:rFonts w:ascii="Verdana" w:hAnsi="Verdana"/>
        </w:rPr>
      </w:pPr>
    </w:p>
    <w:p w14:paraId="6F22B0F0" w14:textId="77777777" w:rsidR="00F050BF" w:rsidRDefault="00F050BF" w:rsidP="009E5C98">
      <w:pPr>
        <w:spacing w:after="0" w:line="240" w:lineRule="auto"/>
        <w:jc w:val="both"/>
        <w:rPr>
          <w:rFonts w:ascii="Verdana" w:hAnsi="Verdana"/>
        </w:rPr>
      </w:pPr>
    </w:p>
    <w:p w14:paraId="6ABC671D" w14:textId="77777777" w:rsidR="00F050BF" w:rsidRDefault="00F050BF" w:rsidP="009E5C98">
      <w:pPr>
        <w:spacing w:after="0" w:line="240" w:lineRule="auto"/>
        <w:jc w:val="both"/>
        <w:rPr>
          <w:rFonts w:ascii="Verdana" w:hAnsi="Verdana"/>
        </w:rPr>
      </w:pPr>
    </w:p>
    <w:p w14:paraId="3F1CC242" w14:textId="77777777" w:rsidR="00F050BF" w:rsidRDefault="00F050BF" w:rsidP="009E5C98">
      <w:pPr>
        <w:spacing w:after="0" w:line="240" w:lineRule="auto"/>
        <w:jc w:val="both"/>
        <w:rPr>
          <w:rFonts w:ascii="Verdana" w:hAnsi="Verdana"/>
        </w:rPr>
      </w:pPr>
    </w:p>
    <w:p w14:paraId="108E8713" w14:textId="77777777" w:rsidR="00F050BF" w:rsidRDefault="00F050BF" w:rsidP="009E5C98">
      <w:pPr>
        <w:spacing w:after="0" w:line="240" w:lineRule="auto"/>
        <w:jc w:val="both"/>
        <w:rPr>
          <w:rFonts w:ascii="Verdana" w:hAnsi="Verdana"/>
        </w:rPr>
      </w:pPr>
    </w:p>
    <w:p w14:paraId="39E7ECD0" w14:textId="77777777" w:rsidR="008C6F22" w:rsidRDefault="008C6F22" w:rsidP="009E5C98">
      <w:pPr>
        <w:spacing w:after="0" w:line="240" w:lineRule="auto"/>
        <w:jc w:val="both"/>
        <w:rPr>
          <w:rFonts w:ascii="Verdana" w:hAnsi="Verdana"/>
        </w:rPr>
      </w:pPr>
    </w:p>
    <w:p w14:paraId="4446BF75" w14:textId="77777777" w:rsidR="008C6F22" w:rsidRDefault="008C6F22" w:rsidP="009E5C98">
      <w:pPr>
        <w:spacing w:after="0" w:line="240" w:lineRule="auto"/>
        <w:jc w:val="both"/>
        <w:rPr>
          <w:rFonts w:ascii="Verdana" w:hAnsi="Verdana"/>
        </w:rPr>
      </w:pPr>
    </w:p>
    <w:p w14:paraId="4D89A64C" w14:textId="77777777" w:rsidR="008C6F22" w:rsidRDefault="008C6F22" w:rsidP="009E5C98">
      <w:pPr>
        <w:spacing w:after="0" w:line="240" w:lineRule="auto"/>
        <w:jc w:val="both"/>
        <w:rPr>
          <w:rFonts w:ascii="Verdana" w:hAnsi="Verdana"/>
        </w:rPr>
      </w:pPr>
    </w:p>
    <w:p w14:paraId="686D377F" w14:textId="77777777" w:rsidR="008C6F22" w:rsidRDefault="008C6F22" w:rsidP="009E5C98">
      <w:pPr>
        <w:spacing w:after="0" w:line="240" w:lineRule="auto"/>
        <w:jc w:val="both"/>
        <w:rPr>
          <w:rFonts w:ascii="Verdana" w:hAnsi="Verdana"/>
        </w:rPr>
      </w:pPr>
    </w:p>
    <w:p w14:paraId="5CE68DB1" w14:textId="77777777" w:rsidR="008C6F22" w:rsidRDefault="008C6F22" w:rsidP="009E5C98">
      <w:pPr>
        <w:spacing w:after="0" w:line="240" w:lineRule="auto"/>
        <w:jc w:val="both"/>
        <w:rPr>
          <w:rFonts w:ascii="Verdana" w:hAnsi="Verdana"/>
        </w:rPr>
      </w:pPr>
    </w:p>
    <w:p w14:paraId="342701B3" w14:textId="6749B49E" w:rsidR="009E5C98" w:rsidRPr="008E4F36" w:rsidRDefault="00A74A23" w:rsidP="009E5C98">
      <w:pPr>
        <w:spacing w:after="0" w:line="240" w:lineRule="auto"/>
        <w:jc w:val="both"/>
        <w:rPr>
          <w:rFonts w:ascii="Verdana" w:hAnsi="Verdana"/>
        </w:rPr>
      </w:pPr>
      <w:r w:rsidRPr="00A74A23">
        <w:rPr>
          <w:rFonts w:ascii="Verdana" w:hAnsi="Verdana"/>
        </w:rPr>
        <w:lastRenderedPageBreak/>
        <w:t xml:space="preserve">Bogotá D.C., 16 </w:t>
      </w:r>
      <w:r>
        <w:rPr>
          <w:rFonts w:ascii="Verdana" w:hAnsi="Verdana"/>
        </w:rPr>
        <w:t>f</w:t>
      </w:r>
      <w:r w:rsidRPr="00A74A23">
        <w:rPr>
          <w:rFonts w:ascii="Verdana" w:hAnsi="Verdana"/>
        </w:rPr>
        <w:t xml:space="preserve">ebrero 2026 </w:t>
      </w:r>
      <w:r>
        <w:rPr>
          <w:rFonts w:ascii="Verdana" w:hAnsi="Verdana"/>
        </w:rPr>
        <w:t xml:space="preserve"> </w:t>
      </w:r>
      <w:r w:rsidR="009E5C98">
        <w:rPr>
          <w:rFonts w:ascii="Verdana" w:hAnsi="Verdana"/>
        </w:rPr>
        <w:t xml:space="preserve"> </w:t>
      </w:r>
    </w:p>
    <w:p w14:paraId="5778F27D" w14:textId="6BD1DB79" w:rsidR="009E5C98" w:rsidRPr="008E4F36" w:rsidRDefault="007D11BA" w:rsidP="009E5C98">
      <w:pPr>
        <w:spacing w:after="0" w:line="240" w:lineRule="auto"/>
        <w:jc w:val="both"/>
        <w:rPr>
          <w:rFonts w:ascii="Verdana" w:eastAsia="Calibri" w:hAnsi="Verdana" w:cs="Arial"/>
          <w:lang w:eastAsia="es-ES"/>
        </w:rPr>
      </w:pPr>
      <w:bookmarkStart w:id="0" w:name="_Hlk197462763"/>
      <w:bookmarkStart w:id="1" w:name="_Hlk197529996"/>
      <w:r w:rsidRPr="007D11BA">
        <w:rPr>
          <w:rFonts w:ascii="Verdana" w:eastAsia="Calibri" w:hAnsi="Verdana" w:cs="Arial"/>
          <w:noProof/>
          <w:lang w:eastAsia="es-ES"/>
        </w:rPr>
        <w:drawing>
          <wp:anchor distT="0" distB="0" distL="114300" distR="114300" simplePos="0" relativeHeight="251658240" behindDoc="1" locked="0" layoutInCell="1" allowOverlap="1" wp14:anchorId="1E06C1D1" wp14:editId="1E56E7CA">
            <wp:simplePos x="0" y="0"/>
            <wp:positionH relativeFrom="column">
              <wp:posOffset>3223453</wp:posOffset>
            </wp:positionH>
            <wp:positionV relativeFrom="paragraph">
              <wp:posOffset>68304</wp:posOffset>
            </wp:positionV>
            <wp:extent cx="2638425" cy="752475"/>
            <wp:effectExtent l="0" t="0" r="9525" b="9525"/>
            <wp:wrapTight wrapText="bothSides">
              <wp:wrapPolygon edited="0">
                <wp:start x="0" y="0"/>
                <wp:lineTo x="0" y="21327"/>
                <wp:lineTo x="21522" y="21327"/>
                <wp:lineTo x="21522" y="0"/>
                <wp:lineTo x="0" y="0"/>
              </wp:wrapPolygon>
            </wp:wrapTight>
            <wp:docPr id="596474277"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474277" name="Imagen 1" descr="Texto&#10;&#10;El contenido generado por IA puede ser incorrecto."/>
                    <pic:cNvPicPr/>
                  </pic:nvPicPr>
                  <pic:blipFill>
                    <a:blip r:embed="rId7">
                      <a:extLst>
                        <a:ext uri="{28A0092B-C50C-407E-A947-70E740481C1C}">
                          <a14:useLocalDpi xmlns:a14="http://schemas.microsoft.com/office/drawing/2010/main" val="0"/>
                        </a:ext>
                      </a:extLst>
                    </a:blip>
                    <a:stretch>
                      <a:fillRect/>
                    </a:stretch>
                  </pic:blipFill>
                  <pic:spPr>
                    <a:xfrm>
                      <a:off x="0" y="0"/>
                      <a:ext cx="2638425" cy="752475"/>
                    </a:xfrm>
                    <a:prstGeom prst="rect">
                      <a:avLst/>
                    </a:prstGeom>
                  </pic:spPr>
                </pic:pic>
              </a:graphicData>
            </a:graphic>
          </wp:anchor>
        </w:drawing>
      </w:r>
    </w:p>
    <w:p w14:paraId="55FB83AB" w14:textId="1042C024" w:rsidR="009E5C98" w:rsidRDefault="009E5C98" w:rsidP="009E5C98">
      <w:pPr>
        <w:spacing w:after="0" w:line="240" w:lineRule="auto"/>
        <w:jc w:val="both"/>
        <w:rPr>
          <w:rFonts w:ascii="Verdana" w:eastAsia="Calibri" w:hAnsi="Verdana" w:cs="Arial"/>
          <w:lang w:eastAsia="es-ES"/>
        </w:rPr>
      </w:pPr>
    </w:p>
    <w:p w14:paraId="2CF7244B" w14:textId="77777777" w:rsidR="009E5C98" w:rsidRPr="008E4F36" w:rsidRDefault="009E5C98" w:rsidP="009E5C98">
      <w:pPr>
        <w:spacing w:after="0" w:line="240" w:lineRule="auto"/>
        <w:jc w:val="both"/>
        <w:rPr>
          <w:rFonts w:ascii="Verdana" w:eastAsia="Calibri" w:hAnsi="Verdana" w:cs="Arial"/>
          <w:lang w:eastAsia="es-ES"/>
        </w:rPr>
      </w:pPr>
      <w:r w:rsidRPr="008E4F36">
        <w:rPr>
          <w:rFonts w:ascii="Verdana" w:eastAsia="Calibri" w:hAnsi="Verdana" w:cs="Arial"/>
          <w:lang w:eastAsia="es-ES"/>
        </w:rPr>
        <w:t>Señor</w:t>
      </w:r>
    </w:p>
    <w:p w14:paraId="20381DAD" w14:textId="77777777" w:rsidR="009E5C98" w:rsidRPr="000F2158" w:rsidRDefault="009E5C98" w:rsidP="009E5C98">
      <w:pPr>
        <w:spacing w:after="0" w:line="240" w:lineRule="auto"/>
        <w:jc w:val="both"/>
        <w:rPr>
          <w:rFonts w:ascii="Verdana" w:eastAsia="Calibri" w:hAnsi="Verdana" w:cs="Arial"/>
          <w:b/>
          <w:highlight w:val="yellow"/>
          <w:lang w:eastAsia="es-ES_tradnl"/>
        </w:rPr>
      </w:pPr>
      <w:r w:rsidRPr="000F08B7">
        <w:rPr>
          <w:rFonts w:ascii="Verdana" w:eastAsia="Calibri" w:hAnsi="Verdana" w:cs="Arial"/>
          <w:b/>
          <w:lang w:eastAsia="es-ES_tradnl"/>
        </w:rPr>
        <w:t>Bayron Joaquin Ospina Trespalacios</w:t>
      </w:r>
      <w:r>
        <w:rPr>
          <w:rFonts w:ascii="Verdana" w:eastAsia="Calibri" w:hAnsi="Verdana" w:cs="Arial"/>
          <w:b/>
          <w:lang w:eastAsia="es-ES_tradnl"/>
        </w:rPr>
        <w:t xml:space="preserve"> </w:t>
      </w:r>
    </w:p>
    <w:p w14:paraId="23D733D1" w14:textId="77777777" w:rsidR="009E5C98" w:rsidRPr="0035014E" w:rsidRDefault="009E5C98" w:rsidP="009E5C98">
      <w:pPr>
        <w:spacing w:after="0" w:line="240" w:lineRule="auto"/>
        <w:jc w:val="both"/>
        <w:rPr>
          <w:rFonts w:ascii="Verdana" w:eastAsia="Calibri" w:hAnsi="Verdana" w:cs="Arial"/>
          <w:b/>
          <w:highlight w:val="yellow"/>
          <w:lang w:eastAsia="es-ES_tradnl"/>
        </w:rPr>
      </w:pPr>
      <w:hyperlink r:id="rId8" w:history="1">
        <w:r w:rsidRPr="0035014E">
          <w:rPr>
            <w:rStyle w:val="Hipervnculo"/>
            <w:rFonts w:ascii="Verdana" w:eastAsia="Calibri" w:hAnsi="Verdana" w:cs="Arial"/>
            <w:b/>
            <w:lang w:eastAsia="es-ES_tradnl"/>
          </w:rPr>
          <w:t>juridica@corozal-sucre.gov.co</w:t>
        </w:r>
      </w:hyperlink>
      <w:r w:rsidRPr="0035014E">
        <w:rPr>
          <w:rFonts w:ascii="Verdana" w:eastAsia="Calibri" w:hAnsi="Verdana" w:cs="Arial"/>
          <w:b/>
          <w:lang w:eastAsia="es-ES_tradnl"/>
        </w:rPr>
        <w:t xml:space="preserve"> </w:t>
      </w:r>
    </w:p>
    <w:p w14:paraId="11EB94B9" w14:textId="77777777" w:rsidR="009E5C98" w:rsidRPr="00D246C4" w:rsidRDefault="009E5C98" w:rsidP="009E5C98">
      <w:pPr>
        <w:spacing w:after="0" w:line="240" w:lineRule="auto"/>
        <w:jc w:val="both"/>
        <w:rPr>
          <w:rFonts w:ascii="Verdana" w:eastAsia="Calibri" w:hAnsi="Verdana" w:cs="Arial"/>
          <w:bCs/>
          <w:lang w:eastAsia="es-ES_tradnl"/>
        </w:rPr>
      </w:pPr>
      <w:r w:rsidRPr="00D246C4">
        <w:rPr>
          <w:rFonts w:ascii="Verdana" w:eastAsia="Calibri" w:hAnsi="Verdana" w:cs="Arial"/>
          <w:bCs/>
          <w:lang w:eastAsia="es-ES_tradnl"/>
        </w:rPr>
        <w:t>Corozal, Sucre</w:t>
      </w:r>
    </w:p>
    <w:p w14:paraId="15B52EBD" w14:textId="77777777" w:rsidR="009E5C98" w:rsidRPr="005B4C57" w:rsidRDefault="009E5C98" w:rsidP="009E5C98">
      <w:pPr>
        <w:spacing w:after="0" w:line="240" w:lineRule="auto"/>
        <w:jc w:val="both"/>
        <w:rPr>
          <w:rFonts w:ascii="Verdana" w:eastAsia="Calibri" w:hAnsi="Verdana" w:cs="Arial"/>
          <w:b/>
          <w:bCs/>
          <w:color w:val="000000"/>
          <w:lang w:val="it-CH"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9E5C98" w:rsidRPr="002842E0" w14:paraId="68E196F9" w14:textId="77777777" w:rsidTr="00885778">
        <w:trPr>
          <w:trHeight w:val="162"/>
        </w:trPr>
        <w:tc>
          <w:tcPr>
            <w:tcW w:w="3119" w:type="dxa"/>
          </w:tcPr>
          <w:p w14:paraId="62CEBE9B" w14:textId="77777777" w:rsidR="009E5C98" w:rsidRPr="005B4C57" w:rsidRDefault="009E5C98" w:rsidP="00885778">
            <w:pPr>
              <w:jc w:val="both"/>
              <w:rPr>
                <w:rFonts w:ascii="Verdana" w:eastAsia="Calibri" w:hAnsi="Verdana" w:cs="Arial"/>
                <w:b/>
                <w:bCs/>
                <w:color w:val="7030A0"/>
                <w:lang w:val="it-CH" w:eastAsia="es-ES_tradnl"/>
              </w:rPr>
            </w:pPr>
          </w:p>
        </w:tc>
        <w:tc>
          <w:tcPr>
            <w:tcW w:w="5670" w:type="dxa"/>
          </w:tcPr>
          <w:p w14:paraId="3073381F" w14:textId="77777777" w:rsidR="009E5C98" w:rsidRPr="00801462" w:rsidRDefault="009E5C98" w:rsidP="00885778">
            <w:pPr>
              <w:jc w:val="both"/>
              <w:rPr>
                <w:rFonts w:ascii="Verdana" w:eastAsia="Calibri" w:hAnsi="Verdana" w:cs="Arial"/>
                <w:b/>
                <w:bCs/>
                <w:lang w:eastAsia="es-ES"/>
              </w:rPr>
            </w:pPr>
            <w:r w:rsidRPr="00083AB6">
              <w:rPr>
                <w:rFonts w:ascii="Verdana" w:eastAsia="Calibri" w:hAnsi="Verdana" w:cs="Arial"/>
                <w:b/>
                <w:bCs/>
                <w:lang w:eastAsia="es-ES"/>
              </w:rPr>
              <w:t xml:space="preserve">Concepto C- </w:t>
            </w:r>
            <w:r>
              <w:rPr>
                <w:rFonts w:ascii="Verdana" w:eastAsia="Calibri" w:hAnsi="Verdana" w:cs="Arial"/>
                <w:b/>
                <w:bCs/>
                <w:lang w:eastAsia="es-ES"/>
              </w:rPr>
              <w:t xml:space="preserve">013 </w:t>
            </w:r>
            <w:r w:rsidRPr="00083AB6">
              <w:rPr>
                <w:rFonts w:ascii="Verdana" w:eastAsia="Calibri" w:hAnsi="Verdana" w:cs="Arial"/>
                <w:b/>
                <w:bCs/>
                <w:lang w:eastAsia="es-ES"/>
              </w:rPr>
              <w:t>de 202</w:t>
            </w:r>
            <w:r>
              <w:rPr>
                <w:rFonts w:ascii="Verdana" w:eastAsia="Calibri" w:hAnsi="Verdana" w:cs="Arial"/>
                <w:b/>
                <w:bCs/>
                <w:lang w:eastAsia="es-ES"/>
              </w:rPr>
              <w:t>6</w:t>
            </w:r>
          </w:p>
          <w:p w14:paraId="4F3CC1BF" w14:textId="77777777" w:rsidR="009E5C98" w:rsidRPr="00801462" w:rsidRDefault="009E5C98" w:rsidP="00885778">
            <w:pPr>
              <w:jc w:val="both"/>
              <w:rPr>
                <w:rFonts w:ascii="Verdana" w:eastAsia="Calibri" w:hAnsi="Verdana" w:cs="Arial"/>
                <w:b/>
                <w:bCs/>
                <w:color w:val="7030A0"/>
                <w:lang w:eastAsia="es-ES"/>
              </w:rPr>
            </w:pPr>
          </w:p>
        </w:tc>
      </w:tr>
      <w:tr w:rsidR="009E5C98" w:rsidRPr="002842E0" w14:paraId="4ABB9CC3" w14:textId="77777777" w:rsidTr="00E22D2D">
        <w:trPr>
          <w:trHeight w:val="3178"/>
        </w:trPr>
        <w:tc>
          <w:tcPr>
            <w:tcW w:w="3119" w:type="dxa"/>
          </w:tcPr>
          <w:p w14:paraId="3169BF73" w14:textId="77777777" w:rsidR="009E5C98" w:rsidRPr="00801462" w:rsidRDefault="009E5C98" w:rsidP="00885778">
            <w:pPr>
              <w:jc w:val="both"/>
              <w:rPr>
                <w:rFonts w:ascii="Verdana" w:eastAsia="Calibri" w:hAnsi="Verdana" w:cs="Arial"/>
                <w:color w:val="000000"/>
                <w:lang w:eastAsia="es-ES_tradnl"/>
              </w:rPr>
            </w:pPr>
            <w:r w:rsidRPr="00801462">
              <w:rPr>
                <w:rFonts w:ascii="Verdana" w:eastAsia="Calibri" w:hAnsi="Verdana" w:cs="Arial"/>
                <w:b/>
                <w:color w:val="000000"/>
                <w:lang w:eastAsia="es-ES_tradnl"/>
              </w:rPr>
              <w:t>Temas:</w:t>
            </w:r>
            <w:r w:rsidRPr="00801462">
              <w:rPr>
                <w:rFonts w:ascii="Verdana" w:eastAsia="Calibri" w:hAnsi="Verdana" w:cs="Arial"/>
                <w:color w:val="000000"/>
                <w:lang w:eastAsia="es-ES_tradnl"/>
              </w:rPr>
              <w:t xml:space="preserve">                   </w:t>
            </w:r>
          </w:p>
        </w:tc>
        <w:tc>
          <w:tcPr>
            <w:tcW w:w="5670" w:type="dxa"/>
          </w:tcPr>
          <w:p w14:paraId="40E27552" w14:textId="77777777" w:rsidR="009E5C98" w:rsidRPr="00801462" w:rsidRDefault="009E5C98" w:rsidP="00885778">
            <w:pPr>
              <w:jc w:val="both"/>
              <w:rPr>
                <w:rFonts w:ascii="Verdana" w:eastAsia="Calibri" w:hAnsi="Verdana" w:cs="Arial"/>
                <w:lang w:val="es-ES_tradnl" w:eastAsia="es-ES"/>
              </w:rPr>
            </w:pPr>
            <w:r w:rsidRPr="00273620">
              <w:rPr>
                <w:rFonts w:ascii="Verdana" w:hAnsi="Verdana" w:cs="Arial"/>
                <w:lang w:val="es-MX" w:eastAsia="es-ES_tradnl"/>
              </w:rPr>
              <w:t xml:space="preserve">LEY DE GARANTÍAS ELECTORALES </w:t>
            </w:r>
            <w:r w:rsidRPr="00273620">
              <w:rPr>
                <w:rFonts w:ascii="Verdana" w:hAnsi="Verdana" w:cs="Arial"/>
                <w:bCs/>
                <w:lang w:val="es-MX" w:eastAsia="es-ES_tradnl"/>
              </w:rPr>
              <w:t>‒</w:t>
            </w:r>
            <w:r w:rsidRPr="00273620">
              <w:rPr>
                <w:rFonts w:ascii="Verdana" w:hAnsi="Verdana" w:cs="Arial"/>
                <w:lang w:val="es-MX" w:eastAsia="es-ES_tradnl"/>
              </w:rPr>
              <w:t xml:space="preserve"> Finalidad / LEY DE GARANTÍAS ELECTORALES </w:t>
            </w:r>
            <w:r w:rsidRPr="00273620">
              <w:rPr>
                <w:rFonts w:ascii="Verdana" w:hAnsi="Verdana" w:cs="Arial"/>
                <w:bCs/>
                <w:lang w:val="es-MX" w:eastAsia="es-ES_tradnl"/>
              </w:rPr>
              <w:t>‒</w:t>
            </w:r>
            <w:r w:rsidRPr="00273620">
              <w:rPr>
                <w:rFonts w:ascii="Verdana" w:hAnsi="Verdana" w:cs="Arial"/>
                <w:lang w:val="es-MX" w:eastAsia="es-ES_tradnl"/>
              </w:rPr>
              <w:t xml:space="preserve"> Tipos de restricciones </w:t>
            </w:r>
            <w:r w:rsidRPr="00273620">
              <w:rPr>
                <w:rFonts w:ascii="Verdana" w:hAnsi="Verdana" w:cs="Arial"/>
                <w:bCs/>
                <w:lang w:val="es-MX" w:eastAsia="es-ES_tradnl"/>
              </w:rPr>
              <w:t>‒</w:t>
            </w:r>
            <w:r w:rsidRPr="00273620">
              <w:rPr>
                <w:rFonts w:ascii="Verdana" w:hAnsi="Verdana" w:cs="Arial"/>
                <w:lang w:val="es-MX" w:eastAsia="es-ES_tradnl"/>
              </w:rPr>
              <w:t xml:space="preserve"> Ámbito temporal</w:t>
            </w:r>
            <w:r>
              <w:rPr>
                <w:rFonts w:ascii="Verdana" w:hAnsi="Verdana" w:cs="Arial"/>
                <w:lang w:val="es-MX" w:eastAsia="es-ES_tradnl"/>
              </w:rPr>
              <w:t xml:space="preserve"> – celebración- límite / LEY DE GARANTÍAS ELECTORALES – Prohibición artículo 33 – Contratación directa – Alcance / LEY DE GARANTÍAS ELECTORALES – Excepciones / LEY DE GARANTÍAS ELECTORALES – Prohibición del artículo 33 – Destinatarios / </w:t>
            </w:r>
            <w:r w:rsidRPr="009F27AB">
              <w:rPr>
                <w:rFonts w:ascii="Verdana" w:hAnsi="Verdana" w:cs="Arial"/>
                <w:lang w:val="es-MX" w:eastAsia="es-ES_tradnl"/>
              </w:rPr>
              <w:t>LEY DE GARANTÍAS ELECTORALES – Contratos y convenios interadministrativos – Criterio orgánico / LEY DE GARANTÍAS ELECTORALES –Restricción- Convenios interadministrativos –</w:t>
            </w:r>
            <w:r>
              <w:rPr>
                <w:rFonts w:ascii="Verdana" w:hAnsi="Verdana" w:cs="Arial"/>
                <w:lang w:val="es-MX" w:eastAsia="es-ES_tradnl"/>
              </w:rPr>
              <w:t xml:space="preserve"> Convenios derivados</w:t>
            </w:r>
          </w:p>
        </w:tc>
      </w:tr>
      <w:tr w:rsidR="009E5C98" w:rsidRPr="002842E0" w14:paraId="676A2765" w14:textId="77777777" w:rsidTr="00885778">
        <w:tc>
          <w:tcPr>
            <w:tcW w:w="3119" w:type="dxa"/>
          </w:tcPr>
          <w:p w14:paraId="1A79B3BE" w14:textId="77777777" w:rsidR="009E5C98" w:rsidRPr="00B540F1" w:rsidRDefault="009E5C98" w:rsidP="00885778">
            <w:pPr>
              <w:jc w:val="both"/>
              <w:rPr>
                <w:rFonts w:ascii="Verdana" w:eastAsia="Calibri" w:hAnsi="Verdana" w:cs="Arial"/>
                <w:b/>
                <w:color w:val="000000" w:themeColor="text1"/>
                <w:lang w:eastAsia="es-ES_tradnl"/>
              </w:rPr>
            </w:pPr>
            <w:r w:rsidRPr="00B540F1">
              <w:rPr>
                <w:rFonts w:ascii="Verdana" w:eastAsia="Calibri" w:hAnsi="Verdana" w:cs="Arial"/>
                <w:b/>
                <w:color w:val="000000" w:themeColor="text1"/>
                <w:lang w:eastAsia="es-ES_tradnl"/>
              </w:rPr>
              <w:t>Radicación:</w:t>
            </w:r>
            <w:r w:rsidRPr="00B540F1">
              <w:rPr>
                <w:rFonts w:ascii="Verdana" w:eastAsia="Calibri" w:hAnsi="Verdana" w:cs="Arial"/>
                <w:color w:val="000000" w:themeColor="text1"/>
                <w:lang w:eastAsia="es-ES_tradnl"/>
              </w:rPr>
              <w:t xml:space="preserve">               </w:t>
            </w:r>
          </w:p>
        </w:tc>
        <w:tc>
          <w:tcPr>
            <w:tcW w:w="5670" w:type="dxa"/>
          </w:tcPr>
          <w:p w14:paraId="49F13DC4" w14:textId="77777777" w:rsidR="009E5C98" w:rsidRPr="00B540F1" w:rsidRDefault="009E5C98" w:rsidP="00885778">
            <w:pPr>
              <w:jc w:val="both"/>
              <w:rPr>
                <w:rFonts w:ascii="Verdana" w:eastAsia="Calibri" w:hAnsi="Verdana" w:cs="Arial"/>
                <w:color w:val="000000" w:themeColor="text1"/>
                <w:lang w:eastAsia="es-ES_tradnl"/>
              </w:rPr>
            </w:pPr>
            <w:r w:rsidRPr="00B540F1">
              <w:rPr>
                <w:rFonts w:ascii="Verdana" w:eastAsia="Calibri" w:hAnsi="Verdana" w:cs="Arial"/>
                <w:color w:val="000000" w:themeColor="text1"/>
                <w:lang w:eastAsia="es-ES_tradnl"/>
              </w:rPr>
              <w:t xml:space="preserve">Respuesta a consulta con radicado </w:t>
            </w:r>
            <w:r w:rsidRPr="00B540F1">
              <w:rPr>
                <w:rFonts w:ascii="Verdana" w:hAnsi="Verdana"/>
                <w:color w:val="000000" w:themeColor="text1"/>
              </w:rPr>
              <w:t>1_2026_01_06_000092</w:t>
            </w:r>
          </w:p>
          <w:p w14:paraId="46DB5574" w14:textId="77777777" w:rsidR="009E5C98" w:rsidRPr="00B540F1" w:rsidRDefault="009E5C98" w:rsidP="00885778">
            <w:pPr>
              <w:jc w:val="both"/>
              <w:rPr>
                <w:rFonts w:ascii="Verdana" w:eastAsia="Calibri" w:hAnsi="Verdana" w:cs="Arial"/>
                <w:color w:val="000000" w:themeColor="text1"/>
                <w:lang w:eastAsia="es-ES_tradnl"/>
              </w:rPr>
            </w:pPr>
            <w:r w:rsidRPr="00B540F1">
              <w:rPr>
                <w:rFonts w:ascii="Verdana" w:eastAsia="Calibri" w:hAnsi="Verdana" w:cs="Arial"/>
                <w:color w:val="000000" w:themeColor="text1"/>
                <w:lang w:eastAsia="es-ES_tradnl"/>
              </w:rPr>
              <w:t xml:space="preserve"> </w:t>
            </w:r>
          </w:p>
        </w:tc>
      </w:tr>
    </w:tbl>
    <w:p w14:paraId="6E7628E0" w14:textId="77777777" w:rsidR="009E5C98" w:rsidRDefault="009E5C98" w:rsidP="009E5C98">
      <w:pPr>
        <w:spacing w:after="0" w:line="276" w:lineRule="auto"/>
        <w:jc w:val="both"/>
        <w:rPr>
          <w:rFonts w:ascii="Verdana" w:eastAsia="Calibri" w:hAnsi="Verdana" w:cs="Arial"/>
          <w:lang w:eastAsia="es-ES_tradnl"/>
        </w:rPr>
      </w:pPr>
    </w:p>
    <w:p w14:paraId="460B1BC0" w14:textId="77777777" w:rsidR="009E5C98" w:rsidRPr="008E4F36" w:rsidRDefault="009E5C98" w:rsidP="009E5C98">
      <w:pPr>
        <w:spacing w:after="0" w:line="276" w:lineRule="auto"/>
        <w:jc w:val="both"/>
        <w:rPr>
          <w:rFonts w:ascii="Verdana" w:eastAsia="Calibri" w:hAnsi="Verdana" w:cs="Arial"/>
          <w:lang w:eastAsia="es-ES"/>
        </w:rPr>
      </w:pPr>
      <w:r w:rsidRPr="00083AB6">
        <w:rPr>
          <w:rFonts w:ascii="Verdana" w:eastAsia="Calibri" w:hAnsi="Verdana" w:cs="Arial"/>
          <w:lang w:eastAsia="es-ES"/>
        </w:rPr>
        <w:t>Estimado señor</w:t>
      </w:r>
      <w:r>
        <w:rPr>
          <w:rFonts w:ascii="Verdana" w:eastAsia="Calibri" w:hAnsi="Verdana" w:cs="Arial"/>
          <w:lang w:eastAsia="es-ES"/>
        </w:rPr>
        <w:t xml:space="preserve"> Ospina</w:t>
      </w:r>
      <w:r w:rsidRPr="00083AB6">
        <w:rPr>
          <w:rFonts w:ascii="Verdana" w:eastAsia="Calibri" w:hAnsi="Verdana" w:cs="Arial"/>
          <w:lang w:eastAsia="es-ES"/>
        </w:rPr>
        <w:t>:</w:t>
      </w:r>
      <w:r w:rsidRPr="008E4F36">
        <w:rPr>
          <w:rFonts w:ascii="Verdana" w:eastAsia="Calibri" w:hAnsi="Verdana" w:cs="Arial"/>
          <w:lang w:eastAsia="es-ES"/>
        </w:rPr>
        <w:t xml:space="preserve"> </w:t>
      </w:r>
    </w:p>
    <w:p w14:paraId="333470B0" w14:textId="77777777" w:rsidR="009E5C98" w:rsidRDefault="009E5C98" w:rsidP="009E5C98">
      <w:pPr>
        <w:tabs>
          <w:tab w:val="left" w:pos="3768"/>
        </w:tabs>
        <w:spacing w:after="0" w:line="240" w:lineRule="auto"/>
        <w:jc w:val="both"/>
        <w:rPr>
          <w:rFonts w:ascii="Verdana" w:eastAsia="Calibri" w:hAnsi="Verdana" w:cs="Arial"/>
          <w:lang w:eastAsia="es-ES"/>
        </w:rPr>
      </w:pPr>
    </w:p>
    <w:p w14:paraId="7DD3E4E7" w14:textId="77777777" w:rsidR="009E5C98" w:rsidRPr="00193C30" w:rsidRDefault="009E5C98" w:rsidP="009E5C98">
      <w:pPr>
        <w:spacing w:after="0" w:line="276" w:lineRule="auto"/>
        <w:jc w:val="both"/>
        <w:rPr>
          <w:rFonts w:ascii="Verdana" w:eastAsia="Century Gothic" w:hAnsi="Verdana" w:cs="Century Gothic"/>
          <w:i/>
        </w:rPr>
      </w:pPr>
      <w:r w:rsidRPr="000F2158">
        <w:rPr>
          <w:rFonts w:ascii="Verdana" w:eastAsia="Calibri" w:hAnsi="Verdana" w:cs="Arial"/>
          <w:lang w:eastAsia="es-ES"/>
        </w:rPr>
        <w:t xml:space="preserve">En ejercicio de la competencia otorgada por los artículos 3, numeral 5º, y 11, numeral 8º, del Decreto Ley 4170 de 2011, así como lo establecido en la Resolución </w:t>
      </w:r>
      <w:r>
        <w:rPr>
          <w:rFonts w:ascii="Verdana" w:eastAsia="Calibri" w:hAnsi="Verdana" w:cs="Arial"/>
          <w:lang w:eastAsia="es-ES"/>
        </w:rPr>
        <w:t>469 de 2025</w:t>
      </w:r>
      <w:r w:rsidRPr="000F2158">
        <w:rPr>
          <w:rFonts w:ascii="Verdana" w:eastAsia="Calibri" w:hAnsi="Verdana" w:cs="Arial"/>
          <w:lang w:eastAsia="es-ES"/>
        </w:rPr>
        <w:t xml:space="preserve"> expedida por esta Entidad, la Agencia Nacional de Contratación Pública – Colombia Compra Eficiente– responde su solicitud de consulta de fecha </w:t>
      </w:r>
      <w:r>
        <w:rPr>
          <w:rFonts w:ascii="Verdana" w:eastAsia="Calibri" w:hAnsi="Verdana" w:cs="Arial"/>
          <w:lang w:eastAsia="es-ES"/>
        </w:rPr>
        <w:t>6</w:t>
      </w:r>
      <w:r w:rsidRPr="00AF6D58">
        <w:rPr>
          <w:rFonts w:ascii="Verdana" w:eastAsia="Calibri" w:hAnsi="Verdana" w:cs="Arial"/>
          <w:lang w:eastAsia="es-ES"/>
        </w:rPr>
        <w:t xml:space="preserve"> de </w:t>
      </w:r>
      <w:r>
        <w:rPr>
          <w:rFonts w:ascii="Verdana" w:eastAsia="Calibri" w:hAnsi="Verdana" w:cs="Arial"/>
          <w:lang w:eastAsia="es-ES"/>
        </w:rPr>
        <w:t>enero</w:t>
      </w:r>
      <w:r w:rsidRPr="00AF6D58">
        <w:rPr>
          <w:rFonts w:ascii="Verdana" w:eastAsia="Calibri" w:hAnsi="Verdana" w:cs="Arial"/>
          <w:lang w:eastAsia="es-ES"/>
        </w:rPr>
        <w:t xml:space="preserve"> de 202</w:t>
      </w:r>
      <w:r>
        <w:rPr>
          <w:rFonts w:ascii="Verdana" w:eastAsia="Calibri" w:hAnsi="Verdana" w:cs="Arial"/>
          <w:lang w:eastAsia="es-ES"/>
        </w:rPr>
        <w:t>6</w:t>
      </w:r>
      <w:r w:rsidRPr="00AF6D58">
        <w:rPr>
          <w:rFonts w:ascii="Verdana" w:eastAsia="Calibri" w:hAnsi="Verdana" w:cs="Arial"/>
          <w:lang w:eastAsia="es-ES"/>
        </w:rPr>
        <w:t>,</w:t>
      </w:r>
      <w:r w:rsidRPr="000F2158">
        <w:rPr>
          <w:rFonts w:ascii="Verdana" w:eastAsia="Calibri" w:hAnsi="Verdana" w:cs="Arial"/>
          <w:lang w:eastAsia="es-ES"/>
        </w:rPr>
        <w:t xml:space="preserve"> en la cual manifiesta lo siguiente:</w:t>
      </w:r>
      <w:r w:rsidRPr="00193C30">
        <w:rPr>
          <w:rFonts w:ascii="Verdana" w:eastAsia="Century Gothic" w:hAnsi="Verdana" w:cs="Century Gothic"/>
        </w:rPr>
        <w:t xml:space="preserve"> </w:t>
      </w:r>
      <w:r w:rsidRPr="00193C30">
        <w:rPr>
          <w:rFonts w:ascii="Verdana" w:eastAsia="Century Gothic" w:hAnsi="Verdana" w:cs="Century Gothic"/>
          <w:i/>
        </w:rPr>
        <w:t>“¿Durante la Ley de garantías, puede o no el municipio de Corozal suscribir los convenios interadministrativos que puedan originarse del desarrollo del objeto del convenio?.”</w:t>
      </w:r>
      <w:r>
        <w:rPr>
          <w:rFonts w:ascii="Verdana" w:eastAsia="Century Gothic" w:hAnsi="Verdana" w:cs="Century Gothic"/>
          <w:i/>
          <w:iCs/>
        </w:rPr>
        <w:t>.</w:t>
      </w:r>
    </w:p>
    <w:p w14:paraId="4501715F" w14:textId="77777777" w:rsidR="009E5C98" w:rsidRDefault="009E5C98" w:rsidP="009E5C98">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w:t>
      </w:r>
      <w:r w:rsidRPr="008E4F36">
        <w:rPr>
          <w:rFonts w:ascii="Verdana" w:eastAsia="Calibri" w:hAnsi="Verdana" w:cs="Arial"/>
          <w:color w:val="000000"/>
          <w:lang w:eastAsia="es-ES"/>
        </w:rPr>
        <w:lastRenderedPageBreak/>
        <w:t xml:space="preserve">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6367224D" w14:textId="77777777" w:rsidR="009E5C98" w:rsidRPr="00054383" w:rsidRDefault="009E5C98" w:rsidP="009E5C98">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w:t>
      </w:r>
      <w:r w:rsidRPr="002975A0">
        <w:rPr>
          <w:rFonts w:ascii="Verdana" w:eastAsia="Calibri" w:hAnsi="Verdana" w:cs="Arial"/>
          <w:color w:val="000000"/>
          <w:lang w:eastAsia="es-ES"/>
        </w:rPr>
        <w:t xml:space="preserve">con </w:t>
      </w:r>
      <w:r>
        <w:rPr>
          <w:rFonts w:ascii="Verdana" w:eastAsia="Calibri" w:hAnsi="Verdana" w:cs="Arial"/>
          <w:color w:val="000000"/>
          <w:lang w:eastAsia="es-ES"/>
        </w:rPr>
        <w:t xml:space="preserve">el </w:t>
      </w:r>
      <w:r w:rsidRPr="002975A0">
        <w:rPr>
          <w:rFonts w:ascii="Verdana" w:eastAsia="Calibri" w:hAnsi="Verdana" w:cs="Arial"/>
          <w:color w:val="000000"/>
          <w:lang w:eastAsia="es-ES"/>
        </w:rPr>
        <w:t>problema jurídico de su consulta.</w:t>
      </w:r>
      <w:r w:rsidRPr="008E4F36">
        <w:rPr>
          <w:rFonts w:ascii="Verdana" w:eastAsia="Calibri" w:hAnsi="Verdana" w:cs="Arial"/>
          <w:color w:val="000000"/>
          <w:lang w:eastAsia="es-ES"/>
        </w:rPr>
        <w:t xml:space="preserve">  </w:t>
      </w:r>
    </w:p>
    <w:p w14:paraId="069BC72E" w14:textId="77777777" w:rsidR="009E5C98" w:rsidRPr="008E4F36" w:rsidRDefault="009E5C98" w:rsidP="009E5C98">
      <w:pPr>
        <w:spacing w:after="0"/>
        <w:ind w:firstLine="709"/>
        <w:jc w:val="both"/>
        <w:rPr>
          <w:rFonts w:ascii="Verdana" w:eastAsia="Calibri" w:hAnsi="Verdana" w:cs="Arial"/>
          <w:color w:val="000000"/>
          <w:lang w:eastAsia="es-ES"/>
        </w:rPr>
      </w:pPr>
    </w:p>
    <w:p w14:paraId="2134F612" w14:textId="77777777" w:rsidR="009E5C98" w:rsidRDefault="009E5C98" w:rsidP="009E5C98">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E4F36">
        <w:rPr>
          <w:rFonts w:ascii="Verdana" w:eastAsia="Century Gothic" w:hAnsi="Verdana" w:cs="Century Gothic"/>
          <w:b/>
          <w:bCs/>
        </w:rPr>
        <w:t>Problema planteado:</w:t>
      </w:r>
    </w:p>
    <w:p w14:paraId="07D0D986" w14:textId="77777777" w:rsidR="009E5C98" w:rsidRDefault="009E5C98" w:rsidP="009E5C98">
      <w:pPr>
        <w:spacing w:after="0" w:line="276" w:lineRule="auto"/>
        <w:jc w:val="both"/>
        <w:rPr>
          <w:rFonts w:ascii="Verdana" w:eastAsia="Calibri" w:hAnsi="Verdana" w:cs="Arial"/>
          <w:color w:val="000000"/>
          <w:highlight w:val="yellow"/>
          <w:lang w:eastAsia="es-ES"/>
        </w:rPr>
      </w:pPr>
    </w:p>
    <w:p w14:paraId="72359A01" w14:textId="77777777" w:rsidR="009E5C98" w:rsidRDefault="009E5C98" w:rsidP="009E5C98">
      <w:pPr>
        <w:spacing w:after="0" w:line="276" w:lineRule="auto"/>
        <w:jc w:val="both"/>
        <w:rPr>
          <w:rFonts w:ascii="Verdana" w:eastAsia="Calibri" w:hAnsi="Verdana" w:cs="Times New Roman"/>
        </w:rPr>
      </w:pPr>
      <w:r w:rsidRPr="00005FE3">
        <w:rPr>
          <w:rFonts w:ascii="Verdana" w:eastAsia="Calibri" w:hAnsi="Verdana" w:cs="Arial"/>
          <w:color w:val="000000"/>
          <w:lang w:eastAsia="es-ES"/>
        </w:rPr>
        <w:t xml:space="preserve">De acuerdo con el contenido de su solicitud, esta Agencia resolverá </w:t>
      </w:r>
      <w:r>
        <w:rPr>
          <w:rFonts w:ascii="Verdana" w:eastAsia="Calibri" w:hAnsi="Verdana" w:cs="Arial"/>
          <w:color w:val="000000"/>
          <w:lang w:eastAsia="es-ES"/>
        </w:rPr>
        <w:t>el siguiente</w:t>
      </w:r>
      <w:r w:rsidRPr="00005FE3">
        <w:rPr>
          <w:rFonts w:ascii="Verdana" w:eastAsia="Calibri" w:hAnsi="Verdana" w:cs="Arial"/>
          <w:color w:val="000000"/>
          <w:lang w:eastAsia="es-ES"/>
        </w:rPr>
        <w:t xml:space="preserve"> problema jurídico: </w:t>
      </w:r>
      <w:r w:rsidRPr="00677D98">
        <w:rPr>
          <w:rFonts w:ascii="Verdana" w:eastAsia="Calibri" w:hAnsi="Verdana" w:cs="Times New Roman"/>
        </w:rPr>
        <w:t xml:space="preserve">¿Es jurídicamente procedente, durante la vigencia de la restricción prevista en el parágrafo del artículo 38 de la Ley 996 de 2005, suscribir convenios interadministrativos </w:t>
      </w:r>
      <w:r>
        <w:rPr>
          <w:rFonts w:ascii="Verdana" w:eastAsia="Calibri" w:hAnsi="Verdana" w:cs="Times New Roman"/>
        </w:rPr>
        <w:t xml:space="preserve">derivado de convenios marco </w:t>
      </w:r>
      <w:r w:rsidRPr="00677D98">
        <w:rPr>
          <w:rFonts w:ascii="Verdana" w:eastAsia="Calibri" w:hAnsi="Verdana" w:cs="Times New Roman"/>
        </w:rPr>
        <w:t>para la ejecución de recursos públicos?</w:t>
      </w:r>
    </w:p>
    <w:p w14:paraId="0D621EA3" w14:textId="77777777" w:rsidR="009E5C98" w:rsidRDefault="009E5C98" w:rsidP="009E5C98">
      <w:pPr>
        <w:spacing w:after="0" w:line="276" w:lineRule="auto"/>
        <w:jc w:val="both"/>
        <w:rPr>
          <w:rFonts w:ascii="Verdana" w:eastAsia="Calibri" w:hAnsi="Verdana" w:cs="Times New Roman"/>
        </w:rPr>
      </w:pPr>
    </w:p>
    <w:p w14:paraId="083E19E0" w14:textId="77777777" w:rsidR="009E5C98" w:rsidRPr="00677D98" w:rsidRDefault="009E5C98" w:rsidP="009E5C98">
      <w:pPr>
        <w:spacing w:after="0" w:line="276" w:lineRule="auto"/>
        <w:jc w:val="both"/>
        <w:rPr>
          <w:rFonts w:ascii="Verdana" w:eastAsia="Calibri" w:hAnsi="Verdana" w:cs="Arial"/>
          <w:color w:val="000000"/>
          <w:lang w:eastAsia="es-ES"/>
        </w:rPr>
      </w:pPr>
      <w:r w:rsidRPr="008E4F36">
        <w:rPr>
          <w:rFonts w:ascii="Verdana" w:eastAsia="Century Gothic" w:hAnsi="Verdana" w:cs="Century Gothic"/>
          <w:b/>
          <w:bCs/>
        </w:rPr>
        <w:t>2. Respuesta:</w:t>
      </w:r>
    </w:p>
    <w:p w14:paraId="517364DD" w14:textId="77777777" w:rsidR="009E5C98" w:rsidRPr="008E4F36" w:rsidRDefault="009E5C98" w:rsidP="009E5C98">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ook w:val="04A0" w:firstRow="1" w:lastRow="0" w:firstColumn="1" w:lastColumn="0" w:noHBand="0" w:noVBand="1"/>
      </w:tblPr>
      <w:tblGrid>
        <w:gridCol w:w="8828"/>
      </w:tblGrid>
      <w:tr w:rsidR="009E5C98" w:rsidRPr="008E4F36" w14:paraId="7A06A712" w14:textId="77777777" w:rsidTr="00885778">
        <w:tc>
          <w:tcPr>
            <w:tcW w:w="8828" w:type="dxa"/>
          </w:tcPr>
          <w:p w14:paraId="52F15EDB" w14:textId="77777777" w:rsidR="009E5C98" w:rsidRDefault="009E5C98" w:rsidP="00885778">
            <w:pPr>
              <w:spacing w:after="120" w:line="276" w:lineRule="auto"/>
              <w:jc w:val="both"/>
              <w:rPr>
                <w:rFonts w:ascii="Verdana" w:eastAsiaTheme="minorEastAsia" w:hAnsi="Verdana" w:cs="Arial"/>
                <w:lang w:eastAsia="es-CO"/>
              </w:rPr>
            </w:pPr>
            <w:r w:rsidRPr="004F1C0A">
              <w:rPr>
                <w:rFonts w:ascii="Verdana" w:eastAsia="Calibri" w:hAnsi="Verdana" w:cs="Arial"/>
                <w:lang w:val="es-MX"/>
              </w:rPr>
              <w:t xml:space="preserve">De acuerdo con el problema jurídico, objeto de consulta, </w:t>
            </w:r>
            <w:r>
              <w:rPr>
                <w:rFonts w:ascii="Verdana" w:eastAsiaTheme="minorEastAsia" w:hAnsi="Verdana" w:cs="Arial"/>
                <w:lang w:eastAsia="es-CO"/>
              </w:rPr>
              <w:t>se encuentra que l</w:t>
            </w:r>
            <w:r w:rsidRPr="00771E47">
              <w:rPr>
                <w:rFonts w:ascii="Verdana" w:eastAsiaTheme="minorEastAsia" w:hAnsi="Verdana" w:cs="Arial"/>
                <w:lang w:eastAsia="es-CO"/>
              </w:rPr>
              <w:t xml:space="preserve">os convenios interadministrativos, previstos en el artículo 95 de la Ley 489 de 1998, son instrumentos de cooperación que buscan la coordinación entre entidades públicas para alcanzar fines comunes de carácter administrativo y social. Su naturaleza se distingue por la finalidad asociativa, pues no persiguen la adquisición de bienes o servicios como los contratos estatales tradicionales, sino la articulación de esfuerzos, capacidades y recursos. </w:t>
            </w:r>
          </w:p>
          <w:p w14:paraId="10D0D8F8" w14:textId="77777777" w:rsidR="009E5C98" w:rsidRDefault="009E5C98" w:rsidP="00885778">
            <w:pPr>
              <w:spacing w:after="120" w:line="276" w:lineRule="auto"/>
              <w:ind w:firstLine="708"/>
              <w:jc w:val="both"/>
              <w:rPr>
                <w:rFonts w:ascii="Verdana" w:eastAsiaTheme="minorEastAsia" w:hAnsi="Verdana" w:cs="Arial"/>
                <w:lang w:eastAsia="es-CO"/>
              </w:rPr>
            </w:pPr>
            <w:r>
              <w:rPr>
                <w:rFonts w:ascii="Verdana" w:eastAsiaTheme="minorEastAsia" w:hAnsi="Verdana" w:cs="Arial"/>
                <w:lang w:eastAsia="es-CO"/>
              </w:rPr>
              <w:lastRenderedPageBreak/>
              <w:t xml:space="preserve">Ahora bien, </w:t>
            </w:r>
            <w:r w:rsidRPr="00FF1C59">
              <w:rPr>
                <w:rFonts w:ascii="Verdana" w:eastAsiaTheme="minorEastAsia" w:hAnsi="Verdana" w:cs="Arial"/>
                <w:lang w:eastAsia="es-CO"/>
              </w:rPr>
              <w:t>resulta pertinente precisar que los convenios interadministrativos de cooperación suscritos entre entidades del orden nacional y las entidades territoriales —departamentos, distritos, municipios y entidades descentralizadas— se encuentran sujetos a la restricción prevista en el artículo 38 de la Ley 996 de 2005. Dicha disposición establece que la celebración de estos convenios por parte de alcaldes, gobernadores, secretarios, gerentes y directores de entidades del orden municipal, departamental o distrital debe observar las limitaciones allí señaladas, particularmente cuando se trate de convenios destinados a la ejecución de recursos públicos.</w:t>
            </w:r>
          </w:p>
          <w:p w14:paraId="37205AAA" w14:textId="77777777" w:rsidR="009E5C98" w:rsidRDefault="009E5C98" w:rsidP="00885778">
            <w:pPr>
              <w:spacing w:after="120" w:line="276" w:lineRule="auto"/>
              <w:ind w:firstLine="708"/>
              <w:jc w:val="both"/>
              <w:rPr>
                <w:rFonts w:ascii="Verdana" w:eastAsiaTheme="minorEastAsia" w:hAnsi="Verdana" w:cs="Arial"/>
                <w:lang w:eastAsia="es-CO"/>
              </w:rPr>
            </w:pPr>
            <w:r>
              <w:rPr>
                <w:rFonts w:ascii="Verdana" w:eastAsiaTheme="minorEastAsia" w:hAnsi="Verdana" w:cs="Arial"/>
                <w:lang w:eastAsia="es-CO"/>
              </w:rPr>
              <w:t xml:space="preserve">En la medida en que la restricción establecida en el parágrafo del artículo 38 de la Ley 996 de 2005 no diferencia en su ámbito de </w:t>
            </w:r>
            <w:proofErr w:type="gramStart"/>
            <w:r>
              <w:rPr>
                <w:rFonts w:ascii="Verdana" w:eastAsiaTheme="minorEastAsia" w:hAnsi="Verdana" w:cs="Arial"/>
                <w:lang w:eastAsia="es-CO"/>
              </w:rPr>
              <w:t>aplicación  entre</w:t>
            </w:r>
            <w:proofErr w:type="gramEnd"/>
            <w:r>
              <w:rPr>
                <w:rFonts w:ascii="Verdana" w:eastAsiaTheme="minorEastAsia" w:hAnsi="Verdana" w:cs="Arial"/>
                <w:lang w:eastAsia="es-CO"/>
              </w:rPr>
              <w:t xml:space="preserve"> convenios marco y derivados, la celebración de ambos tipos de acuerdos entre entidades estatales, en los que se contemple la ejecución de recursos públicos, debe entenderse restringida para los entes territoriales y sus entidades descentralizadas. Esto con sustento en el principio interpretativo según el cual, </w:t>
            </w:r>
            <w:r w:rsidRPr="00193C30">
              <w:rPr>
                <w:rFonts w:ascii="Verdana" w:eastAsiaTheme="minorEastAsia" w:hAnsi="Verdana" w:cs="Arial"/>
                <w:i/>
                <w:iCs/>
                <w:lang w:eastAsia="es-CO"/>
              </w:rPr>
              <w:t>donde el legislador no distingue no le está dado al interprete hacerlo.</w:t>
            </w:r>
          </w:p>
          <w:p w14:paraId="6F430AEA" w14:textId="77777777" w:rsidR="009E5C98" w:rsidRPr="005D63E7" w:rsidRDefault="009E5C98" w:rsidP="00885778">
            <w:pPr>
              <w:spacing w:after="120" w:line="276" w:lineRule="auto"/>
              <w:ind w:firstLine="709"/>
              <w:jc w:val="both"/>
              <w:rPr>
                <w:rFonts w:ascii="Verdana" w:eastAsiaTheme="minorEastAsia" w:hAnsi="Verdana" w:cs="Arial"/>
                <w:lang w:eastAsia="es-CO"/>
              </w:rPr>
            </w:pPr>
            <w:r>
              <w:rPr>
                <w:rFonts w:ascii="Verdana" w:eastAsiaTheme="minorEastAsia" w:hAnsi="Verdana" w:cs="Arial"/>
                <w:lang w:eastAsia="es-CO"/>
              </w:rPr>
              <w:t>En ese sentido, d</w:t>
            </w:r>
            <w:r w:rsidRPr="00DA6629">
              <w:rPr>
                <w:rFonts w:ascii="Verdana" w:eastAsiaTheme="minorEastAsia" w:hAnsi="Verdana" w:cs="Arial"/>
                <w:lang w:eastAsia="es-CO"/>
              </w:rPr>
              <w:t>urante la vigencia de la restricción prevista en el parágrafo del artículo 38 de la Ley 996 de 2005, no resulta</w:t>
            </w:r>
            <w:r>
              <w:rPr>
                <w:rFonts w:ascii="Verdana" w:eastAsiaTheme="minorEastAsia" w:hAnsi="Verdana" w:cs="Arial"/>
                <w:lang w:eastAsia="es-CO"/>
              </w:rPr>
              <w:t xml:space="preserve"> </w:t>
            </w:r>
            <w:r w:rsidRPr="00DA6629">
              <w:rPr>
                <w:rFonts w:ascii="Verdana" w:eastAsiaTheme="minorEastAsia" w:hAnsi="Verdana" w:cs="Arial"/>
                <w:lang w:eastAsia="es-CO"/>
              </w:rPr>
              <w:t xml:space="preserve">procedente suscribir convenios interadministrativos que se originen en el desarrollo del objeto de un convenio principal cuando su formalización implique la celebración de un nuevo acuerdo para la ejecución de recursos públicos por parte de autoridades del orden territorial, en la medida en que la disposición establece de manera expresa y objetiva la prohibición de celebrar convenios interadministrativos dentro de los cuatro (4) meses anteriores a cualquier elección, sin distinguir entre convenios iniciales, adicionales, específicos o derivados; por tanto, atendiendo el carácter excepcional, preventivo y de interpretación estricta de las normas prohibitivas en materia electoral —criterio sostenido por la Corte Constitucional y el Consejo de Estado— no es jurídicamente admisible introducir excepciones no previstas por el legislador ni acudir a denominaciones formales que encubran la constitución de un nuevo vínculo jurídico con autonomía obligacional y compromiso de recursos públicos, pues ello desconocería la finalidad de neutralidad, transparencia, </w:t>
            </w:r>
            <w:r w:rsidRPr="00DA6629">
              <w:rPr>
                <w:rFonts w:ascii="Verdana" w:eastAsiaTheme="minorEastAsia" w:hAnsi="Verdana" w:cs="Arial"/>
                <w:lang w:eastAsia="es-CO"/>
              </w:rPr>
              <w:lastRenderedPageBreak/>
              <w:t>igualdad y moralidad administrativa que inspira el régimen de garantías; en consecuencia, durante dicho periodo únicamente son viables las actuaciones estrictamente encaminadas a la ejecución, cumplimiento, seguimiento o liquidación de convenios válidamente celebrados con anterioridad al inicio de la restricción, siempre que no comporten la creación de un nuevo acuerdo interadministrativo ni la asunción de obligaciones adicionales que desborden el marco jurídico previamente constituido.</w:t>
            </w:r>
          </w:p>
        </w:tc>
      </w:tr>
    </w:tbl>
    <w:p w14:paraId="6C444550" w14:textId="77777777" w:rsidR="009E5C98" w:rsidRDefault="009E5C98" w:rsidP="009E5C98">
      <w:pPr>
        <w:tabs>
          <w:tab w:val="left" w:pos="142"/>
          <w:tab w:val="left" w:pos="284"/>
        </w:tabs>
        <w:spacing w:after="0" w:line="276" w:lineRule="auto"/>
        <w:jc w:val="both"/>
        <w:rPr>
          <w:rFonts w:ascii="Verdana" w:eastAsia="Century Gothic" w:hAnsi="Verdana" w:cs="Century Gothic"/>
          <w:b/>
          <w:bCs/>
        </w:rPr>
      </w:pPr>
    </w:p>
    <w:p w14:paraId="1223FDEF" w14:textId="77777777" w:rsidR="009E5C98" w:rsidRPr="008E4F36" w:rsidRDefault="009E5C98" w:rsidP="009E5C98">
      <w:pPr>
        <w:tabs>
          <w:tab w:val="left" w:pos="142"/>
          <w:tab w:val="left" w:pos="284"/>
        </w:tabs>
        <w:spacing w:after="0" w:line="276" w:lineRule="auto"/>
        <w:jc w:val="both"/>
        <w:rPr>
          <w:rFonts w:ascii="Verdana" w:eastAsia="Century Gothic" w:hAnsi="Verdana" w:cs="Century Gothic"/>
          <w:b/>
          <w:bCs/>
        </w:rPr>
      </w:pPr>
      <w:r w:rsidRPr="008E4F36">
        <w:rPr>
          <w:rFonts w:ascii="Verdana" w:eastAsia="Century Gothic" w:hAnsi="Verdana" w:cs="Century Gothic"/>
          <w:b/>
          <w:bCs/>
        </w:rPr>
        <w:t>3. Razones de la respuesta:</w:t>
      </w:r>
    </w:p>
    <w:p w14:paraId="09D174A6" w14:textId="77777777" w:rsidR="009E5C98" w:rsidRDefault="009E5C98" w:rsidP="009E5C98">
      <w:pPr>
        <w:pStyle w:val="Prrafodelista"/>
        <w:tabs>
          <w:tab w:val="left" w:pos="142"/>
          <w:tab w:val="left" w:pos="284"/>
        </w:tabs>
        <w:spacing w:after="0" w:line="276" w:lineRule="auto"/>
        <w:ind w:left="0"/>
        <w:contextualSpacing w:val="0"/>
        <w:jc w:val="both"/>
        <w:rPr>
          <w:rFonts w:ascii="Verdana" w:eastAsia="Calibri" w:hAnsi="Verdana" w:cs="Arial"/>
        </w:rPr>
      </w:pPr>
    </w:p>
    <w:p w14:paraId="4374A7F8" w14:textId="77777777" w:rsidR="009E5C98" w:rsidRDefault="009E5C98" w:rsidP="009E5C98">
      <w:pPr>
        <w:pStyle w:val="Prrafodelista"/>
        <w:tabs>
          <w:tab w:val="left" w:pos="142"/>
          <w:tab w:val="left" w:pos="284"/>
        </w:tabs>
        <w:spacing w:after="0" w:line="276" w:lineRule="auto"/>
        <w:ind w:left="0"/>
        <w:contextualSpacing w:val="0"/>
        <w:jc w:val="both"/>
        <w:rPr>
          <w:rFonts w:ascii="Verdana" w:eastAsia="Calibri" w:hAnsi="Verdana" w:cs="Arial"/>
        </w:rPr>
      </w:pPr>
      <w:r w:rsidRPr="008E4F36">
        <w:rPr>
          <w:rFonts w:ascii="Verdana" w:eastAsia="Calibri" w:hAnsi="Verdana" w:cs="Arial"/>
        </w:rPr>
        <w:t xml:space="preserve">Lo anterior se sustenta en las siguientes consideraciones: </w:t>
      </w:r>
    </w:p>
    <w:p w14:paraId="6D5CC09D" w14:textId="77777777" w:rsidR="009E5C98" w:rsidRDefault="009E5C98" w:rsidP="009E5C98">
      <w:pPr>
        <w:pStyle w:val="Prrafodelista"/>
        <w:tabs>
          <w:tab w:val="left" w:pos="142"/>
          <w:tab w:val="left" w:pos="284"/>
        </w:tabs>
        <w:spacing w:after="0" w:line="240" w:lineRule="auto"/>
        <w:ind w:left="0"/>
        <w:contextualSpacing w:val="0"/>
        <w:jc w:val="both"/>
        <w:rPr>
          <w:rFonts w:ascii="Verdana" w:eastAsia="Calibri" w:hAnsi="Verdana" w:cs="Arial"/>
        </w:rPr>
      </w:pPr>
    </w:p>
    <w:p w14:paraId="1A5639FA" w14:textId="77777777" w:rsidR="009E5C98" w:rsidRPr="005055D5" w:rsidRDefault="009E5C98" w:rsidP="009E5C98">
      <w:pPr>
        <w:tabs>
          <w:tab w:val="left" w:pos="426"/>
        </w:tabs>
        <w:spacing w:after="120" w:line="276" w:lineRule="auto"/>
        <w:jc w:val="both"/>
        <w:rPr>
          <w:rFonts w:ascii="Verdana" w:eastAsia="Times New Roman" w:hAnsi="Verdana" w:cs="Arial"/>
          <w:lang w:eastAsia="es-CO"/>
        </w:rPr>
      </w:pPr>
      <w:bookmarkStart w:id="2" w:name="_Hlk204856061"/>
      <w:bookmarkStart w:id="3" w:name="_Hlk78820161"/>
      <w:bookmarkStart w:id="4" w:name="_Hlk204854194"/>
      <w:r w:rsidRPr="005055D5">
        <w:rPr>
          <w:rFonts w:ascii="Verdana" w:eastAsia="Calibri" w:hAnsi="Verdana" w:cs="Arial"/>
        </w:rPr>
        <w:t>i. El ordenamiento jurídico colombiano contempla previsiones claras para evitar la obtención de beneficios personales en asuntos propios de la administración pública</w:t>
      </w:r>
      <w:r w:rsidRPr="005055D5">
        <w:rPr>
          <w:rFonts w:ascii="Verdana" w:eastAsia="Calibri" w:hAnsi="Verdana" w:cs="Arial"/>
          <w:i/>
        </w:rPr>
        <w:t xml:space="preserve">. </w:t>
      </w:r>
      <w:r w:rsidRPr="005055D5">
        <w:rPr>
          <w:rFonts w:ascii="Verdana" w:eastAsia="Calibri" w:hAnsi="Verdana" w:cs="Arial"/>
        </w:rPr>
        <w:t>Por ejemplo, el artículo 127 de la Constitución Política establece una prohibición contractual a los servidores públicos y, en cuanto a aspectos políticos, establece restricciones a ciertos empleados del Estado, incluso en época no electoral</w:t>
      </w:r>
      <w:r w:rsidRPr="005055D5">
        <w:rPr>
          <w:rFonts w:ascii="Verdana" w:eastAsia="Calibri" w:hAnsi="Verdana" w:cs="Times New Roman"/>
          <w:vertAlign w:val="superscript"/>
        </w:rPr>
        <w:footnoteReference w:id="1"/>
      </w:r>
      <w:r w:rsidRPr="005055D5">
        <w:rPr>
          <w:rFonts w:ascii="Verdana" w:eastAsia="Calibri" w:hAnsi="Verdana" w:cs="Arial"/>
        </w:rPr>
        <w:t xml:space="preserve">. </w:t>
      </w:r>
    </w:p>
    <w:p w14:paraId="78FAF7DF" w14:textId="77777777" w:rsidR="009E5C98" w:rsidRPr="005055D5" w:rsidRDefault="009E5C98" w:rsidP="009E5C98">
      <w:pPr>
        <w:tabs>
          <w:tab w:val="left" w:pos="426"/>
        </w:tabs>
        <w:spacing w:after="0" w:line="276" w:lineRule="auto"/>
        <w:ind w:firstLine="709"/>
        <w:jc w:val="both"/>
        <w:rPr>
          <w:rFonts w:ascii="Verdana" w:eastAsia="Calibri" w:hAnsi="Verdana" w:cs="Arial"/>
          <w:lang w:val="es-ES_tradnl"/>
        </w:rPr>
      </w:pPr>
      <w:r w:rsidRPr="005055D5">
        <w:rPr>
          <w:rFonts w:ascii="Verdana" w:eastAsia="Times New Roman" w:hAnsi="Verdana" w:cs="Arial"/>
          <w:lang w:eastAsia="es-CO"/>
        </w:rPr>
        <w:t>En el mismo sentido</w:t>
      </w:r>
      <w:r w:rsidRPr="005055D5">
        <w:rPr>
          <w:rFonts w:ascii="Verdana" w:eastAsia="Times New Roman" w:hAnsi="Verdana" w:cs="Arial"/>
          <w:lang w:val="es-MX" w:eastAsia="es-CO"/>
        </w:rPr>
        <w:t xml:space="preserve">, </w:t>
      </w:r>
      <w:bookmarkStart w:id="5" w:name="_Hlk99576829"/>
      <w:r w:rsidRPr="005055D5">
        <w:rPr>
          <w:rFonts w:ascii="Verdana" w:eastAsia="Times New Roman" w:hAnsi="Verdana" w:cs="Arial"/>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5055D5">
        <w:rPr>
          <w:rFonts w:ascii="Verdana" w:eastAsia="Times New Roman" w:hAnsi="Verdana" w:cs="Arial"/>
          <w:vertAlign w:val="superscript"/>
          <w:lang w:val="es-MX" w:eastAsia="es-CO"/>
        </w:rPr>
        <w:footnoteReference w:id="2"/>
      </w:r>
      <w:r w:rsidRPr="005055D5">
        <w:rPr>
          <w:rFonts w:ascii="Verdana" w:eastAsia="Times New Roman" w:hAnsi="Verdana" w:cs="Arial"/>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5055D5">
        <w:rPr>
          <w:rFonts w:ascii="Verdana" w:eastAsia="Calibri" w:hAnsi="Verdana" w:cs="Arial"/>
          <w:lang w:val="es-ES_tradnl"/>
        </w:rPr>
        <w:t xml:space="preserve"> </w:t>
      </w:r>
      <w:bookmarkEnd w:id="5"/>
      <w:r w:rsidRPr="005055D5">
        <w:rPr>
          <w:rFonts w:ascii="Verdana" w:eastAsia="Times New Roman" w:hAnsi="Verdana" w:cs="Arial"/>
          <w:lang w:val="es-MX" w:eastAsia="es-CO"/>
        </w:rPr>
        <w:t xml:space="preserve">En armonía </w:t>
      </w:r>
      <w:r w:rsidRPr="005055D5">
        <w:rPr>
          <w:rFonts w:ascii="Verdana" w:eastAsia="Times New Roman" w:hAnsi="Verdana" w:cs="Arial"/>
          <w:lang w:val="es-MX" w:eastAsia="es-CO"/>
        </w:rPr>
        <w:lastRenderedPageBreak/>
        <w:t>con lo anterior, la Corte Constitucional ha abordado la definición de la Ley de Garantías Electorales. De esta manera, explica que tiene como propósito:</w:t>
      </w:r>
    </w:p>
    <w:p w14:paraId="4F040DDD" w14:textId="77777777" w:rsidR="009E5C98" w:rsidRPr="005055D5" w:rsidRDefault="009E5C98" w:rsidP="009E5C98">
      <w:pPr>
        <w:spacing w:after="0" w:line="276" w:lineRule="auto"/>
        <w:ind w:right="709"/>
        <w:contextualSpacing/>
        <w:jc w:val="both"/>
        <w:rPr>
          <w:rFonts w:ascii="Verdana" w:eastAsia="Times New Roman" w:hAnsi="Verdana" w:cs="Arial"/>
          <w:lang w:val="es-ES" w:eastAsia="es-CO"/>
        </w:rPr>
      </w:pPr>
    </w:p>
    <w:p w14:paraId="6994A7D5" w14:textId="77777777" w:rsidR="009E5C98" w:rsidRPr="005055D5" w:rsidRDefault="009E5C98" w:rsidP="009E5C98">
      <w:pPr>
        <w:spacing w:after="0" w:line="240" w:lineRule="auto"/>
        <w:ind w:left="709" w:right="709"/>
        <w:contextualSpacing/>
        <w:jc w:val="both"/>
        <w:rPr>
          <w:rFonts w:ascii="Verdana" w:eastAsia="Times New Roman" w:hAnsi="Verdana" w:cs="Arial"/>
          <w:sz w:val="20"/>
          <w:szCs w:val="20"/>
          <w:lang w:val="es-MX" w:eastAsia="es-CO"/>
        </w:rPr>
      </w:pPr>
      <w:r w:rsidRPr="005055D5">
        <w:rPr>
          <w:rFonts w:ascii="Verdana" w:eastAsia="Times New Roman" w:hAnsi="Verdana" w:cs="Arial"/>
          <w:sz w:val="20"/>
          <w:szCs w:val="20"/>
          <w:lang w:val="es-ES" w:eastAsia="es-CO"/>
        </w:rPr>
        <w:t xml:space="preserve">“[…] </w:t>
      </w:r>
      <w:r w:rsidRPr="005055D5">
        <w:rPr>
          <w:rFonts w:ascii="Verdana" w:eastAsia="Times New Roman" w:hAnsi="Verdana" w:cs="Arial"/>
          <w:sz w:val="20"/>
          <w:szCs w:val="20"/>
          <w:lang w:val="es-MX" w:eastAsia="es-CO"/>
        </w:rPr>
        <w:t>la definición de reglas claras que permitan acceder a los canales de expresión democrática de manera efectiva e igualitaria. El objetivo de una ley de garantías es definir esas reglas.</w:t>
      </w:r>
    </w:p>
    <w:p w14:paraId="06F77A56" w14:textId="77777777" w:rsidR="009E5C98" w:rsidRPr="005055D5" w:rsidRDefault="009E5C98" w:rsidP="009E5C98">
      <w:pPr>
        <w:spacing w:after="0" w:line="240" w:lineRule="auto"/>
        <w:ind w:left="709" w:right="709"/>
        <w:contextualSpacing/>
        <w:jc w:val="both"/>
        <w:rPr>
          <w:rFonts w:ascii="Verdana" w:eastAsia="Times New Roman" w:hAnsi="Verdana" w:cs="Arial"/>
          <w:sz w:val="20"/>
          <w:szCs w:val="20"/>
          <w:lang w:val="es-MX" w:eastAsia="es-CO"/>
        </w:rPr>
      </w:pPr>
      <w:r w:rsidRPr="005055D5">
        <w:rPr>
          <w:rFonts w:ascii="Verdana" w:eastAsia="Times New Roman" w:hAnsi="Verdana" w:cs="Arial"/>
          <w:sz w:val="20"/>
          <w:szCs w:val="20"/>
          <w:lang w:val="es-MX" w:eastAsia="es-CO"/>
        </w:rPr>
        <w:t xml:space="preserve">[…] </w:t>
      </w:r>
    </w:p>
    <w:p w14:paraId="5F1CF48E" w14:textId="77777777" w:rsidR="009E5C98" w:rsidRPr="005055D5" w:rsidRDefault="009E5C98" w:rsidP="009E5C98">
      <w:pPr>
        <w:spacing w:after="0" w:line="240" w:lineRule="auto"/>
        <w:ind w:left="709" w:right="709"/>
        <w:contextualSpacing/>
        <w:jc w:val="both"/>
        <w:rPr>
          <w:rFonts w:ascii="Verdana" w:eastAsia="Times New Roman" w:hAnsi="Verdana" w:cs="Arial"/>
          <w:sz w:val="12"/>
          <w:szCs w:val="12"/>
          <w:lang w:val="es-MX" w:eastAsia="es-CO"/>
        </w:rPr>
      </w:pPr>
    </w:p>
    <w:p w14:paraId="74DED814" w14:textId="77777777" w:rsidR="009E5C98" w:rsidRPr="005055D5" w:rsidRDefault="009E5C98" w:rsidP="009E5C98">
      <w:pPr>
        <w:spacing w:after="0" w:line="240" w:lineRule="auto"/>
        <w:ind w:left="709" w:right="709"/>
        <w:contextualSpacing/>
        <w:jc w:val="both"/>
        <w:rPr>
          <w:rFonts w:ascii="Verdana" w:eastAsia="Times New Roman" w:hAnsi="Verdana" w:cs="Arial"/>
          <w:sz w:val="20"/>
          <w:szCs w:val="20"/>
          <w:lang w:val="es-MX" w:eastAsia="es-CO"/>
        </w:rPr>
      </w:pPr>
      <w:r w:rsidRPr="005055D5">
        <w:rPr>
          <w:rFonts w:ascii="Verdana" w:eastAsia="Times New Roman" w:hAnsi="Verdana" w:cs="Arial"/>
          <w:sz w:val="20"/>
          <w:szCs w:val="20"/>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5055D5">
        <w:rPr>
          <w:rFonts w:ascii="Verdana" w:eastAsia="Calibri" w:hAnsi="Verdana" w:cs="Arial"/>
          <w:sz w:val="20"/>
          <w:szCs w:val="20"/>
          <w:vertAlign w:val="superscript"/>
          <w:lang w:val="es-MX"/>
        </w:rPr>
        <w:footnoteReference w:id="3"/>
      </w:r>
    </w:p>
    <w:p w14:paraId="24147812" w14:textId="77777777" w:rsidR="009E5C98" w:rsidRPr="005055D5" w:rsidRDefault="009E5C98" w:rsidP="009E5C98">
      <w:pPr>
        <w:spacing w:after="0" w:line="276" w:lineRule="auto"/>
        <w:ind w:firstLine="709"/>
        <w:jc w:val="both"/>
        <w:rPr>
          <w:rFonts w:ascii="Verdana" w:eastAsia="Times New Roman" w:hAnsi="Verdana" w:cs="Arial"/>
          <w:lang w:val="es-MX" w:eastAsia="es-CO"/>
        </w:rPr>
      </w:pPr>
      <w:bookmarkStart w:id="6" w:name="_Hlk78818186"/>
    </w:p>
    <w:p w14:paraId="404F074E" w14:textId="77777777" w:rsidR="009E5C98" w:rsidRPr="005055D5" w:rsidRDefault="009E5C98" w:rsidP="009E5C98">
      <w:pPr>
        <w:spacing w:after="0" w:line="276" w:lineRule="auto"/>
        <w:ind w:firstLine="709"/>
        <w:jc w:val="both"/>
        <w:rPr>
          <w:rFonts w:ascii="Verdana" w:eastAsia="Times New Roman" w:hAnsi="Verdana" w:cs="Arial"/>
          <w:lang w:val="es-MX" w:eastAsia="es-CO"/>
        </w:rPr>
      </w:pPr>
      <w:r w:rsidRPr="005055D5">
        <w:rPr>
          <w:rFonts w:ascii="Verdana" w:eastAsia="Times New Roman" w:hAnsi="Verdana" w:cs="Arial"/>
          <w:lang w:val="es-MX" w:eastAsia="es-CO"/>
        </w:rPr>
        <w:t xml:space="preserve">En este contexto, la Ley de Garantías Electorales establece el marco jurídico para el desarrollo de las elecciones, procurando condiciones de igualdad y transparencia para los aspirantes. Paralelamente, se incluyen restricciones en las actuaciones de los servidores públicos, evitando interferencias en la contienda electoral, así como la posible desviación de recursos públicos en aspiraciones electorales. </w:t>
      </w:r>
      <w:bookmarkEnd w:id="6"/>
      <w:r w:rsidRPr="005055D5">
        <w:rPr>
          <w:rFonts w:ascii="Verdana" w:eastAsia="Times New Roman" w:hAnsi="Verdana" w:cs="Arial"/>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precisó:</w:t>
      </w:r>
    </w:p>
    <w:p w14:paraId="32D82117" w14:textId="77777777" w:rsidR="009E5C98" w:rsidRPr="005055D5" w:rsidRDefault="009E5C98" w:rsidP="009E5C98">
      <w:pPr>
        <w:spacing w:after="0" w:line="276" w:lineRule="auto"/>
        <w:ind w:firstLine="709"/>
        <w:jc w:val="both"/>
        <w:rPr>
          <w:rFonts w:ascii="Verdana" w:eastAsia="Times New Roman" w:hAnsi="Verdana" w:cs="Arial"/>
          <w:lang w:val="es-MX" w:eastAsia="es-CO"/>
        </w:rPr>
      </w:pPr>
    </w:p>
    <w:p w14:paraId="287A3C75" w14:textId="77777777" w:rsidR="009E5C98" w:rsidRPr="005055D5" w:rsidRDefault="009E5C98" w:rsidP="009E5C98">
      <w:pPr>
        <w:spacing w:after="0" w:line="240" w:lineRule="auto"/>
        <w:ind w:left="709" w:right="709"/>
        <w:contextualSpacing/>
        <w:jc w:val="both"/>
        <w:rPr>
          <w:rFonts w:ascii="Verdana" w:eastAsia="Times New Roman" w:hAnsi="Verdana" w:cs="Arial"/>
          <w:sz w:val="20"/>
          <w:szCs w:val="20"/>
          <w:lang w:val="es-MX" w:eastAsia="es-CO"/>
        </w:rPr>
      </w:pPr>
      <w:r w:rsidRPr="005055D5">
        <w:rPr>
          <w:rFonts w:ascii="Verdana" w:eastAsia="Times New Roman" w:hAnsi="Verdana" w:cs="Arial"/>
          <w:sz w:val="20"/>
          <w:szCs w:val="20"/>
          <w:lang w:val="es-MX"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5055D5">
        <w:rPr>
          <w:rFonts w:ascii="Verdana" w:eastAsia="Times New Roman" w:hAnsi="Verdana" w:cs="Arial"/>
          <w:sz w:val="20"/>
          <w:szCs w:val="20"/>
          <w:lang w:val="es-MX" w:eastAsia="es-CO"/>
        </w:rPr>
        <w:t>legis</w:t>
      </w:r>
      <w:proofErr w:type="spellEnd"/>
      <w:r w:rsidRPr="005055D5">
        <w:rPr>
          <w:rFonts w:ascii="Verdana" w:eastAsia="Times New Roman" w:hAnsi="Verdana" w:cs="Arial"/>
          <w:sz w:val="20"/>
          <w:szCs w:val="20"/>
          <w:lang w:val="es-MX"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746E2AD2" w14:textId="77777777" w:rsidR="009E5C98" w:rsidRPr="005055D5" w:rsidRDefault="009E5C98" w:rsidP="009E5C98">
      <w:pPr>
        <w:spacing w:after="0" w:line="240" w:lineRule="auto"/>
        <w:ind w:right="709"/>
        <w:contextualSpacing/>
        <w:jc w:val="both"/>
        <w:rPr>
          <w:rFonts w:ascii="Verdana" w:eastAsia="Times New Roman" w:hAnsi="Verdana" w:cs="Arial"/>
          <w:sz w:val="12"/>
          <w:szCs w:val="12"/>
          <w:lang w:val="es-MX" w:eastAsia="es-CO"/>
        </w:rPr>
      </w:pPr>
    </w:p>
    <w:p w14:paraId="416D9DB8" w14:textId="77777777" w:rsidR="009E5C98" w:rsidRPr="005055D5" w:rsidRDefault="009E5C98" w:rsidP="009E5C98">
      <w:pPr>
        <w:spacing w:after="0" w:line="240" w:lineRule="auto"/>
        <w:ind w:left="709" w:right="709"/>
        <w:contextualSpacing/>
        <w:jc w:val="both"/>
        <w:rPr>
          <w:rFonts w:ascii="Verdana" w:eastAsia="Times New Roman" w:hAnsi="Verdana" w:cs="Arial"/>
          <w:sz w:val="20"/>
          <w:szCs w:val="20"/>
          <w:lang w:val="es-MX" w:eastAsia="es-CO"/>
        </w:rPr>
      </w:pPr>
      <w:r w:rsidRPr="005055D5">
        <w:rPr>
          <w:rFonts w:ascii="Verdana" w:eastAsia="Times New Roman" w:hAnsi="Verdana" w:cs="Arial"/>
          <w:sz w:val="20"/>
          <w:szCs w:val="20"/>
          <w:lang w:val="es-MX" w:eastAsia="es-CO"/>
        </w:rPr>
        <w:lastRenderedPageBreak/>
        <w:t>La jurisprudencia de la Corte Constitucional</w:t>
      </w:r>
      <w:r w:rsidRPr="005055D5">
        <w:rPr>
          <w:rFonts w:ascii="Verdana" w:eastAsia="Times New Roman" w:hAnsi="Verdana" w:cs="Arial"/>
          <w:sz w:val="20"/>
          <w:szCs w:val="20"/>
          <w:vertAlign w:val="superscript"/>
          <w:lang w:val="es-MX" w:eastAsia="es-CO"/>
        </w:rPr>
        <w:footnoteReference w:id="4"/>
      </w:r>
      <w:r w:rsidRPr="005055D5">
        <w:rPr>
          <w:rFonts w:ascii="Verdana" w:eastAsia="Times New Roman" w:hAnsi="Verdana" w:cs="Arial"/>
          <w:sz w:val="20"/>
          <w:szCs w:val="20"/>
          <w:lang w:val="es-MX" w:eastAsia="es-CO"/>
        </w:rPr>
        <w:t> y del Consejo de Estado</w:t>
      </w:r>
      <w:r w:rsidRPr="005055D5">
        <w:rPr>
          <w:rFonts w:ascii="Verdana" w:eastAsia="Times New Roman" w:hAnsi="Verdana" w:cs="Arial"/>
          <w:sz w:val="20"/>
          <w:szCs w:val="20"/>
          <w:vertAlign w:val="superscript"/>
          <w:lang w:val="es-MX" w:eastAsia="es-CO"/>
        </w:rPr>
        <w:footnoteReference w:id="5"/>
      </w:r>
      <w:r w:rsidRPr="005055D5">
        <w:rPr>
          <w:rFonts w:ascii="Verdana" w:eastAsia="Times New Roman" w:hAnsi="Verdana" w:cs="Arial"/>
          <w:sz w:val="20"/>
          <w:szCs w:val="20"/>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5055D5">
        <w:rPr>
          <w:rFonts w:ascii="Verdana" w:eastAsia="Times New Roman" w:hAnsi="Verdana" w:cs="Arial"/>
          <w:sz w:val="20"/>
          <w:szCs w:val="20"/>
          <w:vertAlign w:val="superscript"/>
          <w:lang w:val="es-MX" w:eastAsia="es-CO"/>
        </w:rPr>
        <w:footnoteReference w:id="6"/>
      </w:r>
      <w:r w:rsidRPr="005055D5">
        <w:rPr>
          <w:rFonts w:ascii="Verdana" w:eastAsia="Times New Roman" w:hAnsi="Verdana" w:cs="Arial"/>
          <w:sz w:val="20"/>
          <w:szCs w:val="20"/>
          <w:lang w:val="es-MX" w:eastAsia="es-CO"/>
        </w:rPr>
        <w:t>.</w:t>
      </w:r>
    </w:p>
    <w:p w14:paraId="2548772F" w14:textId="77777777" w:rsidR="009E5C98" w:rsidRPr="005055D5" w:rsidRDefault="009E5C98" w:rsidP="009E5C98">
      <w:pPr>
        <w:spacing w:after="0" w:line="276" w:lineRule="auto"/>
        <w:jc w:val="both"/>
        <w:rPr>
          <w:rFonts w:ascii="Verdana" w:eastAsia="Calibri" w:hAnsi="Verdana" w:cs="Arial"/>
          <w:bCs/>
          <w:lang w:val="es-ES_tradnl"/>
        </w:rPr>
      </w:pPr>
    </w:p>
    <w:p w14:paraId="681109A8" w14:textId="77777777" w:rsidR="009E5C98" w:rsidRDefault="009E5C98" w:rsidP="009E5C98">
      <w:pPr>
        <w:spacing w:after="0" w:line="276" w:lineRule="auto"/>
        <w:ind w:firstLine="709"/>
        <w:jc w:val="both"/>
        <w:rPr>
          <w:rFonts w:ascii="Verdana" w:eastAsia="Arial" w:hAnsi="Verdana" w:cs="Arial"/>
          <w:lang w:val="es-ES" w:eastAsia="es-ES" w:bidi="es-ES"/>
        </w:rPr>
      </w:pPr>
      <w:r w:rsidRPr="005055D5">
        <w:rPr>
          <w:rFonts w:ascii="Verdana" w:eastAsia="Times New Roman" w:hAnsi="Verdana" w:cs="Arial"/>
          <w:lang w:val="es-MX" w:eastAsia="es-CO"/>
        </w:rPr>
        <w:t>De</w:t>
      </w:r>
      <w:r w:rsidRPr="005055D5">
        <w:rPr>
          <w:rFonts w:ascii="Verdana" w:eastAsia="Arial" w:hAnsi="Verdana" w:cs="Arial"/>
          <w:lang w:val="es-ES" w:eastAsia="es-ES" w:bidi="es-ES"/>
        </w:rPr>
        <w:t xml:space="preserve"> conformidad con lo anterior, </w:t>
      </w:r>
      <w:bookmarkStart w:id="7" w:name="_Hlk77236098"/>
      <w:bookmarkStart w:id="8" w:name="_Hlk100679383"/>
      <w:r w:rsidRPr="005055D5">
        <w:rPr>
          <w:rFonts w:ascii="Verdana" w:eastAsia="Arial" w:hAnsi="Verdana" w:cs="Arial"/>
          <w:lang w:val="es-ES" w:eastAsia="es-ES" w:bidi="es-ES"/>
        </w:rPr>
        <w:t xml:space="preserve">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70AC6C16" w14:textId="77777777" w:rsidR="009E5C98" w:rsidRPr="005055D5" w:rsidRDefault="009E5C98" w:rsidP="009E5C98">
      <w:pPr>
        <w:spacing w:after="0" w:line="276" w:lineRule="auto"/>
        <w:ind w:firstLine="709"/>
        <w:jc w:val="both"/>
        <w:rPr>
          <w:rFonts w:ascii="Verdana" w:eastAsia="Arial" w:hAnsi="Verdana" w:cs="Arial"/>
          <w:lang w:val="es-ES" w:eastAsia="es-ES" w:bidi="es-ES"/>
        </w:rPr>
      </w:pPr>
    </w:p>
    <w:p w14:paraId="21BB8413" w14:textId="77777777" w:rsidR="009E5C98" w:rsidRPr="005055D5" w:rsidRDefault="009E5C98" w:rsidP="009E5C98">
      <w:pPr>
        <w:spacing w:after="120" w:line="276" w:lineRule="auto"/>
        <w:jc w:val="both"/>
        <w:rPr>
          <w:rFonts w:ascii="Verdana" w:eastAsia="Arial" w:hAnsi="Verdana" w:cs="Arial"/>
          <w:lang w:val="es-ES" w:eastAsia="es-ES" w:bidi="es-ES"/>
        </w:rPr>
      </w:pPr>
      <w:proofErr w:type="spellStart"/>
      <w:r w:rsidRPr="005055D5">
        <w:rPr>
          <w:rFonts w:ascii="Verdana" w:eastAsia="Arial" w:hAnsi="Verdana" w:cs="Arial"/>
          <w:lang w:val="es-ES" w:eastAsia="es-ES" w:bidi="es-ES"/>
        </w:rPr>
        <w:t>ii</w:t>
      </w:r>
      <w:proofErr w:type="spellEnd"/>
      <w:r w:rsidRPr="005055D5">
        <w:rPr>
          <w:rFonts w:ascii="Verdana" w:eastAsia="Arial" w:hAnsi="Verdana" w:cs="Arial"/>
          <w:lang w:val="es-ES" w:eastAsia="es-ES" w:bidi="es-ES"/>
        </w:rPr>
        <w:t>. Precisado el propósito de la Ley, es pertinente señalar que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7"/>
    </w:p>
    <w:p w14:paraId="31C69EF3" w14:textId="77777777" w:rsidR="009E5C98" w:rsidRPr="005055D5" w:rsidRDefault="009E5C98" w:rsidP="009E5C98">
      <w:pPr>
        <w:spacing w:after="120" w:line="276" w:lineRule="auto"/>
        <w:ind w:firstLine="708"/>
        <w:jc w:val="both"/>
        <w:rPr>
          <w:rFonts w:ascii="Verdana" w:eastAsia="Calibri" w:hAnsi="Verdana" w:cs="Arial"/>
        </w:rPr>
      </w:pPr>
      <w:r w:rsidRPr="005055D5">
        <w:rPr>
          <w:rFonts w:ascii="Verdana" w:eastAsia="Calibri" w:hAnsi="Verdana" w:cs="Arial"/>
        </w:rPr>
        <w:t xml:space="preserve">Por un lado, el </w:t>
      </w:r>
      <w:r w:rsidRPr="005055D5">
        <w:rPr>
          <w:rFonts w:ascii="Verdana" w:eastAsia="Calibri" w:hAnsi="Verdana" w:cs="Arial"/>
          <w:i/>
          <w:iCs/>
        </w:rPr>
        <w:t>artículo 33 de la Ley 996 de 2005</w:t>
      </w:r>
      <w:r w:rsidRPr="005055D5">
        <w:rPr>
          <w:rFonts w:ascii="Verdana" w:eastAsia="Calibri" w:hAnsi="Verdana" w:cs="Arial"/>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w:t>
      </w:r>
      <w:r w:rsidRPr="005055D5">
        <w:rPr>
          <w:rFonts w:ascii="Verdana" w:eastAsia="Calibri" w:hAnsi="Verdana" w:cs="Arial"/>
        </w:rPr>
        <w:lastRenderedPageBreak/>
        <w:t>acciones terroristas, desastres naturales o casos de fuerza mayor, y los que deban realizar las entidades sanitarias y hospitalarias”</w:t>
      </w:r>
      <w:r w:rsidRPr="005055D5">
        <w:rPr>
          <w:rFonts w:ascii="Verdana" w:eastAsia="Calibri" w:hAnsi="Verdana" w:cs="Arial"/>
          <w:vertAlign w:val="superscript"/>
        </w:rPr>
        <w:footnoteReference w:id="7"/>
      </w:r>
      <w:r w:rsidRPr="005055D5">
        <w:rPr>
          <w:rFonts w:ascii="Verdana" w:eastAsia="Calibri" w:hAnsi="Verdana" w:cs="Arial"/>
        </w:rPr>
        <w:t>.</w:t>
      </w:r>
    </w:p>
    <w:p w14:paraId="2BCCA626" w14:textId="77777777" w:rsidR="009E5C98" w:rsidRPr="005055D5" w:rsidRDefault="009E5C98" w:rsidP="009E5C98">
      <w:pPr>
        <w:widowControl w:val="0"/>
        <w:autoSpaceDE w:val="0"/>
        <w:autoSpaceDN w:val="0"/>
        <w:spacing w:after="120" w:line="276" w:lineRule="auto"/>
        <w:ind w:right="113" w:firstLine="709"/>
        <w:jc w:val="both"/>
        <w:rPr>
          <w:rFonts w:ascii="Verdana" w:eastAsia="Arial" w:hAnsi="Verdana" w:cs="Arial"/>
          <w:lang w:val="es-ES" w:eastAsia="es-ES" w:bidi="es-ES"/>
        </w:rPr>
      </w:pPr>
      <w:r w:rsidRPr="005055D5">
        <w:rPr>
          <w:rFonts w:ascii="Verdana" w:eastAsia="Calibri" w:hAnsi="Verdana" w:cs="Arial"/>
        </w:rPr>
        <w:t xml:space="preserve">Por otro lado, </w:t>
      </w:r>
      <w:r w:rsidRPr="005055D5">
        <w:rPr>
          <w:rFonts w:ascii="Verdana" w:eastAsia="Calibri" w:hAnsi="Verdana" w:cs="Arial"/>
          <w:i/>
          <w:iCs/>
        </w:rPr>
        <w:t>el parágrafo del artículo 38 de la Ley 996 de 2005</w:t>
      </w:r>
      <w:r w:rsidRPr="005055D5">
        <w:rPr>
          <w:rFonts w:ascii="Verdana" w:eastAsia="Calibri" w:hAnsi="Verdana" w:cs="Arial"/>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5055D5">
        <w:rPr>
          <w:rFonts w:ascii="Verdana" w:eastAsia="Calibri" w:hAnsi="Verdana" w:cs="Arial"/>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5055D5">
        <w:rPr>
          <w:rFonts w:ascii="Verdana" w:eastAsia="Calibri" w:hAnsi="Verdana" w:cs="Arial"/>
        </w:rPr>
        <w:t>”</w:t>
      </w:r>
      <w:bookmarkEnd w:id="8"/>
      <w:r w:rsidRPr="005055D5">
        <w:rPr>
          <w:rFonts w:ascii="Verdana" w:eastAsia="Calibri" w:hAnsi="Verdana" w:cs="Arial"/>
          <w:vertAlign w:val="superscript"/>
        </w:rPr>
        <w:footnoteReference w:id="8"/>
      </w:r>
      <w:r w:rsidRPr="005055D5">
        <w:rPr>
          <w:rFonts w:ascii="Verdana" w:eastAsia="Calibri" w:hAnsi="Verdana" w:cs="Arial"/>
          <w:lang w:val="es-MX"/>
        </w:rPr>
        <w:t>.</w:t>
      </w:r>
      <w:r w:rsidRPr="005055D5">
        <w:rPr>
          <w:rFonts w:ascii="Verdana" w:eastAsia="Arial" w:hAnsi="Verdana" w:cs="Arial"/>
          <w:lang w:val="es-ES" w:eastAsia="es-ES" w:bidi="es-ES"/>
        </w:rPr>
        <w:t xml:space="preserve"> </w:t>
      </w:r>
    </w:p>
    <w:p w14:paraId="650EB96C" w14:textId="77777777" w:rsidR="009E5C98" w:rsidRPr="005055D5" w:rsidRDefault="009E5C98" w:rsidP="009E5C98">
      <w:pPr>
        <w:spacing w:after="120" w:line="276" w:lineRule="auto"/>
        <w:ind w:firstLine="708"/>
        <w:jc w:val="both"/>
        <w:rPr>
          <w:rFonts w:ascii="Verdana" w:eastAsia="Times New Roman" w:hAnsi="Verdana" w:cs="Arial"/>
          <w:bCs/>
          <w:lang w:eastAsia="es-CO"/>
        </w:rPr>
      </w:pPr>
      <w:r w:rsidRPr="005055D5">
        <w:rPr>
          <w:rFonts w:ascii="Verdana" w:eastAsia="Times New Roman" w:hAnsi="Verdana" w:cs="Arial"/>
          <w:bCs/>
          <w:lang w:val="es-MX" w:eastAsia="es-CO"/>
        </w:rPr>
        <w:t>Para entender el momento de aplicación de estas restricciones, es preciso señalar que el vocablo “celebrar” es definido por el Diccionario Panhispánico del Español Jurídico como: “</w:t>
      </w:r>
      <w:r w:rsidRPr="005055D5">
        <w:rPr>
          <w:rFonts w:ascii="Verdana" w:eastAsia="Times New Roman" w:hAnsi="Verdana" w:cs="Arial"/>
          <w:bCs/>
          <w:lang w:eastAsia="es-CO"/>
        </w:rPr>
        <w:t>1. </w:t>
      </w:r>
      <w:r w:rsidRPr="005055D5">
        <w:rPr>
          <w:rFonts w:ascii="Verdana" w:eastAsia="Times New Roman" w:hAnsi="Verdana" w:cs="Arial"/>
          <w:bCs/>
          <w:i/>
          <w:iCs/>
          <w:lang w:eastAsia="es-CO"/>
        </w:rPr>
        <w:t>Gral.</w:t>
      </w:r>
      <w:r w:rsidRPr="005055D5">
        <w:rPr>
          <w:rFonts w:ascii="Verdana" w:eastAsia="Times New Roman" w:hAnsi="Verdana" w:cs="Arial"/>
          <w:bCs/>
          <w:lang w:eastAsia="es-CO"/>
        </w:rPr>
        <w:t xml:space="preserve"> Otorgar o firmar un contrato. 2. </w:t>
      </w:r>
      <w:proofErr w:type="spellStart"/>
      <w:r w:rsidRPr="005055D5">
        <w:rPr>
          <w:rFonts w:ascii="Verdana" w:eastAsia="Times New Roman" w:hAnsi="Verdana" w:cs="Arial"/>
          <w:bCs/>
          <w:i/>
          <w:iCs/>
          <w:lang w:eastAsia="es-CO"/>
        </w:rPr>
        <w:t>Proc</w:t>
      </w:r>
      <w:proofErr w:type="spellEnd"/>
      <w:r w:rsidRPr="005055D5">
        <w:rPr>
          <w:rFonts w:ascii="Verdana" w:eastAsia="Times New Roman" w:hAnsi="Verdana" w:cs="Arial"/>
          <w:bCs/>
          <w:i/>
          <w:iCs/>
          <w:lang w:eastAsia="es-CO"/>
        </w:rPr>
        <w:t>.</w:t>
      </w:r>
      <w:r w:rsidRPr="005055D5">
        <w:rPr>
          <w:rFonts w:ascii="Verdana" w:eastAsia="Times New Roman" w:hAnsi="Verdana" w:cs="Arial"/>
          <w:bCs/>
          <w:lang w:eastAsia="es-CO"/>
        </w:rPr>
        <w:t xml:space="preserve"> Realizar los actos procesales propios de un juicio o vista”. Dentro de las dos definiciones, la que se acerca a la expresión “celebrar” en el contexto de la Ley de Garantías Electorales es la primera, esto es, al perfeccionamiento del contrato. </w:t>
      </w:r>
    </w:p>
    <w:p w14:paraId="00EC583A" w14:textId="77777777" w:rsidR="009E5C98" w:rsidRPr="005055D5" w:rsidRDefault="009E5C98" w:rsidP="009E5C98">
      <w:pPr>
        <w:spacing w:after="120" w:line="276" w:lineRule="auto"/>
        <w:ind w:firstLine="708"/>
        <w:jc w:val="both"/>
        <w:rPr>
          <w:rFonts w:ascii="Verdana" w:eastAsia="Times New Roman" w:hAnsi="Verdana" w:cs="Arial"/>
          <w:bCs/>
          <w:lang w:val="es-ES" w:eastAsia="es-CO"/>
        </w:rPr>
      </w:pPr>
      <w:r w:rsidRPr="005055D5">
        <w:rPr>
          <w:rFonts w:ascii="Verdana" w:eastAsia="Times New Roman" w:hAnsi="Verdana" w:cs="Arial"/>
          <w:bCs/>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5055D5">
        <w:rPr>
          <w:rFonts w:ascii="Verdana" w:eastAsia="Times New Roman" w:hAnsi="Verdana" w:cs="Arial"/>
          <w:bCs/>
          <w:lang w:val="es-ES" w:eastAsia="es-CO"/>
        </w:rPr>
        <w:t xml:space="preserve">la existencia de los contratos estatales, es decir, la producción de efectos jurídicos en los términos del artículo 1501 </w:t>
      </w:r>
      <w:r w:rsidRPr="005055D5">
        <w:rPr>
          <w:rFonts w:ascii="Verdana" w:eastAsia="Times New Roman" w:hAnsi="Verdana" w:cs="Arial"/>
          <w:bCs/>
          <w:i/>
          <w:lang w:val="es-ES" w:eastAsia="es-CO"/>
        </w:rPr>
        <w:t>ibidem</w:t>
      </w:r>
      <w:r w:rsidRPr="005055D5">
        <w:rPr>
          <w:rFonts w:ascii="Verdana" w:eastAsia="Times New Roman" w:hAnsi="Verdana" w:cs="Arial"/>
          <w:bCs/>
          <w:lang w:val="es-ES" w:eastAsia="es-CO"/>
        </w:rPr>
        <w:t xml:space="preserve">, depende de la regulación del inciso primero de los artículos 39 y 41 de la Ley 80 de 1993. Por un lado, “Los contratos que celebren las entidades estatales constarán por escrito y no requerirán ser </w:t>
      </w:r>
      <w:r w:rsidRPr="005055D5">
        <w:rPr>
          <w:rFonts w:ascii="Verdana" w:eastAsia="Times New Roman" w:hAnsi="Verdana" w:cs="Arial"/>
          <w:bCs/>
          <w:lang w:val="es-ES" w:eastAsia="es-CO"/>
        </w:rPr>
        <w:lastRenderedPageBreak/>
        <w:t xml:space="preserve">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 </w:t>
      </w:r>
    </w:p>
    <w:p w14:paraId="06016371" w14:textId="77777777" w:rsidR="009E5C98" w:rsidRPr="005055D5" w:rsidRDefault="009E5C98" w:rsidP="009E5C98">
      <w:pPr>
        <w:spacing w:after="120" w:line="276" w:lineRule="auto"/>
        <w:ind w:firstLine="708"/>
        <w:jc w:val="both"/>
        <w:rPr>
          <w:rFonts w:ascii="Verdana" w:eastAsia="Times New Roman" w:hAnsi="Verdana" w:cs="Arial"/>
          <w:bCs/>
          <w:lang w:val="es-ES" w:eastAsia="es-CO"/>
        </w:rPr>
      </w:pPr>
      <w:r w:rsidRPr="005055D5">
        <w:rPr>
          <w:rFonts w:ascii="Verdana" w:eastAsia="Times New Roman" w:hAnsi="Verdana" w:cs="Arial"/>
          <w:bCs/>
          <w:lang w:val="es-ES" w:eastAsia="es-CO"/>
        </w:rPr>
        <w:t xml:space="preserve">De este modo, esta Agencia precisa que el concepto “celebrar” para efectos de las restricciones en la contratación dispuesta por la Ley de Garantías Electorales se refiere a los requisitos de perfeccionamiento del contrato estatal. Por tanto, no se refiere a los requisitos de ejecución, es decir, aquellas condiciones para iniciar un contrato, como es la aprobación de las garantías o el registro presupuestal, o en algunos casos, la firma del acta de inicio, si así se determinó. </w:t>
      </w:r>
    </w:p>
    <w:p w14:paraId="7E50ACA2" w14:textId="77777777" w:rsidR="009E5C98" w:rsidRPr="005055D5" w:rsidRDefault="009E5C98" w:rsidP="009E5C98">
      <w:pPr>
        <w:spacing w:after="120" w:line="276" w:lineRule="auto"/>
        <w:ind w:firstLine="708"/>
        <w:jc w:val="both"/>
        <w:rPr>
          <w:rFonts w:ascii="Verdana" w:eastAsia="Times New Roman" w:hAnsi="Verdana" w:cs="Arial"/>
          <w:bCs/>
          <w:lang w:val="es-ES" w:eastAsia="es-CO"/>
        </w:rPr>
      </w:pPr>
      <w:r w:rsidRPr="005055D5">
        <w:rPr>
          <w:rFonts w:ascii="Verdana" w:eastAsia="Times New Roman" w:hAnsi="Verdana" w:cs="Arial"/>
          <w:bCs/>
          <w:lang w:val="es-ES" w:eastAsia="es-CO"/>
        </w:rPr>
        <w:t xml:space="preserve">Asimismo, </w:t>
      </w:r>
      <w:r w:rsidRPr="005055D5">
        <w:rPr>
          <w:rFonts w:ascii="Verdana" w:eastAsia="Times New Roman" w:hAnsi="Verdana" w:cs="Arial"/>
          <w:bCs/>
          <w:lang w:val="es-MX" w:eastAsia="es-CO"/>
        </w:rPr>
        <w:t xml:space="preserve">como en otras oportunidades lo ha manifestado esta Agencia, las prórrogas, modificaciones o adiciones de los contratos suscritos antes de la </w:t>
      </w:r>
      <w:proofErr w:type="gramStart"/>
      <w:r w:rsidRPr="005055D5">
        <w:rPr>
          <w:rFonts w:ascii="Verdana" w:eastAsia="Times New Roman" w:hAnsi="Verdana" w:cs="Arial"/>
          <w:bCs/>
          <w:lang w:val="es-MX" w:eastAsia="es-CO"/>
        </w:rPr>
        <w:t>entrada en vigencia</w:t>
      </w:r>
      <w:proofErr w:type="gramEnd"/>
      <w:r w:rsidRPr="005055D5">
        <w:rPr>
          <w:rFonts w:ascii="Verdana" w:eastAsia="Times New Roman" w:hAnsi="Verdana" w:cs="Arial"/>
          <w:bCs/>
          <w:lang w:val="es-MX" w:eastAsia="es-CO"/>
        </w:rPr>
        <w:t xml:space="preserve"> de las prohibiciones anotadas, así como la cesión de </w:t>
      </w:r>
      <w:proofErr w:type="gramStart"/>
      <w:r w:rsidRPr="005055D5">
        <w:rPr>
          <w:rFonts w:ascii="Verdana" w:eastAsia="Times New Roman" w:hAnsi="Verdana" w:cs="Arial"/>
          <w:bCs/>
          <w:lang w:val="es-MX" w:eastAsia="es-CO"/>
        </w:rPr>
        <w:t>los mismos</w:t>
      </w:r>
      <w:proofErr w:type="gramEnd"/>
      <w:r w:rsidRPr="005055D5">
        <w:rPr>
          <w:rFonts w:ascii="Verdana" w:eastAsia="Times New Roman" w:hAnsi="Verdana" w:cs="Arial"/>
          <w:bCs/>
          <w:lang w:val="es-MX" w:eastAsia="es-CO"/>
        </w:rPr>
        <w:t>, pueden tener lugar en el período de aplicación de la Ley de Garantías, sin que ello haga nugatoria la restricción de la contratación directa y siempre que cumplan los principios de planeación, transparencia y responsabilidad</w:t>
      </w:r>
      <w:r w:rsidRPr="005055D5">
        <w:rPr>
          <w:rFonts w:ascii="Verdana" w:eastAsia="Times New Roman" w:hAnsi="Verdana" w:cs="Arial"/>
          <w:bCs/>
          <w:vertAlign w:val="superscript"/>
          <w:lang w:val="es-MX" w:eastAsia="es-CO"/>
        </w:rPr>
        <w:footnoteReference w:id="9"/>
      </w:r>
      <w:r w:rsidRPr="005055D5">
        <w:rPr>
          <w:rFonts w:ascii="Verdana" w:eastAsia="Times New Roman" w:hAnsi="Verdana" w:cs="Arial"/>
          <w:bCs/>
          <w:lang w:val="es-MX" w:eastAsia="es-CO"/>
        </w:rPr>
        <w:t xml:space="preserve">. </w:t>
      </w:r>
    </w:p>
    <w:p w14:paraId="77FBAC3B" w14:textId="77777777" w:rsidR="009E5C98" w:rsidRPr="005055D5" w:rsidRDefault="009E5C98" w:rsidP="009E5C98">
      <w:pPr>
        <w:widowControl w:val="0"/>
        <w:autoSpaceDE w:val="0"/>
        <w:autoSpaceDN w:val="0"/>
        <w:spacing w:after="0" w:line="276" w:lineRule="auto"/>
        <w:ind w:right="113" w:firstLine="708"/>
        <w:contextualSpacing/>
        <w:jc w:val="both"/>
        <w:rPr>
          <w:rFonts w:ascii="Verdana" w:eastAsia="Arial" w:hAnsi="Verdana" w:cs="Arial"/>
          <w:lang w:val="es-ES" w:eastAsia="es-ES" w:bidi="es-ES"/>
        </w:rPr>
      </w:pPr>
      <w:r w:rsidRPr="005055D5">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considera:</w:t>
      </w:r>
    </w:p>
    <w:p w14:paraId="0D0B4B3F" w14:textId="77777777" w:rsidR="009E5C98" w:rsidRPr="005055D5" w:rsidRDefault="009E5C98" w:rsidP="009E5C98">
      <w:pPr>
        <w:widowControl w:val="0"/>
        <w:autoSpaceDE w:val="0"/>
        <w:autoSpaceDN w:val="0"/>
        <w:spacing w:after="0" w:line="276" w:lineRule="auto"/>
        <w:ind w:left="805" w:right="812"/>
        <w:contextualSpacing/>
        <w:jc w:val="both"/>
        <w:rPr>
          <w:rFonts w:ascii="Verdana" w:eastAsia="Arial" w:hAnsi="Verdana" w:cs="Arial"/>
          <w:lang w:val="es-ES" w:eastAsia="es-ES" w:bidi="es-ES"/>
        </w:rPr>
      </w:pPr>
    </w:p>
    <w:p w14:paraId="05527473" w14:textId="77777777" w:rsidR="009E5C98" w:rsidRPr="005055D5" w:rsidRDefault="009E5C98" w:rsidP="009E5C98">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5055D5">
        <w:rPr>
          <w:rFonts w:ascii="Verdana" w:eastAsia="Arial" w:hAnsi="Verdana" w:cs="Arial"/>
          <w:sz w:val="20"/>
          <w:szCs w:val="20"/>
          <w:lang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11" w:name="_Hlk76109421"/>
      <w:r w:rsidRPr="005055D5">
        <w:rPr>
          <w:rFonts w:ascii="Verdana" w:eastAsia="Arial" w:hAnsi="Verdana" w:cs="Arial"/>
          <w:sz w:val="20"/>
          <w:szCs w:val="20"/>
          <w:lang w:eastAsia="es-ES" w:bidi="es-ES"/>
        </w:rPr>
        <w:t>se integran parcialmente</w:t>
      </w:r>
      <w:bookmarkEnd w:id="11"/>
      <w:r w:rsidRPr="005055D5">
        <w:rPr>
          <w:rFonts w:ascii="Verdana" w:eastAsia="Arial" w:hAnsi="Verdana" w:cs="Arial"/>
          <w:sz w:val="20"/>
          <w:szCs w:val="20"/>
          <w:lang w:eastAsia="es-ES" w:bidi="es-ES"/>
        </w:rPr>
        <w:t xml:space="preserve">, lo que permite concluir que en periodo preelectoral para elección de Presidente de la República, a todos los entes del Estado, incluidos los territoriales, se aplican las </w:t>
      </w:r>
      <w:r w:rsidRPr="005055D5">
        <w:rPr>
          <w:rFonts w:ascii="Verdana" w:eastAsia="Arial" w:hAnsi="Verdana" w:cs="Arial"/>
          <w:sz w:val="20"/>
          <w:szCs w:val="20"/>
          <w:lang w:eastAsia="es-ES" w:bidi="es-ES"/>
        </w:rPr>
        <w:lastRenderedPageBreak/>
        <w:t xml:space="preserve">restricciones de los artículos 32 y 33 con sus excepciones, así como las del parágrafo del artículo 38. En cambio, para elecciones en general, excluyendo las correspondientes a </w:t>
      </w:r>
      <w:proofErr w:type="gramStart"/>
      <w:r w:rsidRPr="005055D5">
        <w:rPr>
          <w:rFonts w:ascii="Verdana" w:eastAsia="Arial" w:hAnsi="Verdana" w:cs="Arial"/>
          <w:sz w:val="20"/>
          <w:szCs w:val="20"/>
          <w:lang w:eastAsia="es-ES" w:bidi="es-ES"/>
        </w:rPr>
        <w:t>Presidente</w:t>
      </w:r>
      <w:proofErr w:type="gramEnd"/>
      <w:r w:rsidRPr="005055D5">
        <w:rPr>
          <w:rFonts w:ascii="Verdana" w:eastAsia="Arial" w:hAnsi="Verdana" w:cs="Arial"/>
          <w:sz w:val="20"/>
          <w:szCs w:val="20"/>
          <w:lang w:eastAsia="es-ES" w:bidi="es-ES"/>
        </w:rPr>
        <w:t xml:space="preserve"> de la República, a las autoridades territoriales allí mencionadas sólo se aplican las restricciones contenidas en el parágrafo del artículo 38”.</w:t>
      </w:r>
      <w:r w:rsidRPr="005055D5">
        <w:rPr>
          <w:rFonts w:ascii="Verdana" w:eastAsia="Arial" w:hAnsi="Verdana" w:cs="Arial"/>
          <w:sz w:val="20"/>
          <w:szCs w:val="20"/>
          <w:vertAlign w:val="superscript"/>
          <w:lang w:eastAsia="es-ES" w:bidi="es-ES"/>
        </w:rPr>
        <w:footnoteReference w:id="10"/>
      </w:r>
    </w:p>
    <w:p w14:paraId="474A1AF8" w14:textId="77777777" w:rsidR="009E5C98" w:rsidRPr="005055D5" w:rsidRDefault="009E5C98" w:rsidP="009E5C98">
      <w:pPr>
        <w:widowControl w:val="0"/>
        <w:autoSpaceDE w:val="0"/>
        <w:autoSpaceDN w:val="0"/>
        <w:spacing w:after="0" w:line="276" w:lineRule="auto"/>
        <w:contextualSpacing/>
        <w:rPr>
          <w:rFonts w:ascii="Verdana" w:eastAsia="Arial" w:hAnsi="Verdana" w:cs="Arial"/>
          <w:lang w:val="es-ES" w:eastAsia="es-ES" w:bidi="es-ES"/>
        </w:rPr>
      </w:pPr>
    </w:p>
    <w:p w14:paraId="00F988F8" w14:textId="77777777" w:rsidR="009E5C98" w:rsidRPr="005055D5" w:rsidRDefault="009E5C98" w:rsidP="009E5C98">
      <w:pPr>
        <w:spacing w:after="120" w:line="276" w:lineRule="auto"/>
        <w:ind w:firstLine="709"/>
        <w:jc w:val="both"/>
        <w:rPr>
          <w:rFonts w:ascii="Verdana" w:eastAsia="Arial" w:hAnsi="Verdana" w:cs="Arial"/>
          <w:lang w:val="es-ES" w:eastAsia="es-ES" w:bidi="es-ES"/>
        </w:rPr>
      </w:pPr>
      <w:r w:rsidRPr="005055D5">
        <w:rPr>
          <w:rFonts w:ascii="Verdana" w:eastAsia="Arial" w:hAnsi="Verdana" w:cs="Arial"/>
          <w:lang w:val="es-ES" w:eastAsia="es-ES" w:bidi="es-ES"/>
        </w:rPr>
        <w:t xml:space="preserve">De conformidad con lo anterior, </w:t>
      </w:r>
      <w:bookmarkStart w:id="12" w:name="_Hlk77236420"/>
      <w:bookmarkStart w:id="13" w:name="_Hlk78818435"/>
      <w:bookmarkStart w:id="14" w:name="_Hlk75780333"/>
      <w:r w:rsidRPr="005055D5">
        <w:rPr>
          <w:rFonts w:ascii="Verdana" w:eastAsia="Arial" w:hAnsi="Verdana" w:cs="Arial"/>
          <w:lang w:val="es-ES" w:eastAsia="es-ES" w:bidi="es-ES"/>
        </w:rPr>
        <w:t xml:space="preserve">la Ley 996 de 2005 establece dos (2) tipos de restricciones en materia de contratación, las cuales coinciden parcialmente. </w:t>
      </w:r>
      <w:r w:rsidRPr="005055D5">
        <w:rPr>
          <w:rFonts w:ascii="Verdana" w:eastAsia="Arial" w:hAnsi="Verdana" w:cs="Arial"/>
          <w:i/>
          <w:lang w:val="es-ES" w:eastAsia="es-ES" w:bidi="es-ES"/>
        </w:rPr>
        <w:t>En primer lugar</w:t>
      </w:r>
      <w:r w:rsidRPr="005055D5">
        <w:rPr>
          <w:rFonts w:ascii="Verdana" w:eastAsia="Arial" w:hAnsi="Verdana" w:cs="Arial"/>
          <w:lang w:val="es-ES" w:eastAsia="es-ES" w:bidi="es-ES"/>
        </w:rPr>
        <w:t xml:space="preserve">, la del artículo 33 que aplica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5055D5">
        <w:rPr>
          <w:rFonts w:ascii="Verdana" w:eastAsia="Arial" w:hAnsi="Verdana" w:cs="Arial"/>
          <w:i/>
          <w:lang w:val="es-ES" w:eastAsia="es-ES" w:bidi="es-ES"/>
        </w:rPr>
        <w:t>En segundo lugar</w:t>
      </w:r>
      <w:r w:rsidRPr="005055D5">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12"/>
    </w:p>
    <w:bookmarkEnd w:id="13"/>
    <w:p w14:paraId="000842A7" w14:textId="77777777" w:rsidR="009E5C98" w:rsidRPr="005055D5" w:rsidRDefault="009E5C98" w:rsidP="009E5C98">
      <w:pPr>
        <w:spacing w:after="120" w:line="276" w:lineRule="auto"/>
        <w:ind w:firstLine="709"/>
        <w:jc w:val="both"/>
        <w:rPr>
          <w:rFonts w:ascii="Verdana" w:eastAsia="Arial" w:hAnsi="Verdana" w:cs="Arial"/>
          <w:lang w:val="es-ES" w:eastAsia="es-ES" w:bidi="es-ES"/>
        </w:rPr>
      </w:pPr>
      <w:r w:rsidRPr="005055D5">
        <w:rPr>
          <w:rFonts w:ascii="Verdana" w:eastAsia="Arial" w:hAnsi="Verdana" w:cs="Arial"/>
          <w:lang w:val="es-ES" w:eastAsia="es-ES" w:bidi="es-ES"/>
        </w:rPr>
        <w:t xml:space="preserve">Ambas restricciones no son excluyentes, lo que permite concluir que, en el período preelectoral para elección de </w:t>
      </w:r>
      <w:proofErr w:type="gramStart"/>
      <w:r w:rsidRPr="005055D5">
        <w:rPr>
          <w:rFonts w:ascii="Verdana" w:eastAsia="Arial" w:hAnsi="Verdana" w:cs="Arial"/>
          <w:lang w:val="es-ES" w:eastAsia="es-ES" w:bidi="es-ES"/>
        </w:rPr>
        <w:t>Presidente</w:t>
      </w:r>
      <w:proofErr w:type="gramEnd"/>
      <w:r w:rsidRPr="005055D5">
        <w:rPr>
          <w:rFonts w:ascii="Verdana" w:eastAsia="Arial" w:hAnsi="Verdana" w:cs="Arial"/>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5055D5">
        <w:rPr>
          <w:rFonts w:ascii="Verdana" w:eastAsia="Arial" w:hAnsi="Verdana" w:cs="Arial"/>
          <w:lang w:val="es-ES" w:eastAsia="es-ES" w:bidi="es-ES"/>
        </w:rPr>
        <w:t>Presidente</w:t>
      </w:r>
      <w:proofErr w:type="gramEnd"/>
      <w:r w:rsidRPr="005055D5">
        <w:rPr>
          <w:rFonts w:ascii="Verdana" w:eastAsia="Arial" w:hAnsi="Verdana" w:cs="Arial"/>
          <w:lang w:val="es-ES" w:eastAsia="es-ES" w:bidi="es-ES"/>
        </w:rPr>
        <w:t xml:space="preserve"> de la República, las autoridades allí mencionadas sólo deben aplicar las restricciones contenidas en el parágrafo del artículo 38.</w:t>
      </w:r>
    </w:p>
    <w:bookmarkEnd w:id="14"/>
    <w:p w14:paraId="57F1A8C1" w14:textId="77777777" w:rsidR="009E5C98" w:rsidRPr="005055D5" w:rsidRDefault="009E5C98" w:rsidP="009E5C98">
      <w:pPr>
        <w:spacing w:after="0" w:line="276" w:lineRule="auto"/>
        <w:ind w:firstLine="709"/>
        <w:jc w:val="both"/>
        <w:rPr>
          <w:rFonts w:ascii="Verdana" w:eastAsia="Arial" w:hAnsi="Verdana" w:cs="Arial"/>
          <w:lang w:val="es-ES" w:eastAsia="es-ES" w:bidi="es-ES"/>
        </w:rPr>
      </w:pPr>
      <w:r w:rsidRPr="005055D5">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5055D5">
        <w:rPr>
          <w:rFonts w:ascii="Verdana" w:eastAsia="Arial" w:hAnsi="Verdana" w:cs="Arial"/>
          <w:lang w:val="es-ES" w:eastAsia="es-ES" w:bidi="es-ES"/>
        </w:rPr>
        <w:t>Presidente</w:t>
      </w:r>
      <w:proofErr w:type="gramEnd"/>
      <w:r w:rsidRPr="005055D5">
        <w:rPr>
          <w:rFonts w:ascii="Verdana" w:eastAsia="Arial" w:hAnsi="Verdana" w:cs="Arial"/>
          <w:lang w:val="es-ES" w:eastAsia="es-ES" w:bidi="es-ES"/>
        </w:rPr>
        <w:t xml:space="preserve"> o el </w:t>
      </w:r>
      <w:proofErr w:type="gramStart"/>
      <w:r w:rsidRPr="005055D5">
        <w:rPr>
          <w:rFonts w:ascii="Verdana" w:eastAsia="Arial" w:hAnsi="Verdana" w:cs="Arial"/>
          <w:lang w:val="es-ES" w:eastAsia="es-ES" w:bidi="es-ES"/>
        </w:rPr>
        <w:t>Vicepresidente</w:t>
      </w:r>
      <w:proofErr w:type="gramEnd"/>
      <w:r w:rsidRPr="005055D5">
        <w:rPr>
          <w:rFonts w:ascii="Verdana" w:eastAsia="Arial" w:hAnsi="Verdana" w:cs="Arial"/>
          <w:lang w:val="es-ES" w:eastAsia="es-ES" w:bidi="es-ES"/>
        </w:rPr>
        <w:t xml:space="preserve"> desde que éstos –estando en ejercicio de su cargo– manifiesten el interés de ser candidato </w:t>
      </w:r>
      <w:r w:rsidRPr="005055D5">
        <w:rPr>
          <w:rFonts w:ascii="Verdana" w:eastAsia="Arial" w:hAnsi="Verdana" w:cs="Arial"/>
          <w:lang w:val="es-ES" w:eastAsia="es-ES" w:bidi="es-ES"/>
        </w:rPr>
        <w:lastRenderedPageBreak/>
        <w:t xml:space="preserve">presidencial, lo cual debe ocurrir seis (6) meses antes de la elección en primera vuelta, de acuerdo con el artículo 9 de la Ley 996 de 2005. Sin embargo, el condicionamiento impuesto por la Corte Constitucional, relacionado con el momento en que estas restricciones empiezan a regir para el </w:t>
      </w:r>
      <w:proofErr w:type="gramStart"/>
      <w:r w:rsidRPr="005055D5">
        <w:rPr>
          <w:rFonts w:ascii="Verdana" w:eastAsia="Arial" w:hAnsi="Verdana" w:cs="Arial"/>
          <w:lang w:val="es-ES" w:eastAsia="es-ES" w:bidi="es-ES"/>
        </w:rPr>
        <w:t>Presidente</w:t>
      </w:r>
      <w:proofErr w:type="gramEnd"/>
      <w:r w:rsidRPr="005055D5">
        <w:rPr>
          <w:rFonts w:ascii="Verdana" w:eastAsia="Arial" w:hAnsi="Verdana" w:cs="Arial"/>
          <w:lang w:val="es-ES" w:eastAsia="es-ES" w:bidi="es-ES"/>
        </w:rPr>
        <w:t xml:space="preserve"> y el </w:t>
      </w:r>
      <w:proofErr w:type="gramStart"/>
      <w:r w:rsidRPr="005055D5">
        <w:rPr>
          <w:rFonts w:ascii="Verdana" w:eastAsia="Arial" w:hAnsi="Verdana" w:cs="Arial"/>
          <w:lang w:val="es-ES" w:eastAsia="es-ES" w:bidi="es-ES"/>
        </w:rPr>
        <w:t>Vicepresidente</w:t>
      </w:r>
      <w:proofErr w:type="gramEnd"/>
      <w:r w:rsidRPr="005055D5">
        <w:rPr>
          <w:rFonts w:ascii="Verdana" w:eastAsia="Arial" w:hAnsi="Verdana" w:cs="Arial"/>
          <w:lang w:val="es-ES" w:eastAsia="es-ES" w:bidi="es-ES"/>
        </w:rPr>
        <w:t xml:space="preserve"> de la República, ha perdido vigencia ante la prohibición de la reelección presidencial, restablecida por el Acto Legislativo 2 de 2015. Esto excepto para el </w:t>
      </w:r>
      <w:proofErr w:type="gramStart"/>
      <w:r w:rsidRPr="005055D5">
        <w:rPr>
          <w:rFonts w:ascii="Verdana" w:eastAsia="Arial" w:hAnsi="Verdana" w:cs="Arial"/>
          <w:lang w:val="es-ES" w:eastAsia="es-ES" w:bidi="es-ES"/>
        </w:rPr>
        <w:t>Vicepresidente</w:t>
      </w:r>
      <w:proofErr w:type="gramEnd"/>
      <w:r w:rsidRPr="005055D5">
        <w:rPr>
          <w:rFonts w:ascii="Verdana" w:eastAsia="Arial" w:hAnsi="Verdana" w:cs="Arial"/>
          <w:lang w:val="es-ES" w:eastAsia="es-ES" w:bidi="es-ES"/>
        </w:rPr>
        <w:t xml:space="preserve"> que no haya ejercido la presidencia o que la haya ejercido por un tiempo inferior a tres (3) meses durante el respectivo cuatrienio, en forma continua o discontinua, conforme al artículo 197 de la Constitución Política.  </w:t>
      </w:r>
    </w:p>
    <w:p w14:paraId="6CE3E045" w14:textId="77777777" w:rsidR="009E5C98" w:rsidRPr="00DA73EA" w:rsidRDefault="009E5C98" w:rsidP="009E5C98">
      <w:pPr>
        <w:spacing w:after="120" w:line="276" w:lineRule="auto"/>
        <w:ind w:firstLine="709"/>
        <w:jc w:val="both"/>
        <w:rPr>
          <w:rFonts w:ascii="Verdana" w:hAnsi="Verdana" w:cs="Arial"/>
          <w:bCs/>
          <w:lang w:eastAsia="x-none"/>
        </w:rPr>
      </w:pPr>
      <w:r w:rsidRPr="00DA73EA">
        <w:rPr>
          <w:rFonts w:ascii="Verdana" w:eastAsia="Times New Roman" w:hAnsi="Verdana" w:cs="Arial"/>
          <w:bCs/>
          <w:lang w:val="es-MX" w:eastAsia="x-none"/>
        </w:rPr>
        <w:t xml:space="preserve">Teniendo en cuenta lo expuesto, </w:t>
      </w:r>
      <w:r w:rsidRPr="00DA73EA">
        <w:rPr>
          <w:rFonts w:ascii="Verdana" w:hAnsi="Verdana" w:cs="Arial"/>
          <w:bCs/>
          <w:lang w:eastAsia="x-none"/>
        </w:rPr>
        <w:t xml:space="preserve">durante la vigencia de las restricciones consagradas en el parágrafo del artículo 38 de la </w:t>
      </w:r>
      <w:r w:rsidRPr="00DA73EA">
        <w:rPr>
          <w:rFonts w:ascii="Verdana" w:eastAsia="Times New Roman" w:hAnsi="Verdana" w:cs="Arial"/>
          <w:bCs/>
          <w:lang w:eastAsia="x-none"/>
        </w:rPr>
        <w:t>Ley 996 de 2005</w:t>
      </w:r>
      <w:r w:rsidRPr="00DA73EA">
        <w:rPr>
          <w:rFonts w:ascii="Verdana" w:hAnsi="Verdana" w:cs="Arial"/>
          <w:bCs/>
          <w:lang w:eastAsia="x-none"/>
        </w:rPr>
        <w:t xml:space="preserve">, suscribir convenios interadministrativos que se originen en el desarrollo del objeto de un convenio principal cuando su formalización implique la celebración de un nuevo acuerdo para la ejecución de recursos públicos por parte de autoridades del orden territorial, en tanto la disposición establece una prohibición expresa, objetiva y temporal de </w:t>
      </w:r>
      <w:r w:rsidRPr="00DA73EA">
        <w:rPr>
          <w:rFonts w:ascii="Verdana" w:eastAsia="Times New Roman" w:hAnsi="Verdana" w:cs="Arial"/>
          <w:bCs/>
          <w:lang w:eastAsia="x-none"/>
        </w:rPr>
        <w:t>celebrar convenios interadministrativos</w:t>
      </w:r>
      <w:r w:rsidRPr="00DA73EA">
        <w:rPr>
          <w:rFonts w:ascii="Verdana" w:hAnsi="Verdana" w:cs="Arial"/>
          <w:bCs/>
          <w:lang w:eastAsia="x-none"/>
        </w:rPr>
        <w:t xml:space="preserve"> dentro de los cuatro (4) meses anteriores a cualquier elección, sin efectuar distinción alguna respecto de su modalidad, denominación o conexidad con acuerdos previamente celebrados.</w:t>
      </w:r>
    </w:p>
    <w:p w14:paraId="7D1F96D2" w14:textId="77777777" w:rsidR="009E5C98" w:rsidRPr="00DA73EA" w:rsidRDefault="009E5C98" w:rsidP="009E5C98">
      <w:pPr>
        <w:spacing w:after="120" w:line="276" w:lineRule="auto"/>
        <w:ind w:firstLine="709"/>
        <w:jc w:val="both"/>
        <w:rPr>
          <w:rFonts w:ascii="Verdana" w:eastAsia="Times New Roman" w:hAnsi="Verdana" w:cs="Arial"/>
          <w:bCs/>
          <w:lang w:eastAsia="x-none"/>
        </w:rPr>
      </w:pPr>
      <w:r w:rsidRPr="00DA73EA">
        <w:rPr>
          <w:rFonts w:ascii="Verdana" w:eastAsia="Times New Roman" w:hAnsi="Verdana" w:cs="Arial"/>
          <w:bCs/>
          <w:lang w:eastAsia="x-none"/>
        </w:rPr>
        <w:t>Dicha restricción encuentra fundamento en los artículos 2, 13, 127 y 209 de la Constitución Política, orientados a garantizar la igualdad en la contienda electoral, la moralidad administrativa, la transparencia en el manejo de los recursos públicos y la neutralidad de la función administrativa. La Corte Constitucional ha sostenido que el régimen de garantías constituye un instrumento legítimo y razonable para preservar el equilibrio democrático, evitando que la contratación estatal se utilice como mecanismo de favorecimiento político o de incidencia indebida en los procesos electorales.</w:t>
      </w:r>
    </w:p>
    <w:p w14:paraId="3FE9FBE3" w14:textId="77777777" w:rsidR="009E5C98" w:rsidRPr="00DA73EA" w:rsidRDefault="009E5C98" w:rsidP="009E5C98">
      <w:pPr>
        <w:spacing w:after="120" w:line="276" w:lineRule="auto"/>
        <w:ind w:firstLine="709"/>
        <w:jc w:val="both"/>
        <w:rPr>
          <w:rFonts w:ascii="Verdana" w:eastAsia="Times New Roman" w:hAnsi="Verdana" w:cs="Arial"/>
          <w:bCs/>
          <w:lang w:eastAsia="x-none"/>
        </w:rPr>
      </w:pPr>
      <w:r w:rsidRPr="00DA73EA">
        <w:rPr>
          <w:rFonts w:ascii="Verdana" w:eastAsia="Times New Roman" w:hAnsi="Verdana" w:cs="Arial"/>
          <w:bCs/>
          <w:lang w:eastAsia="x-none"/>
        </w:rPr>
        <w:t>Por su parte, el Consejo de Estado ha reiterado que las normas que establecen prohibiciones en materia electoral son de carácter excepcional y, por ende, de interpretación estricta. Esto significa que no pueden extenderse por analogía a supuestos no previstos por el legislador, pero tampoco pueden restringirse mediante interpretaciones que vacíen su contenido material o permitan su elusión a través de fórmulas formales.</w:t>
      </w:r>
      <w:r>
        <w:rPr>
          <w:rFonts w:ascii="Verdana" w:eastAsia="Times New Roman" w:hAnsi="Verdana" w:cs="Arial"/>
          <w:bCs/>
          <w:lang w:eastAsia="x-none"/>
        </w:rPr>
        <w:t xml:space="preserve"> </w:t>
      </w:r>
      <w:r w:rsidRPr="00DA73EA">
        <w:rPr>
          <w:rFonts w:ascii="Verdana" w:eastAsia="Times New Roman" w:hAnsi="Verdana" w:cs="Arial"/>
          <w:bCs/>
          <w:lang w:eastAsia="x-none"/>
        </w:rPr>
        <w:t xml:space="preserve">En ese orden, el análisis debe </w:t>
      </w:r>
      <w:r w:rsidRPr="00DA73EA">
        <w:rPr>
          <w:rFonts w:ascii="Verdana" w:eastAsia="Times New Roman" w:hAnsi="Verdana" w:cs="Arial"/>
          <w:bCs/>
          <w:lang w:eastAsia="x-none"/>
        </w:rPr>
        <w:lastRenderedPageBreak/>
        <w:t>ser sustancial y no meramente nominal. Si el instrumento que se pretende suscribir durante el periodo preelectoral comporta una nueva manifestación de voluntad, genera obligaciones autónomas, amplía el objeto o compromete recursos públicos adicionales, se configura materialmente la celebración de un nuevo convenio interadministrativo prohibido, aun cuando se presente como desarrollo o ejecución de uno previamente celebrado.</w:t>
      </w:r>
    </w:p>
    <w:p w14:paraId="0E710836" w14:textId="77777777" w:rsidR="009E5C98" w:rsidRDefault="009E5C98" w:rsidP="009E5C98">
      <w:pPr>
        <w:spacing w:after="120" w:line="276" w:lineRule="auto"/>
        <w:ind w:firstLine="708"/>
        <w:jc w:val="both"/>
        <w:rPr>
          <w:rFonts w:ascii="Verdana" w:eastAsiaTheme="minorEastAsia" w:hAnsi="Verdana" w:cs="Arial"/>
          <w:lang w:eastAsia="es-CO"/>
        </w:rPr>
      </w:pPr>
      <w:r>
        <w:rPr>
          <w:rFonts w:ascii="Verdana" w:eastAsiaTheme="minorEastAsia" w:hAnsi="Verdana" w:cs="Arial"/>
          <w:lang w:eastAsia="es-CO"/>
        </w:rPr>
        <w:t xml:space="preserve">En cuanto al tema específico objeto de consulta, debe advertir que la restricción establecida en el parágrafo del artículo 38 de la Ley 996 de 2005 no diferencia en su ámbito de </w:t>
      </w:r>
      <w:proofErr w:type="gramStart"/>
      <w:r>
        <w:rPr>
          <w:rFonts w:ascii="Verdana" w:eastAsiaTheme="minorEastAsia" w:hAnsi="Verdana" w:cs="Arial"/>
          <w:lang w:eastAsia="es-CO"/>
        </w:rPr>
        <w:t>aplicación  entre</w:t>
      </w:r>
      <w:proofErr w:type="gramEnd"/>
      <w:r>
        <w:rPr>
          <w:rFonts w:ascii="Verdana" w:eastAsiaTheme="minorEastAsia" w:hAnsi="Verdana" w:cs="Arial"/>
          <w:lang w:eastAsia="es-CO"/>
        </w:rPr>
        <w:t xml:space="preserve"> convenios marco y derivados, la celebración de ambos tipos de acuerdos entre entidades estatales, en los que se contemple la ejecución de recursos públicos, debe entenderse restringida para los entes territoriales y sus entidades descentralizadas. Esto con sustento en el principio interpretativo según el cual, </w:t>
      </w:r>
      <w:r w:rsidRPr="00A06E75">
        <w:rPr>
          <w:rFonts w:ascii="Verdana" w:eastAsiaTheme="minorEastAsia" w:hAnsi="Verdana" w:cs="Arial"/>
          <w:i/>
          <w:iCs/>
          <w:lang w:eastAsia="es-CO"/>
        </w:rPr>
        <w:t>donde el legislador no distingue no le está dado al interprete hacerlo.</w:t>
      </w:r>
    </w:p>
    <w:p w14:paraId="2154C3CE" w14:textId="77777777" w:rsidR="009E5C98" w:rsidRPr="00DA73EA" w:rsidRDefault="009E5C98" w:rsidP="009E5C98">
      <w:pPr>
        <w:spacing w:after="120" w:line="276" w:lineRule="auto"/>
        <w:ind w:firstLine="709"/>
        <w:jc w:val="both"/>
        <w:rPr>
          <w:rFonts w:ascii="Verdana" w:eastAsia="Times New Roman" w:hAnsi="Verdana" w:cs="Arial"/>
          <w:bCs/>
          <w:lang w:eastAsia="x-none"/>
        </w:rPr>
      </w:pPr>
      <w:r w:rsidRPr="00DA73EA">
        <w:rPr>
          <w:rFonts w:ascii="Verdana" w:eastAsia="Times New Roman" w:hAnsi="Verdana" w:cs="Arial"/>
          <w:bCs/>
          <w:lang w:eastAsia="x-none"/>
        </w:rPr>
        <w:t>En consecuencia, durante el término de restricción únicamente resultan admisibles las actuaciones estrictamente inherentes a la ejecución, cumplimiento, seguimiento o liquidación de convenios válidamente celebrados con anterioridad al inicio del periodo prohibido, siempre que no impliquen la constitución de un nuevo vínculo jurídico ni la asunción de obligaciones adicionales que desborden el marco obligacional previamente constituido.</w:t>
      </w:r>
    </w:p>
    <w:p w14:paraId="4BE8748D" w14:textId="77777777" w:rsidR="009E5C98" w:rsidRPr="005055D5" w:rsidRDefault="009E5C98" w:rsidP="009E5C98">
      <w:pPr>
        <w:spacing w:after="120" w:line="276" w:lineRule="auto"/>
        <w:jc w:val="both"/>
        <w:rPr>
          <w:rFonts w:ascii="Verdana" w:eastAsia="Arial" w:hAnsi="Verdana" w:cs="Arial"/>
          <w:bCs/>
          <w:color w:val="000000"/>
        </w:rPr>
      </w:pPr>
      <w:proofErr w:type="spellStart"/>
      <w:r w:rsidRPr="005055D5">
        <w:rPr>
          <w:rFonts w:ascii="Verdana" w:eastAsia="Arial" w:hAnsi="Verdana" w:cs="Arial"/>
          <w:lang w:val="es-ES" w:eastAsia="es-ES" w:bidi="es-ES"/>
        </w:rPr>
        <w:t>i</w:t>
      </w:r>
      <w:r>
        <w:rPr>
          <w:rFonts w:ascii="Verdana" w:eastAsia="Arial" w:hAnsi="Verdana" w:cs="Arial"/>
          <w:lang w:val="es-ES" w:eastAsia="es-ES" w:bidi="es-ES"/>
        </w:rPr>
        <w:t>ii</w:t>
      </w:r>
      <w:proofErr w:type="spellEnd"/>
      <w:r w:rsidRPr="005055D5">
        <w:rPr>
          <w:rFonts w:ascii="Verdana" w:eastAsia="Arial" w:hAnsi="Verdana" w:cs="Arial"/>
          <w:lang w:val="es-ES" w:eastAsia="es-ES" w:bidi="es-ES"/>
        </w:rPr>
        <w:t xml:space="preserve">. </w:t>
      </w:r>
      <w:r w:rsidRPr="005055D5">
        <w:rPr>
          <w:rFonts w:ascii="Verdana" w:eastAsia="Calibri" w:hAnsi="Verdana" w:cs="Arial"/>
          <w:bCs/>
          <w:color w:val="000000"/>
        </w:rPr>
        <w:t>Al margen de la explicación precedente debe advertirse que el análisis requerido para resolver problemas específicos en torno a la gestión contractual de las entidades públicas debe realizarse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2FCC2056" w14:textId="77777777" w:rsidR="009E5C98" w:rsidRDefault="009E5C98" w:rsidP="009E5C98">
      <w:pPr>
        <w:spacing w:after="0" w:line="276" w:lineRule="auto"/>
        <w:ind w:firstLine="708"/>
        <w:jc w:val="both"/>
        <w:rPr>
          <w:rFonts w:ascii="Verdana" w:eastAsia="Calibri" w:hAnsi="Verdana" w:cs="Arial"/>
          <w:bCs/>
          <w:color w:val="000000"/>
        </w:rPr>
      </w:pPr>
      <w:r w:rsidRPr="005055D5">
        <w:rPr>
          <w:rFonts w:ascii="Verdana" w:eastAsia="Calibri" w:hAnsi="Verdana" w:cs="Arial"/>
          <w:bCs/>
          <w:color w:val="000000"/>
        </w:rPr>
        <w:t xml:space="preserve">Dentro de este marco, la entidad contratante definirá en cada caso concreto lo relacionado con el tema objeto de consulta. Al tratarse de un análisis que debe realizarse en el procedimiento contractual específico, la Agencia no </w:t>
      </w:r>
      <w:r w:rsidRPr="005055D5">
        <w:rPr>
          <w:rFonts w:ascii="Verdana" w:eastAsia="Calibri" w:hAnsi="Verdana" w:cs="Arial"/>
          <w:bCs/>
          <w:color w:val="000000"/>
        </w:rPr>
        <w:lastRenderedPageBreak/>
        <w:t>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45015849" w14:textId="77777777" w:rsidR="009E5C98" w:rsidRPr="00742A56" w:rsidRDefault="009E5C98" w:rsidP="009E5C98">
      <w:pPr>
        <w:spacing w:after="0" w:line="276" w:lineRule="auto"/>
        <w:jc w:val="both"/>
        <w:rPr>
          <w:rFonts w:ascii="Verdana" w:hAnsi="Verdana" w:cs="Arial"/>
          <w:bCs/>
          <w:color w:val="000000" w:themeColor="text1"/>
        </w:rPr>
      </w:pPr>
    </w:p>
    <w:bookmarkEnd w:id="2"/>
    <w:bookmarkEnd w:id="3"/>
    <w:p w14:paraId="5FA4C893" w14:textId="77777777" w:rsidR="009E5C98" w:rsidRPr="001F283D" w:rsidRDefault="009E5C98" w:rsidP="009E5C98">
      <w:pPr>
        <w:tabs>
          <w:tab w:val="left" w:pos="142"/>
          <w:tab w:val="left" w:pos="284"/>
        </w:tabs>
        <w:spacing w:after="0" w:line="276" w:lineRule="auto"/>
        <w:rPr>
          <w:rFonts w:ascii="Verdana" w:eastAsia="Century Gothic" w:hAnsi="Verdana" w:cs="Century Gothic"/>
          <w:b/>
          <w:bCs/>
        </w:rPr>
      </w:pPr>
      <w:r>
        <w:rPr>
          <w:rFonts w:ascii="Verdana" w:eastAsia="Century Gothic" w:hAnsi="Verdana" w:cs="Century Gothic"/>
          <w:b/>
          <w:bCs/>
        </w:rPr>
        <w:t xml:space="preserve">4. </w:t>
      </w:r>
      <w:r w:rsidRPr="001F283D">
        <w:rPr>
          <w:rFonts w:ascii="Verdana" w:eastAsia="Century Gothic" w:hAnsi="Verdana" w:cs="Century Gothic"/>
          <w:b/>
          <w:bCs/>
        </w:rPr>
        <w:t>Referencias normativas:</w:t>
      </w:r>
    </w:p>
    <w:bookmarkEnd w:id="4"/>
    <w:p w14:paraId="4FAFAA5C" w14:textId="77777777" w:rsidR="009E5C98" w:rsidRPr="00593A5F" w:rsidRDefault="009E5C98" w:rsidP="009E5C98">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E5C98" w:rsidRPr="002407CE" w14:paraId="1FF1D5B4" w14:textId="77777777" w:rsidTr="00885778">
        <w:trPr>
          <w:trHeight w:val="870"/>
          <w:jc w:val="center"/>
        </w:trPr>
        <w:tc>
          <w:tcPr>
            <w:tcW w:w="8647" w:type="dxa"/>
          </w:tcPr>
          <w:p w14:paraId="21276809" w14:textId="77777777" w:rsidR="009E5C98" w:rsidRDefault="009E5C98" w:rsidP="009E5C98">
            <w:pPr>
              <w:pStyle w:val="Prrafodelista"/>
              <w:widowControl w:val="0"/>
              <w:numPr>
                <w:ilvl w:val="0"/>
                <w:numId w:val="2"/>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Constitución Política de 1991, artículos 69, 127, 190, 197 y 286.</w:t>
            </w:r>
          </w:p>
          <w:p w14:paraId="7FCEE839" w14:textId="77777777" w:rsidR="009E5C98" w:rsidRDefault="009E5C98" w:rsidP="009E5C98">
            <w:pPr>
              <w:pStyle w:val="Prrafodelista"/>
              <w:widowControl w:val="0"/>
              <w:numPr>
                <w:ilvl w:val="0"/>
                <w:numId w:val="2"/>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Ley 80 de 1993, artículos 2, 39 y 41.</w:t>
            </w:r>
          </w:p>
          <w:p w14:paraId="3FAFD36F" w14:textId="77777777" w:rsidR="009E5C98" w:rsidRDefault="009E5C98" w:rsidP="009E5C98">
            <w:pPr>
              <w:pStyle w:val="Prrafodelista"/>
              <w:widowControl w:val="0"/>
              <w:numPr>
                <w:ilvl w:val="0"/>
                <w:numId w:val="2"/>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 xml:space="preserve">Ley 489 de 1998, artículo 95. </w:t>
            </w:r>
          </w:p>
          <w:p w14:paraId="574F258F" w14:textId="77777777" w:rsidR="009E5C98" w:rsidRDefault="009E5C98" w:rsidP="009E5C98">
            <w:pPr>
              <w:pStyle w:val="Prrafodelista"/>
              <w:widowControl w:val="0"/>
              <w:numPr>
                <w:ilvl w:val="0"/>
                <w:numId w:val="2"/>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Ley 996 de 2005, artículos 33 y 38.</w:t>
            </w:r>
          </w:p>
          <w:p w14:paraId="1260CFCB" w14:textId="77777777" w:rsidR="009E5C98" w:rsidRDefault="009E5C98" w:rsidP="009E5C98">
            <w:pPr>
              <w:pStyle w:val="Prrafodelista"/>
              <w:widowControl w:val="0"/>
              <w:numPr>
                <w:ilvl w:val="0"/>
                <w:numId w:val="2"/>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Ley 1150 de 2007, artículo 2.</w:t>
            </w:r>
          </w:p>
          <w:p w14:paraId="2710675A" w14:textId="77777777" w:rsidR="009E5C98" w:rsidRDefault="009E5C98" w:rsidP="009E5C98">
            <w:pPr>
              <w:pStyle w:val="Prrafodelista"/>
              <w:widowControl w:val="0"/>
              <w:numPr>
                <w:ilvl w:val="0"/>
                <w:numId w:val="2"/>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Código Civil, artículos 27, 31 y 1501.</w:t>
            </w:r>
          </w:p>
          <w:p w14:paraId="3B59C1E9" w14:textId="77777777" w:rsidR="009E5C98" w:rsidRDefault="009E5C98" w:rsidP="009E5C98">
            <w:pPr>
              <w:pStyle w:val="Prrafodelista"/>
              <w:widowControl w:val="0"/>
              <w:numPr>
                <w:ilvl w:val="0"/>
                <w:numId w:val="2"/>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 xml:space="preserve">Decreto 1077 de 2015, artículos </w:t>
            </w:r>
            <w:r w:rsidRPr="00C9323E">
              <w:rPr>
                <w:rFonts w:ascii="Verdana" w:hAnsi="Verdana" w:cs="Arial"/>
                <w:bCs/>
              </w:rPr>
              <w:t>2.3.4.4.8. y 2.3.4.4.11.</w:t>
            </w:r>
          </w:p>
          <w:p w14:paraId="7D70D5CB" w14:textId="77777777" w:rsidR="009E5C98" w:rsidRPr="00401590" w:rsidRDefault="009E5C98" w:rsidP="009E5C98">
            <w:pPr>
              <w:pStyle w:val="Prrafodelista"/>
              <w:widowControl w:val="0"/>
              <w:numPr>
                <w:ilvl w:val="0"/>
                <w:numId w:val="2"/>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 xml:space="preserve">Resolución 574 de 2022. </w:t>
            </w:r>
            <w:r w:rsidRPr="00585673">
              <w:rPr>
                <w:rFonts w:ascii="Verdana" w:eastAsia="Calibri" w:hAnsi="Verdana" w:cs="Arial"/>
                <w:bCs/>
                <w:color w:val="FF0000"/>
              </w:rPr>
              <w:t xml:space="preserve"> </w:t>
            </w:r>
          </w:p>
          <w:p w14:paraId="6CC6B7E4" w14:textId="77777777" w:rsidR="009E5C98" w:rsidRPr="00401590" w:rsidRDefault="009E5C98" w:rsidP="009E5C98">
            <w:pPr>
              <w:pStyle w:val="Prrafodelista"/>
              <w:widowControl w:val="0"/>
              <w:numPr>
                <w:ilvl w:val="0"/>
                <w:numId w:val="2"/>
              </w:numPr>
              <w:autoSpaceDE w:val="0"/>
              <w:autoSpaceDN w:val="0"/>
              <w:spacing w:before="120" w:after="120" w:line="276" w:lineRule="auto"/>
              <w:contextualSpacing w:val="0"/>
              <w:jc w:val="both"/>
              <w:rPr>
                <w:rFonts w:ascii="Verdana" w:hAnsi="Verdana" w:cs="Arial"/>
              </w:rPr>
            </w:pPr>
            <w:r w:rsidRPr="00401590">
              <w:rPr>
                <w:rFonts w:ascii="Verdana" w:hAnsi="Verdana" w:cs="Arial"/>
              </w:rPr>
              <w:t xml:space="preserve">Consejo de Estado, Sala de Consulta y Servicio Civil. Concepto de 20 de febrero de 2006. C.P. Enrique José Arboleda Perdomo. Rad. 1727. </w:t>
            </w:r>
          </w:p>
          <w:p w14:paraId="1E899C71" w14:textId="77777777" w:rsidR="009E5C98" w:rsidRPr="00401590" w:rsidRDefault="009E5C98" w:rsidP="009E5C98">
            <w:pPr>
              <w:pStyle w:val="Prrafodelista"/>
              <w:widowControl w:val="0"/>
              <w:numPr>
                <w:ilvl w:val="0"/>
                <w:numId w:val="2"/>
              </w:numPr>
              <w:autoSpaceDE w:val="0"/>
              <w:autoSpaceDN w:val="0"/>
              <w:spacing w:before="120" w:after="120" w:line="276" w:lineRule="auto"/>
              <w:contextualSpacing w:val="0"/>
              <w:jc w:val="both"/>
              <w:rPr>
                <w:rFonts w:ascii="Verdana" w:hAnsi="Verdana" w:cs="Arial"/>
              </w:rPr>
            </w:pPr>
            <w:r w:rsidRPr="00401590">
              <w:rPr>
                <w:rFonts w:ascii="Verdana" w:hAnsi="Verdana" w:cs="Arial"/>
              </w:rPr>
              <w:t>Consejo de Estado, Sala de Consulta y Servicio Civil. Concepto de 6 de abril de 2006.C.P. Enrique José Arboleda Perdomo. Rad. 1738</w:t>
            </w:r>
          </w:p>
          <w:p w14:paraId="20436336" w14:textId="77777777" w:rsidR="009E5C98" w:rsidRPr="00401590" w:rsidRDefault="009E5C98" w:rsidP="009E5C98">
            <w:pPr>
              <w:pStyle w:val="Prrafodelista"/>
              <w:widowControl w:val="0"/>
              <w:numPr>
                <w:ilvl w:val="0"/>
                <w:numId w:val="2"/>
              </w:numPr>
              <w:autoSpaceDE w:val="0"/>
              <w:autoSpaceDN w:val="0"/>
              <w:spacing w:before="120" w:after="120" w:line="276" w:lineRule="auto"/>
              <w:contextualSpacing w:val="0"/>
              <w:jc w:val="both"/>
              <w:rPr>
                <w:rFonts w:ascii="Verdana" w:hAnsi="Verdana" w:cs="Arial"/>
              </w:rPr>
            </w:pPr>
            <w:r w:rsidRPr="00401590">
              <w:rPr>
                <w:rFonts w:ascii="Verdana" w:hAnsi="Verdana" w:cs="Arial"/>
              </w:rPr>
              <w:t xml:space="preserve">Consejo de Estado, Sala de Consulta y Servicio Civil de fecha 24 de julio de 2013. C. P. Álvaro Namén Vargas. Rad. 2166, </w:t>
            </w:r>
          </w:p>
          <w:p w14:paraId="5441BF05" w14:textId="77777777" w:rsidR="009E5C98" w:rsidRPr="00401590" w:rsidRDefault="009E5C98" w:rsidP="009E5C98">
            <w:pPr>
              <w:pStyle w:val="Prrafodelista"/>
              <w:widowControl w:val="0"/>
              <w:numPr>
                <w:ilvl w:val="0"/>
                <w:numId w:val="2"/>
              </w:numPr>
              <w:autoSpaceDE w:val="0"/>
              <w:autoSpaceDN w:val="0"/>
              <w:spacing w:before="120" w:after="120" w:line="276" w:lineRule="auto"/>
              <w:contextualSpacing w:val="0"/>
              <w:jc w:val="both"/>
              <w:rPr>
                <w:rFonts w:ascii="Verdana" w:hAnsi="Verdana" w:cs="Arial"/>
              </w:rPr>
            </w:pPr>
            <w:r w:rsidRPr="00401590">
              <w:rPr>
                <w:rFonts w:ascii="Verdana" w:hAnsi="Verdana" w:cs="Arial"/>
              </w:rPr>
              <w:t xml:space="preserve">Consejo de Estado. Sala de Consulta y Servicio Civil. Concepto del 2 de septiembre de 2013. C.P. Álvaro Namén </w:t>
            </w:r>
            <w:proofErr w:type="spellStart"/>
            <w:r w:rsidRPr="00401590">
              <w:rPr>
                <w:rFonts w:ascii="Verdana" w:hAnsi="Verdana" w:cs="Arial"/>
              </w:rPr>
              <w:t>Vargas.Rad</w:t>
            </w:r>
            <w:proofErr w:type="spellEnd"/>
            <w:r w:rsidRPr="00401590">
              <w:rPr>
                <w:rFonts w:ascii="Verdana" w:hAnsi="Verdana" w:cs="Arial"/>
              </w:rPr>
              <w:t xml:space="preserve">. 2168. </w:t>
            </w:r>
          </w:p>
          <w:p w14:paraId="794A09B1" w14:textId="77777777" w:rsidR="009E5C98" w:rsidRPr="00401590" w:rsidRDefault="009E5C98" w:rsidP="009E5C98">
            <w:pPr>
              <w:pStyle w:val="Prrafodelista"/>
              <w:widowControl w:val="0"/>
              <w:numPr>
                <w:ilvl w:val="0"/>
                <w:numId w:val="2"/>
              </w:numPr>
              <w:autoSpaceDE w:val="0"/>
              <w:autoSpaceDN w:val="0"/>
              <w:spacing w:before="120" w:after="120" w:line="276" w:lineRule="auto"/>
              <w:contextualSpacing w:val="0"/>
              <w:jc w:val="both"/>
              <w:rPr>
                <w:rFonts w:ascii="Verdana" w:hAnsi="Verdana" w:cs="Arial"/>
              </w:rPr>
            </w:pPr>
            <w:r w:rsidRPr="00401590">
              <w:rPr>
                <w:rFonts w:ascii="Verdana" w:hAnsi="Verdana" w:cs="Arial"/>
              </w:rPr>
              <w:t>Consejo de Estado. Sala de Consulta y Servicio Civil. Concepto del 17 de febrero de 2015. C.P. William Zambrano Cetina. Rad. 2269.</w:t>
            </w:r>
          </w:p>
          <w:p w14:paraId="2862B434" w14:textId="77777777" w:rsidR="009E5C98" w:rsidRPr="00401590" w:rsidRDefault="009E5C98" w:rsidP="009E5C98">
            <w:pPr>
              <w:pStyle w:val="Prrafodelista"/>
              <w:widowControl w:val="0"/>
              <w:numPr>
                <w:ilvl w:val="0"/>
                <w:numId w:val="2"/>
              </w:numPr>
              <w:autoSpaceDE w:val="0"/>
              <w:autoSpaceDN w:val="0"/>
              <w:spacing w:before="120" w:after="120" w:line="276" w:lineRule="auto"/>
              <w:contextualSpacing w:val="0"/>
              <w:jc w:val="both"/>
              <w:rPr>
                <w:rFonts w:ascii="Verdana" w:hAnsi="Verdana" w:cs="Arial"/>
              </w:rPr>
            </w:pPr>
            <w:r w:rsidRPr="00401590">
              <w:rPr>
                <w:rFonts w:ascii="Verdana" w:hAnsi="Verdana" w:cs="Arial"/>
              </w:rPr>
              <w:t>Consejo de Estado, Sala de Consulta y Servicio Civil, Concepto de 8 de mayo de 2018. C.P. Álvaro Namén Vargas. Rad. 2382.</w:t>
            </w:r>
          </w:p>
          <w:p w14:paraId="6DA7EDC1" w14:textId="77777777" w:rsidR="009E5C98" w:rsidRPr="00401590" w:rsidRDefault="009E5C98" w:rsidP="009E5C98">
            <w:pPr>
              <w:pStyle w:val="Prrafodelista"/>
              <w:widowControl w:val="0"/>
              <w:numPr>
                <w:ilvl w:val="0"/>
                <w:numId w:val="2"/>
              </w:numPr>
              <w:autoSpaceDE w:val="0"/>
              <w:autoSpaceDN w:val="0"/>
              <w:spacing w:before="120" w:after="120" w:line="276" w:lineRule="auto"/>
              <w:contextualSpacing w:val="0"/>
              <w:jc w:val="both"/>
              <w:rPr>
                <w:rFonts w:ascii="Verdana" w:hAnsi="Verdana" w:cs="Arial"/>
              </w:rPr>
            </w:pPr>
            <w:r w:rsidRPr="00401590">
              <w:rPr>
                <w:rFonts w:ascii="Verdana" w:hAnsi="Verdana" w:cs="Arial"/>
              </w:rPr>
              <w:lastRenderedPageBreak/>
              <w:t>Consejo de Estado. Sección Tercera, Subsección A. Sentencia del 14 de junio de 2019, C.P.: Marta Nubia Velásquez Rico. Rad.: 25000-23-37-000-2010-02552-01 (AP).</w:t>
            </w:r>
          </w:p>
          <w:p w14:paraId="5E58EE29" w14:textId="77777777" w:rsidR="009E5C98" w:rsidRPr="00401590" w:rsidRDefault="009E5C98" w:rsidP="009E5C98">
            <w:pPr>
              <w:pStyle w:val="Prrafodelista"/>
              <w:widowControl w:val="0"/>
              <w:numPr>
                <w:ilvl w:val="0"/>
                <w:numId w:val="2"/>
              </w:numPr>
              <w:autoSpaceDE w:val="0"/>
              <w:autoSpaceDN w:val="0"/>
              <w:spacing w:before="120" w:after="120" w:line="276" w:lineRule="auto"/>
              <w:contextualSpacing w:val="0"/>
              <w:jc w:val="both"/>
              <w:rPr>
                <w:rFonts w:ascii="Verdana" w:hAnsi="Verdana" w:cs="Arial"/>
              </w:rPr>
            </w:pPr>
            <w:r w:rsidRPr="00401590">
              <w:rPr>
                <w:rFonts w:ascii="Verdana" w:hAnsi="Verdana" w:cs="Arial"/>
              </w:rPr>
              <w:t xml:space="preserve">Consejo de Estado, Sección Tercera, Subsección A. Sentencia del 16 de agosto de 2022, C.P.: María Adriana Marín. </w:t>
            </w:r>
            <w:proofErr w:type="spellStart"/>
            <w:r w:rsidRPr="00401590">
              <w:rPr>
                <w:rFonts w:ascii="Verdana" w:hAnsi="Verdana" w:cs="Arial"/>
              </w:rPr>
              <w:t>Exp</w:t>
            </w:r>
            <w:proofErr w:type="spellEnd"/>
            <w:r w:rsidRPr="00401590">
              <w:rPr>
                <w:rFonts w:ascii="Verdana" w:hAnsi="Verdana" w:cs="Arial"/>
              </w:rPr>
              <w:t>. 60434.</w:t>
            </w:r>
          </w:p>
          <w:p w14:paraId="14B58E36" w14:textId="77777777" w:rsidR="009E5C98" w:rsidRPr="00401590" w:rsidRDefault="009E5C98" w:rsidP="009E5C98">
            <w:pPr>
              <w:pStyle w:val="Prrafodelista"/>
              <w:widowControl w:val="0"/>
              <w:numPr>
                <w:ilvl w:val="0"/>
                <w:numId w:val="2"/>
              </w:numPr>
              <w:autoSpaceDE w:val="0"/>
              <w:autoSpaceDN w:val="0"/>
              <w:spacing w:before="120" w:after="120" w:line="276" w:lineRule="auto"/>
              <w:contextualSpacing w:val="0"/>
              <w:jc w:val="both"/>
              <w:rPr>
                <w:rFonts w:ascii="Verdana" w:hAnsi="Verdana" w:cs="Arial"/>
              </w:rPr>
            </w:pPr>
            <w:r w:rsidRPr="00401590">
              <w:rPr>
                <w:rFonts w:ascii="Verdana" w:hAnsi="Verdana" w:cs="Arial"/>
              </w:rPr>
              <w:t xml:space="preserve">Consejo de Estado, Sección Tercera, Subsección B. Auto del 4 de octubre de 2024. C.P: Fredy Ibarra Martínez. </w:t>
            </w:r>
            <w:proofErr w:type="spellStart"/>
            <w:r w:rsidRPr="00401590">
              <w:rPr>
                <w:rFonts w:ascii="Verdana" w:hAnsi="Verdana" w:cs="Arial"/>
              </w:rPr>
              <w:t>Exp</w:t>
            </w:r>
            <w:proofErr w:type="spellEnd"/>
            <w:r w:rsidRPr="00401590">
              <w:rPr>
                <w:rFonts w:ascii="Verdana" w:hAnsi="Verdana" w:cs="Arial"/>
              </w:rPr>
              <w:t>. 70.313.</w:t>
            </w:r>
          </w:p>
          <w:p w14:paraId="141D7600" w14:textId="77777777" w:rsidR="009E5C98" w:rsidRPr="00401590" w:rsidRDefault="009E5C98" w:rsidP="009E5C98">
            <w:pPr>
              <w:pStyle w:val="Prrafodelista"/>
              <w:widowControl w:val="0"/>
              <w:numPr>
                <w:ilvl w:val="0"/>
                <w:numId w:val="2"/>
              </w:numPr>
              <w:autoSpaceDE w:val="0"/>
              <w:autoSpaceDN w:val="0"/>
              <w:spacing w:before="120" w:after="120" w:line="276" w:lineRule="auto"/>
              <w:contextualSpacing w:val="0"/>
              <w:jc w:val="both"/>
              <w:rPr>
                <w:rFonts w:ascii="Verdana" w:hAnsi="Verdana" w:cs="Arial"/>
              </w:rPr>
            </w:pPr>
            <w:r w:rsidRPr="00401590">
              <w:rPr>
                <w:rFonts w:ascii="Verdana" w:hAnsi="Verdana" w:cs="Arial"/>
              </w:rPr>
              <w:t xml:space="preserve">Consejo de Estado, Sección Tercera, Subsección A. Sentencia del 25 de mayo de 2025. C.P. María Adriana Marín Hernández. </w:t>
            </w:r>
            <w:proofErr w:type="spellStart"/>
            <w:r w:rsidRPr="00401590">
              <w:rPr>
                <w:rFonts w:ascii="Verdana" w:hAnsi="Verdana" w:cs="Arial"/>
              </w:rPr>
              <w:t>Exp</w:t>
            </w:r>
            <w:proofErr w:type="spellEnd"/>
            <w:r w:rsidRPr="00401590">
              <w:rPr>
                <w:rFonts w:ascii="Verdana" w:hAnsi="Verdana" w:cs="Arial"/>
              </w:rPr>
              <w:t>. 70.504.</w:t>
            </w:r>
          </w:p>
          <w:p w14:paraId="4944A34F" w14:textId="77777777" w:rsidR="009E5C98" w:rsidRPr="00401590" w:rsidRDefault="009E5C98" w:rsidP="009E5C98">
            <w:pPr>
              <w:pStyle w:val="Prrafodelista"/>
              <w:widowControl w:val="0"/>
              <w:numPr>
                <w:ilvl w:val="0"/>
                <w:numId w:val="2"/>
              </w:numPr>
              <w:autoSpaceDE w:val="0"/>
              <w:autoSpaceDN w:val="0"/>
              <w:spacing w:before="120" w:after="120" w:line="276" w:lineRule="auto"/>
              <w:contextualSpacing w:val="0"/>
              <w:jc w:val="both"/>
              <w:rPr>
                <w:rFonts w:ascii="Verdana" w:hAnsi="Verdana" w:cs="Arial"/>
              </w:rPr>
            </w:pPr>
            <w:r w:rsidRPr="00401590">
              <w:rPr>
                <w:rFonts w:ascii="Verdana" w:hAnsi="Verdana" w:cs="Arial"/>
              </w:rPr>
              <w:t>Consejo de Estado, Sección Tercera. Subsección B. Sentencia 17 de octubre de 2025. C.P. Fredy Ibarra Martínez</w:t>
            </w:r>
          </w:p>
          <w:p w14:paraId="6939E836" w14:textId="77777777" w:rsidR="009E5C98" w:rsidRPr="00401590" w:rsidRDefault="009E5C98" w:rsidP="009E5C98">
            <w:pPr>
              <w:pStyle w:val="Prrafodelista"/>
              <w:widowControl w:val="0"/>
              <w:numPr>
                <w:ilvl w:val="0"/>
                <w:numId w:val="2"/>
              </w:numPr>
              <w:autoSpaceDE w:val="0"/>
              <w:autoSpaceDN w:val="0"/>
              <w:spacing w:before="120" w:after="120" w:line="276" w:lineRule="auto"/>
              <w:contextualSpacing w:val="0"/>
              <w:jc w:val="both"/>
              <w:rPr>
                <w:rFonts w:ascii="Verdana" w:hAnsi="Verdana" w:cs="Arial"/>
              </w:rPr>
            </w:pPr>
            <w:r w:rsidRPr="00BF5885">
              <w:rPr>
                <w:rFonts w:ascii="Verdana" w:hAnsi="Verdana" w:cs="Arial"/>
                <w:lang w:val="pt-BR"/>
              </w:rPr>
              <w:t xml:space="preserve">Corte Constitucional. Sentencia C-671 de 2005. </w:t>
            </w:r>
            <w:r w:rsidRPr="00401590">
              <w:rPr>
                <w:rFonts w:ascii="Verdana" w:hAnsi="Verdana" w:cs="Arial"/>
              </w:rPr>
              <w:t xml:space="preserve">M.P. Álvaro Tafur Galvis. </w:t>
            </w:r>
          </w:p>
          <w:p w14:paraId="6D8E49A3" w14:textId="77777777" w:rsidR="009E5C98" w:rsidRPr="00401590" w:rsidRDefault="009E5C98" w:rsidP="009E5C98">
            <w:pPr>
              <w:pStyle w:val="Prrafodelista"/>
              <w:widowControl w:val="0"/>
              <w:numPr>
                <w:ilvl w:val="0"/>
                <w:numId w:val="2"/>
              </w:numPr>
              <w:autoSpaceDE w:val="0"/>
              <w:autoSpaceDN w:val="0"/>
              <w:spacing w:before="120" w:after="120" w:line="276" w:lineRule="auto"/>
              <w:contextualSpacing w:val="0"/>
              <w:jc w:val="both"/>
              <w:rPr>
                <w:rFonts w:ascii="Verdana" w:hAnsi="Verdana" w:cs="Arial"/>
              </w:rPr>
            </w:pPr>
            <w:r w:rsidRPr="00401590">
              <w:rPr>
                <w:rFonts w:ascii="Verdana" w:hAnsi="Verdana" w:cs="Arial"/>
              </w:rPr>
              <w:t>Corte Constitucional, Sentencia C- 1153 de 2005, M.P. Marco Gerardo Monroy Cabra.</w:t>
            </w:r>
          </w:p>
          <w:p w14:paraId="06ABF33F" w14:textId="77777777" w:rsidR="009E5C98" w:rsidRPr="00401590" w:rsidRDefault="009E5C98" w:rsidP="009E5C98">
            <w:pPr>
              <w:pStyle w:val="Prrafodelista"/>
              <w:widowControl w:val="0"/>
              <w:numPr>
                <w:ilvl w:val="0"/>
                <w:numId w:val="2"/>
              </w:numPr>
              <w:autoSpaceDE w:val="0"/>
              <w:autoSpaceDN w:val="0"/>
              <w:spacing w:before="120" w:after="120" w:line="276" w:lineRule="auto"/>
              <w:contextualSpacing w:val="0"/>
              <w:jc w:val="both"/>
              <w:rPr>
                <w:rFonts w:ascii="Verdana" w:hAnsi="Verdana" w:cs="Arial"/>
              </w:rPr>
            </w:pPr>
            <w:r w:rsidRPr="00401590">
              <w:rPr>
                <w:rFonts w:ascii="Verdana" w:hAnsi="Verdana" w:cs="Arial"/>
              </w:rPr>
              <w:t xml:space="preserve">CHAVÉZ MARÍN, Augusto Ramón. Los convenios de la Administración. Entre la gestión pública y la actividad contractual. Bogotá: Temis, 2020. </w:t>
            </w:r>
          </w:p>
          <w:p w14:paraId="0D9F6346" w14:textId="77777777" w:rsidR="009E5C98" w:rsidRPr="00401590" w:rsidRDefault="009E5C98" w:rsidP="009E5C98">
            <w:pPr>
              <w:pStyle w:val="Prrafodelista"/>
              <w:widowControl w:val="0"/>
              <w:numPr>
                <w:ilvl w:val="0"/>
                <w:numId w:val="2"/>
              </w:numPr>
              <w:autoSpaceDE w:val="0"/>
              <w:autoSpaceDN w:val="0"/>
              <w:spacing w:before="120" w:after="120" w:line="276" w:lineRule="auto"/>
              <w:contextualSpacing w:val="0"/>
              <w:jc w:val="both"/>
              <w:rPr>
                <w:rFonts w:ascii="Verdana" w:hAnsi="Verdana" w:cs="Arial"/>
              </w:rPr>
            </w:pPr>
            <w:r w:rsidRPr="00401590">
              <w:rPr>
                <w:rFonts w:ascii="Verdana" w:hAnsi="Verdana" w:cs="Arial"/>
              </w:rPr>
              <w:t>CLARO SOLAR, Luis. Explicaciones de derecho civil chileno y comparado. Volumen I. Tomo I. Santiago: Editorial Jurídica de Chile, 2013. p. 119. Énfasis dentro del texto).</w:t>
            </w:r>
          </w:p>
          <w:p w14:paraId="36B02E6D" w14:textId="77777777" w:rsidR="009E5C98" w:rsidRPr="004C1C8E" w:rsidRDefault="009E5C98" w:rsidP="009E5C98">
            <w:pPr>
              <w:pStyle w:val="Prrafodelista"/>
              <w:widowControl w:val="0"/>
              <w:numPr>
                <w:ilvl w:val="0"/>
                <w:numId w:val="2"/>
              </w:numPr>
              <w:autoSpaceDE w:val="0"/>
              <w:autoSpaceDN w:val="0"/>
              <w:spacing w:after="120" w:line="276" w:lineRule="auto"/>
              <w:ind w:left="714" w:hanging="357"/>
              <w:contextualSpacing w:val="0"/>
              <w:jc w:val="both"/>
              <w:rPr>
                <w:rFonts w:ascii="Verdana" w:hAnsi="Verdana" w:cs="Arial"/>
                <w:color w:val="000000" w:themeColor="text1"/>
              </w:rPr>
            </w:pPr>
            <w:r w:rsidRPr="00401590">
              <w:rPr>
                <w:rFonts w:ascii="Verdana" w:hAnsi="Verdana" w:cs="Arial"/>
              </w:rPr>
              <w:t>SANTOS RODRÍGUEZ, Jorge Enrique. Consideraciones sobre los contratos y convenios interadministrativos. En: Revista Digital de Derecho Administrativo, 2008.</w:t>
            </w:r>
          </w:p>
        </w:tc>
      </w:tr>
    </w:tbl>
    <w:p w14:paraId="1BA02685" w14:textId="77777777" w:rsidR="009E5C98" w:rsidRPr="00277E26" w:rsidRDefault="009E5C98" w:rsidP="009E5C98">
      <w:pPr>
        <w:widowControl w:val="0"/>
        <w:autoSpaceDE w:val="0"/>
        <w:autoSpaceDN w:val="0"/>
        <w:spacing w:after="0" w:line="276" w:lineRule="auto"/>
        <w:jc w:val="both"/>
        <w:rPr>
          <w:rFonts w:ascii="Verdana" w:hAnsi="Verdana" w:cs="Arial"/>
        </w:rPr>
      </w:pPr>
    </w:p>
    <w:p w14:paraId="69F284C5" w14:textId="77777777" w:rsidR="009E5C98" w:rsidRDefault="009E5C98" w:rsidP="009E5C98">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5. </w:t>
      </w:r>
      <w:r w:rsidRPr="001F283D">
        <w:rPr>
          <w:rFonts w:ascii="Verdana" w:eastAsia="Century Gothic" w:hAnsi="Verdana" w:cs="Century Gothic"/>
          <w:b/>
          <w:bCs/>
        </w:rPr>
        <w:t>Doctrina de la Agencia Nacional de Contratación Pública</w:t>
      </w:r>
    </w:p>
    <w:p w14:paraId="17DC6C36" w14:textId="77777777" w:rsidR="009E5C98" w:rsidRPr="00B515A7" w:rsidRDefault="009E5C98" w:rsidP="009E5C98">
      <w:pPr>
        <w:tabs>
          <w:tab w:val="left" w:pos="142"/>
          <w:tab w:val="left" w:pos="284"/>
        </w:tabs>
        <w:spacing w:after="0" w:line="276" w:lineRule="auto"/>
        <w:jc w:val="both"/>
        <w:rPr>
          <w:rFonts w:ascii="Verdana" w:eastAsia="Century Gothic" w:hAnsi="Verdana" w:cs="Century Gothic"/>
          <w:b/>
          <w:bCs/>
        </w:rPr>
      </w:pPr>
      <w:r w:rsidRPr="00177E85">
        <w:rPr>
          <w:rFonts w:ascii="Verdana" w:hAnsi="Verdana" w:cs="Arial"/>
          <w:shd w:val="clear" w:color="auto" w:fill="FFFFFF"/>
        </w:rPr>
        <w:t xml:space="preserve">Sobre la finalidad y propósito de la Ley de Garantías Electorales, la ANCP- CCE se ha pronunciado en los Conceptos 4201913000004536 de 17 de julio de 2019, 4201912000005556 del 12 de septiembre de 2019, 4201913000005175 del 13 de septiembre de 2019, 4201913000006452 del 07 de octubre de 2019, 4201913000005082 del 17 de octubre de 2019, 4201913000006306 del 21 de </w:t>
      </w:r>
      <w:r w:rsidRPr="00177E85">
        <w:rPr>
          <w:rFonts w:ascii="Verdana" w:hAnsi="Verdana" w:cs="Arial"/>
          <w:shd w:val="clear" w:color="auto" w:fill="FFFFFF"/>
        </w:rPr>
        <w:lastRenderedPageBreak/>
        <w:t xml:space="preserve">octubre de 2019, 4201912000006552 del 07 de noviembre de 2019, 4201913000006604 del 17 de diciembre de 2019,  C-227 del 24 de mayo de 2021 y 396 del 13 de agosto de 2021, C-439 del 27 de agosto de 2021, C-456 del 3 de septiembre, C-481 del 9 de septiembre de 2021, C- 528 del 27 de septiembre de 2021, C-550 del 5 de octubre de 2021 y C-523 del 10 de octubre de 2021, C-606 del 28 de octubre de 2021 y C-614 del 2 de noviembre de 2021, C-636 del 16 de noviembre de 2021, 681 del 7 de diciembre de 2021, C-686 del 21 de diciembre de 2021, C-697 del 3 de enero de 2022, C-317 del 25 de abril de 2025, C-510 del 4 de junio de 2025, 646 del 26 de junio de 2025, C-957 del 23 de agosto de 2025, C-975 del 28 de agosto de 2025, C-1015 del 4 de septiembre de 2025, C-1096 del 28 de agosto de 2025, C-1174 del 29 de septiembre de 2025, C- 1170 del 16 de septiembre de 2025, C-1194 del 3 de octubre de 2025, </w:t>
      </w:r>
      <w:r>
        <w:rPr>
          <w:rFonts w:ascii="Verdana" w:hAnsi="Verdana" w:cs="Arial"/>
          <w:shd w:val="clear" w:color="auto" w:fill="FFFFFF"/>
        </w:rPr>
        <w:t>C-1343 del 20 de octubre de 2025, C-1350 del 1˚ de octubre de 2025, C-1401 del 22 de octubre de 2025, C-1512 del 27 de octubre de 2025, C-1488 del 30 de octubre de 2025, C-1596 del 6 de noviembre de 2025, C-1509 del 19 de noviembre de 2025, C-1773 del 5 de diciembre de 2025, C-1646 del 17 de diciembre de 2025, C-1703 del 29 de diciembre de 2025, C-068 del 27 de enero de 2026</w:t>
      </w:r>
      <w:r>
        <w:rPr>
          <w:rFonts w:ascii="Verdana" w:hAnsi="Verdana"/>
        </w:rPr>
        <w:t>.</w:t>
      </w:r>
      <w:r>
        <w:rPr>
          <w:rFonts w:ascii="Verdana" w:hAnsi="Verdana" w:cs="Arial"/>
          <w:shd w:val="clear" w:color="auto" w:fill="FFFFFF"/>
        </w:rPr>
        <w:t xml:space="preserve"> </w:t>
      </w:r>
      <w:r w:rsidRPr="00185EE9">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7E3003A5" w14:textId="77777777" w:rsidR="009E5C98" w:rsidRPr="00185EE9" w:rsidRDefault="009E5C98" w:rsidP="009E5C98">
      <w:pPr>
        <w:spacing w:after="0" w:line="256" w:lineRule="auto"/>
        <w:jc w:val="both"/>
        <w:rPr>
          <w:rFonts w:ascii="Verdana" w:eastAsia="Calibri" w:hAnsi="Verdana" w:cs="Times New Roman"/>
        </w:rPr>
      </w:pPr>
      <w:hyperlink r:id="rId9" w:history="1">
        <w:r w:rsidRPr="00F14AAD">
          <w:rPr>
            <w:rStyle w:val="Hipervnculo"/>
            <w:rFonts w:ascii="Verdana" w:eastAsia="Calibri" w:hAnsi="Verdana" w:cs="Times New Roman"/>
            <w:lang w:val="es-ES"/>
          </w:rPr>
          <w:t>https://relatoria.colombiacompra.gov.co/busqueda/conceptos</w:t>
        </w:r>
      </w:hyperlink>
      <w:r w:rsidRPr="00185EE9">
        <w:rPr>
          <w:rFonts w:ascii="Verdana" w:eastAsia="Calibri" w:hAnsi="Verdana" w:cs="Times New Roman"/>
        </w:rPr>
        <w:t xml:space="preserve">. </w:t>
      </w:r>
    </w:p>
    <w:p w14:paraId="1308BB58" w14:textId="77777777" w:rsidR="009E5C98" w:rsidRPr="00900D7D" w:rsidRDefault="009E5C98" w:rsidP="009E5C98">
      <w:pPr>
        <w:widowControl w:val="0"/>
        <w:autoSpaceDE w:val="0"/>
        <w:autoSpaceDN w:val="0"/>
        <w:spacing w:after="120" w:line="276" w:lineRule="auto"/>
        <w:jc w:val="both"/>
        <w:rPr>
          <w:rFonts w:ascii="Verdana" w:eastAsia="Calibri" w:hAnsi="Verdana" w:cs="Arial"/>
          <w:color w:val="000000" w:themeColor="text1"/>
          <w:lang w:eastAsia="es-ES_tradnl"/>
        </w:rPr>
      </w:pPr>
    </w:p>
    <w:p w14:paraId="5107CFBF" w14:textId="77777777" w:rsidR="009E5C98" w:rsidRPr="00237766" w:rsidRDefault="009E5C98" w:rsidP="009E5C98">
      <w:pPr>
        <w:spacing w:after="120" w:line="276" w:lineRule="auto"/>
        <w:jc w:val="both"/>
        <w:rPr>
          <w:rFonts w:ascii="Verdana" w:eastAsia="Calibri" w:hAnsi="Verdana" w:cs="Times New Roman"/>
        </w:rPr>
      </w:pPr>
      <w:r w:rsidRPr="008E4F36">
        <w:rPr>
          <w:rFonts w:ascii="Verdana" w:hAnsi="Verdana"/>
        </w:rPr>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33B9B5BE" w14:textId="77777777" w:rsidR="009E5C98" w:rsidRPr="008E4F36" w:rsidRDefault="009E5C98" w:rsidP="009E5C98">
      <w:pPr>
        <w:pStyle w:val="Prrafodelista"/>
        <w:numPr>
          <w:ilvl w:val="0"/>
          <w:numId w:val="3"/>
        </w:numPr>
        <w:spacing w:after="0" w:line="276" w:lineRule="auto"/>
        <w:contextualSpacing w:val="0"/>
        <w:jc w:val="both"/>
        <w:rPr>
          <w:rFonts w:ascii="Verdana" w:hAnsi="Verdana"/>
        </w:rPr>
      </w:pPr>
      <w:r w:rsidRPr="008E4F36">
        <w:rPr>
          <w:rFonts w:ascii="Verdana" w:hAnsi="Verdana"/>
        </w:rPr>
        <w:t>Línea nacional gratuita o servicio a la ciudadanía: 01800 0520808</w:t>
      </w:r>
    </w:p>
    <w:p w14:paraId="767E0E51" w14:textId="77777777" w:rsidR="009E5C98" w:rsidRPr="008E4F36" w:rsidRDefault="009E5C98" w:rsidP="009E5C98">
      <w:pPr>
        <w:pStyle w:val="Prrafodelista"/>
        <w:numPr>
          <w:ilvl w:val="0"/>
          <w:numId w:val="3"/>
        </w:numPr>
        <w:spacing w:after="0" w:line="276" w:lineRule="auto"/>
        <w:contextualSpacing w:val="0"/>
        <w:jc w:val="both"/>
        <w:rPr>
          <w:rFonts w:ascii="Verdana" w:hAnsi="Verdana"/>
        </w:rPr>
      </w:pPr>
      <w:r w:rsidRPr="008E4F36">
        <w:rPr>
          <w:rFonts w:ascii="Verdana" w:hAnsi="Verdana"/>
        </w:rPr>
        <w:t>Línea en Bogotá (Mesa de servicio): +57 601 7456788</w:t>
      </w:r>
    </w:p>
    <w:p w14:paraId="5CF82087" w14:textId="77777777" w:rsidR="009E5C98" w:rsidRPr="008E4F36" w:rsidRDefault="009E5C98" w:rsidP="009E5C98">
      <w:pPr>
        <w:pStyle w:val="Prrafodelista"/>
        <w:numPr>
          <w:ilvl w:val="0"/>
          <w:numId w:val="3"/>
        </w:numPr>
        <w:spacing w:after="0" w:line="276" w:lineRule="auto"/>
        <w:contextualSpacing w:val="0"/>
        <w:jc w:val="both"/>
        <w:rPr>
          <w:rFonts w:ascii="Verdana" w:hAnsi="Verdana"/>
        </w:rPr>
      </w:pPr>
      <w:r w:rsidRPr="008E4F36">
        <w:rPr>
          <w:rFonts w:ascii="Verdana" w:hAnsi="Verdana"/>
        </w:rPr>
        <w:t>Línea de servicio y atención al ciudadano: +57 601 7956600</w:t>
      </w:r>
    </w:p>
    <w:p w14:paraId="3604B27C" w14:textId="77777777" w:rsidR="009E5C98" w:rsidRPr="008E4F36" w:rsidRDefault="009E5C98" w:rsidP="009E5C98">
      <w:pPr>
        <w:pStyle w:val="Prrafodelista"/>
        <w:numPr>
          <w:ilvl w:val="0"/>
          <w:numId w:val="3"/>
        </w:numPr>
        <w:spacing w:after="0" w:line="276" w:lineRule="auto"/>
        <w:contextualSpacing w:val="0"/>
        <w:jc w:val="both"/>
        <w:rPr>
          <w:rFonts w:ascii="Verdana" w:hAnsi="Verdana"/>
        </w:rPr>
      </w:pPr>
      <w:r w:rsidRPr="008E4F36">
        <w:rPr>
          <w:rFonts w:ascii="Verdana" w:hAnsi="Verdana"/>
        </w:rPr>
        <w:t xml:space="preserve">Página web: </w:t>
      </w:r>
      <w:hyperlink r:id="rId10" w:history="1">
        <w:r w:rsidRPr="008E4F36">
          <w:rPr>
            <w:rStyle w:val="Hipervnculo"/>
            <w:rFonts w:ascii="Verdana" w:hAnsi="Verdana"/>
          </w:rPr>
          <w:t>www.colombiacompra.gov.co</w:t>
        </w:r>
      </w:hyperlink>
    </w:p>
    <w:p w14:paraId="6D4017E9" w14:textId="77777777" w:rsidR="009E5C98" w:rsidRPr="008E4F36" w:rsidRDefault="009E5C98" w:rsidP="009E5C98">
      <w:pPr>
        <w:spacing w:before="120" w:after="0" w:line="276" w:lineRule="auto"/>
        <w:jc w:val="both"/>
        <w:rPr>
          <w:rFonts w:ascii="Verdana" w:hAnsi="Verdana"/>
        </w:rPr>
      </w:pPr>
      <w:r w:rsidRPr="008E4F36">
        <w:rPr>
          <w:rFonts w:ascii="Verdana" w:hAnsi="Verdana"/>
        </w:rPr>
        <w:lastRenderedPageBreak/>
        <w:t>Por ú</w:t>
      </w:r>
      <w:r>
        <w:rPr>
          <w:rFonts w:ascii="Verdana" w:hAnsi="Verdana"/>
        </w:rPr>
        <w:t>l</w:t>
      </w:r>
      <w:r w:rsidRPr="008E4F36">
        <w:rPr>
          <w:rFonts w:ascii="Verdana" w:hAnsi="Verdana"/>
        </w:rPr>
        <w:t xml:space="preserve">timo, lo invitamos a seguirnos en las redes sociales en las cuales se difunde información institucional: </w:t>
      </w:r>
    </w:p>
    <w:p w14:paraId="4EE22FD1" w14:textId="77777777" w:rsidR="009E5C98" w:rsidRPr="008E4F36" w:rsidRDefault="009E5C98" w:rsidP="009E5C98">
      <w:pPr>
        <w:spacing w:after="0" w:line="276" w:lineRule="auto"/>
        <w:jc w:val="both"/>
        <w:rPr>
          <w:rFonts w:ascii="Verdana" w:hAnsi="Verdana"/>
        </w:rPr>
      </w:pPr>
    </w:p>
    <w:p w14:paraId="56514D99" w14:textId="77777777" w:rsidR="009E5C98" w:rsidRPr="008E4F36" w:rsidRDefault="009E5C98" w:rsidP="009E5C98">
      <w:pPr>
        <w:spacing w:after="0" w:line="276" w:lineRule="auto"/>
        <w:jc w:val="both"/>
        <w:rPr>
          <w:rFonts w:ascii="Verdana" w:hAnsi="Verdana"/>
        </w:rPr>
      </w:pPr>
      <w:r w:rsidRPr="008E4F36">
        <w:rPr>
          <w:rFonts w:ascii="Verdana" w:hAnsi="Verdana"/>
        </w:rPr>
        <w:t xml:space="preserve">Twitter: </w:t>
      </w:r>
      <w:r w:rsidRPr="008E4F36">
        <w:rPr>
          <w:rStyle w:val="Hipervnculo"/>
          <w:rFonts w:ascii="Verdana" w:hAnsi="Verdana"/>
        </w:rPr>
        <w:t>@colombiacompra</w:t>
      </w:r>
      <w:r w:rsidRPr="008E4F36">
        <w:rPr>
          <w:rFonts w:ascii="Verdana" w:hAnsi="Verdana"/>
        </w:rPr>
        <w:t xml:space="preserve"> </w:t>
      </w:r>
    </w:p>
    <w:p w14:paraId="081ADD46" w14:textId="77777777" w:rsidR="009E5C98" w:rsidRPr="008E4F36" w:rsidRDefault="009E5C98" w:rsidP="009E5C98">
      <w:pPr>
        <w:spacing w:after="0" w:line="276" w:lineRule="auto"/>
        <w:jc w:val="both"/>
        <w:rPr>
          <w:rFonts w:ascii="Verdana" w:hAnsi="Verdana"/>
        </w:rPr>
      </w:pPr>
      <w:r w:rsidRPr="008E4F36">
        <w:rPr>
          <w:rFonts w:ascii="Verdana" w:hAnsi="Verdana"/>
        </w:rPr>
        <w:t xml:space="preserve">Facebook: </w:t>
      </w:r>
      <w:proofErr w:type="spellStart"/>
      <w:r w:rsidRPr="008E4F36">
        <w:rPr>
          <w:rStyle w:val="Hipervnculo"/>
          <w:rFonts w:ascii="Verdana" w:hAnsi="Verdana"/>
        </w:rPr>
        <w:t>ColombiaCompraEficiente</w:t>
      </w:r>
      <w:proofErr w:type="spellEnd"/>
    </w:p>
    <w:p w14:paraId="09A76F1F" w14:textId="77777777" w:rsidR="009E5C98" w:rsidRPr="008E4F36" w:rsidRDefault="009E5C98" w:rsidP="009E5C98">
      <w:pPr>
        <w:spacing w:after="0" w:line="276" w:lineRule="auto"/>
        <w:jc w:val="both"/>
        <w:rPr>
          <w:rFonts w:ascii="Verdana" w:hAnsi="Verdana"/>
        </w:rPr>
      </w:pPr>
      <w:r w:rsidRPr="008E4F36">
        <w:rPr>
          <w:rFonts w:ascii="Verdana" w:hAnsi="Verdana"/>
        </w:rPr>
        <w:t xml:space="preserve">LinkedIn: </w:t>
      </w:r>
      <w:r w:rsidRPr="008E4F36">
        <w:rPr>
          <w:rStyle w:val="Hipervnculo"/>
          <w:rFonts w:ascii="Verdana" w:hAnsi="Verdana"/>
        </w:rPr>
        <w:t>Agencia Nacional de Contratación Pública - Colombia Compra Eficiente</w:t>
      </w:r>
      <w:r w:rsidRPr="008E4F36">
        <w:rPr>
          <w:rFonts w:ascii="Verdana" w:hAnsi="Verdana"/>
        </w:rPr>
        <w:t xml:space="preserve"> Instagram: </w:t>
      </w:r>
      <w:r w:rsidRPr="008E4F36">
        <w:rPr>
          <w:rStyle w:val="Hipervnculo"/>
          <w:rFonts w:ascii="Verdana" w:hAnsi="Verdana"/>
        </w:rPr>
        <w:t>@colombiacompraeficiente_cce</w:t>
      </w:r>
    </w:p>
    <w:p w14:paraId="775E9D93" w14:textId="77777777" w:rsidR="009E5C98" w:rsidRDefault="009E5C98" w:rsidP="009E5C98">
      <w:pPr>
        <w:spacing w:before="120" w:after="0" w:line="276" w:lineRule="auto"/>
        <w:jc w:val="both"/>
        <w:rPr>
          <w:rFonts w:ascii="Verdana" w:hAnsi="Verdana"/>
        </w:rPr>
      </w:pPr>
    </w:p>
    <w:p w14:paraId="03CFFBC7" w14:textId="77777777" w:rsidR="009E5C98" w:rsidRPr="00FB6C33" w:rsidRDefault="009E5C98" w:rsidP="009E5C98">
      <w:pPr>
        <w:spacing w:before="120" w:after="0" w:line="276" w:lineRule="auto"/>
        <w:jc w:val="both"/>
        <w:rPr>
          <w:rFonts w:ascii="Verdana" w:hAnsi="Verdana"/>
        </w:rPr>
      </w:pPr>
      <w:r w:rsidRPr="00FB6C33">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5CFAC002" w14:textId="77777777" w:rsidR="009E5C98" w:rsidRPr="008E4F36" w:rsidRDefault="009E5C98" w:rsidP="009E5C98">
      <w:pPr>
        <w:spacing w:after="0" w:line="276" w:lineRule="auto"/>
        <w:jc w:val="both"/>
        <w:rPr>
          <w:rFonts w:ascii="Verdana" w:eastAsia="Calibri" w:hAnsi="Verdana" w:cs="Times New Roman"/>
        </w:rPr>
      </w:pPr>
    </w:p>
    <w:p w14:paraId="1AA4E7D8" w14:textId="77777777" w:rsidR="009E5C98" w:rsidRDefault="009E5C98" w:rsidP="009E5C98">
      <w:pPr>
        <w:spacing w:after="0" w:line="276" w:lineRule="auto"/>
        <w:jc w:val="both"/>
        <w:rPr>
          <w:rFonts w:ascii="Verdana" w:eastAsia="Calibri" w:hAnsi="Verdana" w:cs="Times New Roman"/>
        </w:rPr>
      </w:pPr>
      <w:r w:rsidRPr="008E4F36">
        <w:rPr>
          <w:rFonts w:ascii="Verdana" w:eastAsia="Calibri" w:hAnsi="Verdana" w:cs="Times New Roman"/>
        </w:rPr>
        <w:t>Atentamente,</w:t>
      </w:r>
    </w:p>
    <w:p w14:paraId="27E41FEC" w14:textId="563AD09A" w:rsidR="009E5C98" w:rsidRPr="00F55E62" w:rsidRDefault="00F55E62" w:rsidP="00F55E62">
      <w:pPr>
        <w:spacing w:after="0" w:line="256" w:lineRule="auto"/>
        <w:jc w:val="center"/>
        <w:rPr>
          <w:noProof/>
        </w:rPr>
      </w:pPr>
      <w:r w:rsidRPr="002C3AD6">
        <w:rPr>
          <w:rFonts w:ascii="Century Gothic" w:hAnsi="Century Gothic"/>
          <w:noProof/>
          <w:lang w:val="en-US"/>
        </w:rPr>
        <w:drawing>
          <wp:inline distT="0" distB="0" distL="0" distR="0" wp14:anchorId="1DC44BFC" wp14:editId="0EA3CDEE">
            <wp:extent cx="3279140" cy="1298864"/>
            <wp:effectExtent l="0" t="0" r="0" b="0"/>
            <wp:docPr id="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1"/>
                    <a:stretch>
                      <a:fillRect/>
                    </a:stretch>
                  </pic:blipFill>
                  <pic:spPr>
                    <a:xfrm>
                      <a:off x="0" y="0"/>
                      <a:ext cx="3314806" cy="1312991"/>
                    </a:xfrm>
                    <a:prstGeom prst="rect">
                      <a:avLst/>
                    </a:prstGeom>
                  </pic:spPr>
                </pic:pic>
              </a:graphicData>
            </a:graphic>
          </wp:inline>
        </w:drawing>
      </w:r>
      <w:bookmarkEnd w:id="0"/>
      <w:bookmarkEnd w:id="1"/>
    </w:p>
    <w:p w14:paraId="75A96956" w14:textId="77777777" w:rsidR="009E5C98" w:rsidRDefault="009E5C98" w:rsidP="009E5C98">
      <w:pPr>
        <w:spacing w:after="0"/>
        <w:rPr>
          <w:rFonts w:ascii="Verdana" w:hAnsi="Verdana"/>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E5C98" w:rsidRPr="002423D6" w14:paraId="4F63E6B6" w14:textId="77777777" w:rsidTr="00885778">
        <w:trPr>
          <w:trHeight w:val="315"/>
        </w:trPr>
        <w:tc>
          <w:tcPr>
            <w:tcW w:w="893" w:type="dxa"/>
            <w:vAlign w:val="center"/>
            <w:hideMark/>
          </w:tcPr>
          <w:p w14:paraId="7F3B08D1" w14:textId="77777777" w:rsidR="009E5C98" w:rsidRPr="002423D6" w:rsidRDefault="009E5C98" w:rsidP="00885778">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6CE2E71" w14:textId="77777777" w:rsidR="009E5C98" w:rsidRPr="002423D6" w:rsidRDefault="009E5C98" w:rsidP="00885778">
            <w:pPr>
              <w:contextualSpacing/>
              <w:rPr>
                <w:rFonts w:ascii="Verdana" w:eastAsia="Arial" w:hAnsi="Verdana" w:cs="Arial"/>
                <w:color w:val="000000" w:themeColor="text1"/>
                <w:sz w:val="16"/>
                <w:szCs w:val="16"/>
              </w:rPr>
            </w:pPr>
            <w:r>
              <w:rPr>
                <w:rFonts w:ascii="Verdana" w:eastAsia="Arial" w:hAnsi="Verdana" w:cs="Arial"/>
                <w:color w:val="000000" w:themeColor="text1"/>
                <w:sz w:val="16"/>
                <w:szCs w:val="16"/>
              </w:rPr>
              <w:t>Andreina Cerpa Muñoz</w:t>
            </w:r>
            <w:r w:rsidRPr="002423D6">
              <w:rPr>
                <w:rFonts w:ascii="Verdana" w:eastAsia="Arial" w:hAnsi="Verdana" w:cs="Arial"/>
                <w:color w:val="000000" w:themeColor="text1"/>
                <w:sz w:val="16"/>
                <w:szCs w:val="16"/>
              </w:rPr>
              <w:t xml:space="preserve"> </w:t>
            </w:r>
          </w:p>
          <w:p w14:paraId="7ED869E8" w14:textId="77777777" w:rsidR="009E5C98" w:rsidRPr="002423D6" w:rsidRDefault="009E5C98" w:rsidP="00885778">
            <w:pPr>
              <w:contextualSpacing/>
              <w:rPr>
                <w:rFonts w:ascii="Verdana" w:eastAsia="Arial" w:hAnsi="Verdana" w:cs="Arial"/>
                <w:color w:val="000000" w:themeColor="text1"/>
                <w:sz w:val="16"/>
                <w:szCs w:val="16"/>
              </w:rPr>
            </w:pPr>
            <w:r w:rsidRPr="002423D6">
              <w:rPr>
                <w:rStyle w:val="normaltextrun"/>
                <w:rFonts w:ascii="Verdana" w:eastAsia="Arial" w:hAnsi="Verdana" w:cs="Arial"/>
                <w:color w:val="000000" w:themeColor="text1"/>
                <w:sz w:val="16"/>
                <w:szCs w:val="16"/>
              </w:rPr>
              <w:t>Analista T2-02 de la Subdirección de Gestión Contractual</w:t>
            </w:r>
          </w:p>
        </w:tc>
      </w:tr>
      <w:tr w:rsidR="009E5C98" w:rsidRPr="002423D6" w14:paraId="42B050AF" w14:textId="77777777" w:rsidTr="00885778">
        <w:trPr>
          <w:trHeight w:val="330"/>
        </w:trPr>
        <w:tc>
          <w:tcPr>
            <w:tcW w:w="893" w:type="dxa"/>
            <w:vAlign w:val="center"/>
            <w:hideMark/>
          </w:tcPr>
          <w:p w14:paraId="4696B0A7" w14:textId="77777777" w:rsidR="009E5C98" w:rsidRPr="002423D6" w:rsidRDefault="009E5C98" w:rsidP="00885778">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E03DD06" w14:textId="77777777" w:rsidR="009E5C98" w:rsidRPr="002423D6" w:rsidRDefault="009E5C98" w:rsidP="00885778">
            <w:pPr>
              <w:pStyle w:val="paragraph"/>
              <w:spacing w:before="0" w:beforeAutospacing="0" w:after="0" w:afterAutospacing="0"/>
              <w:contextualSpacing/>
              <w:textAlignment w:val="baseline"/>
              <w:rPr>
                <w:rFonts w:ascii="Verdana" w:hAnsi="Verdana" w:cs="Segoe UI"/>
                <w:color w:val="000000" w:themeColor="text1"/>
                <w:sz w:val="16"/>
                <w:szCs w:val="16"/>
              </w:rPr>
            </w:pPr>
            <w:r>
              <w:rPr>
                <w:rFonts w:ascii="Verdana" w:hAnsi="Verdana" w:cs="Segoe UI"/>
                <w:color w:val="000000" w:themeColor="text1"/>
                <w:sz w:val="16"/>
                <w:szCs w:val="16"/>
              </w:rPr>
              <w:t xml:space="preserve">Alejandro Sarmiento Cantillo </w:t>
            </w:r>
          </w:p>
          <w:p w14:paraId="1542E74E" w14:textId="77777777" w:rsidR="009E5C98" w:rsidRPr="002423D6" w:rsidRDefault="009E5C98" w:rsidP="00885778">
            <w:pPr>
              <w:pStyle w:val="paragraph"/>
              <w:spacing w:before="0" w:beforeAutospacing="0" w:after="0" w:afterAutospacing="0"/>
              <w:contextualSpacing/>
              <w:textAlignment w:val="baseline"/>
              <w:rPr>
                <w:rFonts w:ascii="Verdana" w:hAnsi="Verdana" w:cs="Segoe UI"/>
                <w:color w:val="000000" w:themeColor="text1"/>
                <w:sz w:val="16"/>
                <w:szCs w:val="16"/>
              </w:rPr>
            </w:pPr>
            <w:r>
              <w:rPr>
                <w:rStyle w:val="normaltextrun"/>
                <w:rFonts w:ascii="Verdana" w:hAnsi="Verdana" w:cs="Arial"/>
                <w:color w:val="000000" w:themeColor="text1"/>
                <w:sz w:val="16"/>
                <w:szCs w:val="16"/>
                <w:lang w:val="es-ES"/>
              </w:rPr>
              <w:t xml:space="preserve">Gestor </w:t>
            </w:r>
            <w:r w:rsidRPr="00250F55">
              <w:rPr>
                <w:rFonts w:ascii="Verdana" w:hAnsi="Verdana" w:cs="Arial"/>
                <w:color w:val="000000" w:themeColor="text1"/>
                <w:sz w:val="16"/>
                <w:szCs w:val="16"/>
              </w:rPr>
              <w:t>T1</w:t>
            </w:r>
            <w:r>
              <w:rPr>
                <w:rFonts w:ascii="Verdana" w:hAnsi="Verdana" w:cs="Arial"/>
                <w:color w:val="000000" w:themeColor="text1"/>
                <w:sz w:val="16"/>
                <w:szCs w:val="16"/>
              </w:rPr>
              <w:t>-</w:t>
            </w:r>
            <w:r w:rsidRPr="00250F55">
              <w:rPr>
                <w:rFonts w:ascii="Verdana" w:hAnsi="Verdana" w:cs="Arial"/>
                <w:color w:val="000000" w:themeColor="text1"/>
                <w:sz w:val="16"/>
                <w:szCs w:val="16"/>
              </w:rPr>
              <w:t>15</w:t>
            </w:r>
            <w:r w:rsidRPr="002423D6">
              <w:rPr>
                <w:rStyle w:val="normaltextrun"/>
                <w:rFonts w:ascii="Verdana" w:hAnsi="Verdana" w:cs="Arial"/>
                <w:color w:val="000000" w:themeColor="text1"/>
                <w:sz w:val="16"/>
                <w:szCs w:val="16"/>
                <w:lang w:val="es-ES"/>
              </w:rPr>
              <w:t xml:space="preserve"> de la Subdirección de Gestión Contractual</w:t>
            </w:r>
            <w:r w:rsidRPr="002423D6">
              <w:rPr>
                <w:rStyle w:val="eop"/>
                <w:rFonts w:ascii="Verdana" w:hAnsi="Verdana" w:cs="Arial"/>
                <w:color w:val="000000" w:themeColor="text1"/>
                <w:sz w:val="16"/>
                <w:szCs w:val="16"/>
              </w:rPr>
              <w:t> </w:t>
            </w:r>
          </w:p>
        </w:tc>
      </w:tr>
      <w:tr w:rsidR="009E5C98" w:rsidRPr="002423D6" w14:paraId="69AF6A59" w14:textId="77777777" w:rsidTr="00885778">
        <w:trPr>
          <w:trHeight w:val="300"/>
        </w:trPr>
        <w:tc>
          <w:tcPr>
            <w:tcW w:w="893" w:type="dxa"/>
            <w:vAlign w:val="center"/>
          </w:tcPr>
          <w:p w14:paraId="01143001" w14:textId="77777777" w:rsidR="009E5C98" w:rsidRPr="002423D6" w:rsidRDefault="009E5C98" w:rsidP="00885778">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E825573" w14:textId="77777777" w:rsidR="009E5C98" w:rsidRPr="002423D6" w:rsidRDefault="009E5C98" w:rsidP="00885778">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val="pt-BR" w:eastAsia="es-ES"/>
              </w:rPr>
              <w:t xml:space="preserve">Carolina Quintero </w:t>
            </w:r>
            <w:proofErr w:type="spellStart"/>
            <w:r w:rsidRPr="002423D6">
              <w:rPr>
                <w:rFonts w:ascii="Verdana" w:eastAsia="Calibri" w:hAnsi="Verdana" w:cs="Arial"/>
                <w:color w:val="000000" w:themeColor="text1"/>
                <w:sz w:val="16"/>
                <w:szCs w:val="16"/>
                <w:lang w:val="pt-BR" w:eastAsia="es-ES"/>
              </w:rPr>
              <w:t>Gacharná</w:t>
            </w:r>
            <w:proofErr w:type="spellEnd"/>
          </w:p>
          <w:p w14:paraId="69151ABB" w14:textId="77777777" w:rsidR="009E5C98" w:rsidRPr="002423D6" w:rsidRDefault="009E5C98" w:rsidP="00885778">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eastAsia="es-ES"/>
              </w:rPr>
              <w:t>Subdirectora</w:t>
            </w:r>
            <w:r w:rsidRPr="002423D6">
              <w:rPr>
                <w:rFonts w:ascii="Verdana" w:eastAsia="Calibri" w:hAnsi="Verdana" w:cs="Arial"/>
                <w:color w:val="000000" w:themeColor="text1"/>
                <w:sz w:val="16"/>
                <w:szCs w:val="16"/>
                <w:lang w:val="pt-BR" w:eastAsia="es-ES"/>
              </w:rPr>
              <w:t xml:space="preserve"> de Gestión </w:t>
            </w:r>
            <w:proofErr w:type="spellStart"/>
            <w:r w:rsidRPr="002423D6">
              <w:rPr>
                <w:rFonts w:ascii="Verdana" w:eastAsia="Calibri" w:hAnsi="Verdana" w:cs="Arial"/>
                <w:color w:val="000000" w:themeColor="text1"/>
                <w:sz w:val="16"/>
                <w:szCs w:val="16"/>
                <w:lang w:val="pt-BR" w:eastAsia="es-ES"/>
              </w:rPr>
              <w:t>Contractual</w:t>
            </w:r>
            <w:proofErr w:type="spellEnd"/>
            <w:r w:rsidRPr="002423D6">
              <w:rPr>
                <w:rFonts w:ascii="Verdana" w:eastAsia="Calibri" w:hAnsi="Verdana" w:cs="Arial"/>
                <w:color w:val="000000" w:themeColor="text1"/>
                <w:sz w:val="16"/>
                <w:szCs w:val="16"/>
                <w:lang w:val="pt-BR" w:eastAsia="es-ES"/>
              </w:rPr>
              <w:t xml:space="preserve"> ANCP – CCE</w:t>
            </w:r>
          </w:p>
        </w:tc>
      </w:tr>
    </w:tbl>
    <w:p w14:paraId="098FC030" w14:textId="77777777" w:rsidR="009E5C98" w:rsidRPr="00265F6F" w:rsidRDefault="009E5C98" w:rsidP="009E5C98"/>
    <w:p w14:paraId="17873333" w14:textId="77777777" w:rsidR="000F5A42" w:rsidRPr="009E5C98" w:rsidRDefault="000F5A42" w:rsidP="009E5C98"/>
    <w:sectPr w:rsidR="000F5A42" w:rsidRPr="009E5C98" w:rsidSect="007F0531">
      <w:headerReference w:type="default" r:id="rId12"/>
      <w:footerReference w:type="default" r:id="rId13"/>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71C54" w14:textId="77777777" w:rsidR="00D87634" w:rsidRDefault="00D87634">
      <w:pPr>
        <w:spacing w:after="0" w:line="240" w:lineRule="auto"/>
      </w:pPr>
      <w:r>
        <w:separator/>
      </w:r>
    </w:p>
  </w:endnote>
  <w:endnote w:type="continuationSeparator" w:id="0">
    <w:p w14:paraId="08B7A759" w14:textId="77777777" w:rsidR="00D87634" w:rsidRDefault="00D876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36F93" w14:textId="77777777" w:rsidR="007F0531" w:rsidRDefault="007F0531" w:rsidP="000849D5">
    <w:pPr>
      <w:spacing w:after="0"/>
      <w:rPr>
        <w:rFonts w:ascii="Verdana" w:hAnsi="Verdana"/>
        <w:b/>
        <w:bCs/>
        <w:sz w:val="20"/>
        <w:szCs w:val="20"/>
      </w:rPr>
    </w:pPr>
  </w:p>
  <w:p w14:paraId="62AC5FFF" w14:textId="77777777" w:rsidR="007F0531" w:rsidRPr="00174B77" w:rsidRDefault="007F0531"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9EBB4BF" w14:textId="77777777" w:rsidR="007F0531" w:rsidRDefault="007F0531"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3281C793" w14:textId="77777777" w:rsidR="007F0531" w:rsidRPr="00E41027" w:rsidRDefault="007F0531" w:rsidP="000849D5">
    <w:pPr>
      <w:spacing w:after="0"/>
      <w:jc w:val="both"/>
      <w:rPr>
        <w:rFonts w:ascii="Verdana" w:hAnsi="Verdana"/>
        <w:sz w:val="18"/>
        <w:szCs w:val="18"/>
      </w:rPr>
    </w:pPr>
    <w:r w:rsidRPr="00E41027">
      <w:rPr>
        <w:rFonts w:ascii="Verdana" w:hAnsi="Verdana"/>
        <w:sz w:val="18"/>
        <w:szCs w:val="18"/>
      </w:rPr>
      <w:t>Mesa de servicio: (+57) 601 7456788</w:t>
    </w:r>
  </w:p>
  <w:p w14:paraId="37D2111E" w14:textId="77777777" w:rsidR="007F0531" w:rsidRDefault="007F0531"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10E78704" w14:textId="77777777" w:rsidR="007F0531" w:rsidRPr="007D04B2" w:rsidRDefault="007F0531" w:rsidP="000849D5">
    <w:pPr>
      <w:pStyle w:val="Piedepgina"/>
    </w:pPr>
  </w:p>
  <w:p w14:paraId="1D335323" w14:textId="77777777" w:rsidR="007F0531" w:rsidRPr="000849D5" w:rsidRDefault="007F0531"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57611" w14:textId="77777777" w:rsidR="00D87634" w:rsidRDefault="00D87634">
      <w:pPr>
        <w:spacing w:after="0" w:line="240" w:lineRule="auto"/>
      </w:pPr>
      <w:r>
        <w:separator/>
      </w:r>
    </w:p>
  </w:footnote>
  <w:footnote w:type="continuationSeparator" w:id="0">
    <w:p w14:paraId="057FAE3E" w14:textId="77777777" w:rsidR="00D87634" w:rsidRDefault="00D87634">
      <w:pPr>
        <w:spacing w:after="0" w:line="240" w:lineRule="auto"/>
      </w:pPr>
      <w:r>
        <w:continuationSeparator/>
      </w:r>
    </w:p>
  </w:footnote>
  <w:footnote w:id="1">
    <w:p w14:paraId="1C30AC61" w14:textId="77777777" w:rsidR="009E5C98" w:rsidRPr="00625FFD" w:rsidRDefault="009E5C98" w:rsidP="009E5C98">
      <w:pPr>
        <w:pStyle w:val="Textonotapie"/>
        <w:ind w:firstLine="709"/>
        <w:jc w:val="both"/>
        <w:rPr>
          <w:rFonts w:ascii="Verdana" w:hAnsi="Verdana" w:cs="Arial"/>
          <w:sz w:val="14"/>
          <w:szCs w:val="14"/>
        </w:rPr>
      </w:pPr>
      <w:r w:rsidRPr="00625FFD">
        <w:rPr>
          <w:rStyle w:val="Refdenotaalpie"/>
          <w:rFonts w:ascii="Verdana" w:hAnsi="Verdana" w:cs="Arial"/>
          <w:sz w:val="14"/>
          <w:szCs w:val="14"/>
        </w:rPr>
        <w:footnoteRef/>
      </w:r>
      <w:r w:rsidRPr="00625FFD">
        <w:rPr>
          <w:rFonts w:ascii="Verdana" w:hAnsi="Verdana" w:cs="Arial"/>
          <w:sz w:val="14"/>
          <w:szCs w:val="14"/>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1251CAA0" w14:textId="77777777" w:rsidR="009E5C98" w:rsidRPr="00625FFD" w:rsidRDefault="009E5C98" w:rsidP="009E5C98">
      <w:pPr>
        <w:pStyle w:val="Textonotapie"/>
        <w:ind w:firstLine="709"/>
        <w:jc w:val="both"/>
        <w:rPr>
          <w:rFonts w:ascii="Verdana" w:hAnsi="Verdana" w:cs="Arial"/>
          <w:sz w:val="14"/>
          <w:szCs w:val="14"/>
        </w:rPr>
      </w:pPr>
      <w:r w:rsidRPr="00625FFD">
        <w:rPr>
          <w:rFonts w:ascii="Verdana" w:hAnsi="Verdana" w:cs="Arial"/>
          <w:sz w:val="14"/>
          <w:szCs w:val="14"/>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2">
    <w:p w14:paraId="66D7173E" w14:textId="77777777" w:rsidR="009E5C98" w:rsidRPr="004674CF" w:rsidRDefault="009E5C98" w:rsidP="009E5C98">
      <w:pPr>
        <w:pStyle w:val="Textonotapie"/>
        <w:ind w:firstLine="709"/>
        <w:jc w:val="both"/>
        <w:rPr>
          <w:rFonts w:ascii="Verdana" w:hAnsi="Verdana" w:cs="Arial"/>
          <w:sz w:val="16"/>
          <w:szCs w:val="16"/>
        </w:rPr>
      </w:pPr>
      <w:r w:rsidRPr="00625FFD">
        <w:rPr>
          <w:rStyle w:val="Refdenotaalpie"/>
          <w:rFonts w:ascii="Verdana" w:hAnsi="Verdana" w:cs="Arial"/>
          <w:sz w:val="14"/>
          <w:szCs w:val="14"/>
        </w:rPr>
        <w:footnoteRef/>
      </w:r>
      <w:r w:rsidRPr="00625FFD">
        <w:rPr>
          <w:rFonts w:ascii="Verdana" w:hAnsi="Verdana" w:cs="Arial"/>
          <w:sz w:val="14"/>
          <w:szCs w:val="14"/>
        </w:rPr>
        <w:t xml:space="preserve"> Gaceta del Congreso de la República No. 71 del 2005.</w:t>
      </w:r>
    </w:p>
  </w:footnote>
  <w:footnote w:id="3">
    <w:p w14:paraId="64A38B6D" w14:textId="77777777" w:rsidR="009E5C98" w:rsidRPr="00625FFD" w:rsidRDefault="009E5C98" w:rsidP="009E5C98">
      <w:pPr>
        <w:pStyle w:val="Textonotapie"/>
        <w:ind w:firstLine="709"/>
        <w:jc w:val="both"/>
        <w:rPr>
          <w:rFonts w:ascii="Verdana" w:hAnsi="Verdana" w:cs="Arial"/>
          <w:sz w:val="14"/>
          <w:szCs w:val="14"/>
          <w:lang w:val="pt-BR"/>
        </w:rPr>
      </w:pPr>
      <w:r w:rsidRPr="00625FFD">
        <w:rPr>
          <w:rStyle w:val="Refdenotaalpie"/>
          <w:rFonts w:ascii="Verdana" w:hAnsi="Verdana" w:cs="Arial"/>
          <w:sz w:val="14"/>
          <w:szCs w:val="14"/>
        </w:rPr>
        <w:footnoteRef/>
      </w:r>
      <w:r w:rsidRPr="00625FFD">
        <w:rPr>
          <w:rFonts w:ascii="Verdana" w:hAnsi="Verdana" w:cs="Arial"/>
          <w:sz w:val="14"/>
          <w:szCs w:val="14"/>
          <w:lang w:val="pt-BR"/>
        </w:rPr>
        <w:t xml:space="preserve"> Corte Constitucional, Sentencia C- 1153 de 2005, M.P. Marco Gerardo </w:t>
      </w:r>
      <w:r w:rsidRPr="00625FFD">
        <w:rPr>
          <w:rFonts w:ascii="Verdana" w:hAnsi="Verdana" w:cs="Arial"/>
          <w:sz w:val="14"/>
          <w:szCs w:val="14"/>
          <w:lang w:val="pt-BR"/>
        </w:rPr>
        <w:t>Monroy Cabra.</w:t>
      </w:r>
    </w:p>
  </w:footnote>
  <w:footnote w:id="4">
    <w:p w14:paraId="7128AFA2" w14:textId="77777777" w:rsidR="009E5C98" w:rsidRPr="0006483B" w:rsidRDefault="009E5C98" w:rsidP="009E5C98">
      <w:pPr>
        <w:pStyle w:val="Textonotapie"/>
        <w:ind w:firstLine="709"/>
        <w:jc w:val="both"/>
        <w:rPr>
          <w:rFonts w:ascii="Verdana" w:hAnsi="Verdana" w:cs="Arial"/>
          <w:sz w:val="14"/>
          <w:szCs w:val="14"/>
          <w:lang w:val="pt-BR"/>
        </w:rPr>
      </w:pPr>
      <w:r w:rsidRPr="0006483B">
        <w:rPr>
          <w:rStyle w:val="Refdenotaalpie"/>
          <w:rFonts w:ascii="Verdana" w:hAnsi="Verdana" w:cs="Arial"/>
          <w:sz w:val="14"/>
          <w:szCs w:val="14"/>
        </w:rPr>
        <w:footnoteRef/>
      </w:r>
      <w:r w:rsidRPr="0006483B">
        <w:rPr>
          <w:rFonts w:ascii="Verdana" w:hAnsi="Verdana" w:cs="Arial"/>
          <w:sz w:val="14"/>
          <w:szCs w:val="14"/>
          <w:lang w:val="pt-BR"/>
        </w:rPr>
        <w:t xml:space="preserve"> Corte Constitucional. Sentencias: C-233 de 4 de abril de 2002, expediente: D-3704; C-551 de 9 de </w:t>
      </w:r>
      <w:r w:rsidRPr="0006483B">
        <w:rPr>
          <w:rFonts w:ascii="Verdana" w:hAnsi="Verdana" w:cs="Arial"/>
          <w:sz w:val="14"/>
          <w:szCs w:val="14"/>
          <w:lang w:val="pt-BR"/>
        </w:rPr>
        <w:t>julio de 2003, expediente: CRF-001 de 9 de julio de 2003; C-652 de 5 de agosto de 2003, expediente: D-4330; C-353 de 20 de mayo de 2009, expediente: D-7518, C-541 de 30 de junio de 2010, expediente: DD7966; entre otras.</w:t>
      </w:r>
    </w:p>
  </w:footnote>
  <w:footnote w:id="5">
    <w:p w14:paraId="40E6CE4A" w14:textId="77777777" w:rsidR="009E5C98" w:rsidRPr="0006483B" w:rsidRDefault="009E5C98" w:rsidP="009E5C98">
      <w:pPr>
        <w:pStyle w:val="Textonotapie"/>
        <w:ind w:firstLine="709"/>
        <w:jc w:val="both"/>
        <w:rPr>
          <w:rFonts w:ascii="Verdana" w:hAnsi="Verdana" w:cs="Arial"/>
          <w:sz w:val="14"/>
          <w:szCs w:val="14"/>
          <w:lang w:val="es-CO"/>
        </w:rPr>
      </w:pPr>
      <w:r w:rsidRPr="0006483B">
        <w:rPr>
          <w:rStyle w:val="Refdenotaalpie"/>
          <w:rFonts w:ascii="Verdana" w:hAnsi="Verdana" w:cs="Arial"/>
          <w:sz w:val="14"/>
          <w:szCs w:val="14"/>
        </w:rPr>
        <w:footnoteRef/>
      </w:r>
      <w:r w:rsidRPr="0006483B">
        <w:rPr>
          <w:rFonts w:ascii="Verdana" w:hAnsi="Verdana" w:cs="Arial"/>
          <w:sz w:val="14"/>
          <w:szCs w:val="14"/>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6">
    <w:p w14:paraId="7184D136" w14:textId="77777777" w:rsidR="009E5C98" w:rsidRPr="004674CF" w:rsidRDefault="009E5C98" w:rsidP="009E5C98">
      <w:pPr>
        <w:pStyle w:val="Textonotapie"/>
        <w:ind w:firstLine="709"/>
        <w:jc w:val="both"/>
        <w:rPr>
          <w:rFonts w:ascii="Verdana" w:hAnsi="Verdana" w:cs="Arial"/>
          <w:sz w:val="16"/>
          <w:szCs w:val="16"/>
        </w:rPr>
      </w:pPr>
      <w:r w:rsidRPr="0006483B">
        <w:rPr>
          <w:rStyle w:val="Refdenotaalpie"/>
          <w:rFonts w:ascii="Verdana" w:hAnsi="Verdana" w:cs="Arial"/>
          <w:sz w:val="14"/>
          <w:szCs w:val="14"/>
        </w:rPr>
        <w:footnoteRef/>
      </w:r>
      <w:r w:rsidRPr="0006483B">
        <w:rPr>
          <w:rFonts w:ascii="Verdana" w:hAnsi="Verdana" w:cs="Arial"/>
          <w:sz w:val="14"/>
          <w:szCs w:val="14"/>
        </w:rPr>
        <w:t xml:space="preserve"> Consejo de Estado, Sala de Consulta y Servicio Civil de fecha 24 de julio de 2013, radicado 2166, C. P. Álvaro Namén Vargas.</w:t>
      </w:r>
      <w:r w:rsidRPr="004674CF">
        <w:rPr>
          <w:rFonts w:ascii="Verdana" w:hAnsi="Verdana" w:cs="Arial"/>
          <w:sz w:val="16"/>
          <w:szCs w:val="16"/>
        </w:rPr>
        <w:t xml:space="preserve">  </w:t>
      </w:r>
    </w:p>
  </w:footnote>
  <w:footnote w:id="7">
    <w:p w14:paraId="0F5AE6C7" w14:textId="77777777" w:rsidR="009E5C98" w:rsidRPr="004F4B4E" w:rsidRDefault="009E5C98" w:rsidP="009E5C98">
      <w:pPr>
        <w:spacing w:after="0" w:line="240" w:lineRule="auto"/>
        <w:ind w:firstLine="709"/>
        <w:jc w:val="both"/>
        <w:rPr>
          <w:rFonts w:ascii="Verdana" w:eastAsia="Times New Roman" w:hAnsi="Verdana" w:cs="Arial"/>
          <w:sz w:val="14"/>
          <w:szCs w:val="14"/>
        </w:rPr>
      </w:pPr>
      <w:r w:rsidRPr="004F4B4E">
        <w:rPr>
          <w:rStyle w:val="Refdenotaalpie"/>
          <w:rFonts w:ascii="Verdana" w:hAnsi="Verdana" w:cs="Arial"/>
          <w:sz w:val="14"/>
          <w:szCs w:val="14"/>
        </w:rPr>
        <w:footnoteRef/>
      </w:r>
      <w:r w:rsidRPr="004F4B4E">
        <w:rPr>
          <w:rFonts w:ascii="Verdana" w:hAnsi="Verdana" w:cs="Arial"/>
          <w:sz w:val="14"/>
          <w:szCs w:val="14"/>
        </w:rPr>
        <w:t xml:space="preserve"> </w:t>
      </w:r>
      <w:bookmarkStart w:id="9" w:name="33"/>
      <w:r w:rsidRPr="004F4B4E">
        <w:rPr>
          <w:rFonts w:ascii="Verdana" w:eastAsia="Calibri" w:hAnsi="Verdana" w:cs="Arial"/>
          <w:color w:val="000000"/>
          <w:sz w:val="14"/>
          <w:szCs w:val="14"/>
        </w:rPr>
        <w:t>“</w:t>
      </w:r>
      <w:r w:rsidRPr="004F4B4E">
        <w:rPr>
          <w:rFonts w:ascii="Verdana" w:eastAsia="Times New Roman" w:hAnsi="Verdana" w:cs="Arial"/>
          <w:sz w:val="14"/>
          <w:szCs w:val="14"/>
        </w:rPr>
        <w:t>Artículo 33. Restricciones a la contratación pública.</w:t>
      </w:r>
      <w:bookmarkEnd w:id="9"/>
      <w:r w:rsidRPr="004F4B4E">
        <w:rPr>
          <w:rFonts w:ascii="Verdana" w:eastAsia="Times New Roman" w:hAnsi="Verdana" w:cs="Arial"/>
          <w:sz w:val="14"/>
          <w:szCs w:val="14"/>
        </w:rPr>
        <w:t> Durante los cuatro (4) meses anteriores a la elección presidencial y hasta la realización de la elección en la segunda vuelta, si fuere el caso, queda prohibida la contratación directa por parte de todos los entes del Estado.</w:t>
      </w:r>
    </w:p>
    <w:p w14:paraId="2D5411F9" w14:textId="77777777" w:rsidR="009E5C98" w:rsidRPr="004F4B4E" w:rsidRDefault="009E5C98" w:rsidP="009E5C98">
      <w:pPr>
        <w:spacing w:after="0" w:line="240" w:lineRule="auto"/>
        <w:ind w:firstLine="709"/>
        <w:jc w:val="both"/>
        <w:rPr>
          <w:rFonts w:ascii="Verdana" w:eastAsia="Times New Roman" w:hAnsi="Verdana" w:cs="Arial"/>
          <w:sz w:val="14"/>
          <w:szCs w:val="14"/>
        </w:rPr>
      </w:pPr>
      <w:r w:rsidRPr="004F4B4E">
        <w:rPr>
          <w:rFonts w:ascii="Verdana" w:eastAsia="Times New Roman" w:hAnsi="Verdana" w:cs="Arial"/>
          <w:sz w:val="14"/>
          <w:szCs w:val="14"/>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4F4B4E">
        <w:rPr>
          <w:rFonts w:ascii="Verdana" w:eastAsia="Calibri" w:hAnsi="Verdana" w:cs="Arial"/>
          <w:color w:val="000000"/>
          <w:sz w:val="14"/>
          <w:szCs w:val="14"/>
        </w:rPr>
        <w:t>”</w:t>
      </w:r>
      <w:r w:rsidRPr="004F4B4E">
        <w:rPr>
          <w:rFonts w:ascii="Verdana" w:eastAsia="Times New Roman" w:hAnsi="Verdana" w:cs="Arial"/>
          <w:sz w:val="14"/>
          <w:szCs w:val="14"/>
        </w:rPr>
        <w:t>.</w:t>
      </w:r>
    </w:p>
  </w:footnote>
  <w:footnote w:id="8">
    <w:p w14:paraId="0D424158" w14:textId="77777777" w:rsidR="009E5C98" w:rsidRPr="004F4B4E" w:rsidRDefault="009E5C98" w:rsidP="009E5C98">
      <w:pPr>
        <w:pStyle w:val="NormalWeb"/>
        <w:spacing w:before="0" w:beforeAutospacing="0" w:after="0" w:afterAutospacing="0"/>
        <w:ind w:firstLine="709"/>
        <w:jc w:val="both"/>
        <w:rPr>
          <w:rFonts w:ascii="Verdana" w:hAnsi="Verdana" w:cs="Arial"/>
          <w:sz w:val="14"/>
          <w:szCs w:val="14"/>
          <w:lang w:val="es-MX"/>
        </w:rPr>
      </w:pPr>
      <w:r w:rsidRPr="004F4B4E">
        <w:rPr>
          <w:rStyle w:val="Refdenotaalpie"/>
          <w:rFonts w:ascii="Verdana" w:eastAsiaTheme="majorEastAsia" w:hAnsi="Verdana" w:cs="Arial"/>
          <w:sz w:val="14"/>
          <w:szCs w:val="14"/>
        </w:rPr>
        <w:footnoteRef/>
      </w:r>
      <w:r w:rsidRPr="004F4B4E">
        <w:rPr>
          <w:rFonts w:ascii="Verdana" w:hAnsi="Verdana" w:cs="Arial"/>
          <w:sz w:val="14"/>
          <w:szCs w:val="14"/>
        </w:rPr>
        <w:t xml:space="preserve"> </w:t>
      </w:r>
      <w:bookmarkStart w:id="10" w:name="38"/>
      <w:r w:rsidRPr="004F4B4E">
        <w:rPr>
          <w:rFonts w:ascii="Verdana" w:eastAsia="Calibri" w:hAnsi="Verdana" w:cs="Arial"/>
          <w:color w:val="000000"/>
          <w:sz w:val="14"/>
          <w:szCs w:val="14"/>
        </w:rPr>
        <w:t>“</w:t>
      </w:r>
      <w:r w:rsidRPr="004F4B4E">
        <w:rPr>
          <w:rFonts w:ascii="Verdana" w:hAnsi="Verdana" w:cs="Arial"/>
          <w:sz w:val="14"/>
          <w:szCs w:val="14"/>
          <w:lang w:val="es-MX"/>
        </w:rPr>
        <w:t>Artículo 38. Prohibiciones para los servidores públicos. A los empleados del Estado les está prohibido:</w:t>
      </w:r>
      <w:bookmarkEnd w:id="10"/>
      <w:r w:rsidRPr="004F4B4E">
        <w:rPr>
          <w:rFonts w:ascii="Verdana" w:hAnsi="Verdana" w:cs="Arial"/>
          <w:sz w:val="14"/>
          <w:szCs w:val="14"/>
          <w:lang w:val="es-MX"/>
        </w:rPr>
        <w:t xml:space="preserve"> […]</w:t>
      </w:r>
    </w:p>
    <w:p w14:paraId="41D1962D" w14:textId="77777777" w:rsidR="009E5C98" w:rsidRPr="004674CF" w:rsidRDefault="009E5C98" w:rsidP="009E5C98">
      <w:pPr>
        <w:pStyle w:val="NormalWeb"/>
        <w:spacing w:before="0" w:beforeAutospacing="0" w:after="0" w:afterAutospacing="0"/>
        <w:ind w:firstLine="709"/>
        <w:jc w:val="both"/>
        <w:rPr>
          <w:rFonts w:ascii="Verdana" w:hAnsi="Verdana" w:cs="Arial"/>
          <w:sz w:val="16"/>
          <w:szCs w:val="16"/>
          <w:lang w:val="es-MX"/>
        </w:rPr>
      </w:pPr>
      <w:r w:rsidRPr="004F4B4E">
        <w:rPr>
          <w:rStyle w:val="baj"/>
          <w:rFonts w:ascii="Verdana" w:hAnsi="Verdana" w:cs="Arial"/>
          <w:sz w:val="14"/>
          <w:szCs w:val="14"/>
          <w:lang w:val="es-MX"/>
        </w:rPr>
        <w:t>Parágrafo.</w:t>
      </w:r>
      <w:r w:rsidRPr="004F4B4E">
        <w:rPr>
          <w:rFonts w:ascii="Verdana" w:hAnsi="Verdana" w:cs="Arial"/>
          <w:sz w:val="14"/>
          <w:szCs w:val="14"/>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F4B4E">
        <w:rPr>
          <w:rFonts w:ascii="Verdana" w:eastAsia="Calibri" w:hAnsi="Verdana" w:cs="Arial"/>
          <w:color w:val="000000"/>
          <w:sz w:val="14"/>
          <w:szCs w:val="14"/>
        </w:rPr>
        <w:t>”</w:t>
      </w:r>
      <w:r w:rsidRPr="004F4B4E">
        <w:rPr>
          <w:rFonts w:ascii="Verdana" w:hAnsi="Verdana" w:cs="Arial"/>
          <w:sz w:val="14"/>
          <w:szCs w:val="14"/>
          <w:lang w:val="es-MX"/>
        </w:rPr>
        <w:t>.</w:t>
      </w:r>
    </w:p>
  </w:footnote>
  <w:footnote w:id="9">
    <w:p w14:paraId="207B0195" w14:textId="77777777" w:rsidR="009E5C98" w:rsidRPr="004674CF" w:rsidRDefault="009E5C98" w:rsidP="009E5C98">
      <w:pPr>
        <w:pStyle w:val="Textonotapie"/>
        <w:ind w:firstLine="708"/>
        <w:jc w:val="both"/>
        <w:rPr>
          <w:rFonts w:ascii="Verdana" w:hAnsi="Verdana" w:cs="Arial"/>
          <w:sz w:val="16"/>
          <w:szCs w:val="16"/>
        </w:rPr>
      </w:pPr>
      <w:r w:rsidRPr="004674CF">
        <w:rPr>
          <w:rStyle w:val="Refdenotaalpie"/>
          <w:rFonts w:ascii="Verdana" w:hAnsi="Verdana" w:cs="Arial"/>
          <w:sz w:val="16"/>
          <w:szCs w:val="16"/>
        </w:rPr>
        <w:footnoteRef/>
      </w:r>
      <w:r w:rsidRPr="004674CF">
        <w:rPr>
          <w:rFonts w:ascii="Verdana" w:hAnsi="Verdana" w:cs="Arial"/>
          <w:sz w:val="16"/>
          <w:szCs w:val="16"/>
        </w:rPr>
        <w:t xml:space="preserve"> Colombia Compra Eficiente. Circular Externa Única. Numeral 16.5. </w:t>
      </w:r>
    </w:p>
  </w:footnote>
  <w:footnote w:id="10">
    <w:p w14:paraId="29F884AD" w14:textId="77777777" w:rsidR="009E5C98" w:rsidRPr="004674CF" w:rsidRDefault="009E5C98" w:rsidP="009E5C98">
      <w:pPr>
        <w:spacing w:after="0" w:line="240" w:lineRule="auto"/>
        <w:ind w:left="100" w:right="244" w:firstLine="608"/>
        <w:jc w:val="both"/>
        <w:rPr>
          <w:rFonts w:ascii="Verdana" w:hAnsi="Verdana" w:cs="Arial"/>
          <w:sz w:val="16"/>
          <w:szCs w:val="16"/>
          <w:lang w:val="es-ES"/>
        </w:rPr>
      </w:pPr>
      <w:r w:rsidRPr="004674CF">
        <w:rPr>
          <w:rStyle w:val="Refdenotaalpie"/>
          <w:rFonts w:ascii="Verdana" w:hAnsi="Verdana" w:cs="Arial"/>
          <w:sz w:val="16"/>
          <w:szCs w:val="16"/>
        </w:rPr>
        <w:footnoteRef/>
      </w:r>
      <w:r w:rsidRPr="004674CF">
        <w:rPr>
          <w:rFonts w:ascii="Verdana" w:hAnsi="Verdana" w:cs="Arial"/>
          <w:sz w:val="16"/>
          <w:szCs w:val="16"/>
        </w:rPr>
        <w:t xml:space="preserve"> Consejo de Estado. Sala de Consulta y Servicio Civil. Concepto del 17 de febrero de 2015. C.P. William Zambrano Cetina. Radicación No. 11001-03-06-000-2015-00164-00(2269).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39AB2" w14:textId="77777777" w:rsidR="007F0531" w:rsidRDefault="007F0531" w:rsidP="00515FB5">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13A1A653" wp14:editId="3B766D22">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494586EB" wp14:editId="0B55CFD9">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0425E0E" w14:textId="77777777" w:rsidR="007F0531" w:rsidRDefault="007F0531" w:rsidP="00515FB5">
    <w:pPr>
      <w:pStyle w:val="Encabezado"/>
    </w:pPr>
  </w:p>
  <w:p w14:paraId="7D1F0C2F" w14:textId="77777777" w:rsidR="007F0531" w:rsidRDefault="007F0531" w:rsidP="00515FB5">
    <w:pPr>
      <w:pStyle w:val="Encabezado"/>
    </w:pPr>
  </w:p>
  <w:p w14:paraId="2B2363C2" w14:textId="77777777" w:rsidR="007F0531" w:rsidRDefault="007F0531" w:rsidP="00515FB5">
    <w:pPr>
      <w:pStyle w:val="Encabezado"/>
    </w:pPr>
  </w:p>
  <w:p w14:paraId="09EB9DC3" w14:textId="77777777" w:rsidR="007F0531" w:rsidRPr="00515FB5" w:rsidRDefault="007F0531"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95pt;height:10.95pt;visibility:visible;mso-wrap-style:square" o:bullet="t">
        <v:imagedata r:id="rId1" o:title=""/>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54E78AA"/>
    <w:multiLevelType w:val="multilevel"/>
    <w:tmpl w:val="E7149D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num w:numId="1" w16cid:durableId="341274352">
    <w:abstractNumId w:val="0"/>
  </w:num>
  <w:num w:numId="2" w16cid:durableId="679089576">
    <w:abstractNumId w:val="3"/>
  </w:num>
  <w:num w:numId="3" w16cid:durableId="390349800">
    <w:abstractNumId w:val="4"/>
  </w:num>
  <w:num w:numId="4" w16cid:durableId="619845936">
    <w:abstractNumId w:val="2"/>
  </w:num>
  <w:num w:numId="5" w16cid:durableId="12012367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531"/>
    <w:rsid w:val="000561FF"/>
    <w:rsid w:val="00057B69"/>
    <w:rsid w:val="0006483B"/>
    <w:rsid w:val="00095413"/>
    <w:rsid w:val="000C4F40"/>
    <w:rsid w:val="000D21F5"/>
    <w:rsid w:val="000F08B7"/>
    <w:rsid w:val="000F5A42"/>
    <w:rsid w:val="00135D9B"/>
    <w:rsid w:val="00153CAE"/>
    <w:rsid w:val="00180E4C"/>
    <w:rsid w:val="001B6D97"/>
    <w:rsid w:val="001E75AE"/>
    <w:rsid w:val="002A2CBD"/>
    <w:rsid w:val="002C2EAA"/>
    <w:rsid w:val="002E3827"/>
    <w:rsid w:val="00352CD6"/>
    <w:rsid w:val="003869D0"/>
    <w:rsid w:val="00391E09"/>
    <w:rsid w:val="003972B9"/>
    <w:rsid w:val="003B2F63"/>
    <w:rsid w:val="003D02EC"/>
    <w:rsid w:val="003D61D8"/>
    <w:rsid w:val="003E61DD"/>
    <w:rsid w:val="00423920"/>
    <w:rsid w:val="004330D0"/>
    <w:rsid w:val="0047227E"/>
    <w:rsid w:val="004829D0"/>
    <w:rsid w:val="004A3A4C"/>
    <w:rsid w:val="004C1C8E"/>
    <w:rsid w:val="004C509B"/>
    <w:rsid w:val="004E60C1"/>
    <w:rsid w:val="004F4B4E"/>
    <w:rsid w:val="005055D5"/>
    <w:rsid w:val="00572762"/>
    <w:rsid w:val="005B0509"/>
    <w:rsid w:val="005D63E7"/>
    <w:rsid w:val="00625FFD"/>
    <w:rsid w:val="006271BC"/>
    <w:rsid w:val="0062750E"/>
    <w:rsid w:val="00634C7C"/>
    <w:rsid w:val="00677D98"/>
    <w:rsid w:val="00702421"/>
    <w:rsid w:val="007252C9"/>
    <w:rsid w:val="007A7A93"/>
    <w:rsid w:val="007D11BA"/>
    <w:rsid w:val="007F0531"/>
    <w:rsid w:val="00847EB5"/>
    <w:rsid w:val="00872158"/>
    <w:rsid w:val="0088006A"/>
    <w:rsid w:val="008A2293"/>
    <w:rsid w:val="008A4589"/>
    <w:rsid w:val="008C6F22"/>
    <w:rsid w:val="008C7657"/>
    <w:rsid w:val="00974729"/>
    <w:rsid w:val="009968C4"/>
    <w:rsid w:val="00997570"/>
    <w:rsid w:val="009E5C98"/>
    <w:rsid w:val="00A12218"/>
    <w:rsid w:val="00A53476"/>
    <w:rsid w:val="00A74A23"/>
    <w:rsid w:val="00A90678"/>
    <w:rsid w:val="00A9781F"/>
    <w:rsid w:val="00A97F85"/>
    <w:rsid w:val="00B515A7"/>
    <w:rsid w:val="00B540F1"/>
    <w:rsid w:val="00B83E43"/>
    <w:rsid w:val="00BF4E16"/>
    <w:rsid w:val="00C2601A"/>
    <w:rsid w:val="00C651B1"/>
    <w:rsid w:val="00CC6AA8"/>
    <w:rsid w:val="00D246C4"/>
    <w:rsid w:val="00D537A3"/>
    <w:rsid w:val="00D86D1D"/>
    <w:rsid w:val="00D87634"/>
    <w:rsid w:val="00DA6629"/>
    <w:rsid w:val="00DA73EA"/>
    <w:rsid w:val="00E1115B"/>
    <w:rsid w:val="00E22D2D"/>
    <w:rsid w:val="00EA0ADB"/>
    <w:rsid w:val="00EC13BC"/>
    <w:rsid w:val="00ED1467"/>
    <w:rsid w:val="00F050BF"/>
    <w:rsid w:val="00F55E62"/>
    <w:rsid w:val="00F816A4"/>
    <w:rsid w:val="00F9543C"/>
    <w:rsid w:val="00FA680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9B3BA"/>
  <w15:chartTrackingRefBased/>
  <w15:docId w15:val="{15DFBD9C-A328-4651-9CE5-4E3FA7D53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531"/>
    <w:rPr>
      <w:kern w:val="0"/>
      <w14:ligatures w14:val="none"/>
    </w:rPr>
  </w:style>
  <w:style w:type="paragraph" w:styleId="Ttulo1">
    <w:name w:val="heading 1"/>
    <w:basedOn w:val="Normal"/>
    <w:next w:val="Normal"/>
    <w:link w:val="Ttulo1Car"/>
    <w:uiPriority w:val="9"/>
    <w:qFormat/>
    <w:rsid w:val="007F05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F05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F053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F053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F053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F053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F053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F053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F053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F053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F053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F053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F053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F053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F053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F053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F053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F0531"/>
    <w:rPr>
      <w:rFonts w:eastAsiaTheme="majorEastAsia" w:cstheme="majorBidi"/>
      <w:color w:val="272727" w:themeColor="text1" w:themeTint="D8"/>
    </w:rPr>
  </w:style>
  <w:style w:type="paragraph" w:styleId="Ttulo">
    <w:name w:val="Title"/>
    <w:basedOn w:val="Normal"/>
    <w:next w:val="Normal"/>
    <w:link w:val="TtuloCar"/>
    <w:uiPriority w:val="10"/>
    <w:qFormat/>
    <w:rsid w:val="007F05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F053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F053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F053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F0531"/>
    <w:pPr>
      <w:spacing w:before="160"/>
      <w:jc w:val="center"/>
    </w:pPr>
    <w:rPr>
      <w:i/>
      <w:iCs/>
      <w:color w:val="404040" w:themeColor="text1" w:themeTint="BF"/>
    </w:rPr>
  </w:style>
  <w:style w:type="character" w:customStyle="1" w:styleId="CitaCar">
    <w:name w:val="Cita Car"/>
    <w:basedOn w:val="Fuentedeprrafopredeter"/>
    <w:link w:val="Cita"/>
    <w:uiPriority w:val="29"/>
    <w:rsid w:val="007F0531"/>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7F0531"/>
    <w:pPr>
      <w:ind w:left="720"/>
      <w:contextualSpacing/>
    </w:pPr>
  </w:style>
  <w:style w:type="character" w:styleId="nfasisintenso">
    <w:name w:val="Intense Emphasis"/>
    <w:basedOn w:val="Fuentedeprrafopredeter"/>
    <w:uiPriority w:val="21"/>
    <w:qFormat/>
    <w:rsid w:val="007F0531"/>
    <w:rPr>
      <w:i/>
      <w:iCs/>
      <w:color w:val="0F4761" w:themeColor="accent1" w:themeShade="BF"/>
    </w:rPr>
  </w:style>
  <w:style w:type="paragraph" w:styleId="Citadestacada">
    <w:name w:val="Intense Quote"/>
    <w:basedOn w:val="Normal"/>
    <w:next w:val="Normal"/>
    <w:link w:val="CitadestacadaCar"/>
    <w:uiPriority w:val="30"/>
    <w:qFormat/>
    <w:rsid w:val="007F05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F0531"/>
    <w:rPr>
      <w:i/>
      <w:iCs/>
      <w:color w:val="0F4761" w:themeColor="accent1" w:themeShade="BF"/>
    </w:rPr>
  </w:style>
  <w:style w:type="character" w:styleId="Referenciaintensa">
    <w:name w:val="Intense Reference"/>
    <w:basedOn w:val="Fuentedeprrafopredeter"/>
    <w:uiPriority w:val="32"/>
    <w:qFormat/>
    <w:rsid w:val="007F0531"/>
    <w:rPr>
      <w:b/>
      <w:bCs/>
      <w:smallCaps/>
      <w:color w:val="0F4761" w:themeColor="accent1" w:themeShade="BF"/>
      <w:spacing w:val="5"/>
    </w:rPr>
  </w:style>
  <w:style w:type="paragraph" w:styleId="Encabezado">
    <w:name w:val="header"/>
    <w:basedOn w:val="Normal"/>
    <w:link w:val="EncabezadoCar"/>
    <w:uiPriority w:val="99"/>
    <w:unhideWhenUsed/>
    <w:rsid w:val="007F053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F0531"/>
    <w:rPr>
      <w:kern w:val="0"/>
      <w14:ligatures w14:val="none"/>
    </w:rPr>
  </w:style>
  <w:style w:type="paragraph" w:styleId="Piedepgina">
    <w:name w:val="footer"/>
    <w:basedOn w:val="Normal"/>
    <w:link w:val="PiedepginaCar"/>
    <w:uiPriority w:val="99"/>
    <w:unhideWhenUsed/>
    <w:rsid w:val="007F053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F0531"/>
    <w:rPr>
      <w:kern w:val="0"/>
      <w14:ligatures w14:val="none"/>
    </w:rPr>
  </w:style>
  <w:style w:type="table" w:styleId="Tablaconcuadrcula">
    <w:name w:val="Table Grid"/>
    <w:basedOn w:val="Tablanormal"/>
    <w:uiPriority w:val="39"/>
    <w:qFormat/>
    <w:rsid w:val="007F053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7F0531"/>
    <w:rPr>
      <w:color w:val="467886" w:themeColor="hyperlink"/>
      <w:u w:val="single"/>
    </w:rPr>
  </w:style>
  <w:style w:type="character" w:customStyle="1" w:styleId="normaltextrun">
    <w:name w:val="normaltextrun"/>
    <w:basedOn w:val="Fuentedeprrafopredeter"/>
    <w:rsid w:val="007F0531"/>
  </w:style>
  <w:style w:type="character" w:customStyle="1" w:styleId="eop">
    <w:name w:val="eop"/>
    <w:basedOn w:val="Fuentedeprrafopredeter"/>
    <w:rsid w:val="007F0531"/>
  </w:style>
  <w:style w:type="paragraph" w:customStyle="1" w:styleId="paragraph">
    <w:name w:val="paragraph"/>
    <w:basedOn w:val="Normal"/>
    <w:rsid w:val="007F0531"/>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F0531"/>
  </w:style>
  <w:style w:type="paragraph" w:styleId="NormalWeb">
    <w:name w:val="Normal (Web)"/>
    <w:basedOn w:val="Normal"/>
    <w:link w:val="NormalWebCar"/>
    <w:uiPriority w:val="99"/>
    <w:unhideWhenUsed/>
    <w:rsid w:val="007F0531"/>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locked/>
    <w:rsid w:val="007F0531"/>
    <w:rPr>
      <w:rFonts w:ascii="Times New Roman" w:eastAsia="Times New Roman" w:hAnsi="Times New Roman" w:cs="Times New Roman"/>
      <w:kern w:val="0"/>
      <w:sz w:val="24"/>
      <w:szCs w:val="24"/>
      <w:lang w:eastAsia="es-CO"/>
      <w14:ligatures w14:val="none"/>
    </w:rPr>
  </w:style>
  <w:style w:type="character" w:styleId="Mencinsinresolver">
    <w:name w:val="Unresolved Mention"/>
    <w:basedOn w:val="Fuentedeprrafopredeter"/>
    <w:uiPriority w:val="99"/>
    <w:semiHidden/>
    <w:unhideWhenUsed/>
    <w:rsid w:val="000F08B7"/>
    <w:rPr>
      <w:color w:val="605E5C"/>
      <w:shd w:val="clear" w:color="auto" w:fill="E1DFDD"/>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0561FF"/>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0561FF"/>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0561FF"/>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0561FF"/>
    <w:rPr>
      <w:vertAlign w:val="superscript"/>
    </w:rPr>
  </w:style>
  <w:style w:type="paragraph" w:customStyle="1" w:styleId="Appelnotedebasde">
    <w:name w:val="Appel note de bas de..."/>
    <w:basedOn w:val="Normal"/>
    <w:link w:val="Refdenotaalpie"/>
    <w:uiPriority w:val="99"/>
    <w:rsid w:val="000561FF"/>
    <w:pPr>
      <w:spacing w:line="240" w:lineRule="exact"/>
    </w:pPr>
    <w:rPr>
      <w:kern w:val="2"/>
      <w:vertAlign w:val="superscript"/>
      <w14:ligatures w14:val="standardContextual"/>
    </w:rPr>
  </w:style>
  <w:style w:type="character" w:customStyle="1" w:styleId="baj">
    <w:name w:val="b_aj"/>
    <w:basedOn w:val="Fuentedeprrafopredeter"/>
    <w:rsid w:val="000561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ridica@corozal-sucre.gov.co" TargetMode="External"/><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eader" Target="header1.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colombiacompra.gov.co" TargetMode="External"/><Relationship Id="rId4" Type="http://schemas.openxmlformats.org/officeDocument/2006/relationships/webSettings" Target="webSettings.xml"/><Relationship Id="rId9" Type="http://schemas.openxmlformats.org/officeDocument/2006/relationships/hyperlink" Target="https://relatoria.colombiacompra.gov.co/busqueda/conceptos"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CBDF20B-EBF9-48D9-964A-FD265C29C7F0}"/>
</file>

<file path=customXml/itemProps2.xml><?xml version="1.0" encoding="utf-8"?>
<ds:datastoreItem xmlns:ds="http://schemas.openxmlformats.org/officeDocument/2006/customXml" ds:itemID="{CE81A84B-3714-4618-8165-3D9A2635A442}"/>
</file>

<file path=customXml/itemProps3.xml><?xml version="1.0" encoding="utf-8"?>
<ds:datastoreItem xmlns:ds="http://schemas.openxmlformats.org/officeDocument/2006/customXml" ds:itemID="{A35261B6-A925-4EDB-909C-3015DD8E13FE}"/>
</file>

<file path=docProps/app.xml><?xml version="1.0" encoding="utf-8"?>
<Properties xmlns="http://schemas.openxmlformats.org/officeDocument/2006/extended-properties" xmlns:vt="http://schemas.openxmlformats.org/officeDocument/2006/docPropsVTypes">
  <Template>Normal</Template>
  <TotalTime>305</TotalTime>
  <Pages>19</Pages>
  <Words>6540</Words>
  <Characters>34142</Characters>
  <Application>Microsoft Office Word</Application>
  <DocSecurity>0</DocSecurity>
  <Lines>644</Lines>
  <Paragraphs>109</Paragraphs>
  <ScaleCrop>false</ScaleCrop>
  <Company/>
  <LinksUpToDate>false</LinksUpToDate>
  <CharactersWithSpaces>40573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Andreina Cerpa Muñoz</cp:lastModifiedBy>
  <cp:revision>75</cp:revision>
  <dcterms:created xsi:type="dcterms:W3CDTF">2026-02-12T16:10:00Z</dcterms:created>
  <dcterms:modified xsi:type="dcterms:W3CDTF">2026-02-20T16:16:00Z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