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FF8C7" w14:textId="77777777" w:rsidR="006219F8" w:rsidRPr="00080DA3" w:rsidRDefault="006219F8" w:rsidP="00EF69F0">
      <w:pPr>
        <w:spacing w:after="0" w:line="240" w:lineRule="auto"/>
        <w:textAlignment w:val="baseline"/>
        <w:rPr>
          <w:rFonts w:ascii="Geomanist Light" w:eastAsia="Times New Roman" w:hAnsi="Geomanist Light" w:cs="Arial"/>
          <w:lang w:eastAsia="es-CO"/>
        </w:rPr>
      </w:pPr>
    </w:p>
    <w:p w14:paraId="0886AF9C" w14:textId="77777777" w:rsidR="00EF69F0" w:rsidRPr="00EF69F0" w:rsidRDefault="00EF69F0" w:rsidP="00EF69F0">
      <w:pPr>
        <w:spacing w:after="0" w:line="240" w:lineRule="auto"/>
        <w:jc w:val="both"/>
        <w:rPr>
          <w:rFonts w:ascii="Arial" w:eastAsia="Times New Roman" w:hAnsi="Arial" w:cs="Arial"/>
          <w:b/>
          <w:lang w:val="es-ES_tradnl" w:eastAsia="es-ES"/>
        </w:rPr>
      </w:pPr>
      <w:bookmarkStart w:id="0" w:name="_Hlk103947551"/>
      <w:r w:rsidRPr="00EF69F0">
        <w:rPr>
          <w:rFonts w:ascii="Arial" w:eastAsia="Times New Roman" w:hAnsi="Arial" w:cs="Arial"/>
          <w:b/>
          <w:lang w:val="es-ES_tradnl" w:eastAsia="es-ES"/>
        </w:rPr>
        <w:t>LIQUIDACIÓN DEL CONTRATO – Definición – Objetivo – Normativa – Oportunidad</w:t>
      </w:r>
    </w:p>
    <w:p w14:paraId="320B9B16" w14:textId="77777777" w:rsidR="00EF69F0" w:rsidRPr="00EF69F0" w:rsidRDefault="00EF69F0" w:rsidP="00EF69F0">
      <w:pPr>
        <w:spacing w:after="0" w:line="240" w:lineRule="auto"/>
        <w:jc w:val="both"/>
        <w:rPr>
          <w:rFonts w:ascii="Arial" w:eastAsia="Times New Roman" w:hAnsi="Arial" w:cs="Arial"/>
          <w:b/>
          <w:sz w:val="20"/>
          <w:szCs w:val="20"/>
          <w:lang w:val="es-ES_tradnl" w:eastAsia="es-ES"/>
        </w:rPr>
      </w:pPr>
    </w:p>
    <w:p w14:paraId="0249634D" w14:textId="0784B0D5" w:rsidR="00EF69F0" w:rsidRPr="00EF69F0" w:rsidRDefault="004A44A3" w:rsidP="00EF69F0">
      <w:pPr>
        <w:spacing w:after="0" w:line="240" w:lineRule="auto"/>
        <w:jc w:val="both"/>
        <w:rPr>
          <w:rFonts w:ascii="Arial" w:eastAsia="Times New Roman" w:hAnsi="Arial" w:cs="Arial"/>
          <w:sz w:val="20"/>
          <w:szCs w:val="20"/>
          <w:lang w:val="es-ES_tradnl" w:eastAsia="es-ES"/>
        </w:rPr>
      </w:pPr>
      <w:r w:rsidRPr="004A44A3">
        <w:rPr>
          <w:rFonts w:ascii="Arial" w:eastAsia="Times New Roman" w:hAnsi="Arial" w:cs="Arial"/>
          <w:sz w:val="20"/>
          <w:szCs w:val="20"/>
          <w:lang w:val="es-ES_tradnl" w:eastAsia="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w:t>
      </w:r>
      <w:r w:rsidR="00EF69F0" w:rsidRPr="00EF69F0">
        <w:rPr>
          <w:rFonts w:ascii="Arial" w:eastAsia="Times New Roman" w:hAnsi="Arial" w:cs="Arial"/>
          <w:sz w:val="20"/>
          <w:szCs w:val="20"/>
          <w:lang w:val="es-ES_tradnl" w:eastAsia="es-ES"/>
        </w:rPr>
        <w:t>.</w:t>
      </w:r>
      <w:r>
        <w:rPr>
          <w:rFonts w:ascii="Arial" w:eastAsia="Times New Roman" w:hAnsi="Arial" w:cs="Arial"/>
          <w:sz w:val="20"/>
          <w:szCs w:val="20"/>
          <w:lang w:val="es-ES_tradnl" w:eastAsia="es-ES"/>
        </w:rPr>
        <w:t xml:space="preserve"> </w:t>
      </w:r>
      <w:r w:rsidR="00EF69F0" w:rsidRPr="00EF69F0">
        <w:rPr>
          <w:rFonts w:ascii="Arial" w:eastAsia="Times New Roman" w:hAnsi="Arial" w:cs="Arial"/>
          <w:sz w:val="20"/>
          <w:szCs w:val="20"/>
          <w:lang w:val="es-ES_tradnl" w:eastAsia="es-ES"/>
        </w:rPr>
        <w:t>[…]</w:t>
      </w:r>
    </w:p>
    <w:p w14:paraId="54733F50" w14:textId="77777777" w:rsidR="00EF69F0" w:rsidRPr="00EF69F0" w:rsidRDefault="00EF69F0" w:rsidP="00EF69F0">
      <w:pPr>
        <w:spacing w:after="0" w:line="240" w:lineRule="auto"/>
        <w:jc w:val="both"/>
        <w:rPr>
          <w:rFonts w:ascii="Arial" w:eastAsia="Times New Roman" w:hAnsi="Arial" w:cs="Arial"/>
          <w:sz w:val="20"/>
          <w:szCs w:val="20"/>
          <w:lang w:val="es-ES_tradnl" w:eastAsia="es-ES"/>
        </w:rPr>
      </w:pPr>
      <w:r w:rsidRPr="00EF69F0">
        <w:rPr>
          <w:rFonts w:ascii="Arial" w:eastAsia="Times New Roman" w:hAnsi="Arial" w:cs="Arial"/>
          <w:sz w:val="20"/>
          <w:szCs w:val="20"/>
          <w:lang w:val="es-ES_tradnl" w:eastAsia="es-ES"/>
        </w:rPr>
        <w:t>[…]</w:t>
      </w:r>
    </w:p>
    <w:p w14:paraId="6450BEB3" w14:textId="367FFBB9" w:rsidR="00EF69F0" w:rsidRPr="00EF69F0" w:rsidRDefault="004A44A3" w:rsidP="00EF69F0">
      <w:pPr>
        <w:spacing w:after="0" w:line="240" w:lineRule="auto"/>
        <w:jc w:val="both"/>
        <w:rPr>
          <w:rFonts w:ascii="Arial" w:eastAsia="Times New Roman" w:hAnsi="Arial" w:cs="Arial"/>
          <w:sz w:val="20"/>
          <w:szCs w:val="20"/>
          <w:lang w:val="es-ES_tradnl" w:eastAsia="es-ES"/>
        </w:rPr>
      </w:pPr>
      <w:r w:rsidRPr="004A44A3">
        <w:rPr>
          <w:rFonts w:ascii="Arial" w:eastAsia="Times New Roman" w:hAnsi="Arial" w:cs="Arial"/>
          <w:sz w:val="20"/>
          <w:szCs w:val="20"/>
          <w:lang w:val="es-ES_tradnl" w:eastAsia="es-ES"/>
        </w:rPr>
        <w:t xml:space="preserve">En suma, de acuerdo con el artículo 11 de la Ley 1150 de 2007, existen tres tipos de liquidación: i) bilateral, </w:t>
      </w:r>
      <w:proofErr w:type="spellStart"/>
      <w:r w:rsidRPr="004A44A3">
        <w:rPr>
          <w:rFonts w:ascii="Arial" w:eastAsia="Times New Roman" w:hAnsi="Arial" w:cs="Arial"/>
          <w:sz w:val="20"/>
          <w:szCs w:val="20"/>
          <w:lang w:val="es-ES_tradnl" w:eastAsia="es-ES"/>
        </w:rPr>
        <w:t>ii</w:t>
      </w:r>
      <w:proofErr w:type="spellEnd"/>
      <w:r w:rsidRPr="004A44A3">
        <w:rPr>
          <w:rFonts w:ascii="Arial" w:eastAsia="Times New Roman" w:hAnsi="Arial" w:cs="Arial"/>
          <w:sz w:val="20"/>
          <w:szCs w:val="20"/>
          <w:lang w:val="es-ES_tradnl" w:eastAsia="es-ES"/>
        </w:rPr>
        <w:t xml:space="preserve">) unilateral y </w:t>
      </w:r>
      <w:proofErr w:type="spellStart"/>
      <w:r w:rsidRPr="004A44A3">
        <w:rPr>
          <w:rFonts w:ascii="Arial" w:eastAsia="Times New Roman" w:hAnsi="Arial" w:cs="Arial"/>
          <w:sz w:val="20"/>
          <w:szCs w:val="20"/>
          <w:lang w:val="es-ES_tradnl" w:eastAsia="es-ES"/>
        </w:rPr>
        <w:t>iii</w:t>
      </w:r>
      <w:proofErr w:type="spellEnd"/>
      <w:r w:rsidRPr="004A44A3">
        <w:rPr>
          <w:rFonts w:ascii="Arial" w:eastAsia="Times New Roman" w:hAnsi="Arial" w:cs="Arial"/>
          <w:sz w:val="20"/>
          <w:szCs w:val="20"/>
          <w:lang w:val="es-ES_tradnl" w:eastAsia="es-ES"/>
        </w:rPr>
        <w:t>)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08B0B352" w14:textId="77777777" w:rsidR="00EF69F0" w:rsidRPr="00EF69F0" w:rsidRDefault="00EF69F0" w:rsidP="00EF69F0">
      <w:pPr>
        <w:spacing w:after="0" w:line="240" w:lineRule="auto"/>
        <w:jc w:val="both"/>
        <w:rPr>
          <w:rFonts w:ascii="Arial" w:eastAsia="Times New Roman" w:hAnsi="Arial" w:cs="Arial"/>
          <w:b/>
          <w:sz w:val="20"/>
          <w:szCs w:val="20"/>
          <w:lang w:val="es-ES_tradnl" w:eastAsia="es-ES"/>
        </w:rPr>
      </w:pPr>
    </w:p>
    <w:p w14:paraId="7DDBFF8A" w14:textId="77777777" w:rsidR="00EF69F0" w:rsidRPr="00EF69F0" w:rsidRDefault="00EF69F0" w:rsidP="00EF69F0">
      <w:pPr>
        <w:spacing w:after="0" w:line="240" w:lineRule="auto"/>
        <w:jc w:val="both"/>
        <w:rPr>
          <w:rFonts w:ascii="Arial" w:eastAsia="Times New Roman" w:hAnsi="Arial" w:cs="Arial"/>
          <w:b/>
          <w:lang w:val="es-ES_tradnl" w:eastAsia="es-ES"/>
        </w:rPr>
      </w:pPr>
      <w:r w:rsidRPr="00EF69F0">
        <w:rPr>
          <w:rFonts w:ascii="Arial" w:eastAsia="Times New Roman" w:hAnsi="Arial" w:cs="Arial"/>
          <w:b/>
          <w:lang w:val="es-ES_tradnl" w:eastAsia="es-ES"/>
        </w:rPr>
        <w:t>GARANTÍA DE CUMPLIMIENTO – Garantía única de cumplimiento – Amparos</w:t>
      </w:r>
    </w:p>
    <w:p w14:paraId="7BE75E85" w14:textId="77777777" w:rsidR="00EF69F0" w:rsidRPr="00EF69F0" w:rsidRDefault="00EF69F0" w:rsidP="00EF69F0">
      <w:pPr>
        <w:spacing w:after="0" w:line="240" w:lineRule="auto"/>
        <w:jc w:val="both"/>
        <w:rPr>
          <w:rFonts w:ascii="Arial" w:eastAsia="Times New Roman" w:hAnsi="Arial" w:cs="Arial"/>
          <w:sz w:val="20"/>
          <w:szCs w:val="20"/>
          <w:lang w:val="es-ES_tradnl" w:eastAsia="es-ES"/>
        </w:rPr>
      </w:pPr>
    </w:p>
    <w:p w14:paraId="047643E5" w14:textId="1AF4C0D5" w:rsidR="004A44A3" w:rsidRDefault="004A44A3" w:rsidP="004A44A3">
      <w:pPr>
        <w:spacing w:after="0" w:line="240" w:lineRule="auto"/>
        <w:jc w:val="both"/>
        <w:rPr>
          <w:rFonts w:ascii="Arial" w:eastAsia="Times New Roman" w:hAnsi="Arial" w:cs="Arial"/>
          <w:sz w:val="20"/>
          <w:szCs w:val="20"/>
          <w:lang w:val="es-ES_tradnl" w:eastAsia="es-ES"/>
        </w:rPr>
      </w:pPr>
      <w:r w:rsidRPr="004A44A3">
        <w:rPr>
          <w:rFonts w:ascii="Arial" w:eastAsia="Times New Roman" w:hAnsi="Arial" w:cs="Arial"/>
          <w:sz w:val="20"/>
          <w:szCs w:val="20"/>
          <w:lang w:val="es-ES_tradnl" w:eastAsia="es-ES"/>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3A9677F5" w14:textId="77777777" w:rsidR="004A44A3" w:rsidRPr="004A44A3" w:rsidRDefault="004A44A3" w:rsidP="004A44A3">
      <w:pPr>
        <w:spacing w:after="0" w:line="240" w:lineRule="auto"/>
        <w:jc w:val="both"/>
        <w:rPr>
          <w:rFonts w:ascii="Arial" w:eastAsia="Times New Roman" w:hAnsi="Arial" w:cs="Arial"/>
          <w:sz w:val="20"/>
          <w:szCs w:val="20"/>
          <w:lang w:val="es-ES_tradnl" w:eastAsia="es-ES"/>
        </w:rPr>
      </w:pPr>
    </w:p>
    <w:p w14:paraId="481759A5" w14:textId="7D7242A3" w:rsidR="004A44A3" w:rsidRDefault="004A44A3" w:rsidP="004A44A3">
      <w:pPr>
        <w:spacing w:after="0" w:line="240" w:lineRule="auto"/>
        <w:jc w:val="both"/>
        <w:rPr>
          <w:rFonts w:ascii="Arial" w:eastAsia="Times New Roman" w:hAnsi="Arial" w:cs="Arial"/>
          <w:sz w:val="20"/>
          <w:szCs w:val="20"/>
          <w:lang w:val="es-ES_tradnl" w:eastAsia="es-ES"/>
        </w:rPr>
      </w:pPr>
      <w:r w:rsidRPr="004A44A3">
        <w:rPr>
          <w:rFonts w:ascii="Arial" w:eastAsia="Times New Roman" w:hAnsi="Arial" w:cs="Arial"/>
          <w:sz w:val="20"/>
          <w:szCs w:val="20"/>
          <w:lang w:val="es-ES_tradnl" w:eastAsia="es-ES"/>
        </w:rPr>
        <w:t>En efecto, según el 2.2.1.2.3.1.7. del Decreto 1082 de 2015,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p>
    <w:p w14:paraId="2373579C" w14:textId="77777777" w:rsidR="004A44A3" w:rsidRPr="004A44A3" w:rsidRDefault="004A44A3" w:rsidP="004A44A3">
      <w:pPr>
        <w:spacing w:after="0" w:line="240" w:lineRule="auto"/>
        <w:jc w:val="both"/>
        <w:rPr>
          <w:rFonts w:ascii="Arial" w:eastAsia="Times New Roman" w:hAnsi="Arial" w:cs="Arial"/>
          <w:sz w:val="20"/>
          <w:szCs w:val="20"/>
          <w:lang w:val="es-ES_tradnl" w:eastAsia="es-ES"/>
        </w:rPr>
      </w:pPr>
    </w:p>
    <w:p w14:paraId="4F32FA9E" w14:textId="42D6E449" w:rsidR="00EF69F0" w:rsidRPr="00EF69F0" w:rsidRDefault="004A44A3" w:rsidP="004A44A3">
      <w:pPr>
        <w:spacing w:after="0" w:line="240" w:lineRule="auto"/>
        <w:jc w:val="both"/>
        <w:rPr>
          <w:rFonts w:ascii="Arial" w:eastAsia="Times New Roman" w:hAnsi="Arial" w:cs="Arial"/>
          <w:bCs/>
          <w:sz w:val="20"/>
          <w:szCs w:val="20"/>
          <w:lang w:val="es-ES_tradnl" w:eastAsia="es-ES"/>
        </w:rPr>
      </w:pPr>
      <w:r w:rsidRPr="004A44A3">
        <w:rPr>
          <w:rFonts w:ascii="Arial" w:eastAsia="Times New Roman" w:hAnsi="Arial" w:cs="Arial"/>
          <w:sz w:val="20"/>
          <w:szCs w:val="20"/>
          <w:lang w:val="es-ES_tradnl" w:eastAsia="es-ES"/>
        </w:rPr>
        <w:t xml:space="preserve">Por tanto, el amparo de cumplimiento es uno de los múltiples amparos que conforman la garantía única de cumplimiento. Al tenor de lo preceptuado en el artículo 2.2.1.2.3.1.7. </w:t>
      </w:r>
      <w:proofErr w:type="spellStart"/>
      <w:r w:rsidRPr="004A44A3">
        <w:rPr>
          <w:rFonts w:ascii="Arial" w:eastAsia="Times New Roman" w:hAnsi="Arial" w:cs="Arial"/>
          <w:sz w:val="20"/>
          <w:szCs w:val="20"/>
          <w:lang w:val="es-ES_tradnl" w:eastAsia="es-ES"/>
        </w:rPr>
        <w:t>ibídem</w:t>
      </w:r>
      <w:proofErr w:type="spellEnd"/>
      <w:r w:rsidRPr="004A44A3">
        <w:rPr>
          <w:rFonts w:ascii="Arial" w:eastAsia="Times New Roman" w:hAnsi="Arial" w:cs="Arial"/>
          <w:sz w:val="20"/>
          <w:szCs w:val="20"/>
          <w:lang w:val="es-ES_tradnl" w:eastAsia="es-ES"/>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w:t>
      </w:r>
    </w:p>
    <w:p w14:paraId="71C55F4E" w14:textId="77777777" w:rsidR="00EF69F0" w:rsidRPr="00EF69F0" w:rsidRDefault="00EF69F0" w:rsidP="00EF69F0">
      <w:pPr>
        <w:tabs>
          <w:tab w:val="left" w:pos="426"/>
        </w:tabs>
        <w:spacing w:after="0" w:line="276" w:lineRule="auto"/>
        <w:jc w:val="both"/>
        <w:rPr>
          <w:rFonts w:ascii="Arial" w:eastAsia="Times New Roman" w:hAnsi="Arial" w:cs="Arial"/>
          <w:bCs/>
          <w:color w:val="000000"/>
          <w:sz w:val="21"/>
          <w:szCs w:val="21"/>
          <w:lang w:val="es-ES_tradnl" w:eastAsia="es-ES_tradnl"/>
        </w:rPr>
      </w:pPr>
    </w:p>
    <w:p w14:paraId="3BE6205B" w14:textId="77777777" w:rsidR="00EF69F0" w:rsidRPr="00EF69F0" w:rsidRDefault="00EF69F0" w:rsidP="00EF69F0">
      <w:pPr>
        <w:tabs>
          <w:tab w:val="left" w:pos="426"/>
        </w:tabs>
        <w:spacing w:after="0" w:line="276" w:lineRule="auto"/>
        <w:jc w:val="both"/>
        <w:rPr>
          <w:rFonts w:ascii="Arial" w:eastAsia="Times New Roman" w:hAnsi="Arial" w:cs="Arial"/>
          <w:b/>
          <w:color w:val="000000"/>
          <w:lang w:val="es-ES_tradnl" w:eastAsia="es-ES_tradnl"/>
        </w:rPr>
      </w:pPr>
      <w:r w:rsidRPr="00EF69F0">
        <w:rPr>
          <w:rFonts w:ascii="Arial" w:eastAsia="Times New Roman" w:hAnsi="Arial" w:cs="Arial"/>
          <w:b/>
          <w:color w:val="000000"/>
          <w:lang w:val="es-ES_tradnl" w:eastAsia="es-ES_tradnl"/>
        </w:rPr>
        <w:t xml:space="preserve">GARANTÍA DE CUMPLIMIENTO – Garantías – Vigencia – Liquidación </w:t>
      </w:r>
    </w:p>
    <w:p w14:paraId="067427FE"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3732906A" w14:textId="73711E69" w:rsidR="00D75B8D" w:rsidRDefault="00D75B8D" w:rsidP="00D75B8D">
      <w:pPr>
        <w:spacing w:after="0" w:line="240" w:lineRule="auto"/>
        <w:jc w:val="both"/>
        <w:rPr>
          <w:rFonts w:ascii="Arial" w:eastAsia="Times New Roman" w:hAnsi="Arial" w:cs="Arial"/>
          <w:noProof/>
          <w:color w:val="000000"/>
          <w:sz w:val="20"/>
          <w:szCs w:val="20"/>
          <w:lang w:eastAsia="es-ES_tradnl"/>
        </w:rPr>
      </w:pPr>
      <w:r w:rsidRPr="00D75B8D">
        <w:rPr>
          <w:rFonts w:ascii="Arial" w:eastAsia="Times New Roman" w:hAnsi="Arial" w:cs="Arial"/>
          <w:noProof/>
          <w:color w:val="000000"/>
          <w:sz w:val="20"/>
          <w:szCs w:val="20"/>
          <w:lang w:eastAsia="es-ES_tradnl"/>
        </w:rPr>
        <w:t xml:space="preserve">De otra parte, en relación con la vigencia de las garantías, el artículo 2.2.1.2.3.1.12. del citado Decreto señala expresamente que «[l]a garantía de cumplimiento del contrato debe tener una vigencia mínima hasta la liquidación del contrato». </w:t>
      </w:r>
    </w:p>
    <w:p w14:paraId="55A89383" w14:textId="77777777" w:rsidR="00D75B8D" w:rsidRPr="00D75B8D" w:rsidRDefault="00D75B8D" w:rsidP="00D75B8D">
      <w:pPr>
        <w:spacing w:after="0" w:line="240" w:lineRule="auto"/>
        <w:jc w:val="both"/>
        <w:rPr>
          <w:rFonts w:ascii="Arial" w:eastAsia="Times New Roman" w:hAnsi="Arial" w:cs="Arial"/>
          <w:noProof/>
          <w:color w:val="000000"/>
          <w:sz w:val="20"/>
          <w:szCs w:val="20"/>
          <w:lang w:eastAsia="es-ES_tradnl"/>
        </w:rPr>
      </w:pPr>
    </w:p>
    <w:p w14:paraId="2EB5DA1A" w14:textId="29DB1377" w:rsidR="00EF69F0" w:rsidRPr="00EF69F0" w:rsidRDefault="00D75B8D" w:rsidP="00D75B8D">
      <w:pPr>
        <w:spacing w:after="0" w:line="240" w:lineRule="auto"/>
        <w:jc w:val="both"/>
        <w:rPr>
          <w:rFonts w:ascii="Arial" w:eastAsia="Times New Roman" w:hAnsi="Arial" w:cs="Arial"/>
          <w:noProof/>
          <w:color w:val="000000"/>
          <w:sz w:val="20"/>
          <w:szCs w:val="20"/>
          <w:lang w:eastAsia="es-ES_tradnl"/>
        </w:rPr>
      </w:pPr>
      <w:r w:rsidRPr="00D75B8D">
        <w:rPr>
          <w:rFonts w:ascii="Arial" w:eastAsia="Times New Roman" w:hAnsi="Arial" w:cs="Arial"/>
          <w:noProof/>
          <w:color w:val="000000"/>
          <w:sz w:val="20"/>
          <w:szCs w:val="20"/>
          <w:lang w:eastAsia="es-ES_tradnl"/>
        </w:rPr>
        <w:t xml:space="preserve">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w:t>
      </w:r>
      <w:r w:rsidRPr="00D75B8D">
        <w:rPr>
          <w:rFonts w:ascii="Arial" w:eastAsia="Times New Roman" w:hAnsi="Arial" w:cs="Arial"/>
          <w:noProof/>
          <w:color w:val="000000"/>
          <w:sz w:val="20"/>
          <w:szCs w:val="20"/>
          <w:lang w:eastAsia="es-ES_tradnl"/>
        </w:rPr>
        <w:lastRenderedPageBreak/>
        <w:t>los demás amparos que conforman la garantía única de cumplimiento. Así, por ejemplo, el artículo 2.2.1.2.3.1.13 Ibídem prescribe que la garantía de pago de salarios y prestaciones sociales debe estar vigente por el plazo del contrato y 3 años adicionales y, a su vez, el artículo 2.2.1.2.3.1.14 establece un término no inferior a 5 años para la garantía de estabilidad de la obra.</w:t>
      </w:r>
    </w:p>
    <w:p w14:paraId="117CF316" w14:textId="77777777" w:rsidR="00EF69F0" w:rsidRPr="00EF69F0" w:rsidRDefault="00EF69F0" w:rsidP="00EF69F0">
      <w:pPr>
        <w:spacing w:after="0" w:line="240" w:lineRule="auto"/>
        <w:jc w:val="both"/>
        <w:rPr>
          <w:rFonts w:ascii="Arial" w:eastAsia="Times New Roman" w:hAnsi="Arial" w:cs="Arial"/>
          <w:noProof/>
          <w:color w:val="000000"/>
          <w:sz w:val="20"/>
          <w:szCs w:val="20"/>
          <w:lang w:eastAsia="es-ES_tradnl"/>
        </w:rPr>
      </w:pPr>
      <w:r w:rsidRPr="00EF69F0">
        <w:rPr>
          <w:rFonts w:ascii="Arial" w:eastAsia="Times New Roman" w:hAnsi="Arial" w:cs="Arial"/>
          <w:noProof/>
          <w:color w:val="000000"/>
          <w:sz w:val="20"/>
          <w:szCs w:val="20"/>
          <w:lang w:eastAsia="es-ES_tradnl"/>
        </w:rPr>
        <w:t>[…]</w:t>
      </w:r>
    </w:p>
    <w:p w14:paraId="01864C17" w14:textId="64E69BCB" w:rsidR="00EF69F0" w:rsidRPr="00EF69F0" w:rsidRDefault="00D75B8D" w:rsidP="00EF69F0">
      <w:pPr>
        <w:spacing w:after="0" w:line="240" w:lineRule="auto"/>
        <w:jc w:val="both"/>
        <w:rPr>
          <w:rFonts w:ascii="Arial" w:eastAsia="Times New Roman" w:hAnsi="Arial" w:cs="Arial"/>
          <w:noProof/>
          <w:color w:val="000000"/>
          <w:sz w:val="20"/>
          <w:szCs w:val="20"/>
          <w:lang w:eastAsia="es-ES_tradnl"/>
        </w:rPr>
      </w:pPr>
      <w:r w:rsidRPr="00D75B8D">
        <w:rPr>
          <w:rFonts w:ascii="Arial" w:eastAsia="Times New Roman" w:hAnsi="Arial" w:cs="Arial"/>
          <w:noProof/>
          <w:color w:val="000000"/>
          <w:sz w:val="20"/>
          <w:szCs w:val="20"/>
          <w:lang w:eastAsia="es-ES_tradnl"/>
        </w:rPr>
        <w:t>Bajo estas consideraciones, de acuerdo con el artículo 2.2.1.2.3.1.12. del Decreto 1082 de 2015, existe la obligación por parte del contratista de mantener la vigencia de la garantía de cumplimiento, en cuanto al amparo de cumplimiento del contrato, hasta la liquidación del contrato. En este sentido, la vigencia del amparo de cumplimiento del contrato es la determinada en el artículo 2.2.1.2.3.1.12. del Decreto 1082 de 2015, esto es, hasta el momento en que se realice la liquidación del contrato, para lo cual se deberá tener en cuenta lo dispuesto por el artículo 11 de la Ley 1150 de 2007, según el cual la liquidación de los contratos se hará de mutuo acuerdo dentro del término fijado en los pliegos de condiciones o sus equivalentes o dentro del que acuerden las partes para el efecto o en su ausencia, el término supletivo establecido para la liquidación bilateral de 4 meses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1821D192" w14:textId="77777777" w:rsidR="00EF69F0" w:rsidRPr="00EF69F0" w:rsidRDefault="00EF69F0" w:rsidP="00EF69F0">
      <w:pPr>
        <w:spacing w:after="0" w:line="240" w:lineRule="auto"/>
        <w:jc w:val="both"/>
        <w:rPr>
          <w:rFonts w:ascii="Arial" w:eastAsia="Times New Roman" w:hAnsi="Arial" w:cs="Arial"/>
          <w:noProof/>
          <w:color w:val="000000"/>
          <w:sz w:val="20"/>
          <w:szCs w:val="20"/>
          <w:lang w:eastAsia="es-ES_tradnl"/>
        </w:rPr>
      </w:pPr>
    </w:p>
    <w:p w14:paraId="64717EE4" w14:textId="00FCD5D0" w:rsidR="00EF69F0" w:rsidRDefault="00EF69F0" w:rsidP="00EF69F0">
      <w:pPr>
        <w:spacing w:after="0" w:line="276" w:lineRule="auto"/>
        <w:jc w:val="both"/>
        <w:rPr>
          <w:rFonts w:ascii="Arial" w:eastAsia="Times New Roman" w:hAnsi="Arial" w:cs="Arial"/>
          <w:noProof/>
          <w:color w:val="000000"/>
          <w:sz w:val="20"/>
          <w:szCs w:val="20"/>
          <w:lang w:eastAsia="es-ES_tradnl"/>
        </w:rPr>
      </w:pPr>
    </w:p>
    <w:p w14:paraId="7EA33CAA" w14:textId="05C2AD81" w:rsidR="00ED62A4" w:rsidRPr="00ED62A4" w:rsidRDefault="00066755" w:rsidP="00EF69F0">
      <w:pPr>
        <w:spacing w:after="0" w:line="276" w:lineRule="auto"/>
        <w:jc w:val="both"/>
        <w:rPr>
          <w:rFonts w:ascii="Arial" w:eastAsia="Times New Roman" w:hAnsi="Arial" w:cs="Arial"/>
          <w:b/>
          <w:bCs/>
          <w:noProof/>
          <w:color w:val="000000"/>
          <w:sz w:val="20"/>
          <w:szCs w:val="20"/>
          <w:lang w:eastAsia="es-ES_tradnl"/>
        </w:rPr>
      </w:pPr>
      <w:r>
        <w:rPr>
          <w:rFonts w:ascii="Arial" w:eastAsia="Times New Roman" w:hAnsi="Arial" w:cs="Arial"/>
          <w:b/>
          <w:bCs/>
          <w:noProof/>
          <w:color w:val="000000"/>
          <w:sz w:val="20"/>
          <w:szCs w:val="20"/>
          <w:lang w:eastAsia="es-ES_tradnl"/>
        </w:rPr>
        <w:t>GARANTÍA DE CUMPLIMIENTO</w:t>
      </w:r>
      <w:r w:rsidR="00ED62A4">
        <w:rPr>
          <w:rFonts w:ascii="Arial" w:eastAsia="Times New Roman" w:hAnsi="Arial" w:cs="Arial"/>
          <w:b/>
          <w:bCs/>
          <w:noProof/>
          <w:color w:val="000000"/>
          <w:sz w:val="20"/>
          <w:szCs w:val="20"/>
          <w:lang w:eastAsia="es-ES_tradnl"/>
        </w:rPr>
        <w:t xml:space="preserve"> – </w:t>
      </w:r>
      <w:r>
        <w:rPr>
          <w:rFonts w:ascii="Arial" w:eastAsia="Times New Roman" w:hAnsi="Arial" w:cs="Arial"/>
          <w:b/>
          <w:bCs/>
          <w:noProof/>
          <w:color w:val="000000"/>
          <w:sz w:val="20"/>
          <w:szCs w:val="20"/>
          <w:lang w:eastAsia="es-ES_tradnl"/>
        </w:rPr>
        <w:t>Liquidación mutuo acuerdo</w:t>
      </w:r>
      <w:r w:rsidR="00ED62A4">
        <w:rPr>
          <w:rFonts w:ascii="Arial" w:eastAsia="Times New Roman" w:hAnsi="Arial" w:cs="Arial"/>
          <w:b/>
          <w:bCs/>
          <w:noProof/>
          <w:color w:val="000000"/>
          <w:sz w:val="20"/>
          <w:szCs w:val="20"/>
          <w:lang w:eastAsia="es-ES_tradnl"/>
        </w:rPr>
        <w:t xml:space="preserve"> </w:t>
      </w:r>
      <w:r w:rsidR="00284BC1">
        <w:rPr>
          <w:rFonts w:ascii="Arial" w:eastAsia="Times New Roman" w:hAnsi="Arial" w:cs="Arial"/>
          <w:b/>
          <w:bCs/>
          <w:noProof/>
          <w:color w:val="000000"/>
          <w:sz w:val="20"/>
          <w:szCs w:val="20"/>
          <w:lang w:eastAsia="es-ES_tradnl"/>
        </w:rPr>
        <w:t>–</w:t>
      </w:r>
      <w:r w:rsidR="00ED62A4">
        <w:rPr>
          <w:rFonts w:ascii="Arial" w:eastAsia="Times New Roman" w:hAnsi="Arial" w:cs="Arial"/>
          <w:b/>
          <w:bCs/>
          <w:noProof/>
          <w:color w:val="000000"/>
          <w:sz w:val="20"/>
          <w:szCs w:val="20"/>
          <w:lang w:eastAsia="es-ES_tradnl"/>
        </w:rPr>
        <w:t xml:space="preserve"> </w:t>
      </w:r>
      <w:r w:rsidR="00284BC1">
        <w:rPr>
          <w:rFonts w:ascii="Arial" w:eastAsia="Times New Roman" w:hAnsi="Arial" w:cs="Arial"/>
          <w:b/>
          <w:bCs/>
          <w:noProof/>
          <w:color w:val="000000"/>
          <w:sz w:val="20"/>
          <w:szCs w:val="20"/>
          <w:lang w:eastAsia="es-ES_tradnl"/>
        </w:rPr>
        <w:t xml:space="preserve">Vigencia </w:t>
      </w:r>
      <w:r>
        <w:rPr>
          <w:rFonts w:ascii="Arial" w:eastAsia="Times New Roman" w:hAnsi="Arial" w:cs="Arial"/>
          <w:b/>
          <w:bCs/>
          <w:noProof/>
          <w:color w:val="000000"/>
          <w:sz w:val="20"/>
          <w:szCs w:val="20"/>
          <w:lang w:eastAsia="es-ES_tradnl"/>
        </w:rPr>
        <w:t>–</w:t>
      </w:r>
      <w:r w:rsidR="00284BC1">
        <w:rPr>
          <w:rFonts w:ascii="Arial" w:eastAsia="Times New Roman" w:hAnsi="Arial" w:cs="Arial"/>
          <w:b/>
          <w:bCs/>
          <w:noProof/>
          <w:color w:val="000000"/>
          <w:sz w:val="20"/>
          <w:szCs w:val="20"/>
          <w:lang w:eastAsia="es-ES_tradnl"/>
        </w:rPr>
        <w:t xml:space="preserve"> </w:t>
      </w:r>
      <w:r>
        <w:rPr>
          <w:rFonts w:ascii="Arial" w:eastAsia="Times New Roman" w:hAnsi="Arial" w:cs="Arial"/>
          <w:b/>
          <w:bCs/>
          <w:noProof/>
          <w:color w:val="000000"/>
          <w:sz w:val="20"/>
          <w:szCs w:val="20"/>
          <w:lang w:eastAsia="es-ES_tradnl"/>
        </w:rPr>
        <w:t xml:space="preserve">Plazo – Liquidación efectiva del contrato </w:t>
      </w:r>
    </w:p>
    <w:p w14:paraId="76A23202" w14:textId="77777777" w:rsidR="006C3559" w:rsidRDefault="006C3559" w:rsidP="006C3559">
      <w:pPr>
        <w:widowControl w:val="0"/>
        <w:autoSpaceDE w:val="0"/>
        <w:autoSpaceDN w:val="0"/>
        <w:spacing w:after="0" w:line="240" w:lineRule="auto"/>
        <w:jc w:val="both"/>
        <w:rPr>
          <w:rFonts w:ascii="Arial" w:eastAsia="Times New Roman" w:hAnsi="Arial" w:cs="Arial"/>
          <w:bCs/>
          <w:color w:val="000000"/>
          <w:sz w:val="21"/>
          <w:szCs w:val="21"/>
          <w:lang w:eastAsia="es-ES_tradnl"/>
        </w:rPr>
      </w:pPr>
    </w:p>
    <w:p w14:paraId="49325B22" w14:textId="2527A92A" w:rsidR="00640E4E" w:rsidRPr="00284BC1" w:rsidRDefault="00284BC1" w:rsidP="00066755">
      <w:pPr>
        <w:widowControl w:val="0"/>
        <w:autoSpaceDE w:val="0"/>
        <w:autoSpaceDN w:val="0"/>
        <w:spacing w:after="0" w:line="240" w:lineRule="auto"/>
        <w:jc w:val="both"/>
        <w:rPr>
          <w:rFonts w:ascii="Arial" w:eastAsia="Times New Roman" w:hAnsi="Arial" w:cs="Arial"/>
          <w:bCs/>
          <w:color w:val="000000"/>
          <w:sz w:val="21"/>
          <w:szCs w:val="21"/>
          <w:lang w:val="es-ES_tradnl" w:eastAsia="es-ES_tradnl"/>
        </w:rPr>
      </w:pPr>
      <w:r>
        <w:rPr>
          <w:rFonts w:ascii="Arial" w:eastAsia="Times New Roman" w:hAnsi="Arial" w:cs="Arial"/>
          <w:bCs/>
          <w:color w:val="000000"/>
          <w:sz w:val="21"/>
          <w:szCs w:val="21"/>
          <w:lang w:val="es-ES_tradnl" w:eastAsia="es-ES_tradnl"/>
        </w:rPr>
        <w:t>E</w:t>
      </w:r>
      <w:r w:rsidRPr="00284BC1">
        <w:rPr>
          <w:rFonts w:ascii="Arial" w:eastAsia="Times New Roman" w:hAnsi="Arial" w:cs="Arial"/>
          <w:bCs/>
          <w:color w:val="000000"/>
          <w:sz w:val="21"/>
          <w:szCs w:val="21"/>
          <w:lang w:val="es-ES_tradnl" w:eastAsia="es-ES_tradnl"/>
        </w:rPr>
        <w:t xml:space="preserv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si por alguna razón no se logra liquidar el contrato dentro de dicho plazo, el contratista tiene el deber de mantener vigente la garantía hasta la liquidación efectiva del contrato, pues el artículo 2.2.1.2.3.1.12 del Decreto 1082 de 2015 lo dispone expresamente. </w:t>
      </w:r>
      <w:r w:rsidR="006C3559" w:rsidRPr="00284BC1">
        <w:rPr>
          <w:rFonts w:ascii="Arial" w:eastAsia="Times New Roman" w:hAnsi="Arial" w:cs="Arial"/>
          <w:bCs/>
          <w:color w:val="000000"/>
          <w:sz w:val="21"/>
          <w:szCs w:val="21"/>
          <w:lang w:val="es-ES_tradnl" w:eastAsia="es-ES_tradnl"/>
        </w:rPr>
        <w:t>S</w:t>
      </w:r>
      <w:r w:rsidR="00640E4E" w:rsidRPr="006C3559">
        <w:rPr>
          <w:rFonts w:ascii="Arial" w:eastAsia="Times New Roman" w:hAnsi="Arial" w:cs="Arial"/>
          <w:bCs/>
          <w:color w:val="000000"/>
          <w:sz w:val="21"/>
          <w:szCs w:val="21"/>
          <w:lang w:val="es-ES_tradnl" w:eastAsia="es-ES_tradnl"/>
        </w:rPr>
        <w:t xml:space="preserve">i por alguna razón no se logra liquidar el contrato dentro de dicho plazo, el contratista tiene el deber de mantener vigente la garantía hasta la liquidación efectiva del contrato, pues el artículo 2.2.1.2.3.1.12 del Decreto 1082 de 2015 lo dispone expresamente. </w:t>
      </w:r>
    </w:p>
    <w:p w14:paraId="711DE6A6"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23267387"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152ADA63"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2808C15D"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72EEC581"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4D1BD2F5"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3F78ECD3"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1D22431B"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46751E3A"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1615727C"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4FD5C99A"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57A3E885"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461C0C69" w14:textId="77777777" w:rsidR="00EF69F0" w:rsidRPr="00EF69F0" w:rsidRDefault="00EF69F0" w:rsidP="00EF69F0">
      <w:pPr>
        <w:spacing w:after="0" w:line="276" w:lineRule="auto"/>
        <w:jc w:val="both"/>
        <w:rPr>
          <w:rFonts w:ascii="Arial" w:eastAsia="Times New Roman" w:hAnsi="Arial" w:cs="Arial"/>
          <w:noProof/>
          <w:color w:val="000000"/>
          <w:sz w:val="20"/>
          <w:szCs w:val="20"/>
          <w:lang w:eastAsia="es-ES_tradnl"/>
        </w:rPr>
      </w:pPr>
    </w:p>
    <w:p w14:paraId="12F8D568" w14:textId="77777777" w:rsidR="00EE4161" w:rsidRDefault="00EE4161" w:rsidP="00EE4161">
      <w:pPr>
        <w:spacing w:line="256" w:lineRule="auto"/>
        <w:rPr>
          <w:rFonts w:ascii="Arial" w:eastAsia="Times New Roman" w:hAnsi="Arial" w:cs="Arial"/>
          <w:noProof/>
          <w:color w:val="000000"/>
          <w:sz w:val="20"/>
          <w:szCs w:val="20"/>
          <w:lang w:eastAsia="es-ES_tradnl"/>
        </w:rPr>
      </w:pPr>
    </w:p>
    <w:p w14:paraId="7E433F44" w14:textId="6F1FA768" w:rsidR="00EF69F0" w:rsidRPr="00EE4161" w:rsidRDefault="00EE4161" w:rsidP="00EE4161">
      <w:pPr>
        <w:spacing w:line="256" w:lineRule="auto"/>
        <w:rPr>
          <w:rFonts w:ascii="Arial" w:eastAsia="Geomanist Light" w:hAnsi="Arial" w:cs="Arial"/>
          <w:color w:val="201F1E"/>
        </w:rPr>
      </w:pPr>
      <w:r>
        <w:rPr>
          <w:rFonts w:ascii="Arial" w:eastAsia="Arial" w:hAnsi="Arial" w:cs="Arial"/>
          <w:color w:val="000000" w:themeColor="text1"/>
          <w:szCs w:val="24"/>
        </w:rPr>
        <w:lastRenderedPageBreak/>
        <w:t>Bogotá D.C., 2</w:t>
      </w:r>
      <w:r>
        <w:rPr>
          <w:rFonts w:ascii="Arial" w:eastAsia="Arial" w:hAnsi="Arial" w:cs="Arial"/>
          <w:color w:val="000000" w:themeColor="text1"/>
          <w:szCs w:val="24"/>
        </w:rPr>
        <w:t>4</w:t>
      </w:r>
      <w:r>
        <w:rPr>
          <w:rFonts w:ascii="Arial" w:eastAsia="Arial" w:hAnsi="Arial" w:cs="Arial"/>
          <w:color w:val="201F1E"/>
          <w:szCs w:val="24"/>
        </w:rPr>
        <w:t xml:space="preserve"> de </w:t>
      </w:r>
      <w:r>
        <w:rPr>
          <w:rFonts w:ascii="Arial" w:eastAsia="Arial" w:hAnsi="Arial" w:cs="Arial"/>
          <w:color w:val="201F1E"/>
          <w:szCs w:val="24"/>
        </w:rPr>
        <w:t>febrero</w:t>
      </w:r>
      <w:r>
        <w:rPr>
          <w:rFonts w:ascii="Arial" w:eastAsia="Arial" w:hAnsi="Arial" w:cs="Arial"/>
          <w:color w:val="201F1E"/>
          <w:szCs w:val="24"/>
        </w:rPr>
        <w:t xml:space="preserve"> de 2023</w:t>
      </w:r>
    </w:p>
    <w:p w14:paraId="2B8A4E5C" w14:textId="563BCB0E" w:rsidR="00EF69F0" w:rsidRPr="00D93F20" w:rsidRDefault="000B2224" w:rsidP="00D93F20">
      <w:pPr>
        <w:spacing w:after="0" w:line="276" w:lineRule="auto"/>
        <w:jc w:val="right"/>
        <w:rPr>
          <w:rFonts w:ascii="Arial" w:eastAsia="Times New Roman" w:hAnsi="Arial" w:cs="Arial"/>
          <w:b/>
          <w:color w:val="000000"/>
          <w:szCs w:val="24"/>
          <w:lang w:eastAsia="es-ES_tradnl"/>
        </w:rPr>
      </w:pPr>
      <w:r>
        <w:rPr>
          <w:rFonts w:ascii="Arial" w:eastAsia="Times New Roman" w:hAnsi="Arial" w:cs="Arial"/>
          <w:b/>
          <w:noProof/>
          <w:color w:val="000000"/>
          <w:szCs w:val="24"/>
          <w:lang w:eastAsia="es-ES_tradnl"/>
        </w:rPr>
        <w:drawing>
          <wp:inline distT="0" distB="0" distL="0" distR="0" wp14:anchorId="3938CC18" wp14:editId="2E1BCA6C">
            <wp:extent cx="2881439" cy="782266"/>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15794" cy="791593"/>
                    </a:xfrm>
                    <a:prstGeom prst="rect">
                      <a:avLst/>
                    </a:prstGeom>
                  </pic:spPr>
                </pic:pic>
              </a:graphicData>
            </a:graphic>
          </wp:inline>
        </w:drawing>
      </w:r>
    </w:p>
    <w:p w14:paraId="73ECE8A0" w14:textId="77777777" w:rsidR="00EF69F0" w:rsidRPr="00EF69F0" w:rsidRDefault="00EF69F0" w:rsidP="00EF69F0">
      <w:pPr>
        <w:spacing w:after="0" w:line="240" w:lineRule="auto"/>
        <w:jc w:val="both"/>
        <w:rPr>
          <w:rFonts w:ascii="Arial" w:eastAsia="Times New Roman" w:hAnsi="Arial" w:cs="Arial"/>
          <w:b/>
          <w:color w:val="000000"/>
          <w:szCs w:val="24"/>
          <w:lang w:val="pt-BR" w:eastAsia="es-ES_tradnl"/>
        </w:rPr>
      </w:pPr>
    </w:p>
    <w:p w14:paraId="62A52DB8" w14:textId="77777777" w:rsidR="00EF69F0" w:rsidRPr="00EF69F0" w:rsidRDefault="00EF69F0" w:rsidP="00EF69F0">
      <w:pPr>
        <w:spacing w:after="0" w:line="240" w:lineRule="auto"/>
        <w:jc w:val="both"/>
        <w:rPr>
          <w:rFonts w:ascii="Arial" w:eastAsia="Calibri" w:hAnsi="Arial" w:cs="Arial"/>
          <w:color w:val="000000"/>
          <w:szCs w:val="24"/>
          <w:lang w:eastAsia="es-ES_tradnl"/>
        </w:rPr>
      </w:pPr>
      <w:bookmarkStart w:id="1" w:name="_Hlk100051121"/>
      <w:r w:rsidRPr="00EF69F0">
        <w:rPr>
          <w:rFonts w:ascii="Arial" w:eastAsia="Calibri" w:hAnsi="Arial" w:cs="Arial"/>
          <w:color w:val="000000"/>
          <w:szCs w:val="24"/>
          <w:lang w:eastAsia="es-ES_tradnl"/>
        </w:rPr>
        <w:t>Señora</w:t>
      </w:r>
    </w:p>
    <w:p w14:paraId="75D7E5C0" w14:textId="77777777" w:rsidR="00EF69F0" w:rsidRPr="00EF69F0" w:rsidRDefault="00EF69F0" w:rsidP="00EF69F0">
      <w:pPr>
        <w:tabs>
          <w:tab w:val="center" w:pos="4394"/>
        </w:tabs>
        <w:spacing w:after="0" w:line="240" w:lineRule="auto"/>
        <w:jc w:val="both"/>
        <w:rPr>
          <w:rFonts w:ascii="Arial" w:eastAsia="Calibri" w:hAnsi="Arial" w:cs="Arial"/>
          <w:b/>
          <w:color w:val="000000"/>
          <w:szCs w:val="24"/>
          <w:lang w:eastAsia="es-ES_tradnl"/>
        </w:rPr>
      </w:pPr>
      <w:r w:rsidRPr="00EF69F0">
        <w:rPr>
          <w:rFonts w:ascii="Arial" w:eastAsia="Calibri" w:hAnsi="Arial" w:cs="Arial"/>
          <w:b/>
          <w:color w:val="000000"/>
          <w:szCs w:val="24"/>
          <w:lang w:eastAsia="es-ES_tradnl"/>
        </w:rPr>
        <w:t>Elizabeth Zuleta Vallejo</w:t>
      </w:r>
    </w:p>
    <w:p w14:paraId="7695E4E4" w14:textId="77777777" w:rsidR="00EF69F0" w:rsidRPr="00EF69F0" w:rsidRDefault="00EF69F0" w:rsidP="00EF69F0">
      <w:pPr>
        <w:tabs>
          <w:tab w:val="center" w:pos="4394"/>
        </w:tabs>
        <w:spacing w:after="0" w:line="240" w:lineRule="auto"/>
        <w:jc w:val="both"/>
        <w:rPr>
          <w:rFonts w:ascii="Arial" w:eastAsia="Calibri" w:hAnsi="Arial" w:cs="Arial"/>
          <w:bCs/>
          <w:color w:val="000000"/>
          <w:szCs w:val="24"/>
          <w:lang w:eastAsia="es-ES_tradnl"/>
        </w:rPr>
      </w:pPr>
      <w:r w:rsidRPr="00EF69F0">
        <w:rPr>
          <w:rFonts w:ascii="Arial" w:eastAsia="Calibri" w:hAnsi="Arial" w:cs="Arial"/>
          <w:bCs/>
          <w:color w:val="000000"/>
          <w:szCs w:val="24"/>
          <w:lang w:eastAsia="es-ES_tradnl"/>
        </w:rPr>
        <w:t>Medellín, Antioquia</w:t>
      </w:r>
    </w:p>
    <w:p w14:paraId="6F7AFFA1" w14:textId="77777777" w:rsidR="00EF69F0" w:rsidRPr="00EF69F0" w:rsidRDefault="00EF69F0" w:rsidP="00EF69F0">
      <w:pPr>
        <w:spacing w:after="0" w:line="240" w:lineRule="auto"/>
        <w:rPr>
          <w:rFonts w:ascii="Arial" w:eastAsia="Calibri" w:hAnsi="Arial" w:cs="Arial"/>
          <w:b/>
          <w:bCs/>
          <w:color w:val="000000"/>
          <w:szCs w:val="24"/>
          <w:lang w:eastAsia="es-ES_tradnl"/>
        </w:rPr>
      </w:pPr>
    </w:p>
    <w:p w14:paraId="5CADA69E" w14:textId="77777777" w:rsidR="00EF69F0" w:rsidRPr="00EF69F0" w:rsidRDefault="00EF69F0" w:rsidP="00EF69F0">
      <w:pPr>
        <w:spacing w:after="0" w:line="240" w:lineRule="auto"/>
        <w:rPr>
          <w:rFonts w:ascii="Arial" w:eastAsia="Calibri" w:hAnsi="Arial" w:cs="Arial"/>
          <w:b/>
          <w:bCs/>
          <w:color w:val="000000"/>
          <w:szCs w:val="24"/>
          <w:lang w:eastAsia="es-ES_tradnl"/>
        </w:rPr>
      </w:pPr>
    </w:p>
    <w:p w14:paraId="0CDDE13B" w14:textId="77777777" w:rsidR="00EF69F0" w:rsidRPr="00EF69F0" w:rsidRDefault="00EF69F0" w:rsidP="00EF69F0">
      <w:pPr>
        <w:spacing w:after="0" w:line="240" w:lineRule="auto"/>
        <w:rPr>
          <w:rFonts w:ascii="Arial" w:eastAsia="Calibri" w:hAnsi="Arial" w:cs="Arial"/>
          <w:b/>
          <w:bCs/>
          <w:color w:val="000000"/>
          <w:szCs w:val="24"/>
          <w:lang w:val="pt-BR" w:eastAsia="es-ES_tradnl"/>
        </w:rPr>
      </w:pPr>
      <w:r w:rsidRPr="00EF69F0">
        <w:rPr>
          <w:rFonts w:ascii="Arial" w:eastAsia="Calibri" w:hAnsi="Arial" w:cs="Arial"/>
          <w:b/>
          <w:bCs/>
          <w:color w:val="000000"/>
          <w:szCs w:val="24"/>
          <w:lang w:eastAsia="es-ES_tradnl"/>
        </w:rPr>
        <w:t xml:space="preserve">                                            </w:t>
      </w:r>
      <w:r w:rsidRPr="00EF69F0">
        <w:rPr>
          <w:rFonts w:ascii="Arial" w:eastAsia="Calibri" w:hAnsi="Arial" w:cs="Arial"/>
          <w:b/>
          <w:bCs/>
          <w:color w:val="000000"/>
          <w:szCs w:val="24"/>
          <w:lang w:val="pt-BR" w:eastAsia="es-ES_tradnl"/>
        </w:rPr>
        <w:t>Concepto C ‒ 015 de 2023</w:t>
      </w:r>
    </w:p>
    <w:p w14:paraId="37164224" w14:textId="77777777" w:rsidR="00EF69F0" w:rsidRPr="00EF69F0" w:rsidRDefault="00EF69F0" w:rsidP="00EF69F0">
      <w:pPr>
        <w:spacing w:after="0" w:line="240" w:lineRule="auto"/>
        <w:rPr>
          <w:rFonts w:ascii="Arial" w:eastAsia="Calibri" w:hAnsi="Arial" w:cs="Arial"/>
          <w:b/>
          <w:bCs/>
          <w:color w:val="000000"/>
          <w:szCs w:val="24"/>
          <w:lang w:val="pt-BR"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F69F0" w:rsidRPr="00EF69F0" w14:paraId="04E18B8B" w14:textId="77777777" w:rsidTr="00F21C1C">
        <w:trPr>
          <w:trHeight w:val="884"/>
        </w:trPr>
        <w:tc>
          <w:tcPr>
            <w:tcW w:w="2689" w:type="dxa"/>
          </w:tcPr>
          <w:p w14:paraId="6BF43146" w14:textId="77777777" w:rsidR="00EF69F0" w:rsidRPr="00EF69F0" w:rsidRDefault="00EF69F0" w:rsidP="00EF69F0">
            <w:pPr>
              <w:jc w:val="both"/>
              <w:rPr>
                <w:rFonts w:ascii="Arial" w:eastAsia="Calibri" w:hAnsi="Arial" w:cs="Arial"/>
                <w:color w:val="000000"/>
                <w:szCs w:val="24"/>
                <w:lang w:val="es-ES_tradnl" w:eastAsia="es-ES_tradnl"/>
              </w:rPr>
            </w:pPr>
            <w:r w:rsidRPr="00EF69F0">
              <w:rPr>
                <w:rFonts w:ascii="Arial" w:eastAsia="Calibri" w:hAnsi="Arial" w:cs="Arial"/>
                <w:b/>
                <w:color w:val="000000"/>
                <w:szCs w:val="24"/>
                <w:lang w:val="es-ES_tradnl" w:eastAsia="es-ES_tradnl"/>
              </w:rPr>
              <w:t>Temas:</w:t>
            </w:r>
            <w:r w:rsidRPr="00EF69F0">
              <w:rPr>
                <w:rFonts w:ascii="Arial" w:eastAsia="Calibri" w:hAnsi="Arial" w:cs="Arial"/>
                <w:color w:val="000000"/>
                <w:szCs w:val="24"/>
                <w:lang w:val="es-ES_tradnl" w:eastAsia="es-ES_tradnl"/>
              </w:rPr>
              <w:t xml:space="preserve">                   </w:t>
            </w:r>
          </w:p>
        </w:tc>
        <w:tc>
          <w:tcPr>
            <w:tcW w:w="6237" w:type="dxa"/>
          </w:tcPr>
          <w:p w14:paraId="12132E3D" w14:textId="77777777" w:rsidR="00EF69F0" w:rsidRPr="00EF69F0" w:rsidRDefault="00EF69F0" w:rsidP="00EF69F0">
            <w:pPr>
              <w:jc w:val="both"/>
              <w:rPr>
                <w:rFonts w:ascii="Arial" w:eastAsia="Calibri" w:hAnsi="Arial" w:cs="Arial"/>
                <w:bCs/>
                <w:szCs w:val="24"/>
                <w:lang w:val="es-ES_tradnl" w:eastAsia="es-ES_tradnl"/>
              </w:rPr>
            </w:pPr>
            <w:r w:rsidRPr="00EF69F0">
              <w:rPr>
                <w:rFonts w:ascii="Arial" w:eastAsia="Calibri" w:hAnsi="Arial" w:cs="Arial"/>
                <w:bCs/>
                <w:szCs w:val="24"/>
                <w:lang w:val="es-ES_tradnl" w:eastAsia="es-ES_tradnl"/>
              </w:rPr>
              <w:t>LIQUIDACIÓN DEL CONTRATO – Definición – Objetivo – Normativa – Oportunidad / GARANTÍA DE CUMPLIMIENTO – Garantía única de cumplimiento – Amparos / GARANTÍA DE CUMPLIMIENTO – Garantías – Vigencia – Liquidación</w:t>
            </w:r>
          </w:p>
        </w:tc>
      </w:tr>
      <w:tr w:rsidR="00EF69F0" w:rsidRPr="00EF69F0" w14:paraId="2A3C921C" w14:textId="77777777" w:rsidTr="00F21C1C">
        <w:tc>
          <w:tcPr>
            <w:tcW w:w="2689" w:type="dxa"/>
          </w:tcPr>
          <w:p w14:paraId="5BB2FB82" w14:textId="77777777" w:rsidR="00EF69F0" w:rsidRPr="00EF69F0" w:rsidRDefault="00EF69F0" w:rsidP="00EF69F0">
            <w:pPr>
              <w:spacing w:before="120"/>
              <w:jc w:val="both"/>
              <w:rPr>
                <w:rFonts w:ascii="Arial" w:eastAsia="Calibri" w:hAnsi="Arial" w:cs="Arial"/>
                <w:b/>
                <w:color w:val="000000"/>
                <w:szCs w:val="24"/>
                <w:lang w:val="es-ES_tradnl" w:eastAsia="es-ES_tradnl"/>
              </w:rPr>
            </w:pPr>
            <w:r w:rsidRPr="00EF69F0">
              <w:rPr>
                <w:rFonts w:ascii="Arial" w:eastAsia="Calibri" w:hAnsi="Arial" w:cs="Arial"/>
                <w:b/>
                <w:color w:val="000000"/>
                <w:szCs w:val="24"/>
                <w:lang w:val="es-ES_tradnl" w:eastAsia="es-ES_tradnl"/>
              </w:rPr>
              <w:t>Radicación:</w:t>
            </w:r>
            <w:r w:rsidRPr="00EF69F0">
              <w:rPr>
                <w:rFonts w:ascii="Arial" w:eastAsia="Calibri" w:hAnsi="Arial" w:cs="Arial"/>
                <w:color w:val="000000"/>
                <w:szCs w:val="24"/>
                <w:lang w:val="es-ES_tradnl" w:eastAsia="es-ES_tradnl"/>
              </w:rPr>
              <w:t xml:space="preserve">               </w:t>
            </w:r>
          </w:p>
        </w:tc>
        <w:tc>
          <w:tcPr>
            <w:tcW w:w="6237" w:type="dxa"/>
          </w:tcPr>
          <w:p w14:paraId="7C6783EA" w14:textId="77777777" w:rsidR="00EF69F0" w:rsidRPr="00EF69F0" w:rsidRDefault="00EF69F0" w:rsidP="00EF69F0">
            <w:pPr>
              <w:spacing w:before="120"/>
              <w:jc w:val="both"/>
              <w:rPr>
                <w:rFonts w:ascii="Arial" w:eastAsia="Calibri" w:hAnsi="Arial" w:cs="Arial"/>
                <w:color w:val="000000"/>
                <w:szCs w:val="24"/>
                <w:lang w:val="es-ES_tradnl" w:eastAsia="es-ES_tradnl"/>
              </w:rPr>
            </w:pPr>
            <w:r w:rsidRPr="00EF69F0">
              <w:rPr>
                <w:rFonts w:ascii="Arial" w:eastAsia="Calibri" w:hAnsi="Arial" w:cs="Arial"/>
                <w:color w:val="000000"/>
                <w:szCs w:val="24"/>
                <w:lang w:val="es-ES_tradnl" w:eastAsia="es-ES_tradnl"/>
              </w:rPr>
              <w:t>Respuesta a consulta P20230113000234</w:t>
            </w:r>
          </w:p>
        </w:tc>
      </w:tr>
    </w:tbl>
    <w:p w14:paraId="70BDF770" w14:textId="77777777" w:rsidR="00EF69F0" w:rsidRPr="00EF69F0" w:rsidRDefault="00EF69F0" w:rsidP="00EF69F0">
      <w:pPr>
        <w:spacing w:after="0" w:line="240" w:lineRule="auto"/>
        <w:jc w:val="both"/>
        <w:rPr>
          <w:rFonts w:ascii="Arial" w:eastAsia="Calibri" w:hAnsi="Arial" w:cs="Arial"/>
          <w:color w:val="000000"/>
          <w:szCs w:val="24"/>
          <w:lang w:eastAsia="es-ES_tradnl"/>
        </w:rPr>
      </w:pPr>
    </w:p>
    <w:p w14:paraId="42CA7787" w14:textId="77777777" w:rsidR="00EF69F0" w:rsidRPr="00EF69F0" w:rsidRDefault="00EF69F0" w:rsidP="00EF69F0">
      <w:pPr>
        <w:spacing w:after="0" w:line="240" w:lineRule="auto"/>
        <w:jc w:val="both"/>
        <w:rPr>
          <w:rFonts w:ascii="Arial" w:eastAsia="Calibri" w:hAnsi="Arial" w:cs="Arial"/>
          <w:color w:val="000000"/>
          <w:szCs w:val="24"/>
          <w:lang w:val="es-ES_tradnl" w:eastAsia="es-ES_tradnl"/>
        </w:rPr>
      </w:pPr>
    </w:p>
    <w:p w14:paraId="6C5848FC" w14:textId="77777777" w:rsidR="00EF69F0" w:rsidRPr="00EF69F0" w:rsidRDefault="00EF69F0" w:rsidP="00EF69F0">
      <w:pPr>
        <w:spacing w:after="0" w:line="240" w:lineRule="auto"/>
        <w:jc w:val="both"/>
        <w:rPr>
          <w:rFonts w:ascii="Arial" w:eastAsia="Calibri" w:hAnsi="Arial" w:cs="Arial"/>
          <w:color w:val="000000"/>
          <w:szCs w:val="24"/>
          <w:lang w:val="es-ES_tradnl" w:eastAsia="es-ES_tradnl"/>
        </w:rPr>
      </w:pPr>
      <w:r w:rsidRPr="00EF69F0">
        <w:rPr>
          <w:rFonts w:ascii="Arial" w:eastAsia="Calibri" w:hAnsi="Arial" w:cs="Arial"/>
          <w:color w:val="000000"/>
          <w:szCs w:val="24"/>
          <w:lang w:val="es-ES_tradnl" w:eastAsia="es-ES_tradnl"/>
        </w:rPr>
        <w:t xml:space="preserve">Estimada señora Zuleta Vallejo: </w:t>
      </w:r>
    </w:p>
    <w:p w14:paraId="11F4EEAD" w14:textId="77777777" w:rsidR="00EF69F0" w:rsidRPr="00EF69F0" w:rsidRDefault="00EF69F0" w:rsidP="00EF69F0">
      <w:pPr>
        <w:spacing w:after="0" w:line="240" w:lineRule="auto"/>
        <w:jc w:val="both"/>
        <w:rPr>
          <w:rFonts w:ascii="Arial" w:eastAsia="Calibri" w:hAnsi="Arial" w:cs="Arial"/>
          <w:color w:val="000000"/>
          <w:szCs w:val="24"/>
          <w:lang w:val="es-ES_tradnl" w:eastAsia="es-ES_tradnl"/>
        </w:rPr>
      </w:pPr>
    </w:p>
    <w:p w14:paraId="7C751186" w14:textId="77777777" w:rsidR="00EF69F0" w:rsidRPr="00EF69F0" w:rsidRDefault="00EF69F0" w:rsidP="00EF69F0">
      <w:pPr>
        <w:spacing w:after="0" w:line="276" w:lineRule="auto"/>
        <w:jc w:val="both"/>
        <w:rPr>
          <w:rFonts w:ascii="Arial" w:eastAsia="Calibri" w:hAnsi="Arial" w:cs="Arial"/>
          <w:color w:val="000000"/>
          <w:szCs w:val="24"/>
          <w:lang w:val="es-ES_tradnl" w:eastAsia="es-ES_tradnl"/>
        </w:rPr>
      </w:pPr>
      <w:r w:rsidRPr="00EF69F0">
        <w:rPr>
          <w:rFonts w:ascii="Arial" w:eastAsia="Calibri" w:hAnsi="Arial" w:cs="Arial"/>
          <w:color w:val="000000"/>
          <w:szCs w:val="24"/>
          <w:lang w:val="es-ES_tradnl" w:eastAsia="es-ES_tradnl"/>
        </w:rPr>
        <w:t>En ejercicio de la competencia otorgada por el numeral 8 del artículo 11 y el numeral 5 del artículo 3 del Decreto Ley 4170 de 2011,</w:t>
      </w:r>
      <w:r w:rsidRPr="00EF69F0">
        <w:rPr>
          <w:rFonts w:ascii="Arial MT" w:eastAsia="Arial MT" w:hAnsi="Arial MT" w:cs="Arial MT"/>
          <w:szCs w:val="24"/>
          <w:lang w:val="es-ES" w:eastAsia="es-ES_tradnl"/>
        </w:rPr>
        <w:t xml:space="preserve"> </w:t>
      </w:r>
      <w:r w:rsidRPr="00EF69F0">
        <w:rPr>
          <w:rFonts w:ascii="Arial" w:eastAsia="Calibri" w:hAnsi="Arial" w:cs="Arial"/>
          <w:color w:val="000000"/>
          <w:szCs w:val="24"/>
          <w:lang w:val="es-ES_tradnl" w:eastAsia="es-ES_tradnl"/>
        </w:rPr>
        <w:t>la Agencia Nacional de Contratación Pública – Colombia Compra Eficiente, responde su consulta del 13 de enero de 2022.</w:t>
      </w:r>
    </w:p>
    <w:p w14:paraId="322E481A" w14:textId="77777777" w:rsidR="00EF69F0" w:rsidRPr="00EF69F0" w:rsidRDefault="00EF69F0" w:rsidP="00EF69F0">
      <w:pPr>
        <w:spacing w:after="0" w:line="276" w:lineRule="auto"/>
        <w:jc w:val="both"/>
        <w:rPr>
          <w:rFonts w:ascii="Arial" w:eastAsia="Calibri" w:hAnsi="Arial" w:cs="Arial"/>
          <w:b/>
          <w:color w:val="000000"/>
          <w:szCs w:val="24"/>
          <w:lang w:val="es-ES_tradnl" w:eastAsia="es-ES_tradnl"/>
        </w:rPr>
      </w:pPr>
    </w:p>
    <w:p w14:paraId="3490E231" w14:textId="77777777" w:rsidR="00EF69F0" w:rsidRPr="00EF69F0" w:rsidRDefault="00EF69F0" w:rsidP="00C36B4D">
      <w:pPr>
        <w:numPr>
          <w:ilvl w:val="0"/>
          <w:numId w:val="4"/>
        </w:numPr>
        <w:tabs>
          <w:tab w:val="left" w:pos="0"/>
          <w:tab w:val="left" w:pos="142"/>
          <w:tab w:val="left" w:pos="284"/>
        </w:tabs>
        <w:spacing w:after="0" w:line="276" w:lineRule="auto"/>
        <w:ind w:left="357" w:hanging="357"/>
        <w:contextualSpacing/>
        <w:rPr>
          <w:rFonts w:ascii="Arial" w:eastAsia="Calibri" w:hAnsi="Arial" w:cs="Arial"/>
          <w:b/>
          <w:color w:val="000000"/>
          <w:lang w:val="es-ES_tradnl"/>
        </w:rPr>
      </w:pPr>
      <w:r w:rsidRPr="00EF69F0">
        <w:rPr>
          <w:rFonts w:ascii="Arial" w:eastAsia="Calibri" w:hAnsi="Arial" w:cs="Arial"/>
          <w:b/>
          <w:color w:val="000000"/>
          <w:lang w:val="es-ES_tradnl"/>
        </w:rPr>
        <w:t xml:space="preserve">Problema planteado </w:t>
      </w:r>
    </w:p>
    <w:p w14:paraId="354235FD" w14:textId="77777777" w:rsidR="00EF69F0" w:rsidRPr="00EF69F0" w:rsidRDefault="00EF69F0" w:rsidP="00EF69F0">
      <w:pPr>
        <w:spacing w:after="0" w:line="276" w:lineRule="auto"/>
        <w:jc w:val="both"/>
        <w:rPr>
          <w:rFonts w:ascii="Arial" w:eastAsia="Times New Roman" w:hAnsi="Arial" w:cs="Arial"/>
          <w:bCs/>
          <w:lang w:eastAsia="es-ES_tradnl"/>
        </w:rPr>
      </w:pPr>
    </w:p>
    <w:p w14:paraId="481DE9A0" w14:textId="0DA977B2" w:rsidR="00EF69F0" w:rsidRPr="00EF69F0" w:rsidRDefault="00EF69F0" w:rsidP="00EF69F0">
      <w:pPr>
        <w:spacing w:after="0" w:line="276" w:lineRule="auto"/>
        <w:jc w:val="both"/>
        <w:rPr>
          <w:rFonts w:ascii="Arial" w:eastAsia="Times New Roman" w:hAnsi="Arial" w:cs="Arial"/>
          <w:bCs/>
          <w:lang w:eastAsia="es-ES_tradnl"/>
        </w:rPr>
      </w:pPr>
      <w:r w:rsidRPr="00EF69F0">
        <w:rPr>
          <w:rFonts w:ascii="Arial" w:eastAsia="Times New Roman" w:hAnsi="Arial" w:cs="Arial"/>
          <w:bCs/>
          <w:lang w:eastAsia="es-ES_tradnl"/>
        </w:rPr>
        <w:t xml:space="preserve">Usted pone de presente lo dispuesto por el inciso cuarto del artículo 60 de la Ley 80 de 1993. Al respecto, realiza la siguiente pregunta: </w:t>
      </w:r>
      <w:r w:rsidRPr="00EF69F0">
        <w:rPr>
          <w:rFonts w:ascii="Arial" w:eastAsia="Times New Roman" w:hAnsi="Arial" w:cs="Arial"/>
          <w:bCs/>
          <w:lang w:val="es-ES" w:eastAsia="es-ES_tradnl"/>
        </w:rPr>
        <w:t xml:space="preserve">«[¿]Es obligatorio, exigir la ampliación de la póliza de cumplimiento de un contrato </w:t>
      </w:r>
      <w:r w:rsidR="00E35D2F" w:rsidRPr="00EF69F0">
        <w:rPr>
          <w:rFonts w:ascii="Arial" w:eastAsia="Times New Roman" w:hAnsi="Arial" w:cs="Arial"/>
          <w:bCs/>
          <w:lang w:val="es-ES" w:eastAsia="es-ES_tradnl"/>
        </w:rPr>
        <w:t>interadministrativo</w:t>
      </w:r>
      <w:r w:rsidR="006D0722">
        <w:rPr>
          <w:rFonts w:ascii="Arial" w:eastAsia="Times New Roman" w:hAnsi="Arial" w:cs="Arial"/>
          <w:bCs/>
          <w:lang w:val="es-ES" w:eastAsia="es-ES_tradnl"/>
        </w:rPr>
        <w:t xml:space="preserve"> [sic]</w:t>
      </w:r>
      <w:r w:rsidRPr="00EF69F0">
        <w:rPr>
          <w:rFonts w:ascii="Arial" w:eastAsia="Times New Roman" w:hAnsi="Arial" w:cs="Arial"/>
          <w:bCs/>
          <w:lang w:val="es-ES" w:eastAsia="es-ES_tradnl"/>
        </w:rPr>
        <w:t xml:space="preserve">, para la liquidación del contrato, cuando </w:t>
      </w:r>
      <w:proofErr w:type="spellStart"/>
      <w:r w:rsidRPr="00EF69F0">
        <w:rPr>
          <w:rFonts w:ascii="Arial" w:eastAsia="Times New Roman" w:hAnsi="Arial" w:cs="Arial"/>
          <w:bCs/>
          <w:lang w:val="es-ES" w:eastAsia="es-ES_tradnl"/>
        </w:rPr>
        <w:t>ademas</w:t>
      </w:r>
      <w:proofErr w:type="spellEnd"/>
      <w:r w:rsidRPr="00EF69F0">
        <w:rPr>
          <w:rFonts w:ascii="Arial" w:eastAsia="Times New Roman" w:hAnsi="Arial" w:cs="Arial"/>
          <w:bCs/>
          <w:lang w:val="es-ES" w:eastAsia="es-ES_tradnl"/>
        </w:rPr>
        <w:t xml:space="preserve"> [sic] ya ha trascurrido [sic] el termino [sic] señalado en el mismo contrato para su liquidación[?]»</w:t>
      </w:r>
    </w:p>
    <w:p w14:paraId="3E987A3D" w14:textId="77777777" w:rsidR="00EF69F0" w:rsidRPr="00EF69F0" w:rsidRDefault="00EF69F0" w:rsidP="00EF69F0">
      <w:pPr>
        <w:spacing w:after="0" w:line="276" w:lineRule="auto"/>
        <w:ind w:right="709"/>
        <w:jc w:val="both"/>
        <w:rPr>
          <w:rFonts w:ascii="Arial" w:eastAsia="Times New Roman" w:hAnsi="Arial" w:cs="Arial"/>
          <w:color w:val="000000"/>
          <w:sz w:val="21"/>
          <w:szCs w:val="21"/>
          <w:lang w:eastAsia="es-ES_tradnl"/>
        </w:rPr>
      </w:pPr>
    </w:p>
    <w:p w14:paraId="7A964B33" w14:textId="77777777" w:rsidR="00EF69F0" w:rsidRPr="00EF69F0" w:rsidRDefault="00EF69F0" w:rsidP="004322A9">
      <w:pPr>
        <w:numPr>
          <w:ilvl w:val="0"/>
          <w:numId w:val="4"/>
        </w:numPr>
        <w:tabs>
          <w:tab w:val="left" w:pos="0"/>
          <w:tab w:val="left" w:pos="284"/>
        </w:tabs>
        <w:spacing w:after="0" w:line="240" w:lineRule="auto"/>
        <w:ind w:left="357" w:hanging="357"/>
        <w:contextualSpacing/>
        <w:jc w:val="both"/>
        <w:rPr>
          <w:rFonts w:ascii="Arial" w:eastAsia="Calibri" w:hAnsi="Arial" w:cs="Arial"/>
          <w:b/>
          <w:color w:val="000000"/>
          <w:lang w:val="es-ES_tradnl"/>
        </w:rPr>
      </w:pPr>
      <w:r w:rsidRPr="00EF69F0">
        <w:rPr>
          <w:rFonts w:ascii="Arial" w:eastAsia="Calibri" w:hAnsi="Arial" w:cs="Arial"/>
          <w:b/>
          <w:color w:val="000000"/>
          <w:lang w:val="es-ES_tradnl"/>
        </w:rPr>
        <w:t>Consideraciones</w:t>
      </w:r>
    </w:p>
    <w:p w14:paraId="72CFE9F2" w14:textId="77777777" w:rsidR="00EF69F0" w:rsidRPr="00EF69F0" w:rsidRDefault="00EF69F0" w:rsidP="00EF69F0">
      <w:pPr>
        <w:spacing w:after="0" w:line="276" w:lineRule="auto"/>
        <w:jc w:val="both"/>
        <w:rPr>
          <w:rFonts w:ascii="Arial" w:eastAsia="Calibri" w:hAnsi="Arial" w:cs="Arial"/>
          <w:color w:val="000000"/>
          <w:lang w:eastAsia="es-ES_tradnl"/>
        </w:rPr>
      </w:pPr>
    </w:p>
    <w:p w14:paraId="2D4EE406" w14:textId="77777777" w:rsidR="00EF69F0" w:rsidRPr="00EF69F0" w:rsidRDefault="00EF69F0" w:rsidP="006502AA">
      <w:pPr>
        <w:spacing w:after="120" w:line="276" w:lineRule="auto"/>
        <w:jc w:val="both"/>
        <w:rPr>
          <w:rFonts w:ascii="Arial" w:eastAsia="Calibri" w:hAnsi="Arial" w:cs="Arial"/>
          <w:lang w:val="es-ES" w:eastAsia="es-ES"/>
        </w:rPr>
      </w:pPr>
      <w:r w:rsidRPr="6C2B77A5">
        <w:rPr>
          <w:rFonts w:ascii="Arial" w:eastAsia="Calibri" w:hAnsi="Arial" w:cs="Arial"/>
          <w:lang w:val="es-ES" w:eastAsia="es-ES"/>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solicitudes sobre la aplicación de normas </w:t>
      </w:r>
      <w:r w:rsidRPr="6C2B77A5">
        <w:rPr>
          <w:rFonts w:ascii="Arial" w:eastAsia="Calibri" w:hAnsi="Arial" w:cs="Arial"/>
          <w:lang w:val="es-ES" w:eastAsia="es-ES"/>
        </w:rPr>
        <w:lastRenderedPageBreak/>
        <w:t>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468E7E70" w14:textId="77777777" w:rsidR="00EF69F0" w:rsidRPr="00EF69F0" w:rsidRDefault="00EF69F0" w:rsidP="00EF69F0">
      <w:pPr>
        <w:tabs>
          <w:tab w:val="left" w:pos="426"/>
        </w:tabs>
        <w:spacing w:after="120" w:line="276" w:lineRule="auto"/>
        <w:jc w:val="both"/>
        <w:rPr>
          <w:rFonts w:ascii="Arial" w:eastAsia="Times New Roman" w:hAnsi="Arial" w:cs="Arial"/>
          <w:szCs w:val="24"/>
          <w:lang w:eastAsia="es-ES_tradnl"/>
        </w:rPr>
      </w:pPr>
      <w:r w:rsidRPr="00EF69F0">
        <w:rPr>
          <w:rFonts w:ascii="Arial" w:eastAsia="Calibri" w:hAnsi="Arial" w:cs="Arial"/>
          <w:lang w:val="es-ES_tradnl" w:eastAsia="es-ES_tradnl"/>
        </w:rPr>
        <w:tab/>
      </w:r>
      <w:r w:rsidRPr="00EF69F0">
        <w:rPr>
          <w:rFonts w:ascii="Arial" w:eastAsia="Calibri" w:hAnsi="Arial" w:cs="Arial"/>
          <w:bCs/>
          <w:lang w:eastAsia="es-ES_tradnl"/>
        </w:rPr>
        <w:tab/>
        <w:t>Por</w:t>
      </w:r>
      <w:r w:rsidRPr="00EF69F0">
        <w:rPr>
          <w:rFonts w:ascii="Arial" w:eastAsia="Calibri" w:hAnsi="Arial" w:cs="Arial"/>
          <w:color w:val="000000"/>
          <w:lang w:val="es-ES" w:eastAsia="es-ES_tradnl"/>
        </w:rPr>
        <w:t xml:space="preserve"> ello, la Subdirección de Gestión Contractual, dentro de los límites de sus atribuciones, resolverá la consulta conforme a las normas generales en materia de contratación estatal. Con este objetivo se analizarán los siguientes temas:</w:t>
      </w:r>
      <w:r w:rsidRPr="00EF69F0">
        <w:rPr>
          <w:rFonts w:ascii="Arial" w:eastAsia="Calibri" w:hAnsi="Arial" w:cs="Arial"/>
          <w:lang w:eastAsia="es-ES_tradnl"/>
        </w:rPr>
        <w:t xml:space="preserve"> i) la </w:t>
      </w:r>
      <w:r w:rsidRPr="00EF69F0">
        <w:rPr>
          <w:rFonts w:ascii="Arial" w:eastAsia="Calibri" w:hAnsi="Arial" w:cs="Arial"/>
          <w:bCs/>
          <w:color w:val="000000"/>
          <w:szCs w:val="24"/>
          <w:lang w:eastAsia="es-ES_tradnl"/>
        </w:rPr>
        <w:t>liquidación</w:t>
      </w:r>
      <w:r w:rsidRPr="00EF69F0">
        <w:rPr>
          <w:rFonts w:ascii="Arial" w:eastAsia="Times New Roman" w:hAnsi="Arial" w:cs="Arial"/>
          <w:bCs/>
          <w:szCs w:val="24"/>
          <w:lang w:val="es-ES_tradnl" w:eastAsia="es-ES_tradnl"/>
        </w:rPr>
        <w:t xml:space="preserve"> de los contratos estatales, </w:t>
      </w:r>
      <w:r w:rsidRPr="00EF69F0">
        <w:rPr>
          <w:rFonts w:ascii="Arial" w:eastAsia="Calibri" w:hAnsi="Arial" w:cs="Arial"/>
          <w:bCs/>
          <w:color w:val="000000"/>
          <w:szCs w:val="24"/>
          <w:lang w:eastAsia="es-ES_tradnl"/>
        </w:rPr>
        <w:t xml:space="preserve">y </w:t>
      </w:r>
      <w:proofErr w:type="spellStart"/>
      <w:r w:rsidRPr="00EF69F0">
        <w:rPr>
          <w:rFonts w:ascii="Arial" w:eastAsia="Calibri" w:hAnsi="Arial" w:cs="Arial"/>
          <w:bCs/>
          <w:color w:val="000000"/>
          <w:szCs w:val="24"/>
          <w:lang w:eastAsia="es-ES_tradnl"/>
        </w:rPr>
        <w:t>iii</w:t>
      </w:r>
      <w:proofErr w:type="spellEnd"/>
      <w:r w:rsidRPr="00EF69F0">
        <w:rPr>
          <w:rFonts w:ascii="Arial" w:eastAsia="Calibri" w:hAnsi="Arial" w:cs="Arial"/>
          <w:bCs/>
          <w:color w:val="000000"/>
          <w:szCs w:val="24"/>
          <w:lang w:eastAsia="es-ES_tradnl"/>
        </w:rPr>
        <w:t>) la noción y vigencia de la garantía de cumplimiento</w:t>
      </w:r>
      <w:bookmarkStart w:id="2" w:name="_Hlk38448224"/>
      <w:r w:rsidRPr="00EF69F0">
        <w:rPr>
          <w:rFonts w:ascii="Arial" w:eastAsia="Times New Roman" w:hAnsi="Arial" w:cs="Arial"/>
          <w:szCs w:val="24"/>
          <w:lang w:eastAsia="es-ES_tradnl"/>
        </w:rPr>
        <w:t>.</w:t>
      </w:r>
    </w:p>
    <w:p w14:paraId="63957ABB" w14:textId="77777777" w:rsidR="00EF69F0" w:rsidRPr="00EF69F0" w:rsidRDefault="00EF69F0" w:rsidP="00EF69F0">
      <w:pPr>
        <w:spacing w:before="120" w:after="0" w:line="276" w:lineRule="auto"/>
        <w:ind w:firstLine="709"/>
        <w:jc w:val="both"/>
        <w:rPr>
          <w:rFonts w:ascii="Arial" w:eastAsia="Times New Roman" w:hAnsi="Arial" w:cs="Arial"/>
          <w:szCs w:val="24"/>
          <w:lang w:eastAsia="es-ES_tradnl"/>
        </w:rPr>
      </w:pPr>
      <w:r w:rsidRPr="00EF69F0">
        <w:rPr>
          <w:rFonts w:ascii="Arial" w:eastAsia="Times New Roman" w:hAnsi="Arial" w:cs="Arial"/>
          <w:szCs w:val="24"/>
          <w:lang w:val="es-ES_tradnl" w:eastAsia="es-ES_tradnl"/>
        </w:rPr>
        <w:t>La Agencia Nacional de Contratación Pública – Colombia Compra Eficiente</w:t>
      </w:r>
      <w:r w:rsidRPr="00EF69F0">
        <w:rPr>
          <w:rFonts w:ascii="Arial" w:eastAsia="Times New Roman" w:hAnsi="Arial" w:cs="Arial"/>
          <w:szCs w:val="24"/>
          <w:lang w:val="es-ES" w:eastAsia="es-ES_tradnl"/>
        </w:rPr>
        <w:t xml:space="preserve">, </w:t>
      </w:r>
      <w:r w:rsidRPr="00EF69F0">
        <w:rPr>
          <w:rFonts w:ascii="Arial" w:eastAsia="Calibri" w:hAnsi="Arial" w:cs="Arial"/>
          <w:color w:val="000000"/>
          <w:szCs w:val="24"/>
          <w:lang w:val="es-ES_tradnl" w:eastAsia="es-ES_tradnl"/>
        </w:rPr>
        <w:t>se pronunció sobre la liquidación de los contratos en el concepto con radicado No. 4201912000004908 del 27 de septiembre de 2019 y los conceptos con número interno CU-028 de 25 de febrero de 2020, C-221 de 21 de abril de 2020 y C-444 del 23 de julio de 2021. Adicionalmente, se analizó la garantía de cumplimiento y la liquidación de los contratos estatales en los conceptos C-479 del 27 de julio de 2020, C-625 del 28 de septiembre del 2020</w:t>
      </w:r>
      <w:bookmarkEnd w:id="2"/>
      <w:r w:rsidRPr="00EF69F0">
        <w:rPr>
          <w:rFonts w:ascii="Arial" w:eastAsia="Calibri" w:hAnsi="Arial" w:cs="Arial"/>
          <w:color w:val="000000"/>
          <w:szCs w:val="24"/>
          <w:lang w:val="es-ES_tradnl" w:eastAsia="es-ES_tradnl"/>
        </w:rPr>
        <w:t>, C-078 del 17 de marzo de 2021 y C-769 del 16 de noviembre de 2022</w:t>
      </w:r>
      <w:r w:rsidRPr="00EF69F0">
        <w:rPr>
          <w:rFonts w:ascii="Arial" w:eastAsia="Times New Roman" w:hAnsi="Arial" w:cs="Arial"/>
          <w:color w:val="000000"/>
          <w:vertAlign w:val="superscript"/>
          <w:lang w:val="es-ES" w:eastAsia="es-ES_tradnl"/>
        </w:rPr>
        <w:footnoteReference w:id="2"/>
      </w:r>
      <w:r w:rsidRPr="00EF69F0">
        <w:rPr>
          <w:rFonts w:ascii="Arial" w:eastAsia="Times New Roman" w:hAnsi="Arial" w:cs="Arial"/>
          <w:color w:val="000000"/>
          <w:lang w:val="es-ES" w:eastAsia="es-ES_tradnl"/>
        </w:rPr>
        <w:t>. Las tesis expuestas en dichas oportunidades se reiteran a continuación y se complementan en lo pertinente</w:t>
      </w:r>
      <w:r w:rsidRPr="00EF69F0">
        <w:rPr>
          <w:rFonts w:ascii="Arial" w:eastAsia="Calibri" w:hAnsi="Arial" w:cs="Arial"/>
          <w:color w:val="000000"/>
          <w:lang w:val="es-ES_tradnl" w:eastAsia="es-ES_tradnl"/>
        </w:rPr>
        <w:t xml:space="preserve">. </w:t>
      </w:r>
      <w:bookmarkStart w:id="3" w:name="_Hlk54011258"/>
    </w:p>
    <w:bookmarkEnd w:id="3"/>
    <w:p w14:paraId="78925549" w14:textId="77777777" w:rsidR="00EF69F0" w:rsidRPr="00EF69F0" w:rsidRDefault="00EF69F0" w:rsidP="00EF69F0">
      <w:pPr>
        <w:tabs>
          <w:tab w:val="left" w:pos="0"/>
          <w:tab w:val="left" w:pos="2190"/>
          <w:tab w:val="left" w:pos="6645"/>
        </w:tabs>
        <w:spacing w:after="0" w:line="276" w:lineRule="auto"/>
        <w:jc w:val="both"/>
        <w:rPr>
          <w:rFonts w:ascii="Arial" w:eastAsia="Calibri" w:hAnsi="Arial" w:cs="Arial"/>
          <w:bCs/>
          <w:szCs w:val="24"/>
          <w:lang w:val="es-ES_tradnl" w:eastAsia="es-ES_tradnl"/>
        </w:rPr>
      </w:pPr>
    </w:p>
    <w:p w14:paraId="20DECD4E" w14:textId="77777777" w:rsidR="00EF69F0" w:rsidRPr="00EF69F0" w:rsidRDefault="00EF69F0" w:rsidP="00EF69F0">
      <w:pPr>
        <w:spacing w:after="0" w:line="276" w:lineRule="auto"/>
        <w:jc w:val="both"/>
        <w:rPr>
          <w:rFonts w:ascii="Arial" w:eastAsia="Times New Roman" w:hAnsi="Arial" w:cs="Arial"/>
          <w:b/>
          <w:szCs w:val="24"/>
          <w:lang w:val="es-ES_tradnl" w:eastAsia="es-ES_tradnl"/>
        </w:rPr>
      </w:pPr>
      <w:r w:rsidRPr="00EF69F0">
        <w:rPr>
          <w:rFonts w:ascii="Arial" w:eastAsia="Calibri" w:hAnsi="Arial" w:cs="Arial"/>
          <w:b/>
          <w:bCs/>
          <w:lang w:val="es-ES_tradnl"/>
        </w:rPr>
        <w:t xml:space="preserve">2.1. </w:t>
      </w:r>
      <w:r w:rsidRPr="00EF69F0">
        <w:rPr>
          <w:rFonts w:ascii="Arial" w:eastAsia="Times New Roman" w:hAnsi="Arial" w:cs="Arial"/>
          <w:b/>
          <w:szCs w:val="24"/>
          <w:lang w:val="es-ES_tradnl" w:eastAsia="es-ES_tradnl"/>
        </w:rPr>
        <w:t>Liquidación de los contratos estatales</w:t>
      </w:r>
    </w:p>
    <w:p w14:paraId="1E76DF83" w14:textId="77777777" w:rsidR="00EF69F0" w:rsidRPr="00EF69F0" w:rsidRDefault="00EF69F0" w:rsidP="00EF69F0">
      <w:pPr>
        <w:autoSpaceDE w:val="0"/>
        <w:autoSpaceDN w:val="0"/>
        <w:adjustRightInd w:val="0"/>
        <w:spacing w:after="0" w:line="276" w:lineRule="auto"/>
        <w:jc w:val="both"/>
        <w:rPr>
          <w:rFonts w:ascii="Arial" w:eastAsia="Calibri" w:hAnsi="Arial" w:cs="Arial"/>
          <w:b/>
          <w:color w:val="000000"/>
          <w:szCs w:val="24"/>
          <w:lang w:eastAsia="es-ES_tradnl"/>
        </w:rPr>
      </w:pPr>
    </w:p>
    <w:p w14:paraId="51696494" w14:textId="77777777" w:rsidR="00EF69F0" w:rsidRPr="00EF69F0" w:rsidRDefault="00EF69F0" w:rsidP="00EF69F0">
      <w:pPr>
        <w:spacing w:after="0" w:line="276" w:lineRule="auto"/>
        <w:jc w:val="both"/>
        <w:rPr>
          <w:rFonts w:ascii="Arial" w:eastAsia="Calibri" w:hAnsi="Arial" w:cs="Arial"/>
          <w:color w:val="000000"/>
          <w:lang w:val="es-ES_tradnl"/>
        </w:rPr>
      </w:pPr>
      <w:r w:rsidRPr="00EF69F0">
        <w:rPr>
          <w:rFonts w:ascii="Arial" w:eastAsia="Calibri" w:hAnsi="Arial" w:cs="Arial"/>
          <w:color w:val="000000"/>
          <w:lang w:val="es-ES_tradnl"/>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w:t>
      </w:r>
      <w:r w:rsidRPr="00EF69F0">
        <w:rPr>
          <w:rFonts w:ascii="Arial" w:eastAsia="Calibri" w:hAnsi="Arial" w:cs="Arial"/>
          <w:color w:val="000000"/>
          <w:vertAlign w:val="superscript"/>
          <w:lang w:val="es-ES_tradnl"/>
        </w:rPr>
        <w:footnoteReference w:id="3"/>
      </w:r>
      <w:r w:rsidRPr="00EF69F0">
        <w:rPr>
          <w:rFonts w:ascii="Arial" w:eastAsia="Calibri" w:hAnsi="Arial" w:cs="Arial"/>
          <w:color w:val="000000"/>
          <w:lang w:val="es-ES_tradnl"/>
        </w:rPr>
        <w:t>. En armonía con lo anterior, la doctrina ha definido la liquidación de la siguiente manera:</w:t>
      </w:r>
    </w:p>
    <w:p w14:paraId="53446040" w14:textId="77777777" w:rsidR="00EF69F0" w:rsidRPr="00EF69F0" w:rsidRDefault="00EF69F0" w:rsidP="00EF69F0">
      <w:pPr>
        <w:spacing w:after="0" w:line="276" w:lineRule="auto"/>
        <w:jc w:val="both"/>
        <w:rPr>
          <w:rFonts w:ascii="Arial" w:eastAsia="Calibri" w:hAnsi="Arial" w:cs="Arial"/>
          <w:color w:val="000000"/>
          <w:lang w:val="es-ES_tradnl"/>
        </w:rPr>
      </w:pPr>
    </w:p>
    <w:p w14:paraId="012D52F7" w14:textId="77777777" w:rsidR="00EF69F0" w:rsidRPr="00EF69F0" w:rsidRDefault="00EF69F0" w:rsidP="00EF69F0">
      <w:pPr>
        <w:spacing w:after="0" w:line="240" w:lineRule="auto"/>
        <w:ind w:left="709" w:right="758"/>
        <w:jc w:val="both"/>
        <w:rPr>
          <w:rFonts w:ascii="Arial" w:eastAsia="Calibri" w:hAnsi="Arial" w:cs="Arial"/>
          <w:sz w:val="20"/>
          <w:szCs w:val="20"/>
          <w:lang w:val="es-MX"/>
        </w:rPr>
      </w:pPr>
      <w:r w:rsidRPr="00EF69F0">
        <w:rPr>
          <w:rFonts w:ascii="Arial" w:eastAsia="Calibri" w:hAnsi="Arial" w:cs="Arial"/>
          <w:i/>
          <w:iCs/>
          <w:color w:val="000000"/>
          <w:lang w:val="es-ES_tradnl"/>
        </w:rPr>
        <w:t>«</w:t>
      </w:r>
      <w:r w:rsidRPr="00EF69F0">
        <w:rPr>
          <w:rFonts w:ascii="Arial" w:eastAsia="Calibri" w:hAnsi="Arial" w:cs="Arial"/>
          <w:sz w:val="20"/>
          <w:szCs w:val="20"/>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w:t>
      </w:r>
      <w:r w:rsidRPr="00EF69F0">
        <w:rPr>
          <w:rFonts w:ascii="Arial" w:eastAsia="Calibri" w:hAnsi="Arial" w:cs="Arial"/>
          <w:sz w:val="20"/>
          <w:szCs w:val="20"/>
          <w:lang w:val="es-MX"/>
        </w:rPr>
        <w:lastRenderedPageBreak/>
        <w:t xml:space="preserve">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EF69F0">
        <w:rPr>
          <w:rFonts w:ascii="Arial" w:eastAsia="Calibri" w:hAnsi="Arial" w:cs="Arial"/>
          <w:sz w:val="20"/>
          <w:szCs w:val="20"/>
          <w:lang w:val="es-MX"/>
        </w:rPr>
        <w:t>ii</w:t>
      </w:r>
      <w:proofErr w:type="spellEnd"/>
      <w:r w:rsidRPr="00EF69F0">
        <w:rPr>
          <w:rFonts w:ascii="Arial" w:eastAsia="Calibri" w:hAnsi="Arial" w:cs="Arial"/>
          <w:sz w:val="20"/>
          <w:szCs w:val="20"/>
          <w:lang w:val="es-MX"/>
        </w:rPr>
        <w:t>) definir la situación jurídica de las partes, estableciendo si pueden constituirse o no a paz y salvo; lo que exige, en la práctica, que los negociantes dialoguen e intenten ponerse de acuerdo (aspecto subjetivo)</w:t>
      </w:r>
      <w:r w:rsidRPr="00EF69F0">
        <w:rPr>
          <w:rFonts w:ascii="Calibri" w:eastAsia="Calibri" w:hAnsi="Calibri" w:cs="Arial"/>
          <w:sz w:val="20"/>
          <w:szCs w:val="20"/>
          <w:vertAlign w:val="superscript"/>
          <w:lang w:val="es-MX"/>
        </w:rPr>
        <w:footnoteReference w:id="4"/>
      </w:r>
      <w:r w:rsidRPr="00EF69F0">
        <w:rPr>
          <w:rFonts w:ascii="Arial" w:eastAsia="Calibri" w:hAnsi="Arial" w:cs="Arial"/>
          <w:sz w:val="20"/>
          <w:szCs w:val="20"/>
          <w:lang w:val="es-MX"/>
        </w:rPr>
        <w:t>.</w:t>
      </w:r>
      <w:r w:rsidRPr="00EF69F0">
        <w:rPr>
          <w:rFonts w:ascii="Arial" w:eastAsia="Calibri" w:hAnsi="Arial" w:cs="Arial"/>
          <w:i/>
          <w:iCs/>
          <w:color w:val="000000"/>
          <w:lang w:val="es-ES_tradnl"/>
        </w:rPr>
        <w:t>»</w:t>
      </w:r>
      <w:r w:rsidRPr="00EF69F0">
        <w:rPr>
          <w:rFonts w:ascii="Arial" w:eastAsia="Calibri" w:hAnsi="Arial" w:cs="Arial"/>
          <w:sz w:val="20"/>
          <w:szCs w:val="20"/>
          <w:lang w:val="es-MX"/>
        </w:rPr>
        <w:t xml:space="preserve"> </w:t>
      </w:r>
    </w:p>
    <w:p w14:paraId="42D48DCB" w14:textId="77777777" w:rsidR="00EF69F0" w:rsidRPr="00EF69F0" w:rsidRDefault="00EF69F0" w:rsidP="00EF69F0">
      <w:pPr>
        <w:spacing w:after="0" w:line="276" w:lineRule="auto"/>
        <w:jc w:val="both"/>
        <w:rPr>
          <w:rFonts w:ascii="Arial" w:eastAsia="Calibri" w:hAnsi="Arial" w:cs="Arial"/>
          <w:color w:val="000000"/>
          <w:lang w:val="es-ES_tradnl"/>
        </w:rPr>
      </w:pPr>
    </w:p>
    <w:p w14:paraId="6F508A33" w14:textId="77777777" w:rsidR="00EF69F0" w:rsidRPr="00EF69F0" w:rsidRDefault="00EF69F0" w:rsidP="00EF69F0">
      <w:pPr>
        <w:spacing w:after="120" w:line="276" w:lineRule="auto"/>
        <w:ind w:firstLine="709"/>
        <w:jc w:val="both"/>
        <w:rPr>
          <w:rFonts w:ascii="Arial" w:eastAsia="Times New Roman" w:hAnsi="Arial" w:cs="Arial"/>
          <w:color w:val="000000"/>
          <w:sz w:val="21"/>
          <w:szCs w:val="21"/>
          <w:lang w:val="es-ES_tradnl" w:eastAsia="es-ES_tradnl"/>
        </w:rPr>
      </w:pPr>
      <w:r w:rsidRPr="00EF69F0">
        <w:rPr>
          <w:rFonts w:ascii="Arial" w:eastAsia="Times New Roman" w:hAnsi="Arial" w:cs="Arial"/>
          <w:color w:val="000000"/>
          <w:szCs w:val="24"/>
          <w:lang w:val="es-ES_tradnl" w:eastAsia="es-ES_tradnl"/>
        </w:rPr>
        <w:t xml:space="preserve">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EF69F0">
        <w:rPr>
          <w:rFonts w:ascii="Arial" w:eastAsia="Times New Roman" w:hAnsi="Arial" w:cs="Arial"/>
          <w:i/>
          <w:iCs/>
          <w:color w:val="000000"/>
          <w:szCs w:val="24"/>
          <w:lang w:val="es-ES_tradnl" w:eastAsia="es-ES_tradnl"/>
        </w:rPr>
        <w:t>liquidar</w:t>
      </w:r>
      <w:r w:rsidRPr="00EF69F0">
        <w:rPr>
          <w:rFonts w:ascii="Arial" w:eastAsia="Times New Roman" w:hAnsi="Arial" w:cs="Arial"/>
          <w:color w:val="000000"/>
          <w:szCs w:val="24"/>
          <w:lang w:val="es-ES_tradnl" w:eastAsia="es-ES_tradnl"/>
        </w:rPr>
        <w:t xml:space="preserve"> supone un ajuste en relación con las cuentas y el estado de cumplimiento del contrato estatal y, por el otro, que la </w:t>
      </w:r>
      <w:r w:rsidRPr="00EF69F0">
        <w:rPr>
          <w:rFonts w:ascii="Arial" w:eastAsia="Times New Roman" w:hAnsi="Arial" w:cs="Arial"/>
          <w:i/>
          <w:iCs/>
          <w:color w:val="000000"/>
          <w:szCs w:val="24"/>
          <w:lang w:val="es-ES_tradnl" w:eastAsia="es-ES_tradnl"/>
        </w:rPr>
        <w:t>liquidación</w:t>
      </w:r>
      <w:r w:rsidRPr="00EF69F0">
        <w:rPr>
          <w:rFonts w:ascii="Arial" w:eastAsia="Times New Roman" w:hAnsi="Arial"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EF69F0">
        <w:rPr>
          <w:rFonts w:ascii="Arial" w:eastAsia="Times New Roman" w:hAnsi="Arial" w:cs="Arial"/>
          <w:color w:val="000000"/>
          <w:szCs w:val="24"/>
          <w:vertAlign w:val="superscript"/>
          <w:lang w:val="es-ES_tradnl" w:eastAsia="es-ES_tradnl"/>
        </w:rPr>
        <w:footnoteReference w:id="5"/>
      </w:r>
      <w:r w:rsidRPr="00EF69F0">
        <w:rPr>
          <w:rFonts w:ascii="Arial" w:eastAsia="Times New Roman" w:hAnsi="Arial" w:cs="Arial"/>
          <w:color w:val="000000"/>
          <w:szCs w:val="24"/>
          <w:lang w:val="es-ES_tradnl" w:eastAsia="es-ES_tradnl"/>
        </w:rPr>
        <w:t xml:space="preserve">. </w:t>
      </w:r>
    </w:p>
    <w:p w14:paraId="7FD2A994" w14:textId="77777777" w:rsidR="00EF69F0" w:rsidRPr="00EF69F0" w:rsidRDefault="00EF69F0" w:rsidP="00EF69F0">
      <w:pPr>
        <w:spacing w:after="0" w:line="276" w:lineRule="auto"/>
        <w:ind w:firstLine="709"/>
        <w:jc w:val="both"/>
        <w:rPr>
          <w:rFonts w:ascii="Arial" w:eastAsia="Calibri" w:hAnsi="Arial" w:cs="Arial"/>
          <w:color w:val="000000"/>
          <w:lang w:val="es-ES_tradnl"/>
        </w:rPr>
      </w:pPr>
      <w:r w:rsidRPr="00EF69F0">
        <w:rPr>
          <w:rFonts w:ascii="Arial" w:eastAsia="Calibri" w:hAnsi="Arial" w:cs="Arial"/>
          <w:color w:val="000000"/>
          <w:lang w:val="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4FC09810" w14:textId="77777777" w:rsidR="00EF69F0" w:rsidRPr="00342E13" w:rsidRDefault="00EF69F0" w:rsidP="00EF69F0">
      <w:pPr>
        <w:spacing w:after="0" w:line="276" w:lineRule="auto"/>
        <w:ind w:firstLine="708"/>
        <w:jc w:val="both"/>
        <w:rPr>
          <w:rFonts w:ascii="Arial" w:eastAsia="Calibri" w:hAnsi="Arial" w:cs="Arial"/>
          <w:sz w:val="20"/>
          <w:szCs w:val="20"/>
          <w:lang w:val="es-ES"/>
        </w:rPr>
      </w:pPr>
    </w:p>
    <w:p w14:paraId="2A967D0C" w14:textId="3F53B571" w:rsidR="00EF69F0" w:rsidRPr="00342E13" w:rsidRDefault="00EF69F0" w:rsidP="00EF69F0">
      <w:pPr>
        <w:spacing w:after="0" w:line="240" w:lineRule="auto"/>
        <w:ind w:left="709" w:right="758"/>
        <w:jc w:val="both"/>
        <w:rPr>
          <w:rFonts w:ascii="Arial" w:eastAsia="Calibri" w:hAnsi="Arial" w:cs="Arial"/>
          <w:sz w:val="20"/>
          <w:szCs w:val="20"/>
          <w:lang w:val="es-MX"/>
        </w:rPr>
      </w:pPr>
      <w:r w:rsidRPr="00342E13">
        <w:rPr>
          <w:rFonts w:ascii="Arial" w:eastAsia="Calibri" w:hAnsi="Arial" w:cs="Arial"/>
          <w:sz w:val="20"/>
          <w:szCs w:val="20"/>
          <w:lang w:val="es-ES"/>
        </w:rPr>
        <w:t>«</w:t>
      </w:r>
      <w:r w:rsidRPr="00342E13">
        <w:rPr>
          <w:rFonts w:ascii="Arial" w:eastAsia="Calibri" w:hAnsi="Arial" w:cs="Arial"/>
          <w:sz w:val="20"/>
          <w:szCs w:val="20"/>
          <w:lang w:val="es-MX"/>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w:t>
      </w:r>
      <w:r w:rsidRPr="00342E13">
        <w:rPr>
          <w:rFonts w:ascii="Arial" w:eastAsia="Calibri" w:hAnsi="Arial" w:cs="Arial"/>
          <w:sz w:val="20"/>
          <w:szCs w:val="20"/>
          <w:lang w:val="es-MX"/>
        </w:rPr>
        <w:lastRenderedPageBreak/>
        <w:t>y transacciones a que llegaren las partes para poner fin a las divergencias presentadas y poder declararse a paz y salvo»</w:t>
      </w:r>
      <w:r w:rsidRPr="00342E13">
        <w:rPr>
          <w:rFonts w:ascii="Arial" w:eastAsia="Calibri" w:hAnsi="Arial" w:cs="Arial"/>
          <w:sz w:val="20"/>
          <w:szCs w:val="20"/>
          <w:lang w:val="es-MX"/>
        </w:rPr>
        <w:footnoteReference w:id="6"/>
      </w:r>
    </w:p>
    <w:p w14:paraId="6A480A07" w14:textId="77777777" w:rsidR="00EF69F0" w:rsidRPr="00342E13" w:rsidRDefault="00EF69F0" w:rsidP="00EF69F0">
      <w:pPr>
        <w:spacing w:after="0" w:line="240" w:lineRule="auto"/>
        <w:ind w:left="709" w:right="758"/>
        <w:jc w:val="both"/>
        <w:rPr>
          <w:rFonts w:ascii="Arial" w:eastAsia="Calibri" w:hAnsi="Arial" w:cs="Arial"/>
          <w:sz w:val="20"/>
          <w:szCs w:val="20"/>
          <w:lang w:val="es-ES"/>
        </w:rPr>
      </w:pPr>
    </w:p>
    <w:p w14:paraId="68B5921F" w14:textId="77777777" w:rsidR="00EF69F0" w:rsidRPr="00EF69F0" w:rsidRDefault="00EF69F0" w:rsidP="00EF69F0">
      <w:pPr>
        <w:spacing w:after="120" w:line="276" w:lineRule="auto"/>
        <w:ind w:firstLine="708"/>
        <w:jc w:val="both"/>
        <w:rPr>
          <w:rFonts w:ascii="Arial" w:eastAsia="Calibri" w:hAnsi="Arial" w:cs="Arial"/>
          <w:color w:val="000000"/>
          <w:lang w:val="es-ES_tradnl"/>
        </w:rPr>
      </w:pPr>
      <w:r w:rsidRPr="00EF69F0">
        <w:rPr>
          <w:rFonts w:ascii="Arial" w:eastAsia="Calibri" w:hAnsi="Arial" w:cs="Arial"/>
          <w:color w:val="000000"/>
          <w:lang w:val="es-ES_tradnl"/>
        </w:rPr>
        <w:t>Así las cosas, de acuerdo con el artículo 60 de la Ley 80 de 1993, los contratos de tracto sucesivo, aquellos cuyo cumplimiento o ejecución se prolongue en el tiempo y los demás que lo requieran «</w:t>
      </w:r>
      <w:r w:rsidRPr="00EF69F0">
        <w:rPr>
          <w:rFonts w:ascii="Arial" w:eastAsia="Calibri" w:hAnsi="Arial" w:cs="Arial"/>
          <w:i/>
          <w:iCs/>
          <w:color w:val="000000"/>
          <w:lang w:val="es-ES_tradnl"/>
        </w:rPr>
        <w:t>serán objeto de liquidación</w:t>
      </w:r>
      <w:r w:rsidRPr="00EF69F0">
        <w:rPr>
          <w:rFonts w:ascii="Arial" w:eastAsia="Calibri" w:hAnsi="Arial" w:cs="Arial"/>
          <w:color w:val="000000"/>
          <w:lang w:val="es-ES_tradnl"/>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EF69F0">
        <w:rPr>
          <w:rFonts w:ascii="Arial" w:eastAsia="Calibri" w:hAnsi="Arial" w:cs="Arial"/>
          <w:color w:val="000000"/>
          <w:vertAlign w:val="superscript"/>
          <w:lang w:val="es-ES_tradnl"/>
        </w:rPr>
        <w:footnoteReference w:id="7"/>
      </w:r>
      <w:r w:rsidRPr="00EF69F0">
        <w:rPr>
          <w:rFonts w:ascii="Arial" w:eastAsia="Calibri" w:hAnsi="Arial" w:cs="Arial"/>
          <w:color w:val="000000"/>
          <w:lang w:val="es-ES_tradnl"/>
        </w:rPr>
        <w:t xml:space="preserve">, así como la probabilidad de que puedan surgir diferencias durante la ejecución del contrato; sin perjuicio de que, como se indicó, todos los contratos estatales de </w:t>
      </w:r>
      <w:r w:rsidRPr="00EF69F0">
        <w:rPr>
          <w:rFonts w:ascii="Arial" w:eastAsia="Calibri" w:hAnsi="Arial" w:cs="Arial"/>
          <w:i/>
          <w:iCs/>
          <w:color w:val="000000"/>
          <w:lang w:val="es-ES_tradnl"/>
        </w:rPr>
        <w:t>tracto sucesivo</w:t>
      </w:r>
      <w:r w:rsidRPr="00EF69F0">
        <w:rPr>
          <w:rFonts w:ascii="Arial" w:eastAsia="Calibri" w:hAnsi="Arial" w:cs="Arial"/>
          <w:color w:val="000000"/>
          <w:lang w:val="es-ES_tradnl"/>
        </w:rPr>
        <w:t xml:space="preserve"> o aquellos cuya ejecución se prolongue en el tiempo siempre deban liquidarse, convirtiéndose en estos contratos en una cláusula de la naturaleza, conforme a la clasificación prevista en el Código Civil.</w:t>
      </w:r>
    </w:p>
    <w:p w14:paraId="18B39877" w14:textId="77777777" w:rsidR="00EF69F0" w:rsidRPr="00EF69F0" w:rsidRDefault="00EF69F0" w:rsidP="00EF69F0">
      <w:pPr>
        <w:spacing w:after="120" w:line="276" w:lineRule="auto"/>
        <w:ind w:firstLine="708"/>
        <w:jc w:val="both"/>
        <w:rPr>
          <w:rFonts w:ascii="Arial" w:eastAsia="Calibri" w:hAnsi="Arial" w:cs="Arial"/>
          <w:color w:val="000000"/>
          <w:lang w:val="es-ES_tradnl"/>
        </w:rPr>
      </w:pPr>
      <w:r w:rsidRPr="00EF69F0">
        <w:rPr>
          <w:rFonts w:ascii="Arial" w:eastAsia="Calibri" w:hAnsi="Arial" w:cs="Arial"/>
          <w:color w:val="000000"/>
          <w:lang w:val="es-ES_tradnl"/>
        </w:rPr>
        <w:t>Por su parte, el artículo 11 de la Ley 1150 de 2007</w:t>
      </w:r>
      <w:r w:rsidRPr="00EF69F0">
        <w:rPr>
          <w:rFonts w:ascii="Arial" w:eastAsia="Calibri" w:hAnsi="Arial" w:cs="Arial"/>
          <w:color w:val="000000"/>
          <w:vertAlign w:val="superscript"/>
          <w:lang w:val="es-ES_tradnl"/>
        </w:rPr>
        <w:footnoteReference w:id="8"/>
      </w:r>
      <w:r w:rsidRPr="00EF69F0">
        <w:rPr>
          <w:rFonts w:ascii="Arial" w:eastAsia="Calibri" w:hAnsi="Arial" w:cs="Arial"/>
          <w:color w:val="000000"/>
          <w:lang w:val="es-ES_tradnl"/>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EF69F0">
        <w:rPr>
          <w:rFonts w:ascii="Arial" w:eastAsia="Calibri" w:hAnsi="Arial" w:cs="Arial"/>
          <w:color w:val="000000"/>
          <w:lang w:val="es-ES_tradnl"/>
        </w:rPr>
        <w:t>ii</w:t>
      </w:r>
      <w:proofErr w:type="spellEnd"/>
      <w:r w:rsidRPr="00EF69F0">
        <w:rPr>
          <w:rFonts w:ascii="Arial" w:eastAsia="Calibri" w:hAnsi="Arial" w:cs="Arial"/>
          <w:color w:val="000000"/>
          <w:lang w:val="es-ES_tradnl"/>
        </w:rPr>
        <w:t xml:space="preserve">) la expedición del acto </w:t>
      </w:r>
      <w:r w:rsidRPr="00EF69F0">
        <w:rPr>
          <w:rFonts w:ascii="Arial" w:eastAsia="Calibri" w:hAnsi="Arial" w:cs="Arial"/>
          <w:color w:val="000000"/>
          <w:lang w:val="es-ES_tradnl"/>
        </w:rPr>
        <w:lastRenderedPageBreak/>
        <w:t xml:space="preserve">administrativo que ordene la terminación del contrato; o, </w:t>
      </w:r>
      <w:proofErr w:type="spellStart"/>
      <w:r w:rsidRPr="00EF69F0">
        <w:rPr>
          <w:rFonts w:ascii="Arial" w:eastAsia="Calibri" w:hAnsi="Arial" w:cs="Arial"/>
          <w:color w:val="000000"/>
          <w:lang w:val="es-ES_tradnl"/>
        </w:rPr>
        <w:t>iii</w:t>
      </w:r>
      <w:proofErr w:type="spellEnd"/>
      <w:r w:rsidRPr="00EF69F0">
        <w:rPr>
          <w:rFonts w:ascii="Arial" w:eastAsia="Calibri" w:hAnsi="Arial" w:cs="Arial"/>
          <w:color w:val="000000"/>
          <w:lang w:val="es-ES_tradnl"/>
        </w:rPr>
        <w:t>) la fecha del acuerdo que disponga la terminación del contrato.</w:t>
      </w:r>
    </w:p>
    <w:p w14:paraId="3CECC19B" w14:textId="77777777" w:rsidR="00EF69F0" w:rsidRPr="00EF69F0" w:rsidRDefault="00EF69F0" w:rsidP="00EF69F0">
      <w:pPr>
        <w:spacing w:after="120" w:line="276" w:lineRule="auto"/>
        <w:ind w:firstLine="709"/>
        <w:jc w:val="both"/>
        <w:rPr>
          <w:rFonts w:ascii="Arial" w:eastAsia="Times New Roman" w:hAnsi="Arial" w:cs="Arial"/>
          <w:lang w:val="es-ES_tradnl" w:eastAsia="es-ES_tradnl"/>
        </w:rPr>
      </w:pPr>
      <w:r w:rsidRPr="00EF69F0">
        <w:rPr>
          <w:rFonts w:ascii="Arial" w:eastAsia="Times New Roman" w:hAnsi="Arial" w:cs="Arial"/>
          <w:szCs w:val="24"/>
          <w:lang w:val="es-ES_tradnl" w:eastAsia="es-ES_tradnl"/>
        </w:rPr>
        <w:t xml:space="preserve">El artículo 11 de la Ley 1150 de 2007 señala que la liquidación de mutuo acuerdo deberá realizar dentro del plazo previsto en </w:t>
      </w:r>
      <w:r w:rsidRPr="00EF69F0">
        <w:rPr>
          <w:rFonts w:ascii="Arial" w:eastAsia="Times New Roman" w:hAnsi="Arial" w:cs="Arial"/>
          <w:i/>
          <w:iCs/>
          <w:szCs w:val="24"/>
          <w:lang w:val="es-ES_tradnl" w:eastAsia="es-ES_tradnl"/>
        </w:rPr>
        <w:t>«</w:t>
      </w:r>
      <w:r w:rsidRPr="00EF69F0">
        <w:rPr>
          <w:rFonts w:ascii="Arial" w:eastAsia="Times New Roman" w:hAnsi="Arial" w:cs="Arial"/>
          <w:i/>
          <w:iCs/>
          <w:lang w:val="es-ES_tradnl" w:eastAsia="es-ES_tradnl"/>
        </w:rPr>
        <w:t>los pliegos de condiciones o sus equivalentes, o dentro del que acuerden las partes para el efecto».</w:t>
      </w:r>
      <w:r w:rsidRPr="00EF69F0">
        <w:rPr>
          <w:rFonts w:ascii="Arial" w:eastAsia="Times New Roman" w:hAnsi="Arial" w:cs="Arial"/>
          <w:lang w:val="es-ES_tradnl" w:eastAsia="es-ES_tradnl"/>
        </w:rPr>
        <w:t xml:space="preserve"> Para dilucidar a qué se refiere la norma con «equivalentes» resulta necesario tener presente que el pliego de condiciones es un documento contentivo de las reglas aplicables a un determinado proceso de selección, que </w:t>
      </w:r>
      <w:r w:rsidRPr="00EF69F0">
        <w:rPr>
          <w:rFonts w:ascii="Arial" w:eastAsia="Times New Roman" w:hAnsi="Arial" w:cs="Arial"/>
          <w:i/>
          <w:iCs/>
          <w:lang w:val="es-ES_tradnl" w:eastAsia="es-ES_tradnl"/>
        </w:rPr>
        <w:t>«</w:t>
      </w:r>
      <w:r w:rsidRPr="00EF69F0">
        <w:rPr>
          <w:rFonts w:ascii="Arial" w:eastAsia="Times New Roman" w:hAnsi="Arial" w:cs="Arial"/>
          <w:i/>
          <w:iCs/>
          <w:szCs w:val="24"/>
          <w:lang w:val="es-ES_tradnl" w:eastAsia="es-ES_tradnl"/>
        </w:rPr>
        <w:t>materializa los principios de planeación contractual y de trasparencia, comoquiera que su adecuada formulación permite o garantiza la selección objetiva del contratista de acuerdo con los parámetros de calificación correspondientes para cada tipo de procedimiento [y que</w:t>
      </w:r>
      <w:r w:rsidRPr="00EF69F0">
        <w:rPr>
          <w:rFonts w:ascii="Arial" w:eastAsia="Times New Roman" w:hAnsi="Arial" w:cs="Arial"/>
          <w:i/>
          <w:iCs/>
          <w:lang w:val="es-ES_tradnl" w:eastAsia="es-ES_tradnl"/>
        </w:rPr>
        <w:t>] constituye la ley tanto del procedimiento administrativo de selección del contratista, como del contrato a</w:t>
      </w:r>
      <w:r w:rsidRPr="00EF69F0">
        <w:rPr>
          <w:rFonts w:ascii="Arial" w:eastAsia="Times New Roman" w:hAnsi="Arial" w:cs="Arial"/>
          <w:i/>
          <w:iCs/>
          <w:spacing w:val="-7"/>
          <w:lang w:val="es-ES_tradnl" w:eastAsia="es-ES_tradnl"/>
        </w:rPr>
        <w:t xml:space="preserve"> </w:t>
      </w:r>
      <w:r w:rsidRPr="00EF69F0">
        <w:rPr>
          <w:rFonts w:ascii="Arial" w:eastAsia="Times New Roman" w:hAnsi="Arial" w:cs="Arial"/>
          <w:i/>
          <w:iCs/>
          <w:lang w:val="es-ES_tradnl" w:eastAsia="es-ES_tradnl"/>
        </w:rPr>
        <w:t>celebrar»</w:t>
      </w:r>
      <w:r w:rsidRPr="00EF69F0">
        <w:rPr>
          <w:rFonts w:ascii="Arial" w:eastAsia="Times New Roman" w:hAnsi="Arial" w:cs="Arial"/>
          <w:i/>
          <w:iCs/>
          <w:vertAlign w:val="superscript"/>
          <w:lang w:val="es-ES_tradnl" w:eastAsia="es-ES_tradnl"/>
        </w:rPr>
        <w:footnoteReference w:id="9"/>
      </w:r>
      <w:r w:rsidRPr="00EF69F0">
        <w:rPr>
          <w:rFonts w:ascii="Arial" w:eastAsia="Times New Roman" w:hAnsi="Arial" w:cs="Arial"/>
          <w:i/>
          <w:iCs/>
          <w:lang w:val="es-ES_tradnl" w:eastAsia="es-ES_tradnl"/>
        </w:rPr>
        <w:t>.</w:t>
      </w:r>
      <w:r w:rsidRPr="00EF69F0">
        <w:rPr>
          <w:rFonts w:ascii="Arial" w:eastAsia="Times New Roman" w:hAnsi="Arial" w:cs="Arial"/>
          <w:lang w:val="es-ES_tradnl" w:eastAsia="es-ES_tradnl"/>
        </w:rPr>
        <w:t xml:space="preserve"> A partir de tales características debe determinarse la equivalencia de un documento con un pliego de condiciones, la cual se puede ejemplificar claramente con la invitación a participar en los procesos de mínima cuantía</w:t>
      </w:r>
      <w:r w:rsidRPr="00EF69F0">
        <w:rPr>
          <w:rFonts w:ascii="Arial" w:eastAsia="Times New Roman" w:hAnsi="Arial" w:cs="Arial"/>
          <w:vertAlign w:val="superscript"/>
          <w:lang w:val="es-ES_tradnl" w:eastAsia="es-ES_tradnl"/>
        </w:rPr>
        <w:footnoteReference w:id="10"/>
      </w:r>
      <w:r w:rsidRPr="00EF69F0">
        <w:rPr>
          <w:rFonts w:ascii="Arial" w:eastAsia="Times New Roman" w:hAnsi="Arial" w:cs="Arial"/>
          <w:lang w:val="es-ES_tradnl" w:eastAsia="es-ES_tradnl"/>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proofErr w:type="spellStart"/>
      <w:r w:rsidRPr="00EF69F0">
        <w:rPr>
          <w:rFonts w:ascii="Arial" w:eastAsia="Times New Roman" w:hAnsi="Arial" w:cs="Arial"/>
          <w:i/>
          <w:iCs/>
          <w:lang w:val="es-ES_tradnl" w:eastAsia="es-ES_tradnl"/>
        </w:rPr>
        <w:t>Ibídem</w:t>
      </w:r>
      <w:proofErr w:type="spellEnd"/>
      <w:r w:rsidRPr="00EF69F0">
        <w:rPr>
          <w:rFonts w:ascii="Arial" w:eastAsia="Times New Roman" w:hAnsi="Arial" w:cs="Arial"/>
          <w:i/>
          <w:iCs/>
          <w:lang w:val="es-ES_tradnl" w:eastAsia="es-ES_tradnl"/>
        </w:rPr>
        <w:t xml:space="preserve">, </w:t>
      </w:r>
      <w:r w:rsidRPr="00EF69F0">
        <w:rPr>
          <w:rFonts w:ascii="Arial" w:eastAsia="Times New Roman" w:hAnsi="Arial" w:cs="Arial"/>
          <w:lang w:val="es-ES_tradnl" w:eastAsia="es-ES_tradnl"/>
        </w:rPr>
        <w:t xml:space="preserve">dentro del cual es viable establecer el plazo para la liquidación de mutuo acuerdo. </w:t>
      </w:r>
    </w:p>
    <w:p w14:paraId="61CC2FDF" w14:textId="77777777" w:rsidR="00EF69F0" w:rsidRPr="00EF69F0" w:rsidRDefault="00EF69F0" w:rsidP="00EF69F0">
      <w:pPr>
        <w:spacing w:after="120" w:line="276" w:lineRule="auto"/>
        <w:ind w:firstLine="709"/>
        <w:jc w:val="both"/>
        <w:rPr>
          <w:rFonts w:ascii="Arial" w:eastAsia="Times New Roman" w:hAnsi="Arial" w:cs="Arial"/>
          <w:lang w:val="es-ES_tradnl" w:eastAsia="es-ES_tradnl"/>
        </w:rPr>
      </w:pPr>
      <w:r w:rsidRPr="00EF69F0">
        <w:rPr>
          <w:rFonts w:ascii="Arial" w:eastAsia="Times New Roman" w:hAnsi="Arial" w:cs="Arial"/>
          <w:lang w:val="es-ES_tradnl" w:eastAsia="es-ES_tradnl"/>
        </w:rPr>
        <w:t>De otra parte, cuando el artículo 11 de la Ley 1150 de 2007 hace referencia al término que «</w:t>
      </w:r>
      <w:r w:rsidRPr="00EF69F0">
        <w:rPr>
          <w:rFonts w:ascii="Arial" w:eastAsia="Times New Roman" w:hAnsi="Arial" w:cs="Arial"/>
          <w:i/>
          <w:iCs/>
          <w:lang w:val="es-ES_tradnl" w:eastAsia="es-ES_tradnl"/>
        </w:rPr>
        <w:t>acuerden las partes</w:t>
      </w:r>
      <w:r w:rsidRPr="00EF69F0">
        <w:rPr>
          <w:rFonts w:ascii="Arial" w:eastAsia="Times New Roman" w:hAnsi="Arial" w:cs="Arial"/>
          <w:lang w:val="es-ES_tradnl" w:eastAsia="es-ES_tradnl"/>
        </w:rPr>
        <w:t xml:space="preserve">»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Por tal razón, su celebración debe cumplir con los requisitos del negocio jurídico, ameritando la concurrencia de capacidad jurídica de los agentes, un consentimiento libre </w:t>
      </w:r>
      <w:r w:rsidRPr="00EF69F0">
        <w:rPr>
          <w:rFonts w:ascii="Arial" w:eastAsia="Times New Roman" w:hAnsi="Arial" w:cs="Arial"/>
          <w:lang w:val="es-ES_tradnl" w:eastAsia="es-ES_tradnl"/>
        </w:rPr>
        <w:lastRenderedPageBreak/>
        <w:t>de vicios, un objeto y causa lícita, así como la elevación a escrito requerida en materia de contratación estatal</w:t>
      </w:r>
      <w:r w:rsidRPr="00EF69F0">
        <w:rPr>
          <w:rFonts w:ascii="Arial" w:eastAsia="Times New Roman" w:hAnsi="Arial" w:cs="Arial"/>
          <w:vertAlign w:val="superscript"/>
          <w:lang w:val="es-ES_tradnl" w:eastAsia="es-ES_tradnl"/>
        </w:rPr>
        <w:footnoteReference w:id="11"/>
      </w:r>
      <w:r w:rsidRPr="00EF69F0">
        <w:rPr>
          <w:rFonts w:ascii="Arial" w:eastAsia="Times New Roman" w:hAnsi="Arial" w:cs="Arial"/>
          <w:lang w:val="es-ES_tradnl" w:eastAsia="es-ES_tradnl"/>
        </w:rPr>
        <w:t xml:space="preserve">. </w:t>
      </w:r>
    </w:p>
    <w:p w14:paraId="715572AC" w14:textId="77777777" w:rsidR="00EF69F0" w:rsidRPr="00EF69F0" w:rsidRDefault="00EF69F0" w:rsidP="00EF69F0">
      <w:pPr>
        <w:spacing w:after="120" w:line="276" w:lineRule="auto"/>
        <w:ind w:firstLine="709"/>
        <w:jc w:val="both"/>
        <w:rPr>
          <w:rFonts w:ascii="Arial" w:eastAsia="Calibri" w:hAnsi="Arial" w:cs="Arial"/>
          <w:lang w:val="es-ES_tradnl"/>
        </w:rPr>
      </w:pPr>
      <w:r w:rsidRPr="00EF69F0">
        <w:rPr>
          <w:rFonts w:ascii="Arial" w:eastAsia="Calibri" w:hAnsi="Arial" w:cs="Arial"/>
          <w:lang w:val="es-ES_tradnl"/>
        </w:rPr>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EF69F0">
        <w:rPr>
          <w:rFonts w:ascii="Arial" w:eastAsia="Calibri" w:hAnsi="Arial" w:cs="Arial"/>
          <w:vertAlign w:val="superscript"/>
          <w:lang w:val="es-ES_tradnl"/>
        </w:rPr>
        <w:footnoteReference w:id="12"/>
      </w:r>
      <w:r w:rsidRPr="00EF69F0">
        <w:rPr>
          <w:rFonts w:ascii="Arial" w:eastAsia="Calibri" w:hAnsi="Arial" w:cs="Arial"/>
          <w:lang w:val="es-ES_tradnl"/>
        </w:rPr>
        <w:t>, lo cual implica que las mismas se desarrollen en procura de la economía y la celeridad</w:t>
      </w:r>
      <w:r w:rsidRPr="00EF69F0">
        <w:rPr>
          <w:rFonts w:ascii="Arial" w:eastAsia="Calibri" w:hAnsi="Arial" w:cs="Arial"/>
          <w:vertAlign w:val="superscript"/>
          <w:lang w:val="es-ES_tradnl"/>
        </w:rPr>
        <w:footnoteReference w:id="13"/>
      </w:r>
      <w:r w:rsidRPr="00EF69F0">
        <w:rPr>
          <w:rFonts w:ascii="Arial" w:eastAsia="Calibri" w:hAnsi="Arial" w:cs="Arial"/>
          <w:lang w:val="es-ES_tradnl"/>
        </w:rPr>
        <w:t>. Esto significa que, en ejercicio de la facultad que les asiste para fijar el plazo para la liquidación bilateral, las partes deben actuar en garantía de estos principios, por lo que el término que se acuerde debe ser fijado de manera razonable.</w:t>
      </w:r>
    </w:p>
    <w:p w14:paraId="761D2991" w14:textId="77777777" w:rsidR="00EF69F0" w:rsidRPr="00EF69F0" w:rsidRDefault="00EF69F0" w:rsidP="00EF69F0">
      <w:pPr>
        <w:spacing w:after="120" w:line="276" w:lineRule="auto"/>
        <w:ind w:firstLine="709"/>
        <w:jc w:val="both"/>
        <w:rPr>
          <w:rFonts w:ascii="Arial" w:eastAsia="Calibri" w:hAnsi="Arial" w:cs="Arial"/>
          <w:color w:val="000000"/>
          <w:lang w:val="es-ES_tradnl"/>
        </w:rPr>
      </w:pPr>
      <w:r w:rsidRPr="00EF69F0">
        <w:rPr>
          <w:rFonts w:ascii="Arial" w:eastAsia="Calibri" w:hAnsi="Arial" w:cs="Arial"/>
          <w:color w:val="000000"/>
          <w:lang w:val="es-ES_tradnl"/>
        </w:rPr>
        <w:t xml:space="preserve">Durante este término, el contratista puede solicitar que se adelante el trámite de liquidación. Sin embargo, es responsabilidad de la Entidad Estatal convocarlo para adelantar la </w:t>
      </w:r>
      <w:r w:rsidRPr="00EF69F0">
        <w:rPr>
          <w:rFonts w:ascii="Arial" w:eastAsia="Calibri" w:hAnsi="Arial" w:cs="Arial"/>
          <w:color w:val="000000"/>
          <w:lang w:val="es-ES_tradnl"/>
        </w:rPr>
        <w:lastRenderedPageBreak/>
        <w:t>liquidación de común acuerdo o notificarlo para que se presente a realizarla</w:t>
      </w:r>
      <w:r w:rsidRPr="00EF69F0">
        <w:rPr>
          <w:rFonts w:ascii="Arial" w:eastAsia="Calibri" w:hAnsi="Arial" w:cs="Arial"/>
          <w:color w:val="000000"/>
          <w:vertAlign w:val="superscript"/>
          <w:lang w:val="es-ES_tradnl"/>
        </w:rPr>
        <w:footnoteReference w:id="14"/>
      </w:r>
      <w:r w:rsidRPr="00EF69F0">
        <w:rPr>
          <w:rFonts w:ascii="Arial" w:eastAsia="Calibri" w:hAnsi="Arial" w:cs="Arial"/>
          <w:color w:val="000000"/>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EF69F0">
        <w:rPr>
          <w:rFonts w:ascii="Arial" w:eastAsia="Calibri" w:hAnsi="Arial" w:cs="Arial"/>
          <w:iCs/>
          <w:color w:val="000000"/>
          <w:vertAlign w:val="superscript"/>
          <w:lang w:val="es-ES_tradnl"/>
        </w:rPr>
        <w:footnoteReference w:id="15"/>
      </w:r>
      <w:r w:rsidRPr="00EF69F0">
        <w:rPr>
          <w:rFonts w:ascii="Arial" w:eastAsia="Calibri" w:hAnsi="Arial" w:cs="Arial"/>
          <w:color w:val="000000"/>
          <w:lang w:val="es-ES_tradnl"/>
        </w:rPr>
        <w:t xml:space="preserve">, y </w:t>
      </w:r>
      <w:r w:rsidRPr="00EF69F0">
        <w:rPr>
          <w:rFonts w:ascii="Arial" w:eastAsia="Calibri" w:hAnsi="Arial" w:cs="Arial"/>
          <w:iCs/>
          <w:color w:val="000000"/>
          <w:lang w:val="es-ES_tradnl"/>
        </w:rPr>
        <w:t>el documento que la contiene presta mérito ejecutivo, siempre que se satisfagan los elementos para considerarlo como tal</w:t>
      </w:r>
      <w:r w:rsidRPr="00EF69F0">
        <w:rPr>
          <w:rFonts w:ascii="Arial" w:eastAsia="Calibri" w:hAnsi="Arial" w:cs="Arial"/>
          <w:color w:val="000000"/>
          <w:lang w:val="es-ES_tradnl"/>
        </w:rPr>
        <w:t>.</w:t>
      </w:r>
    </w:p>
    <w:p w14:paraId="57D08DE5" w14:textId="77777777" w:rsidR="00EF69F0" w:rsidRPr="00EF69F0" w:rsidRDefault="00EF69F0" w:rsidP="00EF69F0">
      <w:pPr>
        <w:spacing w:after="0" w:line="276" w:lineRule="auto"/>
        <w:ind w:firstLine="705"/>
        <w:jc w:val="both"/>
        <w:rPr>
          <w:rFonts w:ascii="Arial" w:eastAsia="Times New Roman" w:hAnsi="Arial" w:cs="Arial"/>
          <w:color w:val="000000"/>
          <w:lang w:eastAsia="es-ES_tradnl"/>
        </w:rPr>
      </w:pPr>
      <w:r w:rsidRPr="00EF69F0">
        <w:rPr>
          <w:rFonts w:ascii="Arial" w:eastAsia="Times New Roman" w:hAnsi="Arial" w:cs="Arial"/>
          <w:color w:val="000000"/>
          <w:bdr w:val="none" w:sz="0" w:space="0" w:color="auto"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En relación con este aspecto, la </w:t>
      </w:r>
      <w:r w:rsidRPr="00EF69F0">
        <w:rPr>
          <w:rFonts w:ascii="Arial" w:eastAsia="Times New Roman" w:hAnsi="Arial" w:cs="Arial"/>
          <w:color w:val="000000"/>
          <w:bdr w:val="none" w:sz="0" w:space="0" w:color="auto" w:frame="1"/>
          <w:shd w:val="clear" w:color="auto" w:fill="FFFFFF"/>
          <w:lang w:val="es-MX" w:eastAsia="es-ES_tradnl"/>
        </w:rPr>
        <w:t xml:space="preserve">Sala de Consulta y Servicio Civil del </w:t>
      </w:r>
      <w:r w:rsidRPr="00EF69F0">
        <w:rPr>
          <w:rFonts w:ascii="Arial" w:eastAsia="Times New Roman" w:hAnsi="Arial" w:cs="Arial"/>
          <w:color w:val="000000"/>
          <w:bdr w:val="none" w:sz="0" w:space="0" w:color="auto" w:frame="1"/>
          <w:shd w:val="clear" w:color="auto" w:fill="FFFFFF"/>
          <w:lang w:val="es-ES" w:eastAsia="es-ES_tradnl"/>
        </w:rPr>
        <w:t>Consejo de Estado</w:t>
      </w:r>
      <w:r w:rsidRPr="00EF69F0">
        <w:rPr>
          <w:rFonts w:ascii="Arial" w:eastAsia="Times New Roman" w:hAnsi="Arial" w:cs="Arial"/>
          <w:color w:val="000000"/>
          <w:bdr w:val="none" w:sz="0" w:space="0" w:color="auto" w:frame="1"/>
          <w:shd w:val="clear" w:color="auto" w:fill="FFFFFF"/>
          <w:lang w:val="es-MX" w:eastAsia="es-ES_tradnl"/>
        </w:rPr>
        <w:t>, en concepto del 28 de junio de 2016</w:t>
      </w:r>
      <w:r w:rsidRPr="00EF69F0">
        <w:rPr>
          <w:rFonts w:ascii="Arial" w:eastAsia="Times New Roman" w:hAnsi="Arial" w:cs="Arial"/>
          <w:color w:val="000000"/>
          <w:bdr w:val="none" w:sz="0" w:space="0" w:color="auto" w:frame="1"/>
          <w:shd w:val="clear" w:color="auto" w:fill="FFFFFF"/>
          <w:vertAlign w:val="superscript"/>
          <w:lang w:val="es-MX" w:eastAsia="es-ES_tradnl"/>
        </w:rPr>
        <w:footnoteReference w:id="16"/>
      </w:r>
      <w:r w:rsidRPr="00EF69F0">
        <w:rPr>
          <w:rFonts w:ascii="Arial" w:eastAsia="Times New Roman" w:hAnsi="Arial" w:cs="Arial"/>
          <w:color w:val="000000"/>
          <w:bdr w:val="none" w:sz="0" w:space="0" w:color="auto" w:frame="1"/>
          <w:shd w:val="clear" w:color="auto" w:fill="FFFFFF"/>
          <w:lang w:val="es-MX" w:eastAsia="es-ES_tradnl"/>
        </w:rPr>
        <w:t>, manifestó que:  </w:t>
      </w:r>
    </w:p>
    <w:p w14:paraId="76E06B85" w14:textId="77777777" w:rsidR="00EF69F0" w:rsidRPr="00EF69F0" w:rsidRDefault="00EF69F0" w:rsidP="00EF69F0">
      <w:pPr>
        <w:spacing w:after="0" w:line="276" w:lineRule="auto"/>
        <w:ind w:left="705" w:right="750"/>
        <w:jc w:val="both"/>
        <w:rPr>
          <w:rFonts w:ascii="Arial" w:eastAsia="Times New Roman" w:hAnsi="Arial" w:cs="Arial"/>
          <w:color w:val="000000"/>
          <w:lang w:eastAsia="es-ES_tradnl"/>
        </w:rPr>
      </w:pPr>
    </w:p>
    <w:p w14:paraId="1A89CBA6" w14:textId="77777777" w:rsidR="00EF69F0" w:rsidRPr="00EF69F0" w:rsidRDefault="00EF69F0" w:rsidP="00EF69F0">
      <w:pPr>
        <w:spacing w:after="0" w:line="240" w:lineRule="auto"/>
        <w:ind w:left="705" w:right="750"/>
        <w:jc w:val="both"/>
        <w:rPr>
          <w:rFonts w:ascii="Arial" w:eastAsia="Times New Roman" w:hAnsi="Arial" w:cs="Arial"/>
          <w:color w:val="000000"/>
          <w:sz w:val="20"/>
          <w:szCs w:val="20"/>
          <w:lang w:eastAsia="es-ES_tradnl"/>
        </w:rPr>
      </w:pPr>
      <w:r w:rsidRPr="00EF69F0">
        <w:rPr>
          <w:rFonts w:ascii="Arial" w:eastAsia="Times New Roman" w:hAnsi="Arial" w:cs="Arial"/>
          <w:i/>
          <w:iCs/>
          <w:sz w:val="20"/>
          <w:szCs w:val="20"/>
          <w:lang w:val="es-ES_tradnl" w:eastAsia="es-ES_tradnl"/>
        </w:rPr>
        <w:t>«</w:t>
      </w:r>
      <w:r w:rsidRPr="00EF69F0">
        <w:rPr>
          <w:rFonts w:ascii="Arial" w:eastAsia="Calibri" w:hAnsi="Arial" w:cs="Arial"/>
          <w:color w:val="000000"/>
          <w:sz w:val="20"/>
          <w:szCs w:val="20"/>
          <w:lang w:val="es-ES" w:eastAsia="es-ES_tradnl"/>
        </w:rPr>
        <w:t>[</w:t>
      </w:r>
      <w:r w:rsidRPr="00EF69F0">
        <w:rPr>
          <w:rFonts w:ascii="Arial" w:eastAsia="Times New Roman" w:hAnsi="Arial" w:cs="Arial"/>
          <w:color w:val="000000"/>
          <w:sz w:val="20"/>
          <w:szCs w:val="20"/>
          <w:bdr w:val="none" w:sz="0" w:space="0" w:color="auto" w:frame="1"/>
          <w:shd w:val="clear" w:color="auto" w:fill="FFFFFF"/>
          <w:lang w:eastAsia="es-ES_tradnl"/>
        </w:rPr>
        <w:t>…]</w:t>
      </w:r>
      <w:r w:rsidRPr="00EF69F0">
        <w:rPr>
          <w:rFonts w:ascii="Arial" w:eastAsia="Times New Roman" w:hAnsi="Arial" w:cs="Arial"/>
          <w:color w:val="000000"/>
          <w:sz w:val="20"/>
          <w:szCs w:val="20"/>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EF69F0">
        <w:rPr>
          <w:rFonts w:ascii="Arial" w:eastAsia="Times New Roman" w:hAnsi="Arial" w:cs="Arial"/>
          <w:i/>
          <w:iCs/>
          <w:sz w:val="20"/>
          <w:szCs w:val="20"/>
          <w:lang w:val="es-ES_tradnl" w:eastAsia="es-ES_tradnl"/>
        </w:rPr>
        <w:t>»</w:t>
      </w:r>
      <w:r w:rsidRPr="00EF69F0">
        <w:rPr>
          <w:rFonts w:ascii="Arial" w:eastAsia="Times New Roman" w:hAnsi="Arial" w:cs="Arial"/>
          <w:color w:val="000000"/>
          <w:sz w:val="20"/>
          <w:szCs w:val="20"/>
          <w:bdr w:val="none" w:sz="0" w:space="0" w:color="auto" w:frame="1"/>
          <w:shd w:val="clear" w:color="auto" w:fill="FFFFFF"/>
          <w:lang w:val="es-ES" w:eastAsia="es-ES_tradnl"/>
        </w:rPr>
        <w:t> </w:t>
      </w:r>
      <w:r w:rsidRPr="00EF69F0">
        <w:rPr>
          <w:rFonts w:ascii="Arial" w:eastAsia="Times New Roman" w:hAnsi="Arial" w:cs="Arial"/>
          <w:color w:val="000000"/>
          <w:sz w:val="20"/>
          <w:szCs w:val="20"/>
          <w:bdr w:val="none" w:sz="0" w:space="0" w:color="auto" w:frame="1"/>
          <w:shd w:val="clear" w:color="auto" w:fill="FFFFFF"/>
          <w:lang w:eastAsia="es-ES_tradnl"/>
        </w:rPr>
        <w:t>  </w:t>
      </w:r>
    </w:p>
    <w:p w14:paraId="33565C5F" w14:textId="77777777" w:rsidR="00EF69F0" w:rsidRPr="00EF69F0" w:rsidRDefault="00EF69F0" w:rsidP="00EF69F0">
      <w:pPr>
        <w:spacing w:after="0" w:line="276" w:lineRule="auto"/>
        <w:ind w:left="705" w:right="750"/>
        <w:jc w:val="both"/>
        <w:rPr>
          <w:rFonts w:ascii="Arial" w:eastAsia="Times New Roman" w:hAnsi="Arial" w:cs="Arial"/>
          <w:color w:val="000000"/>
          <w:lang w:eastAsia="es-ES_tradnl"/>
        </w:rPr>
      </w:pPr>
    </w:p>
    <w:p w14:paraId="132283C7" w14:textId="77777777" w:rsidR="00EF69F0" w:rsidRPr="00EF69F0" w:rsidRDefault="00EF69F0" w:rsidP="00EF69F0">
      <w:pPr>
        <w:spacing w:after="120" w:line="276" w:lineRule="auto"/>
        <w:ind w:firstLine="705"/>
        <w:jc w:val="both"/>
        <w:rPr>
          <w:rFonts w:ascii="Arial" w:eastAsia="Times New Roman" w:hAnsi="Arial" w:cs="Arial"/>
          <w:color w:val="000000"/>
          <w:lang w:eastAsia="es-ES_tradnl"/>
        </w:rPr>
      </w:pPr>
      <w:r w:rsidRPr="00EF69F0">
        <w:rPr>
          <w:rFonts w:ascii="Arial" w:eastAsia="Times New Roman" w:hAnsi="Arial"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2E2625E9" w14:textId="77777777" w:rsidR="00EF69F0" w:rsidRPr="00EF69F0" w:rsidRDefault="00EF69F0" w:rsidP="00EF69F0">
      <w:pPr>
        <w:spacing w:after="0" w:line="276" w:lineRule="auto"/>
        <w:ind w:firstLine="705"/>
        <w:jc w:val="both"/>
        <w:rPr>
          <w:rFonts w:ascii="Arial" w:eastAsia="Times New Roman" w:hAnsi="Arial" w:cs="Arial"/>
          <w:color w:val="000000"/>
          <w:bdr w:val="none" w:sz="0" w:space="0" w:color="auto" w:frame="1"/>
          <w:shd w:val="clear" w:color="auto" w:fill="FFFFFF"/>
          <w:lang w:eastAsia="es-ES_tradnl"/>
        </w:rPr>
      </w:pPr>
      <w:r w:rsidRPr="00EF69F0">
        <w:rPr>
          <w:rFonts w:ascii="Arial" w:eastAsia="Times New Roman" w:hAnsi="Arial"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w:t>
      </w:r>
      <w:r w:rsidRPr="00EF69F0">
        <w:rPr>
          <w:rFonts w:ascii="Arial" w:eastAsia="Times New Roman" w:hAnsi="Arial" w:cs="Arial"/>
          <w:color w:val="000000"/>
          <w:bdr w:val="none" w:sz="0" w:space="0" w:color="auto" w:frame="1"/>
          <w:shd w:val="clear" w:color="auto" w:fill="FFFFFF"/>
          <w:lang w:val="es-ES" w:eastAsia="es-ES_tradnl"/>
        </w:rPr>
        <w:lastRenderedPageBreak/>
        <w:t xml:space="preserve">solicitada judicialmente por el interesado. En este sentido, en decisión de unificación de la </w:t>
      </w:r>
      <w:r w:rsidRPr="00EF69F0">
        <w:rPr>
          <w:rFonts w:ascii="Arial" w:eastAsia="Times New Roman" w:hAnsi="Arial" w:cs="Arial"/>
          <w:color w:val="000000"/>
          <w:bdr w:val="none" w:sz="0" w:space="0" w:color="auto" w:frame="1"/>
          <w:shd w:val="clear" w:color="auto" w:fill="FFFFFF"/>
          <w:lang w:val="es-MX" w:eastAsia="es-ES_tradnl"/>
        </w:rPr>
        <w:t>Sección Tercera</w:t>
      </w:r>
      <w:r w:rsidRPr="00EF69F0">
        <w:rPr>
          <w:rFonts w:ascii="Arial" w:eastAsia="Times New Roman" w:hAnsi="Arial" w:cs="Arial"/>
          <w:color w:val="000000"/>
          <w:bdr w:val="none" w:sz="0" w:space="0" w:color="auto" w:frame="1"/>
          <w:shd w:val="clear" w:color="auto" w:fill="FFFFFF"/>
          <w:lang w:val="es-ES" w:eastAsia="es-ES_tradnl"/>
        </w:rPr>
        <w:t xml:space="preserve"> del Consejo de Estado, del</w:t>
      </w:r>
      <w:r w:rsidRPr="00EF69F0">
        <w:rPr>
          <w:rFonts w:ascii="Arial" w:eastAsia="Times New Roman" w:hAnsi="Arial" w:cs="Arial"/>
          <w:color w:val="000000"/>
          <w:bdr w:val="none" w:sz="0" w:space="0" w:color="auto" w:frame="1"/>
          <w:shd w:val="clear" w:color="auto" w:fill="FFFFFF"/>
          <w:lang w:val="es-MX" w:eastAsia="es-ES_tradnl"/>
        </w:rPr>
        <w:t> </w:t>
      </w:r>
      <w:r w:rsidRPr="00EF69F0">
        <w:rPr>
          <w:rFonts w:ascii="Arial" w:eastAsia="Times New Roman" w:hAnsi="Arial" w:cs="Arial"/>
          <w:color w:val="000000"/>
          <w:bdr w:val="none" w:sz="0" w:space="0" w:color="auto" w:frame="1"/>
          <w:shd w:val="clear" w:color="auto" w:fill="FFFFFF"/>
          <w:lang w:eastAsia="es-ES_tradnl"/>
        </w:rPr>
        <w:t>1 de agosto de 2019</w:t>
      </w:r>
      <w:r w:rsidRPr="00EF69F0">
        <w:rPr>
          <w:rFonts w:ascii="Arial" w:eastAsia="Times New Roman" w:hAnsi="Arial" w:cs="Arial"/>
          <w:color w:val="000000"/>
          <w:bdr w:val="none" w:sz="0" w:space="0" w:color="auto" w:frame="1"/>
          <w:shd w:val="clear" w:color="auto" w:fill="FFFFFF"/>
          <w:vertAlign w:val="superscript"/>
          <w:lang w:eastAsia="es-ES_tradnl"/>
        </w:rPr>
        <w:footnoteReference w:id="17"/>
      </w:r>
      <w:r w:rsidRPr="00EF69F0">
        <w:rPr>
          <w:rFonts w:ascii="Arial" w:eastAsia="Times New Roman" w:hAnsi="Arial" w:cs="Arial"/>
          <w:color w:val="000000"/>
          <w:bdr w:val="none" w:sz="0" w:space="0" w:color="auto" w:frame="1"/>
          <w:shd w:val="clear" w:color="auto" w:fill="FFFFFF"/>
          <w:lang w:eastAsia="es-ES_tradnl"/>
        </w:rPr>
        <w:t>, se expresó: </w:t>
      </w:r>
    </w:p>
    <w:p w14:paraId="08893377" w14:textId="77777777" w:rsidR="00EF69F0" w:rsidRPr="00EF69F0" w:rsidRDefault="00EF69F0" w:rsidP="00EF69F0">
      <w:pPr>
        <w:spacing w:after="0" w:line="276" w:lineRule="auto"/>
        <w:ind w:firstLine="705"/>
        <w:jc w:val="both"/>
        <w:rPr>
          <w:rFonts w:ascii="Arial" w:eastAsia="Times New Roman" w:hAnsi="Arial" w:cs="Arial"/>
          <w:color w:val="000000"/>
          <w:lang w:eastAsia="es-ES_tradnl"/>
        </w:rPr>
      </w:pPr>
    </w:p>
    <w:p w14:paraId="12880B37" w14:textId="77777777" w:rsidR="00EF69F0" w:rsidRPr="00EF69F0" w:rsidRDefault="00EF69F0" w:rsidP="00EF69F0">
      <w:pPr>
        <w:spacing w:after="0" w:line="240" w:lineRule="auto"/>
        <w:ind w:left="705" w:right="750"/>
        <w:jc w:val="both"/>
        <w:rPr>
          <w:rFonts w:ascii="Arial" w:eastAsia="Times New Roman" w:hAnsi="Arial" w:cs="Arial"/>
          <w:color w:val="000000"/>
          <w:sz w:val="20"/>
          <w:szCs w:val="20"/>
          <w:lang w:eastAsia="es-ES_tradnl"/>
        </w:rPr>
      </w:pPr>
      <w:r w:rsidRPr="00EF69F0">
        <w:rPr>
          <w:rFonts w:ascii="Arial" w:eastAsia="Times New Roman" w:hAnsi="Arial" w:cs="Arial"/>
          <w:i/>
          <w:iCs/>
          <w:sz w:val="20"/>
          <w:szCs w:val="20"/>
          <w:lang w:val="es-ES_tradnl" w:eastAsia="es-ES_tradnl"/>
        </w:rPr>
        <w:t>«</w:t>
      </w:r>
      <w:r w:rsidRPr="00EF69F0">
        <w:rPr>
          <w:rFonts w:ascii="Arial" w:eastAsia="Times New Roman" w:hAnsi="Arial" w:cs="Arial"/>
          <w:color w:val="000000"/>
          <w:sz w:val="20"/>
          <w:szCs w:val="20"/>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EF69F0">
        <w:rPr>
          <w:rFonts w:ascii="Arial" w:eastAsia="Times New Roman" w:hAnsi="Arial" w:cs="Arial"/>
          <w:color w:val="000000"/>
          <w:sz w:val="20"/>
          <w:szCs w:val="20"/>
          <w:bdr w:val="none" w:sz="0" w:space="0" w:color="auto" w:frame="1"/>
          <w:shd w:val="clear" w:color="auto" w:fill="FFFFFF"/>
          <w:lang w:val="es-ES" w:eastAsia="es-ES_tradnl"/>
        </w:rPr>
        <w:t>liquidatorio</w:t>
      </w:r>
      <w:proofErr w:type="spellEnd"/>
      <w:r w:rsidRPr="00EF69F0">
        <w:rPr>
          <w:rFonts w:ascii="Arial" w:eastAsia="Times New Roman" w:hAnsi="Arial" w:cs="Arial"/>
          <w:color w:val="000000"/>
          <w:sz w:val="20"/>
          <w:szCs w:val="20"/>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EF69F0">
        <w:rPr>
          <w:rFonts w:ascii="Arial" w:eastAsia="Calibri" w:hAnsi="Arial" w:cs="Arial"/>
          <w:color w:val="000000"/>
          <w:sz w:val="20"/>
          <w:szCs w:val="20"/>
          <w:lang w:val="es-ES" w:eastAsia="es-ES_tradnl"/>
        </w:rPr>
        <w:t>.</w:t>
      </w:r>
      <w:r w:rsidRPr="00EF69F0">
        <w:rPr>
          <w:rFonts w:ascii="Arial" w:eastAsia="Times New Roman" w:hAnsi="Arial" w:cs="Arial"/>
          <w:i/>
          <w:iCs/>
          <w:sz w:val="20"/>
          <w:szCs w:val="20"/>
          <w:lang w:val="es-ES_tradnl" w:eastAsia="es-ES_tradnl"/>
        </w:rPr>
        <w:t>»</w:t>
      </w:r>
      <w:r w:rsidRPr="00EF69F0">
        <w:rPr>
          <w:rFonts w:ascii="Arial" w:eastAsia="Times New Roman" w:hAnsi="Arial" w:cs="Arial"/>
          <w:color w:val="000000"/>
          <w:sz w:val="20"/>
          <w:szCs w:val="20"/>
          <w:bdr w:val="none" w:sz="0" w:space="0" w:color="auto" w:frame="1"/>
          <w:shd w:val="clear" w:color="auto" w:fill="FFFFFF"/>
          <w:lang w:val="es-ES" w:eastAsia="es-ES_tradnl"/>
        </w:rPr>
        <w:t> </w:t>
      </w:r>
    </w:p>
    <w:p w14:paraId="0822EC30" w14:textId="77777777" w:rsidR="00EF69F0" w:rsidRPr="00EF69F0" w:rsidRDefault="00EF69F0" w:rsidP="00EF69F0">
      <w:pPr>
        <w:spacing w:after="0" w:line="276" w:lineRule="auto"/>
        <w:ind w:firstLine="708"/>
        <w:jc w:val="both"/>
        <w:rPr>
          <w:rFonts w:ascii="Arial" w:eastAsia="Times New Roman" w:hAnsi="Arial" w:cs="Arial"/>
          <w:color w:val="000000"/>
          <w:lang w:eastAsia="es-ES_tradnl"/>
        </w:rPr>
      </w:pPr>
    </w:p>
    <w:p w14:paraId="3ECBB18C" w14:textId="77777777" w:rsidR="00EF69F0" w:rsidRPr="00EF69F0" w:rsidRDefault="00EF69F0" w:rsidP="00EF69F0">
      <w:pPr>
        <w:spacing w:after="0" w:line="276" w:lineRule="auto"/>
        <w:ind w:right="106" w:firstLine="705"/>
        <w:jc w:val="both"/>
        <w:rPr>
          <w:rFonts w:ascii="Arial" w:eastAsia="Times New Roman" w:hAnsi="Arial" w:cs="Arial"/>
          <w:color w:val="000000"/>
          <w:bdr w:val="none" w:sz="0" w:space="0" w:color="auto" w:frame="1"/>
          <w:shd w:val="clear" w:color="auto" w:fill="FFFFFF"/>
          <w:lang w:eastAsia="es-ES_tradnl"/>
        </w:rPr>
      </w:pPr>
      <w:r w:rsidRPr="00EF69F0">
        <w:rPr>
          <w:rFonts w:ascii="Arial" w:eastAsia="Times New Roman" w:hAnsi="Arial" w:cs="Arial"/>
          <w:color w:val="000000"/>
          <w:bdr w:val="none" w:sz="0" w:space="0" w:color="auto" w:frame="1"/>
          <w:shd w:val="clear" w:color="auto" w:fill="FFFFFF"/>
          <w:lang w:eastAsia="es-ES_tradnl"/>
        </w:rPr>
        <w:t>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se indicó que:</w:t>
      </w:r>
    </w:p>
    <w:p w14:paraId="276725F9" w14:textId="77777777" w:rsidR="00EF69F0" w:rsidRPr="00EF69F0" w:rsidRDefault="00EF69F0" w:rsidP="00EF69F0">
      <w:pPr>
        <w:spacing w:after="0" w:line="276" w:lineRule="auto"/>
        <w:ind w:right="106" w:firstLine="705"/>
        <w:jc w:val="both"/>
        <w:rPr>
          <w:rFonts w:ascii="Arial" w:eastAsia="Times New Roman" w:hAnsi="Arial" w:cs="Arial"/>
          <w:color w:val="000000"/>
          <w:bdr w:val="none" w:sz="0" w:space="0" w:color="auto" w:frame="1"/>
          <w:shd w:val="clear" w:color="auto" w:fill="FFFFFF"/>
          <w:lang w:eastAsia="es-ES_tradnl"/>
        </w:rPr>
      </w:pPr>
    </w:p>
    <w:p w14:paraId="3B287A54" w14:textId="77777777" w:rsidR="00EF69F0" w:rsidRPr="00EF69F0" w:rsidRDefault="00EF69F0" w:rsidP="00EF69F0">
      <w:pPr>
        <w:spacing w:after="0" w:line="240" w:lineRule="auto"/>
        <w:ind w:left="709" w:right="758"/>
        <w:jc w:val="both"/>
        <w:rPr>
          <w:rFonts w:ascii="Arial" w:eastAsia="Times New Roman" w:hAnsi="Arial" w:cs="Arial"/>
          <w:color w:val="000000"/>
          <w:sz w:val="20"/>
          <w:szCs w:val="20"/>
          <w:bdr w:val="none" w:sz="0" w:space="0" w:color="auto" w:frame="1"/>
          <w:shd w:val="clear" w:color="auto" w:fill="FFFFFF"/>
          <w:lang w:eastAsia="es-ES_tradnl"/>
        </w:rPr>
      </w:pPr>
      <w:r w:rsidRPr="00EF69F0">
        <w:rPr>
          <w:rFonts w:ascii="Arial" w:eastAsia="Times New Roman" w:hAnsi="Arial" w:cs="Arial"/>
          <w:i/>
          <w:iCs/>
          <w:sz w:val="20"/>
          <w:szCs w:val="20"/>
          <w:lang w:val="es-ES_tradnl" w:eastAsia="es-ES_tradnl"/>
        </w:rPr>
        <w:t>«</w:t>
      </w:r>
      <w:r w:rsidRPr="00EF69F0">
        <w:rPr>
          <w:rFonts w:ascii="Arial" w:eastAsia="Times New Roman" w:hAnsi="Arial" w:cs="Arial"/>
          <w:color w:val="000000"/>
          <w:sz w:val="20"/>
          <w:szCs w:val="20"/>
          <w:bdr w:val="none" w:sz="0" w:space="0" w:color="auto" w:frame="1"/>
          <w:shd w:val="clear" w:color="auto" w:fill="FFFFFF"/>
          <w:lang w:eastAsia="es-ES_tradnl"/>
        </w:rPr>
        <w:t xml:space="preserve">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del artículo 136 del CCA, [subrogado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pérdida de competencia que se fijó jurisprudencialmente es susceptible de ser 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prescripción. Al efecto, el Artículo 90 del Código de Procedimiento Civil, modificado por el decreto 2282 de 1989, aplicable a la presente controversia, […] Frente al vacío que se pretende colmar se hace necesario un ejercicio de integración normativa que esté </w:t>
      </w:r>
      <w:proofErr w:type="spellStart"/>
      <w:r w:rsidRPr="00EF69F0">
        <w:rPr>
          <w:rFonts w:ascii="Arial" w:eastAsia="Times New Roman" w:hAnsi="Arial" w:cs="Arial"/>
          <w:color w:val="000000"/>
          <w:sz w:val="20"/>
          <w:szCs w:val="20"/>
          <w:bdr w:val="none" w:sz="0" w:space="0" w:color="auto" w:frame="1"/>
          <w:shd w:val="clear" w:color="auto" w:fill="FFFFFF"/>
          <w:lang w:eastAsia="es-ES_tradnl"/>
        </w:rPr>
        <w:t>mas</w:t>
      </w:r>
      <w:proofErr w:type="spellEnd"/>
      <w:r w:rsidRPr="00EF69F0">
        <w:rPr>
          <w:rFonts w:ascii="Arial" w:eastAsia="Times New Roman" w:hAnsi="Arial" w:cs="Arial"/>
          <w:color w:val="000000"/>
          <w:sz w:val="20"/>
          <w:szCs w:val="20"/>
          <w:bdr w:val="none" w:sz="0" w:space="0" w:color="auto" w:frame="1"/>
          <w:shd w:val="clear" w:color="auto" w:fill="FFFFFF"/>
          <w:lang w:eastAsia="es-ES_tradnl"/>
        </w:rPr>
        <w:t xml:space="preserve"> (sic)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w:t>
      </w:r>
      <w:r w:rsidRPr="00EF69F0">
        <w:rPr>
          <w:rFonts w:ascii="Arial" w:eastAsia="Times New Roman" w:hAnsi="Arial" w:cs="Arial"/>
          <w:i/>
          <w:iCs/>
          <w:sz w:val="20"/>
          <w:szCs w:val="20"/>
          <w:lang w:val="es-ES_tradnl" w:eastAsia="es-ES_tradnl"/>
        </w:rPr>
        <w:t>»</w:t>
      </w:r>
      <w:r w:rsidRPr="00EF69F0">
        <w:rPr>
          <w:rFonts w:ascii="Arial" w:eastAsia="Times New Roman" w:hAnsi="Arial" w:cs="Arial"/>
          <w:color w:val="000000"/>
          <w:sz w:val="20"/>
          <w:szCs w:val="20"/>
          <w:bdr w:val="none" w:sz="0" w:space="0" w:color="auto" w:frame="1"/>
          <w:shd w:val="clear" w:color="auto" w:fill="FFFFFF"/>
          <w:lang w:val="es-ES" w:eastAsia="es-ES_tradnl"/>
        </w:rPr>
        <w:t> </w:t>
      </w:r>
    </w:p>
    <w:p w14:paraId="1AE9BD30" w14:textId="77777777" w:rsidR="00EF69F0" w:rsidRPr="00EF69F0" w:rsidRDefault="00EF69F0" w:rsidP="00EF69F0">
      <w:pPr>
        <w:spacing w:after="0" w:line="276" w:lineRule="auto"/>
        <w:ind w:right="106" w:firstLine="705"/>
        <w:jc w:val="both"/>
        <w:rPr>
          <w:rFonts w:ascii="Arial" w:eastAsia="Times New Roman" w:hAnsi="Arial" w:cs="Arial"/>
          <w:color w:val="000000"/>
          <w:bdr w:val="none" w:sz="0" w:space="0" w:color="auto" w:frame="1"/>
          <w:shd w:val="clear" w:color="auto" w:fill="FFFFFF"/>
          <w:lang w:eastAsia="es-ES_tradnl"/>
        </w:rPr>
      </w:pPr>
    </w:p>
    <w:p w14:paraId="140B97A8" w14:textId="77777777" w:rsidR="00EF69F0" w:rsidRPr="00EF69F0" w:rsidRDefault="00EF69F0" w:rsidP="00EF69F0">
      <w:pPr>
        <w:spacing w:after="0" w:line="276" w:lineRule="auto"/>
        <w:ind w:right="106" w:firstLine="705"/>
        <w:jc w:val="both"/>
        <w:rPr>
          <w:rFonts w:ascii="Arial" w:eastAsia="Times New Roman" w:hAnsi="Arial" w:cs="Arial"/>
          <w:color w:val="000000"/>
          <w:lang w:eastAsia="es-ES_tradnl"/>
        </w:rPr>
      </w:pPr>
      <w:r w:rsidRPr="00EF69F0">
        <w:rPr>
          <w:rFonts w:ascii="Arial" w:eastAsia="Times New Roman" w:hAnsi="Arial" w:cs="Arial"/>
          <w:color w:val="000000"/>
          <w:bdr w:val="none" w:sz="0" w:space="0" w:color="auto" w:frame="1"/>
          <w:shd w:val="clear" w:color="auto" w:fill="FFFFFF"/>
          <w:lang w:eastAsia="es-ES_tradnl"/>
        </w:rPr>
        <w:t>En armonía con lo anterior, 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 </w:t>
      </w:r>
    </w:p>
    <w:p w14:paraId="1BC5CADF" w14:textId="77777777" w:rsidR="00EF69F0" w:rsidRPr="00EF69F0" w:rsidRDefault="00EF69F0" w:rsidP="00EF69F0">
      <w:pPr>
        <w:spacing w:before="120" w:after="0" w:line="276" w:lineRule="auto"/>
        <w:ind w:right="110" w:firstLine="705"/>
        <w:jc w:val="both"/>
        <w:rPr>
          <w:rFonts w:ascii="Arial" w:eastAsia="Times New Roman" w:hAnsi="Arial" w:cs="Arial"/>
          <w:color w:val="000000"/>
          <w:lang w:eastAsia="es-ES_tradnl"/>
        </w:rPr>
      </w:pPr>
      <w:r w:rsidRPr="00EF69F0">
        <w:rPr>
          <w:rFonts w:ascii="Arial" w:eastAsia="Times New Roman" w:hAnsi="Arial" w:cs="Arial"/>
          <w:color w:val="000000"/>
          <w:bdr w:val="none" w:sz="0" w:space="0" w:color="auto" w:frame="1"/>
          <w:shd w:val="clear" w:color="auto" w:fill="FFFFFF"/>
          <w:lang w:eastAsia="es-ES_tradnl"/>
        </w:rPr>
        <w:t>En este punto,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liquidación de ningún tipo, el término de dos años comienza a contar a partir de la suma de los seis meses que trata en artículo 11 de la Ley 1150 de</w:t>
      </w:r>
      <w:r w:rsidRPr="00EF69F0">
        <w:rPr>
          <w:rFonts w:ascii="Arial" w:eastAsia="Times New Roman" w:hAnsi="Arial" w:cs="Arial"/>
          <w:color w:val="000000"/>
          <w:spacing w:val="-25"/>
          <w:bdr w:val="none" w:sz="0" w:space="0" w:color="auto" w:frame="1"/>
          <w:shd w:val="clear" w:color="auto" w:fill="FFFFFF"/>
          <w:lang w:eastAsia="es-ES_tradnl"/>
        </w:rPr>
        <w:t> </w:t>
      </w:r>
      <w:r w:rsidRPr="00EF69F0">
        <w:rPr>
          <w:rFonts w:ascii="Arial" w:eastAsia="Times New Roman" w:hAnsi="Arial" w:cs="Arial"/>
          <w:color w:val="000000"/>
          <w:bdr w:val="none" w:sz="0" w:space="0" w:color="auto" w:frame="1"/>
          <w:shd w:val="clear" w:color="auto" w:fill="FFFFFF"/>
          <w:lang w:eastAsia="es-ES_tradnl"/>
        </w:rPr>
        <w:t>2011. </w:t>
      </w:r>
    </w:p>
    <w:p w14:paraId="0E048164" w14:textId="77777777" w:rsidR="00EF69F0" w:rsidRPr="00EF69F0" w:rsidRDefault="00EF69F0" w:rsidP="00EF69F0">
      <w:pPr>
        <w:spacing w:before="120" w:after="0" w:line="276" w:lineRule="auto"/>
        <w:ind w:firstLine="705"/>
        <w:jc w:val="both"/>
        <w:rPr>
          <w:rFonts w:ascii="Arial" w:eastAsia="Times New Roman" w:hAnsi="Arial" w:cs="Arial"/>
          <w:color w:val="000000"/>
          <w:bdr w:val="none" w:sz="0" w:space="0" w:color="auto" w:frame="1"/>
          <w:shd w:val="clear" w:color="auto" w:fill="FFFFFF"/>
          <w:lang w:eastAsia="es-ES_tradnl"/>
        </w:rPr>
      </w:pPr>
      <w:r w:rsidRPr="00EF69F0">
        <w:rPr>
          <w:rFonts w:ascii="Arial" w:eastAsia="Times New Roman" w:hAnsi="Arial" w:cs="Arial"/>
          <w:color w:val="000000"/>
          <w:bdr w:val="none" w:sz="0" w:space="0" w:color="auto" w:frame="1"/>
          <w:shd w:val="clear" w:color="auto" w:fill="FFFFFF"/>
          <w:lang w:val="es-ES" w:eastAsia="es-ES_tradnl"/>
        </w:rPr>
        <w:t>Así las cosas, es claro que el ordenamiento jurídico vigente permite la liquidación unilateral, bilateral, incluso judicial, una vez vencido el plazo establecido por el artículo 11 de la Ley 1150 de 2007. En otras palabras, la liquidación final de los contratos estatales tiene un ámbito temporal que empieza con la terminación del contrato y comprende el período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r w:rsidRPr="00EF69F0">
        <w:rPr>
          <w:rFonts w:ascii="Arial" w:eastAsia="Times New Roman" w:hAnsi="Arial" w:cs="Arial"/>
          <w:color w:val="000000"/>
          <w:bdr w:val="none" w:sz="0" w:space="0" w:color="auto" w:frame="1"/>
          <w:shd w:val="clear" w:color="auto" w:fill="FFFFFF"/>
          <w:lang w:eastAsia="es-ES_tradnl"/>
        </w:rPr>
        <w:t> </w:t>
      </w:r>
    </w:p>
    <w:p w14:paraId="5DE48B87" w14:textId="77777777" w:rsidR="00EF69F0" w:rsidRPr="00EF69F0" w:rsidRDefault="00EF69F0" w:rsidP="00EF69F0">
      <w:pPr>
        <w:spacing w:before="120" w:after="0" w:line="276" w:lineRule="auto"/>
        <w:ind w:firstLine="705"/>
        <w:jc w:val="both"/>
        <w:rPr>
          <w:rFonts w:ascii="Arial" w:eastAsia="Times New Roman" w:hAnsi="Arial" w:cs="Arial"/>
          <w:color w:val="000000"/>
          <w:bdr w:val="none" w:sz="0" w:space="0" w:color="auto" w:frame="1"/>
          <w:shd w:val="clear" w:color="auto" w:fill="FFFFFF"/>
          <w:lang w:eastAsia="es-ES_tradnl"/>
        </w:rPr>
      </w:pPr>
      <w:r w:rsidRPr="00EF69F0">
        <w:rPr>
          <w:rFonts w:ascii="Arial" w:eastAsia="Times New Roman" w:hAnsi="Arial" w:cs="Arial"/>
          <w:szCs w:val="24"/>
          <w:lang w:val="es-ES_tradnl" w:eastAsia="es-ES_tradnl"/>
        </w:rPr>
        <w:t>Por tanto, si se trata de un contrato en el cual no existe pacto sobre el término para la liquidación bilateral, el término supletivo aplicaría, y se podría liquidar el contrato dentro de los 4 meses siguientes a su terminación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p>
    <w:p w14:paraId="23C9AEB5" w14:textId="77777777" w:rsidR="00EF69F0" w:rsidRPr="00EF69F0" w:rsidRDefault="00EF69F0" w:rsidP="00EF69F0">
      <w:pPr>
        <w:spacing w:before="120" w:after="0" w:line="276" w:lineRule="auto"/>
        <w:ind w:firstLine="709"/>
        <w:jc w:val="both"/>
        <w:rPr>
          <w:rFonts w:ascii="Arial" w:eastAsia="Times New Roman" w:hAnsi="Arial" w:cs="Arial"/>
          <w:szCs w:val="24"/>
          <w:lang w:val="es-ES_tradnl" w:eastAsia="es-ES_tradnl"/>
        </w:rPr>
      </w:pPr>
      <w:r w:rsidRPr="00EF69F0">
        <w:rPr>
          <w:rFonts w:ascii="Arial" w:eastAsia="Times New Roman" w:hAnsi="Arial" w:cs="Arial"/>
          <w:szCs w:val="24"/>
          <w:lang w:val="es-ES_tradnl" w:eastAsia="es-ES_tradnl"/>
        </w:rPr>
        <w:t>En suma, de</w:t>
      </w:r>
      <w:r w:rsidRPr="00EF69F0">
        <w:rPr>
          <w:rFonts w:ascii="Arial" w:eastAsia="Times New Roman" w:hAnsi="Arial" w:cs="Arial"/>
          <w:iCs/>
          <w:szCs w:val="24"/>
          <w:lang w:val="es-ES_tradnl" w:eastAsia="es-ES_tradnl"/>
        </w:rPr>
        <w:t xml:space="preserve"> acuerdo con el artículo 11 de la Ley 1150 de 2007, existen tres tipos de liquidación: i) bilateral, </w:t>
      </w:r>
      <w:proofErr w:type="spellStart"/>
      <w:r w:rsidRPr="00EF69F0">
        <w:rPr>
          <w:rFonts w:ascii="Arial" w:eastAsia="Times New Roman" w:hAnsi="Arial" w:cs="Arial"/>
          <w:iCs/>
          <w:szCs w:val="24"/>
          <w:lang w:val="es-ES_tradnl" w:eastAsia="es-ES_tradnl"/>
        </w:rPr>
        <w:t>ii</w:t>
      </w:r>
      <w:proofErr w:type="spellEnd"/>
      <w:r w:rsidRPr="00EF69F0">
        <w:rPr>
          <w:rFonts w:ascii="Arial" w:eastAsia="Times New Roman" w:hAnsi="Arial" w:cs="Arial"/>
          <w:iCs/>
          <w:szCs w:val="24"/>
          <w:lang w:val="es-ES_tradnl" w:eastAsia="es-ES_tradnl"/>
        </w:rPr>
        <w:t xml:space="preserve">) unilateral y </w:t>
      </w:r>
      <w:proofErr w:type="spellStart"/>
      <w:r w:rsidRPr="00EF69F0">
        <w:rPr>
          <w:rFonts w:ascii="Arial" w:eastAsia="Times New Roman" w:hAnsi="Arial" w:cs="Arial"/>
          <w:iCs/>
          <w:szCs w:val="24"/>
          <w:lang w:val="es-ES_tradnl" w:eastAsia="es-ES_tradnl"/>
        </w:rPr>
        <w:t>iii</w:t>
      </w:r>
      <w:proofErr w:type="spellEnd"/>
      <w:r w:rsidRPr="00EF69F0">
        <w:rPr>
          <w:rFonts w:ascii="Arial" w:eastAsia="Times New Roman" w:hAnsi="Arial" w:cs="Arial"/>
          <w:iCs/>
          <w:szCs w:val="24"/>
          <w:lang w:val="es-ES_tradnl" w:eastAsia="es-ES_tradnl"/>
        </w:rPr>
        <w:t>) judicial. En términos generales, la primera, que puede ser total o parcial, debe hacerse en el término que estipulen las partes o, en su defecto, dentro del término supletivo de cuatro meses. La segunda se debe practicar d</w:t>
      </w:r>
      <w:r w:rsidRPr="00EF69F0">
        <w:rPr>
          <w:rFonts w:ascii="Arial" w:eastAsia="Times New Roman" w:hAnsi="Arial" w:cs="Arial"/>
          <w:szCs w:val="24"/>
          <w:lang w:val="es-ES_tradnl" w:eastAsia="es-ES_tradnl"/>
        </w:rPr>
        <w:t xml:space="preserve">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w:t>
      </w:r>
      <w:r w:rsidRPr="00EF69F0">
        <w:rPr>
          <w:rFonts w:ascii="Arial" w:eastAsia="Times New Roman" w:hAnsi="Arial" w:cs="Arial"/>
          <w:szCs w:val="24"/>
          <w:lang w:val="es-ES_tradnl" w:eastAsia="es-ES_tradnl"/>
        </w:rPr>
        <w:lastRenderedPageBreak/>
        <w:t>los dos meses establecidos en la Ley para realizar la liquidación unilateral, de conformidad con la citada sentencia de unificación del Consejo de Estado.</w:t>
      </w:r>
    </w:p>
    <w:p w14:paraId="0B40287A" w14:textId="77777777" w:rsidR="00EF69F0" w:rsidRPr="00EF69F0" w:rsidRDefault="00EF69F0" w:rsidP="00EF69F0">
      <w:pPr>
        <w:spacing w:after="0" w:line="240" w:lineRule="auto"/>
        <w:rPr>
          <w:rFonts w:ascii="Calibri" w:eastAsia="Times New Roman" w:hAnsi="Calibri" w:cs="Times New Roman"/>
          <w:color w:val="000000"/>
          <w:lang w:eastAsia="es-ES_tradnl"/>
        </w:rPr>
      </w:pPr>
    </w:p>
    <w:p w14:paraId="375D982D" w14:textId="77777777" w:rsidR="00EF69F0" w:rsidRPr="00EF69F0" w:rsidRDefault="00EF69F0" w:rsidP="00EF69F0">
      <w:pPr>
        <w:tabs>
          <w:tab w:val="left" w:pos="426"/>
        </w:tabs>
        <w:spacing w:after="0" w:line="276" w:lineRule="auto"/>
        <w:jc w:val="both"/>
        <w:rPr>
          <w:rFonts w:ascii="Arial" w:eastAsia="Times New Roman" w:hAnsi="Arial" w:cs="Arial"/>
          <w:b/>
          <w:lang w:eastAsia="es-ES_tradnl"/>
        </w:rPr>
      </w:pPr>
      <w:r w:rsidRPr="00EF69F0">
        <w:rPr>
          <w:rFonts w:ascii="Arial" w:eastAsia="Times New Roman" w:hAnsi="Arial" w:cs="Arial"/>
          <w:b/>
          <w:lang w:eastAsia="es-ES_tradnl"/>
        </w:rPr>
        <w:t>2.2.</w:t>
      </w:r>
      <w:r w:rsidRPr="00EF69F0">
        <w:rPr>
          <w:rFonts w:ascii="Arial" w:eastAsia="Times New Roman" w:hAnsi="Arial" w:cs="Arial"/>
          <w:b/>
          <w:lang w:eastAsia="es-ES_tradnl"/>
        </w:rPr>
        <w:tab/>
      </w:r>
      <w:r w:rsidRPr="00EF69F0">
        <w:rPr>
          <w:rFonts w:ascii="Arial" w:eastAsia="Calibri" w:hAnsi="Arial" w:cs="Arial"/>
          <w:b/>
          <w:color w:val="000000"/>
          <w:lang w:eastAsia="es-ES_tradnl"/>
        </w:rPr>
        <w:t xml:space="preserve">Garantía de cumplimiento: noción y vigencia </w:t>
      </w:r>
    </w:p>
    <w:p w14:paraId="1CA3D79B" w14:textId="77777777" w:rsidR="00EF69F0" w:rsidRPr="00EF69F0" w:rsidRDefault="00EF69F0" w:rsidP="00EF69F0">
      <w:pPr>
        <w:spacing w:after="0" w:line="276" w:lineRule="auto"/>
        <w:jc w:val="both"/>
        <w:rPr>
          <w:rFonts w:ascii="Arial" w:eastAsia="Calibri" w:hAnsi="Arial" w:cs="Arial"/>
          <w:lang w:val="es-ES_tradnl" w:eastAsia="es-ES_tradnl"/>
        </w:rPr>
      </w:pPr>
    </w:p>
    <w:p w14:paraId="5493264E" w14:textId="77777777" w:rsidR="00EF69F0" w:rsidRPr="00EF69F0" w:rsidRDefault="00EF69F0" w:rsidP="00EF69F0">
      <w:pPr>
        <w:spacing w:after="0" w:line="276" w:lineRule="auto"/>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 xml:space="preserve">La Guía de garantías en Procesos de Contratación señala que </w:t>
      </w:r>
      <w:r w:rsidRPr="00EF69F0">
        <w:rPr>
          <w:rFonts w:ascii="Arial" w:eastAsia="Times New Roman" w:hAnsi="Arial" w:cs="Arial"/>
          <w:bCs/>
          <w:i/>
          <w:iCs/>
          <w:color w:val="000000"/>
          <w:lang w:val="es-ES_tradnl" w:eastAsia="es-ES_tradnl"/>
        </w:rPr>
        <w:t>«Las garantías son instrumentos de cobertura de algunos Riesgos comunes en Procesos de Contratación»</w:t>
      </w:r>
      <w:r w:rsidRPr="00EF69F0">
        <w:rPr>
          <w:rFonts w:ascii="Arial" w:eastAsia="Times New Roman" w:hAnsi="Arial" w:cs="Arial"/>
          <w:bCs/>
          <w:i/>
          <w:iCs/>
          <w:color w:val="000000"/>
          <w:sz w:val="21"/>
          <w:szCs w:val="21"/>
          <w:vertAlign w:val="superscript"/>
          <w:lang w:val="es-ES_tradnl" w:eastAsia="es-ES_tradnl"/>
        </w:rPr>
        <w:footnoteReference w:id="18"/>
      </w:r>
      <w:r w:rsidRPr="00EF69F0">
        <w:rPr>
          <w:rFonts w:ascii="Arial" w:eastAsia="Times New Roman" w:hAnsi="Arial" w:cs="Arial"/>
          <w:bCs/>
          <w:i/>
          <w:iCs/>
          <w:color w:val="000000"/>
          <w:sz w:val="21"/>
          <w:szCs w:val="21"/>
          <w:lang w:val="es-ES_tradnl" w:eastAsia="es-ES_tradnl"/>
        </w:rPr>
        <w:t>.</w:t>
      </w:r>
      <w:r w:rsidRPr="00EF69F0">
        <w:rPr>
          <w:rFonts w:ascii="Arial" w:eastAsia="Times New Roman" w:hAnsi="Arial" w:cs="Arial"/>
          <w:bCs/>
          <w:color w:val="000000"/>
          <w:sz w:val="21"/>
          <w:szCs w:val="21"/>
          <w:lang w:val="es-ES_tradnl" w:eastAsia="es-ES_tradnl"/>
        </w:rPr>
        <w:t xml:space="preserve"> </w:t>
      </w:r>
      <w:r w:rsidRPr="00EF69F0">
        <w:rPr>
          <w:rFonts w:ascii="Arial" w:eastAsia="Times New Roman" w:hAnsi="Arial" w:cs="Arial"/>
          <w:bCs/>
          <w:color w:val="000000"/>
          <w:szCs w:val="24"/>
          <w:lang w:val="es-ES_tradnl" w:eastAsia="es-ES_tradnl"/>
        </w:rPr>
        <w:t xml:space="preserve"> En relación con la garantía de cumplimiento, la Agencia Nacional de Contratación Pública ha sostenido lo siguiente:</w:t>
      </w:r>
    </w:p>
    <w:p w14:paraId="2C3165BD" w14:textId="77777777" w:rsidR="00EF69F0" w:rsidRPr="00EF69F0" w:rsidRDefault="00EF69F0" w:rsidP="00EF69F0">
      <w:pPr>
        <w:spacing w:after="0" w:line="240" w:lineRule="auto"/>
        <w:ind w:left="709" w:right="758"/>
        <w:jc w:val="both"/>
        <w:rPr>
          <w:rFonts w:ascii="Arial" w:eastAsia="Times New Roman" w:hAnsi="Arial" w:cs="Arial"/>
          <w:bCs/>
          <w:color w:val="000000"/>
          <w:sz w:val="21"/>
          <w:szCs w:val="21"/>
          <w:lang w:val="es-ES_tradnl" w:eastAsia="es-ES_tradnl"/>
        </w:rPr>
      </w:pPr>
    </w:p>
    <w:p w14:paraId="7E18D09C" w14:textId="77777777" w:rsidR="00EF69F0" w:rsidRPr="00EF69F0" w:rsidRDefault="00EF69F0" w:rsidP="00EF69F0">
      <w:pPr>
        <w:spacing w:after="0" w:line="240" w:lineRule="auto"/>
        <w:ind w:left="709" w:right="758"/>
        <w:jc w:val="both"/>
        <w:rPr>
          <w:rFonts w:ascii="Arial" w:eastAsia="Times New Roman" w:hAnsi="Arial" w:cs="Arial"/>
          <w:bCs/>
          <w:color w:val="000000"/>
          <w:sz w:val="20"/>
          <w:szCs w:val="20"/>
          <w:lang w:val="es-ES_tradnl" w:eastAsia="es-ES_tradnl"/>
        </w:rPr>
      </w:pPr>
      <w:r w:rsidRPr="00EF69F0">
        <w:rPr>
          <w:rFonts w:ascii="Arial" w:eastAsia="Times New Roman" w:hAnsi="Arial" w:cs="Arial"/>
          <w:i/>
          <w:iCs/>
          <w:sz w:val="20"/>
          <w:szCs w:val="20"/>
          <w:lang w:val="es-ES_tradnl" w:eastAsia="es-ES_tradnl"/>
        </w:rPr>
        <w:t>«</w:t>
      </w:r>
      <w:r w:rsidRPr="00EF69F0">
        <w:rPr>
          <w:rFonts w:ascii="Arial" w:eastAsia="Times New Roman" w:hAnsi="Arial" w:cs="Arial"/>
          <w:bCs/>
          <w:color w:val="000000"/>
          <w:sz w:val="20"/>
          <w:szCs w:val="20"/>
          <w:lang w:val="es-ES_tradnl" w:eastAsia="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1907DF6B" w14:textId="77777777" w:rsidR="00EF69F0" w:rsidRPr="00EF69F0" w:rsidRDefault="00EF69F0" w:rsidP="00EF69F0">
      <w:pPr>
        <w:spacing w:after="0" w:line="240" w:lineRule="auto"/>
        <w:ind w:left="709" w:right="758"/>
        <w:jc w:val="both"/>
        <w:rPr>
          <w:rFonts w:ascii="Arial" w:eastAsia="Times New Roman" w:hAnsi="Arial" w:cs="Arial"/>
          <w:bCs/>
          <w:color w:val="000000"/>
          <w:sz w:val="20"/>
          <w:szCs w:val="20"/>
          <w:lang w:val="es-ES_tradnl" w:eastAsia="es-ES_tradnl"/>
        </w:rPr>
      </w:pPr>
    </w:p>
    <w:p w14:paraId="5E12D154" w14:textId="2A876340" w:rsidR="00EF69F0" w:rsidRPr="00EF69F0" w:rsidRDefault="00EF69F0" w:rsidP="00EF69F0">
      <w:pPr>
        <w:spacing w:after="0" w:line="240" w:lineRule="auto"/>
        <w:ind w:left="709" w:right="758"/>
        <w:jc w:val="both"/>
        <w:rPr>
          <w:rFonts w:ascii="Arial" w:eastAsia="Times New Roman" w:hAnsi="Arial" w:cs="Arial"/>
          <w:color w:val="000000"/>
          <w:sz w:val="20"/>
          <w:szCs w:val="20"/>
          <w:lang w:val="es-ES" w:eastAsia="es-ES"/>
        </w:rPr>
      </w:pPr>
      <w:r w:rsidRPr="6C2B77A5">
        <w:rPr>
          <w:rFonts w:ascii="Arial" w:eastAsia="Times New Roman" w:hAnsi="Arial" w:cs="Arial"/>
          <w:color w:val="000000"/>
          <w:sz w:val="20"/>
          <w:szCs w:val="20"/>
          <w:lang w:val="es-ES" w:eastAsia="es-ES"/>
        </w:rPr>
        <w:t xml:space="preserve">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w:t>
      </w:r>
      <w:proofErr w:type="gramStart"/>
      <w:r w:rsidRPr="6C2B77A5">
        <w:rPr>
          <w:rFonts w:ascii="Arial" w:eastAsia="Times New Roman" w:hAnsi="Arial" w:cs="Arial"/>
          <w:color w:val="000000"/>
          <w:sz w:val="20"/>
          <w:szCs w:val="20"/>
          <w:lang w:val="es-ES" w:eastAsia="es-ES"/>
        </w:rPr>
        <w:t>Administración</w:t>
      </w:r>
      <w:r w:rsidR="7F187A6F" w:rsidRPr="6C2B77A5">
        <w:rPr>
          <w:rFonts w:ascii="Arial" w:eastAsia="Times New Roman" w:hAnsi="Arial" w:cs="Arial"/>
          <w:i/>
          <w:iCs/>
          <w:sz w:val="20"/>
          <w:szCs w:val="20"/>
          <w:lang w:val="es-ES" w:eastAsia="es-ES"/>
        </w:rPr>
        <w:t xml:space="preserve"> »</w:t>
      </w:r>
      <w:proofErr w:type="gramEnd"/>
      <w:r w:rsidRPr="6C2B77A5">
        <w:rPr>
          <w:rFonts w:ascii="Arial" w:eastAsia="Times New Roman" w:hAnsi="Arial" w:cs="Arial"/>
          <w:color w:val="000000"/>
          <w:sz w:val="20"/>
          <w:szCs w:val="20"/>
          <w:vertAlign w:val="superscript"/>
          <w:lang w:val="es-ES" w:eastAsia="es-ES"/>
        </w:rPr>
        <w:footnoteReference w:id="19"/>
      </w:r>
      <w:r w:rsidRPr="6C2B77A5">
        <w:rPr>
          <w:rFonts w:ascii="Arial" w:eastAsia="Calibri" w:hAnsi="Arial" w:cs="Arial"/>
          <w:color w:val="000000"/>
          <w:sz w:val="20"/>
          <w:szCs w:val="20"/>
          <w:lang w:val="es-ES" w:eastAsia="es-ES"/>
        </w:rPr>
        <w:t>.</w:t>
      </w:r>
    </w:p>
    <w:p w14:paraId="12F56BF8" w14:textId="77777777" w:rsidR="00EF69F0" w:rsidRPr="00EF69F0" w:rsidRDefault="00EF69F0" w:rsidP="00EF69F0">
      <w:pPr>
        <w:spacing w:after="0" w:line="276" w:lineRule="auto"/>
        <w:jc w:val="both"/>
        <w:rPr>
          <w:rFonts w:ascii="Arial" w:eastAsia="Times New Roman" w:hAnsi="Arial" w:cs="Arial"/>
          <w:bCs/>
          <w:color w:val="000000"/>
          <w:szCs w:val="24"/>
          <w:lang w:val="es-ES_tradnl" w:eastAsia="es-ES_tradnl"/>
        </w:rPr>
      </w:pPr>
    </w:p>
    <w:p w14:paraId="6C3BC482"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4BEEB101"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En efecto, según el 2.2.1.2.3.1.7. del Decreto 1082 de 2015</w:t>
      </w:r>
      <w:r w:rsidRPr="00EF69F0">
        <w:rPr>
          <w:rFonts w:ascii="Arial" w:eastAsia="Times New Roman" w:hAnsi="Arial" w:cs="Arial"/>
          <w:bCs/>
          <w:color w:val="000000"/>
          <w:szCs w:val="24"/>
          <w:vertAlign w:val="superscript"/>
          <w:lang w:val="es-ES_tradnl" w:eastAsia="es-ES_tradnl"/>
        </w:rPr>
        <w:footnoteReference w:id="20"/>
      </w:r>
      <w:r w:rsidRPr="00EF69F0">
        <w:rPr>
          <w:rFonts w:ascii="Arial" w:eastAsia="Times New Roman" w:hAnsi="Arial" w:cs="Arial"/>
          <w:bCs/>
          <w:color w:val="000000"/>
          <w:szCs w:val="24"/>
          <w:lang w:val="es-ES_tradnl" w:eastAsia="es-ES_tradnl"/>
        </w:rPr>
        <w:t xml:space="preserve">, la garantía única de cumplimiento cuenta con varios amparos, que incluyen el de buen manejo y correcta inversión </w:t>
      </w:r>
      <w:r w:rsidRPr="00EF69F0">
        <w:rPr>
          <w:rFonts w:ascii="Arial" w:eastAsia="Times New Roman" w:hAnsi="Arial" w:cs="Arial"/>
          <w:bCs/>
          <w:color w:val="000000"/>
          <w:szCs w:val="24"/>
          <w:lang w:val="es-ES_tradnl" w:eastAsia="es-ES_tradnl"/>
        </w:rPr>
        <w:lastRenderedPageBreak/>
        <w:t>del anticipo; la devolución del pago anticipado; el amparo de cumplimiento del contrato; la garantía de pago de salarios, prestaciones sociales legales e indemnizaciones laborales, entre otros.</w:t>
      </w:r>
    </w:p>
    <w:p w14:paraId="1F093DEB"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bookmarkStart w:id="11" w:name="_Hlk127975343"/>
      <w:r w:rsidRPr="00EF69F0">
        <w:rPr>
          <w:rFonts w:ascii="Arial" w:eastAsia="Times New Roman" w:hAnsi="Arial" w:cs="Arial"/>
          <w:bCs/>
          <w:color w:val="000000"/>
          <w:szCs w:val="24"/>
          <w:lang w:val="es-ES_tradnl" w:eastAsia="es-ES_tradnl"/>
        </w:rPr>
        <w:t xml:space="preserve">Por tanto, el amparo de cumplimiento es uno de los múltiples amparos que conforman la garantía única de cumplimiento. Al tenor de lo preceptuado en el artículo 2.2.1.2.3.1.7. </w:t>
      </w:r>
      <w:proofErr w:type="spellStart"/>
      <w:r w:rsidRPr="00EF69F0">
        <w:rPr>
          <w:rFonts w:ascii="Arial" w:eastAsia="Times New Roman" w:hAnsi="Arial" w:cs="Arial"/>
          <w:bCs/>
          <w:i/>
          <w:iCs/>
          <w:color w:val="000000"/>
          <w:szCs w:val="24"/>
          <w:lang w:val="es-ES_tradnl" w:eastAsia="es-ES_tradnl"/>
        </w:rPr>
        <w:t>ibídem</w:t>
      </w:r>
      <w:proofErr w:type="spellEnd"/>
      <w:r w:rsidRPr="00EF69F0">
        <w:rPr>
          <w:rFonts w:ascii="Arial" w:eastAsia="Times New Roman" w:hAnsi="Arial" w:cs="Arial"/>
          <w:bCs/>
          <w:color w:val="000000"/>
          <w:szCs w:val="24"/>
          <w:lang w:val="es-ES_tradnl" w:eastAsia="es-ES_tradnl"/>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bookmarkEnd w:id="11"/>
    <w:p w14:paraId="40992FF2"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 xml:space="preserve">De otra parte, en relación con la vigencia de las garantías, el artículo 2.2.1.2.3.1.12. del citado Decreto señala expresamente que </w:t>
      </w:r>
      <w:r w:rsidRPr="00EF69F0">
        <w:rPr>
          <w:rFonts w:ascii="Arial" w:eastAsia="Times New Roman" w:hAnsi="Arial" w:cs="Arial"/>
          <w:bCs/>
          <w:i/>
          <w:iCs/>
          <w:color w:val="000000"/>
          <w:szCs w:val="24"/>
          <w:lang w:val="es-ES_tradnl" w:eastAsia="es-ES_tradnl"/>
        </w:rPr>
        <w:t>«[l]a garantía de cumplimiento del contrato debe tener una vigencia mínima hasta la liquidación del contrato».</w:t>
      </w:r>
      <w:r w:rsidRPr="00EF69F0">
        <w:rPr>
          <w:rFonts w:ascii="Arial" w:eastAsia="Times New Roman" w:hAnsi="Arial" w:cs="Arial"/>
          <w:bCs/>
          <w:color w:val="000000"/>
          <w:szCs w:val="24"/>
          <w:lang w:val="es-ES_tradnl" w:eastAsia="es-ES_tradnl"/>
        </w:rPr>
        <w:t xml:space="preserve"> </w:t>
      </w:r>
    </w:p>
    <w:p w14:paraId="4FD12D02"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 xml:space="preserve">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proofErr w:type="spellStart"/>
      <w:r w:rsidRPr="00EF69F0">
        <w:rPr>
          <w:rFonts w:ascii="Arial" w:eastAsia="Times New Roman" w:hAnsi="Arial" w:cs="Arial"/>
          <w:bCs/>
          <w:i/>
          <w:iCs/>
          <w:color w:val="000000"/>
          <w:szCs w:val="24"/>
          <w:lang w:val="es-ES_tradnl" w:eastAsia="es-ES_tradnl"/>
        </w:rPr>
        <w:t>Ibídem</w:t>
      </w:r>
      <w:proofErr w:type="spellEnd"/>
      <w:r w:rsidRPr="00EF69F0">
        <w:rPr>
          <w:rFonts w:ascii="Arial" w:eastAsia="Times New Roman" w:hAnsi="Arial" w:cs="Arial"/>
          <w:bCs/>
          <w:color w:val="000000"/>
          <w:szCs w:val="24"/>
          <w:lang w:val="es-ES_tradnl" w:eastAsia="es-ES_tradnl"/>
        </w:rPr>
        <w:t xml:space="preserve"> prescribe que la garantía de pago de salarios y prestaciones sociales debe estar vigente por el plazo del contrato y 3 años </w:t>
      </w:r>
      <w:r w:rsidRPr="00EF69F0">
        <w:rPr>
          <w:rFonts w:ascii="Arial" w:eastAsia="Times New Roman" w:hAnsi="Arial" w:cs="Arial"/>
          <w:bCs/>
          <w:color w:val="000000"/>
          <w:szCs w:val="24"/>
          <w:lang w:val="es-ES_tradnl" w:eastAsia="es-ES_tradnl"/>
        </w:rPr>
        <w:lastRenderedPageBreak/>
        <w:t xml:space="preserve">adicionales y, a su vez, el artículo 2.2.1.2.3.1.14 establece un término no inferior a 5 años para la garantía de estabilidad de la obra. </w:t>
      </w:r>
    </w:p>
    <w:p w14:paraId="26B87441"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Al respecto, tal como se indicó en Concepto C-479 de esta Agencia, es preciso distinguir dos conceptos jurídicos relevantes para comprender el alcance del artículo 2.2.1.2.3.1.12., esto es, de un lado, la vigencia de la garantía y, de otro, el plazo para su reclamación. Esta distinción es importante, pues para hacer una reclamación válida al garante no es indispensable que la garantía se encuentre vigente, sino que lo haya estado en el momento de la concreción de riesgo, como se pasa a explicar.</w:t>
      </w:r>
    </w:p>
    <w:p w14:paraId="0D50A2E1" w14:textId="77777777" w:rsidR="00EF69F0" w:rsidRPr="00EF69F0" w:rsidRDefault="00EF69F0" w:rsidP="00EF69F0">
      <w:pPr>
        <w:spacing w:after="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 xml:space="preserve">En relación con este aspecto, el artículo 1047 del Código de Comercio establece que la póliza debe expresar, entre otros, </w:t>
      </w:r>
      <w:r w:rsidRPr="00EF69F0">
        <w:rPr>
          <w:rFonts w:ascii="Arial" w:eastAsia="Times New Roman" w:hAnsi="Arial" w:cs="Arial"/>
          <w:bCs/>
          <w:i/>
          <w:iCs/>
          <w:color w:val="000000"/>
          <w:szCs w:val="24"/>
          <w:lang w:val="es-ES_tradnl" w:eastAsia="es-ES_tradnl"/>
        </w:rPr>
        <w:t>«</w:t>
      </w:r>
      <w:proofErr w:type="spellStart"/>
      <w:r w:rsidRPr="00EF69F0">
        <w:rPr>
          <w:rFonts w:ascii="Arial" w:eastAsia="Times New Roman" w:hAnsi="Arial" w:cs="Arial"/>
          <w:bCs/>
          <w:i/>
          <w:iCs/>
          <w:color w:val="000000"/>
          <w:szCs w:val="24"/>
          <w:lang w:val="es-ES_tradnl" w:eastAsia="es-ES_tradnl"/>
        </w:rPr>
        <w:t>ii</w:t>
      </w:r>
      <w:proofErr w:type="spellEnd"/>
      <w:r w:rsidRPr="00EF69F0">
        <w:rPr>
          <w:rFonts w:ascii="Arial" w:eastAsia="Times New Roman" w:hAnsi="Arial" w:cs="Arial"/>
          <w:bCs/>
          <w:i/>
          <w:iCs/>
          <w:color w:val="000000"/>
          <w:szCs w:val="24"/>
          <w:lang w:val="es-ES_tradnl" w:eastAsia="es-ES_tradnl"/>
        </w:rPr>
        <w:t>) la vigencia del contrato, con indicación de las fechas y horas de iniciación y vencimiento, o el modo de determinar unas y otras».</w:t>
      </w:r>
      <w:r w:rsidRPr="00EF69F0">
        <w:rPr>
          <w:rFonts w:ascii="Arial" w:eastAsia="Times New Roman" w:hAnsi="Arial" w:cs="Arial"/>
          <w:bCs/>
          <w:color w:val="000000"/>
          <w:szCs w:val="24"/>
          <w:lang w:val="es-ES_tradnl" w:eastAsia="es-ES_tradnl"/>
        </w:rPr>
        <w:t xml:space="preserve"> El Consejo de Estado se pronunció sobre esta disposición en los siguientes términos: </w:t>
      </w:r>
    </w:p>
    <w:p w14:paraId="69854D3B" w14:textId="77777777" w:rsidR="00EF69F0" w:rsidRPr="00EF69F0" w:rsidRDefault="00EF69F0" w:rsidP="00EF69F0">
      <w:pPr>
        <w:spacing w:after="0" w:line="240" w:lineRule="auto"/>
        <w:ind w:left="709" w:right="758"/>
        <w:jc w:val="both"/>
        <w:rPr>
          <w:rFonts w:ascii="Arial" w:eastAsia="Times New Roman" w:hAnsi="Arial" w:cs="Arial"/>
          <w:bCs/>
          <w:color w:val="000000"/>
          <w:sz w:val="21"/>
          <w:szCs w:val="21"/>
          <w:lang w:val="es-ES_tradnl" w:eastAsia="es-ES_tradnl"/>
        </w:rPr>
      </w:pPr>
    </w:p>
    <w:p w14:paraId="39F0B2D1" w14:textId="77777777" w:rsidR="00EF69F0" w:rsidRPr="00EF69F0" w:rsidRDefault="00EF69F0" w:rsidP="00EF69F0">
      <w:pPr>
        <w:spacing w:after="0" w:line="240" w:lineRule="auto"/>
        <w:ind w:left="709" w:right="758"/>
        <w:jc w:val="both"/>
        <w:rPr>
          <w:rFonts w:ascii="Arial" w:eastAsia="Times New Roman" w:hAnsi="Arial" w:cs="Arial"/>
          <w:bCs/>
          <w:color w:val="000000"/>
          <w:sz w:val="20"/>
          <w:szCs w:val="20"/>
          <w:lang w:val="es-ES_tradnl" w:eastAsia="es-ES_tradnl"/>
        </w:rPr>
      </w:pPr>
      <w:r w:rsidRPr="00EF69F0">
        <w:rPr>
          <w:rFonts w:ascii="Arial" w:eastAsia="Times New Roman" w:hAnsi="Arial" w:cs="Arial"/>
          <w:bCs/>
          <w:color w:val="000000"/>
          <w:sz w:val="20"/>
          <w:szCs w:val="20"/>
          <w:lang w:val="es-ES_tradnl" w:eastAsia="es-ES_tradnl"/>
        </w:rPr>
        <w:t>«Dada la naturaleza de la obligación que contrae el asegurador, resulta de la mayor importancia la determinación del momento exacto a partir del cual aquel asume el riesgo que le es trasladado y así mismo, la hora y el día hasta los cuales va tal asunción, puesto que únicamente estará obligado a ejecutar la prestación a su cargo cuando el riesgo se realice dentro de ese lapso, es decir si el siniestro se presenta dentro de esos límites temporales</w:t>
      </w:r>
      <w:r w:rsidRPr="00EF69F0">
        <w:rPr>
          <w:rFonts w:ascii="Arial" w:eastAsia="Times New Roman" w:hAnsi="Arial" w:cs="Arial"/>
          <w:bCs/>
          <w:color w:val="000000"/>
          <w:sz w:val="20"/>
          <w:szCs w:val="20"/>
          <w:vertAlign w:val="superscript"/>
          <w:lang w:val="es-ES_tradnl" w:eastAsia="es-ES_tradnl"/>
        </w:rPr>
        <w:footnoteReference w:id="21"/>
      </w:r>
      <w:r w:rsidRPr="00EF69F0">
        <w:rPr>
          <w:rFonts w:ascii="Arial" w:eastAsia="Times New Roman" w:hAnsi="Arial" w:cs="Arial"/>
          <w:bCs/>
          <w:color w:val="000000"/>
          <w:sz w:val="20"/>
          <w:szCs w:val="20"/>
          <w:lang w:val="es-ES_tradnl" w:eastAsia="es-ES_tradnl"/>
        </w:rPr>
        <w:t xml:space="preserve">.» </w:t>
      </w:r>
    </w:p>
    <w:p w14:paraId="6208C25B" w14:textId="77777777" w:rsidR="00EF69F0" w:rsidRPr="00EF69F0" w:rsidRDefault="00EF69F0" w:rsidP="00EF69F0">
      <w:pPr>
        <w:spacing w:after="0" w:line="240" w:lineRule="auto"/>
        <w:ind w:left="709" w:right="758"/>
        <w:jc w:val="both"/>
        <w:rPr>
          <w:rFonts w:ascii="Arial" w:eastAsia="Times New Roman" w:hAnsi="Arial" w:cs="Arial"/>
          <w:bCs/>
          <w:color w:val="000000"/>
          <w:sz w:val="21"/>
          <w:szCs w:val="21"/>
          <w:lang w:val="es-ES_tradnl" w:eastAsia="es-ES_tradnl"/>
        </w:rPr>
      </w:pPr>
    </w:p>
    <w:p w14:paraId="05151360"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 xml:space="preserve">Resulta claro que el riesgo que se traslada al garante solamente será aquel que se realice dentro del plazo de vigencia del contrato, es decir, si el siniestro se presenta dentro de esos límites temporales el garante deberá asumir sus consecuencias. Sin embargo, ello no puede confundirse con el término para hacer la reclamación de un riesgo ocurrido durante el término de vigencia de la garantía, pues para ello resulta necesario recurrir a las normas sobre prescripción de las acciones. </w:t>
      </w:r>
    </w:p>
    <w:p w14:paraId="1494F616"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t>De otro lado, puede afirmarse que, en términos ideales, una vez culmina el plazo de ejecución, deja de existir también, en gran medida, el riesgo de incumplimiento por parte del contratista, pues los incumplimientos del contrato suelen ocurrir durante la etapa de cumplimiento, o ejecución de las obligaciones. Lo anterior no pretende desconocer que para ciertos contratos algunas obligaciones y su exigibilidad subsisten más allá del plazo acordado para la ejecución del objeto principal, tal puede ser el caso de los aportes a la seguridad social de los trabajadores vinculados a la ejecución del objeto del contrato. Sin perjuicio de lo anterior, el vencimiento del plazo de ejecución del contrato, cuando es suspensivo, sin que el contratista haya ejecutado sus obligaciones, también es determinante para constatar el incumplimiento del contratista. La apreciación general anterior, según lo explicado, indica que muchos de los incumplimientos pueden darse durante la ejecución del contrato, pero es posible que este también ocurra una vez vencido el plazo de ejecución.</w:t>
      </w:r>
    </w:p>
    <w:p w14:paraId="31B163EA"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val="es-ES_tradnl" w:eastAsia="es-ES_tradnl"/>
        </w:rPr>
        <w:lastRenderedPageBreak/>
        <w:t xml:space="preserve">Ahora bien, volviendo sobre la vigencia de la garantía de cumplimiento,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7D52CB24"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eastAsia="es-ES_tradnl"/>
        </w:rPr>
      </w:pPr>
      <w:r w:rsidRPr="00EF69F0">
        <w:rPr>
          <w:rFonts w:ascii="Arial" w:eastAsia="Times New Roman" w:hAnsi="Arial" w:cs="Arial"/>
          <w:bCs/>
          <w:color w:val="000000"/>
          <w:szCs w:val="24"/>
          <w:lang w:eastAsia="es-ES_tradnl"/>
        </w:rPr>
        <w:t xml:space="preserve">Bajo estas consideraciones, de acuerdo con el artículo 2.2.1.2.3.1.12. del Decreto 1082 de 2015, existe la obligación por parte del contratista de mantener la vigencia de la garantía de cumplimiento, en cuanto al amparo de cumplimiento del contrato, hasta la liquidación del contrato. En este sentido, la vigencia del amparo de cumplimiento del contrato es la determinada en el artículo 2.2.1.2.3.1.12. del Decreto 1082 de 2015, esto es, hasta el momento en que se realice la liquidación del contrato, para lo cual se deberá tener en cuenta lo dispuesto por el artículo 11 de la Ley 1150 de 2007, según el cual </w:t>
      </w:r>
      <w:r w:rsidRPr="00EF69F0">
        <w:rPr>
          <w:rFonts w:ascii="Arial" w:eastAsia="Times New Roman" w:hAnsi="Arial" w:cs="Arial"/>
          <w:bCs/>
          <w:color w:val="000000"/>
          <w:szCs w:val="24"/>
          <w:lang w:val="es-ES_tradnl" w:eastAsia="es-ES_tradnl"/>
        </w:rPr>
        <w:t>la liquidación de los contratos se hará de mutuo acuerdo dentro del término fijado en los pliegos de condiciones o sus equivalentes o dentro del que acuerden las partes para el efecto</w:t>
      </w:r>
      <w:r w:rsidRPr="00EF69F0">
        <w:rPr>
          <w:rFonts w:ascii="Arial" w:eastAsia="Times New Roman" w:hAnsi="Arial" w:cs="Arial"/>
          <w:bCs/>
          <w:color w:val="000000"/>
          <w:szCs w:val="24"/>
          <w:lang w:eastAsia="es-ES_tradnl"/>
        </w:rPr>
        <w:t xml:space="preserve"> o en su ausencia, el término supletivo establecido para la liquidación bilateral de 4 meses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6C481AB0" w14:textId="77777777" w:rsidR="00EF69F0" w:rsidRPr="00EF69F0" w:rsidRDefault="00EF69F0" w:rsidP="00EF69F0">
      <w:pPr>
        <w:spacing w:after="0" w:line="276" w:lineRule="auto"/>
        <w:ind w:firstLine="709"/>
        <w:jc w:val="both"/>
        <w:rPr>
          <w:rFonts w:ascii="Arial" w:eastAsia="Times New Roman" w:hAnsi="Arial" w:cs="Arial"/>
          <w:bCs/>
          <w:color w:val="000000"/>
          <w:szCs w:val="24"/>
          <w:lang w:eastAsia="es-ES_tradnl"/>
        </w:rPr>
      </w:pPr>
      <w:r w:rsidRPr="00EF69F0">
        <w:rPr>
          <w:rFonts w:ascii="Arial" w:eastAsia="Times New Roman" w:hAnsi="Arial" w:cs="Arial"/>
          <w:bCs/>
          <w:color w:val="000000"/>
          <w:szCs w:val="24"/>
          <w:lang w:eastAsia="es-ES_tradnl"/>
        </w:rPr>
        <w:t>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w:t>
      </w:r>
      <w:r w:rsidRPr="00EF69F0">
        <w:rPr>
          <w:rFonts w:ascii="Arial" w:eastAsia="Times New Roman" w:hAnsi="Arial" w:cs="Arial"/>
          <w:bCs/>
          <w:color w:val="000000"/>
          <w:szCs w:val="24"/>
          <w:lang w:val="es-ES_tradnl" w:eastAsia="es-ES_tradnl"/>
        </w:rPr>
        <w:t xml:space="preserve">i por alguna razón no se logra liquidar el contrato dentro de dicho plazo, el contratista tiene el deber de mantener vigente la garantía hasta la liquidación efectiva del contrato, pues el artículo 2.2.1.2.3.1.12 del Decreto 1082 de 2015 lo dispone expresamente. </w:t>
      </w:r>
    </w:p>
    <w:p w14:paraId="2534C075" w14:textId="77777777" w:rsidR="00EF69F0" w:rsidRPr="00EF69F0" w:rsidRDefault="00EF69F0" w:rsidP="00EF69F0">
      <w:pPr>
        <w:tabs>
          <w:tab w:val="left" w:pos="0"/>
          <w:tab w:val="left" w:pos="2190"/>
          <w:tab w:val="left" w:pos="6645"/>
        </w:tabs>
        <w:spacing w:after="0" w:line="276" w:lineRule="auto"/>
        <w:jc w:val="both"/>
        <w:rPr>
          <w:rFonts w:ascii="Arial" w:eastAsia="Calibri" w:hAnsi="Arial" w:cs="Arial"/>
          <w:bCs/>
          <w:szCs w:val="24"/>
          <w:lang w:val="es-ES_tradnl" w:eastAsia="es-ES_tradnl"/>
        </w:rPr>
      </w:pPr>
      <w:r w:rsidRPr="00EF69F0">
        <w:rPr>
          <w:rFonts w:ascii="Arial" w:eastAsia="Calibri" w:hAnsi="Arial" w:cs="Arial"/>
          <w:bCs/>
          <w:szCs w:val="24"/>
          <w:lang w:val="es-ES_tradnl" w:eastAsia="es-ES_tradnl"/>
        </w:rPr>
        <w:tab/>
      </w:r>
      <w:r w:rsidRPr="00EF69F0">
        <w:rPr>
          <w:rFonts w:ascii="Arial" w:eastAsia="Calibri" w:hAnsi="Arial" w:cs="Arial"/>
          <w:bCs/>
          <w:szCs w:val="24"/>
          <w:lang w:val="es-ES_tradnl" w:eastAsia="es-ES_tradnl"/>
        </w:rPr>
        <w:tab/>
      </w:r>
    </w:p>
    <w:p w14:paraId="73C81F58" w14:textId="77777777" w:rsidR="00EF69F0" w:rsidRPr="00EF69F0" w:rsidRDefault="00EF69F0" w:rsidP="00EF69F0">
      <w:pPr>
        <w:tabs>
          <w:tab w:val="left" w:pos="0"/>
        </w:tabs>
        <w:spacing w:after="0" w:line="240" w:lineRule="auto"/>
        <w:jc w:val="both"/>
        <w:rPr>
          <w:rFonts w:ascii="Arial" w:eastAsia="Calibri" w:hAnsi="Arial" w:cs="Arial"/>
          <w:b/>
          <w:color w:val="000000"/>
          <w:szCs w:val="24"/>
          <w:lang w:val="es-ES_tradnl" w:eastAsia="es-ES_tradnl"/>
        </w:rPr>
      </w:pPr>
      <w:r w:rsidRPr="00EF69F0">
        <w:rPr>
          <w:rFonts w:ascii="Arial" w:eastAsia="Calibri" w:hAnsi="Arial" w:cs="Arial"/>
          <w:b/>
          <w:color w:val="000000"/>
          <w:szCs w:val="24"/>
          <w:lang w:val="es-ES_tradnl" w:eastAsia="es-ES_tradnl"/>
        </w:rPr>
        <w:t>3. Respuesta</w:t>
      </w:r>
    </w:p>
    <w:p w14:paraId="5F6760D0" w14:textId="77777777" w:rsidR="00EF69F0" w:rsidRPr="00EF69F0" w:rsidRDefault="00EF69F0" w:rsidP="00EF69F0">
      <w:pPr>
        <w:spacing w:after="0" w:line="276" w:lineRule="auto"/>
        <w:jc w:val="both"/>
        <w:rPr>
          <w:rFonts w:ascii="Arial" w:eastAsia="Times New Roman" w:hAnsi="Arial" w:cs="Arial"/>
          <w:bCs/>
          <w:lang w:eastAsia="es-ES_tradnl"/>
        </w:rPr>
      </w:pPr>
    </w:p>
    <w:p w14:paraId="1BF9F07E" w14:textId="77777777" w:rsidR="00EF69F0" w:rsidRPr="00EF69F0" w:rsidRDefault="00EF69F0" w:rsidP="00EF69F0">
      <w:pPr>
        <w:autoSpaceDE w:val="0"/>
        <w:autoSpaceDN w:val="0"/>
        <w:adjustRightInd w:val="0"/>
        <w:spacing w:after="0" w:line="240" w:lineRule="auto"/>
        <w:ind w:left="709" w:right="709"/>
        <w:jc w:val="both"/>
        <w:rPr>
          <w:rFonts w:ascii="Arial" w:eastAsia="Times New Roman" w:hAnsi="Arial" w:cs="Arial"/>
          <w:bCs/>
          <w:sz w:val="20"/>
          <w:szCs w:val="20"/>
          <w:lang w:val="es-ES" w:eastAsia="es-ES_tradnl"/>
        </w:rPr>
      </w:pPr>
      <w:r w:rsidRPr="00EF69F0">
        <w:rPr>
          <w:rFonts w:ascii="Arial" w:eastAsia="Times New Roman" w:hAnsi="Arial" w:cs="Arial"/>
          <w:bCs/>
          <w:sz w:val="20"/>
          <w:szCs w:val="20"/>
          <w:lang w:val="es-ES" w:eastAsia="es-ES_tradnl"/>
        </w:rPr>
        <w:t xml:space="preserve">«[¿]Es obligatorio, exigir la ampliación de la póliza de cumplimiento de un contrato </w:t>
      </w:r>
      <w:proofErr w:type="spellStart"/>
      <w:r w:rsidRPr="00EF69F0">
        <w:rPr>
          <w:rFonts w:ascii="Arial" w:eastAsia="Times New Roman" w:hAnsi="Arial" w:cs="Arial"/>
          <w:bCs/>
          <w:sz w:val="20"/>
          <w:szCs w:val="20"/>
          <w:lang w:val="es-ES" w:eastAsia="es-ES_tradnl"/>
        </w:rPr>
        <w:t>interadmninstrativo</w:t>
      </w:r>
      <w:proofErr w:type="spellEnd"/>
      <w:r w:rsidRPr="00EF69F0">
        <w:rPr>
          <w:rFonts w:ascii="Arial" w:eastAsia="Times New Roman" w:hAnsi="Arial" w:cs="Arial"/>
          <w:bCs/>
          <w:sz w:val="20"/>
          <w:szCs w:val="20"/>
          <w:lang w:val="es-ES" w:eastAsia="es-ES_tradnl"/>
        </w:rPr>
        <w:t xml:space="preserve">, para la liquidación del contrato, cuando </w:t>
      </w:r>
      <w:proofErr w:type="spellStart"/>
      <w:r w:rsidRPr="00EF69F0">
        <w:rPr>
          <w:rFonts w:ascii="Arial" w:eastAsia="Times New Roman" w:hAnsi="Arial" w:cs="Arial"/>
          <w:bCs/>
          <w:sz w:val="20"/>
          <w:szCs w:val="20"/>
          <w:lang w:val="es-ES" w:eastAsia="es-ES_tradnl"/>
        </w:rPr>
        <w:t>ademas</w:t>
      </w:r>
      <w:proofErr w:type="spellEnd"/>
      <w:r w:rsidRPr="00EF69F0">
        <w:rPr>
          <w:rFonts w:ascii="Arial" w:eastAsia="Times New Roman" w:hAnsi="Arial" w:cs="Arial"/>
          <w:bCs/>
          <w:sz w:val="20"/>
          <w:szCs w:val="20"/>
          <w:lang w:val="es-ES" w:eastAsia="es-ES_tradnl"/>
        </w:rPr>
        <w:t xml:space="preserve"> [sic] ya ha trascurrido [sic] el termino [sic] señalado en el mismo contrato para su liquidación[?]»</w:t>
      </w:r>
    </w:p>
    <w:p w14:paraId="5E8BDEF3" w14:textId="77777777" w:rsidR="00EF69F0" w:rsidRPr="00EF69F0" w:rsidRDefault="00EF69F0" w:rsidP="00EF69F0">
      <w:pPr>
        <w:autoSpaceDE w:val="0"/>
        <w:autoSpaceDN w:val="0"/>
        <w:adjustRightInd w:val="0"/>
        <w:spacing w:after="0" w:line="276" w:lineRule="auto"/>
        <w:ind w:right="709"/>
        <w:jc w:val="both"/>
        <w:rPr>
          <w:rFonts w:ascii="Arial" w:eastAsia="Times New Roman" w:hAnsi="Arial" w:cs="Arial"/>
          <w:lang w:eastAsia="es-ES_tradnl"/>
        </w:rPr>
      </w:pPr>
    </w:p>
    <w:p w14:paraId="36F4ED90" w14:textId="77777777" w:rsidR="00EF69F0" w:rsidRPr="00EF69F0" w:rsidRDefault="00EF69F0" w:rsidP="00342E13">
      <w:pPr>
        <w:spacing w:after="120" w:line="276" w:lineRule="auto"/>
        <w:ind w:firstLine="708"/>
        <w:jc w:val="both"/>
        <w:rPr>
          <w:rFonts w:ascii="Arial" w:eastAsia="Times New Roman" w:hAnsi="Arial" w:cs="Arial"/>
          <w:color w:val="000000"/>
          <w:lang w:eastAsia="es-ES"/>
        </w:rPr>
      </w:pPr>
      <w:r w:rsidRPr="6C2B77A5">
        <w:rPr>
          <w:rFonts w:ascii="Arial" w:eastAsia="Times New Roman" w:hAnsi="Arial" w:cs="Arial"/>
          <w:color w:val="201F1E"/>
          <w:bdr w:val="none" w:sz="0" w:space="0" w:color="auto" w:frame="1"/>
          <w:shd w:val="clear" w:color="auto" w:fill="FFFFFF"/>
          <w:lang w:eastAsia="es-ES"/>
        </w:rPr>
        <w:t xml:space="preserve">Con base en las consideraciones anteriores, es posible afirmar que el proceso de liquidación cuenta con unos plazos específicos establecidos por el artículo 11 de la Ley 1150 de 2007: i) el plazo convencionalmente establecido por las partes o, en su ausencia, el término supletivo establecido para la liquidación bilateral de 4 meses; </w:t>
      </w:r>
      <w:proofErr w:type="spellStart"/>
      <w:r w:rsidRPr="6C2B77A5">
        <w:rPr>
          <w:rFonts w:ascii="Arial" w:eastAsia="Times New Roman" w:hAnsi="Arial" w:cs="Arial"/>
          <w:color w:val="201F1E"/>
          <w:bdr w:val="none" w:sz="0" w:space="0" w:color="auto" w:frame="1"/>
          <w:shd w:val="clear" w:color="auto" w:fill="FFFFFF"/>
          <w:lang w:eastAsia="es-ES"/>
        </w:rPr>
        <w:t>ii</w:t>
      </w:r>
      <w:proofErr w:type="spellEnd"/>
      <w:r w:rsidRPr="6C2B77A5">
        <w:rPr>
          <w:rFonts w:ascii="Arial" w:eastAsia="Times New Roman" w:hAnsi="Arial" w:cs="Arial"/>
          <w:color w:val="201F1E"/>
          <w:bdr w:val="none" w:sz="0" w:space="0" w:color="auto" w:frame="1"/>
          <w:shd w:val="clear" w:color="auto" w:fill="FFFFFF"/>
          <w:lang w:eastAsia="es-ES"/>
        </w:rPr>
        <w:t xml:space="preserve">) uno siguiente de 2 meses para </w:t>
      </w:r>
      <w:r w:rsidRPr="6C2B77A5">
        <w:rPr>
          <w:rFonts w:ascii="Arial" w:eastAsia="Times New Roman" w:hAnsi="Arial" w:cs="Arial"/>
          <w:color w:val="201F1E"/>
          <w:bdr w:val="none" w:sz="0" w:space="0" w:color="auto" w:frame="1"/>
          <w:shd w:val="clear" w:color="auto" w:fill="FFFFFF"/>
          <w:lang w:eastAsia="es-ES"/>
        </w:rPr>
        <w:lastRenderedPageBreak/>
        <w:t xml:space="preserve">realizar la liquidación de forma unilateral por parte de la Entidad Estatal, y </w:t>
      </w:r>
      <w:proofErr w:type="spellStart"/>
      <w:r w:rsidRPr="6C2B77A5">
        <w:rPr>
          <w:rFonts w:ascii="Arial" w:eastAsia="Times New Roman" w:hAnsi="Arial" w:cs="Arial"/>
          <w:color w:val="201F1E"/>
          <w:bdr w:val="none" w:sz="0" w:space="0" w:color="auto" w:frame="1"/>
          <w:shd w:val="clear" w:color="auto" w:fill="FFFFFF"/>
          <w:lang w:eastAsia="es-ES"/>
        </w:rPr>
        <w:t>iii</w:t>
      </w:r>
      <w:proofErr w:type="spellEnd"/>
      <w:r w:rsidRPr="6C2B77A5">
        <w:rPr>
          <w:rFonts w:ascii="Arial" w:eastAsia="Times New Roman" w:hAnsi="Arial" w:cs="Arial"/>
          <w:color w:val="201F1E"/>
          <w:bdr w:val="none" w:sz="0" w:space="0" w:color="auto" w:frame="1"/>
          <w:shd w:val="clear" w:color="auto" w:fill="FFFFFF"/>
          <w:lang w:eastAsia="es-ES"/>
        </w:rPr>
        <w:t>) vencidos estos plazos, existe la posibilidad de liquidar de mutuo acuerdo o unilateralmente el contrato dentro de los 2 años siguientes, sin perjuicio de acudir a un proceso donde se pretenda la liquidación judicial. </w:t>
      </w:r>
    </w:p>
    <w:p w14:paraId="6D4A8C9E" w14:textId="77777777" w:rsidR="00EF69F0" w:rsidRPr="00EF69F0" w:rsidRDefault="00EF69F0" w:rsidP="00EF69F0">
      <w:pPr>
        <w:spacing w:after="120" w:line="276" w:lineRule="auto"/>
        <w:ind w:firstLine="709"/>
        <w:jc w:val="both"/>
        <w:rPr>
          <w:rFonts w:ascii="Arial" w:eastAsia="Times New Roman" w:hAnsi="Arial" w:cs="Arial"/>
          <w:bCs/>
          <w:color w:val="000000"/>
          <w:szCs w:val="24"/>
          <w:lang w:eastAsia="es-ES_tradnl"/>
        </w:rPr>
      </w:pPr>
      <w:r w:rsidRPr="00EF69F0">
        <w:rPr>
          <w:rFonts w:ascii="Arial" w:eastAsia="Times New Roman" w:hAnsi="Arial" w:cs="Arial"/>
          <w:bCs/>
          <w:color w:val="000000"/>
          <w:szCs w:val="24"/>
          <w:lang w:eastAsia="es-ES_tradnl"/>
        </w:rPr>
        <w:t xml:space="preserve"> De acuerdo con el artículo 2.2.1.2.3.1.12. del Decreto 1082 de 2015, existe la obligación por parte del contratista de mantener la vigencia de la garantía de cumplimiento, en cuanto al amparo de cumplimiento del contrato, hasta la liquidación del contrato. En este sentido, la vigencia del amparo de cumplimiento del contrato es la determinada en el artículo 2.2.1.2.3.1.12. del Decreto 1082 de 2015, esto es, hasta el momento en que se realice la liquidación del contrato, para lo cual se deberá tener en cuenta lo dispuesto por el artículo 11 de la Ley 1150 de 2007, según el cual </w:t>
      </w:r>
      <w:r w:rsidRPr="00EF69F0">
        <w:rPr>
          <w:rFonts w:ascii="Arial" w:eastAsia="Times New Roman" w:hAnsi="Arial" w:cs="Arial"/>
          <w:bCs/>
          <w:color w:val="000000"/>
          <w:szCs w:val="24"/>
          <w:lang w:val="es-ES_tradnl" w:eastAsia="es-ES_tradnl"/>
        </w:rPr>
        <w:t>la liquidación de los contratos se hará de mutuo acuerdo dentro del término fijado en los pliegos de condiciones o sus equivalentes o dentro del que acuerden las partes para el efecto</w:t>
      </w:r>
      <w:r w:rsidRPr="00EF69F0">
        <w:rPr>
          <w:rFonts w:ascii="Arial" w:eastAsia="Times New Roman" w:hAnsi="Arial" w:cs="Arial"/>
          <w:bCs/>
          <w:color w:val="000000"/>
          <w:szCs w:val="24"/>
          <w:lang w:eastAsia="es-ES_tradnl"/>
        </w:rPr>
        <w:t xml:space="preserve"> o en su ausencia, el término supletivo establecido para la liquidación bilateral de 4 meses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60018B66" w14:textId="77777777" w:rsidR="00EF69F0" w:rsidRPr="00EF69F0" w:rsidRDefault="00EF69F0" w:rsidP="00EF69F0">
      <w:pPr>
        <w:widowControl w:val="0"/>
        <w:autoSpaceDE w:val="0"/>
        <w:autoSpaceDN w:val="0"/>
        <w:spacing w:after="0" w:line="276" w:lineRule="auto"/>
        <w:ind w:firstLine="709"/>
        <w:jc w:val="both"/>
        <w:rPr>
          <w:rFonts w:ascii="Arial" w:eastAsia="Times New Roman" w:hAnsi="Arial" w:cs="Arial"/>
          <w:bCs/>
          <w:color w:val="000000"/>
          <w:szCs w:val="24"/>
          <w:lang w:val="es-ES_tradnl" w:eastAsia="es-ES_tradnl"/>
        </w:rPr>
      </w:pPr>
      <w:r w:rsidRPr="00EF69F0">
        <w:rPr>
          <w:rFonts w:ascii="Arial" w:eastAsia="Times New Roman" w:hAnsi="Arial" w:cs="Arial"/>
          <w:bCs/>
          <w:color w:val="000000"/>
          <w:szCs w:val="24"/>
          <w:lang w:eastAsia="es-ES_tradnl"/>
        </w:rPr>
        <w:t>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w:t>
      </w:r>
      <w:r w:rsidRPr="00EF69F0">
        <w:rPr>
          <w:rFonts w:ascii="Arial" w:eastAsia="Times New Roman" w:hAnsi="Arial" w:cs="Arial"/>
          <w:bCs/>
          <w:color w:val="000000"/>
          <w:szCs w:val="24"/>
          <w:lang w:val="es-ES_tradnl" w:eastAsia="es-ES_tradnl"/>
        </w:rPr>
        <w:t xml:space="preserve">i por alguna razón no se logra liquidar el contrato dentro de dicho plazo, el contratista tiene el deber de mantener vigente la garantía hasta la liquidación efectiva del contrato, pues el artículo 2.2.1.2.3.1.12 del Decreto 1082 de 2015 lo dispone expresamente. </w:t>
      </w:r>
    </w:p>
    <w:p w14:paraId="364DA797" w14:textId="77777777" w:rsidR="00EF69F0" w:rsidRPr="00EF69F0" w:rsidRDefault="00EF69F0" w:rsidP="00EF69F0">
      <w:pPr>
        <w:spacing w:before="120" w:after="0" w:line="276" w:lineRule="auto"/>
        <w:ind w:firstLine="709"/>
        <w:jc w:val="both"/>
        <w:rPr>
          <w:rFonts w:ascii="Arial" w:eastAsia="Times New Roman" w:hAnsi="Arial" w:cs="Arial"/>
          <w:bCs/>
          <w:color w:val="000000"/>
          <w:szCs w:val="24"/>
          <w:lang w:eastAsia="es-ES_tradnl"/>
        </w:rPr>
      </w:pPr>
      <w:r w:rsidRPr="00EF69F0">
        <w:rPr>
          <w:rFonts w:ascii="Arial" w:eastAsia="Times New Roman" w:hAnsi="Arial" w:cs="Arial"/>
          <w:bCs/>
          <w:color w:val="000000"/>
          <w:szCs w:val="24"/>
          <w:lang w:val="es-ES_tradnl" w:eastAsia="es-ES_tradnl"/>
        </w:rPr>
        <w:t xml:space="preserve">Por lo tanto, la vigencia de dicha garantía no entra dentro del ámbito de discrecionalidad de la entidad contratante y, de este modo, es necesario concluir que la garantía debe mantenerse vigente durante los plazos dispuestos en el artículo </w:t>
      </w:r>
      <w:r w:rsidRPr="00EF69F0">
        <w:rPr>
          <w:rFonts w:ascii="Arial" w:eastAsia="Times New Roman" w:hAnsi="Arial" w:cs="Arial"/>
          <w:bCs/>
          <w:color w:val="000000"/>
          <w:szCs w:val="24"/>
          <w:lang w:eastAsia="es-ES_tradnl"/>
        </w:rPr>
        <w:t xml:space="preserve">11 de la ley 1150 de 2007 </w:t>
      </w:r>
      <w:r w:rsidRPr="00EF69F0">
        <w:rPr>
          <w:rFonts w:ascii="Arial" w:eastAsia="Times New Roman" w:hAnsi="Arial" w:cs="Arial"/>
          <w:bCs/>
          <w:color w:val="000000"/>
          <w:szCs w:val="24"/>
          <w:lang w:val="es-ES_tradnl" w:eastAsia="es-ES_tradnl"/>
        </w:rPr>
        <w:t>para la liquidación.</w:t>
      </w:r>
    </w:p>
    <w:p w14:paraId="5C231608" w14:textId="77777777" w:rsidR="00EF69F0" w:rsidRPr="00EF69F0" w:rsidRDefault="00EF69F0" w:rsidP="00EF69F0">
      <w:pPr>
        <w:widowControl w:val="0"/>
        <w:autoSpaceDE w:val="0"/>
        <w:autoSpaceDN w:val="0"/>
        <w:spacing w:after="0" w:line="276" w:lineRule="auto"/>
        <w:jc w:val="both"/>
        <w:rPr>
          <w:rFonts w:ascii="Arial" w:eastAsia="Times New Roman" w:hAnsi="Arial" w:cs="Arial"/>
          <w:color w:val="000000"/>
          <w:lang w:val="es-ES_tradnl" w:eastAsia="es-ES_tradnl"/>
        </w:rPr>
      </w:pPr>
    </w:p>
    <w:p w14:paraId="2DD4F864" w14:textId="77777777" w:rsidR="00D93F20" w:rsidRDefault="00D93F20" w:rsidP="00EF69F0">
      <w:pPr>
        <w:spacing w:after="0" w:line="276" w:lineRule="auto"/>
        <w:jc w:val="both"/>
        <w:rPr>
          <w:rFonts w:ascii="Arial" w:eastAsia="Times New Roman" w:hAnsi="Arial" w:cs="Arial"/>
          <w:color w:val="000000"/>
          <w:lang w:val="es-ES_tradnl" w:eastAsia="es-ES_tradnl"/>
        </w:rPr>
      </w:pPr>
    </w:p>
    <w:p w14:paraId="548AC192" w14:textId="77777777" w:rsidR="00D93F20" w:rsidRDefault="00D93F20" w:rsidP="00EF69F0">
      <w:pPr>
        <w:spacing w:after="0" w:line="276" w:lineRule="auto"/>
        <w:jc w:val="both"/>
        <w:rPr>
          <w:rFonts w:ascii="Arial" w:eastAsia="Times New Roman" w:hAnsi="Arial" w:cs="Arial"/>
          <w:color w:val="000000"/>
          <w:lang w:val="es-ES_tradnl" w:eastAsia="es-ES_tradnl"/>
        </w:rPr>
      </w:pPr>
    </w:p>
    <w:p w14:paraId="6E0D6D76" w14:textId="77777777" w:rsidR="00D93F20" w:rsidRDefault="00D93F20" w:rsidP="00EF69F0">
      <w:pPr>
        <w:spacing w:after="0" w:line="276" w:lineRule="auto"/>
        <w:jc w:val="both"/>
        <w:rPr>
          <w:rFonts w:ascii="Arial" w:eastAsia="Times New Roman" w:hAnsi="Arial" w:cs="Arial"/>
          <w:color w:val="000000"/>
          <w:lang w:val="es-ES_tradnl" w:eastAsia="es-ES_tradnl"/>
        </w:rPr>
      </w:pPr>
    </w:p>
    <w:p w14:paraId="255E4CE1" w14:textId="77777777" w:rsidR="00D93F20" w:rsidRDefault="00D93F20" w:rsidP="00EF69F0">
      <w:pPr>
        <w:spacing w:after="0" w:line="276" w:lineRule="auto"/>
        <w:jc w:val="both"/>
        <w:rPr>
          <w:rFonts w:ascii="Arial" w:eastAsia="Times New Roman" w:hAnsi="Arial" w:cs="Arial"/>
          <w:color w:val="000000"/>
          <w:lang w:val="es-ES_tradnl" w:eastAsia="es-ES_tradnl"/>
        </w:rPr>
      </w:pPr>
    </w:p>
    <w:p w14:paraId="095B2AC0" w14:textId="77777777" w:rsidR="00D93F20" w:rsidRDefault="00D93F20" w:rsidP="00EF69F0">
      <w:pPr>
        <w:spacing w:after="0" w:line="276" w:lineRule="auto"/>
        <w:jc w:val="both"/>
        <w:rPr>
          <w:rFonts w:ascii="Arial" w:eastAsia="Times New Roman" w:hAnsi="Arial" w:cs="Arial"/>
          <w:color w:val="000000"/>
          <w:lang w:val="es-ES_tradnl" w:eastAsia="es-ES_tradnl"/>
        </w:rPr>
      </w:pPr>
    </w:p>
    <w:p w14:paraId="1C67E09E" w14:textId="77777777" w:rsidR="00D93F20" w:rsidRDefault="00D93F20" w:rsidP="00EF69F0">
      <w:pPr>
        <w:spacing w:after="0" w:line="276" w:lineRule="auto"/>
        <w:jc w:val="both"/>
        <w:rPr>
          <w:rFonts w:ascii="Arial" w:eastAsia="Times New Roman" w:hAnsi="Arial" w:cs="Arial"/>
          <w:color w:val="000000"/>
          <w:lang w:val="es-ES_tradnl" w:eastAsia="es-ES_tradnl"/>
        </w:rPr>
      </w:pPr>
    </w:p>
    <w:p w14:paraId="7D8B2C69" w14:textId="77777777" w:rsidR="00D93F20" w:rsidRDefault="00D93F20" w:rsidP="00EF69F0">
      <w:pPr>
        <w:spacing w:after="0" w:line="276" w:lineRule="auto"/>
        <w:jc w:val="both"/>
        <w:rPr>
          <w:rFonts w:ascii="Arial" w:eastAsia="Times New Roman" w:hAnsi="Arial" w:cs="Arial"/>
          <w:color w:val="000000"/>
          <w:lang w:val="es-ES_tradnl" w:eastAsia="es-ES_tradnl"/>
        </w:rPr>
      </w:pPr>
    </w:p>
    <w:p w14:paraId="49112A5D" w14:textId="5820CDFC" w:rsidR="00EF69F0" w:rsidRPr="00EF69F0" w:rsidRDefault="00EF69F0" w:rsidP="00EF69F0">
      <w:pPr>
        <w:spacing w:after="0" w:line="276" w:lineRule="auto"/>
        <w:jc w:val="both"/>
        <w:rPr>
          <w:rFonts w:ascii="Arial" w:eastAsia="Times New Roman" w:hAnsi="Arial" w:cs="Arial"/>
          <w:lang w:val="es-ES_tradnl" w:eastAsia="es-ES_tradnl"/>
        </w:rPr>
      </w:pPr>
      <w:r w:rsidRPr="00EF69F0">
        <w:rPr>
          <w:rFonts w:ascii="Arial" w:eastAsia="Times New Roman" w:hAnsi="Arial" w:cs="Arial"/>
          <w:color w:val="000000"/>
          <w:lang w:val="es-ES_tradnl" w:eastAsia="es-ES_tradnl"/>
        </w:rPr>
        <w:lastRenderedPageBreak/>
        <w:t>Este concepto tiene el alcance previsto en el artículo 28 del</w:t>
      </w:r>
      <w:r w:rsidRPr="00EF69F0">
        <w:rPr>
          <w:rFonts w:ascii="Arial" w:eastAsia="Times New Roman" w:hAnsi="Arial" w:cs="Arial"/>
          <w:color w:val="000000"/>
          <w:szCs w:val="24"/>
          <w:lang w:val="es-ES_tradnl" w:eastAsia="es-ES_tradnl"/>
        </w:rPr>
        <w:t xml:space="preserve"> Código de Procedimiento Administrativo y de lo Contencioso Administrativo </w:t>
      </w:r>
      <w:r w:rsidRPr="00EF69F0">
        <w:rPr>
          <w:rFonts w:ascii="Arial" w:eastAsia="Calibri" w:hAnsi="Arial" w:cs="Arial"/>
          <w:lang w:val="es-ES" w:eastAsia="es-MX"/>
        </w:rPr>
        <w:t xml:space="preserve">y </w:t>
      </w:r>
      <w:r w:rsidRPr="00EF69F0">
        <w:rPr>
          <w:rFonts w:ascii="Arial" w:eastAsia="Calibri" w:hAnsi="Arial" w:cs="Arial"/>
          <w:lang w:val="es-MX" w:eastAsia="es-ES_tradnl"/>
        </w:rPr>
        <w:t>las expresiones aquí utilizadas con mayúscula inicial deben ser entendidas con el significado que les otorga el artículo 2.2.1.1.1.3.1. del Decreto 1082 de 2015</w:t>
      </w:r>
      <w:r w:rsidRPr="00EF69F0">
        <w:rPr>
          <w:rFonts w:ascii="Arial" w:eastAsia="Times New Roman" w:hAnsi="Arial" w:cs="Arial"/>
          <w:lang w:val="es-ES_tradnl" w:eastAsia="es-ES_tradnl"/>
        </w:rPr>
        <w:t>.</w:t>
      </w:r>
    </w:p>
    <w:p w14:paraId="32931C7C" w14:textId="77777777" w:rsidR="00EF69F0" w:rsidRPr="00EF69F0" w:rsidRDefault="00EF69F0" w:rsidP="00EF69F0">
      <w:pPr>
        <w:widowControl w:val="0"/>
        <w:autoSpaceDE w:val="0"/>
        <w:autoSpaceDN w:val="0"/>
        <w:spacing w:after="0" w:line="276" w:lineRule="auto"/>
        <w:jc w:val="both"/>
        <w:rPr>
          <w:rFonts w:ascii="Arial" w:eastAsia="Times New Roman" w:hAnsi="Arial" w:cs="Arial"/>
          <w:color w:val="000000"/>
          <w:szCs w:val="24"/>
          <w:lang w:val="es-ES_tradnl" w:eastAsia="es-ES_tradnl"/>
        </w:rPr>
      </w:pPr>
    </w:p>
    <w:p w14:paraId="50B88DB3" w14:textId="77777777" w:rsidR="00EF69F0" w:rsidRPr="00EF69F0" w:rsidRDefault="00EF69F0" w:rsidP="00EF69F0">
      <w:pPr>
        <w:spacing w:after="0" w:line="276" w:lineRule="auto"/>
        <w:jc w:val="both"/>
        <w:rPr>
          <w:rFonts w:ascii="Arial" w:eastAsia="Times New Roman" w:hAnsi="Arial" w:cs="Arial"/>
          <w:color w:val="000000"/>
          <w:lang w:val="es-ES_tradnl" w:eastAsia="es-CO"/>
        </w:rPr>
      </w:pPr>
      <w:r w:rsidRPr="37D4D6AA">
        <w:rPr>
          <w:rFonts w:ascii="Arial" w:eastAsia="Times New Roman" w:hAnsi="Arial" w:cs="Arial"/>
          <w:color w:val="000000" w:themeColor="text1"/>
          <w:lang w:val="es-ES" w:eastAsia="es-CO"/>
        </w:rPr>
        <w:t>Atentamente,</w:t>
      </w:r>
    </w:p>
    <w:p w14:paraId="5320DEE6" w14:textId="28B1315D" w:rsidR="00EF69F0" w:rsidRPr="00EF69F0" w:rsidRDefault="5420BDBD" w:rsidP="37D4D6AA">
      <w:pPr>
        <w:spacing w:after="0" w:line="276" w:lineRule="auto"/>
        <w:jc w:val="center"/>
      </w:pPr>
      <w:r>
        <w:rPr>
          <w:noProof/>
        </w:rPr>
        <w:drawing>
          <wp:inline distT="0" distB="0" distL="0" distR="0" wp14:anchorId="3982C2D3" wp14:editId="4CC6591D">
            <wp:extent cx="2781300" cy="1066800"/>
            <wp:effectExtent l="0" t="0" r="0" b="0"/>
            <wp:docPr id="1541694691" name="Imagen 154169469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781300" cy="1066800"/>
                    </a:xfrm>
                    <a:prstGeom prst="rect">
                      <a:avLst/>
                    </a:prstGeom>
                  </pic:spPr>
                </pic:pic>
              </a:graphicData>
            </a:graphic>
          </wp:inline>
        </w:drawing>
      </w:r>
    </w:p>
    <w:p w14:paraId="2F13F359" w14:textId="77777777" w:rsidR="00EF69F0" w:rsidRPr="00EF69F0" w:rsidRDefault="00EF69F0" w:rsidP="00EF69F0">
      <w:pPr>
        <w:spacing w:after="0" w:line="276" w:lineRule="auto"/>
        <w:jc w:val="center"/>
        <w:rPr>
          <w:rFonts w:ascii="Arial" w:eastAsia="Times New Roman" w:hAnsi="Arial" w:cs="Arial"/>
          <w:color w:val="000000"/>
          <w:sz w:val="16"/>
          <w:szCs w:val="16"/>
          <w:lang w:val="es-ES_tradnl" w:eastAsia="es-CO"/>
        </w:rPr>
      </w:pP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F69F0" w:rsidRPr="00EF69F0" w14:paraId="495D7D3B" w14:textId="77777777" w:rsidTr="00EF69F0">
        <w:trPr>
          <w:trHeight w:val="160"/>
        </w:trPr>
        <w:tc>
          <w:tcPr>
            <w:tcW w:w="812" w:type="dxa"/>
            <w:vAlign w:val="center"/>
            <w:hideMark/>
          </w:tcPr>
          <w:p w14:paraId="2B6B7659" w14:textId="77777777" w:rsidR="00EF69F0" w:rsidRPr="00EF69F0" w:rsidRDefault="00EF69F0" w:rsidP="00EF69F0">
            <w:pPr>
              <w:jc w:val="both"/>
              <w:rPr>
                <w:rFonts w:ascii="Arial" w:eastAsia="Times New Roman" w:hAnsi="Arial" w:cs="Arial"/>
                <w:color w:val="000000"/>
                <w:sz w:val="16"/>
                <w:szCs w:val="16"/>
                <w:lang w:val="es-ES_tradnl" w:eastAsia="es-ES"/>
              </w:rPr>
            </w:pPr>
            <w:r w:rsidRPr="00EF69F0">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54A80614" w14:textId="77777777" w:rsidR="00EF69F0" w:rsidRPr="00EF69F0" w:rsidRDefault="00EF69F0" w:rsidP="00EF69F0">
            <w:pPr>
              <w:jc w:val="both"/>
              <w:rPr>
                <w:rFonts w:ascii="Arial" w:eastAsia="Times New Roman" w:hAnsi="Arial" w:cs="Arial"/>
                <w:color w:val="000000"/>
                <w:sz w:val="16"/>
                <w:szCs w:val="16"/>
                <w:lang w:val="es-ES_tradnl" w:eastAsia="es-ES"/>
              </w:rPr>
            </w:pPr>
            <w:r w:rsidRPr="00EF69F0">
              <w:rPr>
                <w:rFonts w:ascii="Arial" w:eastAsia="Times New Roman" w:hAnsi="Arial" w:cs="Arial"/>
                <w:color w:val="000000"/>
                <w:sz w:val="16"/>
                <w:szCs w:val="16"/>
                <w:lang w:val="es-ES_tradnl" w:eastAsia="es-ES"/>
              </w:rPr>
              <w:t>Kevin Arlid Herrera Santa</w:t>
            </w:r>
          </w:p>
          <w:p w14:paraId="4CFE0D9F" w14:textId="77777777" w:rsidR="00EF69F0" w:rsidRPr="00EF69F0" w:rsidRDefault="00EF69F0" w:rsidP="00EF69F0">
            <w:pPr>
              <w:jc w:val="both"/>
              <w:rPr>
                <w:rFonts w:ascii="Arial" w:eastAsia="Times New Roman" w:hAnsi="Arial" w:cs="Arial"/>
                <w:color w:val="000000"/>
                <w:sz w:val="16"/>
                <w:szCs w:val="16"/>
                <w:lang w:val="es-ES_tradnl" w:eastAsia="es-ES"/>
              </w:rPr>
            </w:pPr>
            <w:r w:rsidRPr="00EF69F0">
              <w:rPr>
                <w:rFonts w:ascii="Arial" w:eastAsia="Times New Roman" w:hAnsi="Arial" w:cs="Arial"/>
                <w:color w:val="000000"/>
                <w:sz w:val="16"/>
                <w:szCs w:val="16"/>
                <w:lang w:val="es-ES_tradnl" w:eastAsia="es-ES"/>
              </w:rPr>
              <w:t>Analista T2-04 de la Subdirección de Gestión Contractual</w:t>
            </w:r>
          </w:p>
        </w:tc>
      </w:tr>
      <w:tr w:rsidR="00EF69F0" w:rsidRPr="00EF69F0" w14:paraId="7BDB19DC" w14:textId="77777777" w:rsidTr="00EF69F0">
        <w:trPr>
          <w:trHeight w:val="330"/>
        </w:trPr>
        <w:tc>
          <w:tcPr>
            <w:tcW w:w="812" w:type="dxa"/>
            <w:vAlign w:val="center"/>
            <w:hideMark/>
          </w:tcPr>
          <w:p w14:paraId="229A0C90" w14:textId="77777777" w:rsidR="00EF69F0" w:rsidRPr="00EF69F0" w:rsidRDefault="00EF69F0" w:rsidP="00EF69F0">
            <w:pPr>
              <w:jc w:val="both"/>
              <w:rPr>
                <w:rFonts w:ascii="Arial" w:eastAsia="Times New Roman" w:hAnsi="Arial" w:cs="Arial"/>
                <w:color w:val="000000"/>
                <w:sz w:val="16"/>
                <w:szCs w:val="16"/>
                <w:lang w:val="es-ES_tradnl" w:eastAsia="es-ES"/>
              </w:rPr>
            </w:pPr>
            <w:r w:rsidRPr="00EF69F0">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AE0B8C6" w14:textId="77777777" w:rsidR="00EF69F0" w:rsidRPr="00EF69F0" w:rsidRDefault="00EF69F0" w:rsidP="00EF69F0">
            <w:pPr>
              <w:jc w:val="both"/>
              <w:rPr>
                <w:rFonts w:ascii="Arial" w:eastAsia="Times New Roman" w:hAnsi="Arial" w:cs="Arial"/>
                <w:color w:val="000000"/>
                <w:sz w:val="16"/>
                <w:szCs w:val="16"/>
                <w:lang w:eastAsia="es-ES"/>
              </w:rPr>
            </w:pPr>
            <w:r w:rsidRPr="00EF69F0">
              <w:rPr>
                <w:rFonts w:ascii="Arial" w:eastAsia="Times New Roman" w:hAnsi="Arial" w:cs="Arial"/>
                <w:color w:val="000000"/>
                <w:sz w:val="16"/>
                <w:szCs w:val="16"/>
                <w:lang w:eastAsia="es-ES"/>
              </w:rPr>
              <w:t>Martha Alicia Romero Vargas</w:t>
            </w:r>
          </w:p>
          <w:p w14:paraId="6A1D29D7" w14:textId="77777777" w:rsidR="00EF69F0" w:rsidRPr="00EF69F0" w:rsidRDefault="00EF69F0" w:rsidP="00EF69F0">
            <w:pPr>
              <w:jc w:val="both"/>
              <w:rPr>
                <w:rFonts w:ascii="Arial" w:eastAsia="Times New Roman" w:hAnsi="Arial" w:cs="Arial"/>
                <w:color w:val="000000"/>
                <w:sz w:val="16"/>
                <w:szCs w:val="16"/>
                <w:lang w:eastAsia="es-ES"/>
              </w:rPr>
            </w:pPr>
            <w:r w:rsidRPr="00EF69F0">
              <w:rPr>
                <w:rFonts w:ascii="Arial" w:eastAsia="Times New Roman" w:hAnsi="Arial" w:cs="Arial"/>
                <w:color w:val="000000"/>
                <w:sz w:val="16"/>
                <w:szCs w:val="16"/>
                <w:lang w:eastAsia="es-ES"/>
              </w:rPr>
              <w:t>Gestor T1-15 de la Subdirección de Gestión Contractual</w:t>
            </w:r>
          </w:p>
        </w:tc>
      </w:tr>
      <w:tr w:rsidR="00EF69F0" w:rsidRPr="00EF69F0" w14:paraId="6F7B525E" w14:textId="77777777" w:rsidTr="00EF69F0">
        <w:trPr>
          <w:trHeight w:val="300"/>
        </w:trPr>
        <w:tc>
          <w:tcPr>
            <w:tcW w:w="812" w:type="dxa"/>
            <w:vAlign w:val="center"/>
            <w:hideMark/>
          </w:tcPr>
          <w:p w14:paraId="1F7BF753" w14:textId="77777777" w:rsidR="00EF69F0" w:rsidRPr="00EF69F0" w:rsidRDefault="00EF69F0" w:rsidP="00EF69F0">
            <w:pPr>
              <w:jc w:val="both"/>
              <w:rPr>
                <w:rFonts w:ascii="Arial" w:eastAsia="Times New Roman" w:hAnsi="Arial" w:cs="Arial"/>
                <w:color w:val="000000"/>
                <w:sz w:val="16"/>
                <w:szCs w:val="16"/>
                <w:lang w:val="es-ES_tradnl" w:eastAsia="es-ES"/>
              </w:rPr>
            </w:pPr>
            <w:r w:rsidRPr="00EF69F0">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1CBDBEE" w14:textId="77777777" w:rsidR="00EF69F0" w:rsidRPr="00EF69F0" w:rsidRDefault="00EF69F0" w:rsidP="00EF69F0">
            <w:pPr>
              <w:jc w:val="both"/>
              <w:rPr>
                <w:rFonts w:ascii="Arial" w:eastAsia="Times New Roman" w:hAnsi="Arial" w:cs="Arial"/>
                <w:color w:val="000000"/>
                <w:sz w:val="16"/>
                <w:szCs w:val="16"/>
                <w:lang w:eastAsia="es-ES"/>
              </w:rPr>
            </w:pPr>
            <w:r w:rsidRPr="00EF69F0">
              <w:rPr>
                <w:rFonts w:ascii="Arial" w:eastAsia="Times New Roman" w:hAnsi="Arial" w:cs="Arial"/>
                <w:color w:val="000000"/>
                <w:sz w:val="16"/>
                <w:szCs w:val="16"/>
                <w:lang w:eastAsia="es-ES"/>
              </w:rPr>
              <w:t>Nohelia del Carmen Zawady Palacio</w:t>
            </w:r>
          </w:p>
          <w:p w14:paraId="34C11CD1" w14:textId="77777777" w:rsidR="00EF69F0" w:rsidRPr="00EF69F0" w:rsidRDefault="00EF69F0" w:rsidP="00EF69F0">
            <w:pPr>
              <w:jc w:val="both"/>
              <w:rPr>
                <w:rFonts w:ascii="Arial" w:eastAsia="Times New Roman" w:hAnsi="Arial" w:cs="Arial"/>
                <w:color w:val="000000"/>
                <w:sz w:val="16"/>
                <w:szCs w:val="16"/>
                <w:lang w:val="es-ES_tradnl" w:eastAsia="es-ES"/>
              </w:rPr>
            </w:pPr>
            <w:r w:rsidRPr="00EF69F0">
              <w:rPr>
                <w:rFonts w:ascii="Arial" w:eastAsia="Times New Roman" w:hAnsi="Arial" w:cs="Arial"/>
                <w:color w:val="000000"/>
                <w:sz w:val="16"/>
                <w:szCs w:val="16"/>
                <w:lang w:eastAsia="es-ES"/>
              </w:rPr>
              <w:t>Subdirectora de Gestión Contractual</w:t>
            </w:r>
          </w:p>
        </w:tc>
      </w:tr>
      <w:bookmarkEnd w:id="0"/>
      <w:bookmarkEnd w:id="1"/>
    </w:tbl>
    <w:p w14:paraId="6913D52F" w14:textId="77777777" w:rsidR="00EF69F0" w:rsidRPr="00EF69F0" w:rsidRDefault="00EF69F0" w:rsidP="00EF69F0">
      <w:pPr>
        <w:tabs>
          <w:tab w:val="left" w:pos="3570"/>
        </w:tabs>
        <w:spacing w:after="0" w:line="240" w:lineRule="auto"/>
        <w:rPr>
          <w:rFonts w:ascii="Arial" w:eastAsia="Times New Roman" w:hAnsi="Arial" w:cs="Arial"/>
          <w:sz w:val="16"/>
          <w:szCs w:val="16"/>
          <w:lang w:val="es-ES_tradnl" w:eastAsia="es-ES_tradnl"/>
        </w:rPr>
      </w:pPr>
    </w:p>
    <w:p w14:paraId="0F293BF4" w14:textId="0F6FB6C1" w:rsidR="00127233" w:rsidRPr="00EF69F0" w:rsidRDefault="00127233">
      <w:pPr>
        <w:rPr>
          <w:lang w:val="es-ES_tradnl"/>
        </w:rPr>
      </w:pPr>
    </w:p>
    <w:sectPr w:rsidR="00127233" w:rsidRPr="00EF69F0"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1121B" w14:textId="77777777" w:rsidR="00236933" w:rsidRDefault="00236933" w:rsidP="004A1847">
      <w:pPr>
        <w:spacing w:after="0" w:line="240" w:lineRule="auto"/>
      </w:pPr>
      <w:r>
        <w:separator/>
      </w:r>
    </w:p>
  </w:endnote>
  <w:endnote w:type="continuationSeparator" w:id="0">
    <w:p w14:paraId="3ED505E6" w14:textId="77777777" w:rsidR="00236933" w:rsidRDefault="00236933" w:rsidP="004A1847">
      <w:pPr>
        <w:spacing w:after="0" w:line="240" w:lineRule="auto"/>
      </w:pPr>
      <w:r>
        <w:continuationSeparator/>
      </w:r>
    </w:p>
  </w:endnote>
  <w:endnote w:type="continuationNotice" w:id="1">
    <w:p w14:paraId="55C5D40D" w14:textId="77777777" w:rsidR="00236933" w:rsidRDefault="00236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6C040" w14:textId="77777777" w:rsidR="00236933" w:rsidRDefault="00236933" w:rsidP="004A1847">
      <w:pPr>
        <w:spacing w:after="0" w:line="240" w:lineRule="auto"/>
      </w:pPr>
      <w:r>
        <w:separator/>
      </w:r>
    </w:p>
  </w:footnote>
  <w:footnote w:type="continuationSeparator" w:id="0">
    <w:p w14:paraId="148CC124" w14:textId="77777777" w:rsidR="00236933" w:rsidRDefault="00236933" w:rsidP="004A1847">
      <w:pPr>
        <w:spacing w:after="0" w:line="240" w:lineRule="auto"/>
      </w:pPr>
      <w:r>
        <w:continuationSeparator/>
      </w:r>
    </w:p>
  </w:footnote>
  <w:footnote w:type="continuationNotice" w:id="1">
    <w:p w14:paraId="2BFA9D9F" w14:textId="77777777" w:rsidR="00236933" w:rsidRDefault="00236933">
      <w:pPr>
        <w:spacing w:after="0" w:line="240" w:lineRule="auto"/>
      </w:pPr>
    </w:p>
  </w:footnote>
  <w:footnote w:id="2">
    <w:p w14:paraId="7E2712EC" w14:textId="77777777" w:rsidR="00EF69F0" w:rsidRPr="00EF69F0" w:rsidRDefault="00EF69F0" w:rsidP="00EF69F0">
      <w:pPr>
        <w:pStyle w:val="Textonotapie"/>
        <w:ind w:firstLine="709"/>
        <w:jc w:val="both"/>
        <w:rPr>
          <w:color w:val="000000"/>
          <w:lang w:val="es-CO"/>
        </w:rPr>
      </w:pPr>
      <w:r w:rsidRPr="00EF69F0">
        <w:rPr>
          <w:rStyle w:val="Refdenotaalpie"/>
          <w:color w:val="000000"/>
        </w:rPr>
        <w:footnoteRef/>
      </w:r>
      <w:r w:rsidRPr="00EF69F0">
        <w:rPr>
          <w:color w:val="000000"/>
        </w:rPr>
        <w:t xml:space="preserve"> </w:t>
      </w:r>
      <w:r w:rsidRPr="00EF69F0">
        <w:rPr>
          <w:rFonts w:ascii="Arial" w:hAnsi="Arial" w:cs="Arial"/>
          <w:color w:val="000000"/>
          <w:sz w:val="18"/>
          <w:szCs w:val="18"/>
          <w:lang w:val="es-CO"/>
        </w:rPr>
        <w:t xml:space="preserve">Estos conceptos pueden ser consultados en la relatoría de la Agencia en el siguiente enlace: </w:t>
      </w:r>
      <w:hyperlink r:id="rId1" w:history="1">
        <w:r w:rsidRPr="00EF69F0">
          <w:rPr>
            <w:rStyle w:val="Hipervnculo1"/>
            <w:rFonts w:ascii="Arial" w:hAnsi="Arial" w:cs="Arial"/>
            <w:color w:val="000000"/>
            <w:sz w:val="18"/>
            <w:szCs w:val="18"/>
            <w:lang w:val="es-CO"/>
          </w:rPr>
          <w:t>https://relatoria.colombiacompra.gov.co/busqueda/conceptos#</w:t>
        </w:r>
      </w:hyperlink>
    </w:p>
  </w:footnote>
  <w:footnote w:id="3">
    <w:p w14:paraId="3C0DF4AD" w14:textId="77777777" w:rsidR="00EF69F0" w:rsidRPr="00EF69F0" w:rsidRDefault="00EF69F0" w:rsidP="00EF69F0">
      <w:pPr>
        <w:pStyle w:val="Textonotapie"/>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EF69F0">
        <w:rPr>
          <w:rFonts w:ascii="Arial" w:hAnsi="Arial" w:cs="Arial"/>
          <w:color w:val="000000"/>
          <w:sz w:val="19"/>
          <w:szCs w:val="19"/>
          <w:shd w:val="clear" w:color="auto" w:fill="FFFFFF"/>
        </w:rPr>
        <w:t>»</w:t>
      </w:r>
      <w:r w:rsidRPr="00EF69F0">
        <w:rPr>
          <w:rFonts w:ascii="Arial" w:hAnsi="Arial" w:cs="Arial"/>
          <w:color w:val="000000"/>
          <w:sz w:val="19"/>
          <w:szCs w:val="19"/>
        </w:rPr>
        <w:t xml:space="preserve"> EXPOSITO, Juan Carlos. Forma y contenido del contrato estatal. Bogotá: Universidad Externado de Colombia, p. 89 y 90.</w:t>
      </w:r>
    </w:p>
    <w:p w14:paraId="7E705DF2"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 xml:space="preserve"> </w:t>
      </w:r>
    </w:p>
  </w:footnote>
  <w:footnote w:id="4">
    <w:p w14:paraId="37D10998" w14:textId="77777777" w:rsidR="00EF69F0" w:rsidRPr="00EF69F0" w:rsidRDefault="00EF69F0" w:rsidP="00EF69F0">
      <w:pPr>
        <w:pStyle w:val="Textonotapie"/>
        <w:ind w:firstLine="708"/>
        <w:jc w:val="both"/>
        <w:rPr>
          <w:rFonts w:ascii="Arial" w:hAnsi="Arial" w:cs="Arial"/>
          <w:color w:val="000000"/>
          <w:sz w:val="19"/>
          <w:szCs w:val="19"/>
          <w:lang w:val="es-CO"/>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DÍAZ DÍEZ, Cristian Andrés. La liquidación. Serie: Las Cláusulas del Contrato Estatal. Medellín: Librería Jurídica Sánchez y Centro de Estudios de Derecho Administrativo –CEDA–, 2013, pp. 53-54.</w:t>
      </w:r>
    </w:p>
  </w:footnote>
  <w:footnote w:id="5">
    <w:p w14:paraId="6969EFA5" w14:textId="77777777" w:rsidR="00EF69F0" w:rsidRPr="00EF69F0" w:rsidRDefault="00EF69F0" w:rsidP="00EF69F0">
      <w:pPr>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Consejo de Estado. Sección Tercera. Subsección C. 20 de octubre de 2014, M.P: Enrique Gil Botero. </w:t>
      </w:r>
      <w:proofErr w:type="spellStart"/>
      <w:r w:rsidRPr="00EF69F0">
        <w:rPr>
          <w:rFonts w:ascii="Arial" w:hAnsi="Arial" w:cs="Arial"/>
          <w:color w:val="000000"/>
          <w:sz w:val="19"/>
          <w:szCs w:val="19"/>
        </w:rPr>
        <w:t>Exp</w:t>
      </w:r>
      <w:proofErr w:type="spellEnd"/>
      <w:r w:rsidRPr="00EF69F0">
        <w:rPr>
          <w:rFonts w:ascii="Arial" w:hAnsi="Arial" w:cs="Arial"/>
          <w:color w:val="000000"/>
          <w:sz w:val="19"/>
          <w:szCs w:val="19"/>
        </w:rPr>
        <w:t>.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201B8E92" w14:textId="77777777" w:rsidR="00EF69F0" w:rsidRPr="00EF69F0" w:rsidRDefault="00EF69F0" w:rsidP="00EF69F0">
      <w:pPr>
        <w:pStyle w:val="Textonotapie"/>
        <w:ind w:firstLine="708"/>
        <w:jc w:val="both"/>
        <w:rPr>
          <w:rFonts w:ascii="Arial" w:hAnsi="Arial" w:cs="Arial"/>
          <w:color w:val="000000"/>
          <w:sz w:val="19"/>
          <w:szCs w:val="19"/>
          <w:lang w:val="es-ES"/>
        </w:rPr>
      </w:pPr>
    </w:p>
  </w:footnote>
  <w:footnote w:id="6">
    <w:p w14:paraId="5C3933A8" w14:textId="77777777" w:rsidR="00EF69F0" w:rsidRPr="00EF69F0" w:rsidRDefault="00EF69F0" w:rsidP="00EF69F0">
      <w:pPr>
        <w:pStyle w:val="Textonotapie"/>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w:t>
      </w:r>
      <w:proofErr w:type="spellStart"/>
      <w:r w:rsidRPr="00EF69F0">
        <w:rPr>
          <w:rFonts w:ascii="Arial" w:hAnsi="Arial" w:cs="Arial"/>
          <w:color w:val="000000"/>
          <w:sz w:val="19"/>
          <w:szCs w:val="19"/>
        </w:rPr>
        <w:t>Exposito</w:t>
      </w:r>
      <w:proofErr w:type="spellEnd"/>
      <w:r w:rsidRPr="00EF69F0">
        <w:rPr>
          <w:rFonts w:ascii="Arial" w:hAnsi="Arial" w:cs="Arial"/>
          <w:color w:val="000000"/>
          <w:sz w:val="19"/>
          <w:szCs w:val="19"/>
        </w:rPr>
        <w:t xml:space="preserve"> </w:t>
      </w:r>
      <w:proofErr w:type="spellStart"/>
      <w:r w:rsidRPr="00EF69F0">
        <w:rPr>
          <w:rFonts w:ascii="Arial" w:hAnsi="Arial" w:cs="Arial"/>
          <w:color w:val="000000"/>
          <w:sz w:val="19"/>
          <w:szCs w:val="19"/>
        </w:rPr>
        <w:t>Velez</w:t>
      </w:r>
      <w:proofErr w:type="spellEnd"/>
      <w:r w:rsidRPr="00EF69F0">
        <w:rPr>
          <w:rFonts w:ascii="Arial" w:hAnsi="Arial" w:cs="Arial"/>
          <w:color w:val="000000"/>
          <w:sz w:val="19"/>
          <w:szCs w:val="19"/>
        </w:rPr>
        <w:t>. Juan Carlos. Forma y contenido del contrato estatal, p. 90.</w:t>
      </w:r>
    </w:p>
  </w:footnote>
  <w:footnote w:id="7">
    <w:p w14:paraId="197F8BDA" w14:textId="77777777" w:rsidR="00EF69F0" w:rsidRPr="00EF69F0" w:rsidRDefault="00EF69F0" w:rsidP="00EF69F0">
      <w:pPr>
        <w:pStyle w:val="Textonotapie"/>
        <w:ind w:firstLine="708"/>
        <w:jc w:val="both"/>
        <w:rPr>
          <w:rFonts w:ascii="Arial" w:hAnsi="Arial" w:cs="Arial"/>
          <w:color w:val="000000"/>
          <w:sz w:val="19"/>
          <w:szCs w:val="19"/>
        </w:rPr>
      </w:pPr>
    </w:p>
    <w:p w14:paraId="4D24D92D" w14:textId="77777777" w:rsidR="00EF69F0" w:rsidRPr="00EF69F0" w:rsidRDefault="00EF69F0" w:rsidP="00EF69F0">
      <w:pPr>
        <w:pStyle w:val="Textonotapie"/>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CONSEJO DE ESTADO, Sala de Consulta y Servicio Civil. Radicado No. 1453. Concepto de 6 de agosto de 2003. MP. Augusto Trejos.</w:t>
      </w:r>
    </w:p>
    <w:p w14:paraId="19AC68EB" w14:textId="77777777" w:rsidR="00EF69F0" w:rsidRPr="00EF69F0" w:rsidRDefault="00EF69F0" w:rsidP="00EF69F0">
      <w:pPr>
        <w:pStyle w:val="Textonotapie"/>
        <w:ind w:firstLine="708"/>
        <w:jc w:val="both"/>
        <w:rPr>
          <w:rFonts w:ascii="Arial" w:hAnsi="Arial" w:cs="Arial"/>
          <w:color w:val="000000"/>
          <w:sz w:val="19"/>
          <w:szCs w:val="19"/>
        </w:rPr>
      </w:pPr>
    </w:p>
  </w:footnote>
  <w:footnote w:id="8">
    <w:p w14:paraId="0641C37C" w14:textId="77777777" w:rsidR="00EF69F0" w:rsidRPr="00EF69F0" w:rsidRDefault="00EF69F0" w:rsidP="00EF69F0">
      <w:pPr>
        <w:pStyle w:val="Textonotapie"/>
        <w:ind w:firstLine="708"/>
        <w:jc w:val="both"/>
        <w:rPr>
          <w:rFonts w:ascii="Arial" w:hAnsi="Arial" w:cs="Arial"/>
          <w:color w:val="000000"/>
          <w:sz w:val="19"/>
          <w:szCs w:val="19"/>
          <w:lang w:val="es-ES"/>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w:t>
      </w:r>
      <w:r w:rsidRPr="00EF69F0">
        <w:rPr>
          <w:rFonts w:ascii="Arial" w:hAnsi="Arial" w:cs="Arial"/>
          <w:color w:val="000000"/>
          <w:sz w:val="19"/>
          <w:szCs w:val="19"/>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23F523CC" w14:textId="77777777" w:rsidR="00EF69F0" w:rsidRPr="00EF69F0" w:rsidRDefault="00EF69F0" w:rsidP="00EF69F0">
      <w:pPr>
        <w:pStyle w:val="Textonotapie"/>
        <w:ind w:firstLine="708"/>
        <w:jc w:val="both"/>
        <w:rPr>
          <w:rFonts w:ascii="Arial" w:hAnsi="Arial" w:cs="Arial"/>
          <w:color w:val="000000"/>
          <w:sz w:val="19"/>
          <w:szCs w:val="19"/>
          <w:lang w:val="es-ES"/>
        </w:rPr>
      </w:pPr>
      <w:r w:rsidRPr="00EF69F0">
        <w:rPr>
          <w:rFonts w:ascii="Arial" w:hAnsi="Arial" w:cs="Arial"/>
          <w:color w:val="000000"/>
          <w:sz w:val="19"/>
          <w:szCs w:val="19"/>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0E6B01FC" w14:textId="77777777" w:rsidR="00EF69F0" w:rsidRPr="00EF69F0" w:rsidRDefault="00EF69F0" w:rsidP="00EF69F0">
      <w:pPr>
        <w:pStyle w:val="Textonotapie"/>
        <w:ind w:firstLine="708"/>
        <w:jc w:val="both"/>
        <w:rPr>
          <w:rFonts w:ascii="Arial" w:hAnsi="Arial" w:cs="Arial"/>
          <w:color w:val="000000"/>
          <w:sz w:val="19"/>
          <w:szCs w:val="19"/>
          <w:lang w:val="es-ES"/>
        </w:rPr>
      </w:pPr>
      <w:r w:rsidRPr="00EF69F0">
        <w:rPr>
          <w:rFonts w:ascii="Arial" w:hAnsi="Arial" w:cs="Arial"/>
          <w:color w:val="000000"/>
          <w:sz w:val="19"/>
          <w:szCs w:val="19"/>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3A37CEDA" w14:textId="77777777" w:rsidR="00EF69F0" w:rsidRPr="00EF69F0" w:rsidRDefault="00EF69F0" w:rsidP="00EF69F0">
      <w:pPr>
        <w:pStyle w:val="Textonotapie"/>
        <w:ind w:firstLine="708"/>
        <w:jc w:val="both"/>
        <w:rPr>
          <w:rFonts w:ascii="Arial" w:hAnsi="Arial" w:cs="Arial"/>
          <w:color w:val="000000"/>
          <w:sz w:val="19"/>
          <w:szCs w:val="19"/>
          <w:lang w:val="es-ES"/>
        </w:rPr>
      </w:pPr>
      <w:r w:rsidRPr="00EF69F0">
        <w:rPr>
          <w:rFonts w:ascii="Arial" w:hAnsi="Arial" w:cs="Arial"/>
          <w:color w:val="000000"/>
          <w:sz w:val="19"/>
          <w:szCs w:val="19"/>
          <w:lang w:val="es-ES"/>
        </w:rPr>
        <w:t>» Los contratistas tendrán derecho a efectuar salvedades a la liquidación por mutuo acuerdo, y en este evento la liquidación unilateral solo procederá en relación con los aspectos que no hayan sido objeto de acuerdo».</w:t>
      </w:r>
    </w:p>
    <w:p w14:paraId="0A0764C7" w14:textId="77777777" w:rsidR="00EF69F0" w:rsidRPr="00EF69F0" w:rsidRDefault="00EF69F0" w:rsidP="00EF69F0">
      <w:pPr>
        <w:pStyle w:val="Textonotapie"/>
        <w:ind w:firstLine="708"/>
        <w:jc w:val="both"/>
        <w:rPr>
          <w:rFonts w:ascii="Arial" w:hAnsi="Arial" w:cs="Arial"/>
          <w:color w:val="000000"/>
          <w:sz w:val="19"/>
          <w:szCs w:val="19"/>
          <w:lang w:val="es-ES"/>
        </w:rPr>
      </w:pPr>
    </w:p>
  </w:footnote>
  <w:footnote w:id="9">
    <w:p w14:paraId="58B1E921" w14:textId="77777777" w:rsidR="00EF69F0" w:rsidRPr="00EF69F0" w:rsidRDefault="00EF69F0" w:rsidP="00EF69F0">
      <w:pPr>
        <w:pStyle w:val="Textonotapie"/>
        <w:ind w:firstLine="709"/>
        <w:jc w:val="both"/>
        <w:rPr>
          <w:rFonts w:ascii="Arial" w:hAnsi="Arial" w:cs="Arial"/>
          <w:color w:val="000000"/>
          <w:sz w:val="19"/>
          <w:szCs w:val="19"/>
          <w:lang w:val="es-CO"/>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CONSEJO DE ESTADO, Sección Tercera, Subsección C, Sentencia del 24 de julio de 2013, radicado No. 25.642, </w:t>
      </w:r>
      <w:proofErr w:type="gramStart"/>
      <w:r w:rsidRPr="00EF69F0">
        <w:rPr>
          <w:rFonts w:ascii="Arial" w:hAnsi="Arial" w:cs="Arial"/>
          <w:color w:val="000000"/>
          <w:sz w:val="19"/>
          <w:szCs w:val="19"/>
        </w:rPr>
        <w:t>Consejero</w:t>
      </w:r>
      <w:proofErr w:type="gramEnd"/>
      <w:r w:rsidRPr="00EF69F0">
        <w:rPr>
          <w:rFonts w:ascii="Arial" w:hAnsi="Arial" w:cs="Arial"/>
          <w:color w:val="000000"/>
          <w:sz w:val="19"/>
          <w:szCs w:val="19"/>
        </w:rPr>
        <w:t xml:space="preserve"> Ponente Enrique Gil Botero.</w:t>
      </w:r>
    </w:p>
  </w:footnote>
  <w:footnote w:id="10">
    <w:p w14:paraId="3C4971BA" w14:textId="77777777" w:rsidR="00EF69F0" w:rsidRPr="00EF69F0" w:rsidRDefault="00EF69F0" w:rsidP="00EF69F0">
      <w:pPr>
        <w:pStyle w:val="Textonotapie"/>
        <w:jc w:val="both"/>
        <w:rPr>
          <w:rFonts w:ascii="Arial" w:hAnsi="Arial" w:cs="Arial"/>
          <w:color w:val="000000"/>
          <w:sz w:val="19"/>
          <w:szCs w:val="19"/>
        </w:rPr>
      </w:pPr>
    </w:p>
    <w:p w14:paraId="689CC522" w14:textId="77777777" w:rsidR="00EF69F0" w:rsidRPr="00EF69F0" w:rsidRDefault="00EF69F0" w:rsidP="00EF69F0">
      <w:pPr>
        <w:pStyle w:val="NormalWeb"/>
        <w:spacing w:after="0"/>
        <w:ind w:firstLine="709"/>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Decreto 1082 de 2015 «</w:t>
      </w:r>
      <w:r w:rsidRPr="00EF69F0">
        <w:rPr>
          <w:rStyle w:val="Textoennegrita"/>
          <w:rFonts w:ascii="Arial" w:hAnsi="Arial" w:cs="Arial"/>
          <w:color w:val="000000"/>
          <w:sz w:val="19"/>
          <w:szCs w:val="19"/>
        </w:rPr>
        <w:t>Artículo 2.2.1.2.1.5.2. </w:t>
      </w:r>
      <w:r w:rsidRPr="00EF69F0">
        <w:rPr>
          <w:rStyle w:val="nfasis"/>
          <w:rFonts w:ascii="Arial" w:eastAsia="MS Mincho" w:hAnsi="Arial" w:cs="Arial"/>
          <w:color w:val="000000"/>
          <w:sz w:val="19"/>
          <w:szCs w:val="19"/>
        </w:rPr>
        <w:t>Procedimiento para la contratación de mínima cuantía. </w:t>
      </w:r>
      <w:r w:rsidRPr="00EF69F0">
        <w:rPr>
          <w:rFonts w:ascii="Arial" w:hAnsi="Arial" w:cs="Arial"/>
          <w:color w:val="000000"/>
          <w:sz w:val="19"/>
          <w:szCs w:val="19"/>
        </w:rPr>
        <w:t>Las siguientes reglas son aplicables a la contratación cuyo valor no excede del 10% de la menor cuantía de la Entidad Estatal, independientemente de su objeto: </w:t>
      </w:r>
    </w:p>
    <w:p w14:paraId="61439E03" w14:textId="77777777" w:rsidR="00EF69F0" w:rsidRPr="00EF69F0" w:rsidRDefault="00EF69F0" w:rsidP="00EF69F0">
      <w:pPr>
        <w:pStyle w:val="NormalWeb"/>
        <w:spacing w:after="0"/>
        <w:jc w:val="both"/>
        <w:rPr>
          <w:rFonts w:ascii="Arial" w:hAnsi="Arial" w:cs="Arial"/>
          <w:color w:val="000000"/>
          <w:sz w:val="19"/>
          <w:szCs w:val="19"/>
        </w:rPr>
      </w:pPr>
      <w:r w:rsidRPr="00EF69F0">
        <w:rPr>
          <w:rFonts w:ascii="Arial" w:hAnsi="Arial" w:cs="Arial"/>
          <w:color w:val="000000"/>
          <w:sz w:val="19"/>
          <w:szCs w:val="19"/>
        </w:rPr>
        <w:t>  </w:t>
      </w:r>
      <w:r w:rsidRPr="00EF69F0">
        <w:rPr>
          <w:rFonts w:ascii="Arial" w:hAnsi="Arial" w:cs="Arial"/>
          <w:color w:val="000000"/>
          <w:sz w:val="19"/>
          <w:szCs w:val="19"/>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7A11D22C" w14:textId="77777777" w:rsidR="00EF69F0" w:rsidRPr="00EF69F0" w:rsidRDefault="00EF69F0" w:rsidP="00EF69F0">
      <w:pPr>
        <w:pStyle w:val="Textonotapie"/>
        <w:ind w:firstLine="709"/>
        <w:jc w:val="both"/>
        <w:rPr>
          <w:rFonts w:ascii="Arial" w:hAnsi="Arial" w:cs="Arial"/>
          <w:color w:val="000000"/>
          <w:sz w:val="19"/>
          <w:szCs w:val="19"/>
          <w:lang w:val="es-CO"/>
        </w:rPr>
      </w:pPr>
      <w:r w:rsidRPr="00EF69F0">
        <w:rPr>
          <w:rFonts w:ascii="Arial" w:hAnsi="Arial" w:cs="Arial"/>
          <w:color w:val="000000"/>
          <w:sz w:val="19"/>
          <w:szCs w:val="19"/>
        </w:rPr>
        <w:t xml:space="preserve"> </w:t>
      </w:r>
    </w:p>
  </w:footnote>
  <w:footnote w:id="11">
    <w:p w14:paraId="18B8D035" w14:textId="77777777" w:rsidR="00EF69F0" w:rsidRPr="00EF69F0" w:rsidRDefault="00EF69F0" w:rsidP="00EF69F0">
      <w:pPr>
        <w:pStyle w:val="NormalWeb"/>
        <w:spacing w:after="0"/>
        <w:ind w:firstLine="720"/>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Ley 80 de 1993 «</w:t>
      </w:r>
      <w:r w:rsidRPr="00EF69F0">
        <w:rPr>
          <w:rStyle w:val="Textoennegrita"/>
          <w:rFonts w:ascii="Arial" w:hAnsi="Arial" w:cs="Arial"/>
          <w:color w:val="000000"/>
          <w:sz w:val="19"/>
          <w:szCs w:val="19"/>
        </w:rPr>
        <w:t>Articulo 39. De la forma del contrato estatal. </w:t>
      </w:r>
      <w:r w:rsidRPr="00EF69F0">
        <w:rPr>
          <w:rFonts w:ascii="Arial" w:hAnsi="Arial" w:cs="Arial"/>
          <w:color w:val="000000"/>
          <w:sz w:val="19"/>
          <w:szCs w:val="19"/>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05183C3A" w14:textId="77777777" w:rsidR="00EF69F0" w:rsidRPr="00EF69F0" w:rsidRDefault="00EF69F0" w:rsidP="00EF69F0">
      <w:pPr>
        <w:pStyle w:val="NormalWeb"/>
        <w:spacing w:after="0"/>
        <w:jc w:val="both"/>
        <w:rPr>
          <w:rFonts w:ascii="Arial" w:hAnsi="Arial" w:cs="Arial"/>
          <w:color w:val="000000"/>
          <w:sz w:val="19"/>
          <w:szCs w:val="19"/>
        </w:rPr>
      </w:pPr>
      <w:r w:rsidRPr="00EF69F0">
        <w:rPr>
          <w:rFonts w:ascii="Arial" w:hAnsi="Arial" w:cs="Arial"/>
          <w:color w:val="000000"/>
          <w:sz w:val="19"/>
          <w:szCs w:val="19"/>
        </w:rPr>
        <w:t>  </w:t>
      </w:r>
      <w:r w:rsidRPr="00EF69F0">
        <w:rPr>
          <w:rFonts w:ascii="Arial" w:hAnsi="Arial" w:cs="Arial"/>
          <w:color w:val="000000"/>
          <w:sz w:val="19"/>
          <w:szCs w:val="19"/>
        </w:rPr>
        <w:tab/>
        <w:t>[…]</w:t>
      </w:r>
      <w:bookmarkStart w:id="4" w:name="ver_1790147"/>
      <w:bookmarkStart w:id="5" w:name="ver_30220791"/>
      <w:bookmarkStart w:id="6" w:name="ver_1790148"/>
      <w:bookmarkEnd w:id="4"/>
      <w:bookmarkEnd w:id="5"/>
    </w:p>
    <w:p w14:paraId="0DCB2EAD" w14:textId="77777777" w:rsidR="00EF69F0" w:rsidRPr="00EF69F0" w:rsidRDefault="00EF69F0" w:rsidP="00EF69F0">
      <w:pPr>
        <w:pStyle w:val="NormalWeb"/>
        <w:spacing w:after="0"/>
        <w:ind w:firstLine="720"/>
        <w:jc w:val="both"/>
        <w:rPr>
          <w:rFonts w:ascii="Arial" w:hAnsi="Arial" w:cs="Arial"/>
          <w:color w:val="000000"/>
          <w:sz w:val="19"/>
          <w:szCs w:val="19"/>
        </w:rPr>
      </w:pPr>
      <w:proofErr w:type="gramStart"/>
      <w:r w:rsidRPr="00EF69F0">
        <w:rPr>
          <w:rStyle w:val="Textoennegrita"/>
          <w:rFonts w:ascii="Arial" w:hAnsi="Arial" w:cs="Arial"/>
          <w:color w:val="000000"/>
          <w:sz w:val="19"/>
          <w:szCs w:val="19"/>
        </w:rPr>
        <w:t>»Articulo</w:t>
      </w:r>
      <w:proofErr w:type="gramEnd"/>
      <w:r w:rsidRPr="00EF69F0">
        <w:rPr>
          <w:rStyle w:val="Textoennegrita"/>
          <w:rFonts w:ascii="Arial" w:hAnsi="Arial" w:cs="Arial"/>
          <w:color w:val="000000"/>
          <w:sz w:val="19"/>
          <w:szCs w:val="19"/>
        </w:rPr>
        <w:t xml:space="preserve"> 40. Del contenido del contrato estatal.</w:t>
      </w:r>
      <w:r w:rsidRPr="00EF69F0">
        <w:rPr>
          <w:rFonts w:ascii="Arial" w:hAnsi="Arial" w:cs="Arial"/>
          <w:color w:val="000000"/>
          <w:sz w:val="19"/>
          <w:szCs w:val="19"/>
        </w:rPr>
        <w:t xml:space="preserve"> Las estipulaciones de los contratos serán las </w:t>
      </w:r>
      <w:proofErr w:type="gramStart"/>
      <w:r w:rsidRPr="00EF69F0">
        <w:rPr>
          <w:rFonts w:ascii="Arial" w:hAnsi="Arial" w:cs="Arial"/>
          <w:color w:val="000000"/>
          <w:sz w:val="19"/>
          <w:szCs w:val="19"/>
        </w:rPr>
        <w:t>que</w:t>
      </w:r>
      <w:proofErr w:type="gramEnd"/>
      <w:r w:rsidRPr="00EF69F0">
        <w:rPr>
          <w:rFonts w:ascii="Arial" w:hAnsi="Arial" w:cs="Arial"/>
          <w:color w:val="000000"/>
          <w:sz w:val="19"/>
          <w:szCs w:val="19"/>
        </w:rPr>
        <w:t xml:space="preserve"> de acuerdo con las normas civiles, comerciales y las previstas en esta ley, correspondan a su esencia y naturaleza. </w:t>
      </w:r>
    </w:p>
    <w:p w14:paraId="46CA5FC4" w14:textId="77777777" w:rsidR="00EF69F0" w:rsidRPr="00EF69F0" w:rsidRDefault="00EF69F0" w:rsidP="00EF69F0">
      <w:pPr>
        <w:pStyle w:val="NormalWeb"/>
        <w:spacing w:after="0"/>
        <w:ind w:firstLine="720"/>
        <w:jc w:val="both"/>
        <w:rPr>
          <w:rFonts w:ascii="Arial" w:hAnsi="Arial" w:cs="Arial"/>
          <w:color w:val="000000"/>
          <w:sz w:val="19"/>
          <w:szCs w:val="19"/>
        </w:rPr>
      </w:pPr>
      <w:proofErr w:type="gramStart"/>
      <w:r w:rsidRPr="00EF69F0">
        <w:rPr>
          <w:rFonts w:ascii="Arial" w:hAnsi="Arial" w:cs="Arial"/>
          <w:color w:val="000000"/>
          <w:sz w:val="19"/>
          <w:szCs w:val="19"/>
        </w:rPr>
        <w:t>»Las</w:t>
      </w:r>
      <w:proofErr w:type="gramEnd"/>
      <w:r w:rsidRPr="00EF69F0">
        <w:rPr>
          <w:rFonts w:ascii="Arial" w:hAnsi="Arial" w:cs="Arial"/>
          <w:color w:val="000000"/>
          <w:sz w:val="19"/>
          <w:szCs w:val="19"/>
        </w:rPr>
        <w:t xml:space="preserve"> entidades podrán celebrar los contratos y acuerdos que permitan la autonomía de la voluntad y requieran el cumplimiento de los fines estatales. </w:t>
      </w:r>
    </w:p>
    <w:p w14:paraId="5CC8AF87" w14:textId="77777777" w:rsidR="00EF69F0" w:rsidRPr="00EF69F0" w:rsidRDefault="00EF69F0" w:rsidP="00EF69F0">
      <w:pPr>
        <w:pStyle w:val="NormalWeb"/>
        <w:spacing w:after="0"/>
        <w:jc w:val="both"/>
        <w:rPr>
          <w:rFonts w:ascii="Arial" w:hAnsi="Arial" w:cs="Arial"/>
          <w:color w:val="000000"/>
          <w:sz w:val="19"/>
          <w:szCs w:val="19"/>
        </w:rPr>
      </w:pPr>
      <w:r w:rsidRPr="00EF69F0">
        <w:rPr>
          <w:rFonts w:ascii="Arial" w:hAnsi="Arial" w:cs="Arial"/>
          <w:color w:val="000000"/>
          <w:sz w:val="19"/>
          <w:szCs w:val="19"/>
        </w:rPr>
        <w:t>  </w:t>
      </w:r>
      <w:r w:rsidRPr="00EF69F0">
        <w:rPr>
          <w:rFonts w:ascii="Arial" w:hAnsi="Arial" w:cs="Arial"/>
          <w:color w:val="000000"/>
          <w:sz w:val="19"/>
          <w:szCs w:val="19"/>
        </w:rPr>
        <w:tab/>
        <w:t>[…]  </w:t>
      </w:r>
    </w:p>
    <w:p w14:paraId="1A02B945" w14:textId="77777777" w:rsidR="00EF69F0" w:rsidRPr="00EF69F0" w:rsidRDefault="00EF69F0" w:rsidP="00EF69F0">
      <w:pPr>
        <w:pStyle w:val="NormalWeb"/>
        <w:spacing w:after="0"/>
        <w:ind w:firstLine="720"/>
        <w:jc w:val="both"/>
        <w:rPr>
          <w:rFonts w:ascii="Arial" w:hAnsi="Arial" w:cs="Arial"/>
          <w:color w:val="000000"/>
          <w:sz w:val="19"/>
          <w:szCs w:val="19"/>
        </w:rPr>
      </w:pPr>
      <w:bookmarkStart w:id="7" w:name="ver_30161420"/>
      <w:bookmarkStart w:id="8" w:name="ver_1790149"/>
      <w:bookmarkStart w:id="9" w:name="ver_30161408"/>
      <w:bookmarkStart w:id="10" w:name="ver_30161443"/>
      <w:bookmarkEnd w:id="6"/>
      <w:bookmarkEnd w:id="7"/>
      <w:bookmarkEnd w:id="8"/>
      <w:bookmarkEnd w:id="9"/>
      <w:bookmarkEnd w:id="10"/>
      <w:proofErr w:type="gramStart"/>
      <w:r w:rsidRPr="00EF69F0">
        <w:rPr>
          <w:rStyle w:val="Textoennegrita"/>
          <w:rFonts w:ascii="Arial" w:hAnsi="Arial" w:cs="Arial"/>
          <w:color w:val="000000"/>
          <w:sz w:val="19"/>
          <w:szCs w:val="19"/>
        </w:rPr>
        <w:t>»Artículo</w:t>
      </w:r>
      <w:proofErr w:type="gramEnd"/>
      <w:r w:rsidRPr="00EF69F0">
        <w:rPr>
          <w:rStyle w:val="Textoennegrita"/>
          <w:rFonts w:ascii="Arial" w:hAnsi="Arial" w:cs="Arial"/>
          <w:color w:val="000000"/>
          <w:sz w:val="19"/>
          <w:szCs w:val="19"/>
        </w:rPr>
        <w:t xml:space="preserve"> 41. Del perfeccionamiento del contrato.</w:t>
      </w:r>
      <w:r w:rsidRPr="00EF69F0">
        <w:rPr>
          <w:rFonts w:ascii="Arial" w:hAnsi="Arial" w:cs="Arial"/>
          <w:color w:val="000000"/>
          <w:sz w:val="19"/>
          <w:szCs w:val="19"/>
        </w:rPr>
        <w:t> Los contratos del Estado se perfeccionan cuando se logre acuerdo sobre el objeto y la contraprestación y éste se eleve a escrito […]».</w:t>
      </w:r>
    </w:p>
    <w:p w14:paraId="758A3CC4" w14:textId="77777777" w:rsidR="00EF69F0" w:rsidRPr="00EF69F0" w:rsidRDefault="00EF69F0" w:rsidP="00EF69F0">
      <w:pPr>
        <w:pStyle w:val="Textonotapie"/>
        <w:jc w:val="both"/>
        <w:rPr>
          <w:rFonts w:ascii="Arial" w:hAnsi="Arial" w:cs="Arial"/>
          <w:color w:val="000000"/>
          <w:sz w:val="19"/>
          <w:szCs w:val="19"/>
          <w:lang w:val="es-CO"/>
        </w:rPr>
      </w:pPr>
    </w:p>
  </w:footnote>
  <w:footnote w:id="12">
    <w:p w14:paraId="534A2DF4" w14:textId="77777777" w:rsidR="00EF69F0" w:rsidRPr="00EF69F0" w:rsidRDefault="00EF69F0" w:rsidP="00EF69F0">
      <w:pPr>
        <w:pStyle w:val="Textonotapie"/>
        <w:ind w:firstLine="709"/>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Ley 80 de 1993 «</w:t>
      </w:r>
      <w:r w:rsidRPr="00EF69F0">
        <w:rPr>
          <w:rStyle w:val="Textoennegrita"/>
          <w:rFonts w:ascii="Arial" w:hAnsi="Arial" w:cs="Arial"/>
          <w:color w:val="000000"/>
          <w:sz w:val="19"/>
          <w:szCs w:val="19"/>
        </w:rPr>
        <w:t>Artículo 77. De la normatividad aplicable en las actuaciones administrativas.</w:t>
      </w:r>
      <w:r w:rsidRPr="00EF69F0">
        <w:rPr>
          <w:rFonts w:ascii="Arial" w:hAnsi="Arial" w:cs="Arial"/>
          <w:color w:val="000000"/>
          <w:sz w:val="19"/>
          <w:szCs w:val="19"/>
        </w:rPr>
        <w:t xml:space="preserve"> En cuanto sean compatibles con la finalidad y los principios de esta ley, las normas que rigen los procedimientos y actuaciones en la función </w:t>
      </w:r>
      <w:proofErr w:type="gramStart"/>
      <w:r w:rsidRPr="00EF69F0">
        <w:rPr>
          <w:rFonts w:ascii="Arial" w:hAnsi="Arial" w:cs="Arial"/>
          <w:color w:val="000000"/>
          <w:sz w:val="19"/>
          <w:szCs w:val="19"/>
        </w:rPr>
        <w:t>administrativa,</w:t>
      </w:r>
      <w:proofErr w:type="gramEnd"/>
      <w:r w:rsidRPr="00EF69F0">
        <w:rPr>
          <w:rFonts w:ascii="Arial" w:hAnsi="Arial" w:cs="Arial"/>
          <w:color w:val="000000"/>
          <w:sz w:val="19"/>
          <w:szCs w:val="19"/>
        </w:rPr>
        <w:t xml:space="preserve"> serán aplicables en las actuaciones contractuales. A falta de estas, regirán las disposiciones del Código de Procedimiento Civil» […]». </w:t>
      </w:r>
    </w:p>
    <w:p w14:paraId="5FD1C221" w14:textId="77777777" w:rsidR="00EF69F0" w:rsidRPr="00EF69F0" w:rsidRDefault="00EF69F0" w:rsidP="00EF69F0">
      <w:pPr>
        <w:pStyle w:val="Textonotapie"/>
        <w:ind w:firstLine="709"/>
        <w:jc w:val="both"/>
        <w:rPr>
          <w:rFonts w:ascii="Arial" w:hAnsi="Arial" w:cs="Arial"/>
          <w:color w:val="000000"/>
          <w:sz w:val="19"/>
          <w:szCs w:val="19"/>
          <w:lang w:val="es-CO"/>
        </w:rPr>
      </w:pPr>
      <w:r w:rsidRPr="00EF69F0">
        <w:rPr>
          <w:rFonts w:ascii="Arial" w:hAnsi="Arial" w:cs="Arial"/>
          <w:color w:val="000000"/>
          <w:sz w:val="19"/>
          <w:szCs w:val="19"/>
        </w:rPr>
        <w:t xml:space="preserve"> </w:t>
      </w:r>
    </w:p>
  </w:footnote>
  <w:footnote w:id="13">
    <w:p w14:paraId="0D1159B0" w14:textId="77777777" w:rsidR="00EF69F0" w:rsidRPr="00EF69F0" w:rsidRDefault="00EF69F0" w:rsidP="00EF69F0">
      <w:pPr>
        <w:pStyle w:val="NormalWeb"/>
        <w:spacing w:after="0"/>
        <w:ind w:firstLine="709"/>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Ley 80 de 1993 «</w:t>
      </w:r>
      <w:r w:rsidRPr="00EF69F0">
        <w:rPr>
          <w:rStyle w:val="Textoennegrita"/>
          <w:rFonts w:ascii="Arial" w:hAnsi="Arial" w:cs="Arial"/>
          <w:color w:val="000000"/>
          <w:sz w:val="19"/>
          <w:szCs w:val="19"/>
        </w:rPr>
        <w:t>Artículo 25. Del principio de economía.</w:t>
      </w:r>
      <w:r w:rsidRPr="00EF69F0">
        <w:rPr>
          <w:rFonts w:ascii="Arial" w:hAnsi="Arial" w:cs="Arial"/>
          <w:color w:val="000000"/>
          <w:sz w:val="19"/>
          <w:szCs w:val="19"/>
        </w:rPr>
        <w:t> En virtud de este principio: </w:t>
      </w:r>
    </w:p>
    <w:p w14:paraId="6DAA656A" w14:textId="77777777" w:rsidR="00EF69F0" w:rsidRPr="00EF69F0" w:rsidRDefault="00EF69F0" w:rsidP="00EF69F0">
      <w:pPr>
        <w:pStyle w:val="NormalWeb"/>
        <w:spacing w:after="0"/>
        <w:ind w:firstLine="709"/>
        <w:jc w:val="both"/>
        <w:rPr>
          <w:rFonts w:ascii="Arial" w:hAnsi="Arial" w:cs="Arial"/>
          <w:color w:val="000000"/>
          <w:sz w:val="19"/>
          <w:szCs w:val="19"/>
        </w:rPr>
      </w:pPr>
      <w:r w:rsidRPr="00EF69F0">
        <w:rPr>
          <w:rFonts w:ascii="Arial" w:hAnsi="Arial" w:cs="Arial"/>
          <w:color w:val="000000"/>
          <w:sz w:val="19"/>
          <w:szCs w:val="19"/>
        </w:rPr>
        <w:t>[…]</w:t>
      </w:r>
    </w:p>
    <w:p w14:paraId="3D01815A" w14:textId="77777777" w:rsidR="00EF69F0" w:rsidRPr="00EF69F0" w:rsidRDefault="00EF69F0" w:rsidP="00EF69F0">
      <w:pPr>
        <w:pStyle w:val="NormalWeb"/>
        <w:spacing w:after="0"/>
        <w:ind w:firstLine="709"/>
        <w:jc w:val="both"/>
        <w:rPr>
          <w:rFonts w:ascii="Arial" w:hAnsi="Arial" w:cs="Arial"/>
          <w:color w:val="000000"/>
          <w:sz w:val="19"/>
          <w:szCs w:val="19"/>
        </w:rPr>
      </w:pPr>
      <w:r w:rsidRPr="00EF69F0">
        <w:rPr>
          <w:rFonts w:ascii="Arial" w:hAnsi="Arial" w:cs="Arial"/>
          <w:color w:val="000000"/>
          <w:sz w:val="19"/>
          <w:szCs w:val="19"/>
        </w:rPr>
        <w:t>»4o. Los trámites se adelantarán con austeridad de tiempo, medios y gastos y se impedirán las dilaciones y los retardos en la ejecución del contrato. </w:t>
      </w:r>
    </w:p>
    <w:p w14:paraId="7DCC3E9F" w14:textId="77777777" w:rsidR="00EF69F0" w:rsidRPr="00EF69F0" w:rsidRDefault="00EF69F0" w:rsidP="00EF69F0">
      <w:pPr>
        <w:pStyle w:val="NormalWeb"/>
        <w:spacing w:after="0"/>
        <w:jc w:val="both"/>
        <w:rPr>
          <w:rFonts w:ascii="Arial" w:hAnsi="Arial" w:cs="Arial"/>
          <w:color w:val="000000"/>
          <w:sz w:val="19"/>
          <w:szCs w:val="19"/>
        </w:rPr>
      </w:pPr>
      <w:r w:rsidRPr="00EF69F0">
        <w:rPr>
          <w:rFonts w:ascii="Arial" w:hAnsi="Arial" w:cs="Arial"/>
          <w:color w:val="000000"/>
          <w:sz w:val="19"/>
          <w:szCs w:val="19"/>
        </w:rPr>
        <w:t>  </w:t>
      </w:r>
      <w:r w:rsidRPr="00EF69F0">
        <w:rPr>
          <w:rFonts w:ascii="Arial" w:hAnsi="Arial" w:cs="Arial"/>
          <w:color w:val="000000"/>
          <w:sz w:val="19"/>
          <w:szCs w:val="19"/>
        </w:rPr>
        <w:tab/>
        <w:t>»5o. Se adoptarán procedimientos que garanticen la pronta solución de las diferencias y controversias que con motivo de la celebración y ejecución del contrato se presenten […]».</w:t>
      </w:r>
    </w:p>
    <w:p w14:paraId="1F8B4D4E" w14:textId="77777777" w:rsidR="00EF69F0" w:rsidRPr="00EF69F0" w:rsidRDefault="00EF69F0" w:rsidP="00EF69F0">
      <w:pPr>
        <w:pStyle w:val="Textonotapie"/>
        <w:jc w:val="both"/>
        <w:rPr>
          <w:rFonts w:ascii="Arial" w:hAnsi="Arial" w:cs="Arial"/>
          <w:color w:val="000000"/>
          <w:sz w:val="19"/>
          <w:szCs w:val="19"/>
          <w:lang w:val="es-CO"/>
        </w:rPr>
      </w:pPr>
    </w:p>
  </w:footnote>
  <w:footnote w:id="14">
    <w:p w14:paraId="3E216069" w14:textId="77777777" w:rsidR="00EF69F0" w:rsidRPr="00EF69F0" w:rsidRDefault="00EF69F0" w:rsidP="00EF69F0">
      <w:pPr>
        <w:pStyle w:val="Textonotapie"/>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COLOMBIA COMPRA EFICIENTE. Guía para la Liquidación de los Procesos de Contratación. página 5, disponible en: </w:t>
      </w:r>
      <w:hyperlink r:id="rId2" w:history="1">
        <w:r w:rsidRPr="00EF69F0">
          <w:rPr>
            <w:rStyle w:val="Hipervnculo1"/>
            <w:rFonts w:ascii="Arial" w:hAnsi="Arial" w:cs="Arial"/>
            <w:color w:val="000000"/>
            <w:sz w:val="19"/>
            <w:szCs w:val="19"/>
          </w:rPr>
          <w:t>https://www.colombiacompra.gov.co/sites/cce_public/files/cce_documents/cce_guia_liquidacion_procesos.pdf</w:t>
        </w:r>
      </w:hyperlink>
      <w:r w:rsidRPr="00EF69F0">
        <w:rPr>
          <w:rFonts w:ascii="Arial" w:hAnsi="Arial" w:cs="Arial"/>
          <w:color w:val="000000"/>
          <w:sz w:val="19"/>
          <w:szCs w:val="19"/>
        </w:rPr>
        <w:t xml:space="preserve"> </w:t>
      </w:r>
    </w:p>
    <w:p w14:paraId="217C6307" w14:textId="77777777" w:rsidR="00EF69F0" w:rsidRPr="00EF69F0" w:rsidRDefault="00EF69F0" w:rsidP="00EF69F0">
      <w:pPr>
        <w:pStyle w:val="Textonotapie"/>
        <w:ind w:firstLine="708"/>
        <w:jc w:val="both"/>
        <w:rPr>
          <w:rFonts w:ascii="Arial" w:hAnsi="Arial" w:cs="Arial"/>
          <w:color w:val="000000"/>
          <w:sz w:val="19"/>
          <w:szCs w:val="19"/>
          <w:lang w:val="es-ES"/>
        </w:rPr>
      </w:pPr>
    </w:p>
  </w:footnote>
  <w:footnote w:id="15">
    <w:p w14:paraId="3BEFD6F0" w14:textId="77777777" w:rsidR="00EF69F0" w:rsidRPr="00EF69F0" w:rsidRDefault="00EF69F0" w:rsidP="00EF69F0">
      <w:pPr>
        <w:pStyle w:val="Textonotapie"/>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7B159564" w14:textId="77777777" w:rsidR="00EF69F0" w:rsidRPr="00EF69F0" w:rsidRDefault="00EF69F0" w:rsidP="00EF69F0">
      <w:pPr>
        <w:pStyle w:val="Textonotapie"/>
        <w:ind w:firstLine="708"/>
        <w:jc w:val="both"/>
        <w:rPr>
          <w:rFonts w:ascii="Arial" w:hAnsi="Arial" w:cs="Arial"/>
          <w:color w:val="000000"/>
          <w:sz w:val="19"/>
          <w:szCs w:val="19"/>
          <w:lang w:val="es-ES"/>
        </w:rPr>
      </w:pPr>
    </w:p>
  </w:footnote>
  <w:footnote w:id="16">
    <w:p w14:paraId="0611263A" w14:textId="77777777" w:rsidR="00EF69F0" w:rsidRPr="00EF69F0" w:rsidRDefault="00EF69F0" w:rsidP="00EF69F0">
      <w:pPr>
        <w:pStyle w:val="Textonotapie"/>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CONSEJO DE ESTADO. Sala de Consulta y Servicio Civil. Concepto de 28 de </w:t>
      </w:r>
      <w:proofErr w:type="gramStart"/>
      <w:r w:rsidRPr="00EF69F0">
        <w:rPr>
          <w:rFonts w:ascii="Arial" w:hAnsi="Arial" w:cs="Arial"/>
          <w:color w:val="000000"/>
          <w:sz w:val="19"/>
          <w:szCs w:val="19"/>
        </w:rPr>
        <w:t>Junio</w:t>
      </w:r>
      <w:proofErr w:type="gramEnd"/>
      <w:r w:rsidRPr="00EF69F0">
        <w:rPr>
          <w:rFonts w:ascii="Arial" w:hAnsi="Arial" w:cs="Arial"/>
          <w:color w:val="000000"/>
          <w:sz w:val="19"/>
          <w:szCs w:val="19"/>
        </w:rPr>
        <w:t xml:space="preserve"> de 2016. Radicación: 2253. C.P. Álvaro </w:t>
      </w:r>
      <w:proofErr w:type="spellStart"/>
      <w:r w:rsidRPr="00EF69F0">
        <w:rPr>
          <w:rFonts w:ascii="Arial" w:hAnsi="Arial" w:cs="Arial"/>
          <w:color w:val="000000"/>
          <w:sz w:val="19"/>
          <w:szCs w:val="19"/>
        </w:rPr>
        <w:t>Namén</w:t>
      </w:r>
      <w:proofErr w:type="spellEnd"/>
      <w:r w:rsidRPr="00EF69F0">
        <w:rPr>
          <w:rFonts w:ascii="Arial" w:hAnsi="Arial" w:cs="Arial"/>
          <w:color w:val="000000"/>
          <w:sz w:val="19"/>
          <w:szCs w:val="19"/>
        </w:rPr>
        <w:t xml:space="preserve"> Vargas. </w:t>
      </w:r>
    </w:p>
    <w:p w14:paraId="5AF42D26" w14:textId="77777777" w:rsidR="00EF69F0" w:rsidRPr="00EF69F0" w:rsidRDefault="00EF69F0" w:rsidP="00EF69F0">
      <w:pPr>
        <w:pStyle w:val="Textonotapie"/>
        <w:jc w:val="both"/>
        <w:rPr>
          <w:rFonts w:ascii="Arial" w:hAnsi="Arial" w:cs="Arial"/>
          <w:color w:val="000000"/>
          <w:sz w:val="19"/>
          <w:szCs w:val="19"/>
          <w:lang w:val="es-ES"/>
        </w:rPr>
      </w:pPr>
    </w:p>
  </w:footnote>
  <w:footnote w:id="17">
    <w:p w14:paraId="6474FFD7" w14:textId="77777777" w:rsidR="00EF69F0" w:rsidRPr="00EF69F0" w:rsidRDefault="00EF69F0" w:rsidP="00EF69F0">
      <w:pPr>
        <w:pStyle w:val="Textonotapie"/>
        <w:ind w:firstLine="708"/>
        <w:jc w:val="both"/>
        <w:rPr>
          <w:color w:val="000000"/>
          <w:lang w:val="es-ES"/>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CONSEJO DE ESTADO. Sección Tercera. </w:t>
      </w:r>
      <w:r w:rsidRPr="00EF69F0">
        <w:rPr>
          <w:rFonts w:ascii="Arial" w:hAnsi="Arial" w:cs="Arial"/>
          <w:color w:val="000000"/>
          <w:sz w:val="19"/>
          <w:szCs w:val="19"/>
          <w:lang w:val="es-CO"/>
        </w:rPr>
        <w:t xml:space="preserve">Sala Plena. Auto del 1 de agosto de 2019. </w:t>
      </w:r>
      <w:proofErr w:type="spellStart"/>
      <w:r w:rsidRPr="00EF69F0">
        <w:rPr>
          <w:rFonts w:ascii="Arial" w:hAnsi="Arial" w:cs="Arial"/>
          <w:color w:val="000000"/>
          <w:sz w:val="19"/>
          <w:szCs w:val="19"/>
        </w:rPr>
        <w:t>Exp</w:t>
      </w:r>
      <w:proofErr w:type="spellEnd"/>
      <w:r w:rsidRPr="00EF69F0">
        <w:rPr>
          <w:rFonts w:ascii="Arial" w:hAnsi="Arial" w:cs="Arial"/>
          <w:color w:val="000000"/>
          <w:sz w:val="19"/>
          <w:szCs w:val="19"/>
        </w:rPr>
        <w:t xml:space="preserve">. 62009. C.P. Jaime Enrique Rodríguez Navas. </w:t>
      </w:r>
      <w:r w:rsidRPr="00EF69F0">
        <w:rPr>
          <w:color w:val="000000"/>
          <w:lang w:val="es-ES"/>
        </w:rPr>
        <w:t xml:space="preserve"> </w:t>
      </w:r>
    </w:p>
  </w:footnote>
  <w:footnote w:id="18">
    <w:p w14:paraId="7787D0AA" w14:textId="77777777" w:rsidR="00EF69F0" w:rsidRPr="00EF69F0" w:rsidRDefault="00EF69F0" w:rsidP="00EF69F0">
      <w:pPr>
        <w:pStyle w:val="Textonotapie"/>
        <w:ind w:firstLine="708"/>
        <w:jc w:val="both"/>
        <w:rPr>
          <w:rFonts w:ascii="Arial" w:hAnsi="Arial" w:cs="Arial"/>
          <w:color w:val="000000"/>
          <w:sz w:val="19"/>
          <w:szCs w:val="19"/>
          <w:lang w:val="es-ES"/>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w:t>
      </w:r>
      <w:r w:rsidRPr="00EF69F0">
        <w:rPr>
          <w:rFonts w:ascii="Arial" w:hAnsi="Arial" w:cs="Arial"/>
          <w:color w:val="000000"/>
          <w:sz w:val="19"/>
          <w:szCs w:val="19"/>
          <w:lang w:val="es-ES"/>
        </w:rPr>
        <w:t xml:space="preserve">COLOMBIA COMPRA EFICIENTE. Guía de Garantías en Proceso de Contratación. Disponible en: </w:t>
      </w:r>
      <w:hyperlink r:id="rId3" w:history="1">
        <w:r w:rsidRPr="00EF69F0">
          <w:rPr>
            <w:rStyle w:val="Hipervnculo1"/>
            <w:rFonts w:ascii="Arial" w:hAnsi="Arial" w:cs="Arial"/>
            <w:color w:val="000000"/>
            <w:sz w:val="19"/>
            <w:szCs w:val="19"/>
          </w:rPr>
          <w:t>https://www.colombiacompra.gov.co/sites/cce_public/files/cce_documents/cce_guia_garantias.pdf</w:t>
        </w:r>
      </w:hyperlink>
      <w:r w:rsidRPr="00EF69F0">
        <w:rPr>
          <w:rFonts w:ascii="Arial" w:hAnsi="Arial" w:cs="Arial"/>
          <w:color w:val="000000"/>
          <w:sz w:val="19"/>
          <w:szCs w:val="19"/>
          <w:lang w:val="es-ES"/>
        </w:rPr>
        <w:t xml:space="preserve"> </w:t>
      </w:r>
    </w:p>
    <w:p w14:paraId="305D09BD" w14:textId="77777777" w:rsidR="00EF69F0" w:rsidRPr="00EF69F0" w:rsidRDefault="00EF69F0" w:rsidP="00EF69F0">
      <w:pPr>
        <w:pStyle w:val="Textonotapie"/>
        <w:jc w:val="both"/>
        <w:rPr>
          <w:rFonts w:ascii="Arial" w:hAnsi="Arial" w:cs="Arial"/>
          <w:color w:val="000000"/>
          <w:sz w:val="19"/>
          <w:szCs w:val="19"/>
        </w:rPr>
      </w:pPr>
    </w:p>
  </w:footnote>
  <w:footnote w:id="19">
    <w:p w14:paraId="7C4B546C" w14:textId="77777777" w:rsidR="00EF69F0" w:rsidRPr="00EF69F0" w:rsidRDefault="00EF69F0" w:rsidP="00EF69F0">
      <w:pPr>
        <w:pStyle w:val="Textonotapie"/>
        <w:ind w:firstLine="708"/>
        <w:jc w:val="both"/>
        <w:rPr>
          <w:rFonts w:ascii="Arial" w:hAnsi="Arial" w:cs="Arial"/>
          <w:color w:val="000000"/>
          <w:sz w:val="19"/>
          <w:szCs w:val="19"/>
          <w:lang w:val="es-ES"/>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w:t>
      </w:r>
      <w:r w:rsidRPr="00EF69F0">
        <w:rPr>
          <w:rFonts w:ascii="Arial" w:hAnsi="Arial" w:cs="Arial"/>
          <w:color w:val="000000"/>
          <w:sz w:val="19"/>
          <w:szCs w:val="19"/>
          <w:lang w:val="es-ES"/>
        </w:rPr>
        <w:t xml:space="preserve">COLOMBIA COMPRA EFICIENTE. Síntesis: 8. Etapa precontractual: Garantía de cumplimiento del contrato estatal. </w:t>
      </w:r>
    </w:p>
    <w:p w14:paraId="70F2BF59" w14:textId="77777777" w:rsidR="00EF69F0" w:rsidRPr="00EF69F0" w:rsidRDefault="00EF69F0" w:rsidP="00EF69F0">
      <w:pPr>
        <w:pStyle w:val="Textonotapie"/>
        <w:ind w:firstLine="708"/>
        <w:jc w:val="both"/>
        <w:rPr>
          <w:rFonts w:ascii="Arial" w:hAnsi="Arial" w:cs="Arial"/>
          <w:color w:val="000000"/>
          <w:sz w:val="19"/>
          <w:szCs w:val="19"/>
        </w:rPr>
      </w:pPr>
    </w:p>
  </w:footnote>
  <w:footnote w:id="20">
    <w:p w14:paraId="2BA3ACF3" w14:textId="77777777" w:rsidR="00EF69F0" w:rsidRPr="00EF69F0" w:rsidRDefault="00EF69F0" w:rsidP="00EF69F0">
      <w:pPr>
        <w:pStyle w:val="Textonotapie"/>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La norma citada dispone: «Artículo 2.2.1.2.3.1.7. Garantía de cumplimiento. La garantía de cumplimiento del contrato debe cubrir:</w:t>
      </w:r>
    </w:p>
    <w:p w14:paraId="412EA43E"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»1.    Buen manejo y correcta inversión del anticipo. Este amparo cubre los perjuicios sufridos por la Entidad Estatal con ocasión de: (i) la no inversión del anticipo; (</w:t>
      </w:r>
      <w:proofErr w:type="spellStart"/>
      <w:r w:rsidRPr="00EF69F0">
        <w:rPr>
          <w:rFonts w:ascii="Arial" w:hAnsi="Arial" w:cs="Arial"/>
          <w:color w:val="000000"/>
          <w:sz w:val="19"/>
          <w:szCs w:val="19"/>
        </w:rPr>
        <w:t>ii</w:t>
      </w:r>
      <w:proofErr w:type="spellEnd"/>
      <w:r w:rsidRPr="00EF69F0">
        <w:rPr>
          <w:rFonts w:ascii="Arial" w:hAnsi="Arial" w:cs="Arial"/>
          <w:color w:val="000000"/>
          <w:sz w:val="19"/>
          <w:szCs w:val="19"/>
        </w:rPr>
        <w:t>) el uso indebido del anticipo; y (</w:t>
      </w:r>
      <w:proofErr w:type="spellStart"/>
      <w:r w:rsidRPr="00EF69F0">
        <w:rPr>
          <w:rFonts w:ascii="Arial" w:hAnsi="Arial" w:cs="Arial"/>
          <w:color w:val="000000"/>
          <w:sz w:val="19"/>
          <w:szCs w:val="19"/>
        </w:rPr>
        <w:t>iii</w:t>
      </w:r>
      <w:proofErr w:type="spellEnd"/>
      <w:r w:rsidRPr="00EF69F0">
        <w:rPr>
          <w:rFonts w:ascii="Arial" w:hAnsi="Arial" w:cs="Arial"/>
          <w:color w:val="000000"/>
          <w:sz w:val="19"/>
          <w:szCs w:val="19"/>
        </w:rPr>
        <w:t>) la apropiación indebida de los recursos recibidos en calidad de anticipo.</w:t>
      </w:r>
    </w:p>
    <w:p w14:paraId="355FC0AE"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»2.    Devolución del pago anticipado. Este amparo cubre los perjuicios sufridos por la Entidad Estatal por la no devolución total o parcial del dinero entregado al contratista a título de pago anticipado, cuando a ello hubiere lugar.</w:t>
      </w:r>
    </w:p>
    <w:p w14:paraId="356FAB1A"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»3.    Cumplimiento del contrato. Este amparo cubre a la Entidad Estatal de los perjuicios derivados de:</w:t>
      </w:r>
    </w:p>
    <w:p w14:paraId="1803E0C2"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»3.1.   El incumplimiento total o parcial del contrato, cuando el incumplimiento es imputable al contratista;</w:t>
      </w:r>
    </w:p>
    <w:p w14:paraId="67D243EC"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»3.2.   El cumplimiento tardío o defectuoso del contrato, cuando el incumplimiento es imputable al contratista;</w:t>
      </w:r>
    </w:p>
    <w:p w14:paraId="08849F96"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»3.3.   Los daños imputables al contratista por entregas parciales de la obra, cuando el contrato no prevé entregas parciales; y</w:t>
      </w:r>
    </w:p>
    <w:p w14:paraId="62EAF1B7"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»3.4.   El pago del valor de las multas y de la cláusula penal pecuniaria.</w:t>
      </w:r>
    </w:p>
    <w:p w14:paraId="6A47EA78"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63FAFA7F" w14:textId="77777777" w:rsidR="00EF69F0" w:rsidRPr="00EF69F0" w:rsidRDefault="00EF69F0" w:rsidP="00EF69F0">
      <w:pPr>
        <w:pStyle w:val="Textonotapie"/>
        <w:ind w:firstLine="708"/>
        <w:jc w:val="both"/>
        <w:rPr>
          <w:rFonts w:ascii="Arial" w:hAnsi="Arial" w:cs="Arial"/>
          <w:color w:val="000000"/>
          <w:sz w:val="19"/>
          <w:szCs w:val="19"/>
        </w:rPr>
      </w:pPr>
      <w:proofErr w:type="gramStart"/>
      <w:r w:rsidRPr="00EF69F0">
        <w:rPr>
          <w:rFonts w:ascii="Arial" w:hAnsi="Arial" w:cs="Arial"/>
          <w:color w:val="000000"/>
          <w:sz w:val="19"/>
          <w:szCs w:val="19"/>
        </w:rPr>
        <w:t>»La</w:t>
      </w:r>
      <w:proofErr w:type="gramEnd"/>
      <w:r w:rsidRPr="00EF69F0">
        <w:rPr>
          <w:rFonts w:ascii="Arial" w:hAnsi="Arial" w:cs="Arial"/>
          <w:color w:val="000000"/>
          <w:sz w:val="19"/>
          <w:szCs w:val="19"/>
        </w:rPr>
        <w:t xml:space="preserve"> Entidad Estatal no debe exigir una garantía para cubrir este Riesgo en los contratos que se ejecuten fuera del territorio nacional con personal contratado bajo un régimen jurídico distinto al colombiano.</w:t>
      </w:r>
    </w:p>
    <w:p w14:paraId="2E68D279"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»5.    Estabilidad y calidad de la obra. Este amparo cubre a la Entidad Estatal de los perjuicios ocasionados por cualquier tipo de daño o deterioro, imputable al contratista, sufrido por la obra entregada a satisfacción.</w:t>
      </w:r>
    </w:p>
    <w:p w14:paraId="065F3ADC"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»6.    Calidad del servicio. Este amparo cubre a la Entidad Estatal por los perjuicios deri­vados de la deficiente calidad del servicio prestado.</w:t>
      </w:r>
    </w:p>
    <w:p w14:paraId="0E61C7AB"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»7.    Calidad y correcto funcionamiento de los bienes. Este amparo debe cubrir la calidad y el correcto funcionamiento de los bienes que recibe la Entidad Estatal en cumplimiento de un contrato.</w:t>
      </w:r>
    </w:p>
    <w:p w14:paraId="58359202" w14:textId="77777777" w:rsidR="00EF69F0" w:rsidRPr="00EF69F0" w:rsidRDefault="00EF69F0" w:rsidP="00EF69F0">
      <w:pPr>
        <w:pStyle w:val="Textonotapie"/>
        <w:ind w:firstLine="708"/>
        <w:jc w:val="both"/>
        <w:rPr>
          <w:rFonts w:ascii="Arial" w:hAnsi="Arial" w:cs="Arial"/>
          <w:color w:val="000000"/>
          <w:sz w:val="19"/>
          <w:szCs w:val="19"/>
        </w:rPr>
      </w:pPr>
      <w:r w:rsidRPr="00EF69F0">
        <w:rPr>
          <w:rFonts w:ascii="Arial" w:hAnsi="Arial" w:cs="Arial"/>
          <w:color w:val="000000"/>
          <w:sz w:val="19"/>
          <w:szCs w:val="19"/>
        </w:rPr>
        <w:t>»8.    Los demás incumplimientos de obligaciones que la Entidad Estatal considere deben ser amparados de manera proporcional y acorde a la naturaleza del contrato».</w:t>
      </w:r>
    </w:p>
  </w:footnote>
  <w:footnote w:id="21">
    <w:p w14:paraId="1A2F3AFC" w14:textId="77777777" w:rsidR="00EF69F0" w:rsidRPr="00EF69F0" w:rsidRDefault="00EF69F0" w:rsidP="00EF69F0">
      <w:pPr>
        <w:pStyle w:val="Textonotapie"/>
        <w:ind w:firstLine="708"/>
        <w:jc w:val="both"/>
        <w:rPr>
          <w:rFonts w:ascii="Arial" w:hAnsi="Arial" w:cs="Arial"/>
          <w:color w:val="000000"/>
          <w:sz w:val="19"/>
          <w:szCs w:val="19"/>
        </w:rPr>
      </w:pPr>
      <w:r w:rsidRPr="00EF69F0">
        <w:rPr>
          <w:rStyle w:val="Refdenotaalpie"/>
          <w:rFonts w:ascii="Arial" w:hAnsi="Arial" w:cs="Arial"/>
          <w:color w:val="000000"/>
          <w:sz w:val="19"/>
          <w:szCs w:val="19"/>
        </w:rPr>
        <w:footnoteRef/>
      </w:r>
      <w:r w:rsidRPr="00EF69F0">
        <w:rPr>
          <w:rFonts w:ascii="Arial" w:hAnsi="Arial" w:cs="Arial"/>
          <w:color w:val="000000"/>
          <w:sz w:val="19"/>
          <w:szCs w:val="19"/>
        </w:rPr>
        <w:t xml:space="preserve"> Consejo de Estado. Sección Tercera. Subsección B. Sentencia de 19 de junio de 2013. </w:t>
      </w:r>
      <w:proofErr w:type="spellStart"/>
      <w:r w:rsidRPr="00EF69F0">
        <w:rPr>
          <w:rFonts w:ascii="Arial" w:hAnsi="Arial" w:cs="Arial"/>
          <w:color w:val="000000"/>
          <w:sz w:val="19"/>
          <w:szCs w:val="19"/>
        </w:rPr>
        <w:t>Exp</w:t>
      </w:r>
      <w:proofErr w:type="spellEnd"/>
      <w:r w:rsidRPr="00EF69F0">
        <w:rPr>
          <w:rFonts w:ascii="Arial" w:hAnsi="Arial" w:cs="Arial"/>
          <w:color w:val="000000"/>
          <w:sz w:val="19"/>
          <w:szCs w:val="19"/>
        </w:rPr>
        <w:t xml:space="preserve">. 25472.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19134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6755"/>
    <w:rsid w:val="00083334"/>
    <w:rsid w:val="000956CF"/>
    <w:rsid w:val="000A683E"/>
    <w:rsid w:val="000B2224"/>
    <w:rsid w:val="0011595A"/>
    <w:rsid w:val="001220C5"/>
    <w:rsid w:val="001267F7"/>
    <w:rsid w:val="00127233"/>
    <w:rsid w:val="00130999"/>
    <w:rsid w:val="00164D81"/>
    <w:rsid w:val="001A1011"/>
    <w:rsid w:val="001A48D0"/>
    <w:rsid w:val="001A5256"/>
    <w:rsid w:val="00236933"/>
    <w:rsid w:val="002653C1"/>
    <w:rsid w:val="0026611D"/>
    <w:rsid w:val="00284BC1"/>
    <w:rsid w:val="002951A0"/>
    <w:rsid w:val="002A64FD"/>
    <w:rsid w:val="002F0839"/>
    <w:rsid w:val="00301469"/>
    <w:rsid w:val="00306EE1"/>
    <w:rsid w:val="00310B9B"/>
    <w:rsid w:val="00321E09"/>
    <w:rsid w:val="00342E13"/>
    <w:rsid w:val="0036461C"/>
    <w:rsid w:val="00367884"/>
    <w:rsid w:val="0039439C"/>
    <w:rsid w:val="003B69E7"/>
    <w:rsid w:val="003C013B"/>
    <w:rsid w:val="003D0F4D"/>
    <w:rsid w:val="003F58A1"/>
    <w:rsid w:val="00410DD6"/>
    <w:rsid w:val="004134C9"/>
    <w:rsid w:val="0043138C"/>
    <w:rsid w:val="004322A9"/>
    <w:rsid w:val="00462A59"/>
    <w:rsid w:val="004A1847"/>
    <w:rsid w:val="004A44A3"/>
    <w:rsid w:val="004B6B0E"/>
    <w:rsid w:val="004D25B3"/>
    <w:rsid w:val="00511405"/>
    <w:rsid w:val="00526E9D"/>
    <w:rsid w:val="00547856"/>
    <w:rsid w:val="00547A74"/>
    <w:rsid w:val="005566E8"/>
    <w:rsid w:val="005746AB"/>
    <w:rsid w:val="0059357F"/>
    <w:rsid w:val="005A1130"/>
    <w:rsid w:val="005A3BEB"/>
    <w:rsid w:val="005D65C8"/>
    <w:rsid w:val="006219F8"/>
    <w:rsid w:val="00640E4E"/>
    <w:rsid w:val="006502AA"/>
    <w:rsid w:val="00681FDB"/>
    <w:rsid w:val="006A7DAD"/>
    <w:rsid w:val="006C3559"/>
    <w:rsid w:val="006D0722"/>
    <w:rsid w:val="006D4ED5"/>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61E76"/>
    <w:rsid w:val="009745B7"/>
    <w:rsid w:val="009F33F2"/>
    <w:rsid w:val="009F6C77"/>
    <w:rsid w:val="00A07532"/>
    <w:rsid w:val="00A1085C"/>
    <w:rsid w:val="00A309E2"/>
    <w:rsid w:val="00A8066E"/>
    <w:rsid w:val="00A80FE1"/>
    <w:rsid w:val="00AA4B8A"/>
    <w:rsid w:val="00AA6BF7"/>
    <w:rsid w:val="00B01ED6"/>
    <w:rsid w:val="00B06D09"/>
    <w:rsid w:val="00B771A9"/>
    <w:rsid w:val="00B809BB"/>
    <w:rsid w:val="00B8248A"/>
    <w:rsid w:val="00B954D1"/>
    <w:rsid w:val="00BB7726"/>
    <w:rsid w:val="00C2329E"/>
    <w:rsid w:val="00C30461"/>
    <w:rsid w:val="00C36B4D"/>
    <w:rsid w:val="00C754BE"/>
    <w:rsid w:val="00C87572"/>
    <w:rsid w:val="00C9405D"/>
    <w:rsid w:val="00CC1B26"/>
    <w:rsid w:val="00CD284F"/>
    <w:rsid w:val="00CF23AA"/>
    <w:rsid w:val="00D01921"/>
    <w:rsid w:val="00D752B7"/>
    <w:rsid w:val="00D75B8D"/>
    <w:rsid w:val="00D93F20"/>
    <w:rsid w:val="00DA1854"/>
    <w:rsid w:val="00DB0887"/>
    <w:rsid w:val="00DB0A58"/>
    <w:rsid w:val="00DF1E43"/>
    <w:rsid w:val="00E20894"/>
    <w:rsid w:val="00E26B7C"/>
    <w:rsid w:val="00E35D2F"/>
    <w:rsid w:val="00EA3003"/>
    <w:rsid w:val="00EB3C91"/>
    <w:rsid w:val="00EB66DA"/>
    <w:rsid w:val="00ED62A4"/>
    <w:rsid w:val="00EE4161"/>
    <w:rsid w:val="00EF4FB1"/>
    <w:rsid w:val="00EF69F0"/>
    <w:rsid w:val="00F605F2"/>
    <w:rsid w:val="00F76AFC"/>
    <w:rsid w:val="00F8319B"/>
    <w:rsid w:val="00FA5516"/>
    <w:rsid w:val="00FD6F73"/>
    <w:rsid w:val="01086448"/>
    <w:rsid w:val="16B7C287"/>
    <w:rsid w:val="1CC63BF5"/>
    <w:rsid w:val="2F9951DC"/>
    <w:rsid w:val="37D4D6AA"/>
    <w:rsid w:val="3DAC4A84"/>
    <w:rsid w:val="3EA2D60F"/>
    <w:rsid w:val="5420BDBD"/>
    <w:rsid w:val="6B8BD3AC"/>
    <w:rsid w:val="6C2B77A5"/>
    <w:rsid w:val="777950C3"/>
    <w:rsid w:val="7C03503F"/>
    <w:rsid w:val="7F187A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EF69F0"/>
    <w:rPr>
      <w:rFonts w:ascii="Times New Roman" w:hAnsi="Times New Roman" w:cs="Times New Roman"/>
      <w:sz w:val="24"/>
      <w:szCs w:val="24"/>
    </w:rPr>
  </w:style>
  <w:style w:type="character" w:customStyle="1" w:styleId="Hipervnculo1">
    <w:name w:val="Hipervínculo1"/>
    <w:basedOn w:val="Fuentedeprrafopredeter"/>
    <w:uiPriority w:val="99"/>
    <w:unhideWhenUsed/>
    <w:rsid w:val="00EF69F0"/>
    <w:rPr>
      <w:color w:val="F2F2F2"/>
      <w:u w:val="single"/>
    </w:rPr>
  </w:style>
  <w:style w:type="paragraph" w:customStyle="1" w:styleId="Appelnotedebasde">
    <w:name w:val="Appel note de bas de..."/>
    <w:basedOn w:val="Normal"/>
    <w:link w:val="Refdenotaalpie"/>
    <w:uiPriority w:val="99"/>
    <w:rsid w:val="00EF69F0"/>
    <w:pPr>
      <w:spacing w:line="240" w:lineRule="exact"/>
    </w:pPr>
    <w:rPr>
      <w:vertAlign w:val="superscript"/>
    </w:rPr>
  </w:style>
  <w:style w:type="character" w:styleId="Textoennegrita">
    <w:name w:val="Strong"/>
    <w:basedOn w:val="Fuentedeprrafopredeter"/>
    <w:uiPriority w:val="22"/>
    <w:qFormat/>
    <w:rsid w:val="00EF69F0"/>
    <w:rPr>
      <w:b/>
      <w:bCs/>
    </w:rPr>
  </w:style>
  <w:style w:type="character" w:styleId="nfasis">
    <w:name w:val="Emphasis"/>
    <w:basedOn w:val="Fuentedeprrafopredeter"/>
    <w:uiPriority w:val="20"/>
    <w:qFormat/>
    <w:rsid w:val="00EF69F0"/>
    <w:rPr>
      <w:i/>
      <w:iCs/>
    </w:rPr>
  </w:style>
  <w:style w:type="character" w:styleId="Hipervnculo">
    <w:name w:val="Hyperlink"/>
    <w:basedOn w:val="Fuentedeprrafopredeter"/>
    <w:uiPriority w:val="99"/>
    <w:semiHidden/>
    <w:unhideWhenUsed/>
    <w:rsid w:val="00EF69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70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garantias.pdf" TargetMode="External"/><Relationship Id="rId2" Type="http://schemas.openxmlformats.org/officeDocument/2006/relationships/hyperlink" Target="https://www.colombiacompra.gov.co/sites/cce_public/files/cce_documents/cce_guia_liquidacion_procesos.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F3B59E02-7C83-4F40-A3B5-E8E748323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6367</Words>
  <Characters>35022</Characters>
  <Application>Microsoft Office Word</Application>
  <DocSecurity>0</DocSecurity>
  <Lines>291</Lines>
  <Paragraphs>82</Paragraphs>
  <ScaleCrop>false</ScaleCrop>
  <Company/>
  <LinksUpToDate>false</LinksUpToDate>
  <CharactersWithSpaces>41307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dcterms:created xsi:type="dcterms:W3CDTF">2023-03-27T13:19:00Z</dcterms:created>
  <dcterms:modified xsi:type="dcterms:W3CDTF">2023-03-27T13:19:00Z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