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AAA8F" w14:textId="77777777" w:rsidR="0016180A" w:rsidRPr="00F3587F" w:rsidRDefault="0016180A" w:rsidP="0016180A">
      <w:pPr>
        <w:spacing w:before="120" w:after="120" w:line="276" w:lineRule="auto"/>
        <w:rPr>
          <w:rFonts w:ascii="Verdana" w:eastAsia="Calibri" w:hAnsi="Verdana" w:cs="Arial"/>
          <w:b/>
          <w:bCs/>
          <w:lang w:val="es-ES_tradnl" w:eastAsia="es-ES_tradnl"/>
        </w:rPr>
      </w:pPr>
      <w:r w:rsidRPr="00406AA6">
        <w:rPr>
          <w:rFonts w:ascii="Verdana" w:eastAsia="Calibri" w:hAnsi="Verdana" w:cs="Arial"/>
          <w:b/>
          <w:bCs/>
          <w:lang w:val="es-ES_tradnl" w:eastAsia="es-ES_tradnl"/>
        </w:rPr>
        <w:t xml:space="preserve">RÉGIMEN DE INHABILIDADES – Noción – Contratación estatal – Finalidad </w:t>
      </w:r>
    </w:p>
    <w:p w14:paraId="349DFD0D" w14:textId="77777777" w:rsidR="0016180A" w:rsidRDefault="0016180A" w:rsidP="0016180A">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 xml:space="preserve">El régimen de inhabilidades son prohibiciones para concurrir a los procedimientos de selección y para contratar con el Estado, que se derivan i) de la existencia de comportamientos reprochables o de sanciones anteriormente impuestas, ii) de vínculos personales relaticos al parentesco o al estado civil o iii) de una actividad u oficio que se desempeñó en el pasado. El régimen de inhabilidades en la contratación </w:t>
      </w:r>
      <w:proofErr w:type="gramStart"/>
      <w:r w:rsidRPr="00406AA6">
        <w:rPr>
          <w:rFonts w:ascii="Verdana" w:eastAsia="Aptos" w:hAnsi="Verdana" w:cs="Times New Roman"/>
          <w:sz w:val="20"/>
          <w:szCs w:val="20"/>
        </w:rPr>
        <w:t>pública,</w:t>
      </w:r>
      <w:proofErr w:type="gramEnd"/>
      <w:r w:rsidRPr="00406AA6">
        <w:rPr>
          <w:rFonts w:ascii="Verdana" w:eastAsia="Aptos" w:hAnsi="Verdana" w:cs="Times New Roman"/>
          <w:sz w:val="20"/>
          <w:szCs w:val="20"/>
        </w:rPr>
        <w:t xml:space="preserve">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406AA6">
        <w:rPr>
          <w:rFonts w:ascii="Verdana" w:eastAsia="Aptos" w:hAnsi="Verdana" w:cs="Times New Roman"/>
          <w:sz w:val="20"/>
          <w:szCs w:val="20"/>
        </w:rPr>
        <w:t>que</w:t>
      </w:r>
      <w:proofErr w:type="gramEnd"/>
      <w:r w:rsidRPr="00406AA6">
        <w:rPr>
          <w:rFonts w:ascii="Verdana" w:eastAsia="Aptos" w:hAnsi="Verdana" w:cs="Times New Roman"/>
          <w:sz w:val="20"/>
          <w:szCs w:val="20"/>
        </w:rPr>
        <w:t>, como lo ha destacado la doctrina, las inhabilidades son herramientas para la lucha contra la corrupción, adoptando paulatinamente un carácter sancionatorio o “neopunitivo”.</w:t>
      </w:r>
    </w:p>
    <w:p w14:paraId="2C01B20B" w14:textId="77777777" w:rsidR="0016180A" w:rsidRPr="00406AA6" w:rsidRDefault="0016180A" w:rsidP="0016180A">
      <w:pPr>
        <w:spacing w:after="0" w:line="240" w:lineRule="auto"/>
        <w:jc w:val="both"/>
        <w:rPr>
          <w:rFonts w:ascii="Verdana" w:eastAsia="Aptos" w:hAnsi="Verdana" w:cs="Times New Roman"/>
          <w:sz w:val="20"/>
          <w:szCs w:val="20"/>
        </w:rPr>
      </w:pPr>
    </w:p>
    <w:p w14:paraId="58180D10" w14:textId="77777777" w:rsidR="0016180A" w:rsidRPr="00406AA6" w:rsidRDefault="0016180A" w:rsidP="0016180A">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w:t>
      </w:r>
    </w:p>
    <w:p w14:paraId="2DB9FA14" w14:textId="77777777" w:rsidR="0016180A" w:rsidRPr="00406AA6" w:rsidRDefault="0016180A" w:rsidP="0016180A">
      <w:pPr>
        <w:spacing w:after="0" w:line="240" w:lineRule="auto"/>
        <w:jc w:val="both"/>
        <w:rPr>
          <w:rFonts w:ascii="Verdana" w:eastAsia="Aptos" w:hAnsi="Verdana" w:cs="Times New Roman"/>
          <w:sz w:val="20"/>
          <w:szCs w:val="20"/>
        </w:rPr>
      </w:pPr>
    </w:p>
    <w:p w14:paraId="52BB8DE2" w14:textId="77777777" w:rsidR="0016180A" w:rsidRPr="00F3587F" w:rsidRDefault="0016180A" w:rsidP="0016180A">
      <w:pPr>
        <w:spacing w:before="120" w:after="120" w:line="276" w:lineRule="auto"/>
        <w:jc w:val="both"/>
        <w:rPr>
          <w:rFonts w:ascii="Verdana" w:eastAsia="Calibri" w:hAnsi="Verdana" w:cs="Arial"/>
          <w:b/>
          <w:bCs/>
          <w:lang w:val="es-ES" w:eastAsia="es-ES"/>
        </w:rPr>
      </w:pPr>
      <w:r w:rsidRPr="00406AA6">
        <w:rPr>
          <w:rFonts w:ascii="Verdana" w:eastAsia="Calibri" w:hAnsi="Verdana" w:cs="Arial"/>
          <w:b/>
          <w:bCs/>
          <w:lang w:val="es-ES" w:eastAsia="es-ES"/>
        </w:rPr>
        <w:t xml:space="preserve">RÉGIMEN DE INHABILIDADES – </w:t>
      </w:r>
      <w:r>
        <w:rPr>
          <w:rFonts w:ascii="Verdana" w:eastAsia="Calibri" w:hAnsi="Verdana" w:cs="Arial"/>
          <w:b/>
          <w:bCs/>
          <w:lang w:val="es-ES" w:eastAsia="es-ES"/>
        </w:rPr>
        <w:t>Registro nacional de medidas correctivas – No pago de multas – Limitación para contratar</w:t>
      </w:r>
    </w:p>
    <w:p w14:paraId="003EEEEC" w14:textId="77777777" w:rsidR="0016180A" w:rsidRDefault="0016180A" w:rsidP="0016180A">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w:t>
      </w:r>
      <w:r w:rsidRPr="00296361">
        <w:rPr>
          <w:rFonts w:ascii="Verdana" w:eastAsia="Aptos" w:hAnsi="Verdana" w:cs="Times New Roman"/>
          <w:sz w:val="20"/>
          <w:szCs w:val="20"/>
        </w:rPr>
        <w:t>al analizarse el régimen de inhabilidades, se observa que el solo reporte en el Registro Nacional de Medidas Correctivas no genera una causal inhabilidad para celebrar contratos con las entidades públicas, puesto que, de acuerdo con el artículo 2.2.8.3.1 del Decreto 1284 de 2017, el referido registro es un sistema que tiene como función el recolectar información sobre la persona infractora de un comportamiento contrario a la convivencia, el tipo de medida correctiva impuesta, el estado de pago de la multa o el cumplimiento de la medida correctiva.</w:t>
      </w:r>
    </w:p>
    <w:p w14:paraId="096082B8" w14:textId="77777777" w:rsidR="0016180A" w:rsidRPr="00406AA6" w:rsidRDefault="0016180A" w:rsidP="0016180A">
      <w:pPr>
        <w:spacing w:after="0" w:line="240" w:lineRule="auto"/>
        <w:jc w:val="both"/>
        <w:rPr>
          <w:rFonts w:ascii="Verdana" w:eastAsia="Aptos" w:hAnsi="Verdana" w:cs="Times New Roman"/>
          <w:sz w:val="20"/>
          <w:szCs w:val="20"/>
        </w:rPr>
      </w:pPr>
    </w:p>
    <w:p w14:paraId="56837C0D" w14:textId="77777777" w:rsidR="0016180A" w:rsidRDefault="0016180A" w:rsidP="0016180A">
      <w:pPr>
        <w:spacing w:after="0" w:line="240" w:lineRule="auto"/>
        <w:jc w:val="both"/>
        <w:rPr>
          <w:rFonts w:ascii="Verdana" w:eastAsia="Aptos" w:hAnsi="Verdana" w:cs="Times New Roman"/>
          <w:sz w:val="20"/>
          <w:szCs w:val="20"/>
        </w:rPr>
      </w:pPr>
      <w:r w:rsidRPr="00CD72F5">
        <w:rPr>
          <w:rFonts w:ascii="Verdana" w:eastAsia="Aptos" w:hAnsi="Verdana" w:cs="Times New Roman"/>
          <w:sz w:val="20"/>
          <w:szCs w:val="20"/>
        </w:rPr>
        <w:t>Sin embargo, debe precisarse que, en caso de que a la persona se le haya impuesto como medida correctiva el pago de multas y este se encuentre en mora por un término de seis (6) meses, el artículo 183 de la Ley 1801 de 2016, estableció como consecuencia a esto en el numeral 4, que “hasta tanto no se ponga al día la persona no podrá: […]Contratar o renovar contrato con cualquier entidad del Estado”. Constituyéndose entonces, lo anterior, como una causal de inhabilidad para celebrar contratos con las entidades públicas.</w:t>
      </w:r>
    </w:p>
    <w:p w14:paraId="2A312F27" w14:textId="77777777" w:rsidR="0016180A" w:rsidRDefault="0016180A" w:rsidP="00F71A6A">
      <w:pPr>
        <w:spacing w:after="0" w:line="240" w:lineRule="auto"/>
        <w:rPr>
          <w:rFonts w:ascii="Verdana" w:eastAsia="Geomanist Light" w:hAnsi="Verdana" w:cs="Arial"/>
          <w:color w:val="000000" w:themeColor="text1"/>
          <w:lang w:val="es-MX"/>
        </w:rPr>
      </w:pPr>
    </w:p>
    <w:p w14:paraId="5950D677" w14:textId="77777777" w:rsidR="0016180A" w:rsidRDefault="0016180A" w:rsidP="00F71A6A">
      <w:pPr>
        <w:spacing w:after="0" w:line="240" w:lineRule="auto"/>
        <w:rPr>
          <w:rFonts w:ascii="Verdana" w:eastAsia="Geomanist Light" w:hAnsi="Verdana" w:cs="Arial"/>
          <w:color w:val="000000" w:themeColor="text1"/>
          <w:lang w:val="es-MX"/>
        </w:rPr>
      </w:pPr>
    </w:p>
    <w:p w14:paraId="7AADE854" w14:textId="77777777" w:rsidR="0016180A" w:rsidRDefault="0016180A" w:rsidP="00F71A6A">
      <w:pPr>
        <w:spacing w:after="0" w:line="240" w:lineRule="auto"/>
        <w:rPr>
          <w:rFonts w:ascii="Verdana" w:eastAsia="Geomanist Light" w:hAnsi="Verdana" w:cs="Arial"/>
          <w:color w:val="000000" w:themeColor="text1"/>
          <w:lang w:val="es-MX"/>
        </w:rPr>
      </w:pPr>
    </w:p>
    <w:p w14:paraId="74B1F19D" w14:textId="2BBDAB8A" w:rsidR="00F71A6A" w:rsidRPr="00F71A6A" w:rsidRDefault="00AC2CBC" w:rsidP="00F71A6A">
      <w:pPr>
        <w:spacing w:after="0" w:line="240" w:lineRule="auto"/>
        <w:rPr>
          <w:rFonts w:ascii="Verdana" w:eastAsia="Geomanist Light" w:hAnsi="Verdana" w:cs="Arial"/>
          <w:color w:val="201F1E"/>
          <w:lang w:val="es-MX"/>
        </w:rPr>
      </w:pPr>
      <w:r w:rsidRPr="00864A7E">
        <w:rPr>
          <w:rFonts w:ascii="Verdana" w:eastAsia="Calibri" w:hAnsi="Verdana" w:cs="Arial"/>
          <w:b/>
          <w:lang w:val="es-ES_tradnl" w:eastAsia="es-ES_tradnl"/>
        </w:rPr>
        <w:lastRenderedPageBreak/>
        <w:drawing>
          <wp:anchor distT="0" distB="0" distL="114300" distR="114300" simplePos="0" relativeHeight="251658240" behindDoc="0" locked="0" layoutInCell="1" allowOverlap="1" wp14:anchorId="0AD23702" wp14:editId="0C9FC6CF">
            <wp:simplePos x="0" y="0"/>
            <wp:positionH relativeFrom="column">
              <wp:posOffset>2882265</wp:posOffset>
            </wp:positionH>
            <wp:positionV relativeFrom="paragraph">
              <wp:posOffset>8889</wp:posOffset>
            </wp:positionV>
            <wp:extent cx="3026181" cy="847725"/>
            <wp:effectExtent l="0" t="0" r="3175" b="0"/>
            <wp:wrapNone/>
            <wp:docPr id="4219681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68153"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30298" cy="848878"/>
                    </a:xfrm>
                    <a:prstGeom prst="rect">
                      <a:avLst/>
                    </a:prstGeom>
                  </pic:spPr>
                </pic:pic>
              </a:graphicData>
            </a:graphic>
            <wp14:sizeRelH relativeFrom="margin">
              <wp14:pctWidth>0</wp14:pctWidth>
            </wp14:sizeRelH>
            <wp14:sizeRelV relativeFrom="margin">
              <wp14:pctHeight>0</wp14:pctHeight>
            </wp14:sizeRelV>
          </wp:anchor>
        </w:drawing>
      </w:r>
      <w:r w:rsidR="00F71A6A" w:rsidRPr="00F71A6A">
        <w:rPr>
          <w:rFonts w:ascii="Verdana" w:eastAsia="Geomanist Light" w:hAnsi="Verdana" w:cs="Arial"/>
          <w:color w:val="000000" w:themeColor="text1"/>
          <w:lang w:val="es-MX"/>
        </w:rPr>
        <w:t>Bogotá D.C., </w:t>
      </w:r>
      <w:r w:rsidR="00864A7E">
        <w:rPr>
          <w:rFonts w:ascii="Verdana" w:eastAsia="Geomanist Light" w:hAnsi="Verdana" w:cs="Arial"/>
          <w:color w:val="201F1E"/>
          <w:lang w:val="es-MX"/>
        </w:rPr>
        <w:t>16 de enero de 2025</w:t>
      </w:r>
    </w:p>
    <w:p w14:paraId="698F0DB7" w14:textId="76EE36EA" w:rsidR="00F71A6A" w:rsidRPr="00F71A6A" w:rsidRDefault="00F71A6A" w:rsidP="00F71A6A">
      <w:pPr>
        <w:spacing w:after="0" w:line="240" w:lineRule="auto"/>
        <w:jc w:val="both"/>
        <w:rPr>
          <w:rFonts w:ascii="Verdana" w:eastAsia="Calibri" w:hAnsi="Verdana" w:cs="Arial"/>
          <w:color w:val="000000"/>
          <w:lang w:val="es-ES"/>
        </w:rPr>
      </w:pPr>
    </w:p>
    <w:p w14:paraId="300E2516" w14:textId="7581C9BB" w:rsidR="00F71A6A" w:rsidRPr="00F71A6A" w:rsidRDefault="00F71A6A" w:rsidP="00F71A6A">
      <w:pPr>
        <w:spacing w:after="0" w:line="240" w:lineRule="auto"/>
        <w:jc w:val="both"/>
        <w:rPr>
          <w:rFonts w:ascii="Verdana" w:eastAsia="Calibri" w:hAnsi="Verdana" w:cs="Arial"/>
          <w:lang w:val="es-ES" w:eastAsia="es-ES"/>
        </w:rPr>
      </w:pPr>
      <w:r w:rsidRPr="00F71A6A">
        <w:rPr>
          <w:rFonts w:ascii="Verdana" w:eastAsia="Calibri" w:hAnsi="Verdana" w:cs="Arial"/>
          <w:lang w:val="es-ES" w:eastAsia="es-ES"/>
        </w:rPr>
        <w:t>Señor</w:t>
      </w:r>
    </w:p>
    <w:p w14:paraId="29B17D48" w14:textId="592962F1" w:rsidR="00F71A6A" w:rsidRPr="00F71A6A" w:rsidRDefault="00F71A6A" w:rsidP="00F71A6A">
      <w:pPr>
        <w:spacing w:after="0" w:line="240" w:lineRule="auto"/>
        <w:rPr>
          <w:rFonts w:ascii="Verdana" w:eastAsia="Calibri" w:hAnsi="Verdana" w:cs="Arial"/>
          <w:b/>
          <w:lang w:val="es-ES_tradnl" w:eastAsia="es-ES_tradnl"/>
        </w:rPr>
      </w:pPr>
      <w:r w:rsidRPr="00F71A6A">
        <w:rPr>
          <w:rFonts w:ascii="Verdana" w:eastAsia="Calibri" w:hAnsi="Verdana" w:cs="Arial"/>
          <w:b/>
          <w:lang w:val="es-ES_tradnl" w:eastAsia="es-ES_tradnl"/>
        </w:rPr>
        <w:t>Jorge Luis Bucheli Escobar</w:t>
      </w:r>
    </w:p>
    <w:p w14:paraId="19200727" w14:textId="77777777" w:rsidR="00F71A6A" w:rsidRPr="00F71A6A" w:rsidRDefault="00F71A6A" w:rsidP="00F71A6A">
      <w:pPr>
        <w:spacing w:after="0" w:line="240" w:lineRule="auto"/>
        <w:rPr>
          <w:rFonts w:ascii="Verdana" w:eastAsia="Calibri" w:hAnsi="Verdana" w:cs="Arial"/>
          <w:color w:val="4472C4" w:themeColor="accent1"/>
          <w:u w:val="single"/>
          <w:lang w:val="es-ES" w:eastAsia="es-ES"/>
        </w:rPr>
      </w:pPr>
      <w:hyperlink r:id="rId11" w:history="1">
        <w:r w:rsidRPr="00F71A6A">
          <w:rPr>
            <w:rStyle w:val="Hipervnculo"/>
            <w:rFonts w:ascii="Verdana" w:eastAsia="Calibri" w:hAnsi="Verdana" w:cs="Arial"/>
            <w:color w:val="4472C4" w:themeColor="accent1"/>
            <w:lang w:val="es-ES" w:eastAsia="es-ES"/>
          </w:rPr>
          <w:t>jbuchellyescobar@gmail.com</w:t>
        </w:r>
      </w:hyperlink>
    </w:p>
    <w:p w14:paraId="7CBF2E65" w14:textId="77777777" w:rsidR="00F71A6A" w:rsidRPr="00F71A6A" w:rsidRDefault="00F71A6A" w:rsidP="00F71A6A">
      <w:pPr>
        <w:spacing w:after="0" w:line="240" w:lineRule="auto"/>
        <w:rPr>
          <w:rFonts w:ascii="Verdana" w:eastAsia="Calibri" w:hAnsi="Verdana" w:cs="Arial"/>
          <w:b/>
          <w:bCs/>
          <w:lang w:val="es-ES" w:eastAsia="es-ES"/>
        </w:rPr>
      </w:pPr>
      <w:r w:rsidRPr="00F71A6A">
        <w:rPr>
          <w:rFonts w:ascii="Verdana" w:eastAsia="Calibri" w:hAnsi="Verdana" w:cs="Arial"/>
          <w:lang w:val="es-ES" w:eastAsia="es-ES"/>
        </w:rPr>
        <w:t>Pasto, Nariño</w:t>
      </w:r>
    </w:p>
    <w:p w14:paraId="4D63C09E" w14:textId="77777777" w:rsidR="00F71A6A" w:rsidRPr="00F71A6A" w:rsidRDefault="00F71A6A" w:rsidP="00F71A6A">
      <w:pPr>
        <w:spacing w:after="0" w:line="240" w:lineRule="auto"/>
        <w:rPr>
          <w:rFonts w:ascii="Verdana" w:eastAsia="Calibri" w:hAnsi="Verdana" w:cs="Arial"/>
          <w:b/>
          <w:bCs/>
          <w:color w:val="000000"/>
          <w:lang w:val="es-ES_tradnl" w:eastAsia="es-ES_tradnl"/>
        </w:rPr>
      </w:pPr>
    </w:p>
    <w:p w14:paraId="06E144D8" w14:textId="77777777" w:rsidR="00F71A6A" w:rsidRPr="00F71A6A" w:rsidRDefault="00F71A6A" w:rsidP="00F71A6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71A6A" w:rsidRPr="00F71A6A" w14:paraId="21F8414E" w14:textId="77777777" w:rsidTr="008E1FB1">
        <w:trPr>
          <w:trHeight w:val="884"/>
        </w:trPr>
        <w:tc>
          <w:tcPr>
            <w:tcW w:w="2689" w:type="dxa"/>
          </w:tcPr>
          <w:p w14:paraId="0B1AC4F9" w14:textId="77777777" w:rsidR="00F71A6A" w:rsidRPr="00F71A6A" w:rsidRDefault="00F71A6A" w:rsidP="008E1FB1">
            <w:pPr>
              <w:jc w:val="both"/>
              <w:rPr>
                <w:rFonts w:ascii="Verdana" w:eastAsia="Calibri" w:hAnsi="Verdana" w:cs="Arial"/>
                <w:b/>
                <w:bCs/>
                <w:color w:val="7030A0"/>
                <w:lang w:val="es-ES_tradnl" w:eastAsia="es-ES_tradnl"/>
              </w:rPr>
            </w:pPr>
          </w:p>
        </w:tc>
        <w:tc>
          <w:tcPr>
            <w:tcW w:w="6100" w:type="dxa"/>
          </w:tcPr>
          <w:p w14:paraId="1D034845" w14:textId="77777777" w:rsidR="00F71A6A" w:rsidRPr="00F71A6A" w:rsidRDefault="00F71A6A" w:rsidP="008E1FB1">
            <w:pPr>
              <w:jc w:val="both"/>
              <w:rPr>
                <w:rFonts w:ascii="Verdana" w:eastAsia="Calibri" w:hAnsi="Verdana" w:cs="Arial"/>
                <w:b/>
                <w:bCs/>
                <w:color w:val="7030A0"/>
                <w:lang w:val="es-ES" w:eastAsia="es-ES"/>
              </w:rPr>
            </w:pPr>
            <w:r w:rsidRPr="00F71A6A">
              <w:rPr>
                <w:rFonts w:ascii="Verdana" w:eastAsia="Calibri" w:hAnsi="Verdana" w:cs="Arial"/>
                <w:b/>
                <w:bCs/>
                <w:lang w:val="es-ES" w:eastAsia="es-ES"/>
              </w:rPr>
              <w:t>Concepto C-015 de 2025</w:t>
            </w:r>
          </w:p>
        </w:tc>
      </w:tr>
      <w:tr w:rsidR="00F71A6A" w:rsidRPr="00F71A6A" w14:paraId="70F13ADE" w14:textId="77777777" w:rsidTr="008E1FB1">
        <w:trPr>
          <w:trHeight w:val="884"/>
        </w:trPr>
        <w:tc>
          <w:tcPr>
            <w:tcW w:w="2689" w:type="dxa"/>
          </w:tcPr>
          <w:p w14:paraId="4BEE16B1" w14:textId="77777777" w:rsidR="00F71A6A" w:rsidRPr="00F71A6A" w:rsidRDefault="00F71A6A" w:rsidP="008E1FB1">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6100" w:type="dxa"/>
          </w:tcPr>
          <w:p w14:paraId="07E9577A" w14:textId="77777777" w:rsidR="00F71A6A" w:rsidRPr="00F71A6A" w:rsidRDefault="00F71A6A" w:rsidP="008E1FB1">
            <w:pPr>
              <w:spacing w:line="276" w:lineRule="auto"/>
              <w:jc w:val="both"/>
              <w:rPr>
                <w:rFonts w:ascii="Verdana" w:eastAsia="Calibri" w:hAnsi="Verdana" w:cs="Arial"/>
                <w:lang w:val="es-ES" w:eastAsia="es-ES"/>
              </w:rPr>
            </w:pPr>
            <w:r w:rsidRPr="00F71A6A">
              <w:rPr>
                <w:rFonts w:ascii="Verdana" w:eastAsia="Calibri" w:hAnsi="Verdana" w:cs="Arial"/>
                <w:lang w:val="es-ES" w:eastAsia="es-ES"/>
              </w:rPr>
              <w:t>RÉGIMEN DE INHABILIDADES – Noción – Contratación estatal – Finalidad / RÉGIMEN DE INHABILIDADES – Registro nacional de medidas correctivas – No pago de multas – Limitación para contratar</w:t>
            </w:r>
          </w:p>
          <w:p w14:paraId="1DCD8843" w14:textId="77777777" w:rsidR="00F71A6A" w:rsidRPr="00F71A6A" w:rsidRDefault="00F71A6A" w:rsidP="008E1FB1">
            <w:pPr>
              <w:spacing w:line="276" w:lineRule="auto"/>
              <w:jc w:val="both"/>
              <w:rPr>
                <w:rFonts w:ascii="Verdana" w:eastAsia="Calibri" w:hAnsi="Verdana" w:cs="Arial"/>
                <w:lang w:val="es-ES" w:eastAsia="es-ES"/>
              </w:rPr>
            </w:pPr>
          </w:p>
        </w:tc>
      </w:tr>
      <w:tr w:rsidR="00F71A6A" w:rsidRPr="00F71A6A" w14:paraId="0678299C" w14:textId="77777777" w:rsidTr="008E1FB1">
        <w:tc>
          <w:tcPr>
            <w:tcW w:w="2689" w:type="dxa"/>
          </w:tcPr>
          <w:p w14:paraId="716C5041" w14:textId="77777777" w:rsidR="00F71A6A" w:rsidRPr="00F71A6A" w:rsidRDefault="00F71A6A" w:rsidP="008E1FB1">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6100" w:type="dxa"/>
          </w:tcPr>
          <w:p w14:paraId="634FC652" w14:textId="77777777" w:rsidR="00F71A6A" w:rsidRPr="00F71A6A" w:rsidRDefault="00F71A6A" w:rsidP="008E1FB1">
            <w:pPr>
              <w:jc w:val="both"/>
              <w:rPr>
                <w:rFonts w:ascii="Verdana" w:eastAsia="Calibri" w:hAnsi="Verdana" w:cs="Arial"/>
                <w:lang w:val="es-ES_tradnl" w:eastAsia="es-ES_tradnl"/>
              </w:rPr>
            </w:pPr>
            <w:r w:rsidRPr="00F71A6A">
              <w:rPr>
                <w:rFonts w:ascii="Verdana" w:eastAsia="Calibri" w:hAnsi="Verdana" w:cs="Arial"/>
                <w:lang w:val="es-ES_tradnl" w:eastAsia="es-ES_tradnl"/>
              </w:rPr>
              <w:t>Respuesta a consulta con radicado No. P20250108000116</w:t>
            </w:r>
          </w:p>
        </w:tc>
      </w:tr>
    </w:tbl>
    <w:p w14:paraId="4AE0F5C7" w14:textId="77777777" w:rsidR="00F71A6A" w:rsidRPr="00F71A6A" w:rsidRDefault="00F71A6A" w:rsidP="00F71A6A">
      <w:pPr>
        <w:spacing w:after="0" w:line="240" w:lineRule="auto"/>
        <w:jc w:val="both"/>
        <w:rPr>
          <w:rFonts w:ascii="Verdana" w:eastAsia="Calibri" w:hAnsi="Verdana" w:cs="Arial"/>
          <w:lang w:val="es-ES_tradnl" w:eastAsia="es-ES_tradnl"/>
        </w:rPr>
      </w:pPr>
    </w:p>
    <w:p w14:paraId="33419E4C" w14:textId="77777777" w:rsidR="00F71A6A" w:rsidRPr="00F71A6A" w:rsidRDefault="00F71A6A" w:rsidP="00F71A6A">
      <w:pPr>
        <w:spacing w:after="0" w:line="240" w:lineRule="auto"/>
        <w:jc w:val="both"/>
        <w:rPr>
          <w:rFonts w:ascii="Verdana" w:eastAsia="Calibri" w:hAnsi="Verdana" w:cs="Arial"/>
          <w:lang w:val="es-ES_tradnl" w:eastAsia="es-ES_tradnl"/>
        </w:rPr>
      </w:pPr>
    </w:p>
    <w:p w14:paraId="77629CA0" w14:textId="77777777" w:rsidR="00F71A6A" w:rsidRPr="00F71A6A" w:rsidRDefault="00F71A6A" w:rsidP="00F71A6A">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 xml:space="preserve">Estimado señor Bucheli: </w:t>
      </w:r>
    </w:p>
    <w:p w14:paraId="1D1FB038" w14:textId="77777777" w:rsidR="00F71A6A" w:rsidRPr="00F71A6A" w:rsidRDefault="00F71A6A" w:rsidP="00F71A6A">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63B82531" w14:textId="77777777" w:rsidR="00F71A6A" w:rsidRPr="00F71A6A" w:rsidRDefault="00F71A6A" w:rsidP="00F71A6A">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 xml:space="preserve">Pública – Colombia Compra Eficiente– responde su solicitud de consulta de fecha 8 de diciembre de 2024, remitida previamente por el Departamento Administrativo de la Función Pública con oficio remisorio No. 20256000002271,en la cual manifiesta lo siguiente: </w:t>
      </w:r>
    </w:p>
    <w:p w14:paraId="2A77A244" w14:textId="77777777" w:rsidR="00F71A6A" w:rsidRPr="00F71A6A" w:rsidRDefault="00F71A6A" w:rsidP="00F71A6A">
      <w:pPr>
        <w:pStyle w:val="Prrafodelista"/>
        <w:tabs>
          <w:tab w:val="left" w:pos="142"/>
          <w:tab w:val="left" w:pos="284"/>
        </w:tabs>
        <w:spacing w:line="276" w:lineRule="auto"/>
        <w:ind w:left="0"/>
        <w:jc w:val="both"/>
        <w:rPr>
          <w:rFonts w:ascii="Verdana" w:eastAsia="Century Gothic" w:hAnsi="Verdana" w:cs="Century Gothic"/>
          <w:b/>
          <w:bCs/>
        </w:rPr>
      </w:pPr>
    </w:p>
    <w:p w14:paraId="4A98DFE5" w14:textId="77777777" w:rsidR="00F71A6A" w:rsidRPr="00F71A6A" w:rsidRDefault="00F71A6A" w:rsidP="00F71A6A">
      <w:pPr>
        <w:spacing w:after="0" w:line="240" w:lineRule="auto"/>
        <w:ind w:left="709" w:right="709"/>
        <w:jc w:val="both"/>
        <w:rPr>
          <w:rFonts w:ascii="Verdana" w:eastAsia="Century Gothic" w:hAnsi="Verdana" w:cs="Century Gothic"/>
          <w:sz w:val="20"/>
          <w:szCs w:val="20"/>
          <w:lang w:val="es-ES"/>
        </w:rPr>
      </w:pPr>
      <w:bookmarkStart w:id="0" w:name="_Hlk95313578"/>
      <w:r w:rsidRPr="00F71A6A">
        <w:rPr>
          <w:rFonts w:ascii="Verdana" w:eastAsia="Century Gothic" w:hAnsi="Verdana" w:cs="Century Gothic"/>
          <w:sz w:val="20"/>
          <w:szCs w:val="20"/>
          <w:lang w:val="es-ES"/>
        </w:rPr>
        <w:t>“</w:t>
      </w:r>
      <w:r w:rsidRPr="00F71A6A">
        <w:rPr>
          <w:rFonts w:ascii="Verdana" w:hAnsi="Verdana" w:cs="Arial"/>
          <w:sz w:val="20"/>
          <w:szCs w:val="20"/>
          <w:shd w:val="clear" w:color="auto" w:fill="FFFFFF"/>
        </w:rPr>
        <w:t>Solicito, brindar concepto sobre si una persona que cuente con medidas correctivas tipo 4 vigentes, puede celebrar convenios o contratos con entidades públicas</w:t>
      </w:r>
      <w:r w:rsidRPr="00F71A6A">
        <w:rPr>
          <w:rFonts w:ascii="Verdana" w:eastAsia="Century Gothic" w:hAnsi="Verdana" w:cs="Century Gothic"/>
          <w:sz w:val="20"/>
          <w:szCs w:val="20"/>
          <w:lang w:val="es-ES"/>
        </w:rPr>
        <w:t>”</w:t>
      </w:r>
      <w:bookmarkEnd w:id="0"/>
      <w:r w:rsidRPr="00F71A6A">
        <w:rPr>
          <w:rFonts w:ascii="Verdana" w:eastAsia="Century Gothic" w:hAnsi="Verdana" w:cs="Century Gothic"/>
          <w:sz w:val="20"/>
          <w:szCs w:val="20"/>
          <w:lang w:val="es-ES"/>
        </w:rPr>
        <w:t xml:space="preserve"> (SIC).</w:t>
      </w:r>
    </w:p>
    <w:p w14:paraId="65D2422F" w14:textId="77777777" w:rsidR="00F71A6A" w:rsidRPr="00F71A6A" w:rsidRDefault="00F71A6A" w:rsidP="00F71A6A">
      <w:pPr>
        <w:pStyle w:val="Prrafodelista"/>
        <w:tabs>
          <w:tab w:val="left" w:pos="142"/>
          <w:tab w:val="left" w:pos="284"/>
        </w:tabs>
        <w:spacing w:line="276" w:lineRule="auto"/>
        <w:ind w:left="0"/>
        <w:jc w:val="both"/>
        <w:rPr>
          <w:rFonts w:ascii="Verdana" w:eastAsia="Century Gothic" w:hAnsi="Verdana" w:cs="Century Gothic"/>
          <w:b/>
          <w:bCs/>
        </w:rPr>
      </w:pPr>
    </w:p>
    <w:p w14:paraId="4E41F7CA" w14:textId="77777777" w:rsidR="00F71A6A" w:rsidRPr="00F71A6A" w:rsidRDefault="00F71A6A" w:rsidP="00F71A6A">
      <w:pPr>
        <w:spacing w:after="120" w:line="276" w:lineRule="auto"/>
        <w:ind w:firstLine="709"/>
        <w:jc w:val="both"/>
        <w:rPr>
          <w:rFonts w:ascii="Verdana" w:eastAsia="Calibri" w:hAnsi="Verdana" w:cs="Arial"/>
          <w:color w:val="000000"/>
          <w:szCs w:val="24"/>
          <w:lang w:val="es-ES_tradnl" w:eastAsia="es-ES_tradnl"/>
        </w:rPr>
      </w:pPr>
      <w:r w:rsidRPr="00F71A6A">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F71A6A">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1A6A">
        <w:rPr>
          <w:rFonts w:ascii="Verdana" w:eastAsia="Calibri" w:hAnsi="Verdana" w:cs="Arial"/>
          <w:color w:val="000000"/>
          <w:szCs w:val="24"/>
          <w:lang w:val="es-ES_tradnl" w:eastAsia="es-ES_tradnl"/>
        </w:rPr>
        <w:tab/>
      </w:r>
    </w:p>
    <w:p w14:paraId="53CBDDBE" w14:textId="77777777" w:rsidR="00F71A6A" w:rsidRPr="00F71A6A" w:rsidRDefault="00F71A6A" w:rsidP="00F71A6A">
      <w:pPr>
        <w:spacing w:after="0" w:line="276" w:lineRule="auto"/>
        <w:ind w:firstLine="709"/>
        <w:jc w:val="both"/>
        <w:rPr>
          <w:rFonts w:ascii="Verdana" w:eastAsia="Calibri" w:hAnsi="Verdana" w:cs="Arial"/>
          <w:color w:val="000000"/>
          <w:lang w:val="es-ES" w:eastAsia="es-ES"/>
        </w:rPr>
      </w:pPr>
      <w:r w:rsidRPr="00F71A6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problema</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jurídico</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 xml:space="preserve">de su consulta. </w:t>
      </w:r>
    </w:p>
    <w:p w14:paraId="4F06A84D" w14:textId="77777777" w:rsidR="00F71A6A" w:rsidRPr="00F71A6A" w:rsidRDefault="00F71A6A" w:rsidP="00F71A6A">
      <w:pPr>
        <w:spacing w:after="0" w:line="276" w:lineRule="auto"/>
        <w:ind w:firstLine="709"/>
        <w:jc w:val="both"/>
        <w:rPr>
          <w:rFonts w:ascii="Verdana" w:eastAsia="Calibri" w:hAnsi="Verdana" w:cs="Arial"/>
          <w:color w:val="000000"/>
          <w:lang w:val="es-ES" w:eastAsia="es-ES"/>
        </w:rPr>
      </w:pPr>
    </w:p>
    <w:p w14:paraId="4D73697D" w14:textId="77777777" w:rsidR="00F71A6A" w:rsidRPr="00F71A6A" w:rsidRDefault="00F71A6A" w:rsidP="00F71A6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71A6A">
        <w:rPr>
          <w:rFonts w:ascii="Verdana" w:eastAsia="Century Gothic" w:hAnsi="Verdana" w:cs="Century Gothic"/>
          <w:b/>
          <w:bCs/>
        </w:rPr>
        <w:t>Problema planteado:</w:t>
      </w:r>
    </w:p>
    <w:p w14:paraId="5FA2C03E" w14:textId="77777777" w:rsidR="00F71A6A" w:rsidRPr="00F71A6A" w:rsidRDefault="00F71A6A" w:rsidP="00F71A6A">
      <w:pPr>
        <w:tabs>
          <w:tab w:val="left" w:pos="426"/>
        </w:tabs>
        <w:spacing w:after="0" w:line="276" w:lineRule="auto"/>
        <w:jc w:val="both"/>
        <w:rPr>
          <w:rFonts w:ascii="Verdana" w:eastAsia="Century Gothic" w:hAnsi="Verdana" w:cs="Century Gothic"/>
          <w:lang w:val="es-ES"/>
        </w:rPr>
      </w:pPr>
    </w:p>
    <w:p w14:paraId="01B5F094" w14:textId="77777777" w:rsidR="00F71A6A" w:rsidRPr="00F71A6A" w:rsidRDefault="00F71A6A" w:rsidP="00F71A6A">
      <w:pPr>
        <w:spacing w:after="0" w:line="276" w:lineRule="auto"/>
        <w:jc w:val="both"/>
        <w:rPr>
          <w:rFonts w:ascii="Verdana" w:eastAsia="Century Gothic" w:hAnsi="Verdana" w:cs="Century Gothic"/>
        </w:rPr>
      </w:pPr>
      <w:r w:rsidRPr="00F71A6A">
        <w:rPr>
          <w:rFonts w:ascii="Verdana" w:eastAsia="Century Gothic" w:hAnsi="Verdana" w:cs="Century Gothic"/>
        </w:rPr>
        <w:t xml:space="preserve">De acuerdo con el contenido de su solicitud, esta Agencia resolverá el siguiente problema jurídico: ¿Se configura algún tipo de inhabilidad para contratar con el estado para una persona respecto de la cual se han impuesto medidas correctivas vigentes? </w:t>
      </w:r>
    </w:p>
    <w:p w14:paraId="3BDB2061" w14:textId="77777777" w:rsidR="00F71A6A" w:rsidRPr="00F71A6A" w:rsidRDefault="00F71A6A" w:rsidP="00F71A6A">
      <w:pPr>
        <w:spacing w:after="0" w:line="276" w:lineRule="auto"/>
        <w:jc w:val="both"/>
        <w:rPr>
          <w:rFonts w:ascii="Verdana" w:eastAsia="Calibri" w:hAnsi="Verdana" w:cs="Arial"/>
          <w:color w:val="7030A0"/>
          <w:lang w:val="es-ES"/>
        </w:rPr>
      </w:pPr>
    </w:p>
    <w:p w14:paraId="6075EF12" w14:textId="77777777" w:rsidR="00F71A6A" w:rsidRPr="00F71A6A" w:rsidRDefault="00F71A6A" w:rsidP="00F71A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Respuesta:</w:t>
      </w:r>
    </w:p>
    <w:p w14:paraId="27618179" w14:textId="77777777" w:rsidR="00F71A6A" w:rsidRPr="00F71A6A" w:rsidRDefault="00F71A6A" w:rsidP="00F71A6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71A6A" w:rsidRPr="00F71A6A" w14:paraId="3D1AAF12" w14:textId="77777777" w:rsidTr="008E1FB1">
        <w:tc>
          <w:tcPr>
            <w:tcW w:w="8828" w:type="dxa"/>
            <w:shd w:val="clear" w:color="auto" w:fill="auto"/>
          </w:tcPr>
          <w:p w14:paraId="62B0C311" w14:textId="77777777" w:rsidR="00F71A6A" w:rsidRPr="00F71A6A" w:rsidRDefault="00F71A6A" w:rsidP="008E1FB1">
            <w:pPr>
              <w:spacing w:before="120" w:after="120" w:line="276" w:lineRule="auto"/>
              <w:jc w:val="both"/>
              <w:rPr>
                <w:rFonts w:ascii="Verdana" w:eastAsia="Calibri" w:hAnsi="Verdana" w:cs="Arial"/>
                <w:lang w:val="es-ES"/>
              </w:rPr>
            </w:pPr>
            <w:r w:rsidRPr="00F71A6A">
              <w:rPr>
                <w:rFonts w:ascii="Verdana" w:eastAsia="Calibri" w:hAnsi="Verdana" w:cs="Arial"/>
                <w:lang w:val="es-ES"/>
              </w:rPr>
              <w:t xml:space="preserve">Las inhabilidades para contratar con el Estado son un conjunto de restricciones establecidas por el constituyente o el legislador, que afectan directamente la capacidad de las personas para establecer relaciones contractuales con el Estado, que pueden resultar de condenas, sanciones o situaciones previamente establecidas por el ordenamiento jurídico. </w:t>
            </w:r>
          </w:p>
          <w:p w14:paraId="32384149" w14:textId="77777777" w:rsidR="00F71A6A" w:rsidRPr="00F71A6A" w:rsidRDefault="00F71A6A" w:rsidP="008E1FB1">
            <w:pPr>
              <w:spacing w:before="120" w:after="120" w:line="276" w:lineRule="auto"/>
              <w:jc w:val="both"/>
              <w:rPr>
                <w:rFonts w:ascii="Verdana" w:eastAsia="Calibri" w:hAnsi="Verdana" w:cs="Arial"/>
                <w:lang w:val="es-ES"/>
              </w:rPr>
            </w:pPr>
            <w:r w:rsidRPr="00F71A6A">
              <w:rPr>
                <w:rFonts w:ascii="Verdana" w:eastAsia="Calibri" w:hAnsi="Verdana" w:cs="Arial"/>
                <w:lang w:val="es-ES"/>
              </w:rPr>
              <w:t xml:space="preserve">En ese sentido, al analizarse el régimen de inhabilidades, se observa que el solo reporte en el Registro Nacional de Medidas Correctivas no genera per se una causal de inhabilidad para celebrar contratos con las entidades públicas, puesto que, de acuerdo con el artículo 2.2.8.3.1 del Decreto 1284 de 2017 Por medio del cual se reglamenta parcialmente el Código Nacional de Policía y Convivencia, el referido registro es un sistema que tiene como función el recolectar información sobre la persona infractora de un comportamiento </w:t>
            </w:r>
            <w:r w:rsidRPr="00F71A6A">
              <w:rPr>
                <w:rFonts w:ascii="Verdana" w:eastAsia="Calibri" w:hAnsi="Verdana" w:cs="Arial"/>
                <w:lang w:val="es-ES"/>
              </w:rPr>
              <w:lastRenderedPageBreak/>
              <w:t>contrario a la convivencia, el tipo de medida correctiva impuesta, el estado de pago de la multa o el cumplimiento de la medida correctiva.</w:t>
            </w:r>
          </w:p>
          <w:p w14:paraId="332D6CC1" w14:textId="77777777" w:rsidR="00F71A6A" w:rsidRPr="00F71A6A" w:rsidRDefault="00F71A6A" w:rsidP="008E1FB1">
            <w:pPr>
              <w:spacing w:before="120" w:after="120" w:line="276" w:lineRule="auto"/>
              <w:jc w:val="both"/>
              <w:rPr>
                <w:rFonts w:ascii="Verdana" w:eastAsia="Calibri" w:hAnsi="Verdana" w:cs="Arial"/>
                <w:lang w:val="es-ES"/>
              </w:rPr>
            </w:pPr>
          </w:p>
          <w:p w14:paraId="70B1FCC8" w14:textId="77777777" w:rsidR="00F71A6A" w:rsidRPr="00F71A6A" w:rsidRDefault="00F71A6A" w:rsidP="008E1FB1">
            <w:pPr>
              <w:spacing w:before="120" w:after="120" w:line="276" w:lineRule="auto"/>
              <w:jc w:val="both"/>
              <w:rPr>
                <w:rFonts w:ascii="Verdana" w:eastAsia="Calibri" w:hAnsi="Verdana" w:cs="Arial"/>
                <w:lang w:val="es-ES"/>
              </w:rPr>
            </w:pPr>
            <w:r w:rsidRPr="00F71A6A">
              <w:rPr>
                <w:rFonts w:ascii="Verdana" w:eastAsia="Calibri" w:hAnsi="Verdana" w:cs="Arial"/>
                <w:lang w:val="es-ES"/>
              </w:rPr>
              <w:t xml:space="preserve"> Sin embargo, debe precisarse que, en caso de que la persona a la cual se le haya impuesto como </w:t>
            </w:r>
            <w:r w:rsidRPr="00F71A6A">
              <w:rPr>
                <w:rFonts w:ascii="Verdana" w:eastAsia="Calibri" w:hAnsi="Verdana" w:cs="Arial"/>
                <w:u w:val="single"/>
                <w:lang w:val="es-ES"/>
              </w:rPr>
              <w:t>medida correctiva el pago de multas y esta se encuentre en mora por un término de seis (6) meses</w:t>
            </w:r>
            <w:r w:rsidRPr="00F71A6A">
              <w:rPr>
                <w:rFonts w:ascii="Verdana" w:eastAsia="Calibri" w:hAnsi="Verdana" w:cs="Arial"/>
                <w:lang w:val="es-ES"/>
              </w:rPr>
              <w:t>, el numeral 4 del artículo 183 de la Ley 1801 de 2016 por la cual se expide el Código Nacional de Seguridad y Convivencia Ciudadana, establece como consecuencia de dicha mora en el pago, que “</w:t>
            </w:r>
            <w:r w:rsidRPr="00F71A6A">
              <w:rPr>
                <w:rFonts w:ascii="Verdana" w:eastAsia="Calibri" w:hAnsi="Verdana" w:cs="Arial"/>
                <w:u w:val="single"/>
                <w:lang w:val="es-ES"/>
              </w:rPr>
              <w:t>hasta tanto no se ponga al día la persona no podrá: […]Contratar o renovar contrato con cualquier entidad del Estado</w:t>
            </w:r>
            <w:r w:rsidRPr="00F71A6A">
              <w:rPr>
                <w:rFonts w:ascii="Verdana" w:eastAsia="Calibri" w:hAnsi="Verdana" w:cs="Arial"/>
                <w:lang w:val="es-ES"/>
              </w:rPr>
              <w:t>” (subrayado fuera de texto). Constituyéndose entonces, lo anterior, como una causal de inhabilidad prevista en la ley para celebrar o renovar contratos con las entidades públicas.</w:t>
            </w:r>
          </w:p>
          <w:p w14:paraId="773B683C" w14:textId="77777777" w:rsidR="00F71A6A" w:rsidRPr="00F71A6A" w:rsidRDefault="00F71A6A" w:rsidP="008E1FB1">
            <w:pPr>
              <w:spacing w:before="120" w:after="120" w:line="276" w:lineRule="auto"/>
              <w:jc w:val="both"/>
              <w:rPr>
                <w:rFonts w:ascii="Verdana" w:eastAsia="Calibri" w:hAnsi="Verdana" w:cs="Arial"/>
                <w:color w:val="7030A0"/>
                <w:lang w:val="es-ES"/>
              </w:rPr>
            </w:pPr>
            <w:r w:rsidRPr="00F71A6A">
              <w:rPr>
                <w:rFonts w:ascii="Verdana" w:eastAsia="Calibri" w:hAnsi="Verdana" w:cs="Arial"/>
                <w:lang w:val="es-ES"/>
              </w:rPr>
              <w:t>En síntesis, sí existe en el régimen legal una prohibición que inhabilita para contratar con el estado relacionada con las medidas correctivas, en el caso ya descrito, esto es, en caso de mora por un término de seis (6) meses del pago de la multa impuesta como consecuencia de las obligaciones producto de las sanciones derivadas de las citadas medidas correctivas.</w:t>
            </w:r>
          </w:p>
        </w:tc>
      </w:tr>
    </w:tbl>
    <w:p w14:paraId="43BB2752" w14:textId="77777777" w:rsidR="00F71A6A" w:rsidRPr="00F71A6A" w:rsidRDefault="00F71A6A" w:rsidP="00F71A6A">
      <w:pPr>
        <w:tabs>
          <w:tab w:val="left" w:pos="142"/>
          <w:tab w:val="left" w:pos="284"/>
        </w:tabs>
        <w:spacing w:after="0" w:line="276" w:lineRule="auto"/>
        <w:jc w:val="both"/>
        <w:rPr>
          <w:rFonts w:ascii="Verdana" w:eastAsia="Century Gothic" w:hAnsi="Verdana" w:cs="Century Gothic"/>
          <w:b/>
          <w:bCs/>
          <w:lang w:val="es-ES"/>
        </w:rPr>
      </w:pPr>
    </w:p>
    <w:p w14:paraId="7DE05033" w14:textId="77777777" w:rsidR="00F71A6A" w:rsidRPr="00F71A6A" w:rsidRDefault="00F71A6A" w:rsidP="00F71A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Razones de la respuesta:</w:t>
      </w:r>
    </w:p>
    <w:p w14:paraId="2171A572" w14:textId="77777777" w:rsidR="00F71A6A" w:rsidRPr="00F71A6A" w:rsidRDefault="00F71A6A" w:rsidP="00F71A6A">
      <w:pPr>
        <w:spacing w:after="0" w:line="276" w:lineRule="auto"/>
        <w:jc w:val="both"/>
        <w:rPr>
          <w:rFonts w:ascii="Verdana" w:eastAsia="Calibri" w:hAnsi="Verdana" w:cs="Arial"/>
          <w:color w:val="7030A0"/>
          <w:lang w:val="es-ES"/>
        </w:rPr>
      </w:pPr>
    </w:p>
    <w:p w14:paraId="1FE4D611" w14:textId="77777777" w:rsidR="00F71A6A" w:rsidRPr="00F71A6A" w:rsidRDefault="00F71A6A" w:rsidP="00F71A6A">
      <w:pPr>
        <w:spacing w:after="0" w:line="276" w:lineRule="auto"/>
        <w:jc w:val="both"/>
        <w:rPr>
          <w:rFonts w:ascii="Verdana" w:eastAsia="Calibri" w:hAnsi="Verdana" w:cs="Arial"/>
          <w:lang w:val="es-ES"/>
        </w:rPr>
      </w:pPr>
      <w:r w:rsidRPr="00F71A6A">
        <w:rPr>
          <w:rFonts w:ascii="Verdana" w:eastAsia="Calibri" w:hAnsi="Verdana" w:cs="Arial"/>
          <w:lang w:val="es-ES"/>
        </w:rPr>
        <w:t xml:space="preserve">Lo anterior se sustenta en las siguientes consideraciones: </w:t>
      </w:r>
    </w:p>
    <w:p w14:paraId="28F500E0" w14:textId="77777777" w:rsidR="00F71A6A" w:rsidRPr="00F71A6A" w:rsidRDefault="00F71A6A" w:rsidP="00F71A6A">
      <w:pPr>
        <w:spacing w:after="0" w:line="276" w:lineRule="auto"/>
        <w:jc w:val="both"/>
        <w:rPr>
          <w:rFonts w:ascii="Verdana" w:eastAsia="Calibri" w:hAnsi="Verdana" w:cs="Arial"/>
          <w:color w:val="7030A0"/>
          <w:lang w:val="es-ES"/>
        </w:rPr>
      </w:pPr>
    </w:p>
    <w:p w14:paraId="5A2F5BC7" w14:textId="77777777" w:rsidR="00F71A6A" w:rsidRPr="00F71A6A" w:rsidRDefault="00F71A6A" w:rsidP="00F71A6A">
      <w:pPr>
        <w:numPr>
          <w:ilvl w:val="0"/>
          <w:numId w:val="19"/>
        </w:numPr>
        <w:spacing w:after="0" w:line="276" w:lineRule="auto"/>
        <w:contextualSpacing/>
        <w:jc w:val="both"/>
        <w:rPr>
          <w:rFonts w:ascii="Verdana" w:eastAsia="Calibri" w:hAnsi="Verdana" w:cs="Arial"/>
          <w:lang w:val="es-ES"/>
        </w:rPr>
      </w:pPr>
      <w:bookmarkStart w:id="1" w:name="_Hlk173311098"/>
      <w:r w:rsidRPr="00F71A6A">
        <w:rPr>
          <w:rFonts w:ascii="Verdana" w:eastAsia="Calibri" w:hAnsi="Verdana" w:cs="Arial"/>
          <w:lang w:val="es-ES"/>
        </w:rPr>
        <w:t xml:space="preserve">El régimen de inhabilidades contiene prohibiciones para concurrir a los procedimientos de selección y para contratar con el Estado, que se derivan </w:t>
      </w:r>
      <w:r w:rsidRPr="00F71A6A">
        <w:rPr>
          <w:rFonts w:ascii="Verdana" w:eastAsia="Calibri" w:hAnsi="Verdana" w:cs="Arial"/>
          <w:i/>
          <w:iCs/>
          <w:lang w:val="es-ES"/>
        </w:rPr>
        <w:t>i)</w:t>
      </w:r>
      <w:r w:rsidRPr="00F71A6A">
        <w:rPr>
          <w:rFonts w:ascii="Verdana" w:eastAsia="Calibri" w:hAnsi="Verdana" w:cs="Arial"/>
          <w:lang w:val="es-ES"/>
        </w:rPr>
        <w:t xml:space="preserve"> de la existencia de comportamientos reprochables o de sanciones anteriormente impuestas</w:t>
      </w:r>
      <w:r w:rsidRPr="00F71A6A">
        <w:rPr>
          <w:rFonts w:ascii="Verdana" w:eastAsia="Calibri" w:hAnsi="Verdana" w:cs="Arial"/>
          <w:color w:val="000000"/>
          <w:vertAlign w:val="superscript"/>
          <w:lang w:val="es-ES_tradnl"/>
        </w:rPr>
        <w:footnoteReference w:id="2"/>
      </w:r>
      <w:r w:rsidRPr="00F71A6A">
        <w:rPr>
          <w:rFonts w:ascii="Verdana" w:eastAsia="Arial" w:hAnsi="Verdana" w:cs="Arial"/>
          <w:color w:val="000000"/>
          <w:lang w:eastAsia="es-CO"/>
        </w:rPr>
        <w:t>,</w:t>
      </w:r>
      <w:r w:rsidRPr="00F71A6A">
        <w:rPr>
          <w:rFonts w:ascii="Verdana" w:eastAsia="Calibri" w:hAnsi="Verdana" w:cs="Arial"/>
          <w:lang w:val="es-ES"/>
        </w:rPr>
        <w:t xml:space="preserve"> </w:t>
      </w:r>
      <w:r w:rsidRPr="00F71A6A">
        <w:rPr>
          <w:rFonts w:ascii="Verdana" w:eastAsia="Calibri" w:hAnsi="Verdana" w:cs="Arial"/>
          <w:i/>
          <w:iCs/>
          <w:lang w:val="es-ES"/>
        </w:rPr>
        <w:t xml:space="preserve">ii) </w:t>
      </w:r>
      <w:r w:rsidRPr="00F71A6A">
        <w:rPr>
          <w:rFonts w:ascii="Verdana" w:eastAsia="Calibri" w:hAnsi="Verdana" w:cs="Arial"/>
          <w:lang w:val="es-ES"/>
        </w:rPr>
        <w:t xml:space="preserve">de vínculos personales relativos al </w:t>
      </w:r>
      <w:r w:rsidRPr="00F71A6A">
        <w:rPr>
          <w:rFonts w:ascii="Verdana" w:eastAsia="Calibri" w:hAnsi="Verdana" w:cs="Arial"/>
          <w:lang w:val="es-ES"/>
        </w:rPr>
        <w:lastRenderedPageBreak/>
        <w:t>parentesco o al estado civil</w:t>
      </w:r>
      <w:r w:rsidRPr="00F71A6A">
        <w:rPr>
          <w:rFonts w:ascii="Verdana" w:eastAsia="Calibri" w:hAnsi="Verdana" w:cs="Arial"/>
          <w:color w:val="000000"/>
          <w:vertAlign w:val="superscript"/>
          <w:lang w:val="es-ES_tradnl"/>
        </w:rPr>
        <w:footnoteReference w:id="3"/>
      </w:r>
      <w:r w:rsidRPr="00F71A6A">
        <w:rPr>
          <w:rFonts w:ascii="Verdana" w:eastAsia="Arial" w:hAnsi="Verdana" w:cs="Arial"/>
          <w:color w:val="000000"/>
          <w:lang w:eastAsia="es-CO"/>
        </w:rPr>
        <w:t xml:space="preserve"> </w:t>
      </w:r>
      <w:r w:rsidRPr="00F71A6A">
        <w:rPr>
          <w:rFonts w:ascii="Verdana" w:eastAsia="Calibri" w:hAnsi="Verdana" w:cs="Arial"/>
          <w:lang w:val="es-ES"/>
        </w:rPr>
        <w:t xml:space="preserve">o </w:t>
      </w:r>
      <w:r w:rsidRPr="00F71A6A">
        <w:rPr>
          <w:rFonts w:ascii="Verdana" w:eastAsia="Calibri" w:hAnsi="Verdana" w:cs="Arial"/>
          <w:i/>
          <w:iCs/>
          <w:lang w:val="es-ES"/>
        </w:rPr>
        <w:t xml:space="preserve">iii) </w:t>
      </w:r>
      <w:r w:rsidRPr="00F71A6A">
        <w:rPr>
          <w:rFonts w:ascii="Verdana" w:eastAsia="Calibri" w:hAnsi="Verdana" w:cs="Arial"/>
          <w:lang w:val="es-ES"/>
        </w:rPr>
        <w:t>de una actividad u oficio que se desempeñó en el pasado</w:t>
      </w:r>
      <w:r w:rsidRPr="00F71A6A">
        <w:rPr>
          <w:rFonts w:ascii="Verdana" w:eastAsia="Calibri" w:hAnsi="Verdana" w:cs="Arial"/>
          <w:color w:val="000000"/>
          <w:vertAlign w:val="superscript"/>
          <w:lang w:val="es-ES_tradnl"/>
        </w:rPr>
        <w:footnoteReference w:id="4"/>
      </w:r>
      <w:r w:rsidRPr="00F71A6A">
        <w:rPr>
          <w:rFonts w:ascii="Verdana" w:eastAsia="Calibri" w:hAnsi="Verdana" w:cs="Arial"/>
          <w:color w:val="000000"/>
          <w:lang w:val="es-ES_tradnl"/>
        </w:rPr>
        <w:t xml:space="preserve">. El régimen de inhabilidades en la contratación </w:t>
      </w:r>
      <w:proofErr w:type="gramStart"/>
      <w:r w:rsidRPr="00F71A6A">
        <w:rPr>
          <w:rFonts w:ascii="Verdana" w:eastAsia="Calibri" w:hAnsi="Verdana" w:cs="Arial"/>
          <w:color w:val="000000"/>
          <w:lang w:val="es-ES_tradnl"/>
        </w:rPr>
        <w:t>pública,</w:t>
      </w:r>
      <w:proofErr w:type="gramEnd"/>
      <w:r w:rsidRPr="00F71A6A">
        <w:rPr>
          <w:rFonts w:ascii="Verdana" w:eastAsia="Calibri" w:hAnsi="Verdana" w:cs="Arial"/>
          <w:color w:val="000000"/>
          <w:lang w:val="es-ES_tradnl"/>
        </w:rPr>
        <w:t xml:space="preserve">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F71A6A">
        <w:rPr>
          <w:rFonts w:ascii="Verdana" w:eastAsia="Calibri" w:hAnsi="Verdana" w:cs="Arial"/>
          <w:color w:val="000000"/>
          <w:lang w:val="es-ES_tradnl"/>
        </w:rPr>
        <w:t>que</w:t>
      </w:r>
      <w:proofErr w:type="gramEnd"/>
      <w:r w:rsidRPr="00F71A6A">
        <w:rPr>
          <w:rFonts w:ascii="Verdana" w:eastAsia="Calibri" w:hAnsi="Verdana" w:cs="Arial"/>
          <w:color w:val="000000"/>
          <w:lang w:val="es-ES_tradnl"/>
        </w:rPr>
        <w:t>, como lo ha destacado la doctrina, las inhabilidades son herramientas para la lucha contra la corrupción, adoptando paulatinamente un carácter sancionatorio o “neopunitivo”</w:t>
      </w:r>
      <w:r w:rsidRPr="00F71A6A">
        <w:rPr>
          <w:rFonts w:ascii="Verdana" w:eastAsia="Calibri" w:hAnsi="Verdana" w:cs="Arial"/>
          <w:color w:val="000000"/>
          <w:vertAlign w:val="superscript"/>
          <w:lang w:val="es-ES"/>
        </w:rPr>
        <w:footnoteReference w:id="5"/>
      </w:r>
      <w:r w:rsidRPr="00F71A6A">
        <w:rPr>
          <w:rFonts w:ascii="Verdana" w:eastAsia="Calibri" w:hAnsi="Verdana" w:cs="Arial"/>
          <w:color w:val="000000"/>
          <w:lang w:val="es-ES"/>
        </w:rPr>
        <w:t>.</w:t>
      </w:r>
    </w:p>
    <w:p w14:paraId="65E0C94B" w14:textId="77777777" w:rsidR="00F71A6A" w:rsidRPr="00F71A6A" w:rsidRDefault="00F71A6A" w:rsidP="00F71A6A">
      <w:pPr>
        <w:spacing w:after="0" w:line="276" w:lineRule="auto"/>
        <w:ind w:left="720"/>
        <w:contextualSpacing/>
        <w:jc w:val="both"/>
        <w:rPr>
          <w:rFonts w:ascii="Verdana" w:eastAsia="Calibri" w:hAnsi="Verdana" w:cs="Arial"/>
          <w:lang w:val="es-ES"/>
        </w:rPr>
      </w:pPr>
    </w:p>
    <w:p w14:paraId="7B972094" w14:textId="77777777" w:rsidR="00F71A6A" w:rsidRPr="00F71A6A" w:rsidRDefault="00F71A6A" w:rsidP="00F71A6A">
      <w:pPr>
        <w:numPr>
          <w:ilvl w:val="0"/>
          <w:numId w:val="19"/>
        </w:numPr>
        <w:spacing w:after="0" w:line="276" w:lineRule="auto"/>
        <w:contextualSpacing/>
        <w:jc w:val="both"/>
        <w:rPr>
          <w:rFonts w:ascii="Verdana" w:eastAsia="Calibri" w:hAnsi="Verdana" w:cs="Arial"/>
          <w:lang w:val="es-ES"/>
        </w:rPr>
      </w:pPr>
      <w:r w:rsidRPr="00F71A6A">
        <w:rPr>
          <w:rFonts w:ascii="Verdana" w:eastAsia="Calibri" w:hAnsi="Verdana" w:cs="Arial"/>
          <w:lang w:val="es-ES"/>
        </w:rPr>
        <w:t xml:space="preserve">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 </w:t>
      </w:r>
    </w:p>
    <w:p w14:paraId="6FC9C1E7" w14:textId="77777777" w:rsidR="00F71A6A" w:rsidRPr="00F71A6A" w:rsidRDefault="00F71A6A" w:rsidP="00F71A6A">
      <w:pPr>
        <w:spacing w:after="0"/>
        <w:ind w:left="720"/>
        <w:contextualSpacing/>
        <w:rPr>
          <w:rFonts w:ascii="Verdana" w:eastAsia="Calibri" w:hAnsi="Verdana" w:cs="Arial"/>
          <w:lang w:val="es-ES"/>
        </w:rPr>
      </w:pPr>
    </w:p>
    <w:p w14:paraId="2A20A9BD" w14:textId="77777777" w:rsidR="00F71A6A" w:rsidRPr="00F71A6A" w:rsidRDefault="00F71A6A" w:rsidP="00F71A6A">
      <w:pPr>
        <w:numPr>
          <w:ilvl w:val="0"/>
          <w:numId w:val="19"/>
        </w:numPr>
        <w:spacing w:after="0" w:line="276" w:lineRule="auto"/>
        <w:jc w:val="both"/>
        <w:rPr>
          <w:rFonts w:ascii="Verdana" w:eastAsia="Aptos" w:hAnsi="Verdana" w:cs="Arial"/>
          <w:i/>
          <w:iCs/>
          <w:lang w:val="es-ES"/>
        </w:rPr>
      </w:pPr>
      <w:r w:rsidRPr="00F71A6A">
        <w:rPr>
          <w:rFonts w:ascii="Verdana" w:eastAsia="Arial" w:hAnsi="Verdana" w:cs="Arial"/>
          <w:color w:val="000000"/>
          <w:lang w:val="es-MX" w:eastAsia="es-CO"/>
        </w:rPr>
        <w:lastRenderedPageBreak/>
        <w:t xml:space="preserve">En esta medida, la Corte Constitucional explica que </w:t>
      </w:r>
      <w:r w:rsidRPr="00F71A6A">
        <w:rPr>
          <w:rFonts w:ascii="Verdana" w:eastAsia="Aptos" w:hAnsi="Verdana" w:cs="Arial"/>
          <w:i/>
          <w:iCs/>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F71A6A">
        <w:rPr>
          <w:rFonts w:ascii="Verdana" w:eastAsia="Aptos" w:hAnsi="Verdana" w:cs="Arial"/>
          <w:i/>
          <w:iCs/>
          <w:vertAlign w:val="superscript"/>
          <w:lang w:val="es-ES"/>
        </w:rPr>
        <w:footnoteReference w:id="6"/>
      </w:r>
      <w:r w:rsidRPr="00F71A6A">
        <w:rPr>
          <w:rFonts w:ascii="Verdana" w:eastAsia="Aptos" w:hAnsi="Verdana" w:cs="Arial"/>
          <w:i/>
          <w:iCs/>
          <w:lang w:val="es-ES"/>
        </w:rPr>
        <w:t xml:space="preserve">. </w:t>
      </w:r>
      <w:r w:rsidRPr="00F71A6A">
        <w:rPr>
          <w:rFonts w:ascii="Verdana" w:eastAsia="Arial" w:hAnsi="Verdana" w:cs="Arial"/>
          <w:color w:val="000000"/>
          <w:lang w:val="es-MX" w:eastAsia="es-CO"/>
        </w:rPr>
        <w:t>Así pues,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p w14:paraId="421C8403" w14:textId="77777777" w:rsidR="00F71A6A" w:rsidRPr="00F71A6A" w:rsidRDefault="00F71A6A" w:rsidP="00F71A6A">
      <w:pPr>
        <w:spacing w:after="0" w:line="276" w:lineRule="auto"/>
        <w:contextualSpacing/>
        <w:jc w:val="both"/>
        <w:rPr>
          <w:rFonts w:ascii="Verdana" w:eastAsia="Calibri" w:hAnsi="Verdana" w:cs="Arial"/>
        </w:rPr>
      </w:pPr>
    </w:p>
    <w:p w14:paraId="5B014473" w14:textId="77777777" w:rsidR="00F71A6A" w:rsidRPr="00F71A6A" w:rsidRDefault="00F71A6A" w:rsidP="00F71A6A">
      <w:pPr>
        <w:numPr>
          <w:ilvl w:val="0"/>
          <w:numId w:val="19"/>
        </w:numPr>
        <w:spacing w:after="0" w:line="276" w:lineRule="auto"/>
        <w:contextualSpacing/>
        <w:jc w:val="both"/>
        <w:rPr>
          <w:rFonts w:ascii="Verdana" w:eastAsia="Calibri" w:hAnsi="Verdana" w:cs="Arial"/>
        </w:rPr>
      </w:pPr>
      <w:r w:rsidRPr="00F71A6A">
        <w:rPr>
          <w:rFonts w:ascii="Verdana" w:eastAsia="Calibri" w:hAnsi="Verdana" w:cs="Arial"/>
        </w:rPr>
        <w:t>Así pues, debe precisarse que al ser las inhabilidades límites especiales a la capacidad para presentar ofertas y celebrar contratos estatales, solo pueden tipificarse en la Constitución o la ley –es decir,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5AABD60E" w14:textId="77777777" w:rsidR="00F71A6A" w:rsidRPr="00F71A6A" w:rsidRDefault="00F71A6A" w:rsidP="00F71A6A">
      <w:pPr>
        <w:spacing w:after="0" w:line="276" w:lineRule="auto"/>
        <w:ind w:firstLine="709"/>
        <w:contextualSpacing/>
        <w:jc w:val="both"/>
        <w:rPr>
          <w:rFonts w:ascii="Verdana" w:eastAsia="Calibri" w:hAnsi="Verdana" w:cs="Arial"/>
          <w:lang w:val="es-ES_tradnl" w:eastAsia="es-ES_tradnl"/>
        </w:rPr>
      </w:pPr>
    </w:p>
    <w:p w14:paraId="0D3FAE9B" w14:textId="77777777" w:rsidR="00F71A6A" w:rsidRPr="00F71A6A" w:rsidRDefault="00F71A6A" w:rsidP="00F71A6A">
      <w:pPr>
        <w:pStyle w:val="Prrafodelista"/>
        <w:numPr>
          <w:ilvl w:val="0"/>
          <w:numId w:val="20"/>
        </w:numPr>
        <w:spacing w:after="0" w:line="276" w:lineRule="auto"/>
        <w:jc w:val="both"/>
        <w:rPr>
          <w:rFonts w:ascii="Verdana" w:eastAsia="Calibri" w:hAnsi="Verdana" w:cs="Arial"/>
          <w:shd w:val="clear" w:color="auto" w:fill="FFFFFF"/>
        </w:rPr>
      </w:pPr>
      <w:r w:rsidRPr="00F71A6A">
        <w:rPr>
          <w:rFonts w:ascii="Verdana" w:eastAsia="Calibri" w:hAnsi="Verdana" w:cs="Arial"/>
          <w:shd w:val="clear" w:color="auto" w:fill="FFFFFF"/>
        </w:rPr>
        <w:t xml:space="preserve">Ahora bien, con el fin de atender el objeto de su consulta, es preciso indicar que, al analizarse el régimen de inhabilidades, se observa que el solo reporte en el Registro Nacional de Medidas Correctivas no genera per se una causal inhabilidad para celebrar contratos con las entidades públicas, puesto que, de acuerdo con el artículo 2.2.8.3.1 del Decreto 1284 de 2017 </w:t>
      </w:r>
      <w:r w:rsidRPr="00F71A6A">
        <w:rPr>
          <w:rFonts w:ascii="Verdana" w:eastAsia="Calibri" w:hAnsi="Verdana" w:cs="Arial"/>
        </w:rPr>
        <w:t>Por medio del cual se reglamenta parcialmente el Código Nacional de Policía y Convivencia</w:t>
      </w:r>
      <w:r w:rsidRPr="00F71A6A">
        <w:rPr>
          <w:rFonts w:ascii="Verdana" w:eastAsia="Calibri" w:hAnsi="Verdana" w:cs="Arial"/>
          <w:shd w:val="clear" w:color="auto" w:fill="FFFFFF"/>
        </w:rPr>
        <w:t>, el referido registro es un sistema que tiene como función el recolectar información sobre la persona infractora de un comportamiento contrario a la convivencia, el tipo de medida correctiva impuesta, el estado de pago de la multa o el cumplimiento de la medida correctiva.</w:t>
      </w:r>
    </w:p>
    <w:p w14:paraId="5F1A29C7" w14:textId="77777777" w:rsidR="00F71A6A" w:rsidRPr="00F71A6A" w:rsidRDefault="00F71A6A" w:rsidP="00F71A6A">
      <w:pPr>
        <w:pStyle w:val="Prrafodelista"/>
        <w:spacing w:after="0" w:line="276" w:lineRule="auto"/>
        <w:jc w:val="both"/>
        <w:rPr>
          <w:rFonts w:ascii="Verdana" w:eastAsia="Calibri" w:hAnsi="Verdana" w:cs="Arial"/>
          <w:shd w:val="clear" w:color="auto" w:fill="FFFFFF"/>
        </w:rPr>
      </w:pPr>
    </w:p>
    <w:p w14:paraId="09C19D59" w14:textId="77777777" w:rsidR="00F71A6A" w:rsidRPr="00F71A6A" w:rsidRDefault="00F71A6A" w:rsidP="00F71A6A">
      <w:pPr>
        <w:pStyle w:val="Prrafodelista"/>
        <w:numPr>
          <w:ilvl w:val="0"/>
          <w:numId w:val="20"/>
        </w:numPr>
        <w:spacing w:before="120" w:after="120" w:line="276" w:lineRule="auto"/>
        <w:jc w:val="both"/>
        <w:rPr>
          <w:rFonts w:ascii="Verdana" w:eastAsia="Calibri" w:hAnsi="Verdana" w:cs="Arial"/>
        </w:rPr>
      </w:pPr>
      <w:r w:rsidRPr="00F71A6A">
        <w:rPr>
          <w:rFonts w:ascii="Verdana" w:eastAsia="Calibri" w:hAnsi="Verdana" w:cs="Arial"/>
        </w:rPr>
        <w:t xml:space="preserve">Sin embargo, debe precisarse que, en caso de que la persona a la cual se le haya impuesto como medida correctiva el pago de multas y esta se encuentre en mora por un término de seis (6) meses, el numeral 4 del artículo 183 de la Ley 1801 de 2016 por la cual se expide el Código </w:t>
      </w:r>
      <w:r w:rsidRPr="00F71A6A">
        <w:rPr>
          <w:rFonts w:ascii="Verdana" w:eastAsia="Calibri" w:hAnsi="Verdana" w:cs="Arial"/>
        </w:rPr>
        <w:lastRenderedPageBreak/>
        <w:t>Nacional de Seguridad y Convivencia Ciudadana, establece como consecuencia de dicha mora en el pago, que “hasta tanto no se ponga al día la persona no podrá: […]Contratar o renovar contrato con cualquier entidad del Estado”. Constituyéndose entonces, lo anterior, como una causal de inhabilidad prevista en la ley para celebrar o renovar contratos con las entidades públicas.</w:t>
      </w:r>
    </w:p>
    <w:p w14:paraId="63BE21F1" w14:textId="77777777" w:rsidR="00F71A6A" w:rsidRPr="00F71A6A" w:rsidRDefault="00F71A6A" w:rsidP="00F71A6A">
      <w:pPr>
        <w:pStyle w:val="Prrafodelista"/>
        <w:rPr>
          <w:rFonts w:ascii="Verdana" w:eastAsia="Calibri" w:hAnsi="Verdana" w:cs="Arial"/>
        </w:rPr>
      </w:pPr>
    </w:p>
    <w:p w14:paraId="102906C0" w14:textId="77777777" w:rsidR="00F71A6A" w:rsidRPr="00F71A6A" w:rsidRDefault="00F71A6A" w:rsidP="00F71A6A">
      <w:pPr>
        <w:pStyle w:val="Prrafodelista"/>
        <w:numPr>
          <w:ilvl w:val="0"/>
          <w:numId w:val="20"/>
        </w:numPr>
        <w:spacing w:before="120" w:after="120" w:line="276" w:lineRule="auto"/>
        <w:jc w:val="both"/>
        <w:rPr>
          <w:rFonts w:ascii="Verdana" w:eastAsia="Calibri" w:hAnsi="Verdana" w:cs="Arial"/>
        </w:rPr>
      </w:pPr>
      <w:r w:rsidRPr="00F71A6A">
        <w:rPr>
          <w:rFonts w:ascii="Verdana" w:eastAsia="Calibri" w:hAnsi="Verdana" w:cs="Arial"/>
        </w:rPr>
        <w:t>De otra parte, resulta necesario tener en cuenta que el literal a del artículo 8 de la Ley 80 de 1993, establece la siguiente causal de inhabilidad para suscribir contratos con el estado: “</w:t>
      </w:r>
      <w:r w:rsidRPr="00F71A6A">
        <w:rPr>
          <w:rFonts w:ascii="Verdana" w:eastAsia="Calibri" w:hAnsi="Verdana" w:cs="Arial"/>
          <w:lang w:val="es-CO"/>
        </w:rPr>
        <w:t xml:space="preserve">a) Las personas que se hallen inhabilitadas para contratar por la Constitución y las leyes”. A lo suyo </w:t>
      </w:r>
      <w:r w:rsidRPr="00F71A6A">
        <w:rPr>
          <w:rFonts w:ascii="Verdana" w:eastAsia="Calibri" w:hAnsi="Verdana" w:cs="Arial"/>
        </w:rPr>
        <w:t xml:space="preserve">la Ley 1801 de 2016 en su artículo 183, establece: </w:t>
      </w:r>
    </w:p>
    <w:p w14:paraId="10F4B251" w14:textId="77777777" w:rsidR="00F71A6A" w:rsidRPr="00F71A6A" w:rsidRDefault="00F71A6A" w:rsidP="00F71A6A">
      <w:pPr>
        <w:pStyle w:val="Prrafodelista"/>
        <w:rPr>
          <w:rFonts w:ascii="Verdana" w:eastAsia="Calibri" w:hAnsi="Verdana" w:cs="Arial"/>
        </w:rPr>
      </w:pPr>
    </w:p>
    <w:p w14:paraId="16699A9B" w14:textId="77777777" w:rsidR="00F71A6A" w:rsidRPr="00F71A6A" w:rsidRDefault="00F71A6A" w:rsidP="00F71A6A">
      <w:pPr>
        <w:pStyle w:val="Prrafodelista"/>
        <w:spacing w:before="120" w:after="120" w:line="276" w:lineRule="auto"/>
        <w:jc w:val="both"/>
        <w:rPr>
          <w:rFonts w:ascii="Verdana" w:eastAsia="Calibri" w:hAnsi="Verdana" w:cs="Arial"/>
          <w:lang w:val="es-CO"/>
        </w:rPr>
      </w:pPr>
      <w:r w:rsidRPr="00F71A6A">
        <w:rPr>
          <w:rFonts w:ascii="Verdana" w:eastAsia="Calibri" w:hAnsi="Verdana" w:cs="Arial"/>
        </w:rPr>
        <w:t>“Artículo</w:t>
      </w:r>
      <w:r w:rsidRPr="00F71A6A">
        <w:rPr>
          <w:rFonts w:ascii="Verdana" w:eastAsia="Calibri" w:hAnsi="Verdana" w:cs="Arial"/>
          <w:lang w:val="es-CO"/>
        </w:rPr>
        <w:t> </w:t>
      </w:r>
      <w:r w:rsidRPr="00F71A6A">
        <w:rPr>
          <w:rFonts w:ascii="Verdana" w:eastAsia="Calibri" w:hAnsi="Verdana" w:cs="Arial"/>
        </w:rPr>
        <w:t>183. Consecuencias por el no pago de multas. Si transcurridos seis meses desde la fecha de imposición de la multa, esta no ha sido pagada con sus debidos intereses, hasta tanto no se ponga al día, la persona no podrá:</w:t>
      </w:r>
    </w:p>
    <w:p w14:paraId="6C5CE33B" w14:textId="77777777" w:rsidR="00F71A6A" w:rsidRPr="00F71A6A" w:rsidRDefault="00F71A6A" w:rsidP="00F71A6A">
      <w:pPr>
        <w:pStyle w:val="Prrafodelista"/>
        <w:spacing w:before="120" w:after="120" w:line="276" w:lineRule="auto"/>
        <w:jc w:val="both"/>
        <w:rPr>
          <w:rFonts w:ascii="Verdana" w:eastAsia="Calibri" w:hAnsi="Verdana" w:cs="Arial"/>
          <w:lang w:val="es-CO"/>
        </w:rPr>
      </w:pPr>
      <w:r w:rsidRPr="00F71A6A">
        <w:rPr>
          <w:rFonts w:ascii="Verdana" w:eastAsia="Calibri" w:hAnsi="Verdana" w:cs="Arial"/>
          <w:lang w:val="es-CO"/>
        </w:rPr>
        <w:t>1. Obtener o renovar permiso de tenencia o porte de armas.</w:t>
      </w:r>
    </w:p>
    <w:p w14:paraId="42862DBE" w14:textId="77777777" w:rsidR="00F71A6A" w:rsidRPr="00F71A6A" w:rsidRDefault="00F71A6A" w:rsidP="00F71A6A">
      <w:pPr>
        <w:pStyle w:val="Prrafodelista"/>
        <w:spacing w:before="120" w:after="120" w:line="276" w:lineRule="auto"/>
        <w:jc w:val="both"/>
        <w:rPr>
          <w:rFonts w:ascii="Verdana" w:eastAsia="Calibri" w:hAnsi="Verdana" w:cs="Arial"/>
          <w:lang w:val="es-CO"/>
        </w:rPr>
      </w:pPr>
      <w:r w:rsidRPr="00F71A6A">
        <w:rPr>
          <w:rFonts w:ascii="Verdana" w:eastAsia="Calibri" w:hAnsi="Verdana" w:cs="Arial"/>
          <w:lang w:val="es-CO"/>
        </w:rPr>
        <w:t>2. Ser nombrado o ascendido en cargo público.</w:t>
      </w:r>
    </w:p>
    <w:p w14:paraId="3095ADA9" w14:textId="77777777" w:rsidR="00F71A6A" w:rsidRPr="00F71A6A" w:rsidRDefault="00F71A6A" w:rsidP="00F71A6A">
      <w:pPr>
        <w:pStyle w:val="Prrafodelista"/>
        <w:spacing w:before="120" w:after="120" w:line="276" w:lineRule="auto"/>
        <w:jc w:val="both"/>
        <w:rPr>
          <w:rFonts w:ascii="Verdana" w:eastAsia="Calibri" w:hAnsi="Verdana" w:cs="Arial"/>
          <w:lang w:val="es-CO"/>
        </w:rPr>
      </w:pPr>
      <w:r w:rsidRPr="00F71A6A">
        <w:rPr>
          <w:rFonts w:ascii="Verdana" w:eastAsia="Calibri" w:hAnsi="Verdana" w:cs="Arial"/>
          <w:lang w:val="es-CO"/>
        </w:rPr>
        <w:t>3. Ingresar a las escuelas de formación de la Fuerza Pública.</w:t>
      </w:r>
    </w:p>
    <w:p w14:paraId="79340BDA" w14:textId="77777777" w:rsidR="00F71A6A" w:rsidRPr="00F71A6A" w:rsidRDefault="00F71A6A" w:rsidP="00F71A6A">
      <w:pPr>
        <w:pStyle w:val="Prrafodelista"/>
        <w:spacing w:before="120" w:after="120" w:line="276" w:lineRule="auto"/>
        <w:jc w:val="both"/>
        <w:rPr>
          <w:rFonts w:ascii="Verdana" w:eastAsia="Calibri" w:hAnsi="Verdana" w:cs="Arial"/>
          <w:u w:val="single"/>
          <w:lang w:val="es-CO"/>
        </w:rPr>
      </w:pPr>
      <w:r w:rsidRPr="00F71A6A">
        <w:rPr>
          <w:rFonts w:ascii="Verdana" w:eastAsia="Calibri" w:hAnsi="Verdana" w:cs="Arial"/>
          <w:u w:val="single"/>
          <w:lang w:val="es-CO"/>
        </w:rPr>
        <w:t xml:space="preserve">4. Contratar o renovar contrato con cualquier entidad del Estado” </w:t>
      </w:r>
      <w:r w:rsidRPr="00F71A6A">
        <w:rPr>
          <w:rFonts w:ascii="Verdana" w:eastAsia="Calibri" w:hAnsi="Verdana" w:cs="Arial"/>
          <w:lang w:val="es-CO"/>
        </w:rPr>
        <w:t>(subraya fuera de texto).</w:t>
      </w:r>
    </w:p>
    <w:p w14:paraId="5CB793C5" w14:textId="77777777" w:rsidR="00F71A6A" w:rsidRPr="00F71A6A" w:rsidRDefault="00F71A6A" w:rsidP="00F71A6A">
      <w:pPr>
        <w:pStyle w:val="Prrafodelista"/>
        <w:spacing w:before="120" w:after="120" w:line="276" w:lineRule="auto"/>
        <w:jc w:val="both"/>
        <w:rPr>
          <w:rFonts w:ascii="Verdana" w:eastAsia="Calibri" w:hAnsi="Verdana" w:cs="Arial"/>
          <w:lang w:val="es-CO"/>
        </w:rPr>
      </w:pPr>
      <w:r w:rsidRPr="00F71A6A">
        <w:rPr>
          <w:rFonts w:ascii="Verdana" w:eastAsia="Calibri" w:hAnsi="Verdana" w:cs="Arial"/>
          <w:lang w:val="es-CO"/>
        </w:rPr>
        <w:t>NOTA: Numeral 4 declarado EXEQUIBLE por la Corte Constitucional mediante Sentencia </w:t>
      </w:r>
      <w:hyperlink r:id="rId12" w:history="1">
        <w:r w:rsidRPr="00F71A6A">
          <w:rPr>
            <w:rStyle w:val="Hipervnculo"/>
            <w:rFonts w:ascii="Verdana" w:eastAsia="Calibri" w:hAnsi="Verdana" w:cs="Arial"/>
            <w:color w:val="4472C4" w:themeColor="accent1"/>
            <w:lang w:val="es-CO"/>
          </w:rPr>
          <w:t>C-054</w:t>
        </w:r>
      </w:hyperlink>
      <w:r w:rsidRPr="00F71A6A">
        <w:rPr>
          <w:rFonts w:ascii="Verdana" w:eastAsia="Calibri" w:hAnsi="Verdana" w:cs="Arial"/>
          <w:color w:val="4472C4" w:themeColor="accent1"/>
          <w:lang w:val="es-CO"/>
        </w:rPr>
        <w:t> </w:t>
      </w:r>
      <w:r w:rsidRPr="00F71A6A">
        <w:rPr>
          <w:rFonts w:ascii="Verdana" w:eastAsia="Calibri" w:hAnsi="Verdana" w:cs="Arial"/>
          <w:lang w:val="es-CO"/>
        </w:rPr>
        <w:t>de 2019.</w:t>
      </w:r>
    </w:p>
    <w:p w14:paraId="09ACC3DD" w14:textId="77777777" w:rsidR="00F71A6A" w:rsidRPr="00F71A6A" w:rsidRDefault="00F71A6A" w:rsidP="00F71A6A">
      <w:pPr>
        <w:pStyle w:val="Prrafodelista"/>
        <w:spacing w:before="120" w:after="120" w:line="276" w:lineRule="auto"/>
        <w:jc w:val="both"/>
        <w:rPr>
          <w:rFonts w:ascii="Verdana" w:eastAsia="Calibri" w:hAnsi="Verdana" w:cs="Arial"/>
        </w:rPr>
      </w:pPr>
    </w:p>
    <w:p w14:paraId="43E299DA" w14:textId="77777777" w:rsidR="00F71A6A" w:rsidRPr="00F71A6A" w:rsidRDefault="00F71A6A" w:rsidP="00F71A6A">
      <w:pPr>
        <w:widowControl w:val="0"/>
        <w:numPr>
          <w:ilvl w:val="0"/>
          <w:numId w:val="17"/>
        </w:numPr>
        <w:autoSpaceDE w:val="0"/>
        <w:autoSpaceDN w:val="0"/>
        <w:spacing w:after="0" w:line="276" w:lineRule="auto"/>
        <w:contextualSpacing/>
        <w:jc w:val="both"/>
        <w:rPr>
          <w:rFonts w:ascii="Verdana" w:eastAsia="Aptos" w:hAnsi="Verdana" w:cs="Arial"/>
        </w:rPr>
      </w:pPr>
      <w:r w:rsidRPr="00F71A6A">
        <w:rPr>
          <w:rFonts w:ascii="Verdana" w:eastAsia="Aptos" w:hAnsi="Verdana" w:cs="Arial"/>
        </w:rPr>
        <w:t>En conclusión, corresponde de una parte, a los particulares en principio, determinar si incurren o no en causal de inhabilidad o incompatibilidad para suscribir contratos con las entidades públicas y, ostentar cargos públicos. Y, de otra parte, acorde con las disposiciones que rigen su actividad contractual, les atañe a las Entidades Estatales evaluar en cada caso, si uno o alguno de sus futuros contratistas, se encuentra o no inmerso en los límites especiales a la capacidad para presentar ofertas y celebrar contratos estatales.</w:t>
      </w:r>
    </w:p>
    <w:bookmarkEnd w:id="1"/>
    <w:p w14:paraId="67350C3F" w14:textId="77777777" w:rsidR="00F71A6A" w:rsidRPr="00F71A6A" w:rsidRDefault="00F71A6A" w:rsidP="00F71A6A">
      <w:pPr>
        <w:widowControl w:val="0"/>
        <w:autoSpaceDE w:val="0"/>
        <w:autoSpaceDN w:val="0"/>
        <w:spacing w:after="0" w:line="276" w:lineRule="auto"/>
        <w:jc w:val="both"/>
        <w:rPr>
          <w:rFonts w:ascii="Verdana" w:hAnsi="Verdana" w:cs="Arial"/>
        </w:rPr>
      </w:pPr>
    </w:p>
    <w:p w14:paraId="7923B4BC" w14:textId="77777777" w:rsidR="00F71A6A" w:rsidRPr="00F71A6A" w:rsidRDefault="00F71A6A" w:rsidP="00F71A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Referencias normativas, jurisprudenciales y otras fuentes:</w:t>
      </w:r>
    </w:p>
    <w:p w14:paraId="69D9870E" w14:textId="77777777" w:rsidR="00F71A6A" w:rsidRPr="00F71A6A" w:rsidRDefault="00F71A6A" w:rsidP="00F71A6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71A6A" w:rsidRPr="00F71A6A" w14:paraId="1BA13753" w14:textId="77777777" w:rsidTr="008E1FB1">
        <w:trPr>
          <w:trHeight w:val="4928"/>
        </w:trPr>
        <w:tc>
          <w:tcPr>
            <w:tcW w:w="8647" w:type="dxa"/>
          </w:tcPr>
          <w:p w14:paraId="591F208A" w14:textId="77777777" w:rsidR="00F71A6A" w:rsidRPr="00F71A6A" w:rsidRDefault="00F71A6A" w:rsidP="00F71A6A">
            <w:pPr>
              <w:widowControl w:val="0"/>
              <w:numPr>
                <w:ilvl w:val="0"/>
                <w:numId w:val="18"/>
              </w:numPr>
              <w:autoSpaceDE w:val="0"/>
              <w:autoSpaceDN w:val="0"/>
              <w:spacing w:line="360" w:lineRule="auto"/>
              <w:contextualSpacing/>
              <w:jc w:val="both"/>
              <w:rPr>
                <w:rFonts w:ascii="Verdana" w:eastAsia="Aptos" w:hAnsi="Verdana" w:cs="Arial"/>
              </w:rPr>
            </w:pPr>
            <w:r w:rsidRPr="00F71A6A">
              <w:rPr>
                <w:rFonts w:ascii="Verdana" w:eastAsia="Calibri" w:hAnsi="Verdana" w:cs="Arial"/>
                <w:lang w:val="es-ES"/>
              </w:rPr>
              <w:lastRenderedPageBreak/>
              <w:t>Ley 80 de 1993. Artículo 8</w:t>
            </w:r>
          </w:p>
          <w:p w14:paraId="1A304306" w14:textId="77777777" w:rsidR="00F71A6A" w:rsidRPr="00F71A6A" w:rsidRDefault="00F71A6A" w:rsidP="00F71A6A">
            <w:pPr>
              <w:widowControl w:val="0"/>
              <w:numPr>
                <w:ilvl w:val="0"/>
                <w:numId w:val="18"/>
              </w:numPr>
              <w:autoSpaceDE w:val="0"/>
              <w:autoSpaceDN w:val="0"/>
              <w:spacing w:line="360" w:lineRule="auto"/>
              <w:contextualSpacing/>
              <w:jc w:val="both"/>
              <w:rPr>
                <w:rFonts w:ascii="Verdana" w:eastAsia="Aptos" w:hAnsi="Verdana" w:cs="Arial"/>
              </w:rPr>
            </w:pPr>
            <w:r w:rsidRPr="00F71A6A">
              <w:rPr>
                <w:rFonts w:ascii="Verdana" w:eastAsia="Calibri" w:hAnsi="Verdana" w:cs="Arial"/>
                <w:lang w:val="es-ES"/>
              </w:rPr>
              <w:t>Ley1801 de 2016. Artículos 183 y 184</w:t>
            </w:r>
          </w:p>
          <w:p w14:paraId="4887FE71" w14:textId="77777777" w:rsidR="00F71A6A" w:rsidRPr="00F71A6A" w:rsidRDefault="00F71A6A" w:rsidP="00F71A6A">
            <w:pPr>
              <w:widowControl w:val="0"/>
              <w:numPr>
                <w:ilvl w:val="0"/>
                <w:numId w:val="18"/>
              </w:numPr>
              <w:autoSpaceDE w:val="0"/>
              <w:autoSpaceDN w:val="0"/>
              <w:spacing w:line="360" w:lineRule="auto"/>
              <w:contextualSpacing/>
              <w:jc w:val="both"/>
              <w:rPr>
                <w:rFonts w:ascii="Verdana" w:eastAsia="Aptos" w:hAnsi="Verdana" w:cs="Arial"/>
              </w:rPr>
            </w:pPr>
            <w:r w:rsidRPr="00F71A6A">
              <w:rPr>
                <w:rFonts w:ascii="Verdana" w:eastAsia="Calibri" w:hAnsi="Verdana" w:cs="Arial"/>
                <w:lang w:val="es-ES"/>
              </w:rPr>
              <w:t>Decreto 1284 de 2017. Artículo 2.2.8.3.1</w:t>
            </w:r>
          </w:p>
          <w:p w14:paraId="243916E9" w14:textId="77777777" w:rsidR="00F71A6A" w:rsidRPr="00F71A6A" w:rsidRDefault="00F71A6A" w:rsidP="00F71A6A">
            <w:pPr>
              <w:widowControl w:val="0"/>
              <w:numPr>
                <w:ilvl w:val="0"/>
                <w:numId w:val="18"/>
              </w:numPr>
              <w:autoSpaceDE w:val="0"/>
              <w:autoSpaceDN w:val="0"/>
              <w:spacing w:line="360" w:lineRule="auto"/>
              <w:contextualSpacing/>
              <w:jc w:val="both"/>
              <w:rPr>
                <w:rFonts w:ascii="Verdana" w:eastAsia="Aptos" w:hAnsi="Verdana" w:cs="Arial"/>
              </w:rPr>
            </w:pPr>
            <w:r w:rsidRPr="00F71A6A">
              <w:rPr>
                <w:rFonts w:ascii="Verdana" w:eastAsia="Aptos" w:hAnsi="Verdana" w:cs="Arial"/>
              </w:rPr>
              <w:t>CORTE CONSTITUCIONAL. Sentencia C-1016 de 2012. M.P. Jorge Iván Palacio</w:t>
            </w:r>
          </w:p>
          <w:p w14:paraId="3D30A4AA" w14:textId="77777777" w:rsidR="00F71A6A" w:rsidRPr="00F71A6A" w:rsidRDefault="00F71A6A" w:rsidP="00F71A6A">
            <w:pPr>
              <w:pStyle w:val="Prrafodelista"/>
              <w:widowControl w:val="0"/>
              <w:numPr>
                <w:ilvl w:val="0"/>
                <w:numId w:val="18"/>
              </w:numPr>
              <w:autoSpaceDE w:val="0"/>
              <w:autoSpaceDN w:val="0"/>
              <w:spacing w:line="360" w:lineRule="auto"/>
              <w:jc w:val="both"/>
              <w:rPr>
                <w:rFonts w:ascii="Verdana" w:hAnsi="Verdana" w:cs="Arial"/>
                <w:color w:val="7030A0"/>
              </w:rPr>
            </w:pPr>
            <w:r w:rsidRPr="00F71A6A">
              <w:rPr>
                <w:rFonts w:ascii="Verdana" w:eastAsia="Aptos" w:hAnsi="Verdana" w:cs="Arial"/>
              </w:rPr>
              <w:t>BARRETO ROZO, Antonio Alejandro. Inhabilidades de la contratación estatal, efectos y neopunitivismo en el Estatuto Anticorrupción</w:t>
            </w:r>
          </w:p>
          <w:p w14:paraId="0E29D432" w14:textId="77777777" w:rsidR="00F71A6A" w:rsidRPr="00F71A6A" w:rsidRDefault="00F71A6A" w:rsidP="00F71A6A">
            <w:pPr>
              <w:pStyle w:val="Prrafodelista"/>
              <w:widowControl w:val="0"/>
              <w:numPr>
                <w:ilvl w:val="0"/>
                <w:numId w:val="18"/>
              </w:numPr>
              <w:autoSpaceDE w:val="0"/>
              <w:autoSpaceDN w:val="0"/>
              <w:spacing w:line="360" w:lineRule="auto"/>
              <w:contextualSpacing w:val="0"/>
              <w:jc w:val="both"/>
              <w:rPr>
                <w:rFonts w:ascii="Verdana" w:hAnsi="Verdana" w:cs="Arial"/>
              </w:rPr>
            </w:pPr>
            <w:r w:rsidRPr="00F71A6A">
              <w:rPr>
                <w:rFonts w:ascii="Verdana" w:hAnsi="Verdana" w:cs="Arial"/>
              </w:rPr>
              <w:t xml:space="preserve">Jurisprudencia del Consejo de Estado. Disponible en: </w:t>
            </w:r>
            <w:hyperlink r:id="rId13" w:history="1">
              <w:r w:rsidRPr="00F71A6A">
                <w:rPr>
                  <w:rStyle w:val="Hipervnculo"/>
                  <w:rFonts w:ascii="Verdana" w:hAnsi="Verdana" w:cs="Arial"/>
                  <w:color w:val="4472C4" w:themeColor="accent1"/>
                </w:rPr>
                <w:t>https://relatoria.colombiacompra.gov.co/providencias-consejo-de-estado/</w:t>
              </w:r>
            </w:hyperlink>
            <w:r w:rsidRPr="00F71A6A">
              <w:rPr>
                <w:rFonts w:ascii="Verdana" w:hAnsi="Verdana" w:cs="Arial"/>
                <w:color w:val="4472C4" w:themeColor="accent1"/>
              </w:rPr>
              <w:t xml:space="preserve"> </w:t>
            </w:r>
          </w:p>
          <w:p w14:paraId="75BE2BBF" w14:textId="77777777" w:rsidR="00F71A6A" w:rsidRPr="00F71A6A" w:rsidRDefault="00F71A6A" w:rsidP="00F71A6A">
            <w:pPr>
              <w:pStyle w:val="Prrafodelista"/>
              <w:widowControl w:val="0"/>
              <w:numPr>
                <w:ilvl w:val="0"/>
                <w:numId w:val="18"/>
              </w:numPr>
              <w:autoSpaceDE w:val="0"/>
              <w:autoSpaceDN w:val="0"/>
              <w:spacing w:line="360" w:lineRule="auto"/>
              <w:contextualSpacing w:val="0"/>
              <w:jc w:val="both"/>
              <w:rPr>
                <w:rFonts w:ascii="Verdana" w:hAnsi="Verdana" w:cs="Arial"/>
              </w:rPr>
            </w:pPr>
            <w:r w:rsidRPr="00F71A6A">
              <w:rPr>
                <w:rFonts w:ascii="Verdana" w:hAnsi="Verdana" w:cs="Arial"/>
              </w:rPr>
              <w:t>Guías y manuales expedidos por la ANCP-CCE. Disponible en:</w:t>
            </w:r>
            <w:r w:rsidRPr="00F71A6A">
              <w:rPr>
                <w:rFonts w:ascii="Verdana" w:hAnsi="Verdana"/>
              </w:rPr>
              <w:t xml:space="preserve"> </w:t>
            </w:r>
            <w:hyperlink r:id="rId14" w:history="1">
              <w:r w:rsidRPr="00F71A6A">
                <w:rPr>
                  <w:rStyle w:val="Hipervnculo"/>
                  <w:rFonts w:ascii="Verdana" w:hAnsi="Verdana" w:cs="Arial"/>
                  <w:color w:val="4472C4" w:themeColor="accent1"/>
                </w:rPr>
                <w:t>https://www.colombiacompra.gov.co/manuales-guias-y-pliegos-tipo/manuales-y-guias</w:t>
              </w:r>
            </w:hyperlink>
            <w:r w:rsidRPr="00F71A6A">
              <w:rPr>
                <w:rFonts w:ascii="Verdana" w:hAnsi="Verdana" w:cs="Arial"/>
                <w:color w:val="4472C4" w:themeColor="accent1"/>
              </w:rPr>
              <w:t xml:space="preserve"> </w:t>
            </w:r>
          </w:p>
        </w:tc>
      </w:tr>
    </w:tbl>
    <w:p w14:paraId="12D4253A" w14:textId="77777777" w:rsidR="00F71A6A" w:rsidRPr="00F71A6A" w:rsidRDefault="00F71A6A" w:rsidP="00F71A6A">
      <w:pPr>
        <w:widowControl w:val="0"/>
        <w:autoSpaceDE w:val="0"/>
        <w:autoSpaceDN w:val="0"/>
        <w:spacing w:after="0" w:line="276" w:lineRule="auto"/>
        <w:jc w:val="both"/>
        <w:rPr>
          <w:rFonts w:ascii="Verdana" w:hAnsi="Verdana" w:cs="Arial"/>
        </w:rPr>
      </w:pPr>
    </w:p>
    <w:p w14:paraId="6FA4CCC7" w14:textId="77777777" w:rsidR="00F71A6A" w:rsidRPr="00F71A6A" w:rsidRDefault="00F71A6A" w:rsidP="00F71A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Doctrina de la Agencia Nacional de Contratación Pública:</w:t>
      </w:r>
    </w:p>
    <w:p w14:paraId="2050DCAA" w14:textId="77777777" w:rsidR="00F71A6A" w:rsidRPr="00F71A6A" w:rsidRDefault="00F71A6A" w:rsidP="00F71A6A">
      <w:pPr>
        <w:widowControl w:val="0"/>
        <w:autoSpaceDE w:val="0"/>
        <w:autoSpaceDN w:val="0"/>
        <w:spacing w:after="0" w:line="276" w:lineRule="auto"/>
        <w:jc w:val="both"/>
        <w:rPr>
          <w:rFonts w:ascii="Verdana" w:hAnsi="Verdana" w:cs="Arial"/>
        </w:rPr>
      </w:pPr>
    </w:p>
    <w:p w14:paraId="592E2EA9" w14:textId="77777777" w:rsidR="00F71A6A" w:rsidRPr="00F71A6A" w:rsidRDefault="00F71A6A" w:rsidP="00F71A6A">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F71A6A">
        <w:rPr>
          <w:rStyle w:val="normaltextrun"/>
          <w:rFonts w:ascii="Verdana" w:hAnsi="Verdana" w:cs="Arial"/>
          <w:shd w:val="clear" w:color="auto" w:fill="FFFFFF"/>
          <w:lang w:val="es-ES"/>
        </w:rPr>
        <w:t xml:space="preserve">Sobre el </w:t>
      </w:r>
      <w:r w:rsidRPr="00F71A6A">
        <w:rPr>
          <w:rFonts w:ascii="Verdana" w:eastAsia="Aptos" w:hAnsi="Verdana" w:cs="Arial"/>
          <w:shd w:val="clear" w:color="auto" w:fill="FFFFFF"/>
          <w:lang w:val="es-ES"/>
        </w:rPr>
        <w:t>régimen de inhabilidades en la contratación estatal</w:t>
      </w:r>
      <w:r w:rsidRPr="00F71A6A">
        <w:rPr>
          <w:rStyle w:val="normaltextrun"/>
          <w:rFonts w:ascii="Verdana" w:hAnsi="Verdana" w:cs="Arial"/>
          <w:shd w:val="clear" w:color="auto" w:fill="FFFFFF"/>
          <w:lang w:val="es-ES"/>
        </w:rPr>
        <w:t xml:space="preserve"> se pronunció esta Subdirección en los conceptos</w:t>
      </w:r>
      <w:r w:rsidRPr="00F71A6A">
        <w:rPr>
          <w:rStyle w:val="normaltextrun"/>
          <w:rFonts w:ascii="Verdana" w:hAnsi="Verdana" w:cs="Calibri"/>
          <w:shd w:val="clear" w:color="auto" w:fill="FFFFFF"/>
        </w:rPr>
        <w:t xml:space="preserve"> </w:t>
      </w:r>
      <w:r w:rsidRPr="00F71A6A">
        <w:rPr>
          <w:rFonts w:ascii="Verdana" w:eastAsia="Aptos" w:hAnsi="Verdana" w:cs="Arial"/>
          <w:shd w:val="clear" w:color="auto" w:fill="FFFFFF"/>
          <w:lang w:val="es-ES"/>
        </w:rPr>
        <w:t>C-035 del 24 de abril de 2024, C-067 del 16 de mayo de 2024, C-041 del 29 de mayo de 2024, C-078 del 04 de junio de 2024, C-193 del 19 de julio de 2024, C-271 del 25 de julio de 2024, C-108 de 06 de agosto de 2024, C-332 del 27 de agosto de 2024, C-709 del 21 de noviembre de 2024, C-729 del 27 de noviembre de 2024, C-989 del 30 de diciembre de 2024, entre otros</w:t>
      </w:r>
      <w:r w:rsidRPr="00F71A6A">
        <w:rPr>
          <w:rStyle w:val="normaltextrun"/>
          <w:rFonts w:ascii="Verdana" w:hAnsi="Verdana" w:cs="Arial"/>
          <w:color w:val="7030A0"/>
          <w:shd w:val="clear" w:color="auto" w:fill="FFFFFF"/>
          <w:lang w:val="es-ES"/>
        </w:rPr>
        <w:t xml:space="preserve">. </w:t>
      </w:r>
      <w:r w:rsidRPr="00F71A6A">
        <w:rPr>
          <w:rStyle w:val="normaltextrun"/>
          <w:rFonts w:ascii="Verdana" w:hAnsi="Verdana" w:cs="Arial"/>
          <w:shd w:val="clear" w:color="auto" w:fill="FFFFFF"/>
          <w:lang w:val="es-ES"/>
        </w:rPr>
        <w:t>Es</w:t>
      </w:r>
      <w:r w:rsidRPr="00F71A6A">
        <w:rPr>
          <w:rFonts w:ascii="Verdana" w:hAnsi="Verdana"/>
        </w:rPr>
        <w:t>tos y otros conceptos se encuentran disponibles para consulta en el Sistema de relatoría de la Agencia, al cual se puede acceder a través del siguiente enlace:</w:t>
      </w:r>
      <w:r w:rsidRPr="00F71A6A">
        <w:rPr>
          <w:rStyle w:val="normaltextrun"/>
          <w:rFonts w:ascii="Verdana" w:hAnsi="Verdana" w:cs="Arial"/>
          <w:shd w:val="clear" w:color="auto" w:fill="FFFFFF"/>
          <w:lang w:val="es-ES"/>
        </w:rPr>
        <w:t xml:space="preserve"> </w:t>
      </w:r>
      <w:hyperlink r:id="rId15" w:history="1">
        <w:r w:rsidRPr="00F71A6A">
          <w:rPr>
            <w:rStyle w:val="Hipervnculo"/>
            <w:rFonts w:ascii="Verdana" w:hAnsi="Verdana" w:cs="Arial"/>
            <w:color w:val="4472C4" w:themeColor="accent1"/>
            <w:shd w:val="clear" w:color="auto" w:fill="FFFFFF"/>
            <w:lang w:val="es-ES"/>
          </w:rPr>
          <w:t>https://relatoria.colombiacompra.gov.co/busqueda/conceptos</w:t>
        </w:r>
      </w:hyperlink>
      <w:r w:rsidRPr="00F71A6A">
        <w:rPr>
          <w:rStyle w:val="normaltextrun"/>
          <w:rFonts w:ascii="Verdana" w:hAnsi="Verdana" w:cs="Arial"/>
          <w:color w:val="4472C4" w:themeColor="accent1"/>
          <w:shd w:val="clear" w:color="auto" w:fill="FFFFFF"/>
          <w:lang w:val="es-ES"/>
        </w:rPr>
        <w:t xml:space="preserve">. </w:t>
      </w:r>
    </w:p>
    <w:p w14:paraId="5BC0FF7B" w14:textId="77777777" w:rsidR="00F71A6A" w:rsidRPr="00F71A6A" w:rsidRDefault="00F71A6A" w:rsidP="00F71A6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615F5B7" w14:textId="77777777" w:rsidR="00F71A6A" w:rsidRPr="00F71A6A" w:rsidRDefault="00F71A6A" w:rsidP="00F71A6A">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F71A6A">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F71A6A">
        <w:rPr>
          <w:rStyle w:val="normaltextrun"/>
          <w:rFonts w:ascii="Verdana" w:hAnsi="Verdana" w:cs="Arial"/>
          <w:color w:val="4472C4" w:themeColor="accent1"/>
          <w:shd w:val="clear" w:color="auto" w:fill="FFFFFF"/>
          <w:lang w:val="es-ES"/>
        </w:rPr>
        <w:t xml:space="preserve"> </w:t>
      </w:r>
      <w:hyperlink r:id="rId16" w:history="1">
        <w:r w:rsidRPr="00F71A6A">
          <w:rPr>
            <w:rStyle w:val="Hipervnculo"/>
            <w:rFonts w:ascii="Verdana" w:hAnsi="Verdana" w:cs="Arial"/>
            <w:color w:val="4472C4" w:themeColor="accent1"/>
            <w:shd w:val="clear" w:color="auto" w:fill="FFFFFF"/>
            <w:lang w:val="es-ES"/>
          </w:rPr>
          <w:t>https://www.colombiacompra.gov.co/sala-de-prensa/boletin-digital</w:t>
        </w:r>
      </w:hyperlink>
      <w:r w:rsidRPr="00F71A6A">
        <w:rPr>
          <w:rStyle w:val="normaltextrun"/>
          <w:rFonts w:ascii="Verdana" w:hAnsi="Verdana" w:cs="Arial"/>
          <w:color w:val="4472C4" w:themeColor="accent1"/>
          <w:shd w:val="clear" w:color="auto" w:fill="FFFFFF"/>
          <w:lang w:val="es-ES"/>
        </w:rPr>
        <w:t xml:space="preserve">      </w:t>
      </w:r>
    </w:p>
    <w:p w14:paraId="638033C3" w14:textId="77777777" w:rsidR="00F71A6A" w:rsidRPr="00F71A6A" w:rsidRDefault="00F71A6A" w:rsidP="00F71A6A">
      <w:pPr>
        <w:spacing w:after="0" w:line="240" w:lineRule="auto"/>
        <w:jc w:val="both"/>
        <w:rPr>
          <w:rFonts w:ascii="Verdana" w:hAnsi="Verdana"/>
        </w:rPr>
      </w:pPr>
      <w:r w:rsidRPr="00F71A6A">
        <w:rPr>
          <w:rFonts w:ascii="Verdana" w:hAnsi="Verdana"/>
        </w:rPr>
        <w:t xml:space="preserve">Por último, lo invitamos a seguirnos en las redes sociales en las cuales se difunde información institucional: </w:t>
      </w:r>
    </w:p>
    <w:p w14:paraId="484EA837" w14:textId="77777777" w:rsidR="00F71A6A" w:rsidRPr="00F71A6A" w:rsidRDefault="00F71A6A" w:rsidP="00F71A6A">
      <w:pPr>
        <w:spacing w:after="0" w:line="240" w:lineRule="auto"/>
        <w:jc w:val="both"/>
        <w:rPr>
          <w:rFonts w:ascii="Verdana" w:hAnsi="Verdana"/>
        </w:rPr>
      </w:pPr>
    </w:p>
    <w:p w14:paraId="0C9820CC" w14:textId="77777777" w:rsidR="00F71A6A" w:rsidRPr="00F71A6A" w:rsidRDefault="00F71A6A" w:rsidP="00F71A6A">
      <w:pPr>
        <w:spacing w:after="0" w:line="240"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432EEB48" w14:textId="77777777" w:rsidR="00F71A6A" w:rsidRPr="00F71A6A" w:rsidRDefault="00F71A6A" w:rsidP="00F71A6A">
      <w:pPr>
        <w:spacing w:after="0" w:line="240" w:lineRule="auto"/>
        <w:jc w:val="both"/>
        <w:rPr>
          <w:rFonts w:ascii="Verdana" w:hAnsi="Verdana"/>
        </w:rPr>
      </w:pPr>
      <w:r w:rsidRPr="00F71A6A">
        <w:rPr>
          <w:rFonts w:ascii="Verdana" w:hAnsi="Verdana"/>
        </w:rPr>
        <w:t xml:space="preserve">Facebook: </w:t>
      </w:r>
      <w:r w:rsidRPr="00F71A6A">
        <w:rPr>
          <w:rStyle w:val="Hipervnculo"/>
          <w:rFonts w:ascii="Verdana" w:hAnsi="Verdana"/>
          <w:color w:val="4472C4" w:themeColor="accent1"/>
        </w:rPr>
        <w:t>ColombiaCompraEficiente</w:t>
      </w:r>
    </w:p>
    <w:p w14:paraId="7A04F355" w14:textId="77777777" w:rsidR="00F71A6A" w:rsidRPr="00F71A6A" w:rsidRDefault="00F71A6A" w:rsidP="00F71A6A">
      <w:pPr>
        <w:spacing w:after="0" w:line="240" w:lineRule="auto"/>
        <w:jc w:val="both"/>
        <w:rPr>
          <w:rFonts w:ascii="Verdana" w:hAnsi="Verdana"/>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2AF7FD57" w14:textId="77777777" w:rsidR="00F71A6A" w:rsidRPr="00F71A6A" w:rsidRDefault="00F71A6A" w:rsidP="00F71A6A">
      <w:pPr>
        <w:widowControl w:val="0"/>
        <w:autoSpaceDE w:val="0"/>
        <w:autoSpaceDN w:val="0"/>
        <w:spacing w:after="0" w:line="276" w:lineRule="auto"/>
        <w:jc w:val="both"/>
        <w:rPr>
          <w:rFonts w:ascii="Verdana" w:hAnsi="Verdana" w:cs="Arial"/>
        </w:rPr>
      </w:pPr>
    </w:p>
    <w:p w14:paraId="06BEB705" w14:textId="77777777" w:rsidR="00F71A6A" w:rsidRPr="00F71A6A" w:rsidRDefault="00F71A6A" w:rsidP="00F71A6A">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5D7FE812" w14:textId="77777777" w:rsidR="00F71A6A" w:rsidRPr="00F71A6A" w:rsidRDefault="00F71A6A" w:rsidP="00F71A6A">
      <w:pPr>
        <w:widowControl w:val="0"/>
        <w:autoSpaceDE w:val="0"/>
        <w:autoSpaceDN w:val="0"/>
        <w:spacing w:after="0" w:line="276" w:lineRule="auto"/>
        <w:jc w:val="both"/>
        <w:rPr>
          <w:rFonts w:ascii="Verdana" w:hAnsi="Verdana" w:cs="Arial"/>
        </w:rPr>
      </w:pPr>
    </w:p>
    <w:p w14:paraId="0EF6EFA8" w14:textId="77777777" w:rsidR="00F71A6A" w:rsidRPr="00F71A6A" w:rsidRDefault="00F71A6A" w:rsidP="00F71A6A">
      <w:pPr>
        <w:spacing w:after="0" w:line="240"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3254AFD6" w14:textId="6BD55801" w:rsidR="00F71A6A" w:rsidRPr="00F71A6A" w:rsidRDefault="00937B7F" w:rsidP="00F71A6A">
      <w:pPr>
        <w:spacing w:line="276" w:lineRule="auto"/>
        <w:jc w:val="center"/>
        <w:rPr>
          <w:rFonts w:ascii="Verdana" w:hAnsi="Verdana" w:cs="Arial"/>
          <w:color w:val="000000"/>
          <w:lang w:val="es-ES_tradnl" w:eastAsia="es-CO"/>
        </w:rPr>
      </w:pPr>
      <w:r>
        <w:rPr>
          <w:noProof/>
        </w:rPr>
        <w:drawing>
          <wp:inline distT="0" distB="0" distL="0" distR="0" wp14:anchorId="13C18F4B" wp14:editId="1CE8AF99">
            <wp:extent cx="3771429" cy="1400000"/>
            <wp:effectExtent l="0" t="0" r="635" b="0"/>
            <wp:docPr id="14894665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6652" name="Imagen 1" descr="Texto&#10;&#10;Descripción generada automáticamente"/>
                    <pic:cNvPicPr/>
                  </pic:nvPicPr>
                  <pic:blipFill>
                    <a:blip r:embed="rId17"/>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71A6A" w:rsidRPr="00F71A6A" w14:paraId="682AF0BF" w14:textId="77777777" w:rsidTr="008E1FB1">
        <w:trPr>
          <w:trHeight w:val="315"/>
        </w:trPr>
        <w:tc>
          <w:tcPr>
            <w:tcW w:w="893" w:type="dxa"/>
            <w:vAlign w:val="center"/>
            <w:hideMark/>
          </w:tcPr>
          <w:p w14:paraId="75EA7A3B" w14:textId="77777777" w:rsidR="00F71A6A" w:rsidRPr="00F71A6A" w:rsidRDefault="00F71A6A" w:rsidP="008E1FB1">
            <w:pPr>
              <w:contextualSpacing/>
              <w:rPr>
                <w:rFonts w:ascii="Verdana" w:hAnsi="Verdana" w:cs="Arial"/>
                <w:sz w:val="16"/>
                <w:szCs w:val="16"/>
                <w:lang w:val="es-ES" w:eastAsia="es-ES"/>
              </w:rPr>
            </w:pPr>
            <w:r w:rsidRPr="00F71A6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F60334D" w14:textId="77777777" w:rsidR="00F71A6A" w:rsidRPr="00F71A6A" w:rsidRDefault="00F71A6A" w:rsidP="008E1FB1">
            <w:pPr>
              <w:contextualSpacing/>
              <w:rPr>
                <w:rStyle w:val="normaltextrun"/>
                <w:rFonts w:ascii="Verdana" w:hAnsi="Verdana"/>
                <w:sz w:val="16"/>
                <w:szCs w:val="16"/>
              </w:rPr>
            </w:pPr>
            <w:r w:rsidRPr="00F71A6A">
              <w:rPr>
                <w:rStyle w:val="normaltextrun"/>
                <w:rFonts w:ascii="Verdana" w:hAnsi="Verdana"/>
                <w:sz w:val="16"/>
                <w:szCs w:val="16"/>
              </w:rPr>
              <w:t>Santiago Alberto Herrera Morillo</w:t>
            </w:r>
          </w:p>
          <w:p w14:paraId="689CF334" w14:textId="77777777" w:rsidR="00F71A6A" w:rsidRPr="00F71A6A" w:rsidRDefault="00F71A6A" w:rsidP="008E1FB1">
            <w:pPr>
              <w:contextualSpacing/>
              <w:rPr>
                <w:rFonts w:ascii="Verdana" w:eastAsia="Arial" w:hAnsi="Verdana" w:cs="Arial"/>
                <w:sz w:val="16"/>
                <w:szCs w:val="16"/>
              </w:rPr>
            </w:pPr>
            <w:r w:rsidRPr="00F71A6A">
              <w:rPr>
                <w:rStyle w:val="normaltextrun"/>
                <w:rFonts w:ascii="Verdana" w:hAnsi="Verdana"/>
                <w:sz w:val="16"/>
                <w:szCs w:val="16"/>
              </w:rPr>
              <w:t xml:space="preserve">Analista T2-02 </w:t>
            </w:r>
            <w:r w:rsidRPr="00F71A6A">
              <w:rPr>
                <w:rStyle w:val="normaltextrun"/>
                <w:rFonts w:ascii="Verdana" w:eastAsia="Arial" w:hAnsi="Verdana" w:cs="Arial"/>
                <w:sz w:val="16"/>
                <w:szCs w:val="16"/>
              </w:rPr>
              <w:t>de la Subdirección de Gestión Contractual</w:t>
            </w:r>
          </w:p>
        </w:tc>
      </w:tr>
      <w:tr w:rsidR="00F71A6A" w:rsidRPr="00F71A6A" w14:paraId="092F5D18" w14:textId="77777777" w:rsidTr="008E1FB1">
        <w:trPr>
          <w:trHeight w:val="330"/>
        </w:trPr>
        <w:tc>
          <w:tcPr>
            <w:tcW w:w="893" w:type="dxa"/>
            <w:vAlign w:val="center"/>
            <w:hideMark/>
          </w:tcPr>
          <w:p w14:paraId="5262CDF1" w14:textId="77777777" w:rsidR="00F71A6A" w:rsidRPr="00F71A6A" w:rsidRDefault="00F71A6A" w:rsidP="008E1FB1">
            <w:pPr>
              <w:contextualSpacing/>
              <w:rPr>
                <w:rFonts w:ascii="Verdana" w:hAnsi="Verdana" w:cs="Arial"/>
                <w:sz w:val="16"/>
                <w:szCs w:val="16"/>
                <w:lang w:val="es-ES" w:eastAsia="es-ES"/>
              </w:rPr>
            </w:pPr>
            <w:r w:rsidRPr="00F71A6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3836860" w14:textId="77777777" w:rsidR="00F71A6A" w:rsidRPr="00F71A6A" w:rsidRDefault="00F71A6A" w:rsidP="008E1FB1">
            <w:pPr>
              <w:pStyle w:val="paragraph"/>
              <w:spacing w:before="0" w:beforeAutospacing="0" w:after="0" w:afterAutospacing="0"/>
              <w:contextualSpacing/>
              <w:textAlignment w:val="baseline"/>
              <w:rPr>
                <w:rStyle w:val="normaltextrun"/>
                <w:rFonts w:ascii="Verdana" w:hAnsi="Verdana" w:cs="Arial"/>
                <w:sz w:val="16"/>
                <w:szCs w:val="16"/>
                <w:lang w:val="es-ES"/>
              </w:rPr>
            </w:pPr>
            <w:r w:rsidRPr="00F71A6A">
              <w:rPr>
                <w:rStyle w:val="normaltextrun"/>
                <w:rFonts w:ascii="Verdana" w:hAnsi="Verdana" w:cs="Arial"/>
                <w:sz w:val="16"/>
                <w:szCs w:val="16"/>
                <w:lang w:val="es-ES"/>
              </w:rPr>
              <w:t>Juan Carlos González Vásquez</w:t>
            </w:r>
          </w:p>
          <w:p w14:paraId="5347EBD6" w14:textId="77777777" w:rsidR="00F71A6A" w:rsidRPr="00F71A6A" w:rsidRDefault="00F71A6A" w:rsidP="008E1FB1">
            <w:pPr>
              <w:pStyle w:val="paragraph"/>
              <w:spacing w:before="0" w:beforeAutospacing="0" w:after="0" w:afterAutospacing="0"/>
              <w:contextualSpacing/>
              <w:textAlignment w:val="baseline"/>
              <w:rPr>
                <w:rFonts w:ascii="Verdana" w:hAnsi="Verdana" w:cs="Segoe UI"/>
                <w:sz w:val="16"/>
                <w:szCs w:val="16"/>
              </w:rPr>
            </w:pPr>
            <w:r w:rsidRPr="00F71A6A">
              <w:rPr>
                <w:rStyle w:val="normaltextrun"/>
                <w:rFonts w:ascii="Verdana" w:hAnsi="Verdana" w:cs="Arial"/>
                <w:sz w:val="16"/>
                <w:szCs w:val="16"/>
                <w:lang w:val="es-ES"/>
              </w:rPr>
              <w:t>Contratista de la Subdirección de Gestión Contractual</w:t>
            </w:r>
            <w:r w:rsidRPr="00F71A6A">
              <w:rPr>
                <w:rStyle w:val="eop"/>
                <w:rFonts w:ascii="Verdana" w:hAnsi="Verdana" w:cs="Arial"/>
                <w:sz w:val="16"/>
                <w:szCs w:val="16"/>
              </w:rPr>
              <w:t> </w:t>
            </w:r>
          </w:p>
        </w:tc>
      </w:tr>
      <w:tr w:rsidR="00F71A6A" w:rsidRPr="00F71A6A" w14:paraId="2141F17D" w14:textId="77777777" w:rsidTr="008E1FB1">
        <w:trPr>
          <w:trHeight w:val="300"/>
        </w:trPr>
        <w:tc>
          <w:tcPr>
            <w:tcW w:w="893" w:type="dxa"/>
            <w:vAlign w:val="center"/>
          </w:tcPr>
          <w:p w14:paraId="791307DB" w14:textId="77777777" w:rsidR="00F71A6A" w:rsidRPr="00F71A6A" w:rsidRDefault="00F71A6A" w:rsidP="008E1FB1">
            <w:pPr>
              <w:contextualSpacing/>
              <w:rPr>
                <w:rFonts w:ascii="Verdana" w:hAnsi="Verdana" w:cs="Arial"/>
                <w:sz w:val="16"/>
                <w:szCs w:val="16"/>
                <w:lang w:val="es-ES" w:eastAsia="es-ES"/>
              </w:rPr>
            </w:pPr>
            <w:r w:rsidRPr="00F71A6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A2147DB" w14:textId="77777777" w:rsidR="00F71A6A" w:rsidRPr="00F71A6A" w:rsidRDefault="00F71A6A" w:rsidP="008E1FB1">
            <w:pPr>
              <w:contextualSpacing/>
              <w:rPr>
                <w:rFonts w:ascii="Verdana" w:eastAsia="Calibri" w:hAnsi="Verdana" w:cs="Arial"/>
                <w:sz w:val="16"/>
                <w:szCs w:val="16"/>
                <w:lang w:val="pt-BR" w:eastAsia="es-ES"/>
              </w:rPr>
            </w:pPr>
            <w:r w:rsidRPr="00F71A6A">
              <w:rPr>
                <w:rFonts w:ascii="Verdana" w:eastAsia="Calibri" w:hAnsi="Verdana" w:cs="Arial"/>
                <w:sz w:val="16"/>
                <w:szCs w:val="16"/>
                <w:lang w:val="pt-BR" w:eastAsia="es-ES"/>
              </w:rPr>
              <w:t>Carolina Quintero Gacharná</w:t>
            </w:r>
          </w:p>
          <w:p w14:paraId="19CE7A99" w14:textId="77777777" w:rsidR="00F71A6A" w:rsidRPr="00F71A6A" w:rsidRDefault="00F71A6A" w:rsidP="008E1FB1">
            <w:pPr>
              <w:contextualSpacing/>
              <w:rPr>
                <w:rFonts w:ascii="Verdana" w:eastAsia="Calibri" w:hAnsi="Verdana" w:cs="Arial"/>
                <w:sz w:val="16"/>
                <w:szCs w:val="16"/>
                <w:lang w:val="pt-BR" w:eastAsia="es-ES"/>
              </w:rPr>
            </w:pPr>
            <w:r w:rsidRPr="00F71A6A">
              <w:rPr>
                <w:rFonts w:ascii="Verdana" w:eastAsia="Calibri" w:hAnsi="Verdana" w:cs="Arial"/>
                <w:sz w:val="16"/>
                <w:szCs w:val="16"/>
                <w:lang w:eastAsia="es-ES"/>
              </w:rPr>
              <w:t>Subdirectora</w:t>
            </w:r>
            <w:r w:rsidRPr="00F71A6A">
              <w:rPr>
                <w:rFonts w:ascii="Verdana" w:eastAsia="Calibri" w:hAnsi="Verdana" w:cs="Arial"/>
                <w:sz w:val="16"/>
                <w:szCs w:val="16"/>
                <w:lang w:val="pt-BR" w:eastAsia="es-ES"/>
              </w:rPr>
              <w:t xml:space="preserve"> de Gestión Contractual ANCP – CCE</w:t>
            </w:r>
          </w:p>
        </w:tc>
      </w:tr>
    </w:tbl>
    <w:p w14:paraId="79D9FAD5" w14:textId="77777777" w:rsidR="00F71A6A" w:rsidRPr="00F71A6A" w:rsidRDefault="00F71A6A" w:rsidP="00F71A6A">
      <w:pPr>
        <w:spacing w:after="0" w:line="240" w:lineRule="auto"/>
        <w:rPr>
          <w:rFonts w:ascii="Verdana" w:eastAsia="Times New Roman" w:hAnsi="Verdana" w:cs="Arial"/>
          <w:sz w:val="24"/>
          <w:szCs w:val="24"/>
          <w:lang w:eastAsia="es-ES"/>
        </w:rPr>
      </w:pPr>
    </w:p>
    <w:p w14:paraId="3A78C6F3" w14:textId="77777777" w:rsidR="00F71A6A" w:rsidRPr="00F71A6A" w:rsidRDefault="00F71A6A" w:rsidP="00F71A6A">
      <w:pPr>
        <w:rPr>
          <w:rFonts w:ascii="Verdana" w:hAnsi="Verdana"/>
        </w:rPr>
      </w:pPr>
    </w:p>
    <w:p w14:paraId="46751EA3" w14:textId="77777777" w:rsidR="00F71A6A" w:rsidRPr="00F71A6A" w:rsidRDefault="00F71A6A" w:rsidP="00F71A6A">
      <w:pPr>
        <w:rPr>
          <w:rFonts w:ascii="Verdana" w:hAnsi="Verdana"/>
        </w:rPr>
      </w:pPr>
    </w:p>
    <w:p w14:paraId="3900974D" w14:textId="77777777" w:rsidR="003D5B0D" w:rsidRPr="00F71A6A" w:rsidRDefault="003D5B0D" w:rsidP="00F71A6A">
      <w:pPr>
        <w:rPr>
          <w:rFonts w:ascii="Verdana" w:hAnsi="Verdana"/>
        </w:rPr>
      </w:pPr>
    </w:p>
    <w:sectPr w:rsidR="003D5B0D" w:rsidRPr="00F71A6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4D061" w14:textId="77777777" w:rsidR="00AB1A48" w:rsidRDefault="00AB1A48" w:rsidP="004A1847">
      <w:pPr>
        <w:spacing w:after="0" w:line="240" w:lineRule="auto"/>
      </w:pPr>
      <w:r>
        <w:separator/>
      </w:r>
    </w:p>
  </w:endnote>
  <w:endnote w:type="continuationSeparator" w:id="0">
    <w:p w14:paraId="2BA3DE00" w14:textId="77777777" w:rsidR="00AB1A48" w:rsidRDefault="00AB1A48" w:rsidP="004A1847">
      <w:pPr>
        <w:spacing w:after="0" w:line="240" w:lineRule="auto"/>
      </w:pPr>
      <w:r>
        <w:continuationSeparator/>
      </w:r>
    </w:p>
  </w:endnote>
  <w:endnote w:type="continuationNotice" w:id="1">
    <w:p w14:paraId="79512080" w14:textId="77777777" w:rsidR="00741A04" w:rsidRDefault="00741A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6E967" w14:textId="77777777" w:rsidR="00AB1A48" w:rsidRDefault="00AB1A48" w:rsidP="004A1847">
      <w:pPr>
        <w:spacing w:after="0" w:line="240" w:lineRule="auto"/>
      </w:pPr>
      <w:r>
        <w:separator/>
      </w:r>
    </w:p>
  </w:footnote>
  <w:footnote w:type="continuationSeparator" w:id="0">
    <w:p w14:paraId="5E6BEE8C" w14:textId="77777777" w:rsidR="00AB1A48" w:rsidRDefault="00AB1A48" w:rsidP="004A1847">
      <w:pPr>
        <w:spacing w:after="0" w:line="240" w:lineRule="auto"/>
      </w:pPr>
      <w:r>
        <w:continuationSeparator/>
      </w:r>
    </w:p>
  </w:footnote>
  <w:footnote w:type="continuationNotice" w:id="1">
    <w:p w14:paraId="25B76E71" w14:textId="77777777" w:rsidR="00741A04" w:rsidRDefault="00741A04">
      <w:pPr>
        <w:spacing w:after="0" w:line="240" w:lineRule="auto"/>
      </w:pPr>
    </w:p>
  </w:footnote>
  <w:footnote w:id="2">
    <w:p w14:paraId="22D73178" w14:textId="77777777" w:rsidR="00F71A6A" w:rsidRPr="00BC5B7F" w:rsidRDefault="00F71A6A" w:rsidP="00F71A6A">
      <w:pPr>
        <w:spacing w:after="0" w:line="240" w:lineRule="auto"/>
        <w:ind w:firstLine="709"/>
        <w:jc w:val="both"/>
        <w:rPr>
          <w:rFonts w:ascii="Verdana" w:hAnsi="Verdana" w:cs="Arial"/>
          <w:color w:val="000000"/>
          <w:sz w:val="12"/>
          <w:szCs w:val="12"/>
          <w:lang w:val="es-ES"/>
        </w:rPr>
      </w:pPr>
      <w:r w:rsidRPr="00BC5B7F">
        <w:rPr>
          <w:rStyle w:val="Refdenotaalpie"/>
          <w:rFonts w:ascii="Verdana" w:hAnsi="Verdana" w:cs="Arial"/>
          <w:color w:val="000000"/>
          <w:sz w:val="12"/>
          <w:szCs w:val="12"/>
        </w:rPr>
        <w:footnoteRef/>
      </w:r>
      <w:r w:rsidRPr="00BC5B7F">
        <w:rPr>
          <w:rFonts w:ascii="Verdana" w:hAnsi="Verdana" w:cs="Arial"/>
          <w:color w:val="000000"/>
          <w:sz w:val="12"/>
          <w:szCs w:val="12"/>
        </w:rPr>
        <w:t xml:space="preserve"> </w:t>
      </w:r>
      <w:r w:rsidRPr="00BC5B7F">
        <w:rPr>
          <w:rFonts w:ascii="Verdana" w:hAnsi="Verdana" w:cs="Arial"/>
          <w:color w:val="000000"/>
          <w:sz w:val="12"/>
          <w:szCs w:val="12"/>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BC5B7F">
        <w:rPr>
          <w:rFonts w:ascii="Verdana" w:hAnsi="Verdana" w:cs="Arial"/>
          <w:color w:val="000000"/>
          <w:sz w:val="12"/>
          <w:szCs w:val="12"/>
          <w:lang w:val="es-ES"/>
        </w:rPr>
        <w:t>num</w:t>
      </w:r>
      <w:proofErr w:type="spellEnd"/>
      <w:r w:rsidRPr="00BC5B7F">
        <w:rPr>
          <w:rFonts w:ascii="Verdana" w:hAnsi="Verdana" w:cs="Arial"/>
          <w:color w:val="000000"/>
          <w:sz w:val="12"/>
          <w:szCs w:val="12"/>
          <w:lang w:val="es-ES"/>
        </w:rPr>
        <w:t xml:space="preserve">. 1º, lit. b, Ley 80/93); “Quienes dieron lugar a la declaratoria de caducidad” (art. 8, </w:t>
      </w:r>
      <w:proofErr w:type="spellStart"/>
      <w:r w:rsidRPr="00BC5B7F">
        <w:rPr>
          <w:rFonts w:ascii="Verdana" w:hAnsi="Verdana" w:cs="Arial"/>
          <w:color w:val="000000"/>
          <w:sz w:val="12"/>
          <w:szCs w:val="12"/>
          <w:lang w:val="es-ES"/>
        </w:rPr>
        <w:t>num</w:t>
      </w:r>
      <w:proofErr w:type="spellEnd"/>
      <w:r w:rsidRPr="00BC5B7F">
        <w:rPr>
          <w:rFonts w:ascii="Verdana" w:hAnsi="Verdana" w:cs="Arial"/>
          <w:color w:val="000000"/>
          <w:sz w:val="12"/>
          <w:szCs w:val="12"/>
          <w:lang w:val="es-ES"/>
        </w:rPr>
        <w:t xml:space="preserve">. 1º, lit. c), Ley 80/93); “Quienes en sentencia judicial hayan sido condenados a la pena accesoria de interdicción de derechos y funciones públicas y quienes hayan sido sancionados disciplinariamente con destitución” (art. 8, </w:t>
      </w:r>
      <w:proofErr w:type="spellStart"/>
      <w:r w:rsidRPr="00BC5B7F">
        <w:rPr>
          <w:rFonts w:ascii="Verdana" w:hAnsi="Verdana" w:cs="Arial"/>
          <w:color w:val="000000"/>
          <w:sz w:val="12"/>
          <w:szCs w:val="12"/>
          <w:lang w:val="es-ES"/>
        </w:rPr>
        <w:t>num</w:t>
      </w:r>
      <w:proofErr w:type="spellEnd"/>
      <w:r w:rsidRPr="00BC5B7F">
        <w:rPr>
          <w:rFonts w:ascii="Verdana" w:hAnsi="Verdana" w:cs="Arial"/>
          <w:color w:val="000000"/>
          <w:sz w:val="12"/>
          <w:szCs w:val="12"/>
          <w:lang w:val="es-ES"/>
        </w:rPr>
        <w:t xml:space="preserve">. 1º, lit. d), Ley 80/93); “Quienes sin justa causa se abstengan de suscribir el contrato estatal adjudicado” (art. 8, </w:t>
      </w:r>
      <w:proofErr w:type="spellStart"/>
      <w:r w:rsidRPr="00BC5B7F">
        <w:rPr>
          <w:rFonts w:ascii="Verdana" w:hAnsi="Verdana" w:cs="Arial"/>
          <w:color w:val="000000"/>
          <w:sz w:val="12"/>
          <w:szCs w:val="12"/>
          <w:lang w:val="es-ES"/>
        </w:rPr>
        <w:t>num</w:t>
      </w:r>
      <w:proofErr w:type="spellEnd"/>
      <w:r w:rsidRPr="00BC5B7F">
        <w:rPr>
          <w:rFonts w:ascii="Verdana" w:hAnsi="Verdana" w:cs="Arial"/>
          <w:color w:val="000000"/>
          <w:sz w:val="12"/>
          <w:szCs w:val="12"/>
          <w:lang w:val="es-ES"/>
        </w:rPr>
        <w:t xml:space="preserve">. 1º, lit. e), Ley 80/93); “i) Los socios de sociedades de personas a las cuales se haya declarado la caducidad, así como las sociedades de personas de las que aquellos formen parte con posterioridad a dicha declaratoria” (art. 8, </w:t>
      </w:r>
      <w:proofErr w:type="spellStart"/>
      <w:r w:rsidRPr="00BC5B7F">
        <w:rPr>
          <w:rFonts w:ascii="Verdana" w:hAnsi="Verdana" w:cs="Arial"/>
          <w:color w:val="000000"/>
          <w:sz w:val="12"/>
          <w:szCs w:val="12"/>
          <w:lang w:val="es-ES"/>
        </w:rPr>
        <w:t>num</w:t>
      </w:r>
      <w:proofErr w:type="spellEnd"/>
      <w:r w:rsidRPr="00BC5B7F">
        <w:rPr>
          <w:rFonts w:ascii="Verdana" w:hAnsi="Verdana" w:cs="Arial"/>
          <w:color w:val="000000"/>
          <w:sz w:val="12"/>
          <w:szCs w:val="12"/>
          <w:lang w:val="es-ES"/>
        </w:rPr>
        <w:t>.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34918F41" w14:textId="77777777" w:rsidR="00F71A6A" w:rsidRPr="00BC5B7F" w:rsidRDefault="00F71A6A" w:rsidP="00F71A6A">
      <w:pPr>
        <w:spacing w:after="0" w:line="240" w:lineRule="auto"/>
        <w:ind w:firstLine="709"/>
        <w:jc w:val="both"/>
        <w:rPr>
          <w:rFonts w:ascii="Verdana" w:hAnsi="Verdana" w:cs="Arial"/>
          <w:color w:val="000000"/>
          <w:sz w:val="12"/>
          <w:szCs w:val="12"/>
          <w:lang w:val="es-ES"/>
        </w:rPr>
      </w:pPr>
    </w:p>
  </w:footnote>
  <w:footnote w:id="3">
    <w:p w14:paraId="4F316F1A" w14:textId="77777777" w:rsidR="00F71A6A" w:rsidRPr="00BC5B7F" w:rsidRDefault="00F71A6A" w:rsidP="00F71A6A">
      <w:pPr>
        <w:pStyle w:val="Textonotapie"/>
        <w:ind w:firstLine="709"/>
        <w:jc w:val="both"/>
        <w:rPr>
          <w:rFonts w:ascii="Verdana" w:hAnsi="Verdana" w:cs="Arial"/>
          <w:color w:val="000000"/>
          <w:sz w:val="12"/>
          <w:szCs w:val="12"/>
        </w:rPr>
      </w:pPr>
      <w:r w:rsidRPr="00BC5B7F">
        <w:rPr>
          <w:rStyle w:val="Refdenotaalpie"/>
          <w:rFonts w:ascii="Verdana" w:hAnsi="Verdana" w:cs="Arial"/>
          <w:color w:val="000000"/>
          <w:sz w:val="12"/>
          <w:szCs w:val="12"/>
        </w:rPr>
        <w:footnoteRef/>
      </w:r>
      <w:r w:rsidRPr="00BC5B7F">
        <w:rPr>
          <w:rFonts w:ascii="Verdana" w:hAnsi="Verdana" w:cs="Arial"/>
          <w:color w:val="000000"/>
          <w:sz w:val="12"/>
          <w:szCs w:val="12"/>
        </w:rPr>
        <w:t xml:space="preserve"> 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w:t>
      </w:r>
      <w:r w:rsidRPr="00BC5B7F">
        <w:rPr>
          <w:rFonts w:ascii="Verdana" w:hAnsi="Verdana" w:cs="Arial"/>
          <w:color w:val="000000"/>
          <w:sz w:val="12"/>
          <w:szCs w:val="12"/>
        </w:rPr>
        <w:t>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36802504" w14:textId="77777777" w:rsidR="00F71A6A" w:rsidRPr="00BC5B7F" w:rsidRDefault="00F71A6A" w:rsidP="00F71A6A">
      <w:pPr>
        <w:pStyle w:val="Textonotapie"/>
        <w:ind w:firstLine="709"/>
        <w:jc w:val="both"/>
        <w:rPr>
          <w:rFonts w:ascii="Verdana" w:hAnsi="Verdana" w:cs="Arial"/>
          <w:color w:val="000000"/>
          <w:sz w:val="12"/>
          <w:szCs w:val="12"/>
          <w:lang w:val="es-CO"/>
        </w:rPr>
      </w:pPr>
    </w:p>
  </w:footnote>
  <w:footnote w:id="4">
    <w:p w14:paraId="6D18EBDC" w14:textId="77777777" w:rsidR="00F71A6A" w:rsidRPr="00BC5B7F" w:rsidRDefault="00F71A6A" w:rsidP="00F71A6A">
      <w:pPr>
        <w:pStyle w:val="Textonotapie"/>
        <w:ind w:firstLine="709"/>
        <w:jc w:val="both"/>
        <w:rPr>
          <w:rFonts w:ascii="Verdana" w:hAnsi="Verdana" w:cs="Arial"/>
          <w:color w:val="000000"/>
          <w:sz w:val="12"/>
          <w:szCs w:val="12"/>
        </w:rPr>
      </w:pPr>
      <w:r w:rsidRPr="00BC5B7F">
        <w:rPr>
          <w:rStyle w:val="Refdenotaalpie"/>
          <w:rFonts w:ascii="Verdana" w:hAnsi="Verdana" w:cs="Arial"/>
          <w:color w:val="000000"/>
          <w:sz w:val="12"/>
          <w:szCs w:val="12"/>
        </w:rPr>
        <w:footnoteRef/>
      </w:r>
      <w:r w:rsidRPr="00BC5B7F">
        <w:rPr>
          <w:rFonts w:ascii="Verdana" w:hAnsi="Verdana" w:cs="Arial"/>
          <w:color w:val="000000"/>
          <w:sz w:val="12"/>
          <w:szCs w:val="12"/>
        </w:rPr>
        <w:t xml:space="preserve"> 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w:t>
      </w:r>
      <w:r w:rsidRPr="00BC5B7F">
        <w:rPr>
          <w:rFonts w:ascii="Verdana" w:hAnsi="Verdana" w:cs="Arial"/>
          <w:color w:val="000000"/>
          <w:sz w:val="12"/>
          <w:szCs w:val="12"/>
        </w:rPr>
        <w:t xml:space="preserve">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701D35DA" w14:textId="77777777" w:rsidR="00F71A6A" w:rsidRPr="00BC5B7F" w:rsidRDefault="00F71A6A" w:rsidP="00F71A6A">
      <w:pPr>
        <w:pStyle w:val="Textonotapie"/>
        <w:ind w:firstLine="709"/>
        <w:jc w:val="both"/>
        <w:rPr>
          <w:rFonts w:ascii="Verdana" w:hAnsi="Verdana" w:cs="Arial"/>
          <w:color w:val="000000"/>
          <w:sz w:val="12"/>
          <w:szCs w:val="12"/>
          <w:lang w:val="es-CO"/>
        </w:rPr>
      </w:pPr>
    </w:p>
  </w:footnote>
  <w:footnote w:id="5">
    <w:p w14:paraId="2BA7F1CB" w14:textId="77777777" w:rsidR="00F71A6A" w:rsidRPr="00BC5B7F" w:rsidRDefault="00F71A6A" w:rsidP="00F71A6A">
      <w:pPr>
        <w:pStyle w:val="Textonotapie"/>
        <w:ind w:firstLine="709"/>
        <w:jc w:val="both"/>
        <w:rPr>
          <w:rFonts w:ascii="Verdana" w:hAnsi="Verdana" w:cs="Arial"/>
          <w:color w:val="000000"/>
          <w:sz w:val="12"/>
          <w:szCs w:val="12"/>
        </w:rPr>
      </w:pPr>
      <w:r w:rsidRPr="00BC5B7F">
        <w:rPr>
          <w:rStyle w:val="Refdenotaalpie"/>
          <w:rFonts w:ascii="Verdana" w:hAnsi="Verdana" w:cs="Arial"/>
          <w:color w:val="000000"/>
          <w:sz w:val="12"/>
          <w:szCs w:val="12"/>
        </w:rPr>
        <w:footnoteRef/>
      </w:r>
      <w:r w:rsidRPr="00BC5B7F">
        <w:rPr>
          <w:rFonts w:ascii="Verdana" w:hAnsi="Verdana" w:cs="Arial"/>
          <w:color w:val="000000"/>
          <w:sz w:val="12"/>
          <w:szCs w:val="12"/>
        </w:rPr>
        <w:t xml:space="preserve"> 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64F3CD7D" w14:textId="77777777" w:rsidR="00F71A6A" w:rsidRPr="00BC5B7F" w:rsidRDefault="00F71A6A" w:rsidP="00F71A6A">
      <w:pPr>
        <w:pStyle w:val="Textonotapie"/>
        <w:ind w:firstLine="709"/>
        <w:jc w:val="both"/>
        <w:rPr>
          <w:rFonts w:ascii="Verdana" w:hAnsi="Verdana" w:cs="Arial"/>
          <w:color w:val="000000"/>
          <w:sz w:val="12"/>
          <w:szCs w:val="12"/>
        </w:rPr>
      </w:pPr>
    </w:p>
  </w:footnote>
  <w:footnote w:id="6">
    <w:p w14:paraId="781F1EF5" w14:textId="77777777" w:rsidR="00F71A6A" w:rsidRPr="00BC5B7F" w:rsidRDefault="00F71A6A" w:rsidP="00F71A6A">
      <w:pPr>
        <w:pStyle w:val="Textonotapie"/>
        <w:ind w:firstLine="709"/>
        <w:jc w:val="both"/>
        <w:rPr>
          <w:rFonts w:ascii="Verdana" w:hAnsi="Verdana" w:cs="Arial"/>
          <w:sz w:val="12"/>
          <w:szCs w:val="12"/>
        </w:rPr>
      </w:pPr>
      <w:r w:rsidRPr="00BC5B7F">
        <w:rPr>
          <w:rStyle w:val="Refdenotaalpie"/>
          <w:rFonts w:ascii="Verdana" w:hAnsi="Verdana" w:cs="Arial"/>
          <w:sz w:val="12"/>
          <w:szCs w:val="12"/>
        </w:rPr>
        <w:footnoteRef/>
      </w:r>
      <w:r w:rsidRPr="00BC5B7F">
        <w:rPr>
          <w:rFonts w:ascii="Verdana" w:hAnsi="Verdana" w:cs="Arial"/>
          <w:sz w:val="12"/>
          <w:szCs w:val="12"/>
        </w:rPr>
        <w:t xml:space="preserve"> CORTE CONSTITUCIONAL. Sentencia C-1016 de 2012. M.P. Jorge Iván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CD33FF"/>
    <w:multiLevelType w:val="hybridMultilevel"/>
    <w:tmpl w:val="007CDDC4"/>
    <w:lvl w:ilvl="0" w:tplc="2D7670A0">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1492209491">
    <w:abstractNumId w:val="5"/>
  </w:num>
  <w:num w:numId="18" w16cid:durableId="679089576">
    <w:abstractNumId w:val="11"/>
  </w:num>
  <w:num w:numId="19" w16cid:durableId="768893489">
    <w:abstractNumId w:val="10"/>
  </w:num>
  <w:num w:numId="20" w16cid:durableId="15853364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29B"/>
    <w:rsid w:val="00046945"/>
    <w:rsid w:val="00061B2A"/>
    <w:rsid w:val="00082362"/>
    <w:rsid w:val="000A6825"/>
    <w:rsid w:val="000A683E"/>
    <w:rsid w:val="000B19B9"/>
    <w:rsid w:val="000D0334"/>
    <w:rsid w:val="000F6486"/>
    <w:rsid w:val="00114C85"/>
    <w:rsid w:val="00125105"/>
    <w:rsid w:val="00127233"/>
    <w:rsid w:val="001511A0"/>
    <w:rsid w:val="0016180A"/>
    <w:rsid w:val="00186897"/>
    <w:rsid w:val="001E4177"/>
    <w:rsid w:val="001F7DC6"/>
    <w:rsid w:val="002421BB"/>
    <w:rsid w:val="0025796E"/>
    <w:rsid w:val="002707A2"/>
    <w:rsid w:val="002951A0"/>
    <w:rsid w:val="002962BC"/>
    <w:rsid w:val="002A093D"/>
    <w:rsid w:val="002A0DD0"/>
    <w:rsid w:val="002A49AC"/>
    <w:rsid w:val="002A64FD"/>
    <w:rsid w:val="002C7A84"/>
    <w:rsid w:val="002E4FD9"/>
    <w:rsid w:val="00321C50"/>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11E32"/>
    <w:rsid w:val="005566E8"/>
    <w:rsid w:val="00574867"/>
    <w:rsid w:val="00591460"/>
    <w:rsid w:val="005B3816"/>
    <w:rsid w:val="005C3777"/>
    <w:rsid w:val="005C5CDC"/>
    <w:rsid w:val="005D476C"/>
    <w:rsid w:val="006219F8"/>
    <w:rsid w:val="00665D70"/>
    <w:rsid w:val="006900D9"/>
    <w:rsid w:val="00706C16"/>
    <w:rsid w:val="00741A04"/>
    <w:rsid w:val="007427D1"/>
    <w:rsid w:val="00756841"/>
    <w:rsid w:val="007649AB"/>
    <w:rsid w:val="00771D0C"/>
    <w:rsid w:val="007833AC"/>
    <w:rsid w:val="007B268C"/>
    <w:rsid w:val="007B7171"/>
    <w:rsid w:val="007C0C0F"/>
    <w:rsid w:val="007C3DC2"/>
    <w:rsid w:val="007E5497"/>
    <w:rsid w:val="00806F5F"/>
    <w:rsid w:val="00820278"/>
    <w:rsid w:val="00864A7E"/>
    <w:rsid w:val="00867F95"/>
    <w:rsid w:val="008843B6"/>
    <w:rsid w:val="00891928"/>
    <w:rsid w:val="008A446D"/>
    <w:rsid w:val="008D180B"/>
    <w:rsid w:val="008F0EA7"/>
    <w:rsid w:val="00923EEF"/>
    <w:rsid w:val="00937B7F"/>
    <w:rsid w:val="009419F9"/>
    <w:rsid w:val="0095685E"/>
    <w:rsid w:val="00961B09"/>
    <w:rsid w:val="00965334"/>
    <w:rsid w:val="0096703F"/>
    <w:rsid w:val="0097093E"/>
    <w:rsid w:val="00986AC5"/>
    <w:rsid w:val="009A0DFA"/>
    <w:rsid w:val="009B2D26"/>
    <w:rsid w:val="009C2CCE"/>
    <w:rsid w:val="009C71FA"/>
    <w:rsid w:val="009C72E7"/>
    <w:rsid w:val="009D3058"/>
    <w:rsid w:val="009F3A13"/>
    <w:rsid w:val="00A122D3"/>
    <w:rsid w:val="00A17F13"/>
    <w:rsid w:val="00A20739"/>
    <w:rsid w:val="00A267DF"/>
    <w:rsid w:val="00A33C78"/>
    <w:rsid w:val="00AB0ADB"/>
    <w:rsid w:val="00AB1A48"/>
    <w:rsid w:val="00AC2CBC"/>
    <w:rsid w:val="00B01B1A"/>
    <w:rsid w:val="00B66319"/>
    <w:rsid w:val="00B72CD3"/>
    <w:rsid w:val="00B72FFF"/>
    <w:rsid w:val="00BC3D36"/>
    <w:rsid w:val="00BD7F72"/>
    <w:rsid w:val="00C04FB3"/>
    <w:rsid w:val="00C330EB"/>
    <w:rsid w:val="00C41061"/>
    <w:rsid w:val="00C754BE"/>
    <w:rsid w:val="00C76B1C"/>
    <w:rsid w:val="00CB6357"/>
    <w:rsid w:val="00CB71BA"/>
    <w:rsid w:val="00CC1B26"/>
    <w:rsid w:val="00D423A2"/>
    <w:rsid w:val="00D520D8"/>
    <w:rsid w:val="00D564CD"/>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0FD6"/>
    <w:rsid w:val="00EE1AA8"/>
    <w:rsid w:val="00F31EDC"/>
    <w:rsid w:val="00F462B3"/>
    <w:rsid w:val="00F5664F"/>
    <w:rsid w:val="00F61BBC"/>
    <w:rsid w:val="00F666C4"/>
    <w:rsid w:val="00F71A6A"/>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B71B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B71B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lcaldiabogota.gov.co/sisjur/normas/Norma1.jsp?i=83073"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buchellyescobar@gmail.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C830F35543C1B419FA171669882D1EB" ma:contentTypeVersion="4" ma:contentTypeDescription="Crear nuevo documento." ma:contentTypeScope="" ma:versionID="56f4ee8cc0879a947230203480cb79f9">
  <xsd:schema xmlns:xsd="http://www.w3.org/2001/XMLSchema" xmlns:xs="http://www.w3.org/2001/XMLSchema" xmlns:p="http://schemas.microsoft.com/office/2006/metadata/properties" xmlns:ns2="b531b13d-89bf-4629-be1e-22fdf3dd34d4" targetNamespace="http://schemas.microsoft.com/office/2006/metadata/properties" ma:root="true" ma:fieldsID="ae557deb62d2021ff57de123e690b9be" ns2:_="">
    <xsd:import namespace="b531b13d-89bf-4629-be1e-22fdf3dd34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b13d-89bf-4629-be1e-22fdf3dd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www.w3.org/XML/1998/namespace"/>
    <ds:schemaRef ds:uri="http://purl.org/dc/elements/1.1/"/>
    <ds:schemaRef ds:uri="http://purl.org/dc/term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b531b13d-89bf-4629-be1e-22fdf3dd34d4"/>
  </ds:schemaRefs>
</ds:datastoreItem>
</file>

<file path=customXml/itemProps2.xml><?xml version="1.0" encoding="utf-8"?>
<ds:datastoreItem xmlns:ds="http://schemas.openxmlformats.org/officeDocument/2006/customXml" ds:itemID="{3C9B7C0A-CA4E-4040-A94A-206B632D0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1b13d-89bf-4629-be1e-22fdf3dd3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2551</Words>
  <Characters>14036</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2023-01-10T21:18:00Z</cp:lastPrinted>
  <dcterms:created xsi:type="dcterms:W3CDTF">2025-01-16T21:21:00Z</dcterms:created>
  <dcterms:modified xsi:type="dcterms:W3CDTF">2025-01-17T14:14:00Z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0x0101009C830F35543C1B419FA171669882D1EB</vt:lpwstr>
  </property>
  <property fmtid="{D5CDD505-2E9C-101B-9397-08002B2CF9AE}" pid="3" name="MediaServiceImageTags">
    <vt:lpwstr/>
  </property>
</Properties>
</file>