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E87B1F" w:rsidR="002415B8" w:rsidP="008536BB" w:rsidRDefault="00B55C69" w14:paraId="363CAC71" w14:textId="5282EFA7">
      <w:pPr>
        <w:jc w:val="right"/>
        <w:rPr>
          <w:rFonts w:ascii="Arial" w:hAnsi="Arial" w:eastAsia="Calibri" w:cs="Arial"/>
          <w:b/>
          <w:color w:val="000000" w:themeColor="text1"/>
          <w:sz w:val="20"/>
          <w:szCs w:val="20"/>
          <w:lang w:val="es-ES_tradnl"/>
        </w:rPr>
      </w:pPr>
      <w:bookmarkStart w:name="_Hlk28946138" w:id="0"/>
      <w:bookmarkStart w:name="_Hlk29548183" w:id="1"/>
      <w:r w:rsidRPr="00E87B1F">
        <w:rPr>
          <w:rFonts w:ascii="Arial" w:hAnsi="Arial" w:cs="Arial"/>
          <w:bCs/>
          <w:color w:val="000000" w:themeColor="text1"/>
          <w:sz w:val="16"/>
          <w:szCs w:val="16"/>
          <w:lang w:val="es-ES_tradnl" w:eastAsia="es-ES"/>
        </w:rPr>
        <w:t>CCE-DES-FM-17</w:t>
      </w:r>
      <w:bookmarkEnd w:id="0"/>
      <w:bookmarkEnd w:id="1"/>
    </w:p>
    <w:p w:rsidRPr="00E87B1F" w:rsidR="008536BB" w:rsidP="00B95C30" w:rsidRDefault="008536BB" w14:paraId="55FBD910" w14:textId="77777777">
      <w:pPr>
        <w:spacing w:line="276" w:lineRule="auto"/>
        <w:jc w:val="both"/>
        <w:rPr>
          <w:rFonts w:ascii="Arial" w:hAnsi="Arial" w:cs="Arial"/>
          <w:noProof/>
          <w:color w:val="000000" w:themeColor="text1"/>
          <w:sz w:val="22"/>
          <w:lang w:val="es-ES_tradnl"/>
        </w:rPr>
      </w:pPr>
    </w:p>
    <w:p w:rsidRPr="00E87B1F" w:rsidR="00C978D4" w:rsidP="00C978D4" w:rsidRDefault="00272945" w14:paraId="6A654097" w14:textId="523CAACE">
      <w:pPr>
        <w:jc w:val="both"/>
        <w:rPr>
          <w:rFonts w:ascii="Arial" w:hAnsi="Arial" w:eastAsia="Calibri" w:cs="Arial"/>
          <w:b/>
          <w:sz w:val="22"/>
          <w:lang w:val="es-ES_tradnl"/>
        </w:rPr>
      </w:pPr>
      <w:r w:rsidRPr="00E87B1F">
        <w:rPr>
          <w:rFonts w:ascii="Arial" w:hAnsi="Arial" w:eastAsia="Calibri" w:cs="Arial"/>
          <w:b/>
          <w:sz w:val="22"/>
          <w:lang w:val="es-ES_tradnl"/>
        </w:rPr>
        <w:t>SELECCIÓN OBJETIVA</w:t>
      </w:r>
      <w:r w:rsidRPr="00E87B1F" w:rsidR="00C978D4">
        <w:rPr>
          <w:rFonts w:ascii="Arial" w:hAnsi="Arial" w:eastAsia="Calibri" w:cs="Arial"/>
          <w:b/>
          <w:sz w:val="22"/>
          <w:lang w:val="es-ES_tradnl"/>
        </w:rPr>
        <w:t xml:space="preserve"> </w:t>
      </w:r>
      <w:r w:rsidRPr="00E87B1F" w:rsidR="00C978D4">
        <w:rPr>
          <w:rFonts w:ascii="Arial" w:hAnsi="Arial" w:eastAsia="Calibri" w:cs="Arial"/>
          <w:b/>
          <w:color w:val="000000" w:themeColor="text1"/>
          <w:sz w:val="22"/>
          <w:lang w:val="es-ES_tradnl"/>
        </w:rPr>
        <w:t>–</w:t>
      </w:r>
      <w:r w:rsidRPr="00E87B1F" w:rsidR="00C978D4">
        <w:rPr>
          <w:rFonts w:ascii="Arial" w:hAnsi="Arial" w:eastAsia="Calibri" w:cs="Arial"/>
          <w:b/>
          <w:sz w:val="22"/>
          <w:lang w:val="es-ES_tradnl"/>
        </w:rPr>
        <w:t xml:space="preserve"> </w:t>
      </w:r>
      <w:r w:rsidRPr="00E87B1F" w:rsidR="00003D39">
        <w:rPr>
          <w:rFonts w:ascii="Arial" w:hAnsi="Arial" w:eastAsia="Calibri" w:cs="Arial"/>
          <w:b/>
          <w:sz w:val="22"/>
          <w:lang w:val="es-ES_tradnl"/>
        </w:rPr>
        <w:t>Contratación estatal</w:t>
      </w:r>
      <w:r w:rsidRPr="00E87B1F" w:rsidR="00616D7F">
        <w:rPr>
          <w:rFonts w:ascii="Arial" w:hAnsi="Arial" w:eastAsia="Calibri" w:cs="Arial"/>
          <w:b/>
          <w:sz w:val="22"/>
          <w:lang w:val="es-ES_tradnl"/>
        </w:rPr>
        <w:t xml:space="preserve"> </w:t>
      </w:r>
      <w:r w:rsidRPr="00E87B1F" w:rsidR="00C978D4">
        <w:rPr>
          <w:rFonts w:ascii="Arial" w:hAnsi="Arial" w:eastAsia="Calibri" w:cs="Arial"/>
          <w:b/>
          <w:color w:val="000000" w:themeColor="text1"/>
          <w:sz w:val="22"/>
          <w:lang w:val="es-ES_tradnl"/>
        </w:rPr>
        <w:t xml:space="preserve">– </w:t>
      </w:r>
      <w:r w:rsidRPr="00E87B1F">
        <w:rPr>
          <w:rFonts w:ascii="Arial" w:hAnsi="Arial" w:eastAsia="Calibri" w:cs="Arial"/>
          <w:b/>
          <w:color w:val="000000" w:themeColor="text1"/>
          <w:sz w:val="22"/>
          <w:lang w:val="es-ES_tradnl"/>
        </w:rPr>
        <w:t>Concepto</w:t>
      </w:r>
    </w:p>
    <w:p w:rsidRPr="00E87B1F" w:rsidR="00C978D4" w:rsidP="0099531F" w:rsidRDefault="00C978D4" w14:paraId="4AAB8DDD" w14:textId="537B898C">
      <w:pPr>
        <w:jc w:val="both"/>
        <w:rPr>
          <w:rFonts w:ascii="Arial" w:hAnsi="Arial" w:eastAsia="Calibri" w:cs="Arial"/>
          <w:b/>
          <w:sz w:val="22"/>
          <w:lang w:val="es-ES_tradnl"/>
        </w:rPr>
      </w:pPr>
    </w:p>
    <w:p w:rsidRPr="005419DA" w:rsidR="004F5D81" w:rsidP="004F5D81" w:rsidRDefault="004F5D81" w14:paraId="7FFB3C21" w14:textId="77777777">
      <w:pPr>
        <w:jc w:val="both"/>
        <w:rPr>
          <w:rFonts w:ascii="Arial" w:hAnsi="Arial" w:eastAsia="Calibri" w:cs="Arial"/>
          <w:sz w:val="20"/>
          <w:szCs w:val="20"/>
          <w:lang w:val="es-ES_tradnl"/>
        </w:rPr>
      </w:pPr>
      <w:r w:rsidRPr="005419DA">
        <w:rPr>
          <w:rFonts w:ascii="Arial" w:hAnsi="Arial" w:eastAsia="Calibri"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E87B1F" w:rsidR="00636F88" w:rsidP="0099531F" w:rsidRDefault="00636F88" w14:paraId="33E10CCB" w14:textId="73477A66">
      <w:pPr>
        <w:jc w:val="both"/>
        <w:rPr>
          <w:rFonts w:ascii="Arial" w:hAnsi="Arial" w:eastAsia="Calibri" w:cs="Arial"/>
          <w:b/>
          <w:sz w:val="22"/>
          <w:lang w:val="es-ES_tradnl"/>
        </w:rPr>
      </w:pPr>
    </w:p>
    <w:p w:rsidRPr="00E87B1F" w:rsidR="00272945" w:rsidP="00272945" w:rsidRDefault="00B54215" w14:paraId="73365DCF" w14:textId="63E2A713">
      <w:pPr>
        <w:jc w:val="both"/>
        <w:rPr>
          <w:rFonts w:ascii="Arial" w:hAnsi="Arial" w:eastAsia="Calibri" w:cs="Arial"/>
          <w:b/>
          <w:sz w:val="22"/>
          <w:lang w:val="es-ES_tradnl"/>
        </w:rPr>
      </w:pPr>
      <w:r w:rsidRPr="00E87B1F">
        <w:rPr>
          <w:rFonts w:ascii="Arial" w:hAnsi="Arial" w:eastAsia="Calibri" w:cs="Arial"/>
          <w:b/>
          <w:sz w:val="22"/>
          <w:lang w:val="es-ES_tradnl"/>
        </w:rPr>
        <w:t>EMPATE</w:t>
      </w:r>
      <w:r w:rsidRPr="00E87B1F" w:rsidR="00272945">
        <w:rPr>
          <w:rFonts w:ascii="Arial" w:hAnsi="Arial" w:eastAsia="Calibri" w:cs="Arial"/>
          <w:b/>
          <w:sz w:val="22"/>
          <w:lang w:val="es-ES_tradnl"/>
        </w:rPr>
        <w:t xml:space="preserve"> </w:t>
      </w:r>
      <w:r w:rsidRPr="00E87B1F" w:rsidR="00272945">
        <w:rPr>
          <w:rFonts w:ascii="Arial" w:hAnsi="Arial" w:eastAsia="Calibri" w:cs="Arial"/>
          <w:b/>
          <w:color w:val="000000" w:themeColor="text1"/>
          <w:sz w:val="22"/>
          <w:lang w:val="es-ES_tradnl"/>
        </w:rPr>
        <w:t>–</w:t>
      </w:r>
      <w:r w:rsidRPr="00E87B1F" w:rsidR="00272945">
        <w:rPr>
          <w:rFonts w:ascii="Arial" w:hAnsi="Arial" w:eastAsia="Calibri" w:cs="Arial"/>
          <w:b/>
          <w:sz w:val="22"/>
          <w:lang w:val="es-ES_tradnl"/>
        </w:rPr>
        <w:t xml:space="preserve"> </w:t>
      </w:r>
      <w:r w:rsidRPr="00E87B1F">
        <w:rPr>
          <w:rFonts w:ascii="Arial" w:hAnsi="Arial" w:eastAsia="Calibri" w:cs="Arial"/>
          <w:b/>
          <w:sz w:val="22"/>
          <w:lang w:val="es-ES_tradnl"/>
        </w:rPr>
        <w:t>Procedimiento de selección</w:t>
      </w:r>
      <w:r w:rsidRPr="00E87B1F" w:rsidR="00272945">
        <w:rPr>
          <w:rFonts w:ascii="Arial" w:hAnsi="Arial" w:eastAsia="Calibri" w:cs="Arial"/>
          <w:b/>
          <w:sz w:val="22"/>
          <w:lang w:val="es-ES_tradnl"/>
        </w:rPr>
        <w:t xml:space="preserve"> </w:t>
      </w:r>
      <w:r w:rsidRPr="00E87B1F" w:rsidR="00272945">
        <w:rPr>
          <w:rFonts w:ascii="Arial" w:hAnsi="Arial" w:eastAsia="Calibri" w:cs="Arial"/>
          <w:b/>
          <w:color w:val="000000" w:themeColor="text1"/>
          <w:sz w:val="22"/>
          <w:lang w:val="es-ES_tradnl"/>
        </w:rPr>
        <w:t>– Concepto</w:t>
      </w:r>
    </w:p>
    <w:p w:rsidRPr="00E87B1F" w:rsidR="00272945" w:rsidP="0099531F" w:rsidRDefault="00272945" w14:paraId="182F8CB9" w14:textId="246E5B50">
      <w:pPr>
        <w:jc w:val="both"/>
        <w:rPr>
          <w:rFonts w:ascii="Arial" w:hAnsi="Arial" w:eastAsia="Calibri" w:cs="Arial"/>
          <w:b/>
          <w:sz w:val="22"/>
          <w:lang w:val="es-ES_tradnl"/>
        </w:rPr>
      </w:pPr>
    </w:p>
    <w:p w:rsidRPr="005419DA" w:rsidR="00ED2476" w:rsidP="00ED2476" w:rsidRDefault="00ED2476" w14:paraId="43487301" w14:textId="77777777">
      <w:pPr>
        <w:jc w:val="both"/>
        <w:rPr>
          <w:rFonts w:ascii="Arial" w:hAnsi="Arial" w:cs="Arial"/>
          <w:noProof/>
          <w:color w:val="000000" w:themeColor="text1"/>
          <w:sz w:val="22"/>
          <w:lang w:val="es-ES_tradnl"/>
        </w:rPr>
      </w:pPr>
      <w:r w:rsidRPr="005419DA">
        <w:rPr>
          <w:rFonts w:ascii="Arial" w:hAnsi="Arial" w:eastAsia="Calibri"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rsidRPr="00E87B1F" w:rsidR="006F71F5" w:rsidP="00B95C30" w:rsidRDefault="006F71F5" w14:paraId="29DD8E0A" w14:textId="5F79A1BF">
      <w:pPr>
        <w:spacing w:line="276" w:lineRule="auto"/>
        <w:jc w:val="both"/>
        <w:rPr>
          <w:rFonts w:ascii="Arial" w:hAnsi="Arial" w:cs="Arial"/>
          <w:noProof/>
          <w:color w:val="000000" w:themeColor="text1"/>
          <w:sz w:val="22"/>
          <w:lang w:val="es-ES_tradnl"/>
        </w:rPr>
      </w:pPr>
    </w:p>
    <w:p w:rsidRPr="00E87B1F" w:rsidR="00DF71EA" w:rsidP="00DF71EA" w:rsidRDefault="00D73881" w14:paraId="04086EC5" w14:textId="04F7FF6D">
      <w:pPr>
        <w:jc w:val="both"/>
        <w:rPr>
          <w:rFonts w:ascii="Arial" w:hAnsi="Arial" w:eastAsia="Calibri" w:cs="Arial"/>
          <w:b/>
          <w:sz w:val="22"/>
          <w:lang w:val="es-ES_tradnl"/>
        </w:rPr>
      </w:pPr>
      <w:r w:rsidRPr="00E87B1F">
        <w:rPr>
          <w:rFonts w:ascii="Arial" w:hAnsi="Arial" w:eastAsia="Calibri" w:cs="Arial"/>
          <w:b/>
          <w:sz w:val="22"/>
          <w:lang w:val="es-ES_tradnl"/>
        </w:rPr>
        <w:t>FACTORES DE DESEMPATE</w:t>
      </w:r>
      <w:r w:rsidRPr="00E87B1F" w:rsidR="00DF71EA">
        <w:rPr>
          <w:rFonts w:ascii="Arial" w:hAnsi="Arial" w:eastAsia="Calibri" w:cs="Arial"/>
          <w:b/>
          <w:sz w:val="22"/>
          <w:lang w:val="es-ES_tradnl"/>
        </w:rPr>
        <w:t xml:space="preserve"> </w:t>
      </w:r>
      <w:r w:rsidRPr="00E87B1F" w:rsidR="00DF71EA">
        <w:rPr>
          <w:rFonts w:ascii="Arial" w:hAnsi="Arial" w:eastAsia="Calibri" w:cs="Arial"/>
          <w:b/>
          <w:color w:val="000000" w:themeColor="text1"/>
          <w:sz w:val="22"/>
          <w:lang w:val="es-ES_tradnl"/>
        </w:rPr>
        <w:t>–</w:t>
      </w:r>
      <w:r w:rsidRPr="00E87B1F" w:rsidR="00DF71EA">
        <w:rPr>
          <w:rFonts w:ascii="Arial" w:hAnsi="Arial" w:eastAsia="Calibri" w:cs="Arial"/>
          <w:b/>
          <w:sz w:val="22"/>
          <w:lang w:val="es-ES_tradnl"/>
        </w:rPr>
        <w:t xml:space="preserve"> </w:t>
      </w:r>
      <w:r w:rsidRPr="00E87B1F">
        <w:rPr>
          <w:rFonts w:ascii="Arial" w:hAnsi="Arial" w:eastAsia="Calibri" w:cs="Arial"/>
          <w:b/>
          <w:sz w:val="22"/>
          <w:lang w:val="es-ES_tradnl"/>
        </w:rPr>
        <w:t>Características</w:t>
      </w:r>
      <w:r w:rsidRPr="00E87B1F" w:rsidR="00DF71EA">
        <w:rPr>
          <w:rFonts w:ascii="Arial" w:hAnsi="Arial" w:eastAsia="Calibri" w:cs="Arial"/>
          <w:b/>
          <w:sz w:val="22"/>
          <w:lang w:val="es-ES_tradnl"/>
        </w:rPr>
        <w:t xml:space="preserve"> </w:t>
      </w:r>
      <w:r w:rsidRPr="00E87B1F" w:rsidR="00DF71EA">
        <w:rPr>
          <w:rFonts w:ascii="Arial" w:hAnsi="Arial" w:eastAsia="Calibri" w:cs="Arial"/>
          <w:b/>
          <w:color w:val="000000" w:themeColor="text1"/>
          <w:sz w:val="22"/>
          <w:lang w:val="es-ES_tradnl"/>
        </w:rPr>
        <w:t xml:space="preserve">– </w:t>
      </w:r>
      <w:r w:rsidRPr="00E87B1F">
        <w:rPr>
          <w:rFonts w:ascii="Arial" w:hAnsi="Arial" w:eastAsia="Calibri" w:cs="Arial"/>
          <w:b/>
          <w:color w:val="000000" w:themeColor="text1"/>
          <w:sz w:val="22"/>
          <w:lang w:val="es-ES_tradnl"/>
        </w:rPr>
        <w:t>Límites</w:t>
      </w:r>
    </w:p>
    <w:p w:rsidRPr="00E87B1F" w:rsidR="00DF71EA" w:rsidP="00B95C30" w:rsidRDefault="00DF71EA" w14:paraId="583F00A4" w14:textId="390EB1EB">
      <w:pPr>
        <w:spacing w:line="276" w:lineRule="auto"/>
        <w:jc w:val="both"/>
        <w:rPr>
          <w:rFonts w:ascii="Arial" w:hAnsi="Arial" w:cs="Arial"/>
          <w:noProof/>
          <w:color w:val="000000" w:themeColor="text1"/>
          <w:sz w:val="22"/>
          <w:lang w:val="es-ES_tradnl"/>
        </w:rPr>
      </w:pPr>
    </w:p>
    <w:p w:rsidRPr="005419DA" w:rsidR="006C0CD2" w:rsidP="006C0CD2" w:rsidRDefault="006C0CD2" w14:paraId="47A65B14" w14:textId="77777777">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Pr>
          <w:rFonts w:ascii="Arial" w:hAnsi="Arial" w:eastAsia="Calibri" w:cs="Arial"/>
          <w:sz w:val="20"/>
          <w:szCs w:val="20"/>
          <w:lang w:val="es-ES_tradnl"/>
        </w:rPr>
        <w:t>2069</w:t>
      </w:r>
      <w:r w:rsidRPr="005419DA">
        <w:rPr>
          <w:rFonts w:ascii="Arial" w:hAnsi="Arial" w:eastAsia="Calibri" w:cs="Arial"/>
          <w:sz w:val="20"/>
          <w:szCs w:val="20"/>
          <w:lang w:val="es-ES_tradnl"/>
        </w:rPr>
        <w:t xml:space="preserve"> de 2020. La </w:t>
      </w:r>
      <w:r>
        <w:rPr>
          <w:rFonts w:ascii="Arial" w:hAnsi="Arial" w:eastAsia="Calibri" w:cs="Arial"/>
          <w:sz w:val="20"/>
          <w:szCs w:val="20"/>
          <w:lang w:val="es-ES_tradnl"/>
        </w:rPr>
        <w:t>jurisprudencia</w:t>
      </w:r>
      <w:r w:rsidRPr="005419DA">
        <w:rPr>
          <w:rFonts w:ascii="Arial" w:hAnsi="Arial" w:eastAsia="Calibri" w:cs="Arial"/>
          <w:sz w:val="20"/>
          <w:szCs w:val="20"/>
          <w:lang w:val="es-ES_tradnl"/>
        </w:rPr>
        <w:t xml:space="preserve"> comparte la idea de que los criterios de desempate deben estar establecidos de antemano y constituyen un límite a la discrecionalidad administrativa en los procedimientos de selección.</w:t>
      </w:r>
    </w:p>
    <w:p w:rsidRPr="005419DA" w:rsidR="006C0CD2" w:rsidP="006C0CD2" w:rsidRDefault="006C0CD2" w14:paraId="5400EA6D" w14:textId="77777777">
      <w:pPr>
        <w:jc w:val="both"/>
        <w:rPr>
          <w:rFonts w:ascii="Arial" w:hAnsi="Arial" w:eastAsia="Calibri" w:cs="Arial"/>
          <w:sz w:val="20"/>
          <w:szCs w:val="20"/>
          <w:lang w:val="es-ES_tradnl"/>
        </w:rPr>
      </w:pPr>
    </w:p>
    <w:p w:rsidRPr="005419DA" w:rsidR="006C0CD2" w:rsidP="006C0CD2" w:rsidRDefault="006C0CD2" w14:paraId="422E4179" w14:textId="77777777">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rsidRPr="00E87B1F" w:rsidR="00D73881" w:rsidP="00B95C30" w:rsidRDefault="00D73881" w14:paraId="03CC5C7E" w14:textId="460BCC05">
      <w:pPr>
        <w:spacing w:line="276" w:lineRule="auto"/>
        <w:jc w:val="both"/>
        <w:rPr>
          <w:rFonts w:ascii="Arial" w:hAnsi="Arial" w:cs="Arial"/>
          <w:noProof/>
          <w:color w:val="000000" w:themeColor="text1"/>
          <w:sz w:val="22"/>
          <w:lang w:val="es-ES_tradnl"/>
        </w:rPr>
      </w:pPr>
    </w:p>
    <w:p w:rsidR="00097D0B" w:rsidP="00D73881" w:rsidRDefault="00097D0B" w14:paraId="27B2C4E0" w14:textId="77777777">
      <w:pPr>
        <w:jc w:val="both"/>
        <w:rPr>
          <w:rFonts w:ascii="Arial" w:hAnsi="Arial" w:eastAsia="Calibri" w:cs="Arial"/>
          <w:b/>
          <w:sz w:val="22"/>
          <w:lang w:val="es-ES_tradnl"/>
        </w:rPr>
      </w:pPr>
    </w:p>
    <w:p w:rsidR="00097D0B" w:rsidP="00D73881" w:rsidRDefault="00097D0B" w14:paraId="409BF5E3" w14:textId="77777777">
      <w:pPr>
        <w:jc w:val="both"/>
        <w:rPr>
          <w:rFonts w:ascii="Arial" w:hAnsi="Arial" w:eastAsia="Calibri" w:cs="Arial"/>
          <w:b/>
          <w:sz w:val="22"/>
          <w:lang w:val="es-ES_tradnl"/>
        </w:rPr>
      </w:pPr>
    </w:p>
    <w:p w:rsidRPr="00E87B1F" w:rsidR="00D73881" w:rsidP="00D73881" w:rsidRDefault="00D73881" w14:paraId="7144E95B" w14:textId="53EFBAC6">
      <w:pPr>
        <w:jc w:val="both"/>
        <w:rPr>
          <w:rFonts w:ascii="Arial" w:hAnsi="Arial" w:eastAsia="Calibri" w:cs="Arial"/>
          <w:b/>
          <w:sz w:val="22"/>
          <w:lang w:val="es-ES_tradnl"/>
        </w:rPr>
      </w:pPr>
      <w:r w:rsidRPr="00E87B1F">
        <w:rPr>
          <w:rFonts w:ascii="Arial" w:hAnsi="Arial" w:eastAsia="Calibri" w:cs="Arial"/>
          <w:b/>
          <w:sz w:val="22"/>
          <w:lang w:val="es-ES_tradnl"/>
        </w:rPr>
        <w:lastRenderedPageBreak/>
        <w:t xml:space="preserve">LEY DE EMPRENDIMIENTO </w:t>
      </w:r>
      <w:r w:rsidRPr="00E87B1F">
        <w:rPr>
          <w:rFonts w:ascii="Arial" w:hAnsi="Arial" w:eastAsia="Calibri" w:cs="Arial"/>
          <w:b/>
          <w:color w:val="000000" w:themeColor="text1"/>
          <w:sz w:val="22"/>
          <w:lang w:val="es-ES_tradnl"/>
        </w:rPr>
        <w:t>–</w:t>
      </w:r>
      <w:r w:rsidRPr="00E87B1F">
        <w:rPr>
          <w:rFonts w:ascii="Arial" w:hAnsi="Arial" w:eastAsia="Calibri" w:cs="Arial"/>
          <w:b/>
          <w:sz w:val="22"/>
          <w:lang w:val="es-ES_tradnl"/>
        </w:rPr>
        <w:t xml:space="preserve"> Ley </w:t>
      </w:r>
      <w:r w:rsidR="00C933D1">
        <w:rPr>
          <w:rFonts w:ascii="Arial" w:hAnsi="Arial" w:eastAsia="Calibri" w:cs="Arial"/>
          <w:b/>
          <w:sz w:val="22"/>
          <w:lang w:val="es-ES_tradnl"/>
        </w:rPr>
        <w:t>2069</w:t>
      </w:r>
      <w:r w:rsidRPr="00E87B1F">
        <w:rPr>
          <w:rFonts w:ascii="Arial" w:hAnsi="Arial" w:eastAsia="Calibri" w:cs="Arial"/>
          <w:b/>
          <w:sz w:val="22"/>
          <w:lang w:val="es-ES_tradnl"/>
        </w:rPr>
        <w:t xml:space="preserve"> de 2020 </w:t>
      </w:r>
      <w:r w:rsidRPr="00E87B1F">
        <w:rPr>
          <w:rFonts w:ascii="Arial" w:hAnsi="Arial" w:eastAsia="Calibri" w:cs="Arial"/>
          <w:b/>
          <w:color w:val="000000" w:themeColor="text1"/>
          <w:sz w:val="22"/>
          <w:lang w:val="es-ES_tradnl"/>
        </w:rPr>
        <w:t xml:space="preserve">– Vigencia </w:t>
      </w:r>
    </w:p>
    <w:p w:rsidRPr="00E87B1F" w:rsidR="00D73881" w:rsidP="00D73881" w:rsidRDefault="00D73881" w14:paraId="0D3B8DEB" w14:textId="33C83BCF">
      <w:pPr>
        <w:jc w:val="both"/>
        <w:rPr>
          <w:rFonts w:ascii="Arial" w:hAnsi="Arial" w:eastAsia="Calibri" w:cs="Arial"/>
          <w:b/>
          <w:sz w:val="22"/>
          <w:lang w:val="es-ES_tradnl"/>
        </w:rPr>
      </w:pPr>
    </w:p>
    <w:p w:rsidRPr="005419DA" w:rsidR="0000201B" w:rsidP="0000201B" w:rsidRDefault="0000201B" w14:paraId="265AEB24" w14:textId="77777777">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El 31 de diciembre de 2020 se promulgó la Ley </w:t>
      </w:r>
      <w:r>
        <w:rPr>
          <w:rFonts w:ascii="Arial" w:hAnsi="Arial" w:eastAsia="Calibri" w:cs="Arial"/>
          <w:sz w:val="20"/>
          <w:szCs w:val="20"/>
          <w:lang w:val="es-ES_tradnl"/>
        </w:rPr>
        <w:t>2069</w:t>
      </w:r>
      <w:r w:rsidRPr="005419DA">
        <w:rPr>
          <w:rFonts w:ascii="Arial" w:hAnsi="Arial" w:eastAsia="Calibri"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rsidRPr="005419DA" w:rsidR="0000201B" w:rsidP="0000201B" w:rsidRDefault="0000201B" w14:paraId="08FB8425" w14:textId="77777777">
      <w:pPr>
        <w:jc w:val="both"/>
        <w:rPr>
          <w:rFonts w:ascii="Arial" w:hAnsi="Arial" w:eastAsia="Calibri" w:cs="Arial"/>
          <w:sz w:val="20"/>
          <w:szCs w:val="20"/>
          <w:lang w:val="es-ES_tradnl"/>
        </w:rPr>
      </w:pPr>
    </w:p>
    <w:p w:rsidRPr="00E87B1F" w:rsidR="008410B1" w:rsidP="008410B1" w:rsidRDefault="0000201B" w14:paraId="23AB3850" w14:textId="67E92F0F">
      <w:pPr>
        <w:jc w:val="both"/>
        <w:rPr>
          <w:rFonts w:ascii="Arial" w:hAnsi="Arial" w:eastAsia="Calibri" w:cs="Arial"/>
          <w:sz w:val="20"/>
          <w:szCs w:val="20"/>
          <w:lang w:val="es-ES_tradnl"/>
        </w:rPr>
      </w:pPr>
      <w:r w:rsidRPr="005419DA">
        <w:rPr>
          <w:rFonts w:ascii="Arial" w:hAnsi="Arial" w:eastAsia="Calibri"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hAnsi="Arial" w:eastAsia="Calibri" w:cs="Arial"/>
          <w:sz w:val="20"/>
          <w:szCs w:val="20"/>
          <w:lang w:val="es-ES_tradnl"/>
        </w:rPr>
        <w:t>mipymes</w:t>
      </w:r>
      <w:proofErr w:type="spellEnd"/>
      <w:r w:rsidRPr="005419DA">
        <w:rPr>
          <w:rFonts w:ascii="Arial" w:hAnsi="Arial" w:eastAsia="Calibri"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rsidRPr="00E87B1F" w:rsidR="008410B1" w:rsidP="008410B1" w:rsidRDefault="008410B1" w14:paraId="7B24A529" w14:textId="77777777">
      <w:pPr>
        <w:jc w:val="both"/>
        <w:rPr>
          <w:rFonts w:ascii="Arial" w:hAnsi="Arial" w:eastAsia="Calibri" w:cs="Arial"/>
          <w:b/>
          <w:sz w:val="22"/>
          <w:lang w:val="es-ES_tradnl"/>
        </w:rPr>
      </w:pPr>
    </w:p>
    <w:p w:rsidRPr="00E87B1F" w:rsidR="00D73881" w:rsidP="00D73881" w:rsidRDefault="00D73881" w14:paraId="5C894141" w14:textId="71814246">
      <w:pPr>
        <w:jc w:val="both"/>
        <w:rPr>
          <w:rFonts w:ascii="Arial" w:hAnsi="Arial" w:eastAsia="Calibri" w:cs="Arial"/>
          <w:b/>
          <w:sz w:val="22"/>
          <w:lang w:val="es-ES_tradnl"/>
        </w:rPr>
      </w:pPr>
      <w:r w:rsidRPr="00E87B1F">
        <w:rPr>
          <w:rFonts w:ascii="Arial" w:hAnsi="Arial" w:eastAsia="Calibri" w:cs="Arial"/>
          <w:b/>
          <w:sz w:val="22"/>
          <w:lang w:val="es-ES_tradnl"/>
        </w:rPr>
        <w:t xml:space="preserve">FACTORES DE DESEMPATE </w:t>
      </w:r>
      <w:r w:rsidRPr="00E87B1F">
        <w:rPr>
          <w:rFonts w:ascii="Arial" w:hAnsi="Arial" w:eastAsia="Calibri" w:cs="Arial"/>
          <w:b/>
          <w:color w:val="000000" w:themeColor="text1"/>
          <w:sz w:val="22"/>
          <w:lang w:val="es-ES_tradnl"/>
        </w:rPr>
        <w:t>–</w:t>
      </w:r>
      <w:r w:rsidRPr="00E87B1F">
        <w:rPr>
          <w:rFonts w:ascii="Arial" w:hAnsi="Arial" w:eastAsia="Calibri" w:cs="Arial"/>
          <w:b/>
          <w:sz w:val="22"/>
          <w:lang w:val="es-ES_tradnl"/>
        </w:rPr>
        <w:t xml:space="preserve"> Ley </w:t>
      </w:r>
      <w:r w:rsidR="00C933D1">
        <w:rPr>
          <w:rFonts w:ascii="Arial" w:hAnsi="Arial" w:eastAsia="Calibri" w:cs="Arial"/>
          <w:b/>
          <w:sz w:val="22"/>
          <w:lang w:val="es-ES_tradnl"/>
        </w:rPr>
        <w:t>2069</w:t>
      </w:r>
      <w:r w:rsidRPr="00E87B1F">
        <w:rPr>
          <w:rFonts w:ascii="Arial" w:hAnsi="Arial" w:eastAsia="Calibri" w:cs="Arial"/>
          <w:b/>
          <w:sz w:val="22"/>
          <w:lang w:val="es-ES_tradnl"/>
        </w:rPr>
        <w:t xml:space="preserve"> </w:t>
      </w:r>
      <w:r w:rsidRPr="00E87B1F">
        <w:rPr>
          <w:rFonts w:ascii="Arial" w:hAnsi="Arial" w:eastAsia="Calibri" w:cs="Arial"/>
          <w:b/>
          <w:color w:val="000000" w:themeColor="text1"/>
          <w:sz w:val="22"/>
          <w:lang w:val="es-ES_tradnl"/>
        </w:rPr>
        <w:t>– Artículo 35 – Acreditación</w:t>
      </w:r>
    </w:p>
    <w:p w:rsidRPr="00E87B1F" w:rsidR="00D73881" w:rsidP="00B95C30" w:rsidRDefault="00D73881" w14:paraId="4D9EB4C1" w14:textId="20D03020">
      <w:pPr>
        <w:spacing w:line="276" w:lineRule="auto"/>
        <w:jc w:val="both"/>
        <w:rPr>
          <w:rFonts w:ascii="Arial" w:hAnsi="Arial" w:cs="Arial"/>
          <w:noProof/>
          <w:color w:val="000000" w:themeColor="text1"/>
          <w:sz w:val="22"/>
          <w:lang w:val="es-ES_tradnl"/>
        </w:rPr>
      </w:pPr>
    </w:p>
    <w:p w:rsidRPr="005419DA" w:rsidR="00BB7647" w:rsidP="00BB7647" w:rsidRDefault="00BB7647" w14:paraId="3CC5889A" w14:textId="77777777">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Pr>
          <w:rFonts w:ascii="Arial" w:hAnsi="Arial" w:eastAsia="Calibri" w:cs="Arial"/>
          <w:sz w:val="20"/>
          <w:szCs w:val="20"/>
          <w:lang w:val="es-ES_tradnl"/>
        </w:rPr>
        <w:t>2069</w:t>
      </w:r>
      <w:r w:rsidRPr="005419DA">
        <w:rPr>
          <w:rFonts w:ascii="Arial" w:hAnsi="Arial" w:eastAsia="Calibri"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rsidR="003C5E8A" w:rsidP="003C5E8A" w:rsidRDefault="003C5E8A" w14:paraId="53B8D6C5" w14:textId="494AA120">
      <w:pPr>
        <w:jc w:val="both"/>
        <w:rPr>
          <w:rFonts w:ascii="Arial" w:hAnsi="Arial" w:eastAsia="Calibri" w:cs="Arial"/>
          <w:sz w:val="20"/>
          <w:szCs w:val="20"/>
          <w:lang w:val="es-ES_tradnl"/>
        </w:rPr>
      </w:pPr>
    </w:p>
    <w:p w:rsidR="00BB7647" w:rsidP="003C5E8A" w:rsidRDefault="00BB7647" w14:paraId="4F1435CC" w14:textId="55609F89">
      <w:pPr>
        <w:jc w:val="both"/>
        <w:rPr>
          <w:rFonts w:ascii="Arial" w:hAnsi="Arial" w:eastAsia="Calibri" w:cs="Arial"/>
          <w:sz w:val="20"/>
          <w:szCs w:val="20"/>
          <w:lang w:val="es-ES_tradnl"/>
        </w:rPr>
      </w:pPr>
    </w:p>
    <w:p w:rsidR="00BB7647" w:rsidP="003C5E8A" w:rsidRDefault="00BB7647" w14:paraId="76D52F18" w14:textId="6B7CB43C">
      <w:pPr>
        <w:jc w:val="both"/>
        <w:rPr>
          <w:rFonts w:ascii="Arial" w:hAnsi="Arial" w:eastAsia="Calibri" w:cs="Arial"/>
          <w:sz w:val="20"/>
          <w:szCs w:val="20"/>
          <w:lang w:val="es-ES_tradnl"/>
        </w:rPr>
      </w:pPr>
    </w:p>
    <w:p w:rsidR="00BB7647" w:rsidP="003C5E8A" w:rsidRDefault="00BB7647" w14:paraId="2A1B6034" w14:textId="77466ED9">
      <w:pPr>
        <w:jc w:val="both"/>
        <w:rPr>
          <w:rFonts w:ascii="Arial" w:hAnsi="Arial" w:eastAsia="Calibri" w:cs="Arial"/>
          <w:sz w:val="20"/>
          <w:szCs w:val="20"/>
          <w:lang w:val="es-ES_tradnl"/>
        </w:rPr>
      </w:pPr>
    </w:p>
    <w:p w:rsidR="00BB7647" w:rsidP="003C5E8A" w:rsidRDefault="00BB7647" w14:paraId="6417715E" w14:textId="72650AC6">
      <w:pPr>
        <w:jc w:val="both"/>
        <w:rPr>
          <w:rFonts w:ascii="Arial" w:hAnsi="Arial" w:eastAsia="Calibri" w:cs="Arial"/>
          <w:sz w:val="20"/>
          <w:szCs w:val="20"/>
          <w:lang w:val="es-ES_tradnl"/>
        </w:rPr>
      </w:pPr>
    </w:p>
    <w:p w:rsidRPr="00E87B1F" w:rsidR="00BB7647" w:rsidP="003C5E8A" w:rsidRDefault="00BB7647" w14:paraId="295B2FCA" w14:textId="77777777">
      <w:pPr>
        <w:jc w:val="both"/>
        <w:rPr>
          <w:rFonts w:ascii="Arial" w:hAnsi="Arial" w:eastAsia="Calibri" w:cs="Arial"/>
          <w:sz w:val="20"/>
          <w:szCs w:val="20"/>
          <w:lang w:val="es-ES_tradnl"/>
        </w:rPr>
      </w:pPr>
    </w:p>
    <w:p w:rsidRPr="00E87B1F" w:rsidR="00B167C8" w:rsidP="00B95C30" w:rsidRDefault="00B167C8" w14:paraId="5B078637" w14:textId="77777777">
      <w:pPr>
        <w:spacing w:line="276" w:lineRule="auto"/>
        <w:jc w:val="both"/>
        <w:rPr>
          <w:rFonts w:ascii="Arial" w:hAnsi="Arial" w:cs="Arial"/>
          <w:noProof/>
          <w:color w:val="000000" w:themeColor="text1"/>
          <w:sz w:val="22"/>
          <w:lang w:val="es-ES_tradnl"/>
        </w:rPr>
      </w:pPr>
    </w:p>
    <w:p w:rsidRPr="00E87B1F" w:rsidR="00B167C8" w:rsidP="00B95C30" w:rsidRDefault="00B167C8" w14:paraId="13C27EB7" w14:textId="77777777">
      <w:pPr>
        <w:spacing w:line="276" w:lineRule="auto"/>
        <w:jc w:val="both"/>
        <w:rPr>
          <w:rFonts w:ascii="Arial" w:hAnsi="Arial" w:cs="Arial"/>
          <w:noProof/>
          <w:color w:val="000000" w:themeColor="text1"/>
          <w:sz w:val="22"/>
          <w:lang w:val="es-ES_tradnl"/>
        </w:rPr>
      </w:pPr>
    </w:p>
    <w:p w:rsidRPr="00E87B1F" w:rsidR="00B167C8" w:rsidP="00B95C30" w:rsidRDefault="00B167C8" w14:paraId="0AB212D3" w14:textId="77777777">
      <w:pPr>
        <w:spacing w:line="276" w:lineRule="auto"/>
        <w:jc w:val="both"/>
        <w:rPr>
          <w:rFonts w:ascii="Arial" w:hAnsi="Arial" w:cs="Arial"/>
          <w:noProof/>
          <w:color w:val="000000" w:themeColor="text1"/>
          <w:sz w:val="22"/>
          <w:lang w:val="es-ES_tradnl"/>
        </w:rPr>
      </w:pPr>
    </w:p>
    <w:p w:rsidRPr="00E87B1F" w:rsidR="00B167C8" w:rsidP="00B95C30" w:rsidRDefault="00B167C8" w14:paraId="5B23BC21" w14:textId="77777777">
      <w:pPr>
        <w:spacing w:line="276" w:lineRule="auto"/>
        <w:jc w:val="both"/>
        <w:rPr>
          <w:rFonts w:ascii="Arial" w:hAnsi="Arial" w:cs="Arial"/>
          <w:noProof/>
          <w:color w:val="000000" w:themeColor="text1"/>
          <w:sz w:val="22"/>
          <w:lang w:val="es-ES_tradnl"/>
        </w:rPr>
      </w:pPr>
    </w:p>
    <w:p w:rsidR="0025582C" w:rsidP="00B95C30" w:rsidRDefault="0025582C" w14:paraId="7ADB5119" w14:textId="77777777">
      <w:pPr>
        <w:spacing w:line="276" w:lineRule="auto"/>
        <w:jc w:val="both"/>
        <w:rPr>
          <w:rFonts w:ascii="Arial" w:hAnsi="Arial" w:cs="Arial"/>
          <w:noProof/>
          <w:color w:val="000000" w:themeColor="text1"/>
          <w:sz w:val="22"/>
          <w:lang w:val="es-ES_tradnl"/>
        </w:rPr>
      </w:pPr>
    </w:p>
    <w:p w:rsidR="0025582C" w:rsidP="00B95C30" w:rsidRDefault="0025582C" w14:paraId="38BE09ED" w14:textId="77777777">
      <w:pPr>
        <w:spacing w:line="276" w:lineRule="auto"/>
        <w:jc w:val="both"/>
        <w:rPr>
          <w:rFonts w:ascii="Arial" w:hAnsi="Arial" w:cs="Arial"/>
          <w:noProof/>
          <w:color w:val="000000" w:themeColor="text1"/>
          <w:sz w:val="22"/>
          <w:lang w:val="es-ES_tradnl"/>
        </w:rPr>
      </w:pPr>
    </w:p>
    <w:p w:rsidRPr="00E87B1F" w:rsidR="00B95C30" w:rsidP="00B95C30" w:rsidRDefault="00B95C30" w14:paraId="7DD48F49" w14:textId="706088D8">
      <w:pPr>
        <w:spacing w:line="276" w:lineRule="auto"/>
        <w:jc w:val="both"/>
        <w:rPr>
          <w:rFonts w:ascii="Arial" w:hAnsi="Arial" w:eastAsia="Calibri" w:cs="Arial"/>
          <w:noProof/>
          <w:color w:val="000000" w:themeColor="text1"/>
          <w:sz w:val="20"/>
          <w:lang w:val="es-ES_tradnl"/>
        </w:rPr>
      </w:pPr>
      <w:r w:rsidRPr="00E87B1F">
        <w:rPr>
          <w:rFonts w:ascii="Arial" w:hAnsi="Arial" w:cs="Arial"/>
          <w:noProof/>
          <w:color w:val="000000" w:themeColor="text1"/>
          <w:sz w:val="22"/>
          <w:lang w:val="es-ES_tradnl"/>
        </w:rPr>
        <w:lastRenderedPageBreak/>
        <w:t xml:space="preserve">Bogotá D.C., </w:t>
      </w:r>
      <w:r w:rsidR="00EF0184">
        <w:rPr>
          <w:rFonts w:ascii="Arial" w:hAnsi="Arial" w:cs="Arial"/>
          <w:b/>
          <w:bCs/>
          <w:noProof/>
          <w:color w:val="000000" w:themeColor="text1"/>
          <w:sz w:val="22"/>
          <w:lang w:val="es-ES_tradnl"/>
        </w:rPr>
        <w:t>04/02/2021</w:t>
      </w:r>
      <w:r w:rsidR="009D0200">
        <w:rPr>
          <w:rFonts w:ascii="Arial" w:hAnsi="Arial" w:cs="Arial"/>
          <w:b/>
          <w:bCs/>
          <w:noProof/>
          <w:color w:val="000000" w:themeColor="text1"/>
          <w:sz w:val="22"/>
          <w:lang w:val="es-ES_tradnl"/>
        </w:rPr>
        <w:t xml:space="preserve"> 16:12:45</w:t>
      </w:r>
    </w:p>
    <w:p w:rsidRPr="009C2EBD" w:rsidR="009C2EBD" w:rsidP="009C2EBD" w:rsidRDefault="009C2EBD" w14:paraId="5B55AC01" w14:textId="015083C3">
      <w:pPr>
        <w:jc w:val="right"/>
      </w:pPr>
      <w:r>
        <w:fldChar w:fldCharType="begin"/>
      </w:r>
      <w:r>
        <w:instrText xml:space="preserve"> INCLUDEPICTURE "/var/folders/5l/v1rdjm0x1x9416lmbj7_vjt40000gn/T/com.microsoft.Word/WebArchiveCopyPasteTempFiles/page1image1810784" \* MERGEFORMATINET </w:instrText>
      </w:r>
      <w:r>
        <w:fldChar w:fldCharType="separate"/>
      </w:r>
      <w:r w:rsidR="009C2EBD">
        <w:drawing>
          <wp:inline wp14:editId="3950F817" wp14:anchorId="658C884C">
            <wp:extent cx="2397760" cy="609600"/>
            <wp:effectExtent l="0" t="0" r="2540" b="0"/>
            <wp:docPr id="4" name="Imagen 4" descr="page1image1810784" title=""/>
            <wp:cNvGraphicFramePr>
              <a:graphicFrameLocks noChangeAspect="1"/>
            </wp:cNvGraphicFramePr>
            <a:graphic>
              <a:graphicData uri="http://schemas.openxmlformats.org/drawingml/2006/picture">
                <pic:pic>
                  <pic:nvPicPr>
                    <pic:cNvPr id="0" name="Imagen 4"/>
                    <pic:cNvPicPr/>
                  </pic:nvPicPr>
                  <pic:blipFill>
                    <a:blip r:embed="R68a7201dcfc54b2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7760" cy="609600"/>
                    </a:xfrm>
                    <a:prstGeom prst="rect">
                      <a:avLst/>
                    </a:prstGeom>
                  </pic:spPr>
                </pic:pic>
              </a:graphicData>
            </a:graphic>
          </wp:inline>
        </w:drawing>
      </w:r>
      <w:r>
        <w:fldChar w:fldCharType="end"/>
      </w:r>
    </w:p>
    <w:p w:rsidRPr="00E87B1F" w:rsidR="00B95C30" w:rsidP="00B95C30" w:rsidRDefault="00B95C30" w14:paraId="6A8A869B" w14:textId="77777777">
      <w:pPr>
        <w:jc w:val="both"/>
        <w:rPr>
          <w:rFonts w:ascii="Arial" w:hAnsi="Arial" w:cs="Arial"/>
          <w:b/>
          <w:color w:val="000000" w:themeColor="text1"/>
          <w:sz w:val="22"/>
          <w:lang w:val="es-ES_tradnl"/>
        </w:rPr>
      </w:pPr>
    </w:p>
    <w:p w:rsidRPr="00E87B1F" w:rsidR="00B95C30" w:rsidP="00B95C30" w:rsidRDefault="00BE4FBF" w14:paraId="5F5AE9EF" w14:textId="0AD9BAF6">
      <w:pPr>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Señora</w:t>
      </w:r>
    </w:p>
    <w:p w:rsidRPr="00E87B1F" w:rsidR="00B95C30" w:rsidP="00B95C30" w:rsidRDefault="00BE4FBF" w14:paraId="3DCD58CE" w14:textId="32E1FCE3">
      <w:pPr>
        <w:jc w:val="both"/>
        <w:rPr>
          <w:rFonts w:ascii="Arial" w:hAnsi="Arial" w:eastAsia="Calibri" w:cs="Arial"/>
          <w:b/>
          <w:color w:val="000000" w:themeColor="text1"/>
          <w:sz w:val="22"/>
          <w:lang w:val="es-ES_tradnl"/>
        </w:rPr>
      </w:pPr>
      <w:r w:rsidRPr="00E87B1F">
        <w:rPr>
          <w:rFonts w:ascii="Arial" w:hAnsi="Arial" w:eastAsia="Calibri" w:cs="Arial"/>
          <w:b/>
          <w:color w:val="000000" w:themeColor="text1"/>
          <w:sz w:val="22"/>
          <w:lang w:val="es-ES_tradnl"/>
        </w:rPr>
        <w:t xml:space="preserve">Clara </w:t>
      </w:r>
      <w:proofErr w:type="spellStart"/>
      <w:r w:rsidRPr="00E87B1F" w:rsidR="00521D7C">
        <w:rPr>
          <w:rFonts w:ascii="Arial" w:hAnsi="Arial" w:eastAsia="Calibri" w:cs="Arial"/>
          <w:b/>
          <w:color w:val="000000" w:themeColor="text1"/>
          <w:sz w:val="22"/>
          <w:lang w:val="es-ES_tradnl"/>
        </w:rPr>
        <w:t>Alzate</w:t>
      </w:r>
      <w:proofErr w:type="spellEnd"/>
    </w:p>
    <w:p w:rsidRPr="00E87B1F" w:rsidR="00B95C30" w:rsidP="00B95C30" w:rsidRDefault="00B95C30" w14:paraId="09D4AEA8" w14:textId="77777777">
      <w:pPr>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Ciudad</w:t>
      </w:r>
    </w:p>
    <w:p w:rsidRPr="00E87B1F" w:rsidR="00B95C30" w:rsidP="00B95C30" w:rsidRDefault="00B95C30" w14:paraId="3F3D1203" w14:textId="77777777">
      <w:pPr>
        <w:jc w:val="both"/>
        <w:rPr>
          <w:rFonts w:ascii="Arial" w:hAnsi="Arial" w:eastAsia="Calibri" w:cs="Arial"/>
          <w:color w:val="000000" w:themeColor="text1"/>
          <w:sz w:val="22"/>
          <w:lang w:val="es-ES_tradnl"/>
        </w:rPr>
      </w:pPr>
    </w:p>
    <w:p w:rsidRPr="00E87B1F" w:rsidR="00B95C30" w:rsidP="00B95C30" w:rsidRDefault="00B95C30" w14:paraId="24E8D2A9" w14:textId="77777777">
      <w:pPr>
        <w:jc w:val="both"/>
        <w:rPr>
          <w:rFonts w:ascii="Arial" w:hAnsi="Arial" w:eastAsia="Calibri" w:cs="Arial"/>
          <w:color w:val="000000" w:themeColor="text1"/>
          <w:sz w:val="22"/>
          <w:lang w:val="es-ES_tradnl"/>
        </w:rPr>
      </w:pPr>
    </w:p>
    <w:p w:rsidRPr="00E87B1F" w:rsidR="00B95C30" w:rsidP="00D82FB2" w:rsidRDefault="0025582C" w14:paraId="12E66182" w14:textId="33166228">
      <w:pPr>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 xml:space="preserve">                                            </w:t>
      </w:r>
      <w:r w:rsidRPr="00E87B1F" w:rsidR="00B95C30">
        <w:rPr>
          <w:rFonts w:ascii="Arial" w:hAnsi="Arial" w:eastAsia="Calibri" w:cs="Arial"/>
          <w:b/>
          <w:bCs/>
          <w:color w:val="000000" w:themeColor="text1"/>
          <w:sz w:val="22"/>
          <w:lang w:val="es-ES_tradnl"/>
        </w:rPr>
        <w:t xml:space="preserve">Concepto C ‒ </w:t>
      </w:r>
      <w:r w:rsidRPr="00E87B1F" w:rsidR="00924538">
        <w:rPr>
          <w:rFonts w:ascii="Arial" w:hAnsi="Arial" w:eastAsia="Calibri" w:cs="Arial"/>
          <w:b/>
          <w:bCs/>
          <w:color w:val="000000" w:themeColor="text1"/>
          <w:sz w:val="22"/>
          <w:lang w:val="es-ES_tradnl"/>
        </w:rPr>
        <w:t>016</w:t>
      </w:r>
      <w:r w:rsidRPr="00E87B1F" w:rsidR="00B95C30">
        <w:rPr>
          <w:rFonts w:ascii="Arial" w:hAnsi="Arial" w:eastAsia="Calibri" w:cs="Arial"/>
          <w:b/>
          <w:bCs/>
          <w:color w:val="000000" w:themeColor="text1"/>
          <w:sz w:val="22"/>
          <w:lang w:val="es-ES_tradnl"/>
        </w:rPr>
        <w:t xml:space="preserve"> de 202</w:t>
      </w:r>
      <w:r w:rsidRPr="00E87B1F" w:rsidR="007B0679">
        <w:rPr>
          <w:rFonts w:ascii="Arial" w:hAnsi="Arial" w:eastAsia="Calibri" w:cs="Arial"/>
          <w:b/>
          <w:bCs/>
          <w:color w:val="000000" w:themeColor="text1"/>
          <w:sz w:val="22"/>
          <w:lang w:val="es-ES_tradnl"/>
        </w:rPr>
        <w:t>1</w:t>
      </w:r>
    </w:p>
    <w:p w:rsidRPr="00E87B1F"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87B1F" w:rsidR="00B95C30" w:rsidTr="008F4163" w14:paraId="19DFC051" w14:textId="77777777">
        <w:tc>
          <w:tcPr>
            <w:tcW w:w="2689" w:type="dxa"/>
          </w:tcPr>
          <w:p w:rsidRPr="00E87B1F" w:rsidR="00B95C30" w:rsidP="008F4163" w:rsidRDefault="00B95C30" w14:paraId="6BC0D1AC" w14:textId="77777777">
            <w:pPr>
              <w:jc w:val="both"/>
              <w:rPr>
                <w:rFonts w:ascii="Arial" w:hAnsi="Arial" w:eastAsia="Calibri" w:cs="Arial"/>
                <w:color w:val="000000" w:themeColor="text1"/>
                <w:sz w:val="22"/>
                <w:lang w:val="es-ES_tradnl"/>
              </w:rPr>
            </w:pPr>
            <w:r w:rsidRPr="00E87B1F">
              <w:rPr>
                <w:rFonts w:ascii="Arial" w:hAnsi="Arial" w:eastAsia="Calibri" w:cs="Arial"/>
                <w:b/>
                <w:color w:val="000000" w:themeColor="text1"/>
                <w:sz w:val="22"/>
                <w:lang w:val="es-ES_tradnl"/>
              </w:rPr>
              <w:t>Temas:</w:t>
            </w:r>
            <w:r w:rsidRPr="00E87B1F">
              <w:rPr>
                <w:rFonts w:ascii="Arial" w:hAnsi="Arial" w:eastAsia="Calibri" w:cs="Arial"/>
                <w:color w:val="000000" w:themeColor="text1"/>
                <w:sz w:val="22"/>
                <w:lang w:val="es-ES_tradnl"/>
              </w:rPr>
              <w:t xml:space="preserve">                                      </w:t>
            </w:r>
          </w:p>
        </w:tc>
        <w:tc>
          <w:tcPr>
            <w:tcW w:w="6237" w:type="dxa"/>
          </w:tcPr>
          <w:p w:rsidRPr="00E87B1F" w:rsidR="00B95C30" w:rsidP="008F4163" w:rsidRDefault="008B63FE" w14:paraId="5F389CAF" w14:textId="2723A3E1">
            <w:pPr>
              <w:jc w:val="both"/>
              <w:rPr>
                <w:rFonts w:ascii="Arial" w:hAnsi="Arial" w:eastAsia="Calibri" w:cs="Arial"/>
                <w:color w:val="000000" w:themeColor="text1"/>
                <w:sz w:val="22"/>
                <w:lang w:val="es-ES_tradnl"/>
              </w:rPr>
            </w:pPr>
            <w:r w:rsidRPr="00E87B1F">
              <w:rPr>
                <w:rFonts w:ascii="Arial" w:hAnsi="Arial" w:eastAsia="Calibri" w:cs="Arial"/>
                <w:bCs/>
                <w:sz w:val="22"/>
                <w:lang w:val="es-ES_tradnl"/>
              </w:rPr>
              <w:t xml:space="preserve">SELECCIÓN OBJETIVA – Contratación estatal – Concepto </w:t>
            </w:r>
            <w:r w:rsidRPr="00E87B1F" w:rsidR="00B95C30">
              <w:rPr>
                <w:rFonts w:ascii="Arial" w:hAnsi="Arial" w:eastAsia="Calibri" w:cs="Arial"/>
                <w:bCs/>
                <w:sz w:val="22"/>
                <w:lang w:val="es-ES_tradnl"/>
              </w:rPr>
              <w:t>/</w:t>
            </w:r>
            <w:r w:rsidRPr="00E87B1F">
              <w:rPr>
                <w:rFonts w:ascii="Arial" w:hAnsi="Arial" w:eastAsia="Calibri" w:cs="Arial"/>
                <w:bCs/>
                <w:sz w:val="22"/>
                <w:lang w:val="es-ES_tradnl"/>
              </w:rPr>
              <w:t xml:space="preserve"> EMPATE – Procedimiento de selección – Concepto / FACTORES DE DESEMPATE – Características – Límites / LEY DE EMPRENDIMIENTO – Ley </w:t>
            </w:r>
            <w:r w:rsidR="00C933D1">
              <w:rPr>
                <w:rFonts w:ascii="Arial" w:hAnsi="Arial" w:eastAsia="Calibri" w:cs="Arial"/>
                <w:bCs/>
                <w:sz w:val="22"/>
                <w:lang w:val="es-ES_tradnl"/>
              </w:rPr>
              <w:t>2069</w:t>
            </w:r>
            <w:r w:rsidRPr="00E87B1F">
              <w:rPr>
                <w:rFonts w:ascii="Arial" w:hAnsi="Arial" w:eastAsia="Calibri" w:cs="Arial"/>
                <w:bCs/>
                <w:sz w:val="22"/>
                <w:lang w:val="es-ES_tradnl"/>
              </w:rPr>
              <w:t xml:space="preserve"> de 2020 – Vigencia / FACTORES DE DESEMPATE – Ley </w:t>
            </w:r>
            <w:r w:rsidR="00C933D1">
              <w:rPr>
                <w:rFonts w:ascii="Arial" w:hAnsi="Arial" w:eastAsia="Calibri" w:cs="Arial"/>
                <w:bCs/>
                <w:sz w:val="22"/>
                <w:lang w:val="es-ES_tradnl"/>
              </w:rPr>
              <w:t>2069</w:t>
            </w:r>
            <w:r w:rsidRPr="00E87B1F">
              <w:rPr>
                <w:rFonts w:ascii="Arial" w:hAnsi="Arial" w:eastAsia="Calibri" w:cs="Arial"/>
                <w:bCs/>
                <w:sz w:val="22"/>
                <w:lang w:val="es-ES_tradnl"/>
              </w:rPr>
              <w:t xml:space="preserve"> – Artículo 35 – Acreditación</w:t>
            </w:r>
            <w:r w:rsidRPr="00E87B1F" w:rsidR="00B95C30">
              <w:rPr>
                <w:rFonts w:ascii="Arial" w:hAnsi="Arial" w:eastAsia="Arial" w:cs="Arial"/>
                <w:sz w:val="22"/>
                <w:lang w:val="es-ES_tradnl"/>
              </w:rPr>
              <w:t>.</w:t>
            </w:r>
          </w:p>
        </w:tc>
      </w:tr>
      <w:tr w:rsidRPr="00E87B1F" w:rsidR="00B95C30" w:rsidTr="008F4163" w14:paraId="27CD52AB" w14:textId="77777777">
        <w:tc>
          <w:tcPr>
            <w:tcW w:w="2689" w:type="dxa"/>
          </w:tcPr>
          <w:p w:rsidRPr="00E87B1F" w:rsidR="00B95C30" w:rsidP="008F4163" w:rsidRDefault="00B95C30" w14:paraId="37E195A1" w14:textId="1BA218D5">
            <w:pPr>
              <w:spacing w:before="120"/>
              <w:jc w:val="both"/>
              <w:rPr>
                <w:rFonts w:ascii="Arial" w:hAnsi="Arial" w:eastAsia="Calibri" w:cs="Arial"/>
                <w:b/>
                <w:color w:val="000000" w:themeColor="text1"/>
                <w:sz w:val="22"/>
                <w:lang w:val="es-ES_tradnl"/>
              </w:rPr>
            </w:pPr>
            <w:r w:rsidRPr="00E87B1F">
              <w:rPr>
                <w:rFonts w:ascii="Arial" w:hAnsi="Arial" w:eastAsia="Calibri" w:cs="Arial"/>
                <w:b/>
                <w:color w:val="000000" w:themeColor="text1"/>
                <w:sz w:val="22"/>
                <w:lang w:val="es-ES_tradnl"/>
              </w:rPr>
              <w:t>Radicación:</w:t>
            </w:r>
            <w:r w:rsidRPr="00E87B1F">
              <w:rPr>
                <w:rFonts w:ascii="Arial" w:hAnsi="Arial" w:eastAsia="Calibri" w:cs="Arial"/>
                <w:color w:val="000000" w:themeColor="text1"/>
                <w:sz w:val="22"/>
                <w:lang w:val="es-ES_tradnl"/>
              </w:rPr>
              <w:t xml:space="preserve">                              </w:t>
            </w:r>
          </w:p>
        </w:tc>
        <w:tc>
          <w:tcPr>
            <w:tcW w:w="6237" w:type="dxa"/>
          </w:tcPr>
          <w:p w:rsidRPr="00E87B1F" w:rsidR="00B95C30" w:rsidP="008F4163" w:rsidRDefault="00B95C30" w14:paraId="64360FC9" w14:textId="0178BFF1">
            <w:pPr>
              <w:spacing w:before="120"/>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 xml:space="preserve">Respuesta a consulta # </w:t>
            </w:r>
            <w:r w:rsidRPr="00E87B1F" w:rsidR="008B7108">
              <w:rPr>
                <w:rFonts w:ascii="Arial" w:hAnsi="Arial" w:eastAsia="Calibri" w:cs="Arial"/>
                <w:color w:val="000000" w:themeColor="text1"/>
                <w:sz w:val="22"/>
                <w:lang w:val="es-ES_tradnl"/>
              </w:rPr>
              <w:t>P20210112000142</w:t>
            </w:r>
          </w:p>
          <w:p w:rsidRPr="00E87B1F" w:rsidR="00B95C30" w:rsidP="008F4163" w:rsidRDefault="00B95C30" w14:paraId="09088B1B" w14:textId="77777777">
            <w:pPr>
              <w:spacing w:before="120"/>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 xml:space="preserve"> </w:t>
            </w:r>
          </w:p>
        </w:tc>
      </w:tr>
    </w:tbl>
    <w:p w:rsidRPr="00E87B1F" w:rsidR="003C3339" w:rsidP="003C3339" w:rsidRDefault="003C3339" w14:paraId="1CF4AEA0" w14:textId="45B9B6E1">
      <w:pPr>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Estimad</w:t>
      </w:r>
      <w:r w:rsidRPr="00E87B1F" w:rsidR="00BE4FBF">
        <w:rPr>
          <w:rFonts w:ascii="Arial" w:hAnsi="Arial" w:eastAsia="Calibri" w:cs="Arial"/>
          <w:color w:val="000000" w:themeColor="text1"/>
          <w:sz w:val="22"/>
          <w:lang w:val="es-ES_tradnl"/>
        </w:rPr>
        <w:t>a</w:t>
      </w:r>
      <w:r w:rsidRPr="00E87B1F">
        <w:rPr>
          <w:rFonts w:ascii="Arial" w:hAnsi="Arial" w:eastAsia="Calibri" w:cs="Arial"/>
          <w:color w:val="000000" w:themeColor="text1"/>
          <w:sz w:val="22"/>
          <w:lang w:val="es-ES_tradnl"/>
        </w:rPr>
        <w:t xml:space="preserve"> </w:t>
      </w:r>
      <w:r w:rsidRPr="00E87B1F" w:rsidR="0063732C">
        <w:rPr>
          <w:rFonts w:ascii="Arial" w:hAnsi="Arial" w:eastAsia="Calibri" w:cs="Arial"/>
          <w:color w:val="000000" w:themeColor="text1"/>
          <w:sz w:val="22"/>
          <w:lang w:val="es-ES_tradnl"/>
        </w:rPr>
        <w:t>señor</w:t>
      </w:r>
      <w:r w:rsidRPr="00E87B1F" w:rsidR="00BE4FBF">
        <w:rPr>
          <w:rFonts w:ascii="Arial" w:hAnsi="Arial" w:eastAsia="Calibri" w:cs="Arial"/>
          <w:color w:val="000000" w:themeColor="text1"/>
          <w:sz w:val="22"/>
          <w:lang w:val="es-ES_tradnl"/>
        </w:rPr>
        <w:t xml:space="preserve">a </w:t>
      </w:r>
      <w:proofErr w:type="spellStart"/>
      <w:r w:rsidRPr="00E87B1F" w:rsidR="008B7108">
        <w:rPr>
          <w:rFonts w:ascii="Arial" w:hAnsi="Arial" w:eastAsia="Calibri" w:cs="Arial"/>
          <w:color w:val="000000" w:themeColor="text1"/>
          <w:sz w:val="22"/>
          <w:lang w:val="es-ES_tradnl"/>
        </w:rPr>
        <w:t>Alzate</w:t>
      </w:r>
      <w:proofErr w:type="spellEnd"/>
      <w:r w:rsidRPr="00E87B1F">
        <w:rPr>
          <w:rFonts w:ascii="Arial" w:hAnsi="Arial" w:eastAsia="Calibri" w:cs="Arial"/>
          <w:color w:val="000000" w:themeColor="text1"/>
          <w:sz w:val="22"/>
          <w:lang w:val="es-ES_tradnl"/>
        </w:rPr>
        <w:t>:</w:t>
      </w:r>
    </w:p>
    <w:p w:rsidRPr="00E87B1F" w:rsidR="00DD5B04" w:rsidP="00DF76A2" w:rsidRDefault="00DD5B04" w14:paraId="1EAE5543" w14:textId="77777777">
      <w:pPr>
        <w:jc w:val="both"/>
        <w:rPr>
          <w:rFonts w:ascii="Arial" w:hAnsi="Arial" w:eastAsia="Calibri" w:cs="Arial"/>
          <w:color w:val="000000" w:themeColor="text1"/>
          <w:sz w:val="22"/>
          <w:lang w:val="es-ES_tradnl"/>
        </w:rPr>
      </w:pPr>
    </w:p>
    <w:p w:rsidRPr="00E87B1F" w:rsidR="00DD5B04" w:rsidP="00DF76A2" w:rsidRDefault="00DD5B04" w14:paraId="2109B2D3" w14:textId="7BB1ECF0">
      <w:pPr>
        <w:spacing w:line="276" w:lineRule="auto"/>
        <w:jc w:val="both"/>
        <w:rPr>
          <w:rFonts w:ascii="Arial" w:hAnsi="Arial" w:eastAsia="Calibri" w:cs="Arial"/>
          <w:color w:val="000000" w:themeColor="text1"/>
          <w:sz w:val="22"/>
          <w:lang w:val="es-ES_tradnl"/>
        </w:rPr>
      </w:pPr>
      <w:r w:rsidRPr="00E87B1F">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Pr="00E87B1F" w:rsidR="008C3C57">
        <w:rPr>
          <w:rFonts w:ascii="Arial" w:hAnsi="Arial" w:eastAsia="Calibri" w:cs="Arial"/>
          <w:color w:val="000000" w:themeColor="text1"/>
          <w:sz w:val="22"/>
          <w:lang w:val="es-ES_tradnl"/>
        </w:rPr>
        <w:t xml:space="preserve"> </w:t>
      </w:r>
      <w:r w:rsidRPr="00E87B1F">
        <w:rPr>
          <w:rFonts w:ascii="Arial" w:hAnsi="Arial" w:eastAsia="Calibri" w:cs="Arial"/>
          <w:color w:val="000000" w:themeColor="text1"/>
          <w:sz w:val="22"/>
          <w:lang w:val="es-ES_tradnl"/>
        </w:rPr>
        <w:t xml:space="preserve">responde su consulta del </w:t>
      </w:r>
      <w:r w:rsidRPr="00E87B1F" w:rsidR="00113F6C">
        <w:rPr>
          <w:rFonts w:ascii="Arial" w:hAnsi="Arial" w:eastAsia="Calibri" w:cs="Arial"/>
          <w:color w:val="000000" w:themeColor="text1"/>
          <w:sz w:val="22"/>
          <w:lang w:val="es-ES_tradnl"/>
        </w:rPr>
        <w:t>12</w:t>
      </w:r>
      <w:r w:rsidRPr="00E87B1F" w:rsidR="00FD4AF3">
        <w:rPr>
          <w:rFonts w:ascii="Arial" w:hAnsi="Arial" w:eastAsia="Calibri" w:cs="Arial"/>
          <w:color w:val="000000" w:themeColor="text1"/>
          <w:sz w:val="22"/>
          <w:lang w:val="es-ES_tradnl"/>
        </w:rPr>
        <w:t xml:space="preserve"> de </w:t>
      </w:r>
      <w:r w:rsidRPr="00E87B1F" w:rsidR="00FB0880">
        <w:rPr>
          <w:rFonts w:ascii="Arial" w:hAnsi="Arial" w:eastAsia="Calibri" w:cs="Arial"/>
          <w:color w:val="000000" w:themeColor="text1"/>
          <w:sz w:val="22"/>
          <w:lang w:val="es-ES_tradnl"/>
        </w:rPr>
        <w:t>enero</w:t>
      </w:r>
      <w:r w:rsidRPr="00E87B1F">
        <w:rPr>
          <w:rFonts w:ascii="Arial" w:hAnsi="Arial" w:eastAsia="Calibri" w:cs="Arial"/>
          <w:color w:val="000000" w:themeColor="text1"/>
          <w:sz w:val="22"/>
          <w:lang w:val="es-ES_tradnl"/>
        </w:rPr>
        <w:t xml:space="preserve"> del</w:t>
      </w:r>
      <w:r w:rsidRPr="00E87B1F" w:rsidR="007E74BF">
        <w:rPr>
          <w:rFonts w:ascii="Arial" w:hAnsi="Arial" w:eastAsia="Calibri" w:cs="Arial"/>
          <w:color w:val="000000" w:themeColor="text1"/>
          <w:sz w:val="22"/>
          <w:lang w:val="es-ES_tradnl"/>
        </w:rPr>
        <w:t xml:space="preserve"> </w:t>
      </w:r>
      <w:r w:rsidRPr="00E87B1F">
        <w:rPr>
          <w:rFonts w:ascii="Arial" w:hAnsi="Arial" w:eastAsia="Calibri" w:cs="Arial"/>
          <w:color w:val="000000" w:themeColor="text1"/>
          <w:sz w:val="22"/>
          <w:lang w:val="es-ES_tradnl"/>
        </w:rPr>
        <w:t>202</w:t>
      </w:r>
      <w:r w:rsidRPr="00E87B1F" w:rsidR="00FB0880">
        <w:rPr>
          <w:rFonts w:ascii="Arial" w:hAnsi="Arial" w:eastAsia="Calibri" w:cs="Arial"/>
          <w:color w:val="000000" w:themeColor="text1"/>
          <w:sz w:val="22"/>
          <w:lang w:val="es-ES_tradnl"/>
        </w:rPr>
        <w:t>1</w:t>
      </w:r>
      <w:r w:rsidRPr="00E87B1F" w:rsidR="008C3C57">
        <w:rPr>
          <w:rFonts w:ascii="Arial" w:hAnsi="Arial" w:eastAsia="Calibri" w:cs="Arial"/>
          <w:color w:val="000000" w:themeColor="text1"/>
          <w:sz w:val="22"/>
          <w:lang w:val="es-ES_tradnl"/>
        </w:rPr>
        <w:t>.</w:t>
      </w:r>
    </w:p>
    <w:p w:rsidRPr="00E87B1F"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E87B1F"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E87B1F">
        <w:rPr>
          <w:rFonts w:ascii="Arial" w:hAnsi="Arial" w:eastAsia="Calibri" w:cs="Arial"/>
          <w:b/>
          <w:color w:val="000000" w:themeColor="text1"/>
          <w:sz w:val="22"/>
          <w:lang w:val="es-ES_tradnl"/>
        </w:rPr>
        <w:t xml:space="preserve">Problema planteado </w:t>
      </w:r>
    </w:p>
    <w:p w:rsidRPr="00E87B1F"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E87B1F" w:rsidR="00443B55" w:rsidP="0099583D" w:rsidRDefault="00DD5B04" w14:paraId="3C575DE9" w14:textId="06F4E058">
      <w:pPr>
        <w:spacing w:line="276" w:lineRule="auto"/>
        <w:jc w:val="both"/>
        <w:rPr>
          <w:rFonts w:ascii="Arial" w:hAnsi="Arial" w:cs="Arial"/>
          <w:color w:val="000000" w:themeColor="text1"/>
          <w:sz w:val="22"/>
          <w:lang w:val="es-ES_tradnl"/>
        </w:rPr>
      </w:pPr>
      <w:r w:rsidRPr="00E87B1F">
        <w:rPr>
          <w:rFonts w:ascii="Arial" w:hAnsi="Arial" w:cs="Arial"/>
          <w:color w:val="000000" w:themeColor="text1"/>
          <w:sz w:val="22"/>
          <w:lang w:val="es-ES_tradnl"/>
        </w:rPr>
        <w:t xml:space="preserve">Usted </w:t>
      </w:r>
      <w:r w:rsidRPr="00E87B1F" w:rsidR="00B422C0">
        <w:rPr>
          <w:rFonts w:ascii="Arial" w:hAnsi="Arial" w:cs="Arial"/>
          <w:color w:val="000000" w:themeColor="text1"/>
          <w:sz w:val="22"/>
          <w:lang w:val="es-ES_tradnl"/>
        </w:rPr>
        <w:t>formula</w:t>
      </w:r>
      <w:r w:rsidRPr="00E87B1F" w:rsidR="006D46A3">
        <w:rPr>
          <w:rFonts w:ascii="Arial" w:hAnsi="Arial" w:cs="Arial"/>
          <w:color w:val="000000" w:themeColor="text1"/>
          <w:sz w:val="22"/>
          <w:lang w:val="es-ES_tradnl"/>
        </w:rPr>
        <w:t xml:space="preserve"> la</w:t>
      </w:r>
      <w:r w:rsidRPr="00E87B1F" w:rsidR="00602931">
        <w:rPr>
          <w:rFonts w:ascii="Arial" w:hAnsi="Arial" w:cs="Arial"/>
          <w:color w:val="000000" w:themeColor="text1"/>
          <w:sz w:val="22"/>
          <w:lang w:val="es-ES_tradnl"/>
        </w:rPr>
        <w:t>s</w:t>
      </w:r>
      <w:r w:rsidRPr="00E87B1F" w:rsidR="006D46A3">
        <w:rPr>
          <w:rFonts w:ascii="Arial" w:hAnsi="Arial" w:cs="Arial"/>
          <w:color w:val="000000" w:themeColor="text1"/>
          <w:sz w:val="22"/>
          <w:lang w:val="es-ES_tradnl"/>
        </w:rPr>
        <w:t xml:space="preserve"> siguiente</w:t>
      </w:r>
      <w:r w:rsidRPr="00E87B1F" w:rsidR="00602931">
        <w:rPr>
          <w:rFonts w:ascii="Arial" w:hAnsi="Arial" w:cs="Arial"/>
          <w:color w:val="000000" w:themeColor="text1"/>
          <w:sz w:val="22"/>
          <w:lang w:val="es-ES_tradnl"/>
        </w:rPr>
        <w:t>s</w:t>
      </w:r>
      <w:r w:rsidRPr="00E87B1F" w:rsidR="00C028F5">
        <w:rPr>
          <w:rFonts w:ascii="Arial" w:hAnsi="Arial" w:cs="Arial"/>
          <w:color w:val="000000" w:themeColor="text1"/>
          <w:sz w:val="22"/>
          <w:lang w:val="es-ES_tradnl"/>
        </w:rPr>
        <w:t xml:space="preserve"> </w:t>
      </w:r>
      <w:r w:rsidRPr="00E87B1F" w:rsidR="00602931">
        <w:rPr>
          <w:rFonts w:ascii="Arial" w:hAnsi="Arial" w:cs="Arial"/>
          <w:color w:val="000000" w:themeColor="text1"/>
          <w:sz w:val="22"/>
          <w:lang w:val="es-ES_tradnl"/>
        </w:rPr>
        <w:t>preguntas</w:t>
      </w:r>
      <w:r w:rsidRPr="00E87B1F" w:rsidR="00FB0880">
        <w:rPr>
          <w:rFonts w:ascii="Arial" w:hAnsi="Arial" w:cs="Arial"/>
          <w:color w:val="000000" w:themeColor="text1"/>
          <w:sz w:val="22"/>
          <w:lang w:val="es-ES_tradnl"/>
        </w:rPr>
        <w:t>, relacionada</w:t>
      </w:r>
      <w:r w:rsidRPr="00E87B1F" w:rsidR="00602931">
        <w:rPr>
          <w:rFonts w:ascii="Arial" w:hAnsi="Arial" w:cs="Arial"/>
          <w:color w:val="000000" w:themeColor="text1"/>
          <w:sz w:val="22"/>
          <w:lang w:val="es-ES_tradnl"/>
        </w:rPr>
        <w:t>s</w:t>
      </w:r>
      <w:r w:rsidRPr="00E87B1F" w:rsidR="00FB0880">
        <w:rPr>
          <w:rFonts w:ascii="Arial" w:hAnsi="Arial" w:cs="Arial"/>
          <w:color w:val="000000" w:themeColor="text1"/>
          <w:sz w:val="22"/>
          <w:lang w:val="es-ES_tradnl"/>
        </w:rPr>
        <w:t xml:space="preserve"> con el contenido del artículo 35 de la Ley </w:t>
      </w:r>
      <w:r w:rsidR="00C933D1">
        <w:rPr>
          <w:rFonts w:ascii="Arial" w:hAnsi="Arial" w:cs="Arial"/>
          <w:color w:val="000000" w:themeColor="text1"/>
          <w:sz w:val="22"/>
          <w:lang w:val="es-ES_tradnl"/>
        </w:rPr>
        <w:t>2069</w:t>
      </w:r>
      <w:r w:rsidRPr="00E87B1F" w:rsidR="00FB0880">
        <w:rPr>
          <w:rFonts w:ascii="Arial" w:hAnsi="Arial" w:cs="Arial"/>
          <w:color w:val="000000" w:themeColor="text1"/>
          <w:sz w:val="22"/>
          <w:lang w:val="es-ES_tradnl"/>
        </w:rPr>
        <w:t xml:space="preserve"> de 2020</w:t>
      </w:r>
      <w:r w:rsidRPr="00E87B1F" w:rsidR="00716630">
        <w:rPr>
          <w:rFonts w:ascii="Arial" w:hAnsi="Arial" w:cs="Arial"/>
          <w:color w:val="000000" w:themeColor="text1"/>
          <w:sz w:val="22"/>
          <w:lang w:val="es-ES_tradnl"/>
        </w:rPr>
        <w:t>, «Por medio de la cual se impulsa el emprendimiento en Colombia»</w:t>
      </w:r>
      <w:r w:rsidRPr="00E87B1F" w:rsidR="00B422C0">
        <w:rPr>
          <w:rFonts w:ascii="Arial" w:hAnsi="Arial" w:cs="Arial"/>
          <w:color w:val="000000" w:themeColor="text1"/>
          <w:sz w:val="22"/>
          <w:lang w:val="es-ES_tradnl"/>
        </w:rPr>
        <w:t>:</w:t>
      </w:r>
      <w:r w:rsidRPr="00E87B1F" w:rsidR="007E18DF">
        <w:rPr>
          <w:rFonts w:ascii="Arial" w:hAnsi="Arial" w:cs="Arial"/>
          <w:color w:val="000000" w:themeColor="text1"/>
          <w:sz w:val="22"/>
          <w:lang w:val="es-ES_tradnl"/>
        </w:rPr>
        <w:t xml:space="preserve"> </w:t>
      </w:r>
    </w:p>
    <w:p w:rsidRPr="00E87B1F" w:rsidR="00443B55" w:rsidP="0099583D" w:rsidRDefault="00443B55" w14:paraId="559EE20C" w14:textId="77777777">
      <w:pPr>
        <w:spacing w:line="276" w:lineRule="auto"/>
        <w:jc w:val="both"/>
        <w:rPr>
          <w:rFonts w:ascii="Arial" w:hAnsi="Arial" w:cs="Arial"/>
          <w:color w:val="000000" w:themeColor="text1"/>
          <w:sz w:val="22"/>
          <w:lang w:val="es-ES_tradnl"/>
        </w:rPr>
      </w:pPr>
    </w:p>
    <w:p w:rsidRPr="00E87B1F" w:rsidR="001C79A4" w:rsidP="001C79A4" w:rsidRDefault="001C79A4" w14:paraId="54FC44CA"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«Respecto del Numeral 2, referente al criterio de mujer cabeza de familia o mujer victima (sic) de la violencia intrafamiliar, preguntamos:</w:t>
      </w:r>
    </w:p>
    <w:p w:rsidRPr="00E87B1F" w:rsidR="001C79A4" w:rsidP="001C79A4" w:rsidRDefault="001C79A4" w14:paraId="6CE7E653"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177C0267"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»1. ¿Se prefiere una propuesta en la que participan una mujer cabeza de familia y mujer victima (sic) de violencia intrafamiliar que, al sumar sus participaciones en la persona jurídica, en conjunto, cuenten con participación mayoritaria en la persona jurídica proponente?</w:t>
      </w:r>
    </w:p>
    <w:p w:rsidRPr="00E87B1F" w:rsidR="001C79A4" w:rsidP="001C79A4" w:rsidRDefault="001C79A4" w14:paraId="0B74F3D3"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20BAA74B"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»2. En el criterio de desempate 2, ¿en caso de proponente plural, los integrantes de la figura plural, cada uno por separado debe cumplir con la participación mayoritaria de mujeres cabeza de familia o victima (sic) de violencia intrafamiliar?</w:t>
      </w:r>
    </w:p>
    <w:p w:rsidRPr="00E87B1F" w:rsidR="001C79A4" w:rsidP="001C79A4" w:rsidRDefault="001C79A4" w14:paraId="33B0A038"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19FF521F"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»3. ¿La condición de mujer cabeza de familia se acredita con declaración extra juicio en Notaria (sic)?</w:t>
      </w:r>
    </w:p>
    <w:p w:rsidRPr="00E87B1F" w:rsidR="001C79A4" w:rsidP="001C79A4" w:rsidRDefault="001C79A4" w14:paraId="72FE3791"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1DA69A62"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»4. ¿La condición de mujer victima (sic) de violencia intrafamiliar se acredita con la copia de la denuncia en la Fiscalía?</w:t>
      </w:r>
    </w:p>
    <w:p w:rsidRPr="00E87B1F" w:rsidR="001C79A4" w:rsidP="001C79A4" w:rsidRDefault="001C79A4" w14:paraId="1B7D59E0"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32EDA9A9"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»Respecto del Numeral 4, referente al criterio de vinculación de adulto mayor, preguntamos:</w:t>
      </w:r>
    </w:p>
    <w:p w:rsidRPr="00E87B1F" w:rsidR="001C79A4" w:rsidP="001C79A4" w:rsidRDefault="001C79A4" w14:paraId="62929694"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2CA791F8"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»5. La vinculación en mayor proporción relacionada en la norma, ¿hace relación a la cantidad de personal vinculado al proponente?</w:t>
      </w:r>
    </w:p>
    <w:p w:rsidRPr="00E87B1F" w:rsidR="001C79A4" w:rsidP="001C79A4" w:rsidRDefault="001C79A4" w14:paraId="3397A7A5"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5C072288"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»6. ¿Este criterio solo se aplica a proponentes individuales o singulares, por cuanto no hace mención a la forma en que se acreditaría para figuras plurales?</w:t>
      </w:r>
    </w:p>
    <w:p w:rsidRPr="00E87B1F" w:rsidR="001C79A4" w:rsidP="001C79A4" w:rsidRDefault="001C79A4" w14:paraId="18C4A116"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4A648F20"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»7. ¿cómo se acredita este criterio en proponentes plurales?</w:t>
      </w:r>
    </w:p>
    <w:p w:rsidRPr="00E87B1F" w:rsidR="001C79A4" w:rsidP="001C79A4" w:rsidRDefault="001C79A4" w14:paraId="0ED39911"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66A3DDDE"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»8. ¿La condición se acredita con certificado emitido por Revisor Fiscal o Representante Legal?</w:t>
      </w:r>
    </w:p>
    <w:p w:rsidRPr="00E87B1F" w:rsidR="001C79A4" w:rsidP="001C79A4" w:rsidRDefault="001C79A4" w14:paraId="37836C6F"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47E3AF8C"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»Respecto del Numeral 5, referente al criterio de vinculación de por lo menos el 10% de la nómina a minorías étnicas, preguntamos:</w:t>
      </w:r>
    </w:p>
    <w:p w:rsidRPr="00E87B1F" w:rsidR="001C79A4" w:rsidP="001C79A4" w:rsidRDefault="001C79A4" w14:paraId="04D263CE"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164B966D"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»9. ¿Este criterio solo se aplica a proponentes individuales o singulares, por cuanto no hace mención a la forma en que se acreditaría para figuras plurales?</w:t>
      </w:r>
    </w:p>
    <w:p w:rsidRPr="00E87B1F" w:rsidR="001C79A4" w:rsidP="001C79A4" w:rsidRDefault="001C79A4" w14:paraId="6CD69D1A"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0055CF8E"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»10. ¿Cómo se acredita este criterio en proponentes plurales?</w:t>
      </w:r>
    </w:p>
    <w:p w:rsidRPr="00E87B1F" w:rsidR="001C79A4" w:rsidP="001C79A4" w:rsidRDefault="001C79A4" w14:paraId="77083DA5"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1231D297"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»11. ¿La condición se acredita con certificado emitido por Revisor Fiscal o Representante Legal?</w:t>
      </w:r>
    </w:p>
    <w:p w:rsidRPr="00E87B1F" w:rsidR="001C79A4" w:rsidP="001C79A4" w:rsidRDefault="001C79A4" w14:paraId="1C689F15" w14:textId="77777777">
      <w:pPr>
        <w:ind w:left="709" w:right="709"/>
        <w:jc w:val="both"/>
        <w:rPr>
          <w:rFonts w:ascii="Arial" w:hAnsi="Arial" w:cs="Arial"/>
          <w:color w:val="000000" w:themeColor="text1"/>
          <w:sz w:val="21"/>
          <w:szCs w:val="21"/>
          <w:lang w:val="es-ES_tradnl"/>
        </w:rPr>
      </w:pPr>
    </w:p>
    <w:p w:rsidRPr="00E87B1F" w:rsidR="001C79A4" w:rsidP="001C79A4" w:rsidRDefault="001C79A4" w14:paraId="74ABB341"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»Por último, es de consultar a qué hace referencia la posibilidad de aplicar factores de desempate en caso que concurran dos o más de los factores previstos, por cuanto el artículo 35 establece que las reglas se utilizaran de forma sucesiva y excluyente».</w:t>
      </w:r>
    </w:p>
    <w:p w:rsidRPr="005419DA" w:rsidR="008A3466" w:rsidP="008A3466" w:rsidRDefault="008A3466" w14:paraId="6B8E24CE" w14:textId="77777777">
      <w:pPr>
        <w:ind w:right="709"/>
        <w:jc w:val="both"/>
        <w:rPr>
          <w:rFonts w:ascii="Arial" w:hAnsi="Arial" w:cs="Arial"/>
          <w:color w:val="000000" w:themeColor="text1"/>
          <w:sz w:val="21"/>
          <w:szCs w:val="21"/>
          <w:lang w:val="es-ES_tradnl"/>
        </w:rPr>
      </w:pPr>
    </w:p>
    <w:p w:rsidRPr="005419DA" w:rsidR="008A3466" w:rsidP="008A3466" w:rsidRDefault="008A3466" w14:paraId="4726E853"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Consideraciones</w:t>
      </w:r>
    </w:p>
    <w:p w:rsidRPr="005419DA" w:rsidR="008A3466" w:rsidP="008A3466" w:rsidRDefault="008A3466" w14:paraId="3AAB8ACD"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61F89B5C" w14:textId="77777777">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La Subdirección de Gestión Contractual responderá la consulta, luego de analizar los siguientes temas: i) definición de los criterios de desempate en la contratación estatal, ii) vigencia y ámbito de aplicación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y iii) forma de acreditación de los factores de desempate consagrados en el artículo 35 de la mencionada Ley.</w:t>
      </w:r>
    </w:p>
    <w:p w:rsidRPr="005419DA" w:rsidR="008A3466" w:rsidP="008A3466" w:rsidRDefault="008A3466" w14:paraId="196CFDCD"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w:t>
      </w:r>
      <w:r w:rsidRPr="005419DA">
        <w:rPr>
          <w:rFonts w:ascii="Arial" w:hAnsi="Arial" w:eastAsia="Calibri" w:cs="Arial"/>
          <w:color w:val="000000" w:themeColor="text1"/>
          <w:sz w:val="22"/>
          <w:szCs w:val="22"/>
          <w:lang w:val="es-ES_tradnl"/>
        </w:rPr>
        <w:lastRenderedPageBreak/>
        <w:t>C-481 del 27 de julio de 2020, C-514 y C-535 del 26 de agosto de 2020 y C-556 del 31 de agosto de 2020. Algunas de las consideraciones de estos conceptos se reiteran a continuación.</w:t>
      </w:r>
    </w:p>
    <w:p w:rsidRPr="005419DA" w:rsidR="008A3466" w:rsidP="008A3466" w:rsidRDefault="008A3466" w14:paraId="05517219"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2092EDA5" w14:textId="77777777">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2.1. Factores de desempate en la contratación estatal: concepto y características</w:t>
      </w:r>
    </w:p>
    <w:p w:rsidRPr="005419DA" w:rsidR="008A3466" w:rsidP="008A3466" w:rsidRDefault="008A3466" w14:paraId="3FB38E23"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66609B38" w14:textId="77777777">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5419DA" w:rsidR="008A3466" w:rsidP="008A3466" w:rsidRDefault="008A3466" w14:paraId="232FB0A0"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rsidRPr="005419DA" w:rsidR="008A3466" w:rsidP="008A3466" w:rsidRDefault="008A3466" w14:paraId="7797B892"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La </w:t>
      </w:r>
      <w:r>
        <w:rPr>
          <w:rFonts w:ascii="Arial" w:hAnsi="Arial" w:eastAsia="Calibri" w:cs="Arial"/>
          <w:color w:val="000000" w:themeColor="text1"/>
          <w:sz w:val="22"/>
          <w:szCs w:val="22"/>
          <w:lang w:val="es-ES_tradnl"/>
        </w:rPr>
        <w:t>jurisprudencia</w:t>
      </w:r>
      <w:r w:rsidRPr="005419DA">
        <w:rPr>
          <w:rFonts w:ascii="Arial" w:hAnsi="Arial" w:eastAsia="Calibri" w:cs="Arial"/>
          <w:color w:val="000000" w:themeColor="text1"/>
          <w:sz w:val="22"/>
          <w:szCs w:val="22"/>
          <w:lang w:val="es-ES_tradnl"/>
        </w:rPr>
        <w:t xml:space="preserve"> comparte la idea de que los criterios </w:t>
      </w:r>
      <w:r w:rsidRPr="005419DA">
        <w:rPr>
          <w:rFonts w:ascii="Arial" w:hAnsi="Arial" w:eastAsia="Calibri" w:cs="Arial"/>
          <w:color w:val="000000" w:themeColor="text1"/>
          <w:sz w:val="22"/>
          <w:szCs w:val="22"/>
          <w:lang w:val="es-ES_tradnl"/>
        </w:rPr>
        <w:lastRenderedPageBreak/>
        <w:t>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2"/>
      </w:r>
      <w:r w:rsidRPr="005419DA">
        <w:rPr>
          <w:rFonts w:ascii="Arial" w:hAnsi="Arial" w:eastAsia="Calibri" w:cs="Arial"/>
          <w:color w:val="000000" w:themeColor="text1"/>
          <w:sz w:val="22"/>
          <w:szCs w:val="22"/>
          <w:lang w:val="es-ES_tradnl"/>
        </w:rPr>
        <w:t xml:space="preserve">. </w:t>
      </w:r>
    </w:p>
    <w:p w:rsidRPr="005419DA" w:rsidR="008A3466" w:rsidP="008A3466" w:rsidRDefault="008A3466" w14:paraId="1290C010"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5419DA">
        <w:rPr>
          <w:rStyle w:val="Refdenotaalpie"/>
          <w:rFonts w:ascii="Arial" w:hAnsi="Arial" w:eastAsia="Calibri" w:cs="Arial"/>
          <w:color w:val="000000" w:themeColor="text1"/>
          <w:sz w:val="22"/>
          <w:szCs w:val="22"/>
          <w:lang w:val="es-ES_tradnl"/>
        </w:rPr>
        <w:footnoteReference w:id="3"/>
      </w:r>
      <w:r w:rsidRPr="005419DA">
        <w:rPr>
          <w:rFonts w:ascii="Arial" w:hAnsi="Arial" w:eastAsia="Calibri"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hAnsi="Arial" w:eastAsia="Calibri" w:cs="Arial"/>
          <w:color w:val="000000" w:themeColor="text1"/>
          <w:sz w:val="22"/>
          <w:szCs w:val="22"/>
          <w:lang w:val="es-ES_tradnl"/>
        </w:rPr>
        <w:footnoteReference w:id="4"/>
      </w:r>
      <w:r w:rsidRPr="005419DA">
        <w:rPr>
          <w:rFonts w:ascii="Arial" w:hAnsi="Arial" w:eastAsia="Calibri" w:cs="Arial"/>
          <w:color w:val="000000" w:themeColor="text1"/>
          <w:sz w:val="22"/>
          <w:szCs w:val="22"/>
          <w:lang w:val="es-ES_tradnl"/>
        </w:rPr>
        <w:t>.</w:t>
      </w:r>
    </w:p>
    <w:p w:rsidRPr="005419DA" w:rsidR="008A3466" w:rsidP="008A3466" w:rsidRDefault="008A3466" w14:paraId="5624E593"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Ahora bien, en cumplimiento de los principios de reciprocidad y de </w:t>
      </w:r>
      <w:r w:rsidRPr="005419DA">
        <w:rPr>
          <w:rFonts w:ascii="Arial" w:hAnsi="Arial" w:eastAsia="Calibri" w:cs="Arial"/>
          <w:i/>
          <w:iCs/>
          <w:color w:val="000000" w:themeColor="text1"/>
          <w:sz w:val="22"/>
          <w:szCs w:val="22"/>
          <w:lang w:val="es-ES_tradnl"/>
        </w:rPr>
        <w:t xml:space="preserve">pacta </w:t>
      </w:r>
      <w:proofErr w:type="spellStart"/>
      <w:r w:rsidRPr="005419DA">
        <w:rPr>
          <w:rFonts w:ascii="Arial" w:hAnsi="Arial" w:eastAsia="Calibri" w:cs="Arial"/>
          <w:i/>
          <w:iCs/>
          <w:color w:val="000000" w:themeColor="text1"/>
          <w:sz w:val="22"/>
          <w:szCs w:val="22"/>
          <w:lang w:val="es-ES_tradnl"/>
        </w:rPr>
        <w:t>sunt</w:t>
      </w:r>
      <w:proofErr w:type="spellEnd"/>
      <w:r w:rsidRPr="005419DA">
        <w:rPr>
          <w:rFonts w:ascii="Arial" w:hAnsi="Arial" w:eastAsia="Calibri" w:cs="Arial"/>
          <w:i/>
          <w:iCs/>
          <w:color w:val="000000" w:themeColor="text1"/>
          <w:sz w:val="22"/>
          <w:szCs w:val="22"/>
          <w:lang w:val="es-ES_tradnl"/>
        </w:rPr>
        <w:t xml:space="preserve"> </w:t>
      </w:r>
      <w:proofErr w:type="spellStart"/>
      <w:r w:rsidRPr="005419DA">
        <w:rPr>
          <w:rFonts w:ascii="Arial" w:hAnsi="Arial" w:eastAsia="Calibri" w:cs="Arial"/>
          <w:i/>
          <w:iCs/>
          <w:color w:val="000000" w:themeColor="text1"/>
          <w:sz w:val="22"/>
          <w:szCs w:val="22"/>
          <w:lang w:val="es-ES_tradnl"/>
        </w:rPr>
        <w:t>servanda</w:t>
      </w:r>
      <w:proofErr w:type="spellEnd"/>
      <w:r w:rsidRPr="005419DA">
        <w:rPr>
          <w:rFonts w:ascii="Arial" w:hAnsi="Arial" w:eastAsia="Calibri"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rsidRPr="005419DA" w:rsidR="008A3466" w:rsidP="008A3466" w:rsidRDefault="008A3466" w14:paraId="60882858" w14:textId="77777777">
      <w:pPr>
        <w:spacing w:line="276" w:lineRule="auto"/>
        <w:rPr>
          <w:rFonts w:ascii="Arial" w:hAnsi="Arial" w:eastAsia="Calibri" w:cs="Arial"/>
          <w:color w:val="000000" w:themeColor="text1"/>
          <w:sz w:val="22"/>
          <w:szCs w:val="22"/>
          <w:lang w:val="es-ES_tradnl"/>
        </w:rPr>
      </w:pPr>
    </w:p>
    <w:p w:rsidRPr="005419DA" w:rsidR="008A3466" w:rsidP="008A3466" w:rsidRDefault="008A3466" w14:paraId="6280A00B" w14:textId="77777777">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 xml:space="preserve">2.2. Vigencia y ámbito de aplicación de la Ley </w:t>
      </w:r>
      <w:r>
        <w:rPr>
          <w:rFonts w:ascii="Arial" w:hAnsi="Arial" w:eastAsia="Calibri" w:cs="Arial"/>
          <w:b/>
          <w:bCs/>
          <w:color w:val="000000" w:themeColor="text1"/>
          <w:sz w:val="22"/>
          <w:szCs w:val="22"/>
          <w:lang w:val="es-ES_tradnl"/>
        </w:rPr>
        <w:t>2069</w:t>
      </w:r>
      <w:r w:rsidRPr="005419DA">
        <w:rPr>
          <w:rFonts w:ascii="Arial" w:hAnsi="Arial" w:eastAsia="Calibri" w:cs="Arial"/>
          <w:b/>
          <w:bCs/>
          <w:color w:val="000000" w:themeColor="text1"/>
          <w:sz w:val="22"/>
          <w:szCs w:val="22"/>
          <w:lang w:val="es-ES_tradnl"/>
        </w:rPr>
        <w:t xml:space="preserve"> de 2020</w:t>
      </w:r>
    </w:p>
    <w:p w:rsidRPr="005419DA" w:rsidR="008A3466" w:rsidP="008A3466" w:rsidRDefault="008A3466" w14:paraId="7B88AB4C"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452072A1" w14:textId="77777777">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El 31 de diciembre de 2020 se promulgó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rsidRPr="005419DA" w:rsidR="008A3466" w:rsidP="008A3466" w:rsidRDefault="008A3466" w14:paraId="08DA533F"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w:t>
      </w:r>
      <w:r w:rsidRPr="005419DA">
        <w:rPr>
          <w:rFonts w:ascii="Arial" w:hAnsi="Arial" w:eastAsia="Calibri" w:cs="Arial"/>
          <w:color w:val="000000" w:themeColor="text1"/>
          <w:sz w:val="22"/>
          <w:szCs w:val="22"/>
          <w:lang w:val="es-ES_tradnl"/>
        </w:rPr>
        <w:lastRenderedPageBreak/>
        <w:t>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mediante la racionalización y simplificación de los trámites y tarifas</w:t>
      </w:r>
      <w:r w:rsidRPr="005419DA">
        <w:rPr>
          <w:rStyle w:val="Refdenotaalpie"/>
          <w:rFonts w:ascii="Arial" w:hAnsi="Arial" w:eastAsia="Calibri" w:cs="Arial"/>
          <w:color w:val="000000" w:themeColor="text1"/>
          <w:sz w:val="22"/>
          <w:szCs w:val="22"/>
          <w:lang w:val="es-ES_tradnl"/>
        </w:rPr>
        <w:footnoteReference w:id="5"/>
      </w:r>
      <w:r w:rsidRPr="005419DA">
        <w:rPr>
          <w:rFonts w:ascii="Arial" w:hAnsi="Arial" w:eastAsia="Calibri" w:cs="Arial"/>
          <w:color w:val="000000" w:themeColor="text1"/>
          <w:sz w:val="22"/>
          <w:szCs w:val="22"/>
          <w:lang w:val="es-ES_tradnl"/>
        </w:rPr>
        <w:t>, así como incentivos a favor de aquellas dentro del sistema de compras y contratación pública</w:t>
      </w:r>
      <w:r w:rsidRPr="005419DA">
        <w:rPr>
          <w:rStyle w:val="Refdenotaalpie"/>
          <w:rFonts w:ascii="Arial" w:hAnsi="Arial" w:eastAsia="Calibri" w:cs="Arial"/>
          <w:color w:val="000000" w:themeColor="text1"/>
          <w:sz w:val="22"/>
          <w:szCs w:val="22"/>
          <w:lang w:val="es-ES_tradnl"/>
        </w:rPr>
        <w:footnoteReference w:id="6"/>
      </w:r>
      <w:r w:rsidRPr="005419DA">
        <w:rPr>
          <w:rFonts w:ascii="Arial" w:hAnsi="Arial" w:eastAsia="Calibri" w:cs="Arial"/>
          <w:color w:val="000000" w:themeColor="text1"/>
          <w:sz w:val="22"/>
          <w:szCs w:val="22"/>
          <w:lang w:val="es-ES_tradnl"/>
        </w:rPr>
        <w:t>. También se consagran mecanismos de acceso al financiamiento</w:t>
      </w:r>
      <w:r w:rsidRPr="005419DA">
        <w:rPr>
          <w:rStyle w:val="Refdenotaalpie"/>
          <w:rFonts w:ascii="Arial" w:hAnsi="Arial" w:eastAsia="Calibri" w:cs="Arial"/>
          <w:color w:val="000000" w:themeColor="text1"/>
          <w:sz w:val="22"/>
          <w:szCs w:val="22"/>
          <w:lang w:val="es-ES_tradnl"/>
        </w:rPr>
        <w:footnoteReference w:id="7"/>
      </w:r>
      <w:r w:rsidRPr="005419DA">
        <w:rPr>
          <w:rFonts w:ascii="Arial" w:hAnsi="Arial" w:eastAsia="Calibri"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hAnsi="Arial" w:eastAsia="Calibri" w:cs="Arial"/>
          <w:color w:val="000000" w:themeColor="text1"/>
          <w:sz w:val="22"/>
          <w:szCs w:val="22"/>
          <w:lang w:val="es-ES_tradnl"/>
        </w:rPr>
        <w:footnoteReference w:id="8"/>
      </w:r>
      <w:r w:rsidRPr="005419DA">
        <w:rPr>
          <w:rFonts w:ascii="Arial" w:hAnsi="Arial" w:eastAsia="Calibri" w:cs="Arial"/>
          <w:color w:val="000000" w:themeColor="text1"/>
          <w:sz w:val="22"/>
          <w:szCs w:val="22"/>
          <w:lang w:val="es-ES_tradnl"/>
        </w:rPr>
        <w:t xml:space="preserve"> y se prevén medidas de educación para el emprendimiento y la innovación</w:t>
      </w:r>
      <w:r w:rsidRPr="005419DA">
        <w:rPr>
          <w:rStyle w:val="Refdenotaalpie"/>
          <w:rFonts w:ascii="Arial" w:hAnsi="Arial" w:eastAsia="Calibri" w:cs="Arial"/>
          <w:color w:val="000000" w:themeColor="text1"/>
          <w:sz w:val="22"/>
          <w:szCs w:val="22"/>
          <w:lang w:val="es-ES_tradnl"/>
        </w:rPr>
        <w:footnoteReference w:id="9"/>
      </w:r>
      <w:r w:rsidRPr="005419DA">
        <w:rPr>
          <w:rFonts w:ascii="Arial" w:hAnsi="Arial" w:eastAsia="Calibri" w:cs="Arial"/>
          <w:color w:val="000000" w:themeColor="text1"/>
          <w:sz w:val="22"/>
          <w:szCs w:val="22"/>
          <w:lang w:val="es-ES_tradnl"/>
        </w:rPr>
        <w:t>.</w:t>
      </w:r>
    </w:p>
    <w:p w:rsidRPr="005419DA" w:rsidR="008A3466" w:rsidP="008A3466" w:rsidRDefault="008A3466" w14:paraId="3AB859AD"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Como se indicó, parte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xml:space="preserve"> en el procedimiento de mínima cuantía, ii) criterios diferenciales para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rsidRPr="005419DA" w:rsidR="008A3466" w:rsidP="008A3466" w:rsidRDefault="008A3466" w14:paraId="4D5507C1"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52176302" w14:textId="77777777">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 xml:space="preserve">2.3. Forma de acreditación de los factores de desempate consagrados en el artículo 35 de la Ley </w:t>
      </w:r>
      <w:r>
        <w:rPr>
          <w:rFonts w:ascii="Arial" w:hAnsi="Arial" w:eastAsia="Calibri" w:cs="Arial"/>
          <w:b/>
          <w:bCs/>
          <w:color w:val="000000" w:themeColor="text1"/>
          <w:sz w:val="22"/>
          <w:szCs w:val="22"/>
          <w:lang w:val="es-ES_tradnl"/>
        </w:rPr>
        <w:t>2069</w:t>
      </w:r>
      <w:r w:rsidRPr="005419DA">
        <w:rPr>
          <w:rFonts w:ascii="Arial" w:hAnsi="Arial" w:eastAsia="Calibri" w:cs="Arial"/>
          <w:b/>
          <w:bCs/>
          <w:color w:val="000000" w:themeColor="text1"/>
          <w:sz w:val="22"/>
          <w:szCs w:val="22"/>
          <w:lang w:val="es-ES_tradnl"/>
        </w:rPr>
        <w:t xml:space="preserve"> de 2020</w:t>
      </w:r>
    </w:p>
    <w:p w:rsidRPr="005419DA" w:rsidR="008A3466" w:rsidP="008A3466" w:rsidRDefault="008A3466" w14:paraId="663E3325" w14:textId="77777777">
      <w:pPr>
        <w:spacing w:line="276" w:lineRule="auto"/>
        <w:jc w:val="both"/>
        <w:rPr>
          <w:rFonts w:ascii="Arial" w:hAnsi="Arial" w:eastAsia="Calibri" w:cs="Arial"/>
          <w:color w:val="000000" w:themeColor="text1"/>
          <w:sz w:val="22"/>
          <w:szCs w:val="22"/>
          <w:lang w:val="es-ES_tradnl"/>
        </w:rPr>
      </w:pPr>
    </w:p>
    <w:p w:rsidRPr="005419DA" w:rsidR="008A3466" w:rsidP="008A3466" w:rsidRDefault="008A3466" w14:paraId="7B3CF019" w14:textId="759CFD43">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El artículo 35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w:t>
      </w:r>
      <w:r w:rsidR="009A06E1">
        <w:rPr>
          <w:rFonts w:ascii="Arial" w:hAnsi="Arial" w:eastAsia="Calibri" w:cs="Arial"/>
          <w:color w:val="000000" w:themeColor="text1"/>
          <w:sz w:val="22"/>
          <w:szCs w:val="22"/>
          <w:lang w:val="es-ES_tradnl"/>
        </w:rPr>
        <w:t>Agencia</w:t>
      </w:r>
      <w:r w:rsidRPr="005419DA">
        <w:rPr>
          <w:rFonts w:ascii="Arial" w:hAnsi="Arial" w:eastAsia="Calibri" w:cs="Arial"/>
          <w:color w:val="000000" w:themeColor="text1"/>
          <w:sz w:val="22"/>
          <w:szCs w:val="22"/>
          <w:lang w:val="es-ES_tradnl"/>
        </w:rPr>
        <w:t xml:space="preserve"> se pronunciará sobre el alcance que otorga a tales disposiciones, sin pasar por alto la novedad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–dada su reciente entrada en vigencia– y la ausencia de pronunciamientos </w:t>
      </w:r>
      <w:r w:rsidRPr="005419DA">
        <w:rPr>
          <w:rFonts w:ascii="Arial" w:hAnsi="Arial" w:eastAsia="Calibri" w:cs="Arial"/>
          <w:color w:val="000000" w:themeColor="text1"/>
          <w:sz w:val="22"/>
          <w:szCs w:val="22"/>
          <w:lang w:val="es-ES_tradnl"/>
        </w:rPr>
        <w:lastRenderedPageBreak/>
        <w:t>jurisprudenciales o estudios doctrinarios sobre el tema, que seguramente contribuirán a decantar la interpretación de las normas en comento.</w:t>
      </w:r>
    </w:p>
    <w:p w:rsidR="00126F43" w:rsidP="00126F43" w:rsidRDefault="00126F43" w14:paraId="7D2B5D4B" w14:textId="21194B06">
      <w:pPr>
        <w:spacing w:before="120" w:line="276" w:lineRule="auto"/>
        <w:ind w:firstLine="709"/>
        <w:jc w:val="both"/>
        <w:rPr>
          <w:rFonts w:ascii="Arial" w:hAnsi="Arial" w:eastAsia="Calibri" w:cs="Arial"/>
          <w:color w:val="000000" w:themeColor="text1"/>
          <w:sz w:val="22"/>
          <w:szCs w:val="22"/>
          <w:lang w:val="es-ES_tradnl"/>
        </w:rPr>
      </w:pPr>
      <w:r w:rsidRPr="00126F43">
        <w:rPr>
          <w:rFonts w:ascii="Arial" w:hAnsi="Arial" w:eastAsia="Calibri" w:cs="Arial"/>
          <w:color w:val="000000" w:themeColor="text1"/>
          <w:sz w:val="22"/>
          <w:szCs w:val="22"/>
          <w:lang w:val="es-ES_tradnl"/>
        </w:rPr>
        <w:t xml:space="preserve">Al respecto, </w:t>
      </w:r>
      <w:r w:rsidRPr="00126F43">
        <w:rPr>
          <w:rFonts w:ascii="Arial" w:hAnsi="Arial" w:eastAsia="Calibri" w:cs="Arial"/>
          <w:sz w:val="22"/>
          <w:szCs w:val="22"/>
          <w:lang w:val="es-ES_tradnl"/>
        </w:rPr>
        <w:t>pese a que el parágrafo 3 dispone que el Gobierno Nacional podrá regular los supuestos en que concurran dos o más factores de desempate,</w:t>
      </w:r>
      <w:r w:rsidRPr="00126F43">
        <w:rPr>
          <w:rFonts w:ascii="Arial" w:hAnsi="Arial" w:eastAsia="Calibri"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hAnsi="Arial" w:eastAsia="Calibri" w:cs="Arial"/>
          <w:color w:val="000000" w:themeColor="text1"/>
          <w:sz w:val="22"/>
          <w:szCs w:val="22"/>
          <w:lang w:val="es-ES_tradnl"/>
        </w:rPr>
        <w:t xml:space="preserve"> </w:t>
      </w:r>
    </w:p>
    <w:p w:rsidRPr="005419DA" w:rsidR="008A3466" w:rsidP="008A3466" w:rsidRDefault="008A3466" w14:paraId="3CDA51E8"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5419DA">
        <w:rPr>
          <w:rFonts w:ascii="Arial" w:hAnsi="Arial" w:eastAsia="Calibri" w:cs="Arial"/>
          <w:color w:val="000000" w:themeColor="text1"/>
          <w:sz w:val="22"/>
          <w:szCs w:val="22"/>
          <w:lang w:val="es-ES_tradnl"/>
        </w:rPr>
        <w:t>Mipymes</w:t>
      </w:r>
      <w:proofErr w:type="spellEnd"/>
      <w:r w:rsidRPr="005419DA">
        <w:rPr>
          <w:rFonts w:ascii="Arial" w:hAnsi="Arial" w:eastAsia="Calibri"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rsidRPr="005419DA" w:rsidR="008A3466" w:rsidP="008A3466" w:rsidRDefault="008A3466" w14:paraId="1E84F34C"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indica que en los pliegos de condiciones las entidades estatales deben prever mecanismos que garanticen la provisión de bienes y servicios por parte de sujetos de especial protección constitucional «[…] en las condiciones que señale el reglamento».</w:t>
      </w:r>
    </w:p>
    <w:p w:rsidR="00223CD6" w:rsidP="008A3466" w:rsidRDefault="00223CD6" w14:paraId="35AB5E2E" w14:textId="77777777">
      <w:pPr>
        <w:spacing w:before="120" w:line="276" w:lineRule="auto"/>
        <w:ind w:firstLine="709"/>
        <w:jc w:val="both"/>
        <w:rPr>
          <w:rFonts w:ascii="Arial" w:hAnsi="Arial" w:cs="Arial"/>
          <w:color w:val="000000" w:themeColor="text1"/>
          <w:sz w:val="22"/>
          <w:szCs w:val="22"/>
          <w:lang w:val="es-ES_tradnl"/>
        </w:rPr>
      </w:pPr>
      <w:r w:rsidRPr="00223CD6">
        <w:rPr>
          <w:rFonts w:ascii="Arial" w:hAnsi="Arial" w:eastAsia="Calibri" w:cs="Arial"/>
          <w:sz w:val="22"/>
          <w:szCs w:val="22"/>
          <w:lang w:val="es-ES_tradnl"/>
        </w:rPr>
        <w:t xml:space="preserve">En efecto, </w:t>
      </w:r>
      <w:r w:rsidRPr="00223CD6">
        <w:rPr>
          <w:rFonts w:ascii="Arial" w:hAnsi="Arial" w:cs="Arial"/>
          <w:color w:val="000000" w:themeColor="text1"/>
          <w:sz w:val="22"/>
          <w:szCs w:val="22"/>
          <w:lang w:val="es-ES_tradnl"/>
        </w:rPr>
        <w:t>si bien los factores de desempate regulados en el artículo 35 deben aplicarse «</w:t>
      </w:r>
      <w:r w:rsidRPr="00223CD6">
        <w:rPr>
          <w:rFonts w:ascii="Arial" w:hAnsi="Arial" w:cs="Arial"/>
          <w:lang w:val="es-ES_tradnl"/>
        </w:rPr>
        <w:t xml:space="preserve">[…] </w:t>
      </w:r>
      <w:r w:rsidRPr="00223CD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p>
    <w:p w:rsidRPr="005419DA" w:rsidR="008A3466" w:rsidP="008A3466" w:rsidRDefault="008A3466" w14:paraId="7129A1FB" w14:textId="480CFF4F">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w:t>
      </w:r>
      <w:r w:rsidRPr="005419DA">
        <w:rPr>
          <w:rFonts w:ascii="Arial" w:hAnsi="Arial" w:eastAsia="Calibri" w:cs="Arial"/>
          <w:color w:val="000000" w:themeColor="text1"/>
          <w:sz w:val="22"/>
          <w:szCs w:val="22"/>
          <w:lang w:val="es-ES_tradnl"/>
        </w:rPr>
        <w:lastRenderedPageBreak/>
        <w:t xml:space="preserve">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5419DA">
        <w:rPr>
          <w:rFonts w:ascii="Arial" w:hAnsi="Arial" w:eastAsia="Calibri" w:cs="Arial"/>
          <w:i/>
          <w:iCs/>
          <w:color w:val="000000" w:themeColor="text1"/>
          <w:sz w:val="22"/>
          <w:szCs w:val="22"/>
          <w:lang w:val="es-ES_tradnl"/>
        </w:rPr>
        <w:t>podrá reglamentar</w:t>
      </w:r>
      <w:r w:rsidRPr="005419DA">
        <w:rPr>
          <w:rFonts w:ascii="Arial" w:hAnsi="Arial" w:eastAsia="Calibri" w:cs="Arial"/>
          <w:color w:val="000000" w:themeColor="text1"/>
          <w:sz w:val="22"/>
          <w:szCs w:val="22"/>
          <w:lang w:val="es-ES_tradnl"/>
        </w:rPr>
        <w:t xml:space="preserve"> la aplicación de factores de desempate en casos en que concurran dos o más de los factores aquí previstos» (Énfasis fuera de texto).</w:t>
      </w:r>
    </w:p>
    <w:p w:rsidRPr="005419DA" w:rsidR="008A3466" w:rsidP="008A3466" w:rsidRDefault="008A3466" w14:paraId="65380ACD" w14:textId="1A3BD35F">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w:t>
      </w:r>
      <w:r w:rsidR="004C27CB">
        <w:rPr>
          <w:rFonts w:ascii="Arial" w:hAnsi="Arial" w:eastAsia="Calibri" w:cs="Arial"/>
          <w:color w:val="000000" w:themeColor="text1"/>
          <w:sz w:val="22"/>
          <w:szCs w:val="22"/>
          <w:lang w:val="es-ES_tradnl"/>
        </w:rPr>
        <w:t xml:space="preserve"> </w:t>
      </w:r>
      <w:r w:rsidRPr="004C27CB" w:rsidR="004C27CB">
        <w:rPr>
          <w:rFonts w:ascii="Arial" w:hAnsi="Arial" w:eastAsia="Calibri" w:cs="Arial"/>
          <w:color w:val="000000" w:themeColor="text1"/>
          <w:sz w:val="22"/>
          <w:szCs w:val="22"/>
          <w:lang w:val="es-ES_tradnl"/>
        </w:rPr>
        <w:t>sin perjuicio de que el Gobierno Nacional ejerza la potestad reglamentaria para regular los casos en que concurren dos o más de los factores de desempate,</w:t>
      </w:r>
      <w:r w:rsidRPr="005419DA">
        <w:rPr>
          <w:rFonts w:ascii="Arial" w:hAnsi="Arial" w:eastAsia="Calibri" w:cs="Arial"/>
          <w:color w:val="000000" w:themeColor="text1"/>
          <w:sz w:val="22"/>
          <w:szCs w:val="22"/>
          <w:lang w:val="es-ES_tradnl"/>
        </w:rPr>
        <w:t xml:space="preserve"> no es necesaria la existencia del reglamento como presupuesto necesario para aplicar el artículo 35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rsidRPr="00E87B1F" w:rsidR="00325AD9" w:rsidP="00BB606C" w:rsidRDefault="00E72BDC" w14:paraId="6525352B" w14:textId="2C50ED46">
      <w:pPr>
        <w:spacing w:before="120" w:line="276" w:lineRule="auto"/>
        <w:ind w:firstLine="709"/>
        <w:jc w:val="both"/>
        <w:rPr>
          <w:rFonts w:ascii="Arial" w:hAnsi="Arial" w:cs="Arial"/>
          <w:color w:val="000000" w:themeColor="text1"/>
          <w:sz w:val="21"/>
          <w:szCs w:val="21"/>
          <w:lang w:val="es-ES_tradnl"/>
        </w:rPr>
      </w:pPr>
      <w:r>
        <w:rPr>
          <w:rFonts w:ascii="Arial" w:hAnsi="Arial" w:eastAsia="Calibri" w:cs="Arial"/>
          <w:color w:val="000000" w:themeColor="text1"/>
          <w:sz w:val="22"/>
          <w:szCs w:val="22"/>
          <w:lang w:val="es-ES_tradnl"/>
        </w:rPr>
        <w:t xml:space="preserve">Luego de aclarar </w:t>
      </w:r>
      <w:r w:rsidRPr="00E87B1F" w:rsidR="00325AD9">
        <w:rPr>
          <w:rFonts w:ascii="Arial" w:hAnsi="Arial" w:eastAsia="Calibri" w:cs="Arial"/>
          <w:color w:val="000000" w:themeColor="text1"/>
          <w:sz w:val="22"/>
          <w:szCs w:val="22"/>
          <w:lang w:val="es-ES_tradnl"/>
        </w:rPr>
        <w:t xml:space="preserve">que el artículo 35 de la Ley </w:t>
      </w:r>
      <w:r w:rsidR="00C933D1">
        <w:rPr>
          <w:rFonts w:ascii="Arial" w:hAnsi="Arial" w:eastAsia="Calibri" w:cs="Arial"/>
          <w:color w:val="000000" w:themeColor="text1"/>
          <w:sz w:val="22"/>
          <w:szCs w:val="22"/>
          <w:lang w:val="es-ES_tradnl"/>
        </w:rPr>
        <w:t>2069</w:t>
      </w:r>
      <w:r w:rsidRPr="00E87B1F" w:rsidR="00325AD9">
        <w:rPr>
          <w:rFonts w:ascii="Arial" w:hAnsi="Arial" w:eastAsia="Calibri" w:cs="Arial"/>
          <w:color w:val="000000" w:themeColor="text1"/>
          <w:sz w:val="22"/>
          <w:szCs w:val="22"/>
          <w:lang w:val="es-ES_tradnl"/>
        </w:rPr>
        <w:t xml:space="preserve"> de 2020 se encuentra vigente y que no requiere </w:t>
      </w:r>
      <w:r w:rsidR="00115E8E">
        <w:rPr>
          <w:rFonts w:ascii="Arial" w:hAnsi="Arial" w:eastAsia="Calibri" w:cs="Arial"/>
          <w:color w:val="000000" w:themeColor="text1"/>
          <w:sz w:val="22"/>
          <w:szCs w:val="22"/>
          <w:lang w:val="es-ES_tradnl"/>
        </w:rPr>
        <w:t>reglamentación</w:t>
      </w:r>
      <w:r w:rsidRPr="00E87B1F" w:rsidR="00325AD9">
        <w:rPr>
          <w:rFonts w:ascii="Arial" w:hAnsi="Arial" w:eastAsia="Calibri" w:cs="Arial"/>
          <w:color w:val="000000" w:themeColor="text1"/>
          <w:sz w:val="22"/>
          <w:szCs w:val="22"/>
          <w:lang w:val="es-ES_tradnl"/>
        </w:rPr>
        <w:t xml:space="preserve"> previa para que </w:t>
      </w:r>
      <w:r w:rsidRPr="00E87B1F" w:rsidR="0041674B">
        <w:rPr>
          <w:rFonts w:ascii="Arial" w:hAnsi="Arial" w:eastAsia="Calibri" w:cs="Arial"/>
          <w:color w:val="000000" w:themeColor="text1"/>
          <w:sz w:val="22"/>
          <w:szCs w:val="22"/>
          <w:lang w:val="es-ES_tradnl"/>
        </w:rPr>
        <w:t xml:space="preserve">sea exigible en los procedimientos de selección, es menester hacer referencia al objeto de </w:t>
      </w:r>
      <w:r w:rsidRPr="00E87B1F" w:rsidR="00A00F5E">
        <w:rPr>
          <w:rFonts w:ascii="Arial" w:hAnsi="Arial" w:eastAsia="Calibri" w:cs="Arial"/>
          <w:color w:val="000000" w:themeColor="text1"/>
          <w:sz w:val="22"/>
          <w:szCs w:val="22"/>
          <w:lang w:val="es-ES_tradnl"/>
        </w:rPr>
        <w:t>la</w:t>
      </w:r>
      <w:r w:rsidRPr="00E87B1F" w:rsidR="0041674B">
        <w:rPr>
          <w:rFonts w:ascii="Arial" w:hAnsi="Arial" w:eastAsia="Calibri" w:cs="Arial"/>
          <w:color w:val="000000" w:themeColor="text1"/>
          <w:sz w:val="22"/>
          <w:szCs w:val="22"/>
          <w:lang w:val="es-ES_tradnl"/>
        </w:rPr>
        <w:t xml:space="preserve"> consulta. En ella se </w:t>
      </w:r>
      <w:r w:rsidRPr="00E87B1F" w:rsidR="00030DFB">
        <w:rPr>
          <w:rFonts w:ascii="Arial" w:hAnsi="Arial" w:eastAsia="Calibri" w:cs="Arial"/>
          <w:color w:val="000000" w:themeColor="text1"/>
          <w:sz w:val="22"/>
          <w:szCs w:val="22"/>
          <w:lang w:val="es-ES_tradnl"/>
        </w:rPr>
        <w:t xml:space="preserve">formulan preguntas sobre </w:t>
      </w:r>
      <w:r w:rsidRPr="00E87B1F" w:rsidR="0030257B">
        <w:rPr>
          <w:rFonts w:ascii="Arial" w:hAnsi="Arial" w:eastAsia="Calibri" w:cs="Arial"/>
          <w:color w:val="000000" w:themeColor="text1"/>
          <w:sz w:val="22"/>
          <w:szCs w:val="22"/>
          <w:lang w:val="es-ES_tradnl"/>
        </w:rPr>
        <w:t xml:space="preserve">el sentido y forma de acreditación de los factores de desempate previstos en los numerales 2, 4 y 5, así como </w:t>
      </w:r>
      <w:r w:rsidRPr="00E87B1F" w:rsidR="00434D8B">
        <w:rPr>
          <w:rFonts w:ascii="Arial" w:hAnsi="Arial" w:eastAsia="Calibri" w:cs="Arial"/>
          <w:color w:val="000000" w:themeColor="text1"/>
          <w:sz w:val="22"/>
          <w:szCs w:val="22"/>
          <w:lang w:val="es-ES_tradnl"/>
        </w:rPr>
        <w:t xml:space="preserve">frente al </w:t>
      </w:r>
      <w:r w:rsidRPr="00E87B1F" w:rsidR="009C2210">
        <w:rPr>
          <w:rFonts w:ascii="Arial" w:hAnsi="Arial" w:eastAsia="Calibri" w:cs="Arial"/>
          <w:color w:val="000000" w:themeColor="text1"/>
          <w:sz w:val="22"/>
          <w:szCs w:val="22"/>
          <w:lang w:val="es-ES_tradnl"/>
        </w:rPr>
        <w:t>contenido del parágrafo tercero, del artículo 35</w:t>
      </w:r>
      <w:r w:rsidRPr="00E87B1F" w:rsidR="00454DF8">
        <w:rPr>
          <w:rFonts w:ascii="Arial" w:hAnsi="Arial" w:eastAsia="Calibri" w:cs="Arial"/>
          <w:color w:val="000000" w:themeColor="text1"/>
          <w:sz w:val="22"/>
          <w:szCs w:val="22"/>
          <w:lang w:val="es-ES_tradnl"/>
        </w:rPr>
        <w:t xml:space="preserve">. </w:t>
      </w:r>
      <w:r w:rsidRPr="00E87B1F" w:rsidR="00694E8B">
        <w:rPr>
          <w:rFonts w:ascii="Arial" w:hAnsi="Arial" w:eastAsia="Calibri" w:cs="Arial"/>
          <w:color w:val="000000" w:themeColor="text1"/>
          <w:sz w:val="22"/>
          <w:szCs w:val="22"/>
          <w:lang w:val="es-ES_tradnl"/>
        </w:rPr>
        <w:t>Tales</w:t>
      </w:r>
      <w:r w:rsidRPr="00E87B1F" w:rsidR="00454DF8">
        <w:rPr>
          <w:rFonts w:ascii="Arial" w:hAnsi="Arial" w:eastAsia="Calibri" w:cs="Arial"/>
          <w:color w:val="000000" w:themeColor="text1"/>
          <w:sz w:val="22"/>
          <w:szCs w:val="22"/>
          <w:lang w:val="es-ES_tradnl"/>
        </w:rPr>
        <w:t xml:space="preserve"> disposiciones normativas</w:t>
      </w:r>
      <w:r w:rsidRPr="00E87B1F" w:rsidR="00694E8B">
        <w:rPr>
          <w:rFonts w:ascii="Arial" w:hAnsi="Arial" w:eastAsia="Calibri" w:cs="Arial"/>
          <w:color w:val="000000" w:themeColor="text1"/>
          <w:sz w:val="22"/>
          <w:szCs w:val="22"/>
          <w:lang w:val="es-ES_tradnl"/>
        </w:rPr>
        <w:t xml:space="preserve"> están redactadas de la siguiente manera</w:t>
      </w:r>
      <w:r w:rsidRPr="00E87B1F" w:rsidR="00BB606C">
        <w:rPr>
          <w:rFonts w:ascii="Arial" w:hAnsi="Arial" w:cs="Arial"/>
          <w:color w:val="000000" w:themeColor="text1"/>
          <w:sz w:val="21"/>
          <w:szCs w:val="21"/>
          <w:lang w:val="es-ES_tradnl"/>
        </w:rPr>
        <w:t>:</w:t>
      </w:r>
    </w:p>
    <w:p w:rsidRPr="00E87B1F" w:rsidR="00BB606C" w:rsidP="00BB606C" w:rsidRDefault="00BB606C" w14:paraId="0F63709A" w14:textId="74E372D9">
      <w:pPr>
        <w:spacing w:before="120" w:line="276" w:lineRule="auto"/>
        <w:ind w:firstLine="709"/>
        <w:jc w:val="both"/>
        <w:rPr>
          <w:rFonts w:ascii="Arial" w:hAnsi="Arial" w:cs="Arial"/>
          <w:color w:val="000000" w:themeColor="text1"/>
          <w:sz w:val="21"/>
          <w:szCs w:val="21"/>
          <w:lang w:val="es-ES_tradnl"/>
        </w:rPr>
      </w:pPr>
    </w:p>
    <w:p w:rsidRPr="00E87B1F" w:rsidR="00766D49" w:rsidP="00454DF8" w:rsidRDefault="00766D49" w14:paraId="5F4CC404" w14:textId="1E0B1109">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w:t>
      </w:r>
    </w:p>
    <w:p w:rsidRPr="00E87B1F" w:rsidR="00BB606C" w:rsidP="00BB606C" w:rsidRDefault="00BB606C" w14:paraId="7A64D169" w14:textId="5E32D61B">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rsidRPr="00E87B1F" w:rsidR="00766D49" w:rsidP="00BB606C" w:rsidRDefault="00766D49" w14:paraId="2B7F48FA" w14:textId="77777777">
      <w:pPr>
        <w:ind w:left="709" w:right="709"/>
        <w:jc w:val="both"/>
        <w:rPr>
          <w:rFonts w:ascii="Arial" w:hAnsi="Arial" w:eastAsia="Calibri" w:cs="Arial"/>
          <w:color w:val="000000" w:themeColor="text1"/>
          <w:sz w:val="21"/>
          <w:szCs w:val="21"/>
          <w:lang w:val="es-ES_tradnl"/>
        </w:rPr>
      </w:pPr>
    </w:p>
    <w:p w:rsidRPr="00E87B1F" w:rsidR="00766D49" w:rsidP="00454DF8" w:rsidRDefault="00766D49" w14:paraId="4AE922A1" w14:textId="081E98C8">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w:t>
      </w:r>
    </w:p>
    <w:p w:rsidRPr="00E87B1F" w:rsidR="00BB606C" w:rsidP="00BB606C" w:rsidRDefault="00BB606C" w14:paraId="30885A41" w14:textId="6CE24544">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rsidRPr="00E87B1F" w:rsidR="00766D49" w:rsidP="00BB606C" w:rsidRDefault="00766D49" w14:paraId="22CE685C" w14:textId="77777777">
      <w:pPr>
        <w:ind w:left="709" w:right="709"/>
        <w:jc w:val="both"/>
        <w:rPr>
          <w:rFonts w:ascii="Arial" w:hAnsi="Arial" w:eastAsia="Calibri" w:cs="Arial"/>
          <w:color w:val="000000" w:themeColor="text1"/>
          <w:sz w:val="21"/>
          <w:szCs w:val="21"/>
          <w:lang w:val="es-ES_tradnl"/>
        </w:rPr>
      </w:pPr>
    </w:p>
    <w:p w:rsidRPr="00E87B1F" w:rsidR="00BB606C" w:rsidP="00BB606C" w:rsidRDefault="00BB606C" w14:paraId="79FB32E5" w14:textId="652DA2E0">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E87B1F">
        <w:rPr>
          <w:rFonts w:ascii="Arial" w:hAnsi="Arial" w:eastAsia="Calibri" w:cs="Arial"/>
          <w:color w:val="000000" w:themeColor="text1"/>
          <w:sz w:val="21"/>
          <w:szCs w:val="21"/>
          <w:lang w:val="es-ES_tradnl"/>
        </w:rPr>
        <w:t>Rrom</w:t>
      </w:r>
      <w:proofErr w:type="spellEnd"/>
      <w:r w:rsidRPr="00E87B1F">
        <w:rPr>
          <w:rFonts w:ascii="Arial" w:hAnsi="Arial" w:eastAsia="Calibri" w:cs="Arial"/>
          <w:color w:val="000000" w:themeColor="text1"/>
          <w:sz w:val="21"/>
          <w:szCs w:val="21"/>
          <w:lang w:val="es-ES_tradnl"/>
        </w:rPr>
        <w:t xml:space="preserve"> o gitanas.</w:t>
      </w:r>
    </w:p>
    <w:p w:rsidRPr="00E87B1F" w:rsidR="00766D49" w:rsidP="0036594A" w:rsidRDefault="00766D49" w14:paraId="01CFDCDD" w14:textId="77777777">
      <w:pPr>
        <w:ind w:right="709"/>
        <w:jc w:val="both"/>
        <w:rPr>
          <w:rFonts w:ascii="Arial" w:hAnsi="Arial" w:eastAsia="Calibri" w:cs="Arial"/>
          <w:color w:val="000000" w:themeColor="text1"/>
          <w:sz w:val="21"/>
          <w:szCs w:val="21"/>
          <w:lang w:val="es-ES_tradnl"/>
        </w:rPr>
      </w:pPr>
    </w:p>
    <w:p w:rsidRPr="00E87B1F" w:rsidR="00766D49" w:rsidP="00BB606C" w:rsidRDefault="00454DF8" w14:paraId="4EAE056B" w14:textId="77009C6B">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Parágrafo Tercero: El Gobierno Nacional podrá reglamentar la aplicación de factores de desempate en casos en que concurran dos o más de los factores aquí previstos</w:t>
      </w:r>
    </w:p>
    <w:p w:rsidRPr="00E87B1F" w:rsidR="00766D49" w:rsidP="00BB606C" w:rsidRDefault="00766D49" w14:paraId="38D2E6CF" w14:textId="1B105ED0">
      <w:pPr>
        <w:ind w:left="709" w:right="709"/>
        <w:jc w:val="both"/>
        <w:rPr>
          <w:rFonts w:ascii="Arial" w:hAnsi="Arial" w:eastAsia="Calibri" w:cs="Arial"/>
          <w:color w:val="000000" w:themeColor="text1"/>
          <w:sz w:val="21"/>
          <w:szCs w:val="21"/>
          <w:lang w:val="es-ES_tradnl"/>
        </w:rPr>
      </w:pPr>
      <w:r w:rsidRPr="00E87B1F">
        <w:rPr>
          <w:rFonts w:ascii="Arial" w:hAnsi="Arial" w:eastAsia="Calibri" w:cs="Arial"/>
          <w:color w:val="000000" w:themeColor="text1"/>
          <w:sz w:val="21"/>
          <w:szCs w:val="21"/>
          <w:lang w:val="es-ES_tradnl"/>
        </w:rPr>
        <w:t>[…]</w:t>
      </w:r>
    </w:p>
    <w:p w:rsidRPr="00E87B1F" w:rsidR="00766D49" w:rsidP="00BB606C" w:rsidRDefault="00766D49" w14:paraId="5E1207E2" w14:textId="74C55D63">
      <w:pPr>
        <w:ind w:left="709" w:right="709"/>
        <w:jc w:val="both"/>
        <w:rPr>
          <w:rFonts w:ascii="Arial" w:hAnsi="Arial" w:eastAsia="Calibri" w:cs="Arial"/>
          <w:color w:val="000000" w:themeColor="text1"/>
          <w:sz w:val="21"/>
          <w:szCs w:val="21"/>
          <w:lang w:val="es-ES_tradnl"/>
        </w:rPr>
      </w:pPr>
    </w:p>
    <w:p w:rsidRPr="005419DA" w:rsidR="00E205FE" w:rsidP="00E205FE" w:rsidRDefault="00E205FE" w14:paraId="3FE2724F" w14:textId="77777777">
      <w:pPr>
        <w:spacing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Como se advierte, estos numerales </w:t>
      </w:r>
      <w:bookmarkStart w:name="_Hlk62459524" w:id="2"/>
      <w:r w:rsidRPr="005419DA">
        <w:rPr>
          <w:rFonts w:ascii="Arial" w:hAnsi="Arial" w:eastAsia="Calibri"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rsidRPr="00E87B1F" w:rsidR="00BD6D41" w:rsidP="00336CD9" w:rsidRDefault="004567DA" w14:paraId="5BDB94EE" w14:textId="6560A1CD">
      <w:pPr>
        <w:spacing w:before="120" w:line="276" w:lineRule="auto"/>
        <w:ind w:firstLine="709"/>
        <w:jc w:val="both"/>
        <w:rPr>
          <w:rFonts w:ascii="Arial" w:hAnsi="Arial" w:eastAsia="Calibri" w:cs="Arial"/>
          <w:color w:val="000000" w:themeColor="text1"/>
          <w:sz w:val="22"/>
          <w:szCs w:val="22"/>
          <w:lang w:val="es-ES_tradnl"/>
        </w:rPr>
      </w:pPr>
      <w:r w:rsidRPr="00E87B1F">
        <w:rPr>
          <w:rFonts w:ascii="Arial" w:hAnsi="Arial" w:eastAsia="Calibri" w:cs="Arial"/>
          <w:color w:val="000000" w:themeColor="text1"/>
          <w:sz w:val="22"/>
          <w:szCs w:val="22"/>
          <w:lang w:val="es-ES_tradnl"/>
        </w:rPr>
        <w:t xml:space="preserve">Así, en relación con el numeral 2 del artículo 35, como lo ha indicado la Corte Constitucional, </w:t>
      </w:r>
      <w:r w:rsidRPr="00E87B1F" w:rsidR="00974CBD">
        <w:rPr>
          <w:rFonts w:ascii="Arial" w:hAnsi="Arial" w:eastAsia="Calibri" w:cs="Arial"/>
          <w:color w:val="000000" w:themeColor="text1"/>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E87B1F" w:rsidR="00974CBD">
        <w:rPr>
          <w:rStyle w:val="Refdenotaalpie"/>
          <w:rFonts w:ascii="Arial" w:hAnsi="Arial" w:eastAsia="Calibri" w:cs="Arial"/>
          <w:color w:val="000000" w:themeColor="text1"/>
          <w:sz w:val="22"/>
          <w:szCs w:val="22"/>
          <w:lang w:val="es-ES_tradnl"/>
        </w:rPr>
        <w:footnoteReference w:id="10"/>
      </w:r>
      <w:r w:rsidRPr="00E87B1F" w:rsidR="00974CBD">
        <w:rPr>
          <w:rFonts w:ascii="Arial" w:hAnsi="Arial" w:eastAsia="Calibri" w:cs="Arial"/>
          <w:color w:val="000000" w:themeColor="text1"/>
          <w:sz w:val="22"/>
          <w:szCs w:val="22"/>
          <w:lang w:val="es-ES_tradnl"/>
        </w:rPr>
        <w:t>.</w:t>
      </w:r>
      <w:r w:rsidRPr="00E87B1F" w:rsidR="0022609C">
        <w:rPr>
          <w:rFonts w:ascii="Arial" w:hAnsi="Arial" w:eastAsia="Calibri" w:cs="Arial"/>
          <w:color w:val="000000" w:themeColor="text1"/>
          <w:sz w:val="22"/>
          <w:szCs w:val="22"/>
          <w:lang w:val="es-ES_tradnl"/>
        </w:rPr>
        <w:t xml:space="preserve"> El </w:t>
      </w:r>
      <w:r w:rsidRPr="00E87B1F" w:rsidR="002F40E2">
        <w:rPr>
          <w:rFonts w:ascii="Arial" w:hAnsi="Arial" w:eastAsia="Calibri" w:cs="Arial"/>
          <w:color w:val="000000" w:themeColor="text1"/>
          <w:sz w:val="22"/>
          <w:szCs w:val="22"/>
          <w:lang w:val="es-ES_tradnl"/>
        </w:rPr>
        <w:t>proponente</w:t>
      </w:r>
      <w:r w:rsidRPr="00E87B1F" w:rsidR="0022609C">
        <w:rPr>
          <w:rFonts w:ascii="Arial" w:hAnsi="Arial" w:eastAsia="Calibri" w:cs="Arial"/>
          <w:color w:val="000000" w:themeColor="text1"/>
          <w:sz w:val="22"/>
          <w:szCs w:val="22"/>
          <w:lang w:val="es-ES_tradnl"/>
        </w:rPr>
        <w:t xml:space="preserve"> también podrá acreditar que la</w:t>
      </w:r>
      <w:r w:rsidRPr="00E87B1F" w:rsidR="002F40E2">
        <w:rPr>
          <w:rFonts w:ascii="Arial" w:hAnsi="Arial" w:eastAsia="Calibri" w:cs="Arial"/>
          <w:color w:val="000000" w:themeColor="text1"/>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E87B1F" w:rsidR="002F40E2">
        <w:rPr>
          <w:rStyle w:val="Refdenotaalpie"/>
          <w:rFonts w:ascii="Arial" w:hAnsi="Arial" w:eastAsia="Calibri" w:cs="Arial"/>
          <w:color w:val="000000" w:themeColor="text1"/>
          <w:sz w:val="22"/>
          <w:szCs w:val="22"/>
          <w:lang w:val="es-ES_tradnl"/>
        </w:rPr>
        <w:footnoteReference w:id="11"/>
      </w:r>
      <w:r w:rsidRPr="00E87B1F" w:rsidR="00F62227">
        <w:rPr>
          <w:rFonts w:ascii="Arial" w:hAnsi="Arial" w:eastAsia="Calibri" w:cs="Arial"/>
          <w:color w:val="000000" w:themeColor="text1"/>
          <w:sz w:val="22"/>
          <w:szCs w:val="22"/>
          <w:lang w:val="es-ES_tradnl"/>
        </w:rPr>
        <w:t>.</w:t>
      </w:r>
      <w:r w:rsidRPr="00E87B1F" w:rsidR="007651EF">
        <w:rPr>
          <w:rFonts w:ascii="Arial" w:hAnsi="Arial" w:eastAsia="Calibri" w:cs="Arial"/>
          <w:color w:val="000000" w:themeColor="text1"/>
          <w:sz w:val="22"/>
          <w:szCs w:val="22"/>
          <w:lang w:val="es-ES_tradnl"/>
        </w:rPr>
        <w:t xml:space="preserve"> </w:t>
      </w:r>
    </w:p>
    <w:p w:rsidRPr="00E87B1F" w:rsidR="007E7657" w:rsidP="007E7657" w:rsidRDefault="0093360C" w14:paraId="27A795A3" w14:textId="77777777">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w:t>
      </w:r>
      <w:r w:rsidRPr="00E87B1F">
        <w:rPr>
          <w:rFonts w:ascii="Arial" w:hAnsi="Arial" w:cs="Arial"/>
          <w:color w:val="000000" w:themeColor="text1"/>
          <w:sz w:val="22"/>
          <w:szCs w:val="22"/>
          <w:lang w:val="es-ES_tradnl"/>
        </w:rPr>
        <w:lastRenderedPageBreak/>
        <w:t>disponga lo contrario, tal declaración basta para acreditar la condición de mujer cabeza de familia</w:t>
      </w:r>
      <w:r w:rsidRPr="00E87B1F">
        <w:rPr>
          <w:rStyle w:val="Refdenotaalpie"/>
          <w:rFonts w:ascii="Arial" w:hAnsi="Arial" w:cs="Arial"/>
          <w:color w:val="000000" w:themeColor="text1"/>
          <w:sz w:val="22"/>
          <w:szCs w:val="22"/>
          <w:lang w:val="es-ES_tradnl"/>
        </w:rPr>
        <w:footnoteReference w:id="12"/>
      </w:r>
      <w:r w:rsidRPr="00E87B1F">
        <w:rPr>
          <w:rFonts w:ascii="Arial" w:hAnsi="Arial" w:cs="Arial"/>
          <w:color w:val="000000" w:themeColor="text1"/>
          <w:sz w:val="22"/>
          <w:szCs w:val="22"/>
          <w:lang w:val="es-ES_tradnl"/>
        </w:rPr>
        <w:t>.</w:t>
      </w:r>
      <w:r w:rsidRPr="00E87B1F" w:rsidR="007E7657">
        <w:rPr>
          <w:rFonts w:ascii="Arial" w:hAnsi="Arial" w:cs="Arial"/>
          <w:color w:val="000000" w:themeColor="text1"/>
          <w:sz w:val="22"/>
          <w:szCs w:val="22"/>
          <w:lang w:val="es-ES_tradnl"/>
        </w:rPr>
        <w:t xml:space="preserve"> </w:t>
      </w:r>
    </w:p>
    <w:p w:rsidRPr="00E87B1F" w:rsidR="0093360C" w:rsidP="007E7657" w:rsidRDefault="007E7657" w14:paraId="472C2CE9" w14:textId="72A6B755">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rsidRPr="00E87B1F" w:rsidR="009D460F" w:rsidP="003A41C5" w:rsidRDefault="003A41C5" w14:paraId="210237BF" w14:textId="47215730">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Ahora bien, el numeral 2 del artículo 35</w:t>
      </w:r>
      <w:r w:rsidRPr="00E87B1F" w:rsidR="0093360C">
        <w:rPr>
          <w:rFonts w:ascii="Arial" w:hAnsi="Arial" w:cs="Arial"/>
          <w:color w:val="000000" w:themeColor="text1"/>
          <w:sz w:val="22"/>
          <w:szCs w:val="22"/>
          <w:lang w:val="es-ES_tradnl"/>
        </w:rPr>
        <w:t xml:space="preserve"> de la Ley </w:t>
      </w:r>
      <w:r w:rsidR="00C933D1">
        <w:rPr>
          <w:rFonts w:ascii="Arial" w:hAnsi="Arial" w:cs="Arial"/>
          <w:color w:val="000000" w:themeColor="text1"/>
          <w:sz w:val="22"/>
          <w:szCs w:val="22"/>
          <w:lang w:val="es-ES_tradnl"/>
        </w:rPr>
        <w:t>2069</w:t>
      </w:r>
      <w:r w:rsidRPr="00E87B1F" w:rsidR="0093360C">
        <w:rPr>
          <w:rFonts w:ascii="Arial" w:hAnsi="Arial" w:cs="Arial"/>
          <w:color w:val="000000" w:themeColor="text1"/>
          <w:sz w:val="22"/>
          <w:szCs w:val="22"/>
          <w:lang w:val="es-ES_tradnl"/>
        </w:rPr>
        <w:t xml:space="preserve"> de 2020</w:t>
      </w:r>
      <w:r w:rsidRPr="00E87B1F">
        <w:rPr>
          <w:rFonts w:ascii="Arial" w:hAnsi="Arial" w:cs="Arial"/>
          <w:color w:val="000000" w:themeColor="text1"/>
          <w:sz w:val="22"/>
          <w:szCs w:val="22"/>
          <w:lang w:val="es-ES_tradnl"/>
        </w:rPr>
        <w:t xml:space="preserve"> no establece que este factor de desempate únicamente puede aplicarse cuando en la persona jurídica existe participación mayoritaria </w:t>
      </w:r>
      <w:r w:rsidRPr="00E87B1F">
        <w:rPr>
          <w:rFonts w:ascii="Arial" w:hAnsi="Arial" w:cs="Arial"/>
          <w:i/>
          <w:iCs/>
          <w:color w:val="000000" w:themeColor="text1"/>
          <w:sz w:val="22"/>
          <w:szCs w:val="22"/>
          <w:lang w:val="es-ES_tradnl"/>
        </w:rPr>
        <w:t>solo</w:t>
      </w:r>
      <w:r w:rsidRPr="00E87B1F">
        <w:rPr>
          <w:rFonts w:ascii="Arial" w:hAnsi="Arial" w:cs="Arial"/>
          <w:color w:val="000000" w:themeColor="text1"/>
          <w:sz w:val="22"/>
          <w:szCs w:val="22"/>
          <w:lang w:val="es-ES_tradnl"/>
        </w:rPr>
        <w:t xml:space="preserve"> de mujeres cabeza de familia o </w:t>
      </w:r>
      <w:r w:rsidRPr="00E87B1F">
        <w:rPr>
          <w:rFonts w:ascii="Arial" w:hAnsi="Arial" w:cs="Arial"/>
          <w:i/>
          <w:iCs/>
          <w:color w:val="000000" w:themeColor="text1"/>
          <w:sz w:val="22"/>
          <w:szCs w:val="22"/>
          <w:lang w:val="es-ES_tradnl"/>
        </w:rPr>
        <w:t>solo</w:t>
      </w:r>
      <w:r w:rsidRPr="00E87B1F">
        <w:rPr>
          <w:rFonts w:ascii="Arial" w:hAnsi="Arial" w:cs="Arial"/>
          <w:color w:val="000000" w:themeColor="text1"/>
          <w:sz w:val="22"/>
          <w:szCs w:val="22"/>
          <w:lang w:val="es-ES_tradnl"/>
        </w:rPr>
        <w:t xml:space="preserve"> de mujeres víctimas de la violencia intrafamiliar. Lo que </w:t>
      </w:r>
      <w:r w:rsidRPr="00E87B1F" w:rsidR="00642126">
        <w:rPr>
          <w:rFonts w:ascii="Arial" w:hAnsi="Arial" w:cs="Arial"/>
          <w:color w:val="000000" w:themeColor="text1"/>
          <w:sz w:val="22"/>
          <w:szCs w:val="22"/>
          <w:lang w:val="es-ES_tradnl"/>
        </w:rPr>
        <w:t>prevé</w:t>
      </w:r>
      <w:r w:rsidRPr="00E87B1F">
        <w:rPr>
          <w:rFonts w:ascii="Arial" w:hAnsi="Arial" w:cs="Arial"/>
          <w:color w:val="000000" w:themeColor="text1"/>
          <w:sz w:val="22"/>
          <w:szCs w:val="22"/>
          <w:lang w:val="es-ES_tradnl"/>
        </w:rPr>
        <w:t xml:space="preserve"> el enunciado normativo es que se debe «Preferir la propuesta de la mujer cabeza de familia, mujeres víctimas de la violencia intrafamiliar o de la persona jurídica en la cual participe </w:t>
      </w:r>
      <w:r w:rsidRPr="00E87B1F">
        <w:rPr>
          <w:rFonts w:ascii="Arial" w:hAnsi="Arial" w:cs="Arial"/>
          <w:i/>
          <w:iCs/>
          <w:color w:val="000000" w:themeColor="text1"/>
          <w:sz w:val="22"/>
          <w:szCs w:val="22"/>
          <w:lang w:val="es-ES_tradnl"/>
        </w:rPr>
        <w:t>o participen</w:t>
      </w:r>
      <w:r w:rsidRPr="00E87B1F">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E87B1F">
        <w:rPr>
          <w:rFonts w:ascii="Arial" w:hAnsi="Arial" w:cs="Arial"/>
          <w:i/>
          <w:iCs/>
          <w:color w:val="000000" w:themeColor="text1"/>
          <w:sz w:val="22"/>
          <w:szCs w:val="22"/>
          <w:lang w:val="es-ES_tradnl"/>
        </w:rPr>
        <w:t xml:space="preserve">o participen </w:t>
      </w:r>
      <w:r w:rsidRPr="00E87B1F">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rsidRPr="00E87B1F" w:rsidR="003A41C5" w:rsidP="009D460F" w:rsidRDefault="009D460F" w14:paraId="71D87657" w14:textId="27A13BAF">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Para beneficiar</w:t>
      </w:r>
      <w:r w:rsidR="001C1568">
        <w:rPr>
          <w:rFonts w:ascii="Arial" w:hAnsi="Arial" w:cs="Arial"/>
          <w:color w:val="000000" w:themeColor="text1"/>
          <w:sz w:val="22"/>
          <w:szCs w:val="22"/>
          <w:lang w:val="es-ES_tradnl"/>
        </w:rPr>
        <w:t>se</w:t>
      </w:r>
      <w:r w:rsidRPr="00E87B1F">
        <w:rPr>
          <w:rFonts w:ascii="Arial" w:hAnsi="Arial" w:cs="Arial"/>
          <w:color w:val="000000" w:themeColor="text1"/>
          <w:sz w:val="22"/>
          <w:szCs w:val="22"/>
          <w:lang w:val="es-ES_tradnl"/>
        </w:rPr>
        <w:t xml:space="preserve">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w:t>
      </w:r>
      <w:r w:rsidRPr="00E87B1F">
        <w:rPr>
          <w:rFonts w:ascii="Arial" w:hAnsi="Arial" w:cs="Arial"/>
          <w:color w:val="000000" w:themeColor="text1"/>
          <w:sz w:val="22"/>
          <w:szCs w:val="22"/>
          <w:lang w:val="es-ES_tradnl"/>
        </w:rPr>
        <w:lastRenderedPageBreak/>
        <w:t xml:space="preserve">varias personas jurídicas integrando el proponente plural, cada una de ellas debe acreditar la participación mayoritaria de mujeres cabeza de familia o mujeres víctimas de violencia intrafamiliar.  </w:t>
      </w:r>
      <w:r w:rsidRPr="00E87B1F" w:rsidR="003A41C5">
        <w:rPr>
          <w:rFonts w:ascii="Arial" w:hAnsi="Arial" w:cs="Arial"/>
          <w:color w:val="000000" w:themeColor="text1"/>
          <w:sz w:val="22"/>
          <w:szCs w:val="22"/>
          <w:lang w:val="es-ES_tradnl"/>
        </w:rPr>
        <w:t xml:space="preserve"> </w:t>
      </w:r>
    </w:p>
    <w:p w:rsidRPr="00E87B1F" w:rsidR="009A39EE" w:rsidP="00BD6D41" w:rsidRDefault="00BB4048" w14:paraId="17D0FB07" w14:textId="48AF1761">
      <w:pPr>
        <w:spacing w:before="120" w:line="276" w:lineRule="auto"/>
        <w:ind w:firstLine="709"/>
        <w:jc w:val="both"/>
        <w:rPr>
          <w:rFonts w:ascii="Arial" w:hAnsi="Arial" w:eastAsia="Calibri" w:cs="Arial"/>
          <w:color w:val="000000" w:themeColor="text1"/>
          <w:sz w:val="22"/>
          <w:szCs w:val="22"/>
          <w:lang w:val="es-ES_tradnl"/>
        </w:rPr>
      </w:pPr>
      <w:r w:rsidRPr="00E87B1F">
        <w:rPr>
          <w:rFonts w:ascii="Arial" w:hAnsi="Arial" w:eastAsia="Calibri" w:cs="Arial"/>
          <w:color w:val="000000" w:themeColor="text1"/>
          <w:sz w:val="22"/>
          <w:szCs w:val="22"/>
          <w:lang w:val="es-ES_tradnl"/>
        </w:rPr>
        <w:t xml:space="preserve">Frente a lo </w:t>
      </w:r>
      <w:r w:rsidRPr="00E87B1F" w:rsidR="00A8236F">
        <w:rPr>
          <w:rFonts w:ascii="Arial" w:hAnsi="Arial" w:eastAsia="Calibri" w:cs="Arial"/>
          <w:color w:val="000000" w:themeColor="text1"/>
          <w:sz w:val="22"/>
          <w:szCs w:val="22"/>
          <w:lang w:val="es-ES_tradnl"/>
        </w:rPr>
        <w:t>previsto</w:t>
      </w:r>
      <w:r w:rsidRPr="00E87B1F">
        <w:rPr>
          <w:rFonts w:ascii="Arial" w:hAnsi="Arial" w:eastAsia="Calibri" w:cs="Arial"/>
          <w:color w:val="000000" w:themeColor="text1"/>
          <w:sz w:val="22"/>
          <w:szCs w:val="22"/>
          <w:lang w:val="es-ES_tradnl"/>
        </w:rPr>
        <w:t xml:space="preserve"> en el numeral 4</w:t>
      </w:r>
      <w:r w:rsidRPr="00E87B1F" w:rsidR="003B1961">
        <w:rPr>
          <w:rFonts w:ascii="Arial" w:hAnsi="Arial" w:eastAsia="Calibri" w:cs="Arial"/>
          <w:color w:val="000000" w:themeColor="text1"/>
          <w:sz w:val="22"/>
          <w:szCs w:val="22"/>
          <w:lang w:val="es-ES_tradnl"/>
        </w:rPr>
        <w:t xml:space="preserve"> del artículo </w:t>
      </w:r>
      <w:r w:rsidRPr="00E87B1F" w:rsidR="00B24D9F">
        <w:rPr>
          <w:rFonts w:ascii="Arial" w:hAnsi="Arial" w:eastAsia="Calibri" w:cs="Arial"/>
          <w:color w:val="000000" w:themeColor="text1"/>
          <w:sz w:val="22"/>
          <w:szCs w:val="22"/>
          <w:lang w:val="es-ES_tradnl"/>
        </w:rPr>
        <w:t xml:space="preserve">35 de la Ley </w:t>
      </w:r>
      <w:r w:rsidR="00C933D1">
        <w:rPr>
          <w:rFonts w:ascii="Arial" w:hAnsi="Arial" w:eastAsia="Calibri" w:cs="Arial"/>
          <w:color w:val="000000" w:themeColor="text1"/>
          <w:sz w:val="22"/>
          <w:szCs w:val="22"/>
          <w:lang w:val="es-ES_tradnl"/>
        </w:rPr>
        <w:t>2069</w:t>
      </w:r>
      <w:r w:rsidRPr="00E87B1F" w:rsidR="00B24D9F">
        <w:rPr>
          <w:rFonts w:ascii="Arial" w:hAnsi="Arial" w:eastAsia="Calibri" w:cs="Arial"/>
          <w:color w:val="000000" w:themeColor="text1"/>
          <w:sz w:val="22"/>
          <w:szCs w:val="22"/>
          <w:lang w:val="es-ES_tradnl"/>
        </w:rPr>
        <w:t xml:space="preserve"> de 2020</w:t>
      </w:r>
      <w:r w:rsidRPr="00E87B1F" w:rsidR="003B1961">
        <w:rPr>
          <w:rFonts w:ascii="Arial" w:hAnsi="Arial" w:eastAsia="Calibri" w:cs="Arial"/>
          <w:color w:val="000000" w:themeColor="text1"/>
          <w:sz w:val="22"/>
          <w:szCs w:val="22"/>
          <w:lang w:val="es-ES_tradnl"/>
        </w:rPr>
        <w:t>, cuando el legislador alude al concepto de «personas mayores»</w:t>
      </w:r>
      <w:r w:rsidRPr="00E87B1F" w:rsidR="008509A5">
        <w:rPr>
          <w:rFonts w:ascii="Arial" w:hAnsi="Arial" w:eastAsia="Calibri" w:cs="Arial"/>
          <w:color w:val="000000" w:themeColor="text1"/>
          <w:sz w:val="22"/>
          <w:szCs w:val="22"/>
          <w:lang w:val="es-ES_tradnl"/>
        </w:rPr>
        <w:t xml:space="preserve"> que no sean beneficiarias de la pensión de vejez, familiar o de sobrevivencia y que hayan cumplido la edad </w:t>
      </w:r>
      <w:r w:rsidRPr="00E87B1F" w:rsidR="00E5428D">
        <w:rPr>
          <w:rFonts w:ascii="Arial" w:hAnsi="Arial" w:eastAsia="Calibri" w:cs="Arial"/>
          <w:color w:val="000000" w:themeColor="text1"/>
          <w:sz w:val="22"/>
          <w:szCs w:val="22"/>
          <w:lang w:val="es-ES_tradnl"/>
        </w:rPr>
        <w:t>para obtenerla</w:t>
      </w:r>
      <w:r w:rsidRPr="00E87B1F" w:rsidR="003B1961">
        <w:rPr>
          <w:rFonts w:ascii="Arial" w:hAnsi="Arial" w:eastAsia="Calibri" w:cs="Arial"/>
          <w:color w:val="000000" w:themeColor="text1"/>
          <w:sz w:val="22"/>
          <w:szCs w:val="22"/>
          <w:lang w:val="es-ES_tradnl"/>
        </w:rPr>
        <w:t>, la interpretación más razonable</w:t>
      </w:r>
      <w:r w:rsidRPr="00E87B1F" w:rsidR="008509A5">
        <w:rPr>
          <w:rFonts w:ascii="Arial" w:hAnsi="Arial" w:eastAsia="Calibri" w:cs="Arial"/>
          <w:color w:val="000000" w:themeColor="text1"/>
          <w:sz w:val="22"/>
          <w:szCs w:val="22"/>
          <w:lang w:val="es-ES_tradnl"/>
        </w:rPr>
        <w:t xml:space="preserve"> es entender</w:t>
      </w:r>
      <w:r w:rsidRPr="00E87B1F" w:rsidR="00E5428D">
        <w:rPr>
          <w:rFonts w:ascii="Arial" w:hAnsi="Arial" w:eastAsia="Calibri" w:cs="Arial"/>
          <w:color w:val="000000" w:themeColor="text1"/>
          <w:sz w:val="22"/>
          <w:szCs w:val="22"/>
          <w:lang w:val="es-ES_tradnl"/>
        </w:rPr>
        <w:t xml:space="preserve"> que la norma se refiere al «adulto mayor»</w:t>
      </w:r>
      <w:r w:rsidR="009C2701">
        <w:rPr>
          <w:rFonts w:ascii="Arial" w:hAnsi="Arial" w:eastAsia="Calibri" w:cs="Arial"/>
          <w:color w:val="000000" w:themeColor="text1"/>
          <w:sz w:val="22"/>
          <w:szCs w:val="22"/>
          <w:lang w:val="es-ES_tradnl"/>
        </w:rPr>
        <w:t xml:space="preserve">. Este concepto lo </w:t>
      </w:r>
      <w:r w:rsidRPr="00E87B1F" w:rsidR="00E5428D">
        <w:rPr>
          <w:rFonts w:ascii="Arial" w:hAnsi="Arial" w:eastAsia="Calibri" w:cs="Arial"/>
          <w:color w:val="000000" w:themeColor="text1"/>
          <w:sz w:val="22"/>
          <w:szCs w:val="22"/>
          <w:lang w:val="es-ES_tradnl"/>
        </w:rPr>
        <w:t xml:space="preserve">define el artículo </w:t>
      </w:r>
      <w:r w:rsidRPr="00E87B1F" w:rsidR="00BD6D41">
        <w:rPr>
          <w:rFonts w:ascii="Arial" w:hAnsi="Arial" w:eastAsia="Calibri" w:cs="Arial"/>
          <w:color w:val="000000" w:themeColor="text1"/>
          <w:sz w:val="22"/>
          <w:szCs w:val="22"/>
          <w:lang w:val="es-ES_tradnl"/>
        </w:rPr>
        <w:t>3 de la Ley 1251 de 2008 –«Por la cual se dictan normas tendientes a procurar la protección, promoción y defensa de los derechos de los adultos mayores»–</w:t>
      </w:r>
      <w:r w:rsidRPr="00E87B1F" w:rsidR="00A0056C">
        <w:rPr>
          <w:rFonts w:ascii="Arial" w:hAnsi="Arial" w:eastAsia="Calibri" w:cs="Arial"/>
          <w:color w:val="000000" w:themeColor="text1"/>
          <w:sz w:val="22"/>
          <w:szCs w:val="22"/>
          <w:lang w:val="es-ES_tradnl"/>
        </w:rPr>
        <w:t xml:space="preserve"> como «</w:t>
      </w:r>
      <w:r w:rsidRPr="00E87B1F" w:rsidR="00A0056C">
        <w:rPr>
          <w:rFonts w:ascii="Arial" w:hAnsi="Arial" w:cs="Arial"/>
          <w:lang w:val="es-ES_tradnl"/>
        </w:rPr>
        <w:t xml:space="preserve">[…] </w:t>
      </w:r>
      <w:r w:rsidRPr="00E87B1F" w:rsidR="00A0056C">
        <w:rPr>
          <w:rFonts w:ascii="Arial" w:hAnsi="Arial" w:eastAsia="Calibri" w:cs="Arial"/>
          <w:color w:val="000000" w:themeColor="text1"/>
          <w:sz w:val="22"/>
          <w:szCs w:val="22"/>
          <w:lang w:val="es-ES_tradnl"/>
        </w:rPr>
        <w:t>aquella persona que cuenta con sesenta (60) años de edad o más»</w:t>
      </w:r>
      <w:r w:rsidRPr="00E87B1F" w:rsidR="0031713F">
        <w:rPr>
          <w:rFonts w:ascii="Arial" w:hAnsi="Arial" w:eastAsia="Calibri" w:cs="Arial"/>
          <w:color w:val="000000" w:themeColor="text1"/>
          <w:sz w:val="22"/>
          <w:szCs w:val="22"/>
          <w:lang w:val="es-ES_tradnl"/>
        </w:rPr>
        <w:t xml:space="preserve">, lo cual </w:t>
      </w:r>
      <w:r w:rsidRPr="00E87B1F" w:rsidR="00924770">
        <w:rPr>
          <w:rFonts w:ascii="Arial" w:hAnsi="Arial" w:eastAsia="Calibri" w:cs="Arial"/>
          <w:color w:val="000000" w:themeColor="text1"/>
          <w:sz w:val="22"/>
          <w:szCs w:val="22"/>
          <w:lang w:val="es-ES_tradnl"/>
        </w:rPr>
        <w:t>se puede acreditar con el documento de identidad</w:t>
      </w:r>
      <w:r w:rsidRPr="00E87B1F" w:rsidR="0031713F">
        <w:rPr>
          <w:rFonts w:ascii="Arial" w:hAnsi="Arial" w:eastAsia="Calibri" w:cs="Arial"/>
          <w:color w:val="000000" w:themeColor="text1"/>
          <w:sz w:val="22"/>
          <w:szCs w:val="22"/>
          <w:lang w:val="es-ES_tradnl"/>
        </w:rPr>
        <w:t xml:space="preserve"> correspondiente.</w:t>
      </w:r>
    </w:p>
    <w:p w:rsidRPr="00E87B1F" w:rsidR="00B24D9F" w:rsidP="00B24D9F" w:rsidRDefault="00B24D9F" w14:paraId="659CE29C" w14:textId="6A67787A">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p>
    <w:p w:rsidRPr="00E87B1F" w:rsidR="00B24D9F" w:rsidP="00EF397D" w:rsidRDefault="00446270" w14:paraId="3917DFEC" w14:textId="7F9DA020">
      <w:pPr>
        <w:spacing w:before="120" w:line="276" w:lineRule="auto"/>
        <w:ind w:firstLine="709"/>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ser beneficiario del factor de desempate.</w:t>
      </w:r>
      <w:r w:rsidRPr="00E87B1F" w:rsidR="002B0D83">
        <w:rPr>
          <w:rFonts w:ascii="Arial" w:hAnsi="Arial" w:cs="Arial"/>
          <w:color w:val="000000" w:themeColor="text1"/>
          <w:sz w:val="22"/>
          <w:szCs w:val="22"/>
          <w:lang w:val="es-ES_tradnl"/>
        </w:rPr>
        <w:t xml:space="preserve"> La norma guarda silencio sobre la acreditación de la condición que da lugar la aplicación del factor de desempate. Por tanto, esta </w:t>
      </w:r>
      <w:r w:rsidR="00432C85">
        <w:rPr>
          <w:rFonts w:ascii="Arial" w:hAnsi="Arial" w:cs="Arial"/>
          <w:color w:val="000000" w:themeColor="text1"/>
          <w:sz w:val="22"/>
          <w:szCs w:val="22"/>
          <w:lang w:val="es-ES_tradnl"/>
        </w:rPr>
        <w:t>Agencia</w:t>
      </w:r>
      <w:r w:rsidRPr="00E87B1F" w:rsidR="002B0D83">
        <w:rPr>
          <w:rFonts w:ascii="Arial" w:hAnsi="Arial" w:cs="Arial"/>
          <w:color w:val="000000" w:themeColor="text1"/>
          <w:sz w:val="22"/>
          <w:szCs w:val="22"/>
          <w:lang w:val="es-ES_tradnl"/>
        </w:rPr>
        <w:t xml:space="preserve"> considera que, sin perjuicio de que el reglamento que expida el gobierno nacional determine un medio de acreditación especial, existe libertad probatoria sobre el tema. En consecuencia, la entidad estatal contratante puede determinar en el pliego de condiciones</w:t>
      </w:r>
      <w:r w:rsidRPr="00E87B1F" w:rsidR="007C7E15">
        <w:rPr>
          <w:rFonts w:ascii="Arial" w:hAnsi="Arial" w:cs="Arial"/>
          <w:color w:val="000000" w:themeColor="text1"/>
          <w:sz w:val="22"/>
          <w:szCs w:val="22"/>
          <w:lang w:val="es-ES_tradnl"/>
        </w:rPr>
        <w:t xml:space="preserve"> o documento equivalente </w:t>
      </w:r>
      <w:r w:rsidRPr="00E87B1F" w:rsidR="002B0D83">
        <w:rPr>
          <w:rFonts w:ascii="Arial" w:hAnsi="Arial" w:cs="Arial"/>
          <w:color w:val="000000" w:themeColor="text1"/>
          <w:sz w:val="22"/>
          <w:szCs w:val="22"/>
          <w:lang w:val="es-ES_tradnl"/>
        </w:rPr>
        <w:t>cuál será el medio pertinente y conducente que permitirá evidenciar la vinculación de las personas mayores por parte del oferente.</w:t>
      </w:r>
    </w:p>
    <w:p w:rsidRPr="005419DA" w:rsidR="00882BD6" w:rsidP="00882BD6" w:rsidRDefault="00882BD6" w14:paraId="5613D80A"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lo que respecta al numeral 5, es decir, a la pertenencia a la «</w:t>
      </w:r>
      <w:r w:rsidRPr="005419DA">
        <w:rPr>
          <w:rFonts w:ascii="Arial" w:hAnsi="Arial" w:cs="Arial"/>
          <w:lang w:val="es-ES_tradnl"/>
        </w:rPr>
        <w:t xml:space="preserve">[…] </w:t>
      </w:r>
      <w:r w:rsidRPr="005419DA">
        <w:rPr>
          <w:rFonts w:ascii="Arial" w:hAnsi="Arial" w:eastAsia="Calibri" w:cs="Arial"/>
          <w:color w:val="000000" w:themeColor="text1"/>
          <w:sz w:val="22"/>
          <w:szCs w:val="22"/>
          <w:lang w:val="es-ES_tradnl"/>
        </w:rPr>
        <w:t xml:space="preserve">población indígena, negra, afrocolombiana, raizal, palanquera, </w:t>
      </w:r>
      <w:proofErr w:type="spellStart"/>
      <w:r w:rsidRPr="005419DA">
        <w:rPr>
          <w:rFonts w:ascii="Arial" w:hAnsi="Arial" w:eastAsia="Calibri" w:cs="Arial"/>
          <w:color w:val="000000" w:themeColor="text1"/>
          <w:sz w:val="22"/>
          <w:szCs w:val="22"/>
          <w:lang w:val="es-ES_tradnl"/>
        </w:rPr>
        <w:t>Rrom</w:t>
      </w:r>
      <w:proofErr w:type="spellEnd"/>
      <w:r w:rsidRPr="005419DA">
        <w:rPr>
          <w:rFonts w:ascii="Arial" w:hAnsi="Arial" w:eastAsia="Calibri" w:cs="Arial"/>
          <w:color w:val="000000" w:themeColor="text1"/>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w:t>
      </w:r>
      <w:r w:rsidRPr="005419DA">
        <w:rPr>
          <w:rFonts w:ascii="Arial" w:hAnsi="Arial" w:eastAsia="Calibri" w:cs="Arial"/>
          <w:color w:val="000000" w:themeColor="text1"/>
          <w:sz w:val="22"/>
          <w:szCs w:val="22"/>
          <w:lang w:val="es-ES_tradnl"/>
        </w:rPr>
        <w:lastRenderedPageBreak/>
        <w:t>actuales fronteras estatales y que, cualquiera que sea su situación jurídica, conserven todas sus propias instituciones sociales, económicas, culturales y políticas, o parte de ellas»</w:t>
      </w:r>
      <w:r w:rsidRPr="005419DA">
        <w:rPr>
          <w:rStyle w:val="Refdenotaalpie"/>
          <w:rFonts w:ascii="Arial" w:hAnsi="Arial" w:eastAsia="Calibri" w:cs="Arial"/>
          <w:color w:val="000000" w:themeColor="text1"/>
          <w:sz w:val="22"/>
          <w:szCs w:val="22"/>
          <w:lang w:val="es-ES_tradnl"/>
        </w:rPr>
        <w:footnoteReference w:id="13"/>
      </w:r>
      <w:r w:rsidRPr="005419DA">
        <w:rPr>
          <w:rFonts w:ascii="Arial" w:hAnsi="Arial" w:eastAsia="Calibri" w:cs="Arial"/>
          <w:color w:val="000000" w:themeColor="text1"/>
          <w:sz w:val="22"/>
          <w:szCs w:val="22"/>
          <w:lang w:val="es-ES_tradnl"/>
        </w:rPr>
        <w:t xml:space="preserve">. </w:t>
      </w:r>
    </w:p>
    <w:p w:rsidRPr="005419DA" w:rsidR="00882BD6" w:rsidP="00882BD6" w:rsidRDefault="00882BD6" w14:paraId="5253D7C4"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5419DA">
        <w:rPr>
          <w:rFonts w:ascii="Arial" w:hAnsi="Arial" w:eastAsia="Calibri" w:cs="Arial"/>
          <w:color w:val="000000" w:themeColor="text1"/>
          <w:sz w:val="22"/>
          <w:szCs w:val="22"/>
          <w:lang w:val="es-ES_tradnl"/>
        </w:rPr>
        <w:t>compo</w:t>
      </w:r>
      <w:proofErr w:type="spellEnd"/>
      <w:r w:rsidRPr="005419DA">
        <w:rPr>
          <w:rFonts w:ascii="Arial" w:hAnsi="Arial" w:eastAsia="Calibri" w:cs="Arial"/>
          <w:color w:val="000000" w:themeColor="text1"/>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5419DA">
        <w:rPr>
          <w:rStyle w:val="Refdenotaalpie"/>
          <w:rFonts w:ascii="Arial" w:hAnsi="Arial" w:eastAsia="Calibri" w:cs="Arial"/>
          <w:color w:val="000000" w:themeColor="text1"/>
          <w:sz w:val="22"/>
          <w:szCs w:val="22"/>
          <w:lang w:val="es-ES_tradnl"/>
        </w:rPr>
        <w:footnoteReference w:id="14"/>
      </w:r>
      <w:r w:rsidRPr="005419DA">
        <w:rPr>
          <w:rFonts w:ascii="Arial" w:hAnsi="Arial" w:eastAsia="Calibri" w:cs="Arial"/>
          <w:color w:val="000000" w:themeColor="text1"/>
          <w:sz w:val="22"/>
          <w:szCs w:val="22"/>
          <w:lang w:val="es-ES_tradnl"/>
        </w:rPr>
        <w:t xml:space="preserve">. </w:t>
      </w:r>
    </w:p>
    <w:p w:rsidRPr="005419DA" w:rsidR="00882BD6" w:rsidP="00882BD6" w:rsidRDefault="00882BD6" w14:paraId="758955C3"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La «población raizal», «Es la población nativa de las Islas de San Andrés, Providencia </w:t>
      </w:r>
      <w:r>
        <w:rPr>
          <w:rFonts w:ascii="Arial" w:hAnsi="Arial" w:eastAsia="Calibri" w:cs="Arial"/>
          <w:color w:val="000000" w:themeColor="text1"/>
          <w:sz w:val="22"/>
          <w:szCs w:val="22"/>
          <w:lang w:val="es-ES_tradnl"/>
        </w:rPr>
        <w:t>y</w:t>
      </w:r>
      <w:r w:rsidRPr="005419DA">
        <w:rPr>
          <w:rFonts w:ascii="Arial" w:hAnsi="Arial" w:eastAsia="Calibri" w:cs="Arial"/>
          <w:color w:val="000000" w:themeColor="text1"/>
          <w:sz w:val="22"/>
          <w:szCs w:val="22"/>
          <w:lang w:val="es-ES_tradnl"/>
        </w:rPr>
        <w:t xml:space="preserve">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5419DA">
        <w:rPr>
          <w:rStyle w:val="Refdenotaalpie"/>
          <w:rFonts w:ascii="Arial" w:hAnsi="Arial" w:eastAsia="Calibri" w:cs="Arial"/>
          <w:color w:val="000000" w:themeColor="text1"/>
          <w:sz w:val="22"/>
          <w:szCs w:val="22"/>
          <w:lang w:val="es-ES_tradnl"/>
        </w:rPr>
        <w:footnoteReference w:id="15"/>
      </w:r>
      <w:r w:rsidRPr="005419DA">
        <w:rPr>
          <w:rFonts w:ascii="Arial" w:hAnsi="Arial" w:eastAsia="Calibri" w:cs="Arial"/>
          <w:color w:val="000000" w:themeColor="text1"/>
          <w:sz w:val="22"/>
          <w:szCs w:val="22"/>
          <w:lang w:val="es-ES_tradnl"/>
        </w:rPr>
        <w:t xml:space="preserve">. La «población </w:t>
      </w:r>
      <w:proofErr w:type="spellStart"/>
      <w:r w:rsidRPr="005419DA">
        <w:rPr>
          <w:rFonts w:ascii="Arial" w:hAnsi="Arial" w:eastAsia="Calibri" w:cs="Arial"/>
          <w:color w:val="000000" w:themeColor="text1"/>
          <w:sz w:val="22"/>
          <w:szCs w:val="22"/>
          <w:lang w:val="es-ES_tradnl"/>
        </w:rPr>
        <w:t>palenquera</w:t>
      </w:r>
      <w:proofErr w:type="spellEnd"/>
      <w:r w:rsidRPr="005419DA">
        <w:rPr>
          <w:rFonts w:ascii="Arial" w:hAnsi="Arial" w:eastAsia="Calibri" w:cs="Arial"/>
          <w:color w:val="000000" w:themeColor="text1"/>
          <w:sz w:val="22"/>
          <w:szCs w:val="22"/>
          <w:lang w:val="es-ES_tradnl"/>
        </w:rPr>
        <w:t>» «</w:t>
      </w:r>
      <w:r w:rsidRPr="005419DA">
        <w:rPr>
          <w:rFonts w:ascii="Arial" w:hAnsi="Arial" w:cs="Arial"/>
          <w:lang w:val="es-ES_tradnl"/>
        </w:rPr>
        <w:t xml:space="preserve">[…] </w:t>
      </w:r>
      <w:r w:rsidRPr="005419DA">
        <w:rPr>
          <w:rFonts w:ascii="Arial" w:hAnsi="Arial" w:eastAsia="Calibri" w:cs="Arial"/>
          <w:color w:val="000000" w:themeColor="text1"/>
          <w:sz w:val="22"/>
          <w:szCs w:val="22"/>
          <w:lang w:val="es-ES_tradnl"/>
        </w:rPr>
        <w:t>está conformada por los descendientes de los esclavizados que mediante actos de resistencia y de libertad, se refugiaron en los territorios de la Costa Norte de Colombia desde el Siglo XV denominados palenques. Existen 4 Palenques reconocidos: San Basilio de Palenque (</w:t>
      </w:r>
      <w:proofErr w:type="spellStart"/>
      <w:r w:rsidRPr="005419DA">
        <w:rPr>
          <w:rFonts w:ascii="Arial" w:hAnsi="Arial" w:eastAsia="Calibri" w:cs="Arial"/>
          <w:color w:val="000000" w:themeColor="text1"/>
          <w:sz w:val="22"/>
          <w:szCs w:val="22"/>
          <w:lang w:val="es-ES_tradnl"/>
        </w:rPr>
        <w:t>Mahates</w:t>
      </w:r>
      <w:proofErr w:type="spellEnd"/>
      <w:r w:rsidRPr="005419DA">
        <w:rPr>
          <w:rFonts w:ascii="Arial" w:hAnsi="Arial" w:eastAsia="Calibri" w:cs="Arial"/>
          <w:color w:val="000000" w:themeColor="text1"/>
          <w:sz w:val="22"/>
          <w:szCs w:val="22"/>
          <w:lang w:val="es-ES_tradnl"/>
        </w:rPr>
        <w:t xml:space="preserve"> – Bolívar), San José de </w:t>
      </w:r>
      <w:proofErr w:type="spellStart"/>
      <w:r w:rsidRPr="005419DA">
        <w:rPr>
          <w:rFonts w:ascii="Arial" w:hAnsi="Arial" w:eastAsia="Calibri" w:cs="Arial"/>
          <w:color w:val="000000" w:themeColor="text1"/>
          <w:sz w:val="22"/>
          <w:szCs w:val="22"/>
          <w:lang w:val="es-ES_tradnl"/>
        </w:rPr>
        <w:t>Uré</w:t>
      </w:r>
      <w:proofErr w:type="spellEnd"/>
      <w:r w:rsidRPr="005419DA">
        <w:rPr>
          <w:rFonts w:ascii="Arial" w:hAnsi="Arial" w:eastAsia="Calibri" w:cs="Arial"/>
          <w:color w:val="000000" w:themeColor="text1"/>
          <w:sz w:val="22"/>
          <w:szCs w:val="22"/>
          <w:lang w:val="es-ES_tradnl"/>
        </w:rPr>
        <w:t xml:space="preserve"> (Córdoba), Jacobo Pérez </w:t>
      </w:r>
      <w:r>
        <w:rPr>
          <w:rFonts w:ascii="Arial" w:hAnsi="Arial" w:eastAsia="Calibri" w:cs="Arial"/>
          <w:color w:val="000000" w:themeColor="text1"/>
          <w:sz w:val="22"/>
          <w:szCs w:val="22"/>
          <w:lang w:val="es-ES_tradnl"/>
        </w:rPr>
        <w:t>E</w:t>
      </w:r>
      <w:r w:rsidRPr="005419DA">
        <w:rPr>
          <w:rFonts w:ascii="Arial" w:hAnsi="Arial" w:eastAsia="Calibri" w:cs="Arial"/>
          <w:color w:val="000000" w:themeColor="text1"/>
          <w:sz w:val="22"/>
          <w:szCs w:val="22"/>
          <w:lang w:val="es-ES_tradnl"/>
        </w:rPr>
        <w:t>scobar (Magdalena) y La Libertad (Sucre)»</w:t>
      </w:r>
      <w:r w:rsidRPr="005419DA">
        <w:rPr>
          <w:rStyle w:val="Refdenotaalpie"/>
          <w:rFonts w:ascii="Arial" w:hAnsi="Arial" w:eastAsia="Calibri" w:cs="Arial"/>
          <w:color w:val="000000" w:themeColor="text1"/>
          <w:sz w:val="22"/>
          <w:szCs w:val="22"/>
          <w:lang w:val="es-ES_tradnl"/>
        </w:rPr>
        <w:footnoteReference w:id="16"/>
      </w:r>
      <w:r w:rsidRPr="005419DA">
        <w:rPr>
          <w:rFonts w:ascii="Arial" w:hAnsi="Arial" w:eastAsia="Calibri" w:cs="Arial"/>
          <w:color w:val="000000" w:themeColor="text1"/>
          <w:sz w:val="22"/>
          <w:szCs w:val="22"/>
          <w:lang w:val="es-ES_tradnl"/>
        </w:rPr>
        <w:t xml:space="preserve">. </w:t>
      </w:r>
    </w:p>
    <w:p w:rsidRPr="005419DA" w:rsidR="00882BD6" w:rsidP="00882BD6" w:rsidRDefault="00882BD6" w14:paraId="30AC18B2"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cuanto al Pueblo «</w:t>
      </w:r>
      <w:proofErr w:type="spellStart"/>
      <w:r w:rsidRPr="005419DA">
        <w:rPr>
          <w:rFonts w:ascii="Arial" w:hAnsi="Arial" w:eastAsia="Calibri" w:cs="Arial"/>
          <w:color w:val="000000" w:themeColor="text1"/>
          <w:sz w:val="22"/>
          <w:szCs w:val="22"/>
          <w:lang w:val="es-ES_tradnl"/>
        </w:rPr>
        <w:t>Rrom</w:t>
      </w:r>
      <w:proofErr w:type="spellEnd"/>
      <w:r w:rsidRPr="005419DA">
        <w:rPr>
          <w:rFonts w:ascii="Arial" w:hAnsi="Arial" w:eastAsia="Calibri" w:cs="Arial"/>
          <w:color w:val="000000" w:themeColor="text1"/>
          <w:sz w:val="22"/>
          <w:szCs w:val="22"/>
          <w:lang w:val="es-ES_tradnl"/>
        </w:rPr>
        <w:t xml:space="preserve">» o «gitano» conviene indicar que, de acuerdo con el artículo 6 del Decreto 2957 del 6 de agosto de 2010, «El Estado colombiano reconoce a los </w:t>
      </w:r>
      <w:proofErr w:type="spellStart"/>
      <w:r w:rsidRPr="005419DA">
        <w:rPr>
          <w:rFonts w:ascii="Arial" w:hAnsi="Arial" w:eastAsia="Calibri" w:cs="Arial"/>
          <w:color w:val="000000" w:themeColor="text1"/>
          <w:sz w:val="22"/>
          <w:szCs w:val="22"/>
          <w:lang w:val="es-ES_tradnl"/>
        </w:rPr>
        <w:t>Rom</w:t>
      </w:r>
      <w:proofErr w:type="spellEnd"/>
      <w:r w:rsidRPr="005419DA">
        <w:rPr>
          <w:rFonts w:ascii="Arial" w:hAnsi="Arial" w:eastAsia="Calibri" w:cs="Arial"/>
          <w:color w:val="000000" w:themeColor="text1"/>
          <w:sz w:val="22"/>
          <w:szCs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5419DA">
        <w:rPr>
          <w:rStyle w:val="Refdenotaalpie"/>
          <w:rFonts w:ascii="Arial" w:hAnsi="Arial" w:eastAsia="Calibri" w:cs="Arial"/>
          <w:color w:val="000000" w:themeColor="text1"/>
          <w:sz w:val="22"/>
          <w:szCs w:val="22"/>
          <w:lang w:val="es-ES_tradnl"/>
        </w:rPr>
        <w:footnoteReference w:id="17"/>
      </w:r>
      <w:r w:rsidRPr="005419DA">
        <w:rPr>
          <w:rFonts w:ascii="Arial" w:hAnsi="Arial" w:eastAsia="Calibri" w:cs="Arial"/>
          <w:color w:val="000000" w:themeColor="text1"/>
          <w:sz w:val="22"/>
          <w:szCs w:val="22"/>
          <w:lang w:val="es-ES_tradnl"/>
        </w:rPr>
        <w:t xml:space="preserve">. Lo importante es que la competencia para la caracterización y registro de </w:t>
      </w:r>
      <w:r w:rsidRPr="005419DA">
        <w:rPr>
          <w:rFonts w:ascii="Arial" w:hAnsi="Arial" w:eastAsia="Calibri" w:cs="Arial"/>
          <w:color w:val="000000" w:themeColor="text1"/>
          <w:sz w:val="22"/>
          <w:szCs w:val="22"/>
          <w:lang w:val="es-ES_tradnl"/>
        </w:rPr>
        <w:lastRenderedPageBreak/>
        <w:t>cualquiera de los grupos poblacionales anteriormente mencionados reside en el Ministerio del Interior, el Ministerio de Cultura y el Departamento Nacional de Estadística –DANE–, por lo cual se sugiere complementar esta información con dichas entidades.</w:t>
      </w:r>
    </w:p>
    <w:p w:rsidRPr="00E87B1F" w:rsidR="002A7D84" w:rsidP="004E2CCF" w:rsidRDefault="00C82DC7" w14:paraId="06D24AC1" w14:textId="02D11756">
      <w:pPr>
        <w:spacing w:before="120" w:line="276" w:lineRule="auto"/>
        <w:ind w:firstLine="709"/>
        <w:jc w:val="both"/>
        <w:rPr>
          <w:rFonts w:ascii="Arial" w:hAnsi="Arial" w:eastAsia="Calibri" w:cs="Arial"/>
          <w:color w:val="000000" w:themeColor="text1"/>
          <w:sz w:val="22"/>
          <w:szCs w:val="22"/>
          <w:lang w:val="es-ES_tradnl"/>
        </w:rPr>
      </w:pPr>
      <w:r w:rsidRPr="00E87B1F">
        <w:rPr>
          <w:rFonts w:ascii="Arial" w:hAnsi="Arial" w:eastAsia="Calibri" w:cs="Arial"/>
          <w:color w:val="000000" w:themeColor="text1"/>
          <w:sz w:val="22"/>
          <w:szCs w:val="22"/>
          <w:lang w:val="es-ES_tradnl"/>
        </w:rPr>
        <w:t xml:space="preserve">El numeral 5 del artículo 35 no distingue tipos de oferentes. En razón de ello, también se aplica a proponentes plurales, que acrediten «[…], en las condiciones establecidas en la ley, que por lo menos diez por ciento (10%) de su nómina pertenece a población indígena, negra, afrocolombiana, raizal, palanquera, </w:t>
      </w:r>
      <w:proofErr w:type="spellStart"/>
      <w:r w:rsidRPr="00E87B1F">
        <w:rPr>
          <w:rFonts w:ascii="Arial" w:hAnsi="Arial" w:eastAsia="Calibri" w:cs="Arial"/>
          <w:color w:val="000000" w:themeColor="text1"/>
          <w:sz w:val="22"/>
          <w:szCs w:val="22"/>
          <w:lang w:val="es-ES_tradnl"/>
        </w:rPr>
        <w:t>Rrom</w:t>
      </w:r>
      <w:proofErr w:type="spellEnd"/>
      <w:r w:rsidRPr="00E87B1F">
        <w:rPr>
          <w:rFonts w:ascii="Arial" w:hAnsi="Arial" w:eastAsia="Calibri" w:cs="Arial"/>
          <w:color w:val="000000" w:themeColor="text1"/>
          <w:sz w:val="22"/>
          <w:szCs w:val="22"/>
          <w:lang w:val="es-ES_tradnl"/>
        </w:rPr>
        <w:t xml:space="preserve"> o gitanas».</w:t>
      </w:r>
      <w:r w:rsidRPr="00E87B1F" w:rsidR="00E56408">
        <w:rPr>
          <w:rFonts w:ascii="Arial" w:hAnsi="Arial" w:eastAsia="Calibri" w:cs="Arial"/>
          <w:color w:val="000000" w:themeColor="text1"/>
          <w:sz w:val="22"/>
          <w:szCs w:val="22"/>
          <w:lang w:val="es-ES_tradnl"/>
        </w:rPr>
        <w:t xml:space="preserve"> </w:t>
      </w:r>
      <w:r w:rsidRPr="00E87B1F" w:rsidR="00642F7C">
        <w:rPr>
          <w:rFonts w:ascii="Arial" w:hAnsi="Arial" w:eastAsia="Calibri" w:cs="Arial"/>
          <w:color w:val="000000" w:themeColor="text1"/>
          <w:sz w:val="22"/>
          <w:szCs w:val="22"/>
          <w:lang w:val="es-ES_tradnl"/>
        </w:rPr>
        <w:t xml:space="preserve">Ahora bien, sin perjuicio de lo que establezca el reglamento que expida el gobierno nacional, esta </w:t>
      </w:r>
      <w:r w:rsidR="00432C85">
        <w:rPr>
          <w:rFonts w:ascii="Arial" w:hAnsi="Arial" w:eastAsia="Calibri" w:cs="Arial"/>
          <w:color w:val="000000" w:themeColor="text1"/>
          <w:sz w:val="22"/>
          <w:szCs w:val="22"/>
          <w:lang w:val="es-ES_tradnl"/>
        </w:rPr>
        <w:t>Agencia</w:t>
      </w:r>
      <w:r w:rsidRPr="00E87B1F" w:rsidR="00642F7C">
        <w:rPr>
          <w:rFonts w:ascii="Arial" w:hAnsi="Arial" w:eastAsia="Calibri" w:cs="Arial"/>
          <w:color w:val="000000" w:themeColor="text1"/>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w:t>
      </w:r>
      <w:proofErr w:type="spellStart"/>
      <w:r w:rsidRPr="00E87B1F" w:rsidR="00642F7C">
        <w:rPr>
          <w:rFonts w:ascii="Arial" w:hAnsi="Arial" w:eastAsia="Calibri" w:cs="Arial"/>
          <w:color w:val="000000" w:themeColor="text1"/>
          <w:sz w:val="22"/>
          <w:szCs w:val="22"/>
          <w:lang w:val="es-ES_tradnl"/>
        </w:rPr>
        <w:t>palenquera</w:t>
      </w:r>
      <w:proofErr w:type="spellEnd"/>
      <w:r w:rsidRPr="00E87B1F" w:rsidR="00642F7C">
        <w:rPr>
          <w:rFonts w:ascii="Arial" w:hAnsi="Arial" w:eastAsia="Calibri" w:cs="Arial"/>
          <w:color w:val="000000" w:themeColor="text1"/>
          <w:sz w:val="22"/>
          <w:szCs w:val="22"/>
          <w:lang w:val="es-ES_tradnl"/>
        </w:rPr>
        <w:t xml:space="preserve">, </w:t>
      </w:r>
      <w:proofErr w:type="spellStart"/>
      <w:r w:rsidRPr="00E87B1F" w:rsidR="00642F7C">
        <w:rPr>
          <w:rFonts w:ascii="Arial" w:hAnsi="Arial" w:eastAsia="Calibri" w:cs="Arial"/>
          <w:color w:val="000000" w:themeColor="text1"/>
          <w:sz w:val="22"/>
          <w:szCs w:val="22"/>
          <w:lang w:val="es-ES_tradnl"/>
        </w:rPr>
        <w:t>Rom</w:t>
      </w:r>
      <w:proofErr w:type="spellEnd"/>
      <w:r w:rsidRPr="00E87B1F" w:rsidR="00642F7C">
        <w:rPr>
          <w:rFonts w:ascii="Arial" w:hAnsi="Arial" w:eastAsia="Calibri" w:cs="Arial"/>
          <w:color w:val="000000" w:themeColor="text1"/>
          <w:sz w:val="22"/>
          <w:szCs w:val="22"/>
          <w:lang w:val="es-ES_tradnl"/>
        </w:rPr>
        <w:t xml:space="preserve"> o gitanas. Lo anterior, se fundamenta en las competencias de la Dirección de Asuntos Indígenas, </w:t>
      </w:r>
      <w:proofErr w:type="spellStart"/>
      <w:r w:rsidRPr="00E87B1F" w:rsidR="00642F7C">
        <w:rPr>
          <w:rFonts w:ascii="Arial" w:hAnsi="Arial" w:eastAsia="Calibri" w:cs="Arial"/>
          <w:color w:val="000000" w:themeColor="text1"/>
          <w:sz w:val="22"/>
          <w:szCs w:val="22"/>
          <w:lang w:val="es-ES_tradnl"/>
        </w:rPr>
        <w:t>Rom</w:t>
      </w:r>
      <w:proofErr w:type="spellEnd"/>
      <w:r w:rsidRPr="00E87B1F" w:rsidR="00642F7C">
        <w:rPr>
          <w:rFonts w:ascii="Arial" w:hAnsi="Arial" w:eastAsia="Calibri" w:cs="Arial"/>
          <w:color w:val="000000" w:themeColor="text1"/>
          <w:sz w:val="22"/>
          <w:szCs w:val="22"/>
          <w:lang w:val="es-ES_tradnl"/>
        </w:rPr>
        <w:t xml:space="preserve"> y Minorías, así como de la Dirección de Asuntos para Comunidades Negras, Afrocolombianas, Raizales y </w:t>
      </w:r>
      <w:proofErr w:type="spellStart"/>
      <w:r w:rsidRPr="00E87B1F" w:rsidR="00642F7C">
        <w:rPr>
          <w:rFonts w:ascii="Arial" w:hAnsi="Arial" w:eastAsia="Calibri" w:cs="Arial"/>
          <w:color w:val="000000" w:themeColor="text1"/>
          <w:sz w:val="22"/>
          <w:szCs w:val="22"/>
          <w:lang w:val="es-ES_tradnl"/>
        </w:rPr>
        <w:t>Palenqueras</w:t>
      </w:r>
      <w:proofErr w:type="spellEnd"/>
      <w:r w:rsidRPr="00E87B1F" w:rsidR="00642F7C">
        <w:rPr>
          <w:rFonts w:ascii="Arial" w:hAnsi="Arial" w:eastAsia="Calibri" w:cs="Arial"/>
          <w:color w:val="000000" w:themeColor="text1"/>
          <w:sz w:val="22"/>
          <w:szCs w:val="22"/>
          <w:lang w:val="es-ES_tradnl"/>
        </w:rPr>
        <w:t>, de dicho Ministerio</w:t>
      </w:r>
      <w:r w:rsidRPr="00E87B1F" w:rsidR="00642F7C">
        <w:rPr>
          <w:rStyle w:val="Refdenotaalpie"/>
          <w:rFonts w:ascii="Arial" w:hAnsi="Arial" w:eastAsia="Calibri" w:cs="Arial"/>
          <w:color w:val="000000" w:themeColor="text1"/>
          <w:sz w:val="22"/>
          <w:szCs w:val="22"/>
          <w:lang w:val="es-ES_tradnl"/>
        </w:rPr>
        <w:footnoteReference w:id="18"/>
      </w:r>
      <w:r w:rsidRPr="00E87B1F" w:rsidR="00642F7C">
        <w:rPr>
          <w:rFonts w:ascii="Arial" w:hAnsi="Arial" w:eastAsia="Calibri" w:cs="Arial"/>
          <w:color w:val="000000" w:themeColor="text1"/>
          <w:sz w:val="22"/>
          <w:szCs w:val="22"/>
          <w:lang w:val="es-ES_tradnl"/>
        </w:rPr>
        <w:t>.</w:t>
      </w:r>
      <w:r w:rsidRPr="00E87B1F" w:rsidR="002A7D84">
        <w:rPr>
          <w:rFonts w:ascii="Arial" w:hAnsi="Arial" w:eastAsia="Calibri" w:cs="Arial"/>
          <w:color w:val="000000" w:themeColor="text1"/>
          <w:sz w:val="22"/>
          <w:szCs w:val="22"/>
          <w:lang w:val="es-ES_tradnl"/>
        </w:rPr>
        <w:t xml:space="preserve"> </w:t>
      </w:r>
      <w:r w:rsidRPr="00E87B1F" w:rsidR="002A7D84">
        <w:rPr>
          <w:rFonts w:ascii="Arial" w:hAnsi="Arial" w:cs="Arial"/>
          <w:color w:val="000000" w:themeColor="text1"/>
          <w:sz w:val="22"/>
          <w:szCs w:val="22"/>
          <w:lang w:val="es-ES_tradnl"/>
        </w:rPr>
        <w:t>En tal sentido, el proponente deberá acreditar que por lo menos el 10% de sus trabajadores pertenece a estas poblaciones.</w:t>
      </w:r>
    </w:p>
    <w:p w:rsidRPr="00E87B1F" w:rsidR="002A7D84" w:rsidP="002A7D84" w:rsidRDefault="002A7D84" w14:paraId="3FAF9839" w14:textId="6A98E1EC">
      <w:pPr>
        <w:spacing w:before="120" w:line="276" w:lineRule="auto"/>
        <w:ind w:firstLine="709"/>
        <w:jc w:val="both"/>
        <w:rPr>
          <w:rFonts w:ascii="Arial" w:hAnsi="Arial" w:cs="Arial"/>
          <w:color w:val="000000" w:themeColor="text1"/>
          <w:sz w:val="22"/>
          <w:szCs w:val="22"/>
          <w:lang w:val="es-ES_tradnl"/>
        </w:rPr>
      </w:pPr>
      <w:r w:rsidRPr="000F17A6">
        <w:rPr>
          <w:rFonts w:ascii="Arial" w:hAnsi="Arial" w:cs="Arial"/>
          <w:color w:val="000000" w:themeColor="text1"/>
          <w:sz w:val="22"/>
          <w:szCs w:val="22"/>
          <w:lang w:val="es-ES_tradnl"/>
        </w:rPr>
        <w:t>Finalmente, si bien los factores de desempate regulados en el artículo 35 deben aplicarse «</w:t>
      </w:r>
      <w:r w:rsidRPr="000F17A6">
        <w:rPr>
          <w:rFonts w:ascii="Arial" w:hAnsi="Arial" w:cs="Arial"/>
          <w:lang w:val="es-ES_tradnl"/>
        </w:rPr>
        <w:t xml:space="preserve">[…] </w:t>
      </w:r>
      <w:r w:rsidRPr="000F17A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p>
    <w:p w:rsidRPr="00E87B1F" w:rsidR="0016204B" w:rsidP="00510DE9" w:rsidRDefault="0016204B" w14:paraId="1523A9FF" w14:textId="77777777">
      <w:pPr>
        <w:tabs>
          <w:tab w:val="left" w:pos="0"/>
        </w:tabs>
        <w:jc w:val="both"/>
        <w:rPr>
          <w:rFonts w:ascii="Arial" w:hAnsi="Arial" w:eastAsia="Calibri" w:cs="Arial"/>
          <w:b/>
          <w:color w:val="000000" w:themeColor="text1"/>
          <w:sz w:val="22"/>
          <w:lang w:val="es-ES_tradnl"/>
        </w:rPr>
      </w:pPr>
    </w:p>
    <w:p w:rsidRPr="00E87B1F" w:rsidR="00DD5B04" w:rsidP="00510DE9" w:rsidRDefault="004177A6" w14:paraId="37CA9805" w14:textId="02D636BC">
      <w:pPr>
        <w:tabs>
          <w:tab w:val="left" w:pos="0"/>
        </w:tabs>
        <w:jc w:val="both"/>
        <w:rPr>
          <w:rFonts w:ascii="Arial" w:hAnsi="Arial" w:eastAsia="Calibri" w:cs="Arial"/>
          <w:b/>
          <w:color w:val="000000" w:themeColor="text1"/>
          <w:sz w:val="22"/>
          <w:lang w:val="es-ES_tradnl"/>
        </w:rPr>
      </w:pPr>
      <w:r w:rsidRPr="00E87B1F">
        <w:rPr>
          <w:rFonts w:ascii="Arial" w:hAnsi="Arial" w:eastAsia="Calibri" w:cs="Arial"/>
          <w:b/>
          <w:color w:val="000000" w:themeColor="text1"/>
          <w:sz w:val="22"/>
          <w:lang w:val="es-ES_tradnl"/>
        </w:rPr>
        <w:t>3</w:t>
      </w:r>
      <w:r w:rsidRPr="00E87B1F" w:rsidR="00B011A9">
        <w:rPr>
          <w:rFonts w:ascii="Arial" w:hAnsi="Arial" w:eastAsia="Calibri" w:cs="Arial"/>
          <w:b/>
          <w:color w:val="000000" w:themeColor="text1"/>
          <w:sz w:val="22"/>
          <w:lang w:val="es-ES_tradnl"/>
        </w:rPr>
        <w:t xml:space="preserve">. </w:t>
      </w:r>
      <w:r w:rsidRPr="00E87B1F" w:rsidR="00DD5B04">
        <w:rPr>
          <w:rFonts w:ascii="Arial" w:hAnsi="Arial" w:eastAsia="Calibri" w:cs="Arial"/>
          <w:b/>
          <w:color w:val="000000" w:themeColor="text1"/>
          <w:sz w:val="22"/>
          <w:lang w:val="es-ES_tradnl"/>
        </w:rPr>
        <w:t>Respuesta</w:t>
      </w:r>
      <w:r w:rsidRPr="00E87B1F" w:rsidR="002A7D84">
        <w:rPr>
          <w:rFonts w:ascii="Arial" w:hAnsi="Arial" w:eastAsia="Calibri" w:cs="Arial"/>
          <w:b/>
          <w:color w:val="000000" w:themeColor="text1"/>
          <w:sz w:val="22"/>
          <w:lang w:val="es-ES_tradnl"/>
        </w:rPr>
        <w:t>s</w:t>
      </w:r>
    </w:p>
    <w:p w:rsidRPr="00E87B1F"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E87B1F" w:rsidR="00104149" w:rsidP="00104149" w:rsidRDefault="00104149" w14:paraId="7B0BECC4" w14:textId="1565671B">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«Respecto del Numeral 2, referente al criterio de mujer cabeza de familia o mujer victima</w:t>
      </w:r>
      <w:r w:rsidRPr="00E87B1F" w:rsidR="001C76FA">
        <w:rPr>
          <w:rFonts w:ascii="Arial" w:hAnsi="Arial" w:cs="Arial"/>
          <w:color w:val="000000" w:themeColor="text1"/>
          <w:sz w:val="21"/>
          <w:szCs w:val="21"/>
          <w:lang w:val="es-ES_tradnl"/>
        </w:rPr>
        <w:t xml:space="preserve"> (sic)</w:t>
      </w:r>
      <w:r w:rsidRPr="00E87B1F">
        <w:rPr>
          <w:rFonts w:ascii="Arial" w:hAnsi="Arial" w:cs="Arial"/>
          <w:color w:val="000000" w:themeColor="text1"/>
          <w:sz w:val="21"/>
          <w:szCs w:val="21"/>
          <w:lang w:val="es-ES_tradnl"/>
        </w:rPr>
        <w:t xml:space="preserve"> de la violencia intrafamiliar, preguntamos:</w:t>
      </w:r>
    </w:p>
    <w:p w:rsidRPr="00E87B1F" w:rsidR="00104149" w:rsidP="00104149" w:rsidRDefault="00104149" w14:paraId="13870C46" w14:textId="77777777">
      <w:pPr>
        <w:ind w:left="709" w:right="709"/>
        <w:jc w:val="both"/>
        <w:rPr>
          <w:rFonts w:ascii="Arial" w:hAnsi="Arial" w:cs="Arial"/>
          <w:color w:val="000000" w:themeColor="text1"/>
          <w:sz w:val="21"/>
          <w:szCs w:val="21"/>
          <w:lang w:val="es-ES_tradnl"/>
        </w:rPr>
      </w:pPr>
    </w:p>
    <w:p w:rsidRPr="00E87B1F" w:rsidR="00104149" w:rsidP="00104149" w:rsidRDefault="00104149" w14:paraId="3EEE90A7" w14:textId="7A7B610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»1. ¿Se prefiere una propuesta en la que participan una mujer cabeza de familia y mujer victima</w:t>
      </w:r>
      <w:r w:rsidRPr="00E87B1F" w:rsidR="001039AA">
        <w:rPr>
          <w:rFonts w:ascii="Arial" w:hAnsi="Arial" w:cs="Arial"/>
          <w:color w:val="000000" w:themeColor="text1"/>
          <w:sz w:val="21"/>
          <w:szCs w:val="21"/>
          <w:lang w:val="es-ES_tradnl"/>
        </w:rPr>
        <w:t xml:space="preserve"> (sic)</w:t>
      </w:r>
      <w:r w:rsidRPr="00E87B1F">
        <w:rPr>
          <w:rFonts w:ascii="Arial" w:hAnsi="Arial" w:cs="Arial"/>
          <w:color w:val="000000" w:themeColor="text1"/>
          <w:sz w:val="21"/>
          <w:szCs w:val="21"/>
          <w:lang w:val="es-ES_tradnl"/>
        </w:rPr>
        <w:t xml:space="preserve"> de violencia intrafamiliar que, al sumar sus participaciones en la persona jurídica, en conjunto, cuenten con participación mayoritaria en la persona jurídica proponente?</w:t>
      </w:r>
      <w:r w:rsidRPr="00E87B1F" w:rsidR="00192019">
        <w:rPr>
          <w:rFonts w:ascii="Arial" w:hAnsi="Arial" w:cs="Arial"/>
          <w:color w:val="000000" w:themeColor="text1"/>
          <w:sz w:val="21"/>
          <w:szCs w:val="21"/>
          <w:lang w:val="es-ES_tradnl"/>
        </w:rPr>
        <w:t>»</w:t>
      </w:r>
    </w:p>
    <w:p w:rsidRPr="00E87B1F" w:rsidR="00104149" w:rsidP="00104149" w:rsidRDefault="00104149" w14:paraId="61302B7C" w14:textId="45550CA4">
      <w:pPr>
        <w:ind w:left="709" w:right="709"/>
        <w:jc w:val="both"/>
        <w:rPr>
          <w:rFonts w:ascii="Arial" w:hAnsi="Arial" w:cs="Arial"/>
          <w:color w:val="000000" w:themeColor="text1"/>
          <w:sz w:val="21"/>
          <w:szCs w:val="21"/>
          <w:lang w:val="es-ES_tradnl"/>
        </w:rPr>
      </w:pPr>
    </w:p>
    <w:p w:rsidRPr="00E87B1F" w:rsidR="00DC7389" w:rsidP="00DC7389" w:rsidRDefault="006C551E" w14:paraId="6AD2D687" w14:textId="435F27EE">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En efecto, pues e</w:t>
      </w:r>
      <w:r w:rsidRPr="00E87B1F" w:rsidR="000E63B7">
        <w:rPr>
          <w:rFonts w:ascii="Arial" w:hAnsi="Arial" w:cs="Arial"/>
          <w:color w:val="000000" w:themeColor="text1"/>
          <w:sz w:val="22"/>
          <w:szCs w:val="22"/>
          <w:lang w:val="es-ES_tradnl"/>
        </w:rPr>
        <w:t>l numeral 2 del artículo 35</w:t>
      </w:r>
      <w:r w:rsidRPr="00E87B1F">
        <w:rPr>
          <w:rFonts w:ascii="Arial" w:hAnsi="Arial" w:cs="Arial"/>
          <w:color w:val="000000" w:themeColor="text1"/>
          <w:sz w:val="22"/>
          <w:szCs w:val="22"/>
          <w:lang w:val="es-ES_tradnl"/>
        </w:rPr>
        <w:t xml:space="preserve"> no establece que este factor de desempate </w:t>
      </w:r>
      <w:r w:rsidRPr="00E87B1F" w:rsidR="00FF7124">
        <w:rPr>
          <w:rFonts w:ascii="Arial" w:hAnsi="Arial" w:cs="Arial"/>
          <w:color w:val="000000" w:themeColor="text1"/>
          <w:sz w:val="22"/>
          <w:szCs w:val="22"/>
          <w:lang w:val="es-ES_tradnl"/>
        </w:rPr>
        <w:t>únicamente</w:t>
      </w:r>
      <w:r w:rsidRPr="00E87B1F">
        <w:rPr>
          <w:rFonts w:ascii="Arial" w:hAnsi="Arial" w:cs="Arial"/>
          <w:color w:val="000000" w:themeColor="text1"/>
          <w:sz w:val="22"/>
          <w:szCs w:val="22"/>
          <w:lang w:val="es-ES_tradnl"/>
        </w:rPr>
        <w:t xml:space="preserve"> puede aplicarse cuando </w:t>
      </w:r>
      <w:r w:rsidRPr="00E87B1F" w:rsidR="00DD6A79">
        <w:rPr>
          <w:rFonts w:ascii="Arial" w:hAnsi="Arial" w:cs="Arial"/>
          <w:color w:val="000000" w:themeColor="text1"/>
          <w:sz w:val="22"/>
          <w:szCs w:val="22"/>
          <w:lang w:val="es-ES_tradnl"/>
        </w:rPr>
        <w:t xml:space="preserve">en la persona jurídica existe participación mayoritaria </w:t>
      </w:r>
      <w:r w:rsidRPr="00E87B1F" w:rsidR="00201508">
        <w:rPr>
          <w:rFonts w:ascii="Arial" w:hAnsi="Arial" w:cs="Arial"/>
          <w:i/>
          <w:iCs/>
          <w:color w:val="000000" w:themeColor="text1"/>
          <w:sz w:val="22"/>
          <w:szCs w:val="22"/>
          <w:lang w:val="es-ES_tradnl"/>
        </w:rPr>
        <w:t>solo</w:t>
      </w:r>
      <w:r w:rsidRPr="00E87B1F" w:rsidR="00201508">
        <w:rPr>
          <w:rFonts w:ascii="Arial" w:hAnsi="Arial" w:cs="Arial"/>
          <w:color w:val="000000" w:themeColor="text1"/>
          <w:sz w:val="22"/>
          <w:szCs w:val="22"/>
          <w:lang w:val="es-ES_tradnl"/>
        </w:rPr>
        <w:t xml:space="preserve"> </w:t>
      </w:r>
      <w:r w:rsidRPr="00E87B1F" w:rsidR="0022614F">
        <w:rPr>
          <w:rFonts w:ascii="Arial" w:hAnsi="Arial" w:cs="Arial"/>
          <w:color w:val="000000" w:themeColor="text1"/>
          <w:sz w:val="22"/>
          <w:szCs w:val="22"/>
          <w:lang w:val="es-ES_tradnl"/>
        </w:rPr>
        <w:t xml:space="preserve">de mujeres cabeza de familia o </w:t>
      </w:r>
      <w:r w:rsidRPr="00E87B1F" w:rsidR="0022614F">
        <w:rPr>
          <w:rFonts w:ascii="Arial" w:hAnsi="Arial" w:cs="Arial"/>
          <w:i/>
          <w:iCs/>
          <w:color w:val="000000" w:themeColor="text1"/>
          <w:sz w:val="22"/>
          <w:szCs w:val="22"/>
          <w:lang w:val="es-ES_tradnl"/>
        </w:rPr>
        <w:t>solo</w:t>
      </w:r>
      <w:r w:rsidRPr="00E87B1F" w:rsidR="0022614F">
        <w:rPr>
          <w:rFonts w:ascii="Arial" w:hAnsi="Arial" w:cs="Arial"/>
          <w:color w:val="000000" w:themeColor="text1"/>
          <w:sz w:val="22"/>
          <w:szCs w:val="22"/>
          <w:lang w:val="es-ES_tradnl"/>
        </w:rPr>
        <w:t xml:space="preserve"> de mujeres víctimas</w:t>
      </w:r>
      <w:r w:rsidRPr="00E87B1F" w:rsidR="00201508">
        <w:rPr>
          <w:rFonts w:ascii="Arial" w:hAnsi="Arial" w:cs="Arial"/>
          <w:color w:val="000000" w:themeColor="text1"/>
          <w:sz w:val="22"/>
          <w:szCs w:val="22"/>
          <w:lang w:val="es-ES_tradnl"/>
        </w:rPr>
        <w:t xml:space="preserve"> de la violencia intrafamiliar. Lo que </w:t>
      </w:r>
      <w:r w:rsidRPr="00E87B1F" w:rsidR="00642126">
        <w:rPr>
          <w:rFonts w:ascii="Arial" w:hAnsi="Arial" w:cs="Arial"/>
          <w:color w:val="000000" w:themeColor="text1"/>
          <w:sz w:val="22"/>
          <w:szCs w:val="22"/>
          <w:lang w:val="es-ES_tradnl"/>
        </w:rPr>
        <w:t>prevé</w:t>
      </w:r>
      <w:r w:rsidRPr="00E87B1F" w:rsidR="00201508">
        <w:rPr>
          <w:rFonts w:ascii="Arial" w:hAnsi="Arial" w:cs="Arial"/>
          <w:color w:val="000000" w:themeColor="text1"/>
          <w:sz w:val="22"/>
          <w:szCs w:val="22"/>
          <w:lang w:val="es-ES_tradnl"/>
        </w:rPr>
        <w:t xml:space="preserve"> el enunciado normativo es que </w:t>
      </w:r>
      <w:r w:rsidRPr="00E87B1F" w:rsidR="00063472">
        <w:rPr>
          <w:rFonts w:ascii="Arial" w:hAnsi="Arial" w:cs="Arial"/>
          <w:color w:val="000000" w:themeColor="text1"/>
          <w:sz w:val="22"/>
          <w:szCs w:val="22"/>
          <w:lang w:val="es-ES_tradnl"/>
        </w:rPr>
        <w:t xml:space="preserve">se debe «Preferir la propuesta de la mujer cabeza de familia, mujeres víctimas de la violencia intrafamiliar o de la persona jurídica en la cual participe </w:t>
      </w:r>
      <w:r w:rsidRPr="00E87B1F" w:rsidR="00063472">
        <w:rPr>
          <w:rFonts w:ascii="Arial" w:hAnsi="Arial" w:cs="Arial"/>
          <w:i/>
          <w:iCs/>
          <w:color w:val="000000" w:themeColor="text1"/>
          <w:sz w:val="22"/>
          <w:szCs w:val="22"/>
          <w:lang w:val="es-ES_tradnl"/>
        </w:rPr>
        <w:t>o participen</w:t>
      </w:r>
      <w:r w:rsidRPr="00E87B1F" w:rsidR="00063472">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E87B1F" w:rsidR="00063472">
        <w:rPr>
          <w:rFonts w:ascii="Arial" w:hAnsi="Arial" w:cs="Arial"/>
          <w:i/>
          <w:iCs/>
          <w:color w:val="000000" w:themeColor="text1"/>
          <w:sz w:val="22"/>
          <w:szCs w:val="22"/>
          <w:lang w:val="es-ES_tradnl"/>
        </w:rPr>
        <w:t xml:space="preserve">o participen </w:t>
      </w:r>
      <w:r w:rsidRPr="00E87B1F" w:rsidR="00063472">
        <w:rPr>
          <w:rFonts w:ascii="Arial" w:hAnsi="Arial" w:cs="Arial"/>
          <w:color w:val="000000" w:themeColor="text1"/>
          <w:sz w:val="22"/>
          <w:szCs w:val="22"/>
          <w:lang w:val="es-ES_tradnl"/>
        </w:rPr>
        <w:t>mayoritariamente»</w:t>
      </w:r>
      <w:r w:rsidRPr="00E87B1F" w:rsidR="002F7031">
        <w:rPr>
          <w:rFonts w:ascii="Arial" w:hAnsi="Arial" w:cs="Arial"/>
          <w:color w:val="000000" w:themeColor="text1"/>
          <w:sz w:val="22"/>
          <w:szCs w:val="22"/>
          <w:lang w:val="es-ES_tradnl"/>
        </w:rPr>
        <w:t xml:space="preserve"> [cursiva fuera de texto]. Como se observa, la norma utiliza la expresión «[…] o participen</w:t>
      </w:r>
      <w:r w:rsidRPr="00E87B1F" w:rsidR="005568BD">
        <w:rPr>
          <w:rFonts w:ascii="Arial" w:hAnsi="Arial" w:cs="Arial"/>
          <w:color w:val="000000" w:themeColor="text1"/>
          <w:sz w:val="22"/>
          <w:szCs w:val="22"/>
          <w:lang w:val="es-ES_tradnl"/>
        </w:rPr>
        <w:t xml:space="preserve"> […]», lo que significa que permite aplicar el factor de desempate cuando en una </w:t>
      </w:r>
      <w:r w:rsidRPr="00E87B1F" w:rsidR="00FF7124">
        <w:rPr>
          <w:rFonts w:ascii="Arial" w:hAnsi="Arial" w:cs="Arial"/>
          <w:color w:val="000000" w:themeColor="text1"/>
          <w:sz w:val="22"/>
          <w:szCs w:val="22"/>
          <w:lang w:val="es-ES_tradnl"/>
        </w:rPr>
        <w:t xml:space="preserve">misma </w:t>
      </w:r>
      <w:r w:rsidRPr="00E87B1F" w:rsidR="005568BD">
        <w:rPr>
          <w:rFonts w:ascii="Arial" w:hAnsi="Arial" w:cs="Arial"/>
          <w:color w:val="000000" w:themeColor="text1"/>
          <w:sz w:val="22"/>
          <w:szCs w:val="22"/>
          <w:lang w:val="es-ES_tradnl"/>
        </w:rPr>
        <w:t xml:space="preserve">persona jurídica participen mayoritariamente mujeres cabeza de familia y mujeres víctimas de la violencia </w:t>
      </w:r>
      <w:r w:rsidRPr="00E87B1F" w:rsidR="00FF7124">
        <w:rPr>
          <w:rFonts w:ascii="Arial" w:hAnsi="Arial" w:cs="Arial"/>
          <w:color w:val="000000" w:themeColor="text1"/>
          <w:sz w:val="22"/>
          <w:szCs w:val="22"/>
          <w:lang w:val="es-ES_tradnl"/>
        </w:rPr>
        <w:t>intrafamiliar.</w:t>
      </w:r>
      <w:r w:rsidRPr="00E87B1F">
        <w:rPr>
          <w:rFonts w:ascii="Arial" w:hAnsi="Arial" w:cs="Arial"/>
          <w:color w:val="000000" w:themeColor="text1"/>
          <w:sz w:val="22"/>
          <w:szCs w:val="22"/>
          <w:lang w:val="es-ES_tradnl"/>
        </w:rPr>
        <w:t xml:space="preserve"> </w:t>
      </w:r>
      <w:r w:rsidRPr="00E87B1F" w:rsidR="000E63B7">
        <w:rPr>
          <w:rFonts w:ascii="Arial" w:hAnsi="Arial" w:cs="Arial"/>
          <w:color w:val="000000" w:themeColor="text1"/>
          <w:sz w:val="22"/>
          <w:szCs w:val="22"/>
          <w:lang w:val="es-ES_tradnl"/>
        </w:rPr>
        <w:t xml:space="preserve"> </w:t>
      </w:r>
    </w:p>
    <w:p w:rsidRPr="00E87B1F" w:rsidR="000E63B7" w:rsidP="00DC7389" w:rsidRDefault="000E63B7" w14:paraId="333782E2" w14:textId="77777777">
      <w:pPr>
        <w:spacing w:line="276" w:lineRule="auto"/>
        <w:jc w:val="both"/>
        <w:rPr>
          <w:rFonts w:ascii="Arial" w:hAnsi="Arial" w:cs="Arial"/>
          <w:color w:val="000000" w:themeColor="text1"/>
          <w:sz w:val="22"/>
          <w:szCs w:val="22"/>
          <w:lang w:val="es-ES_tradnl"/>
        </w:rPr>
      </w:pPr>
    </w:p>
    <w:p w:rsidRPr="00E87B1F" w:rsidR="00104149" w:rsidP="00104149" w:rsidRDefault="00192019" w14:paraId="10012591" w14:textId="4129D473">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2. En el criterio de desempate 2, ¿en caso de proponente plural, los integrantes de la figura plural, cada uno por separado debe cumplir con la participación mayoritaria de mujeres cabeza de familia o victima</w:t>
      </w:r>
      <w:r w:rsidRPr="00E87B1F" w:rsidR="00BE0F24">
        <w:rPr>
          <w:rFonts w:ascii="Arial" w:hAnsi="Arial" w:cs="Arial"/>
          <w:color w:val="000000" w:themeColor="text1"/>
          <w:sz w:val="21"/>
          <w:szCs w:val="21"/>
          <w:lang w:val="es-ES_tradnl"/>
        </w:rPr>
        <w:t xml:space="preserve"> (sic)</w:t>
      </w:r>
      <w:r w:rsidRPr="00E87B1F" w:rsidR="00104149">
        <w:rPr>
          <w:rFonts w:ascii="Arial" w:hAnsi="Arial" w:cs="Arial"/>
          <w:color w:val="000000" w:themeColor="text1"/>
          <w:sz w:val="21"/>
          <w:szCs w:val="21"/>
          <w:lang w:val="es-ES_tradnl"/>
        </w:rPr>
        <w:t xml:space="preserve"> de violencia intrafamiliar?</w:t>
      </w:r>
      <w:r w:rsidRPr="00E87B1F">
        <w:rPr>
          <w:rFonts w:ascii="Arial" w:hAnsi="Arial" w:cs="Arial"/>
          <w:color w:val="000000" w:themeColor="text1"/>
          <w:sz w:val="21"/>
          <w:szCs w:val="21"/>
          <w:lang w:val="es-ES_tradnl"/>
        </w:rPr>
        <w:t>»</w:t>
      </w:r>
    </w:p>
    <w:p w:rsidRPr="00E87B1F" w:rsidR="00104149" w:rsidP="00104149" w:rsidRDefault="00104149" w14:paraId="170AE646" w14:textId="3FE4EA10">
      <w:pPr>
        <w:ind w:left="709" w:right="709"/>
        <w:jc w:val="both"/>
        <w:rPr>
          <w:rFonts w:ascii="Arial" w:hAnsi="Arial" w:cs="Arial"/>
          <w:color w:val="000000" w:themeColor="text1"/>
          <w:sz w:val="21"/>
          <w:szCs w:val="21"/>
          <w:lang w:val="es-ES_tradnl"/>
        </w:rPr>
      </w:pPr>
    </w:p>
    <w:p w:rsidRPr="00E87B1F" w:rsidR="00EA17BC" w:rsidP="00EA17BC" w:rsidRDefault="00AC55C7" w14:paraId="73FA9BAD" w14:textId="2F1A143B">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Para beneficiar</w:t>
      </w:r>
      <w:r w:rsidR="001C1568">
        <w:rPr>
          <w:rFonts w:ascii="Arial" w:hAnsi="Arial" w:cs="Arial"/>
          <w:color w:val="000000" w:themeColor="text1"/>
          <w:sz w:val="22"/>
          <w:szCs w:val="22"/>
          <w:lang w:val="es-ES_tradnl"/>
        </w:rPr>
        <w:t>se</w:t>
      </w:r>
      <w:r w:rsidRPr="00E87B1F">
        <w:rPr>
          <w:rFonts w:ascii="Arial" w:hAnsi="Arial" w:cs="Arial"/>
          <w:color w:val="000000" w:themeColor="text1"/>
          <w:sz w:val="22"/>
          <w:szCs w:val="22"/>
          <w:lang w:val="es-ES_tradnl"/>
        </w:rPr>
        <w:t xml:space="preserve"> del factor de desempate</w:t>
      </w:r>
      <w:r w:rsidRPr="00E87B1F" w:rsidR="00DD37C4">
        <w:rPr>
          <w:rFonts w:ascii="Arial" w:hAnsi="Arial" w:cs="Arial"/>
          <w:color w:val="000000" w:themeColor="text1"/>
          <w:sz w:val="22"/>
          <w:szCs w:val="22"/>
          <w:lang w:val="es-ES_tradnl"/>
        </w:rPr>
        <w:t>,</w:t>
      </w:r>
      <w:r w:rsidRPr="00E87B1F">
        <w:rPr>
          <w:rFonts w:ascii="Arial" w:hAnsi="Arial" w:cs="Arial"/>
          <w:color w:val="000000" w:themeColor="text1"/>
          <w:sz w:val="22"/>
          <w:szCs w:val="22"/>
          <w:lang w:val="es-ES_tradnl"/>
        </w:rPr>
        <w:t xml:space="preserve"> el proponente plural debe estar </w:t>
      </w:r>
      <w:r w:rsidRPr="00E87B1F" w:rsidR="00DC61AC">
        <w:rPr>
          <w:rFonts w:ascii="Arial" w:hAnsi="Arial" w:cs="Arial"/>
          <w:color w:val="000000" w:themeColor="text1"/>
          <w:sz w:val="22"/>
          <w:szCs w:val="22"/>
          <w:lang w:val="es-ES_tradnl"/>
        </w:rPr>
        <w:t>constituido i) por mujeres</w:t>
      </w:r>
      <w:r w:rsidRPr="00E87B1F" w:rsidR="000255FA">
        <w:rPr>
          <w:rFonts w:ascii="Arial" w:hAnsi="Arial" w:cs="Arial"/>
          <w:color w:val="000000" w:themeColor="text1"/>
          <w:sz w:val="22"/>
          <w:szCs w:val="22"/>
          <w:lang w:val="es-ES_tradnl"/>
        </w:rPr>
        <w:t xml:space="preserve"> cabeza de familia</w:t>
      </w:r>
      <w:r w:rsidRPr="00E87B1F" w:rsidR="00E60A44">
        <w:rPr>
          <w:rFonts w:ascii="Arial" w:hAnsi="Arial" w:cs="Arial"/>
          <w:color w:val="000000" w:themeColor="text1"/>
          <w:sz w:val="22"/>
          <w:szCs w:val="22"/>
          <w:lang w:val="es-ES_tradnl"/>
        </w:rPr>
        <w:t xml:space="preserve"> o </w:t>
      </w:r>
      <w:r w:rsidRPr="00E87B1F" w:rsidR="000255FA">
        <w:rPr>
          <w:rFonts w:ascii="Arial" w:hAnsi="Arial" w:cs="Arial"/>
          <w:color w:val="000000" w:themeColor="text1"/>
          <w:sz w:val="22"/>
          <w:szCs w:val="22"/>
          <w:lang w:val="es-ES_tradnl"/>
        </w:rPr>
        <w:t>mujeres</w:t>
      </w:r>
      <w:r w:rsidRPr="00E87B1F" w:rsidR="00674D08">
        <w:rPr>
          <w:rFonts w:ascii="Arial" w:hAnsi="Arial" w:cs="Arial"/>
          <w:color w:val="000000" w:themeColor="text1"/>
          <w:sz w:val="22"/>
          <w:szCs w:val="22"/>
          <w:lang w:val="es-ES_tradnl"/>
        </w:rPr>
        <w:t xml:space="preserve"> víctimas</w:t>
      </w:r>
      <w:r w:rsidRPr="00E87B1F" w:rsidR="00EC6565">
        <w:rPr>
          <w:rFonts w:ascii="Arial" w:hAnsi="Arial" w:cs="Arial"/>
          <w:color w:val="000000" w:themeColor="text1"/>
          <w:sz w:val="22"/>
          <w:szCs w:val="22"/>
          <w:lang w:val="es-ES_tradnl"/>
        </w:rPr>
        <w:t xml:space="preserve"> de violencia intrafamiliar</w:t>
      </w:r>
      <w:r w:rsidRPr="00E87B1F" w:rsidR="000D728B">
        <w:rPr>
          <w:rFonts w:ascii="Arial" w:hAnsi="Arial" w:cs="Arial"/>
          <w:color w:val="000000" w:themeColor="text1"/>
          <w:sz w:val="22"/>
          <w:szCs w:val="22"/>
          <w:lang w:val="es-ES_tradnl"/>
        </w:rPr>
        <w:t xml:space="preserve"> y/o ii) por personas jurídicas en las cuales </w:t>
      </w:r>
      <w:r w:rsidRPr="00E87B1F" w:rsidR="005B71BB">
        <w:rPr>
          <w:rFonts w:ascii="Arial" w:hAnsi="Arial" w:cs="Arial"/>
          <w:color w:val="000000" w:themeColor="text1"/>
          <w:sz w:val="22"/>
          <w:szCs w:val="22"/>
          <w:lang w:val="es-ES_tradnl"/>
        </w:rPr>
        <w:t>tales mujeres participen mayoritariamente.</w:t>
      </w:r>
      <w:r w:rsidRPr="00E87B1F" w:rsidR="007E0825">
        <w:rPr>
          <w:rFonts w:ascii="Arial" w:hAnsi="Arial" w:cs="Arial"/>
          <w:color w:val="000000" w:themeColor="text1"/>
          <w:sz w:val="22"/>
          <w:szCs w:val="22"/>
          <w:lang w:val="es-ES_tradnl"/>
        </w:rPr>
        <w:t xml:space="preserve"> Como la norma exige que la participación mayoritaria sea en la «persona jurídica»</w:t>
      </w:r>
      <w:r w:rsidRPr="00E87B1F" w:rsidR="00E82263">
        <w:rPr>
          <w:rFonts w:ascii="Arial" w:hAnsi="Arial" w:cs="Arial"/>
          <w:color w:val="000000" w:themeColor="text1"/>
          <w:sz w:val="22"/>
          <w:szCs w:val="22"/>
          <w:lang w:val="es-ES_tradnl"/>
        </w:rPr>
        <w:t xml:space="preserve">, en caso de existir varias personas jurídicas integrando el proponente plural, cada una de ellas debe </w:t>
      </w:r>
      <w:r w:rsidRPr="00E87B1F" w:rsidR="007C3538">
        <w:rPr>
          <w:rFonts w:ascii="Arial" w:hAnsi="Arial" w:cs="Arial"/>
          <w:color w:val="000000" w:themeColor="text1"/>
          <w:sz w:val="22"/>
          <w:szCs w:val="22"/>
          <w:lang w:val="es-ES_tradnl"/>
        </w:rPr>
        <w:t>acreditar la participación mayoritaria de mujeres cabeza de familia o mujeres víctimas de violencia intrafamiliar</w:t>
      </w:r>
      <w:r w:rsidRPr="00E87B1F" w:rsidR="00DD37C4">
        <w:rPr>
          <w:rFonts w:ascii="Arial" w:hAnsi="Arial" w:cs="Arial"/>
          <w:color w:val="000000" w:themeColor="text1"/>
          <w:sz w:val="22"/>
          <w:szCs w:val="22"/>
          <w:lang w:val="es-ES_tradnl"/>
        </w:rPr>
        <w:t>.</w:t>
      </w:r>
      <w:r w:rsidRPr="00E87B1F" w:rsidR="007C3538">
        <w:rPr>
          <w:rFonts w:ascii="Arial" w:hAnsi="Arial" w:cs="Arial"/>
          <w:color w:val="000000" w:themeColor="text1"/>
          <w:sz w:val="22"/>
          <w:szCs w:val="22"/>
          <w:lang w:val="es-ES_tradnl"/>
        </w:rPr>
        <w:t xml:space="preserve"> </w:t>
      </w:r>
      <w:r w:rsidRPr="00E87B1F" w:rsidR="00EA17BC">
        <w:rPr>
          <w:rFonts w:ascii="Arial" w:hAnsi="Arial" w:cs="Arial"/>
          <w:color w:val="000000" w:themeColor="text1"/>
          <w:sz w:val="22"/>
          <w:szCs w:val="22"/>
          <w:lang w:val="es-ES_tradnl"/>
        </w:rPr>
        <w:t xml:space="preserve"> </w:t>
      </w:r>
    </w:p>
    <w:p w:rsidRPr="00E87B1F" w:rsidR="00EA17BC" w:rsidP="00104149" w:rsidRDefault="00EA17BC" w14:paraId="4BF43DFB" w14:textId="77777777">
      <w:pPr>
        <w:ind w:left="709" w:right="709"/>
        <w:jc w:val="both"/>
        <w:rPr>
          <w:rFonts w:ascii="Arial" w:hAnsi="Arial" w:cs="Arial"/>
          <w:color w:val="000000" w:themeColor="text1"/>
          <w:sz w:val="21"/>
          <w:szCs w:val="21"/>
          <w:lang w:val="es-ES_tradnl"/>
        </w:rPr>
      </w:pPr>
    </w:p>
    <w:p w:rsidRPr="00E87B1F" w:rsidR="00104149" w:rsidP="00104149" w:rsidRDefault="00192019" w14:paraId="1830C08E" w14:textId="17623FA6">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3. ¿La condición de mujer cabeza de familia se acredita con declaración extra juicio en Notaria</w:t>
      </w:r>
      <w:r w:rsidRPr="00E87B1F" w:rsidR="00BE0F24">
        <w:rPr>
          <w:rFonts w:ascii="Arial" w:hAnsi="Arial" w:cs="Arial"/>
          <w:color w:val="000000" w:themeColor="text1"/>
          <w:sz w:val="21"/>
          <w:szCs w:val="21"/>
          <w:lang w:val="es-ES_tradnl"/>
        </w:rPr>
        <w:t xml:space="preserve"> (sic)</w:t>
      </w:r>
      <w:r w:rsidRPr="00E87B1F" w:rsidR="00104149">
        <w:rPr>
          <w:rFonts w:ascii="Arial" w:hAnsi="Arial" w:cs="Arial"/>
          <w:color w:val="000000" w:themeColor="text1"/>
          <w:sz w:val="21"/>
          <w:szCs w:val="21"/>
          <w:lang w:val="es-ES_tradnl"/>
        </w:rPr>
        <w:t>?</w:t>
      </w:r>
      <w:r w:rsidRPr="00E87B1F">
        <w:rPr>
          <w:rFonts w:ascii="Arial" w:hAnsi="Arial" w:cs="Arial"/>
          <w:color w:val="000000" w:themeColor="text1"/>
          <w:sz w:val="21"/>
          <w:szCs w:val="21"/>
          <w:lang w:val="es-ES_tradnl"/>
        </w:rPr>
        <w:t>»</w:t>
      </w:r>
    </w:p>
    <w:p w:rsidRPr="00E87B1F" w:rsidR="00104149" w:rsidP="00C04221" w:rsidRDefault="00104149" w14:paraId="2157D91C" w14:textId="7A70A2EB">
      <w:pPr>
        <w:ind w:right="709"/>
        <w:jc w:val="both"/>
        <w:rPr>
          <w:rFonts w:ascii="Arial" w:hAnsi="Arial" w:cs="Arial"/>
          <w:color w:val="000000" w:themeColor="text1"/>
          <w:sz w:val="21"/>
          <w:szCs w:val="21"/>
          <w:lang w:val="es-ES_tradnl"/>
        </w:rPr>
      </w:pPr>
    </w:p>
    <w:p w:rsidRPr="00E87B1F" w:rsidR="007F4B40" w:rsidP="007F4B40" w:rsidRDefault="00D623C0" w14:paraId="2DDA15BB" w14:textId="3D744C0B">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El </w:t>
      </w:r>
      <w:r w:rsidRPr="00E87B1F" w:rsidR="0074040E">
        <w:rPr>
          <w:rFonts w:ascii="Arial" w:hAnsi="Arial" w:cs="Arial"/>
          <w:color w:val="000000" w:themeColor="text1"/>
          <w:sz w:val="22"/>
          <w:szCs w:val="22"/>
          <w:lang w:val="es-ES_tradnl"/>
        </w:rPr>
        <w:t xml:space="preserve">parágrafo del </w:t>
      </w:r>
      <w:r w:rsidRPr="00E87B1F">
        <w:rPr>
          <w:rFonts w:ascii="Arial" w:hAnsi="Arial" w:cs="Arial"/>
          <w:color w:val="000000" w:themeColor="text1"/>
          <w:sz w:val="22"/>
          <w:szCs w:val="22"/>
          <w:lang w:val="es-ES_tradnl"/>
        </w:rPr>
        <w:t>artículo</w:t>
      </w:r>
      <w:r w:rsidRPr="00E87B1F" w:rsidR="0074040E">
        <w:rPr>
          <w:rFonts w:ascii="Arial" w:hAnsi="Arial" w:cs="Arial"/>
          <w:color w:val="000000" w:themeColor="text1"/>
          <w:sz w:val="22"/>
          <w:szCs w:val="22"/>
          <w:lang w:val="es-ES_tradnl"/>
        </w:rPr>
        <w:t xml:space="preserve"> 2 de la Ley 82 de 1993</w:t>
      </w:r>
      <w:r w:rsidRPr="00E87B1F" w:rsidR="000A7268">
        <w:rPr>
          <w:rFonts w:ascii="Arial" w:hAnsi="Arial" w:cs="Arial"/>
          <w:color w:val="000000" w:themeColor="text1"/>
          <w:sz w:val="22"/>
          <w:szCs w:val="22"/>
          <w:lang w:val="es-ES_tradnl"/>
        </w:rPr>
        <w:t xml:space="preserve"> –</w:t>
      </w:r>
      <w:r w:rsidRPr="00E87B1F" w:rsidR="0074040E">
        <w:rPr>
          <w:rFonts w:ascii="Arial" w:hAnsi="Arial" w:cs="Arial"/>
          <w:color w:val="000000" w:themeColor="text1"/>
          <w:sz w:val="22"/>
          <w:szCs w:val="22"/>
          <w:lang w:val="es-ES_tradnl"/>
        </w:rPr>
        <w:t>«</w:t>
      </w:r>
      <w:r w:rsidRPr="00E87B1F" w:rsidR="007F4B40">
        <w:rPr>
          <w:rFonts w:ascii="Arial" w:hAnsi="Arial" w:cs="Arial"/>
          <w:color w:val="000000" w:themeColor="text1"/>
          <w:sz w:val="22"/>
          <w:szCs w:val="22"/>
          <w:lang w:val="es-ES_tradnl"/>
        </w:rPr>
        <w:t>Por la cual se expiden normas para apoyar de manera especial a la mujer cabeza de familia»</w:t>
      </w:r>
      <w:r w:rsidRPr="00E87B1F" w:rsidR="000A7268">
        <w:rPr>
          <w:rFonts w:ascii="Arial" w:hAnsi="Arial" w:cs="Arial"/>
          <w:color w:val="000000" w:themeColor="text1"/>
          <w:sz w:val="22"/>
          <w:szCs w:val="22"/>
          <w:lang w:val="es-ES_tradnl"/>
        </w:rPr>
        <w:t xml:space="preserve">– </w:t>
      </w:r>
      <w:r w:rsidRPr="00E87B1F" w:rsidR="007F4B40">
        <w:rPr>
          <w:rFonts w:ascii="Arial" w:hAnsi="Arial" w:cs="Arial"/>
          <w:color w:val="000000" w:themeColor="text1"/>
          <w:sz w:val="22"/>
          <w:szCs w:val="22"/>
          <w:lang w:val="es-ES_tradnl"/>
        </w:rPr>
        <w:t>establece que «La condición de Mujer Cabeza de Familia y la cesación de la misma, desde el momento en que ocurra el respectivo evento,</w:t>
      </w:r>
      <w:r w:rsidRPr="00E87B1F" w:rsidR="006D66B2">
        <w:rPr>
          <w:rFonts w:ascii="Arial" w:hAnsi="Arial" w:cs="Arial"/>
          <w:color w:val="000000" w:themeColor="text1"/>
          <w:sz w:val="22"/>
          <w:szCs w:val="22"/>
          <w:lang w:val="es-ES_tradnl"/>
        </w:rPr>
        <w:t xml:space="preserve"> </w:t>
      </w:r>
      <w:r w:rsidRPr="00E87B1F" w:rsidR="007F4B40">
        <w:rPr>
          <w:rFonts w:ascii="Arial" w:hAnsi="Arial" w:cs="Arial"/>
          <w:color w:val="000000" w:themeColor="text1"/>
          <w:sz w:val="22"/>
          <w:szCs w:val="22"/>
          <w:lang w:val="es-ES_tradnl"/>
        </w:rPr>
        <w:t>deberá ser declarada ante notario por cada una de ellas, expresando las circunstancias básicas del respectivo caso y sin que por este concepto se causen emolumentos notariales a su cargo».</w:t>
      </w:r>
      <w:r w:rsidRPr="00E87B1F" w:rsidR="00062DB3">
        <w:rPr>
          <w:rFonts w:ascii="Arial" w:hAnsi="Arial" w:cs="Arial"/>
          <w:color w:val="000000" w:themeColor="text1"/>
          <w:sz w:val="22"/>
          <w:szCs w:val="22"/>
          <w:lang w:val="es-ES_tradnl"/>
        </w:rPr>
        <w:t xml:space="preserve"> Por lo tanto, a menos que una norma posterior disponga lo contrario, tal declaración </w:t>
      </w:r>
      <w:r w:rsidRPr="00E87B1F" w:rsidR="006D66B2">
        <w:rPr>
          <w:rFonts w:ascii="Arial" w:hAnsi="Arial" w:cs="Arial"/>
          <w:color w:val="000000" w:themeColor="text1"/>
          <w:sz w:val="22"/>
          <w:szCs w:val="22"/>
          <w:lang w:val="es-ES_tradnl"/>
        </w:rPr>
        <w:t>basta para acreditar la condición de mujer cabeza de familia.</w:t>
      </w:r>
    </w:p>
    <w:p w:rsidRPr="00E87B1F" w:rsidR="00C04221" w:rsidP="002D1555" w:rsidRDefault="00D623C0" w14:paraId="4E270450" w14:textId="444C5E8C">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 </w:t>
      </w:r>
    </w:p>
    <w:p w:rsidRPr="00E87B1F" w:rsidR="00104149" w:rsidP="00104149" w:rsidRDefault="00192019" w14:paraId="4230D2A0" w14:textId="3F3AD176">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4. ¿La condición de mujer victima</w:t>
      </w:r>
      <w:r w:rsidRPr="00E87B1F" w:rsidR="00BE0F24">
        <w:rPr>
          <w:rFonts w:ascii="Arial" w:hAnsi="Arial" w:cs="Arial"/>
          <w:color w:val="000000" w:themeColor="text1"/>
          <w:sz w:val="21"/>
          <w:szCs w:val="21"/>
          <w:lang w:val="es-ES_tradnl"/>
        </w:rPr>
        <w:t xml:space="preserve"> (sic)</w:t>
      </w:r>
      <w:r w:rsidRPr="00E87B1F" w:rsidR="00104149">
        <w:rPr>
          <w:rFonts w:ascii="Arial" w:hAnsi="Arial" w:cs="Arial"/>
          <w:color w:val="000000" w:themeColor="text1"/>
          <w:sz w:val="21"/>
          <w:szCs w:val="21"/>
          <w:lang w:val="es-ES_tradnl"/>
        </w:rPr>
        <w:t xml:space="preserve"> de violencia intrafamiliar se acredita con la copia de la denuncia en la Fiscalía?</w:t>
      </w:r>
      <w:r w:rsidRPr="00E87B1F">
        <w:rPr>
          <w:rFonts w:ascii="Arial" w:hAnsi="Arial" w:cs="Arial"/>
          <w:color w:val="000000" w:themeColor="text1"/>
          <w:sz w:val="21"/>
          <w:szCs w:val="21"/>
          <w:lang w:val="es-ES_tradnl"/>
        </w:rPr>
        <w:t>»</w:t>
      </w:r>
    </w:p>
    <w:p w:rsidRPr="00E87B1F" w:rsidR="00104149" w:rsidP="00104149" w:rsidRDefault="00104149" w14:paraId="660D1A97" w14:textId="5310E37E">
      <w:pPr>
        <w:ind w:left="709" w:right="709"/>
        <w:jc w:val="both"/>
        <w:rPr>
          <w:rFonts w:ascii="Arial" w:hAnsi="Arial" w:cs="Arial"/>
          <w:color w:val="000000" w:themeColor="text1"/>
          <w:sz w:val="21"/>
          <w:szCs w:val="21"/>
          <w:lang w:val="es-ES_tradnl"/>
        </w:rPr>
      </w:pPr>
    </w:p>
    <w:p w:rsidRPr="00E87B1F" w:rsidR="000A7268" w:rsidP="000A7268" w:rsidRDefault="000A7268" w14:paraId="3AC785DE" w14:textId="3BBCF0F0">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lastRenderedPageBreak/>
        <w:t>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w:t>
      </w:r>
      <w:r w:rsidRPr="00E87B1F" w:rsidR="00C16DCE">
        <w:rPr>
          <w:rFonts w:ascii="Arial" w:hAnsi="Arial" w:cs="Arial"/>
          <w:color w:val="000000" w:themeColor="text1"/>
          <w:sz w:val="22"/>
          <w:szCs w:val="22"/>
          <w:lang w:val="es-ES_tradnl"/>
        </w:rPr>
        <w:t xml:space="preserve"> Según los artículos 16 y 17</w:t>
      </w:r>
      <w:r w:rsidRPr="00E87B1F" w:rsidR="00FD6DC5">
        <w:rPr>
          <w:rFonts w:ascii="Arial" w:hAnsi="Arial" w:cs="Arial"/>
          <w:color w:val="000000" w:themeColor="text1"/>
          <w:sz w:val="22"/>
          <w:szCs w:val="22"/>
          <w:lang w:val="es-ES_tradnl"/>
        </w:rPr>
        <w:t xml:space="preserve"> de la Ley 1257 de 2008, la medida de protección </w:t>
      </w:r>
      <w:r w:rsidRPr="00E87B1F" w:rsidR="006B4D5D">
        <w:rPr>
          <w:rFonts w:ascii="Arial" w:hAnsi="Arial" w:cs="Arial"/>
          <w:color w:val="000000" w:themeColor="text1"/>
          <w:sz w:val="22"/>
          <w:szCs w:val="22"/>
          <w:lang w:val="es-ES_tradnl"/>
        </w:rPr>
        <w:t xml:space="preserve">la debe impartir el comisario de familia del lugar donde ocurrieron los hechos </w:t>
      </w:r>
      <w:r w:rsidRPr="00E87B1F" w:rsidR="000F6F92">
        <w:rPr>
          <w:rFonts w:ascii="Arial" w:hAnsi="Arial" w:cs="Arial"/>
          <w:color w:val="000000" w:themeColor="text1"/>
          <w:sz w:val="22"/>
          <w:szCs w:val="22"/>
          <w:lang w:val="es-ES_tradnl"/>
        </w:rPr>
        <w:t>y a falta de este el juez civil municipal o promiscuo municipal</w:t>
      </w:r>
      <w:r w:rsidRPr="00E87B1F" w:rsidR="00151E79">
        <w:rPr>
          <w:rFonts w:ascii="Arial" w:hAnsi="Arial" w:cs="Arial"/>
          <w:color w:val="000000" w:themeColor="text1"/>
          <w:sz w:val="22"/>
          <w:szCs w:val="22"/>
          <w:lang w:val="es-ES_tradnl"/>
        </w:rPr>
        <w:t>,</w:t>
      </w:r>
      <w:r w:rsidRPr="00E87B1F" w:rsidR="00D2587F">
        <w:rPr>
          <w:rFonts w:ascii="Arial" w:hAnsi="Arial" w:cs="Arial"/>
          <w:color w:val="000000" w:themeColor="text1"/>
          <w:sz w:val="22"/>
          <w:szCs w:val="22"/>
          <w:lang w:val="es-ES_tradnl"/>
        </w:rPr>
        <w:t xml:space="preserve"> o la autoridad indígena</w:t>
      </w:r>
      <w:r w:rsidRPr="00E87B1F" w:rsidR="005F2D8B">
        <w:rPr>
          <w:rFonts w:ascii="Arial" w:hAnsi="Arial" w:cs="Arial"/>
          <w:color w:val="000000" w:themeColor="text1"/>
          <w:sz w:val="22"/>
          <w:szCs w:val="22"/>
          <w:lang w:val="es-ES_tradnl"/>
        </w:rPr>
        <w:t xml:space="preserve"> –en los casos de violencia intrafamiliar en las comunidades indígenas–.</w:t>
      </w:r>
      <w:r w:rsidRPr="00E87B1F" w:rsidR="000F6F92">
        <w:rPr>
          <w:rFonts w:ascii="Arial" w:hAnsi="Arial" w:cs="Arial"/>
          <w:color w:val="000000" w:themeColor="text1"/>
          <w:sz w:val="22"/>
          <w:szCs w:val="22"/>
          <w:lang w:val="es-ES_tradnl"/>
        </w:rPr>
        <w:t xml:space="preserve"> </w:t>
      </w:r>
      <w:r w:rsidRPr="00E87B1F" w:rsidR="005F2D8B">
        <w:rPr>
          <w:rFonts w:ascii="Arial" w:hAnsi="Arial" w:cs="Arial"/>
          <w:color w:val="000000" w:themeColor="text1"/>
          <w:sz w:val="22"/>
          <w:szCs w:val="22"/>
          <w:lang w:val="es-ES_tradnl"/>
        </w:rPr>
        <w:t>La medida de protección se debe emitir en una</w:t>
      </w:r>
      <w:r w:rsidRPr="00E87B1F" w:rsidR="000F6F92">
        <w:rPr>
          <w:rFonts w:ascii="Arial" w:hAnsi="Arial" w:cs="Arial"/>
          <w:color w:val="000000" w:themeColor="text1"/>
          <w:sz w:val="22"/>
          <w:szCs w:val="22"/>
          <w:lang w:val="es-ES_tradnl"/>
        </w:rPr>
        <w:t xml:space="preserve"> providencia</w:t>
      </w:r>
      <w:r w:rsidRPr="00E87B1F" w:rsidR="00971555">
        <w:rPr>
          <w:rFonts w:ascii="Arial" w:hAnsi="Arial" w:cs="Arial"/>
          <w:color w:val="000000" w:themeColor="text1"/>
          <w:sz w:val="22"/>
          <w:szCs w:val="22"/>
          <w:lang w:val="es-ES_tradnl"/>
        </w:rPr>
        <w:t xml:space="preserve"> motivada. </w:t>
      </w:r>
      <w:r w:rsidRPr="00E87B1F" w:rsidR="005F2D8B">
        <w:rPr>
          <w:rFonts w:ascii="Arial" w:hAnsi="Arial" w:cs="Arial"/>
          <w:color w:val="000000" w:themeColor="text1"/>
          <w:sz w:val="22"/>
          <w:szCs w:val="22"/>
          <w:lang w:val="es-ES_tradnl"/>
        </w:rPr>
        <w:t>Por lo tanto, e</w:t>
      </w:r>
      <w:r w:rsidRPr="00E87B1F" w:rsidR="00971555">
        <w:rPr>
          <w:rFonts w:ascii="Arial" w:hAnsi="Arial" w:cs="Arial"/>
          <w:color w:val="000000" w:themeColor="text1"/>
          <w:sz w:val="22"/>
          <w:szCs w:val="22"/>
          <w:lang w:val="es-ES_tradnl"/>
        </w:rPr>
        <w:t>ste documento permite acreditar la situación de mujer víctima de violencia intrafamiliar.</w:t>
      </w:r>
      <w:r w:rsidRPr="00E87B1F" w:rsidR="00971B0A">
        <w:rPr>
          <w:rFonts w:ascii="Arial" w:hAnsi="Arial" w:cs="Arial"/>
          <w:color w:val="000000" w:themeColor="text1"/>
          <w:sz w:val="22"/>
          <w:szCs w:val="22"/>
          <w:lang w:val="es-ES_tradnl"/>
        </w:rPr>
        <w:t xml:space="preserve"> Las autoridades competentes mencionadas con anterioridad</w:t>
      </w:r>
      <w:r w:rsidRPr="00E87B1F" w:rsidR="00892A15">
        <w:rPr>
          <w:rFonts w:ascii="Arial" w:hAnsi="Arial" w:cs="Arial"/>
          <w:color w:val="000000" w:themeColor="text1"/>
          <w:sz w:val="22"/>
          <w:szCs w:val="22"/>
          <w:lang w:val="es-ES_tradnl"/>
        </w:rPr>
        <w:t xml:space="preserve"> deben </w:t>
      </w:r>
      <w:r w:rsidRPr="00E87B1F" w:rsidR="00971B0A">
        <w:rPr>
          <w:rFonts w:ascii="Arial" w:hAnsi="Arial" w:cs="Arial"/>
          <w:color w:val="000000" w:themeColor="text1"/>
          <w:sz w:val="22"/>
          <w:szCs w:val="22"/>
          <w:lang w:val="es-ES_tradnl"/>
        </w:rPr>
        <w:t>«[…] remitir todos los casos de violencia intrafamiliar a la Fiscalía General de la Nación para efectos de la investigación del delito de violencia intrafamiliar y posibles delitos conexos</w:t>
      </w:r>
      <w:r w:rsidRPr="00E87B1F" w:rsidR="00892A15">
        <w:rPr>
          <w:rFonts w:ascii="Arial" w:hAnsi="Arial" w:cs="Arial"/>
          <w:color w:val="000000" w:themeColor="text1"/>
          <w:sz w:val="22"/>
          <w:szCs w:val="22"/>
          <w:lang w:val="es-ES_tradnl"/>
        </w:rPr>
        <w:t>», según lo determina el parágrafo 3</w:t>
      </w:r>
      <w:r w:rsidRPr="00E87B1F" w:rsidR="002928A3">
        <w:rPr>
          <w:rFonts w:ascii="Arial" w:hAnsi="Arial" w:cs="Arial"/>
          <w:color w:val="000000" w:themeColor="text1"/>
          <w:sz w:val="22"/>
          <w:szCs w:val="22"/>
          <w:lang w:val="es-ES_tradnl"/>
        </w:rPr>
        <w:t xml:space="preserve"> del artículo 17 de la referida Ley.</w:t>
      </w:r>
      <w:r w:rsidRPr="00E87B1F" w:rsidR="00920BF5">
        <w:rPr>
          <w:rFonts w:ascii="Arial" w:hAnsi="Arial" w:cs="Arial"/>
          <w:color w:val="000000" w:themeColor="text1"/>
          <w:sz w:val="22"/>
          <w:szCs w:val="22"/>
          <w:lang w:val="es-ES_tradnl"/>
        </w:rPr>
        <w:t xml:space="preserve"> En consecuencia, no basta la copia de la denuncia en la Fiscalía</w:t>
      </w:r>
      <w:r w:rsidRPr="00E87B1F" w:rsidR="00645E63">
        <w:rPr>
          <w:rFonts w:ascii="Arial" w:hAnsi="Arial" w:cs="Arial"/>
          <w:color w:val="000000" w:themeColor="text1"/>
          <w:sz w:val="22"/>
          <w:szCs w:val="22"/>
          <w:lang w:val="es-ES_tradnl"/>
        </w:rPr>
        <w:t xml:space="preserve"> para acreditar que se es víctima de violencia intrafamiliar</w:t>
      </w:r>
      <w:r w:rsidRPr="00E87B1F" w:rsidR="00920BF5">
        <w:rPr>
          <w:rFonts w:ascii="Arial" w:hAnsi="Arial" w:cs="Arial"/>
          <w:color w:val="000000" w:themeColor="text1"/>
          <w:sz w:val="22"/>
          <w:szCs w:val="22"/>
          <w:lang w:val="es-ES_tradnl"/>
        </w:rPr>
        <w:t>, pues se requiere la providencia que establezca la medida de protección procedente.</w:t>
      </w:r>
    </w:p>
    <w:p w:rsidRPr="00E87B1F" w:rsidR="000A7268" w:rsidP="00104149" w:rsidRDefault="000A7268" w14:paraId="49F44352" w14:textId="77777777">
      <w:pPr>
        <w:ind w:left="709" w:right="709"/>
        <w:jc w:val="both"/>
        <w:rPr>
          <w:rFonts w:ascii="Arial" w:hAnsi="Arial" w:cs="Arial"/>
          <w:color w:val="000000" w:themeColor="text1"/>
          <w:sz w:val="21"/>
          <w:szCs w:val="21"/>
          <w:lang w:val="es-ES_tradnl"/>
        </w:rPr>
      </w:pPr>
    </w:p>
    <w:p w:rsidRPr="00E87B1F" w:rsidR="00104149" w:rsidP="00104149" w:rsidRDefault="00192019" w14:paraId="1FC20439" w14:textId="7B2D11FA">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Respecto del Numeral 4, referente al criterio de vinculación de adulto mayor, preguntamos:</w:t>
      </w:r>
    </w:p>
    <w:p w:rsidRPr="00E87B1F" w:rsidR="00104149" w:rsidP="00104149" w:rsidRDefault="00104149" w14:paraId="7128D1BA" w14:textId="77777777">
      <w:pPr>
        <w:ind w:left="709" w:right="709"/>
        <w:jc w:val="both"/>
        <w:rPr>
          <w:rFonts w:ascii="Arial" w:hAnsi="Arial" w:cs="Arial"/>
          <w:color w:val="000000" w:themeColor="text1"/>
          <w:sz w:val="21"/>
          <w:szCs w:val="21"/>
          <w:lang w:val="es-ES_tradnl"/>
        </w:rPr>
      </w:pPr>
    </w:p>
    <w:p w:rsidRPr="00E87B1F" w:rsidR="00104149" w:rsidP="00104149" w:rsidRDefault="00104149" w14:paraId="4602B04D" w14:textId="0B17ABAB">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»5. La vinculación en mayor proporción relacionada en la norma, ¿hace relación a la cantidad de personal vinculado al proponente?</w:t>
      </w:r>
      <w:r w:rsidRPr="00E87B1F" w:rsidR="00192019">
        <w:rPr>
          <w:rFonts w:ascii="Arial" w:hAnsi="Arial" w:cs="Arial"/>
          <w:color w:val="000000" w:themeColor="text1"/>
          <w:sz w:val="21"/>
          <w:szCs w:val="21"/>
          <w:lang w:val="es-ES_tradnl"/>
        </w:rPr>
        <w:t>»</w:t>
      </w:r>
    </w:p>
    <w:p w:rsidRPr="00E87B1F" w:rsidR="00104149" w:rsidP="007E3F4A" w:rsidRDefault="00104149" w14:paraId="70324AD1" w14:textId="67B5FBAC">
      <w:pPr>
        <w:ind w:right="709"/>
        <w:jc w:val="both"/>
        <w:rPr>
          <w:rFonts w:ascii="Arial" w:hAnsi="Arial" w:cs="Arial"/>
          <w:color w:val="000000" w:themeColor="text1"/>
          <w:sz w:val="21"/>
          <w:szCs w:val="21"/>
          <w:lang w:val="es-ES_tradnl"/>
        </w:rPr>
      </w:pPr>
    </w:p>
    <w:p w:rsidRPr="00E87B1F" w:rsidR="007E3F4A" w:rsidP="00AA06C6" w:rsidRDefault="00E57FB0" w14:paraId="4587A17B" w14:textId="138C80A7">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En opinión de esta </w:t>
      </w:r>
      <w:r w:rsidR="00EC7367">
        <w:rPr>
          <w:rFonts w:ascii="Arial" w:hAnsi="Arial" w:cs="Arial"/>
          <w:color w:val="000000" w:themeColor="text1"/>
          <w:sz w:val="22"/>
          <w:szCs w:val="22"/>
          <w:lang w:val="es-ES_tradnl"/>
        </w:rPr>
        <w:t>Agencia</w:t>
      </w:r>
      <w:r w:rsidRPr="00E87B1F">
        <w:rPr>
          <w:rFonts w:ascii="Arial" w:hAnsi="Arial" w:cs="Arial"/>
          <w:color w:val="000000" w:themeColor="text1"/>
          <w:sz w:val="22"/>
          <w:szCs w:val="22"/>
          <w:lang w:val="es-ES_tradnl"/>
        </w:rPr>
        <w:t xml:space="preserve"> tal es la interpretación más </w:t>
      </w:r>
      <w:r w:rsidRPr="00E87B1F" w:rsidR="007B2549">
        <w:rPr>
          <w:rFonts w:ascii="Arial" w:hAnsi="Arial" w:cs="Arial"/>
          <w:color w:val="000000" w:themeColor="text1"/>
          <w:sz w:val="22"/>
          <w:szCs w:val="22"/>
          <w:lang w:val="es-ES_tradnl"/>
        </w:rPr>
        <w:t>razonable, pues el numeral 4 del</w:t>
      </w:r>
      <w:r w:rsidRPr="00E87B1F" w:rsidR="00EE678B">
        <w:rPr>
          <w:rFonts w:ascii="Arial" w:hAnsi="Arial" w:cs="Arial"/>
          <w:color w:val="000000" w:themeColor="text1"/>
          <w:sz w:val="22"/>
          <w:szCs w:val="22"/>
          <w:lang w:val="es-ES_tradnl"/>
        </w:rPr>
        <w:t xml:space="preserve"> artículo 35 dice que en dicho evento la regla de desempate se aplica a favor del </w:t>
      </w:r>
      <w:r w:rsidRPr="00E87B1F" w:rsidR="00AA06C6">
        <w:rPr>
          <w:rFonts w:ascii="Arial" w:hAnsi="Arial" w:cs="Arial"/>
          <w:color w:val="000000" w:themeColor="text1"/>
          <w:sz w:val="22"/>
          <w:szCs w:val="22"/>
          <w:lang w:val="es-ES_tradnl"/>
        </w:rPr>
        <w:t xml:space="preserve">«[…] oferente que acredite la vinculación en mayor proporción de personas mayores que no sean beneficiarios de la pensión de vejez, familiar o de sobrevivencia y que hayan cumplido el requisito de edad de pensión establecido en la Ley». </w:t>
      </w:r>
      <w:r w:rsidRPr="00E87B1F" w:rsidR="007E238D">
        <w:rPr>
          <w:rFonts w:ascii="Arial" w:hAnsi="Arial" w:cs="Arial"/>
          <w:color w:val="000000" w:themeColor="text1"/>
          <w:sz w:val="22"/>
          <w:szCs w:val="22"/>
          <w:lang w:val="es-ES_tradnl"/>
        </w:rPr>
        <w:t xml:space="preserve">De este modo, cuando </w:t>
      </w:r>
      <w:r w:rsidRPr="00E87B1F" w:rsidR="006564A5">
        <w:rPr>
          <w:rFonts w:ascii="Arial" w:hAnsi="Arial" w:cs="Arial"/>
          <w:color w:val="000000" w:themeColor="text1"/>
          <w:sz w:val="22"/>
          <w:szCs w:val="22"/>
          <w:lang w:val="es-ES_tradnl"/>
        </w:rPr>
        <w:t>la norma se refiere a la «mayor proporción»</w:t>
      </w:r>
      <w:r w:rsidRPr="00E87B1F" w:rsidR="00BD3A6D">
        <w:rPr>
          <w:rFonts w:ascii="Arial" w:hAnsi="Arial" w:cs="Arial"/>
          <w:color w:val="000000" w:themeColor="text1"/>
          <w:sz w:val="22"/>
          <w:szCs w:val="22"/>
          <w:lang w:val="es-ES_tradnl"/>
        </w:rPr>
        <w:t xml:space="preserve"> alude al número de personas vinculadas por el oferente y que además </w:t>
      </w:r>
      <w:r w:rsidRPr="00E87B1F" w:rsidR="00787CCC">
        <w:rPr>
          <w:rFonts w:ascii="Arial" w:hAnsi="Arial" w:cs="Arial"/>
          <w:color w:val="000000" w:themeColor="text1"/>
          <w:sz w:val="22"/>
          <w:szCs w:val="22"/>
          <w:lang w:val="es-ES_tradnl"/>
        </w:rPr>
        <w:t>reúnan la condición de ser</w:t>
      </w:r>
      <w:r w:rsidRPr="00E87B1F" w:rsidR="00BD3A6D">
        <w:rPr>
          <w:rFonts w:ascii="Arial" w:hAnsi="Arial" w:cs="Arial"/>
          <w:color w:val="000000" w:themeColor="text1"/>
          <w:sz w:val="22"/>
          <w:szCs w:val="22"/>
          <w:lang w:val="es-ES_tradnl"/>
        </w:rPr>
        <w:t xml:space="preserve"> mayores</w:t>
      </w:r>
      <w:r w:rsidRPr="00E87B1F" w:rsidR="00787CCC">
        <w:rPr>
          <w:rFonts w:ascii="Arial" w:hAnsi="Arial" w:cs="Arial"/>
          <w:color w:val="000000" w:themeColor="text1"/>
          <w:sz w:val="22"/>
          <w:szCs w:val="22"/>
          <w:lang w:val="es-ES_tradnl"/>
        </w:rPr>
        <w:t xml:space="preserve"> y que «no sean beneficiarios de la pensión de vejez, familiar o de sobrevivencia y que hayan cumplido el requisito de edad de pensión establecido en la Ley».</w:t>
      </w:r>
    </w:p>
    <w:p w:rsidRPr="00E87B1F" w:rsidR="007E3F4A" w:rsidP="007E3F4A" w:rsidRDefault="007E3F4A" w14:paraId="4B84ED12" w14:textId="77777777">
      <w:pPr>
        <w:ind w:right="709"/>
        <w:jc w:val="both"/>
        <w:rPr>
          <w:rFonts w:ascii="Arial" w:hAnsi="Arial" w:cs="Arial"/>
          <w:color w:val="000000" w:themeColor="text1"/>
          <w:sz w:val="21"/>
          <w:szCs w:val="21"/>
          <w:lang w:val="es-ES_tradnl"/>
        </w:rPr>
      </w:pPr>
    </w:p>
    <w:p w:rsidRPr="00E87B1F" w:rsidR="00104149" w:rsidP="00104149" w:rsidRDefault="00192019" w14:paraId="546D33C1" w14:textId="3D687E4A">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6. ¿Este criterio solo se aplica a proponentes individuales o singulares, por cuanto no hace mención a la forma en que se acreditaría para figuras plurales?</w:t>
      </w:r>
      <w:r w:rsidRPr="00E87B1F">
        <w:rPr>
          <w:rFonts w:ascii="Arial" w:hAnsi="Arial" w:cs="Arial"/>
          <w:color w:val="000000" w:themeColor="text1"/>
          <w:sz w:val="21"/>
          <w:szCs w:val="21"/>
          <w:lang w:val="es-ES_tradnl"/>
        </w:rPr>
        <w:t>»</w:t>
      </w:r>
    </w:p>
    <w:p w:rsidRPr="00E87B1F" w:rsidR="00104149" w:rsidP="00104149" w:rsidRDefault="00104149" w14:paraId="7C674874" w14:textId="0CC9EB67">
      <w:pPr>
        <w:ind w:left="709" w:right="709"/>
        <w:jc w:val="both"/>
        <w:rPr>
          <w:rFonts w:ascii="Arial" w:hAnsi="Arial" w:cs="Arial"/>
          <w:color w:val="000000" w:themeColor="text1"/>
          <w:sz w:val="21"/>
          <w:szCs w:val="21"/>
          <w:lang w:val="es-ES_tradnl"/>
        </w:rPr>
      </w:pPr>
    </w:p>
    <w:p w:rsidRPr="00E87B1F" w:rsidR="00D63359" w:rsidP="00D63359" w:rsidRDefault="00D63359" w14:paraId="114B7916" w14:textId="51823B5A">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Teniendo en cuenta que el numeral 4 del artículo 35 no distingue tipos de oferente</w:t>
      </w:r>
      <w:r w:rsidRPr="00E87B1F" w:rsidR="00D11508">
        <w:rPr>
          <w:rFonts w:ascii="Arial" w:hAnsi="Arial" w:cs="Arial"/>
          <w:color w:val="000000" w:themeColor="text1"/>
          <w:sz w:val="22"/>
          <w:szCs w:val="22"/>
          <w:lang w:val="es-ES_tradnl"/>
        </w:rPr>
        <w:t xml:space="preserve">, dicho criterio de desempate se debe aplicar </w:t>
      </w:r>
      <w:r w:rsidRPr="00E87B1F" w:rsidR="004B2BB8">
        <w:rPr>
          <w:rFonts w:ascii="Arial" w:hAnsi="Arial" w:cs="Arial"/>
          <w:color w:val="000000" w:themeColor="text1"/>
          <w:sz w:val="22"/>
          <w:szCs w:val="22"/>
          <w:lang w:val="es-ES_tradnl"/>
        </w:rPr>
        <w:t xml:space="preserve">también </w:t>
      </w:r>
      <w:r w:rsidRPr="00E87B1F" w:rsidR="00D11508">
        <w:rPr>
          <w:rFonts w:ascii="Arial" w:hAnsi="Arial" w:cs="Arial"/>
          <w:color w:val="000000" w:themeColor="text1"/>
          <w:sz w:val="22"/>
          <w:szCs w:val="22"/>
          <w:lang w:val="es-ES_tradnl"/>
        </w:rPr>
        <w:t xml:space="preserve">a </w:t>
      </w:r>
      <w:r w:rsidRPr="00E87B1F" w:rsidR="006577C9">
        <w:rPr>
          <w:rFonts w:ascii="Arial" w:hAnsi="Arial" w:cs="Arial"/>
          <w:color w:val="000000" w:themeColor="text1"/>
          <w:sz w:val="22"/>
          <w:szCs w:val="22"/>
          <w:lang w:val="es-ES_tradnl"/>
        </w:rPr>
        <w:t>proponentes plurales</w:t>
      </w:r>
      <w:r w:rsidRPr="00E87B1F">
        <w:rPr>
          <w:rFonts w:ascii="Arial" w:hAnsi="Arial" w:cs="Arial"/>
          <w:color w:val="000000" w:themeColor="text1"/>
          <w:sz w:val="22"/>
          <w:szCs w:val="22"/>
          <w:lang w:val="es-ES_tradnl"/>
        </w:rPr>
        <w:t>.</w:t>
      </w:r>
      <w:r w:rsidRPr="00E87B1F" w:rsidR="006577C9">
        <w:rPr>
          <w:rFonts w:ascii="Arial" w:hAnsi="Arial" w:cs="Arial"/>
          <w:color w:val="000000" w:themeColor="text1"/>
          <w:sz w:val="22"/>
          <w:szCs w:val="22"/>
          <w:lang w:val="es-ES_tradnl"/>
        </w:rPr>
        <w:t xml:space="preserve"> En este caso</w:t>
      </w:r>
      <w:r w:rsidRPr="00E87B1F" w:rsidR="00C26C71">
        <w:rPr>
          <w:rFonts w:ascii="Arial" w:hAnsi="Arial" w:cs="Arial"/>
          <w:color w:val="000000" w:themeColor="text1"/>
          <w:sz w:val="22"/>
          <w:szCs w:val="22"/>
          <w:lang w:val="es-ES_tradnl"/>
        </w:rPr>
        <w:t xml:space="preserve"> </w:t>
      </w:r>
      <w:r w:rsidRPr="00E87B1F" w:rsidR="004B2BB8">
        <w:rPr>
          <w:rFonts w:ascii="Arial" w:hAnsi="Arial" w:cs="Arial"/>
          <w:color w:val="000000" w:themeColor="text1"/>
          <w:sz w:val="22"/>
          <w:szCs w:val="22"/>
          <w:lang w:val="es-ES_tradnl"/>
        </w:rPr>
        <w:t>el proponente plural</w:t>
      </w:r>
      <w:r w:rsidRPr="00E87B1F" w:rsidR="00C26C71">
        <w:rPr>
          <w:rFonts w:ascii="Arial" w:hAnsi="Arial" w:cs="Arial"/>
          <w:color w:val="000000" w:themeColor="text1"/>
          <w:sz w:val="22"/>
          <w:szCs w:val="22"/>
          <w:lang w:val="es-ES_tradnl"/>
        </w:rPr>
        <w:t xml:space="preserve"> debe acreditar la proporción de personas mayores vinculadas</w:t>
      </w:r>
      <w:r w:rsidRPr="00E87B1F" w:rsidR="0004600D">
        <w:rPr>
          <w:rFonts w:ascii="Arial" w:hAnsi="Arial" w:cs="Arial"/>
          <w:color w:val="000000" w:themeColor="text1"/>
          <w:sz w:val="22"/>
          <w:szCs w:val="22"/>
          <w:lang w:val="es-ES_tradnl"/>
        </w:rPr>
        <w:t xml:space="preserve"> a aquel</w:t>
      </w:r>
      <w:r w:rsidRPr="00E87B1F" w:rsidR="00C26C71">
        <w:rPr>
          <w:rFonts w:ascii="Arial" w:hAnsi="Arial" w:cs="Arial"/>
          <w:color w:val="000000" w:themeColor="text1"/>
          <w:sz w:val="22"/>
          <w:szCs w:val="22"/>
          <w:lang w:val="es-ES_tradnl"/>
        </w:rPr>
        <w:t xml:space="preserve"> y que además «no sean beneficiarios de la pensión de vejez, familiar o de sobrevivencia y </w:t>
      </w:r>
      <w:r w:rsidRPr="00E87B1F" w:rsidR="00C26C71">
        <w:rPr>
          <w:rFonts w:ascii="Arial" w:hAnsi="Arial" w:cs="Arial"/>
          <w:color w:val="000000" w:themeColor="text1"/>
          <w:sz w:val="22"/>
          <w:szCs w:val="22"/>
          <w:lang w:val="es-ES_tradnl"/>
        </w:rPr>
        <w:lastRenderedPageBreak/>
        <w:t>que hayan cumplido el requisito de edad de pensión establecido en la Ley», para benefici</w:t>
      </w:r>
      <w:r w:rsidR="00D16EB6">
        <w:rPr>
          <w:rFonts w:ascii="Arial" w:hAnsi="Arial" w:cs="Arial"/>
          <w:color w:val="000000" w:themeColor="text1"/>
          <w:sz w:val="22"/>
          <w:szCs w:val="22"/>
          <w:lang w:val="es-ES_tradnl"/>
        </w:rPr>
        <w:t>arse</w:t>
      </w:r>
      <w:r w:rsidRPr="00E87B1F" w:rsidR="00C26C71">
        <w:rPr>
          <w:rFonts w:ascii="Arial" w:hAnsi="Arial" w:cs="Arial"/>
          <w:color w:val="000000" w:themeColor="text1"/>
          <w:sz w:val="22"/>
          <w:szCs w:val="22"/>
          <w:lang w:val="es-ES_tradnl"/>
        </w:rPr>
        <w:t xml:space="preserve"> del factor de desempate.</w:t>
      </w:r>
    </w:p>
    <w:p w:rsidRPr="00E87B1F" w:rsidR="00D63359" w:rsidP="00104149" w:rsidRDefault="00D63359" w14:paraId="39587349" w14:textId="77777777">
      <w:pPr>
        <w:ind w:left="709" w:right="709"/>
        <w:jc w:val="both"/>
        <w:rPr>
          <w:rFonts w:ascii="Arial" w:hAnsi="Arial" w:cs="Arial"/>
          <w:color w:val="000000" w:themeColor="text1"/>
          <w:sz w:val="21"/>
          <w:szCs w:val="21"/>
          <w:lang w:val="es-ES_tradnl"/>
        </w:rPr>
      </w:pPr>
    </w:p>
    <w:p w:rsidR="00104149" w:rsidP="00104149" w:rsidRDefault="00192019" w14:paraId="21538613" w14:textId="06738E18">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7. ¿cómo se acredita este criterio en proponentes plurales?</w:t>
      </w:r>
      <w:r w:rsidRPr="00E87B1F">
        <w:rPr>
          <w:rFonts w:ascii="Arial" w:hAnsi="Arial" w:cs="Arial"/>
          <w:color w:val="000000" w:themeColor="text1"/>
          <w:sz w:val="21"/>
          <w:szCs w:val="21"/>
          <w:lang w:val="es-ES_tradnl"/>
        </w:rPr>
        <w:t>»</w:t>
      </w:r>
    </w:p>
    <w:p w:rsidR="00E6257B" w:rsidP="00104149" w:rsidRDefault="00E6257B" w14:paraId="1A1EF108" w14:textId="3011903B">
      <w:pPr>
        <w:ind w:left="709" w:right="709"/>
        <w:jc w:val="both"/>
        <w:rPr>
          <w:rFonts w:ascii="Arial" w:hAnsi="Arial" w:cs="Arial"/>
          <w:color w:val="000000" w:themeColor="text1"/>
          <w:sz w:val="21"/>
          <w:szCs w:val="21"/>
          <w:lang w:val="es-ES_tradnl"/>
        </w:rPr>
      </w:pPr>
    </w:p>
    <w:p w:rsidRPr="00E87B1F" w:rsidR="00E6257B" w:rsidP="00E6257B" w:rsidRDefault="00E6257B" w14:paraId="4DBABEB9" w14:textId="77777777">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«8. ¿La condición se acredita con certificado emitido por Revisor Fiscal o Representante Legal?»</w:t>
      </w:r>
    </w:p>
    <w:p w:rsidRPr="00E87B1F" w:rsidR="00104149" w:rsidP="00F31289" w:rsidRDefault="00104149" w14:paraId="1C4B4B2A" w14:textId="37A6949E">
      <w:pPr>
        <w:ind w:right="709"/>
        <w:jc w:val="both"/>
        <w:rPr>
          <w:rFonts w:ascii="Arial" w:hAnsi="Arial" w:cs="Arial"/>
          <w:color w:val="000000" w:themeColor="text1"/>
          <w:sz w:val="21"/>
          <w:szCs w:val="21"/>
          <w:lang w:val="es-ES_tradnl"/>
        </w:rPr>
      </w:pPr>
    </w:p>
    <w:p w:rsidRPr="00E87B1F" w:rsidR="00F31289" w:rsidP="00F31289" w:rsidRDefault="00CB0CB1" w14:paraId="0CA04236" w14:textId="2F0AB567">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El numeral 4 del artículo 35 guarda silencio al respecto. </w:t>
      </w:r>
      <w:r w:rsidRPr="00E87B1F" w:rsidR="00EB2564">
        <w:rPr>
          <w:rFonts w:ascii="Arial" w:hAnsi="Arial" w:cs="Arial"/>
          <w:color w:val="000000" w:themeColor="text1"/>
          <w:sz w:val="22"/>
          <w:szCs w:val="22"/>
          <w:lang w:val="es-ES_tradnl"/>
        </w:rPr>
        <w:t>Ahora bien, sin perjuicio de que el reglamento que expida el gobierno nacional determine un medio de acreditación especial,</w:t>
      </w:r>
      <w:r w:rsidRPr="00E87B1F" w:rsidR="0004477A">
        <w:rPr>
          <w:rFonts w:ascii="Arial" w:hAnsi="Arial" w:cs="Arial"/>
          <w:color w:val="000000" w:themeColor="text1"/>
          <w:sz w:val="22"/>
          <w:szCs w:val="22"/>
          <w:lang w:val="es-ES_tradnl"/>
        </w:rPr>
        <w:t xml:space="preserve"> esta </w:t>
      </w:r>
      <w:r w:rsidR="00EC7367">
        <w:rPr>
          <w:rFonts w:ascii="Arial" w:hAnsi="Arial" w:cs="Arial"/>
          <w:color w:val="000000" w:themeColor="text1"/>
          <w:sz w:val="22"/>
          <w:szCs w:val="22"/>
          <w:lang w:val="es-ES_tradnl"/>
        </w:rPr>
        <w:t>Agencia</w:t>
      </w:r>
      <w:r w:rsidRPr="00E87B1F" w:rsidR="0004477A">
        <w:rPr>
          <w:rFonts w:ascii="Arial" w:hAnsi="Arial" w:cs="Arial"/>
          <w:color w:val="000000" w:themeColor="text1"/>
          <w:sz w:val="22"/>
          <w:szCs w:val="22"/>
          <w:lang w:val="es-ES_tradnl"/>
        </w:rPr>
        <w:t xml:space="preserve"> considera que existe libertad probatoria sobre el tema</w:t>
      </w:r>
      <w:r w:rsidRPr="00E87B1F" w:rsidR="00AB1CD8">
        <w:rPr>
          <w:rFonts w:ascii="Arial" w:hAnsi="Arial" w:cs="Arial"/>
          <w:color w:val="000000" w:themeColor="text1"/>
          <w:sz w:val="22"/>
          <w:szCs w:val="22"/>
          <w:lang w:val="es-ES_tradnl"/>
        </w:rPr>
        <w:t>.</w:t>
      </w:r>
      <w:r w:rsidRPr="00E87B1F" w:rsidR="001C120D">
        <w:rPr>
          <w:rFonts w:ascii="Arial" w:hAnsi="Arial" w:cs="Arial"/>
          <w:color w:val="000000" w:themeColor="text1"/>
          <w:sz w:val="22"/>
          <w:szCs w:val="22"/>
          <w:lang w:val="es-ES_tradnl"/>
        </w:rPr>
        <w:t xml:space="preserve"> </w:t>
      </w:r>
      <w:r w:rsidRPr="00E87B1F" w:rsidR="00AB1CD8">
        <w:rPr>
          <w:rFonts w:ascii="Arial" w:hAnsi="Arial" w:cs="Arial"/>
          <w:color w:val="000000" w:themeColor="text1"/>
          <w:sz w:val="22"/>
          <w:szCs w:val="22"/>
          <w:lang w:val="es-ES_tradnl"/>
        </w:rPr>
        <w:t xml:space="preserve">En consecuencia, </w:t>
      </w:r>
      <w:r w:rsidRPr="00E87B1F" w:rsidR="001C120D">
        <w:rPr>
          <w:rFonts w:ascii="Arial" w:hAnsi="Arial" w:cs="Arial"/>
          <w:color w:val="000000" w:themeColor="text1"/>
          <w:sz w:val="22"/>
          <w:szCs w:val="22"/>
          <w:lang w:val="es-ES_tradnl"/>
        </w:rPr>
        <w:t xml:space="preserve">la entidad estatal contratante </w:t>
      </w:r>
      <w:r w:rsidRPr="00E87B1F" w:rsidR="00B61B18">
        <w:rPr>
          <w:rFonts w:ascii="Arial" w:hAnsi="Arial" w:cs="Arial"/>
          <w:color w:val="000000" w:themeColor="text1"/>
          <w:sz w:val="22"/>
          <w:szCs w:val="22"/>
          <w:lang w:val="es-ES_tradnl"/>
        </w:rPr>
        <w:t xml:space="preserve">puede </w:t>
      </w:r>
      <w:r w:rsidRPr="00E87B1F" w:rsidR="001C120D">
        <w:rPr>
          <w:rFonts w:ascii="Arial" w:hAnsi="Arial" w:cs="Arial"/>
          <w:color w:val="000000" w:themeColor="text1"/>
          <w:sz w:val="22"/>
          <w:szCs w:val="22"/>
          <w:lang w:val="es-ES_tradnl"/>
        </w:rPr>
        <w:t xml:space="preserve">determinar </w:t>
      </w:r>
      <w:r w:rsidRPr="00E87B1F" w:rsidR="006A7AB8">
        <w:rPr>
          <w:rFonts w:ascii="Arial" w:hAnsi="Arial" w:cs="Arial"/>
          <w:color w:val="000000" w:themeColor="text1"/>
          <w:sz w:val="22"/>
          <w:szCs w:val="22"/>
          <w:lang w:val="es-ES_tradnl"/>
        </w:rPr>
        <w:t>en el pliego de condiciones</w:t>
      </w:r>
      <w:r w:rsidRPr="00E87B1F" w:rsidR="007C7E15">
        <w:rPr>
          <w:rFonts w:ascii="Arial" w:hAnsi="Arial" w:cs="Arial"/>
          <w:color w:val="000000" w:themeColor="text1"/>
          <w:sz w:val="22"/>
          <w:szCs w:val="22"/>
          <w:lang w:val="es-ES_tradnl"/>
        </w:rPr>
        <w:t xml:space="preserve"> o documento equivalente</w:t>
      </w:r>
      <w:r w:rsidRPr="00E87B1F" w:rsidR="006A7AB8">
        <w:rPr>
          <w:rFonts w:ascii="Arial" w:hAnsi="Arial" w:cs="Arial"/>
          <w:color w:val="000000" w:themeColor="text1"/>
          <w:sz w:val="22"/>
          <w:szCs w:val="22"/>
          <w:lang w:val="es-ES_tradnl"/>
        </w:rPr>
        <w:t xml:space="preserve"> cuál será el medio pertinente y conducente </w:t>
      </w:r>
      <w:r w:rsidRPr="00E87B1F" w:rsidR="00B61B18">
        <w:rPr>
          <w:rFonts w:ascii="Arial" w:hAnsi="Arial" w:cs="Arial"/>
          <w:color w:val="000000" w:themeColor="text1"/>
          <w:sz w:val="22"/>
          <w:szCs w:val="22"/>
          <w:lang w:val="es-ES_tradnl"/>
        </w:rPr>
        <w:t>que permitirá</w:t>
      </w:r>
      <w:r w:rsidRPr="00E87B1F" w:rsidR="006A7AB8">
        <w:rPr>
          <w:rFonts w:ascii="Arial" w:hAnsi="Arial" w:cs="Arial"/>
          <w:color w:val="000000" w:themeColor="text1"/>
          <w:sz w:val="22"/>
          <w:szCs w:val="22"/>
          <w:lang w:val="es-ES_tradnl"/>
        </w:rPr>
        <w:t xml:space="preserve"> evidenciar la</w:t>
      </w:r>
      <w:r w:rsidRPr="00E87B1F" w:rsidR="00E21CC0">
        <w:rPr>
          <w:rFonts w:ascii="Arial" w:hAnsi="Arial" w:cs="Arial"/>
          <w:color w:val="000000" w:themeColor="text1"/>
          <w:sz w:val="22"/>
          <w:szCs w:val="22"/>
          <w:lang w:val="es-ES_tradnl"/>
        </w:rPr>
        <w:t xml:space="preserve"> vinculación de las personas mayores por parte del oferente.</w:t>
      </w:r>
    </w:p>
    <w:p w:rsidRPr="00E87B1F" w:rsidR="00F31289" w:rsidP="00F31289" w:rsidRDefault="00F31289" w14:paraId="7F148B29" w14:textId="77777777">
      <w:pPr>
        <w:ind w:right="709"/>
        <w:jc w:val="both"/>
        <w:rPr>
          <w:rFonts w:ascii="Arial" w:hAnsi="Arial" w:cs="Arial"/>
          <w:color w:val="000000" w:themeColor="text1"/>
          <w:sz w:val="21"/>
          <w:szCs w:val="21"/>
          <w:lang w:val="es-ES_tradnl"/>
        </w:rPr>
      </w:pPr>
    </w:p>
    <w:p w:rsidRPr="00E87B1F" w:rsidR="00104149" w:rsidP="00104149" w:rsidRDefault="00192019" w14:paraId="35FA54EA" w14:textId="429E5615">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Respecto del Numeral 5, referente al criterio de vinculación de por lo menos el 10% de la nómina a minorías étnicas, preguntamos:</w:t>
      </w:r>
    </w:p>
    <w:p w:rsidRPr="00E87B1F" w:rsidR="00104149" w:rsidP="00104149" w:rsidRDefault="00104149" w14:paraId="5F98718B" w14:textId="77777777">
      <w:pPr>
        <w:ind w:left="709" w:right="709"/>
        <w:jc w:val="both"/>
        <w:rPr>
          <w:rFonts w:ascii="Arial" w:hAnsi="Arial" w:cs="Arial"/>
          <w:color w:val="000000" w:themeColor="text1"/>
          <w:sz w:val="21"/>
          <w:szCs w:val="21"/>
          <w:lang w:val="es-ES_tradnl"/>
        </w:rPr>
      </w:pPr>
    </w:p>
    <w:p w:rsidRPr="00E87B1F" w:rsidR="00104149" w:rsidP="00104149" w:rsidRDefault="00104149" w14:paraId="7648C7D8" w14:textId="4F594410">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»9. ¿Este criterio solo se aplica a proponentes individuales o singulares, por cuanto no hace mención a la forma en que se acreditaría para figuras plurales?</w:t>
      </w:r>
      <w:r w:rsidRPr="00E87B1F" w:rsidR="00192019">
        <w:rPr>
          <w:rFonts w:ascii="Arial" w:hAnsi="Arial" w:cs="Arial"/>
          <w:color w:val="000000" w:themeColor="text1"/>
          <w:sz w:val="21"/>
          <w:szCs w:val="21"/>
          <w:lang w:val="es-ES_tradnl"/>
        </w:rPr>
        <w:t>»</w:t>
      </w:r>
    </w:p>
    <w:p w:rsidRPr="00E87B1F" w:rsidR="00104149" w:rsidP="00104149" w:rsidRDefault="00104149" w14:paraId="6127AE51" w14:textId="20FCD430">
      <w:pPr>
        <w:ind w:left="709" w:right="709"/>
        <w:jc w:val="both"/>
        <w:rPr>
          <w:rFonts w:ascii="Arial" w:hAnsi="Arial" w:cs="Arial"/>
          <w:color w:val="000000" w:themeColor="text1"/>
          <w:sz w:val="21"/>
          <w:szCs w:val="21"/>
          <w:lang w:val="es-ES_tradnl"/>
        </w:rPr>
      </w:pPr>
    </w:p>
    <w:p w:rsidRPr="00E87B1F" w:rsidR="00E62C76" w:rsidP="00F20931" w:rsidRDefault="0043260C" w14:paraId="21B53A42" w14:textId="68927466">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El numeral 5 del artículo 35 no distingue tipos de oferentes. En razón de ello, también se aplica a </w:t>
      </w:r>
      <w:r w:rsidRPr="00E87B1F" w:rsidR="00F20931">
        <w:rPr>
          <w:rFonts w:ascii="Arial" w:hAnsi="Arial" w:cs="Arial"/>
          <w:color w:val="000000" w:themeColor="text1"/>
          <w:sz w:val="22"/>
          <w:szCs w:val="22"/>
          <w:lang w:val="es-ES_tradnl"/>
        </w:rPr>
        <w:t xml:space="preserve">proponentes plurales, que acrediten «[…], en las condiciones establecidas en la ley, que por lo menos diez por ciento (10%) de su nómina pertenece a población indígena, negra, afrocolombiana, raizal, palanquera, </w:t>
      </w:r>
      <w:proofErr w:type="spellStart"/>
      <w:r w:rsidRPr="00E87B1F" w:rsidR="00F20931">
        <w:rPr>
          <w:rFonts w:ascii="Arial" w:hAnsi="Arial" w:cs="Arial"/>
          <w:color w:val="000000" w:themeColor="text1"/>
          <w:sz w:val="22"/>
          <w:szCs w:val="22"/>
          <w:lang w:val="es-ES_tradnl"/>
        </w:rPr>
        <w:t>Rrom</w:t>
      </w:r>
      <w:proofErr w:type="spellEnd"/>
      <w:r w:rsidRPr="00E87B1F" w:rsidR="00F20931">
        <w:rPr>
          <w:rFonts w:ascii="Arial" w:hAnsi="Arial" w:cs="Arial"/>
          <w:color w:val="000000" w:themeColor="text1"/>
          <w:sz w:val="22"/>
          <w:szCs w:val="22"/>
          <w:lang w:val="es-ES_tradnl"/>
        </w:rPr>
        <w:t xml:space="preserve"> o gitanas».</w:t>
      </w:r>
    </w:p>
    <w:p w:rsidRPr="00E87B1F" w:rsidR="00E62C76" w:rsidP="00104149" w:rsidRDefault="00E62C76" w14:paraId="1E64F26E" w14:textId="77777777">
      <w:pPr>
        <w:ind w:left="709" w:right="709"/>
        <w:jc w:val="both"/>
        <w:rPr>
          <w:rFonts w:ascii="Arial" w:hAnsi="Arial" w:cs="Arial"/>
          <w:color w:val="000000" w:themeColor="text1"/>
          <w:sz w:val="21"/>
          <w:szCs w:val="21"/>
          <w:lang w:val="es-ES_tradnl"/>
        </w:rPr>
      </w:pPr>
    </w:p>
    <w:p w:rsidR="00104149" w:rsidP="00104149" w:rsidRDefault="00192019" w14:paraId="4A573536" w14:textId="27656A33">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10. ¿Cómo se acredita este criterio en proponentes plurales?</w:t>
      </w:r>
      <w:r w:rsidRPr="00E87B1F">
        <w:rPr>
          <w:rFonts w:ascii="Arial" w:hAnsi="Arial" w:cs="Arial"/>
          <w:color w:val="000000" w:themeColor="text1"/>
          <w:sz w:val="21"/>
          <w:szCs w:val="21"/>
          <w:lang w:val="es-ES_tradnl"/>
        </w:rPr>
        <w:t>»</w:t>
      </w:r>
    </w:p>
    <w:p w:rsidR="00D16EB6" w:rsidP="00104149" w:rsidRDefault="00D16EB6" w14:paraId="78A7EF94" w14:textId="5D9F04CA">
      <w:pPr>
        <w:ind w:left="709" w:right="709"/>
        <w:jc w:val="both"/>
        <w:rPr>
          <w:rFonts w:ascii="Arial" w:hAnsi="Arial" w:cs="Arial"/>
          <w:color w:val="000000" w:themeColor="text1"/>
          <w:sz w:val="21"/>
          <w:szCs w:val="21"/>
          <w:lang w:val="es-ES_tradnl"/>
        </w:rPr>
      </w:pPr>
    </w:p>
    <w:p w:rsidRPr="00E87B1F" w:rsidR="00D16EB6" w:rsidP="00104149" w:rsidRDefault="00D16EB6" w14:paraId="38879552" w14:textId="44783FC2">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«11. ¿La condición se acredita con certificado emitido por Revisor Fiscal o Representante Legal?»</w:t>
      </w:r>
    </w:p>
    <w:p w:rsidRPr="00E87B1F" w:rsidR="00104149" w:rsidP="008563B0" w:rsidRDefault="00104149" w14:paraId="0EA14604" w14:textId="22F61F23">
      <w:pPr>
        <w:spacing w:line="276" w:lineRule="auto"/>
        <w:jc w:val="both"/>
        <w:rPr>
          <w:rFonts w:ascii="Arial" w:hAnsi="Arial" w:cs="Arial"/>
          <w:color w:val="000000" w:themeColor="text1"/>
          <w:sz w:val="22"/>
          <w:szCs w:val="22"/>
          <w:lang w:val="es-ES_tradnl"/>
        </w:rPr>
      </w:pPr>
    </w:p>
    <w:p w:rsidRPr="00E87B1F" w:rsidR="00B6235B" w:rsidP="008563B0" w:rsidRDefault="008563B0" w14:paraId="79C43C84" w14:textId="66708A46">
      <w:pPr>
        <w:spacing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 xml:space="preserve">El numeral 5 del artículo 35 guarda silencio al respecto. Ahora bien, sin perjuicio de que el reglamento que expida el gobierno nacional determine un medio de acreditación especial, esta </w:t>
      </w:r>
      <w:r w:rsidR="00EC7367">
        <w:rPr>
          <w:rFonts w:ascii="Arial" w:hAnsi="Arial" w:cs="Arial"/>
          <w:color w:val="000000" w:themeColor="text1"/>
          <w:sz w:val="22"/>
          <w:szCs w:val="22"/>
          <w:lang w:val="es-ES_tradnl"/>
        </w:rPr>
        <w:t>Agencia</w:t>
      </w:r>
      <w:r w:rsidRPr="00E87B1F">
        <w:rPr>
          <w:rFonts w:ascii="Arial" w:hAnsi="Arial" w:cs="Arial"/>
          <w:color w:val="000000" w:themeColor="text1"/>
          <w:sz w:val="22"/>
          <w:szCs w:val="22"/>
          <w:lang w:val="es-ES_tradnl"/>
        </w:rPr>
        <w:t xml:space="preserve"> </w:t>
      </w:r>
      <w:r w:rsidRPr="00E87B1F" w:rsidR="00484A39">
        <w:rPr>
          <w:rFonts w:ascii="Arial" w:hAnsi="Arial" w:cs="Arial"/>
          <w:color w:val="000000" w:themeColor="text1"/>
          <w:sz w:val="22"/>
          <w:szCs w:val="22"/>
          <w:lang w:val="es-ES_tradnl"/>
        </w:rPr>
        <w:t xml:space="preserve">considera que se debe aplicar la normativa vigente sobre la materia, que establece que el Ministerio del Interior es la autoridad encargada de certificar la pertenencia a </w:t>
      </w:r>
      <w:r w:rsidRPr="00E87B1F" w:rsidR="00212545">
        <w:rPr>
          <w:rFonts w:ascii="Arial" w:hAnsi="Arial" w:cs="Arial"/>
          <w:color w:val="000000" w:themeColor="text1"/>
          <w:sz w:val="22"/>
          <w:szCs w:val="22"/>
          <w:lang w:val="es-ES_tradnl"/>
        </w:rPr>
        <w:t>las poblaciones</w:t>
      </w:r>
      <w:r w:rsidRPr="00E87B1F" w:rsidR="006B2170">
        <w:rPr>
          <w:rFonts w:ascii="Arial" w:hAnsi="Arial" w:cs="Arial"/>
          <w:color w:val="000000" w:themeColor="text1"/>
          <w:sz w:val="22"/>
          <w:szCs w:val="22"/>
          <w:lang w:val="es-ES_tradnl"/>
        </w:rPr>
        <w:t xml:space="preserve"> indígena, negra, afrocolombiana, raizal, </w:t>
      </w:r>
      <w:proofErr w:type="spellStart"/>
      <w:r w:rsidRPr="00E87B1F" w:rsidR="006B2170">
        <w:rPr>
          <w:rFonts w:ascii="Arial" w:hAnsi="Arial" w:cs="Arial"/>
          <w:color w:val="000000" w:themeColor="text1"/>
          <w:sz w:val="22"/>
          <w:szCs w:val="22"/>
          <w:lang w:val="es-ES_tradnl"/>
        </w:rPr>
        <w:t>palenquera</w:t>
      </w:r>
      <w:proofErr w:type="spellEnd"/>
      <w:r w:rsidRPr="00E87B1F" w:rsidR="00E21887">
        <w:rPr>
          <w:rFonts w:ascii="Arial" w:hAnsi="Arial" w:cs="Arial"/>
          <w:color w:val="000000" w:themeColor="text1"/>
          <w:sz w:val="22"/>
          <w:szCs w:val="22"/>
          <w:lang w:val="es-ES_tradnl"/>
        </w:rPr>
        <w:t xml:space="preserve">, </w:t>
      </w:r>
      <w:proofErr w:type="spellStart"/>
      <w:r w:rsidRPr="00E87B1F" w:rsidR="004F0805">
        <w:rPr>
          <w:rFonts w:ascii="Arial" w:hAnsi="Arial" w:cs="Arial"/>
          <w:color w:val="000000" w:themeColor="text1"/>
          <w:sz w:val="22"/>
          <w:szCs w:val="22"/>
          <w:lang w:val="es-ES_tradnl"/>
        </w:rPr>
        <w:t>Rom</w:t>
      </w:r>
      <w:proofErr w:type="spellEnd"/>
      <w:r w:rsidRPr="00E87B1F" w:rsidR="004F0805">
        <w:rPr>
          <w:rFonts w:ascii="Arial" w:hAnsi="Arial" w:cs="Arial"/>
          <w:color w:val="000000" w:themeColor="text1"/>
          <w:sz w:val="22"/>
          <w:szCs w:val="22"/>
          <w:lang w:val="es-ES_tradnl"/>
        </w:rPr>
        <w:t xml:space="preserve"> o gitanas.</w:t>
      </w:r>
      <w:r w:rsidRPr="00E87B1F" w:rsidR="006E0F32">
        <w:rPr>
          <w:rFonts w:ascii="Arial" w:hAnsi="Arial" w:cs="Arial"/>
          <w:color w:val="000000" w:themeColor="text1"/>
          <w:sz w:val="22"/>
          <w:szCs w:val="22"/>
          <w:lang w:val="es-ES_tradnl"/>
        </w:rPr>
        <w:t xml:space="preserve"> Lo anterior, se fundamenta en las competencias de la Dirección </w:t>
      </w:r>
      <w:r w:rsidRPr="00E87B1F" w:rsidR="005376B5">
        <w:rPr>
          <w:rFonts w:ascii="Arial" w:hAnsi="Arial" w:cs="Arial"/>
          <w:color w:val="000000" w:themeColor="text1"/>
          <w:sz w:val="22"/>
          <w:szCs w:val="22"/>
          <w:lang w:val="es-ES_tradnl"/>
        </w:rPr>
        <w:t xml:space="preserve">de Asuntos Indígenas, </w:t>
      </w:r>
      <w:proofErr w:type="spellStart"/>
      <w:r w:rsidRPr="00E87B1F" w:rsidR="005376B5">
        <w:rPr>
          <w:rFonts w:ascii="Arial" w:hAnsi="Arial" w:cs="Arial"/>
          <w:color w:val="000000" w:themeColor="text1"/>
          <w:sz w:val="22"/>
          <w:szCs w:val="22"/>
          <w:lang w:val="es-ES_tradnl"/>
        </w:rPr>
        <w:t>Rom</w:t>
      </w:r>
      <w:proofErr w:type="spellEnd"/>
      <w:r w:rsidRPr="00E87B1F" w:rsidR="005376B5">
        <w:rPr>
          <w:rFonts w:ascii="Arial" w:hAnsi="Arial" w:cs="Arial"/>
          <w:color w:val="000000" w:themeColor="text1"/>
          <w:sz w:val="22"/>
          <w:szCs w:val="22"/>
          <w:lang w:val="es-ES_tradnl"/>
        </w:rPr>
        <w:t xml:space="preserve"> y Minorías, así como de la Dirección de Asuntos para Comunidades Negras, Afrocolombianas, Raizales y </w:t>
      </w:r>
      <w:proofErr w:type="spellStart"/>
      <w:r w:rsidRPr="00E87B1F" w:rsidR="005376B5">
        <w:rPr>
          <w:rFonts w:ascii="Arial" w:hAnsi="Arial" w:cs="Arial"/>
          <w:color w:val="000000" w:themeColor="text1"/>
          <w:sz w:val="22"/>
          <w:szCs w:val="22"/>
          <w:lang w:val="es-ES_tradnl"/>
        </w:rPr>
        <w:t>Palenqueras</w:t>
      </w:r>
      <w:proofErr w:type="spellEnd"/>
      <w:r w:rsidRPr="00E87B1F" w:rsidR="005640CA">
        <w:rPr>
          <w:rFonts w:ascii="Arial" w:hAnsi="Arial" w:cs="Arial"/>
          <w:color w:val="000000" w:themeColor="text1"/>
          <w:sz w:val="22"/>
          <w:szCs w:val="22"/>
          <w:lang w:val="es-ES_tradnl"/>
        </w:rPr>
        <w:t>,</w:t>
      </w:r>
      <w:r w:rsidRPr="00E87B1F" w:rsidR="00AE62FE">
        <w:rPr>
          <w:rFonts w:ascii="Arial" w:hAnsi="Arial" w:cs="Arial"/>
          <w:color w:val="000000" w:themeColor="text1"/>
          <w:sz w:val="22"/>
          <w:szCs w:val="22"/>
          <w:lang w:val="es-ES_tradnl"/>
        </w:rPr>
        <w:t xml:space="preserve"> de dicho Ministerio.</w:t>
      </w:r>
      <w:r w:rsidRPr="00E87B1F" w:rsidR="004040D4">
        <w:rPr>
          <w:rFonts w:ascii="Arial" w:hAnsi="Arial" w:cs="Arial"/>
          <w:color w:val="000000" w:themeColor="text1"/>
          <w:sz w:val="22"/>
          <w:szCs w:val="22"/>
          <w:lang w:val="es-ES_tradnl"/>
        </w:rPr>
        <w:t xml:space="preserve"> En tal sentido, el proponente plural deberá acreditar que por lo menos el 10% de </w:t>
      </w:r>
      <w:r w:rsidRPr="00E87B1F" w:rsidR="008E710F">
        <w:rPr>
          <w:rFonts w:ascii="Arial" w:hAnsi="Arial" w:cs="Arial"/>
          <w:color w:val="000000" w:themeColor="text1"/>
          <w:sz w:val="22"/>
          <w:szCs w:val="22"/>
          <w:lang w:val="es-ES_tradnl"/>
        </w:rPr>
        <w:t>sus</w:t>
      </w:r>
      <w:r w:rsidRPr="00E87B1F" w:rsidR="004040D4">
        <w:rPr>
          <w:rFonts w:ascii="Arial" w:hAnsi="Arial" w:cs="Arial"/>
          <w:color w:val="000000" w:themeColor="text1"/>
          <w:sz w:val="22"/>
          <w:szCs w:val="22"/>
          <w:lang w:val="es-ES_tradnl"/>
        </w:rPr>
        <w:t xml:space="preserve"> trabajadores pertenece a estas poblaciones.</w:t>
      </w:r>
    </w:p>
    <w:p w:rsidRPr="00E87B1F" w:rsidR="00B6235B" w:rsidP="00D82FB2" w:rsidRDefault="00B6235B" w14:paraId="70707FE6" w14:textId="77777777">
      <w:pPr>
        <w:ind w:right="709"/>
        <w:jc w:val="both"/>
        <w:rPr>
          <w:rFonts w:ascii="Arial" w:hAnsi="Arial" w:cs="Arial"/>
          <w:color w:val="000000" w:themeColor="text1"/>
          <w:sz w:val="21"/>
          <w:szCs w:val="21"/>
          <w:lang w:val="es-ES_tradnl"/>
        </w:rPr>
      </w:pPr>
    </w:p>
    <w:p w:rsidRPr="00E87B1F" w:rsidR="00853A3C" w:rsidP="00EF4944" w:rsidRDefault="00192019" w14:paraId="5A91D744" w14:textId="67B18AF8">
      <w:pPr>
        <w:ind w:left="709" w:right="709"/>
        <w:jc w:val="both"/>
        <w:rPr>
          <w:rFonts w:ascii="Arial" w:hAnsi="Arial" w:cs="Arial"/>
          <w:color w:val="000000" w:themeColor="text1"/>
          <w:sz w:val="21"/>
          <w:szCs w:val="21"/>
          <w:lang w:val="es-ES_tradnl"/>
        </w:rPr>
      </w:pPr>
      <w:r w:rsidRPr="00E87B1F">
        <w:rPr>
          <w:rFonts w:ascii="Arial" w:hAnsi="Arial" w:cs="Arial"/>
          <w:color w:val="000000" w:themeColor="text1"/>
          <w:sz w:val="21"/>
          <w:szCs w:val="21"/>
          <w:lang w:val="es-ES_tradnl"/>
        </w:rPr>
        <w:t>«</w:t>
      </w:r>
      <w:r w:rsidRPr="00E87B1F" w:rsidR="00104149">
        <w:rPr>
          <w:rFonts w:ascii="Arial" w:hAnsi="Arial" w:cs="Arial"/>
          <w:color w:val="000000" w:themeColor="text1"/>
          <w:sz w:val="21"/>
          <w:szCs w:val="21"/>
          <w:lang w:val="es-ES_tradnl"/>
        </w:rPr>
        <w:t xml:space="preserve">Por último, es de consultar a qué hace referencia la posibilidad de aplicar factores de desempate en caso que concurran dos o más de los factores </w:t>
      </w:r>
      <w:r w:rsidRPr="00E87B1F" w:rsidR="00104149">
        <w:rPr>
          <w:rFonts w:ascii="Arial" w:hAnsi="Arial" w:cs="Arial"/>
          <w:color w:val="000000" w:themeColor="text1"/>
          <w:sz w:val="21"/>
          <w:szCs w:val="21"/>
          <w:lang w:val="es-ES_tradnl"/>
        </w:rPr>
        <w:lastRenderedPageBreak/>
        <w:t>previstos, por cuanto el artículo 35 establece que las reglas se utilizaran de forma sucesiva y excluyente».</w:t>
      </w:r>
    </w:p>
    <w:p w:rsidRPr="00E87B1F" w:rsidR="00EF4944" w:rsidP="00DF76A2" w:rsidRDefault="00EF4944" w14:paraId="0D8F253D" w14:textId="282EFE37">
      <w:pPr>
        <w:spacing w:line="276" w:lineRule="auto"/>
        <w:jc w:val="both"/>
        <w:rPr>
          <w:rFonts w:ascii="Arial" w:hAnsi="Arial" w:cs="Arial"/>
          <w:color w:val="000000" w:themeColor="text1"/>
          <w:sz w:val="22"/>
          <w:lang w:val="es-ES_tradnl"/>
        </w:rPr>
      </w:pPr>
    </w:p>
    <w:p w:rsidRPr="00E87B1F" w:rsidR="00B25703" w:rsidP="00B25703" w:rsidRDefault="00777EDF" w14:paraId="4F8F024B" w14:textId="405F685C">
      <w:pPr>
        <w:spacing w:line="276" w:lineRule="auto"/>
        <w:jc w:val="both"/>
        <w:rPr>
          <w:rFonts w:ascii="Arial" w:hAnsi="Arial" w:cs="Arial"/>
          <w:color w:val="000000" w:themeColor="text1"/>
          <w:sz w:val="22"/>
          <w:szCs w:val="22"/>
          <w:lang w:val="es-ES_tradnl"/>
        </w:rPr>
      </w:pPr>
      <w:r w:rsidRPr="00637E08">
        <w:rPr>
          <w:rFonts w:ascii="Arial" w:hAnsi="Arial" w:cs="Arial"/>
          <w:color w:val="000000" w:themeColor="text1"/>
          <w:sz w:val="22"/>
          <w:szCs w:val="22"/>
          <w:lang w:val="es-ES_tradnl"/>
        </w:rPr>
        <w:t xml:space="preserve">Si bien los factores de desempate </w:t>
      </w:r>
      <w:r w:rsidRPr="00637E08" w:rsidR="00F273D5">
        <w:rPr>
          <w:rFonts w:ascii="Arial" w:hAnsi="Arial" w:cs="Arial"/>
          <w:color w:val="000000" w:themeColor="text1"/>
          <w:sz w:val="22"/>
          <w:szCs w:val="22"/>
          <w:lang w:val="es-ES_tradnl"/>
        </w:rPr>
        <w:t>regulados en el artículo 35 deben aplicarse «</w:t>
      </w:r>
      <w:r w:rsidRPr="00637E08" w:rsidR="00580FD8">
        <w:rPr>
          <w:rFonts w:ascii="Arial" w:hAnsi="Arial" w:cs="Arial"/>
          <w:lang w:val="es-ES_tradnl"/>
        </w:rPr>
        <w:t xml:space="preserve">[…] </w:t>
      </w:r>
      <w:r w:rsidRPr="00637E08" w:rsidR="00580FD8">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w:t>
      </w:r>
      <w:r w:rsidRPr="00637E08" w:rsidR="00F13381">
        <w:rPr>
          <w:rFonts w:ascii="Arial" w:hAnsi="Arial" w:cs="Arial"/>
          <w:color w:val="000000" w:themeColor="text1"/>
          <w:sz w:val="22"/>
          <w:szCs w:val="22"/>
          <w:lang w:val="es-ES_tradnl"/>
        </w:rPr>
        <w:t>el parágrafo tercero del</w:t>
      </w:r>
      <w:r w:rsidRPr="00637E08" w:rsidR="00AF3C1F">
        <w:rPr>
          <w:rFonts w:ascii="Arial" w:hAnsi="Arial" w:cs="Arial"/>
          <w:color w:val="000000" w:themeColor="text1"/>
          <w:sz w:val="22"/>
          <w:szCs w:val="22"/>
          <w:lang w:val="es-ES_tradnl"/>
        </w:rPr>
        <w:t xml:space="preserve"> mencionado artículo establece que «El Gobierno Nacional podrá reglamentar la aplicación de factores de desempate en casos en que concurran dos o más de los factores aquí previstos».</w:t>
      </w:r>
      <w:r w:rsidRPr="00637E08" w:rsidR="002169A0">
        <w:rPr>
          <w:rFonts w:ascii="Arial" w:hAnsi="Arial" w:cs="Arial"/>
          <w:color w:val="000000" w:themeColor="text1"/>
          <w:sz w:val="22"/>
          <w:szCs w:val="22"/>
          <w:lang w:val="es-ES_tradnl"/>
        </w:rPr>
        <w:t xml:space="preserve"> </w:t>
      </w:r>
      <w:r w:rsidRPr="00637E08" w:rsidR="00A7536B">
        <w:rPr>
          <w:rFonts w:ascii="Arial" w:hAnsi="Arial" w:cs="Arial"/>
          <w:color w:val="000000" w:themeColor="text1"/>
          <w:sz w:val="22"/>
          <w:szCs w:val="22"/>
          <w:lang w:val="es-ES_tradnl"/>
        </w:rPr>
        <w:t>En otras palabras, dicho parágrafo le asigna potestad reglamentaria al gobierno nacional para definir factores que permita</w:t>
      </w:r>
      <w:r w:rsidRPr="00637E08" w:rsidR="003C0491">
        <w:rPr>
          <w:rFonts w:ascii="Arial" w:hAnsi="Arial" w:cs="Arial"/>
          <w:color w:val="000000" w:themeColor="text1"/>
          <w:sz w:val="22"/>
          <w:szCs w:val="22"/>
          <w:lang w:val="es-ES_tradnl"/>
        </w:rPr>
        <w:t xml:space="preserve">n desempatar las ofertas en aquellos casos en que </w:t>
      </w:r>
      <w:r w:rsidRPr="00637E08" w:rsidR="009F2848">
        <w:rPr>
          <w:rFonts w:ascii="Arial" w:hAnsi="Arial" w:cs="Arial"/>
          <w:color w:val="000000" w:themeColor="text1"/>
          <w:sz w:val="22"/>
          <w:szCs w:val="22"/>
          <w:lang w:val="es-ES_tradnl"/>
        </w:rPr>
        <w:t>varios</w:t>
      </w:r>
      <w:r w:rsidRPr="00637E08" w:rsidR="002D6558">
        <w:rPr>
          <w:rFonts w:ascii="Arial" w:hAnsi="Arial" w:cs="Arial"/>
          <w:color w:val="000000" w:themeColor="text1"/>
          <w:sz w:val="22"/>
          <w:szCs w:val="22"/>
          <w:lang w:val="es-ES_tradnl"/>
        </w:rPr>
        <w:t xml:space="preserve"> oferentes </w:t>
      </w:r>
      <w:r w:rsidRPr="00637E08" w:rsidR="009F2848">
        <w:rPr>
          <w:rFonts w:ascii="Arial" w:hAnsi="Arial" w:cs="Arial"/>
          <w:color w:val="000000" w:themeColor="text1"/>
          <w:sz w:val="22"/>
          <w:szCs w:val="22"/>
          <w:lang w:val="es-ES_tradnl"/>
        </w:rPr>
        <w:t>reúnan al tiempo dos o más de los factores previstos en el artículo 35.</w:t>
      </w:r>
      <w:r w:rsidRPr="00E87B1F" w:rsidR="002D6558">
        <w:rPr>
          <w:rFonts w:ascii="Arial" w:hAnsi="Arial" w:cs="Arial"/>
          <w:color w:val="000000" w:themeColor="text1"/>
          <w:sz w:val="22"/>
          <w:szCs w:val="22"/>
          <w:lang w:val="es-ES_tradnl"/>
        </w:rPr>
        <w:t xml:space="preserve"> </w:t>
      </w:r>
    </w:p>
    <w:p w:rsidRPr="00E87B1F" w:rsidR="00B25703" w:rsidP="00D82FB2" w:rsidRDefault="00B25703" w14:paraId="2DDB4266" w14:textId="77777777">
      <w:pPr>
        <w:spacing w:after="120" w:line="276" w:lineRule="auto"/>
        <w:jc w:val="both"/>
        <w:rPr>
          <w:rFonts w:ascii="Arial" w:hAnsi="Arial" w:cs="Arial"/>
          <w:color w:val="000000" w:themeColor="text1"/>
          <w:sz w:val="22"/>
          <w:lang w:val="es-ES_tradnl"/>
        </w:rPr>
      </w:pPr>
    </w:p>
    <w:p w:rsidRPr="00E87B1F" w:rsidR="00DD5B04" w:rsidP="00DF76A2" w:rsidRDefault="00DD5B04" w14:paraId="7B2C921D" w14:textId="6360A462">
      <w:pPr>
        <w:spacing w:line="276" w:lineRule="auto"/>
        <w:jc w:val="both"/>
        <w:rPr>
          <w:rFonts w:ascii="Arial" w:hAnsi="Arial" w:cs="Arial"/>
          <w:color w:val="000000" w:themeColor="text1"/>
          <w:sz w:val="22"/>
          <w:lang w:val="es-ES_tradnl"/>
        </w:rPr>
      </w:pPr>
      <w:r w:rsidRPr="00E87B1F">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E87B1F"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E87B1F"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87B1F">
        <w:rPr>
          <w:rFonts w:ascii="Arial" w:hAnsi="Arial" w:cs="Arial"/>
          <w:color w:val="000000" w:themeColor="text1"/>
          <w:sz w:val="22"/>
          <w:szCs w:val="22"/>
          <w:lang w:val="es-ES_tradnl"/>
        </w:rPr>
        <w:t>Atentamente,</w:t>
      </w:r>
    </w:p>
    <w:p w:rsidRPr="00E87B1F"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E87B1F" w:rsidR="00921304" w:rsidP="524CC85C" w:rsidRDefault="00F90C4D" w14:paraId="30AA3DC7" w14:textId="43683C44">
      <w:pPr>
        <w:pStyle w:val="NormalWeb"/>
        <w:spacing w:before="0" w:beforeAutospacing="off" w:after="0" w:afterAutospacing="off" w:line="276" w:lineRule="auto"/>
        <w:jc w:val="center"/>
      </w:pPr>
      <w:r w:rsidR="3145C1FB">
        <w:drawing>
          <wp:inline wp14:editId="01C544D2" wp14:anchorId="2E8D54C4">
            <wp:extent cx="2514600" cy="1114425"/>
            <wp:effectExtent l="0" t="0" r="0" b="0"/>
            <wp:docPr id="2068167391" name="" title=""/>
            <wp:cNvGraphicFramePr>
              <a:graphicFrameLocks noChangeAspect="1"/>
            </wp:cNvGraphicFramePr>
            <a:graphic>
              <a:graphicData uri="http://schemas.openxmlformats.org/drawingml/2006/picture">
                <pic:pic>
                  <pic:nvPicPr>
                    <pic:cNvPr id="0" name=""/>
                    <pic:cNvPicPr/>
                  </pic:nvPicPr>
                  <pic:blipFill>
                    <a:blip r:embed="R5ee8edeac4c5411f">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E87B1F" w:rsidR="00425C43" w:rsidP="00B37657" w:rsidRDefault="00425C43" w14:paraId="5CBAE239" w14:textId="77777777">
      <w:pPr>
        <w:jc w:val="center"/>
        <w:rPr>
          <w:rFonts w:ascii="Arial" w:hAnsi="Arial" w:cs="Arial"/>
          <w:color w:val="000000" w:themeColor="text1"/>
          <w:sz w:val="18"/>
          <w:szCs w:val="20"/>
          <w:lang w:val="es-ES_tradnl" w:eastAsia="es-CO"/>
        </w:rPr>
      </w:pPr>
    </w:p>
    <w:p w:rsidRPr="00E87B1F"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87B1F" w:rsidR="00DD5B04" w:rsidTr="008F4163" w14:paraId="0C7DC5F7" w14:textId="77777777">
        <w:trPr>
          <w:trHeight w:val="315"/>
        </w:trPr>
        <w:tc>
          <w:tcPr>
            <w:tcW w:w="812" w:type="dxa"/>
            <w:vAlign w:val="center"/>
            <w:hideMark/>
          </w:tcPr>
          <w:p w:rsidRPr="00E87B1F" w:rsidR="00DD5B04" w:rsidP="00DF76A2" w:rsidRDefault="00DD5B04" w14:paraId="5BDB1AC9" w14:textId="77777777">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E87B1F" w:rsidR="00DD5B04" w:rsidP="00DF76A2" w:rsidRDefault="00DD5B04" w14:paraId="7F9F79B1" w14:textId="77777777">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Cristian Andrés Díaz Díez</w:t>
            </w:r>
          </w:p>
          <w:p w:rsidRPr="00E87B1F" w:rsidR="00DD5B04" w:rsidP="00DF76A2" w:rsidRDefault="00DD5B04" w14:paraId="240C71FD" w14:textId="31312C95">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Contratista</w:t>
            </w:r>
            <w:r w:rsidRPr="00E87B1F" w:rsidR="00FF0050">
              <w:rPr>
                <w:rFonts w:ascii="Arial" w:hAnsi="Arial" w:cs="Arial"/>
                <w:color w:val="000000" w:themeColor="text1"/>
                <w:sz w:val="16"/>
                <w:szCs w:val="16"/>
                <w:lang w:val="es-ES_tradnl" w:eastAsia="es-ES"/>
              </w:rPr>
              <w:t xml:space="preserve"> de la </w:t>
            </w:r>
            <w:r w:rsidRPr="00E87B1F">
              <w:rPr>
                <w:rFonts w:ascii="Arial" w:hAnsi="Arial" w:cs="Arial"/>
                <w:color w:val="000000" w:themeColor="text1"/>
                <w:sz w:val="16"/>
                <w:szCs w:val="16"/>
                <w:lang w:val="es-ES_tradnl" w:eastAsia="es-ES"/>
              </w:rPr>
              <w:t>Subdirección de Gestión Contractual</w:t>
            </w:r>
          </w:p>
        </w:tc>
      </w:tr>
      <w:tr w:rsidRPr="00E87B1F" w:rsidR="00DD5B04" w:rsidTr="008F4163" w14:paraId="2F8FD650" w14:textId="77777777">
        <w:trPr>
          <w:trHeight w:val="330"/>
        </w:trPr>
        <w:tc>
          <w:tcPr>
            <w:tcW w:w="812" w:type="dxa"/>
            <w:vAlign w:val="center"/>
            <w:hideMark/>
          </w:tcPr>
          <w:p w:rsidRPr="00E87B1F" w:rsidR="00DD5B04" w:rsidP="00DF76A2" w:rsidRDefault="00DD5B04" w14:paraId="50203A0B" w14:textId="77777777">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87B1F" w:rsidR="00C05A61" w:rsidP="00C05A61" w:rsidRDefault="007D231B" w14:paraId="31F77323" w14:textId="1ABB4017">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Juan David Montoya Penagos</w:t>
            </w:r>
          </w:p>
          <w:p w:rsidRPr="00E87B1F" w:rsidR="00DD5B04" w:rsidP="00C05A61" w:rsidRDefault="00EF5CA8" w14:paraId="130B3228" w14:textId="79C800D6">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Gestor T1</w:t>
            </w:r>
            <w:r w:rsidR="00090A43">
              <w:rPr>
                <w:rFonts w:ascii="Arial" w:hAnsi="Arial" w:cs="Arial"/>
                <w:color w:val="000000" w:themeColor="text1"/>
                <w:sz w:val="16"/>
                <w:szCs w:val="16"/>
                <w:lang w:val="es-ES_tradnl" w:eastAsia="es-ES"/>
              </w:rPr>
              <w:t>-</w:t>
            </w:r>
            <w:r w:rsidRPr="00E87B1F">
              <w:rPr>
                <w:rFonts w:ascii="Arial" w:hAnsi="Arial" w:cs="Arial"/>
                <w:color w:val="000000" w:themeColor="text1"/>
                <w:sz w:val="16"/>
                <w:szCs w:val="16"/>
                <w:lang w:val="es-ES_tradnl" w:eastAsia="es-ES"/>
              </w:rPr>
              <w:t>15</w:t>
            </w:r>
            <w:r w:rsidR="00090A43">
              <w:rPr>
                <w:rFonts w:ascii="Arial" w:hAnsi="Arial" w:cs="Arial"/>
                <w:color w:val="000000" w:themeColor="text1"/>
                <w:sz w:val="16"/>
                <w:szCs w:val="16"/>
                <w:lang w:val="es-ES_tradnl" w:eastAsia="es-ES"/>
              </w:rPr>
              <w:t xml:space="preserve"> </w:t>
            </w:r>
            <w:r w:rsidRPr="00E87B1F" w:rsidR="00090A43">
              <w:rPr>
                <w:rFonts w:ascii="Arial" w:hAnsi="Arial" w:cs="Arial"/>
                <w:color w:val="000000" w:themeColor="text1"/>
                <w:sz w:val="16"/>
                <w:szCs w:val="16"/>
                <w:lang w:val="es-ES_tradnl" w:eastAsia="es-ES"/>
              </w:rPr>
              <w:t>de la Subdirección de Gestión Contractual</w:t>
            </w:r>
          </w:p>
        </w:tc>
      </w:tr>
      <w:tr w:rsidRPr="00E87B1F" w:rsidR="00DD5B04" w:rsidTr="008F4163" w14:paraId="0FCBCA4A" w14:textId="77777777">
        <w:trPr>
          <w:trHeight w:val="300"/>
        </w:trPr>
        <w:tc>
          <w:tcPr>
            <w:tcW w:w="812" w:type="dxa"/>
            <w:vAlign w:val="center"/>
            <w:hideMark/>
          </w:tcPr>
          <w:p w:rsidRPr="00E87B1F" w:rsidR="00DD5B04" w:rsidP="00DF76A2" w:rsidRDefault="00DD5B04" w14:paraId="3C1D943A" w14:textId="77777777">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87B1F" w:rsidR="006A55EE" w:rsidP="00DF76A2" w:rsidRDefault="00C05A61" w14:paraId="7180A172" w14:textId="7E7E6045">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 xml:space="preserve">Jorge </w:t>
            </w:r>
            <w:r w:rsidRPr="00E87B1F" w:rsidR="00647A36">
              <w:rPr>
                <w:rFonts w:ascii="Arial" w:hAnsi="Arial" w:cs="Arial"/>
                <w:color w:val="000000" w:themeColor="text1"/>
                <w:sz w:val="16"/>
                <w:szCs w:val="16"/>
                <w:lang w:val="es-ES_tradnl" w:eastAsia="es-ES"/>
              </w:rPr>
              <w:t xml:space="preserve">Augusto </w:t>
            </w:r>
            <w:r w:rsidRPr="00E87B1F">
              <w:rPr>
                <w:rFonts w:ascii="Arial" w:hAnsi="Arial" w:cs="Arial"/>
                <w:color w:val="000000" w:themeColor="text1"/>
                <w:sz w:val="16"/>
                <w:szCs w:val="16"/>
                <w:lang w:val="es-ES_tradnl" w:eastAsia="es-ES"/>
              </w:rPr>
              <w:t>Tirado Navarro</w:t>
            </w:r>
          </w:p>
          <w:p w:rsidRPr="00E87B1F" w:rsidR="00DD5B04" w:rsidP="00DF76A2" w:rsidRDefault="00DD5B04" w14:paraId="1ADC483B" w14:textId="1B13DCE9">
            <w:pPr>
              <w:jc w:val="both"/>
              <w:rPr>
                <w:rFonts w:ascii="Arial" w:hAnsi="Arial" w:cs="Arial"/>
                <w:color w:val="000000" w:themeColor="text1"/>
                <w:sz w:val="16"/>
                <w:szCs w:val="16"/>
                <w:lang w:val="es-ES_tradnl" w:eastAsia="es-ES"/>
              </w:rPr>
            </w:pPr>
            <w:r w:rsidRPr="00E87B1F">
              <w:rPr>
                <w:rFonts w:ascii="Arial" w:hAnsi="Arial" w:cs="Arial"/>
                <w:color w:val="000000" w:themeColor="text1"/>
                <w:sz w:val="16"/>
                <w:szCs w:val="16"/>
                <w:lang w:val="es-ES_tradnl" w:eastAsia="es-ES"/>
              </w:rPr>
              <w:t>Subdirector de Gestión Contractual</w:t>
            </w:r>
            <w:r w:rsidR="00090A43">
              <w:rPr>
                <w:rFonts w:ascii="Arial" w:hAnsi="Arial" w:cs="Arial"/>
                <w:color w:val="000000" w:themeColor="text1"/>
                <w:sz w:val="16"/>
                <w:szCs w:val="16"/>
                <w:lang w:val="es-ES_tradnl" w:eastAsia="es-ES"/>
              </w:rPr>
              <w:t xml:space="preserve"> ANCP – CCE</w:t>
            </w:r>
          </w:p>
        </w:tc>
      </w:tr>
    </w:tbl>
    <w:p w:rsidRPr="00E87B1F" w:rsidR="00746E08" w:rsidP="00215B8E" w:rsidRDefault="00746E08" w14:paraId="35B56F46" w14:textId="77777777">
      <w:pPr>
        <w:jc w:val="both"/>
        <w:rPr>
          <w:rFonts w:ascii="Arial" w:hAnsi="Arial" w:cs="Arial"/>
          <w:lang w:val="es-ES_tradnl"/>
        </w:rPr>
      </w:pPr>
    </w:p>
    <w:sectPr w:rsidRPr="00E87B1F"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0ECA" w:rsidRDefault="00240ECA" w14:paraId="4A2CC1E4" w14:textId="77777777">
      <w:r>
        <w:separator/>
      </w:r>
    </w:p>
  </w:endnote>
  <w:endnote w:type="continuationSeparator" w:id="0">
    <w:p w:rsidR="00240ECA" w:rsidRDefault="00240ECA" w14:paraId="3C4570DD" w14:textId="77777777">
      <w:r>
        <w:continuationSeparator/>
      </w:r>
    </w:p>
  </w:endnote>
  <w:endnote w:type="continuationNotice" w:id="1">
    <w:p w:rsidR="00240ECA" w:rsidRDefault="00240ECA" w14:paraId="721A78B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P="00322937" w:rsidRDefault="008F4163" w14:paraId="62F02A34" w14:textId="77777777">
    <w:pPr>
      <w:pStyle w:val="Sinespaciado"/>
      <w:jc w:val="right"/>
      <w:rPr>
        <w:rFonts w:ascii="Arial" w:hAnsi="Arial" w:cs="Arial"/>
        <w:sz w:val="18"/>
        <w:szCs w:val="18"/>
      </w:rPr>
    </w:pPr>
  </w:p>
  <w:p w:rsidRPr="008217B7" w:rsidR="008F4163" w:rsidP="00FE42ED" w:rsidRDefault="008F4163"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8F4163" w:rsidP="00322937" w:rsidRDefault="008F4163" w14:paraId="48FC6A04" w14:textId="5FD1A7C9">
    <w:pPr>
      <w:pStyle w:val="Piedepgina"/>
      <w:jc w:val="center"/>
      <w:rPr>
        <w:lang w:val="es-ES"/>
      </w:rPr>
    </w:pPr>
    <w:r w:rsidR="524CC85C">
      <w:drawing>
        <wp:inline wp14:editId="68B8A263"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458c50c81743424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8F4163" w:rsidP="007B0854" w:rsidRDefault="008F4163" w14:paraId="5D0E988C" w14:textId="77777777">
    <w:pPr>
      <w:pStyle w:val="Piedepgina"/>
      <w:jc w:val="center"/>
      <w:rPr>
        <w:lang w:val="es-ES"/>
      </w:rPr>
    </w:pPr>
  </w:p>
  <w:p w:rsidRPr="007B0854" w:rsidR="008F4163" w:rsidP="007B0854" w:rsidRDefault="008F416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0ECA" w:rsidRDefault="00240ECA" w14:paraId="07D8447C" w14:textId="77777777">
      <w:r>
        <w:separator/>
      </w:r>
    </w:p>
  </w:footnote>
  <w:footnote w:type="continuationSeparator" w:id="0">
    <w:p w:rsidR="00240ECA" w:rsidRDefault="00240ECA" w14:paraId="2A4925AE" w14:textId="77777777">
      <w:r>
        <w:continuationSeparator/>
      </w:r>
    </w:p>
  </w:footnote>
  <w:footnote w:type="continuationNotice" w:id="1">
    <w:p w:rsidR="00240ECA" w:rsidRDefault="00240ECA" w14:paraId="0B068E18" w14:textId="77777777"/>
  </w:footnote>
  <w:footnote w:id="2">
    <w:p w:rsidRPr="00EA10E4" w:rsidR="008A3466" w:rsidP="008A3466" w:rsidRDefault="008A3466" w14:paraId="3203349D" w14:textId="77777777">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rsidRPr="00EA10E4" w:rsidR="008A3466" w:rsidP="008A3466" w:rsidRDefault="008A3466" w14:paraId="40063238" w14:textId="77777777">
      <w:pPr>
        <w:pStyle w:val="Textonotapie"/>
        <w:ind w:firstLine="709"/>
        <w:jc w:val="both"/>
        <w:rPr>
          <w:rFonts w:ascii="Arial" w:hAnsi="Arial" w:cs="Arial"/>
          <w:sz w:val="19"/>
          <w:szCs w:val="19"/>
          <w:lang w:val="es-ES"/>
        </w:rPr>
      </w:pPr>
    </w:p>
  </w:footnote>
  <w:footnote w:id="3">
    <w:p w:rsidRPr="008640C4" w:rsidR="008A3466" w:rsidP="008A3466" w:rsidRDefault="008A3466" w14:paraId="48C15740"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rsidRPr="008640C4" w:rsidR="008A3466" w:rsidP="008A3466" w:rsidRDefault="008A3466" w14:paraId="3C3D01F9" w14:textId="77777777">
      <w:pPr>
        <w:pStyle w:val="Textonotapie"/>
        <w:ind w:firstLine="709"/>
        <w:jc w:val="both"/>
        <w:rPr>
          <w:rFonts w:ascii="Arial" w:hAnsi="Arial" w:cs="Arial"/>
          <w:sz w:val="19"/>
          <w:szCs w:val="19"/>
          <w:lang w:val="es-ES"/>
        </w:rPr>
      </w:pPr>
    </w:p>
  </w:footnote>
  <w:footnote w:id="4">
    <w:p w:rsidRPr="008640C4" w:rsidR="008A3466" w:rsidP="008A3466" w:rsidRDefault="008A3466" w14:paraId="0B81917D"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rsidRPr="008640C4" w:rsidR="008A3466" w:rsidP="008A3466" w:rsidRDefault="008A3466" w14:paraId="04B72EB2" w14:textId="77777777">
      <w:pPr>
        <w:pStyle w:val="Textonotapie"/>
        <w:ind w:firstLine="709"/>
        <w:jc w:val="both"/>
        <w:rPr>
          <w:rFonts w:ascii="Arial" w:hAnsi="Arial" w:cs="Arial"/>
          <w:sz w:val="19"/>
          <w:szCs w:val="19"/>
          <w:lang w:val="es-CO"/>
        </w:rPr>
      </w:pPr>
    </w:p>
  </w:footnote>
  <w:footnote w:id="5">
    <w:p w:rsidRPr="008640C4" w:rsidR="008A3466" w:rsidP="008A3466" w:rsidRDefault="008A3466" w14:paraId="028724AE"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rsidRPr="008640C4" w:rsidR="008A3466" w:rsidP="008A3466" w:rsidRDefault="008A3466" w14:paraId="1596DBAA" w14:textId="77777777">
      <w:pPr>
        <w:pStyle w:val="Textonotapie"/>
        <w:ind w:firstLine="709"/>
        <w:jc w:val="both"/>
        <w:rPr>
          <w:rFonts w:ascii="Arial" w:hAnsi="Arial" w:cs="Arial"/>
          <w:sz w:val="19"/>
          <w:szCs w:val="19"/>
          <w:lang w:val="es-ES"/>
        </w:rPr>
      </w:pPr>
    </w:p>
  </w:footnote>
  <w:footnote w:id="6">
    <w:p w:rsidRPr="008640C4" w:rsidR="008A3466" w:rsidP="008A3466" w:rsidRDefault="008A3466" w14:paraId="5775C1EE"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rsidRPr="008640C4" w:rsidR="008A3466" w:rsidP="008A3466" w:rsidRDefault="008A3466" w14:paraId="5B9DA8A4" w14:textId="77777777">
      <w:pPr>
        <w:pStyle w:val="Textonotapie"/>
        <w:ind w:firstLine="709"/>
        <w:jc w:val="both"/>
        <w:rPr>
          <w:rFonts w:ascii="Arial" w:hAnsi="Arial" w:cs="Arial"/>
          <w:sz w:val="19"/>
          <w:szCs w:val="19"/>
          <w:lang w:val="es-ES"/>
        </w:rPr>
      </w:pPr>
    </w:p>
  </w:footnote>
  <w:footnote w:id="7">
    <w:p w:rsidRPr="008640C4" w:rsidR="008A3466" w:rsidP="008A3466" w:rsidRDefault="008A3466" w14:paraId="4A5B8BF8"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rsidRPr="008640C4" w:rsidR="008A3466" w:rsidP="008A3466" w:rsidRDefault="008A3466" w14:paraId="3515949E" w14:textId="77777777">
      <w:pPr>
        <w:pStyle w:val="Textonotapie"/>
        <w:ind w:firstLine="709"/>
        <w:jc w:val="both"/>
        <w:rPr>
          <w:rFonts w:ascii="Arial" w:hAnsi="Arial" w:cs="Arial"/>
          <w:sz w:val="19"/>
          <w:szCs w:val="19"/>
          <w:lang w:val="es-ES"/>
        </w:rPr>
      </w:pPr>
    </w:p>
  </w:footnote>
  <w:footnote w:id="8">
    <w:p w:rsidRPr="008640C4" w:rsidR="008A3466" w:rsidP="008A3466" w:rsidRDefault="008A3466" w14:paraId="17F33DFA"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rsidRPr="008640C4" w:rsidR="008A3466" w:rsidP="008A3466" w:rsidRDefault="008A3466" w14:paraId="699D6BB8" w14:textId="77777777">
      <w:pPr>
        <w:pStyle w:val="Textonotapie"/>
        <w:ind w:firstLine="709"/>
        <w:jc w:val="both"/>
        <w:rPr>
          <w:rFonts w:ascii="Arial" w:hAnsi="Arial" w:cs="Arial"/>
          <w:sz w:val="19"/>
          <w:szCs w:val="19"/>
          <w:lang w:val="es-ES"/>
        </w:rPr>
      </w:pPr>
    </w:p>
  </w:footnote>
  <w:footnote w:id="9">
    <w:p w:rsidRPr="008640C4" w:rsidR="008A3466" w:rsidP="008A3466" w:rsidRDefault="008A3466" w14:paraId="573A721F"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rsidRPr="008640C4" w:rsidR="008A3466" w:rsidP="008A3466" w:rsidRDefault="008A3466" w14:paraId="7838E7E6" w14:textId="77777777">
      <w:pPr>
        <w:pStyle w:val="Textonotapie"/>
        <w:ind w:firstLine="709"/>
        <w:jc w:val="both"/>
        <w:rPr>
          <w:rFonts w:ascii="Arial" w:hAnsi="Arial" w:cs="Arial"/>
          <w:sz w:val="19"/>
          <w:szCs w:val="19"/>
          <w:lang w:val="es-ES"/>
        </w:rPr>
      </w:pPr>
    </w:p>
  </w:footnote>
  <w:footnote w:id="10">
    <w:p w:rsidRPr="00B21271" w:rsidR="00974CBD" w:rsidP="00B21271" w:rsidRDefault="00974CBD" w14:paraId="260D678A" w14:textId="1CD5D6B9">
      <w:pPr>
        <w:pStyle w:val="Textonotapie"/>
        <w:ind w:firstLine="709"/>
        <w:jc w:val="both"/>
        <w:rPr>
          <w:rFonts w:ascii="Arial" w:hAnsi="Arial" w:cs="Arial"/>
          <w:sz w:val="19"/>
          <w:szCs w:val="19"/>
          <w:lang w:val="es-ES"/>
        </w:rPr>
      </w:pPr>
      <w:r w:rsidRPr="00B21271">
        <w:rPr>
          <w:rStyle w:val="Refdenotaalpie"/>
          <w:rFonts w:ascii="Arial" w:hAnsi="Arial" w:cs="Arial"/>
          <w:sz w:val="19"/>
          <w:szCs w:val="19"/>
        </w:rPr>
        <w:footnoteRef/>
      </w:r>
      <w:r w:rsidRPr="00B21271">
        <w:rPr>
          <w:rFonts w:ascii="Arial" w:hAnsi="Arial" w:cs="Arial"/>
          <w:sz w:val="19"/>
          <w:szCs w:val="19"/>
        </w:rPr>
        <w:t xml:space="preserve"> </w:t>
      </w:r>
      <w:r w:rsidRPr="00B21271" w:rsidR="0015623B">
        <w:rPr>
          <w:rFonts w:ascii="Arial" w:hAnsi="Arial" w:cs="Arial"/>
          <w:sz w:val="19"/>
          <w:szCs w:val="19"/>
          <w:lang w:val="es-ES"/>
        </w:rPr>
        <w:t>Sentencia T-003 de 2018. Magistrada Ponente: Cristina Pardo Schlesinger.</w:t>
      </w:r>
    </w:p>
    <w:p w:rsidRPr="00B21271" w:rsidR="00F62227" w:rsidP="00B21271" w:rsidRDefault="00F62227" w14:paraId="529B3D57" w14:textId="77777777">
      <w:pPr>
        <w:pStyle w:val="Textonotapie"/>
        <w:ind w:firstLine="709"/>
        <w:jc w:val="both"/>
        <w:rPr>
          <w:rFonts w:ascii="Arial" w:hAnsi="Arial" w:cs="Arial"/>
          <w:sz w:val="19"/>
          <w:szCs w:val="19"/>
          <w:lang w:val="es-CO"/>
        </w:rPr>
      </w:pPr>
    </w:p>
  </w:footnote>
  <w:footnote w:id="11">
    <w:p w:rsidRPr="00B21271" w:rsidR="002F40E2" w:rsidP="00B21271" w:rsidRDefault="002F40E2" w14:paraId="3C693AC2" w14:textId="48BDDA13">
      <w:pPr>
        <w:pStyle w:val="Textonotapie"/>
        <w:ind w:firstLine="709"/>
        <w:jc w:val="both"/>
        <w:rPr>
          <w:rFonts w:ascii="Arial" w:hAnsi="Arial" w:cs="Arial"/>
          <w:sz w:val="19"/>
          <w:szCs w:val="19"/>
          <w:lang w:val="es-ES"/>
        </w:rPr>
      </w:pPr>
      <w:r w:rsidRPr="00B21271">
        <w:rPr>
          <w:rStyle w:val="Refdenotaalpie"/>
          <w:rFonts w:ascii="Arial" w:hAnsi="Arial" w:cs="Arial"/>
          <w:sz w:val="19"/>
          <w:szCs w:val="19"/>
        </w:rPr>
        <w:footnoteRef/>
      </w:r>
      <w:r w:rsidRPr="00B21271">
        <w:rPr>
          <w:rFonts w:ascii="Arial" w:hAnsi="Arial" w:cs="Arial"/>
          <w:sz w:val="19"/>
          <w:szCs w:val="19"/>
        </w:rPr>
        <w:t xml:space="preserve"> </w:t>
      </w:r>
      <w:r w:rsidRPr="00B21271" w:rsidR="00F62227">
        <w:rPr>
          <w:rFonts w:ascii="Arial" w:hAnsi="Arial" w:cs="Arial"/>
          <w:sz w:val="19"/>
          <w:szCs w:val="19"/>
          <w:lang w:val="es-ES"/>
        </w:rPr>
        <w:t>Sentencia T-967 de 2014. Magistrada Ponente: Gloria Stella Ortiz Delgado.</w:t>
      </w:r>
    </w:p>
    <w:p w:rsidRPr="00B21271" w:rsidR="008E2BE6" w:rsidP="00B21271" w:rsidRDefault="008E2BE6" w14:paraId="3663EC63" w14:textId="77777777">
      <w:pPr>
        <w:pStyle w:val="Textonotapie"/>
        <w:ind w:firstLine="709"/>
        <w:jc w:val="both"/>
        <w:rPr>
          <w:rFonts w:ascii="Arial" w:hAnsi="Arial" w:cs="Arial"/>
          <w:sz w:val="19"/>
          <w:szCs w:val="19"/>
          <w:lang w:val="es-CO"/>
        </w:rPr>
      </w:pPr>
    </w:p>
  </w:footnote>
  <w:footnote w:id="12">
    <w:p w:rsidRPr="00B21271" w:rsidR="0093360C" w:rsidP="00B21271" w:rsidRDefault="0093360C" w14:paraId="6210057F" w14:textId="77777777">
      <w:pPr>
        <w:pStyle w:val="Textonotapie"/>
        <w:ind w:firstLine="709"/>
        <w:jc w:val="both"/>
        <w:rPr>
          <w:rFonts w:ascii="Arial" w:hAnsi="Arial" w:cs="Arial"/>
          <w:sz w:val="19"/>
          <w:szCs w:val="19"/>
          <w:lang w:val="es-CO"/>
        </w:rPr>
      </w:pPr>
      <w:r w:rsidRPr="00B21271">
        <w:rPr>
          <w:rStyle w:val="Refdenotaalpie"/>
          <w:rFonts w:ascii="Arial" w:hAnsi="Arial" w:cs="Arial"/>
          <w:sz w:val="19"/>
          <w:szCs w:val="19"/>
        </w:rPr>
        <w:footnoteRef/>
      </w:r>
      <w:r w:rsidRPr="00B21271">
        <w:rPr>
          <w:rFonts w:ascii="Arial" w:hAnsi="Arial" w:cs="Arial"/>
          <w:sz w:val="19"/>
          <w:szCs w:val="19"/>
        </w:rPr>
        <w:t xml:space="preserve"> </w:t>
      </w:r>
      <w:r w:rsidRPr="00B21271">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3">
    <w:p w:rsidRPr="008640C4" w:rsidR="00882BD6" w:rsidP="00882BD6" w:rsidRDefault="00882BD6" w14:paraId="553C2C12"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Disponible en: https://www.urosario.edu.co/jurisprudencia/catedra-viva-intercultural/Documentos/CONVENIO-OIT-169.pdf</w:t>
      </w:r>
    </w:p>
  </w:footnote>
  <w:footnote w:id="14">
    <w:p w:rsidR="00882BD6" w:rsidP="00882BD6" w:rsidRDefault="00882BD6" w14:paraId="00738C5A" w14:textId="77777777">
      <w:pPr>
        <w:pStyle w:val="Textonotapie"/>
        <w:ind w:firstLine="709"/>
        <w:jc w:val="both"/>
        <w:rPr>
          <w:rFonts w:ascii="Arial" w:hAnsi="Arial" w:cs="Arial"/>
          <w:sz w:val="19"/>
          <w:szCs w:val="19"/>
        </w:rPr>
      </w:pPr>
    </w:p>
    <w:p w:rsidRPr="008640C4" w:rsidR="00882BD6" w:rsidP="00882BD6" w:rsidRDefault="00882BD6" w14:paraId="6BDC1C0E"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5">
    <w:p w:rsidRPr="008640C4" w:rsidR="00882BD6" w:rsidP="00882BD6" w:rsidRDefault="00882BD6" w14:paraId="762D2A3D" w14:textId="77777777">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6">
    <w:p w:rsidR="00882BD6" w:rsidP="00882BD6" w:rsidRDefault="00882BD6" w14:paraId="3DBA53C8" w14:textId="77777777">
      <w:pPr>
        <w:pStyle w:val="Textonotapie"/>
        <w:ind w:firstLine="709"/>
        <w:jc w:val="both"/>
        <w:rPr>
          <w:rFonts w:ascii="Arial" w:hAnsi="Arial" w:cs="Arial"/>
          <w:sz w:val="19"/>
          <w:szCs w:val="19"/>
        </w:rPr>
      </w:pPr>
    </w:p>
    <w:p w:rsidRPr="008640C4" w:rsidR="00882BD6" w:rsidP="00882BD6" w:rsidRDefault="00882BD6" w14:paraId="302CEF9B"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Ibíd.</w:t>
      </w:r>
    </w:p>
  </w:footnote>
  <w:footnote w:id="17">
    <w:p w:rsidR="00882BD6" w:rsidP="00882BD6" w:rsidRDefault="00882BD6" w14:paraId="46F0DFE1" w14:textId="77777777">
      <w:pPr>
        <w:pStyle w:val="Textonotapie"/>
        <w:ind w:firstLine="709"/>
        <w:jc w:val="both"/>
        <w:rPr>
          <w:rFonts w:ascii="Arial" w:hAnsi="Arial" w:cs="Arial"/>
          <w:sz w:val="19"/>
          <w:szCs w:val="19"/>
        </w:rPr>
      </w:pPr>
    </w:p>
    <w:p w:rsidRPr="008640C4" w:rsidR="00882BD6" w:rsidP="00882BD6" w:rsidRDefault="00882BD6" w14:paraId="21C99B06" w14:textId="77777777">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footnote>
  <w:footnote w:id="18">
    <w:p w:rsidRPr="00B21271" w:rsidR="00642F7C" w:rsidP="00B21271" w:rsidRDefault="00642F7C" w14:paraId="2DC3D0DE" w14:textId="2E5480D8">
      <w:pPr>
        <w:pStyle w:val="Textonotapie"/>
        <w:ind w:firstLine="709"/>
        <w:jc w:val="both"/>
        <w:rPr>
          <w:rFonts w:ascii="Arial" w:hAnsi="Arial" w:cs="Arial"/>
          <w:sz w:val="19"/>
          <w:szCs w:val="19"/>
        </w:rPr>
      </w:pPr>
      <w:r w:rsidRPr="00B21271">
        <w:rPr>
          <w:rStyle w:val="Refdenotaalpie"/>
          <w:rFonts w:ascii="Arial" w:hAnsi="Arial" w:cs="Arial"/>
          <w:sz w:val="19"/>
          <w:szCs w:val="19"/>
        </w:rPr>
        <w:footnoteRef/>
      </w:r>
      <w:r w:rsidRPr="00B21271">
        <w:rPr>
          <w:rFonts w:ascii="Arial" w:hAnsi="Arial" w:cs="Arial"/>
          <w:sz w:val="19"/>
          <w:szCs w:val="19"/>
        </w:rPr>
        <w:t xml:space="preserve"> </w:t>
      </w:r>
      <w:r w:rsidR="00B21271">
        <w:rPr>
          <w:rFonts w:ascii="Arial" w:hAnsi="Arial" w:cs="Arial"/>
          <w:sz w:val="19"/>
          <w:szCs w:val="19"/>
        </w:rPr>
        <w:t>En:</w:t>
      </w:r>
      <w:r w:rsidRPr="00B21271">
        <w:rPr>
          <w:rFonts w:ascii="Arial" w:hAnsi="Arial" w:cs="Arial"/>
          <w:sz w:val="19"/>
          <w:szCs w:val="19"/>
        </w:rPr>
        <w:t xml:space="preserve"> </w:t>
      </w:r>
      <w:r w:rsidRPr="00B21271" w:rsidR="00B21271">
        <w:rPr>
          <w:rFonts w:ascii="Arial" w:hAnsi="Arial" w:cs="Arial"/>
          <w:sz w:val="19"/>
          <w:szCs w:val="19"/>
        </w:rPr>
        <w:t>https://www.mininterior.gov.co/el-ministerio/funciones-y-deberes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RDefault="008F4163"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7CCD0A55"/>
    <w:multiLevelType w:val="hybrid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dirty"/>
  <w:attachedTemplate r:id="rId1"/>
  <w:trackRevisions w:val="false"/>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1B"/>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2F69"/>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A43"/>
    <w:rsid w:val="000914D6"/>
    <w:rsid w:val="00091569"/>
    <w:rsid w:val="00092CDB"/>
    <w:rsid w:val="00092DCA"/>
    <w:rsid w:val="000942EB"/>
    <w:rsid w:val="00095B70"/>
    <w:rsid w:val="0009617E"/>
    <w:rsid w:val="0009628D"/>
    <w:rsid w:val="0009670F"/>
    <w:rsid w:val="000979CF"/>
    <w:rsid w:val="00097D0B"/>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1C"/>
    <w:rsid w:val="000C7AA2"/>
    <w:rsid w:val="000D0462"/>
    <w:rsid w:val="000D053D"/>
    <w:rsid w:val="000D0ED2"/>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7A6"/>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705"/>
    <w:rsid w:val="00113975"/>
    <w:rsid w:val="00113CFC"/>
    <w:rsid w:val="00113F6C"/>
    <w:rsid w:val="00113FEA"/>
    <w:rsid w:val="00114A22"/>
    <w:rsid w:val="00114E9D"/>
    <w:rsid w:val="0011507B"/>
    <w:rsid w:val="00115E8E"/>
    <w:rsid w:val="00116328"/>
    <w:rsid w:val="001163CF"/>
    <w:rsid w:val="001174C9"/>
    <w:rsid w:val="00117E69"/>
    <w:rsid w:val="00121103"/>
    <w:rsid w:val="00121BAB"/>
    <w:rsid w:val="00121E3C"/>
    <w:rsid w:val="00122B23"/>
    <w:rsid w:val="00122B7E"/>
    <w:rsid w:val="00123E27"/>
    <w:rsid w:val="00123FB5"/>
    <w:rsid w:val="0012400F"/>
    <w:rsid w:val="001249DC"/>
    <w:rsid w:val="0012572D"/>
    <w:rsid w:val="00125BED"/>
    <w:rsid w:val="00125C59"/>
    <w:rsid w:val="00125D4F"/>
    <w:rsid w:val="00126F43"/>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D08"/>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CCD"/>
    <w:rsid w:val="00167D1A"/>
    <w:rsid w:val="00167DF5"/>
    <w:rsid w:val="00170001"/>
    <w:rsid w:val="00172198"/>
    <w:rsid w:val="00172612"/>
    <w:rsid w:val="00172817"/>
    <w:rsid w:val="001734E3"/>
    <w:rsid w:val="001742BF"/>
    <w:rsid w:val="001742E1"/>
    <w:rsid w:val="00175E49"/>
    <w:rsid w:val="0017649F"/>
    <w:rsid w:val="0017655B"/>
    <w:rsid w:val="001805C1"/>
    <w:rsid w:val="00180A2E"/>
    <w:rsid w:val="001813AF"/>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019"/>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1490"/>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530"/>
    <w:rsid w:val="001B5EF8"/>
    <w:rsid w:val="001B71E8"/>
    <w:rsid w:val="001C07C6"/>
    <w:rsid w:val="001C120D"/>
    <w:rsid w:val="001C1568"/>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56E9"/>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88C"/>
    <w:rsid w:val="002169A0"/>
    <w:rsid w:val="002176B6"/>
    <w:rsid w:val="0021792D"/>
    <w:rsid w:val="00217DB8"/>
    <w:rsid w:val="002202CE"/>
    <w:rsid w:val="0022032A"/>
    <w:rsid w:val="0022194E"/>
    <w:rsid w:val="002220B1"/>
    <w:rsid w:val="002221CE"/>
    <w:rsid w:val="00222BE8"/>
    <w:rsid w:val="00223102"/>
    <w:rsid w:val="002232CB"/>
    <w:rsid w:val="00223CD6"/>
    <w:rsid w:val="00224022"/>
    <w:rsid w:val="00226055"/>
    <w:rsid w:val="0022609C"/>
    <w:rsid w:val="0022613F"/>
    <w:rsid w:val="0022614F"/>
    <w:rsid w:val="00226236"/>
    <w:rsid w:val="002270C9"/>
    <w:rsid w:val="00227A8B"/>
    <w:rsid w:val="0023146B"/>
    <w:rsid w:val="002315A0"/>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0ECA"/>
    <w:rsid w:val="0024120F"/>
    <w:rsid w:val="0024131D"/>
    <w:rsid w:val="002415B8"/>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82C"/>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9BB"/>
    <w:rsid w:val="002D1A9B"/>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500A"/>
    <w:rsid w:val="003052EB"/>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F74"/>
    <w:rsid w:val="003560DB"/>
    <w:rsid w:val="003564DB"/>
    <w:rsid w:val="00356F87"/>
    <w:rsid w:val="00357E83"/>
    <w:rsid w:val="00360CF3"/>
    <w:rsid w:val="00361A59"/>
    <w:rsid w:val="00363348"/>
    <w:rsid w:val="00363857"/>
    <w:rsid w:val="00363D59"/>
    <w:rsid w:val="003640F7"/>
    <w:rsid w:val="0036594A"/>
    <w:rsid w:val="00365D3A"/>
    <w:rsid w:val="003664FF"/>
    <w:rsid w:val="00366BD2"/>
    <w:rsid w:val="003670B8"/>
    <w:rsid w:val="003704A3"/>
    <w:rsid w:val="003706F2"/>
    <w:rsid w:val="0037124F"/>
    <w:rsid w:val="00373827"/>
    <w:rsid w:val="0037401C"/>
    <w:rsid w:val="0037507B"/>
    <w:rsid w:val="00375C7C"/>
    <w:rsid w:val="00377027"/>
    <w:rsid w:val="00377135"/>
    <w:rsid w:val="00380272"/>
    <w:rsid w:val="003805DB"/>
    <w:rsid w:val="0038152A"/>
    <w:rsid w:val="00382BAD"/>
    <w:rsid w:val="003835FD"/>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D6E"/>
    <w:rsid w:val="0042158C"/>
    <w:rsid w:val="00421617"/>
    <w:rsid w:val="00421BD2"/>
    <w:rsid w:val="00421E00"/>
    <w:rsid w:val="00421FCB"/>
    <w:rsid w:val="00422DCA"/>
    <w:rsid w:val="00423D04"/>
    <w:rsid w:val="00423F9F"/>
    <w:rsid w:val="00425C43"/>
    <w:rsid w:val="004273FA"/>
    <w:rsid w:val="004275A7"/>
    <w:rsid w:val="00430186"/>
    <w:rsid w:val="00430F17"/>
    <w:rsid w:val="0043260C"/>
    <w:rsid w:val="0043269A"/>
    <w:rsid w:val="00432C85"/>
    <w:rsid w:val="004333C2"/>
    <w:rsid w:val="00434787"/>
    <w:rsid w:val="00434C13"/>
    <w:rsid w:val="00434D8B"/>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500B"/>
    <w:rsid w:val="00446037"/>
    <w:rsid w:val="00446270"/>
    <w:rsid w:val="0044642F"/>
    <w:rsid w:val="0044772C"/>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74D3"/>
    <w:rsid w:val="004B755E"/>
    <w:rsid w:val="004B788E"/>
    <w:rsid w:val="004B7E5D"/>
    <w:rsid w:val="004C22F7"/>
    <w:rsid w:val="004C27CB"/>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54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D81"/>
    <w:rsid w:val="004F5F0C"/>
    <w:rsid w:val="004F6121"/>
    <w:rsid w:val="004F6161"/>
    <w:rsid w:val="004F66BC"/>
    <w:rsid w:val="004F6C26"/>
    <w:rsid w:val="004F7AC9"/>
    <w:rsid w:val="0050062F"/>
    <w:rsid w:val="00500E74"/>
    <w:rsid w:val="0050160F"/>
    <w:rsid w:val="0050284E"/>
    <w:rsid w:val="0050306F"/>
    <w:rsid w:val="00505DCB"/>
    <w:rsid w:val="005075CA"/>
    <w:rsid w:val="00507B06"/>
    <w:rsid w:val="00507BF1"/>
    <w:rsid w:val="0051074C"/>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1D7C"/>
    <w:rsid w:val="005224E5"/>
    <w:rsid w:val="00523903"/>
    <w:rsid w:val="005239B6"/>
    <w:rsid w:val="00523C45"/>
    <w:rsid w:val="00523F41"/>
    <w:rsid w:val="00524165"/>
    <w:rsid w:val="005246E7"/>
    <w:rsid w:val="00524B08"/>
    <w:rsid w:val="00524C38"/>
    <w:rsid w:val="00524FD2"/>
    <w:rsid w:val="00525621"/>
    <w:rsid w:val="00526431"/>
    <w:rsid w:val="00526DDB"/>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D57"/>
    <w:rsid w:val="005551AA"/>
    <w:rsid w:val="005564CA"/>
    <w:rsid w:val="005568BD"/>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0FD8"/>
    <w:rsid w:val="005813DE"/>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6C4"/>
    <w:rsid w:val="00590F1A"/>
    <w:rsid w:val="00591C03"/>
    <w:rsid w:val="00591E2A"/>
    <w:rsid w:val="005923C4"/>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F2D8B"/>
    <w:rsid w:val="005F305B"/>
    <w:rsid w:val="005F3361"/>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229"/>
    <w:rsid w:val="00622470"/>
    <w:rsid w:val="00622725"/>
    <w:rsid w:val="00622B63"/>
    <w:rsid w:val="006231AA"/>
    <w:rsid w:val="00623482"/>
    <w:rsid w:val="00623AC2"/>
    <w:rsid w:val="00623EBC"/>
    <w:rsid w:val="00625642"/>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E08"/>
    <w:rsid w:val="00637F44"/>
    <w:rsid w:val="00641078"/>
    <w:rsid w:val="00641242"/>
    <w:rsid w:val="00642126"/>
    <w:rsid w:val="00642A32"/>
    <w:rsid w:val="00642F7C"/>
    <w:rsid w:val="006433D5"/>
    <w:rsid w:val="00643412"/>
    <w:rsid w:val="00645CEB"/>
    <w:rsid w:val="00645E63"/>
    <w:rsid w:val="00646B20"/>
    <w:rsid w:val="00646D0F"/>
    <w:rsid w:val="00647A36"/>
    <w:rsid w:val="00647DCC"/>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1C9"/>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CD2"/>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30D4"/>
    <w:rsid w:val="00703279"/>
    <w:rsid w:val="00703B61"/>
    <w:rsid w:val="00703E11"/>
    <w:rsid w:val="00704102"/>
    <w:rsid w:val="0070437C"/>
    <w:rsid w:val="0070461C"/>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313"/>
    <w:rsid w:val="007B0679"/>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312A"/>
    <w:rsid w:val="007C3538"/>
    <w:rsid w:val="007C3570"/>
    <w:rsid w:val="007C3F3B"/>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5DD5"/>
    <w:rsid w:val="007E64D4"/>
    <w:rsid w:val="007E66E9"/>
    <w:rsid w:val="007E69F2"/>
    <w:rsid w:val="007E7432"/>
    <w:rsid w:val="007E74BF"/>
    <w:rsid w:val="007E7657"/>
    <w:rsid w:val="007E7D2E"/>
    <w:rsid w:val="007F14D3"/>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BD6"/>
    <w:rsid w:val="00882E3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466"/>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C6B97"/>
    <w:rsid w:val="008C7EF7"/>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44AB"/>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1BB"/>
    <w:rsid w:val="008F538E"/>
    <w:rsid w:val="008F5A20"/>
    <w:rsid w:val="008F5ABA"/>
    <w:rsid w:val="008F6157"/>
    <w:rsid w:val="008F71AB"/>
    <w:rsid w:val="008F749B"/>
    <w:rsid w:val="008F7905"/>
    <w:rsid w:val="008F7989"/>
    <w:rsid w:val="00900912"/>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538"/>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FCB"/>
    <w:rsid w:val="009346C8"/>
    <w:rsid w:val="00934CEC"/>
    <w:rsid w:val="00934E69"/>
    <w:rsid w:val="00935E70"/>
    <w:rsid w:val="0093609A"/>
    <w:rsid w:val="00937401"/>
    <w:rsid w:val="009376CA"/>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6E1"/>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74"/>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701"/>
    <w:rsid w:val="009C28A2"/>
    <w:rsid w:val="009C2EBD"/>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200"/>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4560"/>
    <w:rsid w:val="00A25B0F"/>
    <w:rsid w:val="00A25BBB"/>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01A"/>
    <w:rsid w:val="00A409E2"/>
    <w:rsid w:val="00A4104A"/>
    <w:rsid w:val="00A41081"/>
    <w:rsid w:val="00A411CA"/>
    <w:rsid w:val="00A42080"/>
    <w:rsid w:val="00A42096"/>
    <w:rsid w:val="00A426F3"/>
    <w:rsid w:val="00A42FDF"/>
    <w:rsid w:val="00A430A9"/>
    <w:rsid w:val="00A431FE"/>
    <w:rsid w:val="00A439E5"/>
    <w:rsid w:val="00A4414E"/>
    <w:rsid w:val="00A4497A"/>
    <w:rsid w:val="00A44AB5"/>
    <w:rsid w:val="00A44BE8"/>
    <w:rsid w:val="00A44C96"/>
    <w:rsid w:val="00A44CDD"/>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869"/>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84F"/>
    <w:rsid w:val="00AC4B20"/>
    <w:rsid w:val="00AC503F"/>
    <w:rsid w:val="00AC55C7"/>
    <w:rsid w:val="00AC56F2"/>
    <w:rsid w:val="00AC5D9D"/>
    <w:rsid w:val="00AC71C3"/>
    <w:rsid w:val="00AD09F7"/>
    <w:rsid w:val="00AD1EFA"/>
    <w:rsid w:val="00AD2072"/>
    <w:rsid w:val="00AD2DBD"/>
    <w:rsid w:val="00AD2FBF"/>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7F7"/>
    <w:rsid w:val="00B23813"/>
    <w:rsid w:val="00B23FD9"/>
    <w:rsid w:val="00B24591"/>
    <w:rsid w:val="00B245D5"/>
    <w:rsid w:val="00B245EF"/>
    <w:rsid w:val="00B24C36"/>
    <w:rsid w:val="00B24D9F"/>
    <w:rsid w:val="00B24F94"/>
    <w:rsid w:val="00B25126"/>
    <w:rsid w:val="00B25703"/>
    <w:rsid w:val="00B25A52"/>
    <w:rsid w:val="00B25FC3"/>
    <w:rsid w:val="00B2692F"/>
    <w:rsid w:val="00B27875"/>
    <w:rsid w:val="00B3008D"/>
    <w:rsid w:val="00B30884"/>
    <w:rsid w:val="00B30E11"/>
    <w:rsid w:val="00B30EAE"/>
    <w:rsid w:val="00B30EEB"/>
    <w:rsid w:val="00B31423"/>
    <w:rsid w:val="00B317AE"/>
    <w:rsid w:val="00B323E0"/>
    <w:rsid w:val="00B32DC0"/>
    <w:rsid w:val="00B3346C"/>
    <w:rsid w:val="00B335E4"/>
    <w:rsid w:val="00B3378A"/>
    <w:rsid w:val="00B33C23"/>
    <w:rsid w:val="00B345B4"/>
    <w:rsid w:val="00B348B1"/>
    <w:rsid w:val="00B34A28"/>
    <w:rsid w:val="00B35046"/>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647"/>
    <w:rsid w:val="00BB7942"/>
    <w:rsid w:val="00BB7CD1"/>
    <w:rsid w:val="00BC0F33"/>
    <w:rsid w:val="00BC14A7"/>
    <w:rsid w:val="00BC17CC"/>
    <w:rsid w:val="00BC209F"/>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FB3"/>
    <w:rsid w:val="00C138BC"/>
    <w:rsid w:val="00C13D85"/>
    <w:rsid w:val="00C14639"/>
    <w:rsid w:val="00C14E82"/>
    <w:rsid w:val="00C14FF6"/>
    <w:rsid w:val="00C15355"/>
    <w:rsid w:val="00C15A85"/>
    <w:rsid w:val="00C1637C"/>
    <w:rsid w:val="00C1641B"/>
    <w:rsid w:val="00C165FC"/>
    <w:rsid w:val="00C16DCE"/>
    <w:rsid w:val="00C176D5"/>
    <w:rsid w:val="00C17D24"/>
    <w:rsid w:val="00C2082C"/>
    <w:rsid w:val="00C20EB0"/>
    <w:rsid w:val="00C21004"/>
    <w:rsid w:val="00C2100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C8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60DC"/>
    <w:rsid w:val="00C8082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3D1"/>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019"/>
    <w:rsid w:val="00CA76FC"/>
    <w:rsid w:val="00CA7E7B"/>
    <w:rsid w:val="00CB0236"/>
    <w:rsid w:val="00CB0CB1"/>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B5F"/>
    <w:rsid w:val="00D14E13"/>
    <w:rsid w:val="00D14F23"/>
    <w:rsid w:val="00D160F6"/>
    <w:rsid w:val="00D16740"/>
    <w:rsid w:val="00D16A8B"/>
    <w:rsid w:val="00D16E39"/>
    <w:rsid w:val="00D16EB6"/>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B1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612"/>
    <w:rsid w:val="00D52B7E"/>
    <w:rsid w:val="00D52E2F"/>
    <w:rsid w:val="00D52F59"/>
    <w:rsid w:val="00D53445"/>
    <w:rsid w:val="00D53E3E"/>
    <w:rsid w:val="00D54620"/>
    <w:rsid w:val="00D55904"/>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1BB"/>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2FB2"/>
    <w:rsid w:val="00D831E3"/>
    <w:rsid w:val="00D8342C"/>
    <w:rsid w:val="00D84983"/>
    <w:rsid w:val="00D84C00"/>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A00C3"/>
    <w:rsid w:val="00DA01E9"/>
    <w:rsid w:val="00DA06B8"/>
    <w:rsid w:val="00DA14A9"/>
    <w:rsid w:val="00DA286D"/>
    <w:rsid w:val="00DA2969"/>
    <w:rsid w:val="00DA29B7"/>
    <w:rsid w:val="00DA2E5F"/>
    <w:rsid w:val="00DA337C"/>
    <w:rsid w:val="00DA4842"/>
    <w:rsid w:val="00DA4C97"/>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1AC"/>
    <w:rsid w:val="00DC62E5"/>
    <w:rsid w:val="00DC6D70"/>
    <w:rsid w:val="00DC6F33"/>
    <w:rsid w:val="00DC7349"/>
    <w:rsid w:val="00DC7389"/>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C43"/>
    <w:rsid w:val="00DE3FF0"/>
    <w:rsid w:val="00DE4105"/>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5FE"/>
    <w:rsid w:val="00E20BA4"/>
    <w:rsid w:val="00E210D0"/>
    <w:rsid w:val="00E21887"/>
    <w:rsid w:val="00E21CC0"/>
    <w:rsid w:val="00E23137"/>
    <w:rsid w:val="00E2398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13AE"/>
    <w:rsid w:val="00E61429"/>
    <w:rsid w:val="00E61ABB"/>
    <w:rsid w:val="00E61FD7"/>
    <w:rsid w:val="00E623E6"/>
    <w:rsid w:val="00E6257B"/>
    <w:rsid w:val="00E62C76"/>
    <w:rsid w:val="00E630A2"/>
    <w:rsid w:val="00E630C0"/>
    <w:rsid w:val="00E63107"/>
    <w:rsid w:val="00E6312C"/>
    <w:rsid w:val="00E634E6"/>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2BDC"/>
    <w:rsid w:val="00E7347B"/>
    <w:rsid w:val="00E73792"/>
    <w:rsid w:val="00E73D03"/>
    <w:rsid w:val="00E7471C"/>
    <w:rsid w:val="00E7498A"/>
    <w:rsid w:val="00E7514E"/>
    <w:rsid w:val="00E76537"/>
    <w:rsid w:val="00E77784"/>
    <w:rsid w:val="00E77AF5"/>
    <w:rsid w:val="00E820F4"/>
    <w:rsid w:val="00E82263"/>
    <w:rsid w:val="00E823F9"/>
    <w:rsid w:val="00E82C1F"/>
    <w:rsid w:val="00E83671"/>
    <w:rsid w:val="00E840EE"/>
    <w:rsid w:val="00E84314"/>
    <w:rsid w:val="00E849CA"/>
    <w:rsid w:val="00E84A71"/>
    <w:rsid w:val="00E8556F"/>
    <w:rsid w:val="00E86556"/>
    <w:rsid w:val="00E86D35"/>
    <w:rsid w:val="00E86DC2"/>
    <w:rsid w:val="00E86E32"/>
    <w:rsid w:val="00E86F2E"/>
    <w:rsid w:val="00E8732E"/>
    <w:rsid w:val="00E87B1F"/>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560B"/>
    <w:rsid w:val="00EA5669"/>
    <w:rsid w:val="00EA5CC6"/>
    <w:rsid w:val="00EA63EF"/>
    <w:rsid w:val="00EA7CBF"/>
    <w:rsid w:val="00EB0A89"/>
    <w:rsid w:val="00EB1573"/>
    <w:rsid w:val="00EB1910"/>
    <w:rsid w:val="00EB2564"/>
    <w:rsid w:val="00EB2D83"/>
    <w:rsid w:val="00EB2E97"/>
    <w:rsid w:val="00EB3416"/>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565"/>
    <w:rsid w:val="00EC6B3E"/>
    <w:rsid w:val="00EC7367"/>
    <w:rsid w:val="00EC73DE"/>
    <w:rsid w:val="00EC7637"/>
    <w:rsid w:val="00EC7C07"/>
    <w:rsid w:val="00EC7CF2"/>
    <w:rsid w:val="00ED046C"/>
    <w:rsid w:val="00ED053A"/>
    <w:rsid w:val="00ED1F03"/>
    <w:rsid w:val="00ED2476"/>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EDB"/>
    <w:rsid w:val="00EE24E2"/>
    <w:rsid w:val="00EE366D"/>
    <w:rsid w:val="00EE5454"/>
    <w:rsid w:val="00EE59B5"/>
    <w:rsid w:val="00EE5FB7"/>
    <w:rsid w:val="00EE6783"/>
    <w:rsid w:val="00EE678B"/>
    <w:rsid w:val="00EE7B54"/>
    <w:rsid w:val="00EE7C47"/>
    <w:rsid w:val="00EE7C88"/>
    <w:rsid w:val="00EE7C8B"/>
    <w:rsid w:val="00EF0184"/>
    <w:rsid w:val="00EF0209"/>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E4F"/>
    <w:rsid w:val="00F17244"/>
    <w:rsid w:val="00F20931"/>
    <w:rsid w:val="00F20ECE"/>
    <w:rsid w:val="00F213A0"/>
    <w:rsid w:val="00F21D54"/>
    <w:rsid w:val="00F21EF4"/>
    <w:rsid w:val="00F23113"/>
    <w:rsid w:val="00F23255"/>
    <w:rsid w:val="00F23393"/>
    <w:rsid w:val="00F23759"/>
    <w:rsid w:val="00F24644"/>
    <w:rsid w:val="00F25947"/>
    <w:rsid w:val="00F262D6"/>
    <w:rsid w:val="00F26F33"/>
    <w:rsid w:val="00F273D5"/>
    <w:rsid w:val="00F2748A"/>
    <w:rsid w:val="00F300A8"/>
    <w:rsid w:val="00F302C6"/>
    <w:rsid w:val="00F30400"/>
    <w:rsid w:val="00F3079E"/>
    <w:rsid w:val="00F31289"/>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2324"/>
    <w:rsid w:val="00F52950"/>
    <w:rsid w:val="00F52C9D"/>
    <w:rsid w:val="00F533F1"/>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414"/>
    <w:rsid w:val="00FA347A"/>
    <w:rsid w:val="00FA3CDE"/>
    <w:rsid w:val="00FA49B7"/>
    <w:rsid w:val="00FA5043"/>
    <w:rsid w:val="00FA530D"/>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3F2"/>
    <w:rsid w:val="00FF6553"/>
    <w:rsid w:val="00FF70BD"/>
    <w:rsid w:val="00FF7124"/>
    <w:rsid w:val="00FF7A39"/>
    <w:rsid w:val="3145C1FB"/>
    <w:rsid w:val="524CC85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character" w:styleId="Ttulo2Car" w:customStyle="1">
    <w:name w:val="Título 2 Car"/>
    <w:basedOn w:val="Fuentedeprrafopredeter"/>
    <w:link w:val="Ttulo2"/>
    <w:uiPriority w:val="9"/>
    <w:semiHidden/>
    <w:rsid w:val="00E84314"/>
    <w:rPr>
      <w:rFonts w:asciiTheme="majorHAnsi" w:hAnsiTheme="majorHAnsi" w:eastAsiaTheme="majorEastAsia"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86200833">
      <w:bodyDiv w:val="1"/>
      <w:marLeft w:val="0"/>
      <w:marRight w:val="0"/>
      <w:marTop w:val="0"/>
      <w:marBottom w:val="0"/>
      <w:divBdr>
        <w:top w:val="none" w:sz="0" w:space="0" w:color="auto"/>
        <w:left w:val="none" w:sz="0" w:space="0" w:color="auto"/>
        <w:bottom w:val="none" w:sz="0" w:space="0" w:color="auto"/>
        <w:right w:val="none" w:sz="0" w:space="0" w:color="auto"/>
      </w:divBdr>
      <w:divsChild>
        <w:div w:id="174270855">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946794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68a7201dcfc54b27" /><Relationship Type="http://schemas.openxmlformats.org/officeDocument/2006/relationships/image" Target="/media/image5.png" Id="R5ee8edeac4c5411f" /></Relationships>
</file>

<file path=word/_rels/footer1.xml.rels>&#65279;<?xml version="1.0" encoding="utf-8"?><Relationships xmlns="http://schemas.openxmlformats.org/package/2006/relationships"><Relationship Type="http://schemas.openxmlformats.org/officeDocument/2006/relationships/image" Target="/media/image6.png" Id="R458c50c817434241"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31</revision>
  <lastPrinted>2020-01-30T15:05:00.0000000Z</lastPrinted>
  <dcterms:created xsi:type="dcterms:W3CDTF">2021-02-03T20:05:00.0000000Z</dcterms:created>
  <dcterms:modified xsi:type="dcterms:W3CDTF">2021-02-22T18:58:00.1895696Z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