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8E2C0" w14:textId="77777777" w:rsidR="00C27830" w:rsidRPr="00343B0F" w:rsidRDefault="00C27830" w:rsidP="00C27830">
      <w:pPr>
        <w:spacing w:after="0" w:line="240" w:lineRule="auto"/>
        <w:jc w:val="both"/>
        <w:rPr>
          <w:rFonts w:ascii="Century Gothic" w:hAnsi="Century Gothic" w:cs="Arial"/>
          <w:b/>
          <w:lang w:val="es-MX" w:eastAsia="es-ES_tradnl"/>
        </w:rPr>
      </w:pPr>
      <w:r w:rsidRPr="00343B0F">
        <w:rPr>
          <w:rFonts w:ascii="Century Gothic" w:hAnsi="Century Gothic" w:cs="Arial"/>
          <w:b/>
          <w:lang w:val="es-MX" w:eastAsia="es-ES_tradnl"/>
        </w:rPr>
        <w:t>CONTRATO</w:t>
      </w:r>
      <w:r>
        <w:rPr>
          <w:rFonts w:ascii="Century Gothic" w:hAnsi="Century Gothic" w:cs="Arial"/>
          <w:b/>
          <w:lang w:val="es-MX" w:eastAsia="es-ES_tradnl"/>
        </w:rPr>
        <w:t xml:space="preserve"> Y CONVENIO</w:t>
      </w:r>
      <w:r w:rsidRPr="00343B0F">
        <w:rPr>
          <w:rFonts w:ascii="Century Gothic" w:hAnsi="Century Gothic" w:cs="Arial"/>
          <w:b/>
          <w:lang w:val="es-MX" w:eastAsia="es-ES_tradnl"/>
        </w:rPr>
        <w:t xml:space="preserve"> INTERADMINISTRATIVO – Concepto – Régimen jurídico aplicable </w:t>
      </w:r>
    </w:p>
    <w:p w14:paraId="27DFBA6A" w14:textId="77777777" w:rsidR="00C27830" w:rsidRPr="00343B0F" w:rsidRDefault="00C27830" w:rsidP="00C27830">
      <w:pPr>
        <w:spacing w:after="0" w:line="240" w:lineRule="auto"/>
        <w:jc w:val="both"/>
        <w:rPr>
          <w:rFonts w:ascii="Century Gothic" w:hAnsi="Century Gothic" w:cs="Arial"/>
          <w:b/>
          <w:lang w:val="es-MX" w:eastAsia="es-ES_tradnl"/>
        </w:rPr>
      </w:pPr>
    </w:p>
    <w:p w14:paraId="4CFF461B" w14:textId="77777777" w:rsidR="00C27830" w:rsidRDefault="00C27830" w:rsidP="00C27830">
      <w:pPr>
        <w:spacing w:after="0" w:line="240" w:lineRule="auto"/>
        <w:jc w:val="both"/>
        <w:rPr>
          <w:rFonts w:ascii="Century Gothic" w:hAnsi="Century Gothic" w:cs="Arial"/>
          <w:bCs/>
          <w:lang w:val="es-ES_tradnl" w:eastAsia="es-ES_tradnl"/>
        </w:rPr>
      </w:pPr>
      <w:r w:rsidRPr="00343B0F">
        <w:rPr>
          <w:rFonts w:ascii="Century Gothic" w:hAnsi="Century Gothic" w:cs="Arial"/>
          <w:bCs/>
          <w:lang w:val="es-ES_tradnl" w:eastAsia="es-ES_tradnl"/>
        </w:rPr>
        <w:t xml:space="preserve">[…]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 </w:t>
      </w:r>
    </w:p>
    <w:p w14:paraId="78314C3A" w14:textId="77777777" w:rsidR="00C27830" w:rsidRDefault="00C27830" w:rsidP="00C27830">
      <w:pPr>
        <w:spacing w:after="0" w:line="240" w:lineRule="auto"/>
        <w:jc w:val="both"/>
        <w:rPr>
          <w:rFonts w:ascii="Century Gothic" w:hAnsi="Century Gothic" w:cs="Arial"/>
          <w:bCs/>
          <w:lang w:val="es-ES_tradnl" w:eastAsia="es-ES_tradnl"/>
        </w:rPr>
      </w:pPr>
    </w:p>
    <w:p w14:paraId="164645C8" w14:textId="77777777" w:rsidR="00C27830" w:rsidRPr="00343B0F" w:rsidRDefault="00C27830" w:rsidP="00C27830">
      <w:pPr>
        <w:spacing w:after="0" w:line="240" w:lineRule="auto"/>
        <w:jc w:val="both"/>
        <w:rPr>
          <w:rFonts w:ascii="Century Gothic" w:hAnsi="Century Gothic" w:cs="Arial"/>
          <w:b/>
          <w:lang w:val="es-MX" w:eastAsia="es-ES_tradnl"/>
        </w:rPr>
      </w:pPr>
      <w:r>
        <w:rPr>
          <w:rFonts w:ascii="Century Gothic" w:hAnsi="Century Gothic" w:cs="Arial"/>
          <w:b/>
          <w:lang w:val="es-MX" w:eastAsia="es-ES_tradnl"/>
        </w:rPr>
        <w:t xml:space="preserve">MODALIDAD DE CONTRATACIÓN DIRECTA – Convenios o contratos interadministrativos – Excepciones </w:t>
      </w:r>
    </w:p>
    <w:p w14:paraId="20EFD51C" w14:textId="77777777" w:rsidR="00C27830" w:rsidRDefault="00C27830" w:rsidP="00C27830">
      <w:pPr>
        <w:spacing w:after="0" w:line="240" w:lineRule="auto"/>
        <w:jc w:val="both"/>
        <w:rPr>
          <w:rFonts w:ascii="Century Gothic" w:hAnsi="Century Gothic" w:cs="Arial"/>
          <w:bCs/>
          <w:lang w:val="es-ES_tradnl" w:eastAsia="es-ES_tradnl"/>
        </w:rPr>
      </w:pPr>
    </w:p>
    <w:p w14:paraId="2BCF69A4" w14:textId="77777777" w:rsidR="00C27830" w:rsidRDefault="00C27830" w:rsidP="00C27830">
      <w:pPr>
        <w:spacing w:after="0" w:line="240" w:lineRule="auto"/>
        <w:jc w:val="both"/>
        <w:rPr>
          <w:rFonts w:ascii="Century Gothic" w:hAnsi="Century Gothic" w:cs="Arial"/>
          <w:bCs/>
          <w:sz w:val="21"/>
          <w:szCs w:val="21"/>
          <w:lang w:val="es-ES_tradnl" w:eastAsia="es-ES_tradnl"/>
        </w:rPr>
      </w:pPr>
      <w:r w:rsidRPr="00091055">
        <w:rPr>
          <w:rFonts w:ascii="Century Gothic" w:hAnsi="Century Gothic" w:cs="Arial"/>
          <w:bCs/>
          <w:sz w:val="21"/>
          <w:szCs w:val="21"/>
          <w:lang w:val="es-ES_tradnl" w:eastAsia="es-ES_tradnl"/>
        </w:rPr>
        <w:t>En relación con la modalidad de selección aplicable a la celebración de contratos y/o convenios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r>
        <w:rPr>
          <w:rFonts w:ascii="Century Gothic" w:hAnsi="Century Gothic" w:cs="Arial"/>
          <w:bCs/>
          <w:sz w:val="21"/>
          <w:szCs w:val="21"/>
          <w:lang w:val="es-ES_tradnl" w:eastAsia="es-ES_tradnl"/>
        </w:rPr>
        <w:t xml:space="preserve"> […]</w:t>
      </w:r>
    </w:p>
    <w:p w14:paraId="4F148395" w14:textId="77777777" w:rsidR="00C27830" w:rsidRDefault="00C27830" w:rsidP="00C27830">
      <w:pPr>
        <w:spacing w:after="0" w:line="240" w:lineRule="auto"/>
        <w:jc w:val="both"/>
        <w:rPr>
          <w:rFonts w:ascii="Century Gothic" w:hAnsi="Century Gothic" w:cs="Arial"/>
          <w:bCs/>
          <w:sz w:val="21"/>
          <w:szCs w:val="21"/>
          <w:lang w:val="es-ES_tradnl" w:eastAsia="es-ES_tradnl"/>
        </w:rPr>
      </w:pPr>
      <w:r>
        <w:rPr>
          <w:rFonts w:ascii="Century Gothic" w:hAnsi="Century Gothic" w:cs="Arial"/>
          <w:bCs/>
          <w:sz w:val="21"/>
          <w:szCs w:val="21"/>
          <w:lang w:val="es-ES_tradnl" w:eastAsia="es-ES_tradnl"/>
        </w:rPr>
        <w:t>[…]</w:t>
      </w:r>
    </w:p>
    <w:p w14:paraId="6108BE26" w14:textId="77777777" w:rsidR="00C27830" w:rsidRDefault="00C27830" w:rsidP="00C27830">
      <w:pPr>
        <w:spacing w:after="0" w:line="240" w:lineRule="auto"/>
        <w:jc w:val="both"/>
        <w:rPr>
          <w:rFonts w:ascii="Century Gothic" w:hAnsi="Century Gothic" w:cs="Arial"/>
          <w:bCs/>
          <w:sz w:val="21"/>
          <w:szCs w:val="21"/>
          <w:lang w:val="es-ES_tradnl" w:eastAsia="es-ES_tradnl"/>
        </w:rPr>
      </w:pPr>
      <w:r w:rsidRPr="00E72870">
        <w:rPr>
          <w:rFonts w:ascii="Century Gothic" w:hAnsi="Century Gothic" w:cs="Arial"/>
          <w:bCs/>
          <w:sz w:val="21"/>
          <w:szCs w:val="21"/>
          <w:lang w:val="es-ES_tradnl" w:eastAsia="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27739B89" w14:textId="77777777" w:rsidR="00C27830" w:rsidRPr="00E72870" w:rsidRDefault="00C27830" w:rsidP="00C27830">
      <w:pPr>
        <w:spacing w:after="0" w:line="240" w:lineRule="auto"/>
        <w:jc w:val="both"/>
        <w:rPr>
          <w:rFonts w:ascii="Century Gothic" w:hAnsi="Century Gothic" w:cs="Arial"/>
          <w:bCs/>
          <w:sz w:val="21"/>
          <w:szCs w:val="21"/>
          <w:lang w:val="es-ES_tradnl" w:eastAsia="es-ES_tradnl"/>
        </w:rPr>
      </w:pPr>
    </w:p>
    <w:p w14:paraId="1922A78C" w14:textId="77777777" w:rsidR="00C27830" w:rsidRPr="00091055" w:rsidRDefault="00C27830" w:rsidP="00C27830">
      <w:pPr>
        <w:spacing w:after="0" w:line="240" w:lineRule="auto"/>
        <w:jc w:val="both"/>
        <w:rPr>
          <w:rFonts w:ascii="Century Gothic" w:hAnsi="Century Gothic" w:cs="Arial"/>
          <w:bCs/>
          <w:sz w:val="21"/>
          <w:szCs w:val="21"/>
          <w:lang w:val="es-ES_tradnl" w:eastAsia="es-ES_tradnl"/>
        </w:rPr>
      </w:pPr>
      <w:r w:rsidRPr="00E72870">
        <w:rPr>
          <w:rFonts w:ascii="Century Gothic" w:hAnsi="Century Gothic" w:cs="Arial"/>
          <w:bCs/>
          <w:sz w:val="21"/>
          <w:szCs w:val="21"/>
          <w:lang w:val="es-ES_tradnl" w:eastAsia="es-ES_tradnl"/>
        </w:rPr>
        <w:t xml:space="preserve">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De manera que cuando ellas sean las ejecutoras, no se pueden celebrar contratos </w:t>
      </w:r>
      <w:r w:rsidRPr="00E72870">
        <w:rPr>
          <w:rFonts w:ascii="Century Gothic" w:hAnsi="Century Gothic" w:cs="Arial"/>
          <w:bCs/>
          <w:sz w:val="21"/>
          <w:szCs w:val="21"/>
          <w:lang w:val="es-ES_tradnl" w:eastAsia="es-ES_tradnl"/>
        </w:rPr>
        <w:lastRenderedPageBreak/>
        <w:t>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Estatuto General de Contratación de la Administración Pública, en adelante EGCAP, en los cuales dichas entidades podrían participar en igualdad de condiciones e, incluso, resultar adjudicatarias.</w:t>
      </w:r>
    </w:p>
    <w:p w14:paraId="618251FE" w14:textId="77777777" w:rsidR="00C27830" w:rsidRPr="00343B0F" w:rsidRDefault="00C27830" w:rsidP="00C27830">
      <w:pPr>
        <w:spacing w:after="0" w:line="240" w:lineRule="auto"/>
        <w:jc w:val="both"/>
        <w:rPr>
          <w:rFonts w:ascii="Century Gothic" w:hAnsi="Century Gothic" w:cs="Arial"/>
          <w:bCs/>
          <w:lang w:val="es-ES_tradnl" w:eastAsia="es-ES_tradnl"/>
        </w:rPr>
      </w:pPr>
    </w:p>
    <w:p w14:paraId="5F905696" w14:textId="77777777" w:rsidR="00C27830" w:rsidRPr="00343B0F" w:rsidRDefault="00C27830" w:rsidP="00C27830">
      <w:pPr>
        <w:spacing w:after="0" w:line="240" w:lineRule="auto"/>
        <w:jc w:val="both"/>
        <w:rPr>
          <w:rFonts w:ascii="Century Gothic" w:hAnsi="Century Gothic" w:cs="Arial"/>
          <w:bCs/>
          <w:lang w:val="es-ES_tradnl" w:eastAsia="es-ES_tradnl"/>
        </w:rPr>
      </w:pPr>
    </w:p>
    <w:p w14:paraId="3F56A61D" w14:textId="77777777" w:rsidR="00C27830" w:rsidRPr="00343B0F" w:rsidRDefault="00C27830" w:rsidP="00C27830">
      <w:pPr>
        <w:pStyle w:val="paragraph"/>
        <w:spacing w:before="0" w:beforeAutospacing="0" w:after="0" w:afterAutospacing="0"/>
        <w:jc w:val="both"/>
        <w:textAlignment w:val="baseline"/>
        <w:rPr>
          <w:rFonts w:ascii="Century Gothic" w:hAnsi="Century Gothic" w:cs="Segoe UI"/>
          <w:sz w:val="22"/>
          <w:szCs w:val="22"/>
        </w:rPr>
      </w:pPr>
      <w:r w:rsidRPr="00343B0F">
        <w:rPr>
          <w:rStyle w:val="normaltextrun"/>
          <w:rFonts w:ascii="Century Gothic" w:hAnsi="Century Gothic" w:cs="Arial"/>
          <w:b/>
          <w:bCs/>
          <w:sz w:val="22"/>
          <w:szCs w:val="22"/>
        </w:rPr>
        <w:t>SOCIEDAD DE ECONOMÍA MIXTA – Naturaleza jurídica</w:t>
      </w:r>
    </w:p>
    <w:p w14:paraId="7A2F7668" w14:textId="77777777" w:rsidR="00C27830" w:rsidRPr="00343B0F" w:rsidRDefault="00C27830" w:rsidP="00C27830">
      <w:pPr>
        <w:pStyle w:val="paragraph"/>
        <w:spacing w:before="0" w:beforeAutospacing="0" w:after="0" w:afterAutospacing="0"/>
        <w:jc w:val="both"/>
        <w:textAlignment w:val="baseline"/>
        <w:rPr>
          <w:rFonts w:ascii="Century Gothic" w:hAnsi="Century Gothic" w:cs="Segoe UI"/>
          <w:sz w:val="22"/>
          <w:szCs w:val="22"/>
        </w:rPr>
      </w:pPr>
      <w:r w:rsidRPr="00343B0F">
        <w:rPr>
          <w:rStyle w:val="eop"/>
          <w:rFonts w:ascii="Century Gothic" w:hAnsi="Century Gothic" w:cs="Arial"/>
          <w:sz w:val="22"/>
          <w:szCs w:val="22"/>
        </w:rPr>
        <w:t> </w:t>
      </w:r>
    </w:p>
    <w:p w14:paraId="09DE65C0" w14:textId="77777777" w:rsidR="00C27830" w:rsidRPr="007777D9" w:rsidRDefault="00C27830" w:rsidP="00C27830">
      <w:pPr>
        <w:pStyle w:val="paragraph"/>
        <w:spacing w:before="0" w:beforeAutospacing="0" w:after="0" w:afterAutospacing="0"/>
        <w:jc w:val="both"/>
        <w:textAlignment w:val="baseline"/>
        <w:rPr>
          <w:rFonts w:ascii="Century Gothic" w:hAnsi="Century Gothic"/>
        </w:rPr>
      </w:pPr>
      <w:r w:rsidRPr="00343B0F">
        <w:rPr>
          <w:rStyle w:val="normaltextrun"/>
          <w:rFonts w:ascii="Century Gothic" w:hAnsi="Century Gothic" w:cs="Arial"/>
          <w:sz w:val="22"/>
          <w:szCs w:val="22"/>
          <w:lang w:val="es-ES"/>
        </w:rPr>
        <w:t>[…]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r w:rsidRPr="007777D9">
        <w:rPr>
          <w:rStyle w:val="eop"/>
          <w:rFonts w:ascii="Century Gothic" w:hAnsi="Century Gothic" w:cs="Arial"/>
          <w:sz w:val="22"/>
          <w:szCs w:val="22"/>
        </w:rPr>
        <w:t> </w:t>
      </w:r>
    </w:p>
    <w:p w14:paraId="33F234DE" w14:textId="77777777" w:rsidR="00C27830" w:rsidRPr="007777D9" w:rsidRDefault="00C27830" w:rsidP="00C27830">
      <w:pPr>
        <w:spacing w:after="0"/>
        <w:rPr>
          <w:rFonts w:ascii="Century Gothic" w:hAnsi="Century Gothic"/>
        </w:rPr>
      </w:pPr>
    </w:p>
    <w:p w14:paraId="6DE2F260" w14:textId="77777777" w:rsidR="00C27830" w:rsidRPr="007777D9" w:rsidRDefault="00C27830" w:rsidP="00C27830">
      <w:pPr>
        <w:spacing w:after="0"/>
        <w:rPr>
          <w:rFonts w:ascii="Century Gothic" w:hAnsi="Century Gothic"/>
        </w:rPr>
      </w:pPr>
    </w:p>
    <w:p w14:paraId="367942E3" w14:textId="77777777" w:rsidR="00C27830" w:rsidRPr="007777D9" w:rsidRDefault="00C27830" w:rsidP="00C27830">
      <w:pPr>
        <w:spacing w:after="0"/>
        <w:rPr>
          <w:rFonts w:ascii="Century Gothic" w:hAnsi="Century Gothic"/>
        </w:rPr>
      </w:pPr>
    </w:p>
    <w:p w14:paraId="6507DB99" w14:textId="77777777" w:rsidR="00C27830" w:rsidRPr="007777D9" w:rsidRDefault="00C27830" w:rsidP="00C27830">
      <w:pPr>
        <w:rPr>
          <w:rFonts w:ascii="Century Gothic" w:hAnsi="Century Gothic"/>
        </w:rPr>
      </w:pPr>
      <w:r w:rsidRPr="007777D9">
        <w:rPr>
          <w:rFonts w:ascii="Century Gothic" w:hAnsi="Century Gothic"/>
        </w:rPr>
        <w:br w:type="page"/>
      </w:r>
    </w:p>
    <w:p w14:paraId="79807450" w14:textId="77777777" w:rsidR="00C27830" w:rsidRPr="007777D9" w:rsidRDefault="00C27830" w:rsidP="00C27830">
      <w:pPr>
        <w:spacing w:after="0"/>
        <w:rPr>
          <w:rStyle w:val="eop"/>
          <w:rFonts w:ascii="Century Gothic" w:hAnsi="Century Gothic"/>
          <w:sz w:val="23"/>
          <w:szCs w:val="23"/>
          <w:shd w:val="clear" w:color="auto" w:fill="FFFFFF"/>
        </w:rPr>
      </w:pPr>
      <w:bookmarkStart w:id="0" w:name="_Hlk34951122"/>
      <w:r w:rsidRPr="007777D9">
        <w:rPr>
          <w:rStyle w:val="normaltextrun"/>
          <w:rFonts w:ascii="Century Gothic" w:hAnsi="Century Gothic"/>
          <w:sz w:val="23"/>
          <w:szCs w:val="23"/>
          <w:shd w:val="clear" w:color="auto" w:fill="FFFFFF"/>
          <w:lang w:val="es-MX"/>
        </w:rPr>
        <w:lastRenderedPageBreak/>
        <w:t>Bogotá D.C.,</w:t>
      </w:r>
      <w:r w:rsidRPr="007777D9">
        <w:rPr>
          <w:rStyle w:val="normaltextrun"/>
          <w:rFonts w:ascii="Arial" w:hAnsi="Arial" w:cs="Arial"/>
          <w:sz w:val="23"/>
          <w:szCs w:val="23"/>
          <w:shd w:val="clear" w:color="auto" w:fill="FFFFFF"/>
          <w:lang w:val="es-MX"/>
        </w:rPr>
        <w:t> </w:t>
      </w:r>
      <w:r w:rsidRPr="007777D9">
        <w:rPr>
          <w:rStyle w:val="normaltextrun"/>
          <w:rFonts w:ascii="Century Gothic" w:hAnsi="Century Gothic"/>
          <w:sz w:val="23"/>
          <w:szCs w:val="23"/>
          <w:shd w:val="clear" w:color="auto" w:fill="FFFFFF"/>
          <w:lang w:val="es-MX"/>
        </w:rPr>
        <w:t>[Día] de [</w:t>
      </w:r>
      <w:proofErr w:type="spellStart"/>
      <w:r w:rsidRPr="007777D9">
        <w:rPr>
          <w:rStyle w:val="normaltextrun"/>
          <w:rFonts w:ascii="Century Gothic" w:hAnsi="Century Gothic"/>
          <w:sz w:val="23"/>
          <w:szCs w:val="23"/>
          <w:shd w:val="clear" w:color="auto" w:fill="FFFFFF"/>
          <w:lang w:val="es-MX"/>
        </w:rPr>
        <w:t>Mes.NombreCapitalizado</w:t>
      </w:r>
      <w:proofErr w:type="spellEnd"/>
      <w:r w:rsidRPr="007777D9">
        <w:rPr>
          <w:rStyle w:val="normaltextrun"/>
          <w:rFonts w:ascii="Century Gothic" w:hAnsi="Century Gothic"/>
          <w:sz w:val="23"/>
          <w:szCs w:val="23"/>
          <w:shd w:val="clear" w:color="auto" w:fill="FFFFFF"/>
          <w:lang w:val="es-MX"/>
        </w:rPr>
        <w:t>] de [Año]</w:t>
      </w:r>
      <w:r w:rsidRPr="007777D9">
        <w:rPr>
          <w:rStyle w:val="eop"/>
          <w:rFonts w:ascii="Century Gothic" w:hAnsi="Century Gothic"/>
          <w:sz w:val="23"/>
          <w:szCs w:val="23"/>
          <w:shd w:val="clear" w:color="auto" w:fill="FFFFFF"/>
        </w:rPr>
        <w:t> </w:t>
      </w:r>
    </w:p>
    <w:p w14:paraId="4FFB2B4E" w14:textId="77777777" w:rsidR="00C27830" w:rsidRDefault="00C27830" w:rsidP="00C27830">
      <w:pPr>
        <w:spacing w:after="0"/>
        <w:rPr>
          <w:rStyle w:val="eop"/>
          <w:rFonts w:ascii="Century Gothic" w:hAnsi="Century Gothic"/>
          <w:sz w:val="23"/>
          <w:szCs w:val="23"/>
          <w:shd w:val="clear" w:color="auto" w:fill="FFFFFF"/>
        </w:rPr>
      </w:pPr>
    </w:p>
    <w:p w14:paraId="10000837" w14:textId="58A4FC8E" w:rsidR="00C27830" w:rsidRDefault="00C27830" w:rsidP="00C27830">
      <w:pPr>
        <w:spacing w:after="0"/>
        <w:jc w:val="right"/>
        <w:rPr>
          <w:rStyle w:val="eop"/>
          <w:rFonts w:ascii="Century Gothic" w:hAnsi="Century Gothic"/>
          <w:sz w:val="23"/>
          <w:szCs w:val="23"/>
          <w:shd w:val="clear" w:color="auto" w:fill="FFFFFF"/>
        </w:rPr>
      </w:pPr>
      <w:r>
        <w:rPr>
          <w:noProof/>
          <w14:ligatures w14:val="standardContextual"/>
        </w:rPr>
        <w:drawing>
          <wp:inline distT="0" distB="0" distL="0" distR="0" wp14:anchorId="4C79B3B8" wp14:editId="73F07567">
            <wp:extent cx="3352800" cy="1000125"/>
            <wp:effectExtent l="0" t="0" r="0" b="9525"/>
            <wp:docPr id="119755859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558595" name="Imagen 1" descr="Texto&#10;&#10;Descripción generada automáticamente"/>
                    <pic:cNvPicPr/>
                  </pic:nvPicPr>
                  <pic:blipFill>
                    <a:blip r:embed="rId10"/>
                    <a:stretch>
                      <a:fillRect/>
                    </a:stretch>
                  </pic:blipFill>
                  <pic:spPr>
                    <a:xfrm>
                      <a:off x="0" y="0"/>
                      <a:ext cx="3352800" cy="1000125"/>
                    </a:xfrm>
                    <a:prstGeom prst="rect">
                      <a:avLst/>
                    </a:prstGeom>
                  </pic:spPr>
                </pic:pic>
              </a:graphicData>
            </a:graphic>
          </wp:inline>
        </w:drawing>
      </w:r>
    </w:p>
    <w:p w14:paraId="1E3FAEB8" w14:textId="77777777" w:rsidR="00C27830" w:rsidRPr="007777D9" w:rsidRDefault="00C27830" w:rsidP="00C27830">
      <w:pPr>
        <w:spacing w:after="0"/>
        <w:rPr>
          <w:rStyle w:val="eop"/>
          <w:rFonts w:ascii="Century Gothic" w:hAnsi="Century Gothic"/>
          <w:sz w:val="23"/>
          <w:szCs w:val="23"/>
          <w:shd w:val="clear" w:color="auto" w:fill="FFFFFF"/>
        </w:rPr>
      </w:pPr>
    </w:p>
    <w:p w14:paraId="71B92E1E" w14:textId="77777777" w:rsidR="00C27830" w:rsidRPr="007777D9" w:rsidRDefault="00C27830" w:rsidP="00C27830">
      <w:pPr>
        <w:spacing w:after="0"/>
        <w:rPr>
          <w:rFonts w:ascii="Century Gothic" w:eastAsia="Geomanist Light" w:hAnsi="Century Gothic" w:cs="Arial"/>
          <w:lang w:val="es-MX"/>
        </w:rPr>
      </w:pPr>
      <w:r w:rsidRPr="007777D9">
        <w:rPr>
          <w:rFonts w:ascii="Century Gothic" w:hAnsi="Century Gothic" w:cs="Arial"/>
          <w:lang w:val="es-MX"/>
        </w:rPr>
        <w:t>Señor</w:t>
      </w:r>
    </w:p>
    <w:p w14:paraId="682B2C7B" w14:textId="77777777" w:rsidR="00C27830" w:rsidRPr="007777D9" w:rsidRDefault="00C27830" w:rsidP="00C27830">
      <w:pPr>
        <w:spacing w:after="0" w:line="276" w:lineRule="auto"/>
        <w:rPr>
          <w:rFonts w:ascii="Century Gothic" w:hAnsi="Century Gothic" w:cs="Arial"/>
          <w:b/>
          <w:bCs/>
          <w:lang w:val="es-MX"/>
        </w:rPr>
      </w:pPr>
      <w:bookmarkStart w:id="1" w:name="_Hlk137493281"/>
      <w:r w:rsidRPr="007777D9">
        <w:rPr>
          <w:rFonts w:ascii="Century Gothic" w:hAnsi="Century Gothic" w:cs="Arial"/>
          <w:b/>
          <w:bCs/>
          <w:lang w:val="es-MX"/>
        </w:rPr>
        <w:t>Julián Andrés Zorrilla Prieto</w:t>
      </w:r>
    </w:p>
    <w:bookmarkEnd w:id="1"/>
    <w:p w14:paraId="5B5666FD" w14:textId="77777777" w:rsidR="00C27830" w:rsidRPr="007777D9" w:rsidRDefault="00C27830" w:rsidP="00C27830">
      <w:pPr>
        <w:spacing w:after="0" w:line="276" w:lineRule="auto"/>
        <w:rPr>
          <w:rFonts w:ascii="Century Gothic" w:hAnsi="Century Gothic" w:cs="Arial"/>
          <w:lang w:val="es-MX"/>
        </w:rPr>
      </w:pPr>
      <w:r w:rsidRPr="007777D9">
        <w:rPr>
          <w:rFonts w:ascii="Century Gothic" w:hAnsi="Century Gothic" w:cs="Arial"/>
          <w:lang w:val="es-MX"/>
        </w:rPr>
        <w:t>Cali, Valle del Cauca</w:t>
      </w:r>
    </w:p>
    <w:p w14:paraId="1CB9DEDD" w14:textId="77777777" w:rsidR="00C27830" w:rsidRPr="007777D9" w:rsidRDefault="00C27830" w:rsidP="00C27830">
      <w:pPr>
        <w:spacing w:after="0" w:line="276" w:lineRule="auto"/>
        <w:rPr>
          <w:rFonts w:ascii="Century Gothic" w:hAnsi="Century Gothic" w:cs="Arial"/>
          <w:lang w:val="es-MX"/>
        </w:rPr>
      </w:pPr>
    </w:p>
    <w:p w14:paraId="21A78DCB" w14:textId="77777777" w:rsidR="00C27830" w:rsidRPr="007777D9" w:rsidRDefault="00C27830" w:rsidP="00C27830">
      <w:pPr>
        <w:spacing w:after="0" w:line="276" w:lineRule="auto"/>
        <w:rPr>
          <w:rFonts w:ascii="Century Gothic" w:hAnsi="Century Gothic" w:cs="Arial"/>
          <w:lang w:val="es-MX"/>
        </w:rPr>
      </w:pPr>
    </w:p>
    <w:p w14:paraId="33F75F7E" w14:textId="77777777" w:rsidR="00C27830" w:rsidRPr="007777D9" w:rsidRDefault="00C27830" w:rsidP="00C27830">
      <w:pPr>
        <w:spacing w:after="0" w:line="276" w:lineRule="auto"/>
        <w:rPr>
          <w:rFonts w:ascii="Century Gothic" w:hAnsi="Century Gothic" w:cs="Arial"/>
          <w:lang w:val="es-MX"/>
        </w:rPr>
      </w:pPr>
    </w:p>
    <w:p w14:paraId="341727D6" w14:textId="77777777" w:rsidR="00C27830" w:rsidRPr="007777D9" w:rsidRDefault="00C27830" w:rsidP="00C27830">
      <w:pPr>
        <w:spacing w:after="0" w:line="276" w:lineRule="auto"/>
        <w:ind w:left="2832"/>
        <w:rPr>
          <w:rFonts w:ascii="Century Gothic" w:eastAsia="Calibri" w:hAnsi="Century Gothic" w:cs="Arial"/>
          <w:b/>
          <w:bCs/>
          <w:lang w:val="es-ES"/>
        </w:rPr>
      </w:pPr>
      <w:r w:rsidRPr="007777D9">
        <w:rPr>
          <w:rFonts w:ascii="Century Gothic" w:eastAsia="Calibri" w:hAnsi="Century Gothic" w:cs="Arial"/>
          <w:b/>
          <w:bCs/>
          <w:lang w:val="es-ES"/>
        </w:rPr>
        <w:t>Concepto C-016 de 2024</w:t>
      </w:r>
    </w:p>
    <w:p w14:paraId="77600605" w14:textId="77777777" w:rsidR="00C27830" w:rsidRPr="007777D9" w:rsidRDefault="00C27830" w:rsidP="00C27830">
      <w:pPr>
        <w:spacing w:after="0" w:line="276" w:lineRule="auto"/>
        <w:jc w:val="both"/>
        <w:rPr>
          <w:rFonts w:ascii="Century Gothic" w:eastAsia="Calibri" w:hAnsi="Century Gothic" w:cs="Arial"/>
          <w:lang w:val="es-ES"/>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C27830" w:rsidRPr="007777D9" w14:paraId="09692EB0" w14:textId="77777777" w:rsidTr="00611071">
        <w:trPr>
          <w:jc w:val="right"/>
        </w:trPr>
        <w:tc>
          <w:tcPr>
            <w:tcW w:w="1838" w:type="dxa"/>
          </w:tcPr>
          <w:p w14:paraId="39D3E062" w14:textId="77777777" w:rsidR="00C27830" w:rsidRPr="00E72870" w:rsidRDefault="00C27830" w:rsidP="00611071">
            <w:pPr>
              <w:spacing w:line="276" w:lineRule="auto"/>
              <w:jc w:val="center"/>
              <w:rPr>
                <w:rFonts w:ascii="Century Gothic" w:eastAsia="Calibri" w:hAnsi="Century Gothic" w:cs="Arial"/>
                <w:lang w:val="es-ES_tradnl"/>
              </w:rPr>
            </w:pPr>
            <w:r w:rsidRPr="00E72870">
              <w:rPr>
                <w:rFonts w:ascii="Century Gothic" w:eastAsia="Calibri" w:hAnsi="Century Gothic" w:cs="Arial"/>
                <w:b/>
                <w:lang w:val="es-ES_tradnl"/>
              </w:rPr>
              <w:t>Temas:</w:t>
            </w:r>
          </w:p>
        </w:tc>
        <w:tc>
          <w:tcPr>
            <w:tcW w:w="6237" w:type="dxa"/>
          </w:tcPr>
          <w:p w14:paraId="1053DF1B" w14:textId="77777777" w:rsidR="00C27830" w:rsidRPr="00E72870" w:rsidRDefault="00C27830" w:rsidP="00611071">
            <w:pPr>
              <w:jc w:val="both"/>
              <w:rPr>
                <w:rStyle w:val="normaltextrun"/>
                <w:rFonts w:ascii="Century Gothic" w:hAnsi="Century Gothic" w:cs="Arial"/>
                <w:bCs/>
                <w:lang w:val="es-MX"/>
              </w:rPr>
            </w:pPr>
            <w:r w:rsidRPr="00E72870">
              <w:rPr>
                <w:rFonts w:ascii="Century Gothic" w:hAnsi="Century Gothic" w:cs="Arial"/>
                <w:lang w:val="es-MX" w:eastAsia="es-ES_tradnl"/>
              </w:rPr>
              <w:t xml:space="preserve">CONTRATO INTERADMINISTRATIVO – Concepto – Régimen jurídico aplicable </w:t>
            </w:r>
            <w:r w:rsidRPr="00E72870">
              <w:rPr>
                <w:rFonts w:ascii="Century Gothic" w:eastAsia="Times New Roman" w:hAnsi="Century Gothic" w:cs="Arial"/>
                <w:lang w:val="es-ES_tradnl" w:eastAsia="es-ES_tradnl"/>
              </w:rPr>
              <w:t xml:space="preserve">/ </w:t>
            </w:r>
            <w:r w:rsidRPr="00E72870">
              <w:rPr>
                <w:rStyle w:val="normaltextrun"/>
                <w:rFonts w:ascii="Century Gothic" w:hAnsi="Century Gothic" w:cs="Arial"/>
                <w:bCs/>
                <w:lang w:val="es-MX"/>
              </w:rPr>
              <w:t>MODALIDAD DE CONTRATACIÓN DIRECTA – Convenios o contratos interadministrativos – Excepciones</w:t>
            </w:r>
            <w:r w:rsidRPr="00E72870">
              <w:rPr>
                <w:rStyle w:val="normaltextrun"/>
                <w:rFonts w:ascii="Century Gothic" w:hAnsi="Century Gothic"/>
                <w:bCs/>
                <w:lang w:val="es-MX"/>
              </w:rPr>
              <w:t> /</w:t>
            </w:r>
            <w:r w:rsidRPr="00E72870">
              <w:rPr>
                <w:rStyle w:val="normaltextrun"/>
                <w:rFonts w:ascii="Century Gothic" w:eastAsia="Times New Roman" w:hAnsi="Century Gothic"/>
                <w:bCs/>
                <w:lang w:val="es-MX" w:eastAsia="es-CO"/>
              </w:rPr>
              <w:t xml:space="preserve"> </w:t>
            </w:r>
            <w:r w:rsidRPr="00E72870">
              <w:rPr>
                <w:rStyle w:val="normaltextrun"/>
                <w:rFonts w:ascii="Century Gothic" w:hAnsi="Century Gothic" w:cs="Arial"/>
                <w:bCs/>
                <w:lang w:val="es-MX"/>
              </w:rPr>
              <w:t xml:space="preserve">SOCIEDAD DE ECONOMÍA MIXTA – Naturaleza jurídica </w:t>
            </w:r>
          </w:p>
          <w:p w14:paraId="7CA2B791" w14:textId="77777777" w:rsidR="00C27830" w:rsidRPr="00E72870" w:rsidRDefault="00C27830" w:rsidP="00611071">
            <w:pPr>
              <w:jc w:val="both"/>
              <w:rPr>
                <w:rFonts w:ascii="Century Gothic" w:hAnsi="Century Gothic" w:cs="Segoe UI"/>
                <w:lang w:eastAsia="es-CO"/>
              </w:rPr>
            </w:pPr>
          </w:p>
        </w:tc>
      </w:tr>
      <w:tr w:rsidR="00C27830" w:rsidRPr="007777D9" w14:paraId="5D6E676B" w14:textId="77777777" w:rsidTr="00611071">
        <w:trPr>
          <w:jc w:val="right"/>
        </w:trPr>
        <w:tc>
          <w:tcPr>
            <w:tcW w:w="1838" w:type="dxa"/>
          </w:tcPr>
          <w:p w14:paraId="2330D6E7" w14:textId="77777777" w:rsidR="00C27830" w:rsidRPr="007777D9" w:rsidRDefault="00C27830" w:rsidP="00611071">
            <w:pPr>
              <w:spacing w:line="276" w:lineRule="auto"/>
              <w:jc w:val="center"/>
              <w:rPr>
                <w:rFonts w:ascii="Century Gothic" w:eastAsia="Calibri" w:hAnsi="Century Gothic" w:cs="Arial"/>
                <w:b/>
                <w:lang w:val="es-ES"/>
              </w:rPr>
            </w:pPr>
            <w:r w:rsidRPr="007777D9">
              <w:rPr>
                <w:rFonts w:ascii="Century Gothic" w:eastAsia="Calibri" w:hAnsi="Century Gothic" w:cs="Arial"/>
                <w:b/>
                <w:lang w:val="es-ES"/>
              </w:rPr>
              <w:t>Radicación:</w:t>
            </w:r>
          </w:p>
        </w:tc>
        <w:tc>
          <w:tcPr>
            <w:tcW w:w="6237" w:type="dxa"/>
          </w:tcPr>
          <w:p w14:paraId="23B121E7" w14:textId="77777777" w:rsidR="00C27830" w:rsidRPr="007777D9" w:rsidRDefault="00C27830" w:rsidP="00611071">
            <w:pPr>
              <w:spacing w:line="276" w:lineRule="auto"/>
              <w:jc w:val="both"/>
              <w:rPr>
                <w:rFonts w:ascii="Century Gothic" w:eastAsia="Calibri" w:hAnsi="Century Gothic" w:cs="Arial"/>
                <w:lang w:val="es-ES"/>
              </w:rPr>
            </w:pPr>
            <w:r w:rsidRPr="007777D9">
              <w:rPr>
                <w:rFonts w:ascii="Century Gothic" w:eastAsia="Calibri" w:hAnsi="Century Gothic" w:cs="Arial"/>
                <w:lang w:val="es-ES"/>
              </w:rPr>
              <w:t>Respuesta a consultas acumuladas Nos.  P20240207001189 y P20240207001190</w:t>
            </w:r>
          </w:p>
        </w:tc>
      </w:tr>
    </w:tbl>
    <w:p w14:paraId="6F825F2A" w14:textId="77777777" w:rsidR="00C27830" w:rsidRPr="007777D9" w:rsidRDefault="00C27830" w:rsidP="00C27830">
      <w:pPr>
        <w:spacing w:line="276" w:lineRule="auto"/>
        <w:jc w:val="both"/>
        <w:rPr>
          <w:rFonts w:ascii="Century Gothic" w:eastAsia="Calibri" w:hAnsi="Century Gothic" w:cs="Arial"/>
          <w:lang w:val="es-ES_tradnl"/>
        </w:rPr>
      </w:pPr>
    </w:p>
    <w:p w14:paraId="7789D2A7" w14:textId="77777777" w:rsidR="00C27830" w:rsidRPr="007777D9" w:rsidRDefault="00C27830" w:rsidP="00C27830">
      <w:pPr>
        <w:spacing w:line="276" w:lineRule="auto"/>
        <w:jc w:val="both"/>
        <w:rPr>
          <w:rFonts w:ascii="Century Gothic" w:eastAsia="Calibri" w:hAnsi="Century Gothic" w:cs="Arial"/>
          <w:bCs/>
          <w:lang w:val="es-ES_tradnl"/>
        </w:rPr>
      </w:pPr>
      <w:r w:rsidRPr="007777D9">
        <w:rPr>
          <w:rFonts w:ascii="Century Gothic" w:eastAsia="Calibri" w:hAnsi="Century Gothic" w:cs="Arial"/>
          <w:lang w:val="es-ES_tradnl"/>
        </w:rPr>
        <w:t>Estimado señor Zorrilla:</w:t>
      </w:r>
    </w:p>
    <w:p w14:paraId="7D634F5E" w14:textId="77777777" w:rsidR="00C27830" w:rsidRPr="007777D9" w:rsidRDefault="00C27830" w:rsidP="00C27830">
      <w:pPr>
        <w:spacing w:after="0" w:line="276" w:lineRule="auto"/>
        <w:jc w:val="both"/>
        <w:rPr>
          <w:rFonts w:ascii="Century Gothic" w:eastAsia="Calibri" w:hAnsi="Century Gothic" w:cs="Arial"/>
          <w:lang w:val="es-ES"/>
        </w:rPr>
      </w:pPr>
      <w:r w:rsidRPr="007777D9">
        <w:rPr>
          <w:rFonts w:ascii="Century Gothic" w:eastAsia="Calibri" w:hAnsi="Century Gothic" w:cs="Arial"/>
          <w:lang w:val="es-ES"/>
        </w:rPr>
        <w:t>En ejercicio de la competencia otorgada por el numeral 8° del artículo 11 y el numeral 5° del artículo 3 del Decreto Ley 4170 de 2011, la Agencia Nacional de Contratación Pública ― Colombia Compra Eficiente responde sus consultas acumuladas del 06 de febrero de 2024.</w:t>
      </w:r>
    </w:p>
    <w:p w14:paraId="65E8CF58" w14:textId="77777777" w:rsidR="00C27830" w:rsidRPr="007777D9" w:rsidRDefault="00C27830" w:rsidP="00C27830">
      <w:pPr>
        <w:spacing w:after="0" w:line="276" w:lineRule="auto"/>
        <w:jc w:val="both"/>
        <w:rPr>
          <w:rFonts w:ascii="Century Gothic" w:eastAsia="Calibri" w:hAnsi="Century Gothic" w:cs="Arial"/>
          <w:lang w:val="es-ES"/>
        </w:rPr>
      </w:pPr>
    </w:p>
    <w:p w14:paraId="2F674919" w14:textId="77777777" w:rsidR="00C27830" w:rsidRPr="007777D9" w:rsidRDefault="00C27830" w:rsidP="00C27830">
      <w:pPr>
        <w:pStyle w:val="Prrafodelista"/>
        <w:numPr>
          <w:ilvl w:val="0"/>
          <w:numId w:val="1"/>
        </w:numPr>
        <w:tabs>
          <w:tab w:val="left" w:pos="0"/>
          <w:tab w:val="left" w:pos="142"/>
          <w:tab w:val="left" w:pos="284"/>
        </w:tabs>
        <w:spacing w:after="0" w:line="276" w:lineRule="auto"/>
        <w:ind w:left="0" w:firstLine="0"/>
        <w:jc w:val="both"/>
        <w:rPr>
          <w:rFonts w:ascii="Century Gothic" w:eastAsia="Calibri" w:hAnsi="Century Gothic" w:cs="Arial"/>
          <w:b/>
          <w:lang w:val="es-ES_tradnl"/>
        </w:rPr>
      </w:pPr>
      <w:r w:rsidRPr="007777D9">
        <w:rPr>
          <w:rFonts w:ascii="Century Gothic" w:eastAsia="Calibri" w:hAnsi="Century Gothic" w:cs="Arial"/>
          <w:b/>
          <w:lang w:val="es-ES_tradnl"/>
        </w:rPr>
        <w:t xml:space="preserve">Problema planteado </w:t>
      </w:r>
    </w:p>
    <w:p w14:paraId="286C0DAA" w14:textId="77777777" w:rsidR="00C27830" w:rsidRPr="007777D9" w:rsidRDefault="00C27830" w:rsidP="00C27830">
      <w:pPr>
        <w:pStyle w:val="Prrafodelista"/>
        <w:tabs>
          <w:tab w:val="left" w:pos="0"/>
          <w:tab w:val="left" w:pos="142"/>
          <w:tab w:val="left" w:pos="284"/>
        </w:tabs>
        <w:spacing w:after="0" w:line="276" w:lineRule="auto"/>
        <w:ind w:left="0"/>
        <w:jc w:val="both"/>
        <w:rPr>
          <w:rFonts w:ascii="Century Gothic" w:eastAsia="Calibri" w:hAnsi="Century Gothic" w:cs="Arial"/>
          <w:b/>
          <w:lang w:val="es-ES_tradnl"/>
        </w:rPr>
      </w:pPr>
    </w:p>
    <w:p w14:paraId="5454F478" w14:textId="77777777" w:rsidR="00C27830" w:rsidRPr="007777D9" w:rsidRDefault="00C27830" w:rsidP="00C27830">
      <w:pPr>
        <w:spacing w:after="0" w:line="276" w:lineRule="auto"/>
        <w:jc w:val="both"/>
        <w:rPr>
          <w:rFonts w:ascii="Century Gothic" w:hAnsi="Century Gothic" w:cs="Arial"/>
          <w:lang w:val="es-ES_tradnl"/>
        </w:rPr>
      </w:pPr>
      <w:r w:rsidRPr="007777D9">
        <w:rPr>
          <w:rFonts w:ascii="Century Gothic" w:hAnsi="Century Gothic" w:cs="Arial"/>
          <w:lang w:val="es-ES_tradnl"/>
        </w:rPr>
        <w:t xml:space="preserve">Usted realiza la siguiente consulta: </w:t>
      </w:r>
    </w:p>
    <w:p w14:paraId="5A3384E5" w14:textId="77777777" w:rsidR="00C27830" w:rsidRPr="007777D9" w:rsidRDefault="00C27830" w:rsidP="00C27830">
      <w:pPr>
        <w:spacing w:after="0" w:line="276" w:lineRule="auto"/>
        <w:jc w:val="both"/>
        <w:rPr>
          <w:rFonts w:ascii="Century Gothic" w:hAnsi="Century Gothic" w:cs="Arial"/>
          <w:i/>
          <w:iCs/>
          <w:lang w:val="es-ES_tradnl"/>
        </w:rPr>
      </w:pPr>
    </w:p>
    <w:p w14:paraId="057E3537" w14:textId="77777777" w:rsidR="00C27830" w:rsidRPr="007777D9" w:rsidRDefault="00C27830" w:rsidP="00C27830">
      <w:pPr>
        <w:spacing w:after="0" w:line="240" w:lineRule="auto"/>
        <w:ind w:left="709" w:right="709"/>
        <w:jc w:val="both"/>
        <w:rPr>
          <w:rFonts w:ascii="Century Gothic" w:hAnsi="Century Gothic" w:cs="Arial"/>
          <w:sz w:val="21"/>
          <w:szCs w:val="21"/>
        </w:rPr>
      </w:pPr>
      <w:r w:rsidRPr="007777D9">
        <w:rPr>
          <w:rFonts w:ascii="Century Gothic" w:hAnsi="Century Gothic" w:cs="Arial"/>
          <w:i/>
          <w:iCs/>
          <w:sz w:val="21"/>
          <w:szCs w:val="21"/>
          <w:lang w:val="es-ES_tradnl"/>
        </w:rPr>
        <w:lastRenderedPageBreak/>
        <w:t>“</w:t>
      </w:r>
      <w:r w:rsidRPr="007777D9">
        <w:rPr>
          <w:rFonts w:ascii="Century Gothic" w:hAnsi="Century Gothic" w:cs="Arial"/>
          <w:sz w:val="21"/>
          <w:szCs w:val="21"/>
        </w:rPr>
        <w:t xml:space="preserve">1. ¿Las entidades territoriales pueden realizar un nombramiento libre o contratar directamente de manera directa a empresas, organizaciones sin ánimo de lucro o de economía mixta para realizar funciones de asesoría directa de la entidad territorial (alcaldías, gobernaciones, </w:t>
      </w:r>
      <w:proofErr w:type="spellStart"/>
      <w:r w:rsidRPr="007777D9">
        <w:rPr>
          <w:rFonts w:ascii="Century Gothic" w:hAnsi="Century Gothic" w:cs="Arial"/>
          <w:sz w:val="21"/>
          <w:szCs w:val="21"/>
        </w:rPr>
        <w:t>etc</w:t>
      </w:r>
      <w:proofErr w:type="spellEnd"/>
      <w:r w:rsidRPr="007777D9">
        <w:rPr>
          <w:rFonts w:ascii="Century Gothic" w:hAnsi="Century Gothic" w:cs="Arial"/>
          <w:sz w:val="21"/>
          <w:szCs w:val="21"/>
        </w:rPr>
        <w:t>) debe ser persona natural?</w:t>
      </w:r>
    </w:p>
    <w:p w14:paraId="55CC214C"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2. Art. 2 de la Ley 1150 de 2007, Art. 92 de la Ley 1474 de 2011 y Ley 2195 de 2022, refieren que la contratación directa en modalidad de convenio interadministrativo podrá realizarse siempre y cuando la entidad de economía mixta o demás, y la entidad estatal sean afines en sus objetos y funciones […].</w:t>
      </w:r>
    </w:p>
    <w:p w14:paraId="132641CB"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A) Quisiera que se explicara y se ampliara más sobre este punto, en especial, lo referente a la contratación directa bajo la modalidad de convenio interadministrativo entre dos o más entidades públicas (pública-publica) o entidad pública y de economías mixtas (pública-mixta)</w:t>
      </w:r>
    </w:p>
    <w:p w14:paraId="3DB6D2C7"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B) Además, quisiera por favor, que se ampliara y explicara más sobre las excepciones para contratos de obra civil, suministro y demás excepciones que indica la normatividad frente a la modalidad de selección directa por convenio interadministrativo ¿es posible realizar una contratación directa de convenio interadministrativo entre entidad pública – otra(s) publica(s); entidad pública y de economía mixta y, entidad pública – entidad sin ánimo de lucro con asociados públicos? ¿Bajo qué condiciones se tiene permitido hacer? (Ejemplo: la participación de los fondos de la entidad mixta, entre otros)”. [sic]</w:t>
      </w:r>
    </w:p>
    <w:p w14:paraId="29C0E174" w14:textId="77777777" w:rsidR="00C27830" w:rsidRPr="007777D9" w:rsidRDefault="00C27830" w:rsidP="00C27830">
      <w:pPr>
        <w:spacing w:after="0" w:line="240" w:lineRule="auto"/>
        <w:ind w:left="708" w:right="709"/>
        <w:jc w:val="both"/>
        <w:rPr>
          <w:rFonts w:ascii="Century Gothic" w:hAnsi="Century Gothic" w:cs="Arial"/>
          <w:sz w:val="21"/>
          <w:szCs w:val="21"/>
          <w:lang w:val="es-ES_tradnl"/>
        </w:rPr>
      </w:pPr>
    </w:p>
    <w:p w14:paraId="6795EBB7" w14:textId="77777777" w:rsidR="00C27830" w:rsidRPr="007777D9" w:rsidRDefault="00C27830" w:rsidP="00C27830">
      <w:pPr>
        <w:pStyle w:val="Prrafodelista"/>
        <w:numPr>
          <w:ilvl w:val="0"/>
          <w:numId w:val="1"/>
        </w:numPr>
        <w:tabs>
          <w:tab w:val="left" w:pos="0"/>
          <w:tab w:val="left" w:pos="284"/>
        </w:tabs>
        <w:spacing w:after="0" w:line="276" w:lineRule="auto"/>
        <w:ind w:left="0" w:firstLine="0"/>
        <w:contextualSpacing w:val="0"/>
        <w:jc w:val="both"/>
        <w:rPr>
          <w:rFonts w:ascii="Century Gothic" w:eastAsia="Calibri" w:hAnsi="Century Gothic" w:cs="Arial"/>
          <w:b/>
          <w:lang w:val="es-ES_tradnl"/>
        </w:rPr>
      </w:pPr>
      <w:r w:rsidRPr="007777D9">
        <w:rPr>
          <w:rFonts w:ascii="Century Gothic" w:eastAsia="Calibri" w:hAnsi="Century Gothic" w:cs="Arial"/>
          <w:b/>
          <w:lang w:val="es-ES_tradnl"/>
        </w:rPr>
        <w:t>Consideraciones</w:t>
      </w:r>
    </w:p>
    <w:p w14:paraId="7D80BDBE" w14:textId="77777777" w:rsidR="00C27830" w:rsidRPr="007777D9" w:rsidRDefault="00C27830" w:rsidP="00C27830">
      <w:pPr>
        <w:pStyle w:val="Prrafodelista"/>
        <w:tabs>
          <w:tab w:val="left" w:pos="0"/>
          <w:tab w:val="left" w:pos="284"/>
        </w:tabs>
        <w:spacing w:after="0" w:line="276" w:lineRule="auto"/>
        <w:ind w:left="0"/>
        <w:contextualSpacing w:val="0"/>
        <w:jc w:val="both"/>
        <w:rPr>
          <w:rFonts w:ascii="Century Gothic" w:eastAsia="Calibri" w:hAnsi="Century Gothic" w:cs="Arial"/>
          <w:b/>
          <w:lang w:val="es-ES_tradnl"/>
        </w:rPr>
      </w:pPr>
    </w:p>
    <w:p w14:paraId="4EFC224D" w14:textId="77777777" w:rsidR="00C27830" w:rsidRPr="007777D9" w:rsidRDefault="00C27830" w:rsidP="00C27830">
      <w:pPr>
        <w:spacing w:after="120" w:line="276" w:lineRule="auto"/>
        <w:jc w:val="both"/>
        <w:rPr>
          <w:rFonts w:ascii="Century Gothic" w:hAnsi="Century Gothic" w:cs="Arial"/>
          <w:lang w:val="es-ES"/>
        </w:rPr>
      </w:pPr>
      <w:r w:rsidRPr="007777D9">
        <w:rPr>
          <w:rFonts w:ascii="Century Gothic" w:hAnsi="Century Gothic" w:cs="Arial"/>
        </w:rPr>
        <w:t>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bookmarkStart w:id="2" w:name="_Hlk61701014"/>
      <w:bookmarkStart w:id="3" w:name="_Hlk62136649"/>
      <w:r w:rsidRPr="007777D9">
        <w:rPr>
          <w:rFonts w:ascii="Century Gothic" w:hAnsi="Century Gothic" w:cs="Arial"/>
        </w:rPr>
        <w:t xml:space="preserve">. </w:t>
      </w:r>
      <w:r w:rsidRPr="007777D9">
        <w:rPr>
          <w:rFonts w:ascii="Century Gothic" w:hAnsi="Century Gothic" w:cs="Arial"/>
          <w:lang w:val="es-ES"/>
        </w:rPr>
        <w:t xml:space="preserve">Es necesario tener en cuenta que </w:t>
      </w:r>
      <w:bookmarkStart w:id="4" w:name="_Hlk61026958"/>
      <w:r w:rsidRPr="007777D9">
        <w:rPr>
          <w:rFonts w:ascii="Century Gothic" w:hAnsi="Century Gothic" w:cs="Arial"/>
          <w:lang w:val="es-ES"/>
        </w:rPr>
        <w:t xml:space="preserve">esta Entidad </w:t>
      </w:r>
      <w:bookmarkStart w:id="5" w:name="_Hlk160033005"/>
      <w:r w:rsidRPr="007777D9">
        <w:rPr>
          <w:rFonts w:ascii="Century Gothic" w:hAnsi="Century Gothic" w:cs="Arial"/>
          <w:lang w:val="es-ES"/>
        </w:rPr>
        <w:t>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7777D9">
        <w:rPr>
          <w:rFonts w:ascii="Century Gothic" w:hAnsi="Century Gothic" w:cs="Arial"/>
        </w:rPr>
        <w:t xml:space="preserve"> de todos los partícipes de la contratación estatal.</w:t>
      </w:r>
      <w:r w:rsidRPr="007777D9">
        <w:rPr>
          <w:rFonts w:ascii="Century Gothic" w:hAnsi="Century Gothic" w:cs="Arial"/>
          <w:lang w:val="es-ES"/>
        </w:rPr>
        <w:t xml:space="preserve"> </w:t>
      </w:r>
      <w:bookmarkEnd w:id="2"/>
      <w:bookmarkEnd w:id="3"/>
      <w:bookmarkEnd w:id="4"/>
      <w:bookmarkEnd w:id="5"/>
    </w:p>
    <w:p w14:paraId="39BCBC9D" w14:textId="77777777" w:rsidR="00C27830" w:rsidRPr="007777D9" w:rsidRDefault="00C27830" w:rsidP="00C27830">
      <w:pPr>
        <w:spacing w:after="120" w:line="276" w:lineRule="auto"/>
        <w:ind w:firstLine="708"/>
        <w:jc w:val="both"/>
        <w:rPr>
          <w:rFonts w:ascii="Century Gothic" w:hAnsi="Century Gothic" w:cs="Arial"/>
          <w:lang w:val="es-ES"/>
        </w:rPr>
      </w:pPr>
      <w:r w:rsidRPr="007777D9">
        <w:rPr>
          <w:rFonts w:ascii="Century Gothic" w:eastAsia="Calibri" w:hAnsi="Century Gothic" w:cs="Arial"/>
          <w:lang w:val="es-ES"/>
        </w:rPr>
        <w:lastRenderedPageBreak/>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777D9">
        <w:rPr>
          <w:rFonts w:ascii="Century Gothic" w:eastAsia="Calibri" w:hAnsi="Century Gothic" w:cs="Arial"/>
          <w:vertAlign w:val="superscript"/>
          <w:lang w:val="es-ES"/>
        </w:rPr>
        <w:footnoteReference w:id="1"/>
      </w:r>
      <w:r w:rsidRPr="007777D9">
        <w:rPr>
          <w:rFonts w:ascii="Century Gothic" w:eastAsia="Calibri" w:hAnsi="Century Gothic" w:cs="Arial"/>
          <w:lang w:val="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contractuales de donde surge la inquietud. Por lo anterior, previo concepto de sus órganos asesores, la solución de estos temas corresponde a la Entidad que suscribió el contrato y, en caso de conflicto, a las autoridades judiciales, fiscales y disciplinarias. </w:t>
      </w:r>
    </w:p>
    <w:p w14:paraId="189CA84E" w14:textId="77777777" w:rsidR="00C27830" w:rsidRPr="007777D9" w:rsidRDefault="00C27830" w:rsidP="00C27830">
      <w:pPr>
        <w:spacing w:line="276" w:lineRule="auto"/>
        <w:ind w:firstLine="708"/>
        <w:jc w:val="both"/>
        <w:rPr>
          <w:rFonts w:ascii="Century Gothic" w:eastAsia="Calibri" w:hAnsi="Century Gothic" w:cs="Arial"/>
          <w:lang w:val="es-ES"/>
        </w:rPr>
      </w:pPr>
      <w:r w:rsidRPr="007777D9">
        <w:rPr>
          <w:rFonts w:ascii="Century Gothic" w:eastAsia="Calibri" w:hAnsi="Century Gothic" w:cs="Arial"/>
          <w:lang w:val="es-MX"/>
        </w:rPr>
        <w:t xml:space="preserve">Sin perjuicio de lo anterior, </w:t>
      </w:r>
      <w:r w:rsidRPr="007777D9">
        <w:rPr>
          <w:rFonts w:ascii="Century Gothic" w:eastAsia="Calibri" w:hAnsi="Century Gothic" w:cs="Arial"/>
          <w:lang w:val="es-ES"/>
        </w:rPr>
        <w:t xml:space="preserve">la Subdirección de Gestión Contractual de esta Agencia, dentro de los límites de sus atribuciones –esto es, </w:t>
      </w:r>
      <w:bookmarkStart w:id="6" w:name="_Hlk61025408"/>
      <w:r w:rsidRPr="007777D9">
        <w:rPr>
          <w:rFonts w:ascii="Century Gothic" w:eastAsia="Calibri" w:hAnsi="Century Gothic" w:cs="Arial"/>
          <w:lang w:val="es-ES"/>
        </w:rPr>
        <w:t>haciendo abstracción del caso particular expuesto por el peticionari</w:t>
      </w:r>
      <w:bookmarkEnd w:id="6"/>
      <w:r w:rsidRPr="007777D9">
        <w:rPr>
          <w:rFonts w:ascii="Century Gothic" w:eastAsia="Calibri" w:hAnsi="Century Gothic" w:cs="Arial"/>
          <w:lang w:val="es-ES"/>
        </w:rPr>
        <w:t>o– resolverá la consulta conforme a las normas generales en materia de contratación estatal</w:t>
      </w:r>
      <w:r w:rsidRPr="007777D9">
        <w:rPr>
          <w:rFonts w:ascii="Century Gothic" w:eastAsia="Calibri" w:hAnsi="Century Gothic" w:cs="Arial"/>
          <w:lang w:val="es-ES_tradnl" w:eastAsia="es-MX"/>
        </w:rPr>
        <w:t xml:space="preserve">. Con este objetivo se analizarán los </w:t>
      </w:r>
      <w:r w:rsidRPr="007777D9">
        <w:rPr>
          <w:rFonts w:ascii="Century Gothic" w:eastAsia="Calibri" w:hAnsi="Century Gothic" w:cs="Arial"/>
          <w:lang w:val="es-ES"/>
        </w:rPr>
        <w:t xml:space="preserve">siguientes temas: i) naturaleza jurídica de las Sociedades de Economía Mixta, y </w:t>
      </w:r>
      <w:proofErr w:type="spellStart"/>
      <w:r w:rsidRPr="007777D9">
        <w:rPr>
          <w:rFonts w:ascii="Century Gothic" w:eastAsia="Calibri" w:hAnsi="Century Gothic" w:cs="Arial"/>
          <w:lang w:val="es-ES"/>
        </w:rPr>
        <w:t>ii</w:t>
      </w:r>
      <w:proofErr w:type="spellEnd"/>
      <w:r w:rsidRPr="007777D9">
        <w:rPr>
          <w:rFonts w:ascii="Century Gothic" w:eastAsia="Calibri" w:hAnsi="Century Gothic" w:cs="Arial"/>
          <w:lang w:val="es-ES"/>
        </w:rPr>
        <w:t>) contratos interadministrativos: concepto y régimen jurídico aplicable.</w:t>
      </w:r>
    </w:p>
    <w:p w14:paraId="4CF186EF" w14:textId="77777777" w:rsidR="00C27830" w:rsidRPr="007777D9" w:rsidRDefault="00C27830" w:rsidP="00C27830">
      <w:pPr>
        <w:spacing w:before="120" w:after="120" w:line="276" w:lineRule="auto"/>
        <w:ind w:firstLine="709"/>
        <w:jc w:val="both"/>
        <w:rPr>
          <w:rFonts w:ascii="Century Gothic" w:eastAsia="Calibri" w:hAnsi="Century Gothic" w:cs="Arial"/>
          <w:lang w:val="es-ES_tradnl" w:eastAsia="es-ES_tradnl"/>
        </w:rPr>
      </w:pPr>
      <w:r w:rsidRPr="007777D9">
        <w:rPr>
          <w:rFonts w:ascii="Century Gothic" w:eastAsia="Calibri" w:hAnsi="Century Gothic" w:cs="Arial"/>
        </w:rPr>
        <w:t xml:space="preserve">La Agencia Nacional de Contratación Pública – Colombia Compra Eficiente, </w:t>
      </w:r>
      <w:r w:rsidRPr="007777D9">
        <w:rPr>
          <w:rFonts w:ascii="Century Gothic" w:eastAsia="Arial" w:hAnsi="Century Gothic" w:cs="Arial"/>
          <w:lang w:val="es-MX" w:eastAsia="es-ES_tradnl"/>
        </w:rPr>
        <w:t xml:space="preserve">ha analizado </w:t>
      </w:r>
      <w:r w:rsidRPr="007777D9">
        <w:rPr>
          <w:rStyle w:val="normaltextrun"/>
          <w:rFonts w:ascii="Century Gothic" w:hAnsi="Century Gothic" w:cs="Arial"/>
          <w:shd w:val="clear" w:color="auto" w:fill="FFFFFF"/>
          <w:lang w:val="es-ES"/>
        </w:rPr>
        <w:t xml:space="preserve">el régimen de las sociedades de economía mixta, entre otros, en los conceptos C- 762 del 6 de enero de 2020 y C-089 del 22 de marzo de 2022, C-147 del 25 de julio de 2023. Adicionalmente, se pronunció </w:t>
      </w:r>
      <w:r w:rsidRPr="007777D9">
        <w:rPr>
          <w:rFonts w:ascii="Century Gothic" w:hAnsi="Century Gothic" w:cs="Arial"/>
          <w:bCs/>
          <w:lang w:val="es-MX"/>
        </w:rPr>
        <w:t>sobre el concepto y régimen jurídico aplicable a los contratos interadministrativos, en los Conceptos:</w:t>
      </w:r>
      <w:r w:rsidRPr="007777D9">
        <w:rPr>
          <w:rFonts w:ascii="Century Gothic" w:hAnsi="Century Gothic" w:cs="Arial"/>
          <w:bCs/>
        </w:rPr>
        <w:t xml:space="preserve"> 4201913000004536 del 27 de julio de 2019, C−023 del 3 de febrero de 2020, C−702 del 11 de diciembre de 2020, C-097 de 23 de marzo de 202, C-350 del 16 de julio de </w:t>
      </w:r>
      <w:r w:rsidRPr="007777D9">
        <w:rPr>
          <w:rFonts w:ascii="Century Gothic" w:hAnsi="Century Gothic" w:cs="Arial"/>
          <w:bCs/>
        </w:rPr>
        <w:lastRenderedPageBreak/>
        <w:t xml:space="preserve">2021, C-352 del 27 de julio de 2021, C-508 del 20 de septiembre de 2021, C-662 del 1 de diciembre de 2021, </w:t>
      </w:r>
      <w:r w:rsidRPr="007777D9">
        <w:rPr>
          <w:rStyle w:val="normaltextrun"/>
          <w:rFonts w:ascii="Century Gothic" w:hAnsi="Century Gothic"/>
          <w:shd w:val="clear" w:color="auto" w:fill="FFFFFF"/>
        </w:rPr>
        <w:t xml:space="preserve">C-168 del 14 de abril de 2021, </w:t>
      </w:r>
      <w:r w:rsidRPr="007777D9">
        <w:rPr>
          <w:rStyle w:val="normaltextrun"/>
          <w:rFonts w:ascii="Century Gothic" w:hAnsi="Century Gothic"/>
          <w:shd w:val="clear" w:color="auto" w:fill="FFFFFF"/>
          <w:lang w:val="es-ES"/>
        </w:rPr>
        <w:t xml:space="preserve">C-585 de 15 de octubre de 2021, C-639 del 14 de marzo de 2021, </w:t>
      </w:r>
      <w:r w:rsidRPr="007777D9">
        <w:rPr>
          <w:rStyle w:val="normaltextrun"/>
          <w:rFonts w:ascii="Century Gothic" w:hAnsi="Century Gothic"/>
          <w:shd w:val="clear" w:color="auto" w:fill="FFFFFF"/>
        </w:rPr>
        <w:t xml:space="preserve">C-664 del 1 de septiembre de 2022, </w:t>
      </w:r>
      <w:r w:rsidRPr="007777D9">
        <w:rPr>
          <w:rStyle w:val="normaltextrun"/>
          <w:rFonts w:ascii="Century Gothic" w:hAnsi="Century Gothic"/>
          <w:shd w:val="clear" w:color="auto" w:fill="FFFFFF"/>
          <w:lang w:val="es-ES"/>
        </w:rPr>
        <w:t>C-771 del 29 de diciembre de 2022, C-056 del 26 de abril de 2023, C-147 del 25 de julio de 2023, C-360 del 12 de septiembre de 2023, C-379 del 19 de octubre de 2023,</w:t>
      </w:r>
      <w:r w:rsidRPr="007777D9">
        <w:rPr>
          <w:rFonts w:ascii="Century Gothic" w:hAnsi="Century Gothic" w:cs="Arial"/>
          <w:bCs/>
        </w:rPr>
        <w:t xml:space="preserve"> entre otros</w:t>
      </w:r>
      <w:r w:rsidRPr="007777D9">
        <w:rPr>
          <w:rFonts w:ascii="Century Gothic" w:hAnsi="Century Gothic" w:cs="Arial"/>
          <w:bCs/>
          <w:vertAlign w:val="superscript"/>
        </w:rPr>
        <w:footnoteReference w:id="2"/>
      </w:r>
      <w:r w:rsidRPr="007777D9">
        <w:rPr>
          <w:rStyle w:val="normaltextrun"/>
          <w:rFonts w:ascii="Century Gothic" w:hAnsi="Century Gothic" w:cs="Arial"/>
          <w:shd w:val="clear" w:color="auto" w:fill="FFFFFF"/>
          <w:lang w:val="es-ES"/>
        </w:rPr>
        <w:t xml:space="preserve">. </w:t>
      </w:r>
      <w:r w:rsidRPr="007777D9">
        <w:rPr>
          <w:rFonts w:ascii="Century Gothic" w:eastAsia="Calibri" w:hAnsi="Century Gothic" w:cs="Arial"/>
          <w:lang w:val="es-ES_tradnl" w:eastAsia="es-ES_tradnl"/>
        </w:rPr>
        <w:t>Algunas de las consideraciones de estos conceptos se reiteran y se complementan en lo pertinente, teniendo en cuenta lo consultado.</w:t>
      </w:r>
    </w:p>
    <w:p w14:paraId="68D26D6B" w14:textId="77777777" w:rsidR="00C27830" w:rsidRPr="007777D9" w:rsidRDefault="00C27830" w:rsidP="00C27830">
      <w:pPr>
        <w:spacing w:after="0" w:line="276" w:lineRule="auto"/>
        <w:ind w:firstLine="709"/>
        <w:jc w:val="both"/>
        <w:rPr>
          <w:rFonts w:ascii="Century Gothic" w:eastAsia="Calibri" w:hAnsi="Century Gothic" w:cs="Arial"/>
          <w:lang w:val="es-ES_tradnl" w:eastAsia="es-ES_tradnl"/>
        </w:rPr>
      </w:pPr>
    </w:p>
    <w:p w14:paraId="6BBC7F9B" w14:textId="77777777" w:rsidR="00C27830" w:rsidRPr="007777D9" w:rsidRDefault="00C27830" w:rsidP="00C27830">
      <w:pPr>
        <w:spacing w:after="0" w:line="276" w:lineRule="auto"/>
        <w:jc w:val="both"/>
        <w:rPr>
          <w:rFonts w:ascii="Century Gothic" w:eastAsia="Calibri" w:hAnsi="Century Gothic" w:cs="Arial"/>
          <w:b/>
          <w:bCs/>
          <w:lang w:val="es-ES_tradnl"/>
        </w:rPr>
      </w:pPr>
      <w:r w:rsidRPr="007777D9">
        <w:rPr>
          <w:rFonts w:ascii="Century Gothic" w:hAnsi="Century Gothic" w:cs="Arial"/>
          <w:b/>
        </w:rPr>
        <w:t xml:space="preserve">2.1. </w:t>
      </w:r>
      <w:r w:rsidRPr="007777D9">
        <w:rPr>
          <w:rFonts w:ascii="Century Gothic" w:eastAsia="Calibri" w:hAnsi="Century Gothic" w:cs="Arial"/>
          <w:b/>
          <w:bCs/>
          <w:lang w:val="es-ES_tradnl"/>
        </w:rPr>
        <w:t>Naturaleza jurídica de las Sociedades de Economía Mixta. Reiteración de línea</w:t>
      </w:r>
    </w:p>
    <w:p w14:paraId="39784011" w14:textId="77777777" w:rsidR="00C27830" w:rsidRPr="007777D9" w:rsidRDefault="00C27830" w:rsidP="00C27830">
      <w:pPr>
        <w:autoSpaceDE w:val="0"/>
        <w:autoSpaceDN w:val="0"/>
        <w:adjustRightInd w:val="0"/>
        <w:spacing w:after="0" w:line="276" w:lineRule="auto"/>
        <w:jc w:val="both"/>
        <w:rPr>
          <w:rFonts w:ascii="Century Gothic" w:hAnsi="Century Gothic" w:cs="Arial"/>
          <w:lang w:val="es-ES_tradnl"/>
        </w:rPr>
      </w:pPr>
    </w:p>
    <w:p w14:paraId="553E8F3C" w14:textId="77777777" w:rsidR="00C27830" w:rsidRPr="007777D9" w:rsidRDefault="00C27830" w:rsidP="00C27830">
      <w:pPr>
        <w:autoSpaceDE w:val="0"/>
        <w:autoSpaceDN w:val="0"/>
        <w:adjustRightInd w:val="0"/>
        <w:spacing w:after="0" w:line="276" w:lineRule="auto"/>
        <w:jc w:val="both"/>
        <w:rPr>
          <w:rFonts w:ascii="Century Gothic" w:hAnsi="Century Gothic" w:cs="Arial"/>
          <w:lang w:val="es-ES_tradnl"/>
        </w:rPr>
      </w:pPr>
      <w:r w:rsidRPr="007777D9">
        <w:rPr>
          <w:rFonts w:ascii="Century Gothic" w:hAnsi="Century Gothic" w:cs="Arial"/>
          <w:lang w:val="es-ES_tradnl"/>
        </w:rPr>
        <w:t>En nuestro ordenamiento jurídico, el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5C09E070" w14:textId="77777777" w:rsidR="00C27830" w:rsidRPr="007777D9" w:rsidRDefault="00C27830" w:rsidP="00C27830">
      <w:pPr>
        <w:spacing w:before="120"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En este sentido, la misma ley, en los artículos 38 y 68, clasifica a las Sociedades de Economía Mixta como entidades descentralizadas por servicios, con personería jurídica, autonomía administrativa y patrimonio propio</w:t>
      </w:r>
      <w:r w:rsidRPr="007777D9">
        <w:rPr>
          <w:rStyle w:val="Refdenotaalpie"/>
          <w:rFonts w:ascii="Century Gothic" w:hAnsi="Century Gothic" w:cs="Arial"/>
          <w:lang w:val="es-ES_tradnl" w:eastAsia="es-MX"/>
        </w:rPr>
        <w:footnoteReference w:id="3"/>
      </w:r>
      <w:r w:rsidRPr="007777D9">
        <w:rPr>
          <w:rFonts w:ascii="Century Gothic" w:hAnsi="Century Gothic" w:cs="Arial"/>
          <w:lang w:val="es-ES_tradnl" w:eastAsia="es-MX"/>
        </w:rPr>
        <w:t>, que pueden ser del orden nacional, departamental o municipal, según su órgano de creación</w:t>
      </w:r>
      <w:r w:rsidRPr="007777D9">
        <w:rPr>
          <w:rStyle w:val="Refdenotaalpie"/>
          <w:rFonts w:ascii="Century Gothic" w:hAnsi="Century Gothic" w:cs="Arial"/>
          <w:lang w:val="es-ES_tradnl" w:eastAsia="es-MX"/>
        </w:rPr>
        <w:footnoteReference w:id="4"/>
      </w:r>
      <w:r w:rsidRPr="007777D9">
        <w:rPr>
          <w:rFonts w:ascii="Century Gothic" w:hAnsi="Century Gothic" w:cs="Arial"/>
          <w:lang w:val="es-ES_tradnl" w:eastAsia="es-MX"/>
        </w:rPr>
        <w:t xml:space="preserve">. Al respecto, la Corte Constitucional, en sentencias C-736 del 19 de septiembre de 2007, C-118 del 14 de noviembre de 2018 y C-306 del 10 de julio de 2019, ha considerado que las sociedades estudiadas, desde una perspectiva constitucional, se caracterizan por los siguientes rasgos: </w:t>
      </w:r>
    </w:p>
    <w:p w14:paraId="01F41B42" w14:textId="77777777" w:rsidR="00C27830" w:rsidRPr="007777D9" w:rsidRDefault="00C27830" w:rsidP="00C27830">
      <w:pPr>
        <w:spacing w:before="120"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lastRenderedPageBreak/>
        <w:t xml:space="preserve">i) pertenecen a la rama ejecutiva del poder público, como manifestación de la descentralización por servicios. Así mismo, </w:t>
      </w:r>
      <w:proofErr w:type="spellStart"/>
      <w:r w:rsidRPr="007777D9">
        <w:rPr>
          <w:rFonts w:ascii="Century Gothic" w:hAnsi="Century Gothic" w:cs="Arial"/>
          <w:lang w:val="es-ES_tradnl" w:eastAsia="es-MX"/>
        </w:rPr>
        <w:t>ii</w:t>
      </w:r>
      <w:proofErr w:type="spellEnd"/>
      <w:r w:rsidRPr="007777D9">
        <w:rPr>
          <w:rFonts w:ascii="Century Gothic" w:hAnsi="Century Gothic" w:cs="Arial"/>
          <w:lang w:val="es-ES_tradnl" w:eastAsia="es-MX"/>
        </w:rPr>
        <w:t xml:space="preserve">) están sujetas al control fiscal, financiero, de gestión y de resultados en cabeza de la Contraloría General de la República. Por otra parte, </w:t>
      </w:r>
      <w:proofErr w:type="spellStart"/>
      <w:r w:rsidRPr="007777D9">
        <w:rPr>
          <w:rFonts w:ascii="Century Gothic" w:hAnsi="Century Gothic" w:cs="Arial"/>
          <w:lang w:val="es-ES_tradnl" w:eastAsia="es-MX"/>
        </w:rPr>
        <w:t>iii</w:t>
      </w:r>
      <w:proofErr w:type="spellEnd"/>
      <w:r w:rsidRPr="007777D9">
        <w:rPr>
          <w:rFonts w:ascii="Century Gothic" w:hAnsi="Century Gothic" w:cs="Arial"/>
          <w:lang w:val="es-ES_tradnl" w:eastAsia="es-MX"/>
        </w:rPr>
        <w:t xml:space="preserve">) se someten al control político, que ejerce directamente el Congreso de la República. Además, </w:t>
      </w:r>
      <w:proofErr w:type="spellStart"/>
      <w:r w:rsidRPr="007777D9">
        <w:rPr>
          <w:rFonts w:ascii="Century Gothic" w:hAnsi="Century Gothic" w:cs="Arial"/>
          <w:lang w:val="es-ES_tradnl" w:eastAsia="es-MX"/>
        </w:rPr>
        <w:t>iv</w:t>
      </w:r>
      <w:proofErr w:type="spellEnd"/>
      <w:r w:rsidRPr="007777D9">
        <w:rPr>
          <w:rFonts w:ascii="Century Gothic" w:hAnsi="Century Gothic" w:cs="Arial"/>
          <w:lang w:val="es-ES_tradnl" w:eastAsia="es-MX"/>
        </w:rPr>
        <w:t xml:space="preserve">) en el caso de las Sociedades de Economía Mixta del orden nacional, le corresponde al Congreso de la República su creación o autorización mediante ley. En cambio, v) en el caso de las de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7777D9">
        <w:rPr>
          <w:rFonts w:ascii="Century Gothic" w:hAnsi="Century Gothic" w:cs="Arial"/>
          <w:lang w:val="es-ES_tradnl" w:eastAsia="es-MX"/>
        </w:rPr>
        <w:t>vii</w:t>
      </w:r>
      <w:proofErr w:type="spellEnd"/>
      <w:r w:rsidRPr="007777D9">
        <w:rPr>
          <w:rFonts w:ascii="Century Gothic" w:hAnsi="Century Gothic" w:cs="Arial"/>
          <w:lang w:val="es-ES_tradnl" w:eastAsia="es-MX"/>
        </w:rPr>
        <w:t xml:space="preserve">) en materia presupuestal, las Sociedades de Economía Mixta quedan sujetas a las reglas de la ley orgánica del presupuesto. De otro lado, </w:t>
      </w:r>
      <w:proofErr w:type="spellStart"/>
      <w:r w:rsidRPr="007777D9">
        <w:rPr>
          <w:rFonts w:ascii="Century Gothic" w:hAnsi="Century Gothic" w:cs="Arial"/>
          <w:lang w:val="es-ES_tradnl" w:eastAsia="es-MX"/>
        </w:rPr>
        <w:t>viii</w:t>
      </w:r>
      <w:proofErr w:type="spellEnd"/>
      <w:r w:rsidRPr="007777D9">
        <w:rPr>
          <w:rFonts w:ascii="Century Gothic" w:hAnsi="Century Gothic" w:cs="Arial"/>
          <w:lang w:val="es-ES_tradnl" w:eastAsia="es-MX"/>
        </w:rPr>
        <w:t xml:space="preserve">) en materia contable, quedan vinculadas a las reglas de contabilidad oficial. Además, </w:t>
      </w:r>
      <w:proofErr w:type="spellStart"/>
      <w:r w:rsidRPr="007777D9">
        <w:rPr>
          <w:rFonts w:ascii="Century Gothic" w:hAnsi="Century Gothic" w:cs="Arial"/>
          <w:lang w:val="es-ES_tradnl" w:eastAsia="es-MX"/>
        </w:rPr>
        <w:t>ix</w:t>
      </w:r>
      <w:proofErr w:type="spellEnd"/>
      <w:r w:rsidRPr="007777D9">
        <w:rPr>
          <w:rFonts w:ascii="Century Gothic" w:hAnsi="Century Gothic" w:cs="Arial"/>
          <w:lang w:val="es-ES_tradnl" w:eastAsia="es-MX"/>
        </w:rPr>
        <w:t>) se rigen por el derecho privado, en virtud de la naturaleza de las actividades que desarrollan.  </w:t>
      </w:r>
    </w:p>
    <w:p w14:paraId="0CC65C0A" w14:textId="77777777" w:rsidR="00C27830" w:rsidRPr="007777D9" w:rsidRDefault="00C27830" w:rsidP="00C27830">
      <w:pPr>
        <w:spacing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Sin embargo, esta Corporación, en sentencia C-529 del 12 de julio de 2006, hizo énfasis en que, a pesar del sometimiento al régimen jurídico de derecho privado para el desarrollo de sus actividades, las Sociedades de Economía Mixta no pierden su carácter de expresión organizacional de la actividad estatal</w:t>
      </w:r>
      <w:r w:rsidRPr="007777D9">
        <w:rPr>
          <w:rStyle w:val="Refdenotaalpie"/>
          <w:rFonts w:ascii="Century Gothic" w:hAnsi="Century Gothic" w:cs="Arial"/>
          <w:lang w:val="es-ES_tradnl" w:eastAsia="es-MX"/>
        </w:rPr>
        <w:footnoteReference w:id="5"/>
      </w:r>
      <w:r w:rsidRPr="007777D9">
        <w:rPr>
          <w:rFonts w:ascii="Century Gothic" w:hAnsi="Century Gothic" w:cs="Arial"/>
          <w:lang w:val="es-ES_tradnl" w:eastAsia="es-MX"/>
        </w:rPr>
        <w:t>, más precisamente de la función administrativa</w:t>
      </w:r>
      <w:r w:rsidRPr="007777D9">
        <w:rPr>
          <w:rStyle w:val="Refdenotaalpie"/>
          <w:rFonts w:ascii="Century Gothic" w:hAnsi="Century Gothic" w:cs="Arial"/>
          <w:lang w:val="es-ES_tradnl" w:eastAsia="es-MX"/>
        </w:rPr>
        <w:footnoteReference w:id="6"/>
      </w:r>
      <w:r w:rsidRPr="007777D9">
        <w:rPr>
          <w:rFonts w:ascii="Century Gothic" w:hAnsi="Century Gothic" w:cs="Arial"/>
          <w:lang w:val="es-ES_tradnl" w:eastAsia="es-MX"/>
        </w:rPr>
        <w:t xml:space="preserve">, en virtud del aporte público en la </w:t>
      </w:r>
      <w:r w:rsidRPr="007777D9">
        <w:rPr>
          <w:rFonts w:ascii="Century Gothic" w:hAnsi="Century Gothic" w:cs="Arial"/>
          <w:lang w:val="es-ES_tradnl" w:eastAsia="es-MX"/>
        </w:rPr>
        <w:lastRenderedPageBreak/>
        <w:t>constitución del capital social y la consiguiente pertenencia a la administración pública, en la condición de entidades descentralizadas.</w:t>
      </w:r>
    </w:p>
    <w:p w14:paraId="30C5B3CB" w14:textId="77777777" w:rsidR="00C27830" w:rsidRPr="007777D9" w:rsidRDefault="00C27830" w:rsidP="00C27830">
      <w:pPr>
        <w:spacing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En este orden de ideas, resulta importante resaltar que, en nuestro ordenamiento jurídico,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14:paraId="2B8F3A25" w14:textId="77777777" w:rsidR="00C27830" w:rsidRPr="007777D9" w:rsidRDefault="00C27830" w:rsidP="00C27830">
      <w:pPr>
        <w:spacing w:before="120"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007777D9">
        <w:rPr>
          <w:rStyle w:val="Refdenotaalpie"/>
          <w:rFonts w:ascii="Century Gothic" w:hAnsi="Century Gothic" w:cs="Arial"/>
          <w:lang w:val="es-ES_tradnl" w:eastAsia="es-MX"/>
        </w:rPr>
        <w:footnoteReference w:id="7"/>
      </w:r>
      <w:r w:rsidRPr="007777D9">
        <w:rPr>
          <w:rFonts w:ascii="Century Gothic" w:hAnsi="Century Gothic" w:cs="Arial"/>
          <w:lang w:val="es-ES_tradnl" w:eastAsia="es-MX"/>
        </w:rPr>
        <w:t>. Esto significa que el legislador, en el año 1993, estableció que las Sociedades de Economía Mixta donde el Estado tenga participación superior al cincuenta por ciento (50%) están sujetos al EGCAP.</w:t>
      </w:r>
    </w:p>
    <w:p w14:paraId="30B66C01" w14:textId="77777777" w:rsidR="00C27830" w:rsidRPr="007777D9" w:rsidRDefault="00C27830" w:rsidP="00C27830">
      <w:pPr>
        <w:spacing w:before="120"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Frente al particular, el Consejo de Estado, en el concepto 1127 del 10 de diciembre de 2004, estableció que del análisis de esta norma se concluye que: “si la participación estatal en una sociedad de economía mixta es superior al cincuenta por ciento (50%) de su capital, ya no le aplica el derecho privado, como es la regla general, sino el Estatuto General de Contratación de la Administración Pública”</w:t>
      </w:r>
      <w:r w:rsidRPr="007777D9">
        <w:rPr>
          <w:rStyle w:val="Refdenotaalpie"/>
          <w:rFonts w:ascii="Century Gothic" w:hAnsi="Century Gothic" w:cs="Arial"/>
          <w:lang w:val="es-ES_tradnl" w:eastAsia="es-MX"/>
        </w:rPr>
        <w:footnoteReference w:id="8"/>
      </w:r>
      <w:r w:rsidRPr="007777D9">
        <w:rPr>
          <w:rFonts w:ascii="Century Gothic" w:hAnsi="Century Gothic" w:cs="Arial"/>
          <w:lang w:val="es-ES_tradnl" w:eastAsia="es-MX"/>
        </w:rPr>
        <w:t xml:space="preserve">. Es claro, entonces, que las Sociedades de Economía Mixta con participación estatal superior al cincuenta por ciento (50%) se rigen en materia </w:t>
      </w:r>
      <w:r w:rsidRPr="007777D9">
        <w:rPr>
          <w:rFonts w:ascii="Century Gothic" w:hAnsi="Century Gothic" w:cs="Arial"/>
          <w:lang w:val="es-ES_tradnl" w:eastAsia="es-MX"/>
        </w:rPr>
        <w:lastRenderedPageBreak/>
        <w:t xml:space="preserve">contractual por la Ley 80 de 1993, de acuerdo con la libertad de configuración del legislador en la materia. </w:t>
      </w:r>
    </w:p>
    <w:p w14:paraId="615A3A4A" w14:textId="77777777" w:rsidR="00C27830" w:rsidRPr="007777D9" w:rsidRDefault="00C27830" w:rsidP="00C27830">
      <w:pPr>
        <w:spacing w:before="120" w:after="12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Sin embargo, 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007777D9">
        <w:rPr>
          <w:rStyle w:val="Refdenotaalpie"/>
          <w:rFonts w:ascii="Century Gothic" w:hAnsi="Century Gothic" w:cs="Arial"/>
          <w:lang w:val="es-ES_tradnl" w:eastAsia="es-MX"/>
        </w:rPr>
        <w:footnoteReference w:id="9"/>
      </w:r>
      <w:r w:rsidRPr="007777D9">
        <w:rPr>
          <w:rFonts w:ascii="Century Gothic" w:hAnsi="Century Gothic" w:cs="Arial"/>
          <w:lang w:val="es-ES_tradnl"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5D7B1BDC" w14:textId="77777777" w:rsidR="00C27830" w:rsidRPr="007777D9" w:rsidRDefault="00C27830" w:rsidP="00C27830">
      <w:pPr>
        <w:spacing w:before="120" w:after="0" w:line="276" w:lineRule="auto"/>
        <w:ind w:firstLine="709"/>
        <w:jc w:val="both"/>
        <w:textAlignment w:val="baseline"/>
        <w:rPr>
          <w:rFonts w:ascii="Century Gothic" w:hAnsi="Century Gothic" w:cs="Arial"/>
          <w:lang w:val="es-ES_tradnl" w:eastAsia="es-MX"/>
        </w:rPr>
      </w:pPr>
      <w:r w:rsidRPr="007777D9">
        <w:rPr>
          <w:rFonts w:ascii="Century Gothic" w:hAnsi="Century Gothic" w:cs="Arial"/>
          <w:lang w:val="es-ES_tradnl" w:eastAsia="es-MX"/>
        </w:rPr>
        <w:t>Así las cosas, las Sociedades de Economía Mixta sometidas al EGCAP son aquellas en las que el aporte del Estado es superior al cincuenta por ciento (50%) y además las actuaciones que adelantan no se encuentran en competencia con el sector privado o público, nacional o internacional o en mercados regulados. Por el contrario, las Sociedades de Economía Mixta en las que el Estado tenga una participación menor al cincuenta por ciento (50%) o en los casos que desarrollan actividades comerciales en competencia con el sector privado y/o público, nacional o internacional, o en mercados regulados se regirán por las disposiciones legales y reglamentarias aplicables a sus actividades económicas y comerciales, lo que implica acudir usualmente al derecho privado.</w:t>
      </w:r>
    </w:p>
    <w:p w14:paraId="56E8A987" w14:textId="77777777" w:rsidR="00C27830" w:rsidRPr="007777D9" w:rsidRDefault="00C27830" w:rsidP="00C27830">
      <w:pPr>
        <w:spacing w:after="0" w:line="240" w:lineRule="auto"/>
        <w:rPr>
          <w:rFonts w:ascii="Century Gothic" w:hAnsi="Century Gothic" w:cs="Arial"/>
          <w:b/>
        </w:rPr>
      </w:pPr>
    </w:p>
    <w:p w14:paraId="36BC7B62" w14:textId="77777777" w:rsidR="00C27830" w:rsidRPr="007777D9" w:rsidRDefault="00C27830" w:rsidP="00C27830">
      <w:pPr>
        <w:spacing w:after="0" w:line="276" w:lineRule="auto"/>
        <w:jc w:val="both"/>
        <w:rPr>
          <w:rFonts w:ascii="Century Gothic" w:hAnsi="Century Gothic" w:cs="Arial"/>
          <w:b/>
          <w:lang w:val="es-ES_tradnl"/>
        </w:rPr>
      </w:pPr>
      <w:r w:rsidRPr="007777D9">
        <w:rPr>
          <w:rFonts w:ascii="Century Gothic" w:hAnsi="Century Gothic" w:cs="Arial"/>
          <w:b/>
          <w:bCs/>
        </w:rPr>
        <w:t>2.</w:t>
      </w:r>
      <w:r>
        <w:rPr>
          <w:rFonts w:ascii="Century Gothic" w:hAnsi="Century Gothic" w:cs="Arial"/>
          <w:b/>
          <w:bCs/>
        </w:rPr>
        <w:t>2</w:t>
      </w:r>
      <w:r w:rsidRPr="007777D9">
        <w:rPr>
          <w:rFonts w:ascii="Century Gothic" w:hAnsi="Century Gothic" w:cs="Arial"/>
          <w:b/>
          <w:bCs/>
        </w:rPr>
        <w:t xml:space="preserve">. </w:t>
      </w:r>
      <w:r w:rsidRPr="007777D9">
        <w:rPr>
          <w:rFonts w:ascii="Century Gothic" w:hAnsi="Century Gothic" w:cs="Arial"/>
          <w:b/>
          <w:lang w:val="es-ES_tradnl"/>
        </w:rPr>
        <w:t>Contratos interadministrativos: concepto y régimen jurídico aplicable. Reiteración de línea</w:t>
      </w:r>
    </w:p>
    <w:p w14:paraId="77D6222F" w14:textId="77777777" w:rsidR="00C27830" w:rsidRPr="007777D9" w:rsidRDefault="00C27830" w:rsidP="00C27830">
      <w:pPr>
        <w:spacing w:after="0" w:line="276" w:lineRule="auto"/>
        <w:jc w:val="both"/>
        <w:rPr>
          <w:rFonts w:ascii="Century Gothic" w:hAnsi="Century Gothic" w:cs="Arial"/>
          <w:b/>
          <w:lang w:val="es-ES_tradnl"/>
        </w:rPr>
      </w:pPr>
    </w:p>
    <w:p w14:paraId="6CEA5F21" w14:textId="77777777" w:rsidR="00C27830" w:rsidRPr="007777D9" w:rsidRDefault="00C27830" w:rsidP="00C27830">
      <w:pPr>
        <w:spacing w:after="0" w:line="276" w:lineRule="auto"/>
        <w:jc w:val="both"/>
        <w:rPr>
          <w:rFonts w:ascii="Century Gothic" w:hAnsi="Century Gothic" w:cs="Arial"/>
          <w:lang w:val="es-ES_tradnl"/>
        </w:rPr>
      </w:pPr>
      <w:r w:rsidRPr="007777D9">
        <w:rPr>
          <w:rFonts w:ascii="Century Gothic" w:hAnsi="Century Gothic" w:cs="Arial"/>
          <w:lang w:val="es-ES_tradnl"/>
        </w:rPr>
        <w:t>La contratación estatal constituye un instrumento a través del cual las entidades públicas realizan el aprovisionamiento de sus bienes, obras y servicios, con el propósito de satisfacer las necesidades e intereses colectivos</w:t>
      </w:r>
      <w:r w:rsidRPr="007777D9">
        <w:rPr>
          <w:rFonts w:ascii="Century Gothic" w:hAnsi="Century Gothic" w:cs="Arial"/>
          <w:vertAlign w:val="superscript"/>
        </w:rPr>
        <w:footnoteReference w:id="10"/>
      </w:r>
      <w:r w:rsidRPr="007777D9">
        <w:rPr>
          <w:rFonts w:ascii="Century Gothic" w:hAnsi="Century Gothic" w:cs="Arial"/>
          <w:lang w:val="es-ES_tradnl"/>
        </w:rPr>
        <w:t>. Para este propósito se sirve de la colaboración de los particulares o de otras entidades que integran la administración pública.</w:t>
      </w:r>
    </w:p>
    <w:p w14:paraId="76507124"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rPr>
        <w:t>Cuando se trata de contratos celebrados por dos Entidades Estatales, tales negocios jurídicos se han denominado como interadministrativos, en el entendido de que son celebrados entre entidades públicas. En efecto, la doctrina ha señalado que “se denominan contratos interadministrativos los contratos bilaterales celebrados entre dos entidades estatales”</w:t>
      </w:r>
      <w:r w:rsidRPr="007777D9">
        <w:rPr>
          <w:rFonts w:ascii="Century Gothic" w:hAnsi="Century Gothic" w:cs="Arial"/>
          <w:vertAlign w:val="superscript"/>
        </w:rPr>
        <w:footnoteReference w:id="11"/>
      </w:r>
      <w:r w:rsidRPr="007777D9">
        <w:rPr>
          <w:rFonts w:ascii="Century Gothic" w:hAnsi="Century Gothic" w:cs="Arial"/>
        </w:rPr>
        <w:t xml:space="preserve">. </w:t>
      </w:r>
      <w:r w:rsidRPr="007777D9">
        <w:rPr>
          <w:rFonts w:ascii="Century Gothic" w:hAnsi="Century Gothic" w:cs="Arial"/>
          <w:lang w:val="es-ES_tradnl"/>
        </w:rPr>
        <w:t>Sobre la tipología de contrato interadministrativo, conviene señalar que, aunque la Ley 80 de 1993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7777D9">
        <w:rPr>
          <w:rFonts w:ascii="Century Gothic" w:hAnsi="Century Gothic" w:cs="Arial"/>
          <w:vertAlign w:val="superscript"/>
          <w:lang w:val="es-ES_tradnl"/>
        </w:rPr>
        <w:footnoteReference w:id="12"/>
      </w:r>
      <w:r w:rsidRPr="007777D9">
        <w:rPr>
          <w:rFonts w:ascii="Century Gothic" w:hAnsi="Century Gothic" w:cs="Arial"/>
          <w:lang w:val="es-ES_tradnl"/>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14:paraId="07117189"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lang w:val="es-ES_tradnl"/>
        </w:rPr>
        <w:t xml:space="preserve">Si bien los contratos o convenios interadministrativos están previstos en la Ley 80 de 1993, en la Ley 1150 de 2007 y en el Decreto en el 1082 de 2015, no quiere decir que solo puedan celebrarse entre Entidades Estatales que apliquen el </w:t>
      </w:r>
      <w:r w:rsidRPr="007777D9">
        <w:rPr>
          <w:rFonts w:ascii="Century Gothic" w:hAnsi="Century Gothic" w:cs="Arial"/>
          <w:lang w:val="es-ES_tradnl"/>
        </w:rPr>
        <w:lastRenderedPageBreak/>
        <w:t>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433D4732"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lang w:val="es-ES_tradnl"/>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susceptible de pluralidad de oferentes</w:t>
      </w:r>
      <w:r w:rsidRPr="007777D9">
        <w:rPr>
          <w:rFonts w:ascii="Century Gothic" w:hAnsi="Century Gothic" w:cs="Arial"/>
          <w:vertAlign w:val="superscript"/>
          <w:lang w:val="es-ES_tradnl"/>
        </w:rPr>
        <w:footnoteReference w:id="13"/>
      </w:r>
      <w:r w:rsidRPr="007777D9">
        <w:rPr>
          <w:rFonts w:ascii="Century Gothic" w:hAnsi="Century Gothic" w:cs="Arial"/>
          <w:lang w:val="es-ES_tradnl"/>
        </w:rPr>
        <w:t>. Nótese que, en este caso, lo que cambia es la modalidad de selección y no la naturaleza de contrato interadministrativo.</w:t>
      </w:r>
    </w:p>
    <w:p w14:paraId="20E12C5F"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lang w:val="es-ES_tradnl"/>
        </w:rPr>
        <w:t>Además, es necesario tener en cuenta que para que un contrato o convenio interadministrativo exista debe cumplir con los siguientes elementos: acuerdo sobre el objeto y la contraprestación y que conste por escrito</w:t>
      </w:r>
      <w:r w:rsidRPr="007777D9">
        <w:rPr>
          <w:rFonts w:ascii="Century Gothic" w:hAnsi="Century Gothic" w:cs="Arial"/>
          <w:vertAlign w:val="superscript"/>
          <w:lang w:val="es-ES_tradnl"/>
        </w:rPr>
        <w:footnoteReference w:id="14"/>
      </w:r>
      <w:r w:rsidRPr="007777D9">
        <w:rPr>
          <w:rFonts w:ascii="Century Gothic" w:hAnsi="Century Gothic" w:cs="Arial"/>
          <w:lang w:val="es-ES_tradnl"/>
        </w:rPr>
        <w:t>. Entonces, si ambas partes son Entidades Estatales, pueden celebrar convenios interadministrativos, porque las disposiciones que regulan esta tipología hacen referencia a la calidad de los sujetos que intervienen en la contratación, que deben ser Entidades Estatales o de derecho público.</w:t>
      </w:r>
    </w:p>
    <w:p w14:paraId="796FFEDE"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lang w:val="es-ES_tradnl"/>
        </w:rPr>
        <w:t xml:space="preserve">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atendiendo a la literalidad de las normas enunciadas, no </w:t>
      </w:r>
      <w:r w:rsidRPr="007777D9">
        <w:rPr>
          <w:rFonts w:ascii="Century Gothic" w:hAnsi="Century Gothic" w:cs="Arial"/>
          <w:lang w:val="es-ES_tradnl"/>
        </w:rPr>
        <w:lastRenderedPageBreak/>
        <w:t>cabe una interpretación diferente</w:t>
      </w:r>
      <w:r w:rsidRPr="007777D9">
        <w:rPr>
          <w:rFonts w:ascii="Century Gothic" w:hAnsi="Century Gothic" w:cs="Arial"/>
          <w:vertAlign w:val="superscript"/>
          <w:lang w:val="es-ES_tradnl"/>
        </w:rPr>
        <w:footnoteReference w:id="15"/>
      </w:r>
      <w:r w:rsidRPr="007777D9">
        <w:rPr>
          <w:rFonts w:ascii="Century Gothic" w:hAnsi="Century Gothic" w:cs="Arial"/>
          <w:lang w:val="es-ES_tradnl"/>
        </w:rPr>
        <w:t>, pues, de acuerdo con lo anotado,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589179FE" w14:textId="77777777" w:rsidR="00C27830" w:rsidRPr="007777D9" w:rsidRDefault="00C27830" w:rsidP="00C27830">
      <w:pPr>
        <w:spacing w:after="0" w:line="276" w:lineRule="auto"/>
        <w:ind w:firstLine="709"/>
        <w:jc w:val="both"/>
        <w:rPr>
          <w:rFonts w:ascii="Century Gothic" w:hAnsi="Century Gothic" w:cs="Arial"/>
          <w:lang w:val="es-ES_tradnl"/>
        </w:rPr>
      </w:pPr>
    </w:p>
    <w:p w14:paraId="6001DC1D" w14:textId="77777777" w:rsidR="00C27830" w:rsidRPr="007777D9" w:rsidRDefault="00C27830" w:rsidP="00C27830">
      <w:pPr>
        <w:spacing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 se puede señalar que los convenios o contratos interadministrativos tienen como características principales las siguientes:</w:t>
      </w:r>
    </w:p>
    <w:p w14:paraId="42663261"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(i) constituyen verdaderos contratos en los términos del Código de Comercio cuando su objeto lo constituyen obligaciones patrimoniales; (</w:t>
      </w:r>
      <w:proofErr w:type="spellStart"/>
      <w:r w:rsidRPr="007777D9">
        <w:rPr>
          <w:rFonts w:ascii="Century Gothic" w:hAnsi="Century Gothic" w:cs="Arial"/>
          <w:sz w:val="21"/>
          <w:szCs w:val="21"/>
          <w:lang w:val="es-ES_tradnl"/>
        </w:rPr>
        <w:t>ii</w:t>
      </w:r>
      <w:proofErr w:type="spellEnd"/>
      <w:r w:rsidRPr="007777D9">
        <w:rPr>
          <w:rFonts w:ascii="Century Gothic" w:hAnsi="Century Gothic" w:cs="Arial"/>
          <w:sz w:val="21"/>
          <w:szCs w:val="21"/>
          <w:lang w:val="es-ES_tradnl"/>
        </w:rPr>
        <w:t>) tienen como fuente la autonomía contractual; (</w:t>
      </w:r>
      <w:proofErr w:type="spellStart"/>
      <w:r w:rsidRPr="007777D9">
        <w:rPr>
          <w:rFonts w:ascii="Century Gothic" w:hAnsi="Century Gothic" w:cs="Arial"/>
          <w:sz w:val="21"/>
          <w:szCs w:val="21"/>
          <w:lang w:val="es-ES_tradnl"/>
        </w:rPr>
        <w:t>iii</w:t>
      </w:r>
      <w:proofErr w:type="spellEnd"/>
      <w:r w:rsidRPr="007777D9">
        <w:rPr>
          <w:rFonts w:ascii="Century Gothic" w:hAnsi="Century Gothic" w:cs="Arial"/>
          <w:sz w:val="21"/>
          <w:szCs w:val="21"/>
          <w:lang w:val="es-ES_tradnl"/>
        </w:rPr>
        <w:t>) son contratos nominados puesto que están mencionados en la ley; (</w:t>
      </w:r>
      <w:proofErr w:type="spellStart"/>
      <w:r w:rsidRPr="007777D9">
        <w:rPr>
          <w:rFonts w:ascii="Century Gothic" w:hAnsi="Century Gothic" w:cs="Arial"/>
          <w:sz w:val="21"/>
          <w:szCs w:val="21"/>
          <w:lang w:val="es-ES_tradnl"/>
        </w:rPr>
        <w:t>iv</w:t>
      </w:r>
      <w:proofErr w:type="spellEnd"/>
      <w:r w:rsidRPr="007777D9">
        <w:rPr>
          <w:rFonts w:ascii="Century Gothic" w:hAnsi="Century Gothic" w:cs="Arial"/>
          <w:sz w:val="21"/>
          <w:szCs w:val="21"/>
          <w:lang w:val="es-ES_tradnl"/>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7777D9">
        <w:rPr>
          <w:rFonts w:ascii="Century Gothic" w:hAnsi="Century Gothic" w:cs="Arial"/>
          <w:sz w:val="21"/>
          <w:szCs w:val="21"/>
          <w:lang w:val="es-ES_tradnl"/>
        </w:rPr>
        <w:t>vii</w:t>
      </w:r>
      <w:proofErr w:type="spellEnd"/>
      <w:r w:rsidRPr="007777D9">
        <w:rPr>
          <w:rFonts w:ascii="Century Gothic" w:hAnsi="Century Gothic" w:cs="Arial"/>
          <w:sz w:val="21"/>
          <w:szCs w:val="21"/>
          <w:lang w:val="es-ES_tradnl"/>
        </w:rPr>
        <w:t>) persiguen una finalidad común a través de la realización de intereses compartidos entre las entidades vinculadas; (</w:t>
      </w:r>
      <w:proofErr w:type="spellStart"/>
      <w:r w:rsidRPr="007777D9">
        <w:rPr>
          <w:rFonts w:ascii="Century Gothic" w:hAnsi="Century Gothic" w:cs="Arial"/>
          <w:sz w:val="21"/>
          <w:szCs w:val="21"/>
          <w:lang w:val="es-ES_tradnl"/>
        </w:rPr>
        <w:t>viii</w:t>
      </w:r>
      <w:proofErr w:type="spellEnd"/>
      <w:r w:rsidRPr="007777D9">
        <w:rPr>
          <w:rFonts w:ascii="Century Gothic" w:hAnsi="Century Gothic" w:cs="Arial"/>
          <w:sz w:val="21"/>
          <w:szCs w:val="21"/>
          <w:lang w:val="es-ES_tradnl"/>
        </w:rPr>
        <w:t>) la acción mediante la cual se deben ventilar las diferencias que sobre el particular surjan es la de controversias contractuales”</w:t>
      </w:r>
      <w:r w:rsidRPr="007777D9">
        <w:rPr>
          <w:rFonts w:ascii="Century Gothic" w:hAnsi="Century Gothic" w:cs="Arial"/>
          <w:sz w:val="21"/>
          <w:szCs w:val="21"/>
          <w:vertAlign w:val="superscript"/>
          <w:lang w:val="es-ES_tradnl"/>
        </w:rPr>
        <w:footnoteReference w:id="16"/>
      </w:r>
      <w:r w:rsidRPr="007777D9">
        <w:rPr>
          <w:rFonts w:ascii="Century Gothic" w:hAnsi="Century Gothic" w:cs="Arial"/>
          <w:sz w:val="21"/>
          <w:szCs w:val="21"/>
          <w:lang w:val="es-ES_tradnl"/>
        </w:rPr>
        <w:t>.</w:t>
      </w:r>
    </w:p>
    <w:p w14:paraId="65A79804" w14:textId="77777777" w:rsidR="00C27830" w:rsidRPr="007777D9" w:rsidRDefault="00C27830" w:rsidP="00C27830">
      <w:pPr>
        <w:spacing w:after="0" w:line="276" w:lineRule="auto"/>
        <w:ind w:firstLine="709"/>
        <w:jc w:val="both"/>
        <w:rPr>
          <w:rFonts w:ascii="Century Gothic" w:hAnsi="Century Gothic" w:cs="Arial"/>
          <w:lang w:val="es-ES_tradnl"/>
        </w:rPr>
      </w:pPr>
    </w:p>
    <w:p w14:paraId="697FB70E" w14:textId="77777777" w:rsidR="00C27830" w:rsidRPr="007777D9" w:rsidRDefault="00C27830" w:rsidP="00C27830">
      <w:pPr>
        <w:spacing w:after="0" w:line="276" w:lineRule="auto"/>
        <w:ind w:firstLine="709"/>
        <w:jc w:val="both"/>
        <w:rPr>
          <w:rFonts w:ascii="Century Gothic" w:hAnsi="Century Gothic" w:cs="Arial"/>
          <w:lang w:val="es-ES_tradnl"/>
        </w:rPr>
      </w:pPr>
      <w:bookmarkStart w:id="8" w:name="_Hlk160035331"/>
      <w:r w:rsidRPr="007777D9">
        <w:rPr>
          <w:rFonts w:ascii="Century Gothic" w:hAnsi="Century Gothic" w:cs="Arial"/>
          <w:lang w:val="es-ES_tradnl"/>
        </w:rPr>
        <w:t xml:space="preserve">En relación con la modalidad de selección aplicable a la celebración de contratos y/o convenios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 </w:t>
      </w:r>
      <w:bookmarkEnd w:id="8"/>
      <w:r w:rsidRPr="007777D9">
        <w:rPr>
          <w:rFonts w:ascii="Century Gothic" w:hAnsi="Century Gothic" w:cs="Arial"/>
          <w:lang w:val="es-ES_tradnl"/>
        </w:rPr>
        <w:t xml:space="preserve">De esta manera, el artículo 2, numeral 4, literal c), de la mencionada ley –modificado por el artículo 92 de la Ley 1474 de 2011–, estableció lo siguiente: </w:t>
      </w:r>
    </w:p>
    <w:p w14:paraId="639E799D" w14:textId="77777777" w:rsidR="00C27830" w:rsidRPr="007777D9" w:rsidRDefault="00C27830" w:rsidP="00C27830">
      <w:pPr>
        <w:spacing w:after="0" w:line="276" w:lineRule="auto"/>
        <w:ind w:firstLine="709"/>
        <w:jc w:val="both"/>
        <w:rPr>
          <w:rFonts w:ascii="Century Gothic" w:hAnsi="Century Gothic" w:cs="Arial"/>
          <w:lang w:val="es-ES_tradnl"/>
        </w:rPr>
      </w:pPr>
    </w:p>
    <w:p w14:paraId="51AC5A98" w14:textId="77777777" w:rsidR="00C27830" w:rsidRPr="007777D9" w:rsidRDefault="00C27830" w:rsidP="00C27830">
      <w:pPr>
        <w:spacing w:before="120" w:after="0" w:line="240" w:lineRule="auto"/>
        <w:ind w:left="709" w:right="709"/>
        <w:jc w:val="both"/>
        <w:rPr>
          <w:rFonts w:ascii="Century Gothic" w:hAnsi="Century Gothic" w:cs="Arial"/>
          <w:sz w:val="20"/>
          <w:szCs w:val="20"/>
        </w:rPr>
      </w:pPr>
      <w:r w:rsidRPr="007777D9">
        <w:rPr>
          <w:rFonts w:ascii="Century Gothic" w:hAnsi="Century Gothic" w:cs="Arial"/>
          <w:sz w:val="20"/>
          <w:szCs w:val="20"/>
          <w:lang w:val="es-ES_tradnl"/>
        </w:rPr>
        <w:t xml:space="preserve">“[…] </w:t>
      </w:r>
      <w:r w:rsidRPr="007777D9">
        <w:rPr>
          <w:rFonts w:ascii="Century Gothic" w:hAnsi="Century Gothic" w:cs="Arial"/>
          <w:sz w:val="20"/>
          <w:szCs w:val="20"/>
        </w:rPr>
        <w:t xml:space="preserve">c) Contratos interadministrativos, siempre que las obligaciones derivadas del mismo tengan relación directa con el objeto de la entidad ejecutora señalado en la ley o en sus reglamentos. </w:t>
      </w:r>
    </w:p>
    <w:p w14:paraId="5C1C5BE6" w14:textId="77777777" w:rsidR="00C27830" w:rsidRPr="007777D9" w:rsidRDefault="00C27830" w:rsidP="00C27830">
      <w:pPr>
        <w:spacing w:before="120" w:after="0" w:line="240" w:lineRule="auto"/>
        <w:ind w:left="709" w:right="709"/>
        <w:jc w:val="both"/>
        <w:rPr>
          <w:rFonts w:ascii="Century Gothic" w:hAnsi="Century Gothic" w:cs="Arial"/>
          <w:sz w:val="20"/>
          <w:szCs w:val="20"/>
        </w:rPr>
      </w:pPr>
      <w:r w:rsidRPr="007777D9">
        <w:rPr>
          <w:rFonts w:ascii="Century Gothic" w:hAnsi="Century Gothic" w:cs="Arial"/>
          <w:sz w:val="20"/>
          <w:szCs w:val="20"/>
        </w:rPr>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46FE68DC" w14:textId="77777777" w:rsidR="00C27830" w:rsidRPr="007777D9" w:rsidRDefault="00C27830" w:rsidP="00C27830">
      <w:pPr>
        <w:spacing w:before="120" w:after="0" w:line="240" w:lineRule="auto"/>
        <w:ind w:left="709" w:right="709"/>
        <w:jc w:val="both"/>
        <w:rPr>
          <w:rFonts w:ascii="Century Gothic" w:hAnsi="Century Gothic" w:cs="Arial"/>
          <w:sz w:val="20"/>
          <w:szCs w:val="20"/>
        </w:rPr>
      </w:pPr>
      <w:r w:rsidRPr="007777D9">
        <w:rPr>
          <w:rFonts w:ascii="Century Gothic" w:hAnsi="Century Gothic" w:cs="Arial"/>
          <w:sz w:val="20"/>
          <w:szCs w:val="20"/>
        </w:rPr>
        <w:t>En aquellos eventos en que el régimen aplicable a la contratación de la entidad ejecutora no sea el de la Ley </w:t>
      </w:r>
      <w:hyperlink r:id="rId11" w:anchor="1" w:history="1">
        <w:r w:rsidRPr="007777D9">
          <w:rPr>
            <w:rStyle w:val="Hipervnculo"/>
            <w:rFonts w:ascii="Century Gothic" w:hAnsi="Century Gothic" w:cs="Arial"/>
            <w:sz w:val="20"/>
            <w:szCs w:val="20"/>
          </w:rPr>
          <w:t>80</w:t>
        </w:r>
      </w:hyperlink>
      <w:r w:rsidRPr="007777D9">
        <w:rPr>
          <w:rFonts w:ascii="Century Gothic" w:hAnsi="Century Gothic" w:cs="Arial"/>
          <w:sz w:val="20"/>
          <w:szCs w:val="20"/>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w:t>
      </w:r>
    </w:p>
    <w:p w14:paraId="2909A5C0" w14:textId="77777777" w:rsidR="00C27830" w:rsidRPr="007777D9" w:rsidRDefault="00C27830" w:rsidP="00C27830">
      <w:pPr>
        <w:spacing w:before="120" w:after="0" w:line="240" w:lineRule="auto"/>
        <w:ind w:left="709" w:right="709"/>
        <w:jc w:val="both"/>
        <w:rPr>
          <w:rFonts w:ascii="Century Gothic" w:hAnsi="Century Gothic" w:cs="Arial"/>
          <w:iCs/>
          <w:sz w:val="20"/>
          <w:szCs w:val="20"/>
        </w:rPr>
      </w:pPr>
      <w:r w:rsidRPr="007777D9">
        <w:rPr>
          <w:rFonts w:ascii="Century Gothic" w:hAnsi="Century Gothic" w:cs="Arial"/>
          <w:iCs/>
          <w:sz w:val="20"/>
          <w:szCs w:val="20"/>
        </w:rPr>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w:t>
      </w:r>
    </w:p>
    <w:p w14:paraId="72288AD1" w14:textId="77777777" w:rsidR="00C27830" w:rsidRPr="007777D9" w:rsidRDefault="00C27830" w:rsidP="00C27830">
      <w:pPr>
        <w:spacing w:before="120" w:after="0" w:line="240" w:lineRule="auto"/>
        <w:ind w:left="709" w:right="709"/>
        <w:jc w:val="both"/>
        <w:rPr>
          <w:rFonts w:ascii="Century Gothic" w:hAnsi="Century Gothic" w:cs="Arial"/>
          <w:sz w:val="20"/>
          <w:szCs w:val="20"/>
        </w:rPr>
      </w:pPr>
      <w:r w:rsidRPr="007777D9">
        <w:rPr>
          <w:rFonts w:ascii="Century Gothic" w:hAnsi="Century Gothic" w:cs="Arial"/>
          <w:sz w:val="20"/>
          <w:szCs w:val="20"/>
        </w:rPr>
        <w:t>Estarán exceptuados de la figura del contrato interadministrativo, los contratos de seguro de las entidades estatales”.</w:t>
      </w:r>
    </w:p>
    <w:p w14:paraId="18626C7D" w14:textId="77777777" w:rsidR="00C27830" w:rsidRPr="007777D9" w:rsidRDefault="00C27830" w:rsidP="00C27830">
      <w:pPr>
        <w:spacing w:after="0" w:line="276" w:lineRule="auto"/>
        <w:ind w:firstLine="709"/>
        <w:jc w:val="both"/>
        <w:rPr>
          <w:rFonts w:ascii="Century Gothic" w:hAnsi="Century Gothic" w:cs="Arial"/>
          <w:lang w:val="es-ES_tradnl"/>
        </w:rPr>
      </w:pPr>
    </w:p>
    <w:p w14:paraId="12E8B4EE" w14:textId="77777777" w:rsidR="00C27830" w:rsidRPr="007777D9" w:rsidRDefault="00C27830" w:rsidP="00C27830">
      <w:pPr>
        <w:spacing w:after="0" w:line="276" w:lineRule="auto"/>
        <w:ind w:firstLine="709"/>
        <w:jc w:val="both"/>
        <w:rPr>
          <w:rFonts w:ascii="Century Gothic" w:hAnsi="Century Gothic" w:cs="Arial"/>
          <w:lang w:val="es-ES_tradnl"/>
        </w:rPr>
      </w:pPr>
      <w:bookmarkStart w:id="9" w:name="_Hlk160035428"/>
      <w:r w:rsidRPr="007777D9">
        <w:rPr>
          <w:rFonts w:ascii="Century Gothic" w:hAnsi="Century Gothic" w:cs="Arial"/>
          <w:lang w:val="es-ES_tradnl"/>
        </w:rPr>
        <w:t xml:space="preserve">Según el inciso primero del literal trascrito, la suscripción de contratos interadministrativos de forma directa, conforme a dicha causal, está sujeta a que las obligaciones del negocio jurídico tengan relación directa con el objeto de la entidad ejecutora establecido en la ley o en sus reglamentos. La condición impuesta por el legislador para la suscripción de estos contratos se establece a efectos de constatar que el ejecutante cuente con la capacidad jurídica para contraer las obligaciones establecidas en el contrato.    </w:t>
      </w:r>
    </w:p>
    <w:p w14:paraId="0471C6D0" w14:textId="77777777" w:rsidR="00C27830" w:rsidRPr="007777D9" w:rsidRDefault="00C27830" w:rsidP="00C27830">
      <w:pPr>
        <w:spacing w:before="120" w:after="0" w:line="276" w:lineRule="auto"/>
        <w:ind w:firstLine="708"/>
        <w:jc w:val="both"/>
        <w:rPr>
          <w:rFonts w:ascii="Century Gothic" w:hAnsi="Century Gothic" w:cs="Arial"/>
          <w:lang w:val="es-ES_tradnl"/>
        </w:rPr>
      </w:pPr>
      <w:r w:rsidRPr="007777D9">
        <w:rPr>
          <w:rFonts w:ascii="Century Gothic" w:hAnsi="Century Gothic" w:cs="Arial"/>
          <w:lang w:val="es-ES_tradnl"/>
        </w:rPr>
        <w:t xml:space="preserve">De otro lado, se encuentra que el inciso segundo establece una limitación a la contratación directa mediante la causal del literal c) –transcrito anteriormente– dirigido a los supuestos en que las “instituciones de educación superior públicas o las Sociedades de Economía Mixta con participación mayoritaria del Estado, o las </w:t>
      </w:r>
      <w:r w:rsidRPr="007777D9">
        <w:rPr>
          <w:rFonts w:ascii="Century Gothic" w:hAnsi="Century Gothic" w:cs="Arial"/>
          <w:lang w:val="es-ES_tradnl"/>
        </w:rPr>
        <w:lastRenderedPageBreak/>
        <w:t>personas jurídicas sin ánimo de lucro conformadas por la asociación de entidades públicas, o las federaciones de entidades territoriales sean las ejecutoras”. De manera que cuando ellas sean las ejecutoras, no se pueden celebrar contratos interadministrativos de manera directa, utilizando la causal del literal c),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Estatuto General de Contratación de la Administración Pública, en adelante EGCAP, en los cuales dichas entidades podrían participar en igualdad de condiciones e, incluso, resultar adjudicatarias.</w:t>
      </w:r>
    </w:p>
    <w:bookmarkEnd w:id="9"/>
    <w:p w14:paraId="1BE4BD75" w14:textId="77777777" w:rsidR="00C27830" w:rsidRPr="007777D9" w:rsidRDefault="00C27830" w:rsidP="00C27830">
      <w:pPr>
        <w:spacing w:before="120" w:after="0" w:line="276" w:lineRule="auto"/>
        <w:ind w:firstLine="708"/>
        <w:jc w:val="both"/>
        <w:rPr>
          <w:rFonts w:ascii="Century Gothic" w:hAnsi="Century Gothic" w:cs="Arial"/>
        </w:rPr>
      </w:pPr>
      <w:r w:rsidRPr="007777D9">
        <w:rPr>
          <w:rFonts w:ascii="Century Gothic" w:hAnsi="Century Gothic" w:cs="Arial"/>
          <w:lang w:val="es-ES_tradnl"/>
        </w:rPr>
        <w:t xml:space="preserve">Finalmente, cabe destacar que de conformidad con lo dispuesto en el inciso tercero de la norma objeto de análisis, </w:t>
      </w:r>
      <w:r w:rsidRPr="007777D9">
        <w:rPr>
          <w:rFonts w:ascii="Century Gothic" w:hAnsi="Century Gothic" w:cs="Arial"/>
          <w:bCs/>
        </w:rPr>
        <w:t>la ejecución</w:t>
      </w:r>
      <w:r w:rsidRPr="007777D9">
        <w:rPr>
          <w:rFonts w:ascii="Century Gothic" w:hAnsi="Century Gothic" w:cs="Arial"/>
        </w:rPr>
        <w:t xml:space="preserve"> de los contratos interadministrativos quedó sometida por regla general al EGCAP, salvo los casos en que la entidad ejecutora actúa en régimen de competencia con el sector privado o cuando el contrato tenga relación directa con su actividad. En otras palabras, la ejecución del respectivo contrato interadministrativo podrá hacerse bajo unas normas distintas a las dispuestas en el EGCAP si existe una relación inmediata entre el objeto del contrato y la actividad propia de la entidad ejecutora.</w:t>
      </w:r>
    </w:p>
    <w:p w14:paraId="3144E535" w14:textId="77777777" w:rsidR="00C27830" w:rsidRPr="007777D9" w:rsidRDefault="00C27830" w:rsidP="00C27830">
      <w:pPr>
        <w:spacing w:before="120" w:after="0" w:line="276" w:lineRule="auto"/>
        <w:ind w:firstLine="708"/>
        <w:jc w:val="both"/>
        <w:rPr>
          <w:rFonts w:ascii="Century Gothic" w:hAnsi="Century Gothic" w:cs="Arial"/>
        </w:rPr>
      </w:pPr>
      <w:r w:rsidRPr="007777D9">
        <w:rPr>
          <w:rFonts w:ascii="Century Gothic" w:hAnsi="Century Gothic" w:cs="Arial"/>
        </w:rPr>
        <w:t>Aunado a la verificación de las condiciones anteriormente descritas, las entidades públicas también deben garantizar el cumplimiento de los principios de transparencia y selección objetiva</w:t>
      </w:r>
      <w:r w:rsidRPr="007777D9">
        <w:rPr>
          <w:rFonts w:ascii="Century Gothic" w:hAnsi="Century Gothic" w:cs="Arial"/>
          <w:vertAlign w:val="superscript"/>
        </w:rPr>
        <w:footnoteReference w:id="17"/>
      </w:r>
      <w:r w:rsidRPr="007777D9">
        <w:rPr>
          <w:rFonts w:ascii="Century Gothic" w:hAnsi="Century Gothic" w:cs="Arial"/>
        </w:rPr>
        <w:t xml:space="preserve">. Así lo ha señalado de manera unánime la jurisprudencia de la Sección Tercera del Consejo de Estado, en el sentido de que independiente de modalidad de selección, esto es mediante la contratación directa o un mecanismo competitivo, </w:t>
      </w:r>
      <w:proofErr w:type="gramStart"/>
      <w:r w:rsidRPr="007777D9">
        <w:rPr>
          <w:rFonts w:ascii="Century Gothic" w:hAnsi="Century Gothic" w:cs="Arial"/>
        </w:rPr>
        <w:t>la celebración de los contratos del Estado deben</w:t>
      </w:r>
      <w:proofErr w:type="gramEnd"/>
      <w:r w:rsidRPr="007777D9">
        <w:rPr>
          <w:rFonts w:ascii="Century Gothic" w:hAnsi="Century Gothic" w:cs="Arial"/>
        </w:rPr>
        <w:t xml:space="preserve"> estar orientados por los principios de la contratación estatal, siendo uno de ellos el de transparencia y selección objetiva</w:t>
      </w:r>
      <w:r w:rsidRPr="007777D9">
        <w:rPr>
          <w:rFonts w:ascii="Century Gothic" w:hAnsi="Century Gothic" w:cs="Arial"/>
          <w:vertAlign w:val="superscript"/>
        </w:rPr>
        <w:footnoteReference w:id="18"/>
      </w:r>
      <w:r w:rsidRPr="007777D9">
        <w:rPr>
          <w:rFonts w:ascii="Century Gothic" w:hAnsi="Century Gothic" w:cs="Arial"/>
        </w:rPr>
        <w:t xml:space="preserve">. </w:t>
      </w:r>
    </w:p>
    <w:p w14:paraId="3B19E278" w14:textId="77777777" w:rsidR="00C27830" w:rsidRPr="007777D9" w:rsidRDefault="00C27830" w:rsidP="00C27830">
      <w:pPr>
        <w:spacing w:after="0" w:line="276" w:lineRule="auto"/>
        <w:ind w:firstLine="708"/>
        <w:jc w:val="both"/>
        <w:rPr>
          <w:rFonts w:ascii="Century Gothic" w:hAnsi="Century Gothic" w:cs="Arial"/>
        </w:rPr>
      </w:pPr>
    </w:p>
    <w:p w14:paraId="6B11E29E" w14:textId="77777777" w:rsidR="00C27830" w:rsidRPr="007777D9" w:rsidRDefault="00C27830" w:rsidP="00C27830">
      <w:pPr>
        <w:widowControl w:val="0"/>
        <w:autoSpaceDE w:val="0"/>
        <w:autoSpaceDN w:val="0"/>
        <w:spacing w:after="0" w:line="276" w:lineRule="auto"/>
        <w:jc w:val="both"/>
        <w:rPr>
          <w:rFonts w:ascii="Century Gothic" w:eastAsia="Arial" w:hAnsi="Century Gothic" w:cs="Arial"/>
          <w:b/>
          <w:lang w:val="es-ES_tradnl"/>
        </w:rPr>
      </w:pPr>
      <w:r w:rsidRPr="007777D9">
        <w:rPr>
          <w:rFonts w:ascii="Century Gothic" w:eastAsia="Arial" w:hAnsi="Century Gothic" w:cs="Arial"/>
          <w:b/>
          <w:lang w:val="es-ES_tradnl"/>
        </w:rPr>
        <w:t>3. Respuestas</w:t>
      </w:r>
    </w:p>
    <w:p w14:paraId="282FBD1D" w14:textId="77777777" w:rsidR="00C27830" w:rsidRPr="007777D9" w:rsidRDefault="00C27830" w:rsidP="00C27830">
      <w:pPr>
        <w:widowControl w:val="0"/>
        <w:autoSpaceDE w:val="0"/>
        <w:autoSpaceDN w:val="0"/>
        <w:spacing w:after="0" w:line="276" w:lineRule="auto"/>
        <w:jc w:val="both"/>
        <w:rPr>
          <w:rFonts w:ascii="Century Gothic" w:eastAsia="Arial" w:hAnsi="Century Gothic" w:cs="Arial"/>
          <w:b/>
          <w:lang w:val="es-ES_tradnl"/>
        </w:rPr>
      </w:pPr>
    </w:p>
    <w:p w14:paraId="4A76C2CC" w14:textId="77777777" w:rsidR="00C27830" w:rsidRPr="007777D9" w:rsidRDefault="00C27830" w:rsidP="00C27830">
      <w:pPr>
        <w:spacing w:after="0" w:line="240" w:lineRule="auto"/>
        <w:ind w:left="709" w:right="709"/>
        <w:jc w:val="both"/>
        <w:rPr>
          <w:rFonts w:ascii="Century Gothic" w:hAnsi="Century Gothic" w:cs="Arial"/>
          <w:sz w:val="21"/>
          <w:szCs w:val="21"/>
        </w:rPr>
      </w:pPr>
      <w:r w:rsidRPr="007777D9">
        <w:rPr>
          <w:rFonts w:ascii="Century Gothic" w:hAnsi="Century Gothic" w:cs="Arial"/>
          <w:i/>
          <w:iCs/>
          <w:sz w:val="21"/>
          <w:szCs w:val="21"/>
          <w:lang w:val="es-ES_tradnl"/>
        </w:rPr>
        <w:lastRenderedPageBreak/>
        <w:t>“</w:t>
      </w:r>
      <w:r w:rsidRPr="007777D9">
        <w:rPr>
          <w:rFonts w:ascii="Century Gothic" w:hAnsi="Century Gothic" w:cs="Arial"/>
          <w:sz w:val="21"/>
          <w:szCs w:val="21"/>
        </w:rPr>
        <w:t xml:space="preserve">1. ¿Las entidades territoriales pueden realizar un nombramiento libre o contratar directamente de manera directa a empresas, organizaciones sin ánimo de lucro o de economía mixta para realizar funciones de asesoría directa de la entidad territorial (alcaldías, gobernaciones, </w:t>
      </w:r>
      <w:proofErr w:type="spellStart"/>
      <w:r w:rsidRPr="007777D9">
        <w:rPr>
          <w:rFonts w:ascii="Century Gothic" w:hAnsi="Century Gothic" w:cs="Arial"/>
          <w:sz w:val="21"/>
          <w:szCs w:val="21"/>
        </w:rPr>
        <w:t>etc</w:t>
      </w:r>
      <w:proofErr w:type="spellEnd"/>
      <w:r w:rsidRPr="007777D9">
        <w:rPr>
          <w:rFonts w:ascii="Century Gothic" w:hAnsi="Century Gothic" w:cs="Arial"/>
          <w:sz w:val="21"/>
          <w:szCs w:val="21"/>
        </w:rPr>
        <w:t>) debe ser persona natural?” [sic]</w:t>
      </w:r>
    </w:p>
    <w:p w14:paraId="491BEDF7" w14:textId="77777777" w:rsidR="00C27830" w:rsidRPr="007777D9" w:rsidRDefault="00C27830" w:rsidP="00C27830">
      <w:pPr>
        <w:spacing w:after="0" w:line="240" w:lineRule="auto"/>
        <w:ind w:right="709"/>
        <w:jc w:val="both"/>
        <w:rPr>
          <w:rFonts w:ascii="Century Gothic" w:hAnsi="Century Gothic" w:cs="Arial"/>
          <w:sz w:val="21"/>
          <w:szCs w:val="21"/>
        </w:rPr>
      </w:pPr>
    </w:p>
    <w:p w14:paraId="4F84FF1C" w14:textId="77777777" w:rsidR="00C27830" w:rsidRPr="007777D9" w:rsidRDefault="00C27830" w:rsidP="00C27830">
      <w:pPr>
        <w:spacing w:after="0" w:line="276" w:lineRule="auto"/>
        <w:jc w:val="both"/>
        <w:rPr>
          <w:rFonts w:ascii="Century Gothic" w:hAnsi="Century Gothic" w:cs="Arial"/>
        </w:rPr>
      </w:pPr>
      <w:r w:rsidRPr="007777D9">
        <w:rPr>
          <w:rFonts w:ascii="Century Gothic" w:hAnsi="Century Gothic" w:cs="Arial"/>
        </w:rPr>
        <w:t xml:space="preserve">De conformidad con lo expuesto en este concepto, se itera que la Agencia Nacional de Contratación Pública – Colombia Compra Eficiente,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 </w:t>
      </w:r>
    </w:p>
    <w:p w14:paraId="3C3BC1F8" w14:textId="77777777" w:rsidR="00C27830" w:rsidRPr="007777D9" w:rsidRDefault="00C27830" w:rsidP="00C27830">
      <w:pPr>
        <w:spacing w:before="120" w:after="0" w:line="276" w:lineRule="auto"/>
        <w:ind w:firstLine="709"/>
        <w:jc w:val="both"/>
        <w:rPr>
          <w:rFonts w:ascii="Century Gothic" w:hAnsi="Century Gothic" w:cs="Arial"/>
        </w:rPr>
      </w:pPr>
      <w:r w:rsidRPr="007777D9">
        <w:rPr>
          <w:rFonts w:ascii="Century Gothic" w:hAnsi="Century Gothic" w:cs="Arial"/>
        </w:rPr>
        <w:t>En ese contexto,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r w:rsidRPr="007777D9">
        <w:rPr>
          <w:rFonts w:ascii="Arial" w:hAnsi="Arial" w:cs="Arial"/>
        </w:rPr>
        <w:t> </w:t>
      </w:r>
      <w:r w:rsidRPr="007777D9">
        <w:rPr>
          <w:rFonts w:ascii="Century Gothic" w:hAnsi="Century Gothic" w:cs="Arial"/>
        </w:rPr>
        <w:t>Por ello, serán las entidades públicas, de conformidad con disposiciones jurídicas que les sean aplicables, las competentes para determinar en cada caso particular y concreto, la forma en la que adelantarán la contratación de los servicios que requieran.</w:t>
      </w:r>
    </w:p>
    <w:p w14:paraId="5B8D170A" w14:textId="77777777" w:rsidR="00C27830" w:rsidRPr="007777D9" w:rsidRDefault="00C27830" w:rsidP="00C27830">
      <w:pPr>
        <w:spacing w:after="0" w:line="240" w:lineRule="auto"/>
        <w:ind w:left="709" w:right="709"/>
        <w:jc w:val="both"/>
        <w:rPr>
          <w:rFonts w:ascii="Century Gothic" w:hAnsi="Century Gothic" w:cs="Arial"/>
          <w:sz w:val="21"/>
          <w:szCs w:val="21"/>
          <w:lang w:val="es-ES_tradnl"/>
        </w:rPr>
      </w:pPr>
    </w:p>
    <w:p w14:paraId="4EB9D391" w14:textId="77777777" w:rsidR="00C27830" w:rsidRPr="007777D9" w:rsidRDefault="00C27830" w:rsidP="00C27830">
      <w:pPr>
        <w:spacing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“2. Art. 2 de la Ley 1150 de 2007, Art. 92 de la Ley 1474 de 2011 y Ley 2195 de 2022, refieren que la contratación directa en modalidad de convenio interadministrativo podrá realizarse siempre y cuando la entidad de economía mixta o demás, y la entidad estatal sean afines en sus objetos y funciones […].</w:t>
      </w:r>
    </w:p>
    <w:p w14:paraId="49F641F5"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A) Quisiera que se explicara y se ampliara más sobre este punto, en especial, lo referente a la contratación directa bajo la modalidad de convenio interadministrativo entre dos o más entidades públicas (pública-publica) o entidad pública y de economías mixtas (pública-mixta)</w:t>
      </w:r>
    </w:p>
    <w:p w14:paraId="074D3D82" w14:textId="77777777" w:rsidR="00C27830" w:rsidRPr="007777D9" w:rsidRDefault="00C27830" w:rsidP="00C27830">
      <w:pPr>
        <w:spacing w:before="120" w:after="0" w:line="240" w:lineRule="auto"/>
        <w:ind w:left="709" w:right="709"/>
        <w:jc w:val="both"/>
        <w:rPr>
          <w:rFonts w:ascii="Century Gothic" w:hAnsi="Century Gothic" w:cs="Arial"/>
          <w:sz w:val="21"/>
          <w:szCs w:val="21"/>
          <w:lang w:val="es-ES_tradnl"/>
        </w:rPr>
      </w:pPr>
      <w:r w:rsidRPr="007777D9">
        <w:rPr>
          <w:rFonts w:ascii="Century Gothic" w:hAnsi="Century Gothic" w:cs="Arial"/>
          <w:sz w:val="21"/>
          <w:szCs w:val="21"/>
          <w:lang w:val="es-ES_tradnl"/>
        </w:rPr>
        <w:t xml:space="preserve">B) Además, quisiera por favor, que se ampliara y explicara más sobre las excepciones para contratos de obra civil, suministro y demás excepciones que indica la normatividad frente a la modalidad de selección directa por convenio interadministrativo ¿es posible realizar una contratación directa de convenio interadministrativo entre entidad pública – otra(s) publica(s); entidad pública y de economía mixta y, </w:t>
      </w:r>
      <w:r w:rsidRPr="007777D9">
        <w:rPr>
          <w:rFonts w:ascii="Century Gothic" w:hAnsi="Century Gothic" w:cs="Arial"/>
          <w:sz w:val="21"/>
          <w:szCs w:val="21"/>
          <w:lang w:val="es-ES_tradnl"/>
        </w:rPr>
        <w:lastRenderedPageBreak/>
        <w:t>entidad pública – entidad sin ánimo de lucro con asociados públicos? ¿Bajo qué condiciones se tiene permitido hacer? (Ejemplo: la participación de los fondos de la entidad mixta, entre otros)”. [sic]</w:t>
      </w:r>
    </w:p>
    <w:p w14:paraId="393D4E1D" w14:textId="77777777" w:rsidR="00C27830" w:rsidRPr="007777D9" w:rsidRDefault="00C27830" w:rsidP="00C27830">
      <w:pPr>
        <w:spacing w:after="0" w:line="240" w:lineRule="auto"/>
        <w:ind w:left="709" w:right="709"/>
        <w:jc w:val="both"/>
        <w:rPr>
          <w:rFonts w:ascii="Century Gothic" w:hAnsi="Century Gothic" w:cs="Arial"/>
          <w:sz w:val="21"/>
          <w:szCs w:val="21"/>
          <w:lang w:val="es-ES_tradnl"/>
        </w:rPr>
      </w:pPr>
    </w:p>
    <w:p w14:paraId="7FEA769D" w14:textId="77777777" w:rsidR="00C27830" w:rsidRPr="007777D9" w:rsidRDefault="00C27830" w:rsidP="00C27830">
      <w:pPr>
        <w:spacing w:after="0" w:line="276" w:lineRule="auto"/>
        <w:ind w:firstLine="709"/>
        <w:jc w:val="both"/>
        <w:rPr>
          <w:rFonts w:ascii="Century Gothic" w:hAnsi="Century Gothic" w:cs="Arial"/>
          <w:lang w:val="es-ES_tradnl"/>
        </w:rPr>
      </w:pPr>
      <w:r w:rsidRPr="007777D9">
        <w:rPr>
          <w:rFonts w:ascii="Century Gothic" w:hAnsi="Century Gothic" w:cs="Arial"/>
          <w:lang w:val="es-ES_tradnl"/>
        </w:rPr>
        <w:t>Como se indicó en este concepto, pese a que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de Ley 80 de 1993 celebrar esta clase de convenios con una Entidad Estatal de régimen especial y no por ello dejará de ser un contrato o convenio interadministrativo, caso en el cual su ejecución estará sometida a la Ley 80 de 1993.</w:t>
      </w:r>
    </w:p>
    <w:p w14:paraId="60D55B32" w14:textId="77777777" w:rsidR="00C27830" w:rsidRPr="007777D9" w:rsidRDefault="00C27830" w:rsidP="00C27830">
      <w:pPr>
        <w:spacing w:before="120" w:after="0" w:line="276" w:lineRule="auto"/>
        <w:ind w:firstLine="709"/>
        <w:jc w:val="both"/>
        <w:rPr>
          <w:rFonts w:ascii="Century Gothic" w:hAnsi="Century Gothic" w:cs="Arial"/>
          <w:lang w:val="es-ES_tradnl"/>
        </w:rPr>
      </w:pPr>
      <w:r w:rsidRPr="007777D9">
        <w:rPr>
          <w:rFonts w:ascii="Century Gothic" w:hAnsi="Century Gothic" w:cs="Arial"/>
          <w:lang w:val="es-ES_tradnl"/>
        </w:rPr>
        <w:t>Ahora bien, en lo que respecta a la modalidad de selección aplicable a la celebración de contratos o convenios interadministrativos, la Ley 1150 de 2007 establece que las Entidades Estatales pueden suscribirlos de manera directa, siempre que las obligaciones derivadas de los mismos tengan relación con el objeto de la entidad ejecutora. Sin embargo, esa misma ley establece excepciones concretas a esta facultad, aplicable a los supuestos en que ciertas tipologías contractuales sean ejecutadas por alguna de las Entidades Estatales enlistadas en dicha restricción.</w:t>
      </w:r>
    </w:p>
    <w:p w14:paraId="7418783C" w14:textId="77777777" w:rsidR="00C27830" w:rsidRPr="007777D9" w:rsidRDefault="00C27830" w:rsidP="00C27830">
      <w:pPr>
        <w:spacing w:before="120" w:after="0" w:line="276" w:lineRule="auto"/>
        <w:ind w:firstLine="709"/>
        <w:jc w:val="both"/>
        <w:rPr>
          <w:rFonts w:ascii="Century Gothic" w:hAnsi="Century Gothic" w:cs="Arial"/>
          <w:lang w:val="es-ES_tradnl"/>
        </w:rPr>
      </w:pPr>
      <w:r w:rsidRPr="007777D9">
        <w:rPr>
          <w:rFonts w:ascii="Century Gothic" w:hAnsi="Century Gothic" w:cs="Arial"/>
          <w:lang w:val="es-ES_tradnl"/>
        </w:rPr>
        <w:t xml:space="preserve">Particularmente, el inciso segundo del literal c, del numeral 4, del artículo 2 de la Ley 1150 de 2007, establece una limitación a la contratación directa dirigida a los supuestos en que las </w:t>
      </w:r>
      <w:r w:rsidRPr="00A0482C">
        <w:rPr>
          <w:rFonts w:ascii="Century Gothic" w:hAnsi="Century Gothic" w:cs="Arial"/>
          <w:i/>
          <w:iCs/>
          <w:lang w:val="es-ES_tradnl"/>
        </w:rPr>
        <w:t>“instituciones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w:t>
      </w:r>
      <w:r w:rsidRPr="007777D9">
        <w:rPr>
          <w:rFonts w:ascii="Century Gothic" w:hAnsi="Century Gothic" w:cs="Arial"/>
          <w:lang w:val="es-ES_tradnl"/>
        </w:rPr>
        <w:t xml:space="preserve"> De manera que cuando ellas sean las ejecutoras, no se pueden celebrar contratos interadministrativos de manera directa, utilizando la causal del literal c) </w:t>
      </w:r>
      <w:r w:rsidRPr="007777D9">
        <w:rPr>
          <w:rFonts w:ascii="Century Gothic" w:hAnsi="Century Gothic" w:cs="Arial"/>
          <w:i/>
          <w:iCs/>
          <w:lang w:val="es-ES_tradnl"/>
        </w:rPr>
        <w:t>ibídem</w:t>
      </w:r>
      <w:r w:rsidRPr="007777D9">
        <w:rPr>
          <w:rFonts w:ascii="Century Gothic" w:hAnsi="Century Gothic" w:cs="Arial"/>
          <w:lang w:val="es-ES_tradnl"/>
        </w:rPr>
        <w:t>, tratándose de “contratos de obra, suministro, prestación de servicios de evaluación de conformidad respecto de las normas o reglamentos técnicos, encargos fiduciarios y fiducia pública”. En esos supuestos específicos deberán adelantarse procesos competitivos, de acuerdo con las demás modalidades de selección establecidas en el Estatuto General de Contratación de la Administración Pública, en adelante EGCAP, en los cuales dichas entidades podrían participar en igualdad de condiciones e, incluso, resultar adjudicatarias.</w:t>
      </w:r>
    </w:p>
    <w:p w14:paraId="69C9854A" w14:textId="77777777" w:rsidR="00C27830" w:rsidRPr="007777D9" w:rsidRDefault="00C27830" w:rsidP="00C27830">
      <w:pPr>
        <w:spacing w:after="0" w:line="276" w:lineRule="auto"/>
        <w:jc w:val="both"/>
        <w:rPr>
          <w:rFonts w:ascii="Century Gothic" w:hAnsi="Century Gothic" w:cs="Arial"/>
          <w:lang w:val="es-ES_tradnl"/>
        </w:rPr>
      </w:pPr>
    </w:p>
    <w:p w14:paraId="730B4C82" w14:textId="77777777" w:rsidR="00C27830" w:rsidRPr="007777D9" w:rsidRDefault="00C27830" w:rsidP="00C27830">
      <w:pPr>
        <w:spacing w:after="0" w:line="276" w:lineRule="auto"/>
        <w:jc w:val="both"/>
        <w:rPr>
          <w:rFonts w:ascii="Century Gothic" w:hAnsi="Century Gothic" w:cs="Arial"/>
          <w:shd w:val="clear" w:color="auto" w:fill="FFFFFF"/>
          <w:lang w:val="es-MX"/>
        </w:rPr>
      </w:pPr>
      <w:r w:rsidRPr="007777D9">
        <w:rPr>
          <w:rFonts w:ascii="Century Gothic" w:hAnsi="Century Gothic" w:cs="Arial"/>
          <w:lang w:val="es-ES_tradnl"/>
        </w:rPr>
        <w:lastRenderedPageBreak/>
        <w:t>Este concepto tiene el alcance previsto en el artículo 28 del Código de Procedimiento Administrativo y de lo Contencioso Administrativo.</w:t>
      </w:r>
    </w:p>
    <w:bookmarkEnd w:id="0"/>
    <w:p w14:paraId="13831542" w14:textId="77777777" w:rsidR="00C27830" w:rsidRPr="007777D9" w:rsidRDefault="00C27830" w:rsidP="00C27830">
      <w:pPr>
        <w:spacing w:before="120" w:after="0" w:line="276" w:lineRule="auto"/>
        <w:jc w:val="both"/>
        <w:rPr>
          <w:rFonts w:ascii="Century Gothic" w:hAnsi="Century Gothic" w:cs="Arial"/>
          <w:lang w:val="es-ES_tradnl"/>
        </w:rPr>
      </w:pPr>
      <w:r w:rsidRPr="007777D9">
        <w:rPr>
          <w:rFonts w:ascii="Century Gothic" w:hAnsi="Century Gothic" w:cs="Arial"/>
          <w:lang w:val="es-ES_tradnl"/>
        </w:rPr>
        <w:t>Atentamente,</w:t>
      </w:r>
    </w:p>
    <w:p w14:paraId="26D34C89" w14:textId="77777777" w:rsidR="00C27830" w:rsidRPr="007777D9" w:rsidRDefault="00C27830" w:rsidP="00C27830">
      <w:pPr>
        <w:spacing w:after="0"/>
        <w:jc w:val="both"/>
        <w:rPr>
          <w:rFonts w:ascii="Century Gothic" w:hAnsi="Century Gothic"/>
          <w:lang w:val="es-MX"/>
        </w:rPr>
      </w:pPr>
    </w:p>
    <w:p w14:paraId="132BE928" w14:textId="3B1227B0" w:rsidR="00C27830" w:rsidRPr="007777D9" w:rsidRDefault="00C27830" w:rsidP="00C27830">
      <w:pPr>
        <w:spacing w:after="0"/>
        <w:jc w:val="center"/>
        <w:rPr>
          <w:rFonts w:ascii="Century Gothic" w:hAnsi="Century Gothic"/>
          <w:b/>
          <w:bCs/>
          <w:lang w:val="es-MX"/>
        </w:rPr>
      </w:pPr>
      <w:r>
        <w:rPr>
          <w:rStyle w:val="wacimagecontainer"/>
          <w:rFonts w:ascii="Segoe UI" w:hAnsi="Segoe UI" w:cs="Segoe UI"/>
          <w:noProof/>
          <w:color w:val="000000"/>
          <w:sz w:val="18"/>
          <w:szCs w:val="18"/>
          <w:shd w:val="clear" w:color="auto" w:fill="FFFFFF"/>
        </w:rPr>
        <w:drawing>
          <wp:inline distT="0" distB="0" distL="0" distR="0" wp14:anchorId="69CE7DB0" wp14:editId="270A9B41">
            <wp:extent cx="3152775" cy="1207770"/>
            <wp:effectExtent l="0" t="0" r="9525" b="0"/>
            <wp:docPr id="5066961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Pr>
          <w:rFonts w:ascii="Aptos" w:hAnsi="Aptos"/>
          <w:color w:val="000000"/>
          <w:shd w:val="clear" w:color="auto" w:fill="FFFFFF"/>
        </w:rPr>
        <w:br/>
      </w:r>
    </w:p>
    <w:p w14:paraId="169C5EA7" w14:textId="77777777" w:rsidR="00C27830" w:rsidRPr="007777D9" w:rsidRDefault="00C27830" w:rsidP="00C27830">
      <w:pPr>
        <w:spacing w:after="0"/>
        <w:jc w:val="both"/>
        <w:rPr>
          <w:rFonts w:ascii="Century Gothic" w:hAnsi="Century Gothic"/>
          <w:b/>
          <w:bCs/>
          <w:lang w:val="es-MX"/>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0"/>
        <w:gridCol w:w="4935"/>
      </w:tblGrid>
      <w:tr w:rsidR="00C27830" w:rsidRPr="00B00630" w14:paraId="324EF4F8" w14:textId="77777777" w:rsidTr="00611071">
        <w:trPr>
          <w:trHeight w:val="405"/>
        </w:trPr>
        <w:tc>
          <w:tcPr>
            <w:tcW w:w="810" w:type="dxa"/>
            <w:tcBorders>
              <w:top w:val="nil"/>
              <w:left w:val="nil"/>
              <w:bottom w:val="nil"/>
              <w:right w:val="nil"/>
            </w:tcBorders>
            <w:shd w:val="clear" w:color="auto" w:fill="auto"/>
            <w:vAlign w:val="center"/>
            <w:hideMark/>
          </w:tcPr>
          <w:p w14:paraId="07E7EC36"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Elaboró:</w:t>
            </w:r>
            <w:r w:rsidRPr="00B00630">
              <w:rPr>
                <w:rFonts w:ascii="Arial" w:eastAsia="Times New Roman" w:hAnsi="Arial" w:cs="Arial"/>
                <w:sz w:val="16"/>
                <w:szCs w:val="16"/>
                <w:lang w:eastAsia="es-CO"/>
              </w:rPr>
              <w:t> </w:t>
            </w:r>
            <w:r w:rsidRPr="00B00630">
              <w:rPr>
                <w:rFonts w:ascii="Century Gothic" w:eastAsia="Times New Roman" w:hAnsi="Century Gothic" w:cs="Segoe UI"/>
                <w:sz w:val="16"/>
                <w:szCs w:val="16"/>
                <w:lang w:eastAsia="es-CO"/>
              </w:rPr>
              <w:t> </w:t>
            </w:r>
          </w:p>
        </w:tc>
        <w:tc>
          <w:tcPr>
            <w:tcW w:w="4935" w:type="dxa"/>
            <w:tcBorders>
              <w:top w:val="nil"/>
              <w:left w:val="nil"/>
              <w:bottom w:val="dotted" w:sz="6" w:space="0" w:color="7F7F7F"/>
              <w:right w:val="nil"/>
            </w:tcBorders>
            <w:shd w:val="clear" w:color="auto" w:fill="auto"/>
            <w:vAlign w:val="center"/>
            <w:hideMark/>
          </w:tcPr>
          <w:p w14:paraId="675D884A"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Nasly Yeana Mosquera Rivas </w:t>
            </w:r>
          </w:p>
          <w:p w14:paraId="0A427353"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Analista T2 – 06 de la Subdirección de Gestión Contractual </w:t>
            </w:r>
          </w:p>
        </w:tc>
      </w:tr>
      <w:tr w:rsidR="00C27830" w:rsidRPr="00B00630" w14:paraId="427CBC10" w14:textId="77777777" w:rsidTr="00611071">
        <w:trPr>
          <w:trHeight w:val="405"/>
        </w:trPr>
        <w:tc>
          <w:tcPr>
            <w:tcW w:w="810" w:type="dxa"/>
            <w:tcBorders>
              <w:top w:val="nil"/>
              <w:left w:val="nil"/>
              <w:bottom w:val="nil"/>
              <w:right w:val="nil"/>
            </w:tcBorders>
            <w:shd w:val="clear" w:color="auto" w:fill="auto"/>
            <w:vAlign w:val="center"/>
            <w:hideMark/>
          </w:tcPr>
          <w:p w14:paraId="1A18A251"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Revisó </w:t>
            </w:r>
          </w:p>
        </w:tc>
        <w:tc>
          <w:tcPr>
            <w:tcW w:w="4935" w:type="dxa"/>
            <w:tcBorders>
              <w:top w:val="dotted" w:sz="6" w:space="0" w:color="7F7F7F"/>
              <w:left w:val="nil"/>
              <w:bottom w:val="dotted" w:sz="6" w:space="0" w:color="7F7F7F"/>
              <w:right w:val="nil"/>
            </w:tcBorders>
            <w:shd w:val="clear" w:color="auto" w:fill="auto"/>
            <w:vAlign w:val="center"/>
            <w:hideMark/>
          </w:tcPr>
          <w:p w14:paraId="3E17B732"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Alejandro Sarmiento Cantillo  </w:t>
            </w:r>
          </w:p>
          <w:p w14:paraId="2EDBD4BA"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Gestor T1 – 15 de la Subdirección de Gestión Contractual </w:t>
            </w:r>
          </w:p>
        </w:tc>
      </w:tr>
      <w:tr w:rsidR="00C27830" w:rsidRPr="00B00630" w14:paraId="5AB10BC7" w14:textId="77777777" w:rsidTr="00611071">
        <w:trPr>
          <w:trHeight w:val="375"/>
        </w:trPr>
        <w:tc>
          <w:tcPr>
            <w:tcW w:w="810" w:type="dxa"/>
            <w:tcBorders>
              <w:top w:val="nil"/>
              <w:left w:val="nil"/>
              <w:bottom w:val="nil"/>
              <w:right w:val="nil"/>
            </w:tcBorders>
            <w:shd w:val="clear" w:color="auto" w:fill="auto"/>
            <w:vAlign w:val="center"/>
            <w:hideMark/>
          </w:tcPr>
          <w:p w14:paraId="46477925"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Aprobó:</w:t>
            </w:r>
            <w:r w:rsidRPr="00B00630">
              <w:rPr>
                <w:rFonts w:ascii="Arial" w:eastAsia="Times New Roman" w:hAnsi="Arial" w:cs="Arial"/>
                <w:sz w:val="16"/>
                <w:szCs w:val="16"/>
                <w:lang w:eastAsia="es-CO"/>
              </w:rPr>
              <w:t> </w:t>
            </w:r>
            <w:r w:rsidRPr="00B00630">
              <w:rPr>
                <w:rFonts w:ascii="Century Gothic" w:eastAsia="Times New Roman" w:hAnsi="Century Gothic" w:cs="Segoe UI"/>
                <w:sz w:val="16"/>
                <w:szCs w:val="16"/>
                <w:lang w:eastAsia="es-CO"/>
              </w:rPr>
              <w:t> </w:t>
            </w:r>
          </w:p>
        </w:tc>
        <w:tc>
          <w:tcPr>
            <w:tcW w:w="4935" w:type="dxa"/>
            <w:tcBorders>
              <w:top w:val="dotted" w:sz="6" w:space="0" w:color="7F7F7F"/>
              <w:left w:val="nil"/>
              <w:bottom w:val="dotted" w:sz="6" w:space="0" w:color="7F7F7F"/>
              <w:right w:val="nil"/>
            </w:tcBorders>
            <w:shd w:val="clear" w:color="auto" w:fill="auto"/>
            <w:vAlign w:val="center"/>
            <w:hideMark/>
          </w:tcPr>
          <w:p w14:paraId="3EFF5749"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 xml:space="preserve">Nohelia del Carmen </w:t>
            </w:r>
            <w:proofErr w:type="spellStart"/>
            <w:r w:rsidRPr="00B00630">
              <w:rPr>
                <w:rFonts w:ascii="Century Gothic" w:eastAsia="Times New Roman" w:hAnsi="Century Gothic" w:cs="Segoe UI"/>
                <w:sz w:val="16"/>
                <w:szCs w:val="16"/>
                <w:lang w:eastAsia="es-CO"/>
              </w:rPr>
              <w:t>Zawady</w:t>
            </w:r>
            <w:proofErr w:type="spellEnd"/>
            <w:r w:rsidRPr="00B00630">
              <w:rPr>
                <w:rFonts w:ascii="Century Gothic" w:eastAsia="Times New Roman" w:hAnsi="Century Gothic" w:cs="Segoe UI"/>
                <w:sz w:val="16"/>
                <w:szCs w:val="16"/>
                <w:lang w:eastAsia="es-CO"/>
              </w:rPr>
              <w:t xml:space="preserve"> Palacio </w:t>
            </w:r>
          </w:p>
          <w:p w14:paraId="64C45300" w14:textId="77777777" w:rsidR="00C27830" w:rsidRPr="00B00630" w:rsidRDefault="00C27830" w:rsidP="00611071">
            <w:pPr>
              <w:spacing w:after="0" w:line="240" w:lineRule="auto"/>
              <w:jc w:val="both"/>
              <w:textAlignment w:val="baseline"/>
              <w:rPr>
                <w:rFonts w:ascii="Segoe UI" w:eastAsia="Times New Roman" w:hAnsi="Segoe UI" w:cs="Segoe UI"/>
                <w:sz w:val="18"/>
                <w:szCs w:val="18"/>
                <w:lang w:eastAsia="es-CO"/>
              </w:rPr>
            </w:pPr>
            <w:r w:rsidRPr="00B00630">
              <w:rPr>
                <w:rFonts w:ascii="Century Gothic" w:eastAsia="Times New Roman" w:hAnsi="Century Gothic" w:cs="Segoe UI"/>
                <w:sz w:val="16"/>
                <w:szCs w:val="16"/>
                <w:lang w:eastAsia="es-CO"/>
              </w:rPr>
              <w:t>Subdirectora de Gestión Contractual ANCP - CCE </w:t>
            </w:r>
          </w:p>
        </w:tc>
      </w:tr>
    </w:tbl>
    <w:p w14:paraId="551DB6E5" w14:textId="77777777" w:rsidR="00C27830" w:rsidRPr="007777D9" w:rsidRDefault="00C27830" w:rsidP="00C27830">
      <w:pPr>
        <w:spacing w:after="0"/>
        <w:jc w:val="both"/>
        <w:rPr>
          <w:rFonts w:ascii="Century Gothic" w:hAnsi="Century Gothic"/>
        </w:rPr>
      </w:pPr>
      <w:r w:rsidRPr="007777D9">
        <w:rPr>
          <w:rFonts w:ascii="Century Gothic" w:hAnsi="Century Gothic"/>
        </w:rPr>
        <w:t xml:space="preserve"> </w:t>
      </w:r>
    </w:p>
    <w:p w14:paraId="6FFE54B7" w14:textId="77777777" w:rsidR="00C27830" w:rsidRPr="0088654F" w:rsidRDefault="00C27830" w:rsidP="00C27830"/>
    <w:p w14:paraId="74CA8D8A" w14:textId="77777777" w:rsidR="00C27830" w:rsidRDefault="00C27830"/>
    <w:sectPr w:rsidR="00C27830" w:rsidSect="00C27830">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25C33D" w14:textId="77777777" w:rsidR="00C27830" w:rsidRDefault="00C27830" w:rsidP="00C27830">
      <w:pPr>
        <w:spacing w:after="0" w:line="240" w:lineRule="auto"/>
      </w:pPr>
      <w:r>
        <w:separator/>
      </w:r>
    </w:p>
  </w:endnote>
  <w:endnote w:type="continuationSeparator" w:id="0">
    <w:p w14:paraId="6664D18B" w14:textId="77777777" w:rsidR="00C27830" w:rsidRDefault="00C27830" w:rsidP="00C278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Calibri">
    <w:panose1 w:val="020F0502020204030204"/>
    <w:charset w:val="00"/>
    <w:family w:val="swiss"/>
    <w:pitch w:val="variable"/>
    <w:sig w:usb0="E4002EFF" w:usb1="C000247B"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7DB97" w14:textId="77777777" w:rsidR="006D7518" w:rsidRDefault="006D7518">
    <w:pPr>
      <w:pStyle w:val="Piedepgina"/>
    </w:pPr>
    <w:r>
      <w:rPr>
        <w:noProof/>
        <w:lang w:eastAsia="es-CO"/>
      </w:rPr>
      <w:drawing>
        <wp:inline distT="0" distB="0" distL="0" distR="0" wp14:anchorId="009F5B84" wp14:editId="7C868DA6">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62336" behindDoc="0" locked="0" layoutInCell="1" allowOverlap="1" wp14:anchorId="50F50A12" wp14:editId="6390482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6A90E874"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04502054" w14:textId="77777777" w:rsidR="006D7518" w:rsidRPr="003F3941" w:rsidRDefault="006D7518"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F4DC48" w14:textId="77777777" w:rsidR="006D7518" w:rsidRPr="003F3941" w:rsidRDefault="006D7518"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w:t>
          </w:r>
          <w:r>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CB37E9D" w14:textId="77777777" w:rsidR="006D7518" w:rsidRPr="003F3941" w:rsidRDefault="006D7518"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2D0D1950" w14:textId="77777777" w:rsidR="006D7518" w:rsidRPr="003F3941" w:rsidRDefault="006D7518"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5432948A" w14:textId="77777777" w:rsidR="006D7518" w:rsidRDefault="006D751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79470" w14:textId="77777777" w:rsidR="00C27830" w:rsidRDefault="00C27830" w:rsidP="00C27830">
      <w:pPr>
        <w:spacing w:after="0" w:line="240" w:lineRule="auto"/>
      </w:pPr>
      <w:r>
        <w:separator/>
      </w:r>
    </w:p>
  </w:footnote>
  <w:footnote w:type="continuationSeparator" w:id="0">
    <w:p w14:paraId="0F6B5B0F" w14:textId="77777777" w:rsidR="00C27830" w:rsidRDefault="00C27830" w:rsidP="00C27830">
      <w:pPr>
        <w:spacing w:after="0" w:line="240" w:lineRule="auto"/>
      </w:pPr>
      <w:r>
        <w:continuationSeparator/>
      </w:r>
    </w:p>
  </w:footnote>
  <w:footnote w:id="1">
    <w:p w14:paraId="43518821" w14:textId="77777777" w:rsidR="00C27830" w:rsidRPr="00A0482C" w:rsidRDefault="00C27830" w:rsidP="00C27830">
      <w:pPr>
        <w:pStyle w:val="Textonotapie"/>
        <w:ind w:firstLine="708"/>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La Agencia Nacional de Contratación Pública </w:t>
      </w:r>
      <w:r w:rsidRPr="008771D1">
        <w:rPr>
          <w:rFonts w:ascii="Arial" w:hAnsi="Arial" w:cs="Arial"/>
          <w:sz w:val="18"/>
          <w:szCs w:val="18"/>
        </w:rPr>
        <w:t>‒</w:t>
      </w:r>
      <w:r w:rsidRPr="00A0482C">
        <w:rPr>
          <w:rFonts w:ascii="Century Gothic" w:hAnsi="Century Gothic" w:cs="Arial"/>
          <w:sz w:val="18"/>
          <w:szCs w:val="18"/>
        </w:rPr>
        <w:t xml:space="preserve"> Colombia Compra Eficiente fue creada por el Decreto Ley 4170 de 2011. Su objetivo es servir como ente rector de la pol</w:t>
      </w:r>
      <w:r w:rsidRPr="00A0482C">
        <w:rPr>
          <w:rFonts w:ascii="Century Gothic" w:hAnsi="Century Gothic" w:cs="Century Gothic"/>
          <w:sz w:val="18"/>
          <w:szCs w:val="18"/>
        </w:rPr>
        <w:t>í</w:t>
      </w:r>
      <w:r w:rsidRPr="00A0482C">
        <w:rPr>
          <w:rFonts w:ascii="Century Gothic" w:hAnsi="Century Gothic" w:cs="Arial"/>
          <w:sz w:val="18"/>
          <w:szCs w:val="18"/>
        </w:rPr>
        <w:t>tica de compras y contrataci</w:t>
      </w:r>
      <w:r w:rsidRPr="00A0482C">
        <w:rPr>
          <w:rFonts w:ascii="Century Gothic" w:hAnsi="Century Gothic" w:cs="Century Gothic"/>
          <w:sz w:val="18"/>
          <w:szCs w:val="18"/>
        </w:rPr>
        <w:t>ó</w:t>
      </w:r>
      <w:r w:rsidRPr="00A0482C">
        <w:rPr>
          <w:rFonts w:ascii="Century Gothic" w:hAnsi="Century Gothic" w:cs="Arial"/>
          <w:sz w:val="18"/>
          <w:szCs w:val="18"/>
        </w:rPr>
        <w:t xml:space="preserve">n del Estado. Para tales fines, como </w:t>
      </w:r>
      <w:r w:rsidRPr="00A0482C">
        <w:rPr>
          <w:rFonts w:ascii="Century Gothic" w:hAnsi="Century Gothic" w:cs="Century Gothic"/>
          <w:sz w:val="18"/>
          <w:szCs w:val="18"/>
        </w:rPr>
        <w:t>ó</w:t>
      </w:r>
      <w:r w:rsidRPr="00A0482C">
        <w:rPr>
          <w:rFonts w:ascii="Century Gothic" w:hAnsi="Century Gothic" w:cs="Arial"/>
          <w:sz w:val="18"/>
          <w:szCs w:val="18"/>
        </w:rPr>
        <w:t>rgano t</w:t>
      </w:r>
      <w:r w:rsidRPr="00A0482C">
        <w:rPr>
          <w:rFonts w:ascii="Century Gothic" w:hAnsi="Century Gothic" w:cs="Century Gothic"/>
          <w:sz w:val="18"/>
          <w:szCs w:val="18"/>
        </w:rPr>
        <w:t>é</w:t>
      </w:r>
      <w:r w:rsidRPr="00A0482C">
        <w:rPr>
          <w:rFonts w:ascii="Century Gothic" w:hAnsi="Century Gothic" w:cs="Arial"/>
          <w:sz w:val="18"/>
          <w:szCs w:val="18"/>
        </w:rPr>
        <w:t>cnico especializado, le corresponde formular pol</w:t>
      </w:r>
      <w:r w:rsidRPr="00A0482C">
        <w:rPr>
          <w:rFonts w:ascii="Century Gothic" w:hAnsi="Century Gothic" w:cs="Century Gothic"/>
          <w:sz w:val="18"/>
          <w:szCs w:val="18"/>
        </w:rPr>
        <w:t>í</w:t>
      </w:r>
      <w:r w:rsidRPr="00A0482C">
        <w:rPr>
          <w:rFonts w:ascii="Century Gothic" w:hAnsi="Century Gothic" w:cs="Arial"/>
          <w:sz w:val="18"/>
          <w:szCs w:val="18"/>
        </w:rPr>
        <w:t>ticas p</w:t>
      </w:r>
      <w:r w:rsidRPr="00A0482C">
        <w:rPr>
          <w:rFonts w:ascii="Century Gothic" w:hAnsi="Century Gothic" w:cs="Century Gothic"/>
          <w:sz w:val="18"/>
          <w:szCs w:val="18"/>
        </w:rPr>
        <w:t>ú</w:t>
      </w:r>
      <w:r w:rsidRPr="00A0482C">
        <w:rPr>
          <w:rFonts w:ascii="Century Gothic" w:hAnsi="Century Gothic" w:cs="Arial"/>
          <w:sz w:val="18"/>
          <w:szCs w:val="18"/>
        </w:rPr>
        <w:t>blicas y normas y unificar los procesos de contrataci</w:t>
      </w:r>
      <w:r w:rsidRPr="00A0482C">
        <w:rPr>
          <w:rFonts w:ascii="Century Gothic" w:hAnsi="Century Gothic" w:cs="Century Gothic"/>
          <w:sz w:val="18"/>
          <w:szCs w:val="18"/>
        </w:rPr>
        <w:t>ó</w:t>
      </w:r>
      <w:r w:rsidRPr="00A0482C">
        <w:rPr>
          <w:rFonts w:ascii="Century Gothic" w:hAnsi="Century Gothic" w:cs="Arial"/>
          <w:sz w:val="18"/>
          <w:szCs w:val="18"/>
        </w:rPr>
        <w:t>n estatal, con el fin de lograr una mayor eficiencia, transparencia y optimizaci</w:t>
      </w:r>
      <w:r w:rsidRPr="00A0482C">
        <w:rPr>
          <w:rFonts w:ascii="Century Gothic" w:hAnsi="Century Gothic" w:cs="Century Gothic"/>
          <w:sz w:val="18"/>
          <w:szCs w:val="18"/>
        </w:rPr>
        <w:t>ó</w:t>
      </w:r>
      <w:r w:rsidRPr="00A0482C">
        <w:rPr>
          <w:rFonts w:ascii="Century Gothic" w:hAnsi="Century Gothic" w:cs="Arial"/>
          <w:sz w:val="18"/>
          <w:szCs w:val="18"/>
        </w:rPr>
        <w:t>n de los recursos del Estado. El art</w:t>
      </w:r>
      <w:r w:rsidRPr="00A0482C">
        <w:rPr>
          <w:rFonts w:ascii="Century Gothic" w:hAnsi="Century Gothic" w:cs="Century Gothic"/>
          <w:sz w:val="18"/>
          <w:szCs w:val="18"/>
        </w:rPr>
        <w:t>í</w:t>
      </w:r>
      <w:r w:rsidRPr="00A0482C">
        <w:rPr>
          <w:rFonts w:ascii="Century Gothic" w:hAnsi="Century Gothic" w:cs="Arial"/>
          <w:sz w:val="18"/>
          <w:szCs w:val="18"/>
        </w:rPr>
        <w:t xml:space="preserve">culo 3 </w:t>
      </w:r>
      <w:r w:rsidRPr="00A0482C">
        <w:rPr>
          <w:rFonts w:ascii="Century Gothic" w:hAnsi="Century Gothic" w:cs="Arial"/>
          <w:i/>
          <w:iCs/>
          <w:sz w:val="18"/>
          <w:szCs w:val="18"/>
        </w:rPr>
        <w:t xml:space="preserve">ibidem </w:t>
      </w:r>
      <w:r w:rsidRPr="00A0482C">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29E03793" w14:textId="77777777" w:rsidR="00C27830" w:rsidRPr="00A0482C" w:rsidRDefault="00C27830" w:rsidP="00C27830">
      <w:pPr>
        <w:pStyle w:val="Textonotapie"/>
        <w:ind w:firstLine="708"/>
        <w:jc w:val="both"/>
        <w:rPr>
          <w:rFonts w:ascii="Century Gothic" w:hAnsi="Century Gothic" w:cs="Arial"/>
          <w:sz w:val="18"/>
          <w:szCs w:val="18"/>
          <w:lang w:val="es-ES"/>
        </w:rPr>
      </w:pPr>
    </w:p>
  </w:footnote>
  <w:footnote w:id="2">
    <w:p w14:paraId="19C0D739" w14:textId="77777777" w:rsidR="00C27830" w:rsidRPr="00A0482C" w:rsidRDefault="00C27830" w:rsidP="00C27830">
      <w:pPr>
        <w:pStyle w:val="Textonotapie"/>
        <w:ind w:firstLine="709"/>
        <w:jc w:val="both"/>
        <w:rPr>
          <w:rFonts w:ascii="Century Gothic" w:hAnsi="Century Gothic" w:cs="Arial"/>
          <w:sz w:val="18"/>
          <w:szCs w:val="18"/>
          <w:lang w:val="es-CO"/>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Estos conceptos pueden ser consultados en el siguiente enlace: </w:t>
      </w:r>
      <w:hyperlink r:id="rId1" w:history="1">
        <w:r w:rsidRPr="00A0482C">
          <w:rPr>
            <w:rStyle w:val="Hipervnculo"/>
            <w:rFonts w:ascii="Century Gothic" w:hAnsi="Century Gothic" w:cs="Arial"/>
            <w:sz w:val="18"/>
            <w:szCs w:val="18"/>
          </w:rPr>
          <w:t>https://relatoria.colombiacompra.gov.co/busqueda/conceptos</w:t>
        </w:r>
      </w:hyperlink>
    </w:p>
  </w:footnote>
  <w:footnote w:id="3">
    <w:p w14:paraId="160D70DD" w14:textId="77777777" w:rsidR="00C27830" w:rsidRPr="00A0482C" w:rsidRDefault="00C27830" w:rsidP="00C27830">
      <w:pPr>
        <w:pStyle w:val="paragraph"/>
        <w:spacing w:before="0" w:beforeAutospacing="0" w:after="0" w:afterAutospacing="0"/>
        <w:ind w:firstLine="709"/>
        <w:jc w:val="both"/>
        <w:textAlignment w:val="baseline"/>
        <w:rPr>
          <w:rFonts w:ascii="Century Gothic" w:hAnsi="Century Gothic" w:cs="Arial"/>
          <w:color w:val="000000" w:themeColor="text1"/>
          <w:sz w:val="18"/>
          <w:szCs w:val="18"/>
        </w:rPr>
      </w:pPr>
      <w:r w:rsidRPr="00A0482C">
        <w:rPr>
          <w:rStyle w:val="Refdenotaalpie"/>
          <w:rFonts w:ascii="Century Gothic" w:eastAsiaTheme="majorEastAsia" w:hAnsi="Century Gothic" w:cs="Arial"/>
          <w:color w:val="000000" w:themeColor="text1"/>
          <w:sz w:val="18"/>
          <w:szCs w:val="18"/>
        </w:rPr>
        <w:footnoteRef/>
      </w:r>
      <w:r w:rsidRPr="00A0482C">
        <w:rPr>
          <w:rFonts w:ascii="Century Gothic" w:hAnsi="Century Gothic" w:cs="Arial"/>
          <w:color w:val="000000" w:themeColor="text1"/>
          <w:sz w:val="18"/>
          <w:szCs w:val="18"/>
        </w:rPr>
        <w:t xml:space="preserve"> </w:t>
      </w:r>
      <w:r w:rsidRPr="00A0482C">
        <w:rPr>
          <w:rFonts w:ascii="Century Gothic" w:hAnsi="Century Gothic" w:cs="Arial"/>
          <w:color w:val="000000" w:themeColor="text1"/>
          <w:sz w:val="18"/>
          <w:szCs w:val="18"/>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r w:rsidRPr="00A0482C">
        <w:rPr>
          <w:rFonts w:ascii="Century Gothic" w:hAnsi="Century Gothic" w:cs="Arial"/>
          <w:color w:val="000000" w:themeColor="text1"/>
          <w:sz w:val="18"/>
          <w:szCs w:val="18"/>
        </w:rPr>
        <w:t>  </w:t>
      </w:r>
    </w:p>
  </w:footnote>
  <w:footnote w:id="4">
    <w:p w14:paraId="1CAF88E2" w14:textId="77777777" w:rsidR="00C27830" w:rsidRPr="00A0482C" w:rsidRDefault="00C27830" w:rsidP="00C27830">
      <w:pPr>
        <w:spacing w:after="0"/>
        <w:ind w:firstLine="709"/>
        <w:jc w:val="both"/>
        <w:rPr>
          <w:rFonts w:ascii="Century Gothic" w:hAnsi="Century Gothic" w:cs="Arial"/>
          <w:sz w:val="18"/>
          <w:szCs w:val="18"/>
          <w:lang w:val="es-ES"/>
        </w:rPr>
      </w:pPr>
      <w:r w:rsidRPr="00A0482C">
        <w:rPr>
          <w:rFonts w:ascii="Century Gothic" w:hAnsi="Century Gothic" w:cs="Arial"/>
          <w:color w:val="000000" w:themeColor="text1"/>
          <w:sz w:val="18"/>
          <w:szCs w:val="18"/>
          <w:lang w:val="es-ES" w:eastAsia="es-MX"/>
        </w:rPr>
        <w:t xml:space="preserve"> </w:t>
      </w:r>
      <w:r w:rsidRPr="00A0482C">
        <w:rPr>
          <w:rStyle w:val="Refdenotaalpie"/>
          <w:rFonts w:ascii="Century Gothic" w:hAnsi="Century Gothic" w:cs="Arial"/>
          <w:color w:val="000000" w:themeColor="text1"/>
          <w:sz w:val="18"/>
          <w:szCs w:val="18"/>
        </w:rPr>
        <w:footnoteRef/>
      </w:r>
      <w:r w:rsidRPr="00A0482C">
        <w:rPr>
          <w:rFonts w:ascii="Century Gothic" w:hAnsi="Century Gothic" w:cs="Arial"/>
          <w:color w:val="000000" w:themeColor="text1"/>
          <w:sz w:val="18"/>
          <w:szCs w:val="18"/>
          <w:lang w:val="es-ES" w:eastAsia="es-MX"/>
        </w:rPr>
        <w:t xml:space="preserve"> Así lo establece la Constitución Política, en el artículo 150, numeral 7, así como en el artículo 300, numeral 7 y en el artículo 313, numeral 6.</w:t>
      </w:r>
    </w:p>
  </w:footnote>
  <w:footnote w:id="5">
    <w:p w14:paraId="1522FB3B" w14:textId="77777777" w:rsidR="00C27830" w:rsidRPr="00A0482C" w:rsidRDefault="00C27830" w:rsidP="00C27830">
      <w:pPr>
        <w:pStyle w:val="Textonotapie"/>
        <w:ind w:firstLine="709"/>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Las sociedades de economía mixta son una clara manifestación organizacional de la función administrativa. Al respecto, la doctrina colombiana ha considerado que “la organización debe ocupar un lugar central en el estudio del derecho administrativo, sobre todo si se tiene en cuenta que lo estructural es consustancial a la actividad administrativa. De hecho, podemos afirmar que se trata de una verdadera dialéctica en la que se presenta una relación de medio a fin, ya que su objeto es precisamente el diseño y puesta en funcionamiento de las maneras o formas de gestión de potestades, atribuciones y competencias administrativas” (RINCÓN CÓRDOBA, Jorge Iván. Teoría de la organización administrativa en Colombia, Bogotá: Universidad Externado de Colombia, 2019, pp. 31-32). </w:t>
      </w:r>
    </w:p>
    <w:p w14:paraId="7A0CB197" w14:textId="77777777" w:rsidR="00C27830" w:rsidRPr="00A0482C" w:rsidRDefault="00C27830" w:rsidP="00C27830">
      <w:pPr>
        <w:pStyle w:val="Textonotapie"/>
        <w:ind w:firstLine="709"/>
        <w:jc w:val="both"/>
        <w:rPr>
          <w:rFonts w:ascii="Century Gothic" w:hAnsi="Century Gothic" w:cs="Arial"/>
          <w:sz w:val="18"/>
          <w:szCs w:val="18"/>
        </w:rPr>
      </w:pPr>
    </w:p>
  </w:footnote>
  <w:footnote w:id="6">
    <w:p w14:paraId="5405DFAC" w14:textId="77777777" w:rsidR="00C27830" w:rsidRPr="00A0482C" w:rsidRDefault="00C27830" w:rsidP="00C27830">
      <w:pPr>
        <w:pStyle w:val="Textonotapie"/>
        <w:ind w:firstLine="709"/>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“Una función administrativa entendida entonces, como un conjunto de actividades particulares, disimiles entre sí, pero diversas de aquellas generales de Estado y particulares propias de la función judicial y legislativa, que dan desarrollo directo a las finalidades del estado, consagradas de manera positiva en la Constitución Política, que pueden ser desarrolladas por distintos sujetos de derecho, habilitados para ello, con el respeto y cumplimiento del ordenamiento jurídico superior” (MONTAÑA PLATA, Alberto. Fundamentos de derecho administrativo. Bogotá: Universidad Externado de Colombia, 2010, p. 124).</w:t>
      </w:r>
    </w:p>
    <w:p w14:paraId="0062A008" w14:textId="77777777" w:rsidR="00C27830" w:rsidRPr="00A0482C" w:rsidRDefault="00C27830" w:rsidP="00C27830">
      <w:pPr>
        <w:pStyle w:val="Textonotapie"/>
        <w:ind w:firstLine="709"/>
        <w:jc w:val="both"/>
        <w:rPr>
          <w:rFonts w:ascii="Century Gothic" w:hAnsi="Century Gothic" w:cs="Arial"/>
          <w:sz w:val="18"/>
          <w:szCs w:val="18"/>
          <w:lang w:val="es-CO"/>
        </w:rPr>
      </w:pPr>
    </w:p>
  </w:footnote>
  <w:footnote w:id="7">
    <w:p w14:paraId="62A1FE83" w14:textId="77777777" w:rsidR="00C27830" w:rsidRPr="00A0482C" w:rsidRDefault="00C27830" w:rsidP="00C27830">
      <w:pPr>
        <w:pStyle w:val="Textonotapie"/>
        <w:ind w:firstLine="708"/>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Ley 80 de 1993, artículo 2, literal a):</w:t>
      </w:r>
      <w:bookmarkStart w:id="7" w:name="2"/>
      <w:r w:rsidRPr="00A0482C">
        <w:rPr>
          <w:rFonts w:ascii="Century Gothic" w:hAnsi="Century Gothic" w:cs="Arial"/>
          <w:sz w:val="18"/>
          <w:szCs w:val="18"/>
        </w:rPr>
        <w:t xml:space="preserve"> “Artículo 2o. de la definición de entidades, servidores y servicios públicos. </w:t>
      </w:r>
      <w:bookmarkEnd w:id="7"/>
      <w:r w:rsidRPr="00A0482C">
        <w:rPr>
          <w:rFonts w:ascii="Century Gothic" w:hAnsi="Century Gothic" w:cs="Arial"/>
          <w:sz w:val="18"/>
          <w:szCs w:val="18"/>
        </w:rPr>
        <w:t>Para los solos efectos de esta ley:</w:t>
      </w:r>
    </w:p>
    <w:p w14:paraId="7BADDCDA"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t>“1o. Se denominan entidades estatales:</w:t>
      </w:r>
    </w:p>
    <w:p w14:paraId="57FE89AF"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5AF4ED64"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t>[…]”.</w:t>
      </w:r>
    </w:p>
  </w:footnote>
  <w:footnote w:id="8">
    <w:p w14:paraId="014407F9" w14:textId="77777777" w:rsidR="00C27830" w:rsidRPr="00A0482C" w:rsidRDefault="00C27830" w:rsidP="00C27830">
      <w:pPr>
        <w:pStyle w:val="Textonotapie"/>
        <w:ind w:firstLine="708"/>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Consejo de Estado, Sala de Consulta y Servicio Civil, Concepto 1127 del 10 de diciembre de 2004. M.P. Enrique José Arboleda Perdomo </w:t>
      </w:r>
    </w:p>
  </w:footnote>
  <w:footnote w:id="9">
    <w:p w14:paraId="29F28B7D" w14:textId="77777777" w:rsidR="00C27830" w:rsidRPr="00A0482C" w:rsidRDefault="00C27830" w:rsidP="00C27830">
      <w:pPr>
        <w:pStyle w:val="Textonotapie"/>
        <w:ind w:firstLine="708"/>
        <w:jc w:val="both"/>
        <w:rPr>
          <w:rFonts w:ascii="Century Gothic" w:hAnsi="Century Gothic" w:cs="Arial"/>
          <w:sz w:val="18"/>
          <w:szCs w:val="18"/>
        </w:rPr>
      </w:pPr>
      <w:r w:rsidRPr="00A0482C">
        <w:rPr>
          <w:rStyle w:val="Refdenotaalpie"/>
          <w:rFonts w:ascii="Century Gothic" w:hAnsi="Century Gothic" w:cs="Arial"/>
          <w:sz w:val="18"/>
          <w:szCs w:val="18"/>
        </w:rPr>
        <w:footnoteRef/>
      </w:r>
      <w:r w:rsidRPr="00A0482C">
        <w:rPr>
          <w:rFonts w:ascii="Century Gothic" w:hAnsi="Century Gothic" w:cs="Arial"/>
          <w:sz w:val="18"/>
          <w:szCs w:val="18"/>
        </w:rPr>
        <w:t xml:space="preserve"> Ley 1150 de 2007,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footnote>
  <w:footnote w:id="10">
    <w:p w14:paraId="58DDFE72"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rPr>
        <w:t xml:space="preserve"> Corte Constitucional, Sentencia C-449 de 1992, y Consejo de Estado, Sala de lo Contencioso Administrativo, Sección Tercera, Sentencia del 3 de diciembre de 2007, expedientes acumulados: (25206, 25409, 24524, 27834, 25410, 26105, 28244, 31447).</w:t>
      </w:r>
    </w:p>
    <w:p w14:paraId="57773E0E" w14:textId="77777777" w:rsidR="00C27830" w:rsidRPr="00A0482C" w:rsidRDefault="00C27830" w:rsidP="00C27830">
      <w:pPr>
        <w:pStyle w:val="Textonotapie"/>
        <w:jc w:val="both"/>
        <w:rPr>
          <w:rFonts w:ascii="Century Gothic" w:hAnsi="Century Gothic" w:cs="Arial"/>
          <w:sz w:val="18"/>
          <w:szCs w:val="18"/>
        </w:rPr>
      </w:pPr>
    </w:p>
  </w:footnote>
  <w:footnote w:id="11">
    <w:p w14:paraId="14949121"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DÁVILA VINUEZA. Luis Guillermo. Régimen jurídico de la contratación estatal. 3ª ed. Bogotá: Temis, 2016. p. 494.</w:t>
      </w:r>
    </w:p>
    <w:p w14:paraId="22906400" w14:textId="77777777" w:rsidR="00C27830" w:rsidRPr="00A0482C" w:rsidRDefault="00C27830" w:rsidP="00C27830">
      <w:pPr>
        <w:pStyle w:val="Textonotapie"/>
        <w:ind w:firstLine="708"/>
        <w:jc w:val="both"/>
        <w:rPr>
          <w:rFonts w:ascii="Century Gothic" w:hAnsi="Century Gothic" w:cs="Arial"/>
          <w:sz w:val="18"/>
          <w:szCs w:val="18"/>
        </w:rPr>
      </w:pPr>
    </w:p>
  </w:footnote>
  <w:footnote w:id="12">
    <w:p w14:paraId="185912A5"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2C2CF1B9"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13">
    <w:p w14:paraId="53421F5F"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2ABA5F32" w14:textId="77777777" w:rsidR="00C27830" w:rsidRPr="00A0482C" w:rsidRDefault="00C27830" w:rsidP="00C27830">
      <w:pPr>
        <w:pStyle w:val="Textonotapie"/>
        <w:ind w:firstLine="708"/>
        <w:jc w:val="both"/>
        <w:rPr>
          <w:rFonts w:ascii="Century Gothic" w:hAnsi="Century Gothic" w:cs="Arial"/>
          <w:sz w:val="18"/>
          <w:szCs w:val="18"/>
        </w:rPr>
      </w:pPr>
    </w:p>
  </w:footnote>
  <w:footnote w:id="14">
    <w:p w14:paraId="4AE2D948"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Ley 80 de 1993: “Artículo 41. Del perfeccionamiento del contrato. Los contratos del Estado se perfeccionan cuando se logre acuerdo sobre el objeto y la contraprestación y éste se eleve a escrito.</w:t>
      </w:r>
    </w:p>
    <w:p w14:paraId="7BB66A02"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t>[…]”.</w:t>
      </w:r>
    </w:p>
    <w:p w14:paraId="200DBA2D" w14:textId="77777777" w:rsidR="00C27830" w:rsidRPr="00A0482C" w:rsidRDefault="00C27830" w:rsidP="00C27830">
      <w:pPr>
        <w:pStyle w:val="Textonotapie"/>
        <w:ind w:firstLine="708"/>
        <w:jc w:val="both"/>
        <w:rPr>
          <w:rFonts w:ascii="Century Gothic" w:hAnsi="Century Gothic" w:cs="Arial"/>
          <w:sz w:val="18"/>
          <w:szCs w:val="18"/>
        </w:rPr>
      </w:pPr>
    </w:p>
  </w:footnote>
  <w:footnote w:id="15">
    <w:p w14:paraId="49AC161B"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Código Civil: “Artículo 27. Cuando el sentido de la ley sea claro, no se desatenderá su tenor a pretexto de consultar su espíritu”.</w:t>
      </w:r>
    </w:p>
  </w:footnote>
  <w:footnote w:id="16">
    <w:p w14:paraId="69D8E7C4"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Consejo de Estado. Sección Tercera. Sentencia del 23 de junio de 2010. Radicación No. 66001-23-31-000-1998-00261-01(17.860). Consejero Ponente: Mauricio Fajardo Gómez.</w:t>
      </w:r>
    </w:p>
  </w:footnote>
  <w:footnote w:id="17">
    <w:p w14:paraId="414041DD"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rPr>
        <w:footnoteRef/>
      </w:r>
      <w:r w:rsidRPr="00A0482C">
        <w:rPr>
          <w:rFonts w:ascii="Century Gothic" w:hAnsi="Century Gothic" w:cs="Arial"/>
          <w:sz w:val="18"/>
          <w:szCs w:val="18"/>
        </w:rPr>
        <w:t xml:space="preserve"> Consejo de Estado, Sala de lo Contencioso Administrativo, Sección Tercera, Subsección A, sentencia del 21 de mayo de 2021, radicado: 250002336000 201501315 01 (57822).</w:t>
      </w:r>
    </w:p>
  </w:footnote>
  <w:footnote w:id="18">
    <w:p w14:paraId="592B9832" w14:textId="77777777" w:rsidR="00C27830" w:rsidRPr="00A0482C" w:rsidRDefault="00C27830" w:rsidP="00C27830">
      <w:pPr>
        <w:pStyle w:val="Textonotapie"/>
        <w:ind w:firstLine="708"/>
        <w:jc w:val="both"/>
        <w:rPr>
          <w:rFonts w:ascii="Century Gothic" w:hAnsi="Century Gothic" w:cs="Arial"/>
          <w:sz w:val="18"/>
          <w:szCs w:val="18"/>
        </w:rPr>
      </w:pPr>
      <w:r w:rsidRPr="00A0482C">
        <w:rPr>
          <w:rFonts w:ascii="Century Gothic" w:hAnsi="Century Gothic" w:cs="Arial"/>
          <w:sz w:val="18"/>
          <w:szCs w:val="18"/>
          <w:vertAlign w:val="superscript"/>
        </w:rPr>
        <w:footnoteRef/>
      </w:r>
      <w:r w:rsidRPr="00A0482C">
        <w:rPr>
          <w:rFonts w:ascii="Century Gothic" w:hAnsi="Century Gothic" w:cs="Arial"/>
          <w:sz w:val="18"/>
          <w:szCs w:val="18"/>
          <w:vertAlign w:val="superscript"/>
        </w:rPr>
        <w:t xml:space="preserve"> </w:t>
      </w:r>
      <w:r w:rsidRPr="00A0482C">
        <w:rPr>
          <w:rFonts w:ascii="Century Gothic" w:hAnsi="Century Gothic" w:cs="Arial"/>
          <w:sz w:val="18"/>
          <w:szCs w:val="18"/>
        </w:rPr>
        <w:t>Sentencia del 14 de abril de 2005 radicación número: 19001-23-31-000-2002-01577-01 (AP); Sentencia del 28 de mayo de 2012 radicación número: 07001-23-31-000-1999-00546-01 (21489).</w:t>
      </w:r>
    </w:p>
    <w:p w14:paraId="787A98FE" w14:textId="77777777" w:rsidR="00C27830" w:rsidRPr="00A0482C" w:rsidRDefault="00C27830" w:rsidP="00C27830">
      <w:pPr>
        <w:pStyle w:val="Textonotapie"/>
        <w:ind w:firstLine="708"/>
        <w:jc w:val="both"/>
        <w:rPr>
          <w:rFonts w:ascii="Century Gothic" w:hAnsi="Century Gothic" w:cs="Arial"/>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C3885" w14:textId="77777777" w:rsidR="006D7518" w:rsidRDefault="006D7518">
    <w:pPr>
      <w:pStyle w:val="Encabezado"/>
    </w:pPr>
    <w:r>
      <w:rPr>
        <w:noProof/>
        <w:lang w:eastAsia="es-CO"/>
      </w:rPr>
      <w:drawing>
        <wp:anchor distT="0" distB="0" distL="114300" distR="114300" simplePos="0" relativeHeight="251659264" behindDoc="1" locked="0" layoutInCell="1" allowOverlap="1" wp14:anchorId="4EFCE5C9" wp14:editId="57082450">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63360" behindDoc="0" locked="0" layoutInCell="1" allowOverlap="1" wp14:anchorId="6E65F829" wp14:editId="58EE3AB3">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61312" behindDoc="0" locked="0" layoutInCell="1" allowOverlap="1" wp14:anchorId="464EBDF8" wp14:editId="55DA9DDF">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60288" behindDoc="0" locked="0" layoutInCell="1" allowOverlap="1" wp14:anchorId="3EE7587E" wp14:editId="4C3AA381">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1120FDB1" w14:textId="77777777" w:rsidR="006D7518" w:rsidRDefault="006D7518">
    <w:pPr>
      <w:pStyle w:val="Encabezado"/>
    </w:pPr>
  </w:p>
  <w:p w14:paraId="39B12BB2" w14:textId="77777777" w:rsidR="006D7518" w:rsidRDefault="006D7518">
    <w:pPr>
      <w:pStyle w:val="Encabezado"/>
    </w:pPr>
  </w:p>
  <w:p w14:paraId="5CE60E93" w14:textId="77777777" w:rsidR="006D7518" w:rsidRPr="004A305D" w:rsidRDefault="006D7518"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00C9FF1D" w14:textId="77777777" w:rsidR="006D7518" w:rsidRPr="004A305D" w:rsidRDefault="006D7518"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w:t>
    </w:r>
    <w:r>
      <w:rPr>
        <w:rFonts w:ascii="Century Gothic" w:eastAsia="Geo" w:hAnsi="Century Gothic" w:cs="Geo"/>
        <w:bCs/>
        <w:color w:val="000000"/>
        <w:sz w:val="16"/>
        <w:szCs w:val="16"/>
        <w:lang w:eastAsia="es-CO"/>
      </w:rPr>
      <w:t>7</w:t>
    </w:r>
  </w:p>
  <w:p w14:paraId="604CA99D" w14:textId="77777777" w:rsidR="006D7518" w:rsidRDefault="006D7518"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7813E112" w14:textId="77777777" w:rsidR="006D7518" w:rsidRDefault="006D7518" w:rsidP="005B5D8B">
    <w:pPr>
      <w:spacing w:after="0"/>
      <w:rPr>
        <w:rFonts w:ascii="Century Gothic" w:eastAsia="Geo" w:hAnsi="Century Gothic" w:cs="Geo"/>
        <w:sz w:val="16"/>
        <w:szCs w:val="16"/>
        <w:lang w:eastAsia="es-CO"/>
      </w:rPr>
    </w:pPr>
  </w:p>
  <w:p w14:paraId="2DAE7091" w14:textId="77777777" w:rsidR="006D7518" w:rsidRPr="005B5D8B" w:rsidRDefault="006D7518"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971129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830"/>
    <w:rsid w:val="00C278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D6F0C"/>
  <w15:chartTrackingRefBased/>
  <w15:docId w15:val="{3DEEB285-DFCC-4120-8B70-3CE87E608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7830"/>
    <w:pPr>
      <w:spacing w:line="259" w:lineRule="auto"/>
    </w:pPr>
    <w:rPr>
      <w:kern w:val="0"/>
      <w:sz w:val="22"/>
      <w:szCs w:val="22"/>
      <w14:ligatures w14:val="none"/>
    </w:rPr>
  </w:style>
  <w:style w:type="paragraph" w:styleId="Ttulo1">
    <w:name w:val="heading 1"/>
    <w:basedOn w:val="Normal"/>
    <w:next w:val="Normal"/>
    <w:link w:val="Ttulo1Car"/>
    <w:uiPriority w:val="9"/>
    <w:qFormat/>
    <w:rsid w:val="00C278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278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2783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2783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2783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278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278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278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2783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2783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2783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2783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2783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2783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2783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2783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2783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27830"/>
    <w:rPr>
      <w:rFonts w:eastAsiaTheme="majorEastAsia" w:cstheme="majorBidi"/>
      <w:color w:val="272727" w:themeColor="text1" w:themeTint="D8"/>
    </w:rPr>
  </w:style>
  <w:style w:type="paragraph" w:styleId="Ttulo">
    <w:name w:val="Title"/>
    <w:basedOn w:val="Normal"/>
    <w:next w:val="Normal"/>
    <w:link w:val="TtuloCar"/>
    <w:uiPriority w:val="10"/>
    <w:qFormat/>
    <w:rsid w:val="00C278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278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2783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2783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27830"/>
    <w:pPr>
      <w:spacing w:before="160"/>
      <w:jc w:val="center"/>
    </w:pPr>
    <w:rPr>
      <w:i/>
      <w:iCs/>
      <w:color w:val="404040" w:themeColor="text1" w:themeTint="BF"/>
    </w:rPr>
  </w:style>
  <w:style w:type="character" w:customStyle="1" w:styleId="CitaCar">
    <w:name w:val="Cita Car"/>
    <w:basedOn w:val="Fuentedeprrafopredeter"/>
    <w:link w:val="Cita"/>
    <w:uiPriority w:val="29"/>
    <w:rsid w:val="00C2783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C27830"/>
    <w:pPr>
      <w:ind w:left="720"/>
      <w:contextualSpacing/>
    </w:pPr>
  </w:style>
  <w:style w:type="character" w:styleId="nfasisintenso">
    <w:name w:val="Intense Emphasis"/>
    <w:basedOn w:val="Fuentedeprrafopredeter"/>
    <w:uiPriority w:val="21"/>
    <w:qFormat/>
    <w:rsid w:val="00C27830"/>
    <w:rPr>
      <w:i/>
      <w:iCs/>
      <w:color w:val="0F4761" w:themeColor="accent1" w:themeShade="BF"/>
    </w:rPr>
  </w:style>
  <w:style w:type="paragraph" w:styleId="Citadestacada">
    <w:name w:val="Intense Quote"/>
    <w:basedOn w:val="Normal"/>
    <w:next w:val="Normal"/>
    <w:link w:val="CitadestacadaCar"/>
    <w:uiPriority w:val="30"/>
    <w:qFormat/>
    <w:rsid w:val="00C278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27830"/>
    <w:rPr>
      <w:i/>
      <w:iCs/>
      <w:color w:val="0F4761" w:themeColor="accent1" w:themeShade="BF"/>
    </w:rPr>
  </w:style>
  <w:style w:type="character" w:styleId="Referenciaintensa">
    <w:name w:val="Intense Reference"/>
    <w:basedOn w:val="Fuentedeprrafopredeter"/>
    <w:uiPriority w:val="32"/>
    <w:qFormat/>
    <w:rsid w:val="00C27830"/>
    <w:rPr>
      <w:b/>
      <w:bCs/>
      <w:smallCaps/>
      <w:color w:val="0F4761" w:themeColor="accent1" w:themeShade="BF"/>
      <w:spacing w:val="5"/>
    </w:rPr>
  </w:style>
  <w:style w:type="paragraph" w:styleId="Encabezado">
    <w:name w:val="header"/>
    <w:basedOn w:val="Normal"/>
    <w:link w:val="EncabezadoCar"/>
    <w:uiPriority w:val="99"/>
    <w:unhideWhenUsed/>
    <w:rsid w:val="00C2783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7830"/>
    <w:rPr>
      <w:kern w:val="0"/>
      <w:sz w:val="22"/>
      <w:szCs w:val="22"/>
      <w14:ligatures w14:val="none"/>
    </w:rPr>
  </w:style>
  <w:style w:type="paragraph" w:styleId="Piedepgina">
    <w:name w:val="footer"/>
    <w:basedOn w:val="Normal"/>
    <w:link w:val="PiedepginaCar"/>
    <w:uiPriority w:val="99"/>
    <w:unhideWhenUsed/>
    <w:rsid w:val="00C2783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7830"/>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27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C2783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C2783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27830"/>
    <w:rPr>
      <w:vertAlign w:val="superscript"/>
    </w:rPr>
  </w:style>
  <w:style w:type="character" w:customStyle="1" w:styleId="normaltextrun">
    <w:name w:val="normaltextrun"/>
    <w:basedOn w:val="Fuentedeprrafopredeter"/>
    <w:rsid w:val="00C27830"/>
  </w:style>
  <w:style w:type="table" w:styleId="Tablaconcuadrcula">
    <w:name w:val="Table Grid"/>
    <w:basedOn w:val="Tablanormal"/>
    <w:uiPriority w:val="39"/>
    <w:rsid w:val="00C2783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C27830"/>
    <w:rPr>
      <w:color w:val="0000FF"/>
      <w:u w:val="single"/>
    </w:rPr>
  </w:style>
  <w:style w:type="paragraph" w:customStyle="1" w:styleId="paragraph">
    <w:name w:val="paragraph"/>
    <w:basedOn w:val="Normal"/>
    <w:rsid w:val="00C2783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C27830"/>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27830"/>
  </w:style>
  <w:style w:type="paragraph" w:customStyle="1" w:styleId="Appelnotedebasde">
    <w:name w:val="Appel note de bas de..."/>
    <w:basedOn w:val="Normal"/>
    <w:link w:val="Refdenotaalpie"/>
    <w:uiPriority w:val="99"/>
    <w:rsid w:val="00C27830"/>
    <w:pPr>
      <w:spacing w:line="240" w:lineRule="exact"/>
    </w:pPr>
    <w:rPr>
      <w:kern w:val="2"/>
      <w:sz w:val="24"/>
      <w:szCs w:val="24"/>
      <w:vertAlign w:val="superscript"/>
      <w14:ligatures w14:val="standardContextual"/>
    </w:rPr>
  </w:style>
  <w:style w:type="character" w:customStyle="1" w:styleId="wacimagecontainer">
    <w:name w:val="wacimagecontainer"/>
    <w:basedOn w:val="Fuentedeprrafopredeter"/>
    <w:rsid w:val="00C278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secretariasenado.gov.co/senado/basedoc/ley_0080_1993.html"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D6087F-1F03-41A3-8943-31E94C50E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D72E22-A723-453E-9897-DCDDF0CD971C}">
  <ds:schemaRefs>
    <ds:schemaRef ds:uri="http://schemas.microsoft.com/sharepoint/v3/contenttype/forms"/>
  </ds:schemaRefs>
</ds:datastoreItem>
</file>

<file path=customXml/itemProps3.xml><?xml version="1.0" encoding="utf-8"?>
<ds:datastoreItem xmlns:ds="http://schemas.openxmlformats.org/officeDocument/2006/customXml" ds:itemID="{FF944687-4411-4A75-8CD0-BB226B0C2ABF}">
  <ds:schemaRefs>
    <ds:schemaRef ds:uri="http://schemas.microsoft.com/office/2006/metadata/properties"/>
    <ds:schemaRef ds:uri="9d85dbaf-23eb-4e57-a637-93dcacc8b1a1"/>
    <ds:schemaRef ds:uri="http://schemas.openxmlformats.org/package/2006/metadata/core-properties"/>
    <ds:schemaRef ds:uri="http://schemas.microsoft.com/office/2006/documentManagement/types"/>
    <ds:schemaRef ds:uri="a6cb9e4b-f1d1-4245-83ec-6cad768d538a"/>
    <ds:schemaRef ds:uri="http://purl.org/dc/terms/"/>
    <ds:schemaRef ds:uri="http://schemas.microsoft.com/office/infopath/2007/PartnerControls"/>
    <ds:schemaRef ds:uri="http://purl.org/dc/elements/1.1/"/>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5007</Words>
  <Characters>27540</Characters>
  <Application>Microsoft Office Word</Application>
  <DocSecurity>0</DocSecurity>
  <Lines>229</Lines>
  <Paragraphs>64</Paragraphs>
  <ScaleCrop>false</ScaleCrop>
  <Company/>
  <LinksUpToDate>false</LinksUpToDate>
  <CharactersWithSpaces>32483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Nasly Yeana Mosquera Rivas</dc:creator>
  <cp:keywords/>
  <dc:description/>
  <cp:lastModifiedBy>Nasly Yeana Mosquera Rivas</cp:lastModifiedBy>
  <cp:revision>2</cp:revision>
  <dcterms:created xsi:type="dcterms:W3CDTF">2024-03-14T19:46:00Z</dcterms:created>
  <dcterms:modified xsi:type="dcterms:W3CDTF">2024-03-14T19:46:00Z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