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7BA26" w14:textId="77777777" w:rsidR="00BE1E33" w:rsidRPr="00310F22" w:rsidRDefault="00BE1E33" w:rsidP="000D264A">
      <w:pPr>
        <w:jc w:val="right"/>
        <w:rPr>
          <w:rFonts w:ascii="Arial" w:hAnsi="Arial" w:cs="Arial"/>
          <w:b/>
          <w:color w:val="000000" w:themeColor="text1"/>
          <w:sz w:val="16"/>
          <w:szCs w:val="16"/>
          <w:lang w:eastAsia="es-ES"/>
        </w:rPr>
      </w:pPr>
      <w:bookmarkStart w:id="0" w:name="_Hlk28946138"/>
      <w:bookmarkStart w:id="1" w:name="_Hlk29548183"/>
      <w:r w:rsidRPr="00310F22">
        <w:rPr>
          <w:rFonts w:ascii="Arial" w:hAnsi="Arial" w:cs="Arial"/>
          <w:b/>
          <w:color w:val="000000" w:themeColor="text1"/>
          <w:sz w:val="16"/>
          <w:szCs w:val="16"/>
          <w:lang w:eastAsia="es-ES"/>
        </w:rPr>
        <w:tab/>
        <w:t>CCE-DES-FM-17</w:t>
      </w:r>
    </w:p>
    <w:p w14:paraId="25784C1D" w14:textId="77777777" w:rsidR="00BE1E33" w:rsidRPr="00D14AF5" w:rsidRDefault="00BE1E33" w:rsidP="000D264A">
      <w:pPr>
        <w:jc w:val="both"/>
        <w:rPr>
          <w:rFonts w:ascii="Arial" w:eastAsia="Calibri" w:hAnsi="Arial" w:cs="Arial"/>
          <w:b/>
          <w:color w:val="000000" w:themeColor="text1"/>
          <w:sz w:val="16"/>
          <w:szCs w:val="16"/>
        </w:rPr>
      </w:pPr>
    </w:p>
    <w:p w14:paraId="02B9CCC5" w14:textId="7CCAA472" w:rsidR="00691EAB" w:rsidRPr="00F46E01" w:rsidRDefault="00691EAB" w:rsidP="00217D33">
      <w:pPr>
        <w:jc w:val="both"/>
        <w:rPr>
          <w:rFonts w:ascii="Arial" w:eastAsia="Calibri" w:hAnsi="Arial" w:cs="Arial"/>
          <w:b/>
          <w:color w:val="000000" w:themeColor="text1"/>
          <w:sz w:val="22"/>
          <w:lang w:val="es-ES_tradnl"/>
        </w:rPr>
      </w:pPr>
      <w:r w:rsidRPr="00F46E01">
        <w:rPr>
          <w:rFonts w:ascii="Arial" w:eastAsia="Calibri" w:hAnsi="Arial" w:cs="Arial"/>
          <w:b/>
          <w:color w:val="000000" w:themeColor="text1"/>
          <w:sz w:val="22"/>
          <w:lang w:val="es-ES_tradnl"/>
        </w:rPr>
        <w:t xml:space="preserve">MEDIOS ELECTRÓNICOS </w:t>
      </w:r>
      <w:r w:rsidR="00D14AF5" w:rsidRPr="00F46E01">
        <w:rPr>
          <w:rFonts w:ascii="Arial" w:eastAsia="Calibri" w:hAnsi="Arial" w:cs="Arial"/>
          <w:b/>
          <w:color w:val="000000" w:themeColor="text1"/>
          <w:sz w:val="22"/>
        </w:rPr>
        <w:t>–</w:t>
      </w:r>
      <w:r w:rsidRPr="00F46E01">
        <w:rPr>
          <w:rFonts w:ascii="Arial" w:eastAsia="Calibri" w:hAnsi="Arial" w:cs="Arial"/>
          <w:b/>
          <w:color w:val="000000" w:themeColor="text1"/>
          <w:sz w:val="22"/>
          <w:lang w:val="es-ES_tradnl"/>
        </w:rPr>
        <w:t xml:space="preserve"> Contratación estatal </w:t>
      </w:r>
      <w:r w:rsidR="00D14AF5" w:rsidRPr="00F46E01">
        <w:rPr>
          <w:rFonts w:ascii="Arial" w:eastAsia="Calibri" w:hAnsi="Arial" w:cs="Arial"/>
          <w:b/>
          <w:color w:val="000000" w:themeColor="text1"/>
          <w:sz w:val="22"/>
        </w:rPr>
        <w:t>–</w:t>
      </w:r>
      <w:r w:rsidRPr="00F46E01">
        <w:rPr>
          <w:rFonts w:ascii="Arial" w:eastAsia="Calibri" w:hAnsi="Arial" w:cs="Arial"/>
          <w:b/>
          <w:color w:val="000000" w:themeColor="text1"/>
          <w:sz w:val="22"/>
          <w:lang w:val="es-ES_tradnl"/>
        </w:rPr>
        <w:t xml:space="preserve"> Régimen jurídico</w:t>
      </w:r>
    </w:p>
    <w:p w14:paraId="2CF14D53" w14:textId="77777777" w:rsidR="00691EAB" w:rsidRPr="00D14AF5" w:rsidRDefault="00691EAB" w:rsidP="00217D33">
      <w:pPr>
        <w:jc w:val="both"/>
        <w:rPr>
          <w:rFonts w:ascii="Arial" w:eastAsia="Calibri" w:hAnsi="Arial" w:cs="Arial"/>
          <w:color w:val="000000" w:themeColor="text1"/>
          <w:sz w:val="20"/>
          <w:szCs w:val="20"/>
          <w:lang w:val="es-ES_tradnl"/>
        </w:rPr>
      </w:pPr>
    </w:p>
    <w:p w14:paraId="15B62804" w14:textId="238B9594" w:rsidR="00F94C19" w:rsidRDefault="00691EAB" w:rsidP="372AFE15">
      <w:pPr>
        <w:spacing w:after="120"/>
        <w:jc w:val="both"/>
        <w:rPr>
          <w:rFonts w:ascii="Arial" w:eastAsia="Calibri" w:hAnsi="Arial" w:cs="Arial"/>
          <w:color w:val="000000" w:themeColor="text1"/>
          <w:sz w:val="20"/>
          <w:szCs w:val="20"/>
          <w:lang w:val="es-ES"/>
        </w:rPr>
      </w:pPr>
      <w:r w:rsidRPr="372AFE15">
        <w:rPr>
          <w:rFonts w:ascii="Arial" w:eastAsia="Calibri" w:hAnsi="Arial" w:cs="Arial"/>
          <w:color w:val="000000" w:themeColor="text1"/>
          <w:sz w:val="20"/>
          <w:szCs w:val="20"/>
          <w:lang w:val="es-ES"/>
        </w:rPr>
        <w:t>[…]</w:t>
      </w:r>
      <w:r w:rsidR="377CE29B" w:rsidRPr="372AFE15">
        <w:rPr>
          <w:rFonts w:ascii="Arial" w:eastAsia="Calibri" w:hAnsi="Arial" w:cs="Arial"/>
          <w:color w:val="000000" w:themeColor="text1"/>
          <w:sz w:val="20"/>
          <w:szCs w:val="20"/>
          <w:lang w:val="es-ES"/>
        </w:rPr>
        <w:t>,</w:t>
      </w:r>
      <w:r w:rsidRPr="372AFE15">
        <w:rPr>
          <w:rFonts w:ascii="Arial" w:eastAsia="Calibri" w:hAnsi="Arial" w:cs="Arial"/>
          <w:color w:val="000000" w:themeColor="text1"/>
          <w:sz w:val="20"/>
          <w:szCs w:val="20"/>
          <w:lang w:val="es-ES"/>
        </w:rPr>
        <w:t xml:space="preserve"> </w:t>
      </w:r>
      <w:r w:rsidR="69DD541D" w:rsidRPr="372AFE15">
        <w:rPr>
          <w:rFonts w:ascii="Arial" w:eastAsia="Calibri" w:hAnsi="Arial" w:cs="Arial"/>
          <w:color w:val="000000" w:themeColor="text1"/>
          <w:sz w:val="20"/>
          <w:szCs w:val="20"/>
          <w:lang w:val="es-ES"/>
        </w:rPr>
        <w:t>l</w:t>
      </w:r>
      <w:r w:rsidRPr="372AFE15">
        <w:rPr>
          <w:rFonts w:ascii="Arial" w:eastAsia="Calibri" w:hAnsi="Arial" w:cs="Arial"/>
          <w:color w:val="000000" w:themeColor="text1"/>
          <w:sz w:val="20"/>
          <w:szCs w:val="20"/>
          <w:lang w:val="es-ES"/>
        </w:rPr>
        <w:t xml:space="preserve">a Ley 527 de 1999, «Por medio de la cual se define y reglamenta el acceso y uso de los mensajes de datos, del comercio electrónico y de las firmas digitales, y se establecen las entidades de certificación y se dictan otras disposiciones», establece en el artículo 10º que, «En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 De igual manera, 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 y «sistema de información» como «todo sistema utilizado para generar, enviar, recibir, archivar o procesar de alguna otra forma mensajes de datos». Bajo este entendido, las aplicaciones web, que posibilitan el envío de mensajes de datos escritos o audiovisuales, como </w:t>
      </w:r>
      <w:r w:rsidRPr="372AFE15">
        <w:rPr>
          <w:rFonts w:ascii="Arial" w:eastAsia="Calibri" w:hAnsi="Arial" w:cs="Arial"/>
          <w:i/>
          <w:iCs/>
          <w:color w:val="000000" w:themeColor="text1"/>
          <w:sz w:val="20"/>
          <w:szCs w:val="20"/>
          <w:lang w:val="es-ES"/>
        </w:rPr>
        <w:t>Skype</w:t>
      </w:r>
      <w:r w:rsidRPr="372AFE15">
        <w:rPr>
          <w:rFonts w:ascii="Arial" w:eastAsia="Calibri" w:hAnsi="Arial" w:cs="Arial"/>
          <w:color w:val="000000" w:themeColor="text1"/>
          <w:sz w:val="20"/>
          <w:szCs w:val="20"/>
          <w:lang w:val="es-ES"/>
        </w:rPr>
        <w:t xml:space="preserve">, </w:t>
      </w:r>
      <w:proofErr w:type="spellStart"/>
      <w:r w:rsidRPr="372AFE15">
        <w:rPr>
          <w:rFonts w:ascii="Arial" w:eastAsia="Calibri" w:hAnsi="Arial" w:cs="Arial"/>
          <w:i/>
          <w:iCs/>
          <w:color w:val="000000" w:themeColor="text1"/>
          <w:sz w:val="20"/>
          <w:szCs w:val="20"/>
          <w:lang w:val="es-ES"/>
        </w:rPr>
        <w:t>Facetime</w:t>
      </w:r>
      <w:proofErr w:type="spellEnd"/>
      <w:r w:rsidRPr="372AFE15">
        <w:rPr>
          <w:rFonts w:ascii="Arial" w:eastAsia="Calibri" w:hAnsi="Arial" w:cs="Arial"/>
          <w:color w:val="000000" w:themeColor="text1"/>
          <w:sz w:val="20"/>
          <w:szCs w:val="20"/>
          <w:lang w:val="es-ES"/>
        </w:rPr>
        <w:t xml:space="preserve">, </w:t>
      </w:r>
      <w:proofErr w:type="spellStart"/>
      <w:r w:rsidRPr="372AFE15">
        <w:rPr>
          <w:rFonts w:ascii="Arial" w:eastAsia="Calibri" w:hAnsi="Arial" w:cs="Arial"/>
          <w:i/>
          <w:iCs/>
          <w:color w:val="000000" w:themeColor="text1"/>
          <w:sz w:val="20"/>
          <w:szCs w:val="20"/>
          <w:lang w:val="es-ES"/>
        </w:rPr>
        <w:t>Wha</w:t>
      </w:r>
      <w:r w:rsidR="00547DE2" w:rsidRPr="372AFE15">
        <w:rPr>
          <w:rFonts w:ascii="Arial" w:eastAsia="Calibri" w:hAnsi="Arial" w:cs="Arial"/>
          <w:i/>
          <w:iCs/>
          <w:color w:val="000000" w:themeColor="text1"/>
          <w:sz w:val="20"/>
          <w:szCs w:val="20"/>
          <w:lang w:val="es-ES"/>
        </w:rPr>
        <w:t>t</w:t>
      </w:r>
      <w:r w:rsidRPr="372AFE15">
        <w:rPr>
          <w:rFonts w:ascii="Arial" w:eastAsia="Calibri" w:hAnsi="Arial" w:cs="Arial"/>
          <w:i/>
          <w:iCs/>
          <w:color w:val="000000" w:themeColor="text1"/>
          <w:sz w:val="20"/>
          <w:szCs w:val="20"/>
          <w:lang w:val="es-ES"/>
        </w:rPr>
        <w:t>sapp</w:t>
      </w:r>
      <w:proofErr w:type="spellEnd"/>
      <w:r w:rsidRPr="372AFE15">
        <w:rPr>
          <w:rFonts w:ascii="Arial" w:eastAsia="Calibri" w:hAnsi="Arial" w:cs="Arial"/>
          <w:color w:val="000000" w:themeColor="text1"/>
          <w:sz w:val="20"/>
          <w:szCs w:val="20"/>
          <w:lang w:val="es-ES"/>
        </w:rPr>
        <w:t xml:space="preserve">, </w:t>
      </w:r>
      <w:proofErr w:type="spellStart"/>
      <w:r w:rsidRPr="372AFE15">
        <w:rPr>
          <w:rFonts w:ascii="Arial" w:eastAsia="Calibri" w:hAnsi="Arial" w:cs="Arial"/>
          <w:i/>
          <w:iCs/>
          <w:color w:val="000000" w:themeColor="text1"/>
          <w:sz w:val="20"/>
          <w:szCs w:val="20"/>
          <w:lang w:val="es-ES"/>
        </w:rPr>
        <w:t>Teams</w:t>
      </w:r>
      <w:proofErr w:type="spellEnd"/>
      <w:r w:rsidRPr="372AFE15">
        <w:rPr>
          <w:rFonts w:ascii="Arial" w:eastAsia="Calibri" w:hAnsi="Arial" w:cs="Arial"/>
          <w:color w:val="000000" w:themeColor="text1"/>
          <w:sz w:val="20"/>
          <w:szCs w:val="20"/>
          <w:lang w:val="es-ES"/>
        </w:rPr>
        <w:t>, entre otras, constituyen sistemas de información, permitidos por el legislador en las actuaciones administrativas.</w:t>
      </w:r>
    </w:p>
    <w:p w14:paraId="43ACE4CF" w14:textId="77777777" w:rsidR="00524B94" w:rsidRDefault="00691EAB" w:rsidP="00524B94">
      <w:pPr>
        <w:spacing w:after="120"/>
        <w:jc w:val="both"/>
        <w:rPr>
          <w:rFonts w:ascii="Arial" w:eastAsia="Calibri" w:hAnsi="Arial" w:cs="Arial"/>
          <w:color w:val="000000" w:themeColor="text1"/>
          <w:sz w:val="20"/>
          <w:szCs w:val="20"/>
          <w:lang w:val="es-ES_tradnl"/>
        </w:rPr>
      </w:pPr>
      <w:r w:rsidRPr="00310F22">
        <w:rPr>
          <w:rFonts w:ascii="Arial" w:eastAsia="Calibri" w:hAnsi="Arial" w:cs="Arial"/>
          <w:color w:val="000000" w:themeColor="text1"/>
          <w:sz w:val="20"/>
          <w:szCs w:val="20"/>
          <w:lang w:val="es-ES_tradnl"/>
        </w:rPr>
        <w:t>Adicionalmente, la Ley 1150 de 2007, «Por medio de la cual se introducen medidas para la eficiencia y la transparencia en la Ley 80 de 1993 y se dictan otras disposiciones generales sobre la contratación con Recursos Públicos», incorporó la posibilidad de utilizar dichos sistemas de información y en general los medios electrónicos en las actuaciones contractuales.</w:t>
      </w:r>
    </w:p>
    <w:p w14:paraId="1F150714" w14:textId="5942F266" w:rsidR="00691EAB" w:rsidRPr="00310F22" w:rsidRDefault="00691EAB" w:rsidP="00217D33">
      <w:pPr>
        <w:jc w:val="both"/>
        <w:rPr>
          <w:rFonts w:ascii="Arial" w:eastAsia="Calibri" w:hAnsi="Arial" w:cs="Arial"/>
          <w:color w:val="000000" w:themeColor="text1"/>
          <w:sz w:val="20"/>
          <w:szCs w:val="20"/>
          <w:lang w:val="es-ES_tradnl"/>
        </w:rPr>
      </w:pPr>
      <w:r w:rsidRPr="00310F22">
        <w:rPr>
          <w:rFonts w:ascii="Arial" w:eastAsia="Calibri" w:hAnsi="Arial" w:cs="Arial"/>
          <w:color w:val="000000" w:themeColor="text1"/>
          <w:sz w:val="20"/>
          <w:szCs w:val="20"/>
          <w:lang w:val="es-ES_tradnl"/>
        </w:rPr>
        <w:t>Como se observa, este enunciado normativo introduce en la contratación estatal la regulación contenida en la Ley 527 de 1999, permitiendo que el trámite de los procedimientos contractuales se realice por medios electrónicos; medios en los que cabe, como ya se indicó, el uso de sistemas de información para el envío de mensajes de datos.</w:t>
      </w:r>
    </w:p>
    <w:p w14:paraId="04BD3CB2" w14:textId="77777777" w:rsidR="00691EAB" w:rsidRPr="00D14AF5" w:rsidRDefault="00691EAB" w:rsidP="00217D33">
      <w:pPr>
        <w:jc w:val="both"/>
        <w:rPr>
          <w:rFonts w:ascii="Arial" w:eastAsia="Calibri" w:hAnsi="Arial" w:cs="Arial"/>
          <w:b/>
          <w:color w:val="000000" w:themeColor="text1"/>
          <w:sz w:val="20"/>
          <w:szCs w:val="20"/>
          <w:lang w:val="es-ES_tradnl"/>
        </w:rPr>
      </w:pPr>
    </w:p>
    <w:p w14:paraId="6ACE3581" w14:textId="161C096F" w:rsidR="00691EAB" w:rsidRPr="00EA40D2" w:rsidRDefault="00691EAB" w:rsidP="00217D33">
      <w:pPr>
        <w:jc w:val="both"/>
        <w:rPr>
          <w:rFonts w:ascii="Arial" w:eastAsia="Calibri" w:hAnsi="Arial" w:cs="Arial"/>
          <w:b/>
          <w:color w:val="000000" w:themeColor="text1"/>
          <w:sz w:val="22"/>
          <w:lang w:val="es-ES_tradnl"/>
        </w:rPr>
      </w:pPr>
      <w:r w:rsidRPr="00EA40D2">
        <w:rPr>
          <w:rFonts w:ascii="Arial" w:eastAsia="Calibri" w:hAnsi="Arial" w:cs="Arial"/>
          <w:b/>
          <w:color w:val="000000" w:themeColor="text1"/>
          <w:sz w:val="22"/>
          <w:lang w:val="es-ES_tradnl"/>
        </w:rPr>
        <w:t xml:space="preserve">FIRMA ELECTRÓNICA </w:t>
      </w:r>
      <w:r w:rsidR="00D14AF5" w:rsidRPr="006C15D5">
        <w:rPr>
          <w:rFonts w:ascii="Arial" w:eastAsia="Calibri" w:hAnsi="Arial" w:cs="Arial"/>
          <w:b/>
          <w:color w:val="000000" w:themeColor="text1"/>
          <w:sz w:val="22"/>
        </w:rPr>
        <w:t>–</w:t>
      </w:r>
      <w:r w:rsidRPr="00EA40D2">
        <w:rPr>
          <w:rFonts w:ascii="Arial" w:eastAsia="Calibri" w:hAnsi="Arial" w:cs="Arial"/>
          <w:b/>
          <w:color w:val="000000" w:themeColor="text1"/>
          <w:sz w:val="22"/>
          <w:lang w:val="es-ES_tradnl"/>
        </w:rPr>
        <w:t xml:space="preserve"> Concepto </w:t>
      </w:r>
      <w:r w:rsidR="00D14AF5" w:rsidRPr="006C15D5">
        <w:rPr>
          <w:rFonts w:ascii="Arial" w:eastAsia="Calibri" w:hAnsi="Arial" w:cs="Arial"/>
          <w:b/>
          <w:color w:val="000000" w:themeColor="text1"/>
          <w:sz w:val="22"/>
        </w:rPr>
        <w:t>–</w:t>
      </w:r>
      <w:r w:rsidRPr="00EA40D2">
        <w:rPr>
          <w:rFonts w:ascii="Arial" w:eastAsia="Calibri" w:hAnsi="Arial" w:cs="Arial"/>
          <w:b/>
          <w:color w:val="000000" w:themeColor="text1"/>
          <w:sz w:val="22"/>
          <w:lang w:val="es-ES_tradnl"/>
        </w:rPr>
        <w:t xml:space="preserve"> Regulación</w:t>
      </w:r>
    </w:p>
    <w:p w14:paraId="03E78297" w14:textId="77777777" w:rsidR="00691EAB" w:rsidRPr="00D14AF5" w:rsidRDefault="00691EAB" w:rsidP="00217D33">
      <w:pPr>
        <w:jc w:val="both"/>
        <w:rPr>
          <w:rFonts w:ascii="Arial" w:eastAsia="Calibri" w:hAnsi="Arial" w:cs="Arial"/>
          <w:color w:val="000000" w:themeColor="text1"/>
          <w:sz w:val="20"/>
          <w:szCs w:val="20"/>
          <w:lang w:val="es-ES_tradnl"/>
        </w:rPr>
      </w:pPr>
    </w:p>
    <w:p w14:paraId="63897D8C" w14:textId="77777777" w:rsidR="00691EAB" w:rsidRPr="00310F22" w:rsidRDefault="00691EAB" w:rsidP="00217D33">
      <w:pPr>
        <w:jc w:val="both"/>
        <w:rPr>
          <w:rFonts w:ascii="Arial" w:eastAsia="Calibri" w:hAnsi="Arial" w:cs="Arial"/>
          <w:color w:val="000000" w:themeColor="text1"/>
          <w:sz w:val="20"/>
          <w:szCs w:val="20"/>
          <w:lang w:val="es-ES_tradnl"/>
        </w:rPr>
      </w:pPr>
      <w:r w:rsidRPr="00310F22">
        <w:rPr>
          <w:rFonts w:ascii="Arial" w:eastAsia="Calibri" w:hAnsi="Arial" w:cs="Arial"/>
          <w:color w:val="000000" w:themeColor="text1"/>
          <w:sz w:val="20"/>
          <w:szCs w:val="20"/>
          <w:lang w:val="es-ES_tradnl"/>
        </w:rPr>
        <w:t>El artículo 2 de la Ley 527 de 1999 define la firma digital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Además, esta normativa prevé que podrán emitir certificados en relación con las firmas digitales las entidades de certificación.</w:t>
      </w:r>
    </w:p>
    <w:p w14:paraId="2CA24185" w14:textId="77777777" w:rsidR="00691EAB" w:rsidRPr="00310F22" w:rsidRDefault="00691EAB" w:rsidP="00217D33">
      <w:pPr>
        <w:jc w:val="both"/>
        <w:rPr>
          <w:rFonts w:ascii="Arial" w:eastAsia="Calibri" w:hAnsi="Arial" w:cs="Arial"/>
          <w:color w:val="000000" w:themeColor="text1"/>
          <w:sz w:val="20"/>
          <w:szCs w:val="20"/>
          <w:lang w:val="es-ES_tradnl"/>
        </w:rPr>
      </w:pPr>
    </w:p>
    <w:p w14:paraId="67B8671A" w14:textId="29EE131F" w:rsidR="00691EAB" w:rsidRPr="00EA40D2" w:rsidRDefault="00691EAB" w:rsidP="00217D33">
      <w:pPr>
        <w:jc w:val="both"/>
        <w:rPr>
          <w:rFonts w:ascii="Arial" w:eastAsia="Calibri" w:hAnsi="Arial" w:cs="Arial"/>
          <w:b/>
          <w:color w:val="000000" w:themeColor="text1"/>
          <w:sz w:val="22"/>
          <w:lang w:val="es-ES_tradnl"/>
        </w:rPr>
      </w:pPr>
      <w:r w:rsidRPr="00EA40D2">
        <w:rPr>
          <w:rFonts w:ascii="Arial" w:eastAsia="Calibri" w:hAnsi="Arial" w:cs="Arial"/>
          <w:b/>
          <w:color w:val="000000" w:themeColor="text1"/>
          <w:sz w:val="22"/>
          <w:lang w:val="es-ES_tradnl"/>
        </w:rPr>
        <w:t xml:space="preserve">FIRMA ELECTRÓNICA </w:t>
      </w:r>
      <w:r w:rsidR="00D14AF5" w:rsidRPr="006C15D5">
        <w:rPr>
          <w:rFonts w:ascii="Arial" w:eastAsia="Calibri" w:hAnsi="Arial" w:cs="Arial"/>
          <w:b/>
          <w:color w:val="000000" w:themeColor="text1"/>
          <w:sz w:val="22"/>
        </w:rPr>
        <w:t>–</w:t>
      </w:r>
      <w:r w:rsidRPr="00EA40D2">
        <w:rPr>
          <w:rFonts w:ascii="Arial" w:eastAsia="Calibri" w:hAnsi="Arial" w:cs="Arial"/>
          <w:b/>
          <w:color w:val="000000" w:themeColor="text1"/>
          <w:sz w:val="22"/>
          <w:lang w:val="es-ES_tradnl"/>
        </w:rPr>
        <w:t xml:space="preserve"> Oferta </w:t>
      </w:r>
      <w:r w:rsidR="00D14AF5" w:rsidRPr="006C15D5">
        <w:rPr>
          <w:rFonts w:ascii="Arial" w:eastAsia="Calibri" w:hAnsi="Arial" w:cs="Arial"/>
          <w:b/>
          <w:color w:val="000000" w:themeColor="text1"/>
          <w:sz w:val="22"/>
        </w:rPr>
        <w:t>–</w:t>
      </w:r>
      <w:r w:rsidRPr="00EA40D2">
        <w:rPr>
          <w:rFonts w:ascii="Arial" w:eastAsia="Calibri" w:hAnsi="Arial" w:cs="Arial"/>
          <w:b/>
          <w:color w:val="000000" w:themeColor="text1"/>
          <w:sz w:val="22"/>
          <w:lang w:val="es-ES_tradnl"/>
        </w:rPr>
        <w:t xml:space="preserve"> Procedimientos de selección</w:t>
      </w:r>
    </w:p>
    <w:p w14:paraId="28583DD8" w14:textId="77777777" w:rsidR="00691EAB" w:rsidRPr="00D14AF5" w:rsidRDefault="00691EAB" w:rsidP="00217D33">
      <w:pPr>
        <w:jc w:val="both"/>
        <w:rPr>
          <w:rFonts w:ascii="Arial" w:eastAsia="Calibri" w:hAnsi="Arial" w:cs="Arial"/>
          <w:color w:val="000000" w:themeColor="text1"/>
          <w:sz w:val="20"/>
          <w:szCs w:val="20"/>
          <w:lang w:val="es-ES_tradnl"/>
        </w:rPr>
      </w:pPr>
    </w:p>
    <w:p w14:paraId="10EDC69C" w14:textId="7160A8D9" w:rsidR="00691EAB" w:rsidRPr="00310F22" w:rsidRDefault="009A62B4" w:rsidP="372AFE15">
      <w:pPr>
        <w:jc w:val="both"/>
        <w:rPr>
          <w:rFonts w:ascii="Arial" w:eastAsia="Calibri" w:hAnsi="Arial" w:cs="Arial"/>
          <w:color w:val="000000" w:themeColor="text1"/>
          <w:sz w:val="20"/>
          <w:szCs w:val="20"/>
          <w:lang w:val="es-ES"/>
        </w:rPr>
      </w:pPr>
      <w:r w:rsidRPr="372AFE15">
        <w:rPr>
          <w:rFonts w:ascii="Arial" w:eastAsia="Calibri" w:hAnsi="Arial" w:cs="Arial"/>
          <w:color w:val="000000" w:themeColor="text1"/>
          <w:sz w:val="20"/>
          <w:szCs w:val="20"/>
          <w:lang w:val="es-ES"/>
        </w:rPr>
        <w:t>[…]</w:t>
      </w:r>
      <w:r w:rsidR="7E557322" w:rsidRPr="372AFE15">
        <w:rPr>
          <w:rFonts w:ascii="Arial" w:eastAsia="Calibri" w:hAnsi="Arial" w:cs="Arial"/>
          <w:color w:val="000000" w:themeColor="text1"/>
          <w:sz w:val="20"/>
          <w:szCs w:val="20"/>
          <w:lang w:val="es-ES"/>
        </w:rPr>
        <w:t>,</w:t>
      </w:r>
      <w:r w:rsidRPr="372AFE15">
        <w:rPr>
          <w:rFonts w:ascii="Arial" w:eastAsia="Calibri" w:hAnsi="Arial" w:cs="Arial"/>
          <w:color w:val="000000" w:themeColor="text1"/>
          <w:sz w:val="20"/>
          <w:szCs w:val="20"/>
          <w:lang w:val="es-ES"/>
        </w:rPr>
        <w:t xml:space="preserve"> </w:t>
      </w:r>
      <w:r w:rsidR="2CDFA793" w:rsidRPr="372AFE15">
        <w:rPr>
          <w:rFonts w:ascii="Arial" w:eastAsia="Calibri" w:hAnsi="Arial" w:cs="Arial"/>
          <w:color w:val="000000" w:themeColor="text1"/>
          <w:sz w:val="20"/>
          <w:szCs w:val="20"/>
          <w:lang w:val="es-ES"/>
        </w:rPr>
        <w:t>e</w:t>
      </w:r>
      <w:r w:rsidR="00691EAB" w:rsidRPr="372AFE15">
        <w:rPr>
          <w:rFonts w:ascii="Arial" w:eastAsia="Calibri" w:hAnsi="Arial" w:cs="Arial"/>
          <w:color w:val="000000" w:themeColor="text1"/>
          <w:sz w:val="20"/>
          <w:szCs w:val="20"/>
          <w:lang w:val="es-ES"/>
        </w:rPr>
        <w:t>n relación con las firmas que se realizan por un mensaje de datos, el artículo 7 de la Ley 527 de 1999 señala que se deben cumplir los siguientes requisitos: i) se ha utilizado un método que permita identificador el iniciador de un mensaje de datos y para indicar que el contenido cuenta con su aprobación, y ii) el método es tanto confiable como apropiado para el propósito por el cual el mensaje fue generado o comunicado. Debido a que la firma electrónica se genera por un mensaje de datos deberá cumplir los requisitos explicados anteriormente.</w:t>
      </w:r>
      <w:r w:rsidR="00511FF3" w:rsidRPr="372AFE15">
        <w:rPr>
          <w:rFonts w:ascii="Arial" w:eastAsia="Calibri" w:hAnsi="Arial" w:cs="Arial"/>
          <w:color w:val="000000" w:themeColor="text1"/>
          <w:sz w:val="20"/>
          <w:szCs w:val="20"/>
          <w:lang w:val="es-ES"/>
        </w:rPr>
        <w:t xml:space="preserve"> </w:t>
      </w:r>
      <w:r w:rsidR="00691EAB" w:rsidRPr="372AFE15">
        <w:rPr>
          <w:rFonts w:ascii="Arial" w:eastAsia="Calibri" w:hAnsi="Arial" w:cs="Arial"/>
          <w:color w:val="000000" w:themeColor="text1"/>
          <w:sz w:val="20"/>
          <w:szCs w:val="20"/>
          <w:lang w:val="es-ES"/>
        </w:rPr>
        <w:t>[…]</w:t>
      </w:r>
      <w:r w:rsidR="00511FF3" w:rsidRPr="372AFE15">
        <w:rPr>
          <w:rFonts w:ascii="Arial" w:eastAsia="Calibri" w:hAnsi="Arial" w:cs="Arial"/>
          <w:color w:val="000000" w:themeColor="text1"/>
          <w:sz w:val="20"/>
          <w:szCs w:val="20"/>
          <w:lang w:val="es-ES"/>
        </w:rPr>
        <w:t xml:space="preserve"> </w:t>
      </w:r>
      <w:r w:rsidR="00691EAB" w:rsidRPr="372AFE15">
        <w:rPr>
          <w:rFonts w:ascii="Arial" w:eastAsia="Calibri" w:hAnsi="Arial" w:cs="Arial"/>
          <w:color w:val="000000" w:themeColor="text1"/>
          <w:sz w:val="20"/>
          <w:szCs w:val="20"/>
          <w:lang w:val="es-ES"/>
        </w:rPr>
        <w:t>Los documentos suscritos con firma electrónica, en cumplimiento de lo establecido en el artículo 7 de la Ley 527 de 1999, deben admitirse dentro de los procedimientos de selección, incluida la licitación pública. Adicionalmente, los documentos firmados de forma manuscrita y escaneados también revisten presunción de autenticidad y deben ser tenidos cuenta en los procedimientos contractuales, en aplicación del principio de buena fe, consagrado en el artículo 83 de la Constitución.</w:t>
      </w:r>
    </w:p>
    <w:p w14:paraId="7A9FA7F4" w14:textId="7F09EDAF" w:rsidR="00511FF3" w:rsidRPr="00310F22" w:rsidRDefault="00511FF3" w:rsidP="00217D33">
      <w:pPr>
        <w:jc w:val="both"/>
        <w:rPr>
          <w:rFonts w:ascii="Arial" w:eastAsia="Calibri" w:hAnsi="Arial" w:cs="Arial"/>
          <w:color w:val="000000" w:themeColor="text1"/>
          <w:sz w:val="20"/>
          <w:szCs w:val="20"/>
          <w:lang w:val="es-ES_tradnl"/>
        </w:rPr>
      </w:pPr>
    </w:p>
    <w:p w14:paraId="70319FC3" w14:textId="434C23C7" w:rsidR="00511FF3" w:rsidRPr="00EA40D2" w:rsidRDefault="00511FF3" w:rsidP="00217D33">
      <w:pPr>
        <w:jc w:val="both"/>
        <w:rPr>
          <w:rFonts w:ascii="Arial" w:eastAsia="Calibri" w:hAnsi="Arial" w:cs="Arial"/>
          <w:b/>
          <w:color w:val="000000" w:themeColor="text1"/>
          <w:sz w:val="22"/>
          <w:lang w:val="es-ES_tradnl"/>
        </w:rPr>
      </w:pPr>
      <w:r w:rsidRPr="00EA40D2">
        <w:rPr>
          <w:rFonts w:ascii="Arial" w:eastAsia="Calibri" w:hAnsi="Arial" w:cs="Arial"/>
          <w:b/>
          <w:color w:val="000000" w:themeColor="text1"/>
          <w:sz w:val="22"/>
          <w:lang w:val="es-ES_tradnl"/>
        </w:rPr>
        <w:t xml:space="preserve">EXPEDIENTE </w:t>
      </w:r>
      <w:r w:rsidR="00E5394B">
        <w:rPr>
          <w:rFonts w:ascii="Arial" w:eastAsia="Calibri" w:hAnsi="Arial" w:cs="Arial"/>
          <w:b/>
          <w:color w:val="000000" w:themeColor="text1"/>
          <w:sz w:val="22"/>
          <w:lang w:val="es-ES_tradnl"/>
        </w:rPr>
        <w:t xml:space="preserve">ELECTRÓNICO </w:t>
      </w:r>
      <w:r w:rsidR="00E5394B" w:rsidRPr="006C15D5">
        <w:rPr>
          <w:rFonts w:ascii="Arial" w:eastAsia="Calibri" w:hAnsi="Arial" w:cs="Arial"/>
          <w:b/>
          <w:color w:val="000000" w:themeColor="text1"/>
          <w:sz w:val="22"/>
        </w:rPr>
        <w:t>–</w:t>
      </w:r>
      <w:r w:rsidR="00E5394B">
        <w:rPr>
          <w:rFonts w:ascii="Arial" w:eastAsia="Calibri" w:hAnsi="Arial" w:cs="Arial"/>
          <w:b/>
          <w:color w:val="000000" w:themeColor="text1"/>
          <w:sz w:val="22"/>
        </w:rPr>
        <w:t xml:space="preserve"> </w:t>
      </w:r>
      <w:r w:rsidRPr="00EA40D2">
        <w:rPr>
          <w:rFonts w:ascii="Arial" w:eastAsia="Calibri" w:hAnsi="Arial" w:cs="Arial"/>
          <w:b/>
          <w:color w:val="000000" w:themeColor="text1"/>
          <w:sz w:val="22"/>
          <w:lang w:val="es-ES_tradnl"/>
        </w:rPr>
        <w:t xml:space="preserve">SECOP II </w:t>
      </w:r>
      <w:bookmarkStart w:id="2" w:name="_Hlk39666823"/>
      <w:r w:rsidR="00D14AF5" w:rsidRPr="006C15D5">
        <w:rPr>
          <w:rFonts w:ascii="Arial" w:eastAsia="Calibri" w:hAnsi="Arial" w:cs="Arial"/>
          <w:b/>
          <w:color w:val="000000" w:themeColor="text1"/>
          <w:sz w:val="22"/>
        </w:rPr>
        <w:t>–</w:t>
      </w:r>
      <w:bookmarkEnd w:id="2"/>
      <w:r w:rsidRPr="00EA40D2">
        <w:rPr>
          <w:rFonts w:ascii="Arial" w:eastAsia="Calibri" w:hAnsi="Arial" w:cs="Arial"/>
          <w:b/>
          <w:color w:val="000000" w:themeColor="text1"/>
          <w:sz w:val="22"/>
          <w:lang w:val="es-ES_tradnl"/>
        </w:rPr>
        <w:t xml:space="preserve"> Valor probatorio</w:t>
      </w:r>
    </w:p>
    <w:p w14:paraId="0A40BA24" w14:textId="77777777" w:rsidR="00511FF3" w:rsidRPr="00D14AF5" w:rsidRDefault="00511FF3" w:rsidP="00217D33">
      <w:pPr>
        <w:jc w:val="both"/>
        <w:rPr>
          <w:rFonts w:ascii="Arial" w:eastAsia="Calibri" w:hAnsi="Arial" w:cs="Arial"/>
          <w:color w:val="000000" w:themeColor="text1"/>
          <w:sz w:val="20"/>
          <w:szCs w:val="20"/>
          <w:lang w:val="es-ES_tradnl"/>
        </w:rPr>
      </w:pPr>
    </w:p>
    <w:p w14:paraId="1F729C30" w14:textId="77777777" w:rsidR="002A7F07" w:rsidRDefault="00511FF3" w:rsidP="00EA40D2">
      <w:pPr>
        <w:spacing w:after="120"/>
        <w:jc w:val="both"/>
        <w:rPr>
          <w:rFonts w:ascii="Arial" w:eastAsia="Calibri" w:hAnsi="Arial" w:cs="Arial"/>
          <w:color w:val="000000" w:themeColor="text1"/>
          <w:sz w:val="20"/>
          <w:szCs w:val="20"/>
          <w:lang w:val="es-ES_tradnl"/>
        </w:rPr>
      </w:pPr>
      <w:r w:rsidRPr="00310F22">
        <w:rPr>
          <w:rFonts w:ascii="Arial" w:eastAsia="Calibri" w:hAnsi="Arial" w:cs="Arial"/>
          <w:color w:val="000000" w:themeColor="text1"/>
          <w:sz w:val="20"/>
          <w:szCs w:val="20"/>
          <w:lang w:val="es-ES_tradnl"/>
        </w:rPr>
        <w:t xml:space="preserve">A similares conclusiones se puede llegar en lo que tiene que ver con los documentos electrónicos que conforman el expediente del SECOP II, pues, como se lee en la Circular Única Externa de Colombia Compra Eficiente, tales documentos «son válidos y tienen valor probatorio de conformidad con el Código de Procedimiento Administrativo y de lo Contencioso Administrativo, y con el Código General del Proceso». Tal conclusión, como se observa en el documento transcrito, tiene fundamento en el artículo 3 de la Ley 1150 de 2007. </w:t>
      </w:r>
    </w:p>
    <w:p w14:paraId="170B3598" w14:textId="27BFEBAD" w:rsidR="00511FF3" w:rsidRDefault="00511FF3" w:rsidP="00217D33">
      <w:pPr>
        <w:jc w:val="both"/>
        <w:rPr>
          <w:rFonts w:ascii="Arial" w:eastAsia="Calibri" w:hAnsi="Arial" w:cs="Arial"/>
          <w:color w:val="000000" w:themeColor="text1"/>
          <w:sz w:val="20"/>
          <w:szCs w:val="20"/>
          <w:lang w:val="es-ES_tradnl"/>
        </w:rPr>
      </w:pPr>
      <w:r w:rsidRPr="00310F22">
        <w:rPr>
          <w:rFonts w:ascii="Arial" w:eastAsia="Calibri" w:hAnsi="Arial" w:cs="Arial"/>
          <w:color w:val="000000" w:themeColor="text1"/>
          <w:sz w:val="20"/>
          <w:szCs w:val="20"/>
          <w:lang w:val="es-ES_tradnl"/>
        </w:rPr>
        <w:t>Puede decirse, entonces, que, para los efectos relacionados con el proceso de contratación estatal, los documentos contenidos en el expediente digital de la actuación adelantada en la plataforma SECOP II, tienen plenos efectos probatorios, sin distingo que contengan la firma manuscrita de las partes del contrato estatal. Lo que se buscó con la implementación de una plataforma transaccional −no solo de publicidad−, precisamente, es que las partes puedan gestionar el negocio jurídico por medios virtuales, de no ser así no hubiera sido necesaria la sustitución del SECOP I, plataforma de publicidad en la que correspondía a las entidades cargar los documentos previamente diligenciados y firmados.</w:t>
      </w:r>
    </w:p>
    <w:p w14:paraId="08C120D2" w14:textId="77777777" w:rsidR="00F46E01" w:rsidRPr="00310F22" w:rsidRDefault="00F46E01" w:rsidP="00217D33">
      <w:pPr>
        <w:jc w:val="both"/>
        <w:rPr>
          <w:rFonts w:ascii="Arial" w:eastAsia="Calibri" w:hAnsi="Arial" w:cs="Arial"/>
          <w:color w:val="000000" w:themeColor="text1"/>
          <w:sz w:val="20"/>
          <w:szCs w:val="20"/>
          <w:lang w:val="es-ES_tradnl"/>
        </w:rPr>
      </w:pPr>
    </w:p>
    <w:p w14:paraId="4F728D1B" w14:textId="789C2DA1" w:rsidR="009358EE" w:rsidRPr="00D14AF5" w:rsidRDefault="009358EE" w:rsidP="00BE1E33">
      <w:pPr>
        <w:jc w:val="both"/>
        <w:rPr>
          <w:rFonts w:ascii="Arial" w:eastAsia="Calibri" w:hAnsi="Arial" w:cs="Arial"/>
          <w:color w:val="000000" w:themeColor="text1"/>
          <w:sz w:val="20"/>
          <w:szCs w:val="20"/>
        </w:rPr>
      </w:pPr>
    </w:p>
    <w:p w14:paraId="3D8419BC" w14:textId="7B2C5883" w:rsidR="00310F22" w:rsidRPr="00310F22" w:rsidRDefault="00D14AF5" w:rsidP="00310F22">
      <w:pPr>
        <w:autoSpaceDE w:val="0"/>
        <w:autoSpaceDN w:val="0"/>
        <w:adjustRightInd w:val="0"/>
        <w:rPr>
          <w:rFonts w:ascii="Arial" w:hAnsi="Arial" w:cs="Arial"/>
          <w:color w:val="000000" w:themeColor="text1"/>
          <w:sz w:val="22"/>
          <w:lang w:val="es-CO"/>
        </w:rPr>
      </w:pPr>
      <w:r>
        <w:rPr>
          <w:rFonts w:ascii="Arial" w:hAnsi="Arial" w:cs="Arial"/>
          <w:color w:val="000000" w:themeColor="text1"/>
          <w:szCs w:val="24"/>
          <w:lang w:val="es-CO"/>
        </w:rPr>
        <w:t>B</w:t>
      </w:r>
      <w:r w:rsidR="00310F22" w:rsidRPr="00310F22">
        <w:rPr>
          <w:rFonts w:ascii="Arial" w:hAnsi="Arial" w:cs="Arial"/>
          <w:color w:val="000000" w:themeColor="text1"/>
          <w:sz w:val="22"/>
          <w:lang w:val="es-CO"/>
        </w:rPr>
        <w:t xml:space="preserve">ogotá D.C., </w:t>
      </w:r>
      <w:r w:rsidR="00310F22" w:rsidRPr="00310F22">
        <w:rPr>
          <w:rFonts w:ascii="Arial" w:hAnsi="Arial" w:cs="Arial"/>
          <w:b/>
          <w:bCs/>
          <w:color w:val="000000" w:themeColor="text1"/>
          <w:sz w:val="22"/>
          <w:lang w:val="es-CO"/>
        </w:rPr>
        <w:t xml:space="preserve">27/04/2020 Hora 14:37:45s </w:t>
      </w:r>
    </w:p>
    <w:p w14:paraId="21B4056E" w14:textId="0FDC14D8" w:rsidR="00BE1E33" w:rsidRPr="00310F22" w:rsidRDefault="00310F22" w:rsidP="00310F22">
      <w:pPr>
        <w:jc w:val="right"/>
        <w:rPr>
          <w:rFonts w:ascii="Arial" w:eastAsia="Calibri" w:hAnsi="Arial" w:cs="Arial"/>
          <w:color w:val="000000" w:themeColor="text1"/>
          <w:sz w:val="22"/>
        </w:rPr>
      </w:pPr>
      <w:r w:rsidRPr="00310F22">
        <w:rPr>
          <w:rFonts w:ascii="Arial" w:hAnsi="Arial" w:cs="Arial"/>
          <w:b/>
          <w:bCs/>
          <w:color w:val="000000" w:themeColor="text1"/>
          <w:sz w:val="22"/>
          <w:lang w:val="es-CO"/>
        </w:rPr>
        <w:t>N° Radicado: 2202013000003085</w:t>
      </w:r>
    </w:p>
    <w:p w14:paraId="73D51859" w14:textId="1703A4AA" w:rsidR="00BE1E33" w:rsidRPr="00310F22" w:rsidRDefault="00BE1E33" w:rsidP="00BE1E33">
      <w:pPr>
        <w:rPr>
          <w:rFonts w:ascii="Arial" w:eastAsia="Calibri" w:hAnsi="Arial" w:cs="Arial"/>
          <w:color w:val="000000" w:themeColor="text1"/>
          <w:sz w:val="22"/>
        </w:rPr>
      </w:pPr>
      <w:r w:rsidRPr="00310F22">
        <w:rPr>
          <w:rFonts w:ascii="Arial" w:eastAsia="Calibri" w:hAnsi="Arial" w:cs="Arial"/>
          <w:color w:val="000000" w:themeColor="text1"/>
          <w:sz w:val="22"/>
        </w:rPr>
        <w:t>Señor</w:t>
      </w:r>
    </w:p>
    <w:p w14:paraId="51140DA2" w14:textId="294943CA" w:rsidR="00BE1E33" w:rsidRPr="00310F22" w:rsidRDefault="00CE7F40" w:rsidP="00BE1E33">
      <w:pPr>
        <w:rPr>
          <w:rFonts w:ascii="Arial" w:eastAsia="Calibri" w:hAnsi="Arial" w:cs="Arial"/>
          <w:b/>
          <w:color w:val="000000" w:themeColor="text1"/>
          <w:sz w:val="22"/>
        </w:rPr>
      </w:pPr>
      <w:r w:rsidRPr="00310F22">
        <w:rPr>
          <w:rFonts w:ascii="Arial" w:eastAsia="Calibri" w:hAnsi="Arial" w:cs="Arial"/>
          <w:b/>
          <w:color w:val="000000" w:themeColor="text1"/>
          <w:sz w:val="22"/>
        </w:rPr>
        <w:t xml:space="preserve">Camilo Ernesto </w:t>
      </w:r>
      <w:proofErr w:type="spellStart"/>
      <w:r w:rsidRPr="00310F22">
        <w:rPr>
          <w:rFonts w:ascii="Arial" w:eastAsia="Calibri" w:hAnsi="Arial" w:cs="Arial"/>
          <w:b/>
          <w:color w:val="000000" w:themeColor="text1"/>
          <w:sz w:val="22"/>
        </w:rPr>
        <w:t>Pieschacón</w:t>
      </w:r>
      <w:proofErr w:type="spellEnd"/>
      <w:r w:rsidRPr="00310F22">
        <w:rPr>
          <w:rFonts w:ascii="Arial" w:eastAsia="Calibri" w:hAnsi="Arial" w:cs="Arial"/>
          <w:b/>
          <w:color w:val="000000" w:themeColor="text1"/>
          <w:sz w:val="22"/>
        </w:rPr>
        <w:t xml:space="preserve"> Moreno</w:t>
      </w:r>
    </w:p>
    <w:p w14:paraId="1F3204AE" w14:textId="437E0AA5" w:rsidR="00BE1E33" w:rsidRPr="00310F22" w:rsidRDefault="00CE7F40" w:rsidP="00BE1E33">
      <w:pPr>
        <w:rPr>
          <w:rFonts w:ascii="Arial" w:eastAsia="Calibri" w:hAnsi="Arial" w:cs="Arial"/>
          <w:color w:val="000000" w:themeColor="text1"/>
          <w:sz w:val="22"/>
        </w:rPr>
      </w:pPr>
      <w:r w:rsidRPr="00310F22">
        <w:rPr>
          <w:rFonts w:ascii="Arial" w:eastAsia="Calibri" w:hAnsi="Arial" w:cs="Arial"/>
          <w:color w:val="000000" w:themeColor="text1"/>
          <w:sz w:val="22"/>
        </w:rPr>
        <w:t>Bogotá</w:t>
      </w:r>
    </w:p>
    <w:p w14:paraId="234727AD" w14:textId="47A7CD99" w:rsidR="00BE1E33" w:rsidRDefault="00BE1E33" w:rsidP="00D14AF5">
      <w:pPr>
        <w:ind w:firstLine="2694"/>
        <w:rPr>
          <w:rFonts w:ascii="Arial" w:eastAsia="Calibri" w:hAnsi="Arial" w:cs="Arial"/>
          <w:b/>
          <w:color w:val="000000" w:themeColor="text1"/>
          <w:sz w:val="22"/>
        </w:rPr>
      </w:pPr>
      <w:r w:rsidRPr="00310F22">
        <w:rPr>
          <w:rFonts w:ascii="Arial" w:eastAsia="Calibri" w:hAnsi="Arial" w:cs="Arial"/>
          <w:b/>
          <w:color w:val="000000" w:themeColor="text1"/>
          <w:sz w:val="22"/>
        </w:rPr>
        <w:t xml:space="preserve">Concepto C ─ </w:t>
      </w:r>
      <w:r w:rsidR="00DC0213" w:rsidRPr="00310F22">
        <w:rPr>
          <w:rFonts w:ascii="Arial" w:eastAsia="Calibri" w:hAnsi="Arial" w:cs="Arial"/>
          <w:b/>
          <w:color w:val="000000" w:themeColor="text1"/>
          <w:sz w:val="22"/>
        </w:rPr>
        <w:t>01</w:t>
      </w:r>
      <w:r w:rsidR="00CE7F40" w:rsidRPr="00310F22">
        <w:rPr>
          <w:rFonts w:ascii="Arial" w:eastAsia="Calibri" w:hAnsi="Arial" w:cs="Arial"/>
          <w:b/>
          <w:color w:val="000000" w:themeColor="text1"/>
          <w:sz w:val="22"/>
        </w:rPr>
        <w:t>7</w:t>
      </w:r>
      <w:r w:rsidRPr="00310F22">
        <w:rPr>
          <w:rFonts w:ascii="Arial" w:eastAsia="Calibri" w:hAnsi="Arial" w:cs="Arial"/>
          <w:b/>
          <w:color w:val="000000" w:themeColor="text1"/>
          <w:sz w:val="22"/>
        </w:rPr>
        <w:t xml:space="preserve"> de 2020</w:t>
      </w:r>
    </w:p>
    <w:p w14:paraId="0B873509" w14:textId="77777777" w:rsidR="00D14AF5" w:rsidRPr="00310F22" w:rsidRDefault="00D14AF5" w:rsidP="00D14AF5">
      <w:pPr>
        <w:ind w:firstLine="2694"/>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10F22" w:rsidRPr="00310F22" w14:paraId="2553E4F3" w14:textId="77777777" w:rsidTr="00B017CC">
        <w:tc>
          <w:tcPr>
            <w:tcW w:w="2689" w:type="dxa"/>
            <w:hideMark/>
          </w:tcPr>
          <w:p w14:paraId="0C0D8CD7" w14:textId="47221106" w:rsidR="00BE1E33" w:rsidRPr="00310F22" w:rsidRDefault="00BE1E33" w:rsidP="00B017CC">
            <w:pPr>
              <w:rPr>
                <w:rFonts w:ascii="Arial" w:eastAsia="Calibri" w:hAnsi="Arial" w:cs="Arial"/>
                <w:color w:val="000000" w:themeColor="text1"/>
                <w:sz w:val="22"/>
              </w:rPr>
            </w:pPr>
            <w:r w:rsidRPr="00310F22">
              <w:rPr>
                <w:rFonts w:ascii="Arial" w:eastAsia="Calibri" w:hAnsi="Arial" w:cs="Arial"/>
                <w:b/>
                <w:color w:val="000000" w:themeColor="text1"/>
                <w:sz w:val="22"/>
              </w:rPr>
              <w:t>Temas:</w:t>
            </w:r>
            <w:r w:rsidRPr="00310F22">
              <w:rPr>
                <w:rFonts w:ascii="Arial" w:eastAsia="Calibri" w:hAnsi="Arial" w:cs="Arial"/>
                <w:color w:val="000000" w:themeColor="text1"/>
                <w:sz w:val="22"/>
              </w:rPr>
              <w:t xml:space="preserve">   </w:t>
            </w:r>
          </w:p>
        </w:tc>
        <w:tc>
          <w:tcPr>
            <w:tcW w:w="6237" w:type="dxa"/>
            <w:hideMark/>
          </w:tcPr>
          <w:p w14:paraId="0FE601E3" w14:textId="457C63A2" w:rsidR="00177E02" w:rsidRPr="00310F22" w:rsidRDefault="00177E02" w:rsidP="00177E02">
            <w:pPr>
              <w:jc w:val="both"/>
              <w:rPr>
                <w:rFonts w:ascii="Arial" w:eastAsia="Calibri" w:hAnsi="Arial" w:cs="Arial"/>
                <w:color w:val="000000" w:themeColor="text1"/>
                <w:sz w:val="22"/>
              </w:rPr>
            </w:pPr>
            <w:r w:rsidRPr="00310F22">
              <w:rPr>
                <w:rFonts w:ascii="Arial" w:eastAsia="Calibri" w:hAnsi="Arial" w:cs="Arial"/>
                <w:color w:val="000000" w:themeColor="text1"/>
                <w:sz w:val="22"/>
              </w:rPr>
              <w:t>MEDIOS ELECTRÓNICOS ― Contratación estatal ― Régimen jurídico / FIRMA ELECTRÓNICA ― Concepto ― Regulación</w:t>
            </w:r>
          </w:p>
          <w:p w14:paraId="0F35FDBD" w14:textId="07876192" w:rsidR="00D14AF5" w:rsidRPr="00310F22" w:rsidRDefault="00177E02" w:rsidP="00D14AF5">
            <w:pPr>
              <w:jc w:val="both"/>
              <w:rPr>
                <w:rFonts w:ascii="Arial" w:eastAsia="Calibri" w:hAnsi="Arial" w:cs="Arial"/>
                <w:color w:val="000000" w:themeColor="text1"/>
                <w:sz w:val="22"/>
              </w:rPr>
            </w:pPr>
            <w:r w:rsidRPr="00310F22">
              <w:rPr>
                <w:rFonts w:ascii="Arial" w:eastAsia="Calibri" w:hAnsi="Arial" w:cs="Arial"/>
                <w:color w:val="000000" w:themeColor="text1"/>
                <w:sz w:val="22"/>
              </w:rPr>
              <w:t>FIRMA ELECTRÓNICA ― Oferta ― Procedimientos de selección / EXPEDIENTE DEL PROCESO ADELANTADO EN EL SECOP II – Valor probatorio</w:t>
            </w:r>
          </w:p>
        </w:tc>
      </w:tr>
      <w:tr w:rsidR="003F6D32" w:rsidRPr="00310F22" w14:paraId="20F2A3B6" w14:textId="77777777" w:rsidTr="00B017CC">
        <w:tc>
          <w:tcPr>
            <w:tcW w:w="2689" w:type="dxa"/>
          </w:tcPr>
          <w:p w14:paraId="1E82F4FA" w14:textId="77777777" w:rsidR="00BE1E33" w:rsidRPr="00310F22" w:rsidRDefault="00BE1E33" w:rsidP="00B017CC">
            <w:pPr>
              <w:spacing w:before="120"/>
              <w:rPr>
                <w:rFonts w:ascii="Arial" w:eastAsia="Calibri" w:hAnsi="Arial" w:cs="Arial"/>
                <w:b/>
                <w:color w:val="000000" w:themeColor="text1"/>
                <w:sz w:val="22"/>
              </w:rPr>
            </w:pPr>
            <w:r w:rsidRPr="00310F22">
              <w:rPr>
                <w:rFonts w:ascii="Arial" w:eastAsia="Calibri" w:hAnsi="Arial" w:cs="Arial"/>
                <w:b/>
                <w:color w:val="000000" w:themeColor="text1"/>
                <w:sz w:val="22"/>
              </w:rPr>
              <w:t>Radicación:</w:t>
            </w:r>
            <w:r w:rsidRPr="00310F22">
              <w:rPr>
                <w:rFonts w:ascii="Arial" w:eastAsia="Calibri" w:hAnsi="Arial" w:cs="Arial"/>
                <w:color w:val="000000" w:themeColor="text1"/>
                <w:sz w:val="22"/>
              </w:rPr>
              <w:t xml:space="preserve">                              </w:t>
            </w:r>
          </w:p>
        </w:tc>
        <w:tc>
          <w:tcPr>
            <w:tcW w:w="6237" w:type="dxa"/>
          </w:tcPr>
          <w:p w14:paraId="20FCE53A" w14:textId="7546CDF3" w:rsidR="00BE1E33" w:rsidRPr="00310F22" w:rsidRDefault="00BE1E33" w:rsidP="00B017CC">
            <w:pPr>
              <w:spacing w:before="120"/>
              <w:jc w:val="both"/>
              <w:rPr>
                <w:rFonts w:ascii="Arial" w:eastAsia="Calibri" w:hAnsi="Arial" w:cs="Arial"/>
                <w:color w:val="000000" w:themeColor="text1"/>
                <w:sz w:val="22"/>
              </w:rPr>
            </w:pPr>
            <w:r w:rsidRPr="00310F22">
              <w:rPr>
                <w:rFonts w:ascii="Arial" w:eastAsia="Calibri" w:hAnsi="Arial" w:cs="Arial"/>
                <w:color w:val="000000" w:themeColor="text1"/>
                <w:sz w:val="22"/>
              </w:rPr>
              <w:t>Respuesta a consulta 420201</w:t>
            </w:r>
            <w:r w:rsidR="00CE7F40" w:rsidRPr="00310F22">
              <w:rPr>
                <w:rFonts w:ascii="Arial" w:eastAsia="Calibri" w:hAnsi="Arial" w:cs="Arial"/>
                <w:color w:val="000000" w:themeColor="text1"/>
                <w:sz w:val="22"/>
              </w:rPr>
              <w:t>2000002365</w:t>
            </w:r>
            <w:r w:rsidRPr="00310F22">
              <w:rPr>
                <w:rFonts w:ascii="Arial" w:eastAsia="Calibri" w:hAnsi="Arial" w:cs="Arial"/>
                <w:color w:val="000000" w:themeColor="text1"/>
                <w:sz w:val="22"/>
              </w:rPr>
              <w:t xml:space="preserve"> </w:t>
            </w:r>
          </w:p>
        </w:tc>
      </w:tr>
    </w:tbl>
    <w:p w14:paraId="177F3517" w14:textId="77777777" w:rsidR="00BE1E33" w:rsidRPr="00310F22" w:rsidRDefault="00BE1E33" w:rsidP="00BE1E33">
      <w:pPr>
        <w:spacing w:before="120"/>
        <w:jc w:val="both"/>
        <w:rPr>
          <w:rFonts w:ascii="Arial" w:eastAsia="Calibri" w:hAnsi="Arial" w:cs="Arial"/>
          <w:color w:val="000000" w:themeColor="text1"/>
          <w:sz w:val="22"/>
        </w:rPr>
      </w:pPr>
    </w:p>
    <w:p w14:paraId="417ABDA8" w14:textId="7B867065" w:rsidR="00BE1E33" w:rsidRPr="00310F22" w:rsidRDefault="00BE1E33" w:rsidP="00BE1E33">
      <w:pPr>
        <w:rPr>
          <w:rFonts w:ascii="Arial" w:eastAsia="Calibri" w:hAnsi="Arial" w:cs="Arial"/>
          <w:color w:val="000000" w:themeColor="text1"/>
          <w:sz w:val="22"/>
        </w:rPr>
      </w:pPr>
      <w:r w:rsidRPr="00310F22">
        <w:rPr>
          <w:rFonts w:ascii="Arial" w:eastAsia="Calibri" w:hAnsi="Arial" w:cs="Arial"/>
          <w:color w:val="000000" w:themeColor="text1"/>
          <w:sz w:val="22"/>
        </w:rPr>
        <w:t>Estimad</w:t>
      </w:r>
      <w:r w:rsidR="005B664B" w:rsidRPr="00310F22">
        <w:rPr>
          <w:rFonts w:ascii="Arial" w:eastAsia="Calibri" w:hAnsi="Arial" w:cs="Arial"/>
          <w:color w:val="000000" w:themeColor="text1"/>
          <w:sz w:val="22"/>
        </w:rPr>
        <w:t>o</w:t>
      </w:r>
      <w:r w:rsidRPr="00310F22">
        <w:rPr>
          <w:rFonts w:ascii="Arial" w:eastAsia="Calibri" w:hAnsi="Arial" w:cs="Arial"/>
          <w:color w:val="000000" w:themeColor="text1"/>
          <w:sz w:val="22"/>
        </w:rPr>
        <w:t xml:space="preserve"> seño</w:t>
      </w:r>
      <w:r w:rsidR="005B664B" w:rsidRPr="00310F22">
        <w:rPr>
          <w:rFonts w:ascii="Arial" w:eastAsia="Calibri" w:hAnsi="Arial" w:cs="Arial"/>
          <w:color w:val="000000" w:themeColor="text1"/>
          <w:sz w:val="22"/>
        </w:rPr>
        <w:t>r</w:t>
      </w:r>
      <w:r w:rsidRPr="00310F22">
        <w:rPr>
          <w:rFonts w:ascii="Arial" w:eastAsia="Calibri" w:hAnsi="Arial" w:cs="Arial"/>
          <w:color w:val="000000" w:themeColor="text1"/>
          <w:sz w:val="22"/>
        </w:rPr>
        <w:t xml:space="preserve"> </w:t>
      </w:r>
      <w:proofErr w:type="spellStart"/>
      <w:r w:rsidR="005B664B" w:rsidRPr="00310F22">
        <w:rPr>
          <w:rFonts w:ascii="Arial" w:eastAsia="Calibri" w:hAnsi="Arial" w:cs="Arial"/>
          <w:color w:val="000000" w:themeColor="text1"/>
          <w:sz w:val="22"/>
        </w:rPr>
        <w:t>Pieschacón</w:t>
      </w:r>
      <w:proofErr w:type="spellEnd"/>
      <w:r w:rsidR="005B664B" w:rsidRPr="00310F22">
        <w:rPr>
          <w:rFonts w:ascii="Arial" w:eastAsia="Calibri" w:hAnsi="Arial" w:cs="Arial"/>
          <w:color w:val="000000" w:themeColor="text1"/>
          <w:sz w:val="22"/>
        </w:rPr>
        <w:t xml:space="preserve"> Moreno</w:t>
      </w:r>
      <w:r w:rsidR="006B17BB" w:rsidRPr="00310F22">
        <w:rPr>
          <w:rFonts w:ascii="Arial" w:eastAsia="Calibri" w:hAnsi="Arial" w:cs="Arial"/>
          <w:color w:val="000000" w:themeColor="text1"/>
          <w:sz w:val="22"/>
        </w:rPr>
        <w:t>,</w:t>
      </w:r>
    </w:p>
    <w:p w14:paraId="1CCABABD" w14:textId="77777777" w:rsidR="00BE1E33" w:rsidRPr="00310F22" w:rsidRDefault="00BE1E33" w:rsidP="00BE1E33">
      <w:pPr>
        <w:rPr>
          <w:rFonts w:ascii="Arial" w:eastAsia="Calibri" w:hAnsi="Arial" w:cs="Arial"/>
          <w:color w:val="000000" w:themeColor="text1"/>
          <w:sz w:val="22"/>
        </w:rPr>
      </w:pPr>
    </w:p>
    <w:p w14:paraId="286A9CEF" w14:textId="352CBBEE" w:rsidR="00BE1E33" w:rsidRPr="00310F22" w:rsidRDefault="00BE1E33" w:rsidP="00BE1E33">
      <w:pPr>
        <w:spacing w:line="276" w:lineRule="auto"/>
        <w:jc w:val="both"/>
        <w:rPr>
          <w:rFonts w:ascii="Arial" w:eastAsia="Calibri" w:hAnsi="Arial" w:cs="Arial"/>
          <w:color w:val="000000" w:themeColor="text1"/>
          <w:sz w:val="22"/>
        </w:rPr>
      </w:pPr>
      <w:r w:rsidRPr="00310F22">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FC16C2" w:rsidRPr="00310F22">
        <w:rPr>
          <w:rFonts w:ascii="Arial" w:eastAsia="Calibri" w:hAnsi="Arial" w:cs="Arial"/>
          <w:color w:val="000000" w:themeColor="text1"/>
          <w:sz w:val="22"/>
        </w:rPr>
        <w:t>1 de abril</w:t>
      </w:r>
      <w:r w:rsidRPr="00310F22">
        <w:rPr>
          <w:rFonts w:ascii="Arial" w:eastAsia="Calibri" w:hAnsi="Arial" w:cs="Arial"/>
          <w:color w:val="000000" w:themeColor="text1"/>
          <w:sz w:val="22"/>
        </w:rPr>
        <w:t xml:space="preserve"> de 2020. </w:t>
      </w:r>
    </w:p>
    <w:p w14:paraId="1D13401D" w14:textId="77777777" w:rsidR="00BE1E33" w:rsidRPr="00310F22" w:rsidRDefault="00BE1E33" w:rsidP="00BE1E33">
      <w:pPr>
        <w:spacing w:line="276" w:lineRule="auto"/>
        <w:jc w:val="both"/>
        <w:rPr>
          <w:rFonts w:ascii="Arial" w:eastAsia="Calibri" w:hAnsi="Arial" w:cs="Arial"/>
          <w:color w:val="000000" w:themeColor="text1"/>
          <w:sz w:val="22"/>
        </w:rPr>
      </w:pPr>
    </w:p>
    <w:p w14:paraId="068F505C" w14:textId="77777777" w:rsidR="00BE1E33" w:rsidRPr="00310F22" w:rsidRDefault="00BE1E33" w:rsidP="00BE1E33">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310F22">
        <w:rPr>
          <w:rFonts w:ascii="Arial" w:eastAsia="Calibri" w:hAnsi="Arial" w:cs="Arial"/>
          <w:b/>
          <w:color w:val="000000" w:themeColor="text1"/>
          <w:sz w:val="22"/>
        </w:rPr>
        <w:t xml:space="preserve">Problemas planteados </w:t>
      </w:r>
    </w:p>
    <w:p w14:paraId="52254747" w14:textId="77777777" w:rsidR="00D14AF5" w:rsidRDefault="00D14AF5" w:rsidP="009E4A43">
      <w:pPr>
        <w:tabs>
          <w:tab w:val="left" w:pos="426"/>
        </w:tabs>
        <w:spacing w:line="276" w:lineRule="auto"/>
        <w:jc w:val="both"/>
        <w:rPr>
          <w:rFonts w:ascii="Arial" w:eastAsia="Calibri" w:hAnsi="Arial" w:cs="Arial"/>
          <w:color w:val="000000" w:themeColor="text1"/>
          <w:sz w:val="22"/>
        </w:rPr>
      </w:pPr>
    </w:p>
    <w:p w14:paraId="741F3B6B" w14:textId="67E187D8" w:rsidR="00BE1E33" w:rsidRPr="00310F22" w:rsidRDefault="00BE1E33" w:rsidP="009E4A43">
      <w:pPr>
        <w:tabs>
          <w:tab w:val="left" w:pos="426"/>
        </w:tabs>
        <w:spacing w:line="276" w:lineRule="auto"/>
        <w:jc w:val="both"/>
        <w:rPr>
          <w:rFonts w:ascii="Arial" w:eastAsia="Calibri" w:hAnsi="Arial" w:cs="Arial"/>
          <w:color w:val="000000" w:themeColor="text1"/>
          <w:sz w:val="22"/>
        </w:rPr>
      </w:pPr>
      <w:r w:rsidRPr="00310F22">
        <w:rPr>
          <w:rFonts w:ascii="Arial" w:eastAsia="Calibri" w:hAnsi="Arial" w:cs="Arial"/>
          <w:color w:val="000000" w:themeColor="text1"/>
          <w:sz w:val="22"/>
        </w:rPr>
        <w:t xml:space="preserve">Usted </w:t>
      </w:r>
      <w:r w:rsidR="005B664B" w:rsidRPr="00310F22">
        <w:rPr>
          <w:rFonts w:ascii="Arial" w:eastAsia="Calibri" w:hAnsi="Arial" w:cs="Arial"/>
          <w:color w:val="000000" w:themeColor="text1"/>
          <w:sz w:val="22"/>
        </w:rPr>
        <w:t xml:space="preserve">informa que se encuentra realizando la actualización del Registro Único de Proponentes, puntualmente </w:t>
      </w:r>
      <w:r w:rsidR="005E6106" w:rsidRPr="00310F22">
        <w:rPr>
          <w:rFonts w:ascii="Arial" w:eastAsia="Calibri" w:hAnsi="Arial" w:cs="Arial"/>
          <w:color w:val="000000" w:themeColor="text1"/>
          <w:sz w:val="22"/>
        </w:rPr>
        <w:t xml:space="preserve">manifiesta </w:t>
      </w:r>
      <w:r w:rsidR="005B664B" w:rsidRPr="00310F22">
        <w:rPr>
          <w:rFonts w:ascii="Arial" w:eastAsia="Calibri" w:hAnsi="Arial" w:cs="Arial"/>
          <w:color w:val="000000" w:themeColor="text1"/>
          <w:sz w:val="22"/>
        </w:rPr>
        <w:t>que «</w:t>
      </w:r>
      <w:proofErr w:type="spellStart"/>
      <w:r w:rsidR="005B664B" w:rsidRPr="00310F22">
        <w:rPr>
          <w:rFonts w:ascii="Arial" w:eastAsia="Calibri" w:hAnsi="Arial" w:cs="Arial"/>
          <w:color w:val="000000" w:themeColor="text1"/>
          <w:sz w:val="22"/>
        </w:rPr>
        <w:t>quier</w:t>
      </w:r>
      <w:proofErr w:type="spellEnd"/>
      <w:r w:rsidR="005B664B" w:rsidRPr="00310F22">
        <w:rPr>
          <w:rFonts w:ascii="Arial" w:eastAsia="Calibri" w:hAnsi="Arial" w:cs="Arial"/>
          <w:color w:val="000000" w:themeColor="text1"/>
          <w:sz w:val="22"/>
        </w:rPr>
        <w:t xml:space="preserve">[e] incluir un contrato que se suscribió, aceptó y tramitó virtualmente con Transmilenio a través de la plataforma SECOP 2». Agrega </w:t>
      </w:r>
      <w:r w:rsidR="005B664B" w:rsidRPr="00310F22">
        <w:rPr>
          <w:rFonts w:ascii="Arial" w:eastAsia="Calibri" w:hAnsi="Arial" w:cs="Arial"/>
          <w:color w:val="000000" w:themeColor="text1"/>
          <w:sz w:val="22"/>
        </w:rPr>
        <w:lastRenderedPageBreak/>
        <w:t>que no ha sido posible hacerlo</w:t>
      </w:r>
      <w:r w:rsidR="009F460F" w:rsidRPr="00310F22">
        <w:rPr>
          <w:rFonts w:ascii="Arial" w:eastAsia="Calibri" w:hAnsi="Arial" w:cs="Arial"/>
          <w:color w:val="000000" w:themeColor="text1"/>
          <w:sz w:val="22"/>
        </w:rPr>
        <w:t xml:space="preserve">, primero, porque </w:t>
      </w:r>
      <w:r w:rsidR="005B664B" w:rsidRPr="00310F22">
        <w:rPr>
          <w:rFonts w:ascii="Arial" w:eastAsia="Calibri" w:hAnsi="Arial" w:cs="Arial"/>
          <w:color w:val="000000" w:themeColor="text1"/>
          <w:sz w:val="22"/>
        </w:rPr>
        <w:t xml:space="preserve">no cuenta con la «certificación de la entidad del contrato ejecutado» y, </w:t>
      </w:r>
      <w:r w:rsidR="00BE1163" w:rsidRPr="00310F22">
        <w:rPr>
          <w:rFonts w:ascii="Arial" w:eastAsia="Calibri" w:hAnsi="Arial" w:cs="Arial"/>
          <w:color w:val="000000" w:themeColor="text1"/>
          <w:sz w:val="22"/>
        </w:rPr>
        <w:t>segundo</w:t>
      </w:r>
      <w:r w:rsidR="005B664B" w:rsidRPr="00310F22">
        <w:rPr>
          <w:rFonts w:ascii="Arial" w:eastAsia="Calibri" w:hAnsi="Arial" w:cs="Arial"/>
          <w:color w:val="000000" w:themeColor="text1"/>
          <w:sz w:val="22"/>
        </w:rPr>
        <w:t xml:space="preserve">, </w:t>
      </w:r>
      <w:r w:rsidR="00BE1163" w:rsidRPr="00310F22">
        <w:rPr>
          <w:rFonts w:ascii="Arial" w:eastAsia="Calibri" w:hAnsi="Arial" w:cs="Arial"/>
          <w:color w:val="000000" w:themeColor="text1"/>
          <w:sz w:val="22"/>
        </w:rPr>
        <w:t xml:space="preserve">debido a que </w:t>
      </w:r>
      <w:r w:rsidR="005B664B" w:rsidRPr="00310F22">
        <w:rPr>
          <w:rFonts w:ascii="Arial" w:eastAsia="Calibri" w:hAnsi="Arial" w:cs="Arial"/>
          <w:color w:val="000000" w:themeColor="text1"/>
          <w:sz w:val="22"/>
        </w:rPr>
        <w:t xml:space="preserve">la Cámara de Comercio no </w:t>
      </w:r>
      <w:r w:rsidR="00BE1163" w:rsidRPr="00310F22">
        <w:rPr>
          <w:rFonts w:ascii="Arial" w:eastAsia="Calibri" w:hAnsi="Arial" w:cs="Arial"/>
          <w:color w:val="000000" w:themeColor="text1"/>
          <w:sz w:val="22"/>
        </w:rPr>
        <w:t xml:space="preserve">le </w:t>
      </w:r>
      <w:r w:rsidR="005B664B" w:rsidRPr="00310F22">
        <w:rPr>
          <w:rFonts w:ascii="Arial" w:eastAsia="Calibri" w:hAnsi="Arial" w:cs="Arial"/>
          <w:color w:val="000000" w:themeColor="text1"/>
          <w:sz w:val="22"/>
        </w:rPr>
        <w:t>acepta el contrato descargado de la plataforma SECOP II «documento electrónico», según dice, porque</w:t>
      </w:r>
      <w:r w:rsidR="00BE1163" w:rsidRPr="00310F22">
        <w:rPr>
          <w:rFonts w:ascii="Arial" w:eastAsia="Calibri" w:hAnsi="Arial" w:cs="Arial"/>
          <w:color w:val="000000" w:themeColor="text1"/>
          <w:sz w:val="22"/>
        </w:rPr>
        <w:t xml:space="preserve"> este</w:t>
      </w:r>
      <w:r w:rsidR="005B664B" w:rsidRPr="00310F22">
        <w:rPr>
          <w:rFonts w:ascii="Arial" w:eastAsia="Calibri" w:hAnsi="Arial" w:cs="Arial"/>
          <w:color w:val="000000" w:themeColor="text1"/>
          <w:sz w:val="22"/>
        </w:rPr>
        <w:t xml:space="preserve"> no contiene la firma manuscrita de las partes</w:t>
      </w:r>
      <w:r w:rsidR="00BE1163" w:rsidRPr="00310F22">
        <w:rPr>
          <w:rFonts w:ascii="Arial" w:eastAsia="Calibri" w:hAnsi="Arial" w:cs="Arial"/>
          <w:color w:val="000000" w:themeColor="text1"/>
          <w:sz w:val="22"/>
        </w:rPr>
        <w:t xml:space="preserve"> del contrato a registrar</w:t>
      </w:r>
      <w:r w:rsidR="005B664B" w:rsidRPr="00310F22">
        <w:rPr>
          <w:rFonts w:ascii="Arial" w:eastAsia="Calibri" w:hAnsi="Arial" w:cs="Arial"/>
          <w:color w:val="000000" w:themeColor="text1"/>
          <w:sz w:val="22"/>
        </w:rPr>
        <w:t>. Teniendo en cuenta l</w:t>
      </w:r>
      <w:r w:rsidR="00DD7489" w:rsidRPr="00310F22">
        <w:rPr>
          <w:rFonts w:ascii="Arial" w:eastAsia="Calibri" w:hAnsi="Arial" w:cs="Arial"/>
          <w:color w:val="000000" w:themeColor="text1"/>
          <w:sz w:val="22"/>
        </w:rPr>
        <w:t>a</w:t>
      </w:r>
      <w:r w:rsidR="005B664B" w:rsidRPr="00310F22">
        <w:rPr>
          <w:rFonts w:ascii="Arial" w:eastAsia="Calibri" w:hAnsi="Arial" w:cs="Arial"/>
          <w:color w:val="000000" w:themeColor="text1"/>
          <w:sz w:val="22"/>
        </w:rPr>
        <w:t xml:space="preserve"> anterior</w:t>
      </w:r>
      <w:r w:rsidR="00DD7489" w:rsidRPr="00310F22">
        <w:rPr>
          <w:rFonts w:ascii="Arial" w:eastAsia="Calibri" w:hAnsi="Arial" w:cs="Arial"/>
          <w:color w:val="000000" w:themeColor="text1"/>
          <w:sz w:val="22"/>
        </w:rPr>
        <w:t xml:space="preserve"> situación</w:t>
      </w:r>
      <w:r w:rsidR="005B664B" w:rsidRPr="00310F22">
        <w:rPr>
          <w:rFonts w:ascii="Arial" w:eastAsia="Calibri" w:hAnsi="Arial" w:cs="Arial"/>
          <w:color w:val="000000" w:themeColor="text1"/>
          <w:sz w:val="22"/>
        </w:rPr>
        <w:t>, re</w:t>
      </w:r>
      <w:r w:rsidRPr="00310F22">
        <w:rPr>
          <w:rFonts w:ascii="Arial" w:eastAsia="Calibri" w:hAnsi="Arial" w:cs="Arial"/>
          <w:color w:val="000000" w:themeColor="text1"/>
          <w:sz w:val="22"/>
        </w:rPr>
        <w:t>aliza la siguiente</w:t>
      </w:r>
      <w:r w:rsidR="009E4A43" w:rsidRPr="00310F22">
        <w:rPr>
          <w:rFonts w:ascii="Arial" w:eastAsia="Calibri" w:hAnsi="Arial" w:cs="Arial"/>
          <w:color w:val="000000" w:themeColor="text1"/>
          <w:sz w:val="22"/>
        </w:rPr>
        <w:t xml:space="preserve"> </w:t>
      </w:r>
      <w:r w:rsidRPr="00310F22">
        <w:rPr>
          <w:rFonts w:ascii="Arial" w:eastAsia="Calibri" w:hAnsi="Arial" w:cs="Arial"/>
          <w:color w:val="000000" w:themeColor="text1"/>
          <w:sz w:val="22"/>
        </w:rPr>
        <w:t>pregunta: «¿</w:t>
      </w:r>
      <w:r w:rsidR="00FB6AA4" w:rsidRPr="00310F22">
        <w:rPr>
          <w:rFonts w:ascii="Arial" w:eastAsia="Calibri" w:hAnsi="Arial" w:cs="Arial"/>
          <w:color w:val="000000" w:themeColor="text1"/>
          <w:sz w:val="22"/>
        </w:rPr>
        <w:t xml:space="preserve">existe alguna circular o procedimiento en donde se indique los contratos suscritos a través del SECOP 2 se entienden firmado cuando se da la aceptación </w:t>
      </w:r>
      <w:proofErr w:type="gramStart"/>
      <w:r w:rsidR="00FB6AA4" w:rsidRPr="00310F22">
        <w:rPr>
          <w:rFonts w:ascii="Arial" w:eastAsia="Calibri" w:hAnsi="Arial" w:cs="Arial"/>
          <w:color w:val="000000" w:themeColor="text1"/>
          <w:sz w:val="22"/>
        </w:rPr>
        <w:t>del mismo</w:t>
      </w:r>
      <w:proofErr w:type="gramEnd"/>
      <w:r w:rsidR="00FB6AA4" w:rsidRPr="00310F22">
        <w:rPr>
          <w:rFonts w:ascii="Arial" w:eastAsia="Calibri" w:hAnsi="Arial" w:cs="Arial"/>
          <w:color w:val="000000" w:themeColor="text1"/>
          <w:sz w:val="22"/>
        </w:rPr>
        <w:t xml:space="preserve"> por parte del contratista, para que las cámaras de comercio puedan validar los contratos suscritos a través de esta plataforma</w:t>
      </w:r>
      <w:r w:rsidRPr="00310F22">
        <w:rPr>
          <w:rFonts w:ascii="Arial" w:eastAsia="Calibri" w:hAnsi="Arial" w:cs="Arial"/>
          <w:color w:val="000000" w:themeColor="text1"/>
          <w:sz w:val="22"/>
        </w:rPr>
        <w:t>?»</w:t>
      </w:r>
      <w:r w:rsidR="00753C3B" w:rsidRPr="00310F22">
        <w:rPr>
          <w:rFonts w:ascii="Arial" w:eastAsia="Calibri" w:hAnsi="Arial" w:cs="Arial"/>
          <w:color w:val="000000" w:themeColor="text1"/>
          <w:sz w:val="22"/>
        </w:rPr>
        <w:t>.</w:t>
      </w:r>
    </w:p>
    <w:p w14:paraId="6D375D8C" w14:textId="77777777" w:rsidR="00BE1E33" w:rsidRPr="00310F22" w:rsidRDefault="00BE1E33" w:rsidP="00BE1E33">
      <w:pPr>
        <w:tabs>
          <w:tab w:val="left" w:pos="709"/>
        </w:tabs>
        <w:spacing w:before="120" w:line="276" w:lineRule="auto"/>
        <w:jc w:val="both"/>
        <w:rPr>
          <w:rFonts w:ascii="Arial" w:eastAsia="Calibri" w:hAnsi="Arial" w:cs="Arial"/>
          <w:color w:val="000000" w:themeColor="text1"/>
          <w:sz w:val="22"/>
        </w:rPr>
      </w:pPr>
    </w:p>
    <w:p w14:paraId="000CB06F" w14:textId="77777777" w:rsidR="00BE1E33" w:rsidRPr="00310F22"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310F22">
        <w:rPr>
          <w:rFonts w:ascii="Arial" w:eastAsia="Calibri" w:hAnsi="Arial" w:cs="Arial"/>
          <w:b/>
          <w:color w:val="000000" w:themeColor="text1"/>
          <w:sz w:val="22"/>
        </w:rPr>
        <w:t>Consideraciones</w:t>
      </w:r>
    </w:p>
    <w:p w14:paraId="01D94D72" w14:textId="77777777" w:rsidR="00BE1E33" w:rsidRPr="00310F22" w:rsidRDefault="00BE1E33" w:rsidP="00BE1E33">
      <w:pPr>
        <w:spacing w:line="276" w:lineRule="auto"/>
        <w:jc w:val="both"/>
        <w:rPr>
          <w:rFonts w:ascii="Arial" w:eastAsia="Calibri" w:hAnsi="Arial" w:cs="Arial"/>
          <w:color w:val="000000" w:themeColor="text1"/>
          <w:sz w:val="22"/>
        </w:rPr>
      </w:pPr>
    </w:p>
    <w:p w14:paraId="087CCDF5" w14:textId="4003B6F6" w:rsidR="00BE1E33" w:rsidRPr="00310F22" w:rsidRDefault="00BE1E33" w:rsidP="00BE1E33">
      <w:pPr>
        <w:spacing w:line="276" w:lineRule="auto"/>
        <w:jc w:val="both"/>
        <w:rPr>
          <w:rFonts w:ascii="Arial" w:eastAsia="Calibri" w:hAnsi="Arial" w:cs="Arial"/>
          <w:color w:val="000000" w:themeColor="text1"/>
          <w:sz w:val="22"/>
        </w:rPr>
      </w:pPr>
      <w:r w:rsidRPr="00310F22">
        <w:rPr>
          <w:rFonts w:ascii="Arial" w:eastAsia="Calibri" w:hAnsi="Arial" w:cs="Arial"/>
          <w:color w:val="000000" w:themeColor="text1"/>
          <w:sz w:val="22"/>
        </w:rPr>
        <w:t xml:space="preserve">La Agencia Nacional de Contratación Pública − Colombia Compra Eficiente </w:t>
      </w:r>
      <w:r w:rsidR="00110AD8" w:rsidRPr="00310F22">
        <w:rPr>
          <w:rFonts w:ascii="Arial" w:eastAsia="Calibri" w:hAnsi="Arial" w:cs="Arial"/>
          <w:color w:val="000000" w:themeColor="text1"/>
          <w:sz w:val="22"/>
        </w:rPr>
        <w:t xml:space="preserve">ha estudiado el principio de publicidad en materia de contratación y su relación con los medios electrónicos, en el concepto C-95 de 2020. También </w:t>
      </w:r>
      <w:r w:rsidRPr="00310F22">
        <w:rPr>
          <w:rFonts w:ascii="Arial" w:eastAsia="Calibri" w:hAnsi="Arial" w:cs="Arial"/>
          <w:color w:val="000000" w:themeColor="text1"/>
          <w:sz w:val="22"/>
        </w:rPr>
        <w:t>se ha pronunciado en diferentes conceptos sobre</w:t>
      </w:r>
      <w:r w:rsidR="008C50FD" w:rsidRPr="00310F22">
        <w:rPr>
          <w:rFonts w:ascii="Arial" w:eastAsia="Calibri" w:hAnsi="Arial" w:cs="Arial"/>
          <w:color w:val="000000" w:themeColor="text1"/>
          <w:sz w:val="22"/>
        </w:rPr>
        <w:t xml:space="preserve"> las sobre la utilización de la firma electrónica en los procedimientos de selección contractual</w:t>
      </w:r>
      <w:r w:rsidR="00DC0CC6" w:rsidRPr="00310F22">
        <w:rPr>
          <w:rFonts w:ascii="Arial" w:eastAsia="Calibri" w:hAnsi="Arial" w:cs="Arial"/>
          <w:color w:val="000000" w:themeColor="text1"/>
          <w:sz w:val="22"/>
        </w:rPr>
        <w:t>, particularmente</w:t>
      </w:r>
      <w:r w:rsidRPr="00310F22">
        <w:rPr>
          <w:rFonts w:ascii="Arial" w:eastAsia="Calibri" w:hAnsi="Arial" w:cs="Arial"/>
          <w:color w:val="000000" w:themeColor="text1"/>
          <w:sz w:val="22"/>
        </w:rPr>
        <w:t xml:space="preserve">, en los conceptos </w:t>
      </w:r>
      <w:r w:rsidR="008C50FD" w:rsidRPr="00310F22">
        <w:rPr>
          <w:rFonts w:ascii="Arial" w:eastAsia="Calibri" w:hAnsi="Arial" w:cs="Arial"/>
          <w:color w:val="000000" w:themeColor="text1"/>
          <w:sz w:val="22"/>
        </w:rPr>
        <w:t>del 9 y el 21 de agosto y el 12 de septiembre de 2019 y del 10 de enero de 2020 −radicados Nos. 2201913000005752, 4201912000005683, 2201913000006768 y 4202012000000145−, así como también en los conceptos C-044 y C-226 de 2020</w:t>
      </w:r>
      <w:r w:rsidRPr="00310F22">
        <w:rPr>
          <w:rFonts w:ascii="Arial" w:eastAsia="Calibri" w:hAnsi="Arial" w:cs="Arial"/>
          <w:color w:val="000000" w:themeColor="text1"/>
          <w:sz w:val="22"/>
        </w:rPr>
        <w:t>. Las tesis propuestas se exponen a continuación.</w:t>
      </w:r>
    </w:p>
    <w:p w14:paraId="4DBEA485" w14:textId="25BA73AF" w:rsidR="00110AD8" w:rsidRPr="00310F22" w:rsidRDefault="00110AD8" w:rsidP="00BE1E33">
      <w:pPr>
        <w:spacing w:line="276" w:lineRule="auto"/>
        <w:jc w:val="both"/>
        <w:rPr>
          <w:rFonts w:ascii="Arial" w:eastAsia="Calibri" w:hAnsi="Arial" w:cs="Arial"/>
          <w:color w:val="000000" w:themeColor="text1"/>
          <w:sz w:val="22"/>
        </w:rPr>
      </w:pPr>
    </w:p>
    <w:p w14:paraId="576651F2" w14:textId="2AEA7BD3" w:rsidR="00110AD8" w:rsidRPr="00310F22" w:rsidRDefault="00110AD8" w:rsidP="00110AD8">
      <w:pPr>
        <w:spacing w:line="276" w:lineRule="auto"/>
        <w:jc w:val="both"/>
        <w:rPr>
          <w:rFonts w:ascii="Arial" w:eastAsia="Calibri" w:hAnsi="Arial" w:cs="Arial"/>
          <w:b/>
          <w:color w:val="000000" w:themeColor="text1"/>
          <w:sz w:val="22"/>
        </w:rPr>
      </w:pPr>
      <w:r w:rsidRPr="00310F22">
        <w:rPr>
          <w:rFonts w:ascii="Arial" w:eastAsia="Calibri" w:hAnsi="Arial" w:cs="Arial"/>
          <w:b/>
          <w:bCs/>
          <w:color w:val="000000" w:themeColor="text1"/>
          <w:sz w:val="22"/>
        </w:rPr>
        <w:t>2.</w:t>
      </w:r>
      <w:r w:rsidR="002E5717" w:rsidRPr="00310F22">
        <w:rPr>
          <w:rFonts w:ascii="Arial" w:eastAsia="Calibri" w:hAnsi="Arial" w:cs="Arial"/>
          <w:b/>
          <w:bCs/>
          <w:color w:val="000000" w:themeColor="text1"/>
          <w:sz w:val="22"/>
        </w:rPr>
        <w:t>1</w:t>
      </w:r>
      <w:r w:rsidRPr="00310F22">
        <w:rPr>
          <w:rFonts w:ascii="Arial" w:eastAsia="Calibri" w:hAnsi="Arial" w:cs="Arial"/>
          <w:b/>
          <w:bCs/>
          <w:color w:val="000000" w:themeColor="text1"/>
          <w:sz w:val="22"/>
        </w:rPr>
        <w:t xml:space="preserve">. </w:t>
      </w:r>
      <w:r w:rsidRPr="00310F22">
        <w:rPr>
          <w:rFonts w:ascii="Arial" w:eastAsia="Calibri" w:hAnsi="Arial" w:cs="Arial"/>
          <w:b/>
          <w:color w:val="000000" w:themeColor="text1"/>
          <w:sz w:val="22"/>
        </w:rPr>
        <w:t xml:space="preserve">El Sistema Electrónico de Contratación Pública – SECOP: transformación hacia la tecnología y los medios electrónicos </w:t>
      </w:r>
    </w:p>
    <w:p w14:paraId="0B62A821" w14:textId="77777777" w:rsidR="00110AD8" w:rsidRPr="00310F22" w:rsidRDefault="00110AD8" w:rsidP="00110AD8">
      <w:pPr>
        <w:spacing w:line="276" w:lineRule="auto"/>
        <w:jc w:val="both"/>
        <w:rPr>
          <w:rFonts w:ascii="Arial" w:eastAsia="Calibri" w:hAnsi="Arial" w:cs="Arial"/>
          <w:color w:val="000000" w:themeColor="text1"/>
          <w:sz w:val="22"/>
        </w:rPr>
      </w:pPr>
    </w:p>
    <w:p w14:paraId="62D8AD16" w14:textId="77777777" w:rsidR="00110AD8" w:rsidRPr="00310F22" w:rsidRDefault="00110AD8" w:rsidP="00110AD8">
      <w:pPr>
        <w:spacing w:after="120" w:line="276" w:lineRule="auto"/>
        <w:jc w:val="both"/>
        <w:rPr>
          <w:rFonts w:ascii="Arial" w:eastAsia="Calibri" w:hAnsi="Arial" w:cs="Arial"/>
          <w:color w:val="000000" w:themeColor="text1"/>
          <w:sz w:val="22"/>
        </w:rPr>
      </w:pPr>
      <w:r w:rsidRPr="00310F22">
        <w:rPr>
          <w:rFonts w:ascii="Arial" w:eastAsia="Calibri" w:hAnsi="Arial" w:cs="Arial"/>
          <w:color w:val="000000" w:themeColor="text1"/>
          <w:sz w:val="22"/>
        </w:rPr>
        <w:t>El artículo 23 de la Ley 80 de 1993 regula los principios que rigen las actuaciones dentro de los procedimientos contractuales que adelantan las entidades</w:t>
      </w:r>
      <w:r w:rsidRPr="00310F22">
        <w:rPr>
          <w:rStyle w:val="Refdenotaalpie"/>
          <w:rFonts w:ascii="Arial" w:eastAsia="Calibri" w:hAnsi="Arial" w:cs="Arial"/>
          <w:color w:val="000000" w:themeColor="text1"/>
          <w:sz w:val="22"/>
        </w:rPr>
        <w:footnoteReference w:id="1"/>
      </w:r>
      <w:r w:rsidRPr="00310F22">
        <w:rPr>
          <w:rFonts w:ascii="Arial" w:eastAsia="Calibri" w:hAnsi="Arial" w:cs="Arial"/>
          <w:color w:val="000000" w:themeColor="text1"/>
          <w:sz w:val="22"/>
        </w:rPr>
        <w:t>, y se destaca el principio de transparencia, desarrollado por el artículo 24, que contiene las reglas que permiten a los interesados conocer las actuaciones contractuales, que son públicas para poder controvertirlas a través de observaciones, por lo que se conforma un expediente y se expiden copias, de acuerdo con lo dispuesto por la norma</w:t>
      </w:r>
      <w:r w:rsidRPr="00310F22">
        <w:rPr>
          <w:rStyle w:val="Refdenotaalpie"/>
          <w:rFonts w:ascii="Arial" w:eastAsia="Calibri" w:hAnsi="Arial" w:cs="Arial"/>
          <w:color w:val="000000" w:themeColor="text1"/>
          <w:sz w:val="22"/>
        </w:rPr>
        <w:footnoteReference w:id="2"/>
      </w:r>
      <w:r w:rsidRPr="00310F22">
        <w:rPr>
          <w:rFonts w:ascii="Arial" w:eastAsia="Calibri" w:hAnsi="Arial" w:cs="Arial"/>
          <w:color w:val="000000" w:themeColor="text1"/>
          <w:sz w:val="22"/>
        </w:rPr>
        <w:t xml:space="preserve">. De esta forma, las entidades </w:t>
      </w:r>
      <w:r w:rsidRPr="00310F22">
        <w:rPr>
          <w:rFonts w:ascii="Arial" w:eastAsia="Calibri" w:hAnsi="Arial" w:cs="Arial"/>
          <w:color w:val="000000" w:themeColor="text1"/>
          <w:sz w:val="22"/>
        </w:rPr>
        <w:lastRenderedPageBreak/>
        <w:t xml:space="preserve">deben publicar sus actuaciones de los procedimientos contractuales en el medio que ha definido el Estado para tal fin. </w:t>
      </w:r>
    </w:p>
    <w:p w14:paraId="2D75208D" w14:textId="77777777" w:rsidR="00110AD8" w:rsidRPr="00310F22" w:rsidRDefault="00110AD8" w:rsidP="00110AD8">
      <w:pPr>
        <w:spacing w:line="276" w:lineRule="auto"/>
        <w:ind w:firstLine="708"/>
        <w:jc w:val="both"/>
        <w:rPr>
          <w:rFonts w:ascii="Arial" w:eastAsia="Calibri" w:hAnsi="Arial" w:cs="Arial"/>
          <w:color w:val="000000" w:themeColor="text1"/>
          <w:sz w:val="22"/>
        </w:rPr>
      </w:pPr>
      <w:r w:rsidRPr="00310F22">
        <w:rPr>
          <w:rFonts w:ascii="Arial" w:eastAsia="Calibri" w:hAnsi="Arial" w:cs="Arial"/>
          <w:color w:val="000000" w:themeColor="text1"/>
          <w:sz w:val="22"/>
        </w:rPr>
        <w:t>Sobre el deber de publicidad, el artículo 2.2.1.1.1.7.1. del Decreto 1082 de 2015 regula la publicidad en el SECOP, y el deber de las entidades de publicar en dicha plataforma los documentos que resulten de la actividad contractual</w:t>
      </w:r>
      <w:r w:rsidRPr="00310F22">
        <w:rPr>
          <w:rStyle w:val="Refdenotaalpie"/>
          <w:rFonts w:ascii="Arial" w:eastAsia="Calibri" w:hAnsi="Arial" w:cs="Arial"/>
          <w:color w:val="000000" w:themeColor="text1"/>
          <w:sz w:val="22"/>
        </w:rPr>
        <w:footnoteReference w:id="3"/>
      </w:r>
      <w:r w:rsidRPr="00310F22">
        <w:rPr>
          <w:rFonts w:ascii="Arial" w:eastAsia="Calibri" w:hAnsi="Arial" w:cs="Arial"/>
          <w:color w:val="000000" w:themeColor="text1"/>
          <w:sz w:val="22"/>
        </w:rPr>
        <w:t>, lo cual permite el control de las actuaciones y decisiones de la Administración y el cumplimiento de los demás principios de la contratación pública. Así lo confirma el Consejo de Estado que analizó el principio de publicidad:</w:t>
      </w:r>
    </w:p>
    <w:p w14:paraId="016E88DC" w14:textId="77777777" w:rsidR="00110AD8" w:rsidRPr="00310F22" w:rsidRDefault="00110AD8" w:rsidP="00110AD8">
      <w:pPr>
        <w:spacing w:line="276" w:lineRule="auto"/>
        <w:jc w:val="both"/>
        <w:rPr>
          <w:rFonts w:ascii="Arial" w:eastAsia="Calibri" w:hAnsi="Arial" w:cs="Arial"/>
          <w:color w:val="000000" w:themeColor="text1"/>
          <w:sz w:val="22"/>
        </w:rPr>
      </w:pPr>
    </w:p>
    <w:p w14:paraId="088505EA" w14:textId="77777777" w:rsidR="00110AD8" w:rsidRPr="00310F22" w:rsidRDefault="00110AD8" w:rsidP="00110AD8">
      <w:pPr>
        <w:ind w:left="708" w:right="709"/>
        <w:jc w:val="both"/>
        <w:rPr>
          <w:rFonts w:ascii="Arial" w:eastAsia="Calibri" w:hAnsi="Arial" w:cs="Arial"/>
          <w:color w:val="000000" w:themeColor="text1"/>
          <w:sz w:val="21"/>
          <w:szCs w:val="21"/>
        </w:rPr>
      </w:pPr>
      <w:r w:rsidRPr="00310F22">
        <w:rPr>
          <w:rFonts w:ascii="Arial" w:eastAsia="Calibri" w:hAnsi="Arial" w:cs="Arial"/>
          <w:color w:val="000000" w:themeColor="text1"/>
          <w:sz w:val="21"/>
          <w:szCs w:val="21"/>
        </w:rPr>
        <w:t>En virtud del principio de publicidad: las autoridades deben dar a conocer sus actuaciones y decisiones mediante las comunicaciones, notificaciones o publicaciones que ordena la ley, con el propósito de que sean vinculantes y puedan ser acatadas por sus destinatarios. Publicidad significa anunciar, divulgar, difundir, informar y revelar las decisiones y su motivación para</w:t>
      </w:r>
      <w:r w:rsidRPr="00310F22">
        <w:rPr>
          <w:color w:val="000000" w:themeColor="text1"/>
        </w:rPr>
        <w:t xml:space="preserve"> </w:t>
      </w:r>
      <w:r w:rsidRPr="00310F22">
        <w:rPr>
          <w:rFonts w:ascii="Arial" w:eastAsia="Calibri" w:hAnsi="Arial" w:cs="Arial"/>
          <w:color w:val="000000" w:themeColor="text1"/>
          <w:sz w:val="21"/>
          <w:szCs w:val="21"/>
        </w:rPr>
        <w:t>hacerlas saber a quiénes va dirigida, de manera que puedan ser obligatorias, controvertibles y controlables.</w:t>
      </w:r>
    </w:p>
    <w:p w14:paraId="72409901" w14:textId="77777777" w:rsidR="00110AD8" w:rsidRPr="00310F22" w:rsidRDefault="00110AD8" w:rsidP="00110AD8">
      <w:pPr>
        <w:ind w:left="708" w:right="709"/>
        <w:jc w:val="both"/>
        <w:rPr>
          <w:rFonts w:ascii="Arial" w:eastAsia="Calibri" w:hAnsi="Arial" w:cs="Arial"/>
          <w:color w:val="000000" w:themeColor="text1"/>
          <w:sz w:val="21"/>
          <w:szCs w:val="21"/>
        </w:rPr>
      </w:pPr>
    </w:p>
    <w:p w14:paraId="333AAD25" w14:textId="77777777" w:rsidR="00110AD8" w:rsidRPr="00310F22" w:rsidRDefault="00110AD8" w:rsidP="00110AD8">
      <w:pPr>
        <w:ind w:left="708" w:right="709"/>
        <w:jc w:val="both"/>
        <w:rPr>
          <w:rFonts w:ascii="Arial" w:eastAsia="Calibri" w:hAnsi="Arial" w:cs="Arial"/>
          <w:color w:val="000000" w:themeColor="text1"/>
          <w:sz w:val="21"/>
          <w:szCs w:val="21"/>
        </w:rPr>
      </w:pPr>
      <w:r w:rsidRPr="00310F22">
        <w:rPr>
          <w:rFonts w:ascii="Arial" w:eastAsia="Calibri" w:hAnsi="Arial" w:cs="Arial"/>
          <w:color w:val="000000" w:themeColor="text1"/>
          <w:sz w:val="21"/>
          <w:szCs w:val="21"/>
        </w:rPr>
        <w:t>En efecto, los posibles oferentes y la comunidad en general deben tener conocimiento o la oportunidad de conocer tanto la convocatoria y reglas del proceso de selección o llamado a la licitación, como los actos y hechos del procedimiento y los participantes de presentar observaciones (art. 24 Nos. 2 y 6 y 30 No. 3 Ley 80 de 1993). La actuación de la administración debe ser abierta al público y a los participantes o concurrentes, quienes, incluso, en el caso de la licitación pueden hacer uso del ejercicio del derecho a la audiencia pública (art. 24 No. 3 ibídem en armonía con el artículo 273 de la Constitución Política).</w:t>
      </w:r>
    </w:p>
    <w:p w14:paraId="6D11245A" w14:textId="77777777" w:rsidR="00110AD8" w:rsidRPr="00310F22" w:rsidRDefault="00110AD8" w:rsidP="00110AD8">
      <w:pPr>
        <w:ind w:left="708" w:right="709"/>
        <w:jc w:val="both"/>
        <w:rPr>
          <w:rFonts w:ascii="Arial" w:eastAsia="Calibri" w:hAnsi="Arial" w:cs="Arial"/>
          <w:color w:val="000000" w:themeColor="text1"/>
          <w:sz w:val="21"/>
          <w:szCs w:val="21"/>
        </w:rPr>
      </w:pPr>
    </w:p>
    <w:p w14:paraId="45AC8E93" w14:textId="77777777" w:rsidR="00110AD8" w:rsidRPr="00310F22" w:rsidRDefault="00110AD8" w:rsidP="00110AD8">
      <w:pPr>
        <w:ind w:left="708" w:right="709"/>
        <w:jc w:val="both"/>
        <w:rPr>
          <w:rFonts w:ascii="Arial" w:eastAsia="Calibri" w:hAnsi="Arial" w:cs="Arial"/>
          <w:color w:val="000000" w:themeColor="text1"/>
          <w:sz w:val="21"/>
          <w:szCs w:val="21"/>
        </w:rPr>
      </w:pPr>
      <w:r w:rsidRPr="00310F22">
        <w:rPr>
          <w:rFonts w:ascii="Arial" w:eastAsia="Calibri" w:hAnsi="Arial" w:cs="Arial"/>
          <w:color w:val="000000" w:themeColor="text1"/>
          <w:sz w:val="21"/>
          <w:szCs w:val="21"/>
        </w:rPr>
        <w:t>Este principio-deber también se traduce en el correlativo derecho de los interesados de enterarse de esas actuaciones de la administración, pedir por parte de quien demuestre un interés legítimo información y solicitar las copias de los documentos que la integran, con sujeción a la reserva de ley (art. 23 y 74 de la C.P., No. 4 del artículo 24 de la Ley 80 de 1993, entre otros)</w:t>
      </w:r>
      <w:r w:rsidRPr="00310F22">
        <w:rPr>
          <w:rStyle w:val="Refdenotaalpie"/>
          <w:rFonts w:ascii="Arial" w:eastAsia="Calibri" w:hAnsi="Arial" w:cs="Arial"/>
          <w:color w:val="000000" w:themeColor="text1"/>
          <w:sz w:val="21"/>
          <w:szCs w:val="21"/>
        </w:rPr>
        <w:footnoteReference w:id="4"/>
      </w:r>
      <w:r w:rsidRPr="00310F22">
        <w:rPr>
          <w:rFonts w:ascii="Arial" w:eastAsia="Calibri" w:hAnsi="Arial" w:cs="Arial"/>
          <w:color w:val="000000" w:themeColor="text1"/>
          <w:sz w:val="21"/>
          <w:szCs w:val="21"/>
        </w:rPr>
        <w:t>.</w:t>
      </w:r>
    </w:p>
    <w:p w14:paraId="07E67D3D" w14:textId="77777777" w:rsidR="00110AD8" w:rsidRPr="00310F22" w:rsidRDefault="00110AD8" w:rsidP="00110AD8">
      <w:pPr>
        <w:ind w:left="708" w:right="680"/>
        <w:jc w:val="both"/>
        <w:rPr>
          <w:rFonts w:ascii="Arial" w:eastAsia="Calibri" w:hAnsi="Arial" w:cs="Arial"/>
          <w:color w:val="000000" w:themeColor="text1"/>
          <w:sz w:val="21"/>
          <w:szCs w:val="21"/>
        </w:rPr>
      </w:pPr>
    </w:p>
    <w:p w14:paraId="305F4CDA" w14:textId="77777777" w:rsidR="00110AD8" w:rsidRPr="00310F22" w:rsidRDefault="00110AD8" w:rsidP="00110AD8">
      <w:pPr>
        <w:spacing w:after="120" w:line="276" w:lineRule="auto"/>
        <w:ind w:firstLine="709"/>
        <w:jc w:val="both"/>
        <w:rPr>
          <w:rFonts w:ascii="Arial" w:eastAsia="Calibri" w:hAnsi="Arial" w:cs="Arial"/>
          <w:color w:val="000000" w:themeColor="text1"/>
          <w:sz w:val="22"/>
        </w:rPr>
      </w:pPr>
      <w:r w:rsidRPr="00310F22">
        <w:rPr>
          <w:rFonts w:ascii="Arial" w:eastAsia="Calibri" w:hAnsi="Arial" w:cs="Arial"/>
          <w:color w:val="000000" w:themeColor="text1"/>
          <w:sz w:val="22"/>
        </w:rPr>
        <w:t xml:space="preserve">De acuerdo con esto, las entidades deben cumplir con el principio de publicidad respecto de su actividad contractual como garantía para los administrados, para conocer las actuaciones y participar en el control de estas. Por ende, el SECOP es la herramienta que dispuso el Estado para que las entidades cumplan el principio de publicidad, y la Agencia Nacional de Contratación Pública - Colombia Compra Eficiente, </w:t>
      </w:r>
      <w:bookmarkStart w:id="3" w:name="_Hlk22626097"/>
      <w:r w:rsidRPr="00310F22">
        <w:rPr>
          <w:rFonts w:ascii="Arial" w:eastAsia="Calibri" w:hAnsi="Arial" w:cs="Arial"/>
          <w:color w:val="000000" w:themeColor="text1"/>
          <w:sz w:val="22"/>
        </w:rPr>
        <w:t>mediante la Circular Externa No 1 de 21 de junio de 2013, recopilada en la Circular Externa Única</w:t>
      </w:r>
      <w:r w:rsidRPr="00310F22">
        <w:rPr>
          <w:rFonts w:eastAsia="Calibri"/>
          <w:color w:val="000000" w:themeColor="text1"/>
          <w:vertAlign w:val="superscript"/>
        </w:rPr>
        <w:footnoteReference w:id="5"/>
      </w:r>
      <w:r w:rsidRPr="00310F22">
        <w:rPr>
          <w:rFonts w:ascii="Arial" w:eastAsia="Calibri" w:hAnsi="Arial" w:cs="Arial"/>
          <w:color w:val="000000" w:themeColor="text1"/>
          <w:sz w:val="22"/>
        </w:rPr>
        <w:t>,</w:t>
      </w:r>
      <w:bookmarkEnd w:id="3"/>
      <w:r w:rsidRPr="00310F22">
        <w:rPr>
          <w:rFonts w:ascii="Arial" w:eastAsia="Calibri" w:hAnsi="Arial" w:cs="Arial"/>
          <w:color w:val="000000" w:themeColor="text1"/>
          <w:sz w:val="22"/>
        </w:rPr>
        <w:t xml:space="preserve"> recordó a todas las entidades del Estado el deber de publicar oportunamente su actividad contractual en el SECOP, sin que sea relevante para la exigencia de esta obligación su régimen jurídico, naturaleza pública o privada, o la pertenencia a una u otra rama del poder público. </w:t>
      </w:r>
    </w:p>
    <w:p w14:paraId="531409CE" w14:textId="77777777" w:rsidR="00110AD8" w:rsidRPr="00310F22" w:rsidRDefault="00110AD8" w:rsidP="00110AD8">
      <w:pPr>
        <w:spacing w:after="120" w:line="276" w:lineRule="auto"/>
        <w:ind w:firstLine="708"/>
        <w:jc w:val="both"/>
        <w:rPr>
          <w:rFonts w:ascii="Arial" w:eastAsia="Calibri" w:hAnsi="Arial" w:cs="Arial"/>
          <w:color w:val="000000" w:themeColor="text1"/>
          <w:sz w:val="22"/>
        </w:rPr>
      </w:pPr>
      <w:r w:rsidRPr="00310F22">
        <w:rPr>
          <w:rFonts w:ascii="Arial" w:eastAsia="Calibri" w:hAnsi="Arial" w:cs="Arial"/>
          <w:color w:val="000000" w:themeColor="text1"/>
          <w:sz w:val="22"/>
        </w:rPr>
        <w:t>El artículo 3 de la Ley 1150 de 2007 señala que los actos relacionados con los procedimientos de contratación de las entidades pueden ser electrónicos, al igual que su publicidad, por lo que el Gobierno nacional debe definir los medios para llevarlo a cabo, y tiene la obligación de desarrollar el SECOP</w:t>
      </w:r>
      <w:r w:rsidRPr="00310F22">
        <w:rPr>
          <w:rStyle w:val="Refdenotaalpie"/>
          <w:rFonts w:ascii="Arial" w:eastAsia="Calibri" w:hAnsi="Arial" w:cs="Arial"/>
          <w:color w:val="000000" w:themeColor="text1"/>
          <w:sz w:val="22"/>
        </w:rPr>
        <w:footnoteReference w:id="6"/>
      </w:r>
      <w:r w:rsidRPr="00310F22">
        <w:rPr>
          <w:rFonts w:ascii="Arial" w:eastAsia="Calibri" w:hAnsi="Arial" w:cs="Arial"/>
          <w:color w:val="000000" w:themeColor="text1"/>
          <w:sz w:val="22"/>
        </w:rPr>
        <w:t xml:space="preserve">. Este sistema debe contar con la información </w:t>
      </w:r>
      <w:r w:rsidRPr="00310F22">
        <w:rPr>
          <w:rFonts w:ascii="Arial" w:eastAsia="Calibri" w:hAnsi="Arial" w:cs="Arial"/>
          <w:color w:val="000000" w:themeColor="text1"/>
          <w:sz w:val="22"/>
        </w:rPr>
        <w:lastRenderedPageBreak/>
        <w:t>oficial de los procedimientos contractuales de las entidades, de lo cual será la única fuente, teniendo en cuenta que se ejecutan recursos públicos y por ende la ciudadanía tiene derecho a conocer cómo se invierten, y controlar que el objetivo sea la satisfacción de sus necesidades.</w:t>
      </w:r>
    </w:p>
    <w:p w14:paraId="42C91008" w14:textId="2F3BB908" w:rsidR="00110AD8" w:rsidRPr="00310F22" w:rsidRDefault="00110AD8" w:rsidP="00110AD8">
      <w:pPr>
        <w:spacing w:line="276" w:lineRule="auto"/>
        <w:ind w:firstLine="709"/>
        <w:jc w:val="both"/>
        <w:rPr>
          <w:rFonts w:ascii="Arial" w:eastAsia="Calibri" w:hAnsi="Arial" w:cs="Arial"/>
          <w:color w:val="000000" w:themeColor="text1"/>
          <w:sz w:val="22"/>
        </w:rPr>
      </w:pPr>
      <w:r w:rsidRPr="00310F22">
        <w:rPr>
          <w:rFonts w:ascii="Arial" w:eastAsia="Calibri" w:hAnsi="Arial" w:cs="Arial"/>
          <w:color w:val="000000" w:themeColor="text1"/>
          <w:sz w:val="22"/>
        </w:rPr>
        <w:t xml:space="preserve">La norma citada genera un cambio en la contratación pública, donde las actuaciones de las entidades se realizaban por escrito y en papel, y ahora se crea un mecanismo eficiente que reduce costos para que se cumpla el principio de publicidad, como un deber de las </w:t>
      </w:r>
      <w:proofErr w:type="gramStart"/>
      <w:r w:rsidRPr="00310F22">
        <w:rPr>
          <w:rFonts w:ascii="Arial" w:eastAsia="Calibri" w:hAnsi="Arial" w:cs="Arial"/>
          <w:color w:val="000000" w:themeColor="text1"/>
          <w:sz w:val="22"/>
        </w:rPr>
        <w:t>autoridades públicas</w:t>
      </w:r>
      <w:proofErr w:type="gramEnd"/>
      <w:r w:rsidRPr="00310F22">
        <w:rPr>
          <w:rFonts w:ascii="Arial" w:eastAsia="Calibri" w:hAnsi="Arial" w:cs="Arial"/>
          <w:color w:val="000000" w:themeColor="text1"/>
          <w:sz w:val="22"/>
        </w:rPr>
        <w:t xml:space="preserve"> en el ejercicio de las funciones administrativas que la ley les otorga. No obstante, en el SECOP se debe garantizar el cumplimiento de las reglas aplicables a la gestión contractual de las entidades, por lo que</w:t>
      </w:r>
      <w:r w:rsidR="002E5717" w:rsidRPr="00310F22">
        <w:rPr>
          <w:rFonts w:ascii="Arial" w:eastAsia="Calibri" w:hAnsi="Arial" w:cs="Arial"/>
          <w:color w:val="000000" w:themeColor="text1"/>
          <w:sz w:val="22"/>
        </w:rPr>
        <w:t>,</w:t>
      </w:r>
      <w:r w:rsidRPr="00310F22">
        <w:rPr>
          <w:rFonts w:ascii="Arial" w:eastAsia="Calibri" w:hAnsi="Arial" w:cs="Arial"/>
          <w:color w:val="000000" w:themeColor="text1"/>
          <w:sz w:val="22"/>
        </w:rPr>
        <w:t xml:space="preserve"> a pesar del cambio de lo físico a lo electrónico, esto no implica que se modifiquen o dejen de cumplir las normas de contratación pública, como lo relacionado con la competencia contractual al interior de la entidad que se explicó en el numeral 2.1. de este documento; y a continuación se explicará su cumplimiento en la expedición de pliegos de condiciones por medios electrónicos, es decir, en el SECOP II</w:t>
      </w:r>
      <w:r w:rsidRPr="00310F22">
        <w:rPr>
          <w:rStyle w:val="Refdenotaalpie"/>
          <w:rFonts w:ascii="Arial" w:eastAsia="Calibri" w:hAnsi="Arial" w:cs="Arial"/>
          <w:color w:val="000000" w:themeColor="text1"/>
          <w:sz w:val="22"/>
        </w:rPr>
        <w:footnoteReference w:id="7"/>
      </w:r>
      <w:r w:rsidRPr="00310F22">
        <w:rPr>
          <w:rFonts w:ascii="Arial" w:eastAsia="Calibri" w:hAnsi="Arial" w:cs="Arial"/>
          <w:color w:val="000000" w:themeColor="text1"/>
          <w:sz w:val="22"/>
        </w:rPr>
        <w:t xml:space="preserve">. </w:t>
      </w:r>
    </w:p>
    <w:p w14:paraId="7CF4D397" w14:textId="77777777" w:rsidR="00110AD8" w:rsidRPr="00310F22" w:rsidRDefault="00110AD8" w:rsidP="00BE1E33">
      <w:pPr>
        <w:spacing w:line="276" w:lineRule="auto"/>
        <w:jc w:val="both"/>
        <w:rPr>
          <w:rFonts w:ascii="Arial" w:eastAsia="Calibri" w:hAnsi="Arial" w:cs="Arial"/>
          <w:color w:val="000000" w:themeColor="text1"/>
          <w:sz w:val="22"/>
        </w:rPr>
      </w:pPr>
    </w:p>
    <w:p w14:paraId="36ED8B12" w14:textId="77777777" w:rsidR="008C50FD" w:rsidRPr="00310F22" w:rsidRDefault="008C50FD" w:rsidP="008C50FD">
      <w:pPr>
        <w:spacing w:line="276" w:lineRule="auto"/>
        <w:ind w:firstLine="709"/>
        <w:jc w:val="both"/>
        <w:rPr>
          <w:rFonts w:ascii="Arial" w:eastAsia="Calibri" w:hAnsi="Arial" w:cs="Arial"/>
          <w:color w:val="000000" w:themeColor="text1"/>
          <w:sz w:val="22"/>
        </w:rPr>
      </w:pPr>
    </w:p>
    <w:p w14:paraId="51FCF593" w14:textId="00A666F9" w:rsidR="008C50FD" w:rsidRPr="00310F22" w:rsidRDefault="008C50FD" w:rsidP="008C50FD">
      <w:pPr>
        <w:spacing w:line="276" w:lineRule="auto"/>
        <w:jc w:val="both"/>
        <w:rPr>
          <w:rFonts w:ascii="Arial" w:eastAsia="Times New Roman" w:hAnsi="Arial" w:cs="Arial"/>
          <w:color w:val="000000" w:themeColor="text1"/>
          <w:sz w:val="22"/>
          <w:lang w:val="es-ES_tradnl"/>
        </w:rPr>
      </w:pPr>
      <w:r w:rsidRPr="00310F22">
        <w:rPr>
          <w:rFonts w:ascii="Arial" w:hAnsi="Arial" w:cs="Arial"/>
          <w:b/>
          <w:color w:val="000000" w:themeColor="text1"/>
          <w:sz w:val="22"/>
          <w:lang w:val="es-ES_tradnl"/>
        </w:rPr>
        <w:t>2.</w:t>
      </w:r>
      <w:r w:rsidR="00110AD8" w:rsidRPr="00310F22">
        <w:rPr>
          <w:rFonts w:ascii="Arial" w:hAnsi="Arial" w:cs="Arial"/>
          <w:b/>
          <w:color w:val="000000" w:themeColor="text1"/>
          <w:sz w:val="22"/>
          <w:lang w:val="es-ES_tradnl"/>
        </w:rPr>
        <w:t>2</w:t>
      </w:r>
      <w:r w:rsidRPr="00310F22">
        <w:rPr>
          <w:rFonts w:ascii="Arial" w:hAnsi="Arial" w:cs="Arial"/>
          <w:b/>
          <w:color w:val="000000" w:themeColor="text1"/>
          <w:sz w:val="22"/>
          <w:lang w:val="es-ES_tradnl"/>
        </w:rPr>
        <w:t>. Uso de medios electrónicos en las actuaciones administrativas y, en especial, en la contratación pública: la tendencia de simplificación de los trámites y la cultura del cero papel</w:t>
      </w:r>
    </w:p>
    <w:p w14:paraId="7065DF8B" w14:textId="77777777" w:rsidR="008C50FD" w:rsidRPr="00310F22" w:rsidRDefault="008C50FD" w:rsidP="008C50FD">
      <w:pPr>
        <w:spacing w:line="276" w:lineRule="auto"/>
        <w:jc w:val="both"/>
        <w:rPr>
          <w:rFonts w:ascii="Arial" w:eastAsia="Calibri" w:hAnsi="Arial" w:cs="Arial"/>
          <w:color w:val="000000" w:themeColor="text1"/>
          <w:sz w:val="22"/>
          <w:lang w:val="es-ES_tradnl"/>
        </w:rPr>
      </w:pPr>
    </w:p>
    <w:p w14:paraId="0F3DBADB" w14:textId="77777777" w:rsidR="008C50FD" w:rsidRPr="00310F22" w:rsidRDefault="008C50FD" w:rsidP="008C50FD">
      <w:pPr>
        <w:spacing w:line="276" w:lineRule="auto"/>
        <w:jc w:val="both"/>
        <w:rPr>
          <w:rFonts w:ascii="Arial" w:eastAsia="Calibri" w:hAnsi="Arial" w:cs="Arial"/>
          <w:color w:val="000000" w:themeColor="text1"/>
          <w:sz w:val="22"/>
          <w:lang w:val="es-ES_tradnl"/>
        </w:rPr>
      </w:pPr>
      <w:r w:rsidRPr="00310F22">
        <w:rPr>
          <w:rFonts w:ascii="Arial" w:eastAsia="Calibri" w:hAnsi="Arial" w:cs="Arial"/>
          <w:color w:val="000000" w:themeColor="text1"/>
          <w:sz w:val="22"/>
          <w:lang w:val="es-ES_tradnl"/>
        </w:rPr>
        <w:t>Desde hace varios años se ha presentado una tendencia consistente en la eliminación de los trámites innecesarios relacionados con las actuaciones que se adelantan ante las autoridades. Lo que se busca con ello es que las personas tengan una mejor calidad de vida, como resultado de la facilidad para realizar los trámites en el Estado, de manera que puedan utilizar este tiempo en otras actividades.</w:t>
      </w:r>
    </w:p>
    <w:p w14:paraId="4E3611A4" w14:textId="77777777" w:rsidR="008C50FD" w:rsidRPr="00310F22" w:rsidRDefault="008C50FD" w:rsidP="008C50FD">
      <w:pPr>
        <w:spacing w:before="120" w:after="120" w:line="276" w:lineRule="auto"/>
        <w:ind w:firstLine="709"/>
        <w:jc w:val="both"/>
        <w:rPr>
          <w:rFonts w:ascii="Arial" w:eastAsia="Calibri" w:hAnsi="Arial" w:cs="Arial"/>
          <w:color w:val="000000" w:themeColor="text1"/>
          <w:sz w:val="22"/>
          <w:lang w:val="es-ES_tradnl"/>
        </w:rPr>
      </w:pPr>
      <w:r w:rsidRPr="00310F22">
        <w:rPr>
          <w:rFonts w:ascii="Arial" w:eastAsia="Calibri" w:hAnsi="Arial" w:cs="Arial"/>
          <w:color w:val="000000" w:themeColor="text1"/>
          <w:sz w:val="22"/>
          <w:lang w:val="es-ES_tradnl"/>
        </w:rPr>
        <w:t>Anteriormente la totalidad de las actuaciones oficiales, es decir, las que se efectuaban ante las entidades públicas, debían surtirse de manera presencial o a través del envío de documentación física, muchas veces cumpliendo con el requisito de la presentación personal. En la actualidad, se viene produciendo una inversión en la lógica que rige la relación de los ciudadanos con el Estado: i) en lugar de la presencialidad, se ha comenzado a privilegiar la virtualidad y ii) del reconocimiento de validez y autenticidad, exclusivamente, a la documentación física, hoy también se admiten dichos atributos respecto de la documentación electrónica.</w:t>
      </w:r>
    </w:p>
    <w:p w14:paraId="0B4F8F42" w14:textId="77777777" w:rsidR="008C50FD" w:rsidRPr="00310F22" w:rsidRDefault="008C50FD" w:rsidP="008C50FD">
      <w:pPr>
        <w:spacing w:before="120" w:after="120" w:line="276" w:lineRule="auto"/>
        <w:ind w:firstLine="709"/>
        <w:jc w:val="both"/>
        <w:rPr>
          <w:rFonts w:ascii="Arial" w:eastAsia="Calibri" w:hAnsi="Arial" w:cs="Arial"/>
          <w:color w:val="000000" w:themeColor="text1"/>
          <w:sz w:val="22"/>
          <w:lang w:val="es-ES_tradnl"/>
        </w:rPr>
      </w:pPr>
      <w:r w:rsidRPr="00310F22">
        <w:rPr>
          <w:rFonts w:ascii="Arial" w:eastAsia="Calibri" w:hAnsi="Arial" w:cs="Arial"/>
          <w:color w:val="000000" w:themeColor="text1"/>
          <w:sz w:val="22"/>
          <w:lang w:val="es-ES_tradnl"/>
        </w:rPr>
        <w:t>La función que han jugado las normas «</w:t>
      </w:r>
      <w:proofErr w:type="spellStart"/>
      <w:r w:rsidRPr="00310F22">
        <w:rPr>
          <w:rFonts w:ascii="Arial" w:eastAsia="Calibri" w:hAnsi="Arial" w:cs="Arial"/>
          <w:color w:val="000000" w:themeColor="text1"/>
          <w:sz w:val="22"/>
          <w:lang w:val="es-ES_tradnl"/>
        </w:rPr>
        <w:t>antitrámites</w:t>
      </w:r>
      <w:proofErr w:type="spellEnd"/>
      <w:r w:rsidRPr="00310F22">
        <w:rPr>
          <w:rFonts w:ascii="Arial" w:eastAsia="Calibri" w:hAnsi="Arial" w:cs="Arial"/>
          <w:color w:val="000000" w:themeColor="text1"/>
          <w:sz w:val="22"/>
          <w:lang w:val="es-ES_tradnl"/>
        </w:rPr>
        <w:t>», para que dicho cambio se produzca, ha sido decisiva. El artículo 6º de la Ley 962 de 2005, «por la cual se dictan disposiciones sobre racionalización de trámites y procedimientos administrativos de los organismos y entidades del Estado y de los particulares que ejercen funciones públicas o prestan servicios públicos», dispuso que las entidades públicas podían servirse de medios electrónicos para el cumplimiento de sus funciones</w:t>
      </w:r>
      <w:r w:rsidRPr="00310F22">
        <w:rPr>
          <w:rStyle w:val="Refdenotaalpie"/>
          <w:rFonts w:ascii="Arial" w:eastAsia="Calibri" w:hAnsi="Arial" w:cs="Arial"/>
          <w:color w:val="000000" w:themeColor="text1"/>
          <w:sz w:val="22"/>
          <w:lang w:val="es-ES_tradnl"/>
        </w:rPr>
        <w:footnoteReference w:id="8"/>
      </w:r>
      <w:r w:rsidRPr="00310F22">
        <w:rPr>
          <w:rFonts w:ascii="Arial" w:eastAsia="Calibri" w:hAnsi="Arial" w:cs="Arial"/>
          <w:color w:val="000000" w:themeColor="text1"/>
          <w:sz w:val="22"/>
          <w:lang w:val="es-ES_tradnl"/>
        </w:rPr>
        <w:t xml:space="preserve">. El artículo 7º de la misma Ley permite </w:t>
      </w:r>
      <w:r w:rsidRPr="00310F22">
        <w:rPr>
          <w:rFonts w:ascii="Arial" w:eastAsia="Calibri" w:hAnsi="Arial" w:cs="Arial"/>
          <w:color w:val="000000" w:themeColor="text1"/>
          <w:sz w:val="22"/>
          <w:lang w:val="es-ES_tradnl"/>
        </w:rPr>
        <w:lastRenderedPageBreak/>
        <w:t>la publicidad electrónica de las normas y actos generales de la Administración pública</w:t>
      </w:r>
      <w:r w:rsidRPr="00310F22">
        <w:rPr>
          <w:rStyle w:val="Refdenotaalpie"/>
          <w:rFonts w:ascii="Arial" w:eastAsia="Calibri" w:hAnsi="Arial" w:cs="Arial"/>
          <w:color w:val="000000" w:themeColor="text1"/>
          <w:sz w:val="22"/>
          <w:lang w:val="es-ES_tradnl"/>
        </w:rPr>
        <w:footnoteReference w:id="9"/>
      </w:r>
      <w:r w:rsidRPr="00310F22">
        <w:rPr>
          <w:rFonts w:ascii="Arial" w:eastAsia="Calibri" w:hAnsi="Arial" w:cs="Arial"/>
          <w:color w:val="000000" w:themeColor="text1"/>
          <w:sz w:val="22"/>
          <w:lang w:val="es-ES_tradnl"/>
        </w:rPr>
        <w:t>, e igualmente, el artículo 10º exige que las entidades estatales tengan un correo electrónico habilitando para la recepción de mensajes enviados por las personas</w:t>
      </w:r>
      <w:r w:rsidRPr="00310F22">
        <w:rPr>
          <w:rStyle w:val="Refdenotaalpie"/>
          <w:rFonts w:ascii="Arial" w:eastAsia="Calibri" w:hAnsi="Arial" w:cs="Arial"/>
          <w:color w:val="000000" w:themeColor="text1"/>
          <w:sz w:val="22"/>
          <w:lang w:val="es-ES_tradnl"/>
        </w:rPr>
        <w:footnoteReference w:id="10"/>
      </w:r>
      <w:r w:rsidRPr="00310F22">
        <w:rPr>
          <w:rFonts w:ascii="Arial" w:eastAsia="Calibri" w:hAnsi="Arial" w:cs="Arial"/>
          <w:color w:val="000000" w:themeColor="text1"/>
          <w:sz w:val="22"/>
          <w:lang w:val="es-ES_tradnl"/>
        </w:rPr>
        <w:t xml:space="preserve">. Entretanto, el </w:t>
      </w:r>
      <w:r w:rsidRPr="00310F22">
        <w:rPr>
          <w:rFonts w:ascii="Arial" w:eastAsia="Calibri" w:hAnsi="Arial" w:cs="Arial"/>
          <w:color w:val="000000" w:themeColor="text1"/>
          <w:sz w:val="22"/>
          <w:lang w:val="es-ES_tradnl"/>
        </w:rPr>
        <w:lastRenderedPageBreak/>
        <w:t>Decreto 19 de 2012, «Por el cual se dictan normas para suprimir o reformar regulaciones, procedimientos y trámites innecesarios existentes en la Administración Pública», continuó la tendencia de poner a disposición de los particulares y de las entidades estatales los medios electrónicos, como instrumentos idóneos para el desarrollo de sus actividades cotidianas. Conviene destacar de esta Decreto los artículos: 14 –que permite el uso de medios electrónicos para la realización de peticiones–</w:t>
      </w:r>
      <w:r w:rsidRPr="00310F22">
        <w:rPr>
          <w:rStyle w:val="Refdenotaalpie"/>
          <w:rFonts w:ascii="Arial" w:eastAsia="Calibri" w:hAnsi="Arial" w:cs="Arial"/>
          <w:color w:val="000000" w:themeColor="text1"/>
          <w:sz w:val="22"/>
          <w:lang w:val="es-ES_tradnl"/>
        </w:rPr>
        <w:footnoteReference w:id="11"/>
      </w:r>
      <w:r w:rsidRPr="00310F22">
        <w:rPr>
          <w:rFonts w:ascii="Arial" w:eastAsia="Calibri" w:hAnsi="Arial" w:cs="Arial"/>
          <w:color w:val="000000" w:themeColor="text1"/>
          <w:sz w:val="22"/>
          <w:lang w:val="es-ES_tradnl"/>
        </w:rPr>
        <w:t>, 38 –que establece como función del Departamento Administrativo de la Función Pública, «Facilitar el acceso a la información y ejecución de los trámites y procedimientos administrativos por medios electrónicos, creando las condiciones de confianza en el uso de los mismos»– y el 223 –que elimina el Diario Único de Contratación y obliga a las entidades a publicar la actividad contractual exclusivamente en el SECOP–</w:t>
      </w:r>
      <w:r w:rsidRPr="00310F22">
        <w:rPr>
          <w:rStyle w:val="Refdenotaalpie"/>
          <w:rFonts w:ascii="Arial" w:eastAsia="Calibri" w:hAnsi="Arial" w:cs="Arial"/>
          <w:color w:val="000000" w:themeColor="text1"/>
          <w:sz w:val="22"/>
          <w:lang w:val="es-ES_tradnl"/>
        </w:rPr>
        <w:footnoteReference w:id="12"/>
      </w:r>
      <w:r w:rsidRPr="00310F22">
        <w:rPr>
          <w:rFonts w:ascii="Arial" w:eastAsia="Calibri" w:hAnsi="Arial" w:cs="Arial"/>
          <w:color w:val="000000" w:themeColor="text1"/>
          <w:sz w:val="22"/>
          <w:lang w:val="es-ES_tradnl"/>
        </w:rPr>
        <w:t>, entre otros. De igual manera, el Decreto 2106 de 2019 «Por el cual se dictan normas para simplificar, suprimir y reformar trámites, procesos y procedimientos innecesarios existentes en la administración pública» establece que «Para lograr mayor nivel de eficiencia en la administración pública y una adecuada interacción con los ciudadanos y usuarios, garantizando el derecho a la utilización de medios electrónicos, las autoridades deberán integrarse y hacer uso del modelo de Servicios Ciudadanos Digitales»</w:t>
      </w:r>
      <w:r w:rsidRPr="00310F22">
        <w:rPr>
          <w:rStyle w:val="Refdenotaalpie"/>
          <w:rFonts w:ascii="Arial" w:eastAsia="Calibri" w:hAnsi="Arial" w:cs="Arial"/>
          <w:color w:val="000000" w:themeColor="text1"/>
          <w:sz w:val="22"/>
          <w:lang w:val="es-ES_tradnl"/>
        </w:rPr>
        <w:footnoteReference w:id="13"/>
      </w:r>
      <w:r w:rsidRPr="00310F22">
        <w:rPr>
          <w:rFonts w:ascii="Arial" w:eastAsia="Calibri" w:hAnsi="Arial" w:cs="Arial"/>
          <w:color w:val="000000" w:themeColor="text1"/>
          <w:sz w:val="22"/>
          <w:lang w:val="es-ES_tradnl"/>
        </w:rPr>
        <w:t>. Además, reconoce que las personas pueden adelantar sus trámites a través de «todos los portales, sitios web, plataformas, ventanillas únicas, aplicaciones y soluciones existentes»</w:t>
      </w:r>
      <w:r w:rsidRPr="00310F22">
        <w:rPr>
          <w:rStyle w:val="Refdenotaalpie"/>
          <w:rFonts w:ascii="Arial" w:eastAsia="Calibri" w:hAnsi="Arial" w:cs="Arial"/>
          <w:color w:val="000000" w:themeColor="text1"/>
          <w:sz w:val="22"/>
          <w:lang w:val="es-ES_tradnl"/>
        </w:rPr>
        <w:footnoteReference w:id="14"/>
      </w:r>
      <w:r w:rsidRPr="00310F22">
        <w:rPr>
          <w:rFonts w:ascii="Arial" w:eastAsia="Calibri" w:hAnsi="Arial" w:cs="Arial"/>
          <w:color w:val="000000" w:themeColor="text1"/>
          <w:sz w:val="22"/>
          <w:lang w:val="es-ES_tradnl"/>
        </w:rPr>
        <w:t xml:space="preserve"> y autoriza la gestión documental electrónica</w:t>
      </w:r>
      <w:r w:rsidRPr="00310F22">
        <w:rPr>
          <w:rStyle w:val="Refdenotaalpie"/>
          <w:rFonts w:ascii="Arial" w:eastAsia="Calibri" w:hAnsi="Arial" w:cs="Arial"/>
          <w:color w:val="000000" w:themeColor="text1"/>
          <w:sz w:val="22"/>
          <w:lang w:val="es-ES_tradnl"/>
        </w:rPr>
        <w:footnoteReference w:id="15"/>
      </w:r>
      <w:r w:rsidRPr="00310F22">
        <w:rPr>
          <w:rFonts w:ascii="Arial" w:eastAsia="Calibri" w:hAnsi="Arial" w:cs="Arial"/>
          <w:color w:val="000000" w:themeColor="text1"/>
          <w:sz w:val="22"/>
          <w:lang w:val="es-ES_tradnl"/>
        </w:rPr>
        <w:t>.</w:t>
      </w:r>
    </w:p>
    <w:p w14:paraId="06377FD1" w14:textId="77777777" w:rsidR="008C50FD" w:rsidRPr="00310F22" w:rsidRDefault="008C50FD" w:rsidP="008C50FD">
      <w:pPr>
        <w:spacing w:before="120" w:after="120" w:line="276" w:lineRule="auto"/>
        <w:ind w:firstLine="709"/>
        <w:jc w:val="both"/>
        <w:rPr>
          <w:rFonts w:ascii="Arial" w:eastAsia="Calibri" w:hAnsi="Arial" w:cs="Arial"/>
          <w:color w:val="000000" w:themeColor="text1"/>
          <w:sz w:val="22"/>
          <w:lang w:val="es-ES_tradnl"/>
        </w:rPr>
      </w:pPr>
      <w:r w:rsidRPr="00310F22">
        <w:rPr>
          <w:rFonts w:ascii="Arial" w:eastAsia="Calibri" w:hAnsi="Arial" w:cs="Arial"/>
          <w:color w:val="000000" w:themeColor="text1"/>
          <w:sz w:val="22"/>
          <w:lang w:val="es-ES_tradnl"/>
        </w:rPr>
        <w:t>Pero no solo las disposiciones que integran lo que comúnmente conocemos como normativa «</w:t>
      </w:r>
      <w:proofErr w:type="spellStart"/>
      <w:r w:rsidRPr="00310F22">
        <w:rPr>
          <w:rFonts w:ascii="Arial" w:eastAsia="Calibri" w:hAnsi="Arial" w:cs="Arial"/>
          <w:color w:val="000000" w:themeColor="text1"/>
          <w:sz w:val="22"/>
          <w:lang w:val="es-ES_tradnl"/>
        </w:rPr>
        <w:t>antitrámites</w:t>
      </w:r>
      <w:proofErr w:type="spellEnd"/>
      <w:r w:rsidRPr="00310F22">
        <w:rPr>
          <w:rFonts w:ascii="Arial" w:eastAsia="Calibri" w:hAnsi="Arial" w:cs="Arial"/>
          <w:color w:val="000000" w:themeColor="text1"/>
          <w:sz w:val="22"/>
          <w:lang w:val="es-ES_tradnl"/>
        </w:rPr>
        <w:t xml:space="preserve">» –y que se acaban de reseñar– han sido las que han permitido o exigido el uso de medios electrónicos en las actuaciones normativas. También lo han </w:t>
      </w:r>
      <w:r w:rsidRPr="00310F22">
        <w:rPr>
          <w:rFonts w:ascii="Arial" w:eastAsia="Calibri" w:hAnsi="Arial" w:cs="Arial"/>
          <w:color w:val="000000" w:themeColor="text1"/>
          <w:sz w:val="22"/>
          <w:lang w:val="es-ES_tradnl"/>
        </w:rPr>
        <w:lastRenderedPageBreak/>
        <w:t>hecho: la Ley 527 de 1999, la Ley 1150 de 2007, la Ley 1341 de 2009 y la Ley 1437 de 2011.</w:t>
      </w:r>
    </w:p>
    <w:p w14:paraId="1A2F282E" w14:textId="77777777" w:rsidR="008C50FD" w:rsidRPr="00310F22" w:rsidRDefault="008C50FD" w:rsidP="008C50FD">
      <w:pPr>
        <w:spacing w:before="120" w:after="120" w:line="276" w:lineRule="auto"/>
        <w:ind w:firstLine="709"/>
        <w:jc w:val="both"/>
        <w:rPr>
          <w:rFonts w:ascii="Arial" w:eastAsia="Calibri" w:hAnsi="Arial" w:cs="Arial"/>
          <w:color w:val="000000" w:themeColor="text1"/>
          <w:sz w:val="22"/>
          <w:lang w:val="es-ES_tradnl"/>
        </w:rPr>
      </w:pPr>
      <w:r w:rsidRPr="00310F22">
        <w:rPr>
          <w:rFonts w:ascii="Arial" w:eastAsia="Calibri" w:hAnsi="Arial" w:cs="Arial"/>
          <w:color w:val="000000" w:themeColor="text1"/>
          <w:sz w:val="22"/>
          <w:lang w:val="es-ES_tradnl"/>
        </w:rPr>
        <w:t>En efecto, la Ley 527 de 1999, «Por medio de la cual se define y reglamenta el acceso y uso de los mensajes de datos, del comercio electrónico y de las firmas digitales, y se establecen las entidades de certificación y se dictan otras disposiciones» establece en el artículo 10º que, «En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 De igual manera, 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w:t>
      </w:r>
      <w:r w:rsidRPr="00310F22">
        <w:rPr>
          <w:rStyle w:val="Refdenotaalpie"/>
          <w:rFonts w:ascii="Arial" w:eastAsia="Calibri" w:hAnsi="Arial" w:cs="Arial"/>
          <w:color w:val="000000" w:themeColor="text1"/>
          <w:sz w:val="22"/>
          <w:lang w:val="es-ES_tradnl"/>
        </w:rPr>
        <w:footnoteReference w:id="16"/>
      </w:r>
      <w:r w:rsidRPr="00310F22">
        <w:rPr>
          <w:rFonts w:ascii="Arial" w:eastAsia="Calibri" w:hAnsi="Arial" w:cs="Arial"/>
          <w:color w:val="000000" w:themeColor="text1"/>
          <w:sz w:val="22"/>
          <w:lang w:val="es-ES_tradnl"/>
        </w:rPr>
        <w:t xml:space="preserve"> y «sistema de información» como «todo sistema utilizado para generar, enviar, recibir, archivar o procesar de alguna otra forma mensajes de datos»</w:t>
      </w:r>
      <w:r w:rsidRPr="00310F22">
        <w:rPr>
          <w:rStyle w:val="Refdenotaalpie"/>
          <w:rFonts w:ascii="Arial" w:eastAsia="Calibri" w:hAnsi="Arial" w:cs="Arial"/>
          <w:color w:val="000000" w:themeColor="text1"/>
          <w:sz w:val="22"/>
          <w:lang w:val="es-ES_tradnl"/>
        </w:rPr>
        <w:footnoteReference w:id="17"/>
      </w:r>
      <w:r w:rsidRPr="00310F22">
        <w:rPr>
          <w:rFonts w:ascii="Arial" w:eastAsia="Calibri" w:hAnsi="Arial" w:cs="Arial"/>
          <w:color w:val="000000" w:themeColor="text1"/>
          <w:sz w:val="22"/>
          <w:lang w:val="es-ES_tradnl"/>
        </w:rPr>
        <w:t xml:space="preserve">. Bajo este entendido, las aplicaciones web, que posibilitan el envío de mensajes de datos escritos o audiovisuales, como </w:t>
      </w:r>
      <w:r w:rsidRPr="00310F22">
        <w:rPr>
          <w:rFonts w:ascii="Arial" w:eastAsia="Calibri" w:hAnsi="Arial" w:cs="Arial"/>
          <w:i/>
          <w:color w:val="000000" w:themeColor="text1"/>
          <w:sz w:val="22"/>
          <w:lang w:val="es-ES_tradnl"/>
        </w:rPr>
        <w:t>Skype</w:t>
      </w:r>
      <w:r w:rsidRPr="00310F22">
        <w:rPr>
          <w:rFonts w:ascii="Arial" w:eastAsia="Calibri" w:hAnsi="Arial" w:cs="Arial"/>
          <w:color w:val="000000" w:themeColor="text1"/>
          <w:sz w:val="22"/>
          <w:lang w:val="es-ES_tradnl"/>
        </w:rPr>
        <w:t xml:space="preserve">, </w:t>
      </w:r>
      <w:proofErr w:type="spellStart"/>
      <w:r w:rsidRPr="00310F22">
        <w:rPr>
          <w:rFonts w:ascii="Arial" w:eastAsia="Calibri" w:hAnsi="Arial" w:cs="Arial"/>
          <w:i/>
          <w:color w:val="000000" w:themeColor="text1"/>
          <w:sz w:val="22"/>
          <w:lang w:val="es-ES_tradnl"/>
        </w:rPr>
        <w:t>Facetime</w:t>
      </w:r>
      <w:proofErr w:type="spellEnd"/>
      <w:r w:rsidRPr="00310F22">
        <w:rPr>
          <w:rFonts w:ascii="Arial" w:eastAsia="Calibri" w:hAnsi="Arial" w:cs="Arial"/>
          <w:color w:val="000000" w:themeColor="text1"/>
          <w:sz w:val="22"/>
          <w:lang w:val="es-ES_tradnl"/>
        </w:rPr>
        <w:t xml:space="preserve">, </w:t>
      </w:r>
      <w:proofErr w:type="spellStart"/>
      <w:r w:rsidRPr="00310F22">
        <w:rPr>
          <w:rFonts w:ascii="Arial" w:eastAsia="Calibri" w:hAnsi="Arial" w:cs="Arial"/>
          <w:i/>
          <w:color w:val="000000" w:themeColor="text1"/>
          <w:sz w:val="22"/>
          <w:lang w:val="es-ES_tradnl"/>
        </w:rPr>
        <w:t>Whatsapp</w:t>
      </w:r>
      <w:proofErr w:type="spellEnd"/>
      <w:r w:rsidRPr="00310F22">
        <w:rPr>
          <w:rFonts w:ascii="Arial" w:eastAsia="Calibri" w:hAnsi="Arial" w:cs="Arial"/>
          <w:color w:val="000000" w:themeColor="text1"/>
          <w:sz w:val="22"/>
          <w:lang w:val="es-ES_tradnl"/>
        </w:rPr>
        <w:t xml:space="preserve">, </w:t>
      </w:r>
      <w:proofErr w:type="spellStart"/>
      <w:r w:rsidRPr="00310F22">
        <w:rPr>
          <w:rFonts w:ascii="Arial" w:eastAsia="Calibri" w:hAnsi="Arial" w:cs="Arial"/>
          <w:i/>
          <w:color w:val="000000" w:themeColor="text1"/>
          <w:sz w:val="22"/>
          <w:lang w:val="es-ES_tradnl"/>
        </w:rPr>
        <w:t>Teams</w:t>
      </w:r>
      <w:proofErr w:type="spellEnd"/>
      <w:r w:rsidRPr="00310F22">
        <w:rPr>
          <w:rFonts w:ascii="Arial" w:eastAsia="Calibri" w:hAnsi="Arial" w:cs="Arial"/>
          <w:color w:val="000000" w:themeColor="text1"/>
          <w:sz w:val="22"/>
          <w:lang w:val="es-ES_tradnl"/>
        </w:rPr>
        <w:t>, entre otras, constituyen sistemas de información, permitidos por el legislador en las actuaciones administrativas.</w:t>
      </w:r>
    </w:p>
    <w:p w14:paraId="1E25297B" w14:textId="77777777" w:rsidR="008C50FD" w:rsidRPr="00310F22" w:rsidRDefault="008C50FD" w:rsidP="008C50FD">
      <w:pPr>
        <w:spacing w:before="120" w:line="276" w:lineRule="auto"/>
        <w:ind w:firstLine="709"/>
        <w:jc w:val="both"/>
        <w:rPr>
          <w:rFonts w:ascii="Arial" w:eastAsia="Calibri" w:hAnsi="Arial" w:cs="Arial"/>
          <w:color w:val="000000" w:themeColor="text1"/>
          <w:sz w:val="22"/>
          <w:lang w:val="es-ES_tradnl"/>
        </w:rPr>
      </w:pPr>
      <w:r w:rsidRPr="00310F22">
        <w:rPr>
          <w:rFonts w:ascii="Arial" w:eastAsia="Calibri" w:hAnsi="Arial" w:cs="Arial"/>
          <w:color w:val="000000" w:themeColor="text1"/>
          <w:sz w:val="22"/>
          <w:lang w:val="es-ES_tradnl"/>
        </w:rPr>
        <w:t>Adicionalmente, la Ley 1150 de 2007, «Por medio de la cual se introducen medidas para la eficiencia y la transparencia en la Ley 80 de 1993 y se dictan otras disposiciones generales sobre la contratación con Recursos Públicos», incorporó la posibilidad de utilizar dichos sistemas de información y en general los medios electrónicos en las actuaciones contractuales. Así se infiere del artículo 3, a cuyo tenor:</w:t>
      </w:r>
    </w:p>
    <w:p w14:paraId="12B51313" w14:textId="77777777" w:rsidR="008C50FD" w:rsidRPr="00310F22" w:rsidRDefault="008C50FD" w:rsidP="008C50FD">
      <w:pPr>
        <w:ind w:left="709" w:right="709"/>
        <w:jc w:val="both"/>
        <w:rPr>
          <w:rFonts w:ascii="Arial" w:eastAsia="Calibri" w:hAnsi="Arial" w:cs="Arial"/>
          <w:color w:val="000000" w:themeColor="text1"/>
          <w:sz w:val="21"/>
          <w:szCs w:val="21"/>
          <w:lang w:val="es-ES_tradnl"/>
        </w:rPr>
      </w:pPr>
    </w:p>
    <w:p w14:paraId="47A98D01" w14:textId="77777777" w:rsidR="008C50FD" w:rsidRPr="00310F22" w:rsidRDefault="008C50FD" w:rsidP="008C50FD">
      <w:pPr>
        <w:ind w:left="709" w:right="709"/>
        <w:jc w:val="both"/>
        <w:rPr>
          <w:rFonts w:ascii="Arial" w:eastAsia="Calibri" w:hAnsi="Arial" w:cs="Arial"/>
          <w:color w:val="000000" w:themeColor="text1"/>
          <w:sz w:val="21"/>
          <w:szCs w:val="21"/>
          <w:lang w:val="es-ES_tradnl"/>
        </w:rPr>
      </w:pPr>
      <w:r w:rsidRPr="00310F22">
        <w:rPr>
          <w:rFonts w:ascii="Arial" w:eastAsia="Calibri" w:hAnsi="Arial" w:cs="Arial"/>
          <w:color w:val="000000" w:themeColor="text1"/>
          <w:sz w:val="21"/>
          <w:szCs w:val="21"/>
          <w:lang w:val="es-ES_tradnl"/>
        </w:rPr>
        <w:t>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4E9335AE" w14:textId="77777777" w:rsidR="008C50FD" w:rsidRPr="00310F22" w:rsidRDefault="008C50FD" w:rsidP="008C50FD">
      <w:pPr>
        <w:ind w:left="709" w:right="709"/>
        <w:jc w:val="both"/>
        <w:rPr>
          <w:rFonts w:ascii="Arial" w:eastAsia="Calibri" w:hAnsi="Arial" w:cs="Arial"/>
          <w:color w:val="000000" w:themeColor="text1"/>
          <w:sz w:val="21"/>
          <w:szCs w:val="21"/>
          <w:lang w:val="es-ES_tradnl"/>
        </w:rPr>
      </w:pPr>
    </w:p>
    <w:p w14:paraId="007F37A5" w14:textId="77777777" w:rsidR="008C50FD" w:rsidRPr="00310F22" w:rsidRDefault="008C50FD" w:rsidP="008C50FD">
      <w:pPr>
        <w:ind w:left="709" w:right="709"/>
        <w:jc w:val="both"/>
        <w:rPr>
          <w:rFonts w:ascii="Arial" w:eastAsia="Calibri" w:hAnsi="Arial" w:cs="Arial"/>
          <w:color w:val="000000" w:themeColor="text1"/>
          <w:sz w:val="21"/>
          <w:szCs w:val="21"/>
          <w:lang w:val="es-ES_tradnl"/>
        </w:rPr>
      </w:pPr>
      <w:r w:rsidRPr="00310F22">
        <w:rPr>
          <w:rFonts w:ascii="Arial" w:eastAsia="Calibri" w:hAnsi="Arial" w:cs="Arial"/>
          <w:color w:val="000000" w:themeColor="text1"/>
          <w:sz w:val="21"/>
          <w:szCs w:val="21"/>
          <w:lang w:val="es-ES_tradnl"/>
        </w:rPr>
        <w:t>Lo anterior, sin perjuicio de las publicaciones previstas en el numeral 3 del artículo 30 de la Ley 80 de 1993.</w:t>
      </w:r>
    </w:p>
    <w:p w14:paraId="2B8669D8" w14:textId="77777777" w:rsidR="008C50FD" w:rsidRPr="00310F22" w:rsidRDefault="008C50FD" w:rsidP="008C50FD">
      <w:pPr>
        <w:ind w:left="709" w:right="709"/>
        <w:jc w:val="both"/>
        <w:rPr>
          <w:rFonts w:ascii="Arial" w:eastAsia="Calibri" w:hAnsi="Arial" w:cs="Arial"/>
          <w:color w:val="000000" w:themeColor="text1"/>
          <w:sz w:val="21"/>
          <w:szCs w:val="21"/>
          <w:lang w:val="es-ES_tradnl"/>
        </w:rPr>
      </w:pPr>
    </w:p>
    <w:p w14:paraId="5E974016" w14:textId="77777777" w:rsidR="008C50FD" w:rsidRPr="00310F22" w:rsidRDefault="008C50FD" w:rsidP="008C50FD">
      <w:pPr>
        <w:ind w:left="709" w:right="709"/>
        <w:jc w:val="both"/>
        <w:rPr>
          <w:rFonts w:ascii="Arial" w:eastAsia="Calibri" w:hAnsi="Arial" w:cs="Arial"/>
          <w:color w:val="000000" w:themeColor="text1"/>
          <w:sz w:val="21"/>
          <w:szCs w:val="21"/>
          <w:lang w:val="es-ES_tradnl"/>
        </w:rPr>
      </w:pPr>
      <w:r w:rsidRPr="00310F22">
        <w:rPr>
          <w:rFonts w:ascii="Arial" w:eastAsia="Calibri" w:hAnsi="Arial" w:cs="Arial"/>
          <w:color w:val="000000" w:themeColor="text1"/>
          <w:sz w:val="21"/>
          <w:szCs w:val="21"/>
          <w:lang w:val="es-ES_tradnl"/>
        </w:rPr>
        <w:lastRenderedPageBreak/>
        <w:t xml:space="preserve">Con el fin de materializar los objetivos a que se refiere el inciso anterior, el Gobierno Nacional desarrollará el Sistema Electrónico para la Contratación Pública, </w:t>
      </w:r>
      <w:proofErr w:type="spellStart"/>
      <w:r w:rsidRPr="00310F22">
        <w:rPr>
          <w:rFonts w:ascii="Arial" w:eastAsia="Calibri" w:hAnsi="Arial" w:cs="Arial"/>
          <w:color w:val="000000" w:themeColor="text1"/>
          <w:sz w:val="21"/>
          <w:szCs w:val="21"/>
          <w:lang w:val="es-ES_tradnl"/>
        </w:rPr>
        <w:t>Secop</w:t>
      </w:r>
      <w:proofErr w:type="spellEnd"/>
      <w:r w:rsidRPr="00310F22">
        <w:rPr>
          <w:rFonts w:ascii="Arial" w:eastAsia="Calibri" w:hAnsi="Arial" w:cs="Arial"/>
          <w:color w:val="000000" w:themeColor="text1"/>
          <w:sz w:val="21"/>
          <w:szCs w:val="21"/>
          <w:lang w:val="es-ES_tradnl"/>
        </w:rPr>
        <w:t>, el cual:</w:t>
      </w:r>
    </w:p>
    <w:p w14:paraId="6B826F4F" w14:textId="77777777" w:rsidR="008C50FD" w:rsidRPr="00310F22" w:rsidRDefault="008C50FD" w:rsidP="008C50FD">
      <w:pPr>
        <w:ind w:left="709" w:right="709"/>
        <w:jc w:val="both"/>
        <w:rPr>
          <w:rFonts w:ascii="Arial" w:eastAsia="Calibri" w:hAnsi="Arial" w:cs="Arial"/>
          <w:color w:val="000000" w:themeColor="text1"/>
          <w:sz w:val="21"/>
          <w:szCs w:val="21"/>
          <w:lang w:val="es-ES_tradnl"/>
        </w:rPr>
      </w:pPr>
    </w:p>
    <w:p w14:paraId="05F50DA8" w14:textId="77777777" w:rsidR="008C50FD" w:rsidRPr="00310F22" w:rsidRDefault="008C50FD" w:rsidP="008C50FD">
      <w:pPr>
        <w:ind w:left="709" w:right="709"/>
        <w:jc w:val="both"/>
        <w:rPr>
          <w:rFonts w:ascii="Arial" w:eastAsia="Calibri" w:hAnsi="Arial" w:cs="Arial"/>
          <w:color w:val="000000" w:themeColor="text1"/>
          <w:sz w:val="21"/>
          <w:szCs w:val="21"/>
          <w:lang w:val="es-ES_tradnl"/>
        </w:rPr>
      </w:pPr>
      <w:r w:rsidRPr="00310F22">
        <w:rPr>
          <w:rFonts w:ascii="Arial" w:eastAsia="Calibri" w:hAnsi="Arial" w:cs="Arial"/>
          <w:color w:val="000000" w:themeColor="text1"/>
          <w:sz w:val="21"/>
          <w:szCs w:val="21"/>
          <w:lang w:val="es-ES_tradnl"/>
        </w:rPr>
        <w:t>a) Dispondrá de las funcionalidades tecnológicas para realizar procesos de contratación electrónicos bajo los métodos de selección señalados en el artículo 2o de la presente ley según lo defina el reglamento;</w:t>
      </w:r>
    </w:p>
    <w:p w14:paraId="2519A57F" w14:textId="77777777" w:rsidR="008C50FD" w:rsidRPr="00310F22" w:rsidRDefault="008C50FD" w:rsidP="008C50FD">
      <w:pPr>
        <w:ind w:left="709" w:right="709"/>
        <w:jc w:val="both"/>
        <w:rPr>
          <w:rFonts w:ascii="Arial" w:eastAsia="Calibri" w:hAnsi="Arial" w:cs="Arial"/>
          <w:color w:val="000000" w:themeColor="text1"/>
          <w:sz w:val="21"/>
          <w:szCs w:val="21"/>
          <w:lang w:val="es-ES_tradnl"/>
        </w:rPr>
      </w:pPr>
    </w:p>
    <w:p w14:paraId="63EECD34" w14:textId="77777777" w:rsidR="008C50FD" w:rsidRPr="00310F22" w:rsidRDefault="008C50FD" w:rsidP="008C50FD">
      <w:pPr>
        <w:ind w:left="709" w:right="709"/>
        <w:jc w:val="both"/>
        <w:rPr>
          <w:rFonts w:ascii="Arial" w:eastAsia="Calibri" w:hAnsi="Arial" w:cs="Arial"/>
          <w:color w:val="000000" w:themeColor="text1"/>
          <w:sz w:val="21"/>
          <w:szCs w:val="21"/>
          <w:lang w:val="es-ES_tradnl"/>
        </w:rPr>
      </w:pPr>
      <w:r w:rsidRPr="00310F22">
        <w:rPr>
          <w:rFonts w:ascii="Arial" w:eastAsia="Calibri" w:hAnsi="Arial" w:cs="Arial"/>
          <w:color w:val="000000" w:themeColor="text1"/>
          <w:sz w:val="21"/>
          <w:szCs w:val="21"/>
          <w:lang w:val="es-ES_tradnl"/>
        </w:rPr>
        <w:t>b) Servirá de punto único de ingreso de información y de generación de reportes para las entidades estatales y la ciudadanía;</w:t>
      </w:r>
    </w:p>
    <w:p w14:paraId="5B433C73" w14:textId="77777777" w:rsidR="008C50FD" w:rsidRPr="00310F22" w:rsidRDefault="008C50FD" w:rsidP="008C50FD">
      <w:pPr>
        <w:ind w:left="709" w:right="709"/>
        <w:jc w:val="both"/>
        <w:rPr>
          <w:rFonts w:ascii="Arial" w:eastAsia="Calibri" w:hAnsi="Arial" w:cs="Arial"/>
          <w:color w:val="000000" w:themeColor="text1"/>
          <w:sz w:val="21"/>
          <w:szCs w:val="21"/>
          <w:lang w:val="es-ES_tradnl"/>
        </w:rPr>
      </w:pPr>
    </w:p>
    <w:p w14:paraId="3D72EB95" w14:textId="77777777" w:rsidR="008C50FD" w:rsidRPr="00310F22" w:rsidRDefault="008C50FD" w:rsidP="008C50FD">
      <w:pPr>
        <w:ind w:left="709" w:right="709"/>
        <w:jc w:val="both"/>
        <w:rPr>
          <w:rFonts w:ascii="Arial" w:eastAsia="Calibri" w:hAnsi="Arial" w:cs="Arial"/>
          <w:color w:val="000000" w:themeColor="text1"/>
          <w:sz w:val="21"/>
          <w:szCs w:val="21"/>
          <w:lang w:val="es-ES_tradnl"/>
        </w:rPr>
      </w:pPr>
      <w:r w:rsidRPr="00310F22">
        <w:rPr>
          <w:rFonts w:ascii="Arial" w:eastAsia="Calibri" w:hAnsi="Arial" w:cs="Arial"/>
          <w:color w:val="000000" w:themeColor="text1"/>
          <w:sz w:val="21"/>
          <w:szCs w:val="21"/>
          <w:lang w:val="es-ES_tradnl"/>
        </w:rPr>
        <w:t>c) Contará con la información oficial de la contratación realizada con dineros públicos, para lo cual establecerá los patrones a que haya lugar y se encargará de su difusión a través de canales electrónicos y;</w:t>
      </w:r>
    </w:p>
    <w:p w14:paraId="7CC48ADE" w14:textId="77777777" w:rsidR="008C50FD" w:rsidRPr="00310F22" w:rsidRDefault="008C50FD" w:rsidP="008C50FD">
      <w:pPr>
        <w:ind w:left="709" w:right="709"/>
        <w:jc w:val="both"/>
        <w:rPr>
          <w:rFonts w:ascii="Arial" w:eastAsia="Calibri" w:hAnsi="Arial" w:cs="Arial"/>
          <w:color w:val="000000" w:themeColor="text1"/>
          <w:sz w:val="21"/>
          <w:szCs w:val="21"/>
          <w:lang w:val="es-ES_tradnl"/>
        </w:rPr>
      </w:pPr>
    </w:p>
    <w:p w14:paraId="1B105B64" w14:textId="77777777" w:rsidR="008C50FD" w:rsidRPr="00310F22" w:rsidRDefault="008C50FD" w:rsidP="008C50FD">
      <w:pPr>
        <w:ind w:left="709" w:right="709"/>
        <w:jc w:val="both"/>
        <w:rPr>
          <w:rFonts w:ascii="Arial" w:eastAsia="Calibri" w:hAnsi="Arial" w:cs="Arial"/>
          <w:color w:val="000000" w:themeColor="text1"/>
          <w:sz w:val="21"/>
          <w:szCs w:val="21"/>
          <w:lang w:val="es-ES_tradnl"/>
        </w:rPr>
      </w:pPr>
      <w:r w:rsidRPr="00310F22">
        <w:rPr>
          <w:rFonts w:ascii="Arial" w:eastAsia="Calibri" w:hAnsi="Arial" w:cs="Arial"/>
          <w:color w:val="000000" w:themeColor="text1"/>
          <w:sz w:val="21"/>
          <w:szCs w:val="21"/>
          <w:lang w:val="es-ES_tradnl"/>
        </w:rPr>
        <w:t>d) Integrará el Registro Único Empresarial de las Cámaras de Comercio, el Diario Único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5D8EBECD" w14:textId="77777777" w:rsidR="008C50FD" w:rsidRPr="00310F22" w:rsidRDefault="008C50FD" w:rsidP="008C50FD">
      <w:pPr>
        <w:ind w:left="709" w:right="709"/>
        <w:jc w:val="both"/>
        <w:rPr>
          <w:rFonts w:ascii="Arial" w:eastAsia="Calibri" w:hAnsi="Arial" w:cs="Arial"/>
          <w:color w:val="000000" w:themeColor="text1"/>
          <w:sz w:val="21"/>
          <w:szCs w:val="21"/>
          <w:lang w:val="es-ES_tradnl"/>
        </w:rPr>
      </w:pPr>
    </w:p>
    <w:p w14:paraId="483AB682" w14:textId="77777777" w:rsidR="008C50FD" w:rsidRPr="00310F22" w:rsidRDefault="008C50FD" w:rsidP="008C50FD">
      <w:pPr>
        <w:ind w:left="709" w:right="709"/>
        <w:jc w:val="both"/>
        <w:rPr>
          <w:rFonts w:ascii="Arial" w:eastAsia="Calibri" w:hAnsi="Arial" w:cs="Arial"/>
          <w:color w:val="000000" w:themeColor="text1"/>
          <w:sz w:val="21"/>
          <w:szCs w:val="21"/>
          <w:lang w:val="es-ES_tradnl"/>
        </w:rPr>
      </w:pPr>
      <w:r w:rsidRPr="00310F22">
        <w:rPr>
          <w:rFonts w:ascii="Arial" w:eastAsia="Calibri" w:hAnsi="Arial" w:cs="Arial"/>
          <w:color w:val="000000" w:themeColor="text1"/>
          <w:sz w:val="21"/>
          <w:szCs w:val="21"/>
          <w:lang w:val="es-ES_tradnl"/>
        </w:rPr>
        <w:t xml:space="preserve">PARÁGRAFO 1o. En ningún caso la administración del </w:t>
      </w:r>
      <w:proofErr w:type="spellStart"/>
      <w:r w:rsidRPr="00310F22">
        <w:rPr>
          <w:rFonts w:ascii="Arial" w:eastAsia="Calibri" w:hAnsi="Arial" w:cs="Arial"/>
          <w:color w:val="000000" w:themeColor="text1"/>
          <w:sz w:val="21"/>
          <w:szCs w:val="21"/>
          <w:lang w:val="es-ES_tradnl"/>
        </w:rPr>
        <w:t>Secop</w:t>
      </w:r>
      <w:proofErr w:type="spellEnd"/>
      <w:r w:rsidRPr="00310F22">
        <w:rPr>
          <w:rFonts w:ascii="Arial" w:eastAsia="Calibri" w:hAnsi="Arial" w:cs="Arial"/>
          <w:color w:val="000000" w:themeColor="text1"/>
          <w:sz w:val="21"/>
          <w:szCs w:val="21"/>
          <w:lang w:val="es-ES_tradnl"/>
        </w:rPr>
        <w:t xml:space="preserve"> supondrá la creación de una nueva entidad.</w:t>
      </w:r>
    </w:p>
    <w:p w14:paraId="0F78729F" w14:textId="77777777" w:rsidR="008C50FD" w:rsidRPr="00310F22" w:rsidRDefault="008C50FD" w:rsidP="008C50FD">
      <w:pPr>
        <w:ind w:left="709" w:right="709"/>
        <w:jc w:val="both"/>
        <w:rPr>
          <w:rFonts w:ascii="Arial" w:eastAsia="Calibri" w:hAnsi="Arial" w:cs="Arial"/>
          <w:color w:val="000000" w:themeColor="text1"/>
          <w:sz w:val="21"/>
          <w:szCs w:val="21"/>
          <w:lang w:val="es-ES_tradnl"/>
        </w:rPr>
      </w:pPr>
    </w:p>
    <w:p w14:paraId="1AD1E5A0" w14:textId="77777777" w:rsidR="008C50FD" w:rsidRPr="00310F22" w:rsidRDefault="008C50FD" w:rsidP="008C50FD">
      <w:pPr>
        <w:ind w:left="709" w:right="709"/>
        <w:jc w:val="both"/>
        <w:rPr>
          <w:rFonts w:ascii="Arial" w:eastAsia="Calibri" w:hAnsi="Arial" w:cs="Arial"/>
          <w:color w:val="000000" w:themeColor="text1"/>
          <w:sz w:val="21"/>
          <w:szCs w:val="21"/>
          <w:lang w:val="es-ES_tradnl"/>
        </w:rPr>
      </w:pPr>
      <w:r w:rsidRPr="00310F22">
        <w:rPr>
          <w:rFonts w:ascii="Arial" w:eastAsia="Calibri" w:hAnsi="Arial" w:cs="Arial"/>
          <w:color w:val="000000" w:themeColor="text1"/>
          <w:sz w:val="21"/>
          <w:szCs w:val="21"/>
          <w:lang w:val="es-ES_tradnl"/>
        </w:rPr>
        <w:t xml:space="preserve">El </w:t>
      </w:r>
      <w:proofErr w:type="spellStart"/>
      <w:r w:rsidRPr="00310F22">
        <w:rPr>
          <w:rFonts w:ascii="Arial" w:eastAsia="Calibri" w:hAnsi="Arial" w:cs="Arial"/>
          <w:color w:val="000000" w:themeColor="text1"/>
          <w:sz w:val="21"/>
          <w:szCs w:val="21"/>
          <w:lang w:val="es-ES_tradnl"/>
        </w:rPr>
        <w:t>Secop</w:t>
      </w:r>
      <w:proofErr w:type="spellEnd"/>
      <w:r w:rsidRPr="00310F22">
        <w:rPr>
          <w:rFonts w:ascii="Arial" w:eastAsia="Calibri" w:hAnsi="Arial" w:cs="Arial"/>
          <w:color w:val="000000" w:themeColor="text1"/>
          <w:sz w:val="21"/>
          <w:szCs w:val="21"/>
          <w:lang w:val="es-ES_tradnl"/>
        </w:rPr>
        <w:t xml:space="preserve"> será administrado por el organismo que designe el Gobierno Nacional, sin perjuicio de la autonomía que respecto del SICE confiere la Ley 598 de 2000 a la Contraloría General de la República.</w:t>
      </w:r>
    </w:p>
    <w:p w14:paraId="0162F6E2" w14:textId="77777777" w:rsidR="008C50FD" w:rsidRPr="00310F22" w:rsidRDefault="008C50FD" w:rsidP="008C50FD">
      <w:pPr>
        <w:spacing w:line="276" w:lineRule="auto"/>
        <w:ind w:firstLine="709"/>
        <w:jc w:val="both"/>
        <w:rPr>
          <w:rFonts w:ascii="Arial" w:eastAsia="Calibri" w:hAnsi="Arial" w:cs="Arial"/>
          <w:color w:val="000000" w:themeColor="text1"/>
          <w:sz w:val="22"/>
          <w:szCs w:val="24"/>
          <w:lang w:val="es-ES_tradnl"/>
        </w:rPr>
      </w:pPr>
    </w:p>
    <w:p w14:paraId="4CA5E1B7" w14:textId="77777777" w:rsidR="008C50FD" w:rsidRPr="00310F22" w:rsidRDefault="008C50FD" w:rsidP="00DA2B28">
      <w:pPr>
        <w:spacing w:after="120" w:line="276" w:lineRule="auto"/>
        <w:jc w:val="both"/>
        <w:rPr>
          <w:rFonts w:ascii="Arial" w:eastAsia="Calibri" w:hAnsi="Arial" w:cs="Arial"/>
          <w:color w:val="000000" w:themeColor="text1"/>
          <w:sz w:val="22"/>
          <w:lang w:val="es-ES_tradnl"/>
        </w:rPr>
      </w:pPr>
      <w:r w:rsidRPr="00310F22">
        <w:rPr>
          <w:rFonts w:ascii="Arial" w:eastAsia="Calibri" w:hAnsi="Arial" w:cs="Arial"/>
          <w:color w:val="000000" w:themeColor="text1"/>
          <w:sz w:val="22"/>
          <w:lang w:val="es-ES_tradnl"/>
        </w:rPr>
        <w:t>Como se observa, este enunciado normativo introduce en la contratación estatal la regulación contenida en la Ley 527 de 1999, permitiendo que el trámite de los procedimientos contractuales se realice por medios electrónicos; medios en los que cabe, como ya se indicó, el uso de sistemas de información para el envío de mensajes de datos.</w:t>
      </w:r>
    </w:p>
    <w:p w14:paraId="12D10A5E" w14:textId="77777777" w:rsidR="008C50FD" w:rsidRPr="00310F22" w:rsidRDefault="008C50FD" w:rsidP="008C50FD">
      <w:pPr>
        <w:spacing w:line="276" w:lineRule="auto"/>
        <w:ind w:firstLine="709"/>
        <w:jc w:val="both"/>
        <w:rPr>
          <w:rFonts w:ascii="Arial" w:eastAsia="Calibri" w:hAnsi="Arial" w:cs="Arial"/>
          <w:color w:val="000000" w:themeColor="text1"/>
          <w:sz w:val="22"/>
          <w:lang w:val="es-ES_tradnl"/>
        </w:rPr>
      </w:pPr>
      <w:r w:rsidRPr="00310F22">
        <w:rPr>
          <w:rFonts w:ascii="Arial" w:eastAsia="Calibri" w:hAnsi="Arial" w:cs="Arial"/>
          <w:color w:val="000000" w:themeColor="text1"/>
          <w:sz w:val="22"/>
          <w:lang w:val="es-ES_tradnl"/>
        </w:rPr>
        <w:t>La Ley 1341 de 2009, «Por la cual se definen principios y conceptos sobre la sociedad de la información y la organización de las Tecnologías de la Información y las Comunicaciones –TIC–, se crea la Agencia Nacional de Espectro y se dictan otras disposiciones» establece la «masificación del gobierno en línea», indicando en el artículo 2, numeral 8, que:</w:t>
      </w:r>
    </w:p>
    <w:p w14:paraId="788771C4" w14:textId="77777777" w:rsidR="008C50FD" w:rsidRPr="00310F22" w:rsidRDefault="008C50FD" w:rsidP="008C50FD">
      <w:pPr>
        <w:ind w:left="709" w:right="709"/>
        <w:jc w:val="both"/>
        <w:rPr>
          <w:rFonts w:ascii="Arial" w:eastAsia="Calibri" w:hAnsi="Arial" w:cs="Arial"/>
          <w:color w:val="000000" w:themeColor="text1"/>
          <w:sz w:val="21"/>
          <w:szCs w:val="21"/>
          <w:lang w:val="es-ES_tradnl"/>
        </w:rPr>
      </w:pPr>
    </w:p>
    <w:p w14:paraId="7F246030" w14:textId="77777777" w:rsidR="008C50FD" w:rsidRPr="00310F22" w:rsidRDefault="008C50FD" w:rsidP="008C50FD">
      <w:pPr>
        <w:ind w:left="709" w:right="709"/>
        <w:jc w:val="both"/>
        <w:rPr>
          <w:rFonts w:ascii="Arial" w:eastAsia="Calibri" w:hAnsi="Arial" w:cs="Arial"/>
          <w:color w:val="000000" w:themeColor="text1"/>
          <w:sz w:val="21"/>
          <w:szCs w:val="21"/>
          <w:lang w:val="es-ES_tradnl"/>
        </w:rPr>
      </w:pPr>
      <w:r w:rsidRPr="00310F22">
        <w:rPr>
          <w:rFonts w:ascii="Arial" w:eastAsia="Calibri" w:hAnsi="Arial" w:cs="Arial"/>
          <w:color w:val="000000" w:themeColor="text1"/>
          <w:sz w:val="21"/>
          <w:szCs w:val="21"/>
          <w:lang w:val="es-ES_tradnl"/>
        </w:rPr>
        <w:t xml:space="preserve">Con el fin de lograr la prestación de servicios eficientes a los ciudadanos, las entidades públicas deberán adoptar todas las medidas necesarias para garantizar el máximo aprovechamiento de las Tecnologías de la Información y las Comunicaciones en el desarrollo de sus funciones. El Gobierno Nacional fijará los mecanismos y condiciones para garantizar el desarrollo de este principio. Y en la reglamentación correspondiente establecerá los plazos, </w:t>
      </w:r>
      <w:r w:rsidRPr="00310F22">
        <w:rPr>
          <w:rFonts w:ascii="Arial" w:eastAsia="Calibri" w:hAnsi="Arial" w:cs="Arial"/>
          <w:color w:val="000000" w:themeColor="text1"/>
          <w:sz w:val="21"/>
          <w:szCs w:val="21"/>
          <w:lang w:val="es-ES_tradnl"/>
        </w:rPr>
        <w:lastRenderedPageBreak/>
        <w:t xml:space="preserve">términos y prescripciones, no solamente para la instalación de las infraestructuras indicadas y necesarias, sino también para mantener actualizadas y con la información completa los medios y los instrumentos tecnológicos. </w:t>
      </w:r>
    </w:p>
    <w:p w14:paraId="318B1889" w14:textId="77777777" w:rsidR="008C50FD" w:rsidRPr="00310F22" w:rsidRDefault="008C50FD" w:rsidP="008C50FD">
      <w:pPr>
        <w:spacing w:line="276" w:lineRule="auto"/>
        <w:jc w:val="both"/>
        <w:rPr>
          <w:rFonts w:ascii="Arial" w:eastAsia="Calibri" w:hAnsi="Arial" w:cs="Arial"/>
          <w:color w:val="000000" w:themeColor="text1"/>
          <w:sz w:val="22"/>
          <w:szCs w:val="24"/>
          <w:lang w:val="es-ES_tradnl"/>
        </w:rPr>
      </w:pPr>
    </w:p>
    <w:p w14:paraId="4039066D" w14:textId="77777777" w:rsidR="008C50FD" w:rsidRPr="00310F22" w:rsidRDefault="008C50FD" w:rsidP="008C50FD">
      <w:pPr>
        <w:spacing w:line="276" w:lineRule="auto"/>
        <w:jc w:val="both"/>
        <w:rPr>
          <w:rFonts w:ascii="Arial" w:eastAsia="Calibri" w:hAnsi="Arial" w:cs="Arial"/>
          <w:color w:val="000000" w:themeColor="text1"/>
          <w:sz w:val="22"/>
          <w:lang w:val="es-ES_tradnl"/>
        </w:rPr>
      </w:pPr>
      <w:r w:rsidRPr="00310F22">
        <w:rPr>
          <w:rFonts w:ascii="Arial" w:eastAsia="Calibri" w:hAnsi="Arial" w:cs="Arial"/>
          <w:color w:val="000000" w:themeColor="text1"/>
          <w:sz w:val="22"/>
          <w:lang w:val="es-ES_tradnl"/>
        </w:rPr>
        <w:t>La Ley 1437 de 2011, «Por la cual se expide el Código de Procedimiento Administrativo y de lo Contencioso Administrativo» continúa la línea explicada, consistente en el reconocimiento de validez a las actuaciones realizadas en sede virtual, y dedica un capítulo completo a la utilización de medios electrónicos en el procedimiento administrativo</w:t>
      </w:r>
      <w:r w:rsidRPr="00310F22">
        <w:rPr>
          <w:rStyle w:val="Refdenotaalpie"/>
          <w:rFonts w:ascii="Arial" w:eastAsia="Calibri" w:hAnsi="Arial" w:cs="Arial"/>
          <w:color w:val="000000" w:themeColor="text1"/>
          <w:sz w:val="22"/>
          <w:lang w:val="es-ES_tradnl"/>
        </w:rPr>
        <w:footnoteReference w:id="18"/>
      </w:r>
      <w:r w:rsidRPr="00310F22">
        <w:rPr>
          <w:rFonts w:ascii="Arial" w:eastAsia="Calibri" w:hAnsi="Arial" w:cs="Arial"/>
          <w:color w:val="000000" w:themeColor="text1"/>
          <w:sz w:val="22"/>
          <w:lang w:val="es-ES_tradnl"/>
        </w:rPr>
        <w:t>. En efecto, el artículo 5º, numeral 1, consagra, como derecho de las personas ante las autoridades, el de presentar peticiones y adelantar o promover estas actuaciones «por cualquier medio tecnológico o electrónico disponible en la entidad, aún por fuera de las horas de atención al público»; derecho al que le es correlativo el deber en cabeza de las autoridades de «Tramitar las peticiones que lleguen vía fax o por medios electrónicos», previsto en el artículo 7º, numeral 6. Así mismo, el artículo 35 establece que «Los procedimientos administrativos se adelantarán por escrito, verbalmente, o por medios electrónicos de conformidad con lo dispuesto en este Código o la ley»; en tanto que los artículos 53 al 64 regulan: i) la posibilidad de adelantar las actuaciones administrativas por medios electrónicos, ii) el registro para el uso de medios electrónicos, iii) el documento público por medio electrónico, iv) la notificación electrónica, v) el acto administrativo electrónico, vi) el archivo electrónico de documentos, vii) el expediente electrónico, viii) la sede electrónica, ix) la recepción de documentos electrónicos por parte de las autoridades, x) la prueba de recepción en envío de mensajes de datos por la autoridad, xi) las sesiones virtuales y xii) los estándares y protocolos.</w:t>
      </w:r>
    </w:p>
    <w:p w14:paraId="66B86873" w14:textId="77777777" w:rsidR="008C50FD" w:rsidRPr="00310F22" w:rsidRDefault="008C50FD" w:rsidP="008C50FD">
      <w:pPr>
        <w:spacing w:line="276" w:lineRule="auto"/>
        <w:jc w:val="both"/>
        <w:rPr>
          <w:rFonts w:ascii="Arial" w:eastAsia="Calibri" w:hAnsi="Arial" w:cs="Arial"/>
          <w:color w:val="000000" w:themeColor="text1"/>
          <w:sz w:val="22"/>
          <w:lang w:val="es-ES_tradnl"/>
        </w:rPr>
      </w:pPr>
    </w:p>
    <w:p w14:paraId="4B8BF059" w14:textId="009D2074" w:rsidR="008C50FD" w:rsidRPr="00310F22" w:rsidRDefault="008C50FD" w:rsidP="008C50FD">
      <w:pPr>
        <w:spacing w:line="276" w:lineRule="auto"/>
        <w:jc w:val="both"/>
        <w:rPr>
          <w:rFonts w:ascii="Arial" w:eastAsia="Calibri" w:hAnsi="Arial" w:cs="Arial"/>
          <w:b/>
          <w:color w:val="000000" w:themeColor="text1"/>
          <w:sz w:val="22"/>
          <w:lang w:val="es-CO"/>
        </w:rPr>
      </w:pPr>
      <w:r w:rsidRPr="00310F22">
        <w:rPr>
          <w:rFonts w:ascii="Arial" w:eastAsia="Calibri" w:hAnsi="Arial" w:cs="Arial"/>
          <w:b/>
          <w:color w:val="000000" w:themeColor="text1"/>
          <w:sz w:val="22"/>
        </w:rPr>
        <w:t>2.</w:t>
      </w:r>
      <w:r w:rsidR="002E5717" w:rsidRPr="00310F22">
        <w:rPr>
          <w:rFonts w:ascii="Arial" w:eastAsia="Calibri" w:hAnsi="Arial" w:cs="Arial"/>
          <w:b/>
          <w:color w:val="000000" w:themeColor="text1"/>
          <w:sz w:val="22"/>
        </w:rPr>
        <w:t>3</w:t>
      </w:r>
      <w:r w:rsidRPr="00310F22">
        <w:rPr>
          <w:rFonts w:ascii="Arial" w:eastAsia="Calibri" w:hAnsi="Arial" w:cs="Arial"/>
          <w:b/>
          <w:color w:val="000000" w:themeColor="text1"/>
          <w:sz w:val="22"/>
        </w:rPr>
        <w:t xml:space="preserve">. Firma electrónica: concepto, regulación y posibilidad de uso en los procedimientos contractuales </w:t>
      </w:r>
    </w:p>
    <w:p w14:paraId="529067BD" w14:textId="77777777" w:rsidR="008C50FD" w:rsidRPr="00310F22" w:rsidRDefault="008C50FD" w:rsidP="008C50FD">
      <w:pPr>
        <w:spacing w:line="276" w:lineRule="auto"/>
        <w:jc w:val="both"/>
        <w:rPr>
          <w:rFonts w:ascii="Arial" w:eastAsia="Calibri" w:hAnsi="Arial" w:cs="Arial"/>
          <w:color w:val="000000" w:themeColor="text1"/>
          <w:sz w:val="22"/>
        </w:rPr>
      </w:pPr>
    </w:p>
    <w:p w14:paraId="3019AA71" w14:textId="77777777" w:rsidR="00D14AF5" w:rsidRDefault="008C50FD" w:rsidP="00D14AF5">
      <w:pPr>
        <w:spacing w:before="120" w:after="120" w:line="276" w:lineRule="auto"/>
        <w:jc w:val="both"/>
        <w:rPr>
          <w:rFonts w:ascii="Arial" w:eastAsia="Calibri" w:hAnsi="Arial" w:cs="Arial"/>
          <w:color w:val="000000" w:themeColor="text1"/>
          <w:sz w:val="22"/>
        </w:rPr>
      </w:pPr>
      <w:r w:rsidRPr="00310F22">
        <w:rPr>
          <w:rFonts w:ascii="Arial" w:eastAsia="Calibri" w:hAnsi="Arial" w:cs="Arial"/>
          <w:color w:val="000000" w:themeColor="text1"/>
          <w:sz w:val="22"/>
        </w:rPr>
        <w:t xml:space="preserve">En el ordenamiento jurídico colombiano, el artículo 836 del Código de Comercio define la firma como </w:t>
      </w:r>
      <w:r w:rsidRPr="00310F22">
        <w:rPr>
          <w:rFonts w:ascii="Arial" w:hAnsi="Arial" w:cs="Arial"/>
          <w:color w:val="000000" w:themeColor="text1"/>
          <w:sz w:val="18"/>
          <w:szCs w:val="18"/>
        </w:rPr>
        <w:t>«</w:t>
      </w:r>
      <w:r w:rsidRPr="00310F22">
        <w:rPr>
          <w:rFonts w:ascii="Arial" w:eastAsia="Calibri" w:hAnsi="Arial" w:cs="Arial"/>
          <w:color w:val="000000" w:themeColor="text1"/>
          <w:sz w:val="22"/>
        </w:rPr>
        <w:t>la expresión del nombre del suscriptor o de alguno de los elementos que la integren o de un signo o símbolo empleado como medio de identificación personal», es decir, la forma por la cual se identifica a una persona ya sea con el nombre del suscriptor, un símbolo o signo.</w:t>
      </w:r>
    </w:p>
    <w:p w14:paraId="5F8120F0" w14:textId="4C994C87" w:rsidR="008C50FD" w:rsidRPr="00310F22" w:rsidRDefault="008C50FD" w:rsidP="00D14AF5">
      <w:pPr>
        <w:spacing w:before="120" w:after="120" w:line="276" w:lineRule="auto"/>
        <w:jc w:val="both"/>
        <w:rPr>
          <w:rFonts w:ascii="Arial" w:eastAsia="Calibri" w:hAnsi="Arial" w:cs="Arial"/>
          <w:color w:val="000000" w:themeColor="text1"/>
          <w:sz w:val="22"/>
        </w:rPr>
      </w:pPr>
      <w:r w:rsidRPr="00310F22">
        <w:rPr>
          <w:rFonts w:ascii="Arial" w:eastAsia="Calibri" w:hAnsi="Arial" w:cs="Arial"/>
          <w:color w:val="000000" w:themeColor="text1"/>
          <w:sz w:val="22"/>
        </w:rPr>
        <w:lastRenderedPageBreak/>
        <w:t xml:space="preserve">Nelson Remolina Angarita y Lisandro Peña </w:t>
      </w:r>
      <w:proofErr w:type="spellStart"/>
      <w:r w:rsidRPr="00310F22">
        <w:rPr>
          <w:rFonts w:ascii="Arial" w:eastAsia="Calibri" w:hAnsi="Arial" w:cs="Arial"/>
          <w:color w:val="000000" w:themeColor="text1"/>
          <w:sz w:val="22"/>
        </w:rPr>
        <w:t>Nosa</w:t>
      </w:r>
      <w:proofErr w:type="spellEnd"/>
      <w:r w:rsidRPr="00310F22">
        <w:rPr>
          <w:rFonts w:ascii="Arial" w:eastAsia="Calibri" w:hAnsi="Arial" w:cs="Arial"/>
          <w:color w:val="000000" w:themeColor="text1"/>
          <w:sz w:val="22"/>
        </w:rPr>
        <w:t xml:space="preserve"> señalan que la firma electrónica es «un rasgo o signo impuesto del puño y letra de una persona, con el cual, de forma general y reiterada se compromete con el contenido de los documentos que la consignan»</w:t>
      </w:r>
      <w:r w:rsidRPr="00310F22">
        <w:rPr>
          <w:rStyle w:val="Refdenotaalpie"/>
          <w:rFonts w:ascii="Arial" w:eastAsia="Calibri" w:hAnsi="Arial" w:cs="Arial"/>
          <w:color w:val="000000" w:themeColor="text1"/>
          <w:sz w:val="22"/>
        </w:rPr>
        <w:footnoteReference w:id="19"/>
      </w:r>
      <w:r w:rsidRPr="00310F22">
        <w:rPr>
          <w:rFonts w:ascii="Arial" w:eastAsia="Calibri" w:hAnsi="Arial" w:cs="Arial"/>
          <w:color w:val="000000" w:themeColor="text1"/>
          <w:sz w:val="22"/>
        </w:rPr>
        <w:t>.</w:t>
      </w:r>
    </w:p>
    <w:p w14:paraId="77D97EE3" w14:textId="77777777" w:rsidR="008C50FD" w:rsidRPr="00310F22" w:rsidRDefault="008C50FD" w:rsidP="008C50FD">
      <w:pPr>
        <w:spacing w:before="120" w:after="120" w:line="276" w:lineRule="auto"/>
        <w:ind w:firstLine="709"/>
        <w:jc w:val="both"/>
        <w:rPr>
          <w:rFonts w:ascii="Arial" w:eastAsia="Calibri" w:hAnsi="Arial" w:cs="Arial"/>
          <w:color w:val="000000" w:themeColor="text1"/>
          <w:sz w:val="22"/>
        </w:rPr>
      </w:pPr>
      <w:r w:rsidRPr="00310F22">
        <w:rPr>
          <w:rFonts w:ascii="Arial" w:eastAsia="Calibri" w:hAnsi="Arial" w:cs="Arial"/>
          <w:color w:val="000000" w:themeColor="text1"/>
          <w:sz w:val="22"/>
        </w:rPr>
        <w:t>El artículo 2 de la Ley 527 de 1999 define la firma digital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Además, esta normativa prevé que podrán emitir certificados en relación con las firmas digitales las entidades de certificación</w:t>
      </w:r>
      <w:r w:rsidRPr="00310F22">
        <w:rPr>
          <w:rStyle w:val="Refdenotaalpie"/>
          <w:rFonts w:ascii="Arial" w:eastAsia="Calibri" w:hAnsi="Arial" w:cs="Arial"/>
          <w:color w:val="000000" w:themeColor="text1"/>
          <w:sz w:val="22"/>
        </w:rPr>
        <w:footnoteReference w:id="20"/>
      </w:r>
      <w:r w:rsidRPr="00310F22">
        <w:rPr>
          <w:rFonts w:ascii="Arial" w:eastAsia="Calibri" w:hAnsi="Arial" w:cs="Arial"/>
          <w:color w:val="000000" w:themeColor="text1"/>
          <w:sz w:val="22"/>
        </w:rPr>
        <w:t>.</w:t>
      </w:r>
    </w:p>
    <w:p w14:paraId="6DE5B349" w14:textId="619BA445" w:rsidR="008C50FD" w:rsidRPr="00310F22" w:rsidRDefault="008C50FD" w:rsidP="008C50FD">
      <w:pPr>
        <w:spacing w:before="120" w:after="120" w:line="276" w:lineRule="auto"/>
        <w:ind w:firstLine="709"/>
        <w:jc w:val="both"/>
        <w:rPr>
          <w:rFonts w:ascii="Arial" w:eastAsia="Calibri" w:hAnsi="Arial" w:cs="Arial"/>
          <w:color w:val="000000" w:themeColor="text1"/>
          <w:sz w:val="22"/>
        </w:rPr>
      </w:pPr>
      <w:r w:rsidRPr="00310F22">
        <w:rPr>
          <w:rFonts w:ascii="Arial" w:eastAsia="Calibri" w:hAnsi="Arial" w:cs="Arial"/>
          <w:color w:val="000000" w:themeColor="text1"/>
          <w:sz w:val="22"/>
        </w:rPr>
        <w:t>Por su parte</w:t>
      </w:r>
      <w:r w:rsidR="00414896" w:rsidRPr="00310F22">
        <w:rPr>
          <w:rFonts w:ascii="Arial" w:eastAsia="Calibri" w:hAnsi="Arial" w:cs="Arial"/>
          <w:color w:val="000000" w:themeColor="text1"/>
          <w:sz w:val="22"/>
        </w:rPr>
        <w:t>,</w:t>
      </w:r>
      <w:r w:rsidRPr="00310F22">
        <w:rPr>
          <w:rFonts w:ascii="Arial" w:eastAsia="Calibri" w:hAnsi="Arial" w:cs="Arial"/>
          <w:color w:val="000000" w:themeColor="text1"/>
          <w:sz w:val="22"/>
        </w:rPr>
        <w:t xml:space="preserve"> el artículo 1º del Decreto 2364 de 2012 define la firma electrónica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w:t>
      </w:r>
      <w:r w:rsidRPr="00310F22">
        <w:rPr>
          <w:rStyle w:val="Refdenotaalpie"/>
          <w:rFonts w:ascii="Arial" w:eastAsia="Calibri" w:hAnsi="Arial" w:cs="Arial"/>
          <w:color w:val="000000" w:themeColor="text1"/>
          <w:sz w:val="22"/>
        </w:rPr>
        <w:footnoteReference w:id="21"/>
      </w:r>
      <w:r w:rsidRPr="00310F22">
        <w:rPr>
          <w:rFonts w:ascii="Arial" w:eastAsia="Calibri" w:hAnsi="Arial" w:cs="Arial"/>
          <w:color w:val="000000" w:themeColor="text1"/>
          <w:sz w:val="22"/>
        </w:rPr>
        <w:t>. En este sentido, los atributos jurídicos que debe tener la firma electrónica son: i) identificar el firmante, ii) asegurar que el documento firmado es exactamente el mismo que el original, y, iii) asegurar que los datos que utiliza el firmante para realizar la firma son únicos y exclusivos.</w:t>
      </w:r>
    </w:p>
    <w:p w14:paraId="474CCA9E" w14:textId="77777777" w:rsidR="00BA7388" w:rsidRPr="00310F22" w:rsidRDefault="00BA7388" w:rsidP="00BA7388">
      <w:pPr>
        <w:spacing w:line="276" w:lineRule="auto"/>
        <w:ind w:firstLine="708"/>
        <w:jc w:val="both"/>
        <w:rPr>
          <w:rFonts w:ascii="Arial" w:eastAsia="Calibri" w:hAnsi="Arial" w:cs="Arial"/>
          <w:color w:val="000000" w:themeColor="text1"/>
          <w:sz w:val="22"/>
        </w:rPr>
      </w:pPr>
      <w:r w:rsidRPr="00310F22">
        <w:rPr>
          <w:rFonts w:ascii="Arial" w:eastAsia="Calibri" w:hAnsi="Arial" w:cs="Arial"/>
          <w:color w:val="000000" w:themeColor="text1"/>
          <w:sz w:val="22"/>
        </w:rPr>
        <w:lastRenderedPageBreak/>
        <w:t xml:space="preserve">El Documento </w:t>
      </w:r>
      <w:proofErr w:type="spellStart"/>
      <w:r w:rsidRPr="00310F22">
        <w:rPr>
          <w:rFonts w:ascii="Arial" w:eastAsia="Calibri" w:hAnsi="Arial" w:cs="Arial"/>
          <w:color w:val="000000" w:themeColor="text1"/>
          <w:sz w:val="22"/>
        </w:rPr>
        <w:t>Compes</w:t>
      </w:r>
      <w:proofErr w:type="spellEnd"/>
      <w:r w:rsidRPr="00310F22">
        <w:rPr>
          <w:rFonts w:ascii="Arial" w:eastAsia="Calibri" w:hAnsi="Arial" w:cs="Arial"/>
          <w:color w:val="000000" w:themeColor="text1"/>
          <w:sz w:val="22"/>
        </w:rPr>
        <w:t xml:space="preserve"> 3620 de 2009 explica que «La firma digital y la firma electrónica son formas de identificación personal en el contexto digital, que pueden ser empleadas para cumplir funciones de identificación, de la integridad de un mensaje de datos y el no repudio del mismo. La firma electrónica es el concepto genérico a través del cual se identifica un firmante asociado a un mensaje de datos y se entiende su aprobación al contenido </w:t>
      </w:r>
      <w:proofErr w:type="gramStart"/>
      <w:r w:rsidRPr="00310F22">
        <w:rPr>
          <w:rFonts w:ascii="Arial" w:eastAsia="Calibri" w:hAnsi="Arial" w:cs="Arial"/>
          <w:color w:val="000000" w:themeColor="text1"/>
          <w:sz w:val="22"/>
        </w:rPr>
        <w:t>del mismo</w:t>
      </w:r>
      <w:proofErr w:type="gramEnd"/>
      <w:r w:rsidRPr="00310F22">
        <w:rPr>
          <w:rFonts w:ascii="Arial" w:eastAsia="Calibri" w:hAnsi="Arial" w:cs="Arial"/>
          <w:color w:val="000000" w:themeColor="text1"/>
          <w:sz w:val="22"/>
        </w:rPr>
        <w:t xml:space="preserve">, mientras la firma digital es una especie de firma electrónica». De hecho, bajo el principio de equivalencia funcional, estas firmas deben cumplir con las mismas funciones de la firma manuscrita, es decir, debe servir para identificar a una persona como el autor del documento, dar certeza de la participación exclusiva de dicha persona en la firma y asociar esta última al contenido del mensaje de datos. </w:t>
      </w:r>
    </w:p>
    <w:p w14:paraId="6805D7DA" w14:textId="77777777" w:rsidR="00BA7388" w:rsidRPr="00310F22" w:rsidRDefault="00BA7388" w:rsidP="00BA7388">
      <w:pPr>
        <w:spacing w:before="120" w:line="276" w:lineRule="auto"/>
        <w:ind w:firstLine="708"/>
        <w:jc w:val="both"/>
        <w:rPr>
          <w:rFonts w:ascii="Arial" w:eastAsia="Calibri" w:hAnsi="Arial" w:cs="Arial"/>
          <w:color w:val="000000" w:themeColor="text1"/>
          <w:sz w:val="22"/>
        </w:rPr>
      </w:pPr>
      <w:r w:rsidRPr="00310F22">
        <w:rPr>
          <w:rFonts w:ascii="Arial" w:eastAsia="Calibri" w:hAnsi="Arial" w:cs="Arial"/>
          <w:color w:val="000000" w:themeColor="text1"/>
          <w:sz w:val="22"/>
        </w:rPr>
        <w:t xml:space="preserve">Por ello, en relación con las firmas que se realizan por un mensaje de datos, el artículo 7 de la Ley 527 de 1999 señala que se deben cumplir los siguientes requisitos: i) se ha utilizado un método que permita identificador el iniciador de un mensaje de datos y para indicar que el contenido cuenta con su aprobación, y ii) el método es tanto confiable como apropiado para el propósito por el cual el mensaje fue generado o comunicado. Debido a que la firma electrónica se genera por un mensaje de datos deberá cumplir los requisitos explicados anteriormente. Dentro de este marco, es necesario distinguir dos (2) situaciones: i) el documento original tiene la firma manuscrita y luego se escaneó para enviarlo a la entidad estatal por correo electrónico y ii) </w:t>
      </w:r>
      <w:bookmarkStart w:id="5" w:name="_Hlk35438181"/>
      <w:r w:rsidRPr="00310F22">
        <w:rPr>
          <w:rFonts w:ascii="Arial" w:eastAsia="Calibri" w:hAnsi="Arial" w:cs="Arial"/>
          <w:color w:val="000000" w:themeColor="text1"/>
          <w:sz w:val="22"/>
        </w:rPr>
        <w:t>el documento tiene una imagen con la firma y se adjunta como archivo para enviarlo a la entidad</w:t>
      </w:r>
      <w:bookmarkEnd w:id="5"/>
      <w:r w:rsidRPr="00310F22">
        <w:rPr>
          <w:rFonts w:ascii="Arial" w:eastAsia="Calibri" w:hAnsi="Arial" w:cs="Arial"/>
          <w:color w:val="000000" w:themeColor="text1"/>
          <w:sz w:val="22"/>
        </w:rPr>
        <w:t xml:space="preserve">. </w:t>
      </w:r>
    </w:p>
    <w:p w14:paraId="4336B8D6" w14:textId="4413DA0E" w:rsidR="00BA7388" w:rsidRPr="00310F22" w:rsidRDefault="00BA7388" w:rsidP="00BA7388">
      <w:pPr>
        <w:spacing w:before="120" w:line="276" w:lineRule="auto"/>
        <w:ind w:firstLine="708"/>
        <w:jc w:val="both"/>
        <w:rPr>
          <w:rFonts w:ascii="Arial" w:eastAsia="Calibri" w:hAnsi="Arial" w:cs="Arial"/>
          <w:color w:val="000000" w:themeColor="text1"/>
          <w:sz w:val="22"/>
        </w:rPr>
      </w:pPr>
      <w:r w:rsidRPr="00310F22">
        <w:rPr>
          <w:rFonts w:ascii="Arial" w:eastAsia="Calibri" w:hAnsi="Arial" w:cs="Arial"/>
          <w:color w:val="000000" w:themeColor="text1"/>
          <w:sz w:val="22"/>
        </w:rPr>
        <w:t xml:space="preserve">En el </w:t>
      </w:r>
      <w:r w:rsidRPr="00310F22">
        <w:rPr>
          <w:rFonts w:ascii="Arial" w:eastAsia="Calibri" w:hAnsi="Arial" w:cs="Arial"/>
          <w:i/>
          <w:iCs/>
          <w:color w:val="000000" w:themeColor="text1"/>
          <w:sz w:val="22"/>
        </w:rPr>
        <w:t>primer supuesto</w:t>
      </w:r>
      <w:r w:rsidRPr="00310F22">
        <w:rPr>
          <w:rFonts w:ascii="Arial" w:eastAsia="Calibri" w:hAnsi="Arial" w:cs="Arial"/>
          <w:color w:val="000000" w:themeColor="text1"/>
          <w:sz w:val="22"/>
        </w:rPr>
        <w:t xml:space="preserve"> es válido el documento con firma manuscrita que se escanea posteriormente para enviarlo a la entidad estatal, pues aquel está firmado con el puño y letra de la persona que lo suscribe; razón por la cual el hecho de que se escanee para enviarlo por correo electrónico no es un motivo para rechazar su presentación, ya que el pliego tipo requiere que los documentos de la oferta estén firmados, no que se presenten en original. De acuerdo con el artículo 246 del Código General del Proceso, las copias tendrán el mismo valor probatorio del original, salvo cuando por disposición legal sea necesaria la presentación del original o de una determinada copia</w:t>
      </w:r>
      <w:r w:rsidRPr="00310F22">
        <w:rPr>
          <w:rStyle w:val="Refdenotaalpie"/>
          <w:rFonts w:ascii="Arial" w:eastAsia="Calibri" w:hAnsi="Arial" w:cs="Arial"/>
          <w:color w:val="000000" w:themeColor="text1"/>
          <w:sz w:val="22"/>
        </w:rPr>
        <w:footnoteReference w:id="22"/>
      </w:r>
      <w:r w:rsidRPr="00310F22">
        <w:rPr>
          <w:rFonts w:ascii="Arial" w:eastAsia="Calibri" w:hAnsi="Arial" w:cs="Arial"/>
          <w:color w:val="000000" w:themeColor="text1"/>
          <w:sz w:val="22"/>
        </w:rPr>
        <w:t>. Conforme a lo anterior, si el oferente envía el documento que con firma manuscrita y luego lo escanea para enviarlo por correo electrónico, éste será válido, toda vez que, la normativa no exige que se tenga que enviar el documento en original sino s</w:t>
      </w:r>
      <w:r w:rsidR="00A37EB0" w:rsidRPr="00310F22">
        <w:rPr>
          <w:rFonts w:ascii="Arial" w:eastAsia="Calibri" w:hAnsi="Arial" w:cs="Arial"/>
          <w:color w:val="000000" w:themeColor="text1"/>
          <w:sz w:val="22"/>
        </w:rPr>
        <w:t>o</w:t>
      </w:r>
      <w:r w:rsidRPr="00310F22">
        <w:rPr>
          <w:rFonts w:ascii="Arial" w:eastAsia="Calibri" w:hAnsi="Arial" w:cs="Arial"/>
          <w:color w:val="000000" w:themeColor="text1"/>
          <w:sz w:val="22"/>
        </w:rPr>
        <w:t>lo que tenga la firma que quien lo suscribe.</w:t>
      </w:r>
    </w:p>
    <w:p w14:paraId="255DC023" w14:textId="1C1D80FA" w:rsidR="00BA7388" w:rsidRPr="00310F22" w:rsidRDefault="00BA7388" w:rsidP="00BA7388">
      <w:pPr>
        <w:spacing w:before="120" w:line="276" w:lineRule="auto"/>
        <w:ind w:firstLine="708"/>
        <w:jc w:val="both"/>
        <w:rPr>
          <w:rFonts w:ascii="Arial" w:eastAsia="Calibri" w:hAnsi="Arial" w:cs="Arial"/>
          <w:color w:val="000000" w:themeColor="text1"/>
          <w:sz w:val="22"/>
        </w:rPr>
      </w:pPr>
      <w:r w:rsidRPr="00310F22">
        <w:rPr>
          <w:rFonts w:ascii="Arial" w:eastAsia="Calibri" w:hAnsi="Arial" w:cs="Arial"/>
          <w:color w:val="000000" w:themeColor="text1"/>
          <w:sz w:val="22"/>
        </w:rPr>
        <w:lastRenderedPageBreak/>
        <w:t xml:space="preserve">En el </w:t>
      </w:r>
      <w:r w:rsidRPr="00310F22">
        <w:rPr>
          <w:rFonts w:ascii="Arial" w:eastAsia="Calibri" w:hAnsi="Arial" w:cs="Arial"/>
          <w:i/>
          <w:iCs/>
          <w:color w:val="000000" w:themeColor="text1"/>
          <w:sz w:val="22"/>
        </w:rPr>
        <w:t>segundo supuesto</w:t>
      </w:r>
      <w:r w:rsidRPr="00310F22">
        <w:rPr>
          <w:rFonts w:ascii="Arial" w:eastAsia="Calibri" w:hAnsi="Arial" w:cs="Arial"/>
          <w:color w:val="000000" w:themeColor="text1"/>
          <w:sz w:val="22"/>
        </w:rPr>
        <w:t>, el documento tiene una imagen con la firma y se adjunta como archivo para enviarlo al correo electrónico, la entidad verificará si el archivo cumple con los requisitos de la firma digital o electrónica. Como se mencionó, el artículo 2 de la Ley 527 de 1999 regula la firma digital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En este sentido, la entidad deberá determinar con las entidades de certificación acreditadas por el Organismo Nacional de Acreditación de Colombia si esa firma digital se encuentra o no registrada. Por otro lado, tratándose de una firma electrónica, la entidad deberá verificar</w:t>
      </w:r>
      <w:r w:rsidR="00A37EB0" w:rsidRPr="00310F22">
        <w:rPr>
          <w:rFonts w:ascii="Arial" w:eastAsia="Calibri" w:hAnsi="Arial" w:cs="Arial"/>
          <w:color w:val="000000" w:themeColor="text1"/>
          <w:sz w:val="22"/>
        </w:rPr>
        <w:t>:</w:t>
      </w:r>
      <w:r w:rsidRPr="00310F22">
        <w:rPr>
          <w:rFonts w:ascii="Arial" w:eastAsia="Calibri" w:hAnsi="Arial" w:cs="Arial"/>
          <w:color w:val="000000" w:themeColor="text1"/>
          <w:sz w:val="22"/>
        </w:rPr>
        <w:t xml:space="preserve"> i) la identidad del firmante, ii) que el documento firmado es exactamente el mismo que el original y iii) los datos que utiliza el firmante para realizar la firma son únicos y exclusivos. </w:t>
      </w:r>
    </w:p>
    <w:p w14:paraId="18A0C2C1" w14:textId="48A124C6" w:rsidR="00BA7388" w:rsidRPr="00310F22" w:rsidRDefault="00BA7388" w:rsidP="00BA7388">
      <w:pPr>
        <w:spacing w:before="120" w:line="276" w:lineRule="auto"/>
        <w:ind w:firstLine="708"/>
        <w:jc w:val="both"/>
        <w:rPr>
          <w:rFonts w:ascii="Arial" w:eastAsia="Calibri" w:hAnsi="Arial" w:cs="Arial"/>
          <w:color w:val="000000" w:themeColor="text1"/>
          <w:sz w:val="22"/>
        </w:rPr>
      </w:pPr>
      <w:r w:rsidRPr="00310F22">
        <w:rPr>
          <w:rFonts w:ascii="Arial" w:eastAsia="Calibri" w:hAnsi="Arial" w:cs="Arial"/>
          <w:color w:val="000000" w:themeColor="text1"/>
          <w:sz w:val="22"/>
        </w:rPr>
        <w:t>En materia probatoria, tanto la firma electrónica como la firma digital pueden producir los mismos efectos jurídicos como mecanismos de autenticación, pero su diferencia tiene que ver con la carga probatoria, pues mientras en la firma digital, por existir una entidad de certificación que avala la identidad del titular de la firma, de manera automática introduce la autenticidad, integridad y no repudio; en el caso de la firma electrónica es necesario probar dichos elementos, a más de la trazabilidad, disponibilidad y el demostrar que se trata el mecanismo confiable y apropiable.</w:t>
      </w:r>
    </w:p>
    <w:p w14:paraId="57502A78" w14:textId="63F4CEF4" w:rsidR="00BA7388" w:rsidRPr="00310F22" w:rsidRDefault="00BA7388" w:rsidP="001E7E33">
      <w:pPr>
        <w:spacing w:before="120" w:line="276" w:lineRule="auto"/>
        <w:ind w:firstLine="708"/>
        <w:jc w:val="both"/>
        <w:rPr>
          <w:rFonts w:ascii="Arial" w:eastAsia="Calibri" w:hAnsi="Arial" w:cs="Arial"/>
          <w:color w:val="000000" w:themeColor="text1"/>
          <w:sz w:val="22"/>
        </w:rPr>
      </w:pPr>
      <w:bookmarkStart w:id="6" w:name="_Hlk35440381"/>
      <w:bookmarkStart w:id="7" w:name="_Hlk35440547"/>
      <w:r w:rsidRPr="00310F22">
        <w:rPr>
          <w:rFonts w:ascii="Arial" w:eastAsia="Calibri" w:hAnsi="Arial" w:cs="Arial"/>
          <w:color w:val="000000" w:themeColor="text1"/>
          <w:sz w:val="22"/>
        </w:rPr>
        <w:t>A similares conclusiones se puede llegar en lo que tiene que ver con los do</w:t>
      </w:r>
      <w:r w:rsidR="001E7E33" w:rsidRPr="00310F22">
        <w:rPr>
          <w:rFonts w:ascii="Arial" w:eastAsia="Calibri" w:hAnsi="Arial" w:cs="Arial"/>
          <w:color w:val="000000" w:themeColor="text1"/>
          <w:sz w:val="22"/>
        </w:rPr>
        <w:t>cumentos electrónicos que conforman el expediente del SECOP II, pues, como se lee en la Circular Única Externa de Colombia Compra Eficiente, tales documentos «son válidos y tienen valor probatorio de conformidad con el Código de Procedimiento Administrativo y de lo Contencioso Administrativo, y con el Código General del Proceso». Tal conclusión, como se observa en el documento transcrito, tiene fundamento en el artículo 3 de la Ley 1150 de 2007.</w:t>
      </w:r>
    </w:p>
    <w:p w14:paraId="1DD318A0" w14:textId="21BD3927" w:rsidR="00BA7388" w:rsidRPr="00310F22" w:rsidRDefault="00D64EFD" w:rsidP="00BA7388">
      <w:pPr>
        <w:spacing w:before="120" w:line="276" w:lineRule="auto"/>
        <w:ind w:firstLine="708"/>
        <w:jc w:val="both"/>
        <w:rPr>
          <w:rFonts w:ascii="Arial" w:eastAsia="Calibri" w:hAnsi="Arial" w:cs="Arial"/>
          <w:color w:val="000000" w:themeColor="text1"/>
          <w:sz w:val="22"/>
        </w:rPr>
      </w:pPr>
      <w:r w:rsidRPr="00310F22">
        <w:rPr>
          <w:rFonts w:ascii="Arial" w:eastAsia="Calibri" w:hAnsi="Arial" w:cs="Arial"/>
          <w:color w:val="000000" w:themeColor="text1"/>
          <w:sz w:val="22"/>
        </w:rPr>
        <w:t>Para</w:t>
      </w:r>
      <w:r w:rsidR="00B02E47" w:rsidRPr="00310F22">
        <w:rPr>
          <w:rFonts w:ascii="Arial" w:eastAsia="Calibri" w:hAnsi="Arial" w:cs="Arial"/>
          <w:color w:val="000000" w:themeColor="text1"/>
          <w:sz w:val="22"/>
        </w:rPr>
        <w:t xml:space="preserve"> los efectos relacionados con el proceso de contratación estatal, los documentos contenidos en el expediente digital de la actuación adelantada en la plataforma SECOP II, tienen plenos efectos probatorios, sin distingo que contengan la firma manuscrita de las partes del contrato estatal. Lo que se buscó con la implementación de una plataforma transaccional −no solo de publicidad−, precisamente, </w:t>
      </w:r>
      <w:r w:rsidRPr="00310F22">
        <w:rPr>
          <w:rFonts w:ascii="Arial" w:eastAsia="Calibri" w:hAnsi="Arial" w:cs="Arial"/>
          <w:color w:val="000000" w:themeColor="text1"/>
          <w:sz w:val="22"/>
        </w:rPr>
        <w:t>fue</w:t>
      </w:r>
      <w:r w:rsidR="00B02E47" w:rsidRPr="00310F22">
        <w:rPr>
          <w:rFonts w:ascii="Arial" w:eastAsia="Calibri" w:hAnsi="Arial" w:cs="Arial"/>
          <w:color w:val="000000" w:themeColor="text1"/>
          <w:sz w:val="22"/>
        </w:rPr>
        <w:t xml:space="preserve"> que las partes </w:t>
      </w:r>
      <w:r w:rsidRPr="00310F22">
        <w:rPr>
          <w:rFonts w:ascii="Arial" w:eastAsia="Calibri" w:hAnsi="Arial" w:cs="Arial"/>
          <w:color w:val="000000" w:themeColor="text1"/>
          <w:sz w:val="22"/>
        </w:rPr>
        <w:t>pudieran</w:t>
      </w:r>
      <w:r w:rsidR="00B02E47" w:rsidRPr="00310F22">
        <w:rPr>
          <w:rFonts w:ascii="Arial" w:eastAsia="Calibri" w:hAnsi="Arial" w:cs="Arial"/>
          <w:color w:val="000000" w:themeColor="text1"/>
          <w:sz w:val="22"/>
        </w:rPr>
        <w:t xml:space="preserve"> gestionar el negocio jurídico por medios virtuales, de no ser así no hubiera sido necesaria la sustitución del SECOP I, plataforma de publicidad en la que correspondía a las entidades cargar los documentos previamente diligenciados y firmados. </w:t>
      </w:r>
    </w:p>
    <w:p w14:paraId="6A5C16E4" w14:textId="07BEED20" w:rsidR="00BA7388" w:rsidRPr="00310F22" w:rsidRDefault="006A4D92" w:rsidP="00BA7388">
      <w:pPr>
        <w:spacing w:before="120" w:line="276" w:lineRule="auto"/>
        <w:ind w:firstLine="708"/>
        <w:jc w:val="both"/>
        <w:rPr>
          <w:rFonts w:ascii="Arial" w:eastAsia="Calibri" w:hAnsi="Arial" w:cs="Arial"/>
          <w:color w:val="000000" w:themeColor="text1"/>
          <w:sz w:val="22"/>
        </w:rPr>
      </w:pPr>
      <w:r w:rsidRPr="00310F22">
        <w:rPr>
          <w:rFonts w:ascii="Arial" w:eastAsia="Calibri" w:hAnsi="Arial" w:cs="Arial"/>
          <w:color w:val="000000" w:themeColor="text1"/>
          <w:sz w:val="22"/>
        </w:rPr>
        <w:t xml:space="preserve">En ese sentido, </w:t>
      </w:r>
      <w:r w:rsidR="005F3146" w:rsidRPr="00310F22">
        <w:rPr>
          <w:rFonts w:ascii="Arial" w:eastAsia="Calibri" w:hAnsi="Arial" w:cs="Arial"/>
          <w:color w:val="000000" w:themeColor="text1"/>
          <w:sz w:val="22"/>
        </w:rPr>
        <w:t xml:space="preserve">Colombia Compra Eficiente considera que </w:t>
      </w:r>
      <w:r w:rsidRPr="00310F22">
        <w:rPr>
          <w:rFonts w:ascii="Arial" w:eastAsia="Calibri" w:hAnsi="Arial" w:cs="Arial"/>
          <w:color w:val="000000" w:themeColor="text1"/>
          <w:sz w:val="22"/>
        </w:rPr>
        <w:t>los requisitos habilitantes conten</w:t>
      </w:r>
      <w:r w:rsidR="005F3146" w:rsidRPr="00310F22">
        <w:rPr>
          <w:rFonts w:ascii="Arial" w:eastAsia="Calibri" w:hAnsi="Arial" w:cs="Arial"/>
          <w:color w:val="000000" w:themeColor="text1"/>
          <w:sz w:val="22"/>
        </w:rPr>
        <w:t>i</w:t>
      </w:r>
      <w:r w:rsidRPr="00310F22">
        <w:rPr>
          <w:rFonts w:ascii="Arial" w:eastAsia="Calibri" w:hAnsi="Arial" w:cs="Arial"/>
          <w:color w:val="000000" w:themeColor="text1"/>
          <w:sz w:val="22"/>
        </w:rPr>
        <w:t xml:space="preserve">dos en el RUP, </w:t>
      </w:r>
      <w:r w:rsidR="005F3146" w:rsidRPr="00310F22">
        <w:rPr>
          <w:rFonts w:ascii="Arial" w:eastAsia="Calibri" w:hAnsi="Arial" w:cs="Arial"/>
          <w:color w:val="000000" w:themeColor="text1"/>
          <w:sz w:val="22"/>
        </w:rPr>
        <w:t xml:space="preserve">los cuales, por disposición expresa del artículo 2.2.1.1.1.5.3. del </w:t>
      </w:r>
      <w:r w:rsidR="00BA7388" w:rsidRPr="00310F22">
        <w:rPr>
          <w:rFonts w:ascii="Arial" w:eastAsia="Calibri" w:hAnsi="Arial" w:cs="Arial"/>
          <w:color w:val="000000" w:themeColor="text1"/>
          <w:sz w:val="22"/>
        </w:rPr>
        <w:t>Decreto 1082 de 2015</w:t>
      </w:r>
      <w:r w:rsidR="00F25F74" w:rsidRPr="00310F22">
        <w:rPr>
          <w:rFonts w:ascii="Arial" w:eastAsia="Calibri" w:hAnsi="Arial" w:cs="Arial"/>
          <w:color w:val="000000" w:themeColor="text1"/>
          <w:sz w:val="22"/>
        </w:rPr>
        <w:t>,</w:t>
      </w:r>
      <w:r w:rsidR="00BA7388" w:rsidRPr="00310F22">
        <w:rPr>
          <w:rFonts w:ascii="Arial" w:eastAsia="Calibri" w:hAnsi="Arial" w:cs="Arial"/>
          <w:color w:val="000000" w:themeColor="text1"/>
          <w:sz w:val="22"/>
        </w:rPr>
        <w:t xml:space="preserve"> </w:t>
      </w:r>
      <w:r w:rsidR="005F3146" w:rsidRPr="00310F22">
        <w:rPr>
          <w:rFonts w:ascii="Arial" w:eastAsia="Calibri" w:hAnsi="Arial" w:cs="Arial"/>
          <w:color w:val="000000" w:themeColor="text1"/>
          <w:sz w:val="22"/>
        </w:rPr>
        <w:t xml:space="preserve">deben ser verificados y certificados por las Cámaras de Comercio, </w:t>
      </w:r>
      <w:r w:rsidR="005F3146" w:rsidRPr="00310F22">
        <w:rPr>
          <w:rFonts w:ascii="Arial" w:eastAsia="Calibri" w:hAnsi="Arial" w:cs="Arial"/>
          <w:color w:val="000000" w:themeColor="text1"/>
          <w:sz w:val="22"/>
        </w:rPr>
        <w:lastRenderedPageBreak/>
        <w:t xml:space="preserve">como lo son la experiencia y las capacidades jurídica y financiera, pueden ser acreditados por </w:t>
      </w:r>
      <w:r w:rsidR="006F2213" w:rsidRPr="00310F22">
        <w:rPr>
          <w:rFonts w:ascii="Arial" w:eastAsia="Calibri" w:hAnsi="Arial" w:cs="Arial"/>
          <w:color w:val="000000" w:themeColor="text1"/>
          <w:sz w:val="22"/>
        </w:rPr>
        <w:t xml:space="preserve">medio de </w:t>
      </w:r>
      <w:r w:rsidR="000F117D" w:rsidRPr="00310F22">
        <w:rPr>
          <w:rFonts w:ascii="Arial" w:eastAsia="Calibri" w:hAnsi="Arial" w:cs="Arial"/>
          <w:color w:val="000000" w:themeColor="text1"/>
          <w:sz w:val="22"/>
        </w:rPr>
        <w:t xml:space="preserve">los </w:t>
      </w:r>
      <w:r w:rsidR="005F3146" w:rsidRPr="00310F22">
        <w:rPr>
          <w:rFonts w:ascii="Arial" w:eastAsia="Calibri" w:hAnsi="Arial" w:cs="Arial"/>
          <w:color w:val="000000" w:themeColor="text1"/>
          <w:sz w:val="22"/>
        </w:rPr>
        <w:t>documentos contenidos en el expediente digital del proceso contractual adelantado en el SECOP II.</w:t>
      </w:r>
      <w:r w:rsidR="00BA7388" w:rsidRPr="00310F22">
        <w:rPr>
          <w:rFonts w:ascii="Arial" w:eastAsia="Calibri" w:hAnsi="Arial" w:cs="Arial"/>
          <w:color w:val="000000" w:themeColor="text1"/>
          <w:sz w:val="22"/>
        </w:rPr>
        <w:t xml:space="preserve"> </w:t>
      </w:r>
      <w:bookmarkEnd w:id="6"/>
      <w:r w:rsidR="00F25F74" w:rsidRPr="00310F22">
        <w:rPr>
          <w:rFonts w:ascii="Arial" w:eastAsia="Calibri" w:hAnsi="Arial" w:cs="Arial"/>
          <w:color w:val="000000" w:themeColor="text1"/>
          <w:sz w:val="22"/>
        </w:rPr>
        <w:t xml:space="preserve">Esto incluye los contratos suscritos de forma digital −sin firma manuscrita− y, eventualmente, los documentos a </w:t>
      </w:r>
      <w:proofErr w:type="gramStart"/>
      <w:r w:rsidR="00F25F74" w:rsidRPr="00310F22">
        <w:rPr>
          <w:rFonts w:ascii="Arial" w:eastAsia="Calibri" w:hAnsi="Arial" w:cs="Arial"/>
          <w:color w:val="000000" w:themeColor="text1"/>
          <w:sz w:val="22"/>
        </w:rPr>
        <w:t>los se</w:t>
      </w:r>
      <w:proofErr w:type="gramEnd"/>
      <w:r w:rsidR="00F25F74" w:rsidRPr="00310F22">
        <w:rPr>
          <w:rFonts w:ascii="Arial" w:eastAsia="Calibri" w:hAnsi="Arial" w:cs="Arial"/>
          <w:color w:val="000000" w:themeColor="text1"/>
          <w:sz w:val="22"/>
        </w:rPr>
        <w:t xml:space="preserve"> refiere</w:t>
      </w:r>
      <w:r w:rsidR="00001E93" w:rsidRPr="00310F22">
        <w:rPr>
          <w:rFonts w:ascii="Arial" w:eastAsia="Calibri" w:hAnsi="Arial" w:cs="Arial"/>
          <w:color w:val="000000" w:themeColor="text1"/>
          <w:sz w:val="22"/>
        </w:rPr>
        <w:t xml:space="preserve">n los artículos 2.2.1.1.1.5.2. </w:t>
      </w:r>
      <w:r w:rsidR="00001E93" w:rsidRPr="00310F22">
        <w:rPr>
          <w:rFonts w:ascii="Arial" w:eastAsia="Calibri" w:hAnsi="Arial" w:cs="Arial"/>
          <w:i/>
          <w:iCs/>
          <w:color w:val="000000" w:themeColor="text1"/>
          <w:sz w:val="22"/>
        </w:rPr>
        <w:t xml:space="preserve">ibidem </w:t>
      </w:r>
      <w:r w:rsidR="00001E93" w:rsidRPr="00310F22">
        <w:rPr>
          <w:rFonts w:ascii="Arial" w:eastAsia="Calibri" w:hAnsi="Arial" w:cs="Arial"/>
          <w:color w:val="000000" w:themeColor="text1"/>
          <w:sz w:val="22"/>
        </w:rPr>
        <w:t>y</w:t>
      </w:r>
      <w:r w:rsidR="00F25F74" w:rsidRPr="00310F22">
        <w:rPr>
          <w:rFonts w:ascii="Arial" w:eastAsia="Calibri" w:hAnsi="Arial" w:cs="Arial"/>
          <w:color w:val="000000" w:themeColor="text1"/>
          <w:sz w:val="22"/>
        </w:rPr>
        <w:t xml:space="preserve"> el numeral 3.5.5. del «Documento Base». Esto último, se aclara, </w:t>
      </w:r>
      <w:r w:rsidR="000F117D" w:rsidRPr="00310F22">
        <w:rPr>
          <w:rFonts w:ascii="Arial" w:eastAsia="Calibri" w:hAnsi="Arial" w:cs="Arial"/>
          <w:color w:val="000000" w:themeColor="text1"/>
          <w:sz w:val="22"/>
        </w:rPr>
        <w:t xml:space="preserve">únicamente </w:t>
      </w:r>
      <w:r w:rsidR="00F25F74" w:rsidRPr="00310F22">
        <w:rPr>
          <w:rFonts w:ascii="Arial" w:eastAsia="Calibri" w:hAnsi="Arial" w:cs="Arial"/>
          <w:color w:val="000000" w:themeColor="text1"/>
          <w:sz w:val="22"/>
        </w:rPr>
        <w:t>para el caso de los contratos en los que es obligatorio el uso de los</w:t>
      </w:r>
      <w:r w:rsidR="000F117D" w:rsidRPr="00310F22">
        <w:rPr>
          <w:rFonts w:ascii="Arial" w:eastAsia="Calibri" w:hAnsi="Arial" w:cs="Arial"/>
          <w:color w:val="000000" w:themeColor="text1"/>
          <w:sz w:val="22"/>
        </w:rPr>
        <w:t xml:space="preserve"> llamados</w:t>
      </w:r>
      <w:r w:rsidR="00F25F74" w:rsidRPr="00310F22">
        <w:rPr>
          <w:rFonts w:ascii="Arial" w:eastAsia="Calibri" w:hAnsi="Arial" w:cs="Arial"/>
          <w:color w:val="000000" w:themeColor="text1"/>
          <w:sz w:val="22"/>
        </w:rPr>
        <w:t xml:space="preserve"> «Pliegos Tipo».</w:t>
      </w:r>
    </w:p>
    <w:p w14:paraId="1834623B" w14:textId="1D4794CA" w:rsidR="003544CD" w:rsidRPr="00310F22" w:rsidRDefault="003544CD" w:rsidP="003544CD">
      <w:pPr>
        <w:spacing w:before="120" w:line="276" w:lineRule="auto"/>
        <w:ind w:firstLine="708"/>
        <w:jc w:val="both"/>
        <w:rPr>
          <w:rFonts w:ascii="Arial" w:hAnsi="Arial" w:cs="Arial"/>
          <w:color w:val="000000" w:themeColor="text1"/>
          <w:sz w:val="22"/>
        </w:rPr>
      </w:pPr>
      <w:r w:rsidRPr="00310F22">
        <w:rPr>
          <w:rFonts w:ascii="Arial" w:eastAsia="Calibri" w:hAnsi="Arial" w:cs="Arial"/>
          <w:color w:val="000000" w:themeColor="text1"/>
          <w:sz w:val="22"/>
        </w:rPr>
        <w:t xml:space="preserve">Es del caso aclarar que el artículo 6, numeral 6.1., de la Ley </w:t>
      </w:r>
      <w:r w:rsidRPr="00310F22">
        <w:rPr>
          <w:rFonts w:ascii="Arial" w:hAnsi="Arial" w:cs="Arial"/>
          <w:color w:val="000000" w:themeColor="text1"/>
          <w:sz w:val="22"/>
        </w:rPr>
        <w:t xml:space="preserve">1150 de 2007, al determinar las características aplicables al RUP, cualifica la información plasmada en él, al establecer que constituye plena prueba de lo que contiene. En ese sentido, aunque es cierto que el artículo 5, numeral 1, de la misma normativa, al establecer los criterios que deben tener en cuenta las entidades estatales para garantizar la selección objetiva, determina que las cámaras de comercio realizarán la verificación de la información suministrada por las personas naturales o jurídicas para su inscripción en el registro único de proponentes, ya que esta será tenida en cuenta por las entidades en los procedimientos de selección en los que es exigible el RUP, también lo es que dicha norma no determina que los requisitos </w:t>
      </w:r>
      <w:r w:rsidR="00353B5A" w:rsidRPr="00310F22">
        <w:rPr>
          <w:rFonts w:ascii="Arial" w:hAnsi="Arial" w:cs="Arial"/>
          <w:color w:val="000000" w:themeColor="text1"/>
          <w:sz w:val="22"/>
        </w:rPr>
        <w:t xml:space="preserve">habilitantes contenidos en el RUP </w:t>
      </w:r>
      <w:r w:rsidRPr="00310F22">
        <w:rPr>
          <w:rFonts w:ascii="Arial" w:hAnsi="Arial" w:cs="Arial"/>
          <w:color w:val="000000" w:themeColor="text1"/>
          <w:sz w:val="22"/>
        </w:rPr>
        <w:t>únicamente se puedan demostrar con documentos que contengan firmas manuscritas</w:t>
      </w:r>
      <w:r w:rsidR="00353B5A" w:rsidRPr="00310F22">
        <w:rPr>
          <w:rFonts w:ascii="Arial" w:hAnsi="Arial" w:cs="Arial"/>
          <w:color w:val="000000" w:themeColor="text1"/>
          <w:sz w:val="22"/>
        </w:rPr>
        <w:t>, esto es, que no sea posible hacerlo con documentación contenida en expedientes digitales que, por obvias razones, no tienen firmas manuscritas</w:t>
      </w:r>
      <w:r w:rsidRPr="00310F22">
        <w:rPr>
          <w:rFonts w:ascii="Arial" w:hAnsi="Arial" w:cs="Arial"/>
          <w:color w:val="000000" w:themeColor="text1"/>
          <w:sz w:val="22"/>
        </w:rPr>
        <w:t>.</w:t>
      </w:r>
      <w:r w:rsidR="00CA4121" w:rsidRPr="00310F22">
        <w:rPr>
          <w:rFonts w:ascii="Arial" w:hAnsi="Arial" w:cs="Arial"/>
          <w:color w:val="000000" w:themeColor="text1"/>
          <w:sz w:val="22"/>
        </w:rPr>
        <w:t xml:space="preserve"> </w:t>
      </w:r>
    </w:p>
    <w:p w14:paraId="3AF33B91" w14:textId="64C27F27" w:rsidR="0020066F" w:rsidRPr="00310F22" w:rsidRDefault="00F25F74" w:rsidP="003544CD">
      <w:pPr>
        <w:spacing w:before="120" w:line="276" w:lineRule="auto"/>
        <w:ind w:firstLine="708"/>
        <w:jc w:val="both"/>
        <w:rPr>
          <w:rFonts w:ascii="Arial" w:eastAsia="Calibri" w:hAnsi="Arial" w:cs="Arial"/>
          <w:color w:val="000000" w:themeColor="text1"/>
          <w:sz w:val="22"/>
        </w:rPr>
      </w:pPr>
      <w:r w:rsidRPr="00310F22">
        <w:rPr>
          <w:rFonts w:ascii="Arial" w:eastAsia="Calibri" w:hAnsi="Arial" w:cs="Arial"/>
          <w:color w:val="000000" w:themeColor="text1"/>
          <w:sz w:val="22"/>
        </w:rPr>
        <w:t>Tal y como lo consideró esta Subdirección</w:t>
      </w:r>
      <w:r w:rsidR="003544CD" w:rsidRPr="00310F22">
        <w:rPr>
          <w:rFonts w:ascii="Arial" w:eastAsia="Calibri" w:hAnsi="Arial" w:cs="Arial"/>
          <w:color w:val="000000" w:themeColor="text1"/>
          <w:sz w:val="22"/>
        </w:rPr>
        <w:t xml:space="preserve"> en el concepto C-052 de 2020, el RUP es</w:t>
      </w:r>
      <w:r w:rsidR="00CA4121" w:rsidRPr="00310F22">
        <w:rPr>
          <w:rFonts w:ascii="Arial" w:eastAsia="Calibri" w:hAnsi="Arial" w:cs="Arial"/>
          <w:color w:val="000000" w:themeColor="text1"/>
          <w:sz w:val="22"/>
        </w:rPr>
        <w:t xml:space="preserve"> simplemente</w:t>
      </w:r>
      <w:r w:rsidR="003544CD" w:rsidRPr="00310F22">
        <w:rPr>
          <w:rFonts w:ascii="Arial" w:eastAsia="Calibri" w:hAnsi="Arial" w:cs="Arial"/>
          <w:color w:val="000000" w:themeColor="text1"/>
          <w:sz w:val="22"/>
        </w:rPr>
        <w:t xml:space="preserve"> «el documento donde consta la información relacionada con las personas naturales y jurídicas, que tiene por objeto consolidar la información de la capacidad jurídica, técnica, financiera y organizacional de los proponentes, con el fin que participen en los procedimientos de selección realizados por las entidades estatales, facilitando la revisión de los datos contenidos en el registro». </w:t>
      </w:r>
      <w:bookmarkEnd w:id="7"/>
      <w:r w:rsidR="00CA4121" w:rsidRPr="00310F22">
        <w:rPr>
          <w:rFonts w:ascii="Arial" w:eastAsia="Calibri" w:hAnsi="Arial" w:cs="Arial"/>
          <w:color w:val="000000" w:themeColor="text1"/>
          <w:sz w:val="22"/>
        </w:rPr>
        <w:t>De allí que las cámaras de comercio no tengan la posibilidad de imponerle a los contratistas una tarifa legal para la demostración de los requisitos habilitantes contenidos en el RUP, menos cuando existen disposiciones que le dan efectos probatorios a los documentos que tales cámaras se niegan a recibir, como es el caso de los documentos contenidos en el expediente digital de las actuaciones adelantadas por el SECOP II.</w:t>
      </w:r>
    </w:p>
    <w:p w14:paraId="1494E0D9" w14:textId="7FFC6409" w:rsidR="00F47BE3" w:rsidRPr="00310F22" w:rsidRDefault="00F47BE3" w:rsidP="003544CD">
      <w:pPr>
        <w:spacing w:before="120" w:line="276" w:lineRule="auto"/>
        <w:ind w:firstLine="708"/>
        <w:jc w:val="both"/>
        <w:rPr>
          <w:rFonts w:ascii="Arial" w:hAnsi="Arial" w:cs="Arial"/>
          <w:color w:val="000000" w:themeColor="text1"/>
          <w:sz w:val="22"/>
          <w:lang w:val="es-ES_tradnl"/>
        </w:rPr>
      </w:pPr>
      <w:r w:rsidRPr="00310F22">
        <w:rPr>
          <w:rFonts w:ascii="Arial" w:hAnsi="Arial" w:cs="Arial"/>
          <w:color w:val="000000" w:themeColor="text1"/>
          <w:sz w:val="22"/>
          <w:lang w:val="es-ES_tradnl"/>
        </w:rPr>
        <w:t>Con fundamento en las anteriores consideraciones, se contestará la pregunta formulada en la consulta.</w:t>
      </w:r>
    </w:p>
    <w:p w14:paraId="1DE2443E" w14:textId="77777777" w:rsidR="003544CD" w:rsidRPr="00310F22" w:rsidRDefault="003544CD" w:rsidP="00107E89">
      <w:pPr>
        <w:pStyle w:val="Prrafodelista"/>
        <w:spacing w:before="120" w:line="276" w:lineRule="auto"/>
        <w:ind w:left="0" w:right="51"/>
        <w:contextualSpacing w:val="0"/>
        <w:jc w:val="both"/>
        <w:rPr>
          <w:rFonts w:ascii="Arial" w:hAnsi="Arial" w:cs="Arial"/>
          <w:color w:val="000000" w:themeColor="text1"/>
          <w:sz w:val="22"/>
        </w:rPr>
      </w:pPr>
    </w:p>
    <w:p w14:paraId="4DAE4437" w14:textId="39AB37D2" w:rsidR="00BE1E33" w:rsidRPr="00310F22" w:rsidRDefault="00BE1E33" w:rsidP="00BE1E33">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310F22">
        <w:rPr>
          <w:rFonts w:ascii="Arial" w:hAnsi="Arial" w:cs="Arial"/>
          <w:b/>
          <w:bCs/>
          <w:color w:val="000000" w:themeColor="text1"/>
          <w:sz w:val="22"/>
          <w:lang w:val="es-CO"/>
        </w:rPr>
        <w:t xml:space="preserve">Respuesta </w:t>
      </w:r>
    </w:p>
    <w:p w14:paraId="317BE2F9" w14:textId="77777777" w:rsidR="00BE1E33" w:rsidRPr="00310F22" w:rsidRDefault="00BE1E33" w:rsidP="00BE1E33">
      <w:pPr>
        <w:spacing w:line="276" w:lineRule="auto"/>
        <w:ind w:right="709"/>
        <w:jc w:val="both"/>
        <w:rPr>
          <w:rFonts w:ascii="Arial" w:hAnsi="Arial" w:cs="Arial"/>
          <w:color w:val="000000" w:themeColor="text1"/>
          <w:sz w:val="21"/>
          <w:szCs w:val="21"/>
          <w:lang w:val="es-CO"/>
        </w:rPr>
      </w:pPr>
    </w:p>
    <w:p w14:paraId="0171331B" w14:textId="6F44FAE5" w:rsidR="0020066F" w:rsidRPr="00310F22" w:rsidRDefault="00691EAB" w:rsidP="00691EAB">
      <w:pPr>
        <w:spacing w:before="120" w:line="276" w:lineRule="auto"/>
        <w:ind w:left="709" w:right="758"/>
        <w:jc w:val="both"/>
        <w:rPr>
          <w:rFonts w:ascii="Arial" w:eastAsia="Calibri" w:hAnsi="Arial" w:cs="Arial"/>
          <w:color w:val="000000" w:themeColor="text1"/>
          <w:sz w:val="22"/>
        </w:rPr>
      </w:pPr>
      <w:r w:rsidRPr="00310F22">
        <w:rPr>
          <w:rFonts w:ascii="Arial" w:eastAsia="Calibri" w:hAnsi="Arial" w:cs="Arial"/>
          <w:color w:val="000000" w:themeColor="text1"/>
          <w:sz w:val="22"/>
        </w:rPr>
        <w:t xml:space="preserve">«¿existe alguna circular o procedimiento en donde se indique los contratos suscritos a través del SECOP 2 se entienden firmado cuando se da la aceptación </w:t>
      </w:r>
      <w:proofErr w:type="gramStart"/>
      <w:r w:rsidRPr="00310F22">
        <w:rPr>
          <w:rFonts w:ascii="Arial" w:eastAsia="Calibri" w:hAnsi="Arial" w:cs="Arial"/>
          <w:color w:val="000000" w:themeColor="text1"/>
          <w:sz w:val="22"/>
        </w:rPr>
        <w:t>del mismo</w:t>
      </w:r>
      <w:proofErr w:type="gramEnd"/>
      <w:r w:rsidRPr="00310F22">
        <w:rPr>
          <w:rFonts w:ascii="Arial" w:eastAsia="Calibri" w:hAnsi="Arial" w:cs="Arial"/>
          <w:color w:val="000000" w:themeColor="text1"/>
          <w:sz w:val="22"/>
        </w:rPr>
        <w:t xml:space="preserve"> por parte del contratista, para que las cámaras de </w:t>
      </w:r>
      <w:r w:rsidRPr="00310F22">
        <w:rPr>
          <w:rFonts w:ascii="Arial" w:eastAsia="Calibri" w:hAnsi="Arial" w:cs="Arial"/>
          <w:color w:val="000000" w:themeColor="text1"/>
          <w:sz w:val="22"/>
        </w:rPr>
        <w:lastRenderedPageBreak/>
        <w:t>comercio puedan validar los contratos suscritos a través de esta plataforma?»</w:t>
      </w:r>
    </w:p>
    <w:p w14:paraId="5A2DF830" w14:textId="77777777" w:rsidR="00691EAB" w:rsidRPr="00310F22" w:rsidRDefault="00691EAB" w:rsidP="00BE1E33">
      <w:pPr>
        <w:spacing w:line="276" w:lineRule="auto"/>
        <w:jc w:val="both"/>
        <w:rPr>
          <w:rFonts w:ascii="Arial" w:hAnsi="Arial" w:cs="Arial"/>
          <w:color w:val="000000" w:themeColor="text1"/>
          <w:sz w:val="22"/>
        </w:rPr>
      </w:pPr>
    </w:p>
    <w:p w14:paraId="315D744B" w14:textId="3721B239" w:rsidR="00BE1E33" w:rsidRPr="00310F22" w:rsidRDefault="00691EAB" w:rsidP="00691EAB">
      <w:pPr>
        <w:spacing w:line="276" w:lineRule="auto"/>
        <w:jc w:val="both"/>
        <w:rPr>
          <w:rFonts w:ascii="Arial" w:eastAsia="Calibri" w:hAnsi="Arial" w:cs="Arial"/>
          <w:color w:val="000000" w:themeColor="text1"/>
          <w:sz w:val="22"/>
        </w:rPr>
      </w:pPr>
      <w:r w:rsidRPr="00310F22">
        <w:rPr>
          <w:rFonts w:ascii="Arial" w:hAnsi="Arial" w:cs="Arial"/>
          <w:color w:val="000000" w:themeColor="text1"/>
          <w:sz w:val="22"/>
        </w:rPr>
        <w:t>No existe una disposición normativa que indique</w:t>
      </w:r>
      <w:r w:rsidR="007F53AA" w:rsidRPr="00310F22">
        <w:rPr>
          <w:rFonts w:ascii="Arial" w:hAnsi="Arial" w:cs="Arial"/>
          <w:color w:val="000000" w:themeColor="text1"/>
          <w:sz w:val="22"/>
        </w:rPr>
        <w:t xml:space="preserve"> expresamente</w:t>
      </w:r>
      <w:r w:rsidRPr="00310F22">
        <w:rPr>
          <w:rFonts w:ascii="Arial" w:hAnsi="Arial" w:cs="Arial"/>
          <w:color w:val="000000" w:themeColor="text1"/>
          <w:sz w:val="22"/>
        </w:rPr>
        <w:t xml:space="preserve"> que «</w:t>
      </w:r>
      <w:r w:rsidRPr="00310F22">
        <w:rPr>
          <w:rFonts w:ascii="Arial" w:eastAsia="Calibri" w:hAnsi="Arial" w:cs="Arial"/>
          <w:color w:val="000000" w:themeColor="text1"/>
          <w:sz w:val="22"/>
        </w:rPr>
        <w:t>los contratos suscritos a través del SECOP 2 se entienden firmado</w:t>
      </w:r>
      <w:r w:rsidR="007F53AA" w:rsidRPr="00310F22">
        <w:rPr>
          <w:rFonts w:ascii="Arial" w:eastAsia="Calibri" w:hAnsi="Arial" w:cs="Arial"/>
          <w:color w:val="000000" w:themeColor="text1"/>
          <w:sz w:val="22"/>
        </w:rPr>
        <w:t>s</w:t>
      </w:r>
      <w:r w:rsidRPr="00310F22">
        <w:rPr>
          <w:rFonts w:ascii="Arial" w:eastAsia="Calibri" w:hAnsi="Arial" w:cs="Arial"/>
          <w:color w:val="000000" w:themeColor="text1"/>
          <w:sz w:val="22"/>
        </w:rPr>
        <w:t xml:space="preserve"> cuando se da la aceptación </w:t>
      </w:r>
      <w:proofErr w:type="gramStart"/>
      <w:r w:rsidRPr="00310F22">
        <w:rPr>
          <w:rFonts w:ascii="Arial" w:eastAsia="Calibri" w:hAnsi="Arial" w:cs="Arial"/>
          <w:color w:val="000000" w:themeColor="text1"/>
          <w:sz w:val="22"/>
        </w:rPr>
        <w:t>del mismo</w:t>
      </w:r>
      <w:proofErr w:type="gramEnd"/>
      <w:r w:rsidRPr="00310F22">
        <w:rPr>
          <w:rFonts w:ascii="Arial" w:eastAsia="Calibri" w:hAnsi="Arial" w:cs="Arial"/>
          <w:color w:val="000000" w:themeColor="text1"/>
          <w:sz w:val="22"/>
        </w:rPr>
        <w:t xml:space="preserve"> por parte del contratista, para que las cámaras de comercio puedan validar los contratos suscritos a través de esta plataforma». Sin embargo, la Circular </w:t>
      </w:r>
      <w:r w:rsidR="0030431E" w:rsidRPr="00310F22">
        <w:rPr>
          <w:rFonts w:ascii="Arial" w:eastAsia="Calibri" w:hAnsi="Arial" w:cs="Arial"/>
          <w:color w:val="000000" w:themeColor="text1"/>
          <w:sz w:val="22"/>
        </w:rPr>
        <w:t xml:space="preserve">Externa </w:t>
      </w:r>
      <w:r w:rsidRPr="00310F22">
        <w:rPr>
          <w:rFonts w:ascii="Arial" w:eastAsia="Calibri" w:hAnsi="Arial" w:cs="Arial"/>
          <w:color w:val="000000" w:themeColor="text1"/>
          <w:sz w:val="22"/>
        </w:rPr>
        <w:t>Única de Colombia Compra Eficiente dispone que «los documentos electrónicos que conforman el expediente del SECOP II son válidos y tienen valor probatorio de conformidad con el Código de Procedimiento Administrativo y de lo Contencioso Administrativo, y con el Código General del Proceso». En ese sentido,</w:t>
      </w:r>
      <w:r w:rsidR="00990836" w:rsidRPr="00310F22">
        <w:rPr>
          <w:rFonts w:ascii="Arial" w:eastAsia="Calibri" w:hAnsi="Arial" w:cs="Arial"/>
          <w:color w:val="000000" w:themeColor="text1"/>
          <w:sz w:val="22"/>
        </w:rPr>
        <w:t xml:space="preserve"> a juicio de la Agencia Nacional de Contratación Pública,</w:t>
      </w:r>
      <w:r w:rsidRPr="00310F22">
        <w:rPr>
          <w:rFonts w:ascii="Arial" w:eastAsia="Calibri" w:hAnsi="Arial" w:cs="Arial"/>
          <w:color w:val="000000" w:themeColor="text1"/>
          <w:sz w:val="22"/>
        </w:rPr>
        <w:t xml:space="preserve"> para los efectos de la validación de la experiencia como requisito habilitante, tales documentos deberían ser tenidos en cuenta por las cámaras de comercio a la hora de actualizar la información contenida en el RUP</w:t>
      </w:r>
      <w:r w:rsidR="00990836" w:rsidRPr="00310F22">
        <w:rPr>
          <w:rFonts w:ascii="Arial" w:eastAsia="Calibri" w:hAnsi="Arial" w:cs="Arial"/>
          <w:color w:val="000000" w:themeColor="text1"/>
          <w:sz w:val="22"/>
        </w:rPr>
        <w:t xml:space="preserve">, sin distingo que los mismos no tengan la firma manuscrita, </w:t>
      </w:r>
      <w:r w:rsidR="001A26DD" w:rsidRPr="00310F22">
        <w:rPr>
          <w:rFonts w:ascii="Arial" w:eastAsia="Calibri" w:hAnsi="Arial" w:cs="Arial"/>
          <w:color w:val="000000" w:themeColor="text1"/>
          <w:sz w:val="22"/>
        </w:rPr>
        <w:t xml:space="preserve">primero, por lo señalado en la mencionada Guía y, segundo, porque la </w:t>
      </w:r>
      <w:r w:rsidR="00990836" w:rsidRPr="00310F22">
        <w:rPr>
          <w:rFonts w:ascii="Arial" w:eastAsia="Calibri" w:hAnsi="Arial" w:cs="Arial"/>
          <w:color w:val="000000" w:themeColor="text1"/>
          <w:sz w:val="22"/>
        </w:rPr>
        <w:t xml:space="preserve">plataforma SECOP II </w:t>
      </w:r>
      <w:r w:rsidR="001A26DD" w:rsidRPr="00310F22">
        <w:rPr>
          <w:rFonts w:ascii="Arial" w:eastAsia="Calibri" w:hAnsi="Arial" w:cs="Arial"/>
          <w:color w:val="000000" w:themeColor="text1"/>
          <w:sz w:val="22"/>
        </w:rPr>
        <w:t xml:space="preserve">es transaccional y, por ende, </w:t>
      </w:r>
      <w:r w:rsidR="00990836" w:rsidRPr="00310F22">
        <w:rPr>
          <w:rFonts w:ascii="Arial" w:eastAsia="Calibri" w:hAnsi="Arial" w:cs="Arial"/>
          <w:color w:val="000000" w:themeColor="text1"/>
          <w:sz w:val="22"/>
        </w:rPr>
        <w:t>los documentos no son firmados por las partes de forma manuscrita</w:t>
      </w:r>
      <w:r w:rsidRPr="00310F22">
        <w:rPr>
          <w:rFonts w:ascii="Arial" w:eastAsia="Calibri" w:hAnsi="Arial" w:cs="Arial"/>
          <w:color w:val="000000" w:themeColor="text1"/>
          <w:sz w:val="22"/>
        </w:rPr>
        <w:t>.</w:t>
      </w:r>
    </w:p>
    <w:p w14:paraId="592813F5" w14:textId="0D0681B1" w:rsidR="001A26DD" w:rsidRPr="00310F22" w:rsidRDefault="001A26DD" w:rsidP="00E24E53">
      <w:pPr>
        <w:spacing w:before="120" w:line="276" w:lineRule="auto"/>
        <w:jc w:val="both"/>
        <w:rPr>
          <w:rFonts w:ascii="Arial" w:hAnsi="Arial" w:cs="Arial"/>
          <w:color w:val="000000" w:themeColor="text1"/>
          <w:sz w:val="22"/>
        </w:rPr>
      </w:pPr>
      <w:r w:rsidRPr="00310F22">
        <w:rPr>
          <w:rFonts w:ascii="Arial" w:eastAsia="Calibri" w:hAnsi="Arial" w:cs="Arial"/>
          <w:color w:val="000000" w:themeColor="text1"/>
          <w:sz w:val="22"/>
        </w:rPr>
        <w:tab/>
        <w:t>Aceptar lo contario implicaría asumir que ningún contrato celebrado por el SECOP II podría ser inscrito en el RUP, pues, como se dijo en este concepto, dicha plataforma es transaccional y, a diferencia del SECOP I, allí se suscriben los contratos de forma electrónica, lo que impediría, en términos prácticos, obtener un documento con firma manuscrita.</w:t>
      </w:r>
    </w:p>
    <w:p w14:paraId="73C846AE" w14:textId="77777777" w:rsidR="00691EAB" w:rsidRPr="00D14AF5" w:rsidRDefault="00691EAB" w:rsidP="00E24E53">
      <w:pPr>
        <w:jc w:val="both"/>
        <w:rPr>
          <w:rFonts w:ascii="Arial" w:eastAsia="Calibri" w:hAnsi="Arial" w:cs="Arial"/>
          <w:color w:val="000000" w:themeColor="text1"/>
          <w:sz w:val="16"/>
          <w:szCs w:val="16"/>
        </w:rPr>
      </w:pPr>
    </w:p>
    <w:p w14:paraId="66CE4DD8" w14:textId="4A713342" w:rsidR="00BE1E33" w:rsidRPr="00310F22" w:rsidRDefault="00BE1E33" w:rsidP="00BE1E33">
      <w:pPr>
        <w:spacing w:before="120" w:line="276" w:lineRule="auto"/>
        <w:jc w:val="both"/>
        <w:rPr>
          <w:rFonts w:ascii="Arial" w:eastAsia="Calibri" w:hAnsi="Arial" w:cs="Arial"/>
          <w:color w:val="000000" w:themeColor="text1"/>
          <w:sz w:val="22"/>
        </w:rPr>
      </w:pPr>
      <w:r w:rsidRPr="00310F22">
        <w:rPr>
          <w:rFonts w:ascii="Arial" w:eastAsia="Calibri" w:hAnsi="Arial" w:cs="Arial"/>
          <w:color w:val="000000" w:themeColor="text1"/>
          <w:sz w:val="22"/>
        </w:rPr>
        <w:t>Este concepto tiene el alcance previsto en el artículo 28 del Código de Procedimiento Administrativo y de lo Contencioso Administrativo.</w:t>
      </w:r>
    </w:p>
    <w:p w14:paraId="138D33A2" w14:textId="77777777" w:rsidR="00BE1E33" w:rsidRPr="00D14AF5" w:rsidRDefault="00BE1E33" w:rsidP="00BE1E33">
      <w:pPr>
        <w:ind w:firstLine="709"/>
        <w:jc w:val="both"/>
        <w:rPr>
          <w:rFonts w:ascii="Arial" w:eastAsia="Calibri" w:hAnsi="Arial" w:cs="Arial"/>
          <w:color w:val="000000" w:themeColor="text1"/>
          <w:sz w:val="16"/>
          <w:szCs w:val="16"/>
        </w:rPr>
      </w:pPr>
    </w:p>
    <w:p w14:paraId="2B02915D" w14:textId="77777777" w:rsidR="00BE1E33" w:rsidRPr="00310F22" w:rsidRDefault="00BE1E33" w:rsidP="00BE1E33">
      <w:pPr>
        <w:jc w:val="both"/>
        <w:rPr>
          <w:rFonts w:ascii="Arial" w:eastAsia="Times New Roman" w:hAnsi="Arial" w:cs="Arial"/>
          <w:color w:val="000000" w:themeColor="text1"/>
          <w:sz w:val="22"/>
          <w:lang w:eastAsia="es-CO"/>
        </w:rPr>
      </w:pPr>
      <w:r w:rsidRPr="20495D28">
        <w:rPr>
          <w:rFonts w:ascii="Arial" w:eastAsia="Times New Roman" w:hAnsi="Arial" w:cs="Arial"/>
          <w:color w:val="000000" w:themeColor="text1"/>
          <w:sz w:val="22"/>
          <w:lang w:eastAsia="es-CO"/>
        </w:rPr>
        <w:t>Atentamente,</w:t>
      </w:r>
    </w:p>
    <w:bookmarkEnd w:id="0"/>
    <w:bookmarkEnd w:id="1"/>
    <w:p w14:paraId="1C8F6984" w14:textId="6E7AB4ED" w:rsidR="00BE1E33" w:rsidRPr="00310F22" w:rsidRDefault="0BA2B014" w:rsidP="20495D28">
      <w:pPr>
        <w:jc w:val="center"/>
      </w:pPr>
      <w:r>
        <w:rPr>
          <w:noProof/>
        </w:rPr>
        <w:drawing>
          <wp:inline distT="0" distB="0" distL="0" distR="0" wp14:anchorId="63978256" wp14:editId="584591A2">
            <wp:extent cx="2771775" cy="990600"/>
            <wp:effectExtent l="0" t="0" r="0" b="0"/>
            <wp:docPr id="893050779" name="Imagen 893050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10F22" w:rsidRPr="00310F22" w14:paraId="7E5CB93D" w14:textId="77777777" w:rsidTr="00B017CC">
        <w:trPr>
          <w:trHeight w:val="315"/>
        </w:trPr>
        <w:tc>
          <w:tcPr>
            <w:tcW w:w="812" w:type="dxa"/>
            <w:vAlign w:val="center"/>
            <w:hideMark/>
          </w:tcPr>
          <w:p w14:paraId="44CFA06E" w14:textId="77777777" w:rsidR="00BE1E33" w:rsidRPr="00310F22" w:rsidRDefault="00BE1E33" w:rsidP="00B017CC">
            <w:pPr>
              <w:rPr>
                <w:rFonts w:ascii="Arial" w:eastAsia="Times New Roman" w:hAnsi="Arial" w:cs="Arial"/>
                <w:color w:val="000000" w:themeColor="text1"/>
                <w:sz w:val="16"/>
                <w:szCs w:val="16"/>
                <w:lang w:eastAsia="es-ES"/>
              </w:rPr>
            </w:pPr>
            <w:r w:rsidRPr="00310F22">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6D7561C" w14:textId="77777777" w:rsidR="00BE1E33" w:rsidRPr="00310F22" w:rsidRDefault="00BE1E33" w:rsidP="00B017CC">
            <w:pPr>
              <w:rPr>
                <w:rFonts w:ascii="Arial" w:eastAsia="Times New Roman" w:hAnsi="Arial" w:cs="Arial"/>
                <w:color w:val="000000" w:themeColor="text1"/>
                <w:sz w:val="16"/>
                <w:szCs w:val="16"/>
                <w:lang w:eastAsia="es-ES"/>
              </w:rPr>
            </w:pPr>
            <w:r w:rsidRPr="00310F22">
              <w:rPr>
                <w:rFonts w:ascii="Arial" w:eastAsia="Times New Roman" w:hAnsi="Arial" w:cs="Arial"/>
                <w:color w:val="000000" w:themeColor="text1"/>
                <w:sz w:val="16"/>
                <w:szCs w:val="16"/>
                <w:lang w:eastAsia="es-ES"/>
              </w:rPr>
              <w:t>David Castellanos Carreño</w:t>
            </w:r>
          </w:p>
          <w:p w14:paraId="6C4A6DA1" w14:textId="5897BB3C" w:rsidR="00982E99" w:rsidRPr="00310F22" w:rsidRDefault="00982E99" w:rsidP="00B017CC">
            <w:pPr>
              <w:rPr>
                <w:rFonts w:ascii="Arial" w:eastAsia="Times New Roman" w:hAnsi="Arial" w:cs="Arial"/>
                <w:color w:val="000000" w:themeColor="text1"/>
                <w:sz w:val="16"/>
                <w:szCs w:val="16"/>
                <w:lang w:eastAsia="es-ES"/>
              </w:rPr>
            </w:pPr>
            <w:r w:rsidRPr="00310F22">
              <w:rPr>
                <w:rFonts w:ascii="Arial" w:eastAsia="Times New Roman" w:hAnsi="Arial" w:cs="Arial"/>
                <w:color w:val="000000" w:themeColor="text1"/>
                <w:sz w:val="16"/>
                <w:szCs w:val="16"/>
                <w:lang w:eastAsia="es-ES"/>
              </w:rPr>
              <w:t>Contratista de la Subdirección de Gestión Contractual</w:t>
            </w:r>
          </w:p>
        </w:tc>
      </w:tr>
      <w:tr w:rsidR="00310F22" w:rsidRPr="00310F22" w14:paraId="092BCD16" w14:textId="77777777" w:rsidTr="00B017CC">
        <w:trPr>
          <w:trHeight w:val="330"/>
        </w:trPr>
        <w:tc>
          <w:tcPr>
            <w:tcW w:w="812" w:type="dxa"/>
            <w:vAlign w:val="center"/>
            <w:hideMark/>
          </w:tcPr>
          <w:p w14:paraId="463B4DD3" w14:textId="77777777" w:rsidR="00BE1E33" w:rsidRPr="00310F22" w:rsidRDefault="00BE1E33" w:rsidP="00B017CC">
            <w:pPr>
              <w:rPr>
                <w:rFonts w:ascii="Arial" w:eastAsia="Times New Roman" w:hAnsi="Arial" w:cs="Arial"/>
                <w:color w:val="000000" w:themeColor="text1"/>
                <w:sz w:val="16"/>
                <w:szCs w:val="16"/>
                <w:lang w:eastAsia="es-ES"/>
              </w:rPr>
            </w:pPr>
            <w:r w:rsidRPr="00310F22">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C256A72" w14:textId="25E3B02D" w:rsidR="00BE1E33" w:rsidRPr="00310F22" w:rsidRDefault="00D31865" w:rsidP="00B017CC">
            <w:pPr>
              <w:rPr>
                <w:rFonts w:ascii="Arial" w:eastAsia="Times New Roman" w:hAnsi="Arial" w:cs="Arial"/>
                <w:color w:val="000000" w:themeColor="text1"/>
                <w:sz w:val="16"/>
                <w:szCs w:val="16"/>
                <w:lang w:eastAsia="es-ES"/>
              </w:rPr>
            </w:pPr>
            <w:r w:rsidRPr="00310F22">
              <w:rPr>
                <w:rFonts w:ascii="Arial" w:eastAsia="Times New Roman" w:hAnsi="Arial" w:cs="Arial"/>
                <w:color w:val="000000" w:themeColor="text1"/>
                <w:sz w:val="16"/>
                <w:szCs w:val="16"/>
                <w:lang w:eastAsia="es-ES"/>
              </w:rPr>
              <w:t>Cristian Andrés Díaz Díez</w:t>
            </w:r>
          </w:p>
          <w:p w14:paraId="72718C99" w14:textId="31350213" w:rsidR="00BE1E33" w:rsidRPr="00310F22" w:rsidRDefault="002F701E" w:rsidP="00B017CC">
            <w:pPr>
              <w:rPr>
                <w:rFonts w:ascii="Arial" w:eastAsia="Times New Roman" w:hAnsi="Arial" w:cs="Arial"/>
                <w:color w:val="000000" w:themeColor="text1"/>
                <w:sz w:val="16"/>
                <w:szCs w:val="16"/>
                <w:lang w:eastAsia="es-ES"/>
              </w:rPr>
            </w:pPr>
            <w:r w:rsidRPr="00310F22">
              <w:rPr>
                <w:rFonts w:ascii="Arial" w:eastAsia="Times New Roman" w:hAnsi="Arial" w:cs="Arial"/>
                <w:color w:val="000000" w:themeColor="text1"/>
                <w:sz w:val="16"/>
                <w:szCs w:val="16"/>
                <w:lang w:eastAsia="es-ES"/>
              </w:rPr>
              <w:t>Contratista de la Subdirección de Gestión Contractual</w:t>
            </w:r>
          </w:p>
        </w:tc>
      </w:tr>
      <w:tr w:rsidR="00982E99" w:rsidRPr="00310F22" w14:paraId="57DAFEF9" w14:textId="77777777" w:rsidTr="00B017CC">
        <w:trPr>
          <w:trHeight w:val="300"/>
        </w:trPr>
        <w:tc>
          <w:tcPr>
            <w:tcW w:w="812" w:type="dxa"/>
            <w:vAlign w:val="center"/>
            <w:hideMark/>
          </w:tcPr>
          <w:p w14:paraId="70677013" w14:textId="77777777" w:rsidR="00BE1E33" w:rsidRPr="00310F22" w:rsidRDefault="00BE1E33" w:rsidP="00B017CC">
            <w:pPr>
              <w:rPr>
                <w:rFonts w:ascii="Arial" w:eastAsia="Times New Roman" w:hAnsi="Arial" w:cs="Arial"/>
                <w:color w:val="000000" w:themeColor="text1"/>
                <w:sz w:val="16"/>
                <w:szCs w:val="16"/>
                <w:lang w:eastAsia="es-ES"/>
              </w:rPr>
            </w:pPr>
            <w:r w:rsidRPr="00310F22">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77777777" w:rsidR="00BE1E33" w:rsidRPr="00310F22" w:rsidRDefault="00BE1E33" w:rsidP="00B017CC">
            <w:pPr>
              <w:rPr>
                <w:rFonts w:ascii="Arial" w:eastAsia="Times New Roman" w:hAnsi="Arial" w:cs="Arial"/>
                <w:color w:val="000000" w:themeColor="text1"/>
                <w:sz w:val="16"/>
                <w:szCs w:val="16"/>
                <w:lang w:eastAsia="es-ES"/>
              </w:rPr>
            </w:pPr>
            <w:r w:rsidRPr="00310F22">
              <w:rPr>
                <w:rFonts w:ascii="Arial" w:eastAsia="Times New Roman" w:hAnsi="Arial" w:cs="Arial"/>
                <w:color w:val="000000" w:themeColor="text1"/>
                <w:sz w:val="16"/>
                <w:szCs w:val="16"/>
                <w:lang w:eastAsia="es-ES"/>
              </w:rPr>
              <w:t>Fabián Gonzalo Marín Cortés</w:t>
            </w:r>
          </w:p>
          <w:p w14:paraId="75BC677C" w14:textId="77777777" w:rsidR="00BE1E33" w:rsidRPr="00310F22" w:rsidRDefault="00BE1E33" w:rsidP="00B017CC">
            <w:pPr>
              <w:rPr>
                <w:rFonts w:ascii="Arial" w:eastAsia="Times New Roman" w:hAnsi="Arial" w:cs="Arial"/>
                <w:color w:val="000000" w:themeColor="text1"/>
                <w:sz w:val="16"/>
                <w:szCs w:val="16"/>
                <w:lang w:eastAsia="es-ES"/>
              </w:rPr>
            </w:pPr>
            <w:r w:rsidRPr="00310F22">
              <w:rPr>
                <w:rFonts w:ascii="Arial" w:eastAsia="Times New Roman" w:hAnsi="Arial" w:cs="Arial"/>
                <w:color w:val="000000" w:themeColor="text1"/>
                <w:sz w:val="16"/>
                <w:szCs w:val="16"/>
                <w:lang w:eastAsia="es-ES"/>
              </w:rPr>
              <w:t>Subdirector de Gestión Contractual</w:t>
            </w:r>
          </w:p>
        </w:tc>
      </w:tr>
    </w:tbl>
    <w:p w14:paraId="085A31AB" w14:textId="77777777" w:rsidR="006C5955" w:rsidRPr="00310F22" w:rsidRDefault="006C5955" w:rsidP="00BE1E33">
      <w:pPr>
        <w:rPr>
          <w:rFonts w:ascii="Arial" w:hAnsi="Arial" w:cs="Arial"/>
          <w:color w:val="000000" w:themeColor="text1"/>
        </w:rPr>
      </w:pPr>
    </w:p>
    <w:sectPr w:rsidR="006C5955" w:rsidRPr="00310F22" w:rsidSect="00B017CC">
      <w:headerReference w:type="default" r:id="rId11"/>
      <w:footerReference w:type="default" r:id="rId12"/>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877488" w14:textId="77777777" w:rsidR="001C1E5E" w:rsidRDefault="001C1E5E" w:rsidP="008C487C">
      <w:r>
        <w:separator/>
      </w:r>
    </w:p>
  </w:endnote>
  <w:endnote w:type="continuationSeparator" w:id="0">
    <w:p w14:paraId="1A6FDF7C" w14:textId="77777777" w:rsidR="001C1E5E" w:rsidRDefault="001C1E5E"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7B59A" w14:textId="19EC92C9" w:rsidR="00E91498" w:rsidRPr="00AB5E12" w:rsidRDefault="00E91498" w:rsidP="00B017CC">
    <w:pPr>
      <w:pStyle w:val="Sinespaciado"/>
      <w:jc w:val="right"/>
      <w:rPr>
        <w:rFonts w:ascii="Arial" w:hAnsi="Arial" w:cs="Arial"/>
        <w:sz w:val="16"/>
        <w:szCs w:val="16"/>
      </w:rPr>
    </w:pPr>
  </w:p>
  <w:p w14:paraId="709352A1" w14:textId="77777777" w:rsidR="00E91498" w:rsidRDefault="00E91498" w:rsidP="00B017CC">
    <w:pPr>
      <w:pStyle w:val="Sinespaciado"/>
      <w:jc w:val="right"/>
      <w:rPr>
        <w:rFonts w:ascii="Arial" w:hAnsi="Arial" w:cs="Arial"/>
        <w:sz w:val="18"/>
        <w:szCs w:val="18"/>
      </w:rPr>
    </w:pPr>
  </w:p>
  <w:p w14:paraId="3D3EB348" w14:textId="4DA87E55" w:rsidR="00E91498" w:rsidRPr="008217B7" w:rsidRDefault="00E91498" w:rsidP="00B017C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E5394B">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E5394B">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p>
  <w:p w14:paraId="29709EEF" w14:textId="77777777" w:rsidR="00E91498" w:rsidRDefault="20495D28" w:rsidP="00B017CC">
    <w:pPr>
      <w:pStyle w:val="Piedepgina"/>
      <w:jc w:val="center"/>
      <w:rPr>
        <w:lang w:val="es-ES"/>
      </w:rPr>
    </w:pPr>
    <w:r>
      <w:rPr>
        <w:noProof/>
      </w:rPr>
      <w:drawing>
        <wp:inline distT="0" distB="0" distL="0" distR="0" wp14:anchorId="0323F87D" wp14:editId="33293AC4">
          <wp:extent cx="3700130" cy="519139"/>
          <wp:effectExtent l="0" t="0" r="0" b="0"/>
          <wp:docPr id="173754610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08DFF21" w14:textId="77777777" w:rsidR="00E91498" w:rsidRPr="00E756AC" w:rsidRDefault="00E91498" w:rsidP="00B017CC">
    <w:pPr>
      <w:pStyle w:val="Piedepgina"/>
      <w:jc w:val="center"/>
      <w:rPr>
        <w:sz w:val="18"/>
        <w:szCs w:val="18"/>
        <w:lang w:val="es-ES"/>
      </w:rPr>
    </w:pPr>
  </w:p>
  <w:p w14:paraId="428179B1" w14:textId="626F3398" w:rsidR="00E91498" w:rsidRDefault="00E91498" w:rsidP="00B017CC">
    <w:pPr>
      <w:pStyle w:val="Piedepgina"/>
      <w:jc w:val="center"/>
      <w:rPr>
        <w:sz w:val="18"/>
        <w:szCs w:val="18"/>
        <w:lang w:val="es-ES"/>
      </w:rPr>
    </w:pPr>
  </w:p>
  <w:p w14:paraId="5F1B3F36" w14:textId="77777777" w:rsidR="001A26DD" w:rsidRPr="00E756AC" w:rsidRDefault="001A26DD" w:rsidP="00B017CC">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B72390" w14:textId="77777777" w:rsidR="001C1E5E" w:rsidRDefault="001C1E5E" w:rsidP="008C487C">
      <w:r>
        <w:separator/>
      </w:r>
    </w:p>
  </w:footnote>
  <w:footnote w:type="continuationSeparator" w:id="0">
    <w:p w14:paraId="57BBFDB3" w14:textId="77777777" w:rsidR="001C1E5E" w:rsidRDefault="001C1E5E" w:rsidP="008C487C">
      <w:r>
        <w:continuationSeparator/>
      </w:r>
    </w:p>
  </w:footnote>
  <w:footnote w:id="1">
    <w:p w14:paraId="3678E7D6" w14:textId="77777777" w:rsidR="00110AD8" w:rsidRPr="00310F22" w:rsidRDefault="00110AD8" w:rsidP="00110AD8">
      <w:pPr>
        <w:pStyle w:val="Textonotapie"/>
        <w:ind w:firstLine="708"/>
        <w:jc w:val="both"/>
        <w:rPr>
          <w:rFonts w:ascii="Arial" w:hAnsi="Arial" w:cs="Arial"/>
          <w:color w:val="000000" w:themeColor="text1"/>
          <w:sz w:val="19"/>
          <w:szCs w:val="19"/>
        </w:rPr>
      </w:pPr>
      <w:r w:rsidRPr="00310F22">
        <w:rPr>
          <w:rStyle w:val="Refdenotaalpie"/>
          <w:rFonts w:ascii="Arial" w:hAnsi="Arial" w:cs="Arial"/>
          <w:color w:val="000000" w:themeColor="text1"/>
          <w:sz w:val="19"/>
          <w:szCs w:val="19"/>
        </w:rPr>
        <w:footnoteRef/>
      </w:r>
      <w:r w:rsidRPr="00310F22">
        <w:rPr>
          <w:rFonts w:ascii="Arial" w:hAnsi="Arial" w:cs="Arial"/>
          <w:color w:val="000000" w:themeColor="text1"/>
          <w:sz w:val="19"/>
          <w:szCs w:val="19"/>
        </w:rPr>
        <w:t xml:space="preserve"> Ley 80 de 1993: «Articulo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p>
    <w:p w14:paraId="5762C9EB" w14:textId="77777777" w:rsidR="00110AD8" w:rsidRPr="00310F22" w:rsidRDefault="00110AD8" w:rsidP="00110AD8">
      <w:pPr>
        <w:pStyle w:val="Textonotapie"/>
        <w:ind w:firstLine="708"/>
        <w:jc w:val="both"/>
        <w:rPr>
          <w:rFonts w:ascii="Arial" w:hAnsi="Arial" w:cs="Arial"/>
          <w:color w:val="000000" w:themeColor="text1"/>
          <w:sz w:val="19"/>
          <w:szCs w:val="19"/>
          <w:lang w:val="es-ES"/>
        </w:rPr>
      </w:pPr>
    </w:p>
  </w:footnote>
  <w:footnote w:id="2">
    <w:p w14:paraId="03E919A9" w14:textId="77777777" w:rsidR="00110AD8" w:rsidRPr="00310F22" w:rsidRDefault="00110AD8" w:rsidP="00110AD8">
      <w:pPr>
        <w:pStyle w:val="Textonotapie"/>
        <w:ind w:firstLine="708"/>
        <w:jc w:val="both"/>
        <w:rPr>
          <w:rFonts w:ascii="Arial" w:hAnsi="Arial" w:cs="Arial"/>
          <w:color w:val="000000" w:themeColor="text1"/>
          <w:sz w:val="19"/>
          <w:szCs w:val="19"/>
        </w:rPr>
      </w:pPr>
      <w:r w:rsidRPr="00310F22">
        <w:rPr>
          <w:rStyle w:val="Refdenotaalpie"/>
          <w:rFonts w:ascii="Arial" w:hAnsi="Arial" w:cs="Arial"/>
          <w:color w:val="000000" w:themeColor="text1"/>
          <w:sz w:val="19"/>
          <w:szCs w:val="19"/>
        </w:rPr>
        <w:footnoteRef/>
      </w:r>
      <w:r w:rsidRPr="00310F22">
        <w:rPr>
          <w:rFonts w:ascii="Arial" w:hAnsi="Arial" w:cs="Arial"/>
          <w:color w:val="000000" w:themeColor="text1"/>
          <w:sz w:val="19"/>
          <w:szCs w:val="19"/>
        </w:rPr>
        <w:t xml:space="preserve"> Ley 80 de 1993: «Articulo 24. Del principio de transparencia. En virtud de este principio:</w:t>
      </w:r>
    </w:p>
    <w:p w14:paraId="208A2158" w14:textId="77777777" w:rsidR="00110AD8" w:rsidRPr="00310F22" w:rsidRDefault="00110AD8" w:rsidP="00110AD8">
      <w:pPr>
        <w:pStyle w:val="Textonotapie"/>
        <w:ind w:firstLine="708"/>
        <w:jc w:val="both"/>
        <w:rPr>
          <w:rFonts w:ascii="Arial" w:hAnsi="Arial" w:cs="Arial"/>
          <w:color w:val="000000" w:themeColor="text1"/>
          <w:sz w:val="19"/>
          <w:szCs w:val="19"/>
        </w:rPr>
      </w:pPr>
      <w:r w:rsidRPr="00310F22">
        <w:rPr>
          <w:rFonts w:ascii="Arial" w:hAnsi="Arial" w:cs="Arial"/>
          <w:color w:val="000000" w:themeColor="text1"/>
          <w:sz w:val="19"/>
          <w:szCs w:val="19"/>
        </w:rPr>
        <w:t>»1. &lt;Numeral derogado por el artículo 32 de la Ley 1150 de 2007&gt;</w:t>
      </w:r>
    </w:p>
    <w:p w14:paraId="6E2DE23E" w14:textId="77777777" w:rsidR="00110AD8" w:rsidRPr="00310F22" w:rsidRDefault="00110AD8" w:rsidP="00110AD8">
      <w:pPr>
        <w:pStyle w:val="Textonotapie"/>
        <w:ind w:firstLine="708"/>
        <w:jc w:val="both"/>
        <w:rPr>
          <w:rFonts w:ascii="Arial" w:hAnsi="Arial" w:cs="Arial"/>
          <w:color w:val="000000" w:themeColor="text1"/>
          <w:sz w:val="19"/>
          <w:szCs w:val="19"/>
        </w:rPr>
      </w:pPr>
      <w:r w:rsidRPr="00310F22">
        <w:rPr>
          <w:rFonts w:ascii="Arial" w:hAnsi="Arial" w:cs="Arial"/>
          <w:color w:val="000000" w:themeColor="text1"/>
          <w:sz w:val="19"/>
          <w:szCs w:val="19"/>
        </w:rPr>
        <w:t>»2.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14:paraId="714D43FB" w14:textId="77777777" w:rsidR="00110AD8" w:rsidRPr="00310F22" w:rsidRDefault="00110AD8" w:rsidP="00110AD8">
      <w:pPr>
        <w:pStyle w:val="Textonotapie"/>
        <w:ind w:firstLine="708"/>
        <w:jc w:val="both"/>
        <w:rPr>
          <w:rFonts w:ascii="Arial" w:hAnsi="Arial" w:cs="Arial"/>
          <w:color w:val="000000" w:themeColor="text1"/>
          <w:sz w:val="19"/>
          <w:szCs w:val="19"/>
        </w:rPr>
      </w:pPr>
      <w:r w:rsidRPr="00310F22">
        <w:rPr>
          <w:rFonts w:ascii="Arial" w:hAnsi="Arial" w:cs="Arial"/>
          <w:color w:val="000000" w:themeColor="text1"/>
          <w:sz w:val="19"/>
          <w:szCs w:val="19"/>
        </w:rPr>
        <w:t>»3. Las actuaciones de las autoridades serán públicas y los expedientes que las contengan estarán abiertos al público, permitiendo en el caso de licitación el ejercicio del derecho de que trata el artículo 273 de la Constitución Política.</w:t>
      </w:r>
    </w:p>
    <w:p w14:paraId="3C35DDE8" w14:textId="77777777" w:rsidR="00110AD8" w:rsidRPr="00310F22" w:rsidRDefault="00110AD8" w:rsidP="00110AD8">
      <w:pPr>
        <w:pStyle w:val="Textonotapie"/>
        <w:ind w:firstLine="708"/>
        <w:jc w:val="both"/>
        <w:rPr>
          <w:rFonts w:ascii="Arial" w:hAnsi="Arial" w:cs="Arial"/>
          <w:color w:val="000000" w:themeColor="text1"/>
          <w:sz w:val="19"/>
          <w:szCs w:val="19"/>
        </w:rPr>
      </w:pPr>
      <w:r w:rsidRPr="00310F22">
        <w:rPr>
          <w:rFonts w:ascii="Arial" w:hAnsi="Arial" w:cs="Arial"/>
          <w:color w:val="000000" w:themeColor="text1"/>
          <w:sz w:val="19"/>
          <w:szCs w:val="19"/>
        </w:rPr>
        <w:t>»4. Las autoridades expedirán a costa de aquellas personas que demuestren interés legítimo, copias de las actuaciones y propuestas recibidas, respetando la reserva de que gocen legalmente las patentes, procedimientos y privilegios.</w:t>
      </w:r>
    </w:p>
    <w:p w14:paraId="798EF282" w14:textId="77777777" w:rsidR="00110AD8" w:rsidRPr="00310F22" w:rsidRDefault="00110AD8" w:rsidP="00110AD8">
      <w:pPr>
        <w:pStyle w:val="Textonotapie"/>
        <w:ind w:firstLine="708"/>
        <w:jc w:val="both"/>
        <w:rPr>
          <w:rFonts w:ascii="Arial" w:hAnsi="Arial" w:cs="Arial"/>
          <w:color w:val="000000" w:themeColor="text1"/>
          <w:sz w:val="19"/>
          <w:szCs w:val="19"/>
        </w:rPr>
      </w:pPr>
      <w:r w:rsidRPr="00310F22">
        <w:rPr>
          <w:rFonts w:ascii="Arial" w:hAnsi="Arial" w:cs="Arial"/>
          <w:color w:val="000000" w:themeColor="text1"/>
          <w:sz w:val="19"/>
          <w:szCs w:val="19"/>
        </w:rPr>
        <w:t>»[...]».</w:t>
      </w:r>
    </w:p>
    <w:p w14:paraId="7BFA4E46" w14:textId="77777777" w:rsidR="00110AD8" w:rsidRPr="00310F22" w:rsidRDefault="00110AD8" w:rsidP="00110AD8">
      <w:pPr>
        <w:pStyle w:val="Textonotapie"/>
        <w:jc w:val="both"/>
        <w:rPr>
          <w:rFonts w:ascii="Arial" w:hAnsi="Arial" w:cs="Arial"/>
          <w:color w:val="000000" w:themeColor="text1"/>
          <w:sz w:val="19"/>
          <w:szCs w:val="19"/>
          <w:lang w:val="es-ES"/>
        </w:rPr>
      </w:pPr>
    </w:p>
  </w:footnote>
  <w:footnote w:id="3">
    <w:p w14:paraId="4C99C6BE" w14:textId="77777777" w:rsidR="00110AD8" w:rsidRPr="00310F22" w:rsidRDefault="00110AD8" w:rsidP="00110AD8">
      <w:pPr>
        <w:pStyle w:val="Textonotapie"/>
        <w:ind w:firstLine="708"/>
        <w:jc w:val="both"/>
        <w:rPr>
          <w:rFonts w:ascii="Arial" w:hAnsi="Arial" w:cs="Arial"/>
          <w:color w:val="000000" w:themeColor="text1"/>
          <w:sz w:val="19"/>
          <w:szCs w:val="19"/>
        </w:rPr>
      </w:pPr>
      <w:r w:rsidRPr="00310F22">
        <w:rPr>
          <w:rStyle w:val="Refdenotaalpie"/>
          <w:rFonts w:ascii="Arial" w:hAnsi="Arial" w:cs="Arial"/>
          <w:color w:val="000000" w:themeColor="text1"/>
          <w:sz w:val="19"/>
          <w:szCs w:val="19"/>
        </w:rPr>
        <w:footnoteRef/>
      </w:r>
      <w:r w:rsidRPr="00310F22">
        <w:rPr>
          <w:rFonts w:ascii="Arial" w:hAnsi="Arial" w:cs="Arial"/>
          <w:color w:val="000000" w:themeColor="text1"/>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426A55D8" w14:textId="77777777" w:rsidR="00110AD8" w:rsidRPr="00310F22" w:rsidRDefault="00110AD8" w:rsidP="00110AD8">
      <w:pPr>
        <w:pStyle w:val="Textonotapie"/>
        <w:ind w:firstLine="708"/>
        <w:jc w:val="both"/>
        <w:rPr>
          <w:rFonts w:ascii="Arial" w:hAnsi="Arial" w:cs="Arial"/>
          <w:color w:val="000000" w:themeColor="text1"/>
          <w:sz w:val="19"/>
          <w:szCs w:val="19"/>
        </w:rPr>
      </w:pPr>
      <w:proofErr w:type="gramStart"/>
      <w:r w:rsidRPr="00310F22">
        <w:rPr>
          <w:rFonts w:ascii="Arial" w:hAnsi="Arial" w:cs="Arial"/>
          <w:color w:val="000000" w:themeColor="text1"/>
          <w:sz w:val="19"/>
          <w:szCs w:val="19"/>
        </w:rPr>
        <w:t>»La</w:t>
      </w:r>
      <w:proofErr w:type="gramEnd"/>
      <w:r w:rsidRPr="00310F22">
        <w:rPr>
          <w:rFonts w:ascii="Arial" w:hAnsi="Arial" w:cs="Arial"/>
          <w:color w:val="000000" w:themeColor="text1"/>
          <w:sz w:val="19"/>
          <w:szCs w:val="19"/>
        </w:rPr>
        <w:t xml:space="preserve">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046C0BC0" w14:textId="77777777" w:rsidR="00110AD8" w:rsidRPr="00310F22" w:rsidRDefault="00110AD8" w:rsidP="00110AD8">
      <w:pPr>
        <w:pStyle w:val="Textonotapie"/>
        <w:jc w:val="both"/>
        <w:rPr>
          <w:rFonts w:ascii="Arial" w:hAnsi="Arial" w:cs="Arial"/>
          <w:color w:val="000000" w:themeColor="text1"/>
          <w:sz w:val="19"/>
          <w:szCs w:val="19"/>
          <w:lang w:val="es-ES"/>
        </w:rPr>
      </w:pPr>
    </w:p>
  </w:footnote>
  <w:footnote w:id="4">
    <w:p w14:paraId="400B74C8" w14:textId="77777777" w:rsidR="00110AD8" w:rsidRPr="00310F22" w:rsidRDefault="00110AD8" w:rsidP="00110AD8">
      <w:pPr>
        <w:pStyle w:val="Textonotapie"/>
        <w:ind w:firstLine="708"/>
        <w:jc w:val="both"/>
        <w:rPr>
          <w:color w:val="000000" w:themeColor="text1"/>
        </w:rPr>
      </w:pPr>
      <w:r w:rsidRPr="00310F22">
        <w:rPr>
          <w:rStyle w:val="Refdenotaalpie"/>
          <w:color w:val="000000" w:themeColor="text1"/>
        </w:rPr>
        <w:footnoteRef/>
      </w:r>
      <w:r w:rsidRPr="00310F22">
        <w:rPr>
          <w:color w:val="000000" w:themeColor="text1"/>
        </w:rPr>
        <w:t xml:space="preserve"> </w:t>
      </w:r>
      <w:r w:rsidRPr="00310F22">
        <w:rPr>
          <w:rFonts w:ascii="Arial" w:hAnsi="Arial" w:cs="Arial"/>
          <w:color w:val="000000" w:themeColor="text1"/>
          <w:sz w:val="19"/>
          <w:szCs w:val="19"/>
        </w:rPr>
        <w:t xml:space="preserve">Consejo de Estado. Sección tercera. Sentencia del 14 de diciembre de 2007. </w:t>
      </w:r>
      <w:r w:rsidRPr="00310F22">
        <w:rPr>
          <w:rFonts w:ascii="Arial" w:hAnsi="Arial" w:cs="Arial"/>
          <w:color w:val="000000" w:themeColor="text1"/>
          <w:sz w:val="19"/>
          <w:szCs w:val="19"/>
        </w:rPr>
        <w:t>Exp. 24.715. C.P. Ruth Stella Correa Palacio.</w:t>
      </w:r>
    </w:p>
    <w:p w14:paraId="128BE0B2" w14:textId="77777777" w:rsidR="00110AD8" w:rsidRPr="00310F22" w:rsidRDefault="00110AD8" w:rsidP="00110AD8">
      <w:pPr>
        <w:pStyle w:val="Textonotapie"/>
        <w:ind w:firstLine="708"/>
        <w:rPr>
          <w:color w:val="000000" w:themeColor="text1"/>
          <w:lang w:val="es-ES"/>
        </w:rPr>
      </w:pPr>
    </w:p>
  </w:footnote>
  <w:footnote w:id="5">
    <w:p w14:paraId="1B37BD72" w14:textId="77777777" w:rsidR="00110AD8" w:rsidRPr="00310F22" w:rsidRDefault="00110AD8" w:rsidP="00110AD8">
      <w:pPr>
        <w:pStyle w:val="Textonotapie"/>
        <w:ind w:firstLine="708"/>
        <w:jc w:val="both"/>
        <w:rPr>
          <w:rFonts w:ascii="Arial" w:hAnsi="Arial" w:cs="Arial"/>
          <w:color w:val="000000" w:themeColor="text1"/>
          <w:sz w:val="19"/>
          <w:szCs w:val="19"/>
        </w:rPr>
      </w:pPr>
      <w:r w:rsidRPr="00310F22">
        <w:rPr>
          <w:rStyle w:val="Refdenotaalpie"/>
          <w:rFonts w:ascii="Arial" w:hAnsi="Arial" w:cs="Arial"/>
          <w:color w:val="000000" w:themeColor="text1"/>
          <w:sz w:val="19"/>
          <w:szCs w:val="19"/>
        </w:rPr>
        <w:footnoteRef/>
      </w:r>
      <w:r w:rsidRPr="00310F22">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446B7B68" w14:textId="77777777" w:rsidR="00110AD8" w:rsidRPr="00310F22" w:rsidRDefault="00110AD8" w:rsidP="00110AD8">
      <w:pPr>
        <w:pStyle w:val="Textonotapie"/>
        <w:ind w:firstLine="708"/>
        <w:jc w:val="both"/>
        <w:rPr>
          <w:rFonts w:ascii="Arial" w:hAnsi="Arial" w:cs="Arial"/>
          <w:color w:val="000000" w:themeColor="text1"/>
          <w:sz w:val="19"/>
          <w:szCs w:val="19"/>
          <w:lang w:val="es-CO"/>
        </w:rPr>
      </w:pPr>
    </w:p>
  </w:footnote>
  <w:footnote w:id="6">
    <w:p w14:paraId="6A6A1913" w14:textId="77777777" w:rsidR="00110AD8" w:rsidRPr="00310F22" w:rsidRDefault="00110AD8" w:rsidP="00110AD8">
      <w:pPr>
        <w:pStyle w:val="Textonotapie"/>
        <w:ind w:firstLine="708"/>
        <w:jc w:val="both"/>
        <w:rPr>
          <w:rFonts w:ascii="Arial" w:hAnsi="Arial" w:cs="Arial"/>
          <w:color w:val="000000" w:themeColor="text1"/>
          <w:sz w:val="19"/>
          <w:szCs w:val="19"/>
        </w:rPr>
      </w:pPr>
      <w:r w:rsidRPr="00310F22">
        <w:rPr>
          <w:rStyle w:val="Refdenotaalpie"/>
          <w:rFonts w:ascii="Arial" w:hAnsi="Arial" w:cs="Arial"/>
          <w:color w:val="000000" w:themeColor="text1"/>
          <w:sz w:val="19"/>
          <w:szCs w:val="19"/>
        </w:rPr>
        <w:footnoteRef/>
      </w:r>
      <w:r w:rsidRPr="00310F22">
        <w:rPr>
          <w:rFonts w:ascii="Arial" w:hAnsi="Arial" w:cs="Arial"/>
          <w:color w:val="000000" w:themeColor="text1"/>
          <w:sz w:val="19"/>
          <w:szCs w:val="19"/>
        </w:rPr>
        <w:t xml:space="preserve"> Ley 1150 de 2007: «Artículo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0350D502" w14:textId="77777777" w:rsidR="00110AD8" w:rsidRPr="00310F22" w:rsidRDefault="00110AD8" w:rsidP="00110AD8">
      <w:pPr>
        <w:pStyle w:val="Textonotapie"/>
        <w:ind w:firstLine="708"/>
        <w:jc w:val="both"/>
        <w:rPr>
          <w:rFonts w:ascii="Arial" w:hAnsi="Arial" w:cs="Arial"/>
          <w:color w:val="000000" w:themeColor="text1"/>
          <w:sz w:val="19"/>
          <w:szCs w:val="19"/>
        </w:rPr>
      </w:pPr>
      <w:proofErr w:type="gramStart"/>
      <w:r w:rsidRPr="00310F22">
        <w:rPr>
          <w:rFonts w:ascii="Arial" w:hAnsi="Arial" w:cs="Arial"/>
          <w:color w:val="000000" w:themeColor="text1"/>
          <w:sz w:val="19"/>
          <w:szCs w:val="19"/>
        </w:rPr>
        <w:t>»Lo</w:t>
      </w:r>
      <w:proofErr w:type="gramEnd"/>
      <w:r w:rsidRPr="00310F22">
        <w:rPr>
          <w:rFonts w:ascii="Arial" w:hAnsi="Arial" w:cs="Arial"/>
          <w:color w:val="000000" w:themeColor="text1"/>
          <w:sz w:val="19"/>
          <w:szCs w:val="19"/>
        </w:rPr>
        <w:t xml:space="preserve"> anterior, sin perjuicio de las publicaciones previstas en el numeral 3 del artículo 30 de la Ley 80 de 1993.</w:t>
      </w:r>
    </w:p>
    <w:p w14:paraId="4F085ECE" w14:textId="77777777" w:rsidR="00110AD8" w:rsidRPr="00310F22" w:rsidRDefault="00110AD8" w:rsidP="00110AD8">
      <w:pPr>
        <w:pStyle w:val="Textonotapie"/>
        <w:ind w:firstLine="708"/>
        <w:jc w:val="both"/>
        <w:rPr>
          <w:rFonts w:ascii="Arial" w:hAnsi="Arial" w:cs="Arial"/>
          <w:color w:val="000000" w:themeColor="text1"/>
          <w:sz w:val="19"/>
          <w:szCs w:val="19"/>
        </w:rPr>
      </w:pPr>
      <w:proofErr w:type="gramStart"/>
      <w:r w:rsidRPr="00310F22">
        <w:rPr>
          <w:rFonts w:ascii="Arial" w:hAnsi="Arial" w:cs="Arial"/>
          <w:color w:val="000000" w:themeColor="text1"/>
          <w:sz w:val="19"/>
          <w:szCs w:val="19"/>
        </w:rPr>
        <w:t>»Con</w:t>
      </w:r>
      <w:proofErr w:type="gramEnd"/>
      <w:r w:rsidRPr="00310F22">
        <w:rPr>
          <w:rFonts w:ascii="Arial" w:hAnsi="Arial" w:cs="Arial"/>
          <w:color w:val="000000" w:themeColor="text1"/>
          <w:sz w:val="19"/>
          <w:szCs w:val="19"/>
        </w:rPr>
        <w:t xml:space="preserve"> el fin de materializar los objetivos a que se refiere el inciso anterior, el Gobierno Nacional desarrollará el Sistema Electrónico para la Contratación Pública, </w:t>
      </w:r>
      <w:r w:rsidRPr="00310F22">
        <w:rPr>
          <w:rFonts w:ascii="Arial" w:hAnsi="Arial" w:cs="Arial"/>
          <w:color w:val="000000" w:themeColor="text1"/>
          <w:sz w:val="19"/>
          <w:szCs w:val="19"/>
        </w:rPr>
        <w:t>Secop, el cual:</w:t>
      </w:r>
    </w:p>
    <w:p w14:paraId="0F29DDB5" w14:textId="77777777" w:rsidR="00110AD8" w:rsidRPr="00310F22" w:rsidRDefault="00110AD8" w:rsidP="00110AD8">
      <w:pPr>
        <w:pStyle w:val="Textonotapie"/>
        <w:ind w:firstLine="708"/>
        <w:jc w:val="both"/>
        <w:rPr>
          <w:rFonts w:ascii="Arial" w:hAnsi="Arial" w:cs="Arial"/>
          <w:color w:val="000000" w:themeColor="text1"/>
          <w:sz w:val="19"/>
          <w:szCs w:val="19"/>
        </w:rPr>
      </w:pPr>
      <w:proofErr w:type="gramStart"/>
      <w:r w:rsidRPr="00310F22">
        <w:rPr>
          <w:rFonts w:ascii="Arial" w:hAnsi="Arial" w:cs="Arial"/>
          <w:color w:val="000000" w:themeColor="text1"/>
          <w:sz w:val="19"/>
          <w:szCs w:val="19"/>
        </w:rPr>
        <w:t>»a</w:t>
      </w:r>
      <w:proofErr w:type="gramEnd"/>
      <w:r w:rsidRPr="00310F22">
        <w:rPr>
          <w:rFonts w:ascii="Arial" w:hAnsi="Arial" w:cs="Arial"/>
          <w:color w:val="000000" w:themeColor="text1"/>
          <w:sz w:val="19"/>
          <w:szCs w:val="19"/>
        </w:rPr>
        <w:t>) Dispondrá de las funcionalidades tecnológicas para realizar procesos de contratación electrónicos bajo los métodos de selección señalados en el artículo 2o de la presente ley según lo defina el reglamento;</w:t>
      </w:r>
    </w:p>
    <w:p w14:paraId="542B1D34" w14:textId="77777777" w:rsidR="00110AD8" w:rsidRPr="00310F22" w:rsidRDefault="00110AD8" w:rsidP="00110AD8">
      <w:pPr>
        <w:pStyle w:val="Textonotapie"/>
        <w:ind w:firstLine="708"/>
        <w:jc w:val="both"/>
        <w:rPr>
          <w:rFonts w:ascii="Arial" w:hAnsi="Arial" w:cs="Arial"/>
          <w:color w:val="000000" w:themeColor="text1"/>
          <w:sz w:val="19"/>
          <w:szCs w:val="19"/>
        </w:rPr>
      </w:pPr>
      <w:proofErr w:type="gramStart"/>
      <w:r w:rsidRPr="00310F22">
        <w:rPr>
          <w:rFonts w:ascii="Arial" w:hAnsi="Arial" w:cs="Arial"/>
          <w:color w:val="000000" w:themeColor="text1"/>
          <w:sz w:val="19"/>
          <w:szCs w:val="19"/>
        </w:rPr>
        <w:t>»b</w:t>
      </w:r>
      <w:proofErr w:type="gramEnd"/>
      <w:r w:rsidRPr="00310F22">
        <w:rPr>
          <w:rFonts w:ascii="Arial" w:hAnsi="Arial" w:cs="Arial"/>
          <w:color w:val="000000" w:themeColor="text1"/>
          <w:sz w:val="19"/>
          <w:szCs w:val="19"/>
        </w:rPr>
        <w:t>) Servirá de punto único de ingreso de información y de generación de reportes para las entidades estatales y la ciudadanía;</w:t>
      </w:r>
    </w:p>
    <w:p w14:paraId="150C336D" w14:textId="77777777" w:rsidR="00110AD8" w:rsidRPr="00310F22" w:rsidRDefault="00110AD8" w:rsidP="00110AD8">
      <w:pPr>
        <w:pStyle w:val="Textonotapie"/>
        <w:ind w:firstLine="708"/>
        <w:jc w:val="both"/>
        <w:rPr>
          <w:rFonts w:ascii="Arial" w:hAnsi="Arial" w:cs="Arial"/>
          <w:color w:val="000000" w:themeColor="text1"/>
          <w:sz w:val="19"/>
          <w:szCs w:val="19"/>
        </w:rPr>
      </w:pPr>
      <w:r w:rsidRPr="00310F22">
        <w:rPr>
          <w:rFonts w:ascii="Arial" w:hAnsi="Arial" w:cs="Arial"/>
          <w:color w:val="000000" w:themeColor="text1"/>
          <w:sz w:val="19"/>
          <w:szCs w:val="19"/>
        </w:rPr>
        <w:t>»c) Contará con la información oficial de la contratación realizada con dineros públicos, para lo cual establecerá los patrones a que haya lugar y se encargará de su difusión a través de canales electrónicos y;</w:t>
      </w:r>
    </w:p>
    <w:p w14:paraId="101DA6C8" w14:textId="77777777" w:rsidR="00110AD8" w:rsidRPr="00310F22" w:rsidRDefault="00110AD8" w:rsidP="00110AD8">
      <w:pPr>
        <w:pStyle w:val="Textonotapie"/>
        <w:ind w:firstLine="708"/>
        <w:jc w:val="both"/>
        <w:rPr>
          <w:rFonts w:ascii="Arial" w:hAnsi="Arial" w:cs="Arial"/>
          <w:color w:val="000000" w:themeColor="text1"/>
          <w:sz w:val="19"/>
          <w:szCs w:val="19"/>
        </w:rPr>
      </w:pPr>
      <w:proofErr w:type="gramStart"/>
      <w:r w:rsidRPr="00310F22">
        <w:rPr>
          <w:rFonts w:ascii="Arial" w:hAnsi="Arial" w:cs="Arial"/>
          <w:color w:val="000000" w:themeColor="text1"/>
          <w:sz w:val="19"/>
          <w:szCs w:val="19"/>
        </w:rPr>
        <w:t>»d</w:t>
      </w:r>
      <w:proofErr w:type="gramEnd"/>
      <w:r w:rsidRPr="00310F22">
        <w:rPr>
          <w:rFonts w:ascii="Arial" w:hAnsi="Arial" w:cs="Arial"/>
          <w:color w:val="000000" w:themeColor="text1"/>
          <w:sz w:val="19"/>
          <w:szCs w:val="19"/>
        </w:rPr>
        <w:t>) Integrará el Registro Unico Empresarial de las Cámaras de Comercio, el Diario Unico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5C93F363" w14:textId="77777777" w:rsidR="00110AD8" w:rsidRPr="00310F22" w:rsidRDefault="00110AD8" w:rsidP="00110AD8">
      <w:pPr>
        <w:pStyle w:val="Textonotapie"/>
        <w:ind w:firstLine="708"/>
        <w:jc w:val="both"/>
        <w:rPr>
          <w:rFonts w:ascii="Arial" w:hAnsi="Arial" w:cs="Arial"/>
          <w:color w:val="000000" w:themeColor="text1"/>
          <w:sz w:val="19"/>
          <w:szCs w:val="19"/>
        </w:rPr>
      </w:pPr>
      <w:r w:rsidRPr="00310F22">
        <w:rPr>
          <w:rFonts w:ascii="Arial" w:hAnsi="Arial" w:cs="Arial"/>
          <w:color w:val="000000" w:themeColor="text1"/>
          <w:sz w:val="19"/>
          <w:szCs w:val="19"/>
        </w:rPr>
        <w:t>»[...]».</w:t>
      </w:r>
    </w:p>
    <w:p w14:paraId="32ED07AA" w14:textId="77777777" w:rsidR="00110AD8" w:rsidRPr="00310F22" w:rsidRDefault="00110AD8" w:rsidP="00110AD8">
      <w:pPr>
        <w:pStyle w:val="Textonotapie"/>
        <w:jc w:val="both"/>
        <w:rPr>
          <w:rFonts w:ascii="Arial" w:hAnsi="Arial" w:cs="Arial"/>
          <w:color w:val="000000" w:themeColor="text1"/>
          <w:sz w:val="19"/>
          <w:szCs w:val="19"/>
        </w:rPr>
      </w:pPr>
    </w:p>
  </w:footnote>
  <w:footnote w:id="7">
    <w:p w14:paraId="4A4BD169" w14:textId="77777777" w:rsidR="00110AD8" w:rsidRPr="00310F22" w:rsidRDefault="00110AD8" w:rsidP="00110AD8">
      <w:pPr>
        <w:pStyle w:val="Textonotapie"/>
        <w:ind w:firstLine="708"/>
        <w:jc w:val="both"/>
        <w:rPr>
          <w:rFonts w:ascii="Arial" w:hAnsi="Arial" w:cs="Arial"/>
          <w:color w:val="000000" w:themeColor="text1"/>
          <w:sz w:val="19"/>
          <w:szCs w:val="19"/>
        </w:rPr>
      </w:pPr>
      <w:r w:rsidRPr="00310F22">
        <w:rPr>
          <w:rStyle w:val="Refdenotaalpie"/>
          <w:rFonts w:ascii="Arial" w:hAnsi="Arial" w:cs="Arial"/>
          <w:color w:val="000000" w:themeColor="text1"/>
          <w:sz w:val="19"/>
          <w:szCs w:val="19"/>
        </w:rPr>
        <w:footnoteRef/>
      </w:r>
      <w:r w:rsidRPr="00310F22">
        <w:rPr>
          <w:rFonts w:ascii="Arial" w:hAnsi="Arial" w:cs="Arial"/>
          <w:color w:val="000000" w:themeColor="text1"/>
          <w:sz w:val="19"/>
          <w:szCs w:val="19"/>
        </w:rPr>
        <w:t xml:space="preserve"> La Corte Constitucional. Sentencia C-711 del 11 de marzo de 2011. M.P. Mauricio Gonzáles Cuervo, hizo énfasis en la transición de la actividad contractual impresa que se publicaba en el Diario Único de Contratación, a una contratación pública electrónica desarrollada mediante el SECOP:</w:t>
      </w:r>
    </w:p>
    <w:p w14:paraId="59AD7C04" w14:textId="77777777" w:rsidR="00110AD8" w:rsidRPr="00310F22" w:rsidRDefault="00110AD8" w:rsidP="00110AD8">
      <w:pPr>
        <w:pStyle w:val="Textonotapie"/>
        <w:ind w:firstLine="708"/>
        <w:jc w:val="both"/>
        <w:rPr>
          <w:rFonts w:ascii="Arial" w:hAnsi="Arial" w:cs="Arial"/>
          <w:color w:val="000000" w:themeColor="text1"/>
          <w:sz w:val="19"/>
          <w:szCs w:val="19"/>
        </w:rPr>
      </w:pPr>
      <w:r w:rsidRPr="00310F22">
        <w:rPr>
          <w:rFonts w:ascii="Arial" w:hAnsi="Arial" w:cs="Arial"/>
          <w:color w:val="000000" w:themeColor="text1"/>
          <w:sz w:val="19"/>
          <w:szCs w:val="19"/>
        </w:rPr>
        <w:t>«En cuanto a que la supresión de la publicación en el Diario Único de Contratación fuese necesaria, y en consecuencia ajena al ámbito de las facultades extraordinarias conferidas, se concluye que, si bien la publicación de los contratos estatales puede tenerse como requisito esencial para la ejecución y control público de los contratos oficiales, no así su inclusión en una forma específica de divulgación, como el DUC. Por el contrario, al disponerse que sea publicado en un medio electrónico, al cargo y cuidado de la Agencia Nacional de Contratación Pública —Colombia Compra Eficiente—, se asegura la regularidad de este tipo de trámite, en manos de una entidad responsable de realizarlo; y, simultáneamente, se cumple la finalidad de la publicación, que no otra distinta de brindarle al público la posibilidad de acceso fácil, oportuno, idóneo y eficaz a los términos de la contratación estatal.</w:t>
      </w:r>
    </w:p>
    <w:p w14:paraId="6F7B7B3E" w14:textId="77777777" w:rsidR="00110AD8" w:rsidRPr="00310F22" w:rsidRDefault="00110AD8" w:rsidP="00110AD8">
      <w:pPr>
        <w:pStyle w:val="Textonotapie"/>
        <w:ind w:firstLine="708"/>
        <w:jc w:val="both"/>
        <w:rPr>
          <w:rFonts w:ascii="Arial" w:hAnsi="Arial" w:cs="Arial"/>
          <w:color w:val="000000" w:themeColor="text1"/>
          <w:sz w:val="19"/>
          <w:szCs w:val="19"/>
        </w:rPr>
      </w:pPr>
      <w:proofErr w:type="gramStart"/>
      <w:r w:rsidRPr="00310F22">
        <w:rPr>
          <w:rFonts w:ascii="Arial" w:hAnsi="Arial" w:cs="Arial"/>
          <w:color w:val="000000" w:themeColor="text1"/>
          <w:sz w:val="19"/>
          <w:szCs w:val="19"/>
        </w:rPr>
        <w:t>»Para</w:t>
      </w:r>
      <w:proofErr w:type="gramEnd"/>
      <w:r w:rsidRPr="00310F22">
        <w:rPr>
          <w:rFonts w:ascii="Arial" w:hAnsi="Arial" w:cs="Arial"/>
          <w:color w:val="000000" w:themeColor="text1"/>
          <w:sz w:val="19"/>
          <w:szCs w:val="19"/>
        </w:rPr>
        <w:t xml:space="preserve"> la Corte, la publicación de los contratos estatales en el SECOP cumple cabalmente con las exigencias constitucionales de publicidad administrativa. En efecto, permite la presentación de la totalidad del contenido aludido, en un medio al que puede tener acceso al público en general, facilitando a los ciudadanos el conocimiento de las actuaciones de la administración y de los particulares en los procesos de contratación estatal y facilitando su participación en las decisiones que les afectan. Y, de conteras, suple algunas de las limitaciones de las que adolecía el Diario Único de Contratación, en términos de cobertura geográfica, de cantidad de ejemplares y de posibilidad de acceso por parte de la ciudadanía».</w:t>
      </w:r>
    </w:p>
    <w:p w14:paraId="6F33F8E6" w14:textId="77777777" w:rsidR="00110AD8" w:rsidRPr="00310F22" w:rsidRDefault="00110AD8" w:rsidP="00110AD8">
      <w:pPr>
        <w:pStyle w:val="Textonotapie"/>
        <w:ind w:firstLine="708"/>
        <w:jc w:val="both"/>
        <w:rPr>
          <w:rFonts w:ascii="Arial" w:hAnsi="Arial" w:cs="Arial"/>
          <w:color w:val="000000" w:themeColor="text1"/>
          <w:sz w:val="19"/>
          <w:szCs w:val="19"/>
        </w:rPr>
      </w:pPr>
    </w:p>
  </w:footnote>
  <w:footnote w:id="8">
    <w:p w14:paraId="7A38536F" w14:textId="77777777" w:rsidR="008C50FD" w:rsidRPr="00310F22" w:rsidRDefault="008C50FD" w:rsidP="003544CD">
      <w:pPr>
        <w:pStyle w:val="Textonotapie"/>
        <w:ind w:firstLine="709"/>
        <w:jc w:val="both"/>
        <w:rPr>
          <w:rFonts w:ascii="Arial" w:hAnsi="Arial" w:cs="Arial"/>
          <w:color w:val="000000" w:themeColor="text1"/>
          <w:sz w:val="19"/>
          <w:szCs w:val="19"/>
          <w:lang w:val="es-ES"/>
        </w:rPr>
      </w:pPr>
      <w:r w:rsidRPr="00310F22">
        <w:rPr>
          <w:rStyle w:val="Refdenotaalpie"/>
          <w:rFonts w:ascii="Arial" w:hAnsi="Arial" w:cs="Arial"/>
          <w:color w:val="000000" w:themeColor="text1"/>
          <w:sz w:val="19"/>
          <w:szCs w:val="19"/>
        </w:rPr>
        <w:footnoteRef/>
      </w:r>
      <w:r w:rsidRPr="00310F22">
        <w:rPr>
          <w:rFonts w:ascii="Arial" w:hAnsi="Arial" w:cs="Arial"/>
          <w:color w:val="000000" w:themeColor="text1"/>
          <w:sz w:val="19"/>
          <w:szCs w:val="19"/>
        </w:rPr>
        <w:t xml:space="preserve"> </w:t>
      </w:r>
      <w:r w:rsidRPr="00310F22">
        <w:rPr>
          <w:rFonts w:ascii="Arial" w:hAnsi="Arial" w:cs="Arial"/>
          <w:color w:val="000000" w:themeColor="text1"/>
          <w:sz w:val="19"/>
          <w:szCs w:val="19"/>
          <w:lang w:val="es-ES"/>
        </w:rPr>
        <w:t>«Artículo 6°. Medios tecnológicos. Para atender los trámites y procedimientos de su competencia, los organismos y entidades de la Administración Pública deberán ponerlos en conocimiento de los ciudadanos en la forma prevista en las disposiciones vigentes, o emplear, adicionalmente, cualquier medio tecnológico o documento electrónico de que dispongan, a fin de hacer efectivos los principios de igualdad, economía, celeridad, imparcialidad, publicidad, moralidad y eficacia en la función administrativa. Para el efecto, podrán implementar las condiciones y requisitos de seguridad que para cada caso sean procedentes, sin perjuicio de las competencias que en esta materia tengan algunas entidades especializadas.</w:t>
      </w:r>
    </w:p>
    <w:p w14:paraId="5DE5D06B" w14:textId="77777777" w:rsidR="008C50FD" w:rsidRPr="00310F22" w:rsidRDefault="008C50FD" w:rsidP="003544CD">
      <w:pPr>
        <w:pStyle w:val="Textonotapie"/>
        <w:ind w:firstLine="709"/>
        <w:jc w:val="both"/>
        <w:rPr>
          <w:rFonts w:ascii="Arial" w:hAnsi="Arial" w:cs="Arial"/>
          <w:color w:val="000000" w:themeColor="text1"/>
          <w:sz w:val="19"/>
          <w:szCs w:val="19"/>
          <w:lang w:val="es-ES"/>
        </w:rPr>
      </w:pPr>
      <w:proofErr w:type="gramStart"/>
      <w:r w:rsidRPr="00310F22">
        <w:rPr>
          <w:rFonts w:ascii="Arial" w:hAnsi="Arial" w:cs="Arial"/>
          <w:color w:val="000000" w:themeColor="text1"/>
          <w:sz w:val="19"/>
          <w:szCs w:val="19"/>
          <w:lang w:val="es-ES"/>
        </w:rPr>
        <w:t>»La</w:t>
      </w:r>
      <w:proofErr w:type="gramEnd"/>
      <w:r w:rsidRPr="00310F22">
        <w:rPr>
          <w:rFonts w:ascii="Arial" w:hAnsi="Arial" w:cs="Arial"/>
          <w:color w:val="000000" w:themeColor="text1"/>
          <w:sz w:val="19"/>
          <w:szCs w:val="19"/>
          <w:lang w:val="es-ES"/>
        </w:rPr>
        <w:t xml:space="preserve"> sustanciación de las actuaciones así como la expedición de los actos administrativos, tendrán lugar en la forma prevista en las disposiciones vigentes. Para el trámite, notificación y publicación de tales actuaciones y actos, podrán adicionalmente utilizarse soportes, medios y aplicaciones electrónicas.</w:t>
      </w:r>
    </w:p>
    <w:p w14:paraId="547985E4" w14:textId="77777777" w:rsidR="008C50FD" w:rsidRPr="00310F22" w:rsidRDefault="008C50FD" w:rsidP="003544CD">
      <w:pPr>
        <w:pStyle w:val="Textonotapie"/>
        <w:ind w:firstLine="709"/>
        <w:jc w:val="both"/>
        <w:rPr>
          <w:rFonts w:ascii="Arial" w:hAnsi="Arial" w:cs="Arial"/>
          <w:color w:val="000000" w:themeColor="text1"/>
          <w:sz w:val="19"/>
          <w:szCs w:val="19"/>
          <w:lang w:val="es-ES"/>
        </w:rPr>
      </w:pPr>
      <w:proofErr w:type="gramStart"/>
      <w:r w:rsidRPr="00310F22">
        <w:rPr>
          <w:rFonts w:ascii="Arial" w:hAnsi="Arial" w:cs="Arial"/>
          <w:color w:val="000000" w:themeColor="text1"/>
          <w:sz w:val="19"/>
          <w:szCs w:val="19"/>
          <w:lang w:val="es-ES"/>
        </w:rPr>
        <w:t>»Toda</w:t>
      </w:r>
      <w:proofErr w:type="gramEnd"/>
      <w:r w:rsidRPr="00310F22">
        <w:rPr>
          <w:rFonts w:ascii="Arial" w:hAnsi="Arial" w:cs="Arial"/>
          <w:color w:val="000000" w:themeColor="text1"/>
          <w:sz w:val="19"/>
          <w:szCs w:val="19"/>
          <w:lang w:val="es-ES"/>
        </w:rPr>
        <w:t xml:space="preserve"> persona podrá presentar peticiones, quejas, reclamaciones o recursos, mediante cualquier medio tecnológico o electrónico del cual dispongan las entidades y organismos de la Administración Pública.</w:t>
      </w:r>
    </w:p>
    <w:p w14:paraId="551260AE" w14:textId="77777777" w:rsidR="008C50FD" w:rsidRPr="00310F22" w:rsidRDefault="008C50FD" w:rsidP="003544CD">
      <w:pPr>
        <w:pStyle w:val="Textonotapie"/>
        <w:ind w:firstLine="709"/>
        <w:jc w:val="both"/>
        <w:rPr>
          <w:rFonts w:ascii="Arial" w:hAnsi="Arial" w:cs="Arial"/>
          <w:color w:val="000000" w:themeColor="text1"/>
          <w:sz w:val="19"/>
          <w:szCs w:val="19"/>
          <w:lang w:val="es-ES"/>
        </w:rPr>
      </w:pPr>
      <w:proofErr w:type="gramStart"/>
      <w:r w:rsidRPr="00310F22">
        <w:rPr>
          <w:rFonts w:ascii="Arial" w:hAnsi="Arial" w:cs="Arial"/>
          <w:color w:val="000000" w:themeColor="text1"/>
          <w:sz w:val="19"/>
          <w:szCs w:val="19"/>
          <w:lang w:val="es-ES"/>
        </w:rPr>
        <w:t>»En</w:t>
      </w:r>
      <w:proofErr w:type="gramEnd"/>
      <w:r w:rsidRPr="00310F22">
        <w:rPr>
          <w:rFonts w:ascii="Arial" w:hAnsi="Arial" w:cs="Arial"/>
          <w:color w:val="000000" w:themeColor="text1"/>
          <w:sz w:val="19"/>
          <w:szCs w:val="19"/>
          <w:lang w:val="es-ES"/>
        </w:rPr>
        <w:t xml:space="preserve"> los casos de peticiones relacionadas con el reconocimiento de una prestación económica en todo caso deben allegarse los documentos físicos que soporten el derecho que se reclama.</w:t>
      </w:r>
    </w:p>
    <w:p w14:paraId="3D13DFC8" w14:textId="77777777" w:rsidR="008C50FD" w:rsidRPr="00310F22" w:rsidRDefault="008C50FD" w:rsidP="003544CD">
      <w:pPr>
        <w:pStyle w:val="Textonotapie"/>
        <w:ind w:firstLine="709"/>
        <w:jc w:val="both"/>
        <w:rPr>
          <w:rFonts w:ascii="Arial" w:hAnsi="Arial" w:cs="Arial"/>
          <w:color w:val="000000" w:themeColor="text1"/>
          <w:sz w:val="19"/>
          <w:szCs w:val="19"/>
          <w:lang w:val="es-ES"/>
        </w:rPr>
      </w:pPr>
      <w:proofErr w:type="gramStart"/>
      <w:r w:rsidRPr="00310F22">
        <w:rPr>
          <w:rFonts w:ascii="Arial" w:hAnsi="Arial" w:cs="Arial"/>
          <w:color w:val="000000" w:themeColor="text1"/>
          <w:sz w:val="19"/>
          <w:szCs w:val="19"/>
          <w:lang w:val="es-ES"/>
        </w:rPr>
        <w:t>»La</w:t>
      </w:r>
      <w:proofErr w:type="gramEnd"/>
      <w:r w:rsidRPr="00310F22">
        <w:rPr>
          <w:rFonts w:ascii="Arial" w:hAnsi="Arial" w:cs="Arial"/>
          <w:color w:val="000000" w:themeColor="text1"/>
          <w:sz w:val="19"/>
          <w:szCs w:val="19"/>
          <w:lang w:val="es-ES"/>
        </w:rPr>
        <w:t xml:space="preserve"> utilización de medios electrónicos se regirá por lo dispuesto en la Ley 527 de 1999 y en las normas que la complementen, adicionen o modifiquen, en concordancia con las disposiciones del Capítulo 8 del Título XIII, Sección Tercera, Libro Segundo, artículos 251 a 293, del Código de Procedimiento Civil, y demás normas aplicables, siempre que sea posible verificar la identidad del remitente, así como la fecha de recibo del documento.</w:t>
      </w:r>
    </w:p>
    <w:p w14:paraId="3E7CDD10" w14:textId="77777777" w:rsidR="008C50FD" w:rsidRPr="00310F22" w:rsidRDefault="008C50FD" w:rsidP="003544CD">
      <w:pPr>
        <w:pStyle w:val="Textonotapie"/>
        <w:ind w:firstLine="709"/>
        <w:jc w:val="both"/>
        <w:rPr>
          <w:rFonts w:ascii="Arial" w:hAnsi="Arial" w:cs="Arial"/>
          <w:color w:val="000000" w:themeColor="text1"/>
          <w:sz w:val="19"/>
          <w:szCs w:val="19"/>
          <w:lang w:val="es-ES"/>
        </w:rPr>
      </w:pPr>
      <w:proofErr w:type="gramStart"/>
      <w:r w:rsidRPr="00310F22">
        <w:rPr>
          <w:rFonts w:ascii="Arial" w:hAnsi="Arial" w:cs="Arial"/>
          <w:color w:val="000000" w:themeColor="text1"/>
          <w:sz w:val="19"/>
          <w:szCs w:val="19"/>
          <w:lang w:val="es-ES"/>
        </w:rPr>
        <w:t>»Parágrafo</w:t>
      </w:r>
      <w:proofErr w:type="gramEnd"/>
      <w:r w:rsidRPr="00310F22">
        <w:rPr>
          <w:rFonts w:ascii="Arial" w:hAnsi="Arial" w:cs="Arial"/>
          <w:color w:val="000000" w:themeColor="text1"/>
          <w:sz w:val="19"/>
          <w:szCs w:val="19"/>
          <w:lang w:val="es-ES"/>
        </w:rPr>
        <w:t xml:space="preserve"> 1°. Las entidades y organismos de la Administración Pública deberán hacer públicos los medios tecnológicos o electrónicos de que dispongan, para permitir su utilización.</w:t>
      </w:r>
    </w:p>
    <w:p w14:paraId="57398DBF" w14:textId="77777777" w:rsidR="008C50FD" w:rsidRPr="00310F22" w:rsidRDefault="008C50FD" w:rsidP="003544CD">
      <w:pPr>
        <w:pStyle w:val="Textonotapie"/>
        <w:ind w:firstLine="709"/>
        <w:jc w:val="both"/>
        <w:rPr>
          <w:rFonts w:ascii="Arial" w:hAnsi="Arial" w:cs="Arial"/>
          <w:color w:val="000000" w:themeColor="text1"/>
          <w:sz w:val="19"/>
          <w:szCs w:val="19"/>
          <w:lang w:val="es-ES"/>
        </w:rPr>
      </w:pPr>
      <w:proofErr w:type="gramStart"/>
      <w:r w:rsidRPr="00310F22">
        <w:rPr>
          <w:rFonts w:ascii="Arial" w:hAnsi="Arial" w:cs="Arial"/>
          <w:color w:val="000000" w:themeColor="text1"/>
          <w:sz w:val="19"/>
          <w:szCs w:val="19"/>
          <w:lang w:val="es-ES"/>
        </w:rPr>
        <w:t>»Parágrafo</w:t>
      </w:r>
      <w:proofErr w:type="gramEnd"/>
      <w:r w:rsidRPr="00310F22">
        <w:rPr>
          <w:rFonts w:ascii="Arial" w:hAnsi="Arial" w:cs="Arial"/>
          <w:color w:val="000000" w:themeColor="text1"/>
          <w:sz w:val="19"/>
          <w:szCs w:val="19"/>
          <w:lang w:val="es-ES"/>
        </w:rPr>
        <w:t xml:space="preserve"> 2°. En todo caso, el uso de los medios tecnológicos y electrónicos para adelantar trámites y competencias de la Administración Pública deberá garantizar los principios de autenticidad, disponibilidad e integridad.</w:t>
      </w:r>
    </w:p>
    <w:p w14:paraId="55FFB78B" w14:textId="77777777" w:rsidR="008C50FD" w:rsidRPr="00310F22" w:rsidRDefault="008C50FD" w:rsidP="003544CD">
      <w:pPr>
        <w:pStyle w:val="Textonotapie"/>
        <w:ind w:firstLine="709"/>
        <w:jc w:val="both"/>
        <w:rPr>
          <w:rFonts w:ascii="Arial" w:hAnsi="Arial" w:cs="Arial"/>
          <w:color w:val="000000" w:themeColor="text1"/>
          <w:sz w:val="19"/>
          <w:szCs w:val="19"/>
          <w:lang w:val="es-ES"/>
        </w:rPr>
      </w:pPr>
      <w:proofErr w:type="gramStart"/>
      <w:r w:rsidRPr="00310F22">
        <w:rPr>
          <w:rFonts w:ascii="Arial" w:hAnsi="Arial" w:cs="Arial"/>
          <w:color w:val="000000" w:themeColor="text1"/>
          <w:sz w:val="19"/>
          <w:szCs w:val="19"/>
          <w:lang w:val="es-ES"/>
        </w:rPr>
        <w:t>»Parágrafo</w:t>
      </w:r>
      <w:proofErr w:type="gramEnd"/>
      <w:r w:rsidRPr="00310F22">
        <w:rPr>
          <w:rFonts w:ascii="Arial" w:hAnsi="Arial" w:cs="Arial"/>
          <w:color w:val="000000" w:themeColor="text1"/>
          <w:sz w:val="19"/>
          <w:szCs w:val="19"/>
          <w:lang w:val="es-ES"/>
        </w:rPr>
        <w:t xml:space="preserve"> 3°. Cuando la sustanciación de las actuaciones y actos administrativos se realice por medios electrónicos, las firmas autógrafas que los mismos requieran, podrán ser sustituidas por un certificado digital que asegure la identidad del suscriptor, de conformidad con lo que para el efecto establezca el Gobierno Nacional».</w:t>
      </w:r>
    </w:p>
  </w:footnote>
  <w:footnote w:id="9">
    <w:p w14:paraId="4E31438F" w14:textId="77777777" w:rsidR="008C50FD" w:rsidRPr="00310F22" w:rsidRDefault="008C50FD" w:rsidP="003544CD">
      <w:pPr>
        <w:pStyle w:val="Textonotapie"/>
        <w:ind w:firstLine="709"/>
        <w:jc w:val="both"/>
        <w:rPr>
          <w:rFonts w:ascii="Arial" w:hAnsi="Arial" w:cs="Arial"/>
          <w:color w:val="000000" w:themeColor="text1"/>
          <w:sz w:val="19"/>
          <w:szCs w:val="19"/>
        </w:rPr>
      </w:pPr>
    </w:p>
    <w:p w14:paraId="52F9ACA6" w14:textId="77777777" w:rsidR="008C50FD" w:rsidRPr="00310F22" w:rsidRDefault="008C50FD" w:rsidP="003544CD">
      <w:pPr>
        <w:pStyle w:val="Textonotapie"/>
        <w:ind w:firstLine="709"/>
        <w:jc w:val="both"/>
        <w:rPr>
          <w:rFonts w:ascii="Arial" w:hAnsi="Arial" w:cs="Arial"/>
          <w:color w:val="000000" w:themeColor="text1"/>
          <w:sz w:val="19"/>
          <w:szCs w:val="19"/>
        </w:rPr>
      </w:pPr>
      <w:r w:rsidRPr="00310F22">
        <w:rPr>
          <w:rStyle w:val="Refdenotaalpie"/>
          <w:rFonts w:ascii="Arial" w:hAnsi="Arial" w:cs="Arial"/>
          <w:color w:val="000000" w:themeColor="text1"/>
          <w:sz w:val="19"/>
          <w:szCs w:val="19"/>
        </w:rPr>
        <w:footnoteRef/>
      </w:r>
      <w:r w:rsidRPr="00310F22">
        <w:rPr>
          <w:rFonts w:ascii="Arial" w:hAnsi="Arial" w:cs="Arial"/>
          <w:color w:val="000000" w:themeColor="text1"/>
          <w:sz w:val="19"/>
          <w:szCs w:val="19"/>
        </w:rPr>
        <w:t xml:space="preserve"> «Artículo 7°. Publicidad electrónica de normas y actos generales emitidos por la administración pública. La Administración Pública deberá poner a disposición del público, a través de medios electrónicos, las leyes, decretos y actos administrativos de carácter general o documentos de interés público relativos a cada uno de ellos, dentro de los cinco (5) días siguientes a su publicación, sin perjuicio de la obligación legal de publicarlos en el Diario Oficial.</w:t>
      </w:r>
    </w:p>
    <w:p w14:paraId="4F614521" w14:textId="77777777" w:rsidR="008C50FD" w:rsidRPr="00310F22" w:rsidRDefault="008C50FD" w:rsidP="003544CD">
      <w:pPr>
        <w:pStyle w:val="Textonotapie"/>
        <w:ind w:firstLine="709"/>
        <w:jc w:val="both"/>
        <w:rPr>
          <w:rFonts w:ascii="Arial" w:hAnsi="Arial" w:cs="Arial"/>
          <w:color w:val="000000" w:themeColor="text1"/>
          <w:sz w:val="19"/>
          <w:szCs w:val="19"/>
        </w:rPr>
      </w:pPr>
      <w:proofErr w:type="gramStart"/>
      <w:r w:rsidRPr="00310F22">
        <w:rPr>
          <w:rFonts w:ascii="Arial" w:hAnsi="Arial" w:cs="Arial"/>
          <w:color w:val="000000" w:themeColor="text1"/>
          <w:sz w:val="19"/>
          <w:szCs w:val="19"/>
        </w:rPr>
        <w:t>»Las</w:t>
      </w:r>
      <w:proofErr w:type="gramEnd"/>
      <w:r w:rsidRPr="00310F22">
        <w:rPr>
          <w:rFonts w:ascii="Arial" w:hAnsi="Arial" w:cs="Arial"/>
          <w:color w:val="000000" w:themeColor="text1"/>
          <w:sz w:val="19"/>
          <w:szCs w:val="19"/>
        </w:rPr>
        <w:t xml:space="preserve"> reproducciones efectuadas se reputarán auténticas para todos los efectos legales, siempre que no se altere el contenido del acto o documento.</w:t>
      </w:r>
    </w:p>
    <w:p w14:paraId="61A5E13F" w14:textId="77777777" w:rsidR="008C50FD" w:rsidRPr="00310F22" w:rsidRDefault="008C50FD" w:rsidP="003544CD">
      <w:pPr>
        <w:pStyle w:val="Textonotapie"/>
        <w:ind w:firstLine="709"/>
        <w:jc w:val="both"/>
        <w:rPr>
          <w:rFonts w:ascii="Arial" w:hAnsi="Arial" w:cs="Arial"/>
          <w:color w:val="000000" w:themeColor="text1"/>
          <w:sz w:val="19"/>
          <w:szCs w:val="19"/>
          <w:lang w:val="es-ES"/>
        </w:rPr>
      </w:pPr>
      <w:proofErr w:type="gramStart"/>
      <w:r w:rsidRPr="00310F22">
        <w:rPr>
          <w:rFonts w:ascii="Arial" w:hAnsi="Arial" w:cs="Arial"/>
          <w:color w:val="000000" w:themeColor="text1"/>
          <w:sz w:val="19"/>
          <w:szCs w:val="19"/>
        </w:rPr>
        <w:t>»A</w:t>
      </w:r>
      <w:proofErr w:type="gramEnd"/>
      <w:r w:rsidRPr="00310F22">
        <w:rPr>
          <w:rFonts w:ascii="Arial" w:hAnsi="Arial" w:cs="Arial"/>
          <w:color w:val="000000" w:themeColor="text1"/>
          <w:sz w:val="19"/>
          <w:szCs w:val="19"/>
        </w:rPr>
        <w:t xml:space="preserve"> partir de la vigencia de la presente ley y para efectos de adelantar cualquier trámite administrativo, no será obligatorio acreditar la existencia de normas de carácter general de orden nacional, ante ningún organismo de la Administración Pública».</w:t>
      </w:r>
    </w:p>
  </w:footnote>
  <w:footnote w:id="10">
    <w:p w14:paraId="33BF1B0F" w14:textId="77777777" w:rsidR="008C50FD" w:rsidRPr="00310F22" w:rsidRDefault="008C50FD" w:rsidP="003544CD">
      <w:pPr>
        <w:pStyle w:val="NormalWeb"/>
        <w:shd w:val="clear" w:color="auto" w:fill="FFFFFF"/>
        <w:spacing w:before="0" w:beforeAutospacing="0" w:after="0" w:afterAutospacing="0"/>
        <w:ind w:firstLine="709"/>
        <w:jc w:val="both"/>
        <w:rPr>
          <w:rFonts w:ascii="Arial" w:hAnsi="Arial" w:cs="Arial"/>
          <w:color w:val="000000" w:themeColor="text1"/>
          <w:sz w:val="19"/>
          <w:szCs w:val="19"/>
        </w:rPr>
      </w:pPr>
    </w:p>
    <w:p w14:paraId="457DDAE0" w14:textId="77777777" w:rsidR="008C50FD" w:rsidRPr="00310F22" w:rsidRDefault="008C50FD" w:rsidP="003544CD">
      <w:pPr>
        <w:pStyle w:val="NormalWeb"/>
        <w:shd w:val="clear" w:color="auto" w:fill="FFFFFF"/>
        <w:spacing w:before="0" w:beforeAutospacing="0" w:after="0" w:afterAutospacing="0"/>
        <w:ind w:firstLine="709"/>
        <w:jc w:val="both"/>
        <w:rPr>
          <w:rFonts w:ascii="Arial" w:eastAsiaTheme="minorHAnsi" w:hAnsi="Arial" w:cs="Arial"/>
          <w:color w:val="000000" w:themeColor="text1"/>
          <w:sz w:val="19"/>
          <w:szCs w:val="19"/>
          <w:lang w:val="es-ES_tradnl" w:eastAsia="es-ES_tradnl"/>
        </w:rPr>
      </w:pPr>
      <w:r w:rsidRPr="00310F22">
        <w:rPr>
          <w:rStyle w:val="Refdenotaalpie"/>
          <w:rFonts w:ascii="Arial" w:hAnsi="Arial" w:cs="Arial"/>
          <w:color w:val="000000" w:themeColor="text1"/>
          <w:sz w:val="19"/>
          <w:szCs w:val="19"/>
        </w:rPr>
        <w:footnoteRef/>
      </w:r>
      <w:r w:rsidRPr="00310F22">
        <w:rPr>
          <w:rFonts w:ascii="Arial" w:hAnsi="Arial" w:cs="Arial"/>
          <w:color w:val="000000" w:themeColor="text1"/>
          <w:sz w:val="19"/>
          <w:szCs w:val="19"/>
        </w:rPr>
        <w:t xml:space="preserve"> </w:t>
      </w:r>
      <w:r w:rsidRPr="00310F22">
        <w:rPr>
          <w:rFonts w:ascii="Arial" w:hAnsi="Arial" w:cs="Arial"/>
          <w:color w:val="000000" w:themeColor="text1"/>
          <w:sz w:val="19"/>
          <w:szCs w:val="19"/>
          <w:lang w:val="es-ES"/>
        </w:rPr>
        <w:t>«</w:t>
      </w:r>
      <w:r w:rsidRPr="00310F22">
        <w:rPr>
          <w:rFonts w:ascii="Arial" w:eastAsiaTheme="minorHAnsi" w:hAnsi="Arial" w:cs="Arial"/>
          <w:bCs/>
          <w:color w:val="000000" w:themeColor="text1"/>
          <w:sz w:val="19"/>
          <w:szCs w:val="19"/>
          <w:lang w:val="es-ES_tradnl" w:eastAsia="es-ES_tradnl"/>
        </w:rPr>
        <w:t>Artículo 10. </w:t>
      </w:r>
      <w:r w:rsidRPr="00310F22">
        <w:rPr>
          <w:rFonts w:ascii="Arial" w:eastAsiaTheme="minorHAnsi" w:hAnsi="Arial" w:cs="Arial"/>
          <w:color w:val="000000" w:themeColor="text1"/>
          <w:sz w:val="19"/>
          <w:szCs w:val="19"/>
          <w:lang w:val="es-ES_tradnl" w:eastAsia="es-ES_tradnl"/>
        </w:rPr>
        <w:t xml:space="preserve">Utilización del correo para el envío de información. Modifíquese el artículo 25 del Decreto 2150 de 1995, el cual quedará así: </w:t>
      </w:r>
      <w:r w:rsidRPr="00310F22">
        <w:rPr>
          <w:rFonts w:ascii="Arial" w:eastAsiaTheme="minorHAnsi" w:hAnsi="Arial" w:cs="Arial"/>
          <w:color w:val="000000" w:themeColor="text1"/>
          <w:sz w:val="19"/>
          <w:szCs w:val="19"/>
          <w:lang w:val="es-ES_tradnl"/>
        </w:rPr>
        <w:t>"Artículo 25. Utilización del correo para el envío de información. Las entidades de la Administración Pública deberán facilitar la recepción y envío de documentos, propuestas o solicitudes y sus respectivas respuestas por medio de correo certificado y por correo electrónico.</w:t>
      </w:r>
    </w:p>
    <w:p w14:paraId="0842A7B5" w14:textId="77777777" w:rsidR="008C50FD" w:rsidRPr="00310F22" w:rsidRDefault="008C50FD" w:rsidP="003544CD">
      <w:pPr>
        <w:shd w:val="clear" w:color="auto" w:fill="FFFFFF"/>
        <w:ind w:firstLine="709"/>
        <w:jc w:val="both"/>
        <w:rPr>
          <w:rFonts w:ascii="Arial" w:hAnsi="Arial" w:cs="Arial"/>
          <w:color w:val="000000" w:themeColor="text1"/>
          <w:sz w:val="19"/>
          <w:szCs w:val="19"/>
          <w:lang w:val="es-ES_tradnl" w:eastAsia="es-ES_tradnl"/>
        </w:rPr>
      </w:pPr>
      <w:proofErr w:type="gramStart"/>
      <w:r w:rsidRPr="00310F22">
        <w:rPr>
          <w:rFonts w:ascii="Arial" w:hAnsi="Arial" w:cs="Arial"/>
          <w:color w:val="000000" w:themeColor="text1"/>
          <w:sz w:val="19"/>
          <w:szCs w:val="19"/>
          <w:lang w:val="es-ES_tradnl"/>
        </w:rPr>
        <w:t>»En</w:t>
      </w:r>
      <w:proofErr w:type="gramEnd"/>
      <w:r w:rsidRPr="00310F22">
        <w:rPr>
          <w:rFonts w:ascii="Arial" w:hAnsi="Arial" w:cs="Arial"/>
          <w:color w:val="000000" w:themeColor="text1"/>
          <w:sz w:val="19"/>
          <w:szCs w:val="19"/>
          <w:lang w:val="es-ES_tradnl"/>
        </w:rPr>
        <w:t xml:space="preserve"> ningún caso, se podrán rechazar o inadmitir las solicitudes o informes enviados por personas naturales o jurídicas que se hayan recibido por correo dentro del territorio nacional.</w:t>
      </w:r>
    </w:p>
    <w:p w14:paraId="0028868D" w14:textId="77777777" w:rsidR="008C50FD" w:rsidRPr="00310F22" w:rsidRDefault="008C50FD" w:rsidP="003544CD">
      <w:pPr>
        <w:shd w:val="clear" w:color="auto" w:fill="FFFFFF"/>
        <w:ind w:firstLine="709"/>
        <w:jc w:val="both"/>
        <w:rPr>
          <w:rFonts w:ascii="Arial" w:hAnsi="Arial" w:cs="Arial"/>
          <w:color w:val="000000" w:themeColor="text1"/>
          <w:sz w:val="19"/>
          <w:szCs w:val="19"/>
          <w:lang w:val="es-ES_tradnl"/>
        </w:rPr>
      </w:pPr>
      <w:proofErr w:type="gramStart"/>
      <w:r w:rsidRPr="00310F22">
        <w:rPr>
          <w:rFonts w:ascii="Arial" w:hAnsi="Arial" w:cs="Arial"/>
          <w:color w:val="000000" w:themeColor="text1"/>
          <w:sz w:val="19"/>
          <w:szCs w:val="19"/>
          <w:lang w:val="es-ES_tradnl"/>
        </w:rPr>
        <w:t>»Las</w:t>
      </w:r>
      <w:proofErr w:type="gramEnd"/>
      <w:r w:rsidRPr="00310F22">
        <w:rPr>
          <w:rFonts w:ascii="Arial" w:hAnsi="Arial" w:cs="Arial"/>
          <w:color w:val="000000" w:themeColor="text1"/>
          <w:sz w:val="19"/>
          <w:szCs w:val="19"/>
          <w:lang w:val="es-ES_tradnl"/>
        </w:rPr>
        <w:t xml:space="preserve"> peticiones de los administrados o usuarios se entenderán presentadas el día de incorporación al correo, pero para efectos del cómputo del término de respuesta, se entenderán radicadas el día en que efectivamente el documento llegue a la entidad y no el día de su incorporación al correo.</w:t>
      </w:r>
    </w:p>
    <w:p w14:paraId="2DBE80C0" w14:textId="77777777" w:rsidR="008C50FD" w:rsidRPr="00310F22" w:rsidRDefault="008C50FD" w:rsidP="003544CD">
      <w:pPr>
        <w:shd w:val="clear" w:color="auto" w:fill="FFFFFF"/>
        <w:ind w:firstLine="709"/>
        <w:jc w:val="both"/>
        <w:rPr>
          <w:rFonts w:ascii="Arial" w:hAnsi="Arial" w:cs="Arial"/>
          <w:color w:val="000000" w:themeColor="text1"/>
          <w:sz w:val="19"/>
          <w:szCs w:val="19"/>
          <w:lang w:val="es-ES_tradnl"/>
        </w:rPr>
      </w:pPr>
      <w:proofErr w:type="gramStart"/>
      <w:r w:rsidRPr="00310F22">
        <w:rPr>
          <w:rFonts w:ascii="Arial" w:hAnsi="Arial" w:cs="Arial"/>
          <w:color w:val="000000" w:themeColor="text1"/>
          <w:sz w:val="19"/>
          <w:szCs w:val="19"/>
          <w:lang w:val="es-ES_tradnl"/>
        </w:rPr>
        <w:t>»Las</w:t>
      </w:r>
      <w:proofErr w:type="gramEnd"/>
      <w:r w:rsidRPr="00310F22">
        <w:rPr>
          <w:rFonts w:ascii="Arial" w:hAnsi="Arial" w:cs="Arial"/>
          <w:color w:val="000000" w:themeColor="text1"/>
          <w:sz w:val="19"/>
          <w:szCs w:val="19"/>
          <w:lang w:val="es-ES_tradnl"/>
        </w:rPr>
        <w:t xml:space="preserve"> solicitudes formuladas a los administrados o usuarios a los que se refiere el presente artículo, y que sean enviadas por correo, deberán ser respondidas dentro del término que la propia comunicación señale, el cual empezará a contarse a partir de la fecha de recepción de la misma en el domicilio del destinatario. Cuando no sea posible establecer la fecha de recepción del documento en el domicilio del destinatario, se presumirá a los diez (10) días de la fecha de despacho en el correo.</w:t>
      </w:r>
    </w:p>
    <w:p w14:paraId="005E2211" w14:textId="77777777" w:rsidR="008C50FD" w:rsidRPr="00310F22" w:rsidRDefault="008C50FD" w:rsidP="003544CD">
      <w:pPr>
        <w:shd w:val="clear" w:color="auto" w:fill="FFFFFF"/>
        <w:ind w:firstLine="709"/>
        <w:jc w:val="both"/>
        <w:rPr>
          <w:rFonts w:ascii="Arial" w:hAnsi="Arial" w:cs="Arial"/>
          <w:color w:val="000000" w:themeColor="text1"/>
          <w:sz w:val="19"/>
          <w:szCs w:val="19"/>
          <w:lang w:val="es-ES_tradnl"/>
        </w:rPr>
      </w:pPr>
      <w:proofErr w:type="gramStart"/>
      <w:r w:rsidRPr="00310F22">
        <w:rPr>
          <w:rFonts w:ascii="Arial" w:hAnsi="Arial" w:cs="Arial"/>
          <w:color w:val="000000" w:themeColor="text1"/>
          <w:sz w:val="19"/>
          <w:szCs w:val="19"/>
          <w:lang w:val="es-ES_tradnl"/>
        </w:rPr>
        <w:t>»Igualmente</w:t>
      </w:r>
      <w:proofErr w:type="gramEnd"/>
      <w:r w:rsidRPr="00310F22">
        <w:rPr>
          <w:rFonts w:ascii="Arial" w:hAnsi="Arial" w:cs="Arial"/>
          <w:color w:val="000000" w:themeColor="text1"/>
          <w:sz w:val="19"/>
          <w:szCs w:val="19"/>
          <w:lang w:val="es-ES_tradnl"/>
        </w:rPr>
        <w:t>, los peticionarios podrán solicitar el envío por correo de documentos o información a la entidad pública, para lo cual deberán adjuntar a su petición un sobre con porte pagado y debidamente diligenciado.</w:t>
      </w:r>
    </w:p>
    <w:p w14:paraId="364D9FA6" w14:textId="77777777" w:rsidR="008C50FD" w:rsidRPr="00310F22" w:rsidRDefault="008C50FD" w:rsidP="003544CD">
      <w:pPr>
        <w:shd w:val="clear" w:color="auto" w:fill="FFFFFF"/>
        <w:ind w:firstLine="709"/>
        <w:jc w:val="both"/>
        <w:rPr>
          <w:rFonts w:ascii="Arial" w:hAnsi="Arial" w:cs="Arial"/>
          <w:color w:val="000000" w:themeColor="text1"/>
          <w:sz w:val="19"/>
          <w:szCs w:val="19"/>
          <w:lang w:val="es-ES_tradnl"/>
        </w:rPr>
      </w:pPr>
      <w:proofErr w:type="gramStart"/>
      <w:r w:rsidRPr="00310F22">
        <w:rPr>
          <w:rFonts w:ascii="Arial" w:hAnsi="Arial" w:cs="Arial"/>
          <w:bCs/>
          <w:color w:val="000000" w:themeColor="text1"/>
          <w:sz w:val="19"/>
          <w:szCs w:val="19"/>
          <w:lang w:val="es-ES_tradnl"/>
        </w:rPr>
        <w:t>»Parágrafo</w:t>
      </w:r>
      <w:proofErr w:type="gramEnd"/>
      <w:r w:rsidRPr="00310F22">
        <w:rPr>
          <w:rFonts w:ascii="Arial" w:hAnsi="Arial" w:cs="Arial"/>
          <w:bCs/>
          <w:color w:val="000000" w:themeColor="text1"/>
          <w:sz w:val="19"/>
          <w:szCs w:val="19"/>
          <w:lang w:val="es-ES_tradnl"/>
        </w:rPr>
        <w:t>. </w:t>
      </w:r>
      <w:r w:rsidRPr="00310F22">
        <w:rPr>
          <w:rFonts w:ascii="Arial" w:hAnsi="Arial" w:cs="Arial"/>
          <w:color w:val="000000" w:themeColor="text1"/>
          <w:sz w:val="19"/>
          <w:szCs w:val="19"/>
          <w:lang w:val="es-ES_tradnl"/>
        </w:rPr>
        <w:t>Para efectos del presente artículo, se entenderá válido el envío por correo certificado, siempre y cuando la dirección esté correcta y claramente diligenciada"».</w:t>
      </w:r>
    </w:p>
    <w:p w14:paraId="5AF262FE" w14:textId="77777777" w:rsidR="008C50FD" w:rsidRPr="00310F22" w:rsidRDefault="008C50FD" w:rsidP="003544CD">
      <w:pPr>
        <w:pStyle w:val="Textonotapie"/>
        <w:ind w:firstLine="709"/>
        <w:jc w:val="both"/>
        <w:rPr>
          <w:rFonts w:ascii="Arial" w:hAnsi="Arial" w:cs="Arial"/>
          <w:color w:val="000000" w:themeColor="text1"/>
          <w:sz w:val="19"/>
          <w:szCs w:val="19"/>
          <w:lang w:val="es-ES"/>
        </w:rPr>
      </w:pPr>
    </w:p>
  </w:footnote>
  <w:footnote w:id="11">
    <w:p w14:paraId="1FCCA1A3" w14:textId="77777777" w:rsidR="008C50FD" w:rsidRPr="00310F22" w:rsidRDefault="008C50FD" w:rsidP="003544CD">
      <w:pPr>
        <w:pStyle w:val="Textonotapie"/>
        <w:ind w:firstLine="709"/>
        <w:jc w:val="both"/>
        <w:rPr>
          <w:rFonts w:ascii="Arial" w:hAnsi="Arial" w:cs="Arial"/>
          <w:color w:val="000000" w:themeColor="text1"/>
          <w:sz w:val="19"/>
          <w:szCs w:val="19"/>
          <w:lang w:val="es-ES"/>
        </w:rPr>
      </w:pPr>
      <w:r w:rsidRPr="00310F22">
        <w:rPr>
          <w:rStyle w:val="Refdenotaalpie"/>
          <w:rFonts w:ascii="Arial" w:hAnsi="Arial" w:cs="Arial"/>
          <w:color w:val="000000" w:themeColor="text1"/>
          <w:sz w:val="19"/>
          <w:szCs w:val="19"/>
        </w:rPr>
        <w:footnoteRef/>
      </w:r>
      <w:r w:rsidRPr="00310F22">
        <w:rPr>
          <w:rFonts w:ascii="Arial" w:hAnsi="Arial" w:cs="Arial"/>
          <w:color w:val="000000" w:themeColor="text1"/>
          <w:sz w:val="19"/>
          <w:szCs w:val="19"/>
        </w:rPr>
        <w:t xml:space="preserve"> </w:t>
      </w:r>
      <w:r w:rsidRPr="00310F22">
        <w:rPr>
          <w:rFonts w:ascii="Arial" w:hAnsi="Arial" w:cs="Arial"/>
          <w:color w:val="000000" w:themeColor="text1"/>
          <w:sz w:val="19"/>
          <w:szCs w:val="19"/>
          <w:lang w:val="es-ES"/>
        </w:rPr>
        <w:t>«ARTÍCULO 14. Presentación de solicitudes, quejas, recomendaciones o reclamos fuera de la sede de la entidad. Los interesados que residan en una ciudad diferente a la de la sede de la entidad u organismo al que se dirigen, pueden presentar sus solicitudes, quejas, recomendaciones o reclamaciones a través de medios electrónicos, de sus dependencias regionales o seccionales. Si ellas no existieren, deberán hacerlo a través de aquellas en quienes deleguen en aplicación del artículo 9 de la Ley 489 de 1998, o a través de convenios que se suscriban para el efecto. En todo caso, los respectivos escritos deberán ser remitidos a la autoridad correspondiente dentro de las 24 horas siguientes».</w:t>
      </w:r>
    </w:p>
    <w:p w14:paraId="0861AB42" w14:textId="77777777" w:rsidR="008C50FD" w:rsidRPr="00310F22" w:rsidRDefault="008C50FD" w:rsidP="003544CD">
      <w:pPr>
        <w:pStyle w:val="Textonotapie"/>
        <w:ind w:firstLine="709"/>
        <w:jc w:val="both"/>
        <w:rPr>
          <w:rFonts w:ascii="Arial" w:hAnsi="Arial" w:cs="Arial"/>
          <w:color w:val="000000" w:themeColor="text1"/>
          <w:sz w:val="19"/>
          <w:szCs w:val="19"/>
          <w:lang w:val="es-ES"/>
        </w:rPr>
      </w:pPr>
    </w:p>
  </w:footnote>
  <w:footnote w:id="12">
    <w:p w14:paraId="25F3A991" w14:textId="77777777" w:rsidR="008C50FD" w:rsidRPr="00310F22" w:rsidRDefault="008C50FD" w:rsidP="003544CD">
      <w:pPr>
        <w:pStyle w:val="Textonotapie"/>
        <w:ind w:firstLine="709"/>
        <w:jc w:val="both"/>
        <w:rPr>
          <w:rFonts w:ascii="Arial" w:hAnsi="Arial" w:cs="Arial"/>
          <w:color w:val="000000" w:themeColor="text1"/>
          <w:sz w:val="19"/>
          <w:szCs w:val="19"/>
          <w:lang w:val="es-ES"/>
        </w:rPr>
      </w:pPr>
      <w:r w:rsidRPr="00310F22">
        <w:rPr>
          <w:rStyle w:val="Refdenotaalpie"/>
          <w:rFonts w:ascii="Arial" w:hAnsi="Arial" w:cs="Arial"/>
          <w:color w:val="000000" w:themeColor="text1"/>
          <w:sz w:val="19"/>
          <w:szCs w:val="19"/>
        </w:rPr>
        <w:footnoteRef/>
      </w:r>
      <w:r w:rsidRPr="00310F22">
        <w:rPr>
          <w:rFonts w:ascii="Arial" w:hAnsi="Arial" w:cs="Arial"/>
          <w:color w:val="000000" w:themeColor="text1"/>
          <w:sz w:val="19"/>
          <w:szCs w:val="19"/>
        </w:rPr>
        <w:t xml:space="preserve"> </w:t>
      </w:r>
      <w:r w:rsidRPr="00310F22">
        <w:rPr>
          <w:rFonts w:ascii="Arial" w:hAnsi="Arial" w:cs="Arial"/>
          <w:color w:val="000000" w:themeColor="text1"/>
          <w:sz w:val="19"/>
          <w:szCs w:val="19"/>
          <w:lang w:val="es-ES"/>
        </w:rPr>
        <w:t xml:space="preserve">«ARTÍCULO   223. Eliminación del diario único de contratación. A partir del primero de junio de 2012, los contratos estatales sólo se </w:t>
      </w:r>
      <w:proofErr w:type="gramStart"/>
      <w:r w:rsidRPr="00310F22">
        <w:rPr>
          <w:rFonts w:ascii="Arial" w:hAnsi="Arial" w:cs="Arial"/>
          <w:color w:val="000000" w:themeColor="text1"/>
          <w:sz w:val="19"/>
          <w:szCs w:val="19"/>
          <w:lang w:val="es-ES"/>
        </w:rPr>
        <w:t>publicaran</w:t>
      </w:r>
      <w:proofErr w:type="gramEnd"/>
      <w:r w:rsidRPr="00310F22">
        <w:rPr>
          <w:rFonts w:ascii="Arial" w:hAnsi="Arial" w:cs="Arial"/>
          <w:color w:val="000000" w:themeColor="text1"/>
          <w:sz w:val="19"/>
          <w:szCs w:val="19"/>
          <w:lang w:val="es-ES"/>
        </w:rPr>
        <w:t xml:space="preserve"> en el Sistema Electrónico para la Contratación Pública -SECOP- que administra la Agencia Nacional de Contratación Pública- Colombia Compra Eficiente. En consecuencia, a partir de dicha fecha los contratos estatales no requerirán de publicación en el Diario Único de Contratación y quedarán derogados el parágrafo 3 del artículo 41 de la Ley 80 de 1993, los artículos 59, 60, 61 y 62 de la ley 190 de 1995 y el parágrafo 2 del artículo 3 de la Ley 1150 de 2007».</w:t>
      </w:r>
    </w:p>
    <w:p w14:paraId="0FBCE80F" w14:textId="77777777" w:rsidR="008C50FD" w:rsidRPr="00310F22" w:rsidRDefault="008C50FD" w:rsidP="003544CD">
      <w:pPr>
        <w:pStyle w:val="Textonotapie"/>
        <w:ind w:firstLine="709"/>
        <w:jc w:val="both"/>
        <w:rPr>
          <w:rFonts w:ascii="Arial" w:hAnsi="Arial" w:cs="Arial"/>
          <w:color w:val="000000" w:themeColor="text1"/>
          <w:sz w:val="19"/>
          <w:szCs w:val="19"/>
          <w:lang w:val="es-ES"/>
        </w:rPr>
      </w:pPr>
    </w:p>
  </w:footnote>
  <w:footnote w:id="13">
    <w:p w14:paraId="5D1F4CC2" w14:textId="77777777" w:rsidR="008C50FD" w:rsidRPr="00310F22" w:rsidRDefault="008C50FD" w:rsidP="003544CD">
      <w:pPr>
        <w:pStyle w:val="Textonotapie"/>
        <w:ind w:firstLine="709"/>
        <w:jc w:val="both"/>
        <w:rPr>
          <w:rFonts w:ascii="Arial" w:hAnsi="Arial" w:cs="Arial"/>
          <w:color w:val="000000" w:themeColor="text1"/>
          <w:sz w:val="19"/>
          <w:szCs w:val="19"/>
          <w:lang w:val="es-ES"/>
        </w:rPr>
      </w:pPr>
      <w:r w:rsidRPr="00310F22">
        <w:rPr>
          <w:rStyle w:val="Refdenotaalpie"/>
          <w:rFonts w:ascii="Arial" w:hAnsi="Arial" w:cs="Arial"/>
          <w:color w:val="000000" w:themeColor="text1"/>
          <w:sz w:val="19"/>
          <w:szCs w:val="19"/>
        </w:rPr>
        <w:footnoteRef/>
      </w:r>
      <w:r w:rsidRPr="00310F22">
        <w:rPr>
          <w:rFonts w:ascii="Arial" w:hAnsi="Arial" w:cs="Arial"/>
          <w:color w:val="000000" w:themeColor="text1"/>
          <w:sz w:val="19"/>
          <w:szCs w:val="19"/>
        </w:rPr>
        <w:t xml:space="preserve"> </w:t>
      </w:r>
      <w:r w:rsidRPr="00310F22">
        <w:rPr>
          <w:rFonts w:ascii="Arial" w:hAnsi="Arial" w:cs="Arial"/>
          <w:color w:val="000000" w:themeColor="text1"/>
          <w:sz w:val="19"/>
          <w:szCs w:val="19"/>
          <w:lang w:val="es-ES"/>
        </w:rPr>
        <w:t>Artículo 9.</w:t>
      </w:r>
    </w:p>
    <w:p w14:paraId="14D088FE" w14:textId="77777777" w:rsidR="008C50FD" w:rsidRPr="00310F22" w:rsidRDefault="008C50FD" w:rsidP="003544CD">
      <w:pPr>
        <w:pStyle w:val="Textonotapie"/>
        <w:ind w:firstLine="709"/>
        <w:jc w:val="both"/>
        <w:rPr>
          <w:rFonts w:ascii="Arial" w:hAnsi="Arial" w:cs="Arial"/>
          <w:color w:val="000000" w:themeColor="text1"/>
          <w:sz w:val="19"/>
          <w:szCs w:val="19"/>
          <w:lang w:val="es-ES"/>
        </w:rPr>
      </w:pPr>
    </w:p>
  </w:footnote>
  <w:footnote w:id="14">
    <w:p w14:paraId="1F243BF0" w14:textId="77777777" w:rsidR="008C50FD" w:rsidRPr="00310F22" w:rsidRDefault="008C50FD" w:rsidP="003544CD">
      <w:pPr>
        <w:pStyle w:val="Textonotapie"/>
        <w:ind w:firstLine="709"/>
        <w:jc w:val="both"/>
        <w:rPr>
          <w:rFonts w:ascii="Arial" w:hAnsi="Arial" w:cs="Arial"/>
          <w:color w:val="000000" w:themeColor="text1"/>
          <w:sz w:val="19"/>
          <w:szCs w:val="19"/>
          <w:lang w:val="es-ES"/>
        </w:rPr>
      </w:pPr>
      <w:r w:rsidRPr="00310F22">
        <w:rPr>
          <w:rStyle w:val="Refdenotaalpie"/>
          <w:rFonts w:ascii="Arial" w:hAnsi="Arial" w:cs="Arial"/>
          <w:color w:val="000000" w:themeColor="text1"/>
          <w:sz w:val="19"/>
          <w:szCs w:val="19"/>
        </w:rPr>
        <w:footnoteRef/>
      </w:r>
      <w:r w:rsidRPr="00310F22">
        <w:rPr>
          <w:rFonts w:ascii="Arial" w:hAnsi="Arial" w:cs="Arial"/>
          <w:color w:val="000000" w:themeColor="text1"/>
          <w:sz w:val="19"/>
          <w:szCs w:val="19"/>
        </w:rPr>
        <w:t xml:space="preserve"> </w:t>
      </w:r>
      <w:r w:rsidRPr="00310F22">
        <w:rPr>
          <w:rFonts w:ascii="Arial" w:hAnsi="Arial" w:cs="Arial"/>
          <w:color w:val="000000" w:themeColor="text1"/>
          <w:sz w:val="19"/>
          <w:szCs w:val="19"/>
          <w:lang w:val="es-ES"/>
        </w:rPr>
        <w:t>Artículo 14.</w:t>
      </w:r>
    </w:p>
    <w:p w14:paraId="4C1C1A7D" w14:textId="77777777" w:rsidR="008C50FD" w:rsidRPr="00310F22" w:rsidRDefault="008C50FD" w:rsidP="003544CD">
      <w:pPr>
        <w:pStyle w:val="Textonotapie"/>
        <w:ind w:firstLine="709"/>
        <w:jc w:val="both"/>
        <w:rPr>
          <w:rFonts w:ascii="Arial" w:hAnsi="Arial" w:cs="Arial"/>
          <w:color w:val="000000" w:themeColor="text1"/>
          <w:sz w:val="19"/>
          <w:szCs w:val="19"/>
          <w:lang w:val="es-ES"/>
        </w:rPr>
      </w:pPr>
    </w:p>
  </w:footnote>
  <w:footnote w:id="15">
    <w:p w14:paraId="6D30FF01" w14:textId="77777777" w:rsidR="008C50FD" w:rsidRPr="00310F22" w:rsidRDefault="008C50FD" w:rsidP="003544CD">
      <w:pPr>
        <w:pStyle w:val="Textonotapie"/>
        <w:ind w:firstLine="709"/>
        <w:jc w:val="both"/>
        <w:rPr>
          <w:rFonts w:ascii="Arial" w:hAnsi="Arial" w:cs="Arial"/>
          <w:color w:val="000000" w:themeColor="text1"/>
          <w:sz w:val="19"/>
          <w:szCs w:val="19"/>
          <w:lang w:val="es-ES"/>
        </w:rPr>
      </w:pPr>
      <w:r w:rsidRPr="00310F22">
        <w:rPr>
          <w:rStyle w:val="Refdenotaalpie"/>
          <w:rFonts w:ascii="Arial" w:hAnsi="Arial" w:cs="Arial"/>
          <w:color w:val="000000" w:themeColor="text1"/>
          <w:sz w:val="19"/>
          <w:szCs w:val="19"/>
        </w:rPr>
        <w:footnoteRef/>
      </w:r>
      <w:r w:rsidRPr="00310F22">
        <w:rPr>
          <w:rFonts w:ascii="Arial" w:hAnsi="Arial" w:cs="Arial"/>
          <w:color w:val="000000" w:themeColor="text1"/>
          <w:sz w:val="19"/>
          <w:szCs w:val="19"/>
        </w:rPr>
        <w:t xml:space="preserve"> </w:t>
      </w:r>
      <w:r w:rsidRPr="00310F22">
        <w:rPr>
          <w:rFonts w:ascii="Arial" w:hAnsi="Arial" w:cs="Arial"/>
          <w:color w:val="000000" w:themeColor="text1"/>
          <w:sz w:val="19"/>
          <w:szCs w:val="19"/>
          <w:lang w:val="es-ES"/>
        </w:rPr>
        <w:t>Artículo 16.</w:t>
      </w:r>
    </w:p>
    <w:p w14:paraId="0BB3C227" w14:textId="77777777" w:rsidR="008C50FD" w:rsidRPr="00310F22" w:rsidRDefault="008C50FD" w:rsidP="003544CD">
      <w:pPr>
        <w:pStyle w:val="Textonotapie"/>
        <w:ind w:firstLine="709"/>
        <w:jc w:val="both"/>
        <w:rPr>
          <w:rFonts w:ascii="Arial" w:hAnsi="Arial" w:cs="Arial"/>
          <w:color w:val="000000" w:themeColor="text1"/>
          <w:sz w:val="19"/>
          <w:szCs w:val="19"/>
          <w:lang w:val="es-ES"/>
        </w:rPr>
      </w:pPr>
    </w:p>
  </w:footnote>
  <w:footnote w:id="16">
    <w:p w14:paraId="0A2BFE28" w14:textId="77777777" w:rsidR="008C50FD" w:rsidRPr="00310F22" w:rsidRDefault="008C50FD" w:rsidP="003544CD">
      <w:pPr>
        <w:pStyle w:val="Textonotapie"/>
        <w:ind w:firstLine="709"/>
        <w:jc w:val="both"/>
        <w:rPr>
          <w:rFonts w:ascii="Arial" w:hAnsi="Arial" w:cs="Arial"/>
          <w:color w:val="000000" w:themeColor="text1"/>
          <w:sz w:val="19"/>
          <w:szCs w:val="19"/>
          <w:lang w:val="es-ES"/>
        </w:rPr>
      </w:pPr>
      <w:r w:rsidRPr="00310F22">
        <w:rPr>
          <w:rStyle w:val="Refdenotaalpie"/>
          <w:rFonts w:ascii="Arial" w:hAnsi="Arial" w:cs="Arial"/>
          <w:color w:val="000000" w:themeColor="text1"/>
          <w:sz w:val="19"/>
          <w:szCs w:val="19"/>
        </w:rPr>
        <w:footnoteRef/>
      </w:r>
      <w:r w:rsidRPr="00310F22">
        <w:rPr>
          <w:rFonts w:ascii="Arial" w:hAnsi="Arial" w:cs="Arial"/>
          <w:color w:val="000000" w:themeColor="text1"/>
          <w:sz w:val="19"/>
          <w:szCs w:val="19"/>
        </w:rPr>
        <w:t xml:space="preserve"> </w:t>
      </w:r>
      <w:r w:rsidRPr="00310F22">
        <w:rPr>
          <w:rFonts w:ascii="Arial" w:hAnsi="Arial" w:cs="Arial"/>
          <w:color w:val="000000" w:themeColor="text1"/>
          <w:sz w:val="19"/>
          <w:szCs w:val="19"/>
          <w:lang w:val="es-ES"/>
        </w:rPr>
        <w:t>Artículo 2, literal a).</w:t>
      </w:r>
    </w:p>
    <w:p w14:paraId="54C1E98B" w14:textId="77777777" w:rsidR="008C50FD" w:rsidRPr="00310F22" w:rsidRDefault="008C50FD" w:rsidP="003544CD">
      <w:pPr>
        <w:pStyle w:val="Textonotapie"/>
        <w:ind w:firstLine="709"/>
        <w:jc w:val="both"/>
        <w:rPr>
          <w:rFonts w:ascii="Arial" w:hAnsi="Arial" w:cs="Arial"/>
          <w:color w:val="000000" w:themeColor="text1"/>
          <w:sz w:val="19"/>
          <w:szCs w:val="19"/>
          <w:lang w:val="es-ES"/>
        </w:rPr>
      </w:pPr>
    </w:p>
  </w:footnote>
  <w:footnote w:id="17">
    <w:p w14:paraId="2E296F5C" w14:textId="77777777" w:rsidR="008C50FD" w:rsidRPr="00310F22" w:rsidRDefault="008C50FD" w:rsidP="003544CD">
      <w:pPr>
        <w:pStyle w:val="Textonotapie"/>
        <w:ind w:firstLine="709"/>
        <w:jc w:val="both"/>
        <w:rPr>
          <w:rFonts w:ascii="Arial" w:hAnsi="Arial" w:cs="Arial"/>
          <w:color w:val="000000" w:themeColor="text1"/>
          <w:sz w:val="19"/>
          <w:szCs w:val="19"/>
          <w:lang w:val="es-ES"/>
        </w:rPr>
      </w:pPr>
      <w:r w:rsidRPr="00310F22">
        <w:rPr>
          <w:rStyle w:val="Refdenotaalpie"/>
          <w:rFonts w:ascii="Arial" w:hAnsi="Arial" w:cs="Arial"/>
          <w:color w:val="000000" w:themeColor="text1"/>
          <w:sz w:val="19"/>
          <w:szCs w:val="19"/>
        </w:rPr>
        <w:footnoteRef/>
      </w:r>
      <w:r w:rsidRPr="00310F22">
        <w:rPr>
          <w:rFonts w:ascii="Arial" w:hAnsi="Arial" w:cs="Arial"/>
          <w:color w:val="000000" w:themeColor="text1"/>
          <w:sz w:val="19"/>
          <w:szCs w:val="19"/>
        </w:rPr>
        <w:t xml:space="preserve"> </w:t>
      </w:r>
      <w:r w:rsidRPr="00310F22">
        <w:rPr>
          <w:rFonts w:ascii="Arial" w:hAnsi="Arial" w:cs="Arial"/>
          <w:color w:val="000000" w:themeColor="text1"/>
          <w:sz w:val="19"/>
          <w:szCs w:val="19"/>
          <w:lang w:val="es-ES"/>
        </w:rPr>
        <w:t>Artículo 2, literal f).</w:t>
      </w:r>
    </w:p>
    <w:p w14:paraId="06A1EB8D" w14:textId="77777777" w:rsidR="008C50FD" w:rsidRPr="00310F22" w:rsidRDefault="008C50FD" w:rsidP="003544CD">
      <w:pPr>
        <w:pStyle w:val="Textonotapie"/>
        <w:ind w:firstLine="709"/>
        <w:jc w:val="both"/>
        <w:rPr>
          <w:rFonts w:ascii="Arial" w:hAnsi="Arial" w:cs="Arial"/>
          <w:color w:val="000000" w:themeColor="text1"/>
          <w:sz w:val="19"/>
          <w:szCs w:val="19"/>
          <w:lang w:val="es-ES"/>
        </w:rPr>
      </w:pPr>
    </w:p>
  </w:footnote>
  <w:footnote w:id="18">
    <w:p w14:paraId="0CD62C82" w14:textId="77777777" w:rsidR="008C50FD" w:rsidRPr="00310F22" w:rsidRDefault="008C50FD" w:rsidP="003544CD">
      <w:pPr>
        <w:pStyle w:val="Textonotapie"/>
        <w:ind w:firstLine="709"/>
        <w:jc w:val="both"/>
        <w:rPr>
          <w:rFonts w:ascii="Arial" w:hAnsi="Arial" w:cs="Arial"/>
          <w:color w:val="000000" w:themeColor="text1"/>
          <w:sz w:val="19"/>
          <w:szCs w:val="19"/>
          <w:lang w:val="es-ES"/>
        </w:rPr>
      </w:pPr>
      <w:r w:rsidRPr="00310F22">
        <w:rPr>
          <w:rStyle w:val="Refdenotaalpie"/>
          <w:rFonts w:ascii="Arial" w:hAnsi="Arial" w:cs="Arial"/>
          <w:color w:val="000000" w:themeColor="text1"/>
          <w:sz w:val="19"/>
          <w:szCs w:val="19"/>
        </w:rPr>
        <w:footnoteRef/>
      </w:r>
      <w:r w:rsidRPr="00310F22">
        <w:rPr>
          <w:rFonts w:ascii="Arial" w:hAnsi="Arial" w:cs="Arial"/>
          <w:color w:val="000000" w:themeColor="text1"/>
          <w:sz w:val="19"/>
          <w:szCs w:val="19"/>
        </w:rPr>
        <w:t xml:space="preserve"> </w:t>
      </w:r>
      <w:r w:rsidRPr="00310F22">
        <w:rPr>
          <w:rFonts w:ascii="Arial" w:hAnsi="Arial" w:cs="Arial"/>
          <w:color w:val="000000" w:themeColor="text1"/>
          <w:sz w:val="19"/>
          <w:szCs w:val="19"/>
          <w:lang w:val="es-ES"/>
        </w:rPr>
        <w:t>Artículos 53 al 64.</w:t>
      </w:r>
    </w:p>
    <w:p w14:paraId="0F76381E" w14:textId="77777777" w:rsidR="008C50FD" w:rsidRPr="00310F22" w:rsidRDefault="008C50FD" w:rsidP="003544CD">
      <w:pPr>
        <w:pStyle w:val="Textonotapie"/>
        <w:ind w:firstLine="709"/>
        <w:jc w:val="both"/>
        <w:rPr>
          <w:rFonts w:ascii="Arial" w:hAnsi="Arial" w:cs="Arial"/>
          <w:color w:val="000000" w:themeColor="text1"/>
          <w:sz w:val="19"/>
          <w:szCs w:val="19"/>
          <w:lang w:val="es-ES"/>
        </w:rPr>
      </w:pPr>
    </w:p>
  </w:footnote>
  <w:footnote w:id="19">
    <w:p w14:paraId="455395EA" w14:textId="77777777" w:rsidR="008C50FD" w:rsidRPr="00310F22" w:rsidRDefault="008C50FD" w:rsidP="003544CD">
      <w:pPr>
        <w:pStyle w:val="Textonotapie"/>
        <w:ind w:firstLine="709"/>
        <w:jc w:val="both"/>
        <w:rPr>
          <w:rFonts w:ascii="Arial" w:hAnsi="Arial" w:cs="Arial"/>
          <w:color w:val="000000" w:themeColor="text1"/>
          <w:sz w:val="19"/>
          <w:szCs w:val="19"/>
        </w:rPr>
      </w:pPr>
      <w:r w:rsidRPr="00310F22">
        <w:rPr>
          <w:rStyle w:val="Refdenotaalpie"/>
          <w:rFonts w:ascii="Arial" w:hAnsi="Arial" w:cs="Arial"/>
          <w:color w:val="000000" w:themeColor="text1"/>
          <w:sz w:val="19"/>
          <w:szCs w:val="19"/>
        </w:rPr>
        <w:footnoteRef/>
      </w:r>
      <w:r w:rsidRPr="00310F22">
        <w:rPr>
          <w:rFonts w:ascii="Arial" w:hAnsi="Arial" w:cs="Arial"/>
          <w:color w:val="000000" w:themeColor="text1"/>
          <w:sz w:val="19"/>
          <w:szCs w:val="19"/>
        </w:rPr>
        <w:t xml:space="preserve"> </w:t>
      </w:r>
      <w:r w:rsidRPr="00310F22">
        <w:rPr>
          <w:rFonts w:ascii="Arial" w:eastAsia="Calibri" w:hAnsi="Arial" w:cs="Arial"/>
          <w:color w:val="000000" w:themeColor="text1"/>
          <w:sz w:val="19"/>
          <w:szCs w:val="19"/>
        </w:rPr>
        <w:t xml:space="preserve">REMOLINA, Nelson. &amp; PEÑA, Lisandro De los títulos valores y de los valores en el contexto digital. 1° ed. Bogotá: GECTI Universidad de los Andes. Ediciones </w:t>
      </w:r>
      <w:r w:rsidRPr="00310F22">
        <w:rPr>
          <w:rFonts w:ascii="Arial" w:eastAsia="Calibri" w:hAnsi="Arial" w:cs="Arial"/>
          <w:color w:val="000000" w:themeColor="text1"/>
          <w:sz w:val="19"/>
          <w:szCs w:val="19"/>
        </w:rPr>
        <w:t xml:space="preserve">Uniandinas. Editorial Temis, 2011. </w:t>
      </w:r>
    </w:p>
  </w:footnote>
  <w:footnote w:id="20">
    <w:p w14:paraId="32AB02A2" w14:textId="77777777" w:rsidR="008C50FD" w:rsidRPr="00310F22" w:rsidRDefault="008C50FD" w:rsidP="003544CD">
      <w:pPr>
        <w:pStyle w:val="Textonotapie"/>
        <w:ind w:firstLine="709"/>
        <w:jc w:val="both"/>
        <w:rPr>
          <w:rFonts w:ascii="Arial" w:hAnsi="Arial" w:cs="Arial"/>
          <w:color w:val="000000" w:themeColor="text1"/>
          <w:sz w:val="19"/>
          <w:szCs w:val="19"/>
        </w:rPr>
      </w:pPr>
    </w:p>
    <w:p w14:paraId="6590C569" w14:textId="77777777" w:rsidR="008C50FD" w:rsidRPr="00310F22" w:rsidRDefault="008C50FD" w:rsidP="003544CD">
      <w:pPr>
        <w:pStyle w:val="Textonotapie"/>
        <w:ind w:firstLine="709"/>
        <w:jc w:val="both"/>
        <w:rPr>
          <w:rFonts w:ascii="Arial" w:eastAsia="Calibri" w:hAnsi="Arial" w:cs="Arial"/>
          <w:color w:val="000000" w:themeColor="text1"/>
          <w:sz w:val="19"/>
          <w:szCs w:val="19"/>
        </w:rPr>
      </w:pPr>
      <w:r w:rsidRPr="00310F22">
        <w:rPr>
          <w:rStyle w:val="Refdenotaalpie"/>
          <w:rFonts w:ascii="Arial" w:hAnsi="Arial" w:cs="Arial"/>
          <w:color w:val="000000" w:themeColor="text1"/>
          <w:sz w:val="19"/>
          <w:szCs w:val="19"/>
        </w:rPr>
        <w:footnoteRef/>
      </w:r>
      <w:r w:rsidRPr="00310F22">
        <w:rPr>
          <w:rFonts w:ascii="Arial" w:hAnsi="Arial" w:cs="Arial"/>
          <w:color w:val="000000" w:themeColor="text1"/>
          <w:sz w:val="19"/>
          <w:szCs w:val="19"/>
        </w:rPr>
        <w:t xml:space="preserve"> </w:t>
      </w:r>
      <w:r w:rsidRPr="00310F22">
        <w:rPr>
          <w:rFonts w:ascii="Arial" w:eastAsia="Calibri" w:hAnsi="Arial" w:cs="Arial"/>
          <w:color w:val="000000" w:themeColor="text1"/>
          <w:sz w:val="19"/>
          <w:szCs w:val="19"/>
        </w:rPr>
        <w:t xml:space="preserve">Ley 527 de 1999: «Artículo 30. Actividades de las entidades de certificación. Las entidades de certificación acreditadas por el Organismo Nacional de Acreditación de Colombia para prestar sus servicios en el </w:t>
      </w:r>
      <w:proofErr w:type="gramStart"/>
      <w:r w:rsidRPr="00310F22">
        <w:rPr>
          <w:rFonts w:ascii="Arial" w:eastAsia="Calibri" w:hAnsi="Arial" w:cs="Arial"/>
          <w:color w:val="000000" w:themeColor="text1"/>
          <w:sz w:val="19"/>
          <w:szCs w:val="19"/>
        </w:rPr>
        <w:t>país,</w:t>
      </w:r>
      <w:proofErr w:type="gramEnd"/>
      <w:r w:rsidRPr="00310F22">
        <w:rPr>
          <w:rFonts w:ascii="Arial" w:eastAsia="Calibri" w:hAnsi="Arial" w:cs="Arial"/>
          <w:color w:val="000000" w:themeColor="text1"/>
          <w:sz w:val="19"/>
          <w:szCs w:val="19"/>
        </w:rPr>
        <w:t xml:space="preserve"> podrán realizar, entre otras, las siguientes actividades:</w:t>
      </w:r>
    </w:p>
    <w:p w14:paraId="7DF22EB3" w14:textId="77777777" w:rsidR="008C50FD" w:rsidRPr="00310F22" w:rsidRDefault="008C50FD" w:rsidP="003544CD">
      <w:pPr>
        <w:pStyle w:val="Textonotapie"/>
        <w:ind w:firstLine="709"/>
        <w:jc w:val="both"/>
        <w:rPr>
          <w:rFonts w:ascii="Arial" w:eastAsia="Calibri" w:hAnsi="Arial" w:cs="Arial"/>
          <w:color w:val="000000" w:themeColor="text1"/>
          <w:sz w:val="19"/>
          <w:szCs w:val="19"/>
        </w:rPr>
      </w:pPr>
      <w:r w:rsidRPr="00310F22">
        <w:rPr>
          <w:rFonts w:ascii="Arial" w:eastAsia="Calibri" w:hAnsi="Arial" w:cs="Arial"/>
          <w:color w:val="000000" w:themeColor="text1"/>
          <w:sz w:val="19"/>
          <w:szCs w:val="19"/>
        </w:rPr>
        <w:t>»1. Emitir certificados en relación con las firmas electrónicas o digitales de personas naturales o jurídicas».</w:t>
      </w:r>
    </w:p>
  </w:footnote>
  <w:footnote w:id="21">
    <w:p w14:paraId="4EF675E6" w14:textId="77777777" w:rsidR="008C50FD" w:rsidRPr="00310F22" w:rsidRDefault="008C50FD" w:rsidP="003544CD">
      <w:pPr>
        <w:shd w:val="clear" w:color="auto" w:fill="FFFFFF"/>
        <w:ind w:firstLine="709"/>
        <w:jc w:val="both"/>
        <w:rPr>
          <w:rFonts w:ascii="Arial" w:eastAsia="Times New Roman" w:hAnsi="Arial" w:cs="Arial"/>
          <w:color w:val="000000" w:themeColor="text1"/>
          <w:sz w:val="19"/>
          <w:szCs w:val="19"/>
        </w:rPr>
      </w:pPr>
      <w:r w:rsidRPr="00310F22">
        <w:rPr>
          <w:rStyle w:val="Refdenotaalpie"/>
          <w:rFonts w:ascii="Arial" w:hAnsi="Arial" w:cs="Arial"/>
          <w:color w:val="000000" w:themeColor="text1"/>
          <w:sz w:val="19"/>
          <w:szCs w:val="19"/>
        </w:rPr>
        <w:footnoteRef/>
      </w:r>
      <w:r w:rsidRPr="00310F22">
        <w:rPr>
          <w:rStyle w:val="Refdenotaalpie"/>
          <w:rFonts w:ascii="Arial" w:hAnsi="Arial" w:cs="Arial"/>
          <w:color w:val="000000" w:themeColor="text1"/>
          <w:sz w:val="19"/>
          <w:szCs w:val="19"/>
        </w:rPr>
        <w:t xml:space="preserve"> </w:t>
      </w:r>
      <w:r w:rsidRPr="00310F22">
        <w:rPr>
          <w:rFonts w:ascii="Arial" w:hAnsi="Arial" w:cs="Arial"/>
          <w:color w:val="000000" w:themeColor="text1"/>
          <w:sz w:val="19"/>
          <w:szCs w:val="19"/>
        </w:rPr>
        <w:t>Decreto 2364 de 2012 “</w:t>
      </w:r>
      <w:r w:rsidRPr="00310F22">
        <w:rPr>
          <w:rFonts w:ascii="Arial" w:hAnsi="Arial" w:cs="Arial"/>
          <w:bCs/>
          <w:color w:val="000000" w:themeColor="text1"/>
          <w:sz w:val="19"/>
          <w:szCs w:val="19"/>
        </w:rPr>
        <w:t>Artículo </w:t>
      </w:r>
      <w:bookmarkStart w:id="4" w:name="2.2.2.47.1"/>
      <w:bookmarkEnd w:id="4"/>
      <w:r w:rsidRPr="00310F22">
        <w:rPr>
          <w:rFonts w:ascii="Arial" w:hAnsi="Arial" w:cs="Arial"/>
          <w:bCs/>
          <w:color w:val="000000" w:themeColor="text1"/>
          <w:sz w:val="19"/>
          <w:szCs w:val="19"/>
        </w:rPr>
        <w:t>1</w:t>
      </w:r>
      <w:r w:rsidRPr="00310F22">
        <w:rPr>
          <w:rFonts w:ascii="Arial" w:hAnsi="Arial" w:cs="Arial"/>
          <w:b/>
          <w:bCs/>
          <w:i/>
          <w:iCs/>
          <w:color w:val="000000" w:themeColor="text1"/>
          <w:sz w:val="19"/>
          <w:szCs w:val="19"/>
        </w:rPr>
        <w:t xml:space="preserve">. </w:t>
      </w:r>
      <w:r w:rsidRPr="00310F22">
        <w:rPr>
          <w:rFonts w:ascii="Arial" w:hAnsi="Arial" w:cs="Arial"/>
          <w:bCs/>
          <w:iCs/>
          <w:color w:val="000000" w:themeColor="text1"/>
          <w:sz w:val="19"/>
          <w:szCs w:val="19"/>
        </w:rPr>
        <w:t>Definiciones.</w:t>
      </w:r>
      <w:r w:rsidRPr="00310F22">
        <w:rPr>
          <w:rFonts w:ascii="Arial" w:hAnsi="Arial" w:cs="Arial"/>
          <w:color w:val="000000" w:themeColor="text1"/>
          <w:sz w:val="19"/>
          <w:szCs w:val="19"/>
        </w:rPr>
        <w:t> Para los fines del presente capítulo se entenderá por:</w:t>
      </w:r>
    </w:p>
    <w:p w14:paraId="6015CF8B" w14:textId="77777777" w:rsidR="008C50FD" w:rsidRPr="00310F22" w:rsidRDefault="008C50FD" w:rsidP="003544CD">
      <w:pPr>
        <w:shd w:val="clear" w:color="auto" w:fill="FFFFFF"/>
        <w:ind w:firstLine="709"/>
        <w:jc w:val="both"/>
        <w:rPr>
          <w:rFonts w:ascii="Arial" w:hAnsi="Arial" w:cs="Arial"/>
          <w:color w:val="000000" w:themeColor="text1"/>
          <w:sz w:val="19"/>
          <w:szCs w:val="19"/>
        </w:rPr>
      </w:pPr>
      <w:r w:rsidRPr="00310F22">
        <w:rPr>
          <w:rFonts w:ascii="Arial" w:hAnsi="Arial" w:cs="Arial"/>
          <w:color w:val="000000" w:themeColor="text1"/>
          <w:sz w:val="19"/>
          <w:szCs w:val="19"/>
        </w:rPr>
        <w:t>“1. Acuerdo sobre el uso del mecanismo de firma electrónica: Acuerdo de voluntades mediante el cual se estipulan las condiciones legales y técnicas a las cuales se ajustarán las partes para realizar comunicaciones, efectuar transacciones, crear documentos electrónicos o cualquier otra actividad mediante el uso del intercambio electrónico de datos.</w:t>
      </w:r>
    </w:p>
    <w:p w14:paraId="3FC80347" w14:textId="77777777" w:rsidR="008C50FD" w:rsidRPr="00310F22" w:rsidRDefault="008C50FD" w:rsidP="003544CD">
      <w:pPr>
        <w:shd w:val="clear" w:color="auto" w:fill="FFFFFF"/>
        <w:ind w:firstLine="709"/>
        <w:jc w:val="both"/>
        <w:rPr>
          <w:rFonts w:ascii="Arial" w:hAnsi="Arial" w:cs="Arial"/>
          <w:color w:val="000000" w:themeColor="text1"/>
          <w:sz w:val="19"/>
          <w:szCs w:val="19"/>
        </w:rPr>
      </w:pPr>
      <w:r w:rsidRPr="00310F22">
        <w:rPr>
          <w:rFonts w:ascii="Arial" w:hAnsi="Arial" w:cs="Arial"/>
          <w:color w:val="000000" w:themeColor="text1"/>
          <w:sz w:val="19"/>
          <w:szCs w:val="19"/>
        </w:rPr>
        <w:t>“2. Datos de creación de la firma electrónica: Datos únicos y personalísimos, que el firmante utiliza para firmar.</w:t>
      </w:r>
    </w:p>
    <w:p w14:paraId="77329754" w14:textId="77777777" w:rsidR="008C50FD" w:rsidRPr="00310F22" w:rsidRDefault="008C50FD" w:rsidP="003544CD">
      <w:pPr>
        <w:shd w:val="clear" w:color="auto" w:fill="FFFFFF"/>
        <w:ind w:firstLine="709"/>
        <w:jc w:val="both"/>
        <w:rPr>
          <w:rFonts w:ascii="Arial" w:hAnsi="Arial" w:cs="Arial"/>
          <w:color w:val="000000" w:themeColor="text1"/>
          <w:sz w:val="19"/>
          <w:szCs w:val="19"/>
        </w:rPr>
      </w:pPr>
      <w:r w:rsidRPr="00310F22">
        <w:rPr>
          <w:rFonts w:ascii="Arial" w:hAnsi="Arial" w:cs="Arial"/>
          <w:color w:val="000000" w:themeColor="text1"/>
          <w:sz w:val="19"/>
          <w:szCs w:val="19"/>
        </w:rPr>
        <w:t>“3. Firma electrónica.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w:t>
      </w:r>
    </w:p>
    <w:p w14:paraId="6AE457DE" w14:textId="77777777" w:rsidR="008C50FD" w:rsidRPr="00310F22" w:rsidRDefault="008C50FD" w:rsidP="003544CD">
      <w:pPr>
        <w:shd w:val="clear" w:color="auto" w:fill="FFFFFF"/>
        <w:ind w:firstLine="709"/>
        <w:jc w:val="both"/>
        <w:rPr>
          <w:rFonts w:ascii="Arial" w:hAnsi="Arial" w:cs="Arial"/>
          <w:color w:val="000000" w:themeColor="text1"/>
          <w:sz w:val="19"/>
          <w:szCs w:val="19"/>
        </w:rPr>
      </w:pPr>
      <w:r w:rsidRPr="00310F22">
        <w:rPr>
          <w:rFonts w:ascii="Arial" w:hAnsi="Arial" w:cs="Arial"/>
          <w:color w:val="000000" w:themeColor="text1"/>
          <w:sz w:val="19"/>
          <w:szCs w:val="19"/>
        </w:rPr>
        <w:t xml:space="preserve">“4. Firmante. Persona que posee los datos de creación de la firma y que actúa en nombre propio o por cuenta de la persona a la que </w:t>
      </w:r>
      <w:r w:rsidRPr="00310F22">
        <w:rPr>
          <w:rFonts w:ascii="Arial" w:hAnsi="Arial" w:cs="Arial"/>
          <w:color w:val="000000" w:themeColor="text1"/>
          <w:sz w:val="19"/>
          <w:szCs w:val="19"/>
        </w:rPr>
        <w:t>represent</w:t>
      </w:r>
    </w:p>
  </w:footnote>
  <w:footnote w:id="22">
    <w:p w14:paraId="69E70C2E" w14:textId="77777777" w:rsidR="00BA7388" w:rsidRPr="00310F22" w:rsidRDefault="00BA7388" w:rsidP="003544CD">
      <w:pPr>
        <w:pStyle w:val="Textonotapie"/>
        <w:ind w:firstLine="708"/>
        <w:jc w:val="both"/>
        <w:rPr>
          <w:rFonts w:ascii="Arial" w:hAnsi="Arial" w:cs="Arial"/>
          <w:color w:val="000000" w:themeColor="text1"/>
          <w:sz w:val="19"/>
          <w:szCs w:val="19"/>
        </w:rPr>
      </w:pPr>
      <w:r w:rsidRPr="00310F22">
        <w:rPr>
          <w:rStyle w:val="Refdenotaalpie"/>
          <w:rFonts w:ascii="Arial" w:hAnsi="Arial" w:cs="Arial"/>
          <w:color w:val="000000" w:themeColor="text1"/>
          <w:sz w:val="19"/>
          <w:szCs w:val="19"/>
        </w:rPr>
        <w:footnoteRef/>
      </w:r>
      <w:r w:rsidRPr="00310F22">
        <w:rPr>
          <w:rFonts w:ascii="Arial" w:hAnsi="Arial" w:cs="Arial"/>
          <w:color w:val="000000" w:themeColor="text1"/>
          <w:sz w:val="19"/>
          <w:szCs w:val="19"/>
        </w:rPr>
        <w:t xml:space="preserve"> El artículo 246 de la Ley 1564 de 2012 dispone que «Las copias tendrán el mismo valor probatorio del original, salvo cuando por disposición legal sea necesaria la presentación del original o de una determinada copia. </w:t>
      </w:r>
    </w:p>
    <w:p w14:paraId="5FCB3B5E" w14:textId="77777777" w:rsidR="00BA7388" w:rsidRPr="00310F22" w:rsidRDefault="00BA7388" w:rsidP="003544CD">
      <w:pPr>
        <w:pStyle w:val="Textonotapie"/>
        <w:ind w:firstLine="708"/>
        <w:jc w:val="both"/>
        <w:rPr>
          <w:rFonts w:ascii="Arial" w:hAnsi="Arial" w:cs="Arial"/>
          <w:color w:val="000000" w:themeColor="text1"/>
          <w:sz w:val="19"/>
          <w:szCs w:val="19"/>
        </w:rPr>
      </w:pPr>
      <w:r w:rsidRPr="00310F22">
        <w:rPr>
          <w:rFonts w:ascii="Arial" w:hAnsi="Arial" w:cs="Arial"/>
          <w:color w:val="000000" w:themeColor="text1"/>
          <w:sz w:val="19"/>
          <w:szCs w:val="19"/>
        </w:rPr>
        <w:t>Sin perjuicio de la presunción de autenticidad, la parte contra quien se aduzca copia de un documento podrá solicitar su cotejo con el original, o a falta de este con una copia expedida con anterioridad a aquella. El cotejo se efectuará mediante exhibición dentro de la audiencia correspondiente».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E91498" w:rsidRDefault="00E91498">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885C9214"/>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20ED5AB7"/>
    <w:multiLevelType w:val="hybridMultilevel"/>
    <w:tmpl w:val="7392359C"/>
    <w:lvl w:ilvl="0" w:tplc="28EEAF08">
      <w:start w:val="1"/>
      <w:numFmt w:val="lowerLetter"/>
      <w:lvlText w:val="%1)"/>
      <w:lvlJc w:val="left"/>
      <w:pPr>
        <w:ind w:left="2912" w:hanging="360"/>
      </w:pPr>
      <w:rPr>
        <w:rFonts w:hint="default"/>
        <w:b/>
        <w:bCs/>
        <w:i/>
      </w:rPr>
    </w:lvl>
    <w:lvl w:ilvl="1" w:tplc="080A0019" w:tentative="1">
      <w:start w:val="1"/>
      <w:numFmt w:val="lowerLetter"/>
      <w:lvlText w:val="%2."/>
      <w:lvlJc w:val="left"/>
      <w:pPr>
        <w:ind w:left="3632" w:hanging="360"/>
      </w:pPr>
    </w:lvl>
    <w:lvl w:ilvl="2" w:tplc="080A001B" w:tentative="1">
      <w:start w:val="1"/>
      <w:numFmt w:val="lowerRoman"/>
      <w:lvlText w:val="%3."/>
      <w:lvlJc w:val="right"/>
      <w:pPr>
        <w:ind w:left="4352" w:hanging="180"/>
      </w:pPr>
    </w:lvl>
    <w:lvl w:ilvl="3" w:tplc="080A000F" w:tentative="1">
      <w:start w:val="1"/>
      <w:numFmt w:val="decimal"/>
      <w:lvlText w:val="%4."/>
      <w:lvlJc w:val="left"/>
      <w:pPr>
        <w:ind w:left="5072" w:hanging="360"/>
      </w:pPr>
    </w:lvl>
    <w:lvl w:ilvl="4" w:tplc="080A0019" w:tentative="1">
      <w:start w:val="1"/>
      <w:numFmt w:val="lowerLetter"/>
      <w:lvlText w:val="%5."/>
      <w:lvlJc w:val="left"/>
      <w:pPr>
        <w:ind w:left="5792" w:hanging="360"/>
      </w:pPr>
    </w:lvl>
    <w:lvl w:ilvl="5" w:tplc="080A001B" w:tentative="1">
      <w:start w:val="1"/>
      <w:numFmt w:val="lowerRoman"/>
      <w:lvlText w:val="%6."/>
      <w:lvlJc w:val="right"/>
      <w:pPr>
        <w:ind w:left="6512" w:hanging="180"/>
      </w:pPr>
    </w:lvl>
    <w:lvl w:ilvl="6" w:tplc="080A000F" w:tentative="1">
      <w:start w:val="1"/>
      <w:numFmt w:val="decimal"/>
      <w:lvlText w:val="%7."/>
      <w:lvlJc w:val="left"/>
      <w:pPr>
        <w:ind w:left="7232" w:hanging="360"/>
      </w:pPr>
    </w:lvl>
    <w:lvl w:ilvl="7" w:tplc="080A0019" w:tentative="1">
      <w:start w:val="1"/>
      <w:numFmt w:val="lowerLetter"/>
      <w:lvlText w:val="%8."/>
      <w:lvlJc w:val="left"/>
      <w:pPr>
        <w:ind w:left="7952" w:hanging="360"/>
      </w:pPr>
    </w:lvl>
    <w:lvl w:ilvl="8" w:tplc="080A001B" w:tentative="1">
      <w:start w:val="1"/>
      <w:numFmt w:val="lowerRoman"/>
      <w:lvlText w:val="%9."/>
      <w:lvlJc w:val="right"/>
      <w:pPr>
        <w:ind w:left="8672" w:hanging="180"/>
      </w:pPr>
    </w:lvl>
  </w:abstractNum>
  <w:abstractNum w:abstractNumId="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1E93"/>
    <w:rsid w:val="00010D30"/>
    <w:rsid w:val="00012104"/>
    <w:rsid w:val="00014A78"/>
    <w:rsid w:val="0003091B"/>
    <w:rsid w:val="000333A2"/>
    <w:rsid w:val="00040D6E"/>
    <w:rsid w:val="00042C0C"/>
    <w:rsid w:val="00044FF2"/>
    <w:rsid w:val="00046517"/>
    <w:rsid w:val="00061EE4"/>
    <w:rsid w:val="00062B0D"/>
    <w:rsid w:val="0006519B"/>
    <w:rsid w:val="00074D43"/>
    <w:rsid w:val="00086A16"/>
    <w:rsid w:val="00087D55"/>
    <w:rsid w:val="00091FD7"/>
    <w:rsid w:val="00093173"/>
    <w:rsid w:val="00097CD6"/>
    <w:rsid w:val="000A1DBA"/>
    <w:rsid w:val="000A6338"/>
    <w:rsid w:val="000A677B"/>
    <w:rsid w:val="000C0E39"/>
    <w:rsid w:val="000D088F"/>
    <w:rsid w:val="000D264A"/>
    <w:rsid w:val="000E4A3C"/>
    <w:rsid w:val="000E6867"/>
    <w:rsid w:val="000F117D"/>
    <w:rsid w:val="000F5077"/>
    <w:rsid w:val="00107607"/>
    <w:rsid w:val="00107E89"/>
    <w:rsid w:val="00110AD8"/>
    <w:rsid w:val="00112597"/>
    <w:rsid w:val="001266E3"/>
    <w:rsid w:val="001321AB"/>
    <w:rsid w:val="00134575"/>
    <w:rsid w:val="00140E57"/>
    <w:rsid w:val="00141732"/>
    <w:rsid w:val="00141C64"/>
    <w:rsid w:val="00141D89"/>
    <w:rsid w:val="0014462B"/>
    <w:rsid w:val="00152810"/>
    <w:rsid w:val="00164E79"/>
    <w:rsid w:val="0017603D"/>
    <w:rsid w:val="00177E02"/>
    <w:rsid w:val="00181A3E"/>
    <w:rsid w:val="00194C50"/>
    <w:rsid w:val="001A113F"/>
    <w:rsid w:val="001A26DD"/>
    <w:rsid w:val="001B2E5D"/>
    <w:rsid w:val="001B4EA4"/>
    <w:rsid w:val="001C1E5E"/>
    <w:rsid w:val="001E1085"/>
    <w:rsid w:val="001E5DBB"/>
    <w:rsid w:val="001E7E33"/>
    <w:rsid w:val="001F1051"/>
    <w:rsid w:val="001F34A8"/>
    <w:rsid w:val="0020066F"/>
    <w:rsid w:val="002034AD"/>
    <w:rsid w:val="00203E2B"/>
    <w:rsid w:val="002127CD"/>
    <w:rsid w:val="00214B97"/>
    <w:rsid w:val="00217D33"/>
    <w:rsid w:val="002239B4"/>
    <w:rsid w:val="00234C6C"/>
    <w:rsid w:val="00265031"/>
    <w:rsid w:val="00266277"/>
    <w:rsid w:val="00282938"/>
    <w:rsid w:val="00284C12"/>
    <w:rsid w:val="00286834"/>
    <w:rsid w:val="00287D21"/>
    <w:rsid w:val="00292CCD"/>
    <w:rsid w:val="00292E05"/>
    <w:rsid w:val="002A7F07"/>
    <w:rsid w:val="002B282F"/>
    <w:rsid w:val="002B4B30"/>
    <w:rsid w:val="002D2F5D"/>
    <w:rsid w:val="002D36E0"/>
    <w:rsid w:val="002D7CE0"/>
    <w:rsid w:val="002E1097"/>
    <w:rsid w:val="002E5717"/>
    <w:rsid w:val="002E7BC2"/>
    <w:rsid w:val="002F63BB"/>
    <w:rsid w:val="002F701E"/>
    <w:rsid w:val="00302F9F"/>
    <w:rsid w:val="0030431E"/>
    <w:rsid w:val="00304386"/>
    <w:rsid w:val="003053E5"/>
    <w:rsid w:val="00310F22"/>
    <w:rsid w:val="00336431"/>
    <w:rsid w:val="003401FE"/>
    <w:rsid w:val="00340A7A"/>
    <w:rsid w:val="0034361C"/>
    <w:rsid w:val="00351F00"/>
    <w:rsid w:val="00353B5A"/>
    <w:rsid w:val="003544CD"/>
    <w:rsid w:val="0037533A"/>
    <w:rsid w:val="0037535A"/>
    <w:rsid w:val="00390DCF"/>
    <w:rsid w:val="0039290F"/>
    <w:rsid w:val="003A2944"/>
    <w:rsid w:val="003A2C41"/>
    <w:rsid w:val="003A6A1D"/>
    <w:rsid w:val="003B0DEF"/>
    <w:rsid w:val="003C2074"/>
    <w:rsid w:val="003C3ADB"/>
    <w:rsid w:val="003D11B5"/>
    <w:rsid w:val="003D134C"/>
    <w:rsid w:val="003D69A5"/>
    <w:rsid w:val="003E14F9"/>
    <w:rsid w:val="003E42F1"/>
    <w:rsid w:val="003F3119"/>
    <w:rsid w:val="003F6D32"/>
    <w:rsid w:val="004144E7"/>
    <w:rsid w:val="00414896"/>
    <w:rsid w:val="00430B5A"/>
    <w:rsid w:val="0044207D"/>
    <w:rsid w:val="00447FE5"/>
    <w:rsid w:val="004617B8"/>
    <w:rsid w:val="004758FE"/>
    <w:rsid w:val="004830C8"/>
    <w:rsid w:val="004837AB"/>
    <w:rsid w:val="00483A2F"/>
    <w:rsid w:val="004A6EE1"/>
    <w:rsid w:val="004B1BEE"/>
    <w:rsid w:val="004B349C"/>
    <w:rsid w:val="004C0A6D"/>
    <w:rsid w:val="004C0F5A"/>
    <w:rsid w:val="004D770C"/>
    <w:rsid w:val="004E370E"/>
    <w:rsid w:val="004E6329"/>
    <w:rsid w:val="004F35A7"/>
    <w:rsid w:val="004F4387"/>
    <w:rsid w:val="004F593E"/>
    <w:rsid w:val="00510BF5"/>
    <w:rsid w:val="00511FF3"/>
    <w:rsid w:val="00521BA7"/>
    <w:rsid w:val="00524B94"/>
    <w:rsid w:val="005252E2"/>
    <w:rsid w:val="00526301"/>
    <w:rsid w:val="005272BB"/>
    <w:rsid w:val="005356A4"/>
    <w:rsid w:val="00547DE2"/>
    <w:rsid w:val="005511D5"/>
    <w:rsid w:val="005553B7"/>
    <w:rsid w:val="005640BE"/>
    <w:rsid w:val="00585FB5"/>
    <w:rsid w:val="00587240"/>
    <w:rsid w:val="00591586"/>
    <w:rsid w:val="005A319F"/>
    <w:rsid w:val="005A40F4"/>
    <w:rsid w:val="005B664B"/>
    <w:rsid w:val="005E6106"/>
    <w:rsid w:val="005E6347"/>
    <w:rsid w:val="005F0D54"/>
    <w:rsid w:val="005F3146"/>
    <w:rsid w:val="005F5D19"/>
    <w:rsid w:val="005F690F"/>
    <w:rsid w:val="005F6CBF"/>
    <w:rsid w:val="00604F2C"/>
    <w:rsid w:val="006135E6"/>
    <w:rsid w:val="006277F4"/>
    <w:rsid w:val="00632EA5"/>
    <w:rsid w:val="0065701C"/>
    <w:rsid w:val="00661DAB"/>
    <w:rsid w:val="006818B6"/>
    <w:rsid w:val="006824B8"/>
    <w:rsid w:val="00691EAB"/>
    <w:rsid w:val="006932E8"/>
    <w:rsid w:val="00696EBE"/>
    <w:rsid w:val="006A4471"/>
    <w:rsid w:val="006A4D92"/>
    <w:rsid w:val="006A7743"/>
    <w:rsid w:val="006B17BB"/>
    <w:rsid w:val="006B6C6A"/>
    <w:rsid w:val="006C234F"/>
    <w:rsid w:val="006C5955"/>
    <w:rsid w:val="006E6C93"/>
    <w:rsid w:val="006F2213"/>
    <w:rsid w:val="006F39D0"/>
    <w:rsid w:val="006F7746"/>
    <w:rsid w:val="0070377C"/>
    <w:rsid w:val="00711157"/>
    <w:rsid w:val="00736888"/>
    <w:rsid w:val="00736C89"/>
    <w:rsid w:val="00745744"/>
    <w:rsid w:val="0075032A"/>
    <w:rsid w:val="007512F2"/>
    <w:rsid w:val="00753C3B"/>
    <w:rsid w:val="00762DEB"/>
    <w:rsid w:val="00763147"/>
    <w:rsid w:val="00770D7D"/>
    <w:rsid w:val="00772497"/>
    <w:rsid w:val="0078009B"/>
    <w:rsid w:val="00787208"/>
    <w:rsid w:val="00791377"/>
    <w:rsid w:val="0079467F"/>
    <w:rsid w:val="007978E0"/>
    <w:rsid w:val="007D3894"/>
    <w:rsid w:val="007D62C7"/>
    <w:rsid w:val="007E078E"/>
    <w:rsid w:val="007F53AA"/>
    <w:rsid w:val="007F7AC6"/>
    <w:rsid w:val="00803061"/>
    <w:rsid w:val="00807EEE"/>
    <w:rsid w:val="008135F4"/>
    <w:rsid w:val="00813893"/>
    <w:rsid w:val="0082266E"/>
    <w:rsid w:val="008234E2"/>
    <w:rsid w:val="00824361"/>
    <w:rsid w:val="008326E9"/>
    <w:rsid w:val="008327EE"/>
    <w:rsid w:val="00842E74"/>
    <w:rsid w:val="00843BE5"/>
    <w:rsid w:val="0085527A"/>
    <w:rsid w:val="00863DD9"/>
    <w:rsid w:val="00863FC1"/>
    <w:rsid w:val="00866446"/>
    <w:rsid w:val="0086741B"/>
    <w:rsid w:val="00886F29"/>
    <w:rsid w:val="008A0633"/>
    <w:rsid w:val="008A53F2"/>
    <w:rsid w:val="008B09B1"/>
    <w:rsid w:val="008C24B6"/>
    <w:rsid w:val="008C487C"/>
    <w:rsid w:val="008C4C28"/>
    <w:rsid w:val="008C50FD"/>
    <w:rsid w:val="008E0FCC"/>
    <w:rsid w:val="008E2FE3"/>
    <w:rsid w:val="008E3D49"/>
    <w:rsid w:val="008E412C"/>
    <w:rsid w:val="008E5F34"/>
    <w:rsid w:val="008F2267"/>
    <w:rsid w:val="008F3EE2"/>
    <w:rsid w:val="009074CF"/>
    <w:rsid w:val="00914B43"/>
    <w:rsid w:val="009231E0"/>
    <w:rsid w:val="009358EE"/>
    <w:rsid w:val="0094508D"/>
    <w:rsid w:val="009506A7"/>
    <w:rsid w:val="009568A0"/>
    <w:rsid w:val="00964916"/>
    <w:rsid w:val="00967230"/>
    <w:rsid w:val="00972C13"/>
    <w:rsid w:val="00974057"/>
    <w:rsid w:val="009811A5"/>
    <w:rsid w:val="009812D7"/>
    <w:rsid w:val="00982E99"/>
    <w:rsid w:val="00990836"/>
    <w:rsid w:val="009A5714"/>
    <w:rsid w:val="009A5DA7"/>
    <w:rsid w:val="009A62B4"/>
    <w:rsid w:val="009B1AEC"/>
    <w:rsid w:val="009D1D57"/>
    <w:rsid w:val="009E2544"/>
    <w:rsid w:val="009E2770"/>
    <w:rsid w:val="009E4A43"/>
    <w:rsid w:val="009F2261"/>
    <w:rsid w:val="009F3537"/>
    <w:rsid w:val="009F460F"/>
    <w:rsid w:val="009F73A0"/>
    <w:rsid w:val="00A14C94"/>
    <w:rsid w:val="00A25657"/>
    <w:rsid w:val="00A329B6"/>
    <w:rsid w:val="00A367A1"/>
    <w:rsid w:val="00A37EB0"/>
    <w:rsid w:val="00A415D2"/>
    <w:rsid w:val="00A460BA"/>
    <w:rsid w:val="00A510F6"/>
    <w:rsid w:val="00A665B1"/>
    <w:rsid w:val="00A80739"/>
    <w:rsid w:val="00A83829"/>
    <w:rsid w:val="00A95100"/>
    <w:rsid w:val="00AA2A39"/>
    <w:rsid w:val="00AA615B"/>
    <w:rsid w:val="00AB5E12"/>
    <w:rsid w:val="00AC0C81"/>
    <w:rsid w:val="00AD7725"/>
    <w:rsid w:val="00AE668A"/>
    <w:rsid w:val="00AE6858"/>
    <w:rsid w:val="00AF2E26"/>
    <w:rsid w:val="00AF4AFD"/>
    <w:rsid w:val="00AF5C62"/>
    <w:rsid w:val="00AF7270"/>
    <w:rsid w:val="00B017CC"/>
    <w:rsid w:val="00B02E47"/>
    <w:rsid w:val="00B17BC5"/>
    <w:rsid w:val="00B2158C"/>
    <w:rsid w:val="00B24E57"/>
    <w:rsid w:val="00B42DEC"/>
    <w:rsid w:val="00B46400"/>
    <w:rsid w:val="00B5123E"/>
    <w:rsid w:val="00B522C4"/>
    <w:rsid w:val="00B52B0E"/>
    <w:rsid w:val="00B5337D"/>
    <w:rsid w:val="00B5595A"/>
    <w:rsid w:val="00B65290"/>
    <w:rsid w:val="00B70E26"/>
    <w:rsid w:val="00B87912"/>
    <w:rsid w:val="00B97D95"/>
    <w:rsid w:val="00BA7388"/>
    <w:rsid w:val="00BA7E78"/>
    <w:rsid w:val="00BB0EA7"/>
    <w:rsid w:val="00BB22C8"/>
    <w:rsid w:val="00BB59F9"/>
    <w:rsid w:val="00BC15B8"/>
    <w:rsid w:val="00BC5279"/>
    <w:rsid w:val="00BC6C4E"/>
    <w:rsid w:val="00BD1E7F"/>
    <w:rsid w:val="00BD58A7"/>
    <w:rsid w:val="00BE1163"/>
    <w:rsid w:val="00BE1E33"/>
    <w:rsid w:val="00BE2AD3"/>
    <w:rsid w:val="00BE36F7"/>
    <w:rsid w:val="00BE5995"/>
    <w:rsid w:val="00BF0CB4"/>
    <w:rsid w:val="00BF2443"/>
    <w:rsid w:val="00C12201"/>
    <w:rsid w:val="00C1405A"/>
    <w:rsid w:val="00C20B87"/>
    <w:rsid w:val="00C24008"/>
    <w:rsid w:val="00C24DAD"/>
    <w:rsid w:val="00C41220"/>
    <w:rsid w:val="00C50B1B"/>
    <w:rsid w:val="00C52801"/>
    <w:rsid w:val="00C6210F"/>
    <w:rsid w:val="00C71B78"/>
    <w:rsid w:val="00C74022"/>
    <w:rsid w:val="00C745C6"/>
    <w:rsid w:val="00C762DE"/>
    <w:rsid w:val="00C964DE"/>
    <w:rsid w:val="00CA4121"/>
    <w:rsid w:val="00CA5790"/>
    <w:rsid w:val="00CA634C"/>
    <w:rsid w:val="00CC1E07"/>
    <w:rsid w:val="00CE7F40"/>
    <w:rsid w:val="00CF326B"/>
    <w:rsid w:val="00D002E1"/>
    <w:rsid w:val="00D0763E"/>
    <w:rsid w:val="00D10871"/>
    <w:rsid w:val="00D14AF5"/>
    <w:rsid w:val="00D15A24"/>
    <w:rsid w:val="00D24682"/>
    <w:rsid w:val="00D24F06"/>
    <w:rsid w:val="00D25AEF"/>
    <w:rsid w:val="00D26746"/>
    <w:rsid w:val="00D31311"/>
    <w:rsid w:val="00D31865"/>
    <w:rsid w:val="00D349EE"/>
    <w:rsid w:val="00D56D47"/>
    <w:rsid w:val="00D623D7"/>
    <w:rsid w:val="00D64EFD"/>
    <w:rsid w:val="00D70FB4"/>
    <w:rsid w:val="00D74A1C"/>
    <w:rsid w:val="00D76E24"/>
    <w:rsid w:val="00D815C1"/>
    <w:rsid w:val="00D85C85"/>
    <w:rsid w:val="00D92F6C"/>
    <w:rsid w:val="00D95879"/>
    <w:rsid w:val="00D97A6B"/>
    <w:rsid w:val="00DA2B28"/>
    <w:rsid w:val="00DA2FA3"/>
    <w:rsid w:val="00DB0B85"/>
    <w:rsid w:val="00DB751D"/>
    <w:rsid w:val="00DC0213"/>
    <w:rsid w:val="00DC0CC6"/>
    <w:rsid w:val="00DC2D2A"/>
    <w:rsid w:val="00DC679E"/>
    <w:rsid w:val="00DD0580"/>
    <w:rsid w:val="00DD0E98"/>
    <w:rsid w:val="00DD7489"/>
    <w:rsid w:val="00DE64DE"/>
    <w:rsid w:val="00DE7AB4"/>
    <w:rsid w:val="00DF4D86"/>
    <w:rsid w:val="00DF5C7D"/>
    <w:rsid w:val="00E0184E"/>
    <w:rsid w:val="00E01D84"/>
    <w:rsid w:val="00E044F0"/>
    <w:rsid w:val="00E137BB"/>
    <w:rsid w:val="00E24E53"/>
    <w:rsid w:val="00E3199C"/>
    <w:rsid w:val="00E5394B"/>
    <w:rsid w:val="00E61AAC"/>
    <w:rsid w:val="00E64988"/>
    <w:rsid w:val="00E64A38"/>
    <w:rsid w:val="00E67AF6"/>
    <w:rsid w:val="00E756AC"/>
    <w:rsid w:val="00E8381A"/>
    <w:rsid w:val="00E87596"/>
    <w:rsid w:val="00E87794"/>
    <w:rsid w:val="00E91498"/>
    <w:rsid w:val="00E96422"/>
    <w:rsid w:val="00EA40D2"/>
    <w:rsid w:val="00EA5A59"/>
    <w:rsid w:val="00EB3D8F"/>
    <w:rsid w:val="00EB4A50"/>
    <w:rsid w:val="00EB53AC"/>
    <w:rsid w:val="00EC5529"/>
    <w:rsid w:val="00ED0FE3"/>
    <w:rsid w:val="00ED439C"/>
    <w:rsid w:val="00EF2CA6"/>
    <w:rsid w:val="00EF7888"/>
    <w:rsid w:val="00F117B1"/>
    <w:rsid w:val="00F134F9"/>
    <w:rsid w:val="00F24C62"/>
    <w:rsid w:val="00F25F74"/>
    <w:rsid w:val="00F34138"/>
    <w:rsid w:val="00F42B58"/>
    <w:rsid w:val="00F4301D"/>
    <w:rsid w:val="00F46990"/>
    <w:rsid w:val="00F46E01"/>
    <w:rsid w:val="00F47BE3"/>
    <w:rsid w:val="00F47FCE"/>
    <w:rsid w:val="00F501D2"/>
    <w:rsid w:val="00F5174B"/>
    <w:rsid w:val="00F5266F"/>
    <w:rsid w:val="00F56447"/>
    <w:rsid w:val="00F64055"/>
    <w:rsid w:val="00F710C6"/>
    <w:rsid w:val="00F8574D"/>
    <w:rsid w:val="00F94C19"/>
    <w:rsid w:val="00FB6AA4"/>
    <w:rsid w:val="00FC16C2"/>
    <w:rsid w:val="00FC755D"/>
    <w:rsid w:val="0BA2B014"/>
    <w:rsid w:val="20495D28"/>
    <w:rsid w:val="2CDFA793"/>
    <w:rsid w:val="372AFE15"/>
    <w:rsid w:val="377CE29B"/>
    <w:rsid w:val="69DD541D"/>
    <w:rsid w:val="7E55732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paragraph" w:styleId="NormalWeb">
    <w:name w:val="Normal (Web)"/>
    <w:basedOn w:val="Normal"/>
    <w:link w:val="NormalWebCar"/>
    <w:uiPriority w:val="99"/>
    <w:unhideWhenUsed/>
    <w:rsid w:val="00DC0CC6"/>
    <w:pPr>
      <w:spacing w:before="100" w:beforeAutospacing="1" w:after="100" w:afterAutospacing="1"/>
    </w:pPr>
    <w:rPr>
      <w:rFonts w:ascii="Times New Roman" w:eastAsia="Times New Roman" w:hAnsi="Times New Roman" w:cs="Times New Roman"/>
      <w:szCs w:val="24"/>
      <w:lang w:val="es-CO" w:eastAsia="es-CO"/>
    </w:rPr>
  </w:style>
  <w:style w:type="character" w:styleId="Textoennegrita">
    <w:name w:val="Strong"/>
    <w:basedOn w:val="Fuentedeprrafopredeter"/>
    <w:uiPriority w:val="22"/>
    <w:qFormat/>
    <w:rsid w:val="00DC0CC6"/>
    <w:rPr>
      <w:b/>
      <w:bCs/>
    </w:rPr>
  </w:style>
  <w:style w:type="character" w:styleId="nfasis">
    <w:name w:val="Emphasis"/>
    <w:basedOn w:val="Fuentedeprrafopredeter"/>
    <w:uiPriority w:val="20"/>
    <w:qFormat/>
    <w:rsid w:val="00DC0CC6"/>
    <w:rPr>
      <w:i/>
      <w:iCs/>
    </w:rPr>
  </w:style>
  <w:style w:type="character" w:customStyle="1" w:styleId="NormalWebCar">
    <w:name w:val="Normal (Web) Car"/>
    <w:link w:val="NormalWeb"/>
    <w:uiPriority w:val="99"/>
    <w:locked/>
    <w:rsid w:val="008C50FD"/>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33462">
      <w:bodyDiv w:val="1"/>
      <w:marLeft w:val="0"/>
      <w:marRight w:val="0"/>
      <w:marTop w:val="0"/>
      <w:marBottom w:val="0"/>
      <w:divBdr>
        <w:top w:val="none" w:sz="0" w:space="0" w:color="auto"/>
        <w:left w:val="none" w:sz="0" w:space="0" w:color="auto"/>
        <w:bottom w:val="none" w:sz="0" w:space="0" w:color="auto"/>
        <w:right w:val="none" w:sz="0" w:space="0" w:color="auto"/>
      </w:divBdr>
    </w:div>
    <w:div w:id="119153449">
      <w:bodyDiv w:val="1"/>
      <w:marLeft w:val="0"/>
      <w:marRight w:val="0"/>
      <w:marTop w:val="0"/>
      <w:marBottom w:val="0"/>
      <w:divBdr>
        <w:top w:val="none" w:sz="0" w:space="0" w:color="auto"/>
        <w:left w:val="none" w:sz="0" w:space="0" w:color="auto"/>
        <w:bottom w:val="none" w:sz="0" w:space="0" w:color="auto"/>
        <w:right w:val="none" w:sz="0" w:space="0" w:color="auto"/>
      </w:divBdr>
    </w:div>
    <w:div w:id="1730689192">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2025355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997BBF3F-E837-4F88-BCB0-0E632895B8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5571</Words>
  <Characters>30643</Characters>
  <Application>Microsoft Office Word</Application>
  <DocSecurity>0</DocSecurity>
  <Lines>255</Lines>
  <Paragraphs>72</Paragraphs>
  <ScaleCrop>false</ScaleCrop>
  <Company/>
  <LinksUpToDate>false</LinksUpToDate>
  <CharactersWithSpaces>36142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Carlos Mario Castrillón Endo</cp:lastModifiedBy>
  <cp:revision>15</cp:revision>
  <cp:lastPrinted>2020-04-15T23:53:00Z</cp:lastPrinted>
  <dcterms:created xsi:type="dcterms:W3CDTF">2020-04-27T19:21:00Z</dcterms:created>
  <dcterms:modified xsi:type="dcterms:W3CDTF">2020-08-04T06:07:00Z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