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7FCEC" w14:textId="77777777" w:rsidR="009566C8" w:rsidRPr="00857761" w:rsidRDefault="009566C8" w:rsidP="009566C8">
      <w:pPr>
        <w:jc w:val="both"/>
        <w:rPr>
          <w:rFonts w:ascii="Arial" w:eastAsia="Calibri" w:hAnsi="Arial" w:cs="Arial"/>
          <w:b/>
          <w:lang w:val="es-ES"/>
        </w:rPr>
      </w:pPr>
      <w:r w:rsidRPr="00857761">
        <w:rPr>
          <w:rFonts w:ascii="Arial" w:eastAsia="Calibri" w:hAnsi="Arial" w:cs="Arial"/>
          <w:b/>
          <w:lang w:val="es-ES"/>
        </w:rPr>
        <w:t xml:space="preserve">DOCUMENTOS TIPO VERSIÓN 3 – Licitación pública para obra de infraestructura de transporte – Definición de experiencia exigible </w:t>
      </w:r>
    </w:p>
    <w:p w14:paraId="10DEDEB3" w14:textId="77777777" w:rsidR="009566C8" w:rsidRPr="00857761" w:rsidRDefault="009566C8" w:rsidP="009566C8">
      <w:pPr>
        <w:jc w:val="both"/>
        <w:rPr>
          <w:rFonts w:ascii="Arial" w:eastAsia="Calibri" w:hAnsi="Arial" w:cs="Arial"/>
          <w:bCs/>
          <w:lang w:val="es-ES"/>
        </w:rPr>
      </w:pPr>
    </w:p>
    <w:p w14:paraId="51124142" w14:textId="77777777" w:rsidR="009566C8" w:rsidRDefault="009566C8" w:rsidP="009566C8">
      <w:pPr>
        <w:jc w:val="both"/>
        <w:rPr>
          <w:rFonts w:ascii="Arial" w:eastAsia="Calibri" w:hAnsi="Arial" w:cs="Arial"/>
          <w:bCs/>
          <w:sz w:val="20"/>
          <w:szCs w:val="20"/>
          <w:lang w:val="es-ES"/>
        </w:rPr>
      </w:pPr>
      <w:r w:rsidRPr="003027A0">
        <w:rPr>
          <w:rFonts w:ascii="Arial" w:eastAsia="Calibri" w:hAnsi="Arial" w:cs="Arial"/>
          <w:bCs/>
          <w:sz w:val="20"/>
          <w:szCs w:val="20"/>
          <w:lang w:val="es-ES"/>
        </w:rPr>
        <w:t xml:space="preserve">De acuerdo con las condiciones fijadas en el «Documento Base» de los «Documentos Tipo – Versión 3» de licitación para obras públicas para infraestructura de transporte, adoptados por la </w:t>
      </w:r>
      <w:proofErr w:type="spellStart"/>
      <w:r w:rsidRPr="003027A0">
        <w:rPr>
          <w:rFonts w:ascii="Arial" w:eastAsia="Calibri" w:hAnsi="Arial" w:cs="Arial"/>
          <w:bCs/>
          <w:sz w:val="20"/>
          <w:szCs w:val="20"/>
          <w:lang w:val="es-ES"/>
        </w:rPr>
        <w:t>la</w:t>
      </w:r>
      <w:proofErr w:type="spellEnd"/>
      <w:r w:rsidRPr="003027A0">
        <w:rPr>
          <w:rFonts w:ascii="Arial" w:eastAsia="Calibri" w:hAnsi="Arial" w:cs="Arial"/>
          <w:bCs/>
          <w:sz w:val="20"/>
          <w:szCs w:val="20"/>
          <w:lang w:val="es-ES"/>
        </w:rPr>
        <w:t xml:space="preserve"> Resolución No. 240 del 27 de noviembre de 2020,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Así se desprende del literal C del numeral 3.5.2 del Documento Base adoptado por la Resolución No. 240 de 2020</w:t>
      </w:r>
      <w:r>
        <w:rPr>
          <w:rFonts w:ascii="Arial" w:eastAsia="Calibri" w:hAnsi="Arial" w:cs="Arial"/>
          <w:bCs/>
          <w:sz w:val="20"/>
          <w:szCs w:val="20"/>
          <w:lang w:val="es-ES"/>
        </w:rPr>
        <w:t>[…]</w:t>
      </w:r>
    </w:p>
    <w:p w14:paraId="445E5EB6" w14:textId="77777777" w:rsidR="009566C8" w:rsidRDefault="009566C8" w:rsidP="009566C8">
      <w:pPr>
        <w:jc w:val="both"/>
        <w:rPr>
          <w:rFonts w:ascii="Arial" w:eastAsia="Calibri" w:hAnsi="Arial" w:cs="Arial"/>
          <w:bCs/>
          <w:sz w:val="20"/>
          <w:szCs w:val="20"/>
          <w:lang w:val="es-ES"/>
        </w:rPr>
      </w:pPr>
    </w:p>
    <w:p w14:paraId="73644EDF" w14:textId="77777777" w:rsidR="009566C8" w:rsidRDefault="009566C8" w:rsidP="009566C8">
      <w:pPr>
        <w:jc w:val="both"/>
        <w:rPr>
          <w:rFonts w:ascii="Arial" w:eastAsia="Calibri" w:hAnsi="Arial" w:cs="Arial"/>
          <w:bCs/>
          <w:sz w:val="20"/>
          <w:szCs w:val="20"/>
          <w:lang w:val="es-ES"/>
        </w:rPr>
      </w:pPr>
      <w:r w:rsidRPr="003027A0">
        <w:rPr>
          <w:rFonts w:ascii="Arial" w:eastAsia="Calibri" w:hAnsi="Arial" w:cs="Arial"/>
          <w:bCs/>
          <w:sz w:val="20"/>
          <w:szCs w:val="20"/>
          <w:lang w:val="es-ES"/>
        </w:rPr>
        <w:t>Como se observa,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Para tales efectos, se establecen unas relaciones entre el número de contratos usados para acreditar la experiencia, los valores ejecutados en estos y un valor porcentual mínimo del presupuesto oficial de la obra ofertada que deben superar para que la experiencia sea válida y, en consecuencia, los proponentes puedan habilitarse en lo que a este requisito se refiere.</w:t>
      </w:r>
    </w:p>
    <w:p w14:paraId="6A32AA49" w14:textId="77777777" w:rsidR="009566C8" w:rsidRPr="00857761" w:rsidRDefault="009566C8" w:rsidP="009566C8">
      <w:pPr>
        <w:jc w:val="both"/>
        <w:rPr>
          <w:rFonts w:ascii="Arial" w:eastAsia="Calibri" w:hAnsi="Arial" w:cs="Arial"/>
          <w:b/>
          <w:lang w:val="es-ES"/>
        </w:rPr>
      </w:pPr>
    </w:p>
    <w:p w14:paraId="34BB944D" w14:textId="77777777" w:rsidR="009566C8" w:rsidRPr="00857761" w:rsidRDefault="009566C8" w:rsidP="009566C8">
      <w:pPr>
        <w:jc w:val="both"/>
        <w:rPr>
          <w:rFonts w:ascii="Arial" w:eastAsia="Calibri" w:hAnsi="Arial" w:cs="Arial"/>
          <w:b/>
          <w:lang w:val="es-ES"/>
        </w:rPr>
      </w:pPr>
      <w:r w:rsidRPr="00857761">
        <w:rPr>
          <w:rFonts w:ascii="Arial" w:eastAsia="Calibri" w:hAnsi="Arial" w:cs="Arial"/>
          <w:b/>
          <w:lang w:val="es-ES"/>
        </w:rPr>
        <w:t xml:space="preserve">MATRIZ 1 – EXPERIENCIA – Requisitos de experiencia general y específica </w:t>
      </w:r>
    </w:p>
    <w:p w14:paraId="1B352963" w14:textId="77777777" w:rsidR="009566C8" w:rsidRPr="00857761" w:rsidRDefault="009566C8" w:rsidP="009566C8">
      <w:pPr>
        <w:jc w:val="both"/>
        <w:rPr>
          <w:rFonts w:ascii="Arial" w:eastAsia="Calibri" w:hAnsi="Arial" w:cs="Arial"/>
          <w:b/>
          <w:lang w:val="es-ES"/>
        </w:rPr>
      </w:pPr>
    </w:p>
    <w:p w14:paraId="61818584" w14:textId="77777777" w:rsidR="009566C8" w:rsidRPr="00857761" w:rsidRDefault="009566C8" w:rsidP="009566C8">
      <w:pPr>
        <w:jc w:val="both"/>
        <w:rPr>
          <w:rFonts w:ascii="Arial" w:eastAsia="Calibri" w:hAnsi="Arial" w:cs="Arial"/>
          <w:bCs/>
          <w:sz w:val="20"/>
          <w:szCs w:val="20"/>
          <w:lang w:val="es-ES"/>
        </w:rPr>
      </w:pPr>
      <w:r w:rsidRPr="00857761">
        <w:rPr>
          <w:rFonts w:ascii="Arial" w:eastAsia="Calibri" w:hAnsi="Arial" w:cs="Arial"/>
          <w:bCs/>
          <w:sz w:val="20"/>
          <w:szCs w:val="20"/>
          <w:lang w:val="es-ES"/>
        </w:rPr>
        <w:t>La entidad estatal que adelanta un proceso de contratación de licitación de obra pública de infraestructura de transporte debe definir la experiencia exigible teniendo en cuenta las condiciones fijadas en la Matriz 1, de acuerdo con los siguientes pasos:</w:t>
      </w:r>
    </w:p>
    <w:p w14:paraId="40EC0EE4" w14:textId="77777777" w:rsidR="009566C8" w:rsidRPr="00857761" w:rsidRDefault="009566C8" w:rsidP="009566C8">
      <w:pPr>
        <w:jc w:val="both"/>
        <w:rPr>
          <w:rFonts w:ascii="Arial" w:eastAsia="Calibri" w:hAnsi="Arial" w:cs="Arial"/>
          <w:bCs/>
          <w:sz w:val="20"/>
          <w:szCs w:val="20"/>
          <w:lang w:val="es-ES"/>
        </w:rPr>
      </w:pPr>
    </w:p>
    <w:p w14:paraId="3B0416EC" w14:textId="77777777" w:rsidR="009566C8" w:rsidRPr="00857761" w:rsidRDefault="009566C8" w:rsidP="009566C8">
      <w:pPr>
        <w:jc w:val="both"/>
        <w:rPr>
          <w:rFonts w:ascii="Arial" w:eastAsia="Calibri" w:hAnsi="Arial" w:cs="Arial"/>
          <w:bCs/>
          <w:sz w:val="20"/>
          <w:szCs w:val="20"/>
          <w:lang w:val="es-ES"/>
        </w:rPr>
      </w:pPr>
      <w:r w:rsidRPr="00857761">
        <w:rPr>
          <w:rFonts w:ascii="Arial" w:eastAsia="Calibri" w:hAnsi="Arial" w:cs="Arial"/>
          <w:bCs/>
          <w:sz w:val="20"/>
          <w:szCs w:val="20"/>
          <w:lang w:val="es-ES"/>
        </w:rPr>
        <w:t>a) Establecer si se trata de un proyecto de complejidad baja-media o alta, y en función de ello establecer la Matriz 1 aplicable.</w:t>
      </w:r>
    </w:p>
    <w:p w14:paraId="26F02A43" w14:textId="77777777" w:rsidR="009566C8" w:rsidRPr="00857761" w:rsidRDefault="009566C8" w:rsidP="009566C8">
      <w:pPr>
        <w:jc w:val="both"/>
        <w:rPr>
          <w:rFonts w:ascii="Arial" w:eastAsia="Calibri" w:hAnsi="Arial" w:cs="Arial"/>
          <w:bCs/>
          <w:sz w:val="20"/>
          <w:szCs w:val="20"/>
          <w:lang w:val="es-ES"/>
        </w:rPr>
      </w:pPr>
      <w:r w:rsidRPr="00857761">
        <w:rPr>
          <w:rFonts w:ascii="Arial" w:eastAsia="Calibri" w:hAnsi="Arial" w:cs="Arial"/>
          <w:bCs/>
          <w:sz w:val="20"/>
          <w:szCs w:val="20"/>
          <w:lang w:val="es-ES"/>
        </w:rPr>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14:paraId="66920D9A" w14:textId="77777777" w:rsidR="009566C8" w:rsidRPr="00857761" w:rsidRDefault="009566C8" w:rsidP="009566C8">
      <w:pPr>
        <w:jc w:val="both"/>
        <w:rPr>
          <w:rFonts w:ascii="Arial" w:eastAsia="Calibri" w:hAnsi="Arial" w:cs="Arial"/>
          <w:bCs/>
          <w:sz w:val="20"/>
          <w:szCs w:val="20"/>
          <w:lang w:val="es-ES"/>
        </w:rPr>
      </w:pPr>
      <w:r w:rsidRPr="00857761">
        <w:rPr>
          <w:rFonts w:ascii="Arial" w:eastAsia="Calibri" w:hAnsi="Arial" w:cs="Arial"/>
          <w:bCs/>
          <w:sz w:val="20"/>
          <w:szCs w:val="20"/>
          <w:lang w:val="es-ES"/>
        </w:rPr>
        <w:t xml:space="preserve">c) Definido el tipo de infraestructura, identificar la «ACTIVIDAD A CONTRATAR» acorde con la matriz 1. </w:t>
      </w:r>
    </w:p>
    <w:p w14:paraId="0C20AECE" w14:textId="77777777" w:rsidR="009566C8" w:rsidRPr="00857761" w:rsidRDefault="009566C8" w:rsidP="009566C8">
      <w:pPr>
        <w:jc w:val="both"/>
        <w:rPr>
          <w:rFonts w:ascii="Arial" w:eastAsia="Calibri" w:hAnsi="Arial" w:cs="Arial"/>
          <w:bCs/>
          <w:sz w:val="20"/>
          <w:szCs w:val="20"/>
          <w:lang w:val="es-ES"/>
        </w:rPr>
      </w:pPr>
      <w:r w:rsidRPr="00857761">
        <w:rPr>
          <w:rFonts w:ascii="Arial" w:eastAsia="Calibri" w:hAnsi="Arial" w:cs="Arial"/>
          <w:bCs/>
          <w:sz w:val="20"/>
          <w:szCs w:val="20"/>
          <w:lang w:val="es-ES"/>
        </w:rPr>
        <w:t xml:space="preserve">d) Identificar el rango en el cual se encuentra el proceso de contratación de acuerdo con el presupuesto oficial. </w:t>
      </w:r>
    </w:p>
    <w:p w14:paraId="5CDED0DA" w14:textId="77777777" w:rsidR="009566C8" w:rsidRPr="00857761" w:rsidRDefault="009566C8" w:rsidP="009566C8">
      <w:pPr>
        <w:jc w:val="both"/>
        <w:rPr>
          <w:rFonts w:ascii="Arial" w:eastAsia="Calibri" w:hAnsi="Arial" w:cs="Arial"/>
          <w:bCs/>
          <w:sz w:val="20"/>
          <w:szCs w:val="20"/>
          <w:lang w:val="es-ES"/>
        </w:rPr>
      </w:pPr>
      <w:r w:rsidRPr="00857761">
        <w:rPr>
          <w:rFonts w:ascii="Arial" w:eastAsia="Calibri" w:hAnsi="Arial" w:cs="Arial"/>
          <w:bCs/>
          <w:sz w:val="20"/>
          <w:szCs w:val="20"/>
          <w:lang w:val="es-ES"/>
        </w:rPr>
        <w:t xml:space="preserve">e) Identificar la «experiencia general» exigible acorde con la Matriz 1 teniendo en cuenta la actividad a contratar y el rango de la cuantía del Proceso de Contratación. </w:t>
      </w:r>
    </w:p>
    <w:p w14:paraId="6AFF27FD" w14:textId="77777777" w:rsidR="009566C8" w:rsidRPr="00857761" w:rsidRDefault="009566C8" w:rsidP="009566C8">
      <w:pPr>
        <w:jc w:val="both"/>
        <w:rPr>
          <w:rFonts w:ascii="Arial" w:eastAsia="Calibri" w:hAnsi="Arial" w:cs="Arial"/>
          <w:bCs/>
          <w:sz w:val="20"/>
          <w:szCs w:val="20"/>
          <w:lang w:val="es-ES"/>
        </w:rPr>
      </w:pPr>
      <w:r w:rsidRPr="00857761">
        <w:rPr>
          <w:rFonts w:ascii="Arial" w:eastAsia="Calibri" w:hAnsi="Arial" w:cs="Arial"/>
          <w:bCs/>
          <w:sz w:val="20"/>
          <w:szCs w:val="20"/>
          <w:lang w:val="es-ES"/>
        </w:rPr>
        <w:t xml:space="preserve">f) Identificar la «experiencia específica» exigible y el porcentaje de dimensionamiento que se puede solicitar acorde con la longitud a ejecutar, de acuerdo con la cuantía del proceso de contratación. Cuando en la «experiencia específica» se indiquen las siglas N.A significa que la entidad estatal no puede exigir a los proponentes experiencia específica en los procesos de contratación. </w:t>
      </w:r>
    </w:p>
    <w:p w14:paraId="59AE0B38" w14:textId="77777777" w:rsidR="009566C8" w:rsidRPr="00857761" w:rsidRDefault="009566C8" w:rsidP="009566C8">
      <w:pPr>
        <w:jc w:val="both"/>
        <w:rPr>
          <w:rFonts w:ascii="Arial" w:eastAsia="Calibri" w:hAnsi="Arial" w:cs="Arial"/>
          <w:b/>
          <w:bCs/>
          <w:lang w:val="es-ES"/>
        </w:rPr>
      </w:pPr>
      <w:r w:rsidRPr="00857761">
        <w:rPr>
          <w:rFonts w:ascii="Arial" w:eastAsia="Calibri" w:hAnsi="Arial" w:cs="Arial"/>
          <w:bCs/>
          <w:sz w:val="20"/>
          <w:szCs w:val="20"/>
          <w:lang w:val="es-ES"/>
        </w:rPr>
        <w:t>g) Establecidos los requisitos de experiencia exigibles, la entidad deberá consignarlos en los apartados grises entre corchetes del literal A del numeral 3.5.2 del documento base, para que los oferentes puedan conocer los requisitos de experiencia general y específica exigidos por la entidad.</w:t>
      </w:r>
      <w:bookmarkStart w:id="0" w:name="_Hlk65849162"/>
    </w:p>
    <w:p w14:paraId="04F15C5B" w14:textId="77777777" w:rsidR="009566C8" w:rsidRDefault="009566C8" w:rsidP="009566C8">
      <w:pPr>
        <w:jc w:val="both"/>
        <w:rPr>
          <w:rFonts w:ascii="Arial" w:eastAsia="Calibri" w:hAnsi="Arial" w:cs="Arial"/>
          <w:b/>
          <w:lang w:val="es-MX"/>
        </w:rPr>
      </w:pPr>
    </w:p>
    <w:p w14:paraId="3A70CFF2" w14:textId="77777777" w:rsidR="009566C8" w:rsidRDefault="009566C8" w:rsidP="009566C8">
      <w:pPr>
        <w:jc w:val="both"/>
        <w:rPr>
          <w:rFonts w:ascii="Arial" w:eastAsia="Calibri" w:hAnsi="Arial" w:cs="Arial"/>
          <w:b/>
          <w:lang w:val="es-MX"/>
        </w:rPr>
      </w:pPr>
      <w:r w:rsidRPr="000A7622">
        <w:rPr>
          <w:rFonts w:ascii="Arial" w:eastAsia="Calibri" w:hAnsi="Arial" w:cs="Arial"/>
          <w:b/>
          <w:lang w:val="es-MX"/>
        </w:rPr>
        <w:t xml:space="preserve">DOCUMENTOS TIPO – Versión 3 – Licitación </w:t>
      </w:r>
      <w:r>
        <w:rPr>
          <w:rFonts w:ascii="Arial" w:eastAsia="Calibri" w:hAnsi="Arial" w:cs="Arial"/>
          <w:b/>
          <w:lang w:val="es-MX"/>
        </w:rPr>
        <w:t>p</w:t>
      </w:r>
      <w:r w:rsidRPr="000A7622">
        <w:rPr>
          <w:rFonts w:ascii="Arial" w:eastAsia="Calibri" w:hAnsi="Arial" w:cs="Arial"/>
          <w:b/>
          <w:lang w:val="es-MX"/>
        </w:rPr>
        <w:t xml:space="preserve">ública - Capacidad residual </w:t>
      </w:r>
    </w:p>
    <w:p w14:paraId="14E65C4C" w14:textId="77777777" w:rsidR="009566C8" w:rsidRDefault="009566C8" w:rsidP="009566C8">
      <w:pPr>
        <w:jc w:val="both"/>
        <w:rPr>
          <w:rFonts w:ascii="Arial" w:eastAsia="Calibri" w:hAnsi="Arial" w:cs="Arial"/>
          <w:b/>
          <w:lang w:val="es-MX"/>
        </w:rPr>
      </w:pPr>
    </w:p>
    <w:p w14:paraId="646F79DE" w14:textId="77777777" w:rsidR="009566C8" w:rsidRPr="00E30DDE" w:rsidRDefault="009566C8" w:rsidP="009566C8">
      <w:pPr>
        <w:jc w:val="both"/>
        <w:rPr>
          <w:rFonts w:ascii="Arial" w:eastAsia="Calibri" w:hAnsi="Arial" w:cs="Arial"/>
          <w:bCs/>
          <w:sz w:val="20"/>
          <w:szCs w:val="20"/>
          <w:lang w:val="es-ES"/>
        </w:rPr>
      </w:pPr>
      <w:r w:rsidRPr="00E30DDE">
        <w:rPr>
          <w:rFonts w:ascii="Arial" w:eastAsia="Calibri" w:hAnsi="Arial" w:cs="Arial"/>
          <w:bCs/>
          <w:sz w:val="20"/>
          <w:szCs w:val="20"/>
          <w:lang w:val="es-ES"/>
        </w:rPr>
        <w:lastRenderedPageBreak/>
        <w:t xml:space="preserve">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w:t>
      </w:r>
      <w:proofErr w:type="gramStart"/>
      <w:r w:rsidRPr="00E30DDE">
        <w:rPr>
          <w:rFonts w:ascii="Arial" w:eastAsia="Calibri" w:hAnsi="Arial" w:cs="Arial"/>
          <w:bCs/>
          <w:sz w:val="20"/>
          <w:szCs w:val="20"/>
          <w:lang w:val="es-ES"/>
        </w:rPr>
        <w:t>selección .</w:t>
      </w:r>
      <w:proofErr w:type="gramEnd"/>
      <w:r w:rsidRPr="00E30DDE">
        <w:rPr>
          <w:rFonts w:ascii="Arial" w:eastAsia="Calibri" w:hAnsi="Arial" w:cs="Arial"/>
          <w:bCs/>
          <w:sz w:val="20"/>
          <w:szCs w:val="20"/>
          <w:lang w:val="es-ES"/>
        </w:rPr>
        <w:t xml:space="preserve"> Por su parte, el Consejo de Estado ha definido la capacidad residual como «la diferencia que existe entre el potencial de contratación que se tiene y los compromisos que haya adquirido y que se encuentren en ejecución, para la fecha de presentación de la oferta</w:t>
      </w:r>
      <w:proofErr w:type="gramStart"/>
      <w:r w:rsidRPr="00E30DDE">
        <w:rPr>
          <w:rFonts w:ascii="Arial" w:eastAsia="Calibri" w:hAnsi="Arial" w:cs="Arial"/>
          <w:bCs/>
          <w:sz w:val="20"/>
          <w:szCs w:val="20"/>
          <w:lang w:val="es-ES"/>
        </w:rPr>
        <w:t>» .</w:t>
      </w:r>
      <w:proofErr w:type="gramEnd"/>
    </w:p>
    <w:p w14:paraId="0C3D27F2" w14:textId="77777777" w:rsidR="009566C8" w:rsidRDefault="009566C8" w:rsidP="009566C8">
      <w:pPr>
        <w:jc w:val="both"/>
        <w:rPr>
          <w:rFonts w:ascii="Arial" w:eastAsia="Calibri" w:hAnsi="Arial" w:cs="Arial"/>
          <w:bCs/>
          <w:sz w:val="20"/>
          <w:szCs w:val="20"/>
          <w:lang w:val="es-ES"/>
        </w:rPr>
      </w:pPr>
    </w:p>
    <w:p w14:paraId="23A32493" w14:textId="36CA5C21" w:rsidR="009566C8" w:rsidRDefault="009566C8" w:rsidP="009566C8">
      <w:pPr>
        <w:jc w:val="both"/>
        <w:rPr>
          <w:rFonts w:ascii="Arial" w:eastAsia="Calibri" w:hAnsi="Arial" w:cs="Arial"/>
          <w:bCs/>
          <w:sz w:val="20"/>
          <w:szCs w:val="20"/>
          <w:lang w:val="es-ES"/>
        </w:rPr>
      </w:pPr>
      <w:r w:rsidRPr="00E30DDE">
        <w:rPr>
          <w:rFonts w:ascii="Arial" w:eastAsia="Calibri" w:hAnsi="Arial" w:cs="Arial"/>
          <w:bCs/>
          <w:sz w:val="20"/>
          <w:szCs w:val="20"/>
          <w:lang w:val="es-ES"/>
        </w:rPr>
        <w:t>De esta manera, la capacidad residual se refiere a la suficiencia que tiene el proponente para asumir nuevas obligaciones que se derivan del contrato objeto del proceso de contratación, en relación con las obligaciones que ya adquirió frente a otros contratos.</w:t>
      </w:r>
    </w:p>
    <w:p w14:paraId="44BED699" w14:textId="77777777" w:rsidR="009566C8" w:rsidRDefault="009566C8" w:rsidP="009566C8">
      <w:pPr>
        <w:jc w:val="both"/>
        <w:rPr>
          <w:rFonts w:ascii="Arial" w:eastAsia="Calibri" w:hAnsi="Arial" w:cs="Arial"/>
          <w:bCs/>
          <w:sz w:val="20"/>
          <w:szCs w:val="20"/>
          <w:lang w:val="es-ES"/>
        </w:rPr>
      </w:pPr>
    </w:p>
    <w:p w14:paraId="683B7216" w14:textId="77777777" w:rsidR="009566C8" w:rsidRDefault="009566C8" w:rsidP="009566C8">
      <w:pPr>
        <w:jc w:val="both"/>
        <w:rPr>
          <w:rFonts w:ascii="Arial" w:eastAsia="Calibri" w:hAnsi="Arial" w:cs="Arial"/>
          <w:b/>
          <w:lang w:val="es-MX"/>
        </w:rPr>
      </w:pPr>
      <w:r w:rsidRPr="000A7622">
        <w:rPr>
          <w:rFonts w:ascii="Arial" w:eastAsia="Calibri" w:hAnsi="Arial" w:cs="Arial"/>
          <w:b/>
          <w:lang w:val="es-MX"/>
        </w:rPr>
        <w:t xml:space="preserve">DOCUMENTOS TIPO – Versión 3 – </w:t>
      </w:r>
      <w:r>
        <w:rPr>
          <w:rFonts w:ascii="Arial" w:eastAsia="Calibri" w:hAnsi="Arial" w:cs="Arial"/>
          <w:b/>
          <w:lang w:val="es-MX"/>
        </w:rPr>
        <w:t xml:space="preserve">numeral 3.5 del Documento Base – contratos para acreditar experiencia – SMLMV </w:t>
      </w:r>
    </w:p>
    <w:p w14:paraId="4B94B346" w14:textId="77777777" w:rsidR="009566C8" w:rsidRPr="0017039C" w:rsidRDefault="009566C8" w:rsidP="009566C8">
      <w:pPr>
        <w:jc w:val="both"/>
        <w:rPr>
          <w:rFonts w:ascii="Arial" w:eastAsia="Calibri" w:hAnsi="Arial" w:cs="Arial"/>
          <w:bCs/>
          <w:sz w:val="20"/>
          <w:szCs w:val="20"/>
          <w:lang w:val="es-MX"/>
        </w:rPr>
      </w:pPr>
    </w:p>
    <w:bookmarkEnd w:id="0"/>
    <w:p w14:paraId="22AE52E2" w14:textId="77777777" w:rsidR="009566C8" w:rsidRDefault="009566C8" w:rsidP="009566C8">
      <w:pPr>
        <w:jc w:val="both"/>
        <w:rPr>
          <w:rFonts w:ascii="Arial" w:eastAsia="Calibri" w:hAnsi="Arial" w:cs="Arial"/>
          <w:bCs/>
          <w:sz w:val="20"/>
          <w:szCs w:val="20"/>
          <w:lang w:val="es-ES" w:eastAsia="en-US"/>
        </w:rPr>
      </w:pPr>
      <w:r w:rsidRPr="003027A0">
        <w:rPr>
          <w:rFonts w:ascii="Arial" w:eastAsia="Calibri" w:hAnsi="Arial" w:cs="Arial"/>
          <w:bCs/>
          <w:sz w:val="20"/>
          <w:szCs w:val="20"/>
          <w:lang w:val="es-ES"/>
        </w:rPr>
        <w:t xml:space="preserve">De esta manera, cuando el literal B del numeral 3.10.2 del pliego de condiciones regula liquidación del salario mínimo para la capacidad residual, el literal J del numeral 1.17 del documento base –en concordancia con el artículo 1623 del Código Civil– permite extender sus afectos a la verificación de las condiciones de experiencia general y </w:t>
      </w:r>
      <w:proofErr w:type="gramStart"/>
      <w:r w:rsidRPr="003027A0">
        <w:rPr>
          <w:rFonts w:ascii="Arial" w:eastAsia="Calibri" w:hAnsi="Arial" w:cs="Arial"/>
          <w:bCs/>
          <w:sz w:val="20"/>
          <w:szCs w:val="20"/>
          <w:lang w:val="es-ES"/>
        </w:rPr>
        <w:t>específica .</w:t>
      </w:r>
      <w:proofErr w:type="gramEnd"/>
      <w:r w:rsidRPr="003027A0">
        <w:rPr>
          <w:rFonts w:ascii="Arial" w:eastAsia="Calibri" w:hAnsi="Arial" w:cs="Arial"/>
          <w:bCs/>
          <w:sz w:val="20"/>
          <w:szCs w:val="20"/>
          <w:lang w:val="es-ES"/>
        </w:rPr>
        <w:t xml:space="preserve"> Por tanto, si el pliego de condiciones se expidió el año pasado y las ofertas se reciben y evalúan durante el año en curso, la entidad –para efectos de los numerales 3.5.2 y 3.5.8 del documento base anteriormente– debe verificar el requisito habilitante de experiencia general con el salario mínimo de 2021, criterio que aplica también a las condiciones de experiencia específica previstas en la matriz 1.</w:t>
      </w:r>
    </w:p>
    <w:p w14:paraId="61EB911F" w14:textId="2E55C1F3" w:rsidR="00105872" w:rsidRDefault="00105872" w:rsidP="00847FA1">
      <w:pPr>
        <w:jc w:val="both"/>
        <w:rPr>
          <w:rFonts w:ascii="Arial" w:eastAsia="Calibri" w:hAnsi="Arial" w:cs="Arial"/>
          <w:bCs/>
          <w:sz w:val="20"/>
          <w:szCs w:val="20"/>
          <w:lang w:val="es-ES" w:eastAsia="en-US"/>
        </w:rPr>
      </w:pPr>
    </w:p>
    <w:p w14:paraId="2AFE586D" w14:textId="77777777" w:rsidR="0017039C" w:rsidRPr="00E30DDE" w:rsidRDefault="0017039C" w:rsidP="00847FA1">
      <w:pPr>
        <w:jc w:val="both"/>
        <w:rPr>
          <w:rFonts w:ascii="Arial" w:eastAsia="Calibri" w:hAnsi="Arial" w:cs="Arial"/>
          <w:bCs/>
          <w:sz w:val="20"/>
          <w:szCs w:val="20"/>
          <w:lang w:val="es-ES" w:eastAsia="en-US"/>
        </w:rPr>
      </w:pPr>
    </w:p>
    <w:p w14:paraId="091E9B62" w14:textId="77777777" w:rsidR="00105872" w:rsidRPr="00E30DDE" w:rsidRDefault="00105872" w:rsidP="00847FA1">
      <w:pPr>
        <w:jc w:val="both"/>
        <w:rPr>
          <w:rFonts w:ascii="Arial" w:eastAsia="Calibri" w:hAnsi="Arial" w:cs="Arial"/>
          <w:bCs/>
          <w:sz w:val="20"/>
          <w:szCs w:val="20"/>
          <w:lang w:val="es-ES" w:eastAsia="en-US"/>
        </w:rPr>
      </w:pPr>
    </w:p>
    <w:p w14:paraId="69626F80" w14:textId="77777777" w:rsidR="00105872" w:rsidRDefault="00105872" w:rsidP="00847FA1">
      <w:pPr>
        <w:jc w:val="both"/>
        <w:rPr>
          <w:rFonts w:ascii="Arial" w:eastAsia="Calibri" w:hAnsi="Arial" w:cs="Arial"/>
          <w:color w:val="000000"/>
          <w:lang w:val="es-ES_tradnl"/>
        </w:rPr>
      </w:pPr>
    </w:p>
    <w:p w14:paraId="7290659E" w14:textId="77777777" w:rsidR="00105872" w:rsidRDefault="00105872" w:rsidP="00847FA1">
      <w:pPr>
        <w:jc w:val="both"/>
        <w:rPr>
          <w:rFonts w:ascii="Arial" w:eastAsia="Calibri" w:hAnsi="Arial" w:cs="Arial"/>
          <w:color w:val="000000"/>
          <w:lang w:val="es-ES_tradnl"/>
        </w:rPr>
      </w:pPr>
    </w:p>
    <w:p w14:paraId="52C7520F" w14:textId="77777777" w:rsidR="00105872" w:rsidRDefault="00105872" w:rsidP="00847FA1">
      <w:pPr>
        <w:jc w:val="both"/>
        <w:rPr>
          <w:rFonts w:ascii="Arial" w:eastAsia="Calibri" w:hAnsi="Arial" w:cs="Arial"/>
          <w:color w:val="000000"/>
          <w:lang w:val="es-ES_tradnl"/>
        </w:rPr>
      </w:pPr>
    </w:p>
    <w:p w14:paraId="0389A615" w14:textId="77777777" w:rsidR="00105872" w:rsidRDefault="00105872" w:rsidP="00847FA1">
      <w:pPr>
        <w:jc w:val="both"/>
        <w:rPr>
          <w:rFonts w:ascii="Arial" w:eastAsia="Calibri" w:hAnsi="Arial" w:cs="Arial"/>
          <w:color w:val="000000"/>
          <w:lang w:val="es-ES_tradnl"/>
        </w:rPr>
      </w:pPr>
    </w:p>
    <w:p w14:paraId="09AA33FE" w14:textId="77777777" w:rsidR="00105872" w:rsidRDefault="00105872" w:rsidP="00847FA1">
      <w:pPr>
        <w:jc w:val="both"/>
        <w:rPr>
          <w:rFonts w:ascii="Arial" w:eastAsia="Calibri" w:hAnsi="Arial" w:cs="Arial"/>
          <w:color w:val="000000"/>
          <w:lang w:val="es-ES_tradnl"/>
        </w:rPr>
      </w:pPr>
    </w:p>
    <w:p w14:paraId="53FD3515" w14:textId="77777777" w:rsidR="00105872" w:rsidRDefault="00105872" w:rsidP="00847FA1">
      <w:pPr>
        <w:jc w:val="both"/>
        <w:rPr>
          <w:rFonts w:ascii="Arial" w:eastAsia="Calibri" w:hAnsi="Arial" w:cs="Arial"/>
          <w:color w:val="000000"/>
          <w:lang w:val="es-ES_tradnl"/>
        </w:rPr>
      </w:pPr>
    </w:p>
    <w:p w14:paraId="3B95BA54" w14:textId="77777777" w:rsidR="00105872" w:rsidRDefault="00105872" w:rsidP="00847FA1">
      <w:pPr>
        <w:jc w:val="both"/>
        <w:rPr>
          <w:rFonts w:ascii="Arial" w:eastAsia="Calibri" w:hAnsi="Arial" w:cs="Arial"/>
          <w:color w:val="000000"/>
          <w:lang w:val="es-ES_tradnl"/>
        </w:rPr>
      </w:pPr>
    </w:p>
    <w:p w14:paraId="40299638" w14:textId="7C228647" w:rsidR="00105872" w:rsidRDefault="00105872" w:rsidP="00847FA1">
      <w:pPr>
        <w:jc w:val="both"/>
        <w:rPr>
          <w:rFonts w:ascii="Arial" w:eastAsia="Calibri" w:hAnsi="Arial" w:cs="Arial"/>
          <w:color w:val="000000"/>
          <w:lang w:val="es-ES_tradnl"/>
        </w:rPr>
      </w:pPr>
    </w:p>
    <w:p w14:paraId="53865943" w14:textId="641B48C3" w:rsidR="00E30DDE" w:rsidRDefault="00E30DDE" w:rsidP="00847FA1">
      <w:pPr>
        <w:jc w:val="both"/>
        <w:rPr>
          <w:rFonts w:ascii="Arial" w:eastAsia="Calibri" w:hAnsi="Arial" w:cs="Arial"/>
          <w:color w:val="000000"/>
          <w:lang w:val="es-ES_tradnl"/>
        </w:rPr>
      </w:pPr>
    </w:p>
    <w:p w14:paraId="05C3507D" w14:textId="30F37140" w:rsidR="00E30DDE" w:rsidRDefault="00E30DDE" w:rsidP="00847FA1">
      <w:pPr>
        <w:jc w:val="both"/>
        <w:rPr>
          <w:rFonts w:ascii="Arial" w:eastAsia="Calibri" w:hAnsi="Arial" w:cs="Arial"/>
          <w:color w:val="000000"/>
          <w:lang w:val="es-ES_tradnl"/>
        </w:rPr>
      </w:pPr>
    </w:p>
    <w:p w14:paraId="064C73AE" w14:textId="3DFE7C01" w:rsidR="00E30DDE" w:rsidRDefault="00E30DDE" w:rsidP="00847FA1">
      <w:pPr>
        <w:jc w:val="both"/>
        <w:rPr>
          <w:rFonts w:ascii="Arial" w:eastAsia="Calibri" w:hAnsi="Arial" w:cs="Arial"/>
          <w:color w:val="000000"/>
          <w:lang w:val="es-ES_tradnl"/>
        </w:rPr>
      </w:pPr>
    </w:p>
    <w:p w14:paraId="66E80921" w14:textId="6EB31DDD" w:rsidR="00E30DDE" w:rsidRDefault="00E30DDE" w:rsidP="00847FA1">
      <w:pPr>
        <w:jc w:val="both"/>
        <w:rPr>
          <w:rFonts w:ascii="Arial" w:eastAsia="Calibri" w:hAnsi="Arial" w:cs="Arial"/>
          <w:color w:val="000000"/>
          <w:lang w:val="es-ES_tradnl"/>
        </w:rPr>
      </w:pPr>
    </w:p>
    <w:p w14:paraId="688D902F" w14:textId="19E1404E" w:rsidR="00E30DDE" w:rsidRDefault="00E30DDE" w:rsidP="00847FA1">
      <w:pPr>
        <w:jc w:val="both"/>
        <w:rPr>
          <w:rFonts w:ascii="Arial" w:eastAsia="Calibri" w:hAnsi="Arial" w:cs="Arial"/>
          <w:color w:val="000000"/>
          <w:lang w:val="es-ES_tradnl"/>
        </w:rPr>
      </w:pPr>
    </w:p>
    <w:p w14:paraId="716CB305" w14:textId="721CB9FA" w:rsidR="00E30DDE" w:rsidRDefault="00E30DDE" w:rsidP="00847FA1">
      <w:pPr>
        <w:jc w:val="both"/>
        <w:rPr>
          <w:rFonts w:ascii="Arial" w:eastAsia="Calibri" w:hAnsi="Arial" w:cs="Arial"/>
          <w:color w:val="000000"/>
          <w:lang w:val="es-ES_tradnl"/>
        </w:rPr>
      </w:pPr>
    </w:p>
    <w:p w14:paraId="5317B311" w14:textId="4F3D67C5" w:rsidR="00E30DDE" w:rsidRDefault="00E30DDE" w:rsidP="00847FA1">
      <w:pPr>
        <w:jc w:val="both"/>
        <w:rPr>
          <w:rFonts w:ascii="Arial" w:eastAsia="Calibri" w:hAnsi="Arial" w:cs="Arial"/>
          <w:color w:val="000000"/>
          <w:lang w:val="es-ES_tradnl"/>
        </w:rPr>
      </w:pPr>
    </w:p>
    <w:p w14:paraId="01C2CD2F" w14:textId="294624AB" w:rsidR="00E30DDE" w:rsidRDefault="00E30DDE" w:rsidP="00847FA1">
      <w:pPr>
        <w:jc w:val="both"/>
        <w:rPr>
          <w:rFonts w:ascii="Arial" w:eastAsia="Calibri" w:hAnsi="Arial" w:cs="Arial"/>
          <w:color w:val="000000"/>
          <w:lang w:val="es-ES_tradnl"/>
        </w:rPr>
      </w:pPr>
    </w:p>
    <w:p w14:paraId="02F98E7E" w14:textId="3ADC1E23" w:rsidR="00E30DDE" w:rsidRDefault="00E30DDE" w:rsidP="00847FA1">
      <w:pPr>
        <w:jc w:val="both"/>
        <w:rPr>
          <w:rFonts w:ascii="Arial" w:eastAsia="Calibri" w:hAnsi="Arial" w:cs="Arial"/>
          <w:color w:val="000000"/>
          <w:lang w:val="es-ES_tradnl"/>
        </w:rPr>
      </w:pPr>
    </w:p>
    <w:p w14:paraId="297CFE8F" w14:textId="3B3E7643" w:rsidR="00E30DDE" w:rsidRDefault="00E30DDE" w:rsidP="00847FA1">
      <w:pPr>
        <w:jc w:val="both"/>
        <w:rPr>
          <w:rFonts w:ascii="Arial" w:eastAsia="Calibri" w:hAnsi="Arial" w:cs="Arial"/>
          <w:color w:val="000000"/>
          <w:lang w:val="es-ES_tradnl"/>
        </w:rPr>
      </w:pPr>
    </w:p>
    <w:p w14:paraId="664BB8A9" w14:textId="01F820D0" w:rsidR="00E30DDE" w:rsidRDefault="00E30DDE" w:rsidP="00847FA1">
      <w:pPr>
        <w:jc w:val="both"/>
        <w:rPr>
          <w:rFonts w:ascii="Arial" w:eastAsia="Calibri" w:hAnsi="Arial" w:cs="Arial"/>
          <w:color w:val="000000"/>
          <w:lang w:val="es-ES_tradnl"/>
        </w:rPr>
      </w:pPr>
    </w:p>
    <w:p w14:paraId="270F70E1" w14:textId="166A2CC1" w:rsidR="00E30DDE" w:rsidRDefault="00E30DDE" w:rsidP="00847FA1">
      <w:pPr>
        <w:jc w:val="both"/>
        <w:rPr>
          <w:rFonts w:ascii="Arial" w:eastAsia="Calibri" w:hAnsi="Arial" w:cs="Arial"/>
          <w:color w:val="000000"/>
          <w:lang w:val="es-ES_tradnl"/>
        </w:rPr>
      </w:pPr>
    </w:p>
    <w:p w14:paraId="700A078E" w14:textId="21323892" w:rsidR="00E30DDE" w:rsidRDefault="00E30DDE" w:rsidP="00847FA1">
      <w:pPr>
        <w:jc w:val="both"/>
        <w:rPr>
          <w:rFonts w:ascii="Arial" w:eastAsia="Calibri" w:hAnsi="Arial" w:cs="Arial"/>
          <w:color w:val="000000"/>
          <w:lang w:val="es-ES_tradnl"/>
        </w:rPr>
      </w:pPr>
    </w:p>
    <w:p w14:paraId="7322F2B3" w14:textId="77777777" w:rsidR="000C587C" w:rsidRDefault="000C587C" w:rsidP="00847FA1">
      <w:pPr>
        <w:jc w:val="both"/>
        <w:rPr>
          <w:rFonts w:ascii="_ÁÛ™ò" w:eastAsiaTheme="minorHAnsi" w:hAnsi="_ÁÛ™ò" w:cs="_ÁÛ™ò"/>
          <w:color w:val="4E4D4D"/>
          <w:sz w:val="22"/>
          <w:szCs w:val="22"/>
          <w:lang w:val="es-ES_tradnl" w:eastAsia="en-US"/>
        </w:rPr>
      </w:pPr>
    </w:p>
    <w:p w14:paraId="1EB101B9" w14:textId="7CA8E878" w:rsidR="009566C8" w:rsidRDefault="000C587C" w:rsidP="00847FA1">
      <w:pPr>
        <w:jc w:val="both"/>
        <w:rPr>
          <w:rFonts w:ascii="Arial" w:eastAsia="Calibri" w:hAnsi="Arial" w:cs="Arial"/>
          <w:color w:val="000000"/>
          <w:lang w:val="es-ES_tradnl"/>
        </w:rPr>
      </w:pPr>
      <w:r>
        <w:rPr>
          <w:rFonts w:ascii="_ÁÛ™ò" w:eastAsiaTheme="minorHAnsi" w:hAnsi="_ÁÛ™ò" w:cs="_ÁÛ™ò"/>
          <w:color w:val="4E4D4D"/>
          <w:sz w:val="22"/>
          <w:szCs w:val="22"/>
          <w:lang w:val="es-ES_tradnl" w:eastAsia="en-US"/>
        </w:rPr>
        <w:lastRenderedPageBreak/>
        <w:t>Bogot</w:t>
      </w:r>
      <w:r>
        <w:rPr>
          <w:rFonts w:ascii="_ÁÛ™ò" w:eastAsiaTheme="minorHAnsi" w:hAnsi="_ÁÛ™ò" w:cs="_ÁÛ™ò"/>
          <w:color w:val="4E4D4D"/>
          <w:sz w:val="22"/>
          <w:szCs w:val="22"/>
          <w:lang w:val="es-ES_tradnl" w:eastAsia="en-US"/>
        </w:rPr>
        <w:t>á</w:t>
      </w:r>
      <w:r>
        <w:rPr>
          <w:rFonts w:ascii="_ÁÛ™ò" w:eastAsiaTheme="minorHAnsi" w:hAnsi="_ÁÛ™ò" w:cs="_ÁÛ™ò"/>
          <w:color w:val="4E4D4D"/>
          <w:sz w:val="22"/>
          <w:szCs w:val="22"/>
          <w:lang w:val="es-ES_tradnl" w:eastAsia="en-US"/>
        </w:rPr>
        <w:t xml:space="preserve">, 22 </w:t>
      </w:r>
      <w:proofErr w:type="gramStart"/>
      <w:r>
        <w:rPr>
          <w:rFonts w:ascii="_ÁÛ™ò" w:eastAsiaTheme="minorHAnsi" w:hAnsi="_ÁÛ™ò" w:cs="_ÁÛ™ò"/>
          <w:color w:val="4E4D4D"/>
          <w:sz w:val="22"/>
          <w:szCs w:val="22"/>
          <w:lang w:val="es-ES_tradnl" w:eastAsia="en-US"/>
        </w:rPr>
        <w:t>Febrero</w:t>
      </w:r>
      <w:proofErr w:type="gramEnd"/>
      <w:r>
        <w:rPr>
          <w:rFonts w:ascii="_ÁÛ™ò" w:eastAsiaTheme="minorHAnsi" w:hAnsi="_ÁÛ™ò" w:cs="_ÁÛ™ò"/>
          <w:color w:val="4E4D4D"/>
          <w:sz w:val="22"/>
          <w:szCs w:val="22"/>
          <w:lang w:val="es-ES_tradnl" w:eastAsia="en-US"/>
        </w:rPr>
        <w:t xml:space="preserve"> 2022</w:t>
      </w:r>
      <w:r>
        <w:rPr>
          <w:rFonts w:ascii="_ÁÛ™ò" w:eastAsiaTheme="minorHAnsi" w:hAnsi="_ÁÛ™ò" w:cs="_ÁÛ™ò"/>
          <w:color w:val="4E4D4D"/>
          <w:sz w:val="22"/>
          <w:szCs w:val="22"/>
          <w:lang w:val="es-ES_tradnl" w:eastAsia="en-US"/>
        </w:rPr>
        <w:tab/>
      </w:r>
      <w:r>
        <w:rPr>
          <w:rFonts w:ascii="_ÁÛ™ò" w:eastAsiaTheme="minorHAnsi" w:hAnsi="_ÁÛ™ò" w:cs="_ÁÛ™ò"/>
          <w:color w:val="4E4D4D"/>
          <w:sz w:val="22"/>
          <w:szCs w:val="22"/>
          <w:lang w:val="es-ES_tradnl" w:eastAsia="en-US"/>
        </w:rPr>
        <w:tab/>
      </w:r>
      <w:r>
        <w:rPr>
          <w:rFonts w:ascii="_ÁÛ™ò" w:eastAsiaTheme="minorHAnsi" w:hAnsi="_ÁÛ™ò" w:cs="_ÁÛ™ò"/>
          <w:color w:val="4E4D4D"/>
          <w:sz w:val="22"/>
          <w:szCs w:val="22"/>
          <w:lang w:val="es-ES_tradnl" w:eastAsia="en-US"/>
        </w:rPr>
        <w:tab/>
      </w:r>
      <w:r>
        <w:rPr>
          <w:rFonts w:ascii="_ÁÛ™ò" w:eastAsiaTheme="minorHAnsi" w:hAnsi="_ÁÛ™ò" w:cs="_ÁÛ™ò"/>
          <w:color w:val="4E4D4D"/>
          <w:sz w:val="22"/>
          <w:szCs w:val="22"/>
          <w:lang w:val="es-ES_tradnl" w:eastAsia="en-US"/>
        </w:rPr>
        <w:tab/>
      </w:r>
      <w:r w:rsidRPr="000C587C">
        <w:rPr>
          <w:rFonts w:ascii="_ÁÛ™ò" w:eastAsiaTheme="minorHAnsi" w:hAnsi="_ÁÛ™ò" w:cs="_ÁÛ™ò"/>
          <w:color w:val="4E4D4D"/>
          <w:sz w:val="22"/>
          <w:szCs w:val="22"/>
          <w:lang w:val="es-ES_tradnl" w:eastAsia="en-US"/>
        </w:rPr>
        <w:drawing>
          <wp:inline distT="0" distB="0" distL="0" distR="0" wp14:anchorId="76EB2BF7" wp14:editId="48277DDF">
            <wp:extent cx="2314575" cy="774700"/>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314575" cy="774700"/>
                    </a:xfrm>
                    <a:prstGeom prst="rect">
                      <a:avLst/>
                    </a:prstGeom>
                  </pic:spPr>
                </pic:pic>
              </a:graphicData>
            </a:graphic>
          </wp:inline>
        </w:drawing>
      </w:r>
    </w:p>
    <w:p w14:paraId="435F5F50" w14:textId="2E83BAE3" w:rsidR="000C587C" w:rsidRDefault="000C587C" w:rsidP="00847FA1">
      <w:pPr>
        <w:jc w:val="both"/>
        <w:rPr>
          <w:rFonts w:ascii="Arial" w:eastAsia="Calibri" w:hAnsi="Arial" w:cs="Arial"/>
          <w:color w:val="000000"/>
          <w:lang w:val="es-ES_tradnl"/>
        </w:rPr>
      </w:pPr>
      <w:r>
        <w:rPr>
          <w:rFonts w:ascii="Arial" w:eastAsia="Calibri" w:hAnsi="Arial" w:cs="Arial"/>
          <w:color w:val="000000"/>
          <w:lang w:val="es-ES_tradnl"/>
        </w:rPr>
        <w:tab/>
      </w:r>
      <w:r>
        <w:rPr>
          <w:rFonts w:ascii="Arial" w:eastAsia="Calibri" w:hAnsi="Arial" w:cs="Arial"/>
          <w:color w:val="000000"/>
          <w:lang w:val="es-ES_tradnl"/>
        </w:rPr>
        <w:tab/>
      </w:r>
    </w:p>
    <w:p w14:paraId="0AF33A29" w14:textId="77777777" w:rsidR="000C587C" w:rsidRDefault="000C587C" w:rsidP="00847FA1">
      <w:pPr>
        <w:jc w:val="both"/>
        <w:rPr>
          <w:rFonts w:ascii="Arial" w:eastAsia="Calibri" w:hAnsi="Arial" w:cs="Arial"/>
          <w:color w:val="000000"/>
          <w:lang w:val="es-ES_tradnl"/>
        </w:rPr>
      </w:pPr>
    </w:p>
    <w:p w14:paraId="6DB88E3A" w14:textId="129395B8" w:rsidR="00663BF6" w:rsidRPr="000769D0" w:rsidRDefault="00663BF6" w:rsidP="00AB5723">
      <w:pPr>
        <w:rPr>
          <w:rFonts w:ascii="Arial" w:eastAsia="Calibri" w:hAnsi="Arial" w:cs="Arial"/>
          <w:b/>
          <w:bCs/>
          <w:color w:val="000000"/>
          <w:sz w:val="22"/>
          <w:szCs w:val="22"/>
          <w:lang w:val="es-ES_tradnl"/>
        </w:rPr>
      </w:pPr>
      <w:bookmarkStart w:id="1" w:name="_Hlk91594368"/>
      <w:r w:rsidRPr="000769D0">
        <w:rPr>
          <w:rFonts w:ascii="Arial" w:eastAsia="Calibri" w:hAnsi="Arial" w:cs="Arial"/>
          <w:color w:val="000000"/>
          <w:sz w:val="22"/>
          <w:szCs w:val="22"/>
          <w:lang w:val="es-ES_tradnl"/>
        </w:rPr>
        <w:t>Señor</w:t>
      </w:r>
    </w:p>
    <w:p w14:paraId="5C353F1B" w14:textId="1FC8E27E" w:rsidR="00663BF6" w:rsidRPr="000769D0" w:rsidRDefault="008E4F2E" w:rsidP="00663BF6">
      <w:pPr>
        <w:jc w:val="both"/>
        <w:rPr>
          <w:rFonts w:ascii="Arial" w:hAnsi="Arial" w:cs="Arial"/>
          <w:b/>
          <w:bCs/>
          <w:color w:val="000000"/>
          <w:sz w:val="22"/>
          <w:szCs w:val="22"/>
        </w:rPr>
      </w:pPr>
      <w:r w:rsidRPr="000769D0">
        <w:rPr>
          <w:rFonts w:ascii="Arial" w:hAnsi="Arial" w:cs="Arial"/>
          <w:b/>
          <w:bCs/>
          <w:color w:val="000000"/>
          <w:sz w:val="22"/>
          <w:szCs w:val="22"/>
        </w:rPr>
        <w:t xml:space="preserve">Cristian David Álvarez Prieto </w:t>
      </w:r>
    </w:p>
    <w:p w14:paraId="01C2C85A" w14:textId="46E21FD1" w:rsidR="00663BF6" w:rsidRPr="000769D0" w:rsidRDefault="008E4F2E" w:rsidP="00663BF6">
      <w:pPr>
        <w:jc w:val="both"/>
        <w:rPr>
          <w:rFonts w:ascii="Arial" w:hAnsi="Arial" w:cs="Arial"/>
          <w:color w:val="000000"/>
          <w:sz w:val="22"/>
          <w:szCs w:val="22"/>
        </w:rPr>
      </w:pPr>
      <w:r w:rsidRPr="000769D0">
        <w:rPr>
          <w:rFonts w:ascii="Arial" w:hAnsi="Arial" w:cs="Arial"/>
          <w:color w:val="000000"/>
          <w:sz w:val="22"/>
          <w:szCs w:val="22"/>
        </w:rPr>
        <w:t>Ibagué</w:t>
      </w:r>
      <w:r w:rsidR="00AB5723" w:rsidRPr="000769D0">
        <w:rPr>
          <w:rFonts w:ascii="Arial" w:hAnsi="Arial" w:cs="Arial"/>
          <w:color w:val="000000"/>
          <w:sz w:val="22"/>
          <w:szCs w:val="22"/>
        </w:rPr>
        <w:t>, Tolima</w:t>
      </w:r>
    </w:p>
    <w:p w14:paraId="288CDA7F" w14:textId="77777777" w:rsidR="00663BF6" w:rsidRPr="000769D0" w:rsidRDefault="00663BF6" w:rsidP="00663BF6">
      <w:pPr>
        <w:jc w:val="both"/>
        <w:rPr>
          <w:rFonts w:ascii="Arial" w:eastAsia="Calibri" w:hAnsi="Arial" w:cs="Arial"/>
          <w:color w:val="000000"/>
          <w:sz w:val="22"/>
          <w:szCs w:val="22"/>
        </w:rPr>
      </w:pPr>
    </w:p>
    <w:p w14:paraId="3EA6FDA6" w14:textId="77777777" w:rsidR="00663BF6" w:rsidRPr="000769D0" w:rsidRDefault="00663BF6" w:rsidP="00663BF6">
      <w:pPr>
        <w:jc w:val="both"/>
        <w:rPr>
          <w:rFonts w:ascii="Arial" w:eastAsia="Calibri" w:hAnsi="Arial" w:cs="Arial"/>
          <w:color w:val="000000"/>
          <w:sz w:val="22"/>
          <w:szCs w:val="22"/>
        </w:rPr>
      </w:pPr>
    </w:p>
    <w:p w14:paraId="275DAD09" w14:textId="433965E0" w:rsidR="00663BF6" w:rsidRPr="000769D0" w:rsidRDefault="00663BF6" w:rsidP="00663BF6">
      <w:pPr>
        <w:ind w:firstLine="2694"/>
        <w:rPr>
          <w:rFonts w:ascii="Arial" w:eastAsia="Calibri" w:hAnsi="Arial" w:cs="Arial"/>
          <w:b/>
          <w:bCs/>
          <w:color w:val="000000"/>
          <w:sz w:val="22"/>
          <w:szCs w:val="22"/>
          <w:lang w:val="es-ES_tradnl"/>
        </w:rPr>
      </w:pPr>
      <w:r w:rsidRPr="000769D0">
        <w:rPr>
          <w:rFonts w:ascii="Arial" w:eastAsia="Calibri" w:hAnsi="Arial" w:cs="Arial"/>
          <w:b/>
          <w:bCs/>
          <w:color w:val="000000"/>
          <w:sz w:val="22"/>
          <w:szCs w:val="22"/>
          <w:lang w:val="es-ES_tradnl"/>
        </w:rPr>
        <w:t xml:space="preserve">Concepto C ‒ </w:t>
      </w:r>
      <w:r w:rsidR="008E4F2E" w:rsidRPr="000769D0">
        <w:rPr>
          <w:rFonts w:ascii="Arial" w:eastAsia="Calibri" w:hAnsi="Arial" w:cs="Arial"/>
          <w:b/>
          <w:bCs/>
          <w:color w:val="000000"/>
          <w:sz w:val="22"/>
          <w:szCs w:val="22"/>
          <w:lang w:val="es-ES_tradnl"/>
        </w:rPr>
        <w:t>018</w:t>
      </w:r>
      <w:r w:rsidRPr="000769D0">
        <w:rPr>
          <w:rFonts w:ascii="Arial" w:eastAsia="Calibri" w:hAnsi="Arial" w:cs="Arial"/>
          <w:b/>
          <w:bCs/>
          <w:color w:val="000000"/>
          <w:sz w:val="22"/>
          <w:szCs w:val="22"/>
          <w:lang w:val="es-ES_tradnl"/>
        </w:rPr>
        <w:t xml:space="preserve"> de 202</w:t>
      </w:r>
      <w:r w:rsidR="008E4F2E" w:rsidRPr="000769D0">
        <w:rPr>
          <w:rFonts w:ascii="Arial" w:eastAsia="Calibri" w:hAnsi="Arial" w:cs="Arial"/>
          <w:b/>
          <w:bCs/>
          <w:color w:val="000000"/>
          <w:sz w:val="22"/>
          <w:szCs w:val="22"/>
          <w:lang w:val="es-ES_tradnl"/>
        </w:rPr>
        <w:t>2</w:t>
      </w:r>
    </w:p>
    <w:p w14:paraId="4FC4030B" w14:textId="77777777" w:rsidR="00663BF6" w:rsidRPr="000769D0" w:rsidRDefault="00663BF6" w:rsidP="00663BF6">
      <w:pPr>
        <w:rPr>
          <w:rFonts w:ascii="Arial" w:eastAsia="Calibri" w:hAnsi="Arial" w:cs="Arial"/>
          <w:sz w:val="22"/>
          <w:szCs w:val="22"/>
          <w:lang w:val="es-MX"/>
        </w:rPr>
      </w:pPr>
      <w:r w:rsidRPr="000769D0">
        <w:rPr>
          <w:rFonts w:ascii="Arial" w:eastAsia="Calibri" w:hAnsi="Arial" w:cs="Arial"/>
          <w:sz w:val="22"/>
          <w:szCs w:val="22"/>
          <w:lang w:val="es-MX"/>
        </w:rPr>
        <w:t xml:space="preserve">                                          </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42"/>
        <w:gridCol w:w="2547"/>
        <w:gridCol w:w="6237"/>
      </w:tblGrid>
      <w:tr w:rsidR="00663BF6" w:rsidRPr="000769D0" w14:paraId="4D721B3F" w14:textId="77777777" w:rsidTr="00154C2D">
        <w:trPr>
          <w:gridBefore w:val="1"/>
          <w:wBefore w:w="142" w:type="dxa"/>
        </w:trPr>
        <w:tc>
          <w:tcPr>
            <w:tcW w:w="2547" w:type="dxa"/>
            <w:hideMark/>
          </w:tcPr>
          <w:p w14:paraId="2DB58F7E" w14:textId="77777777" w:rsidR="00663BF6" w:rsidRPr="000769D0" w:rsidRDefault="00663BF6" w:rsidP="00154C2D">
            <w:pPr>
              <w:rPr>
                <w:rFonts w:ascii="Arial" w:eastAsia="Calibri" w:hAnsi="Arial" w:cs="Arial"/>
                <w:sz w:val="22"/>
                <w:szCs w:val="22"/>
                <w:lang w:val="es-MX"/>
              </w:rPr>
            </w:pPr>
            <w:r w:rsidRPr="000769D0">
              <w:rPr>
                <w:rFonts w:ascii="Arial" w:eastAsia="Calibri" w:hAnsi="Arial" w:cs="Arial"/>
                <w:b/>
                <w:sz w:val="22"/>
                <w:szCs w:val="22"/>
                <w:lang w:val="es-MX"/>
              </w:rPr>
              <w:t>Temas:</w:t>
            </w:r>
            <w:r w:rsidRPr="000769D0">
              <w:rPr>
                <w:rFonts w:ascii="Arial" w:eastAsia="Calibri" w:hAnsi="Arial" w:cs="Arial"/>
                <w:sz w:val="22"/>
                <w:szCs w:val="22"/>
                <w:lang w:val="es-MX"/>
              </w:rPr>
              <w:t xml:space="preserve">           </w:t>
            </w:r>
          </w:p>
          <w:p w14:paraId="294EAE17" w14:textId="77777777" w:rsidR="00663BF6" w:rsidRPr="000769D0" w:rsidRDefault="00663BF6" w:rsidP="00154C2D">
            <w:pPr>
              <w:rPr>
                <w:rFonts w:ascii="Arial" w:eastAsia="Calibri" w:hAnsi="Arial" w:cs="Arial"/>
                <w:sz w:val="22"/>
                <w:szCs w:val="22"/>
                <w:lang w:val="es-MX"/>
              </w:rPr>
            </w:pPr>
            <w:r w:rsidRPr="000769D0">
              <w:rPr>
                <w:rFonts w:ascii="Arial" w:eastAsia="Calibri" w:hAnsi="Arial" w:cs="Arial"/>
                <w:sz w:val="22"/>
                <w:szCs w:val="22"/>
                <w:lang w:val="es-MX"/>
              </w:rPr>
              <w:t xml:space="preserve">                           </w:t>
            </w:r>
          </w:p>
        </w:tc>
        <w:tc>
          <w:tcPr>
            <w:tcW w:w="6237" w:type="dxa"/>
            <w:hideMark/>
          </w:tcPr>
          <w:p w14:paraId="09DD75C9" w14:textId="1B9116BA" w:rsidR="00105872" w:rsidRPr="000769D0" w:rsidRDefault="00E30DDE" w:rsidP="00105872">
            <w:pPr>
              <w:jc w:val="both"/>
              <w:rPr>
                <w:rFonts w:ascii="Arial" w:eastAsia="Calibri" w:hAnsi="Arial" w:cs="Arial"/>
                <w:b/>
                <w:bCs/>
                <w:color w:val="000000"/>
                <w:sz w:val="22"/>
                <w:szCs w:val="22"/>
                <w:lang w:val="es-ES_tradnl"/>
              </w:rPr>
            </w:pPr>
            <w:r w:rsidRPr="000769D0">
              <w:rPr>
                <w:rFonts w:ascii="Arial" w:hAnsi="Arial" w:cs="Arial"/>
                <w:sz w:val="22"/>
                <w:szCs w:val="22"/>
                <w:lang w:val="es-ES"/>
              </w:rPr>
              <w:t xml:space="preserve">DOCUMENTOS TIPO VERSIÓN 3 – Licitación pública para obra de infraestructura de transporte – Definición de experiencia exigible </w:t>
            </w:r>
            <w:r w:rsidR="00105872" w:rsidRPr="000769D0">
              <w:rPr>
                <w:rFonts w:ascii="Arial" w:hAnsi="Arial" w:cs="Arial"/>
                <w:sz w:val="22"/>
                <w:szCs w:val="22"/>
                <w:lang w:val="es-ES"/>
              </w:rPr>
              <w:t xml:space="preserve">/ </w:t>
            </w:r>
            <w:r w:rsidRPr="000769D0">
              <w:rPr>
                <w:rFonts w:ascii="Arial" w:hAnsi="Arial" w:cs="Arial"/>
                <w:sz w:val="22"/>
                <w:szCs w:val="22"/>
                <w:lang w:val="es-ES"/>
              </w:rPr>
              <w:t>MATRIZ 1 – EXPERIENCIA – Requisitos de experiencia general y específica /</w:t>
            </w:r>
            <w:r w:rsidRPr="000769D0">
              <w:rPr>
                <w:sz w:val="22"/>
                <w:szCs w:val="22"/>
              </w:rPr>
              <w:t xml:space="preserve"> </w:t>
            </w:r>
            <w:r w:rsidRPr="000769D0">
              <w:rPr>
                <w:rFonts w:ascii="Arial" w:hAnsi="Arial" w:cs="Arial"/>
                <w:sz w:val="22"/>
                <w:szCs w:val="22"/>
                <w:lang w:val="es-ES"/>
              </w:rPr>
              <w:t>DOCUMENTOS TIPO – Versión 3 – Licitación pública - Capacidad residual</w:t>
            </w:r>
            <w:r w:rsidR="00F64D29" w:rsidRPr="000769D0">
              <w:rPr>
                <w:rFonts w:ascii="Arial" w:hAnsi="Arial" w:cs="Arial"/>
                <w:sz w:val="22"/>
                <w:szCs w:val="22"/>
                <w:lang w:val="es-ES"/>
              </w:rPr>
              <w:t xml:space="preserve"> / DOCUMENTOS TIPO – Versión 3 – numeral 3.5 del Documento Base – contratos para acreditar experiencia – SMLMV </w:t>
            </w:r>
            <w:r w:rsidRPr="000769D0">
              <w:rPr>
                <w:rFonts w:ascii="Arial" w:hAnsi="Arial" w:cs="Arial"/>
                <w:sz w:val="22"/>
                <w:szCs w:val="22"/>
                <w:lang w:val="es-ES"/>
              </w:rPr>
              <w:t xml:space="preserve">  </w:t>
            </w:r>
          </w:p>
          <w:p w14:paraId="2FBBA9E9" w14:textId="0FFC45A3" w:rsidR="00663BF6" w:rsidRPr="000769D0" w:rsidRDefault="00663BF6" w:rsidP="00105872">
            <w:pPr>
              <w:spacing w:after="120"/>
              <w:jc w:val="both"/>
              <w:rPr>
                <w:rFonts w:ascii="Arial" w:hAnsi="Arial" w:cs="Arial"/>
                <w:sz w:val="22"/>
                <w:szCs w:val="22"/>
                <w:lang w:val="es-MX"/>
              </w:rPr>
            </w:pPr>
          </w:p>
        </w:tc>
      </w:tr>
      <w:tr w:rsidR="00663BF6" w:rsidRPr="000769D0" w14:paraId="18616480" w14:textId="77777777" w:rsidTr="00154C2D">
        <w:tc>
          <w:tcPr>
            <w:tcW w:w="2689" w:type="dxa"/>
            <w:gridSpan w:val="2"/>
          </w:tcPr>
          <w:p w14:paraId="2D8C244B" w14:textId="77777777" w:rsidR="00663BF6" w:rsidRPr="000769D0" w:rsidRDefault="00663BF6" w:rsidP="00154C2D">
            <w:pPr>
              <w:jc w:val="both"/>
              <w:rPr>
                <w:rFonts w:ascii="Arial" w:eastAsia="Calibri" w:hAnsi="Arial" w:cs="Arial"/>
                <w:b/>
                <w:color w:val="000000"/>
                <w:sz w:val="22"/>
                <w:szCs w:val="22"/>
                <w:lang w:val="es-ES_tradnl"/>
              </w:rPr>
            </w:pPr>
            <w:r w:rsidRPr="000769D0">
              <w:rPr>
                <w:rFonts w:ascii="Arial" w:eastAsia="Calibri" w:hAnsi="Arial" w:cs="Arial"/>
                <w:b/>
                <w:color w:val="000000"/>
                <w:sz w:val="22"/>
                <w:szCs w:val="22"/>
                <w:lang w:val="es-ES_tradnl"/>
              </w:rPr>
              <w:t>Radicación:</w:t>
            </w:r>
            <w:r w:rsidRPr="000769D0">
              <w:rPr>
                <w:rFonts w:ascii="Arial" w:eastAsia="Calibri" w:hAnsi="Arial" w:cs="Arial"/>
                <w:color w:val="000000"/>
                <w:sz w:val="22"/>
                <w:szCs w:val="22"/>
                <w:lang w:val="es-ES_tradnl"/>
              </w:rPr>
              <w:t xml:space="preserve">                              </w:t>
            </w:r>
          </w:p>
        </w:tc>
        <w:tc>
          <w:tcPr>
            <w:tcW w:w="6237" w:type="dxa"/>
          </w:tcPr>
          <w:p w14:paraId="74591401" w14:textId="69B019D3" w:rsidR="00663BF6" w:rsidRPr="000769D0" w:rsidRDefault="00663BF6" w:rsidP="00154C2D">
            <w:pPr>
              <w:jc w:val="both"/>
              <w:rPr>
                <w:rFonts w:ascii="Arial" w:eastAsia="Calibri" w:hAnsi="Arial" w:cs="Arial"/>
                <w:color w:val="000000"/>
                <w:sz w:val="22"/>
                <w:szCs w:val="22"/>
                <w:lang w:val="es-ES_tradnl"/>
              </w:rPr>
            </w:pPr>
            <w:r w:rsidRPr="000769D0">
              <w:rPr>
                <w:rFonts w:ascii="Arial" w:eastAsia="Calibri" w:hAnsi="Arial" w:cs="Arial"/>
                <w:color w:val="000000"/>
                <w:sz w:val="22"/>
                <w:szCs w:val="22"/>
                <w:lang w:val="es-ES_tradnl"/>
              </w:rPr>
              <w:t>Respuesta a consulta P20</w:t>
            </w:r>
            <w:r w:rsidR="008E4F2E" w:rsidRPr="000769D0">
              <w:rPr>
                <w:rFonts w:ascii="Arial" w:eastAsia="Calibri" w:hAnsi="Arial" w:cs="Arial"/>
                <w:color w:val="000000"/>
                <w:sz w:val="22"/>
                <w:szCs w:val="22"/>
                <w:lang w:val="es-ES_tradnl"/>
              </w:rPr>
              <w:t>220108000135</w:t>
            </w:r>
          </w:p>
        </w:tc>
      </w:tr>
    </w:tbl>
    <w:p w14:paraId="6B5938F8" w14:textId="77777777" w:rsidR="00663BF6" w:rsidRPr="000769D0" w:rsidRDefault="00663BF6" w:rsidP="00663BF6">
      <w:pPr>
        <w:jc w:val="both"/>
        <w:rPr>
          <w:rFonts w:ascii="Arial" w:eastAsia="Calibri" w:hAnsi="Arial" w:cs="Arial"/>
          <w:color w:val="000000"/>
          <w:sz w:val="22"/>
          <w:szCs w:val="22"/>
          <w:lang w:val="es-ES_tradnl"/>
        </w:rPr>
      </w:pPr>
    </w:p>
    <w:p w14:paraId="58EB8451" w14:textId="77777777" w:rsidR="00663BF6" w:rsidRPr="000769D0" w:rsidRDefault="00663BF6" w:rsidP="00663BF6">
      <w:pPr>
        <w:jc w:val="both"/>
        <w:rPr>
          <w:rFonts w:ascii="Arial" w:eastAsia="Calibri" w:hAnsi="Arial" w:cs="Arial"/>
          <w:color w:val="000000"/>
          <w:sz w:val="22"/>
          <w:szCs w:val="22"/>
          <w:lang w:val="es-ES_tradnl"/>
        </w:rPr>
      </w:pPr>
    </w:p>
    <w:p w14:paraId="5E400BF0" w14:textId="330D193F" w:rsidR="00663BF6" w:rsidRPr="000769D0" w:rsidRDefault="00663BF6" w:rsidP="00663BF6">
      <w:pPr>
        <w:jc w:val="both"/>
        <w:rPr>
          <w:rFonts w:ascii="Arial" w:eastAsia="Calibri" w:hAnsi="Arial" w:cs="Arial"/>
          <w:color w:val="000000"/>
          <w:sz w:val="22"/>
          <w:szCs w:val="22"/>
          <w:lang w:val="es-ES_tradnl"/>
        </w:rPr>
      </w:pPr>
      <w:r w:rsidRPr="000769D0">
        <w:rPr>
          <w:rFonts w:ascii="Arial" w:eastAsia="Calibri" w:hAnsi="Arial" w:cs="Arial"/>
          <w:color w:val="000000"/>
          <w:sz w:val="22"/>
          <w:szCs w:val="22"/>
          <w:lang w:val="es-ES_tradnl"/>
        </w:rPr>
        <w:t>Estimado señor</w:t>
      </w:r>
      <w:r w:rsidR="008E4F2E" w:rsidRPr="000769D0">
        <w:rPr>
          <w:rFonts w:ascii="Arial" w:eastAsia="Calibri" w:hAnsi="Arial" w:cs="Arial"/>
          <w:color w:val="000000"/>
          <w:sz w:val="22"/>
          <w:szCs w:val="22"/>
          <w:lang w:val="es-ES_tradnl"/>
        </w:rPr>
        <w:t xml:space="preserve"> Álvarez</w:t>
      </w:r>
      <w:r w:rsidRPr="000769D0">
        <w:rPr>
          <w:rFonts w:ascii="Arial" w:eastAsia="Calibri" w:hAnsi="Arial" w:cs="Arial"/>
          <w:color w:val="000000"/>
          <w:sz w:val="22"/>
          <w:szCs w:val="22"/>
          <w:lang w:val="es-ES_tradnl"/>
        </w:rPr>
        <w:t>:</w:t>
      </w:r>
    </w:p>
    <w:p w14:paraId="5A16E155" w14:textId="77777777" w:rsidR="00663BF6" w:rsidRPr="000769D0" w:rsidRDefault="00663BF6" w:rsidP="00663BF6">
      <w:pPr>
        <w:jc w:val="both"/>
        <w:rPr>
          <w:rFonts w:ascii="Arial" w:eastAsia="Calibri" w:hAnsi="Arial" w:cs="Arial"/>
          <w:color w:val="000000"/>
          <w:sz w:val="22"/>
          <w:szCs w:val="22"/>
          <w:lang w:val="es-ES_tradnl"/>
        </w:rPr>
      </w:pPr>
    </w:p>
    <w:p w14:paraId="3ACF7057" w14:textId="0CA5CB0D" w:rsidR="00663BF6" w:rsidRPr="000769D0" w:rsidRDefault="00663BF6" w:rsidP="00663BF6">
      <w:pPr>
        <w:spacing w:line="276" w:lineRule="auto"/>
        <w:jc w:val="both"/>
        <w:rPr>
          <w:rFonts w:ascii="Arial" w:eastAsia="Calibri" w:hAnsi="Arial" w:cs="Arial"/>
          <w:color w:val="000000"/>
          <w:sz w:val="22"/>
          <w:szCs w:val="22"/>
          <w:lang w:val="es-ES_tradnl"/>
        </w:rPr>
      </w:pPr>
      <w:r w:rsidRPr="000769D0">
        <w:rPr>
          <w:rFonts w:ascii="Arial" w:eastAsia="Calibri" w:hAnsi="Arial" w:cs="Arial"/>
          <w:color w:val="000000"/>
          <w:sz w:val="22"/>
          <w:szCs w:val="22"/>
          <w:lang w:val="es-ES_tradnl"/>
        </w:rPr>
        <w:t>En ejercicio de la competencia otorgada por el numeral 8 del artículo 11 y el numeral 5 del artículo 3 del Decreto Ley 4170 de 2011, la Agencia Nacional de Contratación Pública – Colombia Compra Eficiente</w:t>
      </w:r>
      <w:r w:rsidR="004E2FD8" w:rsidRPr="000769D0">
        <w:rPr>
          <w:rFonts w:ascii="Arial" w:eastAsia="Calibri" w:hAnsi="Arial" w:cs="Arial"/>
          <w:color w:val="000000"/>
          <w:sz w:val="22"/>
          <w:szCs w:val="22"/>
          <w:lang w:val="es-ES_tradnl"/>
        </w:rPr>
        <w:t xml:space="preserve"> </w:t>
      </w:r>
      <w:r w:rsidRPr="000769D0">
        <w:rPr>
          <w:rFonts w:ascii="Arial" w:eastAsia="Calibri" w:hAnsi="Arial" w:cs="Arial"/>
          <w:color w:val="000000"/>
          <w:sz w:val="22"/>
          <w:szCs w:val="22"/>
          <w:lang w:val="es-ES_tradnl"/>
        </w:rPr>
        <w:t xml:space="preserve">responde su consulta del </w:t>
      </w:r>
      <w:r w:rsidR="008E4F2E" w:rsidRPr="000769D0">
        <w:rPr>
          <w:rFonts w:ascii="Arial" w:eastAsia="Calibri" w:hAnsi="Arial" w:cs="Arial"/>
          <w:color w:val="000000"/>
          <w:sz w:val="22"/>
          <w:szCs w:val="22"/>
          <w:lang w:val="es-ES_tradnl"/>
        </w:rPr>
        <w:t>8</w:t>
      </w:r>
      <w:r w:rsidRPr="000769D0">
        <w:rPr>
          <w:rFonts w:ascii="Arial" w:eastAsia="Calibri" w:hAnsi="Arial" w:cs="Arial"/>
          <w:color w:val="000000"/>
          <w:sz w:val="22"/>
          <w:szCs w:val="22"/>
          <w:lang w:val="es-ES_tradnl"/>
        </w:rPr>
        <w:t xml:space="preserve"> de </w:t>
      </w:r>
      <w:r w:rsidR="008E4F2E" w:rsidRPr="000769D0">
        <w:rPr>
          <w:rFonts w:ascii="Arial" w:eastAsia="Calibri" w:hAnsi="Arial" w:cs="Arial"/>
          <w:color w:val="000000"/>
          <w:sz w:val="22"/>
          <w:szCs w:val="22"/>
          <w:lang w:val="es-ES_tradnl"/>
        </w:rPr>
        <w:t>enero de 2022</w:t>
      </w:r>
      <w:r w:rsidRPr="000769D0">
        <w:rPr>
          <w:rFonts w:ascii="Arial" w:eastAsia="Calibri" w:hAnsi="Arial" w:cs="Arial"/>
          <w:color w:val="000000"/>
          <w:sz w:val="22"/>
          <w:szCs w:val="22"/>
          <w:lang w:val="es-ES_tradnl"/>
        </w:rPr>
        <w:t xml:space="preserve">. </w:t>
      </w:r>
    </w:p>
    <w:p w14:paraId="43159A1D" w14:textId="77777777" w:rsidR="00663BF6" w:rsidRPr="000769D0" w:rsidRDefault="00663BF6" w:rsidP="00663BF6">
      <w:pPr>
        <w:spacing w:line="276" w:lineRule="auto"/>
        <w:jc w:val="both"/>
        <w:rPr>
          <w:rFonts w:ascii="Arial" w:eastAsia="Calibri" w:hAnsi="Arial" w:cs="Arial"/>
          <w:b/>
          <w:color w:val="000000"/>
          <w:sz w:val="22"/>
          <w:szCs w:val="22"/>
          <w:lang w:val="es-ES_tradnl"/>
        </w:rPr>
      </w:pPr>
    </w:p>
    <w:p w14:paraId="2EC62294" w14:textId="77777777" w:rsidR="00663BF6" w:rsidRPr="000769D0" w:rsidRDefault="00663BF6" w:rsidP="00663BF6">
      <w:pPr>
        <w:pStyle w:val="Sinespaciado"/>
        <w:rPr>
          <w:rFonts w:ascii="Arial" w:hAnsi="Arial" w:cs="Arial"/>
          <w:b/>
          <w:bCs/>
          <w:lang w:val="es-ES_tradnl"/>
        </w:rPr>
      </w:pPr>
      <w:r w:rsidRPr="000769D0">
        <w:rPr>
          <w:rFonts w:ascii="Arial" w:hAnsi="Arial" w:cs="Arial"/>
          <w:b/>
          <w:bCs/>
          <w:lang w:val="es-ES_tradnl"/>
        </w:rPr>
        <w:t xml:space="preserve">1. Problema planteado </w:t>
      </w:r>
    </w:p>
    <w:p w14:paraId="02294BA8" w14:textId="77777777" w:rsidR="00663BF6" w:rsidRPr="000769D0" w:rsidRDefault="00663BF6" w:rsidP="00663BF6">
      <w:pPr>
        <w:tabs>
          <w:tab w:val="left" w:pos="426"/>
        </w:tabs>
        <w:spacing w:line="276" w:lineRule="auto"/>
        <w:jc w:val="both"/>
        <w:rPr>
          <w:rFonts w:ascii="Arial" w:eastAsia="Calibri" w:hAnsi="Arial" w:cs="Arial"/>
          <w:b/>
          <w:color w:val="000000"/>
          <w:sz w:val="22"/>
          <w:szCs w:val="22"/>
          <w:lang w:val="es-ES_tradnl"/>
        </w:rPr>
      </w:pPr>
    </w:p>
    <w:p w14:paraId="55B43381" w14:textId="1BD45803" w:rsidR="000A5CE3" w:rsidRPr="000769D0" w:rsidRDefault="00491EC1" w:rsidP="00491EC1">
      <w:pPr>
        <w:spacing w:after="120" w:line="276" w:lineRule="auto"/>
        <w:jc w:val="both"/>
        <w:rPr>
          <w:rFonts w:ascii="Arial" w:hAnsi="Arial" w:cs="Arial"/>
          <w:sz w:val="22"/>
          <w:szCs w:val="22"/>
          <w:lang w:val="es-ES"/>
        </w:rPr>
      </w:pPr>
      <w:r w:rsidRPr="000769D0">
        <w:rPr>
          <w:rFonts w:ascii="Arial" w:hAnsi="Arial" w:cs="Arial"/>
          <w:sz w:val="22"/>
          <w:szCs w:val="22"/>
          <w:lang w:val="es-ES_tradnl"/>
        </w:rPr>
        <w:t>Luego de referirse a la acreditación de experiencia</w:t>
      </w:r>
      <w:r w:rsidR="00E30DDE" w:rsidRPr="000769D0">
        <w:rPr>
          <w:rFonts w:ascii="Arial" w:hAnsi="Arial" w:cs="Arial"/>
          <w:sz w:val="22"/>
          <w:szCs w:val="22"/>
          <w:lang w:val="es-ES_tradnl"/>
        </w:rPr>
        <w:t>,</w:t>
      </w:r>
      <w:r w:rsidR="000A5CE3" w:rsidRPr="000769D0">
        <w:rPr>
          <w:rFonts w:ascii="Arial" w:hAnsi="Arial" w:cs="Arial"/>
          <w:sz w:val="22"/>
          <w:szCs w:val="22"/>
          <w:lang w:val="es-ES_tradnl"/>
        </w:rPr>
        <w:t xml:space="preserve"> en los términos del </w:t>
      </w:r>
      <w:r w:rsidRPr="000769D0">
        <w:rPr>
          <w:rFonts w:ascii="Arial" w:hAnsi="Arial" w:cs="Arial"/>
          <w:sz w:val="22"/>
          <w:szCs w:val="22"/>
          <w:lang w:val="es-ES_tradnl"/>
        </w:rPr>
        <w:t>el numeral 3.5. del documento base de los documentos tipo para obras de infraestructura de transporte</w:t>
      </w:r>
      <w:r w:rsidR="005E3E2E" w:rsidRPr="000769D0">
        <w:rPr>
          <w:rFonts w:ascii="Arial" w:hAnsi="Arial" w:cs="Arial"/>
          <w:sz w:val="22"/>
          <w:szCs w:val="22"/>
          <w:lang w:val="es-ES_tradnl"/>
        </w:rPr>
        <w:t xml:space="preserve">, en especial, </w:t>
      </w:r>
      <w:r w:rsidR="004A5E02" w:rsidRPr="000769D0">
        <w:rPr>
          <w:rFonts w:ascii="Arial" w:hAnsi="Arial" w:cs="Arial"/>
          <w:sz w:val="22"/>
          <w:szCs w:val="22"/>
          <w:lang w:val="es-ES_tradnl"/>
        </w:rPr>
        <w:t>sobre el</w:t>
      </w:r>
      <w:r w:rsidR="005E3E2E" w:rsidRPr="000769D0">
        <w:rPr>
          <w:rFonts w:ascii="Arial" w:hAnsi="Arial" w:cs="Arial"/>
          <w:sz w:val="22"/>
          <w:szCs w:val="22"/>
          <w:lang w:val="es-ES_tradnl"/>
        </w:rPr>
        <w:t xml:space="preserve"> valor de los contratos aportados para acreditar experiencia en SMMLV</w:t>
      </w:r>
      <w:r w:rsidR="004A5E02" w:rsidRPr="000769D0">
        <w:rPr>
          <w:rFonts w:ascii="Arial" w:hAnsi="Arial" w:cs="Arial"/>
          <w:sz w:val="22"/>
          <w:szCs w:val="22"/>
          <w:lang w:val="es-ES_tradnl"/>
        </w:rPr>
        <w:t xml:space="preserve"> tomando como referente el presupuesto oficial</w:t>
      </w:r>
      <w:r w:rsidR="005E3E2E" w:rsidRPr="000769D0">
        <w:rPr>
          <w:rFonts w:ascii="Arial" w:hAnsi="Arial" w:cs="Arial"/>
          <w:sz w:val="22"/>
          <w:szCs w:val="22"/>
          <w:lang w:val="es-ES_tradnl"/>
        </w:rPr>
        <w:t xml:space="preserve"> </w:t>
      </w:r>
      <w:r w:rsidRPr="000769D0">
        <w:rPr>
          <w:rFonts w:ascii="Arial" w:hAnsi="Arial" w:cs="Arial"/>
          <w:sz w:val="22"/>
          <w:szCs w:val="22"/>
          <w:lang w:val="es-ES_tradnl"/>
        </w:rPr>
        <w:t>y</w:t>
      </w:r>
      <w:r w:rsidR="005E3E2E" w:rsidRPr="000769D0">
        <w:rPr>
          <w:rFonts w:ascii="Arial" w:hAnsi="Arial" w:cs="Arial"/>
          <w:sz w:val="22"/>
          <w:szCs w:val="22"/>
          <w:lang w:val="es-ES_tradnl"/>
        </w:rPr>
        <w:t xml:space="preserve">, luego de </w:t>
      </w:r>
      <w:r w:rsidR="000A5CE3" w:rsidRPr="000769D0">
        <w:rPr>
          <w:rFonts w:ascii="Arial" w:hAnsi="Arial" w:cs="Arial"/>
          <w:sz w:val="22"/>
          <w:szCs w:val="22"/>
          <w:lang w:val="es-ES_tradnl"/>
        </w:rPr>
        <w:t xml:space="preserve">aludir </w:t>
      </w:r>
      <w:r w:rsidR="00A860A3" w:rsidRPr="000769D0">
        <w:rPr>
          <w:rFonts w:ascii="Arial" w:hAnsi="Arial" w:cs="Arial"/>
          <w:sz w:val="22"/>
          <w:szCs w:val="22"/>
          <w:lang w:val="es-ES_tradnl"/>
        </w:rPr>
        <w:t>a</w:t>
      </w:r>
      <w:r w:rsidR="000A5CE3" w:rsidRPr="000769D0">
        <w:rPr>
          <w:rFonts w:ascii="Arial" w:hAnsi="Arial" w:cs="Arial"/>
          <w:sz w:val="22"/>
          <w:szCs w:val="22"/>
          <w:lang w:val="es-ES_tradnl"/>
        </w:rPr>
        <w:t>l texto del literal b d</w:t>
      </w:r>
      <w:r w:rsidRPr="000769D0">
        <w:rPr>
          <w:rFonts w:ascii="Arial" w:hAnsi="Arial" w:cs="Arial"/>
          <w:sz w:val="22"/>
          <w:szCs w:val="22"/>
          <w:lang w:val="es-ES_tradnl"/>
        </w:rPr>
        <w:t>el numeral 3.10.2. sobre el cálculo de la capacidad residual del proponente</w:t>
      </w:r>
      <w:r w:rsidR="000A5CE3" w:rsidRPr="000769D0">
        <w:rPr>
          <w:rFonts w:ascii="Arial" w:hAnsi="Arial" w:cs="Arial"/>
          <w:sz w:val="22"/>
          <w:szCs w:val="22"/>
          <w:lang w:val="es-ES_tradnl"/>
        </w:rPr>
        <w:t xml:space="preserve"> y la estimación del presupuesto oficial con base en el SMM</w:t>
      </w:r>
      <w:r w:rsidR="00A940DB" w:rsidRPr="000769D0">
        <w:rPr>
          <w:rFonts w:ascii="Arial" w:hAnsi="Arial" w:cs="Arial"/>
          <w:sz w:val="22"/>
          <w:szCs w:val="22"/>
          <w:lang w:val="es-ES_tradnl"/>
        </w:rPr>
        <w:t>L</w:t>
      </w:r>
      <w:r w:rsidR="000A5CE3" w:rsidRPr="000769D0">
        <w:rPr>
          <w:rFonts w:ascii="Arial" w:hAnsi="Arial" w:cs="Arial"/>
          <w:sz w:val="22"/>
          <w:szCs w:val="22"/>
          <w:lang w:val="es-ES_tradnl"/>
        </w:rPr>
        <w:t>V</w:t>
      </w:r>
      <w:r w:rsidRPr="000769D0">
        <w:rPr>
          <w:rFonts w:ascii="Arial" w:hAnsi="Arial" w:cs="Arial"/>
          <w:sz w:val="22"/>
          <w:szCs w:val="22"/>
          <w:lang w:val="es-ES_tradnl"/>
        </w:rPr>
        <w:t>, usted formula la siguiente pregunta</w:t>
      </w:r>
      <w:r w:rsidR="00663BF6" w:rsidRPr="000769D0">
        <w:rPr>
          <w:rFonts w:ascii="Arial" w:hAnsi="Arial" w:cs="Arial"/>
          <w:sz w:val="22"/>
          <w:szCs w:val="22"/>
          <w:lang w:val="es-ES_tradnl"/>
        </w:rPr>
        <w:t xml:space="preserve">: </w:t>
      </w:r>
      <w:r w:rsidR="00663BF6" w:rsidRPr="000769D0">
        <w:rPr>
          <w:rFonts w:ascii="Arial" w:hAnsi="Arial" w:cs="Arial"/>
          <w:sz w:val="22"/>
          <w:szCs w:val="22"/>
          <w:lang w:val="es-ES"/>
        </w:rPr>
        <w:t>«</w:t>
      </w:r>
      <w:r w:rsidR="00E55A85" w:rsidRPr="000769D0">
        <w:rPr>
          <w:rFonts w:ascii="Arial" w:hAnsi="Arial" w:cs="Arial"/>
          <w:sz w:val="22"/>
          <w:szCs w:val="22"/>
          <w:lang w:val="es-ES"/>
        </w:rPr>
        <w:t>[…]</w:t>
      </w:r>
      <w:r w:rsidRPr="000769D0">
        <w:rPr>
          <w:rFonts w:ascii="Arial" w:hAnsi="Arial" w:cs="Arial"/>
          <w:sz w:val="22"/>
          <w:szCs w:val="22"/>
          <w:lang w:val="es-ES"/>
        </w:rPr>
        <w:t xml:space="preserve"> ¿lo mencionado en el numeral 3.10.2 literal b de los documentos tipo también aplica al numeral 3.5 sobre la acreditación de la experiencia del POE? y en caso tal de que no ¿Cual es el año que se debe usar como referencia para la expresar el POE en </w:t>
      </w:r>
      <w:proofErr w:type="spellStart"/>
      <w:r w:rsidRPr="000769D0">
        <w:rPr>
          <w:rFonts w:ascii="Arial" w:hAnsi="Arial" w:cs="Arial"/>
          <w:sz w:val="22"/>
          <w:szCs w:val="22"/>
          <w:lang w:val="es-ES"/>
        </w:rPr>
        <w:t>smmlv</w:t>
      </w:r>
      <w:proofErr w:type="spellEnd"/>
      <w:r w:rsidRPr="000769D0">
        <w:rPr>
          <w:rFonts w:ascii="Arial" w:hAnsi="Arial" w:cs="Arial"/>
          <w:sz w:val="22"/>
          <w:szCs w:val="22"/>
          <w:lang w:val="es-ES"/>
        </w:rPr>
        <w:t>?</w:t>
      </w:r>
      <w:r w:rsidR="00663BF6" w:rsidRPr="000769D0">
        <w:rPr>
          <w:rFonts w:ascii="Arial" w:hAnsi="Arial" w:cs="Arial"/>
          <w:sz w:val="22"/>
          <w:szCs w:val="22"/>
          <w:lang w:val="es-ES"/>
        </w:rPr>
        <w:t>»</w:t>
      </w:r>
      <w:r w:rsidR="000A5CE3" w:rsidRPr="000769D0">
        <w:rPr>
          <w:rFonts w:ascii="Arial" w:hAnsi="Arial" w:cs="Arial"/>
          <w:sz w:val="22"/>
          <w:szCs w:val="22"/>
          <w:lang w:val="es-ES"/>
        </w:rPr>
        <w:t xml:space="preserve"> (sic).</w:t>
      </w:r>
      <w:r w:rsidR="00663BF6" w:rsidRPr="000769D0">
        <w:rPr>
          <w:rFonts w:ascii="Arial" w:hAnsi="Arial" w:cs="Arial"/>
          <w:sz w:val="22"/>
          <w:szCs w:val="22"/>
          <w:lang w:val="es-ES"/>
        </w:rPr>
        <w:t xml:space="preserve"> </w:t>
      </w:r>
    </w:p>
    <w:p w14:paraId="009DF86A" w14:textId="2FA537B5" w:rsidR="00663BF6" w:rsidRPr="000769D0" w:rsidRDefault="00663BF6" w:rsidP="008C0E14">
      <w:pPr>
        <w:pStyle w:val="Prrafodelista"/>
        <w:numPr>
          <w:ilvl w:val="0"/>
          <w:numId w:val="3"/>
        </w:numPr>
        <w:tabs>
          <w:tab w:val="left" w:pos="426"/>
        </w:tabs>
        <w:spacing w:after="0" w:line="276" w:lineRule="auto"/>
        <w:ind w:left="426"/>
        <w:jc w:val="both"/>
        <w:rPr>
          <w:rFonts w:ascii="Arial" w:eastAsia="Calibri" w:hAnsi="Arial" w:cs="Arial"/>
          <w:b/>
          <w:lang w:val="es-MX"/>
        </w:rPr>
      </w:pPr>
      <w:r w:rsidRPr="000769D0">
        <w:rPr>
          <w:rFonts w:ascii="Arial" w:eastAsia="Calibri" w:hAnsi="Arial" w:cs="Arial"/>
          <w:b/>
          <w:lang w:val="es-MX"/>
        </w:rPr>
        <w:t>Consideraciones</w:t>
      </w:r>
    </w:p>
    <w:p w14:paraId="474FAD29" w14:textId="77777777" w:rsidR="00663BF6" w:rsidRPr="000769D0" w:rsidRDefault="00663BF6" w:rsidP="00663BF6">
      <w:pPr>
        <w:tabs>
          <w:tab w:val="left" w:pos="426"/>
        </w:tabs>
        <w:spacing w:line="276" w:lineRule="auto"/>
        <w:contextualSpacing/>
        <w:jc w:val="both"/>
        <w:rPr>
          <w:rFonts w:ascii="Arial" w:eastAsia="Calibri" w:hAnsi="Arial" w:cs="Arial"/>
          <w:b/>
          <w:sz w:val="22"/>
          <w:szCs w:val="22"/>
          <w:lang w:val="es-MX"/>
        </w:rPr>
      </w:pPr>
    </w:p>
    <w:p w14:paraId="56B2CFA4" w14:textId="66D09F5C" w:rsidR="00663BF6" w:rsidRPr="000769D0" w:rsidRDefault="00663BF6" w:rsidP="00663BF6">
      <w:pPr>
        <w:spacing w:line="276" w:lineRule="auto"/>
        <w:jc w:val="both"/>
        <w:rPr>
          <w:rFonts w:ascii="Arial" w:eastAsia="Calibri" w:hAnsi="Arial" w:cs="Arial"/>
          <w:color w:val="000000" w:themeColor="text1"/>
          <w:sz w:val="22"/>
          <w:szCs w:val="22"/>
        </w:rPr>
      </w:pPr>
      <w:r w:rsidRPr="000769D0">
        <w:rPr>
          <w:rFonts w:ascii="Arial" w:hAnsi="Arial" w:cs="Arial"/>
          <w:sz w:val="22"/>
          <w:szCs w:val="22"/>
        </w:rPr>
        <w:lastRenderedPageBreak/>
        <w:t xml:space="preserve">Para resolver el objeto de la consulta, se analizarán los siguientes temas: i) </w:t>
      </w:r>
      <w:r w:rsidR="00995481" w:rsidRPr="000769D0">
        <w:rPr>
          <w:rFonts w:ascii="Arial" w:hAnsi="Arial" w:cs="Arial"/>
          <w:sz w:val="22"/>
          <w:szCs w:val="22"/>
        </w:rPr>
        <w:t xml:space="preserve">Acreditación de la experiencia en los documentos tipo de licitación de obra pública de infraestructura de transporte y ii) </w:t>
      </w:r>
      <w:r w:rsidR="008C67EF" w:rsidRPr="000769D0">
        <w:rPr>
          <w:rFonts w:ascii="Arial" w:eastAsia="Calibri" w:hAnsi="Arial" w:cs="Arial"/>
          <w:color w:val="000000" w:themeColor="text1"/>
          <w:sz w:val="22"/>
          <w:szCs w:val="22"/>
        </w:rPr>
        <w:t xml:space="preserve">la </w:t>
      </w:r>
      <w:r w:rsidRPr="000769D0">
        <w:rPr>
          <w:rFonts w:ascii="Arial" w:eastAsia="Calibri" w:hAnsi="Arial" w:cs="Arial"/>
          <w:color w:val="000000" w:themeColor="text1"/>
          <w:sz w:val="22"/>
          <w:szCs w:val="22"/>
        </w:rPr>
        <w:t>capacidad residual como requisito del proceso de selección</w:t>
      </w:r>
      <w:r w:rsidR="00995481" w:rsidRPr="000769D0">
        <w:rPr>
          <w:rFonts w:ascii="Arial" w:eastAsia="Calibri" w:hAnsi="Arial" w:cs="Arial"/>
          <w:color w:val="000000" w:themeColor="text1"/>
          <w:sz w:val="22"/>
          <w:szCs w:val="22"/>
        </w:rPr>
        <w:t>.</w:t>
      </w:r>
    </w:p>
    <w:p w14:paraId="25BF0D2B" w14:textId="071427D3" w:rsidR="0034592E" w:rsidRPr="000769D0" w:rsidRDefault="00551325" w:rsidP="00B652D1">
      <w:pPr>
        <w:spacing w:before="120" w:after="120" w:line="276" w:lineRule="auto"/>
        <w:ind w:firstLine="708"/>
        <w:jc w:val="both"/>
        <w:rPr>
          <w:rFonts w:ascii="Arial" w:eastAsia="Calibri" w:hAnsi="Arial" w:cs="Arial"/>
          <w:sz w:val="22"/>
          <w:szCs w:val="22"/>
          <w:lang w:val="es-MX"/>
        </w:rPr>
      </w:pPr>
      <w:r w:rsidRPr="000769D0">
        <w:rPr>
          <w:rFonts w:ascii="Arial" w:eastAsia="Calibri" w:hAnsi="Arial" w:cs="Arial"/>
          <w:color w:val="000000" w:themeColor="text1"/>
          <w:sz w:val="22"/>
          <w:szCs w:val="22"/>
        </w:rPr>
        <w:t xml:space="preserve">Antes de abordar los problemas </w:t>
      </w:r>
      <w:r w:rsidR="00261204" w:rsidRPr="000769D0">
        <w:rPr>
          <w:rFonts w:ascii="Arial" w:eastAsia="Calibri" w:hAnsi="Arial" w:cs="Arial"/>
          <w:color w:val="000000" w:themeColor="text1"/>
          <w:sz w:val="22"/>
          <w:szCs w:val="22"/>
        </w:rPr>
        <w:t>planteados</w:t>
      </w:r>
      <w:r w:rsidRPr="000769D0">
        <w:rPr>
          <w:rFonts w:ascii="Arial" w:eastAsia="Calibri" w:hAnsi="Arial" w:cs="Arial"/>
          <w:color w:val="000000" w:themeColor="text1"/>
          <w:sz w:val="22"/>
          <w:szCs w:val="22"/>
        </w:rPr>
        <w:t>, es importante señalar que</w:t>
      </w:r>
      <w:r w:rsidR="00663BF6" w:rsidRPr="000769D0">
        <w:rPr>
          <w:rFonts w:ascii="Arial" w:eastAsia="Calibri" w:hAnsi="Arial" w:cs="Arial"/>
          <w:color w:val="000000" w:themeColor="text1"/>
          <w:sz w:val="22"/>
          <w:szCs w:val="22"/>
        </w:rPr>
        <w:t xml:space="preserve"> </w:t>
      </w:r>
      <w:r w:rsidR="00995481" w:rsidRPr="000769D0">
        <w:rPr>
          <w:rFonts w:ascii="Arial" w:eastAsia="Calibri" w:hAnsi="Arial" w:cs="Arial"/>
          <w:color w:val="000000" w:themeColor="text1"/>
          <w:sz w:val="22"/>
          <w:szCs w:val="22"/>
        </w:rPr>
        <w:t>la Agencia Nacional de Contratación Pública – Colombia Compra Eficiente se ha pronunciado en diferentes conceptos sobre la forma de establecer y acreditar la experiencia exigible en procesos de contratación adelantados con documentos tipo, entre otros, en los Conceptos C-056  del 8 de enero de 2020, C-069 del 24 de enero de 2020, C-097 del 5 de febrero de 2020, C-198 del 17 de abril de 2020, C 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 C-713 del 2 de diciembre de 2020, C-105 del 26 de marzo de 2021, C-152 del 12 de abril de 2021, C-361 del 10 de agosto de 2021</w:t>
      </w:r>
      <w:r w:rsidR="00857761" w:rsidRPr="000769D0">
        <w:rPr>
          <w:rFonts w:ascii="Arial" w:eastAsia="Calibri" w:hAnsi="Arial" w:cs="Arial"/>
          <w:color w:val="000000" w:themeColor="text1"/>
          <w:sz w:val="22"/>
          <w:szCs w:val="22"/>
        </w:rPr>
        <w:t>,</w:t>
      </w:r>
      <w:r w:rsidR="00995481" w:rsidRPr="000769D0">
        <w:rPr>
          <w:rFonts w:ascii="Arial" w:eastAsia="Calibri" w:hAnsi="Arial" w:cs="Arial"/>
          <w:color w:val="000000" w:themeColor="text1"/>
          <w:sz w:val="22"/>
          <w:szCs w:val="22"/>
        </w:rPr>
        <w:t xml:space="preserve"> C-464 de 13 de septiembre de 2021</w:t>
      </w:r>
      <w:r w:rsidR="00857761" w:rsidRPr="000769D0">
        <w:rPr>
          <w:rFonts w:ascii="Arial" w:eastAsia="Calibri" w:hAnsi="Arial" w:cs="Arial"/>
          <w:color w:val="000000" w:themeColor="text1"/>
          <w:sz w:val="22"/>
          <w:szCs w:val="22"/>
        </w:rPr>
        <w:t xml:space="preserve"> y C-649 de 17 de noviembre de 2021</w:t>
      </w:r>
      <w:r w:rsidR="0034592E" w:rsidRPr="000769D0">
        <w:rPr>
          <w:rFonts w:ascii="Arial" w:eastAsia="Calibri" w:hAnsi="Arial" w:cs="Arial"/>
          <w:sz w:val="22"/>
          <w:szCs w:val="22"/>
          <w:lang w:val="es-MX"/>
        </w:rPr>
        <w:t xml:space="preserve">. </w:t>
      </w:r>
    </w:p>
    <w:p w14:paraId="5B953170" w14:textId="3C412EFA" w:rsidR="00663BF6" w:rsidRPr="000769D0" w:rsidRDefault="0034592E" w:rsidP="00261204">
      <w:pPr>
        <w:spacing w:before="120" w:after="120" w:line="276" w:lineRule="auto"/>
        <w:ind w:firstLine="708"/>
        <w:jc w:val="both"/>
        <w:rPr>
          <w:rFonts w:ascii="Arial" w:eastAsia="Calibri" w:hAnsi="Arial" w:cs="Arial"/>
          <w:sz w:val="22"/>
          <w:szCs w:val="22"/>
          <w:lang w:val="es-MX"/>
        </w:rPr>
      </w:pPr>
      <w:r w:rsidRPr="000769D0">
        <w:rPr>
          <w:rFonts w:ascii="Arial" w:eastAsia="Calibri" w:hAnsi="Arial" w:cs="Arial"/>
          <w:sz w:val="22"/>
          <w:szCs w:val="22"/>
          <w:lang w:val="es-MX"/>
        </w:rPr>
        <w:t xml:space="preserve">Por otro lado, en los conceptos del 21 de agosto y el 30 de octubre de 2019 −radicados Nos. 2201913000006054 y 2201913000008148–, C-033 del 13 de marzo de 2020, C-133 del 30 de marzo de 2020, C-196 del 8 de abril de 2020, C-297 del 4 de junio de 2020, C-489 del 23 de julio de 2020, C-522 del 6 de agosto de 2020, C-547 del 12 de agosto de 2020 y C- 663 </w:t>
      </w:r>
      <w:r w:rsidR="00551325" w:rsidRPr="000769D0">
        <w:rPr>
          <w:rFonts w:ascii="Arial" w:eastAsia="Calibri" w:hAnsi="Arial" w:cs="Arial"/>
          <w:sz w:val="22"/>
          <w:szCs w:val="22"/>
          <w:lang w:val="es-MX"/>
        </w:rPr>
        <w:t>del 30 de noviembre de 2021</w:t>
      </w:r>
      <w:r w:rsidR="00995481" w:rsidRPr="000769D0">
        <w:rPr>
          <w:rFonts w:ascii="Arial" w:eastAsia="Calibri" w:hAnsi="Arial" w:cs="Arial"/>
          <w:sz w:val="22"/>
          <w:szCs w:val="22"/>
          <w:lang w:val="es-MX"/>
        </w:rPr>
        <w:t xml:space="preserve"> y C-692 de 28 de diciembre de 2021 </w:t>
      </w:r>
      <w:r w:rsidRPr="000769D0">
        <w:rPr>
          <w:rFonts w:ascii="Arial" w:eastAsia="Calibri" w:hAnsi="Arial" w:cs="Arial"/>
          <w:sz w:val="22"/>
          <w:szCs w:val="22"/>
          <w:lang w:val="es-MX"/>
        </w:rPr>
        <w:t xml:space="preserve">analizó </w:t>
      </w:r>
      <w:r w:rsidR="00995481" w:rsidRPr="000769D0">
        <w:rPr>
          <w:rFonts w:ascii="Arial" w:eastAsia="Calibri" w:hAnsi="Arial" w:cs="Arial"/>
          <w:sz w:val="22"/>
          <w:szCs w:val="22"/>
          <w:lang w:val="es-MX"/>
        </w:rPr>
        <w:t xml:space="preserve">la </w:t>
      </w:r>
      <w:r w:rsidRPr="000769D0">
        <w:rPr>
          <w:rFonts w:ascii="Arial" w:eastAsia="Calibri" w:hAnsi="Arial" w:cs="Arial"/>
          <w:sz w:val="22"/>
          <w:szCs w:val="22"/>
          <w:lang w:val="es-MX"/>
        </w:rPr>
        <w:t>acreditación del requisito de capacidad residual. Las tesis desarrolladas en estos conceptos se reiteran a continuación</w:t>
      </w:r>
      <w:r w:rsidR="00A356A9" w:rsidRPr="000769D0">
        <w:rPr>
          <w:rFonts w:ascii="Arial" w:eastAsia="Calibri" w:hAnsi="Arial" w:cs="Arial"/>
          <w:sz w:val="22"/>
          <w:szCs w:val="22"/>
          <w:lang w:val="es-MX"/>
        </w:rPr>
        <w:t>.</w:t>
      </w:r>
    </w:p>
    <w:p w14:paraId="5257BCCB" w14:textId="77777777" w:rsidR="00995481" w:rsidRPr="000769D0" w:rsidRDefault="00995481" w:rsidP="00995481">
      <w:pPr>
        <w:spacing w:line="276" w:lineRule="auto"/>
        <w:jc w:val="both"/>
        <w:rPr>
          <w:rFonts w:ascii="Arial" w:eastAsia="Calibri" w:hAnsi="Arial" w:cs="Arial"/>
          <w:b/>
          <w:bCs/>
          <w:sz w:val="22"/>
          <w:szCs w:val="22"/>
          <w:lang w:val="es-ES"/>
        </w:rPr>
      </w:pPr>
    </w:p>
    <w:p w14:paraId="012CB554" w14:textId="005830E0" w:rsidR="00995481" w:rsidRPr="000769D0" w:rsidRDefault="00995481" w:rsidP="00995481">
      <w:pPr>
        <w:spacing w:line="276" w:lineRule="auto"/>
        <w:jc w:val="both"/>
        <w:rPr>
          <w:rFonts w:ascii="Arial" w:eastAsia="Calibri" w:hAnsi="Arial" w:cs="Arial"/>
          <w:b/>
          <w:bCs/>
          <w:sz w:val="22"/>
          <w:szCs w:val="22"/>
          <w:lang w:val="es-ES"/>
        </w:rPr>
      </w:pPr>
      <w:r w:rsidRPr="000769D0">
        <w:rPr>
          <w:rFonts w:ascii="Arial" w:eastAsia="Calibri" w:hAnsi="Arial" w:cs="Arial"/>
          <w:b/>
          <w:bCs/>
          <w:sz w:val="22"/>
          <w:szCs w:val="22"/>
          <w:lang w:val="es-ES"/>
        </w:rPr>
        <w:t xml:space="preserve">2.1. Acreditación de la experiencia en los documentos tipo de licitación de obra pública de infraestructura de transporte </w:t>
      </w:r>
    </w:p>
    <w:p w14:paraId="2B3503A6" w14:textId="77777777" w:rsidR="00995481" w:rsidRPr="000769D0" w:rsidRDefault="00995481" w:rsidP="00995481">
      <w:pPr>
        <w:spacing w:line="276" w:lineRule="auto"/>
        <w:jc w:val="both"/>
        <w:rPr>
          <w:rFonts w:ascii="Arial" w:eastAsia="Calibri" w:hAnsi="Arial" w:cs="Arial"/>
          <w:b/>
          <w:bCs/>
          <w:sz w:val="22"/>
          <w:szCs w:val="22"/>
          <w:lang w:val="es-ES"/>
        </w:rPr>
      </w:pPr>
    </w:p>
    <w:p w14:paraId="64FA44C0" w14:textId="57A1EDC8" w:rsidR="009A6899" w:rsidRDefault="00995481" w:rsidP="009A6899">
      <w:pPr>
        <w:spacing w:line="276" w:lineRule="auto"/>
        <w:jc w:val="both"/>
        <w:rPr>
          <w:rFonts w:ascii="Arial" w:hAnsi="Arial" w:cs="Arial"/>
          <w:sz w:val="22"/>
        </w:rPr>
      </w:pPr>
      <w:r w:rsidRPr="000769D0">
        <w:rPr>
          <w:rFonts w:ascii="Arial" w:eastAsia="Calibri" w:hAnsi="Arial" w:cs="Arial"/>
          <w:sz w:val="22"/>
          <w:szCs w:val="22"/>
          <w:lang w:val="es-MX"/>
        </w:rPr>
        <w:t xml:space="preserve">De acuerdo con las condiciones fijadas en el «Documento Base» de </w:t>
      </w:r>
      <w:r w:rsidR="00AE4BF7" w:rsidRPr="000769D0">
        <w:rPr>
          <w:rFonts w:ascii="Arial" w:eastAsia="Calibri" w:hAnsi="Arial" w:cs="Arial"/>
          <w:sz w:val="22"/>
          <w:szCs w:val="22"/>
          <w:lang w:val="es-MX"/>
        </w:rPr>
        <w:t xml:space="preserve">los </w:t>
      </w:r>
      <w:r w:rsidR="00AE4BF7" w:rsidRPr="000769D0">
        <w:rPr>
          <w:rFonts w:ascii="Arial" w:eastAsia="Calibri" w:hAnsi="Arial" w:cs="Arial"/>
          <w:color w:val="000000" w:themeColor="text1"/>
          <w:sz w:val="22"/>
          <w:szCs w:val="22"/>
        </w:rPr>
        <w:t xml:space="preserve">«Documentos Tipo – Versión 3» de licitación para obras públicas para infraestructura de transporte, adoptados por la </w:t>
      </w:r>
      <w:r w:rsidR="00AE4BF7" w:rsidRPr="000769D0">
        <w:rPr>
          <w:rFonts w:ascii="Arial" w:eastAsia="Calibri" w:hAnsi="Arial" w:cs="Arial"/>
          <w:sz w:val="22"/>
          <w:szCs w:val="22"/>
          <w:lang w:val="es-MX"/>
        </w:rPr>
        <w:t>la Resolución No. 240 del 27 de noviembre de 2020</w:t>
      </w:r>
      <w:r w:rsidR="001B1918">
        <w:rPr>
          <w:rFonts w:ascii="Arial" w:eastAsia="Calibri" w:hAnsi="Arial" w:cs="Arial"/>
          <w:sz w:val="22"/>
          <w:szCs w:val="22"/>
          <w:lang w:val="es-MX"/>
        </w:rPr>
        <w:t xml:space="preserve">, </w:t>
      </w:r>
      <w:r w:rsidRPr="000769D0">
        <w:rPr>
          <w:rFonts w:ascii="Arial" w:eastAsia="Calibri" w:hAnsi="Arial" w:cs="Arial"/>
          <w:sz w:val="22"/>
          <w:szCs w:val="22"/>
          <w:lang w:val="es-MX"/>
        </w:rPr>
        <w:t xml:space="preserve">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w:t>
      </w:r>
      <w:r w:rsidR="009A6899" w:rsidRPr="007F7E23">
        <w:rPr>
          <w:rFonts w:ascii="Arial" w:hAnsi="Arial" w:cs="Arial"/>
          <w:sz w:val="22"/>
        </w:rPr>
        <w:lastRenderedPageBreak/>
        <w:t xml:space="preserve">Así se desprende del literal C del numeral 3.5.2 del Documento Base adoptado por la Resolución No. 240 de 2020, que indica: </w:t>
      </w:r>
    </w:p>
    <w:p w14:paraId="7A2BF3E2" w14:textId="77777777" w:rsidR="009A6899" w:rsidRPr="007F7E23" w:rsidRDefault="009A6899" w:rsidP="009A6899">
      <w:pPr>
        <w:spacing w:line="276" w:lineRule="auto"/>
        <w:jc w:val="both"/>
        <w:rPr>
          <w:rFonts w:ascii="Arial" w:hAnsi="Arial" w:cs="Arial"/>
          <w:sz w:val="22"/>
        </w:rPr>
      </w:pPr>
    </w:p>
    <w:p w14:paraId="1AC16FE6" w14:textId="77777777" w:rsidR="009A6899" w:rsidRPr="007F7E23" w:rsidRDefault="009A6899" w:rsidP="009A6899">
      <w:pPr>
        <w:pStyle w:val="Ttulo3"/>
        <w:numPr>
          <w:ilvl w:val="0"/>
          <w:numId w:val="0"/>
        </w:numPr>
        <w:spacing w:line="240" w:lineRule="auto"/>
        <w:ind w:left="709" w:right="709"/>
        <w:rPr>
          <w:rFonts w:cs="Arial"/>
          <w:b w:val="0"/>
          <w:bCs/>
          <w:color w:val="auto"/>
          <w:sz w:val="21"/>
          <w:szCs w:val="21"/>
          <w:lang w:val="es-MX"/>
        </w:rPr>
      </w:pPr>
      <w:bookmarkStart w:id="2" w:name="_Toc57727286"/>
      <w:r w:rsidRPr="007F7E23">
        <w:rPr>
          <w:rFonts w:cs="Arial"/>
          <w:b w:val="0"/>
          <w:bCs/>
          <w:caps w:val="0"/>
          <w:color w:val="auto"/>
          <w:sz w:val="21"/>
          <w:szCs w:val="21"/>
          <w:lang w:val="es-MX"/>
        </w:rPr>
        <w:t>3.5.2. CARACTERÍSTICAS DE LOS CONTRATOS PRESENTADOS PARA ACREDITAR LA EXPERIENCIA EXIGIDA</w:t>
      </w:r>
      <w:bookmarkEnd w:id="2"/>
    </w:p>
    <w:p w14:paraId="09EE927E" w14:textId="77777777" w:rsidR="009A6899" w:rsidRPr="007F7E23" w:rsidRDefault="009A6899" w:rsidP="009A6899">
      <w:pPr>
        <w:ind w:left="709" w:right="709"/>
        <w:rPr>
          <w:rFonts w:ascii="Arial" w:hAnsi="Arial" w:cs="Arial"/>
          <w:sz w:val="21"/>
          <w:szCs w:val="21"/>
        </w:rPr>
      </w:pPr>
      <w:r w:rsidRPr="007F7E23">
        <w:rPr>
          <w:rFonts w:ascii="Arial" w:hAnsi="Arial" w:cs="Arial"/>
          <w:sz w:val="21"/>
          <w:szCs w:val="21"/>
        </w:rPr>
        <w:t>Los contratos para acreditar la experiencia exigida deberán cumplir las siguientes características:</w:t>
      </w:r>
    </w:p>
    <w:p w14:paraId="20769E47" w14:textId="77777777" w:rsidR="009A6899" w:rsidRPr="007F7E23" w:rsidRDefault="009A6899" w:rsidP="009A6899">
      <w:pPr>
        <w:ind w:left="709" w:right="709"/>
        <w:rPr>
          <w:rFonts w:ascii="Arial" w:hAnsi="Arial" w:cs="Arial"/>
          <w:sz w:val="21"/>
          <w:szCs w:val="21"/>
        </w:rPr>
      </w:pPr>
    </w:p>
    <w:p w14:paraId="01A2CD9B" w14:textId="26C79EE1" w:rsidR="009A6899" w:rsidRDefault="009A6899" w:rsidP="009A6899">
      <w:pPr>
        <w:ind w:left="709" w:right="709"/>
        <w:rPr>
          <w:rFonts w:ascii="Arial" w:hAnsi="Arial" w:cs="Arial"/>
          <w:sz w:val="21"/>
          <w:szCs w:val="21"/>
        </w:rPr>
      </w:pPr>
      <w:r w:rsidRPr="007F7E23">
        <w:rPr>
          <w:rFonts w:ascii="Arial" w:hAnsi="Arial" w:cs="Arial"/>
          <w:sz w:val="21"/>
          <w:szCs w:val="21"/>
        </w:rPr>
        <w:t xml:space="preserve">[…] </w:t>
      </w:r>
    </w:p>
    <w:p w14:paraId="5326D3D6" w14:textId="4EA9109B" w:rsidR="009A6899" w:rsidRDefault="009A6899" w:rsidP="009A6899">
      <w:pPr>
        <w:ind w:left="709" w:right="709"/>
        <w:rPr>
          <w:rFonts w:ascii="Arial" w:hAnsi="Arial" w:cs="Arial"/>
          <w:sz w:val="21"/>
          <w:szCs w:val="21"/>
        </w:rPr>
      </w:pPr>
    </w:p>
    <w:p w14:paraId="46EEE32C" w14:textId="1CE5033F" w:rsidR="009A6899" w:rsidRPr="007F7E23" w:rsidRDefault="009A6899" w:rsidP="0066040D">
      <w:pPr>
        <w:ind w:left="709" w:right="709"/>
        <w:jc w:val="both"/>
        <w:rPr>
          <w:rFonts w:ascii="Arial" w:hAnsi="Arial" w:cs="Arial"/>
          <w:sz w:val="21"/>
          <w:szCs w:val="21"/>
        </w:rPr>
      </w:pPr>
      <w:r w:rsidRPr="009A6899">
        <w:rPr>
          <w:rFonts w:ascii="Arial" w:hAnsi="Arial" w:cs="Arial"/>
          <w:sz w:val="21"/>
          <w:szCs w:val="21"/>
        </w:rPr>
        <w:t>C.</w:t>
      </w:r>
      <w:r>
        <w:rPr>
          <w:rFonts w:ascii="Arial" w:hAnsi="Arial" w:cs="Arial"/>
          <w:sz w:val="21"/>
          <w:szCs w:val="21"/>
        </w:rPr>
        <w:t xml:space="preserve"> </w:t>
      </w:r>
      <w:r w:rsidRPr="009A6899">
        <w:rPr>
          <w:rFonts w:ascii="Arial" w:hAnsi="Arial" w:cs="Arial"/>
          <w:sz w:val="21"/>
          <w:szCs w:val="21"/>
        </w:rPr>
        <w:t>El proponente podrá acreditar la experiencia con mínimo uno (1) y máximo seis (6) contratos, los cuales serán evaluados teniendo en cuenta la tabla incluida en el numeral 3.5.8 del pliego de condiciones, así como el contenido establecido en la Matriz 1 – Experiencia. [En los procesos estructurados por lotes, el proponente podrá aportar mínimo uno (1) y máximo seis (6) contratos para cada uno de los lotes o podrá aportar los mismos para todos los lotes]</w:t>
      </w:r>
    </w:p>
    <w:p w14:paraId="2BD9D09F" w14:textId="1B9F5C76" w:rsidR="00995481" w:rsidRDefault="009A6899" w:rsidP="0066040D">
      <w:pPr>
        <w:spacing w:line="276" w:lineRule="auto"/>
        <w:jc w:val="both"/>
        <w:rPr>
          <w:rFonts w:ascii="Arial" w:eastAsia="Calibri" w:hAnsi="Arial" w:cs="Arial"/>
          <w:sz w:val="22"/>
          <w:szCs w:val="22"/>
          <w:lang w:val="es-MX"/>
        </w:rPr>
      </w:pPr>
      <w:r>
        <w:rPr>
          <w:rFonts w:ascii="Arial" w:eastAsia="Calibri" w:hAnsi="Arial" w:cs="Arial"/>
          <w:sz w:val="22"/>
          <w:szCs w:val="22"/>
          <w:lang w:val="es-MX"/>
        </w:rPr>
        <w:tab/>
      </w:r>
    </w:p>
    <w:p w14:paraId="3F202EAD" w14:textId="71E49E60" w:rsidR="009A6899" w:rsidRPr="007F7E23" w:rsidRDefault="009A6899" w:rsidP="0066040D">
      <w:pPr>
        <w:spacing w:line="276" w:lineRule="auto"/>
        <w:ind w:firstLine="708"/>
        <w:jc w:val="both"/>
        <w:rPr>
          <w:rFonts w:ascii="Arial" w:hAnsi="Arial" w:cs="Arial"/>
          <w:sz w:val="22"/>
        </w:rPr>
      </w:pPr>
      <w:r w:rsidRPr="007F7E23">
        <w:rPr>
          <w:rFonts w:ascii="Arial" w:hAnsi="Arial" w:cs="Arial"/>
          <w:sz w:val="22"/>
        </w:rPr>
        <w:t>Teniendo en cu</w:t>
      </w:r>
      <w:r>
        <w:rPr>
          <w:rFonts w:ascii="Arial" w:hAnsi="Arial" w:cs="Arial"/>
          <w:sz w:val="22"/>
        </w:rPr>
        <w:t>e</w:t>
      </w:r>
      <w:r w:rsidRPr="007F7E23">
        <w:rPr>
          <w:rFonts w:ascii="Arial" w:hAnsi="Arial" w:cs="Arial"/>
          <w:sz w:val="22"/>
        </w:rPr>
        <w:t>nta l</w:t>
      </w:r>
      <w:r>
        <w:rPr>
          <w:rFonts w:ascii="Arial" w:hAnsi="Arial" w:cs="Arial"/>
          <w:sz w:val="22"/>
        </w:rPr>
        <w:t>o</w:t>
      </w:r>
      <w:r w:rsidRPr="007F7E23">
        <w:rPr>
          <w:rFonts w:ascii="Arial" w:hAnsi="Arial" w:cs="Arial"/>
          <w:sz w:val="22"/>
        </w:rPr>
        <w:t xml:space="preserve"> anterior, el literal transcrito indica</w:t>
      </w:r>
      <w:r>
        <w:rPr>
          <w:rFonts w:ascii="Arial" w:hAnsi="Arial" w:cs="Arial"/>
          <w:sz w:val="22"/>
        </w:rPr>
        <w:t xml:space="preserve"> que</w:t>
      </w:r>
      <w:r w:rsidRPr="007F7E23">
        <w:rPr>
          <w:rFonts w:ascii="Arial" w:hAnsi="Arial" w:cs="Arial"/>
          <w:sz w:val="22"/>
        </w:rPr>
        <w:t xml:space="preserve"> los contratos aportados por los proponentes deberán evaluarse conforme a la tabla del numeral 3.5.8, el cual dispone lo siguiente: </w:t>
      </w:r>
    </w:p>
    <w:p w14:paraId="50AB683B" w14:textId="77777777" w:rsidR="009A6899" w:rsidRPr="007F7E23" w:rsidRDefault="009A6899" w:rsidP="009A6899">
      <w:pPr>
        <w:spacing w:line="276" w:lineRule="auto"/>
        <w:ind w:firstLine="708"/>
        <w:jc w:val="both"/>
        <w:rPr>
          <w:rFonts w:ascii="Arial" w:hAnsi="Arial" w:cs="Arial"/>
          <w:sz w:val="22"/>
        </w:rPr>
      </w:pPr>
    </w:p>
    <w:p w14:paraId="5ACA80EA" w14:textId="77777777" w:rsidR="009A6899" w:rsidRPr="007F7E23" w:rsidRDefault="009A6899" w:rsidP="009A6899">
      <w:pPr>
        <w:pStyle w:val="Ttulo3"/>
        <w:numPr>
          <w:ilvl w:val="0"/>
          <w:numId w:val="0"/>
        </w:numPr>
        <w:ind w:left="709" w:right="709"/>
        <w:rPr>
          <w:rFonts w:cs="Arial"/>
          <w:b w:val="0"/>
          <w:bCs/>
          <w:color w:val="auto"/>
          <w:sz w:val="21"/>
          <w:szCs w:val="21"/>
          <w:lang w:val="es-MX"/>
        </w:rPr>
      </w:pPr>
      <w:bookmarkStart w:id="3" w:name="_Toc57727292"/>
      <w:r w:rsidRPr="007F7E23">
        <w:rPr>
          <w:rFonts w:cs="Arial"/>
          <w:b w:val="0"/>
          <w:bCs/>
          <w:caps w:val="0"/>
          <w:color w:val="auto"/>
          <w:sz w:val="21"/>
          <w:szCs w:val="21"/>
          <w:lang w:val="es-MX"/>
        </w:rPr>
        <w:t>3.5.8. RELACIÓN DE LOS CONTRATOS FRENTE AL PRESUPUESTO OFICIAL</w:t>
      </w:r>
      <w:bookmarkEnd w:id="3"/>
    </w:p>
    <w:p w14:paraId="25C076EA" w14:textId="77777777" w:rsidR="009A6899" w:rsidRPr="007F7E23" w:rsidRDefault="009A6899" w:rsidP="009A6899">
      <w:pPr>
        <w:ind w:left="709" w:right="709"/>
        <w:rPr>
          <w:rFonts w:ascii="Arial" w:hAnsi="Arial" w:cs="Arial"/>
          <w:sz w:val="21"/>
          <w:szCs w:val="21"/>
        </w:rPr>
      </w:pPr>
      <w:r w:rsidRPr="007F7E23">
        <w:rPr>
          <w:rFonts w:ascii="Arial" w:hAnsi="Arial" w:cs="Arial"/>
          <w:sz w:val="21"/>
          <w:szCs w:val="21"/>
        </w:rPr>
        <w:t>La verificación del número de contratos para acreditar la experiencia se realiza de la siguiente manera:</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92"/>
      </w:tblGrid>
      <w:tr w:rsidR="009A6899" w:rsidRPr="007F7E23" w14:paraId="28304B45" w14:textId="77777777" w:rsidTr="004973DB">
        <w:trPr>
          <w:trHeight w:val="737"/>
          <w:tblHeader/>
        </w:trPr>
        <w:tc>
          <w:tcPr>
            <w:tcW w:w="3055"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639EA3AE" w14:textId="77777777" w:rsidR="009A6899" w:rsidRPr="0066040D" w:rsidRDefault="009A6899" w:rsidP="004973DB">
            <w:pPr>
              <w:spacing w:line="276" w:lineRule="auto"/>
              <w:ind w:left="-94" w:right="-48"/>
              <w:jc w:val="center"/>
              <w:rPr>
                <w:rFonts w:ascii="Arial" w:eastAsia="Arial" w:hAnsi="Arial" w:cs="Arial"/>
                <w:b/>
                <w:bCs/>
                <w:color w:val="FFFFFF" w:themeColor="background1"/>
                <w:sz w:val="19"/>
                <w:szCs w:val="19"/>
                <w:lang w:val="es-ES"/>
              </w:rPr>
            </w:pPr>
            <w:r w:rsidRPr="0066040D">
              <w:rPr>
                <w:rFonts w:ascii="Arial" w:hAnsi="Arial" w:cs="Arial"/>
                <w:b/>
                <w:bCs/>
                <w:color w:val="FFFFFF" w:themeColor="background1"/>
                <w:sz w:val="19"/>
                <w:szCs w:val="19"/>
                <w:lang w:val="es-ES"/>
              </w:rPr>
              <w:t>Número</w:t>
            </w:r>
            <w:r w:rsidRPr="0066040D">
              <w:rPr>
                <w:rFonts w:ascii="Arial" w:eastAsia="Arial" w:hAnsi="Arial" w:cs="Arial"/>
                <w:b/>
                <w:bCs/>
                <w:color w:val="FFFFFF" w:themeColor="background1"/>
                <w:sz w:val="19"/>
                <w:szCs w:val="19"/>
                <w:lang w:val="es-ES"/>
              </w:rPr>
              <w:t xml:space="preserve"> </w:t>
            </w:r>
            <w:r w:rsidRPr="0066040D">
              <w:rPr>
                <w:rFonts w:ascii="Arial" w:hAnsi="Arial" w:cs="Arial"/>
                <w:b/>
                <w:bCs/>
                <w:color w:val="FFFFFF" w:themeColor="background1"/>
                <w:sz w:val="19"/>
                <w:szCs w:val="19"/>
                <w:lang w:val="es-ES"/>
              </w:rPr>
              <w:t>de</w:t>
            </w:r>
            <w:r w:rsidRPr="0066040D">
              <w:rPr>
                <w:rFonts w:ascii="Arial" w:eastAsia="Arial" w:hAnsi="Arial" w:cs="Arial"/>
                <w:b/>
                <w:bCs/>
                <w:color w:val="FFFFFF" w:themeColor="background1"/>
                <w:sz w:val="19"/>
                <w:szCs w:val="19"/>
                <w:lang w:val="es-ES"/>
              </w:rPr>
              <w:t xml:space="preserve"> </w:t>
            </w:r>
            <w:r w:rsidRPr="0066040D">
              <w:rPr>
                <w:rFonts w:ascii="Arial" w:hAnsi="Arial" w:cs="Arial"/>
                <w:b/>
                <w:bCs/>
                <w:color w:val="FFFFFF" w:themeColor="background1"/>
                <w:sz w:val="19"/>
                <w:szCs w:val="19"/>
                <w:lang w:val="es-ES"/>
              </w:rPr>
              <w:t>contratos</w:t>
            </w:r>
            <w:r w:rsidRPr="0066040D">
              <w:rPr>
                <w:rFonts w:ascii="Arial" w:eastAsia="Arial" w:hAnsi="Arial" w:cs="Arial"/>
                <w:b/>
                <w:bCs/>
                <w:color w:val="FFFFFF" w:themeColor="background1"/>
                <w:sz w:val="19"/>
                <w:szCs w:val="19"/>
                <w:lang w:val="es-ES"/>
              </w:rPr>
              <w:t xml:space="preserve"> </w:t>
            </w:r>
            <w:r w:rsidRPr="0066040D">
              <w:rPr>
                <w:rFonts w:ascii="Arial" w:hAnsi="Arial" w:cs="Arial"/>
                <w:b/>
                <w:bCs/>
                <w:color w:val="FFFFFF" w:themeColor="background1"/>
                <w:sz w:val="19"/>
                <w:szCs w:val="19"/>
                <w:lang w:val="es-ES"/>
              </w:rPr>
              <w:t>con</w:t>
            </w:r>
            <w:r w:rsidRPr="0066040D">
              <w:rPr>
                <w:rFonts w:ascii="Arial" w:eastAsia="Arial" w:hAnsi="Arial" w:cs="Arial"/>
                <w:b/>
                <w:bCs/>
                <w:color w:val="FFFFFF" w:themeColor="background1"/>
                <w:sz w:val="19"/>
                <w:szCs w:val="19"/>
                <w:lang w:val="es-ES"/>
              </w:rPr>
              <w:t xml:space="preserve"> </w:t>
            </w:r>
            <w:r w:rsidRPr="0066040D">
              <w:rPr>
                <w:rFonts w:ascii="Arial" w:hAnsi="Arial" w:cs="Arial"/>
                <w:b/>
                <w:bCs/>
                <w:color w:val="FFFFFF" w:themeColor="background1"/>
                <w:sz w:val="19"/>
                <w:szCs w:val="19"/>
                <w:lang w:val="es-ES"/>
              </w:rPr>
              <w:t>los</w:t>
            </w:r>
            <w:r w:rsidRPr="0066040D">
              <w:rPr>
                <w:rFonts w:ascii="Arial" w:eastAsia="Arial" w:hAnsi="Arial" w:cs="Arial"/>
                <w:b/>
                <w:bCs/>
                <w:color w:val="FFFFFF" w:themeColor="background1"/>
                <w:sz w:val="19"/>
                <w:szCs w:val="19"/>
                <w:lang w:val="es-ES"/>
              </w:rPr>
              <w:t xml:space="preserve"> </w:t>
            </w:r>
            <w:r w:rsidRPr="0066040D">
              <w:rPr>
                <w:rFonts w:ascii="Arial" w:hAnsi="Arial" w:cs="Arial"/>
                <w:b/>
                <w:bCs/>
                <w:color w:val="FFFFFF" w:themeColor="background1"/>
                <w:sz w:val="19"/>
                <w:szCs w:val="19"/>
                <w:lang w:val="es-ES"/>
              </w:rPr>
              <w:t>cuales</w:t>
            </w:r>
            <w:r w:rsidRPr="0066040D">
              <w:rPr>
                <w:rFonts w:ascii="Arial" w:eastAsia="Arial" w:hAnsi="Arial" w:cs="Arial"/>
                <w:b/>
                <w:bCs/>
                <w:color w:val="FFFFFF" w:themeColor="background1"/>
                <w:sz w:val="19"/>
                <w:szCs w:val="19"/>
                <w:lang w:val="es-ES"/>
              </w:rPr>
              <w:t xml:space="preserve"> </w:t>
            </w:r>
            <w:r w:rsidRPr="0066040D">
              <w:rPr>
                <w:rFonts w:ascii="Arial" w:hAnsi="Arial" w:cs="Arial"/>
                <w:b/>
                <w:bCs/>
                <w:color w:val="FFFFFF" w:themeColor="background1"/>
                <w:sz w:val="19"/>
                <w:szCs w:val="19"/>
                <w:lang w:val="es-ES"/>
              </w:rPr>
              <w:t>el</w:t>
            </w:r>
            <w:r w:rsidRPr="0066040D">
              <w:rPr>
                <w:rFonts w:ascii="Arial" w:eastAsia="Arial" w:hAnsi="Arial" w:cs="Arial"/>
                <w:b/>
                <w:bCs/>
                <w:color w:val="FFFFFF" w:themeColor="background1"/>
                <w:sz w:val="19"/>
                <w:szCs w:val="19"/>
                <w:lang w:val="es-ES"/>
              </w:rPr>
              <w:t xml:space="preserve"> </w:t>
            </w:r>
            <w:r w:rsidRPr="0066040D">
              <w:rPr>
                <w:rFonts w:ascii="Arial" w:hAnsi="Arial" w:cs="Arial"/>
                <w:b/>
                <w:bCs/>
                <w:color w:val="FFFFFF" w:themeColor="background1"/>
                <w:sz w:val="19"/>
                <w:szCs w:val="19"/>
                <w:lang w:val="es-ES"/>
              </w:rPr>
              <w:t>Proponente</w:t>
            </w:r>
            <w:r w:rsidRPr="0066040D">
              <w:rPr>
                <w:rFonts w:ascii="Arial" w:eastAsia="Arial" w:hAnsi="Arial" w:cs="Arial"/>
                <w:b/>
                <w:bCs/>
                <w:color w:val="FFFFFF" w:themeColor="background1"/>
                <w:sz w:val="19"/>
                <w:szCs w:val="19"/>
                <w:lang w:val="es-ES"/>
              </w:rPr>
              <w:t xml:space="preserve"> </w:t>
            </w:r>
            <w:r w:rsidRPr="0066040D">
              <w:rPr>
                <w:rFonts w:ascii="Arial" w:hAnsi="Arial" w:cs="Arial"/>
                <w:b/>
                <w:bCs/>
                <w:color w:val="FFFFFF" w:themeColor="background1"/>
                <w:sz w:val="19"/>
                <w:szCs w:val="19"/>
                <w:lang w:val="es-ES"/>
              </w:rPr>
              <w:t>cumple</w:t>
            </w:r>
            <w:r w:rsidRPr="0066040D">
              <w:rPr>
                <w:rFonts w:ascii="Arial" w:eastAsia="Arial" w:hAnsi="Arial" w:cs="Arial"/>
                <w:b/>
                <w:bCs/>
                <w:color w:val="FFFFFF" w:themeColor="background1"/>
                <w:sz w:val="19"/>
                <w:szCs w:val="19"/>
                <w:lang w:val="es-ES"/>
              </w:rPr>
              <w:t xml:space="preserve"> </w:t>
            </w:r>
            <w:r w:rsidRPr="0066040D">
              <w:rPr>
                <w:rFonts w:ascii="Arial" w:hAnsi="Arial" w:cs="Arial"/>
                <w:b/>
                <w:bCs/>
                <w:color w:val="FFFFFF" w:themeColor="background1"/>
                <w:sz w:val="19"/>
                <w:szCs w:val="19"/>
                <w:lang w:val="es-ES"/>
              </w:rPr>
              <w:t>la</w:t>
            </w:r>
            <w:r w:rsidRPr="0066040D">
              <w:rPr>
                <w:rFonts w:ascii="Arial" w:eastAsia="Arial" w:hAnsi="Arial" w:cs="Arial"/>
                <w:b/>
                <w:bCs/>
                <w:color w:val="FFFFFF" w:themeColor="background1"/>
                <w:sz w:val="19"/>
                <w:szCs w:val="19"/>
                <w:lang w:val="es-ES"/>
              </w:rPr>
              <w:t xml:space="preserve"> </w:t>
            </w:r>
            <w:r w:rsidRPr="0066040D">
              <w:rPr>
                <w:rFonts w:ascii="Arial" w:hAnsi="Arial" w:cs="Arial"/>
                <w:b/>
                <w:bCs/>
                <w:color w:val="FFFFFF" w:themeColor="background1"/>
                <w:sz w:val="19"/>
                <w:szCs w:val="19"/>
                <w:lang w:val="es-ES"/>
              </w:rPr>
              <w:t>experiencia</w:t>
            </w:r>
            <w:r w:rsidRPr="0066040D">
              <w:rPr>
                <w:rFonts w:ascii="Arial" w:eastAsia="Arial" w:hAnsi="Arial" w:cs="Arial"/>
                <w:b/>
                <w:bCs/>
                <w:color w:val="FFFFFF" w:themeColor="background1"/>
                <w:sz w:val="19"/>
                <w:szCs w:val="19"/>
                <w:lang w:val="es-ES"/>
              </w:rPr>
              <w:t xml:space="preserve"> </w:t>
            </w:r>
            <w:r w:rsidRPr="0066040D">
              <w:rPr>
                <w:rFonts w:ascii="Arial" w:hAnsi="Arial" w:cs="Arial"/>
                <w:b/>
                <w:bCs/>
                <w:color w:val="FFFFFF" w:themeColor="background1"/>
                <w:sz w:val="19"/>
                <w:szCs w:val="19"/>
                <w:lang w:val="es-ES"/>
              </w:rPr>
              <w:t>acreditada</w:t>
            </w:r>
          </w:p>
        </w:tc>
        <w:tc>
          <w:tcPr>
            <w:tcW w:w="4192"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57FA3EA6" w14:textId="77777777" w:rsidR="009A6899" w:rsidRPr="0066040D" w:rsidRDefault="009A6899" w:rsidP="004973DB">
            <w:pPr>
              <w:spacing w:line="276" w:lineRule="auto"/>
              <w:ind w:right="-114"/>
              <w:jc w:val="center"/>
              <w:rPr>
                <w:rFonts w:ascii="Arial" w:eastAsia="Arial" w:hAnsi="Arial" w:cs="Arial"/>
                <w:b/>
                <w:bCs/>
                <w:color w:val="FFFFFF" w:themeColor="background1"/>
                <w:sz w:val="19"/>
                <w:szCs w:val="19"/>
                <w:lang w:val="es-ES"/>
              </w:rPr>
            </w:pPr>
            <w:proofErr w:type="gramStart"/>
            <w:r w:rsidRPr="0066040D">
              <w:rPr>
                <w:rFonts w:ascii="Arial" w:hAnsi="Arial" w:cs="Arial"/>
                <w:b/>
                <w:bCs/>
                <w:color w:val="FFFFFF" w:themeColor="background1"/>
                <w:sz w:val="19"/>
                <w:szCs w:val="19"/>
                <w:lang w:val="es-ES"/>
              </w:rPr>
              <w:t>Valor</w:t>
            </w:r>
            <w:r w:rsidRPr="0066040D">
              <w:rPr>
                <w:rFonts w:ascii="Arial" w:eastAsia="Arial" w:hAnsi="Arial" w:cs="Arial"/>
                <w:b/>
                <w:bCs/>
                <w:color w:val="FFFFFF" w:themeColor="background1"/>
                <w:sz w:val="19"/>
                <w:szCs w:val="19"/>
                <w:lang w:val="es-ES"/>
              </w:rPr>
              <w:t xml:space="preserve"> </w:t>
            </w:r>
            <w:r w:rsidRPr="0066040D">
              <w:rPr>
                <w:rFonts w:ascii="Arial" w:hAnsi="Arial" w:cs="Arial"/>
                <w:b/>
                <w:bCs/>
                <w:color w:val="FFFFFF" w:themeColor="background1"/>
                <w:sz w:val="19"/>
                <w:szCs w:val="19"/>
                <w:lang w:val="es-ES"/>
              </w:rPr>
              <w:t>mínimo</w:t>
            </w:r>
            <w:r w:rsidRPr="0066040D">
              <w:rPr>
                <w:rFonts w:ascii="Arial" w:eastAsia="Arial" w:hAnsi="Arial" w:cs="Arial"/>
                <w:b/>
                <w:bCs/>
                <w:color w:val="FFFFFF" w:themeColor="background1"/>
                <w:sz w:val="19"/>
                <w:szCs w:val="19"/>
                <w:lang w:val="es-ES"/>
              </w:rPr>
              <w:t xml:space="preserve"> </w:t>
            </w:r>
            <w:r w:rsidRPr="0066040D">
              <w:rPr>
                <w:rFonts w:ascii="Arial" w:hAnsi="Arial" w:cs="Arial"/>
                <w:b/>
                <w:bCs/>
                <w:color w:val="FFFFFF" w:themeColor="background1"/>
                <w:sz w:val="19"/>
                <w:szCs w:val="19"/>
                <w:lang w:val="es-ES"/>
              </w:rPr>
              <w:t>a</w:t>
            </w:r>
            <w:r w:rsidRPr="0066040D">
              <w:rPr>
                <w:rFonts w:ascii="Arial" w:eastAsia="Arial" w:hAnsi="Arial" w:cs="Arial"/>
                <w:b/>
                <w:bCs/>
                <w:color w:val="FFFFFF" w:themeColor="background1"/>
                <w:sz w:val="19"/>
                <w:szCs w:val="19"/>
                <w:lang w:val="es-ES"/>
              </w:rPr>
              <w:t xml:space="preserve"> </w:t>
            </w:r>
            <w:r w:rsidRPr="0066040D">
              <w:rPr>
                <w:rFonts w:ascii="Arial" w:hAnsi="Arial" w:cs="Arial"/>
                <w:b/>
                <w:bCs/>
                <w:color w:val="FFFFFF" w:themeColor="background1"/>
                <w:sz w:val="19"/>
                <w:szCs w:val="19"/>
                <w:lang w:val="es-ES"/>
              </w:rPr>
              <w:t>certificar</w:t>
            </w:r>
            <w:proofErr w:type="gramEnd"/>
          </w:p>
          <w:p w14:paraId="36424A7C" w14:textId="77777777" w:rsidR="009A6899" w:rsidRPr="0066040D" w:rsidRDefault="009A6899" w:rsidP="004973DB">
            <w:pPr>
              <w:spacing w:line="276" w:lineRule="auto"/>
              <w:ind w:right="-114"/>
              <w:jc w:val="center"/>
              <w:rPr>
                <w:rFonts w:ascii="Arial" w:eastAsia="Arial" w:hAnsi="Arial" w:cs="Arial"/>
                <w:b/>
                <w:bCs/>
                <w:color w:val="FFFFFF" w:themeColor="background1"/>
                <w:sz w:val="19"/>
                <w:szCs w:val="19"/>
                <w:lang w:val="es-ES"/>
              </w:rPr>
            </w:pPr>
            <w:r w:rsidRPr="0066040D">
              <w:rPr>
                <w:rFonts w:ascii="Arial" w:hAnsi="Arial" w:cs="Arial"/>
                <w:b/>
                <w:bCs/>
                <w:color w:val="FFFFFF" w:themeColor="background1"/>
                <w:sz w:val="19"/>
                <w:szCs w:val="19"/>
                <w:lang w:val="es-ES"/>
              </w:rPr>
              <w:t>(como</w:t>
            </w:r>
            <w:r w:rsidRPr="0066040D">
              <w:rPr>
                <w:rFonts w:ascii="Arial" w:eastAsia="Arial" w:hAnsi="Arial" w:cs="Arial"/>
                <w:b/>
                <w:bCs/>
                <w:color w:val="FFFFFF" w:themeColor="background1"/>
                <w:sz w:val="19"/>
                <w:szCs w:val="19"/>
                <w:lang w:val="es-ES"/>
              </w:rPr>
              <w:t xml:space="preserve"> % </w:t>
            </w:r>
            <w:r w:rsidRPr="0066040D">
              <w:rPr>
                <w:rFonts w:ascii="Arial" w:hAnsi="Arial" w:cs="Arial"/>
                <w:b/>
                <w:bCs/>
                <w:color w:val="FFFFFF" w:themeColor="background1"/>
                <w:sz w:val="19"/>
                <w:szCs w:val="19"/>
                <w:lang w:val="es-ES"/>
              </w:rPr>
              <w:t>del</w:t>
            </w:r>
            <w:r w:rsidRPr="0066040D">
              <w:rPr>
                <w:rFonts w:ascii="Arial" w:eastAsia="Arial" w:hAnsi="Arial" w:cs="Arial"/>
                <w:b/>
                <w:bCs/>
                <w:color w:val="FFFFFF" w:themeColor="background1"/>
                <w:sz w:val="19"/>
                <w:szCs w:val="19"/>
                <w:lang w:val="es-ES"/>
              </w:rPr>
              <w:t xml:space="preserve"> </w:t>
            </w:r>
            <w:r w:rsidRPr="0066040D">
              <w:rPr>
                <w:rFonts w:ascii="Arial" w:hAnsi="Arial" w:cs="Arial"/>
                <w:b/>
                <w:bCs/>
                <w:color w:val="FFFFFF" w:themeColor="background1"/>
                <w:sz w:val="19"/>
                <w:szCs w:val="19"/>
                <w:lang w:val="es-ES"/>
              </w:rPr>
              <w:t>Presupuesto</w:t>
            </w:r>
            <w:r w:rsidRPr="0066040D">
              <w:rPr>
                <w:rFonts w:ascii="Arial" w:eastAsia="Arial" w:hAnsi="Arial" w:cs="Arial"/>
                <w:b/>
                <w:bCs/>
                <w:color w:val="FFFFFF" w:themeColor="background1"/>
                <w:sz w:val="19"/>
                <w:szCs w:val="19"/>
                <w:lang w:val="es-ES"/>
              </w:rPr>
              <w:t xml:space="preserve"> </w:t>
            </w:r>
            <w:r w:rsidRPr="0066040D">
              <w:rPr>
                <w:rFonts w:ascii="Arial" w:hAnsi="Arial" w:cs="Arial"/>
                <w:b/>
                <w:bCs/>
                <w:color w:val="FFFFFF" w:themeColor="background1"/>
                <w:sz w:val="19"/>
                <w:szCs w:val="19"/>
                <w:lang w:val="es-ES"/>
              </w:rPr>
              <w:t>Oficial</w:t>
            </w:r>
            <w:r w:rsidRPr="0066040D">
              <w:rPr>
                <w:rFonts w:ascii="Arial" w:eastAsia="Arial" w:hAnsi="Arial" w:cs="Arial"/>
                <w:b/>
                <w:bCs/>
                <w:color w:val="FFFFFF" w:themeColor="background1"/>
                <w:sz w:val="19"/>
                <w:szCs w:val="19"/>
                <w:lang w:val="es-ES"/>
              </w:rPr>
              <w:t xml:space="preserve"> </w:t>
            </w:r>
            <w:r w:rsidRPr="0066040D">
              <w:rPr>
                <w:rFonts w:ascii="Arial" w:hAnsi="Arial" w:cs="Arial"/>
                <w:b/>
                <w:bCs/>
                <w:color w:val="FFFFFF" w:themeColor="background1"/>
                <w:sz w:val="19"/>
                <w:szCs w:val="19"/>
                <w:lang w:val="es-ES"/>
              </w:rPr>
              <w:t>de</w:t>
            </w:r>
            <w:r w:rsidRPr="0066040D">
              <w:rPr>
                <w:rFonts w:ascii="Arial" w:eastAsia="Arial" w:hAnsi="Arial" w:cs="Arial"/>
                <w:b/>
                <w:bCs/>
                <w:color w:val="FFFFFF" w:themeColor="background1"/>
                <w:sz w:val="19"/>
                <w:szCs w:val="19"/>
                <w:lang w:val="es-ES"/>
              </w:rPr>
              <w:t xml:space="preserve"> </w:t>
            </w:r>
            <w:r w:rsidRPr="0066040D">
              <w:rPr>
                <w:rFonts w:ascii="Arial" w:hAnsi="Arial" w:cs="Arial"/>
                <w:b/>
                <w:bCs/>
                <w:color w:val="FFFFFF" w:themeColor="background1"/>
                <w:sz w:val="19"/>
                <w:szCs w:val="19"/>
                <w:lang w:val="es-ES"/>
              </w:rPr>
              <w:t>obra</w:t>
            </w:r>
            <w:r w:rsidRPr="0066040D">
              <w:rPr>
                <w:rFonts w:ascii="Arial" w:eastAsia="Arial" w:hAnsi="Arial" w:cs="Arial"/>
                <w:b/>
                <w:bCs/>
                <w:color w:val="FFFFFF" w:themeColor="background1"/>
                <w:sz w:val="19"/>
                <w:szCs w:val="19"/>
                <w:lang w:val="es-ES"/>
              </w:rPr>
              <w:t xml:space="preserve"> </w:t>
            </w:r>
            <w:r w:rsidRPr="0066040D">
              <w:rPr>
                <w:rFonts w:ascii="Arial" w:hAnsi="Arial" w:cs="Arial"/>
                <w:b/>
                <w:bCs/>
                <w:color w:val="FFFFFF" w:themeColor="background1"/>
                <w:sz w:val="19"/>
                <w:szCs w:val="19"/>
                <w:lang w:val="es-ES"/>
              </w:rPr>
              <w:t>expresado</w:t>
            </w:r>
            <w:r w:rsidRPr="0066040D">
              <w:rPr>
                <w:rFonts w:ascii="Arial" w:eastAsia="Arial" w:hAnsi="Arial" w:cs="Arial"/>
                <w:b/>
                <w:bCs/>
                <w:color w:val="FFFFFF" w:themeColor="background1"/>
                <w:sz w:val="19"/>
                <w:szCs w:val="19"/>
                <w:lang w:val="es-ES"/>
              </w:rPr>
              <w:t xml:space="preserve"> </w:t>
            </w:r>
            <w:r w:rsidRPr="0066040D">
              <w:rPr>
                <w:rFonts w:ascii="Arial" w:hAnsi="Arial" w:cs="Arial"/>
                <w:b/>
                <w:bCs/>
                <w:color w:val="FFFFFF" w:themeColor="background1"/>
                <w:sz w:val="19"/>
                <w:szCs w:val="19"/>
                <w:lang w:val="es-ES"/>
              </w:rPr>
              <w:t>en</w:t>
            </w:r>
            <w:r w:rsidRPr="0066040D">
              <w:rPr>
                <w:rFonts w:ascii="Arial" w:eastAsia="Arial" w:hAnsi="Arial" w:cs="Arial"/>
                <w:b/>
                <w:bCs/>
                <w:color w:val="FFFFFF" w:themeColor="background1"/>
                <w:sz w:val="19"/>
                <w:szCs w:val="19"/>
                <w:lang w:val="es-ES"/>
              </w:rPr>
              <w:t xml:space="preserve"> </w:t>
            </w:r>
            <w:r w:rsidRPr="0066040D">
              <w:rPr>
                <w:rFonts w:ascii="Arial" w:hAnsi="Arial" w:cs="Arial"/>
                <w:b/>
                <w:bCs/>
                <w:color w:val="FFFFFF" w:themeColor="background1"/>
                <w:sz w:val="19"/>
                <w:szCs w:val="19"/>
                <w:lang w:val="es-ES"/>
              </w:rPr>
              <w:t>SMMLV)</w:t>
            </w:r>
          </w:p>
        </w:tc>
      </w:tr>
      <w:tr w:rsidR="009A6899" w:rsidRPr="007F7E23" w14:paraId="360DA8D4" w14:textId="77777777" w:rsidTr="004973DB">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5FC44FD6" w14:textId="77777777" w:rsidR="009A6899" w:rsidRPr="007F7E23" w:rsidRDefault="009A6899" w:rsidP="004973DB">
            <w:pPr>
              <w:spacing w:line="276" w:lineRule="auto"/>
              <w:ind w:left="709" w:right="709"/>
              <w:jc w:val="center"/>
              <w:rPr>
                <w:rFonts w:ascii="Arial" w:eastAsia="Arial" w:hAnsi="Arial" w:cs="Arial"/>
                <w:sz w:val="19"/>
                <w:szCs w:val="19"/>
                <w:lang w:val="es-ES"/>
              </w:rPr>
            </w:pPr>
            <w:r w:rsidRPr="007F7E23">
              <w:rPr>
                <w:rFonts w:ascii="Arial" w:hAnsi="Arial" w:cs="Arial"/>
                <w:sz w:val="19"/>
                <w:szCs w:val="19"/>
                <w:lang w:val="es-ES"/>
              </w:rPr>
              <w:t>De</w:t>
            </w:r>
            <w:r w:rsidRPr="007F7E23">
              <w:rPr>
                <w:rFonts w:ascii="Arial" w:eastAsia="Arial" w:hAnsi="Arial" w:cs="Arial"/>
                <w:sz w:val="19"/>
                <w:szCs w:val="19"/>
                <w:lang w:val="es-ES"/>
              </w:rPr>
              <w:t xml:space="preserve"> </w:t>
            </w:r>
            <w:r w:rsidRPr="007F7E23">
              <w:rPr>
                <w:rFonts w:ascii="Arial" w:hAnsi="Arial" w:cs="Arial"/>
                <w:sz w:val="19"/>
                <w:szCs w:val="19"/>
                <w:lang w:val="es-ES"/>
              </w:rPr>
              <w:t>1</w:t>
            </w:r>
            <w:r w:rsidRPr="007F7E23">
              <w:rPr>
                <w:rFonts w:ascii="Arial" w:eastAsia="Arial" w:hAnsi="Arial" w:cs="Arial"/>
                <w:sz w:val="19"/>
                <w:szCs w:val="19"/>
                <w:lang w:val="es-ES"/>
              </w:rPr>
              <w:t xml:space="preserve"> </w:t>
            </w:r>
            <w:r w:rsidRPr="007F7E23">
              <w:rPr>
                <w:rFonts w:ascii="Arial" w:hAnsi="Arial" w:cs="Arial"/>
                <w:sz w:val="19"/>
                <w:szCs w:val="19"/>
                <w:lang w:val="es-ES"/>
              </w:rPr>
              <w:t>hasta</w:t>
            </w:r>
            <w:r w:rsidRPr="007F7E23">
              <w:rPr>
                <w:rFonts w:ascii="Arial" w:eastAsia="Arial" w:hAnsi="Arial" w:cs="Arial"/>
                <w:sz w:val="19"/>
                <w:szCs w:val="19"/>
                <w:lang w:val="es-ES"/>
              </w:rPr>
              <w:t xml:space="preserve"> </w:t>
            </w:r>
            <w:r w:rsidRPr="007F7E23">
              <w:rPr>
                <w:rFonts w:ascii="Arial" w:hAnsi="Arial" w:cs="Arial"/>
                <w:sz w:val="19"/>
                <w:szCs w:val="19"/>
                <w:lang w:val="es-ES"/>
              </w:rPr>
              <w:t>2</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0937A04F" w14:textId="77777777" w:rsidR="009A6899" w:rsidRPr="007F7E23" w:rsidRDefault="009A6899" w:rsidP="004973DB">
            <w:pPr>
              <w:spacing w:line="276" w:lineRule="auto"/>
              <w:ind w:left="709" w:right="709"/>
              <w:jc w:val="center"/>
              <w:rPr>
                <w:rFonts w:ascii="Arial" w:eastAsia="Arial" w:hAnsi="Arial" w:cs="Arial"/>
                <w:sz w:val="19"/>
                <w:szCs w:val="19"/>
                <w:lang w:val="es-ES"/>
              </w:rPr>
            </w:pPr>
            <w:r w:rsidRPr="007F7E23">
              <w:rPr>
                <w:rFonts w:ascii="Arial" w:hAnsi="Arial" w:cs="Arial"/>
                <w:sz w:val="19"/>
                <w:szCs w:val="19"/>
                <w:lang w:val="es-ES"/>
              </w:rPr>
              <w:t>75%</w:t>
            </w:r>
          </w:p>
        </w:tc>
      </w:tr>
      <w:tr w:rsidR="009A6899" w:rsidRPr="007F7E23" w14:paraId="351E12D5" w14:textId="77777777" w:rsidTr="004973DB">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45129459" w14:textId="77777777" w:rsidR="009A6899" w:rsidRPr="007F7E23" w:rsidRDefault="009A6899" w:rsidP="004973DB">
            <w:pPr>
              <w:spacing w:line="276" w:lineRule="auto"/>
              <w:ind w:left="709" w:right="709"/>
              <w:jc w:val="center"/>
              <w:rPr>
                <w:rFonts w:ascii="Arial" w:eastAsia="Arial" w:hAnsi="Arial" w:cs="Arial"/>
                <w:sz w:val="19"/>
                <w:szCs w:val="19"/>
                <w:lang w:val="es-ES"/>
              </w:rPr>
            </w:pPr>
            <w:r w:rsidRPr="007F7E23">
              <w:rPr>
                <w:rFonts w:ascii="Arial" w:hAnsi="Arial" w:cs="Arial"/>
                <w:sz w:val="19"/>
                <w:szCs w:val="19"/>
                <w:lang w:val="es-ES"/>
              </w:rPr>
              <w:t>De</w:t>
            </w:r>
            <w:r w:rsidRPr="007F7E23">
              <w:rPr>
                <w:rFonts w:ascii="Arial" w:eastAsia="Arial" w:hAnsi="Arial" w:cs="Arial"/>
                <w:sz w:val="19"/>
                <w:szCs w:val="19"/>
                <w:lang w:val="es-ES"/>
              </w:rPr>
              <w:t xml:space="preserve"> </w:t>
            </w:r>
            <w:r w:rsidRPr="007F7E23">
              <w:rPr>
                <w:rFonts w:ascii="Arial" w:hAnsi="Arial" w:cs="Arial"/>
                <w:sz w:val="19"/>
                <w:szCs w:val="19"/>
                <w:lang w:val="es-ES"/>
              </w:rPr>
              <w:t>3</w:t>
            </w:r>
            <w:r w:rsidRPr="007F7E23">
              <w:rPr>
                <w:rFonts w:ascii="Arial" w:eastAsia="Arial" w:hAnsi="Arial" w:cs="Arial"/>
                <w:sz w:val="19"/>
                <w:szCs w:val="19"/>
                <w:lang w:val="es-ES"/>
              </w:rPr>
              <w:t xml:space="preserve"> </w:t>
            </w:r>
            <w:r w:rsidRPr="007F7E23">
              <w:rPr>
                <w:rFonts w:ascii="Arial" w:hAnsi="Arial" w:cs="Arial"/>
                <w:sz w:val="19"/>
                <w:szCs w:val="19"/>
                <w:lang w:val="es-ES"/>
              </w:rPr>
              <w:t>hasta</w:t>
            </w:r>
            <w:r w:rsidRPr="007F7E23">
              <w:rPr>
                <w:rFonts w:ascii="Arial" w:eastAsia="Arial" w:hAnsi="Arial" w:cs="Arial"/>
                <w:sz w:val="19"/>
                <w:szCs w:val="19"/>
                <w:lang w:val="es-ES"/>
              </w:rPr>
              <w:t xml:space="preserve"> </w:t>
            </w:r>
            <w:r w:rsidRPr="007F7E23">
              <w:rPr>
                <w:rFonts w:ascii="Arial" w:hAnsi="Arial" w:cs="Arial"/>
                <w:sz w:val="19"/>
                <w:szCs w:val="19"/>
                <w:lang w:val="es-ES"/>
              </w:rPr>
              <w:t>4</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74D1F12C" w14:textId="77777777" w:rsidR="009A6899" w:rsidRPr="007F7E23" w:rsidRDefault="009A6899" w:rsidP="004973DB">
            <w:pPr>
              <w:spacing w:line="276" w:lineRule="auto"/>
              <w:ind w:left="709" w:right="709"/>
              <w:jc w:val="center"/>
              <w:rPr>
                <w:rFonts w:ascii="Arial" w:eastAsia="Arial" w:hAnsi="Arial" w:cs="Arial"/>
                <w:sz w:val="19"/>
                <w:szCs w:val="19"/>
                <w:lang w:val="es-ES"/>
              </w:rPr>
            </w:pPr>
            <w:r w:rsidRPr="007F7E23">
              <w:rPr>
                <w:rFonts w:ascii="Arial" w:hAnsi="Arial" w:cs="Arial"/>
                <w:sz w:val="19"/>
                <w:szCs w:val="19"/>
                <w:lang w:val="es-ES"/>
              </w:rPr>
              <w:t>120%</w:t>
            </w:r>
          </w:p>
        </w:tc>
      </w:tr>
      <w:tr w:rsidR="009A6899" w:rsidRPr="007F7E23" w14:paraId="07E587A5" w14:textId="77777777" w:rsidTr="004973DB">
        <w:tc>
          <w:tcPr>
            <w:tcW w:w="3055"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5DC533F1" w14:textId="77777777" w:rsidR="009A6899" w:rsidRPr="007F7E23" w:rsidRDefault="009A6899" w:rsidP="004973DB">
            <w:pPr>
              <w:spacing w:line="276" w:lineRule="auto"/>
              <w:ind w:left="709" w:right="709"/>
              <w:jc w:val="center"/>
              <w:rPr>
                <w:rFonts w:ascii="Arial" w:eastAsia="Arial" w:hAnsi="Arial" w:cs="Arial"/>
                <w:sz w:val="19"/>
                <w:szCs w:val="19"/>
                <w:lang w:val="es-ES"/>
              </w:rPr>
            </w:pPr>
            <w:r w:rsidRPr="007F7E23">
              <w:rPr>
                <w:rFonts w:ascii="Arial" w:hAnsi="Arial" w:cs="Arial"/>
                <w:sz w:val="19"/>
                <w:szCs w:val="19"/>
                <w:lang w:val="es-ES"/>
              </w:rPr>
              <w:t>De</w:t>
            </w:r>
            <w:r w:rsidRPr="007F7E23">
              <w:rPr>
                <w:rFonts w:ascii="Arial" w:eastAsia="Arial" w:hAnsi="Arial" w:cs="Arial"/>
                <w:sz w:val="19"/>
                <w:szCs w:val="19"/>
                <w:lang w:val="es-ES"/>
              </w:rPr>
              <w:t xml:space="preserve"> </w:t>
            </w:r>
            <w:r w:rsidRPr="007F7E23">
              <w:rPr>
                <w:rFonts w:ascii="Arial" w:hAnsi="Arial" w:cs="Arial"/>
                <w:sz w:val="19"/>
                <w:szCs w:val="19"/>
                <w:lang w:val="es-ES"/>
              </w:rPr>
              <w:t>5</w:t>
            </w:r>
            <w:r w:rsidRPr="007F7E23">
              <w:rPr>
                <w:rFonts w:ascii="Arial" w:eastAsia="Arial" w:hAnsi="Arial" w:cs="Arial"/>
                <w:sz w:val="19"/>
                <w:szCs w:val="19"/>
                <w:lang w:val="es-ES"/>
              </w:rPr>
              <w:t xml:space="preserve"> </w:t>
            </w:r>
            <w:r w:rsidRPr="007F7E23">
              <w:rPr>
                <w:rFonts w:ascii="Arial" w:hAnsi="Arial" w:cs="Arial"/>
                <w:sz w:val="19"/>
                <w:szCs w:val="19"/>
                <w:lang w:val="es-ES"/>
              </w:rPr>
              <w:t>hasta</w:t>
            </w:r>
            <w:r w:rsidRPr="007F7E23">
              <w:rPr>
                <w:rFonts w:ascii="Arial" w:eastAsia="Arial" w:hAnsi="Arial" w:cs="Arial"/>
                <w:sz w:val="19"/>
                <w:szCs w:val="19"/>
                <w:lang w:val="es-ES"/>
              </w:rPr>
              <w:t xml:space="preserve"> </w:t>
            </w:r>
            <w:r w:rsidRPr="007F7E23">
              <w:rPr>
                <w:rFonts w:ascii="Arial" w:hAnsi="Arial" w:cs="Arial"/>
                <w:sz w:val="19"/>
                <w:szCs w:val="19"/>
                <w:lang w:val="es-ES"/>
              </w:rPr>
              <w:t>6</w:t>
            </w:r>
          </w:p>
        </w:tc>
        <w:tc>
          <w:tcPr>
            <w:tcW w:w="419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71669816" w14:textId="77777777" w:rsidR="009A6899" w:rsidRPr="007F7E23" w:rsidRDefault="009A6899" w:rsidP="004973DB">
            <w:pPr>
              <w:spacing w:line="276" w:lineRule="auto"/>
              <w:ind w:left="709" w:right="709"/>
              <w:jc w:val="center"/>
              <w:rPr>
                <w:rFonts w:ascii="Arial" w:eastAsia="Arial" w:hAnsi="Arial" w:cs="Arial"/>
                <w:sz w:val="19"/>
                <w:szCs w:val="19"/>
                <w:lang w:val="es-ES"/>
              </w:rPr>
            </w:pPr>
            <w:r w:rsidRPr="007F7E23">
              <w:rPr>
                <w:rFonts w:ascii="Arial" w:hAnsi="Arial" w:cs="Arial"/>
                <w:sz w:val="19"/>
                <w:szCs w:val="19"/>
                <w:lang w:val="es-ES"/>
              </w:rPr>
              <w:t>150%</w:t>
            </w:r>
          </w:p>
        </w:tc>
      </w:tr>
    </w:tbl>
    <w:p w14:paraId="0B917DF7" w14:textId="77777777" w:rsidR="009A6899" w:rsidRPr="007F7E23" w:rsidRDefault="009A6899" w:rsidP="009A6899">
      <w:pPr>
        <w:ind w:left="709" w:right="709"/>
        <w:rPr>
          <w:rFonts w:ascii="Arial" w:hAnsi="Arial" w:cs="Arial"/>
          <w:sz w:val="21"/>
          <w:szCs w:val="21"/>
        </w:rPr>
      </w:pPr>
    </w:p>
    <w:p w14:paraId="679A28F9" w14:textId="77777777" w:rsidR="009A6899" w:rsidRPr="007F7E23" w:rsidRDefault="009A6899" w:rsidP="009A6899">
      <w:pPr>
        <w:spacing w:after="120"/>
        <w:ind w:left="709" w:right="709"/>
        <w:jc w:val="both"/>
        <w:rPr>
          <w:rFonts w:ascii="Arial" w:hAnsi="Arial" w:cs="Arial"/>
          <w:sz w:val="21"/>
          <w:szCs w:val="21"/>
        </w:rPr>
      </w:pPr>
      <w:r w:rsidRPr="007F7E23">
        <w:rPr>
          <w:rFonts w:ascii="Arial" w:hAnsi="Arial" w:cs="Arial"/>
          <w:sz w:val="21"/>
          <w:szCs w:val="21"/>
        </w:rPr>
        <w:t>La verificación se hará con base en la sumatoria de los valores totales ejecutados (incluido IVA) en SMMLV de los contratos que cumplan con los requisitos establecidos en este pliego de condiciones.</w:t>
      </w:r>
    </w:p>
    <w:p w14:paraId="2022B3CC" w14:textId="77777777" w:rsidR="009A6899" w:rsidRPr="007F7E23" w:rsidRDefault="009A6899" w:rsidP="0066040D">
      <w:pPr>
        <w:ind w:left="709" w:right="709"/>
        <w:jc w:val="both"/>
        <w:rPr>
          <w:rFonts w:ascii="Arial" w:hAnsi="Arial" w:cs="Arial"/>
          <w:sz w:val="21"/>
          <w:szCs w:val="21"/>
        </w:rPr>
      </w:pPr>
      <w:r w:rsidRPr="007F7E23">
        <w:rPr>
          <w:rFonts w:ascii="Arial" w:hAnsi="Arial" w:cs="Arial"/>
          <w:sz w:val="21"/>
          <w:szCs w:val="21"/>
        </w:rPr>
        <w:t>El proponente cumple el requisito de experiencia si la sumatoria de los valores totales ejecutados (incluido IVA) de los contratos expresados en SMMLV es mayor o igual al valor mínimo a certificar establecido en la tabla anterior.</w:t>
      </w:r>
    </w:p>
    <w:p w14:paraId="6E585CB1" w14:textId="77777777" w:rsidR="009A6899" w:rsidRPr="007F7E23" w:rsidRDefault="009A6899" w:rsidP="009A6899">
      <w:pPr>
        <w:ind w:left="709" w:right="709"/>
        <w:jc w:val="both"/>
        <w:rPr>
          <w:rFonts w:ascii="Arial" w:hAnsi="Arial" w:cs="Arial"/>
          <w:sz w:val="21"/>
          <w:szCs w:val="21"/>
        </w:rPr>
      </w:pPr>
    </w:p>
    <w:p w14:paraId="4EE8EC5C" w14:textId="77777777" w:rsidR="009A6899" w:rsidRPr="007F7E23" w:rsidRDefault="009A6899" w:rsidP="009A6899">
      <w:pPr>
        <w:ind w:left="709" w:right="709"/>
        <w:jc w:val="both"/>
        <w:rPr>
          <w:rFonts w:ascii="Arial" w:hAnsi="Arial" w:cs="Arial"/>
          <w:sz w:val="21"/>
          <w:szCs w:val="21"/>
        </w:rPr>
      </w:pPr>
      <w:r w:rsidRPr="007F7E23">
        <w:rPr>
          <w:rFonts w:ascii="Arial" w:hAnsi="Arial" w:cs="Arial"/>
          <w:sz w:val="21"/>
          <w:szCs w:val="21"/>
        </w:rPr>
        <w:t>En caso de que el número de contratos con los cuales el proponente acredita la experiencia no satisfaga el porcentaje mínimo a certificar establecido en la tabla anterior, se calificará la propuesta como no hábil y el proponente podrá subsanarla en los términos establecidos en la sección 1.6.</w:t>
      </w:r>
    </w:p>
    <w:p w14:paraId="58C05B37" w14:textId="77777777" w:rsidR="009A6899" w:rsidRPr="007F7E23" w:rsidRDefault="009A6899" w:rsidP="009A6899">
      <w:pPr>
        <w:ind w:left="709" w:right="709"/>
        <w:jc w:val="both"/>
        <w:rPr>
          <w:rFonts w:ascii="Arial" w:hAnsi="Arial" w:cs="Arial"/>
          <w:sz w:val="21"/>
          <w:szCs w:val="21"/>
          <w:highlight w:val="lightGray"/>
        </w:rPr>
      </w:pPr>
    </w:p>
    <w:p w14:paraId="667825FE" w14:textId="77777777" w:rsidR="009A6899" w:rsidRPr="007F7E23" w:rsidRDefault="009A6899" w:rsidP="009A6899">
      <w:pPr>
        <w:ind w:left="709" w:right="709"/>
        <w:jc w:val="both"/>
        <w:rPr>
          <w:rFonts w:ascii="Arial" w:hAnsi="Arial" w:cs="Arial"/>
          <w:sz w:val="21"/>
          <w:szCs w:val="21"/>
        </w:rPr>
      </w:pPr>
      <w:r w:rsidRPr="007F7E23">
        <w:rPr>
          <w:rFonts w:ascii="Arial" w:hAnsi="Arial" w:cs="Arial"/>
          <w:sz w:val="21"/>
          <w:szCs w:val="21"/>
          <w:highlight w:val="lightGray"/>
        </w:rPr>
        <w:lastRenderedPageBreak/>
        <w:t>[En los procesos estructurados por lotes, el valor mínimo a certificar debe ser con relación al valor del presupuesto oficial del respectivo lote expresado en SMMLV]</w:t>
      </w:r>
    </w:p>
    <w:p w14:paraId="2A567963" w14:textId="77777777" w:rsidR="009A6899" w:rsidRPr="007F7E23" w:rsidRDefault="009A6899" w:rsidP="009A6899">
      <w:pPr>
        <w:spacing w:line="276" w:lineRule="auto"/>
        <w:ind w:firstLine="708"/>
        <w:jc w:val="both"/>
        <w:rPr>
          <w:rFonts w:ascii="Arial" w:hAnsi="Arial" w:cs="Arial"/>
          <w:sz w:val="22"/>
        </w:rPr>
      </w:pPr>
      <w:r w:rsidRPr="007F7E23">
        <w:rPr>
          <w:rFonts w:ascii="Arial" w:hAnsi="Arial" w:cs="Arial"/>
          <w:sz w:val="22"/>
        </w:rPr>
        <w:t xml:space="preserve"> </w:t>
      </w:r>
    </w:p>
    <w:p w14:paraId="527B84F5" w14:textId="77777777" w:rsidR="009A6899" w:rsidRPr="007F7E23" w:rsidRDefault="009A6899" w:rsidP="009A6899">
      <w:pPr>
        <w:spacing w:after="120" w:line="276" w:lineRule="auto"/>
        <w:ind w:firstLine="709"/>
        <w:jc w:val="both"/>
        <w:rPr>
          <w:rFonts w:ascii="Arial" w:hAnsi="Arial" w:cs="Arial"/>
          <w:sz w:val="22"/>
          <w:shd w:val="clear" w:color="auto" w:fill="FFFFFF"/>
        </w:rPr>
      </w:pPr>
      <w:r w:rsidRPr="007F7E23">
        <w:rPr>
          <w:rFonts w:ascii="Arial" w:hAnsi="Arial" w:cs="Arial"/>
          <w:sz w:val="22"/>
        </w:rPr>
        <w:t xml:space="preserve">Como se observa,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Para tales efectos, se </w:t>
      </w:r>
      <w:r w:rsidRPr="007F7E23">
        <w:rPr>
          <w:rFonts w:ascii="Arial" w:hAnsi="Arial" w:cs="Arial"/>
          <w:sz w:val="22"/>
          <w:shd w:val="clear" w:color="auto" w:fill="FFFFFF"/>
        </w:rPr>
        <w:t>establecen unas relaciones entre el número de contratos usados para acreditar la experiencia, los valores ejecutados en estos y un valor porcentual mínimo del presupuesto oficial de la obra ofertada que deben superar para que la experiencia sea válida y, en consecuencia, los proponentes puedan habilitarse en lo que a este requisito se refiere.</w:t>
      </w:r>
    </w:p>
    <w:p w14:paraId="67A89B78" w14:textId="77777777" w:rsidR="009A6899" w:rsidRPr="007F7E23" w:rsidRDefault="009A6899" w:rsidP="009A6899">
      <w:pPr>
        <w:tabs>
          <w:tab w:val="left" w:pos="426"/>
        </w:tabs>
        <w:spacing w:after="120" w:line="276" w:lineRule="auto"/>
        <w:jc w:val="both"/>
        <w:rPr>
          <w:rFonts w:ascii="Arial" w:hAnsi="Arial" w:cs="Arial"/>
          <w:sz w:val="22"/>
          <w:shd w:val="clear" w:color="auto" w:fill="FFFFFF"/>
        </w:rPr>
      </w:pPr>
      <w:r w:rsidRPr="007F7E23">
        <w:rPr>
          <w:rFonts w:ascii="Arial" w:hAnsi="Arial" w:cs="Arial"/>
          <w:sz w:val="22"/>
          <w:shd w:val="clear" w:color="auto" w:fill="FFFFFF"/>
        </w:rPr>
        <w:tab/>
      </w:r>
      <w:r w:rsidRPr="007F7E23">
        <w:rPr>
          <w:rFonts w:ascii="Arial" w:hAnsi="Arial" w:cs="Arial"/>
          <w:sz w:val="22"/>
          <w:shd w:val="clear" w:color="auto" w:fill="FFFFFF"/>
        </w:rPr>
        <w:tab/>
        <w:t>De esta manera se determina que para quienes acrediten experiencia mediante 1 o 2 contratos, la sumatoria de los valores ejecutados en estos</w:t>
      </w:r>
      <w:r>
        <w:rPr>
          <w:rFonts w:ascii="Arial" w:hAnsi="Arial" w:cs="Arial"/>
          <w:sz w:val="22"/>
          <w:shd w:val="clear" w:color="auto" w:fill="FFFFFF"/>
        </w:rPr>
        <w:t xml:space="preserve"> –</w:t>
      </w:r>
      <w:r w:rsidRPr="007F7E23">
        <w:rPr>
          <w:rFonts w:ascii="Arial" w:hAnsi="Arial" w:cs="Arial"/>
          <w:sz w:val="22"/>
          <w:shd w:val="clear" w:color="auto" w:fill="FFFFFF"/>
        </w:rPr>
        <w:t>incluido IVA– debe ser superior al 75% del valor del presupuesto oficial. Por otra parte, si la acredita mediante 3 a 4 contratos, la sumatoria de los valores ejecutados debe ser superior al 120% del valor del presupuesto oficial. Finalmente, si la acredita con 5 a 6 contratos, la sumatoria de los valores ejecutados</w:t>
      </w:r>
      <w:r w:rsidRPr="007F7E23" w:rsidDel="00B42975">
        <w:rPr>
          <w:rFonts w:ascii="Arial" w:hAnsi="Arial" w:cs="Arial"/>
          <w:sz w:val="22"/>
          <w:shd w:val="clear" w:color="auto" w:fill="FFFFFF"/>
        </w:rPr>
        <w:t xml:space="preserve"> </w:t>
      </w:r>
      <w:r w:rsidRPr="007F7E23">
        <w:rPr>
          <w:rFonts w:ascii="Arial" w:hAnsi="Arial" w:cs="Arial"/>
          <w:sz w:val="22"/>
          <w:shd w:val="clear" w:color="auto" w:fill="FFFFFF"/>
        </w:rPr>
        <w:t xml:space="preserve">debe ser superior al 150% del valor del presupuesto oficial. </w:t>
      </w:r>
    </w:p>
    <w:p w14:paraId="4A37EEAA" w14:textId="30EB49FB" w:rsidR="009A6899" w:rsidRPr="0066040D" w:rsidRDefault="009A6899" w:rsidP="0066040D">
      <w:pPr>
        <w:tabs>
          <w:tab w:val="left" w:pos="426"/>
        </w:tabs>
        <w:spacing w:line="276" w:lineRule="auto"/>
        <w:jc w:val="both"/>
        <w:rPr>
          <w:rFonts w:ascii="Arial" w:hAnsi="Arial" w:cs="Arial"/>
          <w:sz w:val="22"/>
          <w:shd w:val="clear" w:color="auto" w:fill="FFFFFF"/>
        </w:rPr>
      </w:pPr>
      <w:r w:rsidRPr="007F7E23">
        <w:rPr>
          <w:rFonts w:ascii="Arial" w:hAnsi="Arial" w:cs="Arial"/>
          <w:sz w:val="22"/>
          <w:shd w:val="clear" w:color="auto" w:fill="FFFFFF"/>
        </w:rPr>
        <w:tab/>
      </w:r>
      <w:r w:rsidRPr="007F7E23">
        <w:rPr>
          <w:rFonts w:ascii="Arial" w:hAnsi="Arial" w:cs="Arial"/>
          <w:sz w:val="22"/>
          <w:shd w:val="clear" w:color="auto" w:fill="FFFFFF"/>
        </w:rPr>
        <w:tab/>
      </w:r>
      <w:r>
        <w:rPr>
          <w:rFonts w:ascii="Arial" w:hAnsi="Arial" w:cs="Arial"/>
          <w:sz w:val="22"/>
          <w:shd w:val="clear" w:color="auto" w:fill="FFFFFF"/>
        </w:rPr>
        <w:t>Por tanto</w:t>
      </w:r>
      <w:r w:rsidRPr="007F7E23">
        <w:rPr>
          <w:rFonts w:ascii="Arial" w:hAnsi="Arial" w:cs="Arial"/>
          <w:sz w:val="22"/>
          <w:shd w:val="clear" w:color="auto" w:fill="FFFFFF"/>
        </w:rPr>
        <w:t xml:space="preserve">, el número de los contratos para acreditar la experiencia condiciona el valor mínimo que deben certificar para el correspondiente requisito habilitante. Si una vez sumados los valores ejecutados de los contratos aportados, el resultado es inferior al valor porcentual aplicable a la cantidad de contratos empleados, no es posible habilitar al proponente.  </w:t>
      </w:r>
    </w:p>
    <w:p w14:paraId="5E253685" w14:textId="62308B6C" w:rsidR="00995481" w:rsidRPr="000769D0" w:rsidRDefault="00995481" w:rsidP="00995481">
      <w:pPr>
        <w:spacing w:before="120" w:line="276" w:lineRule="auto"/>
        <w:ind w:firstLine="708"/>
        <w:jc w:val="both"/>
        <w:rPr>
          <w:rFonts w:ascii="Arial" w:eastAsia="Calibri" w:hAnsi="Arial" w:cs="Arial"/>
          <w:sz w:val="22"/>
          <w:szCs w:val="22"/>
          <w:lang w:val="es-MX"/>
        </w:rPr>
      </w:pPr>
      <w:r w:rsidRPr="000769D0">
        <w:rPr>
          <w:rFonts w:ascii="Arial" w:eastAsia="Calibri" w:hAnsi="Arial" w:cs="Arial"/>
          <w:sz w:val="22"/>
          <w:szCs w:val="22"/>
          <w:lang w:val="es-MX"/>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ii) la actividad a contratar y iii) la cuantía del proceso de contratación.</w:t>
      </w:r>
    </w:p>
    <w:p w14:paraId="54A96AD6" w14:textId="77777777" w:rsidR="00995481" w:rsidRPr="000769D0" w:rsidRDefault="00995481" w:rsidP="00995481">
      <w:pPr>
        <w:spacing w:before="120" w:line="276" w:lineRule="auto"/>
        <w:ind w:firstLine="708"/>
        <w:jc w:val="both"/>
        <w:rPr>
          <w:rFonts w:ascii="Arial" w:eastAsia="Calibri" w:hAnsi="Arial" w:cs="Arial"/>
          <w:sz w:val="22"/>
          <w:szCs w:val="22"/>
          <w:lang w:val="es-MX"/>
        </w:rPr>
      </w:pPr>
      <w:r w:rsidRPr="000769D0">
        <w:rPr>
          <w:rFonts w:ascii="Arial" w:eastAsia="Calibri" w:hAnsi="Arial" w:cs="Arial"/>
          <w:sz w:val="22"/>
          <w:szCs w:val="22"/>
          <w:lang w:val="es-MX"/>
        </w:rPr>
        <w:t>En relación con el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p w14:paraId="02748616" w14:textId="77777777" w:rsidR="00995481" w:rsidRPr="000769D0" w:rsidRDefault="00995481" w:rsidP="00995481">
      <w:pPr>
        <w:spacing w:before="120" w:line="276" w:lineRule="auto"/>
        <w:ind w:firstLine="708"/>
        <w:jc w:val="both"/>
        <w:rPr>
          <w:rFonts w:ascii="Arial" w:eastAsia="Calibri" w:hAnsi="Arial" w:cs="Arial"/>
          <w:sz w:val="22"/>
          <w:szCs w:val="22"/>
          <w:lang w:val="es-MX"/>
        </w:rPr>
      </w:pPr>
      <w:r w:rsidRPr="000769D0">
        <w:rPr>
          <w:rFonts w:ascii="Arial" w:eastAsia="Calibri" w:hAnsi="Arial" w:cs="Arial"/>
          <w:sz w:val="22"/>
          <w:szCs w:val="22"/>
          <w:lang w:val="es-MX"/>
        </w:rPr>
        <w:lastRenderedPageBreak/>
        <w:t>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Por ejemplo, para el tipo de infraestructura «1. OBRAS EN VÍAS PRIMARIAS O SECUNDARIAS» la entidad podrá verificar la experiencia requerida en su proceso, de acuerdo con las siguientes actividades: «1.1 Proyectos de construcción de vías», «1.2 Proyectos de mejoramiento de vías», «1.3 Proyectos de rehabilitación o mantenimiento de carretera», «1.4 Proyectos de demarcación o señalización (horizontal o vertical) de infraestructura de transporte» y/o «1.5 Proyectos de demarcación o señalización (horizontal o vertical) de espacio público asociado a la infraestructura de transporte».</w:t>
      </w:r>
    </w:p>
    <w:p w14:paraId="4B48B483" w14:textId="77777777" w:rsidR="00995481" w:rsidRPr="000769D0" w:rsidRDefault="00995481" w:rsidP="00995481">
      <w:pPr>
        <w:spacing w:before="120" w:line="276" w:lineRule="auto"/>
        <w:ind w:firstLine="708"/>
        <w:jc w:val="both"/>
        <w:rPr>
          <w:rFonts w:ascii="Arial" w:eastAsia="Calibri" w:hAnsi="Arial" w:cs="Arial"/>
          <w:sz w:val="22"/>
          <w:szCs w:val="22"/>
          <w:lang w:val="es-MX"/>
        </w:rPr>
      </w:pPr>
      <w:r w:rsidRPr="000769D0">
        <w:rPr>
          <w:rFonts w:ascii="Arial" w:eastAsia="Calibri" w:hAnsi="Arial" w:cs="Arial"/>
          <w:sz w:val="22"/>
          <w:szCs w:val="22"/>
          <w:lang w:val="es-MX"/>
        </w:rPr>
        <w:t xml:space="preserve">Por último,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el inciso 3 del parágrafo 7 del artículo 2 de la Ley 1150 de 2007 –modificado por el artículo 1 de la Ley 2022 de 2020, conforme al cual las condiciones habilitantes fijadas en los documentos tipo deben tener en cuenta la cuantía, la naturaleza y especialidad de la contratación. </w:t>
      </w:r>
    </w:p>
    <w:p w14:paraId="3F41DA1D" w14:textId="3B44EA5B" w:rsidR="00995481" w:rsidRPr="000769D0" w:rsidRDefault="00995481" w:rsidP="00995481">
      <w:pPr>
        <w:spacing w:before="120" w:after="120" w:line="276" w:lineRule="auto"/>
        <w:ind w:firstLine="709"/>
        <w:jc w:val="both"/>
        <w:rPr>
          <w:rFonts w:ascii="Arial" w:eastAsia="Calibri" w:hAnsi="Arial" w:cs="Arial"/>
          <w:sz w:val="22"/>
          <w:szCs w:val="22"/>
          <w:lang w:val="es-MX"/>
        </w:rPr>
      </w:pPr>
      <w:r w:rsidRPr="000769D0">
        <w:rPr>
          <w:rFonts w:ascii="Arial" w:eastAsia="Calibri" w:hAnsi="Arial" w:cs="Arial"/>
          <w:sz w:val="22"/>
          <w:szCs w:val="22"/>
          <w:lang w:val="es-MX"/>
        </w:rPr>
        <w:t>Estos tres factores determinan el requisito de experiencia establecido en los documentos desarrollados por la Agencia Nacional de Contratación Pública – Colombia Compra Eficiente, e incluido en la Matriz 1, que es resultado del mandato en la Ley 2022 de 2020, por lo que son de obligatorio cumplimiento. Igualmente, se encuentran sometidos a la regulación prevista en la Resolución No. 240 del 27 de noviembre de 2020</w:t>
      </w:r>
      <w:r w:rsidR="00E67A57" w:rsidRPr="000769D0">
        <w:rPr>
          <w:rFonts w:ascii="Arial" w:eastAsia="Calibri" w:hAnsi="Arial" w:cs="Arial"/>
          <w:sz w:val="22"/>
          <w:szCs w:val="22"/>
          <w:lang w:val="es-MX"/>
        </w:rPr>
        <w:t>,</w:t>
      </w:r>
      <w:r w:rsidR="00E67A57" w:rsidRPr="000769D0">
        <w:rPr>
          <w:rFonts w:ascii="Arial" w:hAnsi="Arial" w:cs="Arial"/>
          <w:sz w:val="22"/>
          <w:szCs w:val="22"/>
          <w:lang w:val="es-MX"/>
        </w:rPr>
        <w:t xml:space="preserve"> </w:t>
      </w:r>
      <w:r w:rsidR="00E67A57" w:rsidRPr="000769D0">
        <w:rPr>
          <w:rFonts w:ascii="Arial" w:eastAsiaTheme="minorHAnsi" w:hAnsi="Arial" w:cs="Arial"/>
          <w:sz w:val="22"/>
          <w:szCs w:val="22"/>
          <w:lang w:val="es-MX" w:eastAsia="en-US"/>
        </w:rPr>
        <w:t>modificad</w:t>
      </w:r>
      <w:r w:rsidR="00E67A57" w:rsidRPr="000769D0">
        <w:rPr>
          <w:rFonts w:ascii="Arial" w:hAnsi="Arial" w:cs="Arial"/>
          <w:sz w:val="22"/>
          <w:szCs w:val="22"/>
          <w:lang w:val="es-MX"/>
        </w:rPr>
        <w:t>a</w:t>
      </w:r>
      <w:r w:rsidR="00E67A57" w:rsidRPr="000769D0">
        <w:rPr>
          <w:rFonts w:ascii="Arial" w:eastAsiaTheme="minorHAnsi" w:hAnsi="Arial" w:cs="Arial"/>
          <w:sz w:val="22"/>
          <w:szCs w:val="22"/>
          <w:lang w:val="es-MX" w:eastAsia="en-US"/>
        </w:rPr>
        <w:t xml:space="preserve"> mediante la</w:t>
      </w:r>
      <w:r w:rsidR="001B1918">
        <w:rPr>
          <w:rFonts w:ascii="Arial" w:eastAsiaTheme="minorHAnsi" w:hAnsi="Arial" w:cs="Arial"/>
          <w:sz w:val="22"/>
          <w:szCs w:val="22"/>
          <w:lang w:val="es-MX" w:eastAsia="en-US"/>
        </w:rPr>
        <w:t>s</w:t>
      </w:r>
      <w:r w:rsidR="00E67A57" w:rsidRPr="000769D0">
        <w:rPr>
          <w:rFonts w:ascii="Arial" w:eastAsiaTheme="minorHAnsi" w:hAnsi="Arial" w:cs="Arial"/>
          <w:sz w:val="22"/>
          <w:szCs w:val="22"/>
          <w:lang w:val="es-MX" w:eastAsia="en-US"/>
        </w:rPr>
        <w:t xml:space="preserve"> Resoluci</w:t>
      </w:r>
      <w:r w:rsidR="001B1918">
        <w:rPr>
          <w:rFonts w:ascii="Arial" w:eastAsiaTheme="minorHAnsi" w:hAnsi="Arial" w:cs="Arial"/>
          <w:sz w:val="22"/>
          <w:szCs w:val="22"/>
          <w:lang w:val="es-MX" w:eastAsia="en-US"/>
        </w:rPr>
        <w:t>ones</w:t>
      </w:r>
      <w:r w:rsidR="00E67A57" w:rsidRPr="000769D0">
        <w:rPr>
          <w:rFonts w:ascii="Arial" w:eastAsiaTheme="minorHAnsi" w:hAnsi="Arial" w:cs="Arial"/>
          <w:sz w:val="22"/>
          <w:szCs w:val="22"/>
          <w:lang w:val="es-MX" w:eastAsia="en-US"/>
        </w:rPr>
        <w:t xml:space="preserve"> No. 161 del 17 de junio de 2021</w:t>
      </w:r>
      <w:r w:rsidRPr="000769D0">
        <w:rPr>
          <w:rFonts w:ascii="Arial" w:eastAsia="Calibri" w:hAnsi="Arial" w:cs="Arial"/>
          <w:sz w:val="22"/>
          <w:szCs w:val="22"/>
          <w:lang w:val="es-MX"/>
        </w:rPr>
        <w:t xml:space="preserve"> y</w:t>
      </w:r>
      <w:r w:rsidR="001B1918">
        <w:rPr>
          <w:rFonts w:ascii="Arial" w:eastAsia="Calibri" w:hAnsi="Arial" w:cs="Arial"/>
          <w:sz w:val="22"/>
          <w:szCs w:val="22"/>
          <w:lang w:val="es-MX"/>
        </w:rPr>
        <w:t xml:space="preserve"> </w:t>
      </w:r>
      <w:r w:rsidR="006F55AF">
        <w:rPr>
          <w:rFonts w:ascii="Arial" w:eastAsia="Calibri" w:hAnsi="Arial" w:cs="Arial"/>
          <w:sz w:val="22"/>
          <w:szCs w:val="22"/>
          <w:lang w:val="es-MX"/>
        </w:rPr>
        <w:t>304 del 13 de octubre de 2021.</w:t>
      </w:r>
      <w:r w:rsidRPr="000769D0">
        <w:rPr>
          <w:rFonts w:ascii="Arial" w:eastAsia="Calibri" w:hAnsi="Arial" w:cs="Arial"/>
          <w:sz w:val="22"/>
          <w:szCs w:val="22"/>
          <w:lang w:val="es-MX"/>
        </w:rPr>
        <w:t xml:space="preserve"> </w:t>
      </w:r>
      <w:r w:rsidR="006F55AF">
        <w:rPr>
          <w:rFonts w:ascii="Arial" w:eastAsia="Calibri" w:hAnsi="Arial" w:cs="Arial"/>
          <w:sz w:val="22"/>
          <w:szCs w:val="22"/>
          <w:lang w:val="es-MX"/>
        </w:rPr>
        <w:t>P</w:t>
      </w:r>
      <w:r w:rsidRPr="000769D0">
        <w:rPr>
          <w:rFonts w:ascii="Arial" w:eastAsia="Calibri" w:hAnsi="Arial" w:cs="Arial"/>
          <w:sz w:val="22"/>
          <w:szCs w:val="22"/>
          <w:lang w:val="es-MX"/>
        </w:rPr>
        <w:t xml:space="preserve">or tanto, la regla general es que no pueden ser alterados, modificados o adicionados en su contenido. </w:t>
      </w:r>
    </w:p>
    <w:p w14:paraId="5C5950D1" w14:textId="77777777" w:rsidR="00995481" w:rsidRPr="000769D0" w:rsidRDefault="00995481" w:rsidP="00995481">
      <w:pPr>
        <w:spacing w:before="120" w:after="120" w:line="276" w:lineRule="auto"/>
        <w:ind w:firstLine="709"/>
        <w:jc w:val="both"/>
        <w:rPr>
          <w:rFonts w:ascii="Arial" w:eastAsia="Calibri" w:hAnsi="Arial" w:cs="Arial"/>
          <w:sz w:val="22"/>
          <w:szCs w:val="22"/>
          <w:lang w:val="es-MX"/>
        </w:rPr>
      </w:pPr>
      <w:r w:rsidRPr="000769D0">
        <w:rPr>
          <w:rFonts w:ascii="Arial" w:eastAsia="Calibri" w:hAnsi="Arial" w:cs="Arial"/>
          <w:sz w:val="22"/>
          <w:szCs w:val="22"/>
          <w:lang w:val="es-MX"/>
        </w:rPr>
        <w:t>Ahora bien, el «documento base» o pliego tipo adoptado creó el numeral «3.5.1 Determinación de los requisitos mínimos de experiencia según la Matriz 1 – Experiencia», en el cual la entidad debe justificar, expresa y suficientemente la complejidad del proyecto, determinando si es de baja, media o alta complejidad, y en función de ello implementar alguna de las variantes de la «Matriz 1 – Experiencia», ya sea la de proyectos de baja–media, o la elaborada para proyectos de alta complejidad técnica. En otras palabras, a partir de la actualización de los «Documentos Tipo – Versión 3» de licitación de obra pública de infraestructura de transporte se crean dos Matrices de experiencia: i) para proyectos de baja o media complejidad técnica y ii) para proyectos de alta complejidad técnica.</w:t>
      </w:r>
    </w:p>
    <w:p w14:paraId="697E4A4C" w14:textId="77777777" w:rsidR="00995481" w:rsidRPr="000769D0" w:rsidRDefault="00995481" w:rsidP="00995481">
      <w:pPr>
        <w:spacing w:after="120" w:line="276" w:lineRule="auto"/>
        <w:ind w:right="51" w:firstLine="708"/>
        <w:jc w:val="both"/>
        <w:rPr>
          <w:rFonts w:ascii="Arial" w:eastAsia="Calibri" w:hAnsi="Arial" w:cs="Arial"/>
          <w:sz w:val="22"/>
          <w:szCs w:val="22"/>
          <w:lang w:val="es-MX"/>
        </w:rPr>
      </w:pPr>
      <w:r w:rsidRPr="000769D0">
        <w:rPr>
          <w:rFonts w:ascii="Arial" w:eastAsia="Calibri" w:hAnsi="Arial" w:cs="Arial"/>
          <w:sz w:val="22"/>
          <w:szCs w:val="22"/>
          <w:lang w:val="es-MX"/>
        </w:rPr>
        <w:t xml:space="preserve">Sin perjuicio de la implementación de este cambio, el método para determinar los requisitos de experiencia estandarizados a partir de la Matriz 1 sigue siendo el mismo que en las versiones anteriores, con la salvedad de que ahora, antes de acotar el requisito exigible, la entidad debe determinar y justificar si el proyecto es de media-baja o alta complejidad técnica y en función de ello aplicar la matriz correspondiente. En ese orden, </w:t>
      </w:r>
      <w:r w:rsidRPr="000769D0">
        <w:rPr>
          <w:rFonts w:ascii="Arial" w:eastAsia="Calibri" w:hAnsi="Arial" w:cs="Arial"/>
          <w:sz w:val="22"/>
          <w:szCs w:val="22"/>
          <w:lang w:val="es-MX"/>
        </w:rPr>
        <w:lastRenderedPageBreak/>
        <w:t xml:space="preserve">la entidad deberá establecer si aplica la matriz 1 de proyectos de complejidad media-baja o la de proyectos de complejidad alta, para luego subsumir el objeto contractual en alguno de los tipos de obra y actividades incluidos en la matriz, estableciendo los requisitos de experiencia exigibles según la cantidad de SMMLV del presupuesto oficial del respectivo proceso de contratación. </w:t>
      </w:r>
    </w:p>
    <w:p w14:paraId="2CF546CA" w14:textId="77777777" w:rsidR="00995481" w:rsidRPr="000769D0" w:rsidRDefault="00995481" w:rsidP="00995481">
      <w:pPr>
        <w:spacing w:before="120" w:line="276" w:lineRule="auto"/>
        <w:ind w:firstLine="708"/>
        <w:jc w:val="both"/>
        <w:rPr>
          <w:rFonts w:ascii="Arial" w:eastAsia="Calibri" w:hAnsi="Arial" w:cs="Arial"/>
          <w:sz w:val="22"/>
          <w:szCs w:val="22"/>
          <w:lang w:val="es-MX"/>
        </w:rPr>
      </w:pPr>
      <w:r w:rsidRPr="000769D0">
        <w:rPr>
          <w:rFonts w:ascii="Arial" w:eastAsia="Calibri" w:hAnsi="Arial" w:cs="Arial"/>
          <w:sz w:val="22"/>
          <w:szCs w:val="22"/>
          <w:lang w:val="es-MX"/>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58A96C8D" w14:textId="77777777" w:rsidR="00995481" w:rsidRPr="000769D0" w:rsidRDefault="00995481" w:rsidP="00995481">
      <w:pPr>
        <w:spacing w:before="120" w:line="276" w:lineRule="auto"/>
        <w:ind w:firstLine="708"/>
        <w:jc w:val="both"/>
        <w:rPr>
          <w:rFonts w:ascii="Arial" w:eastAsia="Calibri" w:hAnsi="Arial" w:cs="Arial"/>
          <w:sz w:val="22"/>
          <w:szCs w:val="22"/>
          <w:lang w:val="es-MX"/>
        </w:rPr>
      </w:pPr>
      <w:r w:rsidRPr="000769D0">
        <w:rPr>
          <w:rFonts w:ascii="Arial" w:eastAsia="Calibri" w:hAnsi="Arial" w:cs="Arial"/>
          <w:sz w:val="22"/>
          <w:szCs w:val="22"/>
          <w:lang w:val="es-MX"/>
        </w:rPr>
        <w:t>a) Establecer si se trata de un proyecto de complejidad baja-media o alta, y en función de ello establecer la Matriz 1 aplicable.</w:t>
      </w:r>
    </w:p>
    <w:p w14:paraId="76B64DC3" w14:textId="77777777" w:rsidR="00995481" w:rsidRPr="000769D0" w:rsidRDefault="00995481" w:rsidP="00995481">
      <w:pPr>
        <w:spacing w:before="120" w:line="276" w:lineRule="auto"/>
        <w:ind w:firstLine="708"/>
        <w:jc w:val="both"/>
        <w:rPr>
          <w:rFonts w:ascii="Arial" w:eastAsia="Calibri" w:hAnsi="Arial" w:cs="Arial"/>
          <w:sz w:val="22"/>
          <w:szCs w:val="22"/>
          <w:lang w:val="es-MX"/>
        </w:rPr>
      </w:pPr>
      <w:r w:rsidRPr="000769D0">
        <w:rPr>
          <w:rFonts w:ascii="Arial" w:eastAsia="Calibri" w:hAnsi="Arial" w:cs="Arial"/>
          <w:sz w:val="22"/>
          <w:szCs w:val="22"/>
          <w:lang w:val="es-MX"/>
        </w:rPr>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14:paraId="4AD22B4C" w14:textId="77777777" w:rsidR="00995481" w:rsidRPr="000769D0" w:rsidRDefault="00995481" w:rsidP="00995481">
      <w:pPr>
        <w:spacing w:before="120" w:line="276" w:lineRule="auto"/>
        <w:ind w:firstLine="708"/>
        <w:jc w:val="both"/>
        <w:rPr>
          <w:rFonts w:ascii="Arial" w:eastAsia="Calibri" w:hAnsi="Arial" w:cs="Arial"/>
          <w:sz w:val="22"/>
          <w:szCs w:val="22"/>
          <w:lang w:val="es-MX"/>
        </w:rPr>
      </w:pPr>
      <w:r w:rsidRPr="000769D0">
        <w:rPr>
          <w:rFonts w:ascii="Arial" w:eastAsia="Calibri" w:hAnsi="Arial" w:cs="Arial"/>
          <w:sz w:val="22"/>
          <w:szCs w:val="22"/>
          <w:lang w:val="es-MX"/>
        </w:rPr>
        <w:t xml:space="preserve">c) Definido el tipo de infraestructura, identificar la «ACTIVIDAD A CONTRATAR» acorde con la matriz 1. </w:t>
      </w:r>
    </w:p>
    <w:p w14:paraId="7BD3ED61" w14:textId="77777777" w:rsidR="00995481" w:rsidRPr="000769D0" w:rsidRDefault="00995481" w:rsidP="00995481">
      <w:pPr>
        <w:spacing w:before="120" w:line="276" w:lineRule="auto"/>
        <w:ind w:firstLine="708"/>
        <w:jc w:val="both"/>
        <w:rPr>
          <w:rFonts w:ascii="Arial" w:eastAsia="Calibri" w:hAnsi="Arial" w:cs="Arial"/>
          <w:sz w:val="22"/>
          <w:szCs w:val="22"/>
          <w:lang w:val="es-MX"/>
        </w:rPr>
      </w:pPr>
      <w:r w:rsidRPr="000769D0">
        <w:rPr>
          <w:rFonts w:ascii="Arial" w:eastAsia="Calibri" w:hAnsi="Arial" w:cs="Arial"/>
          <w:sz w:val="22"/>
          <w:szCs w:val="22"/>
          <w:lang w:val="es-MX"/>
        </w:rPr>
        <w:t xml:space="preserve">d) Identificar el rango en el cual se encuentra el proceso de contratación de acuerdo con el presupuesto oficial. </w:t>
      </w:r>
    </w:p>
    <w:p w14:paraId="0C469C3A" w14:textId="77777777" w:rsidR="00995481" w:rsidRPr="000769D0" w:rsidRDefault="00995481" w:rsidP="00995481">
      <w:pPr>
        <w:spacing w:before="120" w:after="120" w:line="276" w:lineRule="auto"/>
        <w:ind w:firstLine="709"/>
        <w:jc w:val="both"/>
        <w:rPr>
          <w:rFonts w:ascii="Arial" w:eastAsia="Calibri" w:hAnsi="Arial" w:cs="Arial"/>
          <w:sz w:val="22"/>
          <w:szCs w:val="22"/>
          <w:lang w:val="es-MX"/>
        </w:rPr>
      </w:pPr>
      <w:r w:rsidRPr="000769D0">
        <w:rPr>
          <w:rFonts w:ascii="Arial" w:eastAsia="Calibri" w:hAnsi="Arial" w:cs="Arial"/>
          <w:sz w:val="22"/>
          <w:szCs w:val="22"/>
          <w:lang w:val="es-MX"/>
        </w:rPr>
        <w:t xml:space="preserve">e) Identificar la «experiencia general» exigible acorde con la Matriz 1 teniendo en cuenta la actividad a contratar y el rango de la cuantía del Proceso de Contratación. </w:t>
      </w:r>
    </w:p>
    <w:p w14:paraId="0BE40576" w14:textId="77777777" w:rsidR="00995481" w:rsidRPr="000769D0" w:rsidRDefault="00995481" w:rsidP="00995481">
      <w:pPr>
        <w:spacing w:after="120" w:line="276" w:lineRule="auto"/>
        <w:ind w:firstLine="709"/>
        <w:jc w:val="both"/>
        <w:rPr>
          <w:rFonts w:ascii="Arial" w:eastAsia="Calibri" w:hAnsi="Arial" w:cs="Arial"/>
          <w:sz w:val="22"/>
          <w:szCs w:val="22"/>
          <w:lang w:val="es-MX"/>
        </w:rPr>
      </w:pPr>
      <w:r w:rsidRPr="000769D0">
        <w:rPr>
          <w:rFonts w:ascii="Arial" w:eastAsia="Calibri" w:hAnsi="Arial" w:cs="Arial"/>
          <w:sz w:val="22"/>
          <w:szCs w:val="22"/>
          <w:lang w:val="es-MX"/>
        </w:rPr>
        <w:t xml:space="preserve">f) Identificar la «experiencia específica» exigible y el porcentaje de dimensionamiento que se puede solicitar acorde con la longitud a ejecutar, de acuerdo con la cuantía del proceso de contratación. Cuando en la «experiencia específica» se indiquen las siglas </w:t>
      </w:r>
      <w:r w:rsidRPr="000769D0">
        <w:rPr>
          <w:rFonts w:ascii="Arial" w:eastAsia="Calibri" w:hAnsi="Arial" w:cs="Arial"/>
          <w:i/>
          <w:iCs/>
          <w:sz w:val="22"/>
          <w:szCs w:val="22"/>
          <w:lang w:val="es-MX"/>
        </w:rPr>
        <w:t>N.A</w:t>
      </w:r>
      <w:r w:rsidRPr="000769D0">
        <w:rPr>
          <w:rFonts w:ascii="Arial" w:eastAsia="Calibri" w:hAnsi="Arial" w:cs="Arial"/>
          <w:sz w:val="22"/>
          <w:szCs w:val="22"/>
          <w:lang w:val="es-MX"/>
        </w:rPr>
        <w:t xml:space="preserve"> significa que la entidad estatal no puede exigir a los proponentes experiencia específica en los procesos de contratación. </w:t>
      </w:r>
    </w:p>
    <w:p w14:paraId="45B22FAC" w14:textId="77777777" w:rsidR="00995481" w:rsidRPr="000769D0" w:rsidRDefault="00995481" w:rsidP="00995481">
      <w:pPr>
        <w:spacing w:after="120" w:line="276" w:lineRule="auto"/>
        <w:ind w:firstLine="709"/>
        <w:jc w:val="both"/>
        <w:rPr>
          <w:rFonts w:ascii="Arial" w:eastAsia="Calibri" w:hAnsi="Arial" w:cs="Arial"/>
          <w:sz w:val="22"/>
          <w:szCs w:val="22"/>
          <w:lang w:val="es-MX"/>
        </w:rPr>
      </w:pPr>
      <w:r w:rsidRPr="000769D0">
        <w:rPr>
          <w:rFonts w:ascii="Arial" w:eastAsia="Calibri" w:hAnsi="Arial" w:cs="Arial"/>
          <w:sz w:val="22"/>
          <w:szCs w:val="22"/>
          <w:lang w:val="es-MX"/>
        </w:rPr>
        <w:t>g) Establecidos los requisitos de experiencia exigibles, la entidad deberá consignarlos en los apartados grises entre corchetes del literal A del numeral 3.5.2 del documento base, para que los oferentes puedan conocer los requisitos de experiencia general y específica exigidos por la entidad.</w:t>
      </w:r>
    </w:p>
    <w:p w14:paraId="5FDBAEFA" w14:textId="77777777" w:rsidR="00995481" w:rsidRPr="000769D0" w:rsidRDefault="00995481" w:rsidP="00995481">
      <w:pPr>
        <w:spacing w:before="120" w:line="276" w:lineRule="auto"/>
        <w:ind w:firstLine="708"/>
        <w:jc w:val="both"/>
        <w:rPr>
          <w:rFonts w:ascii="Arial" w:eastAsia="Calibri" w:hAnsi="Arial" w:cs="Arial"/>
          <w:sz w:val="22"/>
          <w:szCs w:val="22"/>
          <w:lang w:val="es-MX"/>
        </w:rPr>
      </w:pPr>
      <w:r w:rsidRPr="000769D0">
        <w:rPr>
          <w:rFonts w:ascii="Arial" w:eastAsia="Calibri" w:hAnsi="Arial" w:cs="Arial"/>
          <w:sz w:val="22"/>
          <w:szCs w:val="22"/>
          <w:lang w:val="es-MX"/>
        </w:rPr>
        <w:t xml:space="preserve">Varios de los requisitos de experiencia general y específica contemplados en la Matriz 1 exigen que los contratos que se aporten para acreditarlos den cuenta de la ejecución de cierto porcentaje de dimensionamiento respecto del proyecto ofertado, o un porcentaje del presupuesto oficial del mismo. El dimensionamiento supone que la experiencia a exigirse estará determinada por la longitud –u otra magnitud– que se pretende intervenir, de tal manera que a quienes estén interesados en participar se le exigirá, por ejemplo, acreditar experiencia específica en proyectos en donde hayan intervenido un porcentaje de dicha longitud establecida en kilómetros en la Matriz 1. De igual forma, cuando se exijan requisitos en función del porcentaje del presupuesto oficial, </w:t>
      </w:r>
      <w:r w:rsidRPr="000769D0">
        <w:rPr>
          <w:rFonts w:ascii="Arial" w:eastAsia="Calibri" w:hAnsi="Arial" w:cs="Arial"/>
          <w:sz w:val="22"/>
          <w:szCs w:val="22"/>
          <w:lang w:val="es-MX"/>
        </w:rPr>
        <w:lastRenderedPageBreak/>
        <w:t xml:space="preserve">el valor de él o los contratos que se aporten deberán igualar o superar la equivalencia del porcentaje exigible expresado en SMMLV.  </w:t>
      </w:r>
    </w:p>
    <w:p w14:paraId="09D49054" w14:textId="77777777" w:rsidR="00995481" w:rsidRPr="000769D0" w:rsidRDefault="00995481" w:rsidP="00995481">
      <w:pPr>
        <w:spacing w:before="120" w:after="120" w:line="276" w:lineRule="auto"/>
        <w:ind w:firstLine="708"/>
        <w:jc w:val="both"/>
        <w:rPr>
          <w:rFonts w:ascii="Arial" w:eastAsia="Calibri" w:hAnsi="Arial" w:cs="Arial"/>
          <w:color w:val="000000"/>
          <w:sz w:val="22"/>
          <w:szCs w:val="22"/>
        </w:rPr>
      </w:pPr>
      <w:r w:rsidRPr="000769D0">
        <w:rPr>
          <w:rFonts w:ascii="Arial" w:eastAsia="Calibri" w:hAnsi="Arial" w:cs="Arial"/>
          <w:color w:val="000000"/>
          <w:sz w:val="22"/>
          <w:szCs w:val="22"/>
        </w:rPr>
        <w:t>A manera de ejemplo, para efectos de los «Documentos Tipo – Versión 3» de licitación de obra pública de infraestructura de transporte, se identifica la experiencia general y específica que la entidad estatal solicitará en un contrato cuyo objeto consista en proyectos de atención para obras de emergencia de estabilización de taludes o recuperación de banca, de acuerdo con las características y parámetros explicados previamente:</w:t>
      </w:r>
    </w:p>
    <w:p w14:paraId="3AB1A262" w14:textId="77777777" w:rsidR="00995481" w:rsidRPr="000769D0" w:rsidRDefault="00995481" w:rsidP="00995481">
      <w:pPr>
        <w:spacing w:after="120" w:line="276" w:lineRule="auto"/>
        <w:ind w:firstLine="709"/>
        <w:jc w:val="both"/>
        <w:rPr>
          <w:rFonts w:ascii="Arial" w:eastAsia="Calibri" w:hAnsi="Arial" w:cs="Arial"/>
          <w:color w:val="000000"/>
          <w:sz w:val="22"/>
          <w:szCs w:val="22"/>
        </w:rPr>
      </w:pPr>
      <w:r w:rsidRPr="000769D0">
        <w:rPr>
          <w:rFonts w:ascii="Arial" w:eastAsia="Calibri" w:hAnsi="Arial" w:cs="Arial"/>
          <w:color w:val="000000"/>
          <w:sz w:val="22"/>
          <w:szCs w:val="22"/>
        </w:rPr>
        <w:t>a) De acuerdo con la «Matriz 1 – Experiencia» de proyectos de baja-media complejidad, el tipo de infraestructura que se relaciona con el objeto contractual es «4. OBRAS EN VIAS PRIMARIAS O SECUNDARIAS O TERCIARIAS O URBANAS PARA ATENCIÓN, PREVENCIÓN O MITIGACIÓN DE EMERGENCIAS DIFERENTES A CONTRATACIÓN DIRECTA».</w:t>
      </w:r>
    </w:p>
    <w:p w14:paraId="4BAF6876" w14:textId="77777777" w:rsidR="00995481" w:rsidRPr="000769D0" w:rsidRDefault="00995481" w:rsidP="00995481">
      <w:pPr>
        <w:spacing w:after="120" w:line="276" w:lineRule="auto"/>
        <w:ind w:firstLine="709"/>
        <w:jc w:val="both"/>
        <w:rPr>
          <w:rFonts w:ascii="Arial" w:eastAsia="Calibri" w:hAnsi="Arial" w:cs="Arial"/>
          <w:color w:val="000000"/>
          <w:sz w:val="22"/>
          <w:szCs w:val="22"/>
        </w:rPr>
      </w:pPr>
      <w:r w:rsidRPr="000769D0">
        <w:rPr>
          <w:rFonts w:ascii="Arial" w:eastAsia="Calibri" w:hAnsi="Arial" w:cs="Arial"/>
          <w:color w:val="000000"/>
          <w:sz w:val="22"/>
          <w:szCs w:val="22"/>
        </w:rPr>
        <w:t>b) La actividad que se relaciona es el numeral «4.2 PROYECTOS ATENCION OBRAS DE EMERGENCIAS MEDIANTE OBRAS DE ESTABILIZACION DE TALUDES O RECUPERACION DE BANCA».</w:t>
      </w:r>
    </w:p>
    <w:p w14:paraId="23474F0F" w14:textId="77777777" w:rsidR="00995481" w:rsidRPr="000769D0" w:rsidRDefault="00995481" w:rsidP="00995481">
      <w:pPr>
        <w:spacing w:after="120" w:line="276" w:lineRule="auto"/>
        <w:ind w:firstLine="709"/>
        <w:jc w:val="both"/>
        <w:rPr>
          <w:rFonts w:ascii="Arial" w:eastAsia="Calibri" w:hAnsi="Arial" w:cs="Arial"/>
          <w:color w:val="000000"/>
          <w:sz w:val="22"/>
          <w:szCs w:val="22"/>
        </w:rPr>
      </w:pPr>
      <w:r w:rsidRPr="000769D0">
        <w:rPr>
          <w:rFonts w:ascii="Arial" w:eastAsia="Calibri" w:hAnsi="Arial" w:cs="Arial"/>
          <w:color w:val="000000"/>
          <w:sz w:val="22"/>
          <w:szCs w:val="22"/>
        </w:rPr>
        <w:t>c) La experiencia general que se debe solicitar en este proceso de contratación es «CONSTRUCCION O MEJORAMIENTO O MANTENIMIENTO O REHABILITACIÓN DE OBRAS DE ESTABILIZACION DE TALUDES O RECUPERACION DE BANCA y ATENCION OBRAS DE EMERGENCIAS MEDIANTE LA CONSTRUCCION DE OBRAS DE ESTABILIZACION DE TALUDES O RECUPERACION DE BANCA».</w:t>
      </w:r>
    </w:p>
    <w:p w14:paraId="01B0C446" w14:textId="77777777" w:rsidR="00995481" w:rsidRPr="000769D0" w:rsidRDefault="00995481" w:rsidP="00995481">
      <w:pPr>
        <w:spacing w:line="276" w:lineRule="auto"/>
        <w:ind w:firstLine="708"/>
        <w:jc w:val="both"/>
        <w:rPr>
          <w:rFonts w:ascii="Arial" w:eastAsia="Calibri" w:hAnsi="Arial" w:cs="Arial"/>
          <w:color w:val="000000"/>
          <w:sz w:val="22"/>
          <w:szCs w:val="22"/>
        </w:rPr>
      </w:pPr>
      <w:r w:rsidRPr="000769D0">
        <w:rPr>
          <w:rFonts w:ascii="Arial" w:eastAsia="Calibri" w:hAnsi="Arial" w:cs="Arial"/>
          <w:color w:val="000000"/>
          <w:sz w:val="22"/>
          <w:szCs w:val="22"/>
        </w:rPr>
        <w:t>d) La experiencia específica depende de la cuantía del proceso de contratación. Para contratos de menos de 100 SMMLV o entre 100 a 1.000 SMMLV, la entidad deberá exigir que por lo menos un contrato para acreditar la experiencia general corresponda a «LA CONSTRUCCION DE OBRAS DE ESTABILIZACION DE TALUDES O RECUPERACION DE BANCA» cuyo valor sea como mínimo al 70% del presupuesto oficial. Entre 1.001 y 27.000 SMMLV, la entidad deberá exigir que por lo menos un contrato cuyo objeto corresponda al mencionado anteriormente cuyo valor sea como mínimo el 60% del presupuesto oficial. Finalmente, cuando es mayor a 27.001 SMMLV, la entidad deberá exigir que por lo menos uno de los contratos válidos aportados como experiencia general acredite «LA CONSTRUCCION DE OBRAS DE ESTABILIZACION DE TALUDES O RECUPERACION DE BANCA» cuyo valor sea como mínimo al 50% del presupuesto oficial.</w:t>
      </w:r>
    </w:p>
    <w:p w14:paraId="75667264" w14:textId="77777777" w:rsidR="00995481" w:rsidRPr="000769D0" w:rsidRDefault="00995481" w:rsidP="00995481">
      <w:pPr>
        <w:spacing w:before="120" w:line="276" w:lineRule="auto"/>
        <w:ind w:firstLine="708"/>
        <w:jc w:val="both"/>
        <w:rPr>
          <w:rFonts w:ascii="Arial" w:eastAsia="Calibri" w:hAnsi="Arial" w:cs="Arial"/>
          <w:color w:val="000000"/>
          <w:sz w:val="22"/>
          <w:szCs w:val="22"/>
          <w:shd w:val="clear" w:color="auto" w:fill="FFFFFF"/>
          <w:lang w:val="es-ES"/>
        </w:rPr>
      </w:pPr>
      <w:r w:rsidRPr="000769D0">
        <w:rPr>
          <w:rFonts w:ascii="Arial" w:eastAsia="Calibri" w:hAnsi="Arial" w:cs="Arial"/>
          <w:color w:val="000000"/>
          <w:sz w:val="22"/>
          <w:szCs w:val="22"/>
        </w:rPr>
        <w:t>De esta forma</w:t>
      </w:r>
      <w:r w:rsidRPr="000769D0">
        <w:rPr>
          <w:rFonts w:ascii="Arial" w:eastAsia="Calibri" w:hAnsi="Arial" w:cs="Arial"/>
          <w:color w:val="000000"/>
          <w:sz w:val="22"/>
          <w:szCs w:val="22"/>
          <w:shd w:val="clear" w:color="auto" w:fill="FFFFFF"/>
          <w:lang w:val="es-ES"/>
        </w:rPr>
        <w:t>,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a la metodología previamente expuesta. Esta experiencia debe solicitarse en las condiciones allí previstas, con la descripción completa que corresponda a la experiencia general y específica.</w:t>
      </w:r>
    </w:p>
    <w:p w14:paraId="070A701A" w14:textId="5BC073F0" w:rsidR="00995481" w:rsidRPr="000769D0" w:rsidRDefault="00663BF6" w:rsidP="00663BF6">
      <w:pPr>
        <w:spacing w:line="276" w:lineRule="auto"/>
        <w:jc w:val="both"/>
        <w:rPr>
          <w:rFonts w:ascii="Arial" w:eastAsia="Calibri" w:hAnsi="Arial" w:cs="Arial"/>
          <w:b/>
          <w:bCs/>
          <w:color w:val="000000"/>
          <w:sz w:val="22"/>
          <w:szCs w:val="22"/>
          <w:lang w:eastAsia="en-GB"/>
        </w:rPr>
      </w:pPr>
      <w:r w:rsidRPr="000769D0">
        <w:rPr>
          <w:rFonts w:ascii="Arial" w:eastAsia="Calibri" w:hAnsi="Arial" w:cs="Arial"/>
          <w:b/>
          <w:bCs/>
          <w:color w:val="000000"/>
          <w:sz w:val="22"/>
          <w:szCs w:val="22"/>
          <w:lang w:eastAsia="en-GB"/>
        </w:rPr>
        <w:lastRenderedPageBreak/>
        <w:t xml:space="preserve"> </w:t>
      </w:r>
    </w:p>
    <w:p w14:paraId="05967D04" w14:textId="792422C0" w:rsidR="00663BF6" w:rsidRPr="000769D0" w:rsidRDefault="00527F0F" w:rsidP="00663BF6">
      <w:pPr>
        <w:spacing w:line="276" w:lineRule="auto"/>
        <w:jc w:val="both"/>
        <w:rPr>
          <w:rFonts w:ascii="Arial" w:eastAsia="Calibri" w:hAnsi="Arial" w:cs="Arial"/>
          <w:b/>
          <w:bCs/>
          <w:color w:val="000000"/>
          <w:sz w:val="22"/>
          <w:szCs w:val="22"/>
          <w:lang w:eastAsia="en-GB"/>
        </w:rPr>
      </w:pPr>
      <w:r w:rsidRPr="000769D0">
        <w:rPr>
          <w:rFonts w:ascii="Arial" w:eastAsia="Calibri" w:hAnsi="Arial" w:cs="Arial"/>
          <w:b/>
          <w:bCs/>
          <w:color w:val="000000"/>
          <w:sz w:val="22"/>
          <w:szCs w:val="22"/>
          <w:lang w:eastAsia="en-GB"/>
        </w:rPr>
        <w:t xml:space="preserve">2.2. </w:t>
      </w:r>
      <w:r w:rsidR="00663BF6" w:rsidRPr="000769D0">
        <w:rPr>
          <w:rFonts w:ascii="Arial" w:eastAsia="Calibri" w:hAnsi="Arial" w:cs="Arial"/>
          <w:b/>
          <w:bCs/>
          <w:color w:val="000000"/>
          <w:sz w:val="22"/>
          <w:szCs w:val="22"/>
          <w:lang w:eastAsia="en-GB"/>
        </w:rPr>
        <w:t>Capacidad residual como requisito habilitante</w:t>
      </w:r>
    </w:p>
    <w:p w14:paraId="7946C86F" w14:textId="77777777" w:rsidR="00663BF6" w:rsidRPr="000769D0" w:rsidRDefault="00663BF6" w:rsidP="00663BF6">
      <w:pPr>
        <w:spacing w:line="276" w:lineRule="auto"/>
        <w:jc w:val="both"/>
        <w:rPr>
          <w:rFonts w:ascii="Arial" w:eastAsia="Calibri" w:hAnsi="Arial" w:cs="Arial"/>
          <w:b/>
          <w:bCs/>
          <w:color w:val="000000"/>
          <w:sz w:val="22"/>
          <w:szCs w:val="22"/>
          <w:lang w:eastAsia="en-GB"/>
        </w:rPr>
      </w:pPr>
    </w:p>
    <w:p w14:paraId="2B843D31" w14:textId="77777777" w:rsidR="00663BF6" w:rsidRPr="000769D0" w:rsidRDefault="00663BF6" w:rsidP="00663BF6">
      <w:pPr>
        <w:spacing w:line="276" w:lineRule="auto"/>
        <w:jc w:val="both"/>
        <w:rPr>
          <w:rFonts w:ascii="Arial" w:hAnsi="Arial" w:cs="Arial"/>
          <w:color w:val="000000" w:themeColor="text1"/>
          <w:sz w:val="22"/>
          <w:szCs w:val="22"/>
          <w:lang w:val="es-MX"/>
        </w:rPr>
      </w:pPr>
      <w:r w:rsidRPr="000769D0">
        <w:rPr>
          <w:rFonts w:ascii="Arial" w:hAnsi="Arial" w:cs="Arial"/>
          <w:color w:val="000000" w:themeColor="text1"/>
          <w:sz w:val="22"/>
          <w:szCs w:val="22"/>
          <w:lang w:val="es-MX"/>
        </w:rPr>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w:t>
      </w:r>
      <w:r w:rsidRPr="000769D0">
        <w:rPr>
          <w:rFonts w:ascii="Arial" w:hAnsi="Arial" w:cs="Arial"/>
          <w:color w:val="000000" w:themeColor="text1"/>
          <w:sz w:val="22"/>
          <w:szCs w:val="22"/>
          <w:vertAlign w:val="superscript"/>
          <w:lang w:val="es-MX"/>
        </w:rPr>
        <w:footnoteReference w:id="1"/>
      </w:r>
      <w:r w:rsidRPr="000769D0">
        <w:rPr>
          <w:rFonts w:ascii="Arial" w:hAnsi="Arial" w:cs="Arial"/>
          <w:color w:val="000000" w:themeColor="text1"/>
          <w:sz w:val="22"/>
          <w:szCs w:val="22"/>
          <w:lang w:val="es-MX"/>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sidRPr="000769D0">
        <w:rPr>
          <w:rFonts w:ascii="Arial" w:eastAsia="Calibri" w:hAnsi="Arial" w:cs="Arial"/>
          <w:color w:val="000000" w:themeColor="text1"/>
          <w:sz w:val="22"/>
          <w:szCs w:val="22"/>
          <w:vertAlign w:val="superscript"/>
          <w:lang w:val="es-MX"/>
        </w:rPr>
        <w:footnoteReference w:id="2"/>
      </w:r>
      <w:r w:rsidRPr="000769D0">
        <w:rPr>
          <w:rFonts w:ascii="Arial" w:hAnsi="Arial" w:cs="Arial"/>
          <w:color w:val="000000" w:themeColor="text1"/>
          <w:sz w:val="22"/>
          <w:szCs w:val="22"/>
          <w:lang w:val="es-MX"/>
        </w:rPr>
        <w:t>.</w:t>
      </w:r>
    </w:p>
    <w:p w14:paraId="0B2C45D0" w14:textId="77777777" w:rsidR="00663BF6" w:rsidRPr="000769D0" w:rsidRDefault="00663BF6" w:rsidP="00663BF6">
      <w:pPr>
        <w:spacing w:before="120" w:line="276" w:lineRule="auto"/>
        <w:ind w:firstLine="708"/>
        <w:jc w:val="both"/>
        <w:rPr>
          <w:rFonts w:ascii="Arial" w:hAnsi="Arial" w:cs="Arial"/>
          <w:color w:val="000000" w:themeColor="text1"/>
          <w:sz w:val="22"/>
          <w:szCs w:val="22"/>
          <w:lang w:val="es-MX"/>
        </w:rPr>
      </w:pPr>
      <w:r w:rsidRPr="000769D0">
        <w:rPr>
          <w:rFonts w:ascii="Arial" w:hAnsi="Arial" w:cs="Arial"/>
          <w:color w:val="000000" w:themeColor="text1"/>
          <w:sz w:val="22"/>
          <w:szCs w:val="22"/>
          <w:lang w:val="es-MX"/>
        </w:rPr>
        <w:t xml:space="preserve">De esta manera, 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interesados en participar en procesos de selección para contratos de obra deberá ser igual o superior al que la entidad ha establecido en los pliegos de condiciones, en los siguientes términos: </w:t>
      </w:r>
    </w:p>
    <w:p w14:paraId="3C7EFB34" w14:textId="77777777" w:rsidR="00663BF6" w:rsidRPr="000A7622" w:rsidRDefault="00663BF6" w:rsidP="00663BF6">
      <w:pPr>
        <w:spacing w:line="276" w:lineRule="auto"/>
        <w:ind w:firstLine="708"/>
        <w:jc w:val="both"/>
        <w:rPr>
          <w:rFonts w:ascii="Arial" w:hAnsi="Arial" w:cs="Arial"/>
          <w:color w:val="000000" w:themeColor="text1"/>
          <w:lang w:val="es-MX"/>
        </w:rPr>
      </w:pPr>
    </w:p>
    <w:p w14:paraId="6E77CE08" w14:textId="77777777" w:rsidR="00663BF6" w:rsidRPr="000A7622" w:rsidRDefault="00663BF6" w:rsidP="00663BF6">
      <w:pPr>
        <w:spacing w:after="120"/>
        <w:ind w:left="709" w:right="709"/>
        <w:jc w:val="both"/>
        <w:rPr>
          <w:rFonts w:ascii="Arial" w:eastAsia="Calibri" w:hAnsi="Arial" w:cs="Arial"/>
          <w:color w:val="000000" w:themeColor="text1"/>
          <w:sz w:val="21"/>
          <w:szCs w:val="21"/>
          <w:lang w:val="es-MX"/>
        </w:rPr>
      </w:pPr>
      <w:r w:rsidRPr="000A7622">
        <w:rPr>
          <w:rFonts w:ascii="Arial" w:eastAsia="Calibri" w:hAnsi="Arial" w:cs="Arial"/>
          <w:color w:val="000000" w:themeColor="text1"/>
          <w:sz w:val="21"/>
          <w:szCs w:val="21"/>
          <w:lang w:val="es-MX"/>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05280870" w14:textId="77777777" w:rsidR="00663BF6" w:rsidRPr="000A7622" w:rsidRDefault="00663BF6" w:rsidP="00663BF6">
      <w:pPr>
        <w:ind w:left="708" w:right="709"/>
        <w:jc w:val="both"/>
        <w:rPr>
          <w:rFonts w:ascii="Arial" w:eastAsia="Calibri" w:hAnsi="Arial" w:cs="Arial"/>
          <w:color w:val="000000" w:themeColor="text1"/>
          <w:sz w:val="21"/>
          <w:szCs w:val="21"/>
          <w:lang w:val="es-MX"/>
        </w:rPr>
      </w:pPr>
      <w:r w:rsidRPr="000A7622">
        <w:rPr>
          <w:rFonts w:ascii="Arial" w:eastAsia="Calibri" w:hAnsi="Arial" w:cs="Arial"/>
          <w:color w:val="000000" w:themeColor="text1"/>
          <w:sz w:val="21"/>
          <w:szCs w:val="21"/>
          <w:lang w:val="es-MX"/>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6BD86A28" w14:textId="77777777" w:rsidR="00663BF6" w:rsidRPr="000A7622" w:rsidRDefault="00663BF6" w:rsidP="00663BF6">
      <w:pPr>
        <w:spacing w:line="276" w:lineRule="auto"/>
        <w:ind w:right="709"/>
        <w:jc w:val="both"/>
        <w:rPr>
          <w:rFonts w:ascii="Arial" w:eastAsia="Calibri" w:hAnsi="Arial" w:cs="Arial"/>
          <w:color w:val="000000" w:themeColor="text1"/>
          <w:lang w:val="es-MX"/>
        </w:rPr>
      </w:pPr>
    </w:p>
    <w:p w14:paraId="686D6695" w14:textId="77777777" w:rsidR="00663BF6" w:rsidRPr="000769D0" w:rsidRDefault="00663BF6" w:rsidP="00663BF6">
      <w:pPr>
        <w:spacing w:line="276" w:lineRule="auto"/>
        <w:ind w:firstLine="709"/>
        <w:jc w:val="both"/>
        <w:rPr>
          <w:rFonts w:ascii="Arial" w:eastAsia="Calibri" w:hAnsi="Arial" w:cs="Arial"/>
          <w:color w:val="000000" w:themeColor="text1"/>
          <w:sz w:val="22"/>
          <w:szCs w:val="22"/>
        </w:rPr>
      </w:pPr>
      <w:r w:rsidRPr="000769D0">
        <w:rPr>
          <w:rFonts w:ascii="Arial" w:eastAsia="Calibri" w:hAnsi="Arial" w:cs="Arial"/>
          <w:color w:val="000000" w:themeColor="text1"/>
          <w:sz w:val="22"/>
          <w:szCs w:val="22"/>
          <w:lang w:val="es-MX"/>
        </w:rPr>
        <w:lastRenderedPageBreak/>
        <w:t xml:space="preserve">De acuerdo con </w:t>
      </w:r>
      <w:r w:rsidRPr="000769D0">
        <w:rPr>
          <w:rFonts w:ascii="Arial" w:eastAsia="Calibri" w:hAnsi="Arial" w:cs="Arial"/>
          <w:color w:val="000000" w:themeColor="text1"/>
          <w:sz w:val="22"/>
          <w:szCs w:val="22"/>
        </w:rPr>
        <w:t>el artículo 72 de la Ley 1682 de 2013, la «capacidad residual de contratación cuando se realicen contratos de obra pública se obtendrá de sustraer de la capacidad de contratación, el saldo del valor de los contratos en ejecución». La «capacidad de contratación», según se desprende de la misma disposición, «[…] se deberá calcular mediante la evaluación de los siguientes factores: Experiencia (E), Capacidad Financiera (CF), Capacidad Técnica (CT), y Capacidad de Organización (CO)».</w:t>
      </w:r>
    </w:p>
    <w:p w14:paraId="48054B41" w14:textId="66CD2EEE" w:rsidR="00663BF6" w:rsidRPr="000769D0" w:rsidRDefault="00663BF6" w:rsidP="00663BF6">
      <w:pPr>
        <w:spacing w:before="120" w:after="120" w:line="276" w:lineRule="auto"/>
        <w:ind w:firstLine="709"/>
        <w:jc w:val="both"/>
        <w:rPr>
          <w:rFonts w:ascii="Arial" w:eastAsia="Calibri" w:hAnsi="Arial" w:cs="Arial"/>
          <w:color w:val="000000" w:themeColor="text1"/>
          <w:sz w:val="22"/>
          <w:szCs w:val="22"/>
          <w:lang w:val="es-MX"/>
        </w:rPr>
      </w:pPr>
      <w:r w:rsidRPr="000769D0">
        <w:rPr>
          <w:rFonts w:ascii="Arial" w:eastAsia="Calibri" w:hAnsi="Arial" w:cs="Arial"/>
          <w:color w:val="000000" w:themeColor="text1"/>
          <w:sz w:val="22"/>
          <w:szCs w:val="22"/>
          <w:lang w:val="es-MX"/>
        </w:rPr>
        <w:t>Por su parte, el artículo 2.2.1.1.1.6.4 del Decreto 1082 de 2015 dispone que las entidades estatales deberán calcular la capacidad residual conforme a la metodología definida por Colombia Compre Eficiente. Para tale</w:t>
      </w:r>
      <w:r w:rsidR="007E3C84">
        <w:rPr>
          <w:rFonts w:ascii="Arial" w:eastAsia="Calibri" w:hAnsi="Arial" w:cs="Arial"/>
          <w:color w:val="000000" w:themeColor="text1"/>
          <w:sz w:val="22"/>
          <w:szCs w:val="22"/>
          <w:lang w:val="es-MX"/>
        </w:rPr>
        <w:t>s</w:t>
      </w:r>
      <w:r w:rsidRPr="000769D0">
        <w:rPr>
          <w:rFonts w:ascii="Arial" w:eastAsia="Calibri" w:hAnsi="Arial" w:cs="Arial"/>
          <w:color w:val="000000" w:themeColor="text1"/>
          <w:sz w:val="22"/>
          <w:szCs w:val="22"/>
          <w:lang w:val="es-MX"/>
        </w:rPr>
        <w:t xml:space="preserve"> fines, resulta necesario tener en cuenta los factores de i) Experiencia –E–, ii) Capacidad Financiera –CF–, iii) Capacidad Técnica –CT–, iv) Capacidad de Organización y v) los Saldos de los Contratos en Ejecución –SCE–</w:t>
      </w:r>
    </w:p>
    <w:p w14:paraId="0E24D063" w14:textId="77777777" w:rsidR="00663BF6" w:rsidRPr="000769D0" w:rsidRDefault="00663BF6" w:rsidP="00663BF6">
      <w:pPr>
        <w:spacing w:before="120" w:after="120" w:line="276" w:lineRule="auto"/>
        <w:ind w:firstLine="709"/>
        <w:jc w:val="both"/>
        <w:rPr>
          <w:rFonts w:ascii="Arial" w:hAnsi="Arial" w:cs="Arial"/>
          <w:sz w:val="22"/>
          <w:szCs w:val="22"/>
          <w:lang w:val="es-MX"/>
        </w:rPr>
      </w:pPr>
      <w:r w:rsidRPr="000769D0">
        <w:rPr>
          <w:rFonts w:ascii="Arial" w:eastAsia="Calibri" w:hAnsi="Arial" w:cs="Arial"/>
          <w:color w:val="000000" w:themeColor="text1"/>
          <w:sz w:val="22"/>
          <w:szCs w:val="22"/>
          <w:lang w:val="es-MX"/>
        </w:rPr>
        <w:t xml:space="preserve">De igual manera, </w:t>
      </w:r>
      <w:r w:rsidRPr="000769D0">
        <w:rPr>
          <w:rFonts w:ascii="Arial" w:hAnsi="Arial" w:cs="Arial"/>
          <w:sz w:val="22"/>
          <w:szCs w:val="22"/>
          <w:lang w:val="es-MX"/>
        </w:rPr>
        <w:t>establece que el interesado en celebrar contratos de obra pública acreditará su capacidad residual con los siguientes 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iii) el balance general auditado del año inmediatamente anterior y estado de resultados auditado del año en que haya obtenido el mayor ingreso operacional en los últimos cinco (5) años</w:t>
      </w:r>
      <w:r w:rsidRPr="000769D0">
        <w:rPr>
          <w:rFonts w:ascii="Arial" w:hAnsi="Arial" w:cs="Arial"/>
          <w:sz w:val="22"/>
          <w:szCs w:val="22"/>
          <w:vertAlign w:val="superscript"/>
          <w:lang w:val="es-MX"/>
        </w:rPr>
        <w:footnoteReference w:id="3"/>
      </w:r>
      <w:r w:rsidRPr="000769D0">
        <w:rPr>
          <w:rFonts w:ascii="Arial" w:hAnsi="Arial" w:cs="Arial"/>
          <w:sz w:val="22"/>
          <w:szCs w:val="22"/>
          <w:lang w:val="es-MX"/>
        </w:rPr>
        <w:t xml:space="preserve">. </w:t>
      </w:r>
    </w:p>
    <w:p w14:paraId="355B1C4A" w14:textId="4C93F491" w:rsidR="00663BF6" w:rsidRPr="000769D0" w:rsidRDefault="00663BF6" w:rsidP="00663BF6">
      <w:pPr>
        <w:spacing w:before="120" w:after="120" w:line="276" w:lineRule="auto"/>
        <w:ind w:firstLine="709"/>
        <w:jc w:val="both"/>
        <w:rPr>
          <w:rFonts w:ascii="Arial" w:eastAsia="Calibri" w:hAnsi="Arial" w:cs="Arial"/>
          <w:bCs/>
          <w:color w:val="000000" w:themeColor="text1"/>
          <w:sz w:val="22"/>
          <w:szCs w:val="22"/>
        </w:rPr>
      </w:pPr>
      <w:r w:rsidRPr="000769D0">
        <w:rPr>
          <w:rFonts w:ascii="Arial" w:hAnsi="Arial" w:cs="Arial"/>
          <w:color w:val="000000" w:themeColor="text1"/>
          <w:sz w:val="22"/>
          <w:szCs w:val="22"/>
          <w:lang w:val="es-MX"/>
        </w:rPr>
        <w:t xml:space="preserve">De conformidad con lo expuesto, la Agencia Nacional </w:t>
      </w:r>
      <w:r w:rsidR="004E2FD8" w:rsidRPr="000769D0">
        <w:rPr>
          <w:rFonts w:ascii="Arial" w:hAnsi="Arial" w:cs="Arial"/>
          <w:color w:val="000000" w:themeColor="text1"/>
          <w:sz w:val="22"/>
          <w:szCs w:val="22"/>
          <w:lang w:val="es-MX"/>
        </w:rPr>
        <w:t>de</w:t>
      </w:r>
      <w:r w:rsidRPr="000769D0">
        <w:rPr>
          <w:rFonts w:ascii="Arial" w:hAnsi="Arial" w:cs="Arial"/>
          <w:color w:val="000000" w:themeColor="text1"/>
          <w:sz w:val="22"/>
          <w:szCs w:val="22"/>
          <w:lang w:val="es-MX"/>
        </w:rPr>
        <w:t xml:space="preserve"> Contratación Pública – Colombia Compra Eficiente expidió la Guía para Determinar y Verificar la Capacidad Residual del Proponente en los Procesos de Contratación de Obra Pública. Este documento establece, entre otras cuestiones, que a la entidad contratante </w:t>
      </w:r>
      <w:r w:rsidR="004E2FD8" w:rsidRPr="000769D0">
        <w:rPr>
          <w:rFonts w:ascii="Arial" w:hAnsi="Arial" w:cs="Arial"/>
          <w:color w:val="000000" w:themeColor="text1"/>
          <w:sz w:val="22"/>
          <w:szCs w:val="22"/>
          <w:lang w:val="es-MX"/>
        </w:rPr>
        <w:t xml:space="preserve">le </w:t>
      </w:r>
      <w:r w:rsidRPr="000769D0">
        <w:rPr>
          <w:rFonts w:ascii="Arial" w:hAnsi="Arial" w:cs="Arial"/>
          <w:color w:val="000000" w:themeColor="text1"/>
          <w:sz w:val="22"/>
          <w:szCs w:val="22"/>
          <w:lang w:val="es-MX"/>
        </w:rPr>
        <w:t>corresponde, primero, establecer la capacidad residual del proceso de contratación «CRPC» y, segundo, determinar si los proponentes cumplen con la capacidad residual del proceso de contratación, teniendo en cuenta la información mencionada en el párrafo precedente.</w:t>
      </w:r>
    </w:p>
    <w:p w14:paraId="035910D0" w14:textId="77777777" w:rsidR="00663BF6" w:rsidRPr="000769D0" w:rsidRDefault="00663BF6" w:rsidP="00663BF6">
      <w:pPr>
        <w:spacing w:line="276" w:lineRule="auto"/>
        <w:ind w:firstLine="709"/>
        <w:jc w:val="both"/>
        <w:rPr>
          <w:rFonts w:ascii="Arial" w:eastAsia="Calibri" w:hAnsi="Arial" w:cs="Arial"/>
          <w:bCs/>
          <w:color w:val="000000" w:themeColor="text1"/>
          <w:sz w:val="22"/>
          <w:szCs w:val="22"/>
        </w:rPr>
      </w:pPr>
      <w:r w:rsidRPr="000769D0">
        <w:rPr>
          <w:rFonts w:ascii="Arial" w:eastAsia="Calibri" w:hAnsi="Arial" w:cs="Arial"/>
          <w:bCs/>
          <w:color w:val="000000" w:themeColor="text1"/>
          <w:sz w:val="22"/>
          <w:szCs w:val="22"/>
        </w:rPr>
        <w:lastRenderedPageBreak/>
        <w:t>En relación con el primer aspecto, sobre la determinación de la capacidad residual del proceso de contratación «CRPC», debe determinarse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0AE6AB72" w14:textId="77777777" w:rsidR="00663BF6" w:rsidRPr="000769D0" w:rsidRDefault="00663BF6" w:rsidP="00663BF6">
      <w:pPr>
        <w:spacing w:before="120" w:line="276" w:lineRule="auto"/>
        <w:ind w:firstLine="709"/>
        <w:jc w:val="both"/>
        <w:rPr>
          <w:rFonts w:ascii="Arial" w:eastAsia="Calibri" w:hAnsi="Arial" w:cs="Arial"/>
          <w:bCs/>
          <w:color w:val="000000" w:themeColor="text1"/>
          <w:sz w:val="22"/>
          <w:szCs w:val="22"/>
        </w:rPr>
      </w:pPr>
      <w:r w:rsidRPr="000769D0">
        <w:rPr>
          <w:rFonts w:ascii="Arial" w:eastAsia="Calibri" w:hAnsi="Arial" w:cs="Arial"/>
          <w:bCs/>
          <w:color w:val="000000" w:themeColor="text1"/>
          <w:sz w:val="22"/>
          <w:szCs w:val="22"/>
        </w:rPr>
        <w:t xml:space="preserve">En cuanto al segundo aspecto, sobre la validación de </w:t>
      </w:r>
      <w:bookmarkStart w:id="4" w:name="_Hlk68683272"/>
      <w:r w:rsidRPr="000769D0">
        <w:rPr>
          <w:rFonts w:ascii="Arial" w:eastAsia="Calibri" w:hAnsi="Arial" w:cs="Arial"/>
          <w:bCs/>
          <w:color w:val="000000" w:themeColor="text1"/>
          <w:sz w:val="22"/>
          <w:szCs w:val="22"/>
        </w:rPr>
        <w:t>que cada proponente cumpla con la CRPC</w:t>
      </w:r>
      <w:bookmarkEnd w:id="4"/>
      <w:r w:rsidRPr="000769D0">
        <w:rPr>
          <w:rFonts w:ascii="Arial" w:eastAsia="Calibri" w:hAnsi="Arial" w:cs="Arial"/>
          <w:bCs/>
          <w:color w:val="000000" w:themeColor="text1"/>
          <w:sz w:val="22"/>
          <w:szCs w:val="22"/>
        </w:rPr>
        <w:t>, la entidad pública debe verificar que la capacidad residual del proponente «CRP» sea igual o superior a la capacidad referida en el párrafo precedente. De todas formas, previamente debe establecer la CRP, con fundamento en los siguientes factores: i) experiencia «E»; ii) capacidad financiera «CF»; iii) capacidad técnica «CT», iv) capacidad de organización «CO»; y v) los saldos de los contratos en ejecución «SCE», según la siguiente formula:</w:t>
      </w:r>
    </w:p>
    <w:p w14:paraId="4E4BEA83" w14:textId="77777777" w:rsidR="00663BF6" w:rsidRPr="000A7622" w:rsidRDefault="00663BF6" w:rsidP="00663BF6">
      <w:pPr>
        <w:spacing w:line="276" w:lineRule="auto"/>
        <w:ind w:firstLine="709"/>
        <w:jc w:val="both"/>
        <w:rPr>
          <w:rFonts w:ascii="Arial" w:eastAsia="Calibri" w:hAnsi="Arial" w:cs="Arial"/>
          <w:bCs/>
          <w:color w:val="000000" w:themeColor="text1"/>
        </w:rPr>
      </w:pPr>
      <w:r w:rsidRPr="000A7622">
        <w:rPr>
          <w:rFonts w:ascii="Arial" w:eastAsia="Calibri" w:hAnsi="Arial" w:cs="Arial"/>
          <w:bCs/>
          <w:noProof/>
          <w:color w:val="000000" w:themeColor="text1"/>
        </w:rPr>
        <w:drawing>
          <wp:anchor distT="0" distB="0" distL="0" distR="0" simplePos="0" relativeHeight="251660288" behindDoc="0" locked="0" layoutInCell="1" allowOverlap="1" wp14:anchorId="3FDC879D" wp14:editId="0A4B788A">
            <wp:simplePos x="0" y="0"/>
            <wp:positionH relativeFrom="margin">
              <wp:align>center</wp:align>
            </wp:positionH>
            <wp:positionV relativeFrom="paragraph">
              <wp:posOffset>222250</wp:posOffset>
            </wp:positionV>
            <wp:extent cx="4638040" cy="552450"/>
            <wp:effectExtent l="0" t="0" r="0" b="0"/>
            <wp:wrapTopAndBottom/>
            <wp:docPr id="1" name="image3.jpe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descr="Diagrama&#10;&#10;Descripción generada automáticamente"/>
                    <pic:cNvPicPr/>
                  </pic:nvPicPr>
                  <pic:blipFill>
                    <a:blip r:embed="rId12" cstate="print"/>
                    <a:stretch>
                      <a:fillRect/>
                    </a:stretch>
                  </pic:blipFill>
                  <pic:spPr>
                    <a:xfrm>
                      <a:off x="0" y="0"/>
                      <a:ext cx="4638040" cy="552450"/>
                    </a:xfrm>
                    <a:prstGeom prst="rect">
                      <a:avLst/>
                    </a:prstGeom>
                  </pic:spPr>
                </pic:pic>
              </a:graphicData>
            </a:graphic>
            <wp14:sizeRelH relativeFrom="margin">
              <wp14:pctWidth>0</wp14:pctWidth>
            </wp14:sizeRelH>
            <wp14:sizeRelV relativeFrom="margin">
              <wp14:pctHeight>0</wp14:pctHeight>
            </wp14:sizeRelV>
          </wp:anchor>
        </w:drawing>
      </w:r>
    </w:p>
    <w:p w14:paraId="517082F9" w14:textId="77777777" w:rsidR="00663BF6" w:rsidRPr="000A7622" w:rsidRDefault="00663BF6" w:rsidP="00663BF6">
      <w:pPr>
        <w:spacing w:line="276" w:lineRule="auto"/>
        <w:jc w:val="both"/>
        <w:rPr>
          <w:rFonts w:ascii="Arial" w:eastAsia="Calibri" w:hAnsi="Arial" w:cs="Arial"/>
          <w:bCs/>
          <w:color w:val="000000" w:themeColor="text1"/>
          <w:lang w:val="es-MX"/>
        </w:rPr>
      </w:pPr>
    </w:p>
    <w:p w14:paraId="5B740FB6" w14:textId="3F7A19B1" w:rsidR="005B0BD5" w:rsidRPr="00A604AD" w:rsidRDefault="00524CE3" w:rsidP="0066040D">
      <w:pPr>
        <w:spacing w:after="120" w:line="276" w:lineRule="auto"/>
        <w:ind w:firstLine="709"/>
        <w:jc w:val="both"/>
        <w:rPr>
          <w:rFonts w:ascii="Arial" w:eastAsia="Calibri" w:hAnsi="Arial" w:cs="Arial"/>
          <w:bCs/>
          <w:color w:val="000000" w:themeColor="text1"/>
          <w:sz w:val="22"/>
          <w:szCs w:val="22"/>
        </w:rPr>
      </w:pPr>
      <w:r w:rsidRPr="00A604AD">
        <w:rPr>
          <w:rFonts w:ascii="Arial" w:eastAsia="Calibri" w:hAnsi="Arial" w:cs="Arial"/>
          <w:bCs/>
          <w:color w:val="000000" w:themeColor="text1"/>
          <w:sz w:val="22"/>
          <w:szCs w:val="22"/>
          <w:lang w:val="es-MX"/>
        </w:rPr>
        <w:t>R</w:t>
      </w:r>
      <w:r w:rsidR="00663BF6" w:rsidRPr="00A604AD">
        <w:rPr>
          <w:rFonts w:ascii="Arial" w:eastAsia="Calibri" w:hAnsi="Arial" w:cs="Arial"/>
          <w:bCs/>
          <w:color w:val="000000" w:themeColor="text1"/>
          <w:sz w:val="22"/>
          <w:szCs w:val="22"/>
          <w:lang w:val="es-MX"/>
        </w:rPr>
        <w:t xml:space="preserve">especto del factor de </w:t>
      </w:r>
      <w:r w:rsidR="00B50926" w:rsidRPr="00A604AD">
        <w:rPr>
          <w:rFonts w:ascii="Arial" w:eastAsia="Calibri" w:hAnsi="Arial" w:cs="Arial"/>
          <w:bCs/>
          <w:color w:val="000000" w:themeColor="text1"/>
          <w:sz w:val="22"/>
          <w:szCs w:val="22"/>
          <w:lang w:val="es-MX"/>
        </w:rPr>
        <w:t>experiencia</w:t>
      </w:r>
      <w:r w:rsidR="00663BF6" w:rsidRPr="00A604AD">
        <w:rPr>
          <w:rFonts w:ascii="Arial" w:eastAsia="Calibri" w:hAnsi="Arial" w:cs="Arial"/>
          <w:bCs/>
          <w:color w:val="000000" w:themeColor="text1"/>
          <w:sz w:val="22"/>
          <w:szCs w:val="22"/>
          <w:lang w:val="es-MX"/>
        </w:rPr>
        <w:t xml:space="preserve"> </w:t>
      </w:r>
      <w:r w:rsidR="00663BF6" w:rsidRPr="00A604AD">
        <w:rPr>
          <w:rFonts w:ascii="Arial" w:eastAsia="Calibri" w:hAnsi="Arial" w:cs="Arial"/>
          <w:bCs/>
          <w:color w:val="000000" w:themeColor="text1"/>
          <w:sz w:val="22"/>
          <w:szCs w:val="22"/>
        </w:rPr>
        <w:t>«E»,</w:t>
      </w:r>
      <w:r w:rsidR="00663BF6" w:rsidRPr="00A604AD">
        <w:rPr>
          <w:rFonts w:ascii="Arial" w:hAnsi="Arial" w:cs="Arial"/>
          <w:sz w:val="22"/>
          <w:szCs w:val="22"/>
        </w:rPr>
        <w:t xml:space="preserve"> es necesario tener en cuenta que la Guía para Determinar y Verificar la Capacidad Residual del Proponente en los Procesos de Contratación de Obra Pública</w:t>
      </w:r>
      <w:r w:rsidR="00B50926" w:rsidRPr="00A604AD">
        <w:rPr>
          <w:rFonts w:ascii="Arial" w:hAnsi="Arial" w:cs="Arial"/>
          <w:sz w:val="22"/>
          <w:szCs w:val="22"/>
        </w:rPr>
        <w:t xml:space="preserve"> –al igual que el literal B del numeral 3.10.2 del pliego de condiciones–</w:t>
      </w:r>
      <w:r w:rsidR="00663BF6" w:rsidRPr="00A604AD">
        <w:rPr>
          <w:rFonts w:ascii="Arial" w:hAnsi="Arial" w:cs="Arial"/>
          <w:i/>
          <w:iCs/>
          <w:sz w:val="22"/>
          <w:szCs w:val="22"/>
        </w:rPr>
        <w:t xml:space="preserve"> </w:t>
      </w:r>
      <w:r w:rsidR="00B50926" w:rsidRPr="00A604AD">
        <w:rPr>
          <w:rFonts w:ascii="Arial" w:hAnsi="Arial" w:cs="Arial"/>
          <w:sz w:val="22"/>
          <w:szCs w:val="22"/>
        </w:rPr>
        <w:t>dispone que se acredita «[…]</w:t>
      </w:r>
      <w:r w:rsidR="00B50926" w:rsidRPr="00A604AD">
        <w:t xml:space="preserve"> </w:t>
      </w:r>
      <w:r w:rsidR="00B50926" w:rsidRPr="00A604AD">
        <w:rPr>
          <w:rFonts w:ascii="Arial" w:hAnsi="Arial" w:cs="Arial"/>
          <w:sz w:val="22"/>
          <w:szCs w:val="22"/>
        </w:rPr>
        <w:t>por medio de la relación entre: (i) el valor total en pesos de los contratos relacionados con la actividad de la construcción inscritos por el proponente en el RUP en el segmento 72 “Servicios de Edificación, Construcción de Instalaciones y Mantenimiento” del Clasificador de Bienes y Servicios; y (ii) el presupuesto oficial estimado del Proceso de Contratación»</w:t>
      </w:r>
      <w:r w:rsidR="00663BF6" w:rsidRPr="00A604AD">
        <w:rPr>
          <w:rFonts w:ascii="Arial" w:eastAsia="Calibri" w:hAnsi="Arial" w:cs="Arial"/>
          <w:bCs/>
          <w:color w:val="000000" w:themeColor="text1"/>
          <w:sz w:val="22"/>
          <w:szCs w:val="22"/>
        </w:rPr>
        <w:t xml:space="preserve">. </w:t>
      </w:r>
      <w:r w:rsidR="00B50926" w:rsidRPr="00A604AD">
        <w:rPr>
          <w:rFonts w:ascii="Arial" w:eastAsia="Calibri" w:hAnsi="Arial" w:cs="Arial"/>
          <w:bCs/>
          <w:color w:val="000000" w:themeColor="text1"/>
          <w:sz w:val="22"/>
          <w:szCs w:val="22"/>
        </w:rPr>
        <w:t xml:space="preserve">En esta medida, el presupuesto oficial estimado es una variable relevante tanto para el cálculo de la capacidad residual como para la acreditación de la experiencia general y específica en los términos explicados </w:t>
      </w:r>
      <w:r w:rsidR="0003458F" w:rsidRPr="00A604AD">
        <w:rPr>
          <w:rFonts w:ascii="Arial" w:eastAsia="Calibri" w:hAnsi="Arial" w:cs="Arial"/>
          <w:bCs/>
          <w:color w:val="000000" w:themeColor="text1"/>
          <w:sz w:val="22"/>
          <w:szCs w:val="22"/>
        </w:rPr>
        <w:t>en apartado 2.1</w:t>
      </w:r>
      <w:r w:rsidR="005B0BD5" w:rsidRPr="00A604AD">
        <w:rPr>
          <w:rFonts w:ascii="Arial" w:eastAsia="Calibri" w:hAnsi="Arial" w:cs="Arial"/>
          <w:bCs/>
          <w:color w:val="000000" w:themeColor="text1"/>
          <w:sz w:val="22"/>
          <w:szCs w:val="22"/>
        </w:rPr>
        <w:t>.</w:t>
      </w:r>
    </w:p>
    <w:p w14:paraId="2F52C1DF" w14:textId="266AE584" w:rsidR="0003458F" w:rsidRPr="00A604AD" w:rsidRDefault="005B0BD5" w:rsidP="0003458F">
      <w:pPr>
        <w:spacing w:after="120" w:line="276" w:lineRule="auto"/>
        <w:ind w:firstLine="709"/>
        <w:jc w:val="both"/>
        <w:rPr>
          <w:rFonts w:ascii="Arial" w:hAnsi="Arial" w:cs="Arial"/>
          <w:sz w:val="22"/>
          <w:szCs w:val="22"/>
          <w:lang w:val="es-MX"/>
        </w:rPr>
      </w:pPr>
      <w:r w:rsidRPr="00A604AD">
        <w:rPr>
          <w:rFonts w:ascii="Arial" w:hAnsi="Arial" w:cs="Arial"/>
          <w:sz w:val="22"/>
          <w:szCs w:val="22"/>
        </w:rPr>
        <w:t xml:space="preserve">De acuerdo </w:t>
      </w:r>
      <w:r w:rsidR="00240859" w:rsidRPr="00A604AD">
        <w:rPr>
          <w:rFonts w:ascii="Arial" w:hAnsi="Arial" w:cs="Arial"/>
          <w:sz w:val="22"/>
          <w:szCs w:val="22"/>
        </w:rPr>
        <w:t xml:space="preserve">con </w:t>
      </w:r>
      <w:r w:rsidRPr="00A604AD">
        <w:rPr>
          <w:rFonts w:ascii="Arial" w:hAnsi="Arial" w:cs="Arial"/>
          <w:sz w:val="22"/>
          <w:szCs w:val="22"/>
        </w:rPr>
        <w:t>el numeral 1.40 del «Anexo 3 – Glosario», el presupuesto oficial estimado corresponde al «</w:t>
      </w:r>
      <w:r w:rsidRPr="00A604AD">
        <w:rPr>
          <w:rFonts w:ascii="Arial" w:hAnsi="Arial" w:cs="Arial"/>
          <w:sz w:val="22"/>
          <w:szCs w:val="22"/>
          <w:lang w:val="es-ES"/>
        </w:rPr>
        <w:t xml:space="preserve">Valor total que la Entidad Estatal determina como necesario para ejecutar el objeto del contrato con base en el estudio previo y el análisis del sector». </w:t>
      </w:r>
      <w:r w:rsidR="0003458F" w:rsidRPr="00A604AD">
        <w:rPr>
          <w:rFonts w:ascii="Arial" w:hAnsi="Arial" w:cs="Arial"/>
          <w:sz w:val="22"/>
          <w:szCs w:val="22"/>
          <w:lang w:val="es-ES"/>
        </w:rPr>
        <w:t xml:space="preserve">Respecto a la </w:t>
      </w:r>
      <w:r w:rsidRPr="00A604AD">
        <w:rPr>
          <w:rFonts w:ascii="Arial" w:hAnsi="Arial" w:cs="Arial"/>
          <w:sz w:val="22"/>
          <w:szCs w:val="22"/>
        </w:rPr>
        <w:t xml:space="preserve">capacidad residual, el literal B del numeral 3.10.2 del pliego de condiciones dispone que este «[…] </w:t>
      </w:r>
      <w:r w:rsidRPr="00A604AD">
        <w:rPr>
          <w:rFonts w:ascii="Arial" w:hAnsi="Arial" w:cs="Arial"/>
          <w:sz w:val="22"/>
          <w:szCs w:val="22"/>
          <w:lang w:val="es-MX"/>
        </w:rPr>
        <w:t>debe ser liquidado con el SMMLV para el año de publicación del pliego de condiciones definitivo del proceso de contratación».</w:t>
      </w:r>
      <w:r w:rsidR="0003458F" w:rsidRPr="00A604AD">
        <w:rPr>
          <w:rFonts w:ascii="Arial" w:hAnsi="Arial" w:cs="Arial"/>
          <w:sz w:val="22"/>
          <w:szCs w:val="22"/>
          <w:lang w:val="es-MX"/>
        </w:rPr>
        <w:t xml:space="preserve"> </w:t>
      </w:r>
      <w:r w:rsidR="00524CE3" w:rsidRPr="00A604AD">
        <w:rPr>
          <w:rFonts w:ascii="Arial" w:hAnsi="Arial" w:cs="Arial"/>
          <w:sz w:val="22"/>
          <w:szCs w:val="22"/>
          <w:lang w:val="es-MX"/>
        </w:rPr>
        <w:t>Lo importante es que para la acreditación de experiencia general y específica aplica este mismo criterio, pues la liquidación del presupuesto oficial conforme al SMMLV para el año de publicación del pliego de condiciones definitivo es una circunstancia transversal al pliego de condiciones</w:t>
      </w:r>
      <w:r w:rsidR="001A6AAE" w:rsidRPr="00A604AD">
        <w:rPr>
          <w:rFonts w:ascii="Arial" w:hAnsi="Arial" w:cs="Arial"/>
          <w:sz w:val="22"/>
          <w:szCs w:val="22"/>
          <w:lang w:val="es-MX"/>
        </w:rPr>
        <w:t xml:space="preserve">. </w:t>
      </w:r>
    </w:p>
    <w:p w14:paraId="53433F8F" w14:textId="6656E9C3" w:rsidR="0003458F" w:rsidRPr="00A604AD" w:rsidRDefault="001A6AAE" w:rsidP="0003458F">
      <w:pPr>
        <w:spacing w:after="120" w:line="276" w:lineRule="auto"/>
        <w:ind w:firstLine="709"/>
        <w:jc w:val="both"/>
        <w:rPr>
          <w:rFonts w:ascii="Arial" w:hAnsi="Arial" w:cs="Arial"/>
          <w:sz w:val="22"/>
          <w:szCs w:val="22"/>
          <w:lang w:val="es-MX"/>
        </w:rPr>
      </w:pPr>
      <w:r w:rsidRPr="00A604AD">
        <w:rPr>
          <w:rFonts w:ascii="Arial" w:hAnsi="Arial" w:cs="Arial"/>
          <w:sz w:val="22"/>
          <w:szCs w:val="22"/>
          <w:lang w:val="es-MX"/>
        </w:rPr>
        <w:t xml:space="preserve">Esta idea deriva del literal J del numeral 1.17 del documento base, el cual regula las normas de interpretación del documento base. En efecto, dicho apartado dispone que </w:t>
      </w:r>
      <w:r w:rsidRPr="00A604AD">
        <w:rPr>
          <w:rFonts w:ascii="Arial" w:hAnsi="Arial" w:cs="Arial"/>
          <w:sz w:val="22"/>
          <w:szCs w:val="22"/>
          <w:lang w:val="es-MX"/>
        </w:rPr>
        <w:lastRenderedPageBreak/>
        <w:t>«Este pliego se interpretará, además, en lo pertinente, de conformidad con las reglas del código civil definidas en los artículos 1618 a 1624».</w:t>
      </w:r>
      <w:r w:rsidR="0003458F" w:rsidRPr="00A604AD">
        <w:rPr>
          <w:rFonts w:ascii="Arial" w:hAnsi="Arial" w:cs="Arial"/>
          <w:sz w:val="22"/>
          <w:szCs w:val="22"/>
          <w:lang w:val="es-MX"/>
        </w:rPr>
        <w:t xml:space="preserve"> </w:t>
      </w:r>
      <w:r w:rsidRPr="00A604AD">
        <w:rPr>
          <w:rFonts w:ascii="Arial" w:hAnsi="Arial" w:cs="Arial"/>
          <w:sz w:val="22"/>
          <w:szCs w:val="22"/>
          <w:lang w:val="es-MX"/>
        </w:rPr>
        <w:t xml:space="preserve">Estas reglas del Código Civil regulan la interpretación de los contratos. Concretamente el artículo 1623 </w:t>
      </w:r>
      <w:r w:rsidRPr="00A604AD">
        <w:rPr>
          <w:rFonts w:ascii="Arial" w:hAnsi="Arial" w:cs="Arial"/>
          <w:i/>
          <w:iCs/>
          <w:sz w:val="22"/>
          <w:szCs w:val="22"/>
          <w:lang w:val="es-MX"/>
        </w:rPr>
        <w:t>ibidem</w:t>
      </w:r>
      <w:r w:rsidRPr="00A604AD">
        <w:rPr>
          <w:rFonts w:ascii="Arial" w:hAnsi="Arial" w:cs="Arial"/>
          <w:sz w:val="22"/>
          <w:szCs w:val="22"/>
          <w:lang w:val="es-MX"/>
        </w:rPr>
        <w:t xml:space="preserve"> dispone que «</w:t>
      </w:r>
      <w:r w:rsidRPr="00A604AD">
        <w:rPr>
          <w:rFonts w:ascii="Arial" w:hAnsi="Arial" w:cs="Arial"/>
          <w:sz w:val="22"/>
          <w:szCs w:val="22"/>
        </w:rPr>
        <w:t>Cuando en un contrato se ha expresado un caso para explicar la obligación, no se entenderá por solo eso haberse querido restringir la convención a ese caso, excluyendo los otros a que naturalmente se extienda».</w:t>
      </w:r>
      <w:r w:rsidR="004D2E51" w:rsidRPr="00A604AD">
        <w:rPr>
          <w:rFonts w:ascii="Arial" w:hAnsi="Arial" w:cs="Arial"/>
          <w:sz w:val="22"/>
          <w:szCs w:val="22"/>
        </w:rPr>
        <w:t xml:space="preserve"> </w:t>
      </w:r>
    </w:p>
    <w:p w14:paraId="39C1DB4F" w14:textId="0552F0C5" w:rsidR="00855F38" w:rsidRPr="0066040D" w:rsidRDefault="004D2E51" w:rsidP="0003458F">
      <w:pPr>
        <w:spacing w:line="276" w:lineRule="auto"/>
        <w:ind w:firstLine="709"/>
        <w:jc w:val="both"/>
        <w:rPr>
          <w:rFonts w:ascii="Arial" w:hAnsi="Arial" w:cs="Arial"/>
          <w:sz w:val="22"/>
          <w:szCs w:val="22"/>
          <w:lang w:val="es-MX"/>
        </w:rPr>
      </w:pPr>
      <w:r w:rsidRPr="00A604AD">
        <w:rPr>
          <w:rFonts w:ascii="Arial" w:hAnsi="Arial" w:cs="Arial"/>
          <w:sz w:val="22"/>
          <w:szCs w:val="22"/>
        </w:rPr>
        <w:t>De esta manera</w:t>
      </w:r>
      <w:r w:rsidR="005B5A64" w:rsidRPr="00A604AD">
        <w:rPr>
          <w:rFonts w:ascii="Arial" w:hAnsi="Arial" w:cs="Arial"/>
          <w:sz w:val="22"/>
          <w:szCs w:val="22"/>
        </w:rPr>
        <w:t xml:space="preserve">, cuando el literal B del numeral 3.10.2 del pliego de condiciones regula liquidación del salario mínimo para la capacidad residual, </w:t>
      </w:r>
      <w:r w:rsidR="005B5A64" w:rsidRPr="00A604AD">
        <w:rPr>
          <w:rFonts w:ascii="Arial" w:hAnsi="Arial" w:cs="Arial"/>
          <w:sz w:val="22"/>
          <w:szCs w:val="22"/>
          <w:lang w:val="es-MX"/>
        </w:rPr>
        <w:t xml:space="preserve">el literal J del numeral 1.17 del documento base –en concordancia con el artículo 1623 del Código Civil– permite </w:t>
      </w:r>
      <w:r w:rsidR="005B5A64" w:rsidRPr="00A604AD">
        <w:rPr>
          <w:rFonts w:ascii="Arial" w:hAnsi="Arial" w:cs="Arial"/>
          <w:i/>
          <w:iCs/>
          <w:sz w:val="22"/>
          <w:szCs w:val="22"/>
          <w:lang w:val="es-MX"/>
        </w:rPr>
        <w:t>extender</w:t>
      </w:r>
      <w:r w:rsidR="005B5A64" w:rsidRPr="00A604AD">
        <w:rPr>
          <w:rFonts w:ascii="Arial" w:hAnsi="Arial" w:cs="Arial"/>
          <w:sz w:val="22"/>
          <w:szCs w:val="22"/>
          <w:lang w:val="es-MX"/>
        </w:rPr>
        <w:t xml:space="preserve"> sus afectos a la verificación de las condiciones de experiencia general y específica</w:t>
      </w:r>
      <w:r w:rsidR="00AE4548" w:rsidRPr="00A604AD">
        <w:rPr>
          <w:rStyle w:val="Refdenotaalpie"/>
          <w:rFonts w:ascii="Arial" w:hAnsi="Arial" w:cs="Arial"/>
          <w:sz w:val="22"/>
          <w:szCs w:val="22"/>
          <w:lang w:val="es-MX"/>
        </w:rPr>
        <w:footnoteReference w:id="4"/>
      </w:r>
      <w:r w:rsidR="005B5A64" w:rsidRPr="00A604AD">
        <w:rPr>
          <w:rFonts w:ascii="Arial" w:hAnsi="Arial" w:cs="Arial"/>
          <w:sz w:val="22"/>
          <w:szCs w:val="22"/>
          <w:lang w:val="es-MX"/>
        </w:rPr>
        <w:t xml:space="preserve">. </w:t>
      </w:r>
      <w:r w:rsidR="0003458F" w:rsidRPr="00A604AD">
        <w:rPr>
          <w:rFonts w:ascii="Arial" w:hAnsi="Arial" w:cs="Arial"/>
          <w:sz w:val="22"/>
          <w:szCs w:val="22"/>
          <w:lang w:val="es-MX"/>
        </w:rPr>
        <w:t>Por tanto</w:t>
      </w:r>
      <w:r w:rsidR="001C3816" w:rsidRPr="00A604AD">
        <w:rPr>
          <w:rFonts w:ascii="Arial" w:hAnsi="Arial" w:cs="Arial"/>
          <w:sz w:val="22"/>
          <w:szCs w:val="22"/>
          <w:lang w:val="es-MX"/>
        </w:rPr>
        <w:t xml:space="preserve">, si el pliego de condiciones se expidió el año pasado y las ofertas se reciben y </w:t>
      </w:r>
      <w:r w:rsidR="0003458F" w:rsidRPr="00A604AD">
        <w:rPr>
          <w:rFonts w:ascii="Arial" w:hAnsi="Arial" w:cs="Arial"/>
          <w:sz w:val="22"/>
          <w:szCs w:val="22"/>
          <w:lang w:val="es-MX"/>
        </w:rPr>
        <w:t>evalúan</w:t>
      </w:r>
      <w:r w:rsidR="001C3816" w:rsidRPr="00A604AD">
        <w:rPr>
          <w:rFonts w:ascii="Arial" w:hAnsi="Arial" w:cs="Arial"/>
          <w:sz w:val="22"/>
          <w:szCs w:val="22"/>
          <w:lang w:val="es-MX"/>
        </w:rPr>
        <w:t xml:space="preserve"> durante el año en curso, la entidad –</w:t>
      </w:r>
      <w:r w:rsidR="0003458F" w:rsidRPr="00A604AD">
        <w:rPr>
          <w:rFonts w:ascii="Arial" w:hAnsi="Arial" w:cs="Arial"/>
          <w:sz w:val="22"/>
          <w:szCs w:val="22"/>
          <w:lang w:val="es-MX"/>
        </w:rPr>
        <w:t>para efectos de los</w:t>
      </w:r>
      <w:r w:rsidR="001C3816" w:rsidRPr="00A604AD">
        <w:rPr>
          <w:rFonts w:ascii="Arial" w:hAnsi="Arial" w:cs="Arial"/>
          <w:sz w:val="22"/>
          <w:szCs w:val="22"/>
          <w:lang w:val="es-MX"/>
        </w:rPr>
        <w:t xml:space="preserve"> numeral</w:t>
      </w:r>
      <w:r w:rsidR="0003458F" w:rsidRPr="00A604AD">
        <w:rPr>
          <w:rFonts w:ascii="Arial" w:hAnsi="Arial" w:cs="Arial"/>
          <w:sz w:val="22"/>
          <w:szCs w:val="22"/>
          <w:lang w:val="es-MX"/>
        </w:rPr>
        <w:t>es</w:t>
      </w:r>
      <w:r w:rsidR="001C3816" w:rsidRPr="00A604AD">
        <w:rPr>
          <w:rFonts w:ascii="Arial" w:hAnsi="Arial" w:cs="Arial"/>
          <w:sz w:val="22"/>
          <w:szCs w:val="22"/>
          <w:lang w:val="es-MX"/>
        </w:rPr>
        <w:t xml:space="preserve"> 3.5.2 y 3.5.8 del documento base anteriormente– debe verificar el requisito habilitante de experiencia general con el salario mínimo de 2021</w:t>
      </w:r>
      <w:r w:rsidR="0003458F" w:rsidRPr="00A604AD">
        <w:rPr>
          <w:rFonts w:ascii="Arial" w:hAnsi="Arial" w:cs="Arial"/>
          <w:sz w:val="22"/>
          <w:szCs w:val="22"/>
          <w:lang w:val="es-MX"/>
        </w:rPr>
        <w:t xml:space="preserve">, criterio que </w:t>
      </w:r>
      <w:r w:rsidR="001C3816" w:rsidRPr="00A604AD">
        <w:rPr>
          <w:rFonts w:ascii="Arial" w:hAnsi="Arial" w:cs="Arial"/>
          <w:sz w:val="22"/>
          <w:szCs w:val="22"/>
          <w:lang w:val="es-MX"/>
        </w:rPr>
        <w:t>aplica</w:t>
      </w:r>
      <w:r w:rsidR="0003458F" w:rsidRPr="00A604AD">
        <w:rPr>
          <w:rFonts w:ascii="Arial" w:hAnsi="Arial" w:cs="Arial"/>
          <w:sz w:val="22"/>
          <w:szCs w:val="22"/>
          <w:lang w:val="es-MX"/>
        </w:rPr>
        <w:t xml:space="preserve"> también</w:t>
      </w:r>
      <w:r w:rsidR="001C3816" w:rsidRPr="00A604AD">
        <w:rPr>
          <w:rFonts w:ascii="Arial" w:hAnsi="Arial" w:cs="Arial"/>
          <w:sz w:val="22"/>
          <w:szCs w:val="22"/>
          <w:lang w:val="es-MX"/>
        </w:rPr>
        <w:t xml:space="preserve"> a las condiciones de experiencia específica previstas en la matriz 1.</w:t>
      </w:r>
      <w:r w:rsidR="001C3816">
        <w:rPr>
          <w:rFonts w:ascii="Arial" w:hAnsi="Arial" w:cs="Arial"/>
          <w:sz w:val="22"/>
          <w:szCs w:val="22"/>
          <w:lang w:val="es-MX"/>
        </w:rPr>
        <w:t xml:space="preserve"> </w:t>
      </w:r>
    </w:p>
    <w:p w14:paraId="465FC849" w14:textId="77777777" w:rsidR="00947602" w:rsidRPr="000769D0" w:rsidRDefault="00947602" w:rsidP="0066040D">
      <w:pPr>
        <w:spacing w:line="276" w:lineRule="auto"/>
        <w:ind w:firstLine="709"/>
        <w:jc w:val="both"/>
        <w:rPr>
          <w:rFonts w:ascii="Arial" w:hAnsi="Arial" w:cs="Arial"/>
          <w:sz w:val="22"/>
          <w:szCs w:val="22"/>
          <w:lang w:val="es-MX"/>
        </w:rPr>
      </w:pPr>
    </w:p>
    <w:p w14:paraId="128CF2FB" w14:textId="63937F8B" w:rsidR="00663BF6" w:rsidRPr="000769D0" w:rsidRDefault="00663BF6" w:rsidP="00663BF6">
      <w:pPr>
        <w:numPr>
          <w:ilvl w:val="0"/>
          <w:numId w:val="2"/>
        </w:numPr>
        <w:tabs>
          <w:tab w:val="left" w:pos="284"/>
        </w:tabs>
        <w:spacing w:line="276" w:lineRule="auto"/>
        <w:contextualSpacing/>
        <w:jc w:val="both"/>
        <w:rPr>
          <w:rFonts w:ascii="Arial" w:eastAsia="Calibri" w:hAnsi="Arial" w:cs="Arial"/>
          <w:sz w:val="22"/>
          <w:szCs w:val="22"/>
          <w:lang w:val="es-MX"/>
        </w:rPr>
      </w:pPr>
      <w:r w:rsidRPr="000769D0">
        <w:rPr>
          <w:rFonts w:ascii="Arial" w:eastAsia="Calibri" w:hAnsi="Arial" w:cs="Arial"/>
          <w:b/>
          <w:sz w:val="22"/>
          <w:szCs w:val="22"/>
          <w:lang w:val="es-MX"/>
        </w:rPr>
        <w:t>Respuesta</w:t>
      </w:r>
    </w:p>
    <w:p w14:paraId="4452521D" w14:textId="77777777" w:rsidR="00663BF6" w:rsidRPr="00BB402C" w:rsidRDefault="00663BF6" w:rsidP="00663BF6">
      <w:pPr>
        <w:spacing w:line="276" w:lineRule="auto"/>
        <w:ind w:right="709"/>
        <w:jc w:val="both"/>
        <w:rPr>
          <w:rFonts w:ascii="Arial" w:eastAsia="Calibri" w:hAnsi="Arial" w:cs="Arial"/>
          <w:iCs/>
          <w:lang w:val="es-MX"/>
        </w:rPr>
      </w:pPr>
    </w:p>
    <w:p w14:paraId="3E871F16" w14:textId="664FBD0F" w:rsidR="00E872B7" w:rsidRDefault="007234B9" w:rsidP="00927538">
      <w:pPr>
        <w:ind w:left="709" w:right="709"/>
        <w:jc w:val="both"/>
        <w:rPr>
          <w:rFonts w:ascii="Arial" w:hAnsi="Arial" w:cs="Arial"/>
          <w:lang w:val="es-ES"/>
        </w:rPr>
      </w:pPr>
      <w:r w:rsidRPr="007234B9">
        <w:rPr>
          <w:rFonts w:ascii="Arial" w:hAnsi="Arial" w:cs="Arial"/>
          <w:sz w:val="21"/>
          <w:szCs w:val="21"/>
          <w:lang w:val="es-ES_tradnl"/>
        </w:rPr>
        <w:t>«</w:t>
      </w:r>
      <w:r w:rsidR="00A92E3E" w:rsidRPr="00A92E3E">
        <w:rPr>
          <w:rFonts w:ascii="Arial" w:hAnsi="Arial" w:cs="Arial"/>
          <w:sz w:val="21"/>
          <w:szCs w:val="21"/>
        </w:rPr>
        <w:t xml:space="preserve">En una lectura de los diferentes documentos tipo en el numeral 3.5 acerca de la experiencia algunos de los </w:t>
      </w:r>
      <w:proofErr w:type="spellStart"/>
      <w:r w:rsidR="00A92E3E" w:rsidRPr="00A92E3E">
        <w:rPr>
          <w:rFonts w:ascii="Arial" w:hAnsi="Arial" w:cs="Arial"/>
          <w:sz w:val="21"/>
          <w:szCs w:val="21"/>
        </w:rPr>
        <w:t>items</w:t>
      </w:r>
      <w:proofErr w:type="spellEnd"/>
      <w:r w:rsidR="00A92E3E" w:rsidRPr="00A92E3E">
        <w:rPr>
          <w:rFonts w:ascii="Arial" w:hAnsi="Arial" w:cs="Arial"/>
          <w:sz w:val="21"/>
          <w:szCs w:val="21"/>
        </w:rPr>
        <w:t xml:space="preserve"> necesarios para acreditar la experiencia se requieren indexar el valor del POE al salarios mínimos mensuales legales vigentes, en caso de un inicio de año y que las fechas de publicación de Proyecto de Pliego de Condiciones, Pliego de Condiciones Definitivo y Fecha de Presentación de la oferta están ubicadas en años diferentes el pliego no </w:t>
      </w:r>
      <w:r w:rsidR="00A92E3E" w:rsidRPr="00A92E3E">
        <w:rPr>
          <w:rFonts w:ascii="Arial" w:hAnsi="Arial" w:cs="Arial"/>
          <w:sz w:val="21"/>
          <w:szCs w:val="21"/>
        </w:rPr>
        <w:lastRenderedPageBreak/>
        <w:t xml:space="preserve">especifica cual es el año de referencia para la expresión del POE en </w:t>
      </w:r>
      <w:proofErr w:type="spellStart"/>
      <w:r w:rsidR="00A92E3E" w:rsidRPr="00A92E3E">
        <w:rPr>
          <w:rFonts w:ascii="Arial" w:hAnsi="Arial" w:cs="Arial"/>
          <w:sz w:val="21"/>
          <w:szCs w:val="21"/>
        </w:rPr>
        <w:t>smmlv</w:t>
      </w:r>
      <w:proofErr w:type="spellEnd"/>
      <w:r w:rsidR="00A92E3E" w:rsidRPr="00A92E3E">
        <w:rPr>
          <w:rFonts w:ascii="Arial" w:hAnsi="Arial" w:cs="Arial"/>
          <w:sz w:val="21"/>
          <w:szCs w:val="21"/>
        </w:rPr>
        <w:t>. Sin embargo en e</w:t>
      </w:r>
      <w:r w:rsidR="00A92E3E">
        <w:rPr>
          <w:rFonts w:ascii="Arial" w:hAnsi="Arial" w:cs="Arial"/>
          <w:sz w:val="21"/>
          <w:szCs w:val="21"/>
        </w:rPr>
        <w:t>l</w:t>
      </w:r>
      <w:r w:rsidR="00A92E3E" w:rsidRPr="00A92E3E">
        <w:rPr>
          <w:rFonts w:ascii="Arial" w:hAnsi="Arial" w:cs="Arial"/>
          <w:sz w:val="21"/>
          <w:szCs w:val="21"/>
        </w:rPr>
        <w:t xml:space="preserve"> numeral 3.10.2 sobre el CÁLCULO DE LA CAPACIDAD RESIDUAL DEL PROPONENTE en el literal B EXPERIENCIA, se manifiesta que "el presupuesto oficial estimado debe ser liquidado con el SMMLV para el año de publicación del pliego de condiciones definitivo del proceso de contratación"</w:t>
      </w:r>
      <w:r w:rsidR="00A92E3E">
        <w:rPr>
          <w:rFonts w:ascii="Arial" w:hAnsi="Arial" w:cs="Arial"/>
          <w:sz w:val="21"/>
          <w:szCs w:val="21"/>
        </w:rPr>
        <w:t xml:space="preserve"> </w:t>
      </w:r>
      <w:r w:rsidR="00A92E3E" w:rsidRPr="00A92E3E">
        <w:rPr>
          <w:rFonts w:ascii="Arial" w:hAnsi="Arial" w:cs="Arial"/>
          <w:sz w:val="21"/>
          <w:szCs w:val="21"/>
        </w:rPr>
        <w:t>pero no menciona si esto aplica también para el ítem de experiencia. Mi pregunta es sí</w:t>
      </w:r>
      <w:r w:rsidR="00A92E3E">
        <w:rPr>
          <w:rFonts w:ascii="Arial" w:hAnsi="Arial" w:cs="Arial"/>
          <w:sz w:val="21"/>
          <w:szCs w:val="21"/>
        </w:rPr>
        <w:t xml:space="preserve"> </w:t>
      </w:r>
      <w:r w:rsidR="00A92E3E" w:rsidRPr="00A92E3E">
        <w:rPr>
          <w:rFonts w:ascii="Arial" w:hAnsi="Arial" w:cs="Arial"/>
          <w:sz w:val="21"/>
          <w:szCs w:val="21"/>
        </w:rPr>
        <w:t xml:space="preserve">¿lo mencionado en el numeral 3.10.2 literal b de los documentos tipo también aplica al numeral 3.5 sobre la acreditación de la experiencia del POE? y en caso tal de que no ¿Cuál es el año que se debe usar como referencia para la expresar el POE en </w:t>
      </w:r>
      <w:proofErr w:type="spellStart"/>
      <w:r w:rsidR="00A92E3E" w:rsidRPr="00A92E3E">
        <w:rPr>
          <w:rFonts w:ascii="Arial" w:hAnsi="Arial" w:cs="Arial"/>
          <w:sz w:val="21"/>
          <w:szCs w:val="21"/>
        </w:rPr>
        <w:t>smmlv</w:t>
      </w:r>
      <w:proofErr w:type="spellEnd"/>
      <w:r w:rsidR="00A92E3E" w:rsidRPr="00A92E3E">
        <w:rPr>
          <w:rFonts w:ascii="Arial" w:hAnsi="Arial" w:cs="Arial"/>
          <w:sz w:val="21"/>
          <w:szCs w:val="21"/>
        </w:rPr>
        <w:t>?</w:t>
      </w:r>
      <w:r w:rsidR="00A92E3E">
        <w:rPr>
          <w:rFonts w:ascii="Arial" w:hAnsi="Arial" w:cs="Arial"/>
          <w:sz w:val="21"/>
          <w:szCs w:val="21"/>
        </w:rPr>
        <w:t>».</w:t>
      </w:r>
    </w:p>
    <w:p w14:paraId="78B4E61D" w14:textId="77777777" w:rsidR="00940C75" w:rsidRPr="00940C75" w:rsidRDefault="00940C75" w:rsidP="00940C75">
      <w:pPr>
        <w:spacing w:line="276" w:lineRule="auto"/>
        <w:ind w:left="709" w:right="709"/>
        <w:jc w:val="both"/>
        <w:rPr>
          <w:rFonts w:ascii="Arial" w:hAnsi="Arial" w:cs="Arial"/>
          <w:lang w:val="es-ES"/>
        </w:rPr>
      </w:pPr>
    </w:p>
    <w:bookmarkEnd w:id="1"/>
    <w:p w14:paraId="2D940356" w14:textId="630CFDAA" w:rsidR="00524CE3" w:rsidRPr="00A604AD" w:rsidRDefault="00524CE3" w:rsidP="0066040D">
      <w:pPr>
        <w:spacing w:after="120" w:line="276" w:lineRule="auto"/>
        <w:jc w:val="both"/>
        <w:rPr>
          <w:rFonts w:ascii="Arial" w:eastAsia="Calibri" w:hAnsi="Arial" w:cs="Arial"/>
          <w:bCs/>
          <w:color w:val="000000" w:themeColor="text1"/>
          <w:sz w:val="22"/>
          <w:szCs w:val="22"/>
        </w:rPr>
      </w:pPr>
      <w:r w:rsidRPr="00A604AD">
        <w:rPr>
          <w:rFonts w:ascii="Arial" w:eastAsia="Calibri" w:hAnsi="Arial" w:cs="Arial"/>
          <w:bCs/>
          <w:color w:val="000000" w:themeColor="text1"/>
          <w:sz w:val="22"/>
          <w:szCs w:val="22"/>
          <w:lang w:val="es-MX"/>
        </w:rPr>
        <w:t xml:space="preserve">Para los «Documentos Tipo – Versión 3» de licitación de obra pública para infraestructura de transporte, respecto del factor de experiencia </w:t>
      </w:r>
      <w:r w:rsidRPr="00A604AD">
        <w:rPr>
          <w:rFonts w:ascii="Arial" w:eastAsia="Calibri" w:hAnsi="Arial" w:cs="Arial"/>
          <w:bCs/>
          <w:color w:val="000000" w:themeColor="text1"/>
          <w:sz w:val="22"/>
          <w:szCs w:val="22"/>
        </w:rPr>
        <w:t>«E» de la capacidad residual,</w:t>
      </w:r>
      <w:r w:rsidRPr="00A604AD">
        <w:rPr>
          <w:rFonts w:ascii="Arial" w:hAnsi="Arial" w:cs="Arial"/>
          <w:sz w:val="22"/>
          <w:szCs w:val="22"/>
        </w:rPr>
        <w:t xml:space="preserve"> es necesario tener en cuenta que la guía para determinar y verificar este requisito habilitante –al igual que el literal B del numeral 3.10.2 del pliego de condiciones–</w:t>
      </w:r>
      <w:r w:rsidRPr="00A604AD">
        <w:rPr>
          <w:rFonts w:ascii="Arial" w:hAnsi="Arial" w:cs="Arial"/>
          <w:i/>
          <w:iCs/>
          <w:sz w:val="22"/>
          <w:szCs w:val="22"/>
        </w:rPr>
        <w:t xml:space="preserve"> </w:t>
      </w:r>
      <w:r w:rsidRPr="00A604AD">
        <w:rPr>
          <w:rFonts w:ascii="Arial" w:hAnsi="Arial" w:cs="Arial"/>
          <w:sz w:val="22"/>
          <w:szCs w:val="22"/>
        </w:rPr>
        <w:t>dispone que se acredita «[…]</w:t>
      </w:r>
      <w:r w:rsidRPr="00A604AD">
        <w:t xml:space="preserve"> </w:t>
      </w:r>
      <w:r w:rsidRPr="00A604AD">
        <w:rPr>
          <w:rFonts w:ascii="Arial" w:hAnsi="Arial" w:cs="Arial"/>
          <w:sz w:val="22"/>
          <w:szCs w:val="22"/>
        </w:rPr>
        <w:t>por medio de la relación entre: (i) el valor total en pesos de los contratos relacionados con la actividad de la construcción inscritos por el proponente en el RUP en el segmento 72 “Servicios de Edificación, Construcción de Instalaciones y Mantenimiento” del Clasificador de Bienes y Servicios; y (ii) el presupuesto oficial estimado del Proceso de Contratación»</w:t>
      </w:r>
      <w:r w:rsidRPr="00A604AD">
        <w:rPr>
          <w:rFonts w:ascii="Arial" w:eastAsia="Calibri" w:hAnsi="Arial" w:cs="Arial"/>
          <w:bCs/>
          <w:color w:val="000000" w:themeColor="text1"/>
          <w:sz w:val="22"/>
          <w:szCs w:val="22"/>
        </w:rPr>
        <w:t>. En esta medida, el presupuesto oficial estimado es una variable relevante tanto para el cálculo de la capacidad residual como para la acreditación de la experiencia general y específica en los términos explicados en apartado 2.1.</w:t>
      </w:r>
    </w:p>
    <w:p w14:paraId="2250CD0A" w14:textId="2AB47824" w:rsidR="00524CE3" w:rsidRPr="00A604AD" w:rsidRDefault="00524CE3" w:rsidP="00524CE3">
      <w:pPr>
        <w:spacing w:after="120" w:line="276" w:lineRule="auto"/>
        <w:ind w:firstLine="709"/>
        <w:jc w:val="both"/>
        <w:rPr>
          <w:rFonts w:ascii="Arial" w:hAnsi="Arial" w:cs="Arial"/>
          <w:sz w:val="22"/>
          <w:szCs w:val="22"/>
          <w:lang w:val="es-MX"/>
        </w:rPr>
      </w:pPr>
      <w:r w:rsidRPr="00A604AD">
        <w:rPr>
          <w:rFonts w:ascii="Arial" w:hAnsi="Arial" w:cs="Arial"/>
          <w:sz w:val="22"/>
          <w:szCs w:val="22"/>
        </w:rPr>
        <w:t xml:space="preserve">De acuerdo </w:t>
      </w:r>
      <w:r w:rsidR="00BB2CD4" w:rsidRPr="00A604AD">
        <w:rPr>
          <w:rFonts w:ascii="Arial" w:hAnsi="Arial" w:cs="Arial"/>
          <w:sz w:val="22"/>
          <w:szCs w:val="22"/>
        </w:rPr>
        <w:t xml:space="preserve">con </w:t>
      </w:r>
      <w:r w:rsidRPr="00A604AD">
        <w:rPr>
          <w:rFonts w:ascii="Arial" w:hAnsi="Arial" w:cs="Arial"/>
          <w:sz w:val="22"/>
          <w:szCs w:val="22"/>
        </w:rPr>
        <w:t>el numeral 1.40 del «Anexo 3 – Glosario», el presupuesto oficial estimado corresponde al «</w:t>
      </w:r>
      <w:r w:rsidRPr="00A604AD">
        <w:rPr>
          <w:rFonts w:ascii="Arial" w:hAnsi="Arial" w:cs="Arial"/>
          <w:sz w:val="22"/>
          <w:szCs w:val="22"/>
          <w:lang w:val="es-ES"/>
        </w:rPr>
        <w:t xml:space="preserve">Valor total que la Entidad Estatal determina como necesario para ejecutar el objeto del contrato con base en el estudio previo y el análisis del sector». Respecto a la </w:t>
      </w:r>
      <w:r w:rsidRPr="00A604AD">
        <w:rPr>
          <w:rFonts w:ascii="Arial" w:hAnsi="Arial" w:cs="Arial"/>
          <w:sz w:val="22"/>
          <w:szCs w:val="22"/>
        </w:rPr>
        <w:t xml:space="preserve">capacidad residual, el literal B del numeral 3.10.2 del pliego de condiciones dispone que este «[…] </w:t>
      </w:r>
      <w:r w:rsidRPr="00A604AD">
        <w:rPr>
          <w:rFonts w:ascii="Arial" w:hAnsi="Arial" w:cs="Arial"/>
          <w:sz w:val="22"/>
          <w:szCs w:val="22"/>
          <w:lang w:val="es-MX"/>
        </w:rPr>
        <w:t xml:space="preserve">debe ser liquidado con el SMMLV para el año de publicación del pliego de condiciones definitivo del proceso de contratación». Lo importante es que para la acreditación de experiencia general y específica aplica este mismo criterio, pues la liquidación del presupuesto oficial conforme al SMMLV para el año de publicación del pliego de condiciones definitivo es una circunstancia transversal al pliego de condiciones. </w:t>
      </w:r>
    </w:p>
    <w:p w14:paraId="10D6C776" w14:textId="77777777" w:rsidR="00524CE3" w:rsidRPr="00A604AD" w:rsidRDefault="00524CE3" w:rsidP="00524CE3">
      <w:pPr>
        <w:spacing w:after="120" w:line="276" w:lineRule="auto"/>
        <w:ind w:firstLine="709"/>
        <w:jc w:val="both"/>
        <w:rPr>
          <w:rFonts w:ascii="Arial" w:hAnsi="Arial" w:cs="Arial"/>
          <w:sz w:val="22"/>
          <w:szCs w:val="22"/>
          <w:lang w:val="es-MX"/>
        </w:rPr>
      </w:pPr>
      <w:r w:rsidRPr="00A604AD">
        <w:rPr>
          <w:rFonts w:ascii="Arial" w:hAnsi="Arial" w:cs="Arial"/>
          <w:sz w:val="22"/>
          <w:szCs w:val="22"/>
          <w:lang w:val="es-MX"/>
        </w:rPr>
        <w:t xml:space="preserve">Esta idea deriva del literal J del numeral 1.17 del documento base, el cual regula las normas de interpretación del documento base. En efecto, dicho apartado dispone que «Este pliego se interpretará, además, en lo pertinente, de conformidad con las reglas del código civil definidas en los artículos 1618 a 1624». Estas reglas del Código Civil regulan la interpretación de los contratos. Concretamente el artículo 1623 </w:t>
      </w:r>
      <w:r w:rsidRPr="00A604AD">
        <w:rPr>
          <w:rFonts w:ascii="Arial" w:hAnsi="Arial" w:cs="Arial"/>
          <w:i/>
          <w:iCs/>
          <w:sz w:val="22"/>
          <w:szCs w:val="22"/>
          <w:lang w:val="es-MX"/>
        </w:rPr>
        <w:t>ibidem</w:t>
      </w:r>
      <w:r w:rsidRPr="00A604AD">
        <w:rPr>
          <w:rFonts w:ascii="Arial" w:hAnsi="Arial" w:cs="Arial"/>
          <w:sz w:val="22"/>
          <w:szCs w:val="22"/>
          <w:lang w:val="es-MX"/>
        </w:rPr>
        <w:t xml:space="preserve"> dispone que «</w:t>
      </w:r>
      <w:r w:rsidRPr="00A604AD">
        <w:rPr>
          <w:rFonts w:ascii="Arial" w:hAnsi="Arial" w:cs="Arial"/>
          <w:sz w:val="22"/>
          <w:szCs w:val="22"/>
        </w:rPr>
        <w:t xml:space="preserve">Cuando en un contrato se ha expresado un caso para explicar la obligación, no se entenderá por solo eso haberse querido restringir la convención a ese caso, excluyendo los otros a que naturalmente se extienda». </w:t>
      </w:r>
    </w:p>
    <w:p w14:paraId="1AAEB0A4" w14:textId="66F90F4A" w:rsidR="00524CE3" w:rsidRPr="004973DB" w:rsidRDefault="00524CE3" w:rsidP="00524CE3">
      <w:pPr>
        <w:spacing w:line="276" w:lineRule="auto"/>
        <w:ind w:firstLine="709"/>
        <w:jc w:val="both"/>
        <w:rPr>
          <w:rFonts w:ascii="Arial" w:hAnsi="Arial" w:cs="Arial"/>
          <w:sz w:val="22"/>
          <w:szCs w:val="22"/>
          <w:lang w:val="es-MX"/>
        </w:rPr>
      </w:pPr>
      <w:r w:rsidRPr="00A604AD">
        <w:rPr>
          <w:rFonts w:ascii="Arial" w:hAnsi="Arial" w:cs="Arial"/>
          <w:sz w:val="22"/>
          <w:szCs w:val="22"/>
        </w:rPr>
        <w:t xml:space="preserve">De esta manera, cuando el literal B del numeral 3.10.2 del pliego de condiciones regula </w:t>
      </w:r>
      <w:r w:rsidR="00F26C08" w:rsidRPr="00A604AD">
        <w:rPr>
          <w:rFonts w:ascii="Arial" w:hAnsi="Arial" w:cs="Arial"/>
          <w:sz w:val="22"/>
          <w:szCs w:val="22"/>
        </w:rPr>
        <w:t xml:space="preserve">la </w:t>
      </w:r>
      <w:r w:rsidRPr="00A604AD">
        <w:rPr>
          <w:rFonts w:ascii="Arial" w:hAnsi="Arial" w:cs="Arial"/>
          <w:sz w:val="22"/>
          <w:szCs w:val="22"/>
        </w:rPr>
        <w:t xml:space="preserve">liquidación del salario mínimo para la capacidad residual, </w:t>
      </w:r>
      <w:r w:rsidRPr="00A604AD">
        <w:rPr>
          <w:rFonts w:ascii="Arial" w:hAnsi="Arial" w:cs="Arial"/>
          <w:sz w:val="22"/>
          <w:szCs w:val="22"/>
          <w:lang w:val="es-MX"/>
        </w:rPr>
        <w:t xml:space="preserve">el literal J del numeral 1.17 del documento base –en concordancia con el artículo 1623 del Código Civil– permite </w:t>
      </w:r>
      <w:r w:rsidRPr="00A604AD">
        <w:rPr>
          <w:rFonts w:ascii="Arial" w:hAnsi="Arial" w:cs="Arial"/>
          <w:i/>
          <w:iCs/>
          <w:sz w:val="22"/>
          <w:szCs w:val="22"/>
          <w:lang w:val="es-MX"/>
        </w:rPr>
        <w:lastRenderedPageBreak/>
        <w:t>extender</w:t>
      </w:r>
      <w:r w:rsidRPr="00A604AD">
        <w:rPr>
          <w:rFonts w:ascii="Arial" w:hAnsi="Arial" w:cs="Arial"/>
          <w:sz w:val="22"/>
          <w:szCs w:val="22"/>
          <w:lang w:val="es-MX"/>
        </w:rPr>
        <w:t xml:space="preserve"> sus afectos a la verificación de las condiciones de experiencia general y específica. Por tanto, si el pliego de condiciones se expidió el año pasado y las ofertas se reciben y evalúan durante el año en curso, la entidad –para efectos de los numerales 3.5.2 y 3.5.8 del documento base anteriormente– debe verificar el requisito habilitante de experiencia general con el salario mínimo de 2021, criterio que aplica también a las condiciones de experiencia específica previstas en la matriz 1.</w:t>
      </w:r>
      <w:r>
        <w:rPr>
          <w:rFonts w:ascii="Arial" w:hAnsi="Arial" w:cs="Arial"/>
          <w:sz w:val="22"/>
          <w:szCs w:val="22"/>
          <w:lang w:val="es-MX"/>
        </w:rPr>
        <w:t xml:space="preserve"> </w:t>
      </w:r>
    </w:p>
    <w:p w14:paraId="28718CED" w14:textId="77777777" w:rsidR="001D4CAE" w:rsidRPr="000769D0" w:rsidRDefault="001D4CAE" w:rsidP="0066040D">
      <w:pPr>
        <w:spacing w:after="120"/>
        <w:ind w:right="709"/>
        <w:jc w:val="both"/>
        <w:rPr>
          <w:rFonts w:ascii="Arial" w:hAnsi="Arial" w:cs="Arial"/>
          <w:sz w:val="22"/>
          <w:szCs w:val="22"/>
        </w:rPr>
      </w:pPr>
    </w:p>
    <w:p w14:paraId="44581FDA" w14:textId="77777777" w:rsidR="00663BF6" w:rsidRPr="000769D0" w:rsidRDefault="00663BF6" w:rsidP="00663BF6">
      <w:pPr>
        <w:spacing w:line="276" w:lineRule="auto"/>
        <w:jc w:val="both"/>
        <w:rPr>
          <w:rFonts w:ascii="Arial" w:eastAsia="Calibri" w:hAnsi="Arial" w:cs="Arial"/>
          <w:sz w:val="22"/>
          <w:szCs w:val="22"/>
          <w:lang w:val="es-MX"/>
        </w:rPr>
      </w:pPr>
      <w:bookmarkStart w:id="5" w:name="_Hlk91594455"/>
      <w:r w:rsidRPr="000769D0">
        <w:rPr>
          <w:rFonts w:ascii="Arial" w:eastAsia="Calibri" w:hAnsi="Arial" w:cs="Arial"/>
          <w:sz w:val="22"/>
          <w:szCs w:val="22"/>
          <w:lang w:val="es-MX"/>
        </w:rPr>
        <w:t>Este concepto tiene el alcance previsto en el artículo 28 del Código de Procedimiento Administrativo y de lo Contencioso Administrativo.</w:t>
      </w:r>
    </w:p>
    <w:p w14:paraId="03CAC03F" w14:textId="77777777" w:rsidR="00663BF6" w:rsidRPr="000769D0" w:rsidRDefault="00663BF6" w:rsidP="00663BF6">
      <w:pPr>
        <w:jc w:val="both"/>
        <w:rPr>
          <w:rFonts w:ascii="Arial" w:eastAsia="Calibri" w:hAnsi="Arial" w:cs="Arial"/>
          <w:sz w:val="22"/>
          <w:szCs w:val="22"/>
          <w:lang w:val="es-MX"/>
        </w:rPr>
      </w:pPr>
      <w:r w:rsidRPr="000769D0">
        <w:rPr>
          <w:noProof/>
          <w:sz w:val="22"/>
          <w:szCs w:val="22"/>
          <w:lang w:val="en-US"/>
        </w:rPr>
        <mc:AlternateContent>
          <mc:Choice Requires="wps">
            <w:drawing>
              <wp:anchor distT="0" distB="0" distL="114300" distR="114300" simplePos="0" relativeHeight="251659264" behindDoc="0" locked="0" layoutInCell="1" allowOverlap="1" wp14:anchorId="0C5C0C32" wp14:editId="424C8745">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032B15B"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24D63C50" w14:textId="73E16CDC" w:rsidR="00663BF6" w:rsidRPr="000769D0" w:rsidRDefault="00663BF6" w:rsidP="00DF6CB4">
      <w:pPr>
        <w:rPr>
          <w:rFonts w:ascii="Arial" w:hAnsi="Arial" w:cs="Arial"/>
          <w:sz w:val="22"/>
          <w:szCs w:val="22"/>
          <w:lang w:val="es-MX" w:eastAsia="es-CO"/>
        </w:rPr>
      </w:pPr>
      <w:r w:rsidRPr="000769D0">
        <w:rPr>
          <w:rFonts w:ascii="Arial" w:hAnsi="Arial" w:cs="Arial"/>
          <w:sz w:val="22"/>
          <w:szCs w:val="22"/>
          <w:lang w:val="es-MX" w:eastAsia="es-CO"/>
        </w:rPr>
        <w:t>Atentamente,</w:t>
      </w:r>
    </w:p>
    <w:p w14:paraId="49D496B0" w14:textId="5591393F" w:rsidR="00663BF6" w:rsidRPr="008B2D1D" w:rsidRDefault="00A102EF" w:rsidP="00663BF6">
      <w:pPr>
        <w:spacing w:line="276" w:lineRule="auto"/>
        <w:jc w:val="center"/>
        <w:rPr>
          <w:rFonts w:ascii="Arial" w:hAnsi="Arial" w:cs="Arial"/>
          <w:color w:val="000000"/>
          <w:lang w:val="es-ES_tradnl" w:eastAsia="es-CO"/>
        </w:rPr>
      </w:pPr>
      <w:r>
        <w:rPr>
          <w:noProof/>
        </w:rPr>
        <w:drawing>
          <wp:inline distT="0" distB="0" distL="0" distR="0" wp14:anchorId="3F4E135B" wp14:editId="3149725C">
            <wp:extent cx="2371725" cy="1000125"/>
            <wp:effectExtent l="0" t="0" r="0" b="0"/>
            <wp:docPr id="618322011" name="Imagen 61832201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322011" name="Imagen 61832201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371725" cy="1000125"/>
                    </a:xfrm>
                    <a:prstGeom prst="rect">
                      <a:avLst/>
                    </a:prstGeom>
                  </pic:spPr>
                </pic:pic>
              </a:graphicData>
            </a:graphic>
          </wp:inline>
        </w:drawing>
      </w:r>
    </w:p>
    <w:tbl>
      <w:tblPr>
        <w:tblStyle w:val="Tablaconcuadrcula"/>
        <w:tblW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94"/>
      </w:tblGrid>
      <w:tr w:rsidR="00770721" w:rsidRPr="009C0CE5" w14:paraId="79C67195" w14:textId="77777777" w:rsidTr="0066040D">
        <w:trPr>
          <w:trHeight w:val="315"/>
        </w:trPr>
        <w:tc>
          <w:tcPr>
            <w:tcW w:w="851" w:type="dxa"/>
            <w:tcBorders>
              <w:top w:val="nil"/>
              <w:left w:val="nil"/>
              <w:bottom w:val="dotted" w:sz="4" w:space="0" w:color="7F7F7F"/>
              <w:right w:val="nil"/>
            </w:tcBorders>
            <w:vAlign w:val="center"/>
          </w:tcPr>
          <w:bookmarkEnd w:id="5"/>
          <w:p w14:paraId="6AB674B2" w14:textId="45759D7B" w:rsidR="00770721" w:rsidRDefault="00770721" w:rsidP="00770721">
            <w:pPr>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Elaboró:</w:t>
            </w:r>
          </w:p>
        </w:tc>
        <w:tc>
          <w:tcPr>
            <w:tcW w:w="4394" w:type="dxa"/>
            <w:tcBorders>
              <w:top w:val="nil"/>
              <w:left w:val="nil"/>
              <w:bottom w:val="dotted" w:sz="4" w:space="0" w:color="7F7F7F"/>
              <w:right w:val="nil"/>
            </w:tcBorders>
            <w:vAlign w:val="center"/>
            <w:hideMark/>
          </w:tcPr>
          <w:p w14:paraId="509A1C77" w14:textId="57015F6B" w:rsidR="00770721" w:rsidRPr="009C0CE5" w:rsidRDefault="00770721" w:rsidP="00770721">
            <w:pPr>
              <w:rPr>
                <w:rFonts w:ascii="Arial" w:eastAsia="Calibri" w:hAnsi="Arial" w:cs="Arial"/>
                <w:sz w:val="16"/>
                <w:szCs w:val="16"/>
                <w:lang w:val="es-ES_tradnl" w:eastAsia="es-ES"/>
              </w:rPr>
            </w:pPr>
            <w:r>
              <w:rPr>
                <w:rFonts w:ascii="Arial" w:eastAsia="Calibri" w:hAnsi="Arial" w:cs="Arial"/>
                <w:sz w:val="16"/>
                <w:szCs w:val="16"/>
                <w:lang w:val="es-ES_tradnl" w:eastAsia="es-ES"/>
              </w:rPr>
              <w:t>Felipe Bastidas Paredes</w:t>
            </w:r>
          </w:p>
          <w:p w14:paraId="4342EE8D" w14:textId="77777777" w:rsidR="00770721" w:rsidRPr="009C0CE5" w:rsidRDefault="00770721" w:rsidP="00770721">
            <w:pPr>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Contratista de la Subdirección de Gestión Contractual</w:t>
            </w:r>
          </w:p>
        </w:tc>
      </w:tr>
      <w:tr w:rsidR="00770721" w:rsidRPr="009C0CE5" w14:paraId="3C12855E" w14:textId="77777777" w:rsidTr="0066040D">
        <w:trPr>
          <w:trHeight w:val="330"/>
        </w:trPr>
        <w:tc>
          <w:tcPr>
            <w:tcW w:w="851" w:type="dxa"/>
            <w:tcBorders>
              <w:top w:val="dotted" w:sz="4" w:space="0" w:color="7F7F7F"/>
              <w:left w:val="nil"/>
              <w:bottom w:val="dotted" w:sz="4" w:space="0" w:color="7F7F7F"/>
              <w:right w:val="nil"/>
            </w:tcBorders>
            <w:vAlign w:val="center"/>
          </w:tcPr>
          <w:p w14:paraId="613839A1" w14:textId="4C2740AA" w:rsidR="00770721" w:rsidRDefault="00770721" w:rsidP="00770721">
            <w:pPr>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Revisó:</w:t>
            </w:r>
          </w:p>
        </w:tc>
        <w:tc>
          <w:tcPr>
            <w:tcW w:w="4394" w:type="dxa"/>
            <w:tcBorders>
              <w:top w:val="dotted" w:sz="4" w:space="0" w:color="7F7F7F"/>
              <w:left w:val="nil"/>
              <w:bottom w:val="dotted" w:sz="4" w:space="0" w:color="7F7F7F"/>
              <w:right w:val="nil"/>
            </w:tcBorders>
            <w:vAlign w:val="center"/>
            <w:hideMark/>
          </w:tcPr>
          <w:p w14:paraId="4D006394" w14:textId="3F0FEE5D" w:rsidR="00770721" w:rsidRPr="009C0CE5" w:rsidRDefault="00770721" w:rsidP="00770721">
            <w:pPr>
              <w:rPr>
                <w:rFonts w:ascii="Arial" w:eastAsia="Calibri" w:hAnsi="Arial" w:cs="Arial"/>
                <w:sz w:val="16"/>
                <w:szCs w:val="16"/>
                <w:lang w:val="es-ES_tradnl" w:eastAsia="es-ES"/>
              </w:rPr>
            </w:pPr>
            <w:r>
              <w:rPr>
                <w:rFonts w:ascii="Arial" w:eastAsia="Calibri" w:hAnsi="Arial" w:cs="Arial"/>
                <w:sz w:val="16"/>
                <w:szCs w:val="16"/>
                <w:lang w:val="es-ES_tradnl" w:eastAsia="es-ES"/>
              </w:rPr>
              <w:t xml:space="preserve">Juan David Montoya Penagos </w:t>
            </w:r>
          </w:p>
          <w:p w14:paraId="22F907BF" w14:textId="77777777" w:rsidR="00770721" w:rsidRPr="009C0CE5" w:rsidRDefault="00770721" w:rsidP="00770721">
            <w:pPr>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Gestor T1-15 de la Subdirección de Gestión Contractual</w:t>
            </w:r>
          </w:p>
          <w:p w14:paraId="46AB0234" w14:textId="77777777" w:rsidR="00770721" w:rsidRPr="009C0CE5" w:rsidRDefault="00770721" w:rsidP="00770721">
            <w:pPr>
              <w:rPr>
                <w:rFonts w:ascii="Arial" w:hAnsi="Arial" w:cs="Arial"/>
                <w:color w:val="000000" w:themeColor="text1"/>
                <w:sz w:val="16"/>
                <w:szCs w:val="16"/>
                <w:lang w:val="es-ES" w:eastAsia="es-ES"/>
              </w:rPr>
            </w:pPr>
            <w:proofErr w:type="spellStart"/>
            <w:r w:rsidRPr="009C0CE5">
              <w:rPr>
                <w:rFonts w:ascii="Arial" w:hAnsi="Arial" w:cs="Arial"/>
                <w:color w:val="000000" w:themeColor="text1"/>
                <w:sz w:val="16"/>
                <w:szCs w:val="16"/>
                <w:lang w:val="es-ES" w:eastAsia="es-ES"/>
              </w:rPr>
              <w:t>Karlo</w:t>
            </w:r>
            <w:proofErr w:type="spellEnd"/>
            <w:r w:rsidRPr="009C0CE5">
              <w:rPr>
                <w:rFonts w:ascii="Arial" w:hAnsi="Arial" w:cs="Arial"/>
                <w:color w:val="000000" w:themeColor="text1"/>
                <w:sz w:val="16"/>
                <w:szCs w:val="16"/>
                <w:lang w:val="es-ES" w:eastAsia="es-ES"/>
              </w:rPr>
              <w:t xml:space="preserve"> Fernández Cala </w:t>
            </w:r>
          </w:p>
          <w:p w14:paraId="29805A3C" w14:textId="77777777" w:rsidR="00770721" w:rsidRPr="009C0CE5" w:rsidRDefault="00770721" w:rsidP="00770721">
            <w:pPr>
              <w:rPr>
                <w:rFonts w:ascii="Arial" w:eastAsia="Calibri" w:hAnsi="Arial" w:cs="Arial"/>
                <w:sz w:val="16"/>
                <w:szCs w:val="16"/>
                <w:lang w:val="es-ES_tradnl" w:eastAsia="es-ES"/>
              </w:rPr>
            </w:pPr>
            <w:r w:rsidRPr="009C0CE5">
              <w:rPr>
                <w:rFonts w:ascii="Arial" w:hAnsi="Arial" w:cs="Arial"/>
                <w:color w:val="000000" w:themeColor="text1"/>
                <w:sz w:val="16"/>
                <w:szCs w:val="16"/>
                <w:lang w:val="es-ES" w:eastAsia="es-ES"/>
              </w:rPr>
              <w:t>Gestor T1 – 15 de la Dirección General</w:t>
            </w:r>
          </w:p>
        </w:tc>
      </w:tr>
      <w:tr w:rsidR="00770721" w:rsidRPr="00414696" w14:paraId="576C683A" w14:textId="77777777" w:rsidTr="0066040D">
        <w:trPr>
          <w:trHeight w:val="300"/>
        </w:trPr>
        <w:tc>
          <w:tcPr>
            <w:tcW w:w="851" w:type="dxa"/>
            <w:tcBorders>
              <w:top w:val="dotted" w:sz="4" w:space="0" w:color="7F7F7F"/>
              <w:left w:val="nil"/>
              <w:bottom w:val="dotted" w:sz="4" w:space="0" w:color="7F7F7F"/>
              <w:right w:val="nil"/>
            </w:tcBorders>
            <w:vAlign w:val="center"/>
          </w:tcPr>
          <w:p w14:paraId="529652CD" w14:textId="18E89074" w:rsidR="00770721" w:rsidRPr="009C0CE5" w:rsidRDefault="00770721" w:rsidP="00770721">
            <w:pPr>
              <w:rPr>
                <w:rFonts w:ascii="Arial" w:eastAsia="Calibri" w:hAnsi="Arial" w:cs="Arial"/>
                <w:sz w:val="16"/>
                <w:szCs w:val="16"/>
                <w:lang w:val="pt-BR" w:eastAsia="es-ES"/>
              </w:rPr>
            </w:pPr>
            <w:r w:rsidRPr="009C0CE5">
              <w:rPr>
                <w:rFonts w:ascii="Arial" w:eastAsia="Calibri" w:hAnsi="Arial" w:cs="Arial"/>
                <w:sz w:val="16"/>
                <w:szCs w:val="16"/>
                <w:lang w:val="es-ES_tradnl" w:eastAsia="es-ES"/>
              </w:rPr>
              <w:t>Aprobó:</w:t>
            </w:r>
          </w:p>
        </w:tc>
        <w:tc>
          <w:tcPr>
            <w:tcW w:w="4394" w:type="dxa"/>
            <w:tcBorders>
              <w:top w:val="dotted" w:sz="4" w:space="0" w:color="7F7F7F"/>
              <w:left w:val="nil"/>
              <w:bottom w:val="dotted" w:sz="4" w:space="0" w:color="7F7F7F"/>
              <w:right w:val="nil"/>
            </w:tcBorders>
            <w:vAlign w:val="center"/>
            <w:hideMark/>
          </w:tcPr>
          <w:p w14:paraId="2D932B42" w14:textId="17026982" w:rsidR="00770721" w:rsidRPr="009C0CE5" w:rsidRDefault="00770721" w:rsidP="00770721">
            <w:pPr>
              <w:rPr>
                <w:rFonts w:ascii="Arial" w:eastAsia="Calibri" w:hAnsi="Arial" w:cs="Arial"/>
                <w:sz w:val="16"/>
                <w:szCs w:val="16"/>
                <w:lang w:val="pt-BR" w:eastAsia="es-ES"/>
              </w:rPr>
            </w:pPr>
            <w:r w:rsidRPr="009C0CE5">
              <w:rPr>
                <w:rFonts w:ascii="Arial" w:eastAsia="Calibri" w:hAnsi="Arial" w:cs="Arial"/>
                <w:sz w:val="16"/>
                <w:szCs w:val="16"/>
                <w:lang w:val="pt-BR" w:eastAsia="es-ES"/>
              </w:rPr>
              <w:t>Jorge Augusto Tirado Navarro</w:t>
            </w:r>
          </w:p>
          <w:p w14:paraId="01EF6117" w14:textId="77777777" w:rsidR="00770721" w:rsidRPr="00414696" w:rsidRDefault="00770721" w:rsidP="00770721">
            <w:pPr>
              <w:rPr>
                <w:rFonts w:ascii="Arial" w:eastAsia="Calibri" w:hAnsi="Arial" w:cs="Arial"/>
                <w:sz w:val="16"/>
                <w:szCs w:val="16"/>
                <w:lang w:val="pt-BR" w:eastAsia="es-ES"/>
              </w:rPr>
            </w:pPr>
            <w:proofErr w:type="spellStart"/>
            <w:r w:rsidRPr="009C0CE5">
              <w:rPr>
                <w:rFonts w:ascii="Arial" w:eastAsia="Calibri" w:hAnsi="Arial" w:cs="Arial"/>
                <w:sz w:val="16"/>
                <w:szCs w:val="16"/>
                <w:lang w:eastAsia="es-ES"/>
              </w:rPr>
              <w:t>Subdirecto</w:t>
            </w:r>
            <w:proofErr w:type="spellEnd"/>
            <w:r w:rsidRPr="009C0CE5">
              <w:rPr>
                <w:rFonts w:ascii="Arial" w:eastAsia="Calibri" w:hAnsi="Arial" w:cs="Arial"/>
                <w:sz w:val="16"/>
                <w:szCs w:val="16"/>
                <w:lang w:val="pt-BR" w:eastAsia="es-ES"/>
              </w:rPr>
              <w:t xml:space="preserve">r de </w:t>
            </w:r>
            <w:proofErr w:type="spellStart"/>
            <w:r w:rsidRPr="009C0CE5">
              <w:rPr>
                <w:rFonts w:ascii="Arial" w:eastAsia="Calibri" w:hAnsi="Arial" w:cs="Arial"/>
                <w:sz w:val="16"/>
                <w:szCs w:val="16"/>
                <w:lang w:val="pt-BR" w:eastAsia="es-ES"/>
              </w:rPr>
              <w:t>Gestión</w:t>
            </w:r>
            <w:proofErr w:type="spellEnd"/>
            <w:r w:rsidRPr="009C0CE5">
              <w:rPr>
                <w:rFonts w:ascii="Arial" w:eastAsia="Calibri" w:hAnsi="Arial" w:cs="Arial"/>
                <w:sz w:val="16"/>
                <w:szCs w:val="16"/>
                <w:lang w:val="pt-BR" w:eastAsia="es-ES"/>
              </w:rPr>
              <w:t xml:space="preserve"> </w:t>
            </w:r>
            <w:proofErr w:type="spellStart"/>
            <w:r w:rsidRPr="009C0CE5">
              <w:rPr>
                <w:rFonts w:ascii="Arial" w:eastAsia="Calibri" w:hAnsi="Arial" w:cs="Arial"/>
                <w:sz w:val="16"/>
                <w:szCs w:val="16"/>
                <w:lang w:val="pt-BR" w:eastAsia="es-ES"/>
              </w:rPr>
              <w:t>Contractual</w:t>
            </w:r>
            <w:proofErr w:type="spellEnd"/>
            <w:r w:rsidRPr="009C0CE5">
              <w:rPr>
                <w:rFonts w:ascii="Arial" w:eastAsia="Calibri" w:hAnsi="Arial" w:cs="Arial"/>
                <w:sz w:val="16"/>
                <w:szCs w:val="16"/>
                <w:lang w:val="pt-BR" w:eastAsia="es-ES"/>
              </w:rPr>
              <w:t xml:space="preserve"> ANCP - CCE</w:t>
            </w:r>
          </w:p>
        </w:tc>
      </w:tr>
    </w:tbl>
    <w:p w14:paraId="72733A7E" w14:textId="77777777" w:rsidR="005E7EFB" w:rsidRPr="002873D0" w:rsidRDefault="005E7EFB">
      <w:pPr>
        <w:rPr>
          <w:lang w:val="pt-BR"/>
        </w:rPr>
      </w:pPr>
    </w:p>
    <w:sectPr w:rsidR="005E7EFB" w:rsidRPr="002873D0" w:rsidSect="005A79FE">
      <w:headerReference w:type="default" r:id="rId14"/>
      <w:footerReference w:type="default" r:id="rId15"/>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C6E02" w14:textId="77777777" w:rsidR="00994C7B" w:rsidRDefault="00994C7B" w:rsidP="00663BF6">
      <w:r>
        <w:separator/>
      </w:r>
    </w:p>
  </w:endnote>
  <w:endnote w:type="continuationSeparator" w:id="0">
    <w:p w14:paraId="26372F63" w14:textId="77777777" w:rsidR="00994C7B" w:rsidRDefault="00994C7B" w:rsidP="00663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_ÁÛ™ò">
    <w:altName w:val="Calibri"/>
    <w:panose1 w:val="020B0604020202020204"/>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9304F" w14:textId="77777777" w:rsidR="000126BB" w:rsidRPr="00857761" w:rsidRDefault="00E948EC" w:rsidP="005A79FE">
    <w:pPr>
      <w:pStyle w:val="Piedepgina"/>
      <w:jc w:val="right"/>
      <w:rPr>
        <w:rFonts w:ascii="Arial" w:hAnsi="Arial" w:cs="Arial"/>
        <w:color w:val="7F7F7F"/>
        <w:sz w:val="16"/>
        <w:szCs w:val="16"/>
      </w:rPr>
    </w:pPr>
    <w:r w:rsidRPr="00857761">
      <w:rPr>
        <w:rFonts w:ascii="Arial" w:hAnsi="Arial" w:cs="Arial"/>
        <w:bCs/>
        <w:color w:val="7F7F7F"/>
        <w:sz w:val="16"/>
        <w:szCs w:val="16"/>
      </w:rPr>
      <w:t xml:space="preserve">Página </w:t>
    </w:r>
    <w:r w:rsidRPr="00857761">
      <w:rPr>
        <w:rFonts w:ascii="Arial" w:hAnsi="Arial" w:cs="Arial"/>
        <w:b/>
        <w:bCs/>
        <w:color w:val="7F7F7F"/>
        <w:sz w:val="16"/>
        <w:szCs w:val="16"/>
      </w:rPr>
      <w:fldChar w:fldCharType="begin"/>
    </w:r>
    <w:r w:rsidRPr="00857761">
      <w:rPr>
        <w:rFonts w:ascii="Arial" w:hAnsi="Arial" w:cs="Arial"/>
        <w:b/>
        <w:bCs/>
        <w:color w:val="7F7F7F"/>
        <w:sz w:val="16"/>
        <w:szCs w:val="16"/>
      </w:rPr>
      <w:instrText>PAGE  \* Arabic  \* MERGEFORMAT</w:instrText>
    </w:r>
    <w:r w:rsidRPr="00857761">
      <w:rPr>
        <w:rFonts w:ascii="Arial" w:hAnsi="Arial" w:cs="Arial"/>
        <w:b/>
        <w:bCs/>
        <w:color w:val="7F7F7F"/>
        <w:sz w:val="16"/>
        <w:szCs w:val="16"/>
      </w:rPr>
      <w:fldChar w:fldCharType="separate"/>
    </w:r>
    <w:r w:rsidRPr="00857761">
      <w:rPr>
        <w:rFonts w:ascii="Arial" w:hAnsi="Arial" w:cs="Arial"/>
        <w:b/>
        <w:bCs/>
        <w:noProof/>
        <w:color w:val="7F7F7F"/>
        <w:sz w:val="16"/>
        <w:szCs w:val="16"/>
      </w:rPr>
      <w:t>2</w:t>
    </w:r>
    <w:r w:rsidRPr="00857761">
      <w:rPr>
        <w:rFonts w:ascii="Arial" w:hAnsi="Arial" w:cs="Arial"/>
        <w:b/>
        <w:bCs/>
        <w:color w:val="7F7F7F"/>
        <w:sz w:val="16"/>
        <w:szCs w:val="16"/>
      </w:rPr>
      <w:fldChar w:fldCharType="end"/>
    </w:r>
    <w:r w:rsidRPr="00857761">
      <w:rPr>
        <w:rFonts w:ascii="Arial" w:hAnsi="Arial" w:cs="Arial"/>
        <w:color w:val="7F7F7F"/>
        <w:sz w:val="16"/>
        <w:szCs w:val="16"/>
      </w:rPr>
      <w:t xml:space="preserve"> de </w:t>
    </w:r>
    <w:r w:rsidRPr="00857761">
      <w:rPr>
        <w:rFonts w:ascii="Arial" w:hAnsi="Arial" w:cs="Arial"/>
        <w:b/>
        <w:bCs/>
        <w:color w:val="7F7F7F"/>
        <w:sz w:val="16"/>
        <w:szCs w:val="16"/>
      </w:rPr>
      <w:fldChar w:fldCharType="begin"/>
    </w:r>
    <w:r w:rsidRPr="00857761">
      <w:rPr>
        <w:rFonts w:ascii="Arial" w:hAnsi="Arial" w:cs="Arial"/>
        <w:b/>
        <w:bCs/>
        <w:color w:val="7F7F7F"/>
        <w:sz w:val="16"/>
        <w:szCs w:val="16"/>
      </w:rPr>
      <w:instrText>NUMPAGES  \* Arabic  \* MERGEFORMAT</w:instrText>
    </w:r>
    <w:r w:rsidRPr="00857761">
      <w:rPr>
        <w:rFonts w:ascii="Arial" w:hAnsi="Arial" w:cs="Arial"/>
        <w:b/>
        <w:bCs/>
        <w:color w:val="7F7F7F"/>
        <w:sz w:val="16"/>
        <w:szCs w:val="16"/>
      </w:rPr>
      <w:fldChar w:fldCharType="separate"/>
    </w:r>
    <w:r w:rsidRPr="00857761">
      <w:rPr>
        <w:rFonts w:ascii="Arial" w:hAnsi="Arial" w:cs="Arial"/>
        <w:b/>
        <w:bCs/>
        <w:noProof/>
        <w:color w:val="7F7F7F"/>
        <w:sz w:val="16"/>
        <w:szCs w:val="16"/>
      </w:rPr>
      <w:t>16</w:t>
    </w:r>
    <w:r w:rsidRPr="00857761">
      <w:rPr>
        <w:rFonts w:ascii="Arial" w:hAnsi="Arial" w:cs="Arial"/>
        <w:b/>
        <w:bCs/>
        <w:color w:val="7F7F7F"/>
        <w:sz w:val="16"/>
        <w:szCs w:val="16"/>
      </w:rPr>
      <w:fldChar w:fldCharType="end"/>
    </w:r>
  </w:p>
  <w:p w14:paraId="102F33B9" w14:textId="77777777" w:rsidR="000126BB" w:rsidRDefault="00E948EC" w:rsidP="007B0854">
    <w:pPr>
      <w:pStyle w:val="Piedepgina"/>
      <w:jc w:val="center"/>
      <w:rPr>
        <w:lang w:val="es-ES"/>
      </w:rPr>
    </w:pPr>
    <w:r>
      <w:rPr>
        <w:noProof/>
      </w:rPr>
      <w:drawing>
        <wp:inline distT="0" distB="0" distL="0" distR="0" wp14:anchorId="029BCD78" wp14:editId="2E263290">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7DDFFEB2" w14:textId="77777777" w:rsidR="00E17C49" w:rsidRDefault="00994C7B" w:rsidP="007B0854">
    <w:pPr>
      <w:pStyle w:val="Piedepgina"/>
      <w:jc w:val="center"/>
      <w:rPr>
        <w:lang w:val="es-ES"/>
      </w:rPr>
    </w:pPr>
  </w:p>
  <w:p w14:paraId="153ADF3D" w14:textId="77777777" w:rsidR="000126BB" w:rsidRPr="007B0854" w:rsidRDefault="00994C7B"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BD3BC" w14:textId="77777777" w:rsidR="00994C7B" w:rsidRDefault="00994C7B" w:rsidP="00663BF6">
      <w:r>
        <w:separator/>
      </w:r>
    </w:p>
  </w:footnote>
  <w:footnote w:type="continuationSeparator" w:id="0">
    <w:p w14:paraId="183883D4" w14:textId="77777777" w:rsidR="00994C7B" w:rsidRDefault="00994C7B" w:rsidP="00663BF6">
      <w:r>
        <w:continuationSeparator/>
      </w:r>
    </w:p>
  </w:footnote>
  <w:footnote w:id="1">
    <w:p w14:paraId="69B8E8F0" w14:textId="77777777" w:rsidR="00663BF6" w:rsidRPr="00C243E3" w:rsidRDefault="00663BF6" w:rsidP="008B7785">
      <w:pPr>
        <w:pStyle w:val="Textonotapie"/>
        <w:ind w:firstLine="709"/>
        <w:jc w:val="both"/>
        <w:rPr>
          <w:rFonts w:ascii="Arial" w:eastAsia="Calibri" w:hAnsi="Arial" w:cs="Arial"/>
          <w:color w:val="000000" w:themeColor="text1"/>
          <w:sz w:val="19"/>
          <w:szCs w:val="19"/>
        </w:rPr>
      </w:pPr>
      <w:r w:rsidRPr="00C243E3">
        <w:rPr>
          <w:rStyle w:val="Refdenotaalpie"/>
          <w:rFonts w:ascii="Arial" w:hAnsi="Arial" w:cs="Arial"/>
          <w:color w:val="000000" w:themeColor="text1"/>
          <w:sz w:val="19"/>
          <w:szCs w:val="19"/>
        </w:rPr>
        <w:footnoteRef/>
      </w:r>
      <w:r w:rsidRPr="00C243E3">
        <w:rPr>
          <w:rFonts w:ascii="Arial" w:hAnsi="Arial" w:cs="Arial"/>
          <w:color w:val="000000" w:themeColor="text1"/>
          <w:sz w:val="19"/>
          <w:szCs w:val="19"/>
        </w:rPr>
        <w:t xml:space="preserve"> </w:t>
      </w:r>
      <w:r w:rsidRPr="00C243E3">
        <w:rPr>
          <w:rFonts w:ascii="Arial" w:eastAsia="Calibri" w:hAnsi="Arial" w:cs="Arial"/>
          <w:color w:val="000000" w:themeColor="text1"/>
          <w:sz w:val="19"/>
          <w:szCs w:val="19"/>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75CD35A5" w14:textId="77777777" w:rsidR="00663BF6" w:rsidRPr="00C243E3" w:rsidRDefault="00663BF6" w:rsidP="008B7785">
      <w:pPr>
        <w:pStyle w:val="Textonotapie"/>
        <w:ind w:firstLine="709"/>
        <w:jc w:val="both"/>
        <w:rPr>
          <w:rFonts w:ascii="Arial" w:eastAsia="Calibri" w:hAnsi="Arial" w:cs="Arial"/>
          <w:color w:val="000000" w:themeColor="text1"/>
          <w:sz w:val="19"/>
          <w:szCs w:val="19"/>
        </w:rPr>
      </w:pPr>
      <w:r w:rsidRPr="00C243E3">
        <w:rPr>
          <w:rFonts w:ascii="Arial" w:eastAsia="Calibri" w:hAnsi="Arial" w:cs="Arial"/>
          <w:color w:val="000000" w:themeColor="text1"/>
          <w:sz w:val="19"/>
          <w:szCs w:val="19"/>
        </w:rPr>
        <w:t>[…]</w:t>
      </w:r>
    </w:p>
    <w:p w14:paraId="5C9001D0" w14:textId="77777777" w:rsidR="00663BF6" w:rsidRDefault="00663BF6" w:rsidP="008B7785">
      <w:pPr>
        <w:pStyle w:val="Textonotapie"/>
        <w:ind w:firstLine="709"/>
        <w:jc w:val="both"/>
        <w:rPr>
          <w:rFonts w:ascii="Arial" w:hAnsi="Arial" w:cs="Arial"/>
          <w:color w:val="000000" w:themeColor="text1"/>
          <w:sz w:val="19"/>
          <w:szCs w:val="19"/>
          <w:lang w:val="es-CO"/>
        </w:rPr>
      </w:pPr>
      <w:r w:rsidRPr="00C243E3">
        <w:rPr>
          <w:rFonts w:ascii="Arial" w:eastAsia="Calibri" w:hAnsi="Arial" w:cs="Arial"/>
          <w:color w:val="000000" w:themeColor="text1"/>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C243E3">
        <w:rPr>
          <w:rFonts w:ascii="Arial" w:hAnsi="Arial" w:cs="Arial"/>
          <w:color w:val="000000" w:themeColor="text1"/>
          <w:sz w:val="19"/>
          <w:szCs w:val="19"/>
          <w:lang w:val="es-CO"/>
        </w:rPr>
        <w:t xml:space="preserve"> </w:t>
      </w:r>
    </w:p>
    <w:p w14:paraId="1BA2609B" w14:textId="77777777" w:rsidR="00663BF6" w:rsidRPr="00C243E3" w:rsidRDefault="00663BF6" w:rsidP="008B7785">
      <w:pPr>
        <w:pStyle w:val="Textonotapie"/>
        <w:ind w:firstLine="709"/>
        <w:jc w:val="both"/>
        <w:rPr>
          <w:rFonts w:ascii="Arial" w:hAnsi="Arial" w:cs="Arial"/>
          <w:color w:val="000000" w:themeColor="text1"/>
          <w:sz w:val="19"/>
          <w:szCs w:val="19"/>
          <w:lang w:val="es-CO"/>
        </w:rPr>
      </w:pPr>
    </w:p>
  </w:footnote>
  <w:footnote w:id="2">
    <w:p w14:paraId="3F60DE32" w14:textId="77777777" w:rsidR="00663BF6" w:rsidRPr="00C243E3" w:rsidRDefault="00663BF6" w:rsidP="008B7785">
      <w:pPr>
        <w:pStyle w:val="Textonotapie"/>
        <w:ind w:firstLine="709"/>
        <w:jc w:val="both"/>
        <w:rPr>
          <w:rFonts w:ascii="Arial" w:hAnsi="Arial" w:cs="Arial"/>
          <w:color w:val="000000" w:themeColor="text1"/>
          <w:sz w:val="19"/>
          <w:szCs w:val="19"/>
          <w:lang w:val="es-CO"/>
        </w:rPr>
      </w:pPr>
      <w:r w:rsidRPr="00C243E3">
        <w:rPr>
          <w:rFonts w:ascii="Arial" w:eastAsia="Calibri" w:hAnsi="Arial" w:cs="Arial"/>
          <w:color w:val="000000" w:themeColor="text1"/>
          <w:sz w:val="19"/>
          <w:szCs w:val="19"/>
          <w:vertAlign w:val="superscript"/>
        </w:rPr>
        <w:footnoteRef/>
      </w:r>
      <w:r w:rsidRPr="00C243E3">
        <w:rPr>
          <w:rFonts w:ascii="Arial" w:eastAsia="Calibri" w:hAnsi="Arial" w:cs="Arial"/>
          <w:color w:val="000000" w:themeColor="text1"/>
          <w:sz w:val="19"/>
          <w:szCs w:val="19"/>
          <w:vertAlign w:val="superscript"/>
        </w:rPr>
        <w:t xml:space="preserve"> </w:t>
      </w:r>
      <w:r w:rsidRPr="00C243E3">
        <w:rPr>
          <w:rFonts w:ascii="Arial" w:eastAsia="Calibri" w:hAnsi="Arial" w:cs="Arial"/>
          <w:color w:val="000000" w:themeColor="text1"/>
          <w:sz w:val="19"/>
          <w:szCs w:val="19"/>
        </w:rPr>
        <w:t xml:space="preserve">Consejo </w:t>
      </w:r>
      <w:r>
        <w:rPr>
          <w:rFonts w:ascii="Arial" w:eastAsia="Calibri" w:hAnsi="Arial" w:cs="Arial"/>
          <w:color w:val="000000" w:themeColor="text1"/>
          <w:sz w:val="19"/>
          <w:szCs w:val="19"/>
        </w:rPr>
        <w:t>d</w:t>
      </w:r>
      <w:r w:rsidRPr="00C243E3">
        <w:rPr>
          <w:rFonts w:ascii="Arial" w:eastAsia="Calibri" w:hAnsi="Arial" w:cs="Arial"/>
          <w:color w:val="000000" w:themeColor="text1"/>
          <w:sz w:val="19"/>
          <w:szCs w:val="19"/>
        </w:rPr>
        <w:t xml:space="preserve">e Estado. Sección Tercera. Sentencia del 26 de junio de 2003. Rad. 13.354. C.P: María Elena Giraldo Gómez. </w:t>
      </w:r>
    </w:p>
  </w:footnote>
  <w:footnote w:id="3">
    <w:p w14:paraId="0238ED60" w14:textId="77777777" w:rsidR="00663BF6" w:rsidRPr="00FB670A" w:rsidRDefault="00663BF6" w:rsidP="008B7785">
      <w:pPr>
        <w:pStyle w:val="NormalWeb"/>
        <w:shd w:val="clear" w:color="auto" w:fill="FFFFFF"/>
        <w:spacing w:after="0" w:line="240" w:lineRule="auto"/>
        <w:ind w:firstLine="709"/>
        <w:jc w:val="both"/>
        <w:rPr>
          <w:rFonts w:ascii="Arial" w:hAnsi="Arial" w:cs="Arial"/>
          <w:sz w:val="19"/>
          <w:szCs w:val="19"/>
        </w:rPr>
      </w:pPr>
      <w:r w:rsidRPr="00816383">
        <w:rPr>
          <w:rStyle w:val="Refdenotaalpie"/>
          <w:rFonts w:ascii="Arial" w:hAnsi="Arial" w:cs="Arial"/>
          <w:sz w:val="19"/>
          <w:szCs w:val="19"/>
          <w:lang w:val="es-MX"/>
        </w:rPr>
        <w:footnoteRef/>
      </w:r>
      <w:r w:rsidRPr="00816383">
        <w:rPr>
          <w:rStyle w:val="Refdenotaalpie"/>
          <w:rFonts w:ascii="Arial" w:hAnsi="Arial" w:cs="Arial"/>
          <w:sz w:val="19"/>
          <w:szCs w:val="19"/>
          <w:lang w:val="es-MX"/>
        </w:rPr>
        <w:t xml:space="preserve"> </w:t>
      </w:r>
      <w:r w:rsidRPr="00816383">
        <w:rPr>
          <w:rFonts w:ascii="Arial" w:hAnsi="Arial" w:cs="Arial"/>
          <w:sz w:val="19"/>
          <w:szCs w:val="19"/>
        </w:rPr>
        <w:t>«Artículo 2.2.1.1.1.6.4. Capacidad Residual: El interesado en celebrar contratos de obra pública con Entidades Estatales debe acreditar su Capacidad Residual o K de Contratación con los siguientes documentos:</w:t>
      </w:r>
    </w:p>
    <w:p w14:paraId="5CF71ABE" w14:textId="77777777" w:rsidR="00663BF6" w:rsidRPr="00FB670A" w:rsidRDefault="00663BF6" w:rsidP="008B7785">
      <w:pPr>
        <w:shd w:val="clear" w:color="auto" w:fill="FFFFFF"/>
        <w:ind w:firstLine="709"/>
        <w:jc w:val="both"/>
        <w:rPr>
          <w:rFonts w:ascii="Arial" w:hAnsi="Arial" w:cs="Arial"/>
          <w:sz w:val="19"/>
          <w:szCs w:val="19"/>
        </w:rPr>
      </w:pPr>
      <w:r w:rsidRPr="00FB670A">
        <w:rPr>
          <w:rFonts w:ascii="Arial" w:hAnsi="Arial" w:cs="Arial"/>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0EC9E4F0" w14:textId="77777777" w:rsidR="00663BF6" w:rsidRPr="00FB670A" w:rsidRDefault="00663BF6" w:rsidP="008B7785">
      <w:pPr>
        <w:shd w:val="clear" w:color="auto" w:fill="FFFFFF"/>
        <w:ind w:firstLine="709"/>
        <w:jc w:val="both"/>
        <w:rPr>
          <w:rFonts w:ascii="Arial" w:hAnsi="Arial" w:cs="Arial"/>
          <w:sz w:val="19"/>
          <w:szCs w:val="19"/>
        </w:rPr>
      </w:pPr>
      <w:r w:rsidRPr="00FB670A">
        <w:rPr>
          <w:rFonts w:ascii="Arial" w:hAnsi="Arial" w:cs="Arial"/>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7260839B" w14:textId="77777777" w:rsidR="00663BF6" w:rsidRPr="00FB670A" w:rsidRDefault="00663BF6" w:rsidP="008B7785">
      <w:pPr>
        <w:shd w:val="clear" w:color="auto" w:fill="FFFFFF"/>
        <w:ind w:firstLine="709"/>
        <w:jc w:val="both"/>
        <w:rPr>
          <w:rFonts w:ascii="Arial" w:hAnsi="Arial" w:cs="Arial"/>
          <w:sz w:val="19"/>
          <w:szCs w:val="19"/>
        </w:rPr>
      </w:pPr>
      <w:r w:rsidRPr="00FB670A">
        <w:rPr>
          <w:rFonts w:ascii="Arial" w:hAnsi="Arial" w:cs="Arial"/>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4">
    <w:p w14:paraId="59EB5C27" w14:textId="6AD0FA52" w:rsidR="00AE4548" w:rsidRDefault="00AE4548" w:rsidP="00AE4548">
      <w:pPr>
        <w:pStyle w:val="Textonotapie"/>
        <w:ind w:firstLine="708"/>
        <w:jc w:val="both"/>
        <w:rPr>
          <w:rFonts w:ascii="Arial" w:hAnsi="Arial" w:cs="Arial"/>
          <w:sz w:val="19"/>
          <w:szCs w:val="19"/>
          <w:lang w:val="es-CO"/>
        </w:rPr>
      </w:pPr>
      <w:r w:rsidRPr="0066040D">
        <w:rPr>
          <w:rStyle w:val="Refdenotaalpie"/>
          <w:rFonts w:ascii="Arial" w:hAnsi="Arial" w:cs="Arial"/>
          <w:sz w:val="19"/>
          <w:szCs w:val="19"/>
        </w:rPr>
        <w:footnoteRef/>
      </w:r>
      <w:r w:rsidRPr="0066040D">
        <w:rPr>
          <w:rFonts w:ascii="Arial" w:hAnsi="Arial" w:cs="Arial"/>
          <w:sz w:val="19"/>
          <w:szCs w:val="19"/>
        </w:rPr>
        <w:t xml:space="preserve"> </w:t>
      </w:r>
      <w:r>
        <w:rPr>
          <w:rFonts w:ascii="Arial" w:hAnsi="Arial" w:cs="Arial"/>
          <w:sz w:val="19"/>
          <w:szCs w:val="19"/>
        </w:rPr>
        <w:t>En efecto, la doctrina interpreta el alcance del artículo 1565 del Código Civil Chileno –equivalente al artículo 1623 del Código Civil Colombiano– de la siguiente forma: «</w:t>
      </w:r>
      <w:r w:rsidRPr="00AE4548">
        <w:rPr>
          <w:rFonts w:ascii="Arial" w:hAnsi="Arial" w:cs="Arial"/>
          <w:sz w:val="19"/>
          <w:szCs w:val="19"/>
          <w:lang w:val="es-CO"/>
        </w:rPr>
        <w:t>Extrapolar es aplicar conclusiones obtenidas en un campo a otro</w:t>
      </w:r>
      <w:r>
        <w:rPr>
          <w:rFonts w:ascii="Arial" w:hAnsi="Arial" w:cs="Arial"/>
          <w:sz w:val="19"/>
          <w:szCs w:val="19"/>
          <w:lang w:val="es-CO"/>
        </w:rPr>
        <w:t xml:space="preserve">. </w:t>
      </w:r>
      <w:r w:rsidRPr="00AE4548">
        <w:rPr>
          <w:rFonts w:ascii="Arial" w:hAnsi="Arial" w:cs="Arial"/>
          <w:sz w:val="19"/>
          <w:szCs w:val="19"/>
          <w:lang w:val="es-CO"/>
        </w:rPr>
        <w:t>Esta extrapolación puede ser</w:t>
      </w:r>
      <w:r>
        <w:rPr>
          <w:rFonts w:ascii="Arial" w:hAnsi="Arial" w:cs="Arial"/>
          <w:sz w:val="19"/>
          <w:szCs w:val="19"/>
          <w:lang w:val="es-CO"/>
        </w:rPr>
        <w:t xml:space="preserve"> […] </w:t>
      </w:r>
      <w:r w:rsidRPr="00AE4548">
        <w:rPr>
          <w:rFonts w:ascii="Arial" w:hAnsi="Arial" w:cs="Arial"/>
          <w:sz w:val="19"/>
          <w:szCs w:val="19"/>
          <w:lang w:val="es-CO"/>
        </w:rPr>
        <w:t>compleja, en el sentido de que la fórmula puede estar escrita para aplicarse</w:t>
      </w:r>
      <w:r>
        <w:rPr>
          <w:rFonts w:ascii="Arial" w:hAnsi="Arial" w:cs="Arial"/>
          <w:sz w:val="19"/>
          <w:szCs w:val="19"/>
          <w:lang w:val="es-CO"/>
        </w:rPr>
        <w:t xml:space="preserve"> </w:t>
      </w:r>
      <w:r w:rsidRPr="00AE4548">
        <w:rPr>
          <w:rFonts w:ascii="Arial" w:hAnsi="Arial" w:cs="Arial"/>
          <w:sz w:val="19"/>
          <w:szCs w:val="19"/>
          <w:lang w:val="es-CO"/>
        </w:rPr>
        <w:t>a un caso especial, pero si se cambia lo que hay que cambiar (</w:t>
      </w:r>
      <w:r w:rsidRPr="0066040D">
        <w:rPr>
          <w:rFonts w:ascii="Arial" w:hAnsi="Arial" w:cs="Arial"/>
          <w:i/>
          <w:iCs/>
          <w:sz w:val="19"/>
          <w:szCs w:val="19"/>
          <w:lang w:val="es-CO"/>
        </w:rPr>
        <w:t xml:space="preserve">mutatis </w:t>
      </w:r>
      <w:proofErr w:type="spellStart"/>
      <w:r w:rsidRPr="0066040D">
        <w:rPr>
          <w:rFonts w:ascii="Arial" w:hAnsi="Arial" w:cs="Arial"/>
          <w:i/>
          <w:iCs/>
          <w:sz w:val="19"/>
          <w:szCs w:val="19"/>
          <w:lang w:val="es-CO"/>
        </w:rPr>
        <w:t>mutandi</w:t>
      </w:r>
      <w:proofErr w:type="spellEnd"/>
      <w:r w:rsidRPr="00AE4548">
        <w:rPr>
          <w:rFonts w:ascii="Arial" w:hAnsi="Arial" w:cs="Arial"/>
          <w:sz w:val="19"/>
          <w:szCs w:val="19"/>
          <w:lang w:val="es-CO"/>
        </w:rPr>
        <w:t>), se extrae la regla abstracta que ha inspirado la construcción del caso, con la posibilidad de ser aplicada a otro distinto, pudiéndose así resolver la cuestión que se plantea sobre la base de la misma fórmula, como es el caso de lo dispuesto en el artículo 1565.</w:t>
      </w:r>
    </w:p>
    <w:p w14:paraId="6E20134C" w14:textId="5BD6CC66" w:rsidR="00AE4548" w:rsidRDefault="00AE4548" w:rsidP="00AE4548">
      <w:pPr>
        <w:pStyle w:val="Textonotapie"/>
        <w:ind w:firstLine="708"/>
        <w:jc w:val="both"/>
        <w:rPr>
          <w:rFonts w:ascii="Arial" w:hAnsi="Arial" w:cs="Arial"/>
          <w:sz w:val="19"/>
          <w:szCs w:val="19"/>
          <w:lang w:val="es-CO"/>
        </w:rPr>
      </w:pPr>
      <w:r>
        <w:rPr>
          <w:rFonts w:ascii="Arial" w:hAnsi="Arial" w:cs="Arial"/>
          <w:sz w:val="19"/>
          <w:szCs w:val="19"/>
          <w:lang w:val="es-CO"/>
        </w:rPr>
        <w:t>»</w:t>
      </w:r>
      <w:r w:rsidRPr="00AE4548">
        <w:rPr>
          <w:rFonts w:ascii="Arial" w:hAnsi="Arial" w:cs="Arial"/>
          <w:sz w:val="19"/>
          <w:szCs w:val="19"/>
          <w:lang w:val="es-CO"/>
        </w:rPr>
        <w:t xml:space="preserve">En este </w:t>
      </w:r>
      <w:r>
        <w:rPr>
          <w:rFonts w:ascii="Arial" w:hAnsi="Arial" w:cs="Arial"/>
          <w:sz w:val="19"/>
          <w:szCs w:val="19"/>
          <w:lang w:val="es-CO"/>
        </w:rPr>
        <w:t>[…]</w:t>
      </w:r>
      <w:r w:rsidRPr="00AE4548">
        <w:rPr>
          <w:rFonts w:ascii="Arial" w:hAnsi="Arial" w:cs="Arial"/>
          <w:sz w:val="19"/>
          <w:szCs w:val="19"/>
          <w:lang w:val="es-CO"/>
        </w:rPr>
        <w:t xml:space="preserve"> caso, es preciso que la fórmula o la razón que se extrapola de lo convenido por las partes surja </w:t>
      </w:r>
      <w:r w:rsidRPr="0066040D">
        <w:rPr>
          <w:rFonts w:ascii="Arial" w:hAnsi="Arial" w:cs="Arial"/>
          <w:i/>
          <w:iCs/>
          <w:sz w:val="19"/>
          <w:szCs w:val="19"/>
          <w:lang w:val="es-CO"/>
        </w:rPr>
        <w:t>naturalmente</w:t>
      </w:r>
      <w:r w:rsidRPr="00AE4548">
        <w:rPr>
          <w:rFonts w:ascii="Arial" w:hAnsi="Arial" w:cs="Arial"/>
          <w:sz w:val="19"/>
          <w:szCs w:val="19"/>
          <w:lang w:val="es-CO"/>
        </w:rPr>
        <w:t xml:space="preserve"> de lo dicho por ellas, no pudiendo transformarse en una construcción nacida de la aplicación de otros elementos no comprendidos en el caso escrito por las partes, porque, en tal evento, no estaríamos </w:t>
      </w:r>
      <w:r w:rsidRPr="0066040D">
        <w:rPr>
          <w:rFonts w:ascii="Arial" w:hAnsi="Arial" w:cs="Arial"/>
          <w:i/>
          <w:iCs/>
          <w:sz w:val="19"/>
          <w:szCs w:val="19"/>
          <w:lang w:val="es-CO"/>
        </w:rPr>
        <w:t>interpretando</w:t>
      </w:r>
      <w:r w:rsidRPr="00AE4548">
        <w:rPr>
          <w:rFonts w:ascii="Arial" w:hAnsi="Arial" w:cs="Arial"/>
          <w:sz w:val="19"/>
          <w:szCs w:val="19"/>
          <w:lang w:val="es-CO"/>
        </w:rPr>
        <w:t xml:space="preserve"> el contrato o convención, sino integrándolo, lo que se aleja abiertamente de la regla de la extrapolación en comentario, porque, en este caso, de lo que se trata es de desentrañar la intención de los contratantes descifrando lo que dijeron y no agregar al contrato algo que no dijeron, pero que quisieron decir, que es lo que constituye esencialmente la </w:t>
      </w:r>
      <w:r w:rsidRPr="0066040D">
        <w:rPr>
          <w:rFonts w:ascii="Arial" w:hAnsi="Arial" w:cs="Arial"/>
          <w:i/>
          <w:iCs/>
          <w:sz w:val="19"/>
          <w:szCs w:val="19"/>
          <w:lang w:val="es-CO"/>
        </w:rPr>
        <w:t>integración</w:t>
      </w:r>
      <w:r w:rsidRPr="00AE4548">
        <w:rPr>
          <w:rFonts w:ascii="Arial" w:hAnsi="Arial" w:cs="Arial"/>
          <w:sz w:val="19"/>
          <w:szCs w:val="19"/>
          <w:lang w:val="es-CO"/>
        </w:rPr>
        <w:t>.</w:t>
      </w:r>
    </w:p>
    <w:p w14:paraId="09509CB6" w14:textId="70EB017A" w:rsidR="00AE4548" w:rsidRPr="0066040D" w:rsidRDefault="00AE4548" w:rsidP="0066040D">
      <w:pPr>
        <w:pStyle w:val="Textonotapie"/>
        <w:ind w:firstLine="708"/>
        <w:jc w:val="both"/>
        <w:rPr>
          <w:rFonts w:ascii="Arial" w:hAnsi="Arial" w:cs="Arial"/>
          <w:sz w:val="19"/>
          <w:szCs w:val="19"/>
        </w:rPr>
      </w:pPr>
      <w:r>
        <w:rPr>
          <w:rFonts w:ascii="Arial" w:hAnsi="Arial" w:cs="Arial"/>
          <w:sz w:val="19"/>
          <w:szCs w:val="19"/>
          <w:lang w:val="es-CO"/>
        </w:rPr>
        <w:t>»</w:t>
      </w:r>
      <w:r w:rsidRPr="00AE4548">
        <w:rPr>
          <w:rFonts w:ascii="Arial" w:hAnsi="Arial" w:cs="Arial"/>
          <w:sz w:val="19"/>
          <w:szCs w:val="19"/>
          <w:lang w:val="es-CO"/>
        </w:rPr>
        <w:t>Es cierto, sin embargo, que la regla esta de la extrapolación de efectos tiene algo en común con la integración del contrato: en ambos casos lo que se hace es extraer la fórmula que las partes convinieron y sacar conclusiones de esa fórmula. Sin embargo, la diferencia estriba en que, para el caso de la integración, la fórmula elaborada por las partes se extrae de la naturaleza del contrato para completar un vacío, en circunstancias que, para la interpretación, la fórmula se emplea para aclarar algo que las partes estipularon, aunque no claramente, lo que provoca que sea ininteligible la cláusula o dé lugar a dos interpretaciones distintas</w:t>
      </w:r>
      <w:r>
        <w:rPr>
          <w:rFonts w:ascii="Arial" w:hAnsi="Arial" w:cs="Arial"/>
          <w:sz w:val="19"/>
          <w:szCs w:val="19"/>
          <w:lang w:val="es-CO"/>
        </w:rPr>
        <w:t>»</w:t>
      </w:r>
      <w:r w:rsidR="007423E7">
        <w:rPr>
          <w:rFonts w:ascii="Arial" w:hAnsi="Arial" w:cs="Arial"/>
          <w:sz w:val="19"/>
          <w:szCs w:val="19"/>
          <w:lang w:val="es-CO"/>
        </w:rPr>
        <w:t xml:space="preserve"> (Cfr. </w:t>
      </w:r>
      <w:r w:rsidR="007423E7" w:rsidRPr="007423E7">
        <w:rPr>
          <w:rFonts w:ascii="Arial" w:hAnsi="Arial" w:cs="Arial"/>
          <w:sz w:val="19"/>
          <w:szCs w:val="19"/>
          <w:lang w:val="es-CO"/>
        </w:rPr>
        <w:t>LYON PUELMA</w:t>
      </w:r>
      <w:r w:rsidR="007423E7">
        <w:rPr>
          <w:rFonts w:ascii="Arial" w:hAnsi="Arial" w:cs="Arial"/>
          <w:sz w:val="19"/>
          <w:szCs w:val="19"/>
          <w:lang w:val="es-CO"/>
        </w:rPr>
        <w:t>, Alberto</w:t>
      </w:r>
      <w:r w:rsidRPr="00AE4548">
        <w:rPr>
          <w:rFonts w:ascii="Arial" w:hAnsi="Arial" w:cs="Arial"/>
          <w:sz w:val="19"/>
          <w:szCs w:val="19"/>
          <w:lang w:val="es-CO"/>
        </w:rPr>
        <w:t>.</w:t>
      </w:r>
      <w:r w:rsidR="007423E7">
        <w:rPr>
          <w:rFonts w:ascii="Arial" w:hAnsi="Arial" w:cs="Arial"/>
          <w:sz w:val="19"/>
          <w:szCs w:val="19"/>
          <w:lang w:val="es-CO"/>
        </w:rPr>
        <w:t xml:space="preserve"> I</w:t>
      </w:r>
      <w:r w:rsidR="007423E7" w:rsidRPr="007423E7">
        <w:rPr>
          <w:rFonts w:ascii="Arial" w:hAnsi="Arial" w:cs="Arial"/>
          <w:sz w:val="19"/>
          <w:szCs w:val="19"/>
          <w:lang w:val="es-CO"/>
        </w:rPr>
        <w:t>ntegración, interpretación y cumplimiento de contratos</w:t>
      </w:r>
      <w:r w:rsidR="007423E7">
        <w:rPr>
          <w:rFonts w:ascii="Arial" w:hAnsi="Arial" w:cs="Arial"/>
          <w:sz w:val="19"/>
          <w:szCs w:val="19"/>
          <w:lang w:val="es-CO"/>
        </w:rPr>
        <w:t>. Santiago de Chile: Universidad Católica de Chile, 2017. p. 345-346).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C83B7" w14:textId="77777777" w:rsidR="000126BB" w:rsidRDefault="00994C7B">
    <w:pPr>
      <w:pStyle w:val="Encabezado"/>
    </w:pPr>
  </w:p>
  <w:p w14:paraId="77E5BA1A" w14:textId="77777777" w:rsidR="000126BB" w:rsidRDefault="00994C7B">
    <w:pPr>
      <w:pStyle w:val="Encabezado"/>
    </w:pPr>
  </w:p>
  <w:p w14:paraId="4321613F" w14:textId="77777777" w:rsidR="000126BB" w:rsidRDefault="00E948EC">
    <w:pPr>
      <w:pStyle w:val="Encabezado"/>
    </w:pPr>
    <w:r>
      <w:rPr>
        <w:noProof/>
        <w:lang w:val="en-US"/>
      </w:rPr>
      <w:drawing>
        <wp:anchor distT="0" distB="0" distL="114300" distR="114300" simplePos="0" relativeHeight="251659264" behindDoc="1" locked="0" layoutInCell="1" allowOverlap="1" wp14:anchorId="33FFA3B2" wp14:editId="7137BEB3">
          <wp:simplePos x="0" y="0"/>
          <wp:positionH relativeFrom="margin">
            <wp:align>right</wp:align>
          </wp:positionH>
          <wp:positionV relativeFrom="paragraph">
            <wp:posOffset>50165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9C73A4" w14:textId="77777777" w:rsidR="000126BB" w:rsidRDefault="00994C7B">
    <w:pPr>
      <w:pStyle w:val="Encabezado"/>
    </w:pPr>
  </w:p>
  <w:p w14:paraId="770D5EE6" w14:textId="77777777" w:rsidR="000126BB" w:rsidRDefault="00994C7B">
    <w:pPr>
      <w:pStyle w:val="Encabezado"/>
    </w:pPr>
  </w:p>
  <w:p w14:paraId="56FE955D" w14:textId="77777777" w:rsidR="000126BB" w:rsidRDefault="00994C7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Ttulo2"/>
      <w:lvlText w:val="%1.%2."/>
      <w:lvlJc w:val="left"/>
      <w:pPr>
        <w:ind w:left="360" w:hanging="360"/>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0554F51"/>
    <w:multiLevelType w:val="hybridMultilevel"/>
    <w:tmpl w:val="72EC3C56"/>
    <w:lvl w:ilvl="0" w:tplc="08227622">
      <w:start w:val="2"/>
      <w:numFmt w:val="decimal"/>
      <w:lvlText w:val="%1."/>
      <w:lvlJc w:val="left"/>
      <w:pPr>
        <w:ind w:left="6601" w:hanging="360"/>
      </w:pPr>
      <w:rPr>
        <w:rFonts w:hint="default"/>
      </w:rPr>
    </w:lvl>
    <w:lvl w:ilvl="1" w:tplc="240A0019" w:tentative="1">
      <w:start w:val="1"/>
      <w:numFmt w:val="lowerLetter"/>
      <w:lvlText w:val="%2."/>
      <w:lvlJc w:val="left"/>
      <w:pPr>
        <w:ind w:left="7321" w:hanging="360"/>
      </w:pPr>
    </w:lvl>
    <w:lvl w:ilvl="2" w:tplc="240A001B" w:tentative="1">
      <w:start w:val="1"/>
      <w:numFmt w:val="lowerRoman"/>
      <w:lvlText w:val="%3."/>
      <w:lvlJc w:val="right"/>
      <w:pPr>
        <w:ind w:left="8041" w:hanging="180"/>
      </w:pPr>
    </w:lvl>
    <w:lvl w:ilvl="3" w:tplc="240A000F" w:tentative="1">
      <w:start w:val="1"/>
      <w:numFmt w:val="decimal"/>
      <w:lvlText w:val="%4."/>
      <w:lvlJc w:val="left"/>
      <w:pPr>
        <w:ind w:left="8761" w:hanging="360"/>
      </w:pPr>
    </w:lvl>
    <w:lvl w:ilvl="4" w:tplc="240A0019" w:tentative="1">
      <w:start w:val="1"/>
      <w:numFmt w:val="lowerLetter"/>
      <w:lvlText w:val="%5."/>
      <w:lvlJc w:val="left"/>
      <w:pPr>
        <w:ind w:left="9481" w:hanging="360"/>
      </w:pPr>
    </w:lvl>
    <w:lvl w:ilvl="5" w:tplc="240A001B" w:tentative="1">
      <w:start w:val="1"/>
      <w:numFmt w:val="lowerRoman"/>
      <w:lvlText w:val="%6."/>
      <w:lvlJc w:val="right"/>
      <w:pPr>
        <w:ind w:left="10201" w:hanging="180"/>
      </w:pPr>
    </w:lvl>
    <w:lvl w:ilvl="6" w:tplc="240A000F" w:tentative="1">
      <w:start w:val="1"/>
      <w:numFmt w:val="decimal"/>
      <w:lvlText w:val="%7."/>
      <w:lvlJc w:val="left"/>
      <w:pPr>
        <w:ind w:left="10921" w:hanging="360"/>
      </w:pPr>
    </w:lvl>
    <w:lvl w:ilvl="7" w:tplc="240A0019" w:tentative="1">
      <w:start w:val="1"/>
      <w:numFmt w:val="lowerLetter"/>
      <w:lvlText w:val="%8."/>
      <w:lvlJc w:val="left"/>
      <w:pPr>
        <w:ind w:left="11641" w:hanging="360"/>
      </w:pPr>
    </w:lvl>
    <w:lvl w:ilvl="8" w:tplc="240A001B" w:tentative="1">
      <w:start w:val="1"/>
      <w:numFmt w:val="lowerRoman"/>
      <w:lvlText w:val="%9."/>
      <w:lvlJc w:val="right"/>
      <w:pPr>
        <w:ind w:left="12361" w:hanging="180"/>
      </w:pPr>
    </w:lvl>
  </w:abstractNum>
  <w:abstractNum w:abstractNumId="3" w15:restartNumberingAfterBreak="0">
    <w:nsid w:val="7B066B07"/>
    <w:multiLevelType w:val="multilevel"/>
    <w:tmpl w:val="11E03A5E"/>
    <w:lvl w:ilvl="0">
      <w:start w:val="3"/>
      <w:numFmt w:val="decimal"/>
      <w:lvlText w:val="%1"/>
      <w:lvlJc w:val="left"/>
      <w:pPr>
        <w:ind w:left="375" w:hanging="375"/>
      </w:pPr>
      <w:rPr>
        <w:rFonts w:hint="default"/>
        <w:b/>
        <w:bCs/>
      </w:rPr>
    </w:lvl>
    <w:lvl w:ilvl="1">
      <w:start w:val="10"/>
      <w:numFmt w:val="decimal"/>
      <w:lvlText w:val="%1.%2"/>
      <w:lvlJc w:val="left"/>
      <w:pPr>
        <w:ind w:left="1509"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BF6"/>
    <w:rsid w:val="00000545"/>
    <w:rsid w:val="0001077E"/>
    <w:rsid w:val="00025CAD"/>
    <w:rsid w:val="0003458F"/>
    <w:rsid w:val="00036A5C"/>
    <w:rsid w:val="000526D2"/>
    <w:rsid w:val="00054769"/>
    <w:rsid w:val="000651CE"/>
    <w:rsid w:val="000722CD"/>
    <w:rsid w:val="0007382B"/>
    <w:rsid w:val="000769D0"/>
    <w:rsid w:val="00080781"/>
    <w:rsid w:val="00087C6D"/>
    <w:rsid w:val="00092E03"/>
    <w:rsid w:val="000A5CE3"/>
    <w:rsid w:val="000B0DA9"/>
    <w:rsid w:val="000C286E"/>
    <w:rsid w:val="000C587C"/>
    <w:rsid w:val="000D02EA"/>
    <w:rsid w:val="000D0B6E"/>
    <w:rsid w:val="000D15F3"/>
    <w:rsid w:val="000D1BC3"/>
    <w:rsid w:val="000F0A99"/>
    <w:rsid w:val="00103A1D"/>
    <w:rsid w:val="00105237"/>
    <w:rsid w:val="00105872"/>
    <w:rsid w:val="0012428E"/>
    <w:rsid w:val="001569FC"/>
    <w:rsid w:val="00157677"/>
    <w:rsid w:val="00166280"/>
    <w:rsid w:val="0017039C"/>
    <w:rsid w:val="00185149"/>
    <w:rsid w:val="001972CA"/>
    <w:rsid w:val="001A34E8"/>
    <w:rsid w:val="001A6AAE"/>
    <w:rsid w:val="001B1918"/>
    <w:rsid w:val="001B1B49"/>
    <w:rsid w:val="001B353F"/>
    <w:rsid w:val="001C3816"/>
    <w:rsid w:val="001D2FE7"/>
    <w:rsid w:val="001D4CAE"/>
    <w:rsid w:val="00240859"/>
    <w:rsid w:val="002472F5"/>
    <w:rsid w:val="00256539"/>
    <w:rsid w:val="00261204"/>
    <w:rsid w:val="00275BC7"/>
    <w:rsid w:val="00286F66"/>
    <w:rsid w:val="002873D0"/>
    <w:rsid w:val="002941DE"/>
    <w:rsid w:val="00296D78"/>
    <w:rsid w:val="002B1018"/>
    <w:rsid w:val="002B3824"/>
    <w:rsid w:val="002B678B"/>
    <w:rsid w:val="002C2B0E"/>
    <w:rsid w:val="002C761A"/>
    <w:rsid w:val="002D1A61"/>
    <w:rsid w:val="002D2D41"/>
    <w:rsid w:val="002E6F13"/>
    <w:rsid w:val="00303AA2"/>
    <w:rsid w:val="0031683F"/>
    <w:rsid w:val="00327D3E"/>
    <w:rsid w:val="00331C7F"/>
    <w:rsid w:val="0034592E"/>
    <w:rsid w:val="00362E61"/>
    <w:rsid w:val="003764D4"/>
    <w:rsid w:val="00387565"/>
    <w:rsid w:val="003B1F8C"/>
    <w:rsid w:val="003B7D9B"/>
    <w:rsid w:val="003C4F93"/>
    <w:rsid w:val="003C7081"/>
    <w:rsid w:val="003F1F8C"/>
    <w:rsid w:val="003F2B02"/>
    <w:rsid w:val="00400351"/>
    <w:rsid w:val="00416D46"/>
    <w:rsid w:val="00430C0B"/>
    <w:rsid w:val="00431688"/>
    <w:rsid w:val="00450FDD"/>
    <w:rsid w:val="004530AD"/>
    <w:rsid w:val="00453397"/>
    <w:rsid w:val="004545FC"/>
    <w:rsid w:val="00466C6F"/>
    <w:rsid w:val="00484876"/>
    <w:rsid w:val="0048508B"/>
    <w:rsid w:val="00491886"/>
    <w:rsid w:val="00491EC1"/>
    <w:rsid w:val="00492971"/>
    <w:rsid w:val="0049398E"/>
    <w:rsid w:val="004A5E02"/>
    <w:rsid w:val="004B73B6"/>
    <w:rsid w:val="004C1806"/>
    <w:rsid w:val="004D2E51"/>
    <w:rsid w:val="004E2FD8"/>
    <w:rsid w:val="00502E32"/>
    <w:rsid w:val="00507021"/>
    <w:rsid w:val="00524790"/>
    <w:rsid w:val="00524CE3"/>
    <w:rsid w:val="00527F0F"/>
    <w:rsid w:val="0053481F"/>
    <w:rsid w:val="00551325"/>
    <w:rsid w:val="00562918"/>
    <w:rsid w:val="00580A5C"/>
    <w:rsid w:val="00581BB8"/>
    <w:rsid w:val="00581FE7"/>
    <w:rsid w:val="00583288"/>
    <w:rsid w:val="00586D51"/>
    <w:rsid w:val="005A6C78"/>
    <w:rsid w:val="005B0BD5"/>
    <w:rsid w:val="005B5A64"/>
    <w:rsid w:val="005B77DF"/>
    <w:rsid w:val="005C575D"/>
    <w:rsid w:val="005D34E2"/>
    <w:rsid w:val="005E3E2E"/>
    <w:rsid w:val="005E7EFB"/>
    <w:rsid w:val="005F3E1A"/>
    <w:rsid w:val="005F4FBC"/>
    <w:rsid w:val="006114EA"/>
    <w:rsid w:val="00624924"/>
    <w:rsid w:val="00627C86"/>
    <w:rsid w:val="00645BB7"/>
    <w:rsid w:val="0066040D"/>
    <w:rsid w:val="00663BF6"/>
    <w:rsid w:val="00665F61"/>
    <w:rsid w:val="00680471"/>
    <w:rsid w:val="00694901"/>
    <w:rsid w:val="006A1A68"/>
    <w:rsid w:val="006A53F3"/>
    <w:rsid w:val="006B39F5"/>
    <w:rsid w:val="006C441C"/>
    <w:rsid w:val="006C5056"/>
    <w:rsid w:val="006D3741"/>
    <w:rsid w:val="006F47B7"/>
    <w:rsid w:val="006F55AF"/>
    <w:rsid w:val="007032CB"/>
    <w:rsid w:val="0072212D"/>
    <w:rsid w:val="00722382"/>
    <w:rsid w:val="007234B9"/>
    <w:rsid w:val="007304F1"/>
    <w:rsid w:val="007401F4"/>
    <w:rsid w:val="007423E7"/>
    <w:rsid w:val="00753298"/>
    <w:rsid w:val="007575A5"/>
    <w:rsid w:val="00770721"/>
    <w:rsid w:val="0077690E"/>
    <w:rsid w:val="00780974"/>
    <w:rsid w:val="007819A7"/>
    <w:rsid w:val="007B73B0"/>
    <w:rsid w:val="007D5088"/>
    <w:rsid w:val="007E3C84"/>
    <w:rsid w:val="007F25C3"/>
    <w:rsid w:val="008073A7"/>
    <w:rsid w:val="00824D19"/>
    <w:rsid w:val="00837449"/>
    <w:rsid w:val="008459FB"/>
    <w:rsid w:val="00847FA1"/>
    <w:rsid w:val="00855F38"/>
    <w:rsid w:val="008574FE"/>
    <w:rsid w:val="00857761"/>
    <w:rsid w:val="008600E3"/>
    <w:rsid w:val="00867E98"/>
    <w:rsid w:val="00875DFB"/>
    <w:rsid w:val="00895101"/>
    <w:rsid w:val="008A0782"/>
    <w:rsid w:val="008A107E"/>
    <w:rsid w:val="008A4BC0"/>
    <w:rsid w:val="008B577C"/>
    <w:rsid w:val="008B7785"/>
    <w:rsid w:val="008C0E14"/>
    <w:rsid w:val="008C67EF"/>
    <w:rsid w:val="008E34F7"/>
    <w:rsid w:val="008E4F2E"/>
    <w:rsid w:val="0091550F"/>
    <w:rsid w:val="00927538"/>
    <w:rsid w:val="00934E74"/>
    <w:rsid w:val="00937CE7"/>
    <w:rsid w:val="00940C75"/>
    <w:rsid w:val="00947602"/>
    <w:rsid w:val="00955232"/>
    <w:rsid w:val="009566C8"/>
    <w:rsid w:val="0096734B"/>
    <w:rsid w:val="009707F0"/>
    <w:rsid w:val="00973C5D"/>
    <w:rsid w:val="00974640"/>
    <w:rsid w:val="00994C7B"/>
    <w:rsid w:val="00995481"/>
    <w:rsid w:val="009A6899"/>
    <w:rsid w:val="009E079A"/>
    <w:rsid w:val="009E1E80"/>
    <w:rsid w:val="009E6E20"/>
    <w:rsid w:val="00A011ED"/>
    <w:rsid w:val="00A030C7"/>
    <w:rsid w:val="00A03B88"/>
    <w:rsid w:val="00A03C8D"/>
    <w:rsid w:val="00A102EF"/>
    <w:rsid w:val="00A356A9"/>
    <w:rsid w:val="00A41898"/>
    <w:rsid w:val="00A5124F"/>
    <w:rsid w:val="00A604AD"/>
    <w:rsid w:val="00A67195"/>
    <w:rsid w:val="00A860A3"/>
    <w:rsid w:val="00A91AA3"/>
    <w:rsid w:val="00A92E3E"/>
    <w:rsid w:val="00A940DB"/>
    <w:rsid w:val="00A95C05"/>
    <w:rsid w:val="00AB3C5A"/>
    <w:rsid w:val="00AB5723"/>
    <w:rsid w:val="00AD1511"/>
    <w:rsid w:val="00AD6073"/>
    <w:rsid w:val="00AE4548"/>
    <w:rsid w:val="00AE4BF7"/>
    <w:rsid w:val="00AE7C5D"/>
    <w:rsid w:val="00AF3ADF"/>
    <w:rsid w:val="00B055E5"/>
    <w:rsid w:val="00B21FC4"/>
    <w:rsid w:val="00B26BEA"/>
    <w:rsid w:val="00B365A7"/>
    <w:rsid w:val="00B406BE"/>
    <w:rsid w:val="00B50926"/>
    <w:rsid w:val="00B50E61"/>
    <w:rsid w:val="00B652D1"/>
    <w:rsid w:val="00B65F75"/>
    <w:rsid w:val="00B67F56"/>
    <w:rsid w:val="00B75A43"/>
    <w:rsid w:val="00B87EFE"/>
    <w:rsid w:val="00B966EE"/>
    <w:rsid w:val="00BA1F71"/>
    <w:rsid w:val="00BB1746"/>
    <w:rsid w:val="00BB2CD4"/>
    <w:rsid w:val="00BC163A"/>
    <w:rsid w:val="00BC45CC"/>
    <w:rsid w:val="00BC473A"/>
    <w:rsid w:val="00BE2B14"/>
    <w:rsid w:val="00BF3827"/>
    <w:rsid w:val="00C03DB9"/>
    <w:rsid w:val="00C07A57"/>
    <w:rsid w:val="00C130D5"/>
    <w:rsid w:val="00C14AA3"/>
    <w:rsid w:val="00C21621"/>
    <w:rsid w:val="00C31C48"/>
    <w:rsid w:val="00C5005D"/>
    <w:rsid w:val="00C60C9D"/>
    <w:rsid w:val="00C60F97"/>
    <w:rsid w:val="00C81142"/>
    <w:rsid w:val="00C91993"/>
    <w:rsid w:val="00C9711C"/>
    <w:rsid w:val="00CD22BA"/>
    <w:rsid w:val="00CF6FFF"/>
    <w:rsid w:val="00D01B52"/>
    <w:rsid w:val="00D24DE8"/>
    <w:rsid w:val="00D35933"/>
    <w:rsid w:val="00D40344"/>
    <w:rsid w:val="00D43B9E"/>
    <w:rsid w:val="00D44521"/>
    <w:rsid w:val="00D66247"/>
    <w:rsid w:val="00D83B3E"/>
    <w:rsid w:val="00D93C60"/>
    <w:rsid w:val="00DB5583"/>
    <w:rsid w:val="00DB5FF2"/>
    <w:rsid w:val="00DC1278"/>
    <w:rsid w:val="00DC331D"/>
    <w:rsid w:val="00DC35C2"/>
    <w:rsid w:val="00DE039E"/>
    <w:rsid w:val="00DE78D6"/>
    <w:rsid w:val="00DF3590"/>
    <w:rsid w:val="00DF5A73"/>
    <w:rsid w:val="00DF6CB4"/>
    <w:rsid w:val="00E06B2F"/>
    <w:rsid w:val="00E22AAE"/>
    <w:rsid w:val="00E30DDE"/>
    <w:rsid w:val="00E40EB1"/>
    <w:rsid w:val="00E51757"/>
    <w:rsid w:val="00E55A85"/>
    <w:rsid w:val="00E6187C"/>
    <w:rsid w:val="00E67A57"/>
    <w:rsid w:val="00E7784C"/>
    <w:rsid w:val="00E81C31"/>
    <w:rsid w:val="00E821AA"/>
    <w:rsid w:val="00E872B7"/>
    <w:rsid w:val="00E948EC"/>
    <w:rsid w:val="00EA2F96"/>
    <w:rsid w:val="00EA3C6A"/>
    <w:rsid w:val="00EA6FC9"/>
    <w:rsid w:val="00EB1409"/>
    <w:rsid w:val="00EB7608"/>
    <w:rsid w:val="00EC352D"/>
    <w:rsid w:val="00EC4BFD"/>
    <w:rsid w:val="00EE5825"/>
    <w:rsid w:val="00EF219E"/>
    <w:rsid w:val="00F12A41"/>
    <w:rsid w:val="00F13156"/>
    <w:rsid w:val="00F26C08"/>
    <w:rsid w:val="00F340DF"/>
    <w:rsid w:val="00F34257"/>
    <w:rsid w:val="00F64D29"/>
    <w:rsid w:val="00F80C3A"/>
    <w:rsid w:val="00FC34D1"/>
    <w:rsid w:val="00FD51B9"/>
    <w:rsid w:val="00FD53EA"/>
    <w:rsid w:val="00FE1B6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6E79A"/>
  <w15:chartTrackingRefBased/>
  <w15:docId w15:val="{2EF210C6-A013-4393-BDA5-3A3ED0ACE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CAE"/>
    <w:pPr>
      <w:spacing w:after="0" w:line="240" w:lineRule="auto"/>
    </w:pPr>
    <w:rPr>
      <w:rFonts w:ascii="Times New Roman" w:eastAsia="Times New Roman" w:hAnsi="Times New Roman" w:cs="Times New Roman"/>
      <w:sz w:val="24"/>
      <w:szCs w:val="24"/>
      <w:lang w:eastAsia="es-ES_tradnl"/>
    </w:rPr>
  </w:style>
  <w:style w:type="paragraph" w:styleId="Ttulo2">
    <w:name w:val="heading 2"/>
    <w:basedOn w:val="Normal"/>
    <w:next w:val="Normal"/>
    <w:link w:val="Ttulo2Car"/>
    <w:uiPriority w:val="9"/>
    <w:unhideWhenUsed/>
    <w:qFormat/>
    <w:rsid w:val="009A6899"/>
    <w:pPr>
      <w:keepNext/>
      <w:keepLines/>
      <w:numPr>
        <w:ilvl w:val="1"/>
        <w:numId w:val="4"/>
      </w:numPr>
      <w:spacing w:before="40" w:after="120" w:line="259" w:lineRule="auto"/>
      <w:ind w:left="357" w:hanging="357"/>
      <w:jc w:val="both"/>
      <w:outlineLvl w:val="1"/>
    </w:pPr>
    <w:rPr>
      <w:rFonts w:ascii="Arial" w:eastAsiaTheme="majorEastAsia" w:hAnsi="Arial" w:cstheme="majorBidi"/>
      <w:b/>
      <w:caps/>
      <w:color w:val="000000" w:themeColor="text1"/>
      <w:sz w:val="20"/>
      <w:szCs w:val="26"/>
      <w:lang w:val="es-MX" w:eastAsia="en-US"/>
    </w:rPr>
  </w:style>
  <w:style w:type="paragraph" w:styleId="Ttulo3">
    <w:name w:val="heading 3"/>
    <w:basedOn w:val="Normal"/>
    <w:next w:val="Normal"/>
    <w:link w:val="Ttulo3Car"/>
    <w:uiPriority w:val="9"/>
    <w:unhideWhenUsed/>
    <w:qFormat/>
    <w:rsid w:val="009A6899"/>
    <w:pPr>
      <w:keepNext/>
      <w:keepLines/>
      <w:numPr>
        <w:ilvl w:val="2"/>
        <w:numId w:val="4"/>
      </w:numPr>
      <w:spacing w:before="40" w:after="120" w:line="259" w:lineRule="auto"/>
      <w:jc w:val="both"/>
      <w:outlineLvl w:val="2"/>
    </w:pPr>
    <w:rPr>
      <w:rFonts w:ascii="Arial" w:eastAsiaTheme="majorEastAsia" w:hAnsi="Arial" w:cstheme="majorBidi"/>
      <w:b/>
      <w:caps/>
      <w:color w:val="000000" w:themeColor="text1"/>
      <w:sz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663BF6"/>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663BF6"/>
  </w:style>
  <w:style w:type="paragraph" w:styleId="Encabezado">
    <w:name w:val="header"/>
    <w:basedOn w:val="Normal"/>
    <w:link w:val="EncabezadoCar"/>
    <w:uiPriority w:val="99"/>
    <w:unhideWhenUsed/>
    <w:rsid w:val="00663BF6"/>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663BF6"/>
  </w:style>
  <w:style w:type="paragraph" w:styleId="NormalWeb">
    <w:name w:val="Normal (Web)"/>
    <w:basedOn w:val="Normal"/>
    <w:link w:val="NormalWebCar"/>
    <w:uiPriority w:val="99"/>
    <w:unhideWhenUsed/>
    <w:rsid w:val="00663BF6"/>
    <w:pPr>
      <w:spacing w:after="160" w:line="259" w:lineRule="auto"/>
    </w:pPr>
    <w:rPr>
      <w:rFonts w:eastAsiaTheme="minorHAnsi"/>
      <w:lang w:eastAsia="en-US"/>
    </w:rPr>
  </w:style>
  <w:style w:type="table" w:styleId="Tablaconcuadrcula">
    <w:name w:val="Table Grid"/>
    <w:basedOn w:val="Tablanormal"/>
    <w:uiPriority w:val="59"/>
    <w:qFormat/>
    <w:rsid w:val="00663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63BF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663BF6"/>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663BF6"/>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63BF6"/>
    <w:rPr>
      <w:vertAlign w:val="superscript"/>
    </w:rPr>
  </w:style>
  <w:style w:type="paragraph" w:customStyle="1" w:styleId="Appelnotedebasde">
    <w:name w:val="Appel note de bas de..."/>
    <w:basedOn w:val="Normal"/>
    <w:link w:val="Refdenotaalpie"/>
    <w:uiPriority w:val="99"/>
    <w:rsid w:val="00663BF6"/>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663BF6"/>
    <w:rPr>
      <w:rFonts w:ascii="Times New Roman" w:hAnsi="Times New Roman" w:cs="Times New Roman"/>
      <w:sz w:val="24"/>
      <w:szCs w:val="24"/>
    </w:rPr>
  </w:style>
  <w:style w:type="paragraph" w:styleId="Sinespaciado">
    <w:name w:val="No Spacing"/>
    <w:uiPriority w:val="1"/>
    <w:qFormat/>
    <w:rsid w:val="00663BF6"/>
    <w:pPr>
      <w:spacing w:after="0" w:line="240" w:lineRule="auto"/>
    </w:pPr>
  </w:style>
  <w:style w:type="character" w:customStyle="1" w:styleId="normaltextrun">
    <w:name w:val="normaltextrun"/>
    <w:basedOn w:val="Fuentedeprrafopredeter"/>
    <w:rsid w:val="00663BF6"/>
  </w:style>
  <w:style w:type="paragraph" w:styleId="Prrafodelista">
    <w:name w:val="List Paragraph"/>
    <w:basedOn w:val="Normal"/>
    <w:uiPriority w:val="34"/>
    <w:qFormat/>
    <w:rsid w:val="00940C75"/>
    <w:pPr>
      <w:spacing w:after="160" w:line="259" w:lineRule="auto"/>
      <w:ind w:left="720"/>
      <w:contextualSpacing/>
    </w:pPr>
    <w:rPr>
      <w:rFonts w:asciiTheme="minorHAnsi" w:eastAsiaTheme="minorHAnsi" w:hAnsiTheme="minorHAnsi" w:cstheme="minorBidi"/>
      <w:sz w:val="22"/>
      <w:szCs w:val="22"/>
      <w:lang w:eastAsia="en-US"/>
    </w:rPr>
  </w:style>
  <w:style w:type="paragraph" w:styleId="Revisin">
    <w:name w:val="Revision"/>
    <w:hidden/>
    <w:uiPriority w:val="99"/>
    <w:semiHidden/>
    <w:rsid w:val="004E2FD8"/>
    <w:pPr>
      <w:spacing w:after="0" w:line="240" w:lineRule="auto"/>
    </w:pPr>
  </w:style>
  <w:style w:type="character" w:styleId="Refdecomentario">
    <w:name w:val="annotation reference"/>
    <w:basedOn w:val="Fuentedeprrafopredeter"/>
    <w:uiPriority w:val="99"/>
    <w:semiHidden/>
    <w:unhideWhenUsed/>
    <w:rsid w:val="0031683F"/>
    <w:rPr>
      <w:sz w:val="16"/>
      <w:szCs w:val="16"/>
    </w:rPr>
  </w:style>
  <w:style w:type="paragraph" w:styleId="Textocomentario">
    <w:name w:val="annotation text"/>
    <w:basedOn w:val="Normal"/>
    <w:link w:val="TextocomentarioCar"/>
    <w:uiPriority w:val="99"/>
    <w:unhideWhenUsed/>
    <w:rsid w:val="0031683F"/>
    <w:pPr>
      <w:spacing w:after="160"/>
    </w:pPr>
    <w:rPr>
      <w:rFonts w:asciiTheme="minorHAnsi" w:eastAsiaTheme="minorHAnsi" w:hAnsiTheme="minorHAnsi" w:cstheme="minorBidi"/>
      <w:sz w:val="20"/>
      <w:szCs w:val="20"/>
      <w:lang w:eastAsia="en-US"/>
    </w:rPr>
  </w:style>
  <w:style w:type="character" w:customStyle="1" w:styleId="TextocomentarioCar">
    <w:name w:val="Texto comentario Car"/>
    <w:basedOn w:val="Fuentedeprrafopredeter"/>
    <w:link w:val="Textocomentario"/>
    <w:uiPriority w:val="99"/>
    <w:rsid w:val="0031683F"/>
    <w:rPr>
      <w:sz w:val="20"/>
      <w:szCs w:val="20"/>
    </w:rPr>
  </w:style>
  <w:style w:type="paragraph" w:styleId="Asuntodelcomentario">
    <w:name w:val="annotation subject"/>
    <w:basedOn w:val="Textocomentario"/>
    <w:next w:val="Textocomentario"/>
    <w:link w:val="AsuntodelcomentarioCar"/>
    <w:uiPriority w:val="99"/>
    <w:semiHidden/>
    <w:unhideWhenUsed/>
    <w:rsid w:val="0031683F"/>
    <w:rPr>
      <w:b/>
      <w:bCs/>
    </w:rPr>
  </w:style>
  <w:style w:type="character" w:customStyle="1" w:styleId="AsuntodelcomentarioCar">
    <w:name w:val="Asunto del comentario Car"/>
    <w:basedOn w:val="TextocomentarioCar"/>
    <w:link w:val="Asuntodelcomentario"/>
    <w:uiPriority w:val="99"/>
    <w:semiHidden/>
    <w:rsid w:val="0031683F"/>
    <w:rPr>
      <w:b/>
      <w:bCs/>
      <w:sz w:val="20"/>
      <w:szCs w:val="20"/>
    </w:rPr>
  </w:style>
  <w:style w:type="character" w:customStyle="1" w:styleId="eop">
    <w:name w:val="eop"/>
    <w:basedOn w:val="Fuentedeprrafopredeter"/>
    <w:rsid w:val="001D4CAE"/>
  </w:style>
  <w:style w:type="character" w:customStyle="1" w:styleId="Ttulo2Car">
    <w:name w:val="Título 2 Car"/>
    <w:basedOn w:val="Fuentedeprrafopredeter"/>
    <w:link w:val="Ttulo2"/>
    <w:uiPriority w:val="9"/>
    <w:rsid w:val="009A6899"/>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rsid w:val="009A6899"/>
    <w:rPr>
      <w:rFonts w:ascii="Arial" w:eastAsiaTheme="majorEastAsia" w:hAnsi="Arial" w:cstheme="majorBidi"/>
      <w:b/>
      <w:caps/>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92363">
      <w:bodyDiv w:val="1"/>
      <w:marLeft w:val="0"/>
      <w:marRight w:val="0"/>
      <w:marTop w:val="0"/>
      <w:marBottom w:val="0"/>
      <w:divBdr>
        <w:top w:val="none" w:sz="0" w:space="0" w:color="auto"/>
        <w:left w:val="none" w:sz="0" w:space="0" w:color="auto"/>
        <w:bottom w:val="none" w:sz="0" w:space="0" w:color="auto"/>
        <w:right w:val="none" w:sz="0" w:space="0" w:color="auto"/>
      </w:divBdr>
    </w:div>
    <w:div w:id="1820416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89700B98-A978-40E9-A213-1F9AAD3D83B0}">
  <ds:schemaRefs>
    <ds:schemaRef ds:uri="http://schemas.microsoft.com/sharepoint/v3/contenttype/forms"/>
  </ds:schemaRefs>
</ds:datastoreItem>
</file>

<file path=customXml/itemProps2.xml><?xml version="1.0" encoding="utf-8"?>
<ds:datastoreItem xmlns:ds="http://schemas.openxmlformats.org/officeDocument/2006/customXml" ds:itemID="{3A0CB4D8-1BC6-46BA-AED4-869D45E8E6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8A3ABE-A186-4E14-A823-42F00C19A453}">
  <ds:schemaRefs>
    <ds:schemaRef ds:uri="http://schemas.openxmlformats.org/officeDocument/2006/bibliography"/>
  </ds:schemaRefs>
</ds:datastoreItem>
</file>

<file path=customXml/itemProps4.xml><?xml version="1.0" encoding="utf-8"?>
<ds:datastoreItem xmlns:ds="http://schemas.openxmlformats.org/officeDocument/2006/customXml" ds:itemID="{CDD3448D-E2F9-458A-92D0-C23D165945A5}">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15</Pages>
  <Words>5781</Words>
  <Characters>31800</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Milena Nuñez Aldana</dc:creator>
  <cp:keywords/>
  <dc:description/>
  <cp:lastModifiedBy>Felipe Bastidas Paredes</cp:lastModifiedBy>
  <cp:revision>81</cp:revision>
  <dcterms:created xsi:type="dcterms:W3CDTF">2022-02-22T13:50:00Z</dcterms:created>
  <dcterms:modified xsi:type="dcterms:W3CDTF">2022-02-22T16:44:00Z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