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9F854" w14:textId="77777777" w:rsidR="00C11B6A" w:rsidRDefault="00C11B6A" w:rsidP="00E245AB">
      <w:pPr>
        <w:spacing w:after="0"/>
        <w:rPr>
          <w:rFonts w:ascii="Century Gothic" w:hAnsi="Century Gothic"/>
        </w:rPr>
      </w:pPr>
      <w:bookmarkStart w:id="0" w:name="_Hlk143780582"/>
    </w:p>
    <w:p w14:paraId="6E3E0C6F" w14:textId="77777777" w:rsidR="00C11B6A" w:rsidRDefault="00C11B6A" w:rsidP="00E245AB">
      <w:pPr>
        <w:spacing w:after="0"/>
        <w:rPr>
          <w:rFonts w:ascii="Century Gothic" w:hAnsi="Century Gothic"/>
        </w:rPr>
      </w:pPr>
    </w:p>
    <w:p w14:paraId="20ADB955" w14:textId="77777777" w:rsidR="00C11B6A" w:rsidRPr="00612797" w:rsidRDefault="00C11B6A" w:rsidP="00C11B6A">
      <w:pPr>
        <w:jc w:val="both"/>
        <w:rPr>
          <w:rFonts w:ascii="Arial" w:hAnsi="Arial" w:cs="Arial"/>
          <w:b/>
          <w:bCs/>
        </w:rPr>
      </w:pPr>
      <w:r w:rsidRPr="000E55DA">
        <w:rPr>
          <w:rFonts w:ascii="Arial" w:hAnsi="Arial" w:cs="Arial"/>
          <w:b/>
          <w:bCs/>
        </w:rPr>
        <w:t xml:space="preserve">EXPERIENCIA </w:t>
      </w:r>
      <w:bookmarkStart w:id="1" w:name="_Hlk39676694"/>
      <w:r w:rsidRPr="000E55DA">
        <w:rPr>
          <w:rFonts w:ascii="Arial" w:eastAsia="Calibri" w:hAnsi="Arial" w:cs="Arial"/>
          <w:b/>
        </w:rPr>
        <w:t>–</w:t>
      </w:r>
      <w:bookmarkEnd w:id="1"/>
      <w:r w:rsidRPr="000E55DA">
        <w:rPr>
          <w:rFonts w:ascii="Arial" w:eastAsia="Calibri" w:hAnsi="Arial" w:cs="Arial"/>
          <w:b/>
        </w:rPr>
        <w:t xml:space="preserve"> Concepto </w:t>
      </w:r>
    </w:p>
    <w:p w14:paraId="43ABBEFB" w14:textId="77777777" w:rsidR="00C11B6A" w:rsidRPr="00E61502" w:rsidRDefault="00C11B6A" w:rsidP="00C11B6A">
      <w:pPr>
        <w:spacing w:after="0"/>
        <w:jc w:val="both"/>
        <w:rPr>
          <w:rFonts w:ascii="Arial" w:hAnsi="Arial" w:cs="Arial"/>
          <w:sz w:val="20"/>
          <w:szCs w:val="20"/>
          <w:lang w:eastAsia="es-ES"/>
        </w:rPr>
      </w:pPr>
      <w:r w:rsidRPr="00150A26">
        <w:rPr>
          <w:rFonts w:ascii="Arial" w:hAnsi="Arial" w:cs="Arial"/>
          <w:sz w:val="20"/>
          <w:szCs w:val="20"/>
          <w:lang w:eastAsia="es-ES"/>
        </w:rPr>
        <w:t>[…],</w:t>
      </w:r>
      <w:r>
        <w:rPr>
          <w:rFonts w:ascii="Arial" w:hAnsi="Arial" w:cs="Arial"/>
          <w:sz w:val="20"/>
          <w:szCs w:val="20"/>
          <w:lang w:eastAsia="es-ES"/>
        </w:rPr>
        <w:t xml:space="preserve"> </w:t>
      </w:r>
      <w:r w:rsidRPr="00E61502">
        <w:rPr>
          <w:rFonts w:ascii="Arial" w:hAnsi="Arial" w:cs="Arial"/>
          <w:sz w:val="20"/>
          <w:szCs w:val="20"/>
          <w:lang w:eastAsia="es-ES"/>
        </w:rPr>
        <w:t xml:space="preserve">se pueden extraer cuatro conclusiones relevantes respecto de la experiencia, para evaluar a continuación las figuras y reformas estatutarias de las sociedades comerciales: </w:t>
      </w:r>
    </w:p>
    <w:p w14:paraId="2ECA7981" w14:textId="77777777" w:rsidR="00C11B6A" w:rsidRPr="00E61502" w:rsidRDefault="00C11B6A" w:rsidP="00C11B6A">
      <w:pPr>
        <w:spacing w:after="120"/>
        <w:jc w:val="both"/>
        <w:rPr>
          <w:rFonts w:ascii="Arial" w:hAnsi="Arial" w:cs="Arial"/>
          <w:sz w:val="20"/>
          <w:szCs w:val="20"/>
          <w:lang w:eastAsia="es-ES"/>
        </w:rPr>
      </w:pPr>
      <w:r w:rsidRPr="00E61502">
        <w:rPr>
          <w:rFonts w:ascii="Arial" w:hAnsi="Arial" w:cs="Arial"/>
          <w:sz w:val="20"/>
          <w:szCs w:val="20"/>
          <w:lang w:eastAsia="es-ES"/>
        </w:rPr>
        <w:t>i) La experiencia es personal, esto es, se adquiere participando, directa o indirectamente, sin que sea posible no hacerlo y tener experiencia.</w:t>
      </w:r>
    </w:p>
    <w:p w14:paraId="28A406EE" w14:textId="77777777" w:rsidR="00C11B6A" w:rsidRPr="00E61502" w:rsidRDefault="00C11B6A" w:rsidP="00C11B6A">
      <w:pPr>
        <w:spacing w:after="120"/>
        <w:jc w:val="both"/>
        <w:rPr>
          <w:rFonts w:ascii="Arial" w:hAnsi="Arial" w:cs="Arial"/>
          <w:sz w:val="20"/>
          <w:szCs w:val="20"/>
          <w:lang w:eastAsia="es-ES"/>
        </w:rPr>
      </w:pPr>
      <w:proofErr w:type="spellStart"/>
      <w:r w:rsidRPr="00E61502">
        <w:rPr>
          <w:rFonts w:ascii="Arial" w:hAnsi="Arial" w:cs="Arial"/>
          <w:sz w:val="20"/>
          <w:szCs w:val="20"/>
          <w:lang w:eastAsia="es-ES"/>
        </w:rPr>
        <w:t>ii</w:t>
      </w:r>
      <w:proofErr w:type="spellEnd"/>
      <w:r w:rsidRPr="00E61502">
        <w:rPr>
          <w:rFonts w:ascii="Arial" w:hAnsi="Arial" w:cs="Arial"/>
          <w:sz w:val="20"/>
          <w:szCs w:val="20"/>
          <w:lang w:eastAsia="es-ES"/>
        </w:rPr>
        <w:t xml:space="preserve">) La experiencia se puede compartir, sin que implique que la compartida a una persona se entienda suya, ya que dentro del procedimiento contractual se reflejará que esa persona tiene la experiencia de otra, como es el caso de las figuras </w:t>
      </w:r>
      <w:proofErr w:type="gramStart"/>
      <w:r w:rsidRPr="00E61502">
        <w:rPr>
          <w:rFonts w:ascii="Arial" w:hAnsi="Arial" w:cs="Arial"/>
          <w:sz w:val="20"/>
          <w:szCs w:val="20"/>
          <w:lang w:eastAsia="es-ES"/>
        </w:rPr>
        <w:t>asociativas  –</w:t>
      </w:r>
      <w:proofErr w:type="gramEnd"/>
      <w:r w:rsidRPr="00E61502">
        <w:rPr>
          <w:rFonts w:ascii="Arial" w:hAnsi="Arial" w:cs="Arial"/>
          <w:sz w:val="20"/>
          <w:szCs w:val="20"/>
          <w:lang w:eastAsia="es-ES"/>
        </w:rPr>
        <w:t>consorcios y uniones temporales– que se verificará en el documento privado de constitución.</w:t>
      </w:r>
    </w:p>
    <w:p w14:paraId="37AAB3B9" w14:textId="77777777" w:rsidR="00C11B6A" w:rsidRPr="00E61502" w:rsidRDefault="00C11B6A" w:rsidP="00C11B6A">
      <w:pPr>
        <w:spacing w:after="120"/>
        <w:jc w:val="both"/>
        <w:rPr>
          <w:rFonts w:ascii="Arial" w:hAnsi="Arial" w:cs="Arial"/>
          <w:sz w:val="20"/>
          <w:szCs w:val="20"/>
          <w:lang w:eastAsia="es-ES"/>
        </w:rPr>
      </w:pPr>
      <w:proofErr w:type="spellStart"/>
      <w:r w:rsidRPr="00E61502">
        <w:rPr>
          <w:rFonts w:ascii="Arial" w:hAnsi="Arial" w:cs="Arial"/>
          <w:sz w:val="20"/>
          <w:szCs w:val="20"/>
          <w:lang w:eastAsia="es-ES"/>
        </w:rPr>
        <w:t>iii</w:t>
      </w:r>
      <w:proofErr w:type="spellEnd"/>
      <w:r w:rsidRPr="00E61502">
        <w:rPr>
          <w:rFonts w:ascii="Arial" w:hAnsi="Arial" w:cs="Arial"/>
          <w:sz w:val="20"/>
          <w:szCs w:val="20"/>
          <w:lang w:eastAsia="es-ES"/>
        </w:rPr>
        <w:t>) La experiencia se puede transferir, y esto es diferente a compartir, lo que implica que la experiencia de una persona se traslada a otra, y esta última acredita la experiencia como propia, como sucede con algunas figuras y reformas estatutarias, que se explicarán con más detalle en el numeral 2.2. de este concepto.</w:t>
      </w:r>
    </w:p>
    <w:p w14:paraId="2ABDA330" w14:textId="77777777" w:rsidR="00C11B6A" w:rsidRPr="00150A26" w:rsidRDefault="00C11B6A" w:rsidP="00C11B6A">
      <w:pPr>
        <w:spacing w:after="0"/>
        <w:jc w:val="both"/>
        <w:rPr>
          <w:rFonts w:ascii="Arial" w:hAnsi="Arial" w:cs="Arial"/>
          <w:sz w:val="20"/>
          <w:szCs w:val="20"/>
          <w:lang w:eastAsia="es-ES"/>
        </w:rPr>
      </w:pPr>
      <w:proofErr w:type="spellStart"/>
      <w:r w:rsidRPr="00E61502">
        <w:rPr>
          <w:rFonts w:ascii="Arial" w:hAnsi="Arial" w:cs="Arial"/>
          <w:sz w:val="20"/>
          <w:szCs w:val="20"/>
          <w:lang w:eastAsia="es-ES"/>
        </w:rPr>
        <w:t>iv</w:t>
      </w:r>
      <w:proofErr w:type="spellEnd"/>
      <w:r w:rsidRPr="00E61502">
        <w:rPr>
          <w:rFonts w:ascii="Arial" w:hAnsi="Arial" w:cs="Arial"/>
          <w:sz w:val="20"/>
          <w:szCs w:val="20"/>
          <w:lang w:eastAsia="es-ES"/>
        </w:rPr>
        <w:t>) Cuando la persona que adquirió la experiencia desaparece o se liquida no es posible que comparta o transfiera su experiencia, puesto que, al ser esta personal, sigue la suerte de quien la adquirió.</w:t>
      </w:r>
    </w:p>
    <w:p w14:paraId="482A4041" w14:textId="77777777" w:rsidR="00C11B6A" w:rsidRPr="000E55DA" w:rsidRDefault="00C11B6A" w:rsidP="00C11B6A">
      <w:pPr>
        <w:spacing w:after="0"/>
        <w:jc w:val="both"/>
        <w:rPr>
          <w:rFonts w:ascii="Arial" w:hAnsi="Arial" w:cs="Arial"/>
          <w:b/>
          <w:bCs/>
          <w:highlight w:val="yellow"/>
          <w:lang w:eastAsia="es-ES"/>
        </w:rPr>
      </w:pPr>
    </w:p>
    <w:p w14:paraId="17EFD2F6" w14:textId="77777777" w:rsidR="00C11B6A" w:rsidRDefault="00C11B6A" w:rsidP="00C11B6A">
      <w:pPr>
        <w:spacing w:after="0"/>
        <w:jc w:val="both"/>
        <w:rPr>
          <w:rFonts w:ascii="Arial" w:eastAsia="Calibri" w:hAnsi="Arial" w:cs="Arial"/>
          <w:b/>
          <w:bCs/>
          <w:lang w:eastAsia="es-ES"/>
        </w:rPr>
      </w:pPr>
      <w:r w:rsidRPr="00E61502">
        <w:rPr>
          <w:rFonts w:ascii="Arial" w:hAnsi="Arial" w:cs="Arial"/>
          <w:b/>
          <w:bCs/>
          <w:lang w:eastAsia="es-ES"/>
        </w:rPr>
        <w:t xml:space="preserve">EXPERIENCIA </w:t>
      </w:r>
      <w:r w:rsidRPr="00E61502">
        <w:rPr>
          <w:rFonts w:ascii="Arial" w:eastAsia="Calibri" w:hAnsi="Arial" w:cs="Arial"/>
          <w:b/>
          <w:bCs/>
          <w:lang w:eastAsia="es-ES"/>
        </w:rPr>
        <w:t>– Transformación</w:t>
      </w:r>
    </w:p>
    <w:p w14:paraId="26073A17" w14:textId="77777777" w:rsidR="00C11B6A" w:rsidRPr="00612797" w:rsidRDefault="00C11B6A" w:rsidP="00C11B6A">
      <w:pPr>
        <w:spacing w:after="0"/>
        <w:jc w:val="both"/>
        <w:rPr>
          <w:rFonts w:ascii="Arial" w:hAnsi="Arial" w:cs="Arial"/>
          <w:b/>
          <w:bCs/>
          <w:lang w:eastAsia="es-ES"/>
        </w:rPr>
      </w:pPr>
    </w:p>
    <w:p w14:paraId="667CD692" w14:textId="77777777" w:rsidR="00C11B6A" w:rsidRDefault="00C11B6A" w:rsidP="00C11B6A">
      <w:pPr>
        <w:autoSpaceDE w:val="0"/>
        <w:autoSpaceDN w:val="0"/>
        <w:adjustRightInd w:val="0"/>
        <w:spacing w:after="0"/>
        <w:jc w:val="both"/>
        <w:rPr>
          <w:rFonts w:ascii="Arial" w:hAnsi="Arial" w:cs="Arial"/>
          <w:sz w:val="20"/>
          <w:szCs w:val="20"/>
          <w:lang w:eastAsia="es-ES"/>
        </w:rPr>
      </w:pPr>
      <w:r w:rsidRPr="00E61502">
        <w:rPr>
          <w:rFonts w:ascii="Arial" w:hAnsi="Arial" w:cs="Arial"/>
          <w:sz w:val="20"/>
          <w:szCs w:val="20"/>
          <w:lang w:eastAsia="es-ES"/>
        </w:rPr>
        <w:t>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De esta manera,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w:t>
      </w:r>
      <w:r>
        <w:rPr>
          <w:rFonts w:ascii="Arial" w:hAnsi="Arial" w:cs="Arial"/>
          <w:sz w:val="20"/>
          <w:szCs w:val="20"/>
          <w:lang w:eastAsia="es-ES"/>
        </w:rPr>
        <w:t xml:space="preserve">. </w:t>
      </w:r>
    </w:p>
    <w:p w14:paraId="4E376A57" w14:textId="77777777" w:rsidR="00C11B6A" w:rsidRPr="00612797" w:rsidRDefault="00C11B6A" w:rsidP="00C11B6A">
      <w:pPr>
        <w:autoSpaceDE w:val="0"/>
        <w:autoSpaceDN w:val="0"/>
        <w:adjustRightInd w:val="0"/>
        <w:spacing w:after="0"/>
        <w:jc w:val="both"/>
        <w:rPr>
          <w:rFonts w:ascii="Arial" w:hAnsi="Arial" w:cs="Arial"/>
          <w:sz w:val="20"/>
          <w:szCs w:val="20"/>
          <w:lang w:eastAsia="es-ES"/>
        </w:rPr>
      </w:pPr>
    </w:p>
    <w:p w14:paraId="5E408983" w14:textId="77777777" w:rsidR="00C11B6A" w:rsidRPr="00612797" w:rsidRDefault="00C11B6A" w:rsidP="00C11B6A">
      <w:pPr>
        <w:jc w:val="both"/>
        <w:rPr>
          <w:rFonts w:ascii="Arial" w:hAnsi="Arial" w:cs="Arial"/>
          <w:b/>
          <w:bCs/>
        </w:rPr>
      </w:pPr>
      <w:r w:rsidRPr="000E55DA">
        <w:rPr>
          <w:rFonts w:ascii="Arial" w:hAnsi="Arial" w:cs="Arial"/>
          <w:b/>
          <w:bCs/>
        </w:rPr>
        <w:t xml:space="preserve">EXPERIENCIA </w:t>
      </w:r>
      <w:r w:rsidRPr="000E55DA">
        <w:rPr>
          <w:rFonts w:ascii="Arial" w:eastAsia="Calibri" w:hAnsi="Arial" w:cs="Arial"/>
          <w:b/>
        </w:rPr>
        <w:t>– Escisión</w:t>
      </w:r>
    </w:p>
    <w:p w14:paraId="6CE844B3" w14:textId="77777777" w:rsidR="00C11B6A" w:rsidRPr="00150A26" w:rsidRDefault="00C11B6A" w:rsidP="00C11B6A">
      <w:pPr>
        <w:spacing w:after="120"/>
        <w:jc w:val="both"/>
        <w:rPr>
          <w:rFonts w:ascii="Arial" w:hAnsi="Arial" w:cs="Arial"/>
          <w:sz w:val="20"/>
          <w:szCs w:val="20"/>
          <w:lang w:eastAsia="es-ES"/>
        </w:rPr>
      </w:pPr>
      <w:r w:rsidRPr="00E61502">
        <w:rPr>
          <w:rFonts w:ascii="Arial" w:hAnsi="Arial" w:cs="Arial"/>
          <w:sz w:val="20"/>
          <w:szCs w:val="20"/>
          <w:lang w:eastAsia="es-ES"/>
        </w:rPr>
        <w:t xml:space="preserve">Para la primera modalidad de escisión, teniendo en cuenta que la sociedad continúa sin alteraciones, esta puede compartir la experiencia a través de esquemas asociativos, pero no la transfiere, porque para ello tendría que «disolverse» sin «liquidarse», puesto que la «liquidación» implicaría que desaparece la persona y así su experiencia. Para explicarlo, hay que retomar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w:t>
      </w:r>
      <w:r w:rsidRPr="00E61502">
        <w:rPr>
          <w:rFonts w:ascii="Arial" w:hAnsi="Arial" w:cs="Arial"/>
          <w:sz w:val="20"/>
          <w:szCs w:val="20"/>
          <w:lang w:eastAsia="es-ES"/>
        </w:rPr>
        <w:lastRenderedPageBreak/>
        <w:t>que en la primera modalidad no existe «disolución». Esto significa que la persona continúa por sí misma y puede adquirir experiencia, pero no puede transferirla porque le pertenece, al ser quien la adquirió</w:t>
      </w:r>
      <w:r>
        <w:rPr>
          <w:rFonts w:ascii="Arial" w:hAnsi="Arial" w:cs="Arial"/>
          <w:sz w:val="20"/>
          <w:szCs w:val="20"/>
          <w:lang w:eastAsia="es-ES"/>
        </w:rPr>
        <w:t xml:space="preserve">. </w:t>
      </w:r>
    </w:p>
    <w:p w14:paraId="25A06643" w14:textId="77777777" w:rsidR="00C11B6A" w:rsidRDefault="00C11B6A" w:rsidP="00C11B6A">
      <w:pPr>
        <w:spacing w:after="0"/>
        <w:jc w:val="both"/>
        <w:rPr>
          <w:rFonts w:ascii="Arial" w:hAnsi="Arial" w:cs="Arial"/>
          <w:sz w:val="20"/>
          <w:szCs w:val="20"/>
        </w:rPr>
      </w:pPr>
      <w:r w:rsidRPr="00E61502">
        <w:rPr>
          <w:rFonts w:ascii="Arial" w:hAnsi="Arial" w:cs="Arial"/>
          <w:sz w:val="20"/>
          <w:szCs w:val="20"/>
        </w:rPr>
        <w:t>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w:t>
      </w:r>
      <w:r>
        <w:rPr>
          <w:rFonts w:ascii="Arial" w:hAnsi="Arial" w:cs="Arial"/>
          <w:sz w:val="20"/>
          <w:szCs w:val="20"/>
        </w:rPr>
        <w:t xml:space="preserve">. </w:t>
      </w:r>
    </w:p>
    <w:p w14:paraId="297078E3" w14:textId="77777777" w:rsidR="00C11B6A" w:rsidRPr="00150A26" w:rsidRDefault="00C11B6A" w:rsidP="00C11B6A">
      <w:pPr>
        <w:spacing w:after="0"/>
        <w:jc w:val="both"/>
        <w:rPr>
          <w:rFonts w:ascii="Arial" w:hAnsi="Arial" w:cs="Arial"/>
          <w:sz w:val="20"/>
          <w:szCs w:val="20"/>
        </w:rPr>
      </w:pPr>
    </w:p>
    <w:p w14:paraId="157FED16" w14:textId="3EB9E935" w:rsidR="00C11B6A" w:rsidRDefault="00C11B6A" w:rsidP="00C11B6A">
      <w:pPr>
        <w:widowControl w:val="0"/>
        <w:autoSpaceDE w:val="0"/>
        <w:autoSpaceDN w:val="0"/>
        <w:spacing w:after="0"/>
        <w:ind w:right="102"/>
        <w:jc w:val="both"/>
        <w:rPr>
          <w:rFonts w:ascii="Arial" w:eastAsia="Arial" w:hAnsi="Arial" w:cs="Arial"/>
          <w:b/>
          <w:lang w:val="es-ES"/>
        </w:rPr>
      </w:pPr>
      <w:r w:rsidRPr="000E55DA">
        <w:rPr>
          <w:rFonts w:ascii="Arial" w:eastAsia="Arial" w:hAnsi="Arial" w:cs="Arial"/>
          <w:b/>
          <w:lang w:val="es-ES"/>
        </w:rPr>
        <w:t xml:space="preserve">EXPERIENCIA – Fusión </w:t>
      </w:r>
      <w:r>
        <w:rPr>
          <w:rFonts w:ascii="Arial" w:eastAsia="Arial" w:hAnsi="Arial" w:cs="Arial"/>
          <w:b/>
          <w:lang w:val="es-ES"/>
        </w:rPr>
        <w:t>–</w:t>
      </w:r>
      <w:r>
        <w:rPr>
          <w:rFonts w:ascii="Arial" w:eastAsia="Arial" w:hAnsi="Arial" w:cs="Arial"/>
          <w:b/>
          <w:lang w:val="es-ES"/>
        </w:rPr>
        <w:t xml:space="preserve"> Absorción</w:t>
      </w:r>
    </w:p>
    <w:p w14:paraId="05701442" w14:textId="77777777" w:rsidR="00C11B6A" w:rsidRPr="00612797" w:rsidRDefault="00C11B6A" w:rsidP="00C11B6A">
      <w:pPr>
        <w:widowControl w:val="0"/>
        <w:autoSpaceDE w:val="0"/>
        <w:autoSpaceDN w:val="0"/>
        <w:spacing w:after="0"/>
        <w:ind w:right="102"/>
        <w:jc w:val="both"/>
        <w:rPr>
          <w:rFonts w:ascii="Arial" w:eastAsia="Arial" w:hAnsi="Arial" w:cs="Arial"/>
          <w:b/>
          <w:lang w:val="es-ES"/>
        </w:rPr>
      </w:pPr>
    </w:p>
    <w:p w14:paraId="67B7292D" w14:textId="77777777" w:rsidR="00C11B6A" w:rsidRPr="00150A26" w:rsidRDefault="00C11B6A" w:rsidP="00C11B6A">
      <w:pPr>
        <w:widowControl w:val="0"/>
        <w:autoSpaceDE w:val="0"/>
        <w:autoSpaceDN w:val="0"/>
        <w:spacing w:after="0"/>
        <w:jc w:val="both"/>
        <w:rPr>
          <w:rFonts w:ascii="Arial" w:eastAsia="Calibri" w:hAnsi="Arial" w:cs="Arial"/>
          <w:sz w:val="20"/>
          <w:szCs w:val="20"/>
          <w:lang w:eastAsia="es-ES"/>
        </w:rPr>
      </w:pPr>
      <w:r w:rsidRPr="00E61502">
        <w:rPr>
          <w:rFonts w:ascii="Arial" w:eastAsia="Calibri" w:hAnsi="Arial" w:cs="Arial"/>
          <w:bCs/>
          <w:sz w:val="20"/>
          <w:szCs w:val="20"/>
          <w:lang w:eastAsia="es-ES"/>
        </w:rPr>
        <w:t xml:space="preserve">Para analizar la fusión y sus efectos respecto de la experiencia de la sociedad que se </w:t>
      </w:r>
      <w:r w:rsidRPr="00E61502">
        <w:rPr>
          <w:rFonts w:ascii="Arial" w:eastAsia="Calibri" w:hAnsi="Arial" w:cs="Arial"/>
          <w:sz w:val="20"/>
          <w:szCs w:val="20"/>
          <w:lang w:eastAsia="es-ES"/>
        </w:rPr>
        <w:t>«</w:t>
      </w:r>
      <w:r w:rsidRPr="00E61502">
        <w:rPr>
          <w:rFonts w:ascii="Arial" w:eastAsia="Calibri" w:hAnsi="Arial" w:cs="Arial"/>
          <w:bCs/>
          <w:sz w:val="20"/>
          <w:szCs w:val="20"/>
          <w:lang w:eastAsia="es-ES"/>
        </w:rPr>
        <w:t xml:space="preserve">disuelve» pero no se </w:t>
      </w:r>
      <w:r w:rsidRPr="00E61502">
        <w:rPr>
          <w:rFonts w:ascii="Arial" w:eastAsia="Calibri" w:hAnsi="Arial" w:cs="Arial"/>
          <w:sz w:val="20"/>
          <w:szCs w:val="20"/>
          <w:lang w:eastAsia="es-ES"/>
        </w:rPr>
        <w:t>«</w:t>
      </w:r>
      <w:r w:rsidRPr="00E61502">
        <w:rPr>
          <w:rFonts w:ascii="Arial" w:eastAsia="Calibri" w:hAnsi="Arial" w:cs="Arial"/>
          <w:bCs/>
          <w:sz w:val="20"/>
          <w:szCs w:val="20"/>
          <w:lang w:eastAsia="es-ES"/>
        </w:rPr>
        <w:t xml:space="preserve">liquida», es necesario reiterar la explicación dada respecto de la segunda modalidad de escisión, y es que siempre que la sociedad no se liquide, es decir, que no desaparezca, la experiencia puede ser 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w:t>
      </w:r>
      <w:r w:rsidRPr="00E61502">
        <w:rPr>
          <w:rFonts w:ascii="Arial" w:eastAsia="Calibri" w:hAnsi="Arial" w:cs="Arial"/>
          <w:bCs/>
          <w:i/>
          <w:iCs/>
          <w:sz w:val="20"/>
          <w:szCs w:val="20"/>
          <w:lang w:eastAsia="es-ES"/>
        </w:rPr>
        <w:t>transfiere</w:t>
      </w:r>
      <w:r w:rsidRPr="00E61502">
        <w:rPr>
          <w:rFonts w:ascii="Arial" w:eastAsia="Calibri" w:hAnsi="Arial" w:cs="Arial"/>
          <w:bCs/>
          <w:sz w:val="20"/>
          <w:szCs w:val="20"/>
          <w:lang w:eastAsia="es-ES"/>
        </w:rPr>
        <w:t xml:space="preserve"> su experiencia y todos sus derechos y obligaciones, de conformidad con el artículo 172 y siguientes del Código de Comercio</w:t>
      </w:r>
      <w:r>
        <w:rPr>
          <w:rFonts w:ascii="Arial" w:eastAsia="Calibri" w:hAnsi="Arial" w:cs="Arial"/>
          <w:bCs/>
          <w:sz w:val="20"/>
          <w:szCs w:val="20"/>
          <w:lang w:eastAsia="es-ES"/>
        </w:rPr>
        <w:t xml:space="preserve">. </w:t>
      </w:r>
    </w:p>
    <w:p w14:paraId="78B3886C" w14:textId="77777777" w:rsidR="00C11B6A" w:rsidRPr="00150A26" w:rsidRDefault="00C11B6A" w:rsidP="00C11B6A">
      <w:pPr>
        <w:widowControl w:val="0"/>
        <w:autoSpaceDE w:val="0"/>
        <w:autoSpaceDN w:val="0"/>
        <w:ind w:right="102"/>
        <w:jc w:val="both"/>
        <w:rPr>
          <w:rFonts w:ascii="Arial" w:eastAsia="Arial" w:hAnsi="Arial" w:cs="Arial"/>
          <w:sz w:val="20"/>
          <w:szCs w:val="20"/>
          <w:lang w:val="es-ES"/>
        </w:rPr>
      </w:pPr>
      <w:r w:rsidRPr="00150A26">
        <w:rPr>
          <w:rFonts w:ascii="Arial" w:eastAsia="Arial" w:hAnsi="Arial" w:cs="Arial"/>
          <w:sz w:val="20"/>
          <w:szCs w:val="20"/>
          <w:lang w:val="es-ES"/>
        </w:rPr>
        <w:t>[…]</w:t>
      </w:r>
    </w:p>
    <w:p w14:paraId="1A8598B7" w14:textId="77777777" w:rsidR="00C11B6A" w:rsidRPr="00150A26" w:rsidRDefault="00C11B6A" w:rsidP="00C11B6A">
      <w:pPr>
        <w:widowControl w:val="0"/>
        <w:autoSpaceDE w:val="0"/>
        <w:autoSpaceDN w:val="0"/>
        <w:spacing w:after="0"/>
        <w:ind w:right="102"/>
        <w:jc w:val="both"/>
        <w:rPr>
          <w:rFonts w:ascii="Arial" w:eastAsia="Arial" w:hAnsi="Arial" w:cs="Arial"/>
          <w:sz w:val="20"/>
          <w:szCs w:val="20"/>
          <w:lang w:val="es-ES"/>
        </w:rPr>
      </w:pPr>
      <w:r w:rsidRPr="00E61502">
        <w:rPr>
          <w:rFonts w:ascii="Arial" w:eastAsia="Arial" w:hAnsi="Arial" w:cs="Arial"/>
          <w:bCs/>
          <w:sz w:val="20"/>
          <w:szCs w:val="20"/>
        </w:rPr>
        <w:t>En consecuencia, en la fusión por absorción o creación de una nueva sociedad es posible que la sociedad absorbente o la nueva obtenga la experiencia de la absorbida, porque esta última continuó a través de la primera, y ello implica que transfirió su experiencia debido a que no se liquidó, es decir, no desapareció, lo que haría imposible la transferencia de experiencia</w:t>
      </w:r>
      <w:r>
        <w:rPr>
          <w:rFonts w:ascii="Arial" w:eastAsia="Arial" w:hAnsi="Arial" w:cs="Arial"/>
          <w:bCs/>
          <w:sz w:val="20"/>
          <w:szCs w:val="20"/>
        </w:rPr>
        <w:t xml:space="preserve">. </w:t>
      </w:r>
    </w:p>
    <w:p w14:paraId="1240532A" w14:textId="77777777" w:rsidR="00C11B6A" w:rsidRDefault="00C11B6A" w:rsidP="00C11B6A">
      <w:pPr>
        <w:spacing w:after="0" w:line="276" w:lineRule="auto"/>
        <w:jc w:val="both"/>
        <w:rPr>
          <w:rFonts w:ascii="Arial" w:hAnsi="Arial" w:cs="Arial"/>
          <w:noProof/>
          <w:color w:val="000000" w:themeColor="text1"/>
          <w:sz w:val="20"/>
          <w:szCs w:val="20"/>
          <w:lang w:val="es-ES_tradnl"/>
        </w:rPr>
      </w:pPr>
    </w:p>
    <w:p w14:paraId="5F69E1E9" w14:textId="77777777" w:rsidR="00C11B6A" w:rsidRDefault="00C11B6A" w:rsidP="00C11B6A">
      <w:pPr>
        <w:spacing w:after="0"/>
        <w:jc w:val="both"/>
        <w:rPr>
          <w:rFonts w:ascii="Arial" w:eastAsia="Calibri" w:hAnsi="Arial" w:cs="Arial"/>
          <w:b/>
          <w:bCs/>
          <w:lang w:val="es-MX"/>
        </w:rPr>
      </w:pPr>
      <w:r>
        <w:rPr>
          <w:rFonts w:ascii="Arial" w:eastAsia="Calibri" w:hAnsi="Arial" w:cs="Arial"/>
          <w:b/>
          <w:bCs/>
          <w:lang w:val="es-MX"/>
        </w:rPr>
        <w:t>EXPERIENCIA – Conservación – Sociedades – Menor a 3 años de constitución</w:t>
      </w:r>
    </w:p>
    <w:p w14:paraId="7C0CA0CD" w14:textId="77777777" w:rsidR="00C11B6A" w:rsidRDefault="00C11B6A" w:rsidP="00C11B6A">
      <w:pPr>
        <w:spacing w:after="0"/>
        <w:jc w:val="both"/>
        <w:rPr>
          <w:rFonts w:ascii="Arial" w:eastAsia="Calibri" w:hAnsi="Arial" w:cs="Arial"/>
          <w:b/>
          <w:bCs/>
          <w:lang w:val="es-MX"/>
        </w:rPr>
      </w:pPr>
      <w:r>
        <w:rPr>
          <w:rFonts w:ascii="Arial" w:eastAsia="Calibri" w:hAnsi="Arial" w:cs="Arial"/>
          <w:b/>
          <w:bCs/>
          <w:lang w:val="es-MX"/>
        </w:rPr>
        <w:t> </w:t>
      </w:r>
    </w:p>
    <w:p w14:paraId="0B81CDAA" w14:textId="77777777" w:rsidR="00C11B6A" w:rsidRDefault="00C11B6A" w:rsidP="00C11B6A">
      <w:pPr>
        <w:spacing w:after="0"/>
        <w:jc w:val="both"/>
        <w:textAlignment w:val="baseline"/>
        <w:rPr>
          <w:rFonts w:ascii="Arial" w:eastAsia="Calibri" w:hAnsi="Arial" w:cs="Arial"/>
          <w:sz w:val="20"/>
          <w:szCs w:val="20"/>
          <w:lang w:val="es-MX"/>
        </w:rPr>
      </w:pPr>
      <w:r>
        <w:rPr>
          <w:rFonts w:ascii="Arial" w:eastAsia="Calibri" w:hAnsi="Arial" w:cs="Arial"/>
          <w:sz w:val="20"/>
          <w:szCs w:val="20"/>
          <w:lang w:val="es-MX"/>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04505FA2" w14:textId="77777777" w:rsidR="00C11B6A" w:rsidRPr="00150A26" w:rsidRDefault="00C11B6A" w:rsidP="00C11B6A">
      <w:pPr>
        <w:spacing w:after="0" w:line="276" w:lineRule="auto"/>
        <w:jc w:val="both"/>
        <w:rPr>
          <w:rFonts w:ascii="Arial" w:hAnsi="Arial" w:cs="Arial"/>
          <w:noProof/>
          <w:color w:val="000000" w:themeColor="text1"/>
          <w:sz w:val="20"/>
          <w:szCs w:val="20"/>
          <w:lang w:val="es-ES_tradnl"/>
        </w:rPr>
      </w:pPr>
    </w:p>
    <w:p w14:paraId="48C32BF4" w14:textId="77777777" w:rsidR="00C11B6A" w:rsidRPr="002A52A2" w:rsidRDefault="00C11B6A" w:rsidP="00C11B6A">
      <w:pPr>
        <w:jc w:val="both"/>
        <w:rPr>
          <w:rFonts w:ascii="Arial" w:eastAsia="Calibri" w:hAnsi="Arial" w:cs="Arial"/>
          <w:color w:val="000000" w:themeColor="text1"/>
          <w:lang w:val="es-ES_tradnl"/>
        </w:rPr>
      </w:pPr>
    </w:p>
    <w:p w14:paraId="348A998B" w14:textId="0DC9C20D" w:rsidR="00367236" w:rsidRPr="00322A85" w:rsidRDefault="00367236" w:rsidP="00367236">
      <w:pPr>
        <w:spacing w:after="0"/>
        <w:rPr>
          <w:rFonts w:ascii="Century Gothic" w:hAnsi="Century Gothic"/>
        </w:rPr>
      </w:pPr>
      <w:r w:rsidRPr="00367236">
        <w:rPr>
          <w:rFonts w:ascii="Arial" w:eastAsia="Calibri" w:hAnsi="Arial" w:cs="Arial"/>
          <w:color w:val="000000" w:themeColor="text1"/>
        </w:rPr>
        <w:lastRenderedPageBreak/>
        <w:drawing>
          <wp:anchor distT="0" distB="0" distL="114300" distR="114300" simplePos="0" relativeHeight="251658240" behindDoc="0" locked="0" layoutInCell="1" allowOverlap="1" wp14:anchorId="4440E707" wp14:editId="519ADAF2">
            <wp:simplePos x="0" y="0"/>
            <wp:positionH relativeFrom="column">
              <wp:posOffset>2951162</wp:posOffset>
            </wp:positionH>
            <wp:positionV relativeFrom="paragraph">
              <wp:posOffset>-307340</wp:posOffset>
            </wp:positionV>
            <wp:extent cx="2786063" cy="857250"/>
            <wp:effectExtent l="0" t="0" r="0" b="0"/>
            <wp:wrapNone/>
            <wp:docPr id="134986304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86304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87922" cy="857822"/>
                    </a:xfrm>
                    <a:prstGeom prst="rect">
                      <a:avLst/>
                    </a:prstGeom>
                  </pic:spPr>
                </pic:pic>
              </a:graphicData>
            </a:graphic>
            <wp14:sizeRelH relativeFrom="page">
              <wp14:pctWidth>0</wp14:pctWidth>
            </wp14:sizeRelH>
            <wp14:sizeRelV relativeFrom="page">
              <wp14:pctHeight>0</wp14:pctHeight>
            </wp14:sizeRelV>
          </wp:anchor>
        </w:drawing>
      </w:r>
      <w:r>
        <w:t xml:space="preserve">Bogotá D.C., 11 </w:t>
      </w:r>
      <w:proofErr w:type="gramStart"/>
      <w:r>
        <w:t>Marzo</w:t>
      </w:r>
      <w:proofErr w:type="gramEnd"/>
      <w:r>
        <w:t xml:space="preserve"> 2024</w:t>
      </w:r>
    </w:p>
    <w:p w14:paraId="027A043D" w14:textId="55C1FB12" w:rsidR="00C11B6A" w:rsidRDefault="00C11B6A" w:rsidP="00367236">
      <w:pPr>
        <w:jc w:val="right"/>
        <w:rPr>
          <w:rFonts w:ascii="Arial" w:eastAsia="Calibri" w:hAnsi="Arial" w:cs="Arial"/>
          <w:color w:val="000000" w:themeColor="text1"/>
        </w:rPr>
      </w:pPr>
    </w:p>
    <w:p w14:paraId="0465BA6D" w14:textId="77777777" w:rsidR="00E245AB" w:rsidRPr="00322A85" w:rsidRDefault="00E245AB" w:rsidP="00E245AB">
      <w:pPr>
        <w:spacing w:after="0"/>
        <w:rPr>
          <w:rFonts w:ascii="Century Gothic" w:hAnsi="Century Gothic"/>
        </w:rPr>
      </w:pPr>
    </w:p>
    <w:bookmarkEnd w:id="0"/>
    <w:p w14:paraId="00F925F2" w14:textId="77777777" w:rsidR="00F97CDE" w:rsidRPr="00643E3F" w:rsidRDefault="00F97CDE" w:rsidP="00F97CDE">
      <w:pPr>
        <w:contextualSpacing/>
        <w:jc w:val="both"/>
        <w:rPr>
          <w:rFonts w:ascii="Century Gothic" w:eastAsia="Calibri" w:hAnsi="Century Gothic" w:cs="Arial"/>
          <w:sz w:val="24"/>
          <w:szCs w:val="24"/>
          <w:lang w:val="es-ES_tradnl" w:eastAsia="es-ES_tradnl"/>
        </w:rPr>
      </w:pPr>
      <w:r w:rsidRPr="00643E3F">
        <w:rPr>
          <w:rFonts w:ascii="Century Gothic" w:eastAsia="Calibri" w:hAnsi="Century Gothic" w:cs="Arial"/>
          <w:sz w:val="24"/>
          <w:szCs w:val="24"/>
          <w:lang w:val="es-ES_tradnl" w:eastAsia="es-ES_tradnl"/>
        </w:rPr>
        <w:t>Señora</w:t>
      </w:r>
    </w:p>
    <w:p w14:paraId="71316311" w14:textId="77777777" w:rsidR="00F97CDE" w:rsidRPr="00643E3F" w:rsidRDefault="00F97CDE" w:rsidP="00F97CDE">
      <w:pPr>
        <w:contextualSpacing/>
        <w:jc w:val="both"/>
        <w:rPr>
          <w:rFonts w:ascii="Century Gothic" w:eastAsia="Calibri" w:hAnsi="Century Gothic" w:cs="Arial"/>
          <w:b/>
          <w:sz w:val="24"/>
          <w:szCs w:val="24"/>
          <w:lang w:val="es-ES_tradnl" w:eastAsia="es-ES_tradnl"/>
        </w:rPr>
      </w:pPr>
      <w:r w:rsidRPr="00643E3F">
        <w:rPr>
          <w:rFonts w:ascii="Century Gothic" w:eastAsia="Calibri" w:hAnsi="Century Gothic" w:cs="Arial"/>
          <w:b/>
          <w:sz w:val="24"/>
          <w:szCs w:val="24"/>
          <w:lang w:val="es-ES_tradnl" w:eastAsia="es-ES_tradnl"/>
        </w:rPr>
        <w:t>Sara Jaramillo Ortiz</w:t>
      </w:r>
    </w:p>
    <w:p w14:paraId="0EB27F30" w14:textId="77777777" w:rsidR="00F97CDE" w:rsidRPr="00643E3F" w:rsidRDefault="00F97CDE" w:rsidP="00F97CDE">
      <w:pPr>
        <w:contextualSpacing/>
        <w:jc w:val="both"/>
        <w:rPr>
          <w:rFonts w:ascii="Century Gothic" w:eastAsia="Calibri" w:hAnsi="Century Gothic" w:cs="Arial"/>
          <w:sz w:val="24"/>
          <w:szCs w:val="24"/>
          <w:lang w:val="es-ES_tradnl" w:eastAsia="es-ES_tradnl"/>
        </w:rPr>
      </w:pPr>
      <w:r w:rsidRPr="00643E3F">
        <w:rPr>
          <w:rFonts w:ascii="Century Gothic" w:eastAsia="Calibri" w:hAnsi="Century Gothic" w:cs="Arial"/>
          <w:sz w:val="24"/>
          <w:szCs w:val="24"/>
          <w:lang w:val="es-ES_tradnl" w:eastAsia="es-ES_tradnl"/>
        </w:rPr>
        <w:t xml:space="preserve">Medellín, Antioquia </w:t>
      </w:r>
    </w:p>
    <w:p w14:paraId="70C604C3" w14:textId="77777777" w:rsidR="00F97CDE" w:rsidRPr="00643E3F" w:rsidRDefault="00F97CDE" w:rsidP="00F97CDE">
      <w:pPr>
        <w:contextualSpacing/>
        <w:rPr>
          <w:rFonts w:ascii="Century Gothic" w:eastAsia="Calibri" w:hAnsi="Century Gothic" w:cs="Arial"/>
          <w:sz w:val="24"/>
          <w:szCs w:val="24"/>
          <w:lang w:val="es-ES_tradnl" w:eastAsia="es-ES_tradnl"/>
        </w:rPr>
      </w:pPr>
    </w:p>
    <w:p w14:paraId="77B1B31C" w14:textId="77777777" w:rsidR="00F97CDE" w:rsidRPr="00643E3F" w:rsidRDefault="00F97CDE" w:rsidP="00F97CDE">
      <w:pPr>
        <w:contextualSpacing/>
        <w:rPr>
          <w:rFonts w:ascii="Century Gothic" w:eastAsia="Calibri" w:hAnsi="Century Gothic" w:cs="Arial"/>
          <w:sz w:val="24"/>
          <w:szCs w:val="24"/>
          <w:lang w:val="es-ES_tradnl" w:eastAsia="es-ES_tradnl"/>
        </w:rPr>
      </w:pPr>
    </w:p>
    <w:p w14:paraId="77312631" w14:textId="77777777" w:rsidR="00F97CDE" w:rsidRPr="00643E3F" w:rsidRDefault="00F97CDE" w:rsidP="00F97CDE">
      <w:pPr>
        <w:contextualSpacing/>
        <w:rPr>
          <w:rFonts w:ascii="Century Gothic" w:eastAsia="Calibri" w:hAnsi="Century Gothic" w:cs="Arial"/>
          <w:b/>
          <w:bCs/>
          <w:sz w:val="24"/>
          <w:szCs w:val="24"/>
          <w:lang w:val="es-ES_tradnl" w:eastAsia="es-ES_tradnl"/>
        </w:rPr>
      </w:pPr>
      <w:r w:rsidRPr="00643E3F">
        <w:rPr>
          <w:rFonts w:ascii="Century Gothic" w:eastAsia="Calibri" w:hAnsi="Century Gothic" w:cs="Arial"/>
          <w:sz w:val="24"/>
          <w:szCs w:val="24"/>
          <w:lang w:val="es-ES_tradnl" w:eastAsia="es-ES_tradnl"/>
        </w:rPr>
        <w:t xml:space="preserve">                                            </w:t>
      </w:r>
      <w:r w:rsidRPr="00643E3F">
        <w:rPr>
          <w:rFonts w:ascii="Century Gothic" w:eastAsia="Calibri" w:hAnsi="Century Gothic" w:cs="Arial"/>
          <w:b/>
          <w:bCs/>
          <w:sz w:val="24"/>
          <w:szCs w:val="24"/>
          <w:lang w:val="es-ES_tradnl" w:eastAsia="es-ES_tradnl"/>
        </w:rPr>
        <w:t xml:space="preserve">Concepto C </w:t>
      </w:r>
      <w:r w:rsidRPr="00643E3F">
        <w:rPr>
          <w:rFonts w:ascii="Arial" w:eastAsia="Calibri" w:hAnsi="Arial" w:cs="Arial"/>
          <w:b/>
          <w:bCs/>
          <w:sz w:val="24"/>
          <w:szCs w:val="24"/>
          <w:lang w:val="es-ES_tradnl" w:eastAsia="es-ES_tradnl"/>
        </w:rPr>
        <w:t>‒</w:t>
      </w:r>
      <w:r w:rsidRPr="00643E3F">
        <w:rPr>
          <w:rFonts w:ascii="Century Gothic" w:eastAsia="Calibri" w:hAnsi="Century Gothic" w:cs="Arial"/>
          <w:b/>
          <w:bCs/>
          <w:sz w:val="24"/>
          <w:szCs w:val="24"/>
          <w:lang w:val="es-ES_tradnl" w:eastAsia="es-ES_tradnl"/>
        </w:rPr>
        <w:t xml:space="preserve"> 019 de 2024</w:t>
      </w:r>
    </w:p>
    <w:p w14:paraId="33930ABB" w14:textId="77777777" w:rsidR="00F97CDE" w:rsidRPr="00643E3F" w:rsidRDefault="00F97CDE" w:rsidP="00F97CDE">
      <w:pPr>
        <w:contextualSpacing/>
        <w:jc w:val="both"/>
        <w:rPr>
          <w:rFonts w:ascii="Century Gothic" w:eastAsia="Calibri" w:hAnsi="Century Gothic" w:cs="Arial"/>
          <w:sz w:val="24"/>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97CDE" w:rsidRPr="00643E3F" w14:paraId="5EFAD267" w14:textId="77777777" w:rsidTr="00BD6AFD">
        <w:tc>
          <w:tcPr>
            <w:tcW w:w="2689" w:type="dxa"/>
          </w:tcPr>
          <w:p w14:paraId="2B0F7530" w14:textId="77777777" w:rsidR="00F97CDE" w:rsidRPr="00643E3F" w:rsidRDefault="00F97CDE" w:rsidP="00BD6AFD">
            <w:pPr>
              <w:jc w:val="both"/>
              <w:rPr>
                <w:rFonts w:ascii="Century Gothic" w:eastAsia="Calibri" w:hAnsi="Century Gothic" w:cs="Arial"/>
                <w:color w:val="000000" w:themeColor="text1"/>
                <w:sz w:val="24"/>
                <w:szCs w:val="24"/>
                <w:lang w:val="es-ES_tradnl"/>
              </w:rPr>
            </w:pPr>
            <w:r w:rsidRPr="00643E3F">
              <w:rPr>
                <w:rFonts w:ascii="Century Gothic" w:eastAsia="Calibri" w:hAnsi="Century Gothic" w:cs="Arial"/>
                <w:b/>
                <w:color w:val="000000" w:themeColor="text1"/>
                <w:sz w:val="24"/>
                <w:szCs w:val="24"/>
                <w:lang w:val="es-ES_tradnl"/>
              </w:rPr>
              <w:t>Temas:</w:t>
            </w:r>
            <w:r w:rsidRPr="00643E3F">
              <w:rPr>
                <w:rFonts w:ascii="Century Gothic" w:eastAsia="Calibri" w:hAnsi="Century Gothic" w:cs="Arial"/>
                <w:color w:val="000000" w:themeColor="text1"/>
                <w:sz w:val="24"/>
                <w:szCs w:val="24"/>
                <w:lang w:val="es-ES_tradnl"/>
              </w:rPr>
              <w:t xml:space="preserve">                   </w:t>
            </w:r>
          </w:p>
        </w:tc>
        <w:tc>
          <w:tcPr>
            <w:tcW w:w="6237" w:type="dxa"/>
            <w:shd w:val="clear" w:color="auto" w:fill="auto"/>
          </w:tcPr>
          <w:p w14:paraId="0B0F7055" w14:textId="6A795235" w:rsidR="00F97CDE" w:rsidRPr="00276759" w:rsidRDefault="00F97CDE" w:rsidP="00BD6AFD">
            <w:pPr>
              <w:widowControl w:val="0"/>
              <w:autoSpaceDE w:val="0"/>
              <w:autoSpaceDN w:val="0"/>
              <w:ind w:right="102"/>
              <w:jc w:val="both"/>
              <w:rPr>
                <w:rFonts w:ascii="Century Gothic" w:eastAsia="Arial" w:hAnsi="Century Gothic" w:cs="Arial"/>
                <w:b/>
                <w:bCs/>
                <w:lang w:val="es-MX"/>
              </w:rPr>
            </w:pPr>
            <w:r w:rsidRPr="00643E3F">
              <w:rPr>
                <w:rFonts w:ascii="Century Gothic" w:eastAsia="Calibri" w:hAnsi="Century Gothic" w:cs="Arial"/>
                <w:bCs/>
                <w:sz w:val="24"/>
                <w:szCs w:val="24"/>
                <w:lang w:val="es-MX"/>
              </w:rPr>
              <w:t xml:space="preserve">EXPERIENCIA – Concepto / EXPERIENCIA – Transformación / EXPERIENCIA – Escisión / EXPERIENCIA – Fusión </w:t>
            </w:r>
            <w:r w:rsidRPr="00643E3F">
              <w:rPr>
                <w:rFonts w:ascii="Century Gothic" w:eastAsia="Calibri" w:hAnsi="Century Gothic" w:cs="Arial"/>
                <w:bCs/>
                <w:sz w:val="24"/>
                <w:szCs w:val="24"/>
              </w:rPr>
              <w:t>–</w:t>
            </w:r>
            <w:r w:rsidRPr="00643E3F">
              <w:rPr>
                <w:rFonts w:ascii="Century Gothic" w:eastAsia="Calibri" w:hAnsi="Century Gothic" w:cs="Arial"/>
                <w:bCs/>
                <w:sz w:val="24"/>
                <w:szCs w:val="24"/>
                <w:lang w:val="es-MX"/>
              </w:rPr>
              <w:t xml:space="preserve"> Absorción</w:t>
            </w:r>
            <w:r w:rsidR="00C5300E">
              <w:rPr>
                <w:rFonts w:ascii="Century Gothic" w:eastAsia="Calibri" w:hAnsi="Century Gothic" w:cs="Arial"/>
                <w:bCs/>
                <w:sz w:val="24"/>
                <w:szCs w:val="24"/>
                <w:lang w:val="es-MX"/>
              </w:rPr>
              <w:t xml:space="preserve"> </w:t>
            </w:r>
            <w:r>
              <w:rPr>
                <w:rFonts w:ascii="Century Gothic" w:eastAsia="Calibri" w:hAnsi="Century Gothic" w:cs="Arial"/>
                <w:bCs/>
                <w:szCs w:val="24"/>
              </w:rPr>
              <w:t>/</w:t>
            </w:r>
            <w:r w:rsidRPr="00276759">
              <w:rPr>
                <w:rFonts w:ascii="Century Gothic" w:eastAsia="Calibri" w:hAnsi="Century Gothic" w:cs="Arial"/>
                <w:bCs/>
                <w:szCs w:val="24"/>
              </w:rPr>
              <w:t xml:space="preserve"> </w:t>
            </w:r>
            <w:r w:rsidRPr="00276759">
              <w:rPr>
                <w:rFonts w:ascii="Century Gothic" w:eastAsia="Arial" w:hAnsi="Century Gothic" w:cs="Arial"/>
                <w:bCs/>
              </w:rPr>
              <w:t>SOCIEDADES NUEVAS – Acreditación – Experiencia – Socios – Menos de 3 años de constitución – Porcentaje mínimo – Participación accionaria – N</w:t>
            </w:r>
            <w:r>
              <w:rPr>
                <w:rFonts w:ascii="Century Gothic" w:eastAsia="Arial" w:hAnsi="Century Gothic" w:cs="Arial"/>
                <w:bCs/>
              </w:rPr>
              <w:t>o requiere</w:t>
            </w:r>
          </w:p>
          <w:p w14:paraId="6A5521B3" w14:textId="77777777" w:rsidR="00F97CDE" w:rsidRPr="00276759" w:rsidRDefault="00F97CDE" w:rsidP="00BD6AFD">
            <w:pPr>
              <w:tabs>
                <w:tab w:val="left" w:pos="6551"/>
              </w:tabs>
              <w:jc w:val="both"/>
              <w:rPr>
                <w:rFonts w:ascii="Century Gothic" w:eastAsia="Calibri" w:hAnsi="Century Gothic" w:cs="Arial"/>
                <w:bCs/>
                <w:color w:val="000000" w:themeColor="text1"/>
                <w:sz w:val="24"/>
                <w:szCs w:val="24"/>
                <w:lang w:val="es-MX"/>
              </w:rPr>
            </w:pPr>
          </w:p>
        </w:tc>
      </w:tr>
      <w:tr w:rsidR="00F97CDE" w:rsidRPr="00643E3F" w14:paraId="01F87192" w14:textId="77777777" w:rsidTr="00BD6AFD">
        <w:trPr>
          <w:trHeight w:val="301"/>
        </w:trPr>
        <w:tc>
          <w:tcPr>
            <w:tcW w:w="2689" w:type="dxa"/>
          </w:tcPr>
          <w:p w14:paraId="5766955B" w14:textId="77777777" w:rsidR="00F97CDE" w:rsidRPr="00643E3F" w:rsidRDefault="00F97CDE" w:rsidP="00BD6AFD">
            <w:pPr>
              <w:spacing w:before="120"/>
              <w:jc w:val="both"/>
              <w:rPr>
                <w:rFonts w:ascii="Century Gothic" w:eastAsia="Calibri" w:hAnsi="Century Gothic" w:cs="Arial"/>
                <w:b/>
                <w:color w:val="000000" w:themeColor="text1"/>
                <w:sz w:val="24"/>
                <w:szCs w:val="24"/>
                <w:lang w:val="es-ES_tradnl"/>
              </w:rPr>
            </w:pPr>
          </w:p>
          <w:p w14:paraId="157C9908" w14:textId="77777777" w:rsidR="00F97CDE" w:rsidRPr="00643E3F" w:rsidRDefault="00F97CDE" w:rsidP="00BD6AFD">
            <w:pPr>
              <w:spacing w:before="120"/>
              <w:jc w:val="both"/>
              <w:rPr>
                <w:rFonts w:ascii="Century Gothic" w:eastAsia="Calibri" w:hAnsi="Century Gothic" w:cs="Arial"/>
                <w:b/>
                <w:color w:val="000000" w:themeColor="text1"/>
                <w:sz w:val="24"/>
                <w:szCs w:val="24"/>
                <w:lang w:val="es-ES_tradnl"/>
              </w:rPr>
            </w:pPr>
            <w:r w:rsidRPr="00643E3F">
              <w:rPr>
                <w:rFonts w:ascii="Century Gothic" w:eastAsia="Calibri" w:hAnsi="Century Gothic" w:cs="Arial"/>
                <w:b/>
                <w:color w:val="000000" w:themeColor="text1"/>
                <w:sz w:val="24"/>
                <w:szCs w:val="24"/>
                <w:lang w:val="es-ES_tradnl"/>
              </w:rPr>
              <w:t>Radicación:</w:t>
            </w:r>
            <w:r w:rsidRPr="00643E3F">
              <w:rPr>
                <w:rFonts w:ascii="Century Gothic" w:eastAsia="Calibri" w:hAnsi="Century Gothic" w:cs="Arial"/>
                <w:color w:val="000000" w:themeColor="text1"/>
                <w:sz w:val="24"/>
                <w:szCs w:val="24"/>
                <w:lang w:val="es-ES_tradnl"/>
              </w:rPr>
              <w:t xml:space="preserve">               </w:t>
            </w:r>
          </w:p>
        </w:tc>
        <w:tc>
          <w:tcPr>
            <w:tcW w:w="6237" w:type="dxa"/>
          </w:tcPr>
          <w:p w14:paraId="68077AA1" w14:textId="77777777" w:rsidR="00F97CDE" w:rsidRPr="00643E3F" w:rsidRDefault="00F97CDE" w:rsidP="00BD6AFD">
            <w:pPr>
              <w:spacing w:before="120"/>
              <w:jc w:val="both"/>
              <w:rPr>
                <w:rFonts w:ascii="Century Gothic" w:eastAsia="Calibri" w:hAnsi="Century Gothic" w:cs="Arial"/>
                <w:color w:val="000000" w:themeColor="text1"/>
                <w:sz w:val="24"/>
                <w:szCs w:val="24"/>
                <w:lang w:val="es-ES_tradnl"/>
              </w:rPr>
            </w:pPr>
            <w:r w:rsidRPr="00643E3F">
              <w:rPr>
                <w:rFonts w:ascii="Century Gothic" w:eastAsia="Calibri" w:hAnsi="Century Gothic" w:cs="Arial"/>
                <w:color w:val="000000" w:themeColor="text1"/>
                <w:sz w:val="24"/>
                <w:szCs w:val="24"/>
                <w:lang w:val="es-ES_tradnl"/>
              </w:rPr>
              <w:t>Respuesta a peticiones acumuladas Nos. P20240201000981 y P20240201000982</w:t>
            </w:r>
          </w:p>
        </w:tc>
      </w:tr>
    </w:tbl>
    <w:p w14:paraId="3329A3EA" w14:textId="77777777" w:rsidR="00F97CDE" w:rsidRPr="00643E3F" w:rsidRDefault="00F97CDE" w:rsidP="00F97CDE">
      <w:pPr>
        <w:contextualSpacing/>
        <w:jc w:val="both"/>
        <w:rPr>
          <w:rFonts w:ascii="Century Gothic" w:eastAsia="Calibri" w:hAnsi="Century Gothic" w:cs="Arial"/>
          <w:sz w:val="24"/>
          <w:szCs w:val="24"/>
          <w:lang w:val="es-ES_tradnl" w:eastAsia="es-ES_tradnl"/>
        </w:rPr>
      </w:pPr>
    </w:p>
    <w:p w14:paraId="5F82127D" w14:textId="77777777" w:rsidR="00F97CDE" w:rsidRPr="00643E3F" w:rsidRDefault="00F97CDE" w:rsidP="00F97CDE">
      <w:pPr>
        <w:contextualSpacing/>
        <w:jc w:val="both"/>
        <w:rPr>
          <w:rFonts w:ascii="Century Gothic" w:eastAsia="Calibri" w:hAnsi="Century Gothic" w:cs="Arial"/>
          <w:sz w:val="24"/>
          <w:szCs w:val="24"/>
          <w:lang w:val="es-ES_tradnl" w:eastAsia="es-ES_tradnl"/>
        </w:rPr>
      </w:pPr>
    </w:p>
    <w:p w14:paraId="1C0C2505" w14:textId="77777777" w:rsidR="00F97CDE" w:rsidRPr="00643E3F" w:rsidRDefault="00F97CDE" w:rsidP="00F97CDE">
      <w:pPr>
        <w:contextualSpacing/>
        <w:jc w:val="both"/>
        <w:rPr>
          <w:rFonts w:ascii="Century Gothic" w:eastAsia="Calibri" w:hAnsi="Century Gothic" w:cs="Arial"/>
          <w:sz w:val="24"/>
          <w:szCs w:val="24"/>
          <w:lang w:val="es-ES_tradnl" w:eastAsia="es-ES_tradnl"/>
        </w:rPr>
      </w:pPr>
      <w:r w:rsidRPr="00643E3F">
        <w:rPr>
          <w:rFonts w:ascii="Century Gothic" w:eastAsia="Calibri" w:hAnsi="Century Gothic" w:cs="Arial"/>
          <w:sz w:val="24"/>
          <w:szCs w:val="24"/>
          <w:lang w:val="es-ES_tradnl" w:eastAsia="es-ES_tradnl"/>
        </w:rPr>
        <w:t>Estimada señora Jaramillo:</w:t>
      </w:r>
    </w:p>
    <w:p w14:paraId="18F501F7" w14:textId="77777777" w:rsidR="00F97CDE" w:rsidRPr="00643E3F" w:rsidRDefault="00F97CDE" w:rsidP="00F97CDE">
      <w:pPr>
        <w:spacing w:line="276" w:lineRule="auto"/>
        <w:contextualSpacing/>
        <w:jc w:val="both"/>
        <w:rPr>
          <w:rFonts w:ascii="Century Gothic" w:eastAsia="Calibri" w:hAnsi="Century Gothic" w:cs="Arial"/>
          <w:sz w:val="24"/>
          <w:szCs w:val="24"/>
          <w:lang w:val="es-ES_tradnl" w:eastAsia="es-ES_tradnl"/>
        </w:rPr>
      </w:pPr>
    </w:p>
    <w:p w14:paraId="0A592FB5" w14:textId="6D58EEE4" w:rsidR="00F97CDE" w:rsidRPr="005741F9" w:rsidRDefault="00F97CDE" w:rsidP="00F97CDE">
      <w:pPr>
        <w:spacing w:line="276" w:lineRule="auto"/>
        <w:contextualSpacing/>
        <w:jc w:val="both"/>
        <w:rPr>
          <w:rFonts w:ascii="Century Gothic" w:eastAsia="Calibri" w:hAnsi="Century Gothic" w:cs="Arial"/>
          <w:lang w:val="es-ES_tradnl" w:eastAsia="es-ES_tradnl"/>
        </w:rPr>
      </w:pPr>
      <w:r w:rsidRPr="005741F9">
        <w:rPr>
          <w:rFonts w:ascii="Century Gothic" w:eastAsia="Calibri" w:hAnsi="Century Gothic" w:cs="Arial"/>
          <w:lang w:val="es-ES_tradnl" w:eastAsia="es-ES_tradnl"/>
        </w:rPr>
        <w:t>En ejercicio de la competencia otorgada por el numeral 8 del artículo 11 y el numeral 5 del artículo 3 del Decreto Ley 4170 de 2011, la Agencia Nacional de Contratación Pública ― Colombia Compra Eficiente responde su consulta del primero</w:t>
      </w:r>
      <w:r w:rsidR="00CA3645" w:rsidRPr="005741F9">
        <w:rPr>
          <w:rFonts w:ascii="Century Gothic" w:eastAsia="Calibri" w:hAnsi="Century Gothic" w:cs="Arial"/>
          <w:lang w:val="es-ES_tradnl" w:eastAsia="es-ES_tradnl"/>
        </w:rPr>
        <w:t xml:space="preserve"> de febrero</w:t>
      </w:r>
      <w:r w:rsidRPr="005741F9">
        <w:rPr>
          <w:rFonts w:ascii="Century Gothic" w:eastAsia="Calibri" w:hAnsi="Century Gothic" w:cs="Arial"/>
          <w:lang w:val="es-ES_tradnl" w:eastAsia="es-ES_tradnl"/>
        </w:rPr>
        <w:t xml:space="preserve"> del 2024. </w:t>
      </w:r>
    </w:p>
    <w:p w14:paraId="1A87F777" w14:textId="77777777" w:rsidR="00F97CDE" w:rsidRPr="00643E3F" w:rsidRDefault="00F97CDE" w:rsidP="00F97CDE">
      <w:pPr>
        <w:spacing w:line="276" w:lineRule="auto"/>
        <w:contextualSpacing/>
        <w:jc w:val="both"/>
        <w:rPr>
          <w:rFonts w:ascii="Century Gothic" w:eastAsia="Calibri" w:hAnsi="Century Gothic" w:cs="Arial"/>
          <w:b/>
          <w:sz w:val="24"/>
          <w:szCs w:val="24"/>
          <w:lang w:val="es-ES_tradnl" w:eastAsia="es-ES_tradnl"/>
        </w:rPr>
      </w:pPr>
    </w:p>
    <w:p w14:paraId="6D2D595C" w14:textId="77777777" w:rsidR="00F97CDE" w:rsidRPr="00643E3F" w:rsidRDefault="00F97CDE" w:rsidP="00F97CDE">
      <w:pPr>
        <w:numPr>
          <w:ilvl w:val="0"/>
          <w:numId w:val="17"/>
        </w:numPr>
        <w:tabs>
          <w:tab w:val="left" w:pos="0"/>
          <w:tab w:val="left" w:pos="142"/>
          <w:tab w:val="left" w:pos="284"/>
        </w:tabs>
        <w:spacing w:after="0" w:line="240" w:lineRule="auto"/>
        <w:ind w:left="360"/>
        <w:contextualSpacing/>
        <w:jc w:val="both"/>
        <w:rPr>
          <w:rFonts w:ascii="Century Gothic" w:eastAsia="Calibri" w:hAnsi="Century Gothic" w:cs="Arial"/>
          <w:b/>
          <w:sz w:val="24"/>
          <w:szCs w:val="24"/>
          <w:lang w:val="es-ES_tradnl"/>
        </w:rPr>
      </w:pPr>
      <w:r w:rsidRPr="00643E3F">
        <w:rPr>
          <w:rFonts w:ascii="Century Gothic" w:eastAsia="Calibri" w:hAnsi="Century Gothic" w:cs="Arial"/>
          <w:b/>
          <w:sz w:val="24"/>
          <w:szCs w:val="24"/>
          <w:lang w:val="es-ES_tradnl"/>
        </w:rPr>
        <w:t xml:space="preserve">Problema planteado </w:t>
      </w:r>
    </w:p>
    <w:p w14:paraId="7FCA030C" w14:textId="77777777" w:rsidR="00F97CDE" w:rsidRPr="00643E3F" w:rsidRDefault="00F97CDE" w:rsidP="00F97CDE">
      <w:pPr>
        <w:tabs>
          <w:tab w:val="left" w:pos="0"/>
          <w:tab w:val="left" w:pos="142"/>
          <w:tab w:val="left" w:pos="284"/>
        </w:tabs>
        <w:ind w:left="360"/>
        <w:contextualSpacing/>
        <w:jc w:val="both"/>
        <w:rPr>
          <w:rFonts w:ascii="Century Gothic" w:eastAsia="Calibri" w:hAnsi="Century Gothic" w:cs="Arial"/>
          <w:b/>
          <w:sz w:val="24"/>
          <w:szCs w:val="24"/>
          <w:lang w:val="es-ES_tradnl"/>
        </w:rPr>
      </w:pPr>
    </w:p>
    <w:p w14:paraId="03E3E178" w14:textId="77777777" w:rsidR="00F97CDE" w:rsidRPr="005741F9" w:rsidRDefault="00F97CDE" w:rsidP="00F97CDE">
      <w:pPr>
        <w:tabs>
          <w:tab w:val="left" w:pos="0"/>
          <w:tab w:val="left" w:pos="142"/>
          <w:tab w:val="left" w:pos="284"/>
        </w:tabs>
        <w:contextualSpacing/>
        <w:jc w:val="both"/>
        <w:rPr>
          <w:rFonts w:ascii="Century Gothic" w:eastAsia="Calibri" w:hAnsi="Century Gothic" w:cs="Arial"/>
          <w:lang w:val="es-ES_tradnl"/>
        </w:rPr>
      </w:pPr>
      <w:r w:rsidRPr="005741F9">
        <w:rPr>
          <w:rFonts w:ascii="Century Gothic" w:eastAsia="Calibri" w:hAnsi="Century Gothic" w:cs="Arial"/>
          <w:lang w:val="es-ES_tradnl"/>
        </w:rPr>
        <w:t>Usted realiza la siguiente pregunta:</w:t>
      </w:r>
    </w:p>
    <w:p w14:paraId="584D60AE" w14:textId="77777777" w:rsidR="00F97CDE" w:rsidRPr="003431DB" w:rsidRDefault="00F97CDE" w:rsidP="00F97CDE">
      <w:pPr>
        <w:spacing w:line="276" w:lineRule="auto"/>
        <w:contextualSpacing/>
        <w:jc w:val="both"/>
        <w:rPr>
          <w:rFonts w:ascii="Century Gothic" w:eastAsia="Times New Roman" w:hAnsi="Century Gothic" w:cs="Arial"/>
          <w:color w:val="FF0000"/>
          <w:lang w:val="es-ES_tradnl" w:eastAsia="es-ES_tradnl"/>
        </w:rPr>
      </w:pPr>
    </w:p>
    <w:p w14:paraId="2B82D3DF" w14:textId="78994CD1" w:rsidR="00F97CDE" w:rsidRPr="003431DB" w:rsidRDefault="00251C3F" w:rsidP="00F97CDE">
      <w:pPr>
        <w:ind w:left="709" w:right="709"/>
        <w:jc w:val="both"/>
        <w:rPr>
          <w:rFonts w:ascii="Century Gothic" w:hAnsi="Century Gothic"/>
        </w:rPr>
      </w:pPr>
      <w:r w:rsidRPr="003431DB">
        <w:rPr>
          <w:rFonts w:ascii="Century Gothic" w:eastAsia="Times New Roman" w:hAnsi="Century Gothic" w:cs="Arial"/>
          <w:lang w:val="es-ES_tradnl" w:eastAsia="es-ES_tradnl"/>
        </w:rPr>
        <w:t>“</w:t>
      </w:r>
      <w:r w:rsidR="00F97CDE" w:rsidRPr="003431DB">
        <w:rPr>
          <w:rFonts w:ascii="Century Gothic" w:eastAsia="Times New Roman" w:hAnsi="Century Gothic" w:cs="Arial"/>
          <w:lang w:val="es-ES_tradnl" w:eastAsia="es-ES_tradnl"/>
        </w:rPr>
        <w:t xml:space="preserve">[…] </w:t>
      </w:r>
      <w:r w:rsidR="00F97CDE" w:rsidRPr="003431DB">
        <w:rPr>
          <w:rFonts w:ascii="Century Gothic" w:hAnsi="Century Gothic"/>
        </w:rPr>
        <w:t xml:space="preserve">i. Se me aclare, si en el caso de la fusión de sociedades, la sociedad absorbente puede o no puede inscribir la experiencia de la sociedad absorbida como propia en el registro único de proponentes. </w:t>
      </w:r>
    </w:p>
    <w:p w14:paraId="5506D1A0" w14:textId="77777777" w:rsidR="00F97CDE" w:rsidRPr="003431DB" w:rsidRDefault="00F97CDE" w:rsidP="00F97CDE">
      <w:pPr>
        <w:ind w:left="709" w:right="709"/>
        <w:jc w:val="both"/>
        <w:rPr>
          <w:rFonts w:ascii="Century Gothic" w:hAnsi="Century Gothic"/>
        </w:rPr>
      </w:pPr>
      <w:proofErr w:type="spellStart"/>
      <w:r w:rsidRPr="003431DB">
        <w:rPr>
          <w:rFonts w:ascii="Century Gothic" w:hAnsi="Century Gothic"/>
        </w:rPr>
        <w:lastRenderedPageBreak/>
        <w:t>ii</w:t>
      </w:r>
      <w:proofErr w:type="spellEnd"/>
      <w:r w:rsidRPr="003431DB">
        <w:rPr>
          <w:rFonts w:ascii="Century Gothic" w:hAnsi="Century Gothic"/>
        </w:rPr>
        <w:t xml:space="preserve">. Se me aclare, si en el caso de la escisión de sociedades, la sociedad puede o no puede inscribir la experiencia de la sociedad escindente como propia en el registro único de proponentes. </w:t>
      </w:r>
    </w:p>
    <w:p w14:paraId="01A4C923" w14:textId="77777777" w:rsidR="00F97CDE" w:rsidRPr="003431DB" w:rsidRDefault="00F97CDE" w:rsidP="00F97CDE">
      <w:pPr>
        <w:ind w:left="709" w:right="709"/>
        <w:jc w:val="both"/>
        <w:rPr>
          <w:rFonts w:ascii="Century Gothic" w:hAnsi="Century Gothic"/>
        </w:rPr>
      </w:pPr>
      <w:proofErr w:type="spellStart"/>
      <w:r w:rsidRPr="003431DB">
        <w:rPr>
          <w:rFonts w:ascii="Century Gothic" w:hAnsi="Century Gothic"/>
        </w:rPr>
        <w:t>iii</w:t>
      </w:r>
      <w:proofErr w:type="spellEnd"/>
      <w:r w:rsidRPr="003431DB">
        <w:rPr>
          <w:rFonts w:ascii="Century Gothic" w:hAnsi="Century Gothic"/>
        </w:rPr>
        <w:t xml:space="preserve">. Se me responda, cual es el porcentaje mínimo de participación accionaria que debe tener un socio X en una sociedad recién constituida para que registre la experiencia de su socio Y. </w:t>
      </w:r>
    </w:p>
    <w:p w14:paraId="29C4E74F" w14:textId="29184E46" w:rsidR="00F97CDE" w:rsidRPr="003431DB" w:rsidRDefault="00F97CDE" w:rsidP="00F97CDE">
      <w:pPr>
        <w:ind w:left="709" w:right="709"/>
        <w:jc w:val="both"/>
        <w:rPr>
          <w:rFonts w:ascii="Century Gothic" w:eastAsia="Times New Roman" w:hAnsi="Century Gothic" w:cs="Arial"/>
          <w:lang w:eastAsia="es-ES_tradnl"/>
        </w:rPr>
      </w:pPr>
      <w:proofErr w:type="spellStart"/>
      <w:r w:rsidRPr="003431DB">
        <w:rPr>
          <w:rFonts w:ascii="Century Gothic" w:hAnsi="Century Gothic"/>
        </w:rPr>
        <w:t>iv</w:t>
      </w:r>
      <w:proofErr w:type="spellEnd"/>
      <w:r w:rsidRPr="003431DB">
        <w:rPr>
          <w:rFonts w:ascii="Century Gothic" w:hAnsi="Century Gothic"/>
        </w:rPr>
        <w:t xml:space="preserve">. Se pide que se aclare si hay norma sobre el asunto </w:t>
      </w:r>
      <w:proofErr w:type="gramStart"/>
      <w:r w:rsidRPr="003431DB">
        <w:rPr>
          <w:rFonts w:ascii="Century Gothic" w:hAnsi="Century Gothic"/>
        </w:rPr>
        <w:t>anterior[</w:t>
      </w:r>
      <w:proofErr w:type="gramEnd"/>
      <w:r w:rsidRPr="003431DB">
        <w:rPr>
          <w:rFonts w:ascii="Century Gothic" w:hAnsi="Century Gothic"/>
        </w:rPr>
        <w:t>…]</w:t>
      </w:r>
      <w:r w:rsidR="00251C3F" w:rsidRPr="003431DB">
        <w:rPr>
          <w:rFonts w:ascii="Century Gothic" w:hAnsi="Century Gothic"/>
        </w:rPr>
        <w:t>” (SIC).</w:t>
      </w:r>
      <w:r w:rsidRPr="003431DB">
        <w:rPr>
          <w:rFonts w:ascii="Century Gothic" w:hAnsi="Century Gothic"/>
        </w:rPr>
        <w:t xml:space="preserve">  </w:t>
      </w:r>
      <w:r w:rsidRPr="003431DB">
        <w:rPr>
          <w:rFonts w:ascii="Century Gothic" w:eastAsia="Times New Roman" w:hAnsi="Century Gothic" w:cs="Arial"/>
          <w:lang w:val="es-ES_tradnl" w:eastAsia="es-ES_tradnl"/>
        </w:rPr>
        <w:cr/>
      </w:r>
    </w:p>
    <w:p w14:paraId="01EA7FE5" w14:textId="77777777" w:rsidR="00F97CDE" w:rsidRPr="005741F9" w:rsidRDefault="00F97CDE" w:rsidP="00F97CDE">
      <w:pPr>
        <w:numPr>
          <w:ilvl w:val="0"/>
          <w:numId w:val="17"/>
        </w:numPr>
        <w:tabs>
          <w:tab w:val="left" w:pos="0"/>
          <w:tab w:val="left" w:pos="284"/>
        </w:tabs>
        <w:spacing w:after="0" w:line="276" w:lineRule="auto"/>
        <w:ind w:left="360"/>
        <w:contextualSpacing/>
        <w:jc w:val="both"/>
        <w:rPr>
          <w:rFonts w:ascii="Century Gothic" w:eastAsia="Calibri" w:hAnsi="Century Gothic" w:cs="Arial"/>
          <w:b/>
          <w:lang w:val="es-ES_tradnl"/>
        </w:rPr>
      </w:pPr>
      <w:r w:rsidRPr="005741F9">
        <w:rPr>
          <w:rFonts w:ascii="Century Gothic" w:eastAsia="Calibri" w:hAnsi="Century Gothic" w:cs="Arial"/>
          <w:b/>
          <w:lang w:val="es-ES_tradnl"/>
        </w:rPr>
        <w:t>Consideraciones</w:t>
      </w:r>
    </w:p>
    <w:p w14:paraId="1C392A08" w14:textId="77777777" w:rsidR="00F97CDE" w:rsidRPr="005741F9" w:rsidRDefault="00F97CDE" w:rsidP="00F97CDE">
      <w:pPr>
        <w:spacing w:line="276" w:lineRule="auto"/>
        <w:contextualSpacing/>
        <w:jc w:val="both"/>
        <w:rPr>
          <w:rFonts w:ascii="Century Gothic" w:eastAsia="Calibri" w:hAnsi="Century Gothic" w:cs="Arial"/>
          <w:lang w:val="es-ES_tradnl" w:eastAsia="es-ES_tradnl"/>
        </w:rPr>
      </w:pPr>
    </w:p>
    <w:p w14:paraId="580E28B8" w14:textId="77777777" w:rsidR="00F97CDE" w:rsidRPr="005741F9" w:rsidRDefault="00F97CDE" w:rsidP="00F97CDE">
      <w:pPr>
        <w:spacing w:after="120" w:line="276" w:lineRule="auto"/>
        <w:jc w:val="both"/>
        <w:rPr>
          <w:rFonts w:ascii="Century Gothic" w:hAnsi="Century Gothic" w:cs="Arial"/>
          <w:lang w:val="es-ES"/>
        </w:rPr>
      </w:pPr>
      <w:r w:rsidRPr="005741F9">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5741F9">
        <w:rPr>
          <w:rFonts w:ascii="Century Gothic" w:hAnsi="Century Gothic" w:cs="Arial"/>
        </w:rPr>
        <w:t xml:space="preserve">. </w:t>
      </w:r>
      <w:r w:rsidRPr="005741F9">
        <w:rPr>
          <w:rFonts w:ascii="Century Gothic" w:hAnsi="Century Gothic" w:cs="Arial"/>
          <w:lang w:val="es-ES"/>
        </w:rPr>
        <w:t xml:space="preserve">Es necesario tener en cuenta que </w:t>
      </w:r>
      <w:bookmarkStart w:id="4" w:name="_Hlk61026958"/>
      <w:r w:rsidRPr="005741F9">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741F9">
        <w:rPr>
          <w:rFonts w:ascii="Century Gothic" w:hAnsi="Century Gothic" w:cs="Arial"/>
        </w:rPr>
        <w:t xml:space="preserve"> de todos los partícipes de la contratación estatal.</w:t>
      </w:r>
      <w:r w:rsidRPr="005741F9">
        <w:rPr>
          <w:rFonts w:ascii="Century Gothic" w:hAnsi="Century Gothic" w:cs="Arial"/>
          <w:lang w:val="es-ES"/>
        </w:rPr>
        <w:t xml:space="preserve"> </w:t>
      </w:r>
      <w:bookmarkEnd w:id="2"/>
      <w:bookmarkEnd w:id="3"/>
      <w:bookmarkEnd w:id="4"/>
    </w:p>
    <w:p w14:paraId="323D0FB2" w14:textId="77777777" w:rsidR="00F97CDE" w:rsidRPr="003431DB" w:rsidRDefault="00F97CDE" w:rsidP="00F97CDE">
      <w:pPr>
        <w:spacing w:after="120" w:line="276" w:lineRule="auto"/>
        <w:ind w:firstLine="708"/>
        <w:jc w:val="both"/>
        <w:rPr>
          <w:rFonts w:ascii="Century Gothic" w:hAnsi="Century Gothic" w:cs="Arial"/>
          <w:lang w:val="es-ES"/>
        </w:rPr>
      </w:pPr>
      <w:r w:rsidRPr="005741F9">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741F9">
        <w:rPr>
          <w:rFonts w:ascii="Century Gothic" w:eastAsia="Calibri" w:hAnsi="Century Gothic" w:cs="Arial"/>
          <w:vertAlign w:val="superscript"/>
          <w:lang w:val="es-ES"/>
        </w:rPr>
        <w:footnoteReference w:id="1"/>
      </w:r>
      <w:r w:rsidRPr="005741F9">
        <w:rPr>
          <w:rFonts w:ascii="Century Gothic" w:eastAsia="Calibri" w:hAnsi="Century Gothic" w:cs="Arial"/>
          <w:lang w:val="es-ES"/>
        </w:rPr>
        <w:t xml:space="preserve">. Esta competencia de interpretación de normas generales, por definición, no puede extenderse a la resolución de controversias, ni a brindar </w:t>
      </w:r>
      <w:r w:rsidRPr="005741F9">
        <w:rPr>
          <w:rFonts w:ascii="Century Gothic" w:eastAsia="Calibri" w:hAnsi="Century Gothic" w:cs="Arial"/>
          <w:lang w:val="es-ES"/>
        </w:rPr>
        <w:lastRenderedPageBreak/>
        <w:t xml:space="preserve">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6B8FF096" w14:textId="3177CAD8" w:rsidR="00F97CDE" w:rsidRPr="007E59C3" w:rsidRDefault="00F97CDE" w:rsidP="00F97CDE">
      <w:pPr>
        <w:spacing w:after="120" w:line="276" w:lineRule="auto"/>
        <w:ind w:firstLine="708"/>
        <w:jc w:val="both"/>
        <w:rPr>
          <w:rFonts w:ascii="Century Gothic" w:hAnsi="Century Gothic" w:cs="Arial"/>
          <w:lang w:val="es-ES"/>
        </w:rPr>
      </w:pPr>
      <w:r w:rsidRPr="005741F9">
        <w:rPr>
          <w:rFonts w:ascii="Century Gothic" w:eastAsia="Calibri" w:hAnsi="Century Gothic" w:cs="Arial"/>
          <w:color w:val="000000"/>
        </w:rPr>
        <w:t xml:space="preserve">Sin perjuicio de lo anterior, </w:t>
      </w:r>
      <w:r w:rsidRPr="005741F9">
        <w:rPr>
          <w:rFonts w:ascii="Century Gothic" w:eastAsia="Calibri" w:hAnsi="Century Gothic" w:cs="Arial"/>
          <w:color w:val="000000"/>
          <w:lang w:val="es-ES"/>
        </w:rPr>
        <w:t>la Subdirección de Gestión Contractual</w:t>
      </w:r>
      <w:r w:rsidR="003431DB" w:rsidRPr="005741F9">
        <w:rPr>
          <w:rFonts w:ascii="Century Gothic" w:eastAsia="Calibri" w:hAnsi="Century Gothic" w:cs="Arial"/>
          <w:color w:val="000000"/>
          <w:lang w:val="es-ES"/>
        </w:rPr>
        <w:t xml:space="preserve"> </w:t>
      </w:r>
      <w:r w:rsidRPr="005741F9">
        <w:rPr>
          <w:rFonts w:ascii="Century Gothic" w:eastAsia="Calibri" w:hAnsi="Century Gothic" w:cs="Arial"/>
          <w:color w:val="000000"/>
          <w:lang w:val="es-ES"/>
        </w:rPr>
        <w:t>dentro de los límites de sus atribuciones, resolverá la consulta conforme a las normas generales en materia de contratación estatal</w:t>
      </w:r>
      <w:r w:rsidRPr="005741F9">
        <w:rPr>
          <w:rFonts w:ascii="Century Gothic" w:eastAsia="Calibri" w:hAnsi="Century Gothic" w:cs="Arial"/>
          <w:lang w:val="es-ES_tradnl" w:eastAsia="es-MX"/>
        </w:rPr>
        <w:t xml:space="preserve">. Con este objetivo se analizarán los siguientes </w:t>
      </w:r>
      <w:r w:rsidRPr="005741F9">
        <w:rPr>
          <w:rFonts w:ascii="Century Gothic" w:eastAsia="Calibri" w:hAnsi="Century Gothic" w:cs="Arial"/>
          <w:color w:val="000000"/>
          <w:lang w:val="es-ES"/>
        </w:rPr>
        <w:t>temas: i</w:t>
      </w:r>
      <w:r w:rsidRPr="005741F9">
        <w:rPr>
          <w:rFonts w:ascii="Century Gothic" w:eastAsia="Calibri" w:hAnsi="Century Gothic" w:cs="Arial"/>
          <w:lang w:val="es-ES_tradnl" w:eastAsia="es-MX"/>
        </w:rPr>
        <w:t xml:space="preserve">) noción de experiencia; </w:t>
      </w:r>
      <w:proofErr w:type="spellStart"/>
      <w:r w:rsidRPr="005741F9">
        <w:rPr>
          <w:rFonts w:ascii="Century Gothic" w:eastAsia="Calibri" w:hAnsi="Century Gothic" w:cs="Arial"/>
          <w:lang w:val="es-ES_tradnl" w:eastAsia="es-MX"/>
        </w:rPr>
        <w:t>ii</w:t>
      </w:r>
      <w:proofErr w:type="spellEnd"/>
      <w:r w:rsidRPr="005741F9">
        <w:rPr>
          <w:rFonts w:ascii="Century Gothic" w:eastAsia="Calibri" w:hAnsi="Century Gothic" w:cs="Arial"/>
          <w:lang w:val="es-ES_tradnl" w:eastAsia="es-MX"/>
        </w:rPr>
        <w:t xml:space="preserve">) Figuras y reformas estatutarias, y efectos sobre la experiencia de las sociedades comerciales; y </w:t>
      </w:r>
      <w:proofErr w:type="spellStart"/>
      <w:r w:rsidRPr="005741F9">
        <w:rPr>
          <w:rFonts w:ascii="Century Gothic" w:eastAsia="Calibri" w:hAnsi="Century Gothic" w:cs="Arial"/>
          <w:lang w:val="es-ES_tradnl" w:eastAsia="es-MX"/>
        </w:rPr>
        <w:t>iii</w:t>
      </w:r>
      <w:proofErr w:type="spellEnd"/>
      <w:r w:rsidRPr="005741F9">
        <w:rPr>
          <w:rFonts w:ascii="Century Gothic" w:eastAsia="Calibri" w:hAnsi="Century Gothic" w:cs="Arial"/>
          <w:lang w:val="es-ES_tradnl" w:eastAsia="es-MX"/>
        </w:rPr>
        <w:t>) acreditación de experiencia de socios por parte de sociedades con menos de tres años de constitución.</w:t>
      </w:r>
      <w:r w:rsidRPr="007E59C3">
        <w:rPr>
          <w:rFonts w:ascii="Century Gothic" w:eastAsia="Calibri" w:hAnsi="Century Gothic" w:cs="Arial"/>
          <w:color w:val="000000"/>
          <w:lang w:val="es-ES"/>
        </w:rPr>
        <w:t xml:space="preserve"> </w:t>
      </w:r>
    </w:p>
    <w:p w14:paraId="0C0D8AEE" w14:textId="116533B8" w:rsidR="00F97CDE" w:rsidRPr="00643E3F" w:rsidRDefault="00F97CDE" w:rsidP="00F97CDE">
      <w:pPr>
        <w:spacing w:after="120" w:line="276" w:lineRule="auto"/>
        <w:ind w:firstLine="708"/>
        <w:jc w:val="both"/>
        <w:rPr>
          <w:rFonts w:ascii="Century Gothic" w:eastAsia="Calibri" w:hAnsi="Century Gothic" w:cs="Arial"/>
          <w:color w:val="000000"/>
          <w:szCs w:val="24"/>
          <w:lang w:val="es-ES"/>
        </w:rPr>
      </w:pPr>
      <w:r w:rsidRPr="00643E3F">
        <w:rPr>
          <w:rFonts w:ascii="Century Gothic" w:eastAsia="Calibri" w:hAnsi="Century Gothic" w:cs="Arial"/>
          <w:color w:val="000000"/>
          <w:szCs w:val="24"/>
          <w:lang w:val="es-ES"/>
        </w:rPr>
        <w:t xml:space="preserve">La Agencia Nacional de Contratación Pública </w:t>
      </w:r>
      <w:r w:rsidRPr="00643E3F">
        <w:rPr>
          <w:rFonts w:ascii="Arial" w:eastAsia="Calibri" w:hAnsi="Arial" w:cs="Arial"/>
          <w:color w:val="000000"/>
          <w:szCs w:val="24"/>
          <w:lang w:val="es-ES"/>
        </w:rPr>
        <w:t>‒</w:t>
      </w:r>
      <w:r w:rsidRPr="00643E3F">
        <w:rPr>
          <w:rFonts w:ascii="Century Gothic" w:eastAsia="Calibri" w:hAnsi="Century Gothic" w:cs="Arial"/>
          <w:color w:val="000000"/>
          <w:szCs w:val="24"/>
          <w:lang w:val="es-ES"/>
        </w:rPr>
        <w:t xml:space="preserve"> Colombia Compra Eficiente, estudi</w:t>
      </w:r>
      <w:r w:rsidRPr="00643E3F">
        <w:rPr>
          <w:rFonts w:ascii="Century Gothic" w:eastAsia="Calibri" w:hAnsi="Century Gothic" w:cs="Century Gothic"/>
          <w:color w:val="000000"/>
          <w:szCs w:val="24"/>
          <w:lang w:val="es-ES"/>
        </w:rPr>
        <w:t>ó</w:t>
      </w:r>
      <w:r w:rsidRPr="00643E3F">
        <w:rPr>
          <w:rFonts w:ascii="Century Gothic" w:eastAsia="Calibri" w:hAnsi="Century Gothic" w:cs="Arial"/>
          <w:color w:val="000000"/>
          <w:szCs w:val="24"/>
          <w:lang w:val="es-ES"/>
        </w:rPr>
        <w:t xml:space="preserve"> el tema de experiencia y su noci</w:t>
      </w:r>
      <w:r w:rsidRPr="00643E3F">
        <w:rPr>
          <w:rFonts w:ascii="Century Gothic" w:eastAsia="Calibri" w:hAnsi="Century Gothic" w:cs="Century Gothic"/>
          <w:color w:val="000000"/>
          <w:szCs w:val="24"/>
          <w:lang w:val="es-ES"/>
        </w:rPr>
        <w:t>ó</w:t>
      </w:r>
      <w:r w:rsidRPr="00643E3F">
        <w:rPr>
          <w:rFonts w:ascii="Century Gothic" w:eastAsia="Calibri" w:hAnsi="Century Gothic" w:cs="Arial"/>
          <w:color w:val="000000"/>
          <w:szCs w:val="24"/>
          <w:lang w:val="es-ES"/>
        </w:rPr>
        <w:t>n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 C-326 del 2 de julio de 2021, C-725 del 25 de enero de 2022, C-084 del 16 de marzo de 2022 y C-517 del 11 de agosto de 2022, C-569 del 13 de septiembre de 2022, C-820 del 29 de noviembre de 2022 y C-121 de 12 de mayo de 2023, ente otros.</w:t>
      </w:r>
    </w:p>
    <w:p w14:paraId="7E97773E" w14:textId="61683B5F" w:rsidR="00F97CDE" w:rsidRPr="00643E3F" w:rsidRDefault="00F97CDE" w:rsidP="00367236">
      <w:pPr>
        <w:tabs>
          <w:tab w:val="left" w:pos="426"/>
        </w:tabs>
        <w:spacing w:after="0" w:line="276" w:lineRule="auto"/>
        <w:ind w:right="49" w:firstLine="567"/>
        <w:jc w:val="both"/>
        <w:rPr>
          <w:rFonts w:ascii="Century Gothic" w:eastAsia="Calibri" w:hAnsi="Century Gothic" w:cs="Arial"/>
          <w:color w:val="000000"/>
          <w:szCs w:val="24"/>
          <w:lang w:val="es-ES"/>
        </w:rPr>
      </w:pPr>
      <w:r w:rsidRPr="00643E3F">
        <w:rPr>
          <w:rFonts w:ascii="Century Gothic" w:eastAsia="Calibri" w:hAnsi="Century Gothic" w:cs="Arial"/>
          <w:color w:val="000000"/>
          <w:szCs w:val="24"/>
          <w:lang w:val="es-ES"/>
        </w:rPr>
        <w:t xml:space="preserve">Por su parte, </w:t>
      </w:r>
      <w:r w:rsidR="00DB2631">
        <w:rPr>
          <w:rFonts w:ascii="Century Gothic" w:eastAsia="Calibri" w:hAnsi="Century Gothic" w:cs="Arial"/>
          <w:color w:val="000000"/>
          <w:szCs w:val="24"/>
          <w:lang w:val="es-ES"/>
        </w:rPr>
        <w:t>l</w:t>
      </w:r>
      <w:r w:rsidRPr="00643E3F">
        <w:rPr>
          <w:rFonts w:ascii="Century Gothic" w:eastAsia="Calibri" w:hAnsi="Century Gothic" w:cs="Arial"/>
          <w:color w:val="000000"/>
          <w:szCs w:val="24"/>
          <w:lang w:val="es-ES"/>
        </w:rPr>
        <w:t xml:space="preserve">a Agencia Nacional de Contratación Pública – Colombia Compra Eficiente, en los </w:t>
      </w:r>
      <w:r w:rsidR="00111ABB">
        <w:rPr>
          <w:rFonts w:ascii="Century Gothic" w:eastAsia="Calibri" w:hAnsi="Century Gothic" w:cs="Arial"/>
          <w:color w:val="000000"/>
          <w:szCs w:val="24"/>
          <w:lang w:val="es-ES"/>
        </w:rPr>
        <w:t>c</w:t>
      </w:r>
      <w:r w:rsidRPr="00643E3F">
        <w:rPr>
          <w:rFonts w:ascii="Century Gothic" w:eastAsia="Calibri" w:hAnsi="Century Gothic" w:cs="Arial"/>
          <w:color w:val="000000"/>
          <w:szCs w:val="24"/>
          <w:lang w:val="es-ES"/>
        </w:rPr>
        <w:t xml:space="preserve">onceptos 4201913000006797 del 19 de noviembre de 2019, 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C-717 del 10 de diciembre de 2020, C-729 del del 11 de diciembre de 2020, C-008 del 15 de febrero de 2021, C-103 del 24 de marzo de 2021, C-230 del 25 de mayo de 2021, C-316 del 29 de junio de 2021, C-318 del 29 de junio de 2021, C-474 del 6 de septiembre de 2021, C-589 del 19 de octubre de 2021, C-608 del 29 de </w:t>
      </w:r>
      <w:r w:rsidRPr="00643E3F">
        <w:rPr>
          <w:rFonts w:ascii="Century Gothic" w:eastAsia="Calibri" w:hAnsi="Century Gothic" w:cs="Arial"/>
          <w:color w:val="000000"/>
          <w:szCs w:val="24"/>
          <w:lang w:val="es-ES"/>
        </w:rPr>
        <w:lastRenderedPageBreak/>
        <w:t>octubre de 2021, C-696 del 31 de diciembre de 2021, 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 C-128 del 18 de mayo de 2023 y C-450 de 3 de noviembre de 2023</w:t>
      </w:r>
      <w:r w:rsidR="00111ABB" w:rsidRPr="003202C9">
        <w:rPr>
          <w:rFonts w:ascii="Century Gothic" w:eastAsia="Calibri" w:hAnsi="Century Gothic" w:cs="Arial"/>
          <w:color w:val="000000"/>
          <w:sz w:val="16"/>
          <w:szCs w:val="16"/>
          <w:vertAlign w:val="superscript"/>
          <w:lang w:val="es-ES"/>
        </w:rPr>
        <w:footnoteReference w:id="2"/>
      </w:r>
      <w:r w:rsidRPr="00643E3F">
        <w:rPr>
          <w:rFonts w:ascii="Century Gothic" w:eastAsia="Calibri" w:hAnsi="Century Gothic" w:cs="Arial"/>
          <w:color w:val="000000"/>
          <w:szCs w:val="24"/>
          <w:lang w:val="es-ES"/>
        </w:rPr>
        <w:t>, entre otros, analizó la acreditación de experiencia de socios por parte de sociedades con menos de tres años de constitución. La tesis propuesta en estos conceptos se reitera a continuación y se complementa en lo pertinente.</w:t>
      </w:r>
    </w:p>
    <w:p w14:paraId="13C67ADD" w14:textId="77777777" w:rsidR="00F97CDE" w:rsidRPr="00643E3F" w:rsidRDefault="00F97CDE" w:rsidP="00367236">
      <w:pPr>
        <w:spacing w:after="0" w:line="276" w:lineRule="auto"/>
        <w:ind w:firstLine="708"/>
        <w:jc w:val="both"/>
        <w:rPr>
          <w:rFonts w:ascii="Century Gothic" w:eastAsia="Calibri" w:hAnsi="Century Gothic" w:cs="Arial"/>
          <w:color w:val="000000"/>
          <w:szCs w:val="24"/>
          <w:lang w:val="es-ES_tradnl"/>
        </w:rPr>
      </w:pPr>
    </w:p>
    <w:p w14:paraId="5F57A382" w14:textId="3AA2C536" w:rsidR="00F97CDE" w:rsidRDefault="00F97CDE" w:rsidP="00367236">
      <w:pPr>
        <w:spacing w:after="0" w:line="276" w:lineRule="auto"/>
        <w:jc w:val="both"/>
        <w:rPr>
          <w:rFonts w:ascii="Century Gothic" w:eastAsia="Calibri" w:hAnsi="Century Gothic" w:cs="Arial"/>
          <w:b/>
        </w:rPr>
      </w:pPr>
      <w:r w:rsidRPr="00643E3F">
        <w:rPr>
          <w:rFonts w:ascii="Century Gothic" w:eastAsia="Calibri" w:hAnsi="Century Gothic" w:cs="Arial"/>
          <w:b/>
          <w:bCs/>
          <w:color w:val="000000" w:themeColor="text1"/>
          <w:lang w:val="es-ES_tradnl"/>
        </w:rPr>
        <w:t xml:space="preserve">2.1 </w:t>
      </w:r>
      <w:r w:rsidRPr="00643E3F">
        <w:rPr>
          <w:rFonts w:ascii="Century Gothic" w:eastAsia="Calibri" w:hAnsi="Century Gothic" w:cs="Arial"/>
          <w:b/>
        </w:rPr>
        <w:t>Aproximación general al concepto de experi</w:t>
      </w:r>
      <w:r>
        <w:rPr>
          <w:rFonts w:ascii="Century Gothic" w:eastAsia="Calibri" w:hAnsi="Century Gothic" w:cs="Arial"/>
          <w:b/>
        </w:rPr>
        <w:t>encia en la contratación pública</w:t>
      </w:r>
    </w:p>
    <w:p w14:paraId="5105C3C4" w14:textId="77777777" w:rsidR="00367236" w:rsidRPr="00643E3F" w:rsidRDefault="00367236" w:rsidP="00367236">
      <w:pPr>
        <w:spacing w:after="0" w:line="276" w:lineRule="auto"/>
        <w:jc w:val="both"/>
        <w:rPr>
          <w:rFonts w:ascii="Century Gothic" w:eastAsia="Calibri" w:hAnsi="Century Gothic" w:cs="Arial"/>
          <w:b/>
        </w:rPr>
      </w:pPr>
    </w:p>
    <w:p w14:paraId="40288E9D" w14:textId="77777777" w:rsidR="00F97CDE" w:rsidRPr="00643E3F" w:rsidRDefault="00F97CDE" w:rsidP="00367236">
      <w:pPr>
        <w:spacing w:after="0" w:line="276" w:lineRule="auto"/>
        <w:jc w:val="both"/>
        <w:rPr>
          <w:rFonts w:ascii="Century Gothic" w:eastAsia="Calibri" w:hAnsi="Century Gothic" w:cs="Arial"/>
          <w:highlight w:val="yellow"/>
        </w:rPr>
      </w:pPr>
      <w:bookmarkStart w:id="5" w:name="_Hlk113212496"/>
      <w:r w:rsidRPr="00643E3F">
        <w:rPr>
          <w:rFonts w:ascii="Century Gothic" w:eastAsia="Calibri" w:hAnsi="Century Gothic" w:cs="Arial"/>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643E3F">
        <w:rPr>
          <w:rFonts w:ascii="Century Gothic" w:eastAsia="Calibri" w:hAnsi="Century Gothic" w:cs="Arial"/>
          <w:vertAlign w:val="superscript"/>
        </w:rPr>
        <w:footnoteReference w:id="3"/>
      </w:r>
      <w:r w:rsidRPr="00643E3F">
        <w:rPr>
          <w:rFonts w:ascii="Century Gothic" w:eastAsia="Calibri" w:hAnsi="Century Gothic" w:cs="Arial"/>
        </w:rPr>
        <w:t>.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así como el mercado y precio del bien, obra o servicio a contratar</w:t>
      </w:r>
      <w:r w:rsidRPr="00643E3F">
        <w:rPr>
          <w:rFonts w:ascii="Century Gothic" w:eastAsia="Calibri" w:hAnsi="Century Gothic" w:cs="Arial"/>
          <w:vertAlign w:val="superscript"/>
        </w:rPr>
        <w:footnoteReference w:id="4"/>
      </w:r>
      <w:r w:rsidRPr="00643E3F">
        <w:rPr>
          <w:rFonts w:ascii="Century Gothic" w:eastAsia="Calibri" w:hAnsi="Century Gothic" w:cs="Arial"/>
        </w:rPr>
        <w:t>.</w:t>
      </w:r>
    </w:p>
    <w:p w14:paraId="6EF3F573"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lastRenderedPageBreak/>
        <w:t>La experiencia que se deriva de los contratos que el proponente ha celebrado y ejecutado con diferentes contratantes, sin importar la naturaleza de estos, se verifica con el Registro Único de Proponentes – RUP</w:t>
      </w:r>
      <w:r w:rsidRPr="00643E3F">
        <w:rPr>
          <w:rFonts w:ascii="Century Gothic" w:eastAsia="Calibri" w:hAnsi="Century Gothic" w:cs="Arial"/>
          <w:vertAlign w:val="superscript"/>
        </w:rPr>
        <w:footnoteReference w:id="5"/>
      </w:r>
      <w:r w:rsidRPr="00643E3F">
        <w:rPr>
          <w:rFonts w:ascii="Century Gothic" w:eastAsia="Calibri" w:hAnsi="Century Gothic" w:cs="Arial"/>
        </w:rPr>
        <w:t>, cuando este certificado sea exigible de acuerdo con la ley. En el RUP constan los requisitos habilitantes que se evalúan exclusivamente con este documento, que es su plena prueba, sin que la entidad o el proponente puedan solicitar o aportar otra documentación</w:t>
      </w:r>
      <w:r w:rsidRPr="00643E3F">
        <w:rPr>
          <w:rFonts w:ascii="Century Gothic" w:eastAsia="Calibri" w:hAnsi="Century Gothic" w:cs="Arial"/>
          <w:vertAlign w:val="superscript"/>
        </w:rPr>
        <w:footnoteReference w:id="6"/>
      </w:r>
      <w:r w:rsidRPr="00643E3F">
        <w:rPr>
          <w:rFonts w:ascii="Century Gothic" w:eastAsia="Calibri" w:hAnsi="Century Gothic" w:cs="Arial"/>
        </w:rPr>
        <w:t>.</w:t>
      </w:r>
    </w:p>
    <w:p w14:paraId="201C2382" w14:textId="77777777" w:rsidR="00F97CDE" w:rsidRPr="00643E3F" w:rsidRDefault="00F97CDE" w:rsidP="00F97CDE">
      <w:pPr>
        <w:spacing w:line="276" w:lineRule="auto"/>
        <w:ind w:firstLine="708"/>
        <w:jc w:val="both"/>
        <w:rPr>
          <w:rFonts w:ascii="Century Gothic" w:eastAsia="Calibri" w:hAnsi="Century Gothic" w:cs="Arial"/>
        </w:rPr>
      </w:pPr>
      <w:r w:rsidRPr="00643E3F">
        <w:rPr>
          <w:rFonts w:ascii="Century Gothic" w:eastAsia="Calibri" w:hAnsi="Century Gothic" w:cs="Ari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Tales documentos deben codificarse con el clasificador de bienes y servicios en el tercer nivel</w:t>
      </w:r>
      <w:r w:rsidRPr="00643E3F">
        <w:rPr>
          <w:rFonts w:ascii="Century Gothic" w:eastAsia="Calibri" w:hAnsi="Century Gothic" w:cs="Arial"/>
          <w:vertAlign w:val="superscript"/>
        </w:rPr>
        <w:footnoteReference w:id="7"/>
      </w:r>
      <w:r w:rsidRPr="00643E3F">
        <w:rPr>
          <w:rFonts w:ascii="Century Gothic" w:eastAsia="Calibri" w:hAnsi="Century Gothic" w:cs="Arial"/>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w:t>
      </w:r>
      <w:r w:rsidRPr="00643E3F">
        <w:rPr>
          <w:rFonts w:ascii="Century Gothic" w:eastAsia="Calibri" w:hAnsi="Century Gothic" w:cs="Arial"/>
        </w:rPr>
        <w:lastRenderedPageBreak/>
        <w:t>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728AE6E6" w14:textId="77777777" w:rsidR="00F97CDE" w:rsidRPr="00643E3F" w:rsidRDefault="00F97CDE" w:rsidP="00F97CDE">
      <w:pPr>
        <w:spacing w:before="120" w:line="276" w:lineRule="auto"/>
        <w:ind w:firstLine="709"/>
        <w:jc w:val="both"/>
        <w:rPr>
          <w:rFonts w:ascii="Century Gothic" w:eastAsia="Calibri" w:hAnsi="Century Gothic" w:cs="Arial"/>
        </w:rPr>
      </w:pPr>
      <w:r w:rsidRPr="00643E3F">
        <w:rPr>
          <w:rFonts w:ascii="Century Gothic" w:eastAsia="Calibri" w:hAnsi="Century Gothic" w:cs="Arial"/>
        </w:rPr>
        <w:t xml:space="preserve">La Agencia Nacional de Contratación Pública - Colombia Compra Eficiente puso a disposición de los interesados del Sistema de Compra Pública el </w:t>
      </w:r>
      <w:r w:rsidRPr="00643E3F">
        <w:rPr>
          <w:rFonts w:ascii="Century Gothic" w:eastAsia="Calibri" w:hAnsi="Century Gothic" w:cs="Arial"/>
          <w:i/>
          <w:iCs/>
        </w:rPr>
        <w:t>Manual para determinar y verificar requisitos habilitantes en los procesos de contratación</w:t>
      </w:r>
      <w:r w:rsidRPr="00643E3F">
        <w:rPr>
          <w:rStyle w:val="Refdenotaalpie"/>
          <w:rFonts w:ascii="Century Gothic" w:eastAsia="Calibri" w:hAnsi="Century Gothic" w:cs="Arial"/>
          <w:i/>
          <w:iCs/>
        </w:rPr>
        <w:footnoteReference w:id="8"/>
      </w:r>
      <w:r w:rsidRPr="00643E3F">
        <w:rPr>
          <w:rFonts w:ascii="Century Gothic" w:eastAsia="Calibri" w:hAnsi="Century Gothic" w:cs="Arial"/>
        </w:rPr>
        <w:t xml:space="preserve">. En dicho Manual se establecen las definiciones de cada requisito habilitante y se dan lineamientos orientadores sobre lo que las entidades pueden hacer para configurarlos. Sobre el particular, para la experiencia como requisito habilitante el Manual se centra en una de sus cualidades y es que es personal, lo cual significa que quien tiene la experiencia lo hace </w:t>
      </w:r>
      <w:proofErr w:type="gramStart"/>
      <w:r w:rsidRPr="00643E3F">
        <w:rPr>
          <w:rFonts w:ascii="Century Gothic" w:eastAsia="Calibri" w:hAnsi="Century Gothic" w:cs="Arial"/>
        </w:rPr>
        <w:t>en razón de</w:t>
      </w:r>
      <w:proofErr w:type="gramEnd"/>
      <w:r w:rsidRPr="00643E3F">
        <w:rPr>
          <w:rFonts w:ascii="Century Gothic" w:eastAsia="Calibri" w:hAnsi="Century Gothic" w:cs="Arial"/>
        </w:rPr>
        <w:t xml:space="preserve"> su participación, con anterioridad, en actividades que le permitieron conocer cómo ejecutar el objeto contractual que la entidad pretende satisfacer ahora</w:t>
      </w:r>
      <w:r w:rsidRPr="00643E3F">
        <w:rPr>
          <w:rFonts w:ascii="Century Gothic" w:eastAsia="Calibri" w:hAnsi="Century Gothic" w:cs="Arial"/>
          <w:vertAlign w:val="superscript"/>
        </w:rPr>
        <w:footnoteReference w:id="9"/>
      </w:r>
      <w:r w:rsidRPr="00643E3F">
        <w:rPr>
          <w:rFonts w:ascii="Century Gothic" w:eastAsia="Calibri" w:hAnsi="Century Gothic" w:cs="Arial"/>
        </w:rPr>
        <w:t>.</w:t>
      </w:r>
    </w:p>
    <w:p w14:paraId="55C8F9FE"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t xml:space="preserve">Lo anterior es determinante, porque no es posible tener experiencia si en la práctica no se han ejecutado actividades similares previas. Precisamente, de la experiencia se deriva el conocimiento del proponente, y para la contratación pública es importante, ya que garantiza que no habrá improvisación ni mayores costos por errores o dificultades originadas en realizar una actividad por primera vez. </w:t>
      </w:r>
      <w:bookmarkStart w:id="8" w:name="_Hlk113212591"/>
      <w:r w:rsidRPr="00643E3F">
        <w:rPr>
          <w:rFonts w:ascii="Century Gothic" w:eastAsia="Calibri" w:hAnsi="Century Gothic" w:cs="Arial"/>
        </w:rPr>
        <w:t xml:space="preserve">Al respecto, la jurisprudencia ha señalado que la experiencia acreditable </w:t>
      </w:r>
      <w:r w:rsidRPr="00643E3F">
        <w:rPr>
          <w:rFonts w:ascii="Century Gothic" w:hAnsi="Century Gothic" w:cs="Arial"/>
        </w:rPr>
        <w:t>“</w:t>
      </w:r>
      <w:r w:rsidRPr="00643E3F">
        <w:rPr>
          <w:rFonts w:ascii="Century Gothic" w:eastAsia="Calibri" w:hAnsi="Century Gothic" w:cs="Arial"/>
        </w:rPr>
        <w:t xml:space="preserve">no es más que un valor agregado para el contratista en consideración al registro documentado del hecho de haberlo ejecutado, es decir de haber cumplido las consideraciones pactadas, asunto que alude a un estado adquirido por el contratante en función de la real ejecución que han hecho del contrato. La </w:t>
      </w:r>
      <w:r w:rsidRPr="00643E3F">
        <w:rPr>
          <w:rFonts w:ascii="Century Gothic" w:eastAsia="Calibri" w:hAnsi="Century Gothic" w:cs="Arial"/>
        </w:rPr>
        <w:lastRenderedPageBreak/>
        <w:t>experiencia predicada de un sujeto comprende unas competencias o habilidades que este obtuvo, como consecuencia de la ejecución del contrato […]</w:t>
      </w:r>
      <w:r w:rsidRPr="00643E3F">
        <w:rPr>
          <w:rFonts w:ascii="Century Gothic" w:hAnsi="Century Gothic" w:cs="Arial"/>
        </w:rPr>
        <w:t>”</w:t>
      </w:r>
      <w:r w:rsidRPr="00643E3F">
        <w:rPr>
          <w:rStyle w:val="Refdenotaalpie"/>
          <w:rFonts w:ascii="Century Gothic" w:hAnsi="Century Gothic" w:cs="Arial"/>
        </w:rPr>
        <w:footnoteReference w:id="10"/>
      </w:r>
      <w:r w:rsidRPr="00643E3F">
        <w:rPr>
          <w:rFonts w:ascii="Century Gothic" w:hAnsi="Century Gothic" w:cs="Arial"/>
        </w:rPr>
        <w:t xml:space="preserve">. En tal sentido, la ejecución del contrato “se revela como un aspecto inherente a la persona que lo ejecutó”, por lo que es en virtud de dicha ejecución que se obtiene las habilidades y competencias que califican al proponente. </w:t>
      </w:r>
    </w:p>
    <w:bookmarkEnd w:id="8"/>
    <w:p w14:paraId="1A2B699B"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t xml:space="preserve">Adicionalmente, el Manual explica que la experiencia puede obtenerse directamente o por participar asociado con otra persona, como es el caso de los proponentes plurales, en cuyo evento la experiencia no deja de ser </w:t>
      </w:r>
      <w:proofErr w:type="gramStart"/>
      <w:r w:rsidRPr="00643E3F">
        <w:rPr>
          <w:rFonts w:ascii="Century Gothic" w:eastAsia="Calibri" w:hAnsi="Century Gothic" w:cs="Arial"/>
        </w:rPr>
        <w:t>personal</w:t>
      </w:r>
      <w:proofErr w:type="gramEnd"/>
      <w:r w:rsidRPr="00643E3F">
        <w:rPr>
          <w:rFonts w:ascii="Century Gothic" w:eastAsia="Calibri" w:hAnsi="Century Gothic" w:cs="Arial"/>
        </w:rPr>
        <w:t xml:space="preserve"> sino que es proporcional a la participación como miembro de un consorcio o unión temporal, evento en el cual,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w:t>
      </w:r>
    </w:p>
    <w:p w14:paraId="0E7F1B1B" w14:textId="77777777" w:rsidR="00F97CDE" w:rsidRPr="00643E3F" w:rsidRDefault="00F97CDE" w:rsidP="00F97CDE">
      <w:pPr>
        <w:spacing w:before="120" w:after="120" w:line="276" w:lineRule="auto"/>
        <w:ind w:firstLine="708"/>
        <w:jc w:val="both"/>
        <w:rPr>
          <w:rFonts w:ascii="Century Gothic" w:eastAsia="Calibri" w:hAnsi="Century Gothic" w:cs="Arial"/>
        </w:rPr>
      </w:pPr>
      <w:bookmarkStart w:id="9" w:name="_Hlk113212612"/>
      <w:r w:rsidRPr="00643E3F">
        <w:rPr>
          <w:rFonts w:ascii="Century Gothic" w:eastAsia="Calibri" w:hAnsi="Century Gothic" w:cs="Arial"/>
        </w:rPr>
        <w:t>De lo anteriormente expuesto</w:t>
      </w:r>
      <w:bookmarkEnd w:id="9"/>
      <w:r w:rsidRPr="00643E3F">
        <w:rPr>
          <w:rFonts w:ascii="Century Gothic" w:eastAsia="Calibri" w:hAnsi="Century Gothic" w:cs="Arial"/>
        </w:rPr>
        <w:t xml:space="preserve">, se pueden extraer cuatro conclusiones relevantes respecto de la experiencia, para evaluar a continuación las figuras y reformas estatutarias de las sociedades comerciales: </w:t>
      </w:r>
    </w:p>
    <w:p w14:paraId="3D3F8C56"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t>i) La experiencia es personal, esto es, se adquiere participando, directa o indirectamente, sin que sea posible no hacerlo y tener experiencia.</w:t>
      </w:r>
    </w:p>
    <w:p w14:paraId="49F79B8E" w14:textId="76BA8B0B" w:rsidR="00F97CDE" w:rsidRPr="00643E3F" w:rsidRDefault="00F97CDE" w:rsidP="00F97CDE">
      <w:pPr>
        <w:spacing w:before="120" w:after="120" w:line="276" w:lineRule="auto"/>
        <w:ind w:firstLine="708"/>
        <w:jc w:val="both"/>
        <w:rPr>
          <w:rFonts w:ascii="Century Gothic" w:eastAsia="Calibri" w:hAnsi="Century Gothic" w:cs="Arial"/>
        </w:rPr>
      </w:pPr>
      <w:proofErr w:type="spellStart"/>
      <w:r w:rsidRPr="00643E3F">
        <w:rPr>
          <w:rFonts w:ascii="Century Gothic" w:eastAsia="Calibri" w:hAnsi="Century Gothic" w:cs="Arial"/>
        </w:rPr>
        <w:t>ii</w:t>
      </w:r>
      <w:proofErr w:type="spellEnd"/>
      <w:r w:rsidRPr="00643E3F">
        <w:rPr>
          <w:rFonts w:ascii="Century Gothic" w:eastAsia="Calibri" w:hAnsi="Century Gothic" w:cs="Arial"/>
        </w:rPr>
        <w:t>) La experiencia se puede compartir, sin que implique que la compartida a una persona se entienda suya, ya que dentro del procedimiento contractual se reflejará que esa persona tiene la experiencia de otra, como es el caso de las figuras asociativas –consorcios y uniones temporales– que se verificará en el documento privado de constitución.</w:t>
      </w:r>
    </w:p>
    <w:p w14:paraId="0BFEE5C2" w14:textId="36D206DF" w:rsidR="00F97CDE" w:rsidRPr="00643E3F" w:rsidRDefault="00F97CDE" w:rsidP="00F97CDE">
      <w:pPr>
        <w:spacing w:before="120" w:after="120" w:line="276" w:lineRule="auto"/>
        <w:ind w:firstLine="708"/>
        <w:jc w:val="both"/>
        <w:rPr>
          <w:rFonts w:ascii="Century Gothic" w:eastAsia="Calibri" w:hAnsi="Century Gothic" w:cs="Arial"/>
        </w:rPr>
      </w:pPr>
      <w:proofErr w:type="spellStart"/>
      <w:r w:rsidRPr="00643E3F">
        <w:rPr>
          <w:rFonts w:ascii="Century Gothic" w:eastAsia="Calibri" w:hAnsi="Century Gothic" w:cs="Arial"/>
        </w:rPr>
        <w:t>iii</w:t>
      </w:r>
      <w:proofErr w:type="spellEnd"/>
      <w:r w:rsidRPr="00643E3F">
        <w:rPr>
          <w:rFonts w:ascii="Century Gothic" w:eastAsia="Calibri" w:hAnsi="Century Gothic" w:cs="Arial"/>
        </w:rPr>
        <w:t>) La experiencia se puede transferir, y esto es diferente a compartir, lo que implica que la experiencia de una persona se traslada a otra, y esta última acredita la experiencia como</w:t>
      </w:r>
      <w:r w:rsidR="00B94B12">
        <w:rPr>
          <w:rFonts w:ascii="Century Gothic" w:eastAsia="Calibri" w:hAnsi="Century Gothic" w:cs="Arial"/>
        </w:rPr>
        <w:t xml:space="preserve"> </w:t>
      </w:r>
      <w:r w:rsidRPr="00643E3F">
        <w:rPr>
          <w:rFonts w:ascii="Century Gothic" w:eastAsia="Calibri" w:hAnsi="Century Gothic" w:cs="Arial"/>
        </w:rPr>
        <w:t>propia, como sucede con algunas figuras y reformas estatutarias, que se explicarán con más detalle en el numeral 2.2. de este concepto.</w:t>
      </w:r>
    </w:p>
    <w:p w14:paraId="4CC0F7B3" w14:textId="77777777" w:rsidR="00F97CDE" w:rsidRPr="00643E3F" w:rsidRDefault="00F97CDE" w:rsidP="00F97CDE">
      <w:pPr>
        <w:spacing w:line="276" w:lineRule="auto"/>
        <w:ind w:firstLine="708"/>
        <w:jc w:val="both"/>
        <w:rPr>
          <w:rFonts w:ascii="Century Gothic" w:eastAsia="Calibri" w:hAnsi="Century Gothic" w:cs="Arial"/>
        </w:rPr>
      </w:pPr>
      <w:proofErr w:type="spellStart"/>
      <w:r w:rsidRPr="00643E3F">
        <w:rPr>
          <w:rFonts w:ascii="Century Gothic" w:eastAsia="Calibri" w:hAnsi="Century Gothic" w:cs="Arial"/>
        </w:rPr>
        <w:t>iv</w:t>
      </w:r>
      <w:proofErr w:type="spellEnd"/>
      <w:r w:rsidRPr="00643E3F">
        <w:rPr>
          <w:rFonts w:ascii="Century Gothic" w:eastAsia="Calibri" w:hAnsi="Century Gothic" w:cs="Arial"/>
        </w:rPr>
        <w:t xml:space="preserve">) Cuando </w:t>
      </w:r>
      <w:bookmarkStart w:id="10" w:name="_Hlk113212638"/>
      <w:r w:rsidRPr="00643E3F">
        <w:rPr>
          <w:rFonts w:ascii="Century Gothic" w:eastAsia="Calibri" w:hAnsi="Century Gothic" w:cs="Arial"/>
        </w:rPr>
        <w:t>la persona que adquirió la experiencia desaparece o se liquida no es posible que comparta o transfiera su experiencia, puesto que, al ser esta personal, sigue la suerte de quien la adquirió</w:t>
      </w:r>
      <w:bookmarkEnd w:id="10"/>
      <w:r w:rsidRPr="00643E3F">
        <w:rPr>
          <w:rFonts w:ascii="Century Gothic" w:eastAsia="Calibri" w:hAnsi="Century Gothic" w:cs="Arial"/>
        </w:rPr>
        <w:t>.</w:t>
      </w:r>
    </w:p>
    <w:p w14:paraId="21EB7F05"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lastRenderedPageBreak/>
        <w:t>De lo anterior se desprende que, por regla general, en la actividad contractual regulada por el Estatuto General de Contratación de la Administración Pública la experiencia es personal e intransferible, salvo algunas excepciones. Una primera excepción a la regla anteriormente descrita se encuentra consagrada en el numeral 2.5. del artículo 2.2.1.1.1.5.2. del Decreto 1082 de 2015, con arreglo al cual si bien para la inscripción, renovación o actualización del Registro Único de Proponentes (RUP) la persona jurídica interesada debe presentar ante la cámara de comercio respectiva los certificados de los bienes, obras o servicios cuya experiencia requiere acreditar, “Si la constitución del interesado es menor a tres (3) años, puede acreditar la experiencia de sus accionistas, socios o constituyentes”.</w:t>
      </w:r>
    </w:p>
    <w:p w14:paraId="6274B95B" w14:textId="77777777" w:rsidR="00F97CDE" w:rsidRPr="00643E3F" w:rsidRDefault="00F97CDE" w:rsidP="00367236">
      <w:pPr>
        <w:spacing w:after="0" w:line="276" w:lineRule="auto"/>
        <w:ind w:firstLine="709"/>
        <w:jc w:val="both"/>
        <w:rPr>
          <w:rFonts w:ascii="Century Gothic" w:eastAsia="Calibri" w:hAnsi="Century Gothic" w:cs="Arial"/>
        </w:rPr>
      </w:pPr>
      <w:r w:rsidRPr="00643E3F">
        <w:rPr>
          <w:rFonts w:ascii="Century Gothic" w:eastAsia="Calibri" w:hAnsi="Century Gothic" w:cs="Arial"/>
        </w:rPr>
        <w:t xml:space="preserve">Como segunda excepción al carácter intransferible de la experiencia puede mencionarse el caso de algunas reformas estatutarias de las personas jurídicas o de reorganización empresarial, en las que la persona jurídica no se liquida y por lo tanto puede transferir su experiencia a la persona jurídica resultante. En efecto, la Subdirección de Gestión Contractual, en el concepto C-002 del 20 de febrero de 2020, reiterado en los conceptos C-491 del 27 de julio de 2020, C-350 del 1 de junio de 2020, C-584 del 31 de agosto de 2020, C-002 del 9 de febrero de 2021, C-115 del 29 de marzo de 2021, C-343 del 13 de julio de 2021 y C-342 del 13 de julio de 2021, modificó la tesis que hasta ese momento había sostenido la Subdirección, en virtud de la cual se afirmaba que en las reformas estatutarias que implicaban una escisión o una fusión de las personas jurídicas no era posible la transferencia de la experiencia, ya que esta era personal e intransferible, según una interpretación del artículo 2.2.1.1.1.5.3. del Decreto 1082 de 2015, que establece que </w:t>
      </w:r>
      <w:bookmarkStart w:id="11" w:name="_Hlk113212671"/>
      <w:r w:rsidRPr="00643E3F">
        <w:rPr>
          <w:rFonts w:ascii="Century Gothic" w:eastAsia="Calibri" w:hAnsi="Century Gothic" w:cs="Arial"/>
        </w:rPr>
        <w:t xml:space="preserve">se debe verificar la experiencia de </w:t>
      </w:r>
      <w:bookmarkEnd w:id="11"/>
      <w:r w:rsidRPr="00643E3F">
        <w:rPr>
          <w:rFonts w:ascii="Century Gothic" w:eastAsia="Calibri" w:hAnsi="Century Gothic" w:cs="Arial"/>
        </w:rPr>
        <w:t>“los contratos celebrados por el interesado para cada uno de los bienes, obras y servicios que ofrecerá a las Entidades Estatales, identificados con el Clasificador de Bienes y Servicios en el tercer nivel y su valor expresado en SMMLV […]”. En el concepto C-002 de 2020, como se dijo, la Subdirección de Gestión Contractual modificó razonablemente dicho argumento, por considerar que de conformidad con la regulación aplicable y teniendo en cuenta los conceptos de “disolución” y “liquidación” del Código de Comercio, es viable la transferencia de experiencia en la transformación y en la fusión, pero no en la escisión,</w:t>
      </w:r>
      <w:bookmarkStart w:id="12" w:name="_Hlk113212692"/>
      <w:r w:rsidRPr="00643E3F">
        <w:rPr>
          <w:rFonts w:ascii="Century Gothic" w:eastAsia="Calibri" w:hAnsi="Century Gothic" w:cs="Arial"/>
        </w:rPr>
        <w:t xml:space="preserve"> tesis que se reitera en este concepto como a continuación se expone.</w:t>
      </w:r>
      <w:bookmarkEnd w:id="12"/>
    </w:p>
    <w:bookmarkEnd w:id="5"/>
    <w:p w14:paraId="32F7D065" w14:textId="77777777" w:rsidR="00F97CDE" w:rsidRPr="00643E3F" w:rsidRDefault="00F97CDE" w:rsidP="00367236">
      <w:pPr>
        <w:spacing w:after="0"/>
        <w:rPr>
          <w:rFonts w:ascii="Century Gothic" w:hAnsi="Century Gothic"/>
        </w:rPr>
      </w:pPr>
    </w:p>
    <w:p w14:paraId="68028197" w14:textId="77777777" w:rsidR="00F97CDE" w:rsidRDefault="00F97CDE" w:rsidP="00367236">
      <w:pPr>
        <w:spacing w:after="0" w:line="276" w:lineRule="auto"/>
        <w:jc w:val="both"/>
        <w:rPr>
          <w:rFonts w:ascii="Century Gothic" w:eastAsia="Calibri" w:hAnsi="Century Gothic" w:cs="Arial"/>
          <w:b/>
        </w:rPr>
      </w:pPr>
      <w:r w:rsidRPr="00643E3F">
        <w:rPr>
          <w:rFonts w:ascii="Century Gothic" w:eastAsia="Calibri" w:hAnsi="Century Gothic" w:cs="Arial"/>
          <w:b/>
        </w:rPr>
        <w:t>2.2. Figuras y reformas estatutarias, y efectos sobre la experiencia de las sociedades comerciales</w:t>
      </w:r>
    </w:p>
    <w:p w14:paraId="07D42C55" w14:textId="77777777" w:rsidR="00C11B6A" w:rsidRPr="00643E3F" w:rsidRDefault="00C11B6A" w:rsidP="00C11B6A">
      <w:pPr>
        <w:spacing w:after="0" w:line="276" w:lineRule="auto"/>
        <w:jc w:val="both"/>
        <w:rPr>
          <w:rFonts w:ascii="Century Gothic" w:eastAsia="Calibri" w:hAnsi="Century Gothic" w:cs="Arial"/>
          <w:b/>
        </w:rPr>
      </w:pPr>
    </w:p>
    <w:p w14:paraId="7EE4E79D" w14:textId="77777777" w:rsidR="00F97CDE" w:rsidRPr="00643E3F" w:rsidRDefault="00F97CDE" w:rsidP="00C11B6A">
      <w:pPr>
        <w:spacing w:after="0" w:line="276" w:lineRule="auto"/>
        <w:jc w:val="both"/>
        <w:rPr>
          <w:rFonts w:ascii="Century Gothic" w:eastAsia="Calibri" w:hAnsi="Century Gothic" w:cs="Arial"/>
          <w:bCs/>
        </w:rPr>
      </w:pPr>
      <w:r w:rsidRPr="00643E3F">
        <w:rPr>
          <w:rFonts w:ascii="Century Gothic" w:eastAsia="Calibri" w:hAnsi="Century Gothic" w:cs="Arial"/>
          <w:bCs/>
        </w:rPr>
        <w:lastRenderedPageBreak/>
        <w:t xml:space="preserve">Antes de analizar las figuras y reformas estatutarias, es necesario aclarar dos conceptos respecto de las sociedades comerciales: i) “disolución” y </w:t>
      </w:r>
      <w:proofErr w:type="spellStart"/>
      <w:r w:rsidRPr="00643E3F">
        <w:rPr>
          <w:rFonts w:ascii="Century Gothic" w:eastAsia="Calibri" w:hAnsi="Century Gothic" w:cs="Arial"/>
          <w:bCs/>
        </w:rPr>
        <w:t>ii</w:t>
      </w:r>
      <w:proofErr w:type="spellEnd"/>
      <w:r w:rsidRPr="00643E3F">
        <w:rPr>
          <w:rFonts w:ascii="Century Gothic" w:eastAsia="Calibri" w:hAnsi="Century Gothic" w:cs="Arial"/>
          <w:bCs/>
        </w:rPr>
        <w:t xml:space="preserve">) “liquidación”, ya que se aplican a las figuras y reformas estatutarias, y tienen incidencia en la posibilidad de transferir o no la experiencia de una sociedad. </w:t>
      </w:r>
    </w:p>
    <w:p w14:paraId="2E967CA7" w14:textId="428A5061" w:rsidR="00F97CDE" w:rsidRPr="00643E3F" w:rsidRDefault="00F97CDE" w:rsidP="00C11B6A">
      <w:pPr>
        <w:spacing w:after="0" w:line="276" w:lineRule="auto"/>
        <w:ind w:firstLine="708"/>
        <w:jc w:val="both"/>
        <w:rPr>
          <w:rFonts w:ascii="Century Gothic" w:eastAsia="Calibri" w:hAnsi="Century Gothic" w:cs="Arial"/>
          <w:bCs/>
        </w:rPr>
      </w:pPr>
      <w:r w:rsidRPr="00643E3F">
        <w:rPr>
          <w:rFonts w:ascii="Century Gothic" w:eastAsia="Calibri" w:hAnsi="Century Gothic" w:cs="Arial"/>
          <w:bCs/>
        </w:rPr>
        <w:t>En primer lugar, el Código de Comercio señala, como efecto de la “disolución”, que la persona jurídica no desaparece, sino que conserva su capacidad jurídica, únicamente para “liquidarse” y para las operaciones o actos autorizados por la ley</w:t>
      </w:r>
      <w:r w:rsidRPr="00643E3F">
        <w:rPr>
          <w:rFonts w:ascii="Century Gothic" w:eastAsia="Calibri" w:hAnsi="Century Gothic" w:cs="Arial"/>
          <w:bCs/>
          <w:vertAlign w:val="superscript"/>
        </w:rPr>
        <w:footnoteReference w:id="11"/>
      </w:r>
      <w:r w:rsidRPr="00643E3F">
        <w:rPr>
          <w:rFonts w:ascii="Century Gothic" w:eastAsia="Calibri" w:hAnsi="Century Gothic" w:cs="Arial"/>
          <w:bCs/>
        </w:rPr>
        <w:t xml:space="preserve">, como las figuras y reformas estatutarias que se verán a continuación. Con esto se anticipa </w:t>
      </w:r>
      <w:r w:rsidR="00197880" w:rsidRPr="00643E3F">
        <w:rPr>
          <w:rFonts w:ascii="Century Gothic" w:eastAsia="Calibri" w:hAnsi="Century Gothic" w:cs="Arial"/>
          <w:bCs/>
        </w:rPr>
        <w:t>que,</w:t>
      </w:r>
      <w:r w:rsidRPr="00643E3F">
        <w:rPr>
          <w:rFonts w:ascii="Century Gothic" w:eastAsia="Calibri" w:hAnsi="Century Gothic" w:cs="Arial"/>
          <w:bCs/>
        </w:rPr>
        <w:t xml:space="preserve"> si la persona jurídica no desaparece, su experiencia se conserva y puede transferirse. Por el contrario, respecto de la “liquidación” de las sociedades comerciales, el Código de Comercio señala el procedimiento para realizar el inventario y distribución del patrimonio social, de lo cual se infiere que termina la persona jurídica</w:t>
      </w:r>
      <w:r w:rsidRPr="00643E3F">
        <w:rPr>
          <w:rFonts w:ascii="Century Gothic" w:eastAsia="Calibri" w:hAnsi="Century Gothic" w:cs="Arial"/>
          <w:bCs/>
          <w:vertAlign w:val="superscript"/>
        </w:rPr>
        <w:footnoteReference w:id="12"/>
      </w:r>
      <w:r w:rsidRPr="00643E3F">
        <w:rPr>
          <w:rFonts w:ascii="Century Gothic" w:eastAsia="Calibri" w:hAnsi="Century Gothic" w:cs="Arial"/>
          <w:bCs/>
        </w:rPr>
        <w:t xml:space="preserve"> y la experiencia desaparece junto con la sociedad que la adquirió.</w:t>
      </w:r>
    </w:p>
    <w:p w14:paraId="5E38EE01" w14:textId="77777777" w:rsidR="00F97CDE" w:rsidRPr="00643E3F" w:rsidRDefault="00F97CDE" w:rsidP="00C11B6A">
      <w:pPr>
        <w:spacing w:after="0" w:line="276" w:lineRule="auto"/>
        <w:jc w:val="both"/>
        <w:rPr>
          <w:rFonts w:ascii="Century Gothic" w:eastAsia="Calibri" w:hAnsi="Century Gothic" w:cs="Arial"/>
        </w:rPr>
      </w:pPr>
    </w:p>
    <w:p w14:paraId="490F8650" w14:textId="77777777" w:rsidR="00F97CDE" w:rsidRPr="00643E3F" w:rsidRDefault="00F97CDE" w:rsidP="00C11B6A">
      <w:pPr>
        <w:spacing w:after="0" w:line="276" w:lineRule="auto"/>
        <w:jc w:val="both"/>
        <w:rPr>
          <w:rFonts w:ascii="Century Gothic" w:eastAsia="Calibri" w:hAnsi="Century Gothic" w:cs="Arial"/>
          <w:b/>
          <w:bCs/>
        </w:rPr>
      </w:pPr>
      <w:r w:rsidRPr="00643E3F">
        <w:rPr>
          <w:rFonts w:ascii="Century Gothic" w:eastAsia="Calibri" w:hAnsi="Century Gothic" w:cs="Arial"/>
          <w:b/>
          <w:bCs/>
        </w:rPr>
        <w:t>a) Transformación</w:t>
      </w:r>
    </w:p>
    <w:p w14:paraId="73A07EC1" w14:textId="77777777" w:rsidR="00F97CDE" w:rsidRPr="00643E3F" w:rsidRDefault="00F97CDE" w:rsidP="00C11B6A">
      <w:pPr>
        <w:spacing w:after="0" w:line="276" w:lineRule="auto"/>
        <w:jc w:val="both"/>
        <w:rPr>
          <w:rFonts w:ascii="Century Gothic" w:eastAsia="Calibri" w:hAnsi="Century Gothic" w:cs="Arial"/>
          <w:b/>
          <w:bCs/>
        </w:rPr>
      </w:pPr>
    </w:p>
    <w:p w14:paraId="6F2BAE31" w14:textId="77777777" w:rsidR="00F97CDE" w:rsidRPr="00643E3F" w:rsidRDefault="00F97CDE" w:rsidP="00C11B6A">
      <w:pPr>
        <w:spacing w:after="120" w:line="276" w:lineRule="auto"/>
        <w:jc w:val="both"/>
        <w:rPr>
          <w:rFonts w:ascii="Century Gothic" w:eastAsia="Calibri" w:hAnsi="Century Gothic" w:cs="Arial"/>
        </w:rPr>
      </w:pPr>
      <w:r w:rsidRPr="00643E3F">
        <w:rPr>
          <w:rFonts w:ascii="Century Gothic" w:eastAsia="Calibri" w:hAnsi="Century Gothic" w:cs="Arial"/>
        </w:rPr>
        <w:t>Es una reforma a los estatutos de una sociedad comercial, en la cual se detalla la naturaleza jurídica, composición, estructura, capital, entre otros, con el propósito de transformar o cambiar la forma o tipo societario que adoptó, como sociedad anónima, limitada, en comandita, etc. Es decir, si una sociedad se crea como sociedad de responsabilidad limitada y, sin “disolverse”, decide adoptar la figura de sociedad anónima, lo podrá hacer mediante una reforma estatutaria, sin que se interrumpa la continuidad de la sociedad comercial o persona jurídica</w:t>
      </w:r>
      <w:r w:rsidRPr="00643E3F">
        <w:rPr>
          <w:rFonts w:ascii="Century Gothic" w:eastAsia="Calibri" w:hAnsi="Century Gothic" w:cs="Arial"/>
          <w:vertAlign w:val="superscript"/>
        </w:rPr>
        <w:footnoteReference w:id="13"/>
      </w:r>
      <w:r w:rsidRPr="00643E3F">
        <w:rPr>
          <w:rFonts w:ascii="Century Gothic" w:eastAsia="Calibri" w:hAnsi="Century Gothic" w:cs="Arial"/>
        </w:rPr>
        <w:t>. Es importante destacar que en esta reforma estatutaria solo participa la sociedad involucrada, y no existen otras sociedades que se relacionen o intervengan, lo cual diferencia la transformación de otras reformas o figuras.</w:t>
      </w:r>
    </w:p>
    <w:p w14:paraId="79C68635" w14:textId="77777777" w:rsidR="00F97CDE" w:rsidRPr="00643E3F" w:rsidRDefault="00F97CDE" w:rsidP="00C11B6A">
      <w:pPr>
        <w:spacing w:after="0" w:line="276" w:lineRule="auto"/>
        <w:ind w:firstLine="708"/>
        <w:jc w:val="both"/>
        <w:rPr>
          <w:rFonts w:ascii="Century Gothic" w:eastAsia="Calibri" w:hAnsi="Century Gothic" w:cs="Arial"/>
        </w:rPr>
      </w:pPr>
      <w:r w:rsidRPr="00643E3F">
        <w:rPr>
          <w:rFonts w:ascii="Century Gothic" w:eastAsia="Calibri" w:hAnsi="Century Gothic" w:cs="Arial"/>
        </w:rPr>
        <w:lastRenderedPageBreak/>
        <w:t xml:space="preserve">Respecto de la experiencia, teniendo en cuenta que la sociedad solo cambia su forma, lo cual, de acuerdo con el Código de Comercio, no afecta sus actividades, la sociedad continuará con la experiencia adquirida, ya que la misma es personal y mientras la persona jurídica exista la experiencia sigue vigente y puede incrementarse, siempre que la empresa continúe ejecutando contratos que le permitan aumentar el conocimiento en su objeto social. Esto se reafirma teniendo en cuenta que en la transformación la norma señala expresamente que la sociedad no se “disuelve” y, por ende, tampoco se “liquida”, porque, de acuerdo con el artículo 222 del Código de Comercio, para “liquidarse” necesita estar “disuelta”. De esta manera, solo cambia el tipo societario que había adoptado en su constitución, es decir, no sufre modificaciones o alteraciones y por eso puede continuar adquiriendo experiencia y compartirla, pero no puede trasladarla, porque para ello tendría que “disolverse” –o conformar un consorcio–, como se verá en la fusión y en una de las modalidades de escisión.  </w:t>
      </w:r>
    </w:p>
    <w:p w14:paraId="50179B8F" w14:textId="77777777" w:rsidR="00F97CDE" w:rsidRPr="00643E3F" w:rsidRDefault="00F97CDE" w:rsidP="00C11B6A">
      <w:pPr>
        <w:spacing w:after="0" w:line="276" w:lineRule="auto"/>
        <w:jc w:val="both"/>
        <w:rPr>
          <w:rFonts w:ascii="Century Gothic" w:eastAsia="Calibri" w:hAnsi="Century Gothic" w:cs="Arial"/>
          <w:b/>
          <w:bCs/>
        </w:rPr>
      </w:pPr>
    </w:p>
    <w:p w14:paraId="34B7A3FA" w14:textId="77777777" w:rsidR="00F97CDE" w:rsidRPr="00643E3F" w:rsidRDefault="00F97CDE" w:rsidP="00C11B6A">
      <w:pPr>
        <w:spacing w:after="0" w:line="276" w:lineRule="auto"/>
        <w:jc w:val="both"/>
        <w:rPr>
          <w:rFonts w:ascii="Century Gothic" w:eastAsia="Calibri" w:hAnsi="Century Gothic" w:cs="Arial"/>
          <w:b/>
          <w:bCs/>
        </w:rPr>
      </w:pPr>
      <w:r w:rsidRPr="00643E3F">
        <w:rPr>
          <w:rFonts w:ascii="Century Gothic" w:eastAsia="Calibri" w:hAnsi="Century Gothic" w:cs="Arial"/>
          <w:b/>
          <w:bCs/>
        </w:rPr>
        <w:t>b) Escisión</w:t>
      </w:r>
    </w:p>
    <w:p w14:paraId="041A7E4C" w14:textId="77777777" w:rsidR="00F97CDE" w:rsidRPr="00643E3F" w:rsidRDefault="00F97CDE" w:rsidP="00C11B6A">
      <w:pPr>
        <w:spacing w:after="0" w:line="276" w:lineRule="auto"/>
        <w:jc w:val="both"/>
        <w:rPr>
          <w:rFonts w:ascii="Century Gothic" w:eastAsia="Calibri" w:hAnsi="Century Gothic" w:cs="Arial"/>
          <w:b/>
          <w:bCs/>
        </w:rPr>
      </w:pPr>
    </w:p>
    <w:p w14:paraId="076BE03C" w14:textId="77777777" w:rsidR="00F97CDE" w:rsidRPr="00643E3F" w:rsidRDefault="00F97CDE" w:rsidP="00C11B6A">
      <w:pPr>
        <w:spacing w:after="0" w:line="276" w:lineRule="auto"/>
        <w:jc w:val="both"/>
        <w:rPr>
          <w:rFonts w:ascii="Century Gothic" w:eastAsia="Calibri" w:hAnsi="Century Gothic" w:cs="Arial"/>
        </w:rPr>
      </w:pPr>
      <w:r w:rsidRPr="00643E3F">
        <w:rPr>
          <w:rFonts w:ascii="Century Gothic" w:eastAsia="Calibri" w:hAnsi="Century Gothic" w:cs="Arial"/>
        </w:rPr>
        <w:t xml:space="preserve">Es una figura con dos modalidades reguladas por la Ley 222 de 1995. La primera se refiere a una sociedad que no se “disuelve” ni se “liquida”, es decir, permanece sin modificaciones ni reformas, pero fracciona su patrimonio para transferir una o varias partes, a una o varias sociedades existentes o por crearse. En este caso, la escisión se refiere al patrimonio de la sociedad sin incluir ningún otro aspecto, lo cual significa que la sociedad continúa con un patrimonio reducido debido al fraccionamiento, pero no existe ninguna otra implicación para la persona jurídica, como su desaparición por “disolverse” o “liquidarse”, de acuerdo con lo mencionado sobre estos conceptos. En ese sentido, esta Subdirección 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14:paraId="5086213B" w14:textId="77777777" w:rsidR="00F97CDE" w:rsidRPr="00643E3F" w:rsidRDefault="00F97CDE" w:rsidP="00F97CDE">
      <w:pPr>
        <w:spacing w:line="276" w:lineRule="auto"/>
        <w:ind w:firstLine="708"/>
        <w:jc w:val="both"/>
        <w:rPr>
          <w:rFonts w:ascii="Century Gothic" w:eastAsia="Calibri" w:hAnsi="Century Gothic" w:cs="Arial"/>
        </w:rPr>
      </w:pPr>
      <w:r w:rsidRPr="00643E3F">
        <w:rPr>
          <w:rFonts w:ascii="Century Gothic" w:eastAsia="Calibri" w:hAnsi="Century Gothic" w:cs="Arial"/>
        </w:rPr>
        <w:t xml:space="preserve">La segunda modalidad se trata de una sociedad que se “disuelve” sin “liquidarse”, esto es, que implica una reforma social, lo cual no ocurre con la primera modalidad, y también existe fraccionamiento del patrimonio con el mismo </w:t>
      </w:r>
      <w:r w:rsidRPr="00643E3F">
        <w:rPr>
          <w:rFonts w:ascii="Century Gothic" w:eastAsia="Calibri" w:hAnsi="Century Gothic" w:cs="Arial"/>
        </w:rPr>
        <w:lastRenderedPageBreak/>
        <w:t>fin</w:t>
      </w:r>
      <w:r w:rsidRPr="00643E3F">
        <w:rPr>
          <w:rFonts w:ascii="Century Gothic" w:eastAsia="Calibri" w:hAnsi="Century Gothic" w:cs="Arial"/>
          <w:vertAlign w:val="superscript"/>
        </w:rPr>
        <w:footnoteReference w:id="14"/>
      </w:r>
      <w:r w:rsidRPr="00643E3F">
        <w:rPr>
          <w:rFonts w:ascii="Century Gothic" w:eastAsia="Calibri" w:hAnsi="Century Gothic" w:cs="Arial"/>
        </w:rPr>
        <w:t xml:space="preserve">. Como se observa, participa una sociedad y otra, u otras, que reciben la transferencia del patrimonio en bloque. </w:t>
      </w:r>
    </w:p>
    <w:p w14:paraId="44B5C08E"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t xml:space="preserve">Para la primera modalidad de escisión, teniendo en cuenta que la sociedad continúa sin alteraciones, esta puede compartir la experiencia a través de esquemas asociativos, pero no la transfiere, porque para ello tendría que “disolverse” sin “liquidarse”, puesto que la “liquidación” implicaría que desaparece la persona y así su experiencia. Para explicarlo, hay que retomar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sigue siendo quien era, lo cual no es el caso de la escisión, ya que en la primera modalidad no existe “disolución”. Esto significa que la persona continúa por sí misma y puede adquirir experiencia, pero no puede transferirla porque le pertenece, al ser quien la adquirió. </w:t>
      </w:r>
    </w:p>
    <w:p w14:paraId="0BA8E58D"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697AFD28" w14:textId="77777777" w:rsidR="00F97CDE" w:rsidRPr="00643E3F" w:rsidRDefault="00F97CDE" w:rsidP="00C11B6A">
      <w:pPr>
        <w:spacing w:after="0" w:line="276" w:lineRule="auto"/>
        <w:ind w:firstLine="709"/>
        <w:jc w:val="both"/>
        <w:rPr>
          <w:rFonts w:ascii="Century Gothic" w:eastAsia="Calibri" w:hAnsi="Century Gothic" w:cs="Arial"/>
        </w:rPr>
      </w:pPr>
      <w:r w:rsidRPr="00643E3F">
        <w:rPr>
          <w:rFonts w:ascii="Century Gothic" w:eastAsia="Calibri" w:hAnsi="Century Gothic" w:cs="Arial"/>
        </w:rPr>
        <w:t xml:space="preserve">Pero en la fusión, como se verá, a pesar de que la sociedad está “disuelta” y debería “liquidarse” para desaparecer, la ley permite que no desaparezca y </w:t>
      </w:r>
      <w:r w:rsidRPr="00643E3F">
        <w:rPr>
          <w:rFonts w:ascii="Century Gothic" w:eastAsia="Calibri" w:hAnsi="Century Gothic" w:cs="Arial"/>
        </w:rPr>
        <w:lastRenderedPageBreak/>
        <w:t>tenga continuidad convertida en otra sociedad, por lo que, por expresa disposición legal, la sociedad puede no “liquidarse”, sino continuar a través de otra sociedad, porque así lo dispuso el legislador. Esto implica que se traslada la experiencia y no se comparte, porque compartir implica que siga existiendo como una persona individualmente considerada, pero como continúa a través de otra, lo que sucede es la transferencia de la experiencia.</w:t>
      </w:r>
    </w:p>
    <w:p w14:paraId="2E4EC472" w14:textId="77777777" w:rsidR="00F97CDE" w:rsidRPr="00643E3F" w:rsidRDefault="00F97CDE" w:rsidP="00C11B6A">
      <w:pPr>
        <w:spacing w:after="0" w:line="276" w:lineRule="auto"/>
        <w:jc w:val="both"/>
        <w:rPr>
          <w:rFonts w:ascii="Century Gothic" w:eastAsia="Calibri" w:hAnsi="Century Gothic" w:cs="Arial"/>
        </w:rPr>
      </w:pPr>
    </w:p>
    <w:p w14:paraId="1ED305E2" w14:textId="77777777" w:rsidR="00F97CDE" w:rsidRPr="00643E3F" w:rsidRDefault="00F97CDE" w:rsidP="00C11B6A">
      <w:pPr>
        <w:spacing w:after="0" w:line="276" w:lineRule="auto"/>
        <w:jc w:val="both"/>
        <w:rPr>
          <w:rFonts w:ascii="Century Gothic" w:eastAsia="Calibri" w:hAnsi="Century Gothic" w:cs="Arial"/>
          <w:b/>
          <w:bCs/>
        </w:rPr>
      </w:pPr>
      <w:r w:rsidRPr="00643E3F">
        <w:rPr>
          <w:rFonts w:ascii="Century Gothic" w:eastAsia="Calibri" w:hAnsi="Century Gothic" w:cs="Arial"/>
          <w:b/>
          <w:bCs/>
        </w:rPr>
        <w:t>c) Fusión</w:t>
      </w:r>
    </w:p>
    <w:p w14:paraId="209578FC" w14:textId="77777777" w:rsidR="00F97CDE" w:rsidRPr="00643E3F" w:rsidRDefault="00F97CDE" w:rsidP="00C11B6A">
      <w:pPr>
        <w:spacing w:after="0" w:line="276" w:lineRule="auto"/>
        <w:jc w:val="both"/>
        <w:rPr>
          <w:rFonts w:ascii="Century Gothic" w:eastAsia="Calibri" w:hAnsi="Century Gothic" w:cs="Arial"/>
          <w:b/>
          <w:bCs/>
        </w:rPr>
      </w:pPr>
    </w:p>
    <w:p w14:paraId="214F12C5" w14:textId="379149EC" w:rsidR="00F97CDE" w:rsidRPr="00643E3F" w:rsidRDefault="00F97CDE" w:rsidP="00C11B6A">
      <w:pPr>
        <w:spacing w:after="0" w:line="276" w:lineRule="auto"/>
        <w:jc w:val="both"/>
        <w:rPr>
          <w:rFonts w:ascii="Century Gothic" w:eastAsia="Calibri" w:hAnsi="Century Gothic" w:cs="Arial"/>
        </w:rPr>
      </w:pPr>
      <w:r w:rsidRPr="00643E3F">
        <w:rPr>
          <w:rFonts w:ascii="Century Gothic" w:eastAsia="Calibri" w:hAnsi="Century Gothic" w:cs="Arial"/>
        </w:rPr>
        <w:t xml:space="preserve">Es una figura con 4 tipologías: i) por absorción: una o más sociedades se “disuelven” sin </w:t>
      </w:r>
      <w:r w:rsidR="005B143A">
        <w:rPr>
          <w:rFonts w:ascii="Century Gothic" w:eastAsia="Calibri" w:hAnsi="Century Gothic" w:cs="Arial"/>
        </w:rPr>
        <w:t>“</w:t>
      </w:r>
      <w:r w:rsidRPr="00643E3F">
        <w:rPr>
          <w:rFonts w:ascii="Century Gothic" w:eastAsia="Calibri" w:hAnsi="Century Gothic" w:cs="Arial"/>
        </w:rPr>
        <w:t>liquidarse</w:t>
      </w:r>
      <w:r w:rsidR="005B143A">
        <w:rPr>
          <w:rFonts w:ascii="Century Gothic" w:eastAsia="Calibri" w:hAnsi="Century Gothic" w:cs="Arial"/>
        </w:rPr>
        <w:t>”</w:t>
      </w:r>
      <w:r w:rsidRPr="00643E3F">
        <w:rPr>
          <w:rFonts w:ascii="Century Gothic" w:eastAsia="Calibri" w:hAnsi="Century Gothic" w:cs="Arial"/>
        </w:rPr>
        <w:t xml:space="preserve"> para ser absorbidas por otra existente; </w:t>
      </w:r>
      <w:proofErr w:type="spellStart"/>
      <w:r w:rsidRPr="00643E3F">
        <w:rPr>
          <w:rFonts w:ascii="Century Gothic" w:eastAsia="Calibri" w:hAnsi="Century Gothic" w:cs="Arial"/>
        </w:rPr>
        <w:t>ii</w:t>
      </w:r>
      <w:proofErr w:type="spellEnd"/>
      <w:r w:rsidRPr="00643E3F">
        <w:rPr>
          <w:rFonts w:ascii="Century Gothic" w:eastAsia="Calibri" w:hAnsi="Century Gothic" w:cs="Arial"/>
        </w:rPr>
        <w:t xml:space="preserve">) por creación: una o más sociedades se </w:t>
      </w:r>
      <w:r w:rsidR="005B143A">
        <w:rPr>
          <w:rFonts w:ascii="Century Gothic" w:eastAsia="Calibri" w:hAnsi="Century Gothic" w:cs="Arial"/>
        </w:rPr>
        <w:t>“</w:t>
      </w:r>
      <w:r w:rsidRPr="00643E3F">
        <w:rPr>
          <w:rFonts w:ascii="Century Gothic" w:eastAsia="Calibri" w:hAnsi="Century Gothic" w:cs="Arial"/>
        </w:rPr>
        <w:t>disuelven</w:t>
      </w:r>
      <w:r w:rsidR="005B143A">
        <w:rPr>
          <w:rFonts w:ascii="Century Gothic" w:eastAsia="Calibri" w:hAnsi="Century Gothic" w:cs="Arial"/>
        </w:rPr>
        <w:t>”</w:t>
      </w:r>
      <w:r w:rsidRPr="00643E3F">
        <w:rPr>
          <w:rFonts w:ascii="Century Gothic" w:eastAsia="Calibri" w:hAnsi="Century Gothic" w:cs="Arial"/>
        </w:rPr>
        <w:t xml:space="preserve"> sin “liquidarse” para ser absorbidas por otra nueva</w:t>
      </w:r>
      <w:r w:rsidRPr="00643E3F">
        <w:rPr>
          <w:rFonts w:ascii="Century Gothic" w:eastAsia="Calibri" w:hAnsi="Century Gothic" w:cs="Arial"/>
          <w:vertAlign w:val="superscript"/>
        </w:rPr>
        <w:footnoteReference w:id="15"/>
      </w:r>
      <w:r w:rsidRPr="00643E3F">
        <w:rPr>
          <w:rFonts w:ascii="Century Gothic" w:eastAsia="Calibri" w:hAnsi="Century Gothic" w:cs="Arial"/>
        </w:rPr>
        <w:t xml:space="preserve">; </w:t>
      </w:r>
      <w:proofErr w:type="spellStart"/>
      <w:r w:rsidRPr="00643E3F">
        <w:rPr>
          <w:rFonts w:ascii="Century Gothic" w:eastAsia="Calibri" w:hAnsi="Century Gothic" w:cs="Arial"/>
        </w:rPr>
        <w:t>iii</w:t>
      </w:r>
      <w:proofErr w:type="spellEnd"/>
      <w:r w:rsidRPr="00643E3F">
        <w:rPr>
          <w:rFonts w:ascii="Century Gothic" w:eastAsia="Calibri" w:hAnsi="Century Gothic" w:cs="Arial"/>
        </w:rPr>
        <w:t>) impropia: una sociedad se “disuelve” sin el propósito de realizar una fusión sino de “liquidarse” y antes de la liquidación se toma la decisión de crear una sociedad</w:t>
      </w:r>
      <w:r w:rsidRPr="00643E3F">
        <w:rPr>
          <w:rFonts w:ascii="Century Gothic" w:eastAsia="Calibri" w:hAnsi="Century Gothic" w:cs="Arial"/>
          <w:vertAlign w:val="superscript"/>
        </w:rPr>
        <w:footnoteReference w:id="16"/>
      </w:r>
      <w:r w:rsidRPr="00643E3F">
        <w:rPr>
          <w:rFonts w:ascii="Century Gothic" w:eastAsia="Calibri" w:hAnsi="Century Gothic" w:cs="Arial"/>
        </w:rPr>
        <w:t xml:space="preserve">; </w:t>
      </w:r>
      <w:proofErr w:type="spellStart"/>
      <w:r w:rsidRPr="00643E3F">
        <w:rPr>
          <w:rFonts w:ascii="Century Gothic" w:eastAsia="Calibri" w:hAnsi="Century Gothic" w:cs="Arial"/>
        </w:rPr>
        <w:t>iv</w:t>
      </w:r>
      <w:proofErr w:type="spellEnd"/>
      <w:r w:rsidRPr="00643E3F">
        <w:rPr>
          <w:rFonts w:ascii="Century Gothic" w:eastAsia="Calibri" w:hAnsi="Century Gothic" w:cs="Arial"/>
        </w:rPr>
        <w:t>) abreviada: solo aplica cuando una Sociedad por Acciones Simplificada (S.A.S.) pertenece a otra sociedad en más del 90% de sus acciones, y es posible que esa sociedad controlante absorba a la S.A.S, es decir, que ocurra una fusión por absorción</w:t>
      </w:r>
      <w:r w:rsidRPr="00643E3F">
        <w:rPr>
          <w:rFonts w:ascii="Century Gothic" w:eastAsia="Calibri" w:hAnsi="Century Gothic" w:cs="Arial"/>
          <w:vertAlign w:val="superscript"/>
        </w:rPr>
        <w:footnoteReference w:id="17"/>
      </w:r>
      <w:r w:rsidRPr="00643E3F">
        <w:rPr>
          <w:rFonts w:ascii="Century Gothic" w:eastAsia="Calibri" w:hAnsi="Century Gothic" w:cs="Arial"/>
        </w:rPr>
        <w:t>. La norma no se refiere a la “disolución de la S.A.S”, lo cual no implica que no exista fusión, sino que es abreviada porque no se requiere configurar el estado de “disolución” de la sociedad.</w:t>
      </w:r>
    </w:p>
    <w:p w14:paraId="718FE462" w14:textId="77777777" w:rsidR="00F97CDE" w:rsidRPr="00643E3F" w:rsidRDefault="00F97CDE" w:rsidP="00F97CDE">
      <w:pPr>
        <w:spacing w:before="120" w:line="276" w:lineRule="auto"/>
        <w:ind w:firstLine="708"/>
        <w:jc w:val="both"/>
        <w:rPr>
          <w:rFonts w:ascii="Century Gothic" w:eastAsia="Calibri" w:hAnsi="Century Gothic" w:cs="Arial"/>
          <w:bCs/>
        </w:rPr>
      </w:pPr>
      <w:bookmarkStart w:id="13" w:name="_Hlk77271644"/>
      <w:r w:rsidRPr="00643E3F">
        <w:rPr>
          <w:rFonts w:ascii="Century Gothic" w:eastAsia="Calibri" w:hAnsi="Century Gothic" w:cs="Arial"/>
          <w:bCs/>
        </w:rPr>
        <w:t xml:space="preserve">Para analizar la fusión y sus efectos respecto de la experiencia de la sociedad que se </w:t>
      </w:r>
      <w:r w:rsidRPr="00643E3F">
        <w:rPr>
          <w:rFonts w:ascii="Century Gothic" w:eastAsia="Calibri" w:hAnsi="Century Gothic" w:cs="Arial"/>
        </w:rPr>
        <w:t>“</w:t>
      </w:r>
      <w:r w:rsidRPr="00643E3F">
        <w:rPr>
          <w:rFonts w:ascii="Century Gothic" w:eastAsia="Calibri" w:hAnsi="Century Gothic" w:cs="Arial"/>
          <w:bCs/>
        </w:rPr>
        <w:t xml:space="preserve">disuelve” pero no se </w:t>
      </w:r>
      <w:r w:rsidRPr="00643E3F">
        <w:rPr>
          <w:rFonts w:ascii="Century Gothic" w:eastAsia="Calibri" w:hAnsi="Century Gothic" w:cs="Arial"/>
        </w:rPr>
        <w:t>“l</w:t>
      </w:r>
      <w:r w:rsidRPr="00643E3F">
        <w:rPr>
          <w:rFonts w:ascii="Century Gothic" w:eastAsia="Calibri" w:hAnsi="Century Gothic" w:cs="Arial"/>
          <w:bCs/>
        </w:rPr>
        <w:t xml:space="preserve">iquida”, es necesario reiterar la explicación dada respecto de la segunda modalidad de escisión, y es que siempre que la sociedad no se liquide, es decir, que no desaparezca, la experiencia puede ser </w:t>
      </w:r>
      <w:r w:rsidRPr="00643E3F">
        <w:rPr>
          <w:rFonts w:ascii="Century Gothic" w:eastAsia="Calibri" w:hAnsi="Century Gothic" w:cs="Arial"/>
          <w:bCs/>
        </w:rPr>
        <w:lastRenderedPageBreak/>
        <w:t xml:space="preserve">trasladada y no compartida. Lo anterior, toda vez que la trasferencia ocurre porque la persona jurídica continúa a través de otra, esto es, deja de ser quien es, pero no desaparece porque otra sociedad se convierte en ella, ya sea una sociedad nueva, cuando es fusión por creación; o una sociedad existente, en la fusión por absorción. La experiencia no se comparte, porque para esto la sociedad debería continuar individualmente considerada, pero en este evento continúa a través de otra, a quien le </w:t>
      </w:r>
      <w:r w:rsidRPr="00643E3F">
        <w:rPr>
          <w:rFonts w:ascii="Century Gothic" w:eastAsia="Calibri" w:hAnsi="Century Gothic" w:cs="Arial"/>
          <w:bCs/>
          <w:i/>
          <w:iCs/>
        </w:rPr>
        <w:t>transfiere</w:t>
      </w:r>
      <w:r w:rsidRPr="00643E3F">
        <w:rPr>
          <w:rFonts w:ascii="Century Gothic" w:eastAsia="Calibri" w:hAnsi="Century Gothic" w:cs="Arial"/>
          <w:bCs/>
        </w:rPr>
        <w:t xml:space="preserve"> su experiencia y todos sus derechos y obligaciones, de conformidad con el artículo 172 y siguientes del Código de Comercio.</w:t>
      </w:r>
    </w:p>
    <w:bookmarkEnd w:id="13"/>
    <w:p w14:paraId="3839751E" w14:textId="77777777" w:rsidR="00F97CDE" w:rsidRPr="00643E3F" w:rsidRDefault="00F97CDE" w:rsidP="00F97CDE">
      <w:pPr>
        <w:spacing w:before="120" w:line="276" w:lineRule="auto"/>
        <w:ind w:firstLine="708"/>
        <w:jc w:val="both"/>
        <w:rPr>
          <w:rFonts w:ascii="Century Gothic" w:eastAsia="Calibri" w:hAnsi="Century Gothic" w:cs="Arial"/>
          <w:bCs/>
        </w:rPr>
      </w:pPr>
      <w:r w:rsidRPr="00643E3F">
        <w:rPr>
          <w:rFonts w:ascii="Century Gothic" w:eastAsia="Calibri" w:hAnsi="Century Gothic" w:cs="Arial"/>
          <w:bCs/>
        </w:rPr>
        <w:t xml:space="preserve">La anterior conclusión es coherente con lo establecido en la Guía de Asuntos Corporativos en los Procesos de Contratación, expedida por la Agencia Nacional de Contratación Pública – Colombia Compra Eficiente, pues en ella se dice que “La experiencia de las personas jurídicas es de carácter personal y en principio es intransferible. Por lo tanto, no es posible trasladar la experiencia de un proponente a otro en eventos de escisión o liquidación de una persona jurídica, ni que la experiencia sea enajenada por una persona jurídica en favor de otra persona jurídica o natural”. Obsérvese que la Guía no establece que la experiencia es “siempre” intransferible, sino que sostiene que ello es así “en principio”. Además, precisa que no es posible transferir la experiencia en la escisión y en la liquidación, justamente porque en esos casos la persona jurídica desaparece, lo que no sucede en la fusión. Es decir que en este supuesto sí es posible la transferencia de la experiencia de la sociedad fusionada a la resultante. </w:t>
      </w:r>
    </w:p>
    <w:p w14:paraId="0F4EE0EF" w14:textId="77777777" w:rsidR="00F97CDE" w:rsidRPr="00643E3F" w:rsidRDefault="00F97CDE" w:rsidP="00C11B6A">
      <w:pPr>
        <w:spacing w:after="0" w:line="276" w:lineRule="auto"/>
        <w:ind w:firstLine="708"/>
        <w:jc w:val="both"/>
        <w:rPr>
          <w:rFonts w:ascii="Century Gothic" w:eastAsia="Calibri" w:hAnsi="Century Gothic" w:cs="Arial"/>
          <w:bCs/>
        </w:rPr>
      </w:pPr>
      <w:r w:rsidRPr="00643E3F">
        <w:rPr>
          <w:rFonts w:ascii="Century Gothic" w:eastAsia="Calibri" w:hAnsi="Century Gothic" w:cs="Arial"/>
          <w:bCs/>
        </w:rPr>
        <w:t>Esta postura en torno a la validez de la transferencia de experiencia de la sociedad absorbida a la absorbente es compartida por la Superintendencia de Sociedades. Dicha entidad, en ejercicio de la función consultiva, ha manifestado que en esta figura es adecuada que la sociedad absorbida transfiera a la segunda sus atributos en lo relacionado con la experiencia</w:t>
      </w:r>
      <w:r w:rsidRPr="00643E3F">
        <w:rPr>
          <w:rFonts w:ascii="Century Gothic" w:eastAsia="Calibri" w:hAnsi="Century Gothic" w:cs="Arial"/>
          <w:bCs/>
          <w:vertAlign w:val="superscript"/>
        </w:rPr>
        <w:footnoteReference w:id="18"/>
      </w:r>
      <w:r w:rsidRPr="00643E3F">
        <w:rPr>
          <w:rFonts w:ascii="Century Gothic" w:eastAsia="Calibri" w:hAnsi="Century Gothic" w:cs="Arial"/>
          <w:bCs/>
        </w:rPr>
        <w:t xml:space="preserve">. Al respecto se ha manifestado: </w:t>
      </w:r>
    </w:p>
    <w:p w14:paraId="6017ECEA" w14:textId="77777777" w:rsidR="00F97CDE" w:rsidRPr="00643E3F" w:rsidRDefault="00F97CDE" w:rsidP="00C11B6A">
      <w:pPr>
        <w:spacing w:after="0"/>
        <w:ind w:right="709"/>
        <w:jc w:val="both"/>
        <w:rPr>
          <w:rFonts w:ascii="Century Gothic" w:hAnsi="Century Gothic" w:cs="Arial"/>
          <w:sz w:val="21"/>
          <w:szCs w:val="21"/>
        </w:rPr>
      </w:pPr>
    </w:p>
    <w:p w14:paraId="10E8C0C6" w14:textId="77777777" w:rsidR="00F97CDE" w:rsidRPr="00643E3F" w:rsidRDefault="00F97CDE" w:rsidP="00C11B6A">
      <w:pPr>
        <w:spacing w:after="0"/>
        <w:ind w:left="709" w:right="709"/>
        <w:jc w:val="both"/>
        <w:rPr>
          <w:rFonts w:ascii="Century Gothic" w:hAnsi="Century Gothic" w:cs="Arial"/>
          <w:sz w:val="21"/>
          <w:szCs w:val="21"/>
        </w:rPr>
      </w:pPr>
      <w:r w:rsidRPr="00643E3F">
        <w:rPr>
          <w:rFonts w:ascii="Century Gothic" w:hAnsi="Century Gothic" w:cs="Arial"/>
          <w:sz w:val="21"/>
          <w:szCs w:val="21"/>
        </w:rPr>
        <w:t xml:space="preserve">La fusión surge como el mecanismo pertinente para que los atributos de las compañías </w:t>
      </w:r>
      <w:proofErr w:type="gramStart"/>
      <w:r w:rsidRPr="00643E3F">
        <w:rPr>
          <w:rFonts w:ascii="Century Gothic" w:hAnsi="Century Gothic" w:cs="Arial"/>
          <w:sz w:val="21"/>
          <w:szCs w:val="21"/>
        </w:rPr>
        <w:t>absorbidas,</w:t>
      </w:r>
      <w:proofErr w:type="gramEnd"/>
      <w:r w:rsidRPr="00643E3F">
        <w:rPr>
          <w:rFonts w:ascii="Century Gothic" w:hAnsi="Century Gothic" w:cs="Arial"/>
          <w:sz w:val="21"/>
          <w:szCs w:val="21"/>
        </w:rPr>
        <w:t xml:space="preserve"> sean aprovechados por la compañía que las absorbe, entre éstos, la experiencia derivada de las obras cumplidas, bienes suministrados o servicios prestados durante la vigencia de la absorbida.  Por supuesto, frente a la normatividad alusiva a la contratación estatal, considera este despacho que resulta discrecional para la entidad estatal contratante coincidir, o no, con esta oficina en el sentido anotado y habilitar como proponente, para considerar su </w:t>
      </w:r>
      <w:r w:rsidRPr="00643E3F">
        <w:rPr>
          <w:rFonts w:ascii="Century Gothic" w:hAnsi="Century Gothic" w:cs="Arial"/>
          <w:sz w:val="21"/>
          <w:szCs w:val="21"/>
        </w:rPr>
        <w:lastRenderedPageBreak/>
        <w:t xml:space="preserve">propuesta, a aquellos quienes, en virtud de su calidad de absorbentes, aprovechan todos los recursos que le fueron transmitidos por las absorbidas, incluidos intangibles como su experiencia, </w:t>
      </w:r>
      <w:proofErr w:type="spellStart"/>
      <w:r w:rsidRPr="00643E3F">
        <w:rPr>
          <w:rFonts w:ascii="Century Gothic" w:hAnsi="Century Gothic" w:cs="Arial"/>
          <w:sz w:val="21"/>
          <w:szCs w:val="21"/>
        </w:rPr>
        <w:t>Know</w:t>
      </w:r>
      <w:proofErr w:type="spellEnd"/>
      <w:r w:rsidRPr="00643E3F">
        <w:rPr>
          <w:rFonts w:ascii="Century Gothic" w:hAnsi="Century Gothic" w:cs="Arial"/>
          <w:sz w:val="21"/>
          <w:szCs w:val="21"/>
        </w:rPr>
        <w:t xml:space="preserve"> </w:t>
      </w:r>
      <w:proofErr w:type="spellStart"/>
      <w:r w:rsidRPr="00643E3F">
        <w:rPr>
          <w:rFonts w:ascii="Century Gothic" w:hAnsi="Century Gothic" w:cs="Arial"/>
          <w:sz w:val="21"/>
          <w:szCs w:val="21"/>
        </w:rPr>
        <w:t>How</w:t>
      </w:r>
      <w:proofErr w:type="spellEnd"/>
      <w:r w:rsidRPr="00643E3F">
        <w:rPr>
          <w:rFonts w:ascii="Century Gothic" w:hAnsi="Century Gothic" w:cs="Arial"/>
          <w:sz w:val="21"/>
          <w:szCs w:val="21"/>
        </w:rPr>
        <w:t>, entre otros.</w:t>
      </w:r>
    </w:p>
    <w:p w14:paraId="4C3837C2" w14:textId="77777777" w:rsidR="00F97CDE" w:rsidRPr="00643E3F" w:rsidRDefault="00F97CDE" w:rsidP="00F97CDE">
      <w:pPr>
        <w:ind w:left="709" w:right="709"/>
        <w:jc w:val="both"/>
        <w:rPr>
          <w:rFonts w:ascii="Century Gothic" w:hAnsi="Century Gothic" w:cs="Arial"/>
          <w:sz w:val="21"/>
          <w:szCs w:val="21"/>
        </w:rPr>
      </w:pPr>
      <w:r w:rsidRPr="00643E3F">
        <w:rPr>
          <w:rFonts w:ascii="Century Gothic" w:hAnsi="Century Gothic" w:cs="Arial"/>
          <w:sz w:val="21"/>
          <w:szCs w:val="21"/>
        </w:rPr>
        <w:t>[…]</w:t>
      </w:r>
    </w:p>
    <w:p w14:paraId="23BFE06D" w14:textId="77777777" w:rsidR="00F97CDE" w:rsidRPr="00643E3F" w:rsidRDefault="00F97CDE" w:rsidP="00C11B6A">
      <w:pPr>
        <w:spacing w:after="0"/>
        <w:ind w:left="709" w:right="709"/>
        <w:jc w:val="both"/>
        <w:rPr>
          <w:rFonts w:ascii="Century Gothic" w:hAnsi="Century Gothic" w:cs="Arial"/>
          <w:sz w:val="21"/>
          <w:szCs w:val="21"/>
        </w:rPr>
      </w:pPr>
      <w:r w:rsidRPr="00643E3F">
        <w:rPr>
          <w:rFonts w:ascii="Century Gothic" w:hAnsi="Century Gothic" w:cs="Arial"/>
          <w:sz w:val="21"/>
          <w:szCs w:val="21"/>
        </w:rPr>
        <w:t xml:space="preserve">En cuanto refiere a </w:t>
      </w:r>
      <w:r w:rsidRPr="00643E3F">
        <w:rPr>
          <w:rFonts w:ascii="Century Gothic" w:hAnsi="Century Gothic" w:cs="Arial"/>
          <w:i/>
          <w:iCs/>
          <w:sz w:val="21"/>
          <w:szCs w:val="21"/>
          <w:u w:val="single"/>
        </w:rPr>
        <w:t xml:space="preserve">la certificación que sobre la experiencia de un proponente, expiden las cámaras de comercio a través del Registro Único de Proponentes que administran, esta oficina considera que la normativa a que se ha venido aludiendo no reguló, pero tampoco prohibió, otras situaciones de transferencia de experiencia como la que se presenta con la fusión, </w:t>
      </w:r>
      <w:r w:rsidRPr="00643E3F">
        <w:rPr>
          <w:rFonts w:ascii="Century Gothic" w:hAnsi="Century Gothic" w:cs="Arial"/>
          <w:sz w:val="21"/>
          <w:szCs w:val="21"/>
        </w:rPr>
        <w:t>por lo que la considera válida para efecto de ser invocada por la absorbente, a través del certificado que le expida la cámara de comercio con base en la información depositada en el Registro Único de Proponentes, RUP</w:t>
      </w:r>
      <w:r w:rsidRPr="00643E3F">
        <w:rPr>
          <w:rFonts w:ascii="Century Gothic" w:hAnsi="Century Gothic" w:cs="Arial"/>
          <w:sz w:val="21"/>
          <w:szCs w:val="21"/>
          <w:vertAlign w:val="superscript"/>
        </w:rPr>
        <w:footnoteReference w:id="19"/>
      </w:r>
      <w:r w:rsidRPr="00643E3F">
        <w:rPr>
          <w:rFonts w:ascii="Century Gothic" w:hAnsi="Century Gothic" w:cs="Arial"/>
          <w:sz w:val="21"/>
          <w:szCs w:val="21"/>
        </w:rPr>
        <w:t>. (Énfasis fuera de texto).</w:t>
      </w:r>
    </w:p>
    <w:p w14:paraId="13116C00" w14:textId="77777777" w:rsidR="00F97CDE" w:rsidRPr="00643E3F" w:rsidRDefault="00F97CDE" w:rsidP="00C11B6A">
      <w:pPr>
        <w:spacing w:after="0" w:line="276" w:lineRule="auto"/>
        <w:ind w:left="709" w:right="709"/>
        <w:jc w:val="both"/>
        <w:rPr>
          <w:rFonts w:ascii="Century Gothic" w:hAnsi="Century Gothic" w:cs="Arial"/>
          <w:sz w:val="21"/>
          <w:szCs w:val="21"/>
        </w:rPr>
      </w:pPr>
    </w:p>
    <w:p w14:paraId="1E68EA88" w14:textId="77777777" w:rsidR="00F97CDE" w:rsidRPr="00643E3F" w:rsidRDefault="00F97CDE" w:rsidP="00C11B6A">
      <w:pPr>
        <w:spacing w:after="0" w:line="276" w:lineRule="auto"/>
        <w:ind w:firstLine="708"/>
        <w:jc w:val="both"/>
        <w:rPr>
          <w:rFonts w:ascii="Century Gothic" w:hAnsi="Century Gothic" w:cs="Arial"/>
          <w:color w:val="000000"/>
        </w:rPr>
      </w:pPr>
      <w:r w:rsidRPr="00643E3F">
        <w:rPr>
          <w:rFonts w:ascii="Century Gothic" w:eastAsia="Calibri" w:hAnsi="Century Gothic" w:cs="Arial"/>
          <w:bCs/>
        </w:rPr>
        <w:t>En efecto, el artículo 2.2.1.1.1.5.3 del Decreto 1082 de 2015 hace referencia a que las cámaras de comercio deberán registrar la experiencia certificada con base en los “</w:t>
      </w:r>
      <w:r w:rsidRPr="00643E3F">
        <w:rPr>
          <w:rFonts w:ascii="Century Gothic" w:hAnsi="Century Gothic" w:cs="Arial"/>
          <w:color w:val="000000"/>
        </w:rPr>
        <w:t xml:space="preserve">Los contratos celebrados por el interesado” y “Los contratos celebrados por consorcios, uniones temporales y sociedades en las cuales el interesado tenga o haya tenido participación”, sin hacer alusión a las diferentes reformas estatutarias que podrían amparar la transferencia de experiencia conforme a lo explicado </w:t>
      </w:r>
      <w:r w:rsidRPr="00643E3F">
        <w:rPr>
          <w:rFonts w:ascii="Century Gothic" w:hAnsi="Century Gothic" w:cs="Arial"/>
          <w:i/>
          <w:iCs/>
          <w:color w:val="000000"/>
        </w:rPr>
        <w:t>supra</w:t>
      </w:r>
      <w:r w:rsidRPr="00643E3F">
        <w:rPr>
          <w:rFonts w:ascii="Century Gothic" w:hAnsi="Century Gothic" w:cs="Arial"/>
          <w:i/>
          <w:iCs/>
          <w:color w:val="000000"/>
          <w:vertAlign w:val="superscript"/>
        </w:rPr>
        <w:footnoteReference w:id="20"/>
      </w:r>
      <w:r w:rsidRPr="00643E3F">
        <w:rPr>
          <w:rFonts w:ascii="Century Gothic" w:hAnsi="Century Gothic" w:cs="Arial"/>
          <w:color w:val="000000"/>
        </w:rPr>
        <w:t xml:space="preserve">. Caso contario ocurre con la posibilidad de que una sociedad, durante los primeros tres (3) años de su constitución–e incluso después– pueda acreditar como suya la experiencia de socios, supuesto regulado por el numeral 2.5 del artículo 2.2.1.1.1.5.2 del Decreto 1082 de 2015. </w:t>
      </w:r>
    </w:p>
    <w:p w14:paraId="39FA3587" w14:textId="77777777" w:rsidR="00F97CDE" w:rsidRDefault="00F97CDE" w:rsidP="00C11B6A">
      <w:pPr>
        <w:spacing w:after="0" w:line="276" w:lineRule="auto"/>
        <w:ind w:firstLine="708"/>
        <w:jc w:val="both"/>
        <w:rPr>
          <w:rFonts w:ascii="Century Gothic" w:hAnsi="Century Gothic" w:cs="Arial"/>
          <w:color w:val="000000"/>
        </w:rPr>
      </w:pPr>
      <w:r w:rsidRPr="00643E3F">
        <w:rPr>
          <w:rFonts w:ascii="Century Gothic" w:hAnsi="Century Gothic" w:cs="Arial"/>
          <w:color w:val="000000"/>
        </w:rPr>
        <w:t xml:space="preserve">En ese sentido, considerando que el RUP es el documento que constituye plena prueba de la experiencia adquirida por el proponente, es necesario que la experiencia de la sociedad absorbida quede incorporada en el RUP de la absorbente para que esta pueda acreditarla. Esto implica que la sociedad absorbente haya adelantado el respectivo trámite de actualización o renovación del RUP, en el marco del cual se haya consolidado la transferencia de experiencia. </w:t>
      </w:r>
      <w:r w:rsidRPr="00643E3F">
        <w:rPr>
          <w:rFonts w:ascii="Century Gothic" w:hAnsi="Century Gothic" w:cs="Arial"/>
          <w:bCs/>
          <w:color w:val="000000"/>
        </w:rPr>
        <w:t xml:space="preserve">Para estos efectos, el proponente debe realizar el trámite pertinente ante la </w:t>
      </w:r>
      <w:r w:rsidRPr="00643E3F">
        <w:rPr>
          <w:rFonts w:ascii="Century Gothic" w:hAnsi="Century Gothic" w:cs="Arial"/>
          <w:bCs/>
          <w:color w:val="000000"/>
        </w:rPr>
        <w:lastRenderedPageBreak/>
        <w:t xml:space="preserve">cámara de comercio </w:t>
      </w:r>
      <w:r w:rsidRPr="00643E3F">
        <w:rPr>
          <w:rFonts w:ascii="Century Gothic" w:hAnsi="Century Gothic" w:cs="Arial"/>
          <w:color w:val="000000"/>
        </w:rPr>
        <w:t xml:space="preserve">con copia de los contratos o con certificados de los contratos celebrados con diferentes contratantes y los demás documentos requeridos por dicha entidad. Tales contratos deben codificarse con el clasificador de bienes y servicios en el tercer nivel, como se explicó anteriormente. </w:t>
      </w:r>
    </w:p>
    <w:p w14:paraId="6ECB387A" w14:textId="77777777" w:rsidR="00571D07" w:rsidRPr="00643E3F" w:rsidRDefault="00571D07" w:rsidP="00C11B6A">
      <w:pPr>
        <w:spacing w:after="0" w:line="276" w:lineRule="auto"/>
        <w:ind w:firstLine="708"/>
        <w:jc w:val="both"/>
        <w:rPr>
          <w:rFonts w:ascii="Century Gothic" w:hAnsi="Century Gothic" w:cs="Arial"/>
          <w:color w:val="000000"/>
        </w:rPr>
      </w:pPr>
    </w:p>
    <w:p w14:paraId="4EE458E1" w14:textId="77777777" w:rsidR="00F97CDE" w:rsidRDefault="00F97CDE" w:rsidP="00C11B6A">
      <w:pPr>
        <w:spacing w:after="0" w:line="276" w:lineRule="auto"/>
        <w:jc w:val="both"/>
        <w:rPr>
          <w:rFonts w:ascii="Century Gothic" w:hAnsi="Century Gothic" w:cs="Arial"/>
          <w:b/>
          <w:color w:val="000000"/>
        </w:rPr>
      </w:pPr>
      <w:r w:rsidRPr="00643E3F">
        <w:rPr>
          <w:rFonts w:ascii="Century Gothic" w:hAnsi="Century Gothic" w:cs="Arial"/>
          <w:b/>
          <w:color w:val="000000"/>
        </w:rPr>
        <w:t xml:space="preserve">2.3. Acreditación de experiencia de socios por parte de sociedades con menos de tres años de constitución </w:t>
      </w:r>
    </w:p>
    <w:p w14:paraId="29328B9A" w14:textId="77777777" w:rsidR="00F97CDE" w:rsidRPr="00643E3F" w:rsidRDefault="00F97CDE" w:rsidP="00C11B6A">
      <w:pPr>
        <w:spacing w:after="0" w:line="276" w:lineRule="auto"/>
        <w:jc w:val="both"/>
        <w:rPr>
          <w:rFonts w:ascii="Century Gothic" w:hAnsi="Century Gothic" w:cs="Arial"/>
          <w:b/>
          <w:color w:val="000000"/>
        </w:rPr>
      </w:pPr>
    </w:p>
    <w:p w14:paraId="132260F3" w14:textId="77777777" w:rsidR="00F97CDE" w:rsidRPr="00643E3F" w:rsidRDefault="00F97CDE" w:rsidP="00C11B6A">
      <w:pPr>
        <w:spacing w:after="0" w:line="276" w:lineRule="auto"/>
        <w:jc w:val="both"/>
        <w:rPr>
          <w:rFonts w:ascii="Century Gothic" w:hAnsi="Century Gothic" w:cs="Arial"/>
        </w:rPr>
      </w:pPr>
      <w:r w:rsidRPr="00643E3F">
        <w:rPr>
          <w:rFonts w:ascii="Century Gothic" w:hAnsi="Century Gothic" w:cs="Arial"/>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Esto con excepción de la selección de consultores mediante un concurso de méritos, donde es posible otorgar puntaje al criterio de experiencia. </w:t>
      </w:r>
    </w:p>
    <w:p w14:paraId="28EE0120"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w:t>
      </w:r>
      <w:r w:rsidRPr="00643E3F">
        <w:rPr>
          <w:rFonts w:ascii="Century Gothic" w:hAnsi="Century Gothic" w:cs="Arial"/>
          <w:i/>
        </w:rPr>
        <w:t>Manual para determinar y verificar requisitos habilitantes en los procesos de contratación”</w:t>
      </w:r>
      <w:r w:rsidRPr="00643E3F">
        <w:rPr>
          <w:rStyle w:val="Refdenotaalpie"/>
          <w:rFonts w:ascii="Century Gothic" w:hAnsi="Century Gothic" w:cs="Arial"/>
          <w:i/>
        </w:rPr>
        <w:footnoteReference w:id="21"/>
      </w:r>
      <w:r w:rsidRPr="00643E3F">
        <w:rPr>
          <w:rFonts w:ascii="Century Gothic" w:hAnsi="Century Gothic" w:cs="Arial"/>
        </w:rPr>
        <w:t xml:space="preserve"> expedido por esta Agencia, se define la experiencia como “el conocimiento del proponente derivado de su participación previa en actividades iguales o similares a las previstas en el objeto del contrato”.</w:t>
      </w:r>
    </w:p>
    <w:p w14:paraId="4DAE00F7"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643E3F">
        <w:rPr>
          <w:rStyle w:val="Refdenotaalpie"/>
          <w:rFonts w:ascii="Century Gothic" w:hAnsi="Century Gothic" w:cs="Arial"/>
        </w:rPr>
        <w:footnoteReference w:id="22"/>
      </w:r>
      <w:r w:rsidRPr="00643E3F">
        <w:rPr>
          <w:rFonts w:ascii="Century Gothic" w:hAnsi="Century Gothic" w:cs="Arial"/>
        </w:rPr>
        <w:t xml:space="preserve">.  </w:t>
      </w:r>
    </w:p>
    <w:p w14:paraId="2767E37E"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lastRenderedPageBreak/>
        <w:t>El numeral 2.5</w:t>
      </w:r>
      <w:r w:rsidRPr="00643E3F">
        <w:rPr>
          <w:rStyle w:val="Refdenotaalpie"/>
          <w:rFonts w:ascii="Century Gothic" w:hAnsi="Century Gothic" w:cs="Arial"/>
        </w:rPr>
        <w:footnoteReference w:id="23"/>
      </w:r>
      <w:r w:rsidRPr="00643E3F">
        <w:rPr>
          <w:rFonts w:ascii="Century Gothic" w:hAnsi="Century Gothic" w:cs="Arial"/>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78F117E"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269EFBDF" w14:textId="77777777" w:rsidR="00F97CDE" w:rsidRPr="00643E3F" w:rsidRDefault="00F97CDE" w:rsidP="00F97CDE">
      <w:pPr>
        <w:spacing w:before="120" w:after="120" w:line="276" w:lineRule="auto"/>
        <w:ind w:firstLine="708"/>
        <w:jc w:val="both"/>
        <w:rPr>
          <w:rFonts w:ascii="Century Gothic" w:hAnsi="Century Gothic" w:cs="Arial"/>
        </w:rPr>
      </w:pPr>
      <w:bookmarkStart w:id="14" w:name="_Hlk132126019"/>
      <w:r w:rsidRPr="00643E3F">
        <w:rPr>
          <w:rFonts w:ascii="Century Gothic" w:hAnsi="Century Gothic" w:cs="Arial"/>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643E3F">
        <w:rPr>
          <w:rFonts w:ascii="Century Gothic" w:eastAsia="Calibri" w:hAnsi="Century Gothic" w:cs="Arial"/>
        </w:rPr>
        <w:t>─</w:t>
      </w:r>
      <w:r w:rsidRPr="00643E3F">
        <w:rPr>
          <w:rFonts w:ascii="Century Gothic" w:hAnsi="Century Gothic" w:cs="Arial"/>
        </w:rPr>
        <w:t>con menos de 3 años de constitución</w:t>
      </w:r>
      <w:r w:rsidRPr="00643E3F">
        <w:rPr>
          <w:rFonts w:ascii="Century Gothic" w:eastAsia="Calibri" w:hAnsi="Century Gothic" w:cs="Arial"/>
        </w:rPr>
        <w:t>─</w:t>
      </w:r>
      <w:r w:rsidRPr="00643E3F">
        <w:rPr>
          <w:rFonts w:ascii="Century Gothic" w:hAnsi="Century Gothic" w:cs="Arial"/>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3C315F79"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w:t>
      </w:r>
      <w:r w:rsidRPr="00643E3F">
        <w:rPr>
          <w:rFonts w:ascii="Century Gothic" w:hAnsi="Century Gothic" w:cs="Arial"/>
        </w:rPr>
        <w:lastRenderedPageBreak/>
        <w:t>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14"/>
    <w:p w14:paraId="4D28670B"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 xml:space="preserve">Asimismo, esta Agencia ha indicado que la persona jurídica que tenga más de tres años de constituida y haya registrado inicialmente la experiencia de sus socios en el RUP </w:t>
      </w:r>
      <w:r w:rsidRPr="00643E3F">
        <w:rPr>
          <w:rFonts w:ascii="Century Gothic" w:eastAsia="Calibri" w:hAnsi="Century Gothic" w:cs="Arial"/>
        </w:rPr>
        <w:t>―</w:t>
      </w:r>
      <w:r w:rsidRPr="00643E3F">
        <w:rPr>
          <w:rFonts w:ascii="Century Gothic" w:hAnsi="Century Gothic" w:cs="Arial"/>
        </w:rPr>
        <w:t>pues su constitución era inferior a tres años</w:t>
      </w:r>
      <w:r w:rsidRPr="00643E3F">
        <w:rPr>
          <w:rFonts w:ascii="Century Gothic" w:eastAsia="Calibri" w:hAnsi="Century Gothic" w:cs="Arial"/>
        </w:rPr>
        <w:t>―</w:t>
      </w:r>
      <w:r w:rsidRPr="00643E3F">
        <w:rPr>
          <w:rFonts w:ascii="Century Gothic" w:hAnsi="Century Gothic" w:cs="Arial"/>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205F2C8"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Igualmente, se ha reiterado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643E3F">
        <w:rPr>
          <w:rStyle w:val="Refdenotaalpie"/>
          <w:rFonts w:ascii="Century Gothic" w:hAnsi="Century Gothic" w:cs="Arial"/>
        </w:rPr>
        <w:footnoteReference w:id="24"/>
      </w:r>
      <w:r w:rsidRPr="00643E3F">
        <w:rPr>
          <w:rFonts w:ascii="Century Gothic" w:hAnsi="Century Gothic" w:cs="Arial"/>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593F97B4"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w:t>
      </w:r>
      <w:r w:rsidRPr="00643E3F">
        <w:rPr>
          <w:rFonts w:ascii="Century Gothic" w:hAnsi="Century Gothic" w:cs="Arial"/>
        </w:rPr>
        <w:lastRenderedPageBreak/>
        <w:t xml:space="preserve">nuevamente la verificación documental de la información presentada al momento de inscribirse en el registro.  </w:t>
      </w:r>
    </w:p>
    <w:p w14:paraId="77ABC54E" w14:textId="77777777" w:rsidR="00F97CDE" w:rsidRPr="00643E3F" w:rsidRDefault="00F97CDE" w:rsidP="00F97CDE">
      <w:pPr>
        <w:spacing w:after="0" w:line="276" w:lineRule="auto"/>
        <w:ind w:firstLine="708"/>
        <w:jc w:val="both"/>
        <w:rPr>
          <w:rFonts w:ascii="Century Gothic" w:hAnsi="Century Gothic" w:cs="Arial"/>
        </w:rPr>
      </w:pPr>
      <w:r w:rsidRPr="00643E3F">
        <w:rPr>
          <w:rFonts w:ascii="Century Gothic" w:hAnsi="Century Gothic" w:cs="Arial"/>
        </w:rPr>
        <w:t xml:space="preserve">Lo anterior, tiene fundamento en la Circular Única de la Superintendencia de Industria y Comercio, en el numeral 4.2, sobre el procedimiento para llevar el Registro Único de Proponentes, que establece:  </w:t>
      </w:r>
    </w:p>
    <w:p w14:paraId="13BD3747" w14:textId="77777777" w:rsidR="00F97CDE" w:rsidRPr="00643E3F" w:rsidRDefault="00F97CDE" w:rsidP="00F97CDE">
      <w:pPr>
        <w:pStyle w:val="Prrafodelista"/>
        <w:spacing w:after="0" w:line="276" w:lineRule="auto"/>
        <w:ind w:left="360"/>
        <w:jc w:val="both"/>
        <w:rPr>
          <w:rFonts w:ascii="Century Gothic" w:hAnsi="Century Gothic" w:cs="Arial"/>
        </w:rPr>
      </w:pPr>
    </w:p>
    <w:p w14:paraId="5CFE4EAC" w14:textId="77777777" w:rsidR="00F97CDE" w:rsidRPr="00643E3F" w:rsidRDefault="00F97CDE" w:rsidP="00F97CDE">
      <w:pPr>
        <w:pStyle w:val="Prrafodelista"/>
        <w:spacing w:after="0" w:line="240" w:lineRule="auto"/>
        <w:ind w:left="709" w:right="709"/>
        <w:jc w:val="both"/>
        <w:rPr>
          <w:rFonts w:ascii="Century Gothic" w:hAnsi="Century Gothic" w:cs="Arial"/>
          <w:sz w:val="21"/>
          <w:szCs w:val="21"/>
        </w:rPr>
      </w:pPr>
      <w:r w:rsidRPr="00643E3F">
        <w:rPr>
          <w:rFonts w:ascii="Century Gothic" w:hAnsi="Century Gothic"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231CF8F3" w14:textId="77777777" w:rsidR="00F97CDE" w:rsidRPr="00643E3F" w:rsidRDefault="00F97CDE" w:rsidP="00F97CDE">
      <w:pPr>
        <w:pStyle w:val="Prrafodelista"/>
        <w:spacing w:after="0" w:line="276" w:lineRule="auto"/>
        <w:ind w:left="360" w:right="709"/>
        <w:jc w:val="both"/>
        <w:rPr>
          <w:rFonts w:ascii="Century Gothic" w:hAnsi="Century Gothic" w:cs="Arial"/>
        </w:rPr>
      </w:pPr>
    </w:p>
    <w:p w14:paraId="29873B4D" w14:textId="77777777" w:rsidR="00F97CDE" w:rsidRPr="00643E3F" w:rsidRDefault="00F97CDE" w:rsidP="00F97CDE">
      <w:pPr>
        <w:spacing w:line="276" w:lineRule="auto"/>
        <w:ind w:firstLine="708"/>
        <w:jc w:val="both"/>
        <w:rPr>
          <w:rFonts w:ascii="Century Gothic" w:hAnsi="Century Gothic" w:cs="Arial"/>
        </w:rPr>
      </w:pPr>
      <w:r w:rsidRPr="00643E3F">
        <w:rPr>
          <w:rFonts w:ascii="Century Gothic" w:hAnsi="Century Gothic" w:cs="Arial"/>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43FAB537"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0406DA52" w14:textId="77777777" w:rsidR="00F97CDE" w:rsidRPr="00643E3F" w:rsidRDefault="00F97CDE" w:rsidP="00F97CDE">
      <w:pPr>
        <w:spacing w:before="120" w:after="120" w:line="276" w:lineRule="auto"/>
        <w:ind w:firstLine="708"/>
        <w:jc w:val="both"/>
        <w:rPr>
          <w:rFonts w:ascii="Century Gothic" w:hAnsi="Century Gothic" w:cs="Arial"/>
        </w:rPr>
      </w:pPr>
      <w:r w:rsidRPr="00643E3F">
        <w:rPr>
          <w:rFonts w:ascii="Century Gothic" w:hAnsi="Century Gothic" w:cs="Arial"/>
        </w:rPr>
        <w:t xml:space="preserve">En línea con lo anterior, el numeral 2.5. del artículo 2.2.1.1.1.5.2 del Decreto 1082 de 2015 consagra, como se dijo, una prerrogativa para las sociedades nuevas, que busca fomentar la competencia de </w:t>
      </w:r>
      <w:proofErr w:type="gramStart"/>
      <w:r w:rsidRPr="00643E3F">
        <w:rPr>
          <w:rFonts w:ascii="Century Gothic" w:hAnsi="Century Gothic" w:cs="Arial"/>
        </w:rPr>
        <w:t>las mismas</w:t>
      </w:r>
      <w:proofErr w:type="gramEnd"/>
      <w:r w:rsidRPr="00643E3F">
        <w:rPr>
          <w:rFonts w:ascii="Century Gothic" w:hAnsi="Century Gothic" w:cs="Arial"/>
        </w:rPr>
        <w:t xml:space="preserve">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15F23F61" w14:textId="77777777" w:rsidR="00F97CDE" w:rsidRPr="00643E3F" w:rsidRDefault="00F97CDE" w:rsidP="00C11B6A">
      <w:pPr>
        <w:spacing w:after="0" w:line="276" w:lineRule="auto"/>
        <w:ind w:firstLine="708"/>
        <w:jc w:val="both"/>
        <w:rPr>
          <w:rFonts w:ascii="Century Gothic" w:hAnsi="Century Gothic" w:cs="Arial"/>
        </w:rPr>
      </w:pPr>
      <w:r w:rsidRPr="00643E3F">
        <w:rPr>
          <w:rFonts w:ascii="Century Gothic" w:hAnsi="Century Gothic" w:cs="Arial"/>
        </w:rPr>
        <w:t>Por tanto, en atención al principio general de interpretación según el cual donde el legislador no distingue no le es dado hacerlo al interprete, la norma no señala un porcentaje mínimo a partir del cual pueda aplicarse la prerrogativa del artículo 2.2.1.1.1.5.2. del Decreto 1082 de 2015, pues el supuesto establecido en la norma hace referencia únicamente a que la constitución del interesado sea menor a 3 años, para que pueda acreditar la experiencia de sus socios, de modo que, basta con que se acredite la constitución inferior a 3 años de la sociedad</w:t>
      </w:r>
      <w:r>
        <w:rPr>
          <w:rFonts w:ascii="Century Gothic" w:hAnsi="Century Gothic" w:cs="Arial"/>
        </w:rPr>
        <w:t xml:space="preserve"> </w:t>
      </w:r>
      <w:r>
        <w:rPr>
          <w:rFonts w:ascii="Century Gothic" w:hAnsi="Century Gothic" w:cs="Arial"/>
        </w:rPr>
        <w:lastRenderedPageBreak/>
        <w:t xml:space="preserve">interesada, sin necesidad de acreditar un porcentaje mínimo de participación accionaria, </w:t>
      </w:r>
      <w:r w:rsidRPr="00643E3F">
        <w:rPr>
          <w:rFonts w:ascii="Century Gothic" w:hAnsi="Century Gothic" w:cs="Arial"/>
        </w:rPr>
        <w:t>para que se pueda acredit</w:t>
      </w:r>
      <w:r>
        <w:rPr>
          <w:rFonts w:ascii="Century Gothic" w:hAnsi="Century Gothic" w:cs="Arial"/>
        </w:rPr>
        <w:t xml:space="preserve">ar la experiencia de los socios.  </w:t>
      </w:r>
    </w:p>
    <w:p w14:paraId="09761993" w14:textId="77777777" w:rsidR="00F97CDE" w:rsidRPr="00643E3F" w:rsidRDefault="00F97CDE" w:rsidP="00C11B6A">
      <w:pPr>
        <w:spacing w:after="0" w:line="276" w:lineRule="auto"/>
        <w:contextualSpacing/>
        <w:jc w:val="both"/>
        <w:rPr>
          <w:rFonts w:ascii="Century Gothic" w:eastAsia="Calibri" w:hAnsi="Century Gothic" w:cs="Arial"/>
          <w:bCs/>
        </w:rPr>
      </w:pPr>
    </w:p>
    <w:p w14:paraId="12BFCBC3" w14:textId="0B746C6C" w:rsidR="00F97CDE" w:rsidRPr="00643E3F" w:rsidRDefault="00F97CDE" w:rsidP="00C11B6A">
      <w:pPr>
        <w:tabs>
          <w:tab w:val="left" w:pos="284"/>
        </w:tabs>
        <w:spacing w:after="0" w:line="276" w:lineRule="auto"/>
        <w:contextualSpacing/>
        <w:jc w:val="both"/>
        <w:rPr>
          <w:rFonts w:ascii="Century Gothic" w:eastAsia="Calibri" w:hAnsi="Century Gothic" w:cs="Arial"/>
          <w:b/>
        </w:rPr>
      </w:pPr>
      <w:r w:rsidRPr="00643E3F">
        <w:rPr>
          <w:rFonts w:ascii="Century Gothic" w:eastAsia="Calibri" w:hAnsi="Century Gothic" w:cs="Arial"/>
          <w:b/>
        </w:rPr>
        <w:t>3. Respuesta</w:t>
      </w:r>
      <w:r w:rsidR="00506D88">
        <w:rPr>
          <w:rFonts w:ascii="Century Gothic" w:eastAsia="Calibri" w:hAnsi="Century Gothic" w:cs="Arial"/>
          <w:b/>
        </w:rPr>
        <w:t>s</w:t>
      </w:r>
    </w:p>
    <w:p w14:paraId="62F8A385" w14:textId="77777777" w:rsidR="00F97CDE" w:rsidRPr="00643E3F" w:rsidRDefault="00F97CDE" w:rsidP="00C11B6A">
      <w:pPr>
        <w:spacing w:after="0" w:line="276" w:lineRule="auto"/>
        <w:contextualSpacing/>
        <w:jc w:val="both"/>
        <w:rPr>
          <w:rFonts w:ascii="Century Gothic" w:eastAsia="Calibri" w:hAnsi="Century Gothic" w:cs="Arial"/>
          <w:sz w:val="21"/>
          <w:szCs w:val="21"/>
          <w:lang w:val="es-ES_tradnl"/>
        </w:rPr>
      </w:pPr>
    </w:p>
    <w:p w14:paraId="77A6218B" w14:textId="77777777" w:rsidR="00F97CDE" w:rsidRPr="00643E3F" w:rsidRDefault="00F97CDE" w:rsidP="00C11B6A">
      <w:pPr>
        <w:spacing w:after="0"/>
        <w:ind w:left="709" w:right="709"/>
        <w:jc w:val="both"/>
        <w:rPr>
          <w:rFonts w:ascii="Century Gothic" w:hAnsi="Century Gothic"/>
          <w:sz w:val="21"/>
          <w:szCs w:val="21"/>
        </w:rPr>
      </w:pPr>
      <w:r w:rsidRPr="00643E3F">
        <w:rPr>
          <w:rFonts w:ascii="Century Gothic" w:eastAsia="Times New Roman" w:hAnsi="Century Gothic" w:cs="Arial"/>
          <w:sz w:val="21"/>
          <w:szCs w:val="21"/>
          <w:lang w:val="es-ES_tradnl" w:eastAsia="es-ES_tradnl"/>
        </w:rPr>
        <w:t xml:space="preserve">[…] </w:t>
      </w:r>
      <w:r w:rsidRPr="00643E3F">
        <w:rPr>
          <w:rFonts w:ascii="Century Gothic" w:hAnsi="Century Gothic"/>
          <w:sz w:val="21"/>
          <w:szCs w:val="21"/>
        </w:rPr>
        <w:t xml:space="preserve">i. Se me aclare, si en el caso de la fusión de sociedades, la sociedad absorbente puede o no puede inscribir la experiencia de la sociedad absorbida como propia en el registro único de proponentes. </w:t>
      </w:r>
    </w:p>
    <w:p w14:paraId="3B61D7D8" w14:textId="77777777" w:rsidR="00F97CDE" w:rsidRPr="00643E3F" w:rsidRDefault="00F97CDE" w:rsidP="00C11B6A">
      <w:pPr>
        <w:spacing w:after="0"/>
        <w:ind w:left="709" w:right="709"/>
        <w:jc w:val="both"/>
        <w:rPr>
          <w:rFonts w:ascii="Century Gothic" w:hAnsi="Century Gothic"/>
          <w:sz w:val="21"/>
          <w:szCs w:val="21"/>
        </w:rPr>
      </w:pPr>
    </w:p>
    <w:p w14:paraId="33A2472C" w14:textId="5BCDB6BA" w:rsidR="00F97CDE" w:rsidRPr="00643E3F" w:rsidRDefault="00F97CDE" w:rsidP="00C11B6A">
      <w:pPr>
        <w:spacing w:after="0" w:line="276" w:lineRule="auto"/>
        <w:jc w:val="both"/>
        <w:rPr>
          <w:rFonts w:ascii="Century Gothic" w:hAnsi="Century Gothic" w:cs="Arial"/>
          <w:bCs/>
          <w:color w:val="000000"/>
        </w:rPr>
      </w:pPr>
      <w:r w:rsidRPr="00643E3F">
        <w:rPr>
          <w:rFonts w:ascii="Century Gothic" w:hAnsi="Century Gothic" w:cs="Arial"/>
          <w:bCs/>
          <w:color w:val="000000"/>
        </w:rPr>
        <w:t xml:space="preserve">Con fundamento en las consideraciones efectuadas, la Subdirección de Gestión Contractual responde su petición, reiterando </w:t>
      </w:r>
      <w:r w:rsidR="00506D88" w:rsidRPr="00643E3F">
        <w:rPr>
          <w:rFonts w:ascii="Century Gothic" w:hAnsi="Century Gothic" w:cs="Arial"/>
          <w:bCs/>
          <w:color w:val="000000"/>
        </w:rPr>
        <w:t>que,</w:t>
      </w:r>
      <w:r w:rsidRPr="00643E3F">
        <w:rPr>
          <w:rFonts w:ascii="Century Gothic" w:hAnsi="Century Gothic" w:cs="Arial"/>
          <w:bCs/>
          <w:color w:val="000000"/>
        </w:rPr>
        <w:t xml:space="preserve"> si bien en principio la experiencia de las personas jurídicas es intransferible en la contratación estatal regulada por el Estatuto General de Contratación de la Administración Pública, dicha regla general tiene excepciones. Una de ellas se presenta en la fusión, pues, al disolverse la persona jurídica, sin liquidarse, puede transferirle la experiencia a la sociedad resultante. En efecto, en la fusión por absorción y en la que da lugar a la creación de una nueva sociedad, la experiencia es transferible en la medida en que la sociedad se disuelve y no se liquida, es decir, no desaparece, sino que continúa a través de otra. En este sentido, la trasferencia de la experiencia ocurre porque la persona jurídica continúa a través de otra, esto es, deja de ser </w:t>
      </w:r>
      <w:proofErr w:type="spellStart"/>
      <w:r w:rsidRPr="00643E3F">
        <w:rPr>
          <w:rFonts w:ascii="Century Gothic" w:hAnsi="Century Gothic" w:cs="Arial"/>
          <w:bCs/>
          <w:color w:val="000000"/>
        </w:rPr>
        <w:t xml:space="preserve">quien </w:t>
      </w:r>
      <w:proofErr w:type="gramStart"/>
      <w:r w:rsidRPr="00643E3F">
        <w:rPr>
          <w:rFonts w:ascii="Century Gothic" w:hAnsi="Century Gothic" w:cs="Arial"/>
          <w:bCs/>
          <w:color w:val="000000"/>
        </w:rPr>
        <w:t>es</w:t>
      </w:r>
      <w:proofErr w:type="spellEnd"/>
      <w:proofErr w:type="gramEnd"/>
      <w:r w:rsidRPr="00643E3F">
        <w:rPr>
          <w:rFonts w:ascii="Century Gothic" w:hAnsi="Century Gothic" w:cs="Arial"/>
          <w:bCs/>
          <w:color w:val="000000"/>
        </w:rPr>
        <w:t xml:space="preserve"> pero no desaparece porque otra sociedad se convierte en ella, ya sea una sociedad nueva cuando es fusión por creación, o una sociedad existente en la fusión por absorción. </w:t>
      </w:r>
    </w:p>
    <w:p w14:paraId="73912452" w14:textId="77777777" w:rsidR="00F97CDE" w:rsidRPr="00643E3F" w:rsidRDefault="00F97CDE" w:rsidP="00F97CDE">
      <w:pPr>
        <w:spacing w:before="120" w:line="276" w:lineRule="auto"/>
        <w:ind w:firstLine="709"/>
        <w:jc w:val="both"/>
        <w:rPr>
          <w:rFonts w:ascii="Century Gothic" w:hAnsi="Century Gothic" w:cs="Arial"/>
          <w:bCs/>
          <w:color w:val="000000"/>
        </w:rPr>
      </w:pPr>
      <w:r w:rsidRPr="00643E3F">
        <w:rPr>
          <w:rFonts w:ascii="Century Gothic" w:hAnsi="Century Gothic" w:cs="Arial"/>
          <w:bCs/>
          <w:color w:val="000000"/>
        </w:rPr>
        <w:t xml:space="preserve">En consecuencia, en la fusión por absorción o creación de una nueva sociedad es posible que la sociedad absorbente o la nueva obtenga la experiencia de la absorbida, porque esta última continuó a través de la primera, y ello implica que transfirió su experiencia debido a que no se liquidó, es decir, no desapareció, lo que haría imposible la transferencia de experiencia. </w:t>
      </w:r>
    </w:p>
    <w:p w14:paraId="222B469E" w14:textId="77777777" w:rsidR="00F97CDE" w:rsidRPr="00643E3F" w:rsidRDefault="00F97CDE" w:rsidP="00C11B6A">
      <w:pPr>
        <w:spacing w:after="0" w:line="276" w:lineRule="auto"/>
        <w:ind w:firstLine="709"/>
        <w:jc w:val="both"/>
        <w:rPr>
          <w:rFonts w:ascii="Century Gothic" w:hAnsi="Century Gothic" w:cs="Arial"/>
          <w:bCs/>
          <w:color w:val="000000"/>
        </w:rPr>
      </w:pPr>
      <w:r w:rsidRPr="00643E3F">
        <w:rPr>
          <w:rFonts w:ascii="Century Gothic" w:hAnsi="Century Gothic" w:cs="Arial"/>
          <w:bCs/>
          <w:color w:val="000000"/>
        </w:rPr>
        <w:t xml:space="preserve">Sin embargo, cabe señalar que, en todos los casos se deberán tener en cuenta las condiciones bajo las cuales se creó o desarrolló la figura de Fusión que son </w:t>
      </w:r>
      <w:r w:rsidRPr="00643E3F">
        <w:rPr>
          <w:rFonts w:ascii="Century Gothic" w:eastAsia="Calibri" w:hAnsi="Century Gothic" w:cs="Arial"/>
        </w:rPr>
        <w:t xml:space="preserve">i) por absorción: una o más sociedades se “disuelven” sin “liquidarse” para ser absorbidas por otra existente; </w:t>
      </w:r>
      <w:proofErr w:type="spellStart"/>
      <w:r w:rsidRPr="00643E3F">
        <w:rPr>
          <w:rFonts w:ascii="Century Gothic" w:eastAsia="Calibri" w:hAnsi="Century Gothic" w:cs="Arial"/>
        </w:rPr>
        <w:t>ii</w:t>
      </w:r>
      <w:proofErr w:type="spellEnd"/>
      <w:r w:rsidRPr="00643E3F">
        <w:rPr>
          <w:rFonts w:ascii="Century Gothic" w:eastAsia="Calibri" w:hAnsi="Century Gothic" w:cs="Arial"/>
        </w:rPr>
        <w:t xml:space="preserve">) por creación: una o más sociedades se “disuelven” sin “liquidarse” para ser absorbidas por otra nueva, </w:t>
      </w:r>
      <w:proofErr w:type="spellStart"/>
      <w:r w:rsidRPr="00643E3F">
        <w:rPr>
          <w:rFonts w:ascii="Century Gothic" w:eastAsia="Calibri" w:hAnsi="Century Gothic" w:cs="Arial"/>
        </w:rPr>
        <w:t>iii</w:t>
      </w:r>
      <w:proofErr w:type="spellEnd"/>
      <w:r w:rsidRPr="00643E3F">
        <w:rPr>
          <w:rFonts w:ascii="Century Gothic" w:eastAsia="Calibri" w:hAnsi="Century Gothic" w:cs="Arial"/>
        </w:rPr>
        <w:t xml:space="preserve">) impropia: una sociedad se “disuelve” sin el propósito de realizar una fusión sino de “liquidarse”, y antes de la liquidación se toma la decisión de crear una sociedad y, </w:t>
      </w:r>
      <w:proofErr w:type="spellStart"/>
      <w:r w:rsidRPr="00643E3F">
        <w:rPr>
          <w:rFonts w:ascii="Century Gothic" w:eastAsia="Calibri" w:hAnsi="Century Gothic" w:cs="Arial"/>
        </w:rPr>
        <w:t>iv</w:t>
      </w:r>
      <w:proofErr w:type="spellEnd"/>
      <w:r w:rsidRPr="00643E3F">
        <w:rPr>
          <w:rFonts w:ascii="Century Gothic" w:eastAsia="Calibri" w:hAnsi="Century Gothic" w:cs="Arial"/>
        </w:rPr>
        <w:t xml:space="preserve">) abreviada: solo aplica cuando una Sociedad por Acciones Simplificada (S.A.S.) pertenece a otra sociedad en más del 90% de sus acciones, y es posible que esa sociedad </w:t>
      </w:r>
      <w:r w:rsidRPr="00643E3F">
        <w:rPr>
          <w:rFonts w:ascii="Century Gothic" w:eastAsia="Calibri" w:hAnsi="Century Gothic" w:cs="Arial"/>
        </w:rPr>
        <w:lastRenderedPageBreak/>
        <w:t>controlante absorba a la S.A.S, es decir, que ocurra una fusión por absorción. Por lo tanto, el interesado deberá dar aplicación a lo anteriormente explicado.</w:t>
      </w:r>
    </w:p>
    <w:p w14:paraId="7140D35E" w14:textId="77777777" w:rsidR="00F97CDE" w:rsidRPr="00643E3F" w:rsidRDefault="00F97CDE" w:rsidP="00C11B6A">
      <w:pPr>
        <w:spacing w:after="0" w:line="276" w:lineRule="auto"/>
        <w:jc w:val="both"/>
        <w:rPr>
          <w:rFonts w:ascii="Century Gothic" w:hAnsi="Century Gothic" w:cs="Arial"/>
          <w:iCs/>
          <w:lang w:eastAsia="es-MX"/>
        </w:rPr>
      </w:pPr>
    </w:p>
    <w:p w14:paraId="2C132C57" w14:textId="77777777" w:rsidR="00F97CDE" w:rsidRPr="00643E3F" w:rsidRDefault="00F97CDE" w:rsidP="00C11B6A">
      <w:pPr>
        <w:spacing w:after="0"/>
        <w:ind w:left="709" w:right="709"/>
        <w:jc w:val="both"/>
        <w:rPr>
          <w:rFonts w:ascii="Century Gothic" w:hAnsi="Century Gothic"/>
          <w:sz w:val="21"/>
          <w:szCs w:val="21"/>
        </w:rPr>
      </w:pPr>
      <w:proofErr w:type="spellStart"/>
      <w:r w:rsidRPr="00643E3F">
        <w:rPr>
          <w:rFonts w:ascii="Century Gothic" w:hAnsi="Century Gothic"/>
          <w:sz w:val="21"/>
          <w:szCs w:val="21"/>
        </w:rPr>
        <w:t>ii</w:t>
      </w:r>
      <w:proofErr w:type="spellEnd"/>
      <w:r w:rsidRPr="00643E3F">
        <w:rPr>
          <w:rFonts w:ascii="Century Gothic" w:hAnsi="Century Gothic"/>
          <w:sz w:val="21"/>
          <w:szCs w:val="21"/>
        </w:rPr>
        <w:t xml:space="preserve">. Se me aclare, si en el caso de la escisión de sociedades, la sociedad puede o no puede inscribir la experiencia de la sociedad escindente como propia en el registro único de proponentes. </w:t>
      </w:r>
    </w:p>
    <w:p w14:paraId="7698D1E1" w14:textId="77777777" w:rsidR="00F97CDE" w:rsidRPr="00643E3F" w:rsidRDefault="00F97CDE" w:rsidP="00C11B6A">
      <w:pPr>
        <w:spacing w:after="0"/>
        <w:ind w:left="709" w:right="709"/>
        <w:jc w:val="both"/>
        <w:rPr>
          <w:rFonts w:ascii="Century Gothic" w:hAnsi="Century Gothic"/>
          <w:sz w:val="21"/>
          <w:szCs w:val="21"/>
        </w:rPr>
      </w:pPr>
    </w:p>
    <w:p w14:paraId="5FB8A17E" w14:textId="413BD9B8" w:rsidR="00F97CDE" w:rsidRPr="00643E3F" w:rsidRDefault="00F97CDE" w:rsidP="00C11B6A">
      <w:pPr>
        <w:spacing w:after="120" w:line="276" w:lineRule="auto"/>
        <w:jc w:val="both"/>
        <w:rPr>
          <w:rFonts w:ascii="Century Gothic" w:eastAsia="Calibri" w:hAnsi="Century Gothic" w:cs="Arial"/>
        </w:rPr>
      </w:pPr>
      <w:r w:rsidRPr="00643E3F">
        <w:rPr>
          <w:rFonts w:ascii="Century Gothic" w:eastAsia="Calibri" w:hAnsi="Century Gothic" w:cs="Arial"/>
        </w:rPr>
        <w:t>[…] [L]a escisión</w:t>
      </w:r>
      <w:r w:rsidR="00681E3F">
        <w:rPr>
          <w:rFonts w:ascii="Century Gothic" w:eastAsia="Calibri" w:hAnsi="Century Gothic" w:cs="Arial"/>
        </w:rPr>
        <w:t xml:space="preserve"> tiene dos modalidades y</w:t>
      </w:r>
      <w:r w:rsidRPr="00643E3F">
        <w:rPr>
          <w:rFonts w:ascii="Century Gothic" w:eastAsia="Calibri" w:hAnsi="Century Gothic" w:cs="Arial"/>
        </w:rPr>
        <w:t xml:space="preserve"> se refiere al patrimonio de la sociedad sin incluir ningún otro aspecto, lo cual significa que la sociedad continúa con un patrimonio reducido debido al fraccionamiento, pero no existe ninguna otra implicación para la persona jurídica, como su desaparición por “disolverse” o “liquidarse”, de acuerdo con lo mencionado sobre estos conceptos. En ese sentido, esta Subdirección considera que las sociedades que reciben una parte del patrimonio de una sociedad que continúa existiendo, no reciben su experiencia, ya que no es posible que varias sociedades tengan la misma experiencia, duplicándola tantas veces se haya fraccionado el patrimonio, porque la experiencia pertenece a quien la adquirió ejecutando los contratos a su cargo. </w:t>
      </w:r>
    </w:p>
    <w:p w14:paraId="4918493F" w14:textId="77777777" w:rsidR="00F97CDE" w:rsidRPr="00643E3F" w:rsidRDefault="00F97CDE" w:rsidP="00C11B6A">
      <w:pPr>
        <w:spacing w:after="120" w:line="276" w:lineRule="auto"/>
        <w:ind w:firstLine="708"/>
        <w:jc w:val="both"/>
        <w:rPr>
          <w:rFonts w:ascii="Century Gothic" w:eastAsia="Calibri" w:hAnsi="Century Gothic" w:cs="Arial"/>
        </w:rPr>
      </w:pPr>
      <w:r w:rsidRPr="00643E3F">
        <w:rPr>
          <w:rFonts w:ascii="Century Gothic" w:eastAsia="Calibri" w:hAnsi="Century Gothic" w:cs="Arial"/>
        </w:rPr>
        <w:t>La segunda modalidad se trata de una sociedad que se “disuelve” sin “liquidarse”, esto es, que implica una reforma social, lo cual no ocurre con la primera modalidad, y también existe fraccionamiento del patrimonio con el mismo fin</w:t>
      </w:r>
      <w:r w:rsidRPr="00643E3F">
        <w:rPr>
          <w:rFonts w:ascii="Century Gothic" w:eastAsia="Calibri" w:hAnsi="Century Gothic" w:cs="Arial"/>
          <w:vertAlign w:val="superscript"/>
        </w:rPr>
        <w:footnoteReference w:id="25"/>
      </w:r>
      <w:r w:rsidRPr="00643E3F">
        <w:rPr>
          <w:rFonts w:ascii="Century Gothic" w:eastAsia="Calibri" w:hAnsi="Century Gothic" w:cs="Arial"/>
        </w:rPr>
        <w:t xml:space="preserve">. Como se observa, participa una sociedad y otra, u otras, que reciben la transferencia del patrimonio en bloque. </w:t>
      </w:r>
    </w:p>
    <w:p w14:paraId="43BED3FF" w14:textId="77777777" w:rsidR="00F97CDE" w:rsidRPr="00643E3F" w:rsidRDefault="00F97CDE" w:rsidP="00F97CDE">
      <w:pPr>
        <w:spacing w:before="120" w:after="120" w:line="276" w:lineRule="auto"/>
        <w:ind w:firstLine="708"/>
        <w:jc w:val="both"/>
        <w:rPr>
          <w:rFonts w:ascii="Century Gothic" w:eastAsia="Calibri" w:hAnsi="Century Gothic" w:cs="Arial"/>
        </w:rPr>
      </w:pPr>
      <w:r w:rsidRPr="00643E3F">
        <w:rPr>
          <w:rFonts w:ascii="Century Gothic" w:eastAsia="Calibri" w:hAnsi="Century Gothic" w:cs="Arial"/>
        </w:rPr>
        <w:t xml:space="preserve">Para la primera modalidad de escisión, teniendo en cuenta que la sociedad continúa sin alteraciones, esta puede compartir la experiencia a través de esquemas asociativos, pero no la transfiere, porque para ello tendría que “disolverse” sin “liquidarse”, puesto que la “liquidación” implicaría que desaparece la persona y así su experiencia. Para explicarlo, hay que retomar la definición de “disolución”, donde la persona jurídica no desaparece y solo puede hacer trámites para “liquidarse”. Sin embargo, hay una excepción a esa regla y es, precisamente, la de las figuras y reformas estatutarias que aquí se explican, particularmente la fusión, ya que por esa excepción la persona tiene continuidad en otra persona, y </w:t>
      </w:r>
      <w:r w:rsidRPr="00643E3F">
        <w:rPr>
          <w:rFonts w:ascii="Century Gothic" w:eastAsia="Calibri" w:hAnsi="Century Gothic" w:cs="Arial"/>
        </w:rPr>
        <w:lastRenderedPageBreak/>
        <w:t xml:space="preserve">sigue siendo quien era, lo cual no es el caso de la escisión, ya que en la primera modalidad no existe “disolución”. Esto significa que la persona continúa por sí misma y puede adquirir experiencia, pero no puede transferirla porque le pertenece, al ser quien la adquirió. </w:t>
      </w:r>
    </w:p>
    <w:p w14:paraId="0AD7BCE0" w14:textId="77777777" w:rsidR="00F97CDE" w:rsidRPr="00643E3F" w:rsidRDefault="00F97CDE" w:rsidP="00C11B6A">
      <w:pPr>
        <w:spacing w:after="0" w:line="276" w:lineRule="auto"/>
        <w:ind w:firstLine="708"/>
        <w:jc w:val="both"/>
        <w:rPr>
          <w:rFonts w:ascii="Century Gothic" w:eastAsia="Calibri" w:hAnsi="Century Gothic" w:cs="Arial"/>
        </w:rPr>
      </w:pPr>
      <w:r w:rsidRPr="00643E3F">
        <w:rPr>
          <w:rFonts w:ascii="Century Gothic" w:eastAsia="Calibri" w:hAnsi="Century Gothic" w:cs="Arial"/>
        </w:rPr>
        <w:t xml:space="preserve">Por otro lado, a pesar de que en la segunda modalidad existe “disolución”, no hay transferencia de la experiencia porque la persona jurídica fraccionada deja de ser quien es y desaparece, quedando dividida en varias sociedades nuevas o existentes que reciben su patrimonio, sin que sea posible determinar cuál de todas las sociedades que recibieron parte del patrimonio de la sociedad escindida tiene la experiencia. Tampoco es posible que todas las sociedades que recibieron el patrimonio acrediten la misma experiencia multiplicándola tantas veces sea necesario, porque la experiencia es de quien la adquirió y como esa persona jurídica no puede continuar en otra persona, porque desapareció, quedando fraccionada en 2 o más partes, esto no corresponde con la definición de experiencia personal ni de transferencia de experiencia, donde la persona jurídica sigue siendo quien es a través de otra, sin cambios como fraccionamientos que implican que la persona ya no sea quien era y desaparezca. </w:t>
      </w:r>
    </w:p>
    <w:p w14:paraId="657C75CA" w14:textId="77777777" w:rsidR="00F97CDE" w:rsidRPr="00643E3F" w:rsidRDefault="00F97CDE" w:rsidP="00C11B6A">
      <w:pPr>
        <w:spacing w:after="0"/>
        <w:ind w:left="709" w:right="709"/>
        <w:jc w:val="both"/>
        <w:rPr>
          <w:rFonts w:ascii="Century Gothic" w:hAnsi="Century Gothic"/>
          <w:sz w:val="21"/>
          <w:szCs w:val="21"/>
        </w:rPr>
      </w:pPr>
    </w:p>
    <w:p w14:paraId="72BFAF94" w14:textId="77777777" w:rsidR="00F97CDE" w:rsidRPr="00643E3F" w:rsidRDefault="00F97CDE" w:rsidP="00C11B6A">
      <w:pPr>
        <w:spacing w:after="0"/>
        <w:ind w:left="709" w:right="709"/>
        <w:jc w:val="both"/>
        <w:rPr>
          <w:rFonts w:ascii="Century Gothic" w:hAnsi="Century Gothic"/>
          <w:sz w:val="21"/>
          <w:szCs w:val="21"/>
        </w:rPr>
      </w:pPr>
      <w:proofErr w:type="spellStart"/>
      <w:r w:rsidRPr="00643E3F">
        <w:rPr>
          <w:rFonts w:ascii="Century Gothic" w:hAnsi="Century Gothic"/>
          <w:sz w:val="21"/>
          <w:szCs w:val="21"/>
        </w:rPr>
        <w:t>iii</w:t>
      </w:r>
      <w:proofErr w:type="spellEnd"/>
      <w:r w:rsidRPr="00643E3F">
        <w:rPr>
          <w:rFonts w:ascii="Century Gothic" w:hAnsi="Century Gothic"/>
          <w:sz w:val="21"/>
          <w:szCs w:val="21"/>
        </w:rPr>
        <w:t xml:space="preserve">. Se me responda, cual es el porcentaje mínimo de participación accionaria que debe tener un socio X en una sociedad recién constituida para que registre la experiencia de su socio Y. </w:t>
      </w:r>
    </w:p>
    <w:p w14:paraId="3EBFC1DE" w14:textId="77777777" w:rsidR="00F97CDE" w:rsidRPr="00643E3F" w:rsidRDefault="00F97CDE" w:rsidP="00C11B6A">
      <w:pPr>
        <w:spacing w:after="0"/>
        <w:ind w:left="709" w:right="709"/>
        <w:jc w:val="both"/>
        <w:rPr>
          <w:rFonts w:ascii="Century Gothic" w:eastAsia="Times New Roman" w:hAnsi="Century Gothic" w:cs="Arial"/>
          <w:sz w:val="21"/>
          <w:szCs w:val="21"/>
          <w:lang w:eastAsia="es-ES_tradnl"/>
        </w:rPr>
      </w:pPr>
      <w:proofErr w:type="spellStart"/>
      <w:r w:rsidRPr="00643E3F">
        <w:rPr>
          <w:rFonts w:ascii="Century Gothic" w:hAnsi="Century Gothic"/>
          <w:sz w:val="21"/>
          <w:szCs w:val="21"/>
        </w:rPr>
        <w:t>iv</w:t>
      </w:r>
      <w:proofErr w:type="spellEnd"/>
      <w:r w:rsidRPr="00643E3F">
        <w:rPr>
          <w:rFonts w:ascii="Century Gothic" w:hAnsi="Century Gothic"/>
          <w:sz w:val="21"/>
          <w:szCs w:val="21"/>
        </w:rPr>
        <w:t xml:space="preserve">. Se pide que se aclare si hay norma sobre el asunto </w:t>
      </w:r>
      <w:proofErr w:type="gramStart"/>
      <w:r w:rsidRPr="00643E3F">
        <w:rPr>
          <w:rFonts w:ascii="Century Gothic" w:hAnsi="Century Gothic"/>
          <w:sz w:val="21"/>
          <w:szCs w:val="21"/>
        </w:rPr>
        <w:t>anterior[</w:t>
      </w:r>
      <w:proofErr w:type="gramEnd"/>
      <w:r w:rsidRPr="00643E3F">
        <w:rPr>
          <w:rFonts w:ascii="Century Gothic" w:hAnsi="Century Gothic"/>
          <w:sz w:val="21"/>
          <w:szCs w:val="21"/>
        </w:rPr>
        <w:t xml:space="preserve">…].  </w:t>
      </w:r>
      <w:r w:rsidRPr="00643E3F">
        <w:rPr>
          <w:rFonts w:ascii="Century Gothic" w:eastAsia="Times New Roman" w:hAnsi="Century Gothic" w:cs="Arial"/>
          <w:sz w:val="21"/>
          <w:szCs w:val="21"/>
          <w:lang w:val="es-ES_tradnl" w:eastAsia="es-ES_tradnl"/>
        </w:rPr>
        <w:cr/>
      </w:r>
    </w:p>
    <w:p w14:paraId="5D7D3A4A" w14:textId="77777777" w:rsidR="00F97CDE" w:rsidRDefault="00F97CDE" w:rsidP="00C11B6A">
      <w:pPr>
        <w:spacing w:after="0" w:line="276" w:lineRule="auto"/>
        <w:jc w:val="both"/>
        <w:rPr>
          <w:rFonts w:ascii="Century Gothic" w:hAnsi="Century Gothic" w:cs="Arial"/>
        </w:rPr>
      </w:pPr>
      <w:r w:rsidRPr="00643E3F">
        <w:rPr>
          <w:rFonts w:ascii="Century Gothic" w:hAnsi="Century Gothic" w:cs="Arial"/>
        </w:rPr>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2831FE27" w14:textId="77777777" w:rsidR="00F97CDE" w:rsidRPr="00643E3F" w:rsidRDefault="00F97CDE" w:rsidP="00F97CDE">
      <w:pPr>
        <w:spacing w:before="120" w:after="120" w:line="276" w:lineRule="auto"/>
        <w:ind w:firstLine="708"/>
        <w:jc w:val="both"/>
        <w:rPr>
          <w:rFonts w:ascii="Century Gothic" w:hAnsi="Century Gothic" w:cs="Arial"/>
        </w:rPr>
      </w:pPr>
      <w:r>
        <w:rPr>
          <w:rFonts w:ascii="Century Gothic" w:hAnsi="Century Gothic" w:cs="Arial"/>
        </w:rPr>
        <w:t>[E]l</w:t>
      </w:r>
      <w:r w:rsidRPr="00643E3F">
        <w:rPr>
          <w:rFonts w:ascii="Century Gothic" w:hAnsi="Century Gothic" w:cs="Arial"/>
        </w:rPr>
        <w:t xml:space="preserve"> numeral 2.5. del artículo 2.2.1.1.1.5.2 del Decreto 1082 de 2015 consagra, como se dijo, una prerrogativa para las sociedades nuevas, que busca fomentar la competencia de </w:t>
      </w:r>
      <w:proofErr w:type="gramStart"/>
      <w:r w:rsidRPr="00643E3F">
        <w:rPr>
          <w:rFonts w:ascii="Century Gothic" w:hAnsi="Century Gothic" w:cs="Arial"/>
        </w:rPr>
        <w:t>las mismas</w:t>
      </w:r>
      <w:proofErr w:type="gramEnd"/>
      <w:r w:rsidRPr="00643E3F">
        <w:rPr>
          <w:rFonts w:ascii="Century Gothic" w:hAnsi="Century Gothic" w:cs="Arial"/>
        </w:rPr>
        <w:t xml:space="preserve">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20EFECC5" w14:textId="77777777" w:rsidR="00F97CDE" w:rsidRPr="00643E3F" w:rsidRDefault="00F97CDE" w:rsidP="00F97CDE">
      <w:pPr>
        <w:spacing w:before="120" w:line="276" w:lineRule="auto"/>
        <w:ind w:firstLine="708"/>
        <w:jc w:val="both"/>
        <w:rPr>
          <w:rFonts w:ascii="Century Gothic" w:hAnsi="Century Gothic" w:cs="Arial"/>
        </w:rPr>
      </w:pPr>
      <w:r w:rsidRPr="00643E3F">
        <w:rPr>
          <w:rFonts w:ascii="Century Gothic" w:hAnsi="Century Gothic" w:cs="Arial"/>
        </w:rPr>
        <w:lastRenderedPageBreak/>
        <w:t>Por tanto, en atención al principio general de interpretación según el cual donde el legislador no distingue no le es dado hacerlo al interprete, la norma no señala un porcentaje mínimo a partir del cual pueda aplicarse la prerrogativa del artículo 2.2.1.1.1.5.2. del Decreto 1082 de 2015, pues el supuesto establecido en la norma hace referencia únicamente a que la constitución del interesado sea menor a 3 años, para que pueda acreditar la experiencia de sus socios, de modo que, basta con que se acredite la constitución inferior a 3 años de la sociedad</w:t>
      </w:r>
      <w:r>
        <w:rPr>
          <w:rFonts w:ascii="Century Gothic" w:hAnsi="Century Gothic" w:cs="Arial"/>
        </w:rPr>
        <w:t xml:space="preserve"> interesada, sin necesidad de acreditar un porcentaje mínimo de participación accionaria, </w:t>
      </w:r>
      <w:r w:rsidRPr="00643E3F">
        <w:rPr>
          <w:rFonts w:ascii="Century Gothic" w:hAnsi="Century Gothic" w:cs="Arial"/>
        </w:rPr>
        <w:t>para que se pueda acredit</w:t>
      </w:r>
      <w:r>
        <w:rPr>
          <w:rFonts w:ascii="Century Gothic" w:hAnsi="Century Gothic" w:cs="Arial"/>
        </w:rPr>
        <w:t xml:space="preserve">ar la experiencia de los socios.  </w:t>
      </w:r>
    </w:p>
    <w:p w14:paraId="2F5B09CC" w14:textId="77777777" w:rsidR="00F97CDE" w:rsidRPr="00643E3F" w:rsidRDefault="00F97CDE" w:rsidP="00F97CDE">
      <w:pPr>
        <w:spacing w:after="120" w:line="276" w:lineRule="auto"/>
        <w:jc w:val="both"/>
        <w:rPr>
          <w:rFonts w:ascii="Century Gothic" w:hAnsi="Century Gothic" w:cs="Arial"/>
        </w:rPr>
      </w:pPr>
    </w:p>
    <w:p w14:paraId="5293B4D8" w14:textId="77777777" w:rsidR="00F97CDE" w:rsidRPr="00643E3F" w:rsidRDefault="00F97CDE" w:rsidP="00F97CDE">
      <w:pPr>
        <w:spacing w:line="276" w:lineRule="auto"/>
        <w:jc w:val="both"/>
        <w:rPr>
          <w:rFonts w:ascii="Century Gothic" w:hAnsi="Century Gothic" w:cs="Arial"/>
        </w:rPr>
      </w:pPr>
      <w:r w:rsidRPr="00643E3F">
        <w:rPr>
          <w:rFonts w:ascii="Century Gothic" w:hAnsi="Century Gothic" w:cs="Ari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78DA53A" w14:textId="77777777" w:rsidR="00F97CDE" w:rsidRPr="00643E3F" w:rsidRDefault="00F97CDE" w:rsidP="00F97CDE">
      <w:pPr>
        <w:jc w:val="both"/>
        <w:rPr>
          <w:rFonts w:ascii="Century Gothic" w:hAnsi="Century Gothic" w:cs="Arial"/>
        </w:rPr>
      </w:pPr>
    </w:p>
    <w:p w14:paraId="2FA54946" w14:textId="26B62493" w:rsidR="00F97CDE" w:rsidRPr="00F97CDE" w:rsidRDefault="00F97CDE" w:rsidP="00F97CDE">
      <w:pPr>
        <w:spacing w:after="120" w:line="276" w:lineRule="auto"/>
        <w:jc w:val="both"/>
        <w:rPr>
          <w:rFonts w:ascii="Century Gothic" w:hAnsi="Century Gothic" w:cs="Arial"/>
        </w:rPr>
      </w:pPr>
      <w:r w:rsidRPr="00643E3F">
        <w:rPr>
          <w:rFonts w:ascii="Century Gothic" w:hAnsi="Century Gothic" w:cs="Arial"/>
          <w:lang w:val="es-ES"/>
        </w:rPr>
        <w:t>Atentamente,</w:t>
      </w:r>
    </w:p>
    <w:p w14:paraId="72F8D11A" w14:textId="3D00B5FD" w:rsidR="00F97CDE" w:rsidRPr="00643E3F" w:rsidRDefault="00C11B6A" w:rsidP="00F97CDE">
      <w:pPr>
        <w:widowControl w:val="0"/>
        <w:autoSpaceDE w:val="0"/>
        <w:autoSpaceDN w:val="0"/>
        <w:spacing w:after="18"/>
        <w:jc w:val="center"/>
        <w:rPr>
          <w:rFonts w:ascii="Century Gothic" w:eastAsia="Arial" w:hAnsi="Century Gothic" w:cs="Arial"/>
          <w:lang w:val="es-ES" w:eastAsia="es-CO" w:bidi="es-ES"/>
        </w:rPr>
      </w:pPr>
      <w:r w:rsidRPr="00CE0D82">
        <w:rPr>
          <w:rFonts w:ascii="Arial" w:eastAsia="Times New Roman" w:hAnsi="Arial" w:cs="Arial"/>
          <w:noProof/>
          <w:sz w:val="24"/>
          <w:szCs w:val="24"/>
          <w:lang w:eastAsia="es-MX"/>
        </w:rPr>
        <w:drawing>
          <wp:inline distT="0" distB="0" distL="0" distR="0" wp14:anchorId="5F528473" wp14:editId="7BB00BF0">
            <wp:extent cx="2351921" cy="90239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351921" cy="902399"/>
                    </a:xfrm>
                    <a:prstGeom prst="rect">
                      <a:avLst/>
                    </a:prstGeom>
                  </pic:spPr>
                </pic:pic>
              </a:graphicData>
            </a:graphic>
          </wp:inline>
        </w:drawing>
      </w:r>
    </w:p>
    <w:tbl>
      <w:tblPr>
        <w:tblStyle w:val="Tablaconcuadrcula11"/>
        <w:tblpPr w:leftFromText="141" w:rightFromText="141" w:vertAnchor="text" w:horzAnchor="margin" w:tblpY="2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003"/>
      </w:tblGrid>
      <w:tr w:rsidR="00F97CDE" w:rsidRPr="00643E3F" w14:paraId="53E8F5F0" w14:textId="77777777" w:rsidTr="00BD6AFD">
        <w:trPr>
          <w:trHeight w:val="286"/>
        </w:trPr>
        <w:tc>
          <w:tcPr>
            <w:tcW w:w="817" w:type="dxa"/>
            <w:vAlign w:val="center"/>
            <w:hideMark/>
          </w:tcPr>
          <w:p w14:paraId="4E7AC802" w14:textId="77777777" w:rsidR="00F97CDE" w:rsidRPr="00643E3F" w:rsidRDefault="00F97CDE" w:rsidP="00BD6AFD">
            <w:pPr>
              <w:rPr>
                <w:rFonts w:ascii="Century Gothic" w:eastAsia="Arial" w:hAnsi="Century Gothic" w:cs="Arial"/>
                <w:sz w:val="14"/>
                <w:szCs w:val="14"/>
                <w:lang w:val="es-ES" w:eastAsia="es-ES" w:bidi="es-ES"/>
              </w:rPr>
            </w:pPr>
            <w:bookmarkStart w:id="15" w:name="_Hlk70523608"/>
            <w:r w:rsidRPr="00643E3F">
              <w:rPr>
                <w:rFonts w:ascii="Century Gothic" w:eastAsia="Arial" w:hAnsi="Century Gothic" w:cs="Arial"/>
                <w:sz w:val="14"/>
                <w:szCs w:val="14"/>
                <w:lang w:val="es-ES" w:eastAsia="es-ES" w:bidi="es-ES"/>
              </w:rPr>
              <w:t>Elaboró:</w:t>
            </w:r>
          </w:p>
        </w:tc>
        <w:tc>
          <w:tcPr>
            <w:tcW w:w="4003" w:type="dxa"/>
            <w:tcBorders>
              <w:top w:val="nil"/>
              <w:left w:val="nil"/>
              <w:bottom w:val="dotted" w:sz="4" w:space="0" w:color="7F7F7F" w:themeColor="text1" w:themeTint="80"/>
              <w:right w:val="nil"/>
            </w:tcBorders>
            <w:vAlign w:val="center"/>
            <w:hideMark/>
          </w:tcPr>
          <w:p w14:paraId="5757CE6A"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eastAsia="es-ES" w:bidi="es-ES"/>
              </w:rPr>
              <w:t>Nina María Padrón Ballestas</w:t>
            </w:r>
          </w:p>
          <w:p w14:paraId="5E96A29B"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val="es-ES" w:eastAsia="es-ES" w:bidi="es-ES"/>
              </w:rPr>
              <w:t>Contratista de la Subdirección de Gestión Contractual</w:t>
            </w:r>
          </w:p>
        </w:tc>
      </w:tr>
      <w:tr w:rsidR="00F97CDE" w:rsidRPr="00643E3F" w14:paraId="72678418" w14:textId="77777777" w:rsidTr="00BD6AFD">
        <w:trPr>
          <w:trHeight w:val="299"/>
        </w:trPr>
        <w:tc>
          <w:tcPr>
            <w:tcW w:w="817" w:type="dxa"/>
            <w:vAlign w:val="center"/>
            <w:hideMark/>
          </w:tcPr>
          <w:p w14:paraId="2B2FEC07"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val="es-ES" w:eastAsia="es-ES" w:bidi="es-ES"/>
              </w:rPr>
              <w:t>Revisó: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687E9B56"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val="es-ES" w:eastAsia="es-ES" w:bidi="es-ES"/>
              </w:rPr>
              <w:t>Ximena Ríos López</w:t>
            </w:r>
          </w:p>
          <w:p w14:paraId="5C1A276E"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val="es-ES" w:eastAsia="es-ES" w:bidi="es-ES"/>
              </w:rPr>
              <w:t xml:space="preserve">Gestor T1-11 de la Subdirección de Gestión Contractual  </w:t>
            </w:r>
          </w:p>
        </w:tc>
      </w:tr>
      <w:tr w:rsidR="00F97CDE" w:rsidRPr="00643E3F" w14:paraId="63F8C914" w14:textId="77777777" w:rsidTr="00BD6AFD">
        <w:trPr>
          <w:trHeight w:val="272"/>
        </w:trPr>
        <w:tc>
          <w:tcPr>
            <w:tcW w:w="817" w:type="dxa"/>
            <w:vAlign w:val="center"/>
            <w:hideMark/>
          </w:tcPr>
          <w:p w14:paraId="08438475"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val="es-ES" w:eastAsia="es-ES" w:bidi="es-ES"/>
              </w:rPr>
              <w:t>Aprobó:</w:t>
            </w:r>
          </w:p>
        </w:tc>
        <w:tc>
          <w:tcPr>
            <w:tcW w:w="4003" w:type="dxa"/>
            <w:tcBorders>
              <w:top w:val="dotted" w:sz="4" w:space="0" w:color="7F7F7F" w:themeColor="text1" w:themeTint="80"/>
              <w:left w:val="nil"/>
              <w:bottom w:val="dotted" w:sz="4" w:space="0" w:color="7F7F7F" w:themeColor="text1" w:themeTint="80"/>
              <w:right w:val="nil"/>
            </w:tcBorders>
            <w:vAlign w:val="center"/>
            <w:hideMark/>
          </w:tcPr>
          <w:p w14:paraId="213D3A2C"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val="es-ES" w:eastAsia="es-ES" w:bidi="es-ES"/>
              </w:rPr>
              <w:t>Nohelia del Carmen Zawady Palacio</w:t>
            </w:r>
          </w:p>
          <w:p w14:paraId="44ED7044" w14:textId="77777777" w:rsidR="00F97CDE" w:rsidRPr="00643E3F" w:rsidRDefault="00F97CDE" w:rsidP="00BD6AFD">
            <w:pPr>
              <w:rPr>
                <w:rFonts w:ascii="Century Gothic" w:eastAsia="Arial" w:hAnsi="Century Gothic" w:cs="Arial"/>
                <w:sz w:val="14"/>
                <w:szCs w:val="14"/>
                <w:lang w:val="es-ES" w:eastAsia="es-ES" w:bidi="es-ES"/>
              </w:rPr>
            </w:pPr>
            <w:r w:rsidRPr="00643E3F">
              <w:rPr>
                <w:rFonts w:ascii="Century Gothic" w:eastAsia="Arial" w:hAnsi="Century Gothic" w:cs="Arial"/>
                <w:sz w:val="14"/>
                <w:szCs w:val="14"/>
                <w:lang w:val="es-ES" w:eastAsia="es-ES" w:bidi="es-ES"/>
              </w:rPr>
              <w:t>Subdirector de Gestión Contractual ANCP – CCE</w:t>
            </w:r>
          </w:p>
        </w:tc>
      </w:tr>
      <w:bookmarkEnd w:id="15"/>
    </w:tbl>
    <w:p w14:paraId="5A46DF14" w14:textId="77777777" w:rsidR="00F97CDE" w:rsidRPr="00643E3F" w:rsidRDefault="00F97CDE" w:rsidP="00F97CDE">
      <w:pPr>
        <w:widowControl w:val="0"/>
        <w:autoSpaceDE w:val="0"/>
        <w:autoSpaceDN w:val="0"/>
        <w:spacing w:after="18"/>
        <w:jc w:val="center"/>
        <w:rPr>
          <w:rFonts w:ascii="Century Gothic" w:eastAsia="Arial" w:hAnsi="Century Gothic" w:cs="Arial"/>
          <w:lang w:val="es-ES" w:eastAsia="es-CO" w:bidi="es-ES"/>
        </w:rPr>
      </w:pPr>
    </w:p>
    <w:p w14:paraId="6BE8E1CC" w14:textId="77777777" w:rsidR="00F97CDE" w:rsidRPr="00643E3F" w:rsidRDefault="00F97CDE" w:rsidP="00F97CDE">
      <w:pPr>
        <w:widowControl w:val="0"/>
        <w:autoSpaceDE w:val="0"/>
        <w:autoSpaceDN w:val="0"/>
        <w:rPr>
          <w:rFonts w:ascii="Century Gothic" w:eastAsia="Arial" w:hAnsi="Century Gothic" w:cs="Arial"/>
          <w:lang w:val="es-ES" w:eastAsia="es-ES" w:bidi="es-ES"/>
        </w:rPr>
      </w:pPr>
    </w:p>
    <w:p w14:paraId="602B3FA6" w14:textId="77777777" w:rsidR="00F97CDE" w:rsidRPr="00643E3F" w:rsidRDefault="00F97CDE" w:rsidP="00F97CDE">
      <w:pPr>
        <w:widowControl w:val="0"/>
        <w:autoSpaceDE w:val="0"/>
        <w:autoSpaceDN w:val="0"/>
        <w:rPr>
          <w:rFonts w:ascii="Century Gothic" w:eastAsia="Arial" w:hAnsi="Century Gothic" w:cs="Arial"/>
          <w:lang w:val="es-ES" w:eastAsia="es-ES" w:bidi="es-ES"/>
        </w:rPr>
      </w:pPr>
    </w:p>
    <w:p w14:paraId="7635BCE9" w14:textId="77777777" w:rsidR="00F97CDE" w:rsidRPr="00643E3F" w:rsidRDefault="00F97CDE" w:rsidP="00F97CDE">
      <w:pPr>
        <w:widowControl w:val="0"/>
        <w:autoSpaceDE w:val="0"/>
        <w:autoSpaceDN w:val="0"/>
        <w:spacing w:line="276" w:lineRule="auto"/>
        <w:jc w:val="both"/>
        <w:rPr>
          <w:rFonts w:ascii="Century Gothic" w:eastAsia="Times New Roman" w:hAnsi="Century Gothic" w:cs="Arial"/>
          <w:sz w:val="18"/>
          <w:szCs w:val="18"/>
          <w:lang w:val="es-ES_tradnl" w:eastAsia="es-CO" w:bidi="es-ES"/>
        </w:rPr>
      </w:pPr>
    </w:p>
    <w:p w14:paraId="069D2F48" w14:textId="77777777" w:rsidR="00F97CDE" w:rsidRPr="00643E3F" w:rsidRDefault="00F97CDE" w:rsidP="00F97CDE">
      <w:pPr>
        <w:widowControl w:val="0"/>
        <w:autoSpaceDE w:val="0"/>
        <w:autoSpaceDN w:val="0"/>
        <w:spacing w:line="276" w:lineRule="auto"/>
        <w:jc w:val="both"/>
        <w:rPr>
          <w:rFonts w:ascii="Century Gothic" w:eastAsia="Times New Roman" w:hAnsi="Century Gothic" w:cs="Arial"/>
          <w:sz w:val="18"/>
          <w:szCs w:val="18"/>
          <w:lang w:val="es-ES_tradnl" w:eastAsia="es-CO" w:bidi="es-ES"/>
        </w:rPr>
      </w:pPr>
    </w:p>
    <w:p w14:paraId="572BA1B7" w14:textId="77777777" w:rsidR="00F97CDE" w:rsidRPr="00643E3F" w:rsidRDefault="00F97CDE" w:rsidP="00F97CDE">
      <w:pPr>
        <w:spacing w:line="276" w:lineRule="auto"/>
        <w:jc w:val="both"/>
        <w:rPr>
          <w:rFonts w:ascii="Century Gothic" w:eastAsia="Times New Roman" w:hAnsi="Century Gothic" w:cs="Arial"/>
          <w:sz w:val="16"/>
          <w:szCs w:val="16"/>
          <w:lang w:eastAsia="es-ES"/>
        </w:rPr>
      </w:pPr>
    </w:p>
    <w:p w14:paraId="3FE7CB0A" w14:textId="77777777" w:rsidR="00F97CDE" w:rsidRPr="00643E3F" w:rsidRDefault="00F97CDE" w:rsidP="00F97CDE">
      <w:pPr>
        <w:rPr>
          <w:rFonts w:ascii="Century Gothic" w:hAnsi="Century Gothic"/>
        </w:rPr>
      </w:pPr>
    </w:p>
    <w:p w14:paraId="3A650524" w14:textId="77777777" w:rsidR="00F97CDE" w:rsidRPr="00643E3F" w:rsidRDefault="00F97CDE" w:rsidP="00F97CDE">
      <w:pPr>
        <w:contextualSpacing/>
        <w:jc w:val="both"/>
        <w:rPr>
          <w:rFonts w:ascii="Century Gothic" w:hAnsi="Century Gothic" w:cs="Arial"/>
          <w:color w:val="000000"/>
        </w:rPr>
      </w:pPr>
    </w:p>
    <w:p w14:paraId="0F293BF4" w14:textId="7BBFAB11" w:rsidR="00127233" w:rsidRPr="00322A85" w:rsidRDefault="00127233" w:rsidP="00F97CDE">
      <w:pPr>
        <w:spacing w:after="0"/>
        <w:rPr>
          <w:rFonts w:ascii="Century Gothic" w:hAnsi="Century Gothic"/>
        </w:rPr>
      </w:pPr>
    </w:p>
    <w:sectPr w:rsidR="00127233" w:rsidRPr="00322A85" w:rsidSect="00C10751">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BE171" w14:textId="77777777" w:rsidR="00C10751" w:rsidRDefault="00C10751" w:rsidP="004A1847">
      <w:pPr>
        <w:spacing w:after="0" w:line="240" w:lineRule="auto"/>
      </w:pPr>
      <w:r>
        <w:separator/>
      </w:r>
    </w:p>
  </w:endnote>
  <w:endnote w:type="continuationSeparator" w:id="0">
    <w:p w14:paraId="1B532410" w14:textId="77777777" w:rsidR="00C10751" w:rsidRDefault="00C1075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val="en-US"/>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n-US"/>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5E779854"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F97CDE">
            <w:rPr>
              <w:rFonts w:ascii="Century Gothic" w:hAnsi="Century Gothic"/>
              <w:b/>
              <w:bCs/>
              <w:noProof/>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F97CDE">
            <w:rPr>
              <w:rFonts w:ascii="Century Gothic" w:hAnsi="Century Gothic"/>
              <w:b/>
              <w:bCs/>
              <w:noProof/>
              <w:sz w:val="16"/>
              <w:szCs w:val="16"/>
            </w:rPr>
            <w:t>23</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9FE69" w14:textId="77777777" w:rsidR="00C10751" w:rsidRDefault="00C10751" w:rsidP="004A1847">
      <w:pPr>
        <w:spacing w:after="0" w:line="240" w:lineRule="auto"/>
      </w:pPr>
      <w:r>
        <w:separator/>
      </w:r>
    </w:p>
  </w:footnote>
  <w:footnote w:type="continuationSeparator" w:id="0">
    <w:p w14:paraId="3AE0A1D7" w14:textId="77777777" w:rsidR="00C10751" w:rsidRDefault="00C10751" w:rsidP="004A1847">
      <w:pPr>
        <w:spacing w:after="0" w:line="240" w:lineRule="auto"/>
      </w:pPr>
      <w:r>
        <w:continuationSeparator/>
      </w:r>
    </w:p>
  </w:footnote>
  <w:footnote w:id="1">
    <w:p w14:paraId="7A1769A5" w14:textId="77777777" w:rsidR="00F97CDE" w:rsidRPr="001736AA" w:rsidRDefault="00F97CDE" w:rsidP="00F97CDE">
      <w:pPr>
        <w:pStyle w:val="Textonotapie"/>
        <w:ind w:firstLine="708"/>
        <w:jc w:val="both"/>
        <w:rPr>
          <w:rFonts w:ascii="Century Gothic" w:hAnsi="Century Gothic" w:cs="Arial"/>
          <w:sz w:val="18"/>
          <w:szCs w:val="18"/>
        </w:rPr>
      </w:pPr>
      <w:r w:rsidRPr="001736AA">
        <w:rPr>
          <w:rStyle w:val="Refdenotaalpie"/>
          <w:rFonts w:ascii="Century Gothic" w:hAnsi="Century Gothic" w:cs="Arial"/>
          <w:sz w:val="18"/>
          <w:szCs w:val="18"/>
        </w:rPr>
        <w:footnoteRef/>
      </w:r>
      <w:r w:rsidRPr="001736AA">
        <w:rPr>
          <w:rFonts w:ascii="Century Gothic" w:hAnsi="Century Gothic" w:cs="Arial"/>
          <w:sz w:val="18"/>
          <w:szCs w:val="18"/>
        </w:rPr>
        <w:t xml:space="preserve"> La Agencia Nacional de Contratación Pública </w:t>
      </w:r>
      <w:r w:rsidRPr="001736AA">
        <w:rPr>
          <w:rFonts w:ascii="Arial" w:hAnsi="Arial" w:cs="Arial"/>
          <w:sz w:val="18"/>
          <w:szCs w:val="18"/>
        </w:rPr>
        <w:t>‒</w:t>
      </w:r>
      <w:r w:rsidRPr="001736AA">
        <w:rPr>
          <w:rFonts w:ascii="Century Gothic" w:hAnsi="Century Gothic" w:cs="Arial"/>
          <w:sz w:val="18"/>
          <w:szCs w:val="18"/>
        </w:rPr>
        <w:t xml:space="preserve"> Colombia Compra Eficiente fue creada por el Decreto Ley 4170 de 2011. Su objetivo es servir como ente rector de la pol</w:t>
      </w:r>
      <w:r w:rsidRPr="001736AA">
        <w:rPr>
          <w:rFonts w:ascii="Century Gothic" w:hAnsi="Century Gothic" w:cs="Century Gothic"/>
          <w:sz w:val="18"/>
          <w:szCs w:val="18"/>
        </w:rPr>
        <w:t>í</w:t>
      </w:r>
      <w:r w:rsidRPr="001736AA">
        <w:rPr>
          <w:rFonts w:ascii="Century Gothic" w:hAnsi="Century Gothic" w:cs="Arial"/>
          <w:sz w:val="18"/>
          <w:szCs w:val="18"/>
        </w:rPr>
        <w:t>tica de compras y contrataci</w:t>
      </w:r>
      <w:r w:rsidRPr="001736AA">
        <w:rPr>
          <w:rFonts w:ascii="Century Gothic" w:hAnsi="Century Gothic" w:cs="Century Gothic"/>
          <w:sz w:val="18"/>
          <w:szCs w:val="18"/>
        </w:rPr>
        <w:t>ó</w:t>
      </w:r>
      <w:r w:rsidRPr="001736AA">
        <w:rPr>
          <w:rFonts w:ascii="Century Gothic" w:hAnsi="Century Gothic" w:cs="Arial"/>
          <w:sz w:val="18"/>
          <w:szCs w:val="18"/>
        </w:rPr>
        <w:t xml:space="preserve">n del Estado. Para tales fines, como </w:t>
      </w:r>
      <w:r w:rsidRPr="001736AA">
        <w:rPr>
          <w:rFonts w:ascii="Century Gothic" w:hAnsi="Century Gothic" w:cs="Century Gothic"/>
          <w:sz w:val="18"/>
          <w:szCs w:val="18"/>
        </w:rPr>
        <w:t>ó</w:t>
      </w:r>
      <w:r w:rsidRPr="001736AA">
        <w:rPr>
          <w:rFonts w:ascii="Century Gothic" w:hAnsi="Century Gothic" w:cs="Arial"/>
          <w:sz w:val="18"/>
          <w:szCs w:val="18"/>
        </w:rPr>
        <w:t>rgano t</w:t>
      </w:r>
      <w:r w:rsidRPr="001736AA">
        <w:rPr>
          <w:rFonts w:ascii="Century Gothic" w:hAnsi="Century Gothic" w:cs="Century Gothic"/>
          <w:sz w:val="18"/>
          <w:szCs w:val="18"/>
        </w:rPr>
        <w:t>é</w:t>
      </w:r>
      <w:r w:rsidRPr="001736AA">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1736AA">
        <w:rPr>
          <w:rFonts w:ascii="Century Gothic" w:hAnsi="Century Gothic" w:cs="Arial"/>
          <w:i/>
          <w:iCs/>
          <w:sz w:val="18"/>
          <w:szCs w:val="18"/>
        </w:rPr>
        <w:t xml:space="preserve">ibidem </w:t>
      </w:r>
      <w:r w:rsidRPr="001736AA">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1736AA">
        <w:rPr>
          <w:rFonts w:ascii="Century Gothic" w:hAnsi="Century Gothic" w:cs="Arial"/>
          <w:sz w:val="18"/>
          <w:szCs w:val="18"/>
        </w:rPr>
        <w:t>bsolver</w:t>
      </w:r>
      <w:proofErr w:type="spellEnd"/>
      <w:r w:rsidRPr="001736AA">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1736AA">
        <w:rPr>
          <w:rFonts w:ascii="Century Gothic" w:hAnsi="Century Gothic" w:cs="Arial"/>
          <w:sz w:val="18"/>
          <w:szCs w:val="18"/>
        </w:rPr>
        <w:t>bsolver</w:t>
      </w:r>
      <w:proofErr w:type="spellEnd"/>
      <w:r w:rsidRPr="001736AA">
        <w:rPr>
          <w:rFonts w:ascii="Century Gothic" w:hAnsi="Century Gothic" w:cs="Arial"/>
          <w:sz w:val="18"/>
          <w:szCs w:val="18"/>
        </w:rPr>
        <w:t xml:space="preserve"> consultas sobre la aplicación de normas de carácter general”</w:t>
      </w:r>
    </w:p>
    <w:p w14:paraId="6F3CEB48" w14:textId="77777777" w:rsidR="00F97CDE" w:rsidRPr="001736AA" w:rsidRDefault="00F97CDE" w:rsidP="00F97CDE">
      <w:pPr>
        <w:pStyle w:val="Textonotapie"/>
        <w:ind w:firstLine="708"/>
        <w:jc w:val="both"/>
        <w:rPr>
          <w:rFonts w:ascii="Century Gothic" w:hAnsi="Century Gothic" w:cs="Arial"/>
          <w:sz w:val="18"/>
          <w:szCs w:val="18"/>
          <w:lang w:val="es-ES"/>
        </w:rPr>
      </w:pPr>
    </w:p>
  </w:footnote>
  <w:footnote w:id="2">
    <w:p w14:paraId="743E087B" w14:textId="77777777" w:rsidR="00111ABB" w:rsidRPr="001736AA" w:rsidRDefault="00111ABB" w:rsidP="00111ABB">
      <w:pPr>
        <w:pStyle w:val="Textonotapie"/>
        <w:ind w:firstLine="707"/>
        <w:jc w:val="both"/>
        <w:rPr>
          <w:rFonts w:ascii="Century Gothic" w:hAnsi="Century Gothic" w:cs="Arial"/>
          <w:sz w:val="18"/>
          <w:szCs w:val="18"/>
          <w:shd w:val="clear" w:color="auto" w:fill="E6E6E6"/>
        </w:rPr>
      </w:pPr>
      <w:r w:rsidRPr="001736AA">
        <w:rPr>
          <w:rStyle w:val="Refdenotaalpie"/>
          <w:rFonts w:ascii="Century Gothic" w:hAnsi="Century Gothic" w:cs="Arial"/>
          <w:sz w:val="18"/>
          <w:szCs w:val="18"/>
        </w:rPr>
        <w:footnoteRef/>
      </w:r>
      <w:r w:rsidRPr="001736AA">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736AA">
          <w:rPr>
            <w:rStyle w:val="Hipervnculo"/>
            <w:rFonts w:ascii="Century Gothic" w:hAnsi="Century Gothic" w:cs="Arial"/>
            <w:sz w:val="18"/>
            <w:szCs w:val="18"/>
          </w:rPr>
          <w:t>https://relatoria.colombiacompra.gov.co/busqueda/conceptos</w:t>
        </w:r>
      </w:hyperlink>
      <w:r w:rsidRPr="001736AA">
        <w:rPr>
          <w:rStyle w:val="Hipervnculo"/>
          <w:rFonts w:ascii="Century Gothic" w:hAnsi="Century Gothic" w:cs="Arial"/>
          <w:sz w:val="18"/>
          <w:szCs w:val="18"/>
        </w:rPr>
        <w:t xml:space="preserve">. </w:t>
      </w:r>
      <w:r w:rsidRPr="001736AA">
        <w:rPr>
          <w:rFonts w:ascii="Century Gothic" w:hAnsi="Century Gothic" w:cs="Arial"/>
          <w:sz w:val="18"/>
          <w:szCs w:val="18"/>
          <w:shd w:val="clear" w:color="auto" w:fill="E6E6E6"/>
        </w:rPr>
        <w:t xml:space="preserve"> </w:t>
      </w:r>
    </w:p>
    <w:p w14:paraId="0AD849DA" w14:textId="77777777" w:rsidR="00111ABB" w:rsidRPr="001736AA" w:rsidRDefault="00111ABB" w:rsidP="00111ABB">
      <w:pPr>
        <w:pStyle w:val="Textonotapie"/>
        <w:ind w:firstLine="707"/>
        <w:jc w:val="both"/>
        <w:rPr>
          <w:rFonts w:ascii="Century Gothic" w:hAnsi="Century Gothic" w:cs="Arial"/>
          <w:sz w:val="18"/>
          <w:szCs w:val="18"/>
        </w:rPr>
      </w:pPr>
    </w:p>
  </w:footnote>
  <w:footnote w:id="3">
    <w:p w14:paraId="3CC589EF" w14:textId="4F578448"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Ley 1150 de 2007: </w:t>
      </w:r>
      <w:r w:rsidR="00173660">
        <w:rPr>
          <w:rFonts w:ascii="Century Gothic" w:hAnsi="Century Gothic" w:cs="Arial"/>
          <w:sz w:val="14"/>
          <w:szCs w:val="14"/>
        </w:rPr>
        <w:t>“</w:t>
      </w:r>
      <w:r w:rsidRPr="001736AA">
        <w:rPr>
          <w:rFonts w:ascii="Century Gothic" w:hAnsi="Century Gothic" w:cs="Arial"/>
          <w:sz w:val="14"/>
          <w:szCs w:val="14"/>
        </w:rPr>
        <w:t xml:space="preserve">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1736AA">
        <w:rPr>
          <w:rFonts w:ascii="Century Gothic" w:hAnsi="Century Gothic" w:cs="Arial"/>
          <w:sz w:val="14"/>
          <w:szCs w:val="14"/>
        </w:rPr>
        <w:t>equivalentes,</w:t>
      </w:r>
      <w:proofErr w:type="gramEnd"/>
      <w:r w:rsidRPr="001736AA">
        <w:rPr>
          <w:rFonts w:ascii="Century Gothic" w:hAnsi="Century Gothic" w:cs="Arial"/>
          <w:sz w:val="14"/>
          <w:szCs w:val="14"/>
        </w:rPr>
        <w:t xml:space="preserve"> tendrán en cuenta los siguientes criterios:</w:t>
      </w:r>
    </w:p>
    <w:p w14:paraId="014962C8" w14:textId="5B5F09B3" w:rsidR="00F97CDE" w:rsidRPr="001736AA" w:rsidRDefault="00173660"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Pr>
          <w:rFonts w:ascii="Century Gothic" w:hAnsi="Century Gothic" w:cs="Arial"/>
          <w:sz w:val="14"/>
          <w:szCs w:val="14"/>
        </w:rPr>
        <w:t>”.</w:t>
      </w:r>
    </w:p>
    <w:p w14:paraId="775F34AC" w14:textId="77777777" w:rsidR="00F97CDE" w:rsidRPr="001736AA" w:rsidRDefault="00F97CDE" w:rsidP="00F97CDE">
      <w:pPr>
        <w:pStyle w:val="Textonotapie"/>
        <w:jc w:val="both"/>
        <w:rPr>
          <w:rFonts w:ascii="Century Gothic" w:hAnsi="Century Gothic" w:cs="Arial"/>
          <w:sz w:val="14"/>
          <w:szCs w:val="14"/>
          <w:lang w:val="es-ES"/>
        </w:rPr>
      </w:pPr>
    </w:p>
  </w:footnote>
  <w:footnote w:id="4">
    <w:p w14:paraId="1A749629" w14:textId="7E8473BA"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Decreto 1082 de 2015: </w:t>
      </w:r>
      <w:r w:rsidR="0052277F">
        <w:rPr>
          <w:rFonts w:ascii="Century Gothic" w:hAnsi="Century Gothic" w:cs="Arial"/>
          <w:sz w:val="14"/>
          <w:szCs w:val="14"/>
        </w:rPr>
        <w:t>“</w:t>
      </w:r>
      <w:r w:rsidRPr="001736AA">
        <w:rPr>
          <w:rFonts w:ascii="Century Gothic" w:hAnsi="Century Gothic" w:cs="Arial"/>
          <w:sz w:val="14"/>
          <w:szCs w:val="14"/>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r w:rsidR="0052277F">
        <w:rPr>
          <w:rFonts w:ascii="Century Gothic" w:hAnsi="Century Gothic" w:cs="Arial"/>
          <w:sz w:val="14"/>
          <w:szCs w:val="14"/>
        </w:rPr>
        <w:t>”</w:t>
      </w:r>
      <w:r w:rsidRPr="001736AA">
        <w:rPr>
          <w:rFonts w:ascii="Century Gothic" w:hAnsi="Century Gothic" w:cs="Arial"/>
          <w:sz w:val="14"/>
          <w:szCs w:val="14"/>
        </w:rPr>
        <w:t>.</w:t>
      </w:r>
    </w:p>
    <w:p w14:paraId="05B162AA" w14:textId="77777777" w:rsidR="00F97CDE" w:rsidRPr="001736AA" w:rsidRDefault="00F97CDE" w:rsidP="00F97CDE">
      <w:pPr>
        <w:pStyle w:val="Textonotapie"/>
        <w:ind w:firstLine="708"/>
        <w:jc w:val="both"/>
        <w:rPr>
          <w:rFonts w:ascii="Century Gothic" w:hAnsi="Century Gothic" w:cs="Arial"/>
          <w:sz w:val="14"/>
          <w:szCs w:val="14"/>
          <w:lang w:val="es-ES"/>
        </w:rPr>
      </w:pPr>
    </w:p>
  </w:footnote>
  <w:footnote w:id="5">
    <w:p w14:paraId="0122B6FA" w14:textId="77777777"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BD25689" w14:textId="3A5891F1" w:rsidR="00F97CDE" w:rsidRPr="001736AA" w:rsidRDefault="0052277F"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1. Experiencia – Los contratos celebrados por el interesado para cada uno de los bienes, obras y servicios que ofrecerá a las Entidades Estatales, identificados con el Clasificador de Bienes y Servicios en el tercer nivel y su valor expresado en SMMLV.</w:t>
      </w:r>
    </w:p>
    <w:p w14:paraId="3F4E84B6" w14:textId="77777777" w:rsidR="00F97CDE" w:rsidRPr="001736AA" w:rsidRDefault="00F97CDE" w:rsidP="00F97CDE">
      <w:pPr>
        <w:pStyle w:val="Textonotapie"/>
        <w:ind w:firstLine="708"/>
        <w:jc w:val="both"/>
        <w:rPr>
          <w:rFonts w:ascii="Century Gothic" w:hAnsi="Century Gothic" w:cs="Arial"/>
          <w:sz w:val="14"/>
          <w:szCs w:val="14"/>
        </w:rPr>
      </w:pPr>
      <w:r w:rsidRPr="001736AA">
        <w:rPr>
          <w:rFonts w:ascii="Century Gothic" w:hAnsi="Century Gothic" w:cs="Arial"/>
          <w:sz w:val="14"/>
          <w:szCs w:val="14"/>
        </w:rPr>
        <w:t>[...]».</w:t>
      </w:r>
    </w:p>
    <w:p w14:paraId="42460F46" w14:textId="77777777" w:rsidR="00F97CDE" w:rsidRPr="001736AA" w:rsidRDefault="00F97CDE" w:rsidP="00F97CDE">
      <w:pPr>
        <w:pStyle w:val="Textonotapie"/>
        <w:ind w:firstLine="708"/>
        <w:jc w:val="both"/>
        <w:rPr>
          <w:rFonts w:ascii="Century Gothic" w:hAnsi="Century Gothic" w:cs="Arial"/>
          <w:sz w:val="14"/>
          <w:szCs w:val="14"/>
          <w:lang w:val="es-ES"/>
        </w:rPr>
      </w:pPr>
    </w:p>
  </w:footnote>
  <w:footnote w:id="6">
    <w:p w14:paraId="14C4C7CD" w14:textId="72E3AFA0"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Ley 1150 de 2007: </w:t>
      </w:r>
      <w:r w:rsidR="0052277F">
        <w:rPr>
          <w:rFonts w:ascii="Century Gothic" w:hAnsi="Century Gothic" w:cs="Arial"/>
          <w:sz w:val="14"/>
          <w:szCs w:val="14"/>
        </w:rPr>
        <w:t>“</w:t>
      </w:r>
      <w:r w:rsidRPr="001736AA">
        <w:rPr>
          <w:rFonts w:ascii="Century Gothic" w:hAnsi="Century Gothic" w:cs="Arial"/>
          <w:sz w:val="14"/>
          <w:szCs w:val="14"/>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C31AF01" w14:textId="77777777" w:rsidR="00F97CDE" w:rsidRPr="001736AA" w:rsidRDefault="00F97CDE" w:rsidP="00F97CDE">
      <w:pPr>
        <w:pStyle w:val="Textonotapie"/>
        <w:ind w:firstLine="708"/>
        <w:jc w:val="both"/>
        <w:rPr>
          <w:rFonts w:ascii="Century Gothic" w:hAnsi="Century Gothic" w:cs="Arial"/>
          <w:sz w:val="14"/>
          <w:szCs w:val="14"/>
        </w:rPr>
      </w:pPr>
      <w:r w:rsidRPr="001736AA">
        <w:rPr>
          <w:rFonts w:ascii="Century Gothic" w:hAnsi="Century Gothic" w:cs="Arial"/>
          <w:sz w:val="14"/>
          <w:szCs w:val="14"/>
        </w:rPr>
        <w:t>[...]</w:t>
      </w:r>
    </w:p>
    <w:p w14:paraId="7913A7A8" w14:textId="23D58E9A" w:rsidR="00F97CDE" w:rsidRPr="001736AA" w:rsidRDefault="0052277F"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213C043" w14:textId="0A308FF9" w:rsidR="00F97CDE" w:rsidRPr="001736AA" w:rsidRDefault="0052277F"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No obstante lo anterior, sólo en aquellos casos en que por las características del objeto a contratar se requiera la verificación de requisitos del proponente adicionales a los contenidos en el Registro, la entidad podrá hacer tal verificación en forma directa</w:t>
      </w:r>
      <w:r>
        <w:rPr>
          <w:rFonts w:ascii="Century Gothic" w:hAnsi="Century Gothic" w:cs="Arial"/>
          <w:sz w:val="14"/>
          <w:szCs w:val="14"/>
        </w:rPr>
        <w:t>”</w:t>
      </w:r>
      <w:r w:rsidR="00F97CDE" w:rsidRPr="001736AA">
        <w:rPr>
          <w:rFonts w:ascii="Century Gothic" w:hAnsi="Century Gothic" w:cs="Arial"/>
          <w:sz w:val="14"/>
          <w:szCs w:val="14"/>
        </w:rPr>
        <w:t>.</w:t>
      </w:r>
    </w:p>
    <w:p w14:paraId="4AC370ED" w14:textId="77777777" w:rsidR="00F97CDE" w:rsidRPr="001736AA" w:rsidRDefault="00F97CDE" w:rsidP="00F97CDE">
      <w:pPr>
        <w:pStyle w:val="Textonotapie"/>
        <w:jc w:val="both"/>
        <w:rPr>
          <w:rFonts w:ascii="Century Gothic" w:hAnsi="Century Gothic" w:cs="Arial"/>
          <w:sz w:val="14"/>
          <w:szCs w:val="14"/>
          <w:lang w:val="es-ES"/>
        </w:rPr>
      </w:pPr>
    </w:p>
  </w:footnote>
  <w:footnote w:id="7">
    <w:p w14:paraId="46D022D8" w14:textId="040FF1B1"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Decreto 1082 de 2015: </w:t>
      </w:r>
      <w:r w:rsidR="0052277F">
        <w:rPr>
          <w:rFonts w:ascii="Century Gothic" w:hAnsi="Century Gothic" w:cs="Arial"/>
          <w:sz w:val="14"/>
          <w:szCs w:val="14"/>
        </w:rPr>
        <w:t>“</w:t>
      </w:r>
      <w:r w:rsidRPr="001736AA">
        <w:rPr>
          <w:rFonts w:ascii="Century Gothic" w:hAnsi="Century Gothic" w:cs="Arial"/>
          <w:sz w:val="14"/>
          <w:szCs w:val="14"/>
        </w:rPr>
        <w:t>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9D594C8" w14:textId="72B7C98C" w:rsidR="00F97CDE" w:rsidRPr="001736AA" w:rsidRDefault="0052277F"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1.    Si es una persona natural:</w:t>
      </w:r>
    </w:p>
    <w:p w14:paraId="51B98E1A" w14:textId="0FBBED2F" w:rsidR="00F97CDE" w:rsidRPr="001736AA" w:rsidRDefault="0052277F"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1.1. Bienes, obras y servicios que ofrecerá a las Entidades Estatales, identificados con el Clasificador de Bienes y Servicios en el tercer nivel.</w:t>
      </w:r>
    </w:p>
    <w:p w14:paraId="568D664B" w14:textId="4B1F0CDC" w:rsidR="00F97CDE" w:rsidRPr="001736AA" w:rsidRDefault="0052277F"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r>
        <w:rPr>
          <w:rFonts w:ascii="Century Gothic" w:hAnsi="Century Gothic" w:cs="Arial"/>
          <w:sz w:val="14"/>
          <w:szCs w:val="14"/>
        </w:rPr>
        <w:t>”</w:t>
      </w:r>
      <w:r w:rsidR="00F97CDE" w:rsidRPr="001736AA">
        <w:rPr>
          <w:rFonts w:ascii="Century Gothic" w:hAnsi="Century Gothic" w:cs="Arial"/>
          <w:sz w:val="14"/>
          <w:szCs w:val="14"/>
        </w:rPr>
        <w:t>.</w:t>
      </w:r>
    </w:p>
    <w:p w14:paraId="099A25D7" w14:textId="77777777" w:rsidR="00F97CDE" w:rsidRPr="001736AA" w:rsidRDefault="00F97CDE" w:rsidP="00F97CDE">
      <w:pPr>
        <w:pStyle w:val="Textonotapie"/>
        <w:ind w:firstLine="708"/>
        <w:jc w:val="both"/>
        <w:rPr>
          <w:rFonts w:ascii="Century Gothic" w:hAnsi="Century Gothic" w:cs="Arial"/>
          <w:sz w:val="14"/>
          <w:szCs w:val="14"/>
          <w:lang w:val="es-ES"/>
        </w:rPr>
      </w:pPr>
    </w:p>
  </w:footnote>
  <w:footnote w:id="8">
    <w:p w14:paraId="79AA4D5E" w14:textId="77777777" w:rsidR="00F97CDE" w:rsidRPr="001736AA" w:rsidRDefault="00F97CDE" w:rsidP="00F97CDE">
      <w:pPr>
        <w:pStyle w:val="Textonotapie"/>
        <w:ind w:firstLine="709"/>
        <w:jc w:val="both"/>
        <w:rPr>
          <w:rFonts w:ascii="Century Gothic" w:hAnsi="Century Gothic" w:cs="Arial"/>
          <w:sz w:val="14"/>
          <w:szCs w:val="14"/>
        </w:rPr>
      </w:pPr>
      <w:r w:rsidRPr="001736AA">
        <w:rPr>
          <w:rStyle w:val="Refdenotaalpie"/>
          <w:rFonts w:ascii="Century Gothic" w:hAnsi="Century Gothic"/>
          <w:sz w:val="14"/>
          <w:szCs w:val="14"/>
        </w:rPr>
        <w:footnoteRef/>
      </w:r>
      <w:r w:rsidRPr="001736AA">
        <w:rPr>
          <w:rFonts w:ascii="Century Gothic" w:hAnsi="Century Gothic"/>
          <w:sz w:val="14"/>
          <w:szCs w:val="14"/>
        </w:rPr>
        <w:t xml:space="preserve"> </w:t>
      </w:r>
      <w:bookmarkStart w:id="6" w:name="_Hlk110954603"/>
      <w:r w:rsidRPr="001736AA">
        <w:rPr>
          <w:rFonts w:ascii="Century Gothic" w:hAnsi="Century Gothic" w:cs="Arial"/>
          <w:sz w:val="14"/>
          <w:szCs w:val="14"/>
        </w:rPr>
        <w:t xml:space="preserve">La versión actualizada puede ser consultada en: </w:t>
      </w:r>
      <w:hyperlink r:id="rId2" w:history="1">
        <w:r w:rsidRPr="001736AA">
          <w:rPr>
            <w:rStyle w:val="Hipervnculo"/>
            <w:rFonts w:ascii="Century Gothic" w:hAnsi="Century Gothic" w:cs="Arial"/>
            <w:sz w:val="14"/>
            <w:szCs w:val="14"/>
          </w:rPr>
          <w:t>https://www.colombiacompra.gov.co/sites/cce_public/files/files_2020/cce-eicp-ma-04._manual_requisitos_habilitantes_v.02.pdf</w:t>
        </w:r>
      </w:hyperlink>
      <w:r w:rsidRPr="001736AA">
        <w:rPr>
          <w:rFonts w:ascii="Century Gothic" w:hAnsi="Century Gothic" w:cs="Arial"/>
          <w:sz w:val="14"/>
          <w:szCs w:val="14"/>
          <w:u w:val="single"/>
        </w:rPr>
        <w:t>.</w:t>
      </w:r>
    </w:p>
    <w:bookmarkEnd w:id="6"/>
    <w:p w14:paraId="15670C0F" w14:textId="77777777" w:rsidR="00F97CDE" w:rsidRPr="001736AA" w:rsidRDefault="00F97CDE" w:rsidP="00F97CDE">
      <w:pPr>
        <w:pStyle w:val="Textonotapie"/>
        <w:jc w:val="both"/>
        <w:rPr>
          <w:rFonts w:ascii="Century Gothic" w:hAnsi="Century Gothic"/>
          <w:sz w:val="14"/>
          <w:szCs w:val="14"/>
          <w:lang w:val="es-CO"/>
        </w:rPr>
      </w:pPr>
    </w:p>
  </w:footnote>
  <w:footnote w:id="9">
    <w:p w14:paraId="2D464722" w14:textId="013D32B6"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Colombia Compra Eficiente, Manual para determinar y verificar requisitos habilitantes en los procesos de contratación V2: </w:t>
      </w:r>
      <w:bookmarkStart w:id="7" w:name="_Hlk110954624"/>
      <w:r w:rsidR="00173660">
        <w:rPr>
          <w:rFonts w:ascii="Century Gothic" w:hAnsi="Century Gothic" w:cs="Arial"/>
          <w:sz w:val="14"/>
          <w:szCs w:val="14"/>
        </w:rPr>
        <w:t>“</w:t>
      </w:r>
      <w:r w:rsidRPr="001736AA">
        <w:rPr>
          <w:rFonts w:ascii="Century Gothic" w:hAnsi="Century Gothic" w:cs="Arial"/>
          <w:sz w:val="14"/>
          <w:szCs w:val="14"/>
          <w:lang w:val="es-CO"/>
        </w:rPr>
        <w:t>Dentro de los requisitos habilitantes establecidos por el artículo 5 de la Ley 1150 de 2007 se destaca la experiencia, la cual debe ser entendida como el conocimiento del proponente derivado de su participación previa en actividades iguales o similares a las previstas en el objeto del contrato con contratantes públicos, privados, nacionales o extranjeros, ya sea directamente o en asocio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w:t>
      </w:r>
      <w:r w:rsidRPr="001736AA">
        <w:rPr>
          <w:rFonts w:ascii="Century Gothic" w:hAnsi="Century Gothic" w:cs="Arial"/>
          <w:sz w:val="14"/>
          <w:szCs w:val="14"/>
        </w:rPr>
        <w:t>.</w:t>
      </w:r>
    </w:p>
    <w:p w14:paraId="7C23B937" w14:textId="77777777" w:rsidR="00F97CDE" w:rsidRPr="001736AA" w:rsidRDefault="00F97CDE" w:rsidP="00F97CDE">
      <w:pPr>
        <w:pStyle w:val="Textonotapie"/>
        <w:ind w:firstLine="708"/>
        <w:jc w:val="both"/>
        <w:rPr>
          <w:rFonts w:ascii="Century Gothic" w:hAnsi="Century Gothic" w:cs="Arial"/>
          <w:sz w:val="14"/>
          <w:szCs w:val="14"/>
        </w:rPr>
      </w:pPr>
      <w:r w:rsidRPr="001736AA">
        <w:rPr>
          <w:rFonts w:ascii="Century Gothic" w:hAnsi="Century Gothic" w:cs="Arial"/>
          <w:sz w:val="14"/>
          <w:szCs w:val="14"/>
        </w:rPr>
        <w:t>[...]</w:t>
      </w:r>
    </w:p>
    <w:p w14:paraId="01857955" w14:textId="23CF1AFA" w:rsidR="00F97CDE" w:rsidRPr="001736AA" w:rsidRDefault="00173660" w:rsidP="00F97CDE">
      <w:pPr>
        <w:pStyle w:val="Textonotapie"/>
        <w:ind w:firstLine="708"/>
        <w:jc w:val="both"/>
        <w:rPr>
          <w:rFonts w:ascii="Century Gothic" w:hAnsi="Century Gothic" w:cs="Arial"/>
          <w:sz w:val="14"/>
          <w:szCs w:val="14"/>
          <w:lang w:val="es-CO"/>
        </w:rPr>
      </w:pPr>
      <w:r>
        <w:rPr>
          <w:rFonts w:ascii="Century Gothic" w:hAnsi="Century Gothic" w:cs="Arial"/>
          <w:sz w:val="14"/>
          <w:szCs w:val="14"/>
        </w:rPr>
        <w:t>“</w:t>
      </w:r>
      <w:r w:rsidR="00F97CDE" w:rsidRPr="001736AA">
        <w:rPr>
          <w:rFonts w:ascii="Century Gothic" w:hAnsi="Century Gothic" w:cs="Arial"/>
          <w:sz w:val="14"/>
          <w:szCs w:val="14"/>
          <w:lang w:val="es-CO"/>
        </w:rPr>
        <w:t xml:space="preserve">Así mismo, la experiencia requerida en un Proceso de Contratación debe ser adecuada y proporcional a la naturaleza del contrato, su valor, complejidad y Riesgo. Es adecuada cuando es afín al tipo de actividades previstas en el objeto del negocio a celebrar. Por ejemplo, si es para prestar un servicio de aseo general, el proponente debe tener experiencia en tal servicio, sin que sea relevante el lugar en el cual lo haya ejecutado o quién fue el contratante. </w:t>
      </w:r>
    </w:p>
    <w:p w14:paraId="788C5937" w14:textId="5B4ABEC3" w:rsidR="00F97CDE" w:rsidRPr="001736AA" w:rsidRDefault="00173660"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lang w:val="es-CO"/>
        </w:rPr>
        <w:t xml:space="preserve">Es proporcional cuando tiene relación con el alcance, la cuantía, Riesgo y la complejidad del negocio a celebrar. Por ejemplo, en una obra pública con un presupuesto oficial de 100 SMMLV, la experiencia exigida es proporcional si se exige que los proponentes hayan participado en Procesos de Contratación entre 90 y 100 SMMLV del mismo tipo de obra. </w:t>
      </w:r>
    </w:p>
    <w:p w14:paraId="3B477AAF" w14:textId="5D85314B" w:rsidR="00F97CDE" w:rsidRPr="001736AA" w:rsidRDefault="00F97CDE" w:rsidP="00F97CDE">
      <w:pPr>
        <w:pStyle w:val="Textonotapie"/>
        <w:ind w:firstLine="708"/>
        <w:jc w:val="both"/>
        <w:rPr>
          <w:rFonts w:ascii="Century Gothic" w:hAnsi="Century Gothic" w:cs="Arial"/>
          <w:sz w:val="14"/>
          <w:szCs w:val="14"/>
        </w:rPr>
      </w:pPr>
      <w:r w:rsidRPr="001736AA">
        <w:rPr>
          <w:rFonts w:ascii="Century Gothic" w:hAnsi="Century Gothic" w:cs="Arial"/>
          <w:sz w:val="14"/>
          <w:szCs w:val="14"/>
        </w:rPr>
        <w:t>[...]</w:t>
      </w:r>
      <w:r w:rsidR="00173660">
        <w:rPr>
          <w:rFonts w:ascii="Century Gothic" w:hAnsi="Century Gothic" w:cs="Arial"/>
          <w:sz w:val="14"/>
          <w:szCs w:val="14"/>
        </w:rPr>
        <w:t>”</w:t>
      </w:r>
      <w:r w:rsidRPr="001736AA">
        <w:rPr>
          <w:rFonts w:ascii="Century Gothic" w:hAnsi="Century Gothic" w:cs="Arial"/>
          <w:sz w:val="14"/>
          <w:szCs w:val="14"/>
        </w:rPr>
        <w:t>.</w:t>
      </w:r>
    </w:p>
    <w:bookmarkEnd w:id="7"/>
  </w:footnote>
  <w:footnote w:id="10">
    <w:p w14:paraId="403A5993" w14:textId="77777777" w:rsidR="00F97CDE" w:rsidRPr="001736AA" w:rsidRDefault="00F97CDE" w:rsidP="00F97CDE">
      <w:pPr>
        <w:pStyle w:val="Textonotapie"/>
        <w:ind w:firstLine="709"/>
        <w:jc w:val="both"/>
        <w:rPr>
          <w:rFonts w:ascii="Century Gothic" w:hAnsi="Century Gothic"/>
          <w:sz w:val="14"/>
          <w:szCs w:val="14"/>
          <w:lang w:val="es-CO"/>
        </w:rPr>
      </w:pPr>
      <w:r w:rsidRPr="001736AA">
        <w:rPr>
          <w:rStyle w:val="Refdenotaalpie"/>
          <w:rFonts w:ascii="Century Gothic" w:hAnsi="Century Gothic"/>
          <w:sz w:val="14"/>
          <w:szCs w:val="14"/>
        </w:rPr>
        <w:footnoteRef/>
      </w:r>
      <w:r w:rsidRPr="001736AA">
        <w:rPr>
          <w:rFonts w:ascii="Century Gothic" w:hAnsi="Century Gothic"/>
          <w:sz w:val="14"/>
          <w:szCs w:val="14"/>
        </w:rPr>
        <w:t xml:space="preserve"> </w:t>
      </w:r>
      <w:r w:rsidRPr="001736AA">
        <w:rPr>
          <w:rFonts w:ascii="Century Gothic" w:hAnsi="Century Gothic" w:cs="Arial"/>
          <w:sz w:val="14"/>
          <w:szCs w:val="14"/>
          <w:lang w:val="es-CO"/>
        </w:rPr>
        <w:t>Consejo de Estado. Sección Tercera. Sentencia del 20 de abril del 2022. Radicación Nro. 54482. C.P.: Jaime Enrique Rodríguez Navas.</w:t>
      </w:r>
    </w:p>
  </w:footnote>
  <w:footnote w:id="11">
    <w:p w14:paraId="198B399E" w14:textId="59C0E25C"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Código de Comercio: </w:t>
      </w:r>
      <w:r w:rsidR="00F30D3D">
        <w:rPr>
          <w:rFonts w:ascii="Century Gothic" w:hAnsi="Century Gothic" w:cs="Arial"/>
          <w:sz w:val="14"/>
          <w:szCs w:val="14"/>
        </w:rPr>
        <w:t>“</w:t>
      </w:r>
      <w:r w:rsidRPr="001736AA">
        <w:rPr>
          <w:rFonts w:ascii="Century Gothic" w:hAnsi="Century Gothic" w:cs="Arial"/>
          <w:sz w:val="14"/>
          <w:szCs w:val="14"/>
        </w:rPr>
        <w:t>Artículo 222. Efectos posteriores a la liquidación de la sociedad. Disuelta la sociedad se procederá de inmediato a su liquidación. En consecuencia, no podrá iniciar nuevas operaciones en desarrollo de su objeto y conservará su capacidad jurídica únicamente para los actos necesarios a la inmediata liquidación. Cualquier operación o acto ajeno a este fin, salvo los autorizados expresamente por la Ley, hará responsables frente a la sociedad, a los asociados y a terceros, en forma ilimitada y solidaria, al liquidador, y al revisor fiscal que no se hubiere opuesto.</w:t>
      </w:r>
    </w:p>
    <w:p w14:paraId="0D2E1461" w14:textId="68C25CA9" w:rsidR="00F97CDE" w:rsidRPr="001736AA" w:rsidRDefault="00F30D3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El nombre de la sociedad disuelta deberá adicionarse siempre con la expresión ‘en liquidación’. Los encargados de realizarla responderán de los daños y perjuicios que se deriven por dicha omisión</w:t>
      </w:r>
      <w:r>
        <w:rPr>
          <w:rFonts w:ascii="Century Gothic" w:hAnsi="Century Gothic" w:cs="Arial"/>
          <w:sz w:val="14"/>
          <w:szCs w:val="14"/>
        </w:rPr>
        <w:t>”</w:t>
      </w:r>
      <w:r w:rsidR="00F97CDE" w:rsidRPr="001736AA">
        <w:rPr>
          <w:rFonts w:ascii="Century Gothic" w:hAnsi="Century Gothic" w:cs="Arial"/>
          <w:sz w:val="14"/>
          <w:szCs w:val="14"/>
        </w:rPr>
        <w:t>.</w:t>
      </w:r>
    </w:p>
    <w:p w14:paraId="3BD086A2" w14:textId="77777777" w:rsidR="00F97CDE" w:rsidRPr="001736AA" w:rsidRDefault="00F97CDE" w:rsidP="00F97CDE">
      <w:pPr>
        <w:pStyle w:val="Textonotapie"/>
        <w:jc w:val="both"/>
        <w:rPr>
          <w:rFonts w:ascii="Century Gothic" w:hAnsi="Century Gothic" w:cs="Arial"/>
          <w:sz w:val="14"/>
          <w:szCs w:val="14"/>
          <w:lang w:val="es-CO"/>
        </w:rPr>
      </w:pPr>
    </w:p>
  </w:footnote>
  <w:footnote w:id="12">
    <w:p w14:paraId="49C9D3EF" w14:textId="77777777"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Ver artículos 225 y ss. del Código de Comercio.</w:t>
      </w:r>
    </w:p>
    <w:p w14:paraId="5ED464EB" w14:textId="77777777" w:rsidR="00F97CDE" w:rsidRPr="001736AA" w:rsidRDefault="00F97CDE" w:rsidP="00F97CDE">
      <w:pPr>
        <w:pStyle w:val="Textonotapie"/>
        <w:ind w:firstLine="708"/>
        <w:jc w:val="both"/>
        <w:rPr>
          <w:rFonts w:ascii="Century Gothic" w:hAnsi="Century Gothic" w:cs="Arial"/>
          <w:sz w:val="14"/>
          <w:szCs w:val="14"/>
          <w:lang w:val="es-CO"/>
        </w:rPr>
      </w:pPr>
      <w:r w:rsidRPr="001736AA">
        <w:rPr>
          <w:rFonts w:ascii="Century Gothic" w:hAnsi="Century Gothic" w:cs="Arial"/>
          <w:sz w:val="14"/>
          <w:szCs w:val="14"/>
        </w:rPr>
        <w:t xml:space="preserve"> </w:t>
      </w:r>
    </w:p>
  </w:footnote>
  <w:footnote w:id="13">
    <w:p w14:paraId="15307732" w14:textId="0369AB5F"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Código de Comercio: </w:t>
      </w:r>
      <w:r w:rsidR="00F30D3D">
        <w:rPr>
          <w:rFonts w:ascii="Century Gothic" w:hAnsi="Century Gothic" w:cs="Arial"/>
          <w:sz w:val="14"/>
          <w:szCs w:val="14"/>
        </w:rPr>
        <w:t>“</w:t>
      </w:r>
      <w:r w:rsidRPr="001736AA">
        <w:rPr>
          <w:rFonts w:ascii="Century Gothic" w:hAnsi="Century Gothic" w:cs="Arial"/>
          <w:sz w:val="14"/>
          <w:szCs w:val="14"/>
        </w:rPr>
        <w:t>Artículo 167. Reforma de contrato social por transformación de sociedad. Una sociedad podrá, antes de su disolución, adoptar cualquiera otra de las formas de la sociedad comercial reguladas en este Código, mediante una reforma del contrato social.</w:t>
      </w:r>
    </w:p>
    <w:p w14:paraId="7F597B3F" w14:textId="77777777" w:rsidR="00F97CDE" w:rsidRPr="001736AA" w:rsidRDefault="00F97CDE" w:rsidP="00F97CDE">
      <w:pPr>
        <w:pStyle w:val="Textonotapie"/>
        <w:ind w:firstLine="708"/>
        <w:jc w:val="both"/>
        <w:rPr>
          <w:rFonts w:ascii="Century Gothic" w:hAnsi="Century Gothic" w:cs="Arial"/>
          <w:sz w:val="14"/>
          <w:szCs w:val="14"/>
        </w:rPr>
      </w:pPr>
    </w:p>
    <w:p w14:paraId="26DA2809" w14:textId="38334286" w:rsidR="00F97CDE" w:rsidRPr="001736AA" w:rsidRDefault="00F30D3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La transformación no producirá solución de continuidad en la existencia de la sociedad como persona jurídica, ni en sus actividades ni en su patrimonio</w:t>
      </w:r>
      <w:r>
        <w:rPr>
          <w:rFonts w:ascii="Century Gothic" w:hAnsi="Century Gothic" w:cs="Arial"/>
          <w:sz w:val="14"/>
          <w:szCs w:val="14"/>
        </w:rPr>
        <w:t>”</w:t>
      </w:r>
      <w:r w:rsidR="00F97CDE" w:rsidRPr="001736AA">
        <w:rPr>
          <w:rFonts w:ascii="Century Gothic" w:hAnsi="Century Gothic" w:cs="Arial"/>
          <w:sz w:val="14"/>
          <w:szCs w:val="14"/>
        </w:rPr>
        <w:t>.</w:t>
      </w:r>
    </w:p>
    <w:p w14:paraId="1A3E9665" w14:textId="77777777" w:rsidR="00F97CDE" w:rsidRPr="001736AA" w:rsidRDefault="00F97CDE" w:rsidP="00F97CDE">
      <w:pPr>
        <w:pStyle w:val="Textonotapie"/>
        <w:ind w:firstLine="708"/>
        <w:jc w:val="both"/>
        <w:rPr>
          <w:rFonts w:ascii="Century Gothic" w:hAnsi="Century Gothic" w:cs="Arial"/>
          <w:sz w:val="14"/>
          <w:szCs w:val="14"/>
        </w:rPr>
      </w:pPr>
    </w:p>
  </w:footnote>
  <w:footnote w:id="14">
    <w:p w14:paraId="6E1C7236" w14:textId="218BEAD8"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Ley 222 de 1995: </w:t>
      </w:r>
      <w:r w:rsidR="00F30D3D">
        <w:rPr>
          <w:rFonts w:ascii="Century Gothic" w:hAnsi="Century Gothic" w:cs="Arial"/>
          <w:sz w:val="14"/>
          <w:szCs w:val="14"/>
        </w:rPr>
        <w:t>“</w:t>
      </w:r>
      <w:r w:rsidRPr="001736AA">
        <w:rPr>
          <w:rFonts w:ascii="Century Gothic" w:hAnsi="Century Gothic" w:cs="Arial"/>
          <w:sz w:val="14"/>
          <w:szCs w:val="14"/>
        </w:rPr>
        <w:t>Artículo 3. Modalidades. Habrá escisión cuando:</w:t>
      </w:r>
    </w:p>
    <w:p w14:paraId="5456736F" w14:textId="0FBD23FB" w:rsidR="00F97CDE" w:rsidRPr="001736AA" w:rsidRDefault="00F30D3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 xml:space="preserve">1. Una sociedad sin </w:t>
      </w:r>
      <w:proofErr w:type="gramStart"/>
      <w:r w:rsidR="00F97CDE" w:rsidRPr="001736AA">
        <w:rPr>
          <w:rFonts w:ascii="Century Gothic" w:hAnsi="Century Gothic" w:cs="Arial"/>
          <w:sz w:val="14"/>
          <w:szCs w:val="14"/>
        </w:rPr>
        <w:t>disolverse,</w:t>
      </w:r>
      <w:proofErr w:type="gramEnd"/>
      <w:r w:rsidR="00F97CDE" w:rsidRPr="001736AA">
        <w:rPr>
          <w:rFonts w:ascii="Century Gothic" w:hAnsi="Century Gothic" w:cs="Arial"/>
          <w:sz w:val="14"/>
          <w:szCs w:val="14"/>
        </w:rPr>
        <w:t xml:space="preserve"> transfiere en bloque una o varias partes de su patrimonio a una o más sociedades existentes o las destina a la creación de una o varias sociedades.</w:t>
      </w:r>
    </w:p>
    <w:p w14:paraId="13973FDF" w14:textId="661A20E8" w:rsidR="00F97CDE" w:rsidRPr="001736AA" w:rsidRDefault="00F30D3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2. Una sociedad se disuelve sin liquidarse, dividiendo su patrimonio en dos o más partes, que se transfieren a varias sociedades existentes o se destinan a la creación de nuevas sociedades.</w:t>
      </w:r>
    </w:p>
    <w:p w14:paraId="2C79F99F" w14:textId="136D647D" w:rsidR="00F97CDE" w:rsidRPr="001736AA" w:rsidRDefault="00F30D3D" w:rsidP="00F97CDE">
      <w:pPr>
        <w:pStyle w:val="Textonotapie"/>
        <w:ind w:firstLine="708"/>
        <w:jc w:val="both"/>
        <w:rPr>
          <w:rFonts w:ascii="Century Gothic" w:hAnsi="Century Gothic" w:cs="Arial"/>
          <w:sz w:val="14"/>
          <w:szCs w:val="14"/>
        </w:rPr>
      </w:pPr>
      <w:r>
        <w:rPr>
          <w:rFonts w:ascii="Century Gothic" w:hAnsi="Century Gothic" w:cs="Arial"/>
          <w:sz w:val="14"/>
          <w:szCs w:val="14"/>
        </w:rPr>
        <w:t>“L</w:t>
      </w:r>
      <w:r w:rsidR="00F97CDE" w:rsidRPr="001736AA">
        <w:rPr>
          <w:rFonts w:ascii="Century Gothic" w:hAnsi="Century Gothic" w:cs="Arial"/>
          <w:sz w:val="14"/>
          <w:szCs w:val="14"/>
        </w:rPr>
        <w:t>a sociedad o sociedades destinatarias de las transferencias resultantes de la escisión, se denominarán sociedades beneficiarias.</w:t>
      </w:r>
    </w:p>
    <w:p w14:paraId="5E6A17A9" w14:textId="3E6BFE3C" w:rsidR="00F97CDE" w:rsidRPr="001736AA" w:rsidRDefault="00F30D3D" w:rsidP="00F97CDE">
      <w:pPr>
        <w:pStyle w:val="Textonotapie"/>
        <w:ind w:firstLine="708"/>
        <w:jc w:val="both"/>
        <w:rPr>
          <w:rFonts w:ascii="Century Gothic" w:hAnsi="Century Gothic" w:cs="Arial"/>
          <w:sz w:val="14"/>
          <w:szCs w:val="14"/>
          <w:lang w:val="es-CO"/>
        </w:rPr>
      </w:pPr>
      <w:r>
        <w:rPr>
          <w:rFonts w:ascii="Century Gothic" w:hAnsi="Century Gothic" w:cs="Arial"/>
          <w:sz w:val="14"/>
          <w:szCs w:val="14"/>
        </w:rPr>
        <w:t>“</w:t>
      </w:r>
      <w:r w:rsidR="00F97CDE" w:rsidRPr="001736AA">
        <w:rPr>
          <w:rFonts w:ascii="Century Gothic" w:hAnsi="Century Gothic" w:cs="Arial"/>
          <w:sz w:val="14"/>
          <w:szCs w:val="14"/>
        </w:rPr>
        <w:t xml:space="preserve">Los socios de la sociedad escindida participarán en el capital de las Sociedades beneficiarias en la misma proporción que tengan en aquélla, salvo </w:t>
      </w:r>
      <w:proofErr w:type="gramStart"/>
      <w:r w:rsidR="00F97CDE" w:rsidRPr="001736AA">
        <w:rPr>
          <w:rFonts w:ascii="Century Gothic" w:hAnsi="Century Gothic" w:cs="Arial"/>
          <w:sz w:val="14"/>
          <w:szCs w:val="14"/>
        </w:rPr>
        <w:t>que</w:t>
      </w:r>
      <w:proofErr w:type="gramEnd"/>
      <w:r w:rsidR="00F97CDE" w:rsidRPr="001736AA">
        <w:rPr>
          <w:rFonts w:ascii="Century Gothic" w:hAnsi="Century Gothic" w:cs="Arial"/>
          <w:sz w:val="14"/>
          <w:szCs w:val="14"/>
        </w:rPr>
        <w:t xml:space="preserve"> por unanimidad de las acciones, cuotas sociales o partes de interés representadas en la asamblea o junta de socios de la escindente, se apruebe una participación diferente</w:t>
      </w:r>
      <w:r>
        <w:rPr>
          <w:rFonts w:ascii="Century Gothic" w:hAnsi="Century Gothic" w:cs="Arial"/>
          <w:sz w:val="14"/>
          <w:szCs w:val="14"/>
        </w:rPr>
        <w:t>”</w:t>
      </w:r>
      <w:r w:rsidR="00F97CDE" w:rsidRPr="001736AA">
        <w:rPr>
          <w:rFonts w:ascii="Century Gothic" w:hAnsi="Century Gothic" w:cs="Arial"/>
          <w:sz w:val="14"/>
          <w:szCs w:val="14"/>
        </w:rPr>
        <w:t>.</w:t>
      </w:r>
    </w:p>
  </w:footnote>
  <w:footnote w:id="15">
    <w:p w14:paraId="271A9280" w14:textId="77777777"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Código de Comercio: «Artículo 172. Fusión de la sociedad-concepto. Habrá fusión cuando una o más sociedades se disuelvan, sin liquidarse, para ser absorbidas por otra o para crear una nueva.</w:t>
      </w:r>
    </w:p>
    <w:p w14:paraId="417305C0" w14:textId="77777777" w:rsidR="00F97CDE" w:rsidRPr="001736AA" w:rsidRDefault="00F97CDE" w:rsidP="00F97CDE">
      <w:pPr>
        <w:pStyle w:val="Textonotapie"/>
        <w:ind w:firstLine="708"/>
        <w:jc w:val="both"/>
        <w:rPr>
          <w:rFonts w:ascii="Century Gothic" w:hAnsi="Century Gothic" w:cs="Arial"/>
          <w:sz w:val="14"/>
          <w:szCs w:val="14"/>
        </w:rPr>
      </w:pPr>
      <w:proofErr w:type="gramStart"/>
      <w:r w:rsidRPr="001736AA">
        <w:rPr>
          <w:rFonts w:ascii="Century Gothic" w:hAnsi="Century Gothic" w:cs="Arial"/>
          <w:sz w:val="14"/>
          <w:szCs w:val="14"/>
        </w:rPr>
        <w:t>»La</w:t>
      </w:r>
      <w:proofErr w:type="gramEnd"/>
      <w:r w:rsidRPr="001736AA">
        <w:rPr>
          <w:rFonts w:ascii="Century Gothic" w:hAnsi="Century Gothic" w:cs="Arial"/>
          <w:sz w:val="14"/>
          <w:szCs w:val="14"/>
        </w:rPr>
        <w:t xml:space="preserve"> absorbente o la nueva compañía adquirirá los derechos y obligaciones de la sociedad o sociedades disueltas al formalizarse el acuerdo de fusión».</w:t>
      </w:r>
    </w:p>
    <w:p w14:paraId="74B07B00" w14:textId="77777777" w:rsidR="00F97CDE" w:rsidRPr="001736AA" w:rsidRDefault="00F97CDE" w:rsidP="00F97CDE">
      <w:pPr>
        <w:pStyle w:val="Textonotapie"/>
        <w:jc w:val="both"/>
        <w:rPr>
          <w:rFonts w:ascii="Century Gothic" w:hAnsi="Century Gothic" w:cs="Arial"/>
          <w:sz w:val="14"/>
          <w:szCs w:val="14"/>
          <w:lang w:val="es-CO"/>
        </w:rPr>
      </w:pPr>
    </w:p>
  </w:footnote>
  <w:footnote w:id="16">
    <w:p w14:paraId="316BB08D" w14:textId="77777777"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Código de Comercio: «Artículo 180. Formación de nueva sociedad que continua negocios de la disuelta.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p>
    <w:p w14:paraId="0B60ED50" w14:textId="77777777" w:rsidR="00F97CDE" w:rsidRPr="001736AA" w:rsidRDefault="00F97CDE" w:rsidP="00F97CDE">
      <w:pPr>
        <w:pStyle w:val="Textonotapie"/>
        <w:ind w:firstLine="708"/>
        <w:jc w:val="both"/>
        <w:rPr>
          <w:rFonts w:ascii="Century Gothic" w:hAnsi="Century Gothic" w:cs="Arial"/>
          <w:sz w:val="14"/>
          <w:szCs w:val="14"/>
          <w:lang w:val="es-CO"/>
        </w:rPr>
      </w:pPr>
    </w:p>
  </w:footnote>
  <w:footnote w:id="17">
    <w:p w14:paraId="207CD29B" w14:textId="50051205"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Ley 1258 de 2008: </w:t>
      </w:r>
      <w:r w:rsidR="00ED5D4D">
        <w:rPr>
          <w:rFonts w:ascii="Century Gothic" w:hAnsi="Century Gothic" w:cs="Arial"/>
          <w:sz w:val="14"/>
          <w:szCs w:val="14"/>
        </w:rPr>
        <w:t>“</w:t>
      </w:r>
      <w:r w:rsidRPr="001736AA">
        <w:rPr>
          <w:rFonts w:ascii="Century Gothic" w:hAnsi="Century Gothic" w:cs="Arial"/>
          <w:sz w:val="14"/>
          <w:szCs w:val="14"/>
        </w:rPr>
        <w:t>Artículo 33. Fusión abreviada. En aquellos casos en que una sociedad detente más del noventa (90%) de las acciones de una sociedad por acciones simplificada, aquella podrá absorber a esta, mediante determinación adoptada por los representantes legales o por</w:t>
      </w:r>
    </w:p>
    <w:p w14:paraId="6FA85527" w14:textId="77777777" w:rsidR="00F97CDE" w:rsidRPr="001736AA" w:rsidRDefault="00F97CDE" w:rsidP="00F97CDE">
      <w:pPr>
        <w:pStyle w:val="Textonotapie"/>
        <w:ind w:firstLine="708"/>
        <w:jc w:val="both"/>
        <w:rPr>
          <w:rFonts w:ascii="Century Gothic" w:hAnsi="Century Gothic" w:cs="Arial"/>
          <w:sz w:val="14"/>
          <w:szCs w:val="14"/>
        </w:rPr>
      </w:pPr>
      <w:r w:rsidRPr="001736AA">
        <w:rPr>
          <w:rFonts w:ascii="Century Gothic" w:hAnsi="Century Gothic" w:cs="Arial"/>
          <w:sz w:val="14"/>
          <w:szCs w:val="14"/>
        </w:rPr>
        <w:t xml:space="preserve"> las juntas directivas de las sociedades participantes en el proceso de fusión.</w:t>
      </w:r>
    </w:p>
    <w:p w14:paraId="27D7B8FF" w14:textId="6D913BEE" w:rsidR="00F97CDE" w:rsidRPr="001736AA" w:rsidRDefault="00ED5D4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19E0E3FC" w14:textId="77929880" w:rsidR="00F97CDE" w:rsidRPr="001736AA" w:rsidRDefault="00ED5D4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r>
        <w:rPr>
          <w:rFonts w:ascii="Century Gothic" w:hAnsi="Century Gothic" w:cs="Arial"/>
          <w:sz w:val="14"/>
          <w:szCs w:val="14"/>
        </w:rPr>
        <w:t>”</w:t>
      </w:r>
      <w:r w:rsidR="00F97CDE" w:rsidRPr="001736AA">
        <w:rPr>
          <w:rFonts w:ascii="Century Gothic" w:hAnsi="Century Gothic" w:cs="Arial"/>
          <w:sz w:val="14"/>
          <w:szCs w:val="14"/>
        </w:rPr>
        <w:t>.</w:t>
      </w:r>
    </w:p>
    <w:p w14:paraId="6396E9C0" w14:textId="77777777" w:rsidR="00F97CDE" w:rsidRPr="001736AA" w:rsidRDefault="00F97CDE" w:rsidP="00F97CDE">
      <w:pPr>
        <w:pStyle w:val="Textonotapie"/>
        <w:ind w:firstLine="708"/>
        <w:jc w:val="both"/>
        <w:rPr>
          <w:rFonts w:ascii="Century Gothic" w:hAnsi="Century Gothic" w:cs="Arial"/>
          <w:sz w:val="14"/>
          <w:szCs w:val="14"/>
          <w:lang w:val="es-CO"/>
        </w:rPr>
      </w:pPr>
    </w:p>
  </w:footnote>
  <w:footnote w:id="18">
    <w:p w14:paraId="2F925539" w14:textId="77777777"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Superintendencia de Sociedades. Oficios 220-072759 del 14 de mayo de 2014, 220-100613 del 14 de julio de 2015, 220-079814 del 31 de agosto de 2015,220-142284 del 15 de julio de 2016, 095721 del 16 de junio de 2020.</w:t>
      </w:r>
    </w:p>
    <w:p w14:paraId="1BDC49D2" w14:textId="77777777" w:rsidR="00F97CDE" w:rsidRPr="001736AA" w:rsidRDefault="00F97CDE" w:rsidP="00F97CDE">
      <w:pPr>
        <w:pStyle w:val="Textonotapie"/>
        <w:ind w:firstLine="708"/>
        <w:jc w:val="both"/>
        <w:rPr>
          <w:rFonts w:ascii="Century Gothic" w:hAnsi="Century Gothic" w:cs="Arial"/>
          <w:sz w:val="14"/>
          <w:szCs w:val="14"/>
          <w:lang w:val="es-CO"/>
        </w:rPr>
      </w:pPr>
    </w:p>
  </w:footnote>
  <w:footnote w:id="19">
    <w:p w14:paraId="6D08B628" w14:textId="77777777" w:rsidR="00F97CDE" w:rsidRPr="001736AA" w:rsidRDefault="00F97CDE" w:rsidP="00F97CDE">
      <w:pPr>
        <w:pStyle w:val="Textonotapie"/>
        <w:ind w:firstLine="708"/>
        <w:rPr>
          <w:rFonts w:ascii="Century Gothic" w:hAnsi="Century Gothic"/>
          <w:sz w:val="14"/>
          <w:szCs w:val="14"/>
          <w:lang w:val="es-CO"/>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Superintendencia de Sociedades. Oficio 220- 063311 del 6 de abril de 2020.</w:t>
      </w:r>
    </w:p>
  </w:footnote>
  <w:footnote w:id="20">
    <w:p w14:paraId="02411791" w14:textId="4DF16F65" w:rsidR="00F97CDE" w:rsidRPr="001736AA" w:rsidRDefault="00F97CDE" w:rsidP="00F97CDE">
      <w:pPr>
        <w:pStyle w:val="Textonotapie"/>
        <w:ind w:firstLine="708"/>
        <w:jc w:val="both"/>
        <w:rPr>
          <w:rFonts w:ascii="Century Gothic" w:hAnsi="Century Gothic" w:cs="Arial"/>
          <w:sz w:val="14"/>
          <w:szCs w:val="14"/>
          <w:lang w:val="es-CO"/>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w:t>
      </w:r>
      <w:r w:rsidRPr="001736AA">
        <w:rPr>
          <w:rFonts w:ascii="Century Gothic" w:hAnsi="Century Gothic" w:cs="Arial"/>
          <w:sz w:val="14"/>
          <w:szCs w:val="14"/>
          <w:lang w:val="es-CO"/>
        </w:rPr>
        <w:t xml:space="preserve">Decreto 1082 de 2015: </w:t>
      </w:r>
      <w:r w:rsidR="00ED5D4D">
        <w:rPr>
          <w:rFonts w:ascii="Century Gothic" w:hAnsi="Century Gothic" w:cs="Arial"/>
          <w:sz w:val="14"/>
          <w:szCs w:val="14"/>
          <w:lang w:val="es-CO"/>
        </w:rPr>
        <w:t>“</w:t>
      </w:r>
      <w:r w:rsidRPr="001736AA">
        <w:rPr>
          <w:rFonts w:ascii="Century Gothic" w:hAnsi="Century Gothic" w:cs="Arial"/>
          <w:sz w:val="14"/>
          <w:szCs w:val="14"/>
          <w:lang w:val="es-CO"/>
        </w:rPr>
        <w:t xml:space="preserve">Artículo 2.2.1.1.1.5.3. Requisitos habilitantes contenidos en el RUP. Las cámaras de comercio, con base en la información a la que hace referencia el artículo anterior, deben verificar y certificar los siguientes requisitos habilitantes: </w:t>
      </w:r>
    </w:p>
    <w:p w14:paraId="1631D30C" w14:textId="424B4A23" w:rsidR="00F97CDE" w:rsidRPr="001736AA" w:rsidRDefault="00ED5D4D" w:rsidP="00F97CDE">
      <w:pPr>
        <w:pStyle w:val="Textonotapie"/>
        <w:ind w:firstLine="708"/>
        <w:jc w:val="both"/>
        <w:rPr>
          <w:rFonts w:ascii="Century Gothic" w:hAnsi="Century Gothic" w:cs="Arial"/>
          <w:sz w:val="14"/>
          <w:szCs w:val="14"/>
          <w:lang w:val="es-CO"/>
        </w:rPr>
      </w:pPr>
      <w:r>
        <w:rPr>
          <w:rFonts w:ascii="Century Gothic" w:hAnsi="Century Gothic" w:cs="Arial"/>
          <w:sz w:val="14"/>
          <w:szCs w:val="14"/>
          <w:lang w:val="es-CO"/>
        </w:rPr>
        <w:t>“</w:t>
      </w:r>
      <w:r w:rsidR="00F97CDE" w:rsidRPr="001736AA">
        <w:rPr>
          <w:rFonts w:ascii="Century Gothic" w:hAnsi="Century Gothic" w:cs="Arial"/>
          <w:sz w:val="14"/>
          <w:szCs w:val="14"/>
          <w:lang w:val="es-CO"/>
        </w:rPr>
        <w:t xml:space="preserve">1. Experiencia – Los contratos celebrados por el interesado para cada uno de los bienes, obras y servicios que ofrecerá a las Entidades Estatales, identificados con el Clasificador de Bienes y Servicios en el tercer nivel y su valor expresado en </w:t>
      </w:r>
      <w:proofErr w:type="spellStart"/>
      <w:r w:rsidR="00F97CDE" w:rsidRPr="001736AA">
        <w:rPr>
          <w:rFonts w:ascii="Century Gothic" w:hAnsi="Century Gothic" w:cs="Arial"/>
          <w:sz w:val="14"/>
          <w:szCs w:val="14"/>
          <w:lang w:val="es-CO"/>
        </w:rPr>
        <w:t>smmlv</w:t>
      </w:r>
      <w:proofErr w:type="spellEnd"/>
      <w:r w:rsidR="00F97CDE" w:rsidRPr="001736AA">
        <w:rPr>
          <w:rFonts w:ascii="Century Gothic" w:hAnsi="Century Gothic" w:cs="Arial"/>
          <w:sz w:val="14"/>
          <w:szCs w:val="14"/>
          <w:lang w:val="es-CO"/>
        </w:rPr>
        <w:t xml:space="preserve">. </w:t>
      </w:r>
    </w:p>
    <w:p w14:paraId="107A1DC6" w14:textId="77579E86" w:rsidR="00F97CDE" w:rsidRPr="001736AA" w:rsidRDefault="00ED5D4D" w:rsidP="00F97CDE">
      <w:pPr>
        <w:pStyle w:val="Textonotapie"/>
        <w:ind w:firstLine="708"/>
        <w:jc w:val="both"/>
        <w:rPr>
          <w:rFonts w:ascii="Century Gothic" w:hAnsi="Century Gothic"/>
          <w:sz w:val="14"/>
          <w:szCs w:val="14"/>
          <w:lang w:val="es-CO"/>
        </w:rPr>
      </w:pPr>
      <w:r>
        <w:rPr>
          <w:rFonts w:ascii="Century Gothic" w:hAnsi="Century Gothic" w:cs="Arial"/>
          <w:sz w:val="14"/>
          <w:szCs w:val="14"/>
          <w:lang w:val="es-CO"/>
        </w:rPr>
        <w:t>“</w:t>
      </w:r>
      <w:r w:rsidR="00F97CDE" w:rsidRPr="001736AA">
        <w:rPr>
          <w:rFonts w:ascii="Century Gothic" w:hAnsi="Century Gothic" w:cs="Arial"/>
          <w:sz w:val="14"/>
          <w:szCs w:val="14"/>
          <w:lang w:val="es-CO"/>
        </w:rPr>
        <w:t xml:space="preserve">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w:t>
      </w:r>
      <w:proofErr w:type="spellStart"/>
      <w:r w:rsidR="00F97CDE" w:rsidRPr="001736AA">
        <w:rPr>
          <w:rFonts w:ascii="Century Gothic" w:hAnsi="Century Gothic" w:cs="Arial"/>
          <w:sz w:val="14"/>
          <w:szCs w:val="14"/>
          <w:lang w:val="es-CO"/>
        </w:rPr>
        <w:t>smmlv</w:t>
      </w:r>
      <w:proofErr w:type="spellEnd"/>
      <w:r w:rsidR="00F97CDE" w:rsidRPr="001736AA">
        <w:rPr>
          <w:rFonts w:ascii="Century Gothic" w:hAnsi="Century Gothic" w:cs="Arial"/>
          <w:sz w:val="14"/>
          <w:szCs w:val="14"/>
          <w:lang w:val="es-CO"/>
        </w:rPr>
        <w:t xml:space="preserve"> […]</w:t>
      </w:r>
      <w:r>
        <w:rPr>
          <w:rFonts w:ascii="Century Gothic" w:hAnsi="Century Gothic" w:cs="Arial"/>
          <w:sz w:val="14"/>
          <w:szCs w:val="14"/>
          <w:lang w:val="es-CO"/>
        </w:rPr>
        <w:t>”</w:t>
      </w:r>
      <w:r w:rsidR="00F97CDE" w:rsidRPr="001736AA">
        <w:rPr>
          <w:rFonts w:ascii="Century Gothic" w:hAnsi="Century Gothic" w:cs="Arial"/>
          <w:sz w:val="14"/>
          <w:szCs w:val="14"/>
          <w:lang w:val="es-CO"/>
        </w:rPr>
        <w:t>.</w:t>
      </w:r>
    </w:p>
  </w:footnote>
  <w:footnote w:id="21">
    <w:p w14:paraId="37D4F811" w14:textId="77777777" w:rsidR="00F97CDE" w:rsidRDefault="00F97CDE" w:rsidP="00F97CDE">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Ver en línea: </w:t>
      </w:r>
      <w:hyperlink r:id="rId3" w:history="1">
        <w:r w:rsidRPr="0016234B">
          <w:rPr>
            <w:rStyle w:val="Hipervnculo"/>
            <w:rFonts w:ascii="Arial" w:hAnsi="Arial" w:cs="Arial"/>
            <w:sz w:val="18"/>
            <w:szCs w:val="18"/>
          </w:rPr>
          <w:t>https://colombiacompra.gov.co/manuales-guias-y-pliegos-tipo/manuales-y-guias/manual-para-determinar-y-verificar-los-requisitos</w:t>
        </w:r>
      </w:hyperlink>
      <w:r w:rsidRPr="0016234B">
        <w:rPr>
          <w:rFonts w:ascii="Arial" w:hAnsi="Arial" w:cs="Arial"/>
          <w:sz w:val="18"/>
          <w:szCs w:val="18"/>
        </w:rPr>
        <w:t xml:space="preserve"> </w:t>
      </w:r>
    </w:p>
    <w:p w14:paraId="652FD85D" w14:textId="77777777" w:rsidR="00DB0E43" w:rsidRPr="0016234B" w:rsidRDefault="00DB0E43" w:rsidP="00F97CDE">
      <w:pPr>
        <w:pStyle w:val="Textonotapie"/>
        <w:ind w:firstLine="708"/>
        <w:jc w:val="both"/>
        <w:rPr>
          <w:rFonts w:ascii="Arial" w:hAnsi="Arial" w:cs="Arial"/>
          <w:sz w:val="18"/>
          <w:szCs w:val="18"/>
        </w:rPr>
      </w:pPr>
    </w:p>
  </w:footnote>
  <w:footnote w:id="22">
    <w:p w14:paraId="003D746E" w14:textId="77777777" w:rsidR="00F97CDE" w:rsidRPr="0016234B" w:rsidRDefault="00F97CDE" w:rsidP="00F97CDE">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0A841AE" w14:textId="77777777" w:rsidR="00F97CDE" w:rsidRPr="0016234B" w:rsidRDefault="00F97CDE" w:rsidP="00F97CDE">
      <w:pPr>
        <w:pStyle w:val="Textonotapie"/>
        <w:ind w:firstLine="708"/>
        <w:jc w:val="both"/>
        <w:rPr>
          <w:rFonts w:ascii="Arial" w:hAnsi="Arial" w:cs="Arial"/>
          <w:sz w:val="18"/>
          <w:szCs w:val="18"/>
        </w:rPr>
      </w:pPr>
      <w:r w:rsidRPr="0016234B">
        <w:rPr>
          <w:rFonts w:ascii="Arial" w:hAnsi="Arial" w:cs="Arial"/>
          <w:sz w:val="18"/>
          <w:szCs w:val="18"/>
        </w:rPr>
        <w:t>[…]</w:t>
      </w:r>
    </w:p>
    <w:p w14:paraId="61EC8002" w14:textId="77777777" w:rsidR="00F97CDE" w:rsidRDefault="00F97CDE" w:rsidP="00F97CDE">
      <w:pPr>
        <w:pStyle w:val="Textonotapie"/>
        <w:ind w:firstLine="708"/>
        <w:jc w:val="both"/>
        <w:rPr>
          <w:rFonts w:ascii="Arial" w:hAnsi="Arial" w:cs="Arial"/>
          <w:sz w:val="18"/>
          <w:szCs w:val="18"/>
          <w:shd w:val="clear" w:color="auto" w:fill="FFFFFF"/>
        </w:rPr>
      </w:pPr>
      <w:r w:rsidRPr="0016234B">
        <w:rPr>
          <w:rFonts w:ascii="Arial" w:hAnsi="Arial" w:cs="Arial"/>
          <w:sz w:val="18"/>
          <w:szCs w:val="18"/>
          <w:shd w:val="clear" w:color="auto" w:fill="FFFFFF"/>
        </w:rPr>
        <w:t>2.1.   Bienes, obras y servicios que ofrecerá a las Entidades Estatales, identificados con el Clasificador de Bienes y Servicios en el tercer nivel</w:t>
      </w:r>
      <w:r w:rsidRPr="0016234B">
        <w:rPr>
          <w:rFonts w:ascii="Arial" w:hAnsi="Arial" w:cs="Arial"/>
          <w:sz w:val="18"/>
          <w:szCs w:val="18"/>
        </w:rPr>
        <w:t>”</w:t>
      </w:r>
      <w:r w:rsidRPr="0016234B">
        <w:rPr>
          <w:rFonts w:ascii="Arial" w:hAnsi="Arial" w:cs="Arial"/>
          <w:sz w:val="18"/>
          <w:szCs w:val="18"/>
          <w:shd w:val="clear" w:color="auto" w:fill="FFFFFF"/>
        </w:rPr>
        <w:t>.</w:t>
      </w:r>
    </w:p>
    <w:p w14:paraId="1439AB63" w14:textId="77777777" w:rsidR="00DB0E43" w:rsidRPr="0016234B" w:rsidRDefault="00DB0E43" w:rsidP="00F97CDE">
      <w:pPr>
        <w:pStyle w:val="Textonotapie"/>
        <w:ind w:firstLine="708"/>
        <w:jc w:val="both"/>
        <w:rPr>
          <w:rFonts w:ascii="Arial" w:hAnsi="Arial" w:cs="Arial"/>
          <w:sz w:val="18"/>
          <w:szCs w:val="18"/>
        </w:rPr>
      </w:pPr>
    </w:p>
  </w:footnote>
  <w:footnote w:id="23">
    <w:p w14:paraId="48F7C61C" w14:textId="77777777" w:rsidR="00F97CDE" w:rsidRPr="0016234B" w:rsidRDefault="00F97CDE" w:rsidP="00F97CDE">
      <w:pPr>
        <w:pStyle w:val="Textonotapie"/>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47803E6" w14:textId="77777777" w:rsidR="00F97CDE" w:rsidRPr="0016234B" w:rsidRDefault="00F97CDE" w:rsidP="00F97CDE">
      <w:pPr>
        <w:pStyle w:val="Textonotapie"/>
        <w:ind w:firstLine="708"/>
        <w:jc w:val="both"/>
        <w:rPr>
          <w:rFonts w:ascii="Arial" w:hAnsi="Arial" w:cs="Arial"/>
          <w:sz w:val="18"/>
          <w:szCs w:val="18"/>
        </w:rPr>
      </w:pPr>
      <w:r w:rsidRPr="0016234B">
        <w:rPr>
          <w:rFonts w:ascii="Arial" w:hAnsi="Arial" w:cs="Arial"/>
          <w:sz w:val="18"/>
          <w:szCs w:val="18"/>
        </w:rPr>
        <w:t>[…]</w:t>
      </w:r>
    </w:p>
    <w:p w14:paraId="6B3A85B0" w14:textId="77777777" w:rsidR="00F97CDE" w:rsidRPr="0016234B" w:rsidRDefault="00F97CDE" w:rsidP="00F97CDE">
      <w:pPr>
        <w:pStyle w:val="Textonotapie"/>
        <w:ind w:firstLine="708"/>
        <w:jc w:val="both"/>
        <w:rPr>
          <w:rFonts w:ascii="Arial" w:hAnsi="Arial" w:cs="Arial"/>
          <w:sz w:val="18"/>
          <w:szCs w:val="18"/>
          <w:lang w:val="es-CO"/>
        </w:rPr>
      </w:pPr>
      <w:r w:rsidRPr="0016234B">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r w:rsidRPr="0016234B">
        <w:rPr>
          <w:rFonts w:ascii="Arial" w:hAnsi="Arial" w:cs="Arial"/>
          <w:sz w:val="18"/>
          <w:szCs w:val="18"/>
        </w:rPr>
        <w:t>”.</w:t>
      </w:r>
    </w:p>
  </w:footnote>
  <w:footnote w:id="24">
    <w:p w14:paraId="3F27A9CC" w14:textId="77777777" w:rsidR="00F97CDE" w:rsidRPr="0016234B" w:rsidRDefault="00F97CDE" w:rsidP="00F97CDE">
      <w:pPr>
        <w:pStyle w:val="Textocomentario"/>
        <w:ind w:firstLine="708"/>
        <w:jc w:val="both"/>
        <w:rPr>
          <w:rFonts w:ascii="Arial" w:hAnsi="Arial" w:cs="Arial"/>
          <w:sz w:val="18"/>
          <w:szCs w:val="18"/>
        </w:rPr>
      </w:pPr>
      <w:r w:rsidRPr="0016234B">
        <w:rPr>
          <w:rStyle w:val="Refdenotaalpie"/>
          <w:rFonts w:ascii="Arial" w:hAnsi="Arial" w:cs="Arial"/>
          <w:sz w:val="18"/>
          <w:szCs w:val="18"/>
        </w:rPr>
        <w:footnoteRef/>
      </w:r>
      <w:r w:rsidRPr="0016234B">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w:t>
      </w:r>
      <w:proofErr w:type="spellStart"/>
      <w:r w:rsidRPr="0016234B">
        <w:rPr>
          <w:rFonts w:ascii="Arial" w:hAnsi="Arial" w:cs="Arial"/>
          <w:sz w:val="18"/>
          <w:szCs w:val="18"/>
        </w:rPr>
        <w:t>Covid</w:t>
      </w:r>
      <w:proofErr w:type="spellEnd"/>
      <w:r w:rsidRPr="0016234B">
        <w:rPr>
          <w:rFonts w:ascii="Arial" w:hAnsi="Arial" w:cs="Arial"/>
          <w:sz w:val="18"/>
          <w:szCs w:val="18"/>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25">
    <w:p w14:paraId="6FA9D07F" w14:textId="77697AA7" w:rsidR="00F97CDE" w:rsidRPr="001736AA" w:rsidRDefault="00F97CDE" w:rsidP="00F97CDE">
      <w:pPr>
        <w:pStyle w:val="Textonotapie"/>
        <w:ind w:firstLine="708"/>
        <w:jc w:val="both"/>
        <w:rPr>
          <w:rFonts w:ascii="Century Gothic" w:hAnsi="Century Gothic" w:cs="Arial"/>
          <w:sz w:val="14"/>
          <w:szCs w:val="14"/>
        </w:rPr>
      </w:pPr>
      <w:r w:rsidRPr="001736AA">
        <w:rPr>
          <w:rStyle w:val="Refdenotaalpie"/>
          <w:rFonts w:ascii="Century Gothic" w:hAnsi="Century Gothic" w:cs="Arial"/>
          <w:sz w:val="14"/>
          <w:szCs w:val="14"/>
        </w:rPr>
        <w:footnoteRef/>
      </w:r>
      <w:r w:rsidRPr="001736AA">
        <w:rPr>
          <w:rFonts w:ascii="Century Gothic" w:hAnsi="Century Gothic" w:cs="Arial"/>
          <w:sz w:val="14"/>
          <w:szCs w:val="14"/>
        </w:rPr>
        <w:t xml:space="preserve"> Ley 222 de 1995: </w:t>
      </w:r>
      <w:r w:rsidR="00ED5D4D">
        <w:rPr>
          <w:rFonts w:ascii="Century Gothic" w:hAnsi="Century Gothic" w:cs="Arial"/>
          <w:sz w:val="14"/>
          <w:szCs w:val="14"/>
        </w:rPr>
        <w:t>“</w:t>
      </w:r>
      <w:r w:rsidRPr="001736AA">
        <w:rPr>
          <w:rFonts w:ascii="Century Gothic" w:hAnsi="Century Gothic" w:cs="Arial"/>
          <w:sz w:val="14"/>
          <w:szCs w:val="14"/>
        </w:rPr>
        <w:t>Artículo 3. Modalidades. Habrá escisión cuando:</w:t>
      </w:r>
    </w:p>
    <w:p w14:paraId="60B08CB9" w14:textId="2493622A" w:rsidR="00F97CDE" w:rsidRPr="001736AA" w:rsidRDefault="00ED5D4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 xml:space="preserve">1. Una sociedad sin </w:t>
      </w:r>
      <w:proofErr w:type="gramStart"/>
      <w:r w:rsidR="00F97CDE" w:rsidRPr="001736AA">
        <w:rPr>
          <w:rFonts w:ascii="Century Gothic" w:hAnsi="Century Gothic" w:cs="Arial"/>
          <w:sz w:val="14"/>
          <w:szCs w:val="14"/>
        </w:rPr>
        <w:t>disolverse,</w:t>
      </w:r>
      <w:proofErr w:type="gramEnd"/>
      <w:r w:rsidR="00F97CDE" w:rsidRPr="001736AA">
        <w:rPr>
          <w:rFonts w:ascii="Century Gothic" w:hAnsi="Century Gothic" w:cs="Arial"/>
          <w:sz w:val="14"/>
          <w:szCs w:val="14"/>
        </w:rPr>
        <w:t xml:space="preserve"> transfiere en bloque una o varias partes de su patrimonio a una o más sociedades existentes o las destina a la creación de una o varias sociedades.</w:t>
      </w:r>
    </w:p>
    <w:p w14:paraId="70138752" w14:textId="4529A4B9" w:rsidR="00F97CDE" w:rsidRPr="001736AA" w:rsidRDefault="00ED5D4D" w:rsidP="00F97CDE">
      <w:pPr>
        <w:pStyle w:val="Textonotapie"/>
        <w:ind w:firstLine="708"/>
        <w:jc w:val="both"/>
        <w:rPr>
          <w:rFonts w:ascii="Century Gothic" w:hAnsi="Century Gothic" w:cs="Arial"/>
          <w:sz w:val="14"/>
          <w:szCs w:val="14"/>
        </w:rPr>
      </w:pPr>
      <w:r>
        <w:rPr>
          <w:rFonts w:ascii="Century Gothic" w:hAnsi="Century Gothic" w:cs="Arial"/>
          <w:sz w:val="14"/>
          <w:szCs w:val="14"/>
        </w:rPr>
        <w:t>“</w:t>
      </w:r>
      <w:r w:rsidR="00F97CDE" w:rsidRPr="001736AA">
        <w:rPr>
          <w:rFonts w:ascii="Century Gothic" w:hAnsi="Century Gothic" w:cs="Arial"/>
          <w:sz w:val="14"/>
          <w:szCs w:val="14"/>
        </w:rPr>
        <w:t>2. Una sociedad se disuelve sin liquidarse, dividiendo su patrimonio en dos o más partes, que se transfieren a varias sociedades existentes o se destinan a la creación de nuevas sociedades.</w:t>
      </w:r>
    </w:p>
    <w:p w14:paraId="383B4721" w14:textId="77777777" w:rsidR="00F97CDE" w:rsidRPr="001736AA" w:rsidRDefault="00F97CDE" w:rsidP="00F97CDE">
      <w:pPr>
        <w:pStyle w:val="Textonotapie"/>
        <w:ind w:firstLine="708"/>
        <w:jc w:val="both"/>
        <w:rPr>
          <w:rFonts w:ascii="Century Gothic" w:hAnsi="Century Gothic" w:cs="Arial"/>
          <w:sz w:val="14"/>
          <w:szCs w:val="14"/>
        </w:rPr>
      </w:pPr>
      <w:proofErr w:type="gramStart"/>
      <w:r w:rsidRPr="001736AA">
        <w:rPr>
          <w:rFonts w:ascii="Century Gothic" w:hAnsi="Century Gothic" w:cs="Arial"/>
          <w:sz w:val="14"/>
          <w:szCs w:val="14"/>
        </w:rPr>
        <w:t>»La</w:t>
      </w:r>
      <w:proofErr w:type="gramEnd"/>
      <w:r w:rsidRPr="001736AA">
        <w:rPr>
          <w:rFonts w:ascii="Century Gothic" w:hAnsi="Century Gothic" w:cs="Arial"/>
          <w:sz w:val="14"/>
          <w:szCs w:val="14"/>
        </w:rPr>
        <w:t xml:space="preserve"> sociedad o sociedades destinatarias de las transferencias resultantes de la escisión, se denominarán sociedades beneficiarias.</w:t>
      </w:r>
    </w:p>
    <w:p w14:paraId="55249E05" w14:textId="658672FD" w:rsidR="00F97CDE" w:rsidRPr="001736AA" w:rsidRDefault="00ED5D4D" w:rsidP="00F97CDE">
      <w:pPr>
        <w:pStyle w:val="Textonotapie"/>
        <w:ind w:firstLine="708"/>
        <w:jc w:val="both"/>
        <w:rPr>
          <w:rFonts w:ascii="Century Gothic" w:hAnsi="Century Gothic" w:cs="Arial"/>
          <w:sz w:val="14"/>
          <w:szCs w:val="14"/>
          <w:lang w:val="es-CO"/>
        </w:rPr>
      </w:pPr>
      <w:r>
        <w:rPr>
          <w:rFonts w:ascii="Century Gothic" w:hAnsi="Century Gothic" w:cs="Arial"/>
          <w:sz w:val="14"/>
          <w:szCs w:val="14"/>
        </w:rPr>
        <w:t>“</w:t>
      </w:r>
      <w:r w:rsidR="00F97CDE" w:rsidRPr="001736AA">
        <w:rPr>
          <w:rFonts w:ascii="Century Gothic" w:hAnsi="Century Gothic" w:cs="Arial"/>
          <w:sz w:val="14"/>
          <w:szCs w:val="14"/>
        </w:rPr>
        <w:t xml:space="preserve">Los socios de la sociedad escindida participarán en el capital de las Sociedades beneficiarias en la misma proporción que tengan en aquélla, salvo </w:t>
      </w:r>
      <w:proofErr w:type="gramStart"/>
      <w:r w:rsidR="00F97CDE" w:rsidRPr="001736AA">
        <w:rPr>
          <w:rFonts w:ascii="Century Gothic" w:hAnsi="Century Gothic" w:cs="Arial"/>
          <w:sz w:val="14"/>
          <w:szCs w:val="14"/>
        </w:rPr>
        <w:t>que</w:t>
      </w:r>
      <w:proofErr w:type="gramEnd"/>
      <w:r w:rsidR="00F97CDE" w:rsidRPr="001736AA">
        <w:rPr>
          <w:rFonts w:ascii="Century Gothic" w:hAnsi="Century Gothic" w:cs="Arial"/>
          <w:sz w:val="14"/>
          <w:szCs w:val="14"/>
        </w:rPr>
        <w:t xml:space="preserve"> por unanimidad de las acciones, cuotas sociales o partes de interés representadas en la asamblea o junta de socios de la escindente, se apruebe una participación diferente</w:t>
      </w:r>
      <w:r>
        <w:rPr>
          <w:rFonts w:ascii="Century Gothic" w:hAnsi="Century Gothic" w:cs="Arial"/>
          <w:sz w:val="14"/>
          <w:szCs w:val="14"/>
        </w:rPr>
        <w:t>”</w:t>
      </w:r>
      <w:r w:rsidR="00F97CDE" w:rsidRPr="001736AA">
        <w:rPr>
          <w:rFonts w:ascii="Century Gothic" w:hAnsi="Century Gothic" w:cs="Arial"/>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lang w:val="en-US"/>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val="en-US"/>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val="en-US"/>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4.4pt;height:14.4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0466215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30573682">
    <w:abstractNumId w:val="7"/>
  </w:num>
  <w:num w:numId="2" w16cid:durableId="1548226973">
    <w:abstractNumId w:val="3"/>
  </w:num>
  <w:num w:numId="3" w16cid:durableId="911164758">
    <w:abstractNumId w:val="5"/>
  </w:num>
  <w:num w:numId="4" w16cid:durableId="20455200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05393473">
    <w:abstractNumId w:val="3"/>
  </w:num>
  <w:num w:numId="6" w16cid:durableId="1755012007">
    <w:abstractNumId w:val="13"/>
  </w:num>
  <w:num w:numId="7" w16cid:durableId="982083704">
    <w:abstractNumId w:val="6"/>
  </w:num>
  <w:num w:numId="8" w16cid:durableId="146098914">
    <w:abstractNumId w:val="12"/>
  </w:num>
  <w:num w:numId="9" w16cid:durableId="513109147">
    <w:abstractNumId w:val="8"/>
  </w:num>
  <w:num w:numId="10" w16cid:durableId="1851946693">
    <w:abstractNumId w:val="11"/>
  </w:num>
  <w:num w:numId="11" w16cid:durableId="677268819">
    <w:abstractNumId w:val="9"/>
  </w:num>
  <w:num w:numId="12" w16cid:durableId="2080443062">
    <w:abstractNumId w:val="2"/>
  </w:num>
  <w:num w:numId="13" w16cid:durableId="1409498977">
    <w:abstractNumId w:val="4"/>
  </w:num>
  <w:num w:numId="14" w16cid:durableId="244650646">
    <w:abstractNumId w:val="14"/>
  </w:num>
  <w:num w:numId="15" w16cid:durableId="1506245964">
    <w:abstractNumId w:val="10"/>
  </w:num>
  <w:num w:numId="16" w16cid:durableId="199049997">
    <w:abstractNumId w:val="0"/>
  </w:num>
  <w:num w:numId="17" w16cid:durableId="1431126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E30"/>
    <w:rsid w:val="00061B2A"/>
    <w:rsid w:val="00082362"/>
    <w:rsid w:val="00095CB3"/>
    <w:rsid w:val="000A37F3"/>
    <w:rsid w:val="000A683E"/>
    <w:rsid w:val="000B19B9"/>
    <w:rsid w:val="000D0334"/>
    <w:rsid w:val="000F6486"/>
    <w:rsid w:val="00111ABB"/>
    <w:rsid w:val="00125105"/>
    <w:rsid w:val="00127233"/>
    <w:rsid w:val="00173660"/>
    <w:rsid w:val="00197880"/>
    <w:rsid w:val="001E4177"/>
    <w:rsid w:val="001F7DC6"/>
    <w:rsid w:val="002421BB"/>
    <w:rsid w:val="00251C3F"/>
    <w:rsid w:val="0026347E"/>
    <w:rsid w:val="002707A2"/>
    <w:rsid w:val="002951A0"/>
    <w:rsid w:val="002962BC"/>
    <w:rsid w:val="002A093D"/>
    <w:rsid w:val="002A0DD0"/>
    <w:rsid w:val="002A49AC"/>
    <w:rsid w:val="002A64FD"/>
    <w:rsid w:val="002C7A84"/>
    <w:rsid w:val="002E4FD9"/>
    <w:rsid w:val="00322A85"/>
    <w:rsid w:val="003245AB"/>
    <w:rsid w:val="003431DB"/>
    <w:rsid w:val="003448F4"/>
    <w:rsid w:val="00367236"/>
    <w:rsid w:val="00374F5E"/>
    <w:rsid w:val="00377E3E"/>
    <w:rsid w:val="003A779E"/>
    <w:rsid w:val="003D0F4D"/>
    <w:rsid w:val="003D5B0D"/>
    <w:rsid w:val="003E0499"/>
    <w:rsid w:val="003E1F8D"/>
    <w:rsid w:val="003F3941"/>
    <w:rsid w:val="00406575"/>
    <w:rsid w:val="0042722E"/>
    <w:rsid w:val="004A1847"/>
    <w:rsid w:val="004A305D"/>
    <w:rsid w:val="004F21C4"/>
    <w:rsid w:val="004F685F"/>
    <w:rsid w:val="00506D88"/>
    <w:rsid w:val="0052277F"/>
    <w:rsid w:val="005566E8"/>
    <w:rsid w:val="00561E77"/>
    <w:rsid w:val="00571D07"/>
    <w:rsid w:val="005741F9"/>
    <w:rsid w:val="00574867"/>
    <w:rsid w:val="00591460"/>
    <w:rsid w:val="005A2340"/>
    <w:rsid w:val="005B143A"/>
    <w:rsid w:val="005C3777"/>
    <w:rsid w:val="005C5CDC"/>
    <w:rsid w:val="005D476C"/>
    <w:rsid w:val="006219F8"/>
    <w:rsid w:val="00665D70"/>
    <w:rsid w:val="00681E3F"/>
    <w:rsid w:val="006900D9"/>
    <w:rsid w:val="00706C16"/>
    <w:rsid w:val="00724CE7"/>
    <w:rsid w:val="00756841"/>
    <w:rsid w:val="007649AB"/>
    <w:rsid w:val="00764FA4"/>
    <w:rsid w:val="00771D0C"/>
    <w:rsid w:val="007833AC"/>
    <w:rsid w:val="007845D3"/>
    <w:rsid w:val="007B268C"/>
    <w:rsid w:val="007B7171"/>
    <w:rsid w:val="007C3DC2"/>
    <w:rsid w:val="007E5497"/>
    <w:rsid w:val="007E59C3"/>
    <w:rsid w:val="00806F5F"/>
    <w:rsid w:val="00820278"/>
    <w:rsid w:val="008843B6"/>
    <w:rsid w:val="00891928"/>
    <w:rsid w:val="008A446D"/>
    <w:rsid w:val="008D180B"/>
    <w:rsid w:val="008F0EA7"/>
    <w:rsid w:val="00923EEF"/>
    <w:rsid w:val="009419F9"/>
    <w:rsid w:val="00961B09"/>
    <w:rsid w:val="00965334"/>
    <w:rsid w:val="0097093E"/>
    <w:rsid w:val="009A6976"/>
    <w:rsid w:val="009C71FA"/>
    <w:rsid w:val="009C72E7"/>
    <w:rsid w:val="009F3A13"/>
    <w:rsid w:val="00A122D3"/>
    <w:rsid w:val="00A17F13"/>
    <w:rsid w:val="00A20739"/>
    <w:rsid w:val="00A33C78"/>
    <w:rsid w:val="00A643B0"/>
    <w:rsid w:val="00AB02C6"/>
    <w:rsid w:val="00AB0ADB"/>
    <w:rsid w:val="00B23B91"/>
    <w:rsid w:val="00B72CD3"/>
    <w:rsid w:val="00B72FFF"/>
    <w:rsid w:val="00B94B12"/>
    <w:rsid w:val="00BC1FB4"/>
    <w:rsid w:val="00BC3D36"/>
    <w:rsid w:val="00BD7F72"/>
    <w:rsid w:val="00C04FB3"/>
    <w:rsid w:val="00C10751"/>
    <w:rsid w:val="00C11B6A"/>
    <w:rsid w:val="00C330EB"/>
    <w:rsid w:val="00C5300E"/>
    <w:rsid w:val="00C633A0"/>
    <w:rsid w:val="00C754BE"/>
    <w:rsid w:val="00C76B1C"/>
    <w:rsid w:val="00CA3645"/>
    <w:rsid w:val="00CB6357"/>
    <w:rsid w:val="00CC1B26"/>
    <w:rsid w:val="00D423A2"/>
    <w:rsid w:val="00D63AC2"/>
    <w:rsid w:val="00D7383B"/>
    <w:rsid w:val="00DA231B"/>
    <w:rsid w:val="00DB0E43"/>
    <w:rsid w:val="00DB2631"/>
    <w:rsid w:val="00DF5254"/>
    <w:rsid w:val="00E16408"/>
    <w:rsid w:val="00E20894"/>
    <w:rsid w:val="00E245AB"/>
    <w:rsid w:val="00E2764C"/>
    <w:rsid w:val="00E27F2E"/>
    <w:rsid w:val="00E46843"/>
    <w:rsid w:val="00E50AFE"/>
    <w:rsid w:val="00E771DC"/>
    <w:rsid w:val="00E86D9B"/>
    <w:rsid w:val="00E8772A"/>
    <w:rsid w:val="00E90F6B"/>
    <w:rsid w:val="00E92C27"/>
    <w:rsid w:val="00E97D30"/>
    <w:rsid w:val="00EA0E3D"/>
    <w:rsid w:val="00ED5D4D"/>
    <w:rsid w:val="00EE1AA8"/>
    <w:rsid w:val="00F30D3D"/>
    <w:rsid w:val="00F31EDC"/>
    <w:rsid w:val="00F462B3"/>
    <w:rsid w:val="00F5664F"/>
    <w:rsid w:val="00F666C4"/>
    <w:rsid w:val="00F76AFC"/>
    <w:rsid w:val="00F97CDE"/>
    <w:rsid w:val="00FB5DD1"/>
    <w:rsid w:val="00FC2B5D"/>
    <w:rsid w:val="00FD03B4"/>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1">
    <w:name w:val="Unresolved Mention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comentario">
    <w:name w:val="annotation text"/>
    <w:basedOn w:val="Normal"/>
    <w:link w:val="TextocomentarioCar"/>
    <w:uiPriority w:val="99"/>
    <w:unhideWhenUsed/>
    <w:rsid w:val="00F97CDE"/>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F97CDE"/>
    <w:rPr>
      <w:sz w:val="20"/>
      <w:szCs w:val="20"/>
      <w:lang w:val="es-MX"/>
    </w:rPr>
  </w:style>
  <w:style w:type="paragraph" w:customStyle="1" w:styleId="Appelnotedebasde">
    <w:name w:val="Appel note de bas de..."/>
    <w:basedOn w:val="Normal"/>
    <w:link w:val="Refdenotaalpie"/>
    <w:uiPriority w:val="99"/>
    <w:rsid w:val="00F97CDE"/>
    <w:pPr>
      <w:spacing w:after="0"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7CDE"/>
    <w:rPr>
      <w:rFonts w:ascii="Geomanist Light" w:hAnsi="Geomanist Light"/>
      <w:lang w:val="es-ES"/>
    </w:rPr>
  </w:style>
  <w:style w:type="table" w:customStyle="1" w:styleId="Tablaconcuadrcula11">
    <w:name w:val="Tabla con cuadrícula11"/>
    <w:basedOn w:val="Tablanormal"/>
    <w:next w:val="Tablaconcuadrcula"/>
    <w:uiPriority w:val="59"/>
    <w:rsid w:val="00F97CDE"/>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724CE7"/>
    <w:rPr>
      <w:sz w:val="16"/>
      <w:szCs w:val="16"/>
    </w:rPr>
  </w:style>
  <w:style w:type="paragraph" w:styleId="Asuntodelcomentario">
    <w:name w:val="annotation subject"/>
    <w:basedOn w:val="Textocomentario"/>
    <w:next w:val="Textocomentario"/>
    <w:link w:val="AsuntodelcomentarioCar"/>
    <w:uiPriority w:val="99"/>
    <w:semiHidden/>
    <w:unhideWhenUsed/>
    <w:rsid w:val="00724CE7"/>
    <w:pPr>
      <w:spacing w:after="160"/>
    </w:pPr>
    <w:rPr>
      <w:b/>
      <w:bCs/>
      <w:lang w:val="es-CO"/>
    </w:rPr>
  </w:style>
  <w:style w:type="character" w:customStyle="1" w:styleId="AsuntodelcomentarioCar">
    <w:name w:val="Asunto del comentario Car"/>
    <w:basedOn w:val="TextocomentarioCar"/>
    <w:link w:val="Asuntodelcomentario"/>
    <w:uiPriority w:val="99"/>
    <w:semiHidden/>
    <w:rsid w:val="00724CE7"/>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8490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colombiacompra.gov.co/manuales-guias-y-pliegos-tipo/manuales-y-guias/manual-para-determinar-y-verificar-los-requisitos" TargetMode="External"/><Relationship Id="rId2" Type="http://schemas.openxmlformats.org/officeDocument/2006/relationships/hyperlink" Target="https://www.colombiacompra.gov.co/sites/cce_public/files/files_2020/cce-eicp-ma-04._manual_requisitos_habilitantes_v.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SharedWithUsers xmlns="a6cb9e4b-f1d1-4245-83ec-6cad768d538a">
      <UserInfo>
        <DisplayName>Nina María Padrón</DisplayName>
        <AccountId>122</AccountId>
        <AccountType/>
      </UserInfo>
      <UserInfo>
        <DisplayName>Ximena Ríos López</DisplayName>
        <AccountId>48</AccountId>
        <AccountType/>
      </UserInfo>
      <UserInfo>
        <DisplayName>Nohelia Del Carmen Zawady Palacio</DisplayName>
        <AccountId>289</AccountId>
        <AccountType/>
      </UserInfo>
      <UserInfo>
        <DisplayName>Carlos Mario Castrillón Endo</DisplayName>
        <AccountId>136</AccountId>
        <AccountType/>
      </UserInfo>
    </SharedWithUsers>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B7C7C65-42A8-46F7-868F-74F8C473378D}"/>
</file>

<file path=docProps/app.xml><?xml version="1.0" encoding="utf-8"?>
<Properties xmlns="http://schemas.openxmlformats.org/officeDocument/2006/extended-properties" xmlns:vt="http://schemas.openxmlformats.org/officeDocument/2006/docPropsVTypes">
  <Template>Normal</Template>
  <TotalTime>19</TotalTime>
  <Pages>24</Pages>
  <Words>8042</Words>
  <Characters>44234</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4</cp:revision>
  <cp:lastPrinted>2023-01-10T21:18:00Z</cp:lastPrinted>
  <dcterms:created xsi:type="dcterms:W3CDTF">2024-03-12T00:54:00Z</dcterms:created>
  <dcterms:modified xsi:type="dcterms:W3CDTF">2024-03-15T16:00:00Z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