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C5BA42" w14:textId="77777777" w:rsidR="005F5CB4" w:rsidRDefault="005F5CB4" w:rsidP="000A3221">
      <w:pPr>
        <w:jc w:val="right"/>
        <w:rPr>
          <w:rFonts w:ascii="Arial" w:hAnsi="Arial" w:cs="Arial"/>
          <w:b/>
          <w:color w:val="000000" w:themeColor="text1"/>
          <w:sz w:val="16"/>
          <w:szCs w:val="16"/>
          <w:lang w:eastAsia="es-ES"/>
        </w:rPr>
      </w:pPr>
    </w:p>
    <w:p w14:paraId="54F27128" w14:textId="35923EFB" w:rsidR="00A84220" w:rsidRDefault="000A3221" w:rsidP="00B35449">
      <w:pPr>
        <w:jc w:val="right"/>
        <w:rPr>
          <w:rFonts w:ascii="Arial" w:hAnsi="Arial" w:cs="Arial"/>
          <w:b/>
          <w:bCs/>
          <w:sz w:val="22"/>
          <w:szCs w:val="22"/>
        </w:rPr>
      </w:pPr>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3CEAB240" w14:textId="086B8578" w:rsidR="00A84220" w:rsidRDefault="00A84220" w:rsidP="00A84220">
      <w:pPr>
        <w:jc w:val="both"/>
        <w:rPr>
          <w:rFonts w:ascii="Arial" w:hAnsi="Arial" w:cs="Arial"/>
          <w:b/>
          <w:bCs/>
          <w:sz w:val="22"/>
          <w:szCs w:val="22"/>
        </w:rPr>
      </w:pPr>
      <w:r>
        <w:rPr>
          <w:rFonts w:ascii="Arial" w:hAnsi="Arial" w:cs="Arial"/>
          <w:b/>
          <w:bCs/>
          <w:sz w:val="22"/>
          <w:szCs w:val="22"/>
        </w:rPr>
        <w:t xml:space="preserve">SUBASTA INVERSA – </w:t>
      </w:r>
      <w:r w:rsidR="00194155">
        <w:rPr>
          <w:rFonts w:ascii="Arial" w:hAnsi="Arial" w:cs="Arial"/>
          <w:b/>
          <w:bCs/>
          <w:sz w:val="22"/>
          <w:szCs w:val="22"/>
        </w:rPr>
        <w:t>C</w:t>
      </w:r>
      <w:r w:rsidR="006F1FFF">
        <w:rPr>
          <w:rFonts w:ascii="Arial" w:hAnsi="Arial" w:cs="Arial"/>
          <w:b/>
          <w:bCs/>
          <w:sz w:val="22"/>
          <w:szCs w:val="22"/>
        </w:rPr>
        <w:t>oncepto d</w:t>
      </w:r>
      <w:r>
        <w:rPr>
          <w:rFonts w:ascii="Arial" w:hAnsi="Arial" w:cs="Arial"/>
          <w:b/>
          <w:bCs/>
          <w:sz w:val="22"/>
          <w:szCs w:val="22"/>
        </w:rPr>
        <w:t>octrina</w:t>
      </w:r>
      <w:r w:rsidR="006F1FFF">
        <w:rPr>
          <w:rFonts w:ascii="Arial" w:hAnsi="Arial" w:cs="Arial"/>
          <w:b/>
          <w:bCs/>
          <w:sz w:val="22"/>
          <w:szCs w:val="22"/>
        </w:rPr>
        <w:t>l</w:t>
      </w:r>
      <w:r>
        <w:rPr>
          <w:rFonts w:ascii="Arial" w:hAnsi="Arial" w:cs="Arial"/>
          <w:b/>
          <w:bCs/>
          <w:sz w:val="22"/>
          <w:szCs w:val="22"/>
        </w:rPr>
        <w:t xml:space="preserve"> </w:t>
      </w:r>
    </w:p>
    <w:p w14:paraId="543FE293" w14:textId="04ACFB17" w:rsidR="00A84220" w:rsidRDefault="00A84220" w:rsidP="00A84220">
      <w:pPr>
        <w:jc w:val="both"/>
        <w:rPr>
          <w:rFonts w:ascii="Arial" w:hAnsi="Arial" w:cs="Arial"/>
          <w:b/>
          <w:bCs/>
          <w:sz w:val="22"/>
          <w:szCs w:val="22"/>
        </w:rPr>
      </w:pPr>
    </w:p>
    <w:p w14:paraId="7676597F" w14:textId="6A198816" w:rsidR="008327ED" w:rsidRPr="00B35449" w:rsidRDefault="00CB5570" w:rsidP="008327ED">
      <w:pPr>
        <w:jc w:val="both"/>
        <w:rPr>
          <w:rFonts w:ascii="Arial" w:hAnsi="Arial" w:cs="Arial"/>
          <w:b/>
          <w:bCs/>
          <w:sz w:val="20"/>
          <w:szCs w:val="20"/>
        </w:rPr>
      </w:pPr>
      <w:r w:rsidRPr="008327ED">
        <w:rPr>
          <w:rFonts w:ascii="Arial" w:hAnsi="Arial" w:cs="Arial"/>
          <w:sz w:val="20"/>
          <w:szCs w:val="20"/>
          <w:lang w:val="es-ES"/>
        </w:rPr>
        <w:t xml:space="preserve">[…] </w:t>
      </w:r>
      <w:r w:rsidR="008327ED" w:rsidRPr="008327ED">
        <w:rPr>
          <w:rFonts w:ascii="Arial" w:eastAsiaTheme="minorHAnsi" w:hAnsi="Arial" w:cs="Arial"/>
          <w:sz w:val="20"/>
          <w:szCs w:val="20"/>
          <w:lang w:val="es-MX" w:eastAsia="en-US"/>
        </w:rPr>
        <w:t>En este contexto normativo, la doctrina ha señalado que «se entiende por subasta inversa para la presentación de la oferta,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 En igual sentido, la doctrina especializada destaca de este mecanismo que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p>
    <w:p w14:paraId="266AD79A" w14:textId="77777777" w:rsidR="00A84220" w:rsidRDefault="00A84220" w:rsidP="00A84220">
      <w:pPr>
        <w:jc w:val="both"/>
        <w:rPr>
          <w:rFonts w:ascii="Arial" w:hAnsi="Arial" w:cs="Arial"/>
          <w:b/>
          <w:bCs/>
          <w:sz w:val="22"/>
          <w:szCs w:val="22"/>
        </w:rPr>
      </w:pPr>
    </w:p>
    <w:p w14:paraId="301D027A" w14:textId="316CB398" w:rsidR="00A84220" w:rsidRDefault="00A84220" w:rsidP="00A84220">
      <w:pPr>
        <w:jc w:val="both"/>
        <w:rPr>
          <w:rFonts w:ascii="Arial" w:hAnsi="Arial" w:cs="Arial"/>
          <w:b/>
          <w:bCs/>
          <w:sz w:val="22"/>
          <w:szCs w:val="22"/>
        </w:rPr>
      </w:pPr>
      <w:r>
        <w:rPr>
          <w:rFonts w:ascii="Arial" w:hAnsi="Arial" w:cs="Arial"/>
          <w:b/>
          <w:bCs/>
          <w:sz w:val="22"/>
          <w:szCs w:val="22"/>
        </w:rPr>
        <w:t xml:space="preserve">SUBASTA INVERSA – Licitación Pública </w:t>
      </w:r>
    </w:p>
    <w:p w14:paraId="3232A523" w14:textId="5BF5FE2A" w:rsidR="00A84220" w:rsidRDefault="00A84220" w:rsidP="00A84220">
      <w:pPr>
        <w:jc w:val="both"/>
        <w:rPr>
          <w:rFonts w:ascii="Arial" w:hAnsi="Arial" w:cs="Arial"/>
          <w:b/>
          <w:bCs/>
          <w:sz w:val="22"/>
          <w:szCs w:val="22"/>
        </w:rPr>
      </w:pPr>
    </w:p>
    <w:p w14:paraId="3E8E2981" w14:textId="79D5BE2E" w:rsidR="00A84220" w:rsidRPr="008327ED" w:rsidRDefault="001D28EC" w:rsidP="008327ED">
      <w:pPr>
        <w:jc w:val="both"/>
        <w:rPr>
          <w:rFonts w:ascii="Arial" w:eastAsiaTheme="minorHAnsi" w:hAnsi="Arial" w:cs="Arial"/>
          <w:sz w:val="20"/>
          <w:szCs w:val="20"/>
          <w:lang w:val="es-MX" w:eastAsia="en-US"/>
        </w:rPr>
      </w:pPr>
      <w:r w:rsidRPr="008327ED">
        <w:rPr>
          <w:rFonts w:ascii="Arial" w:hAnsi="Arial" w:cs="Arial"/>
          <w:sz w:val="20"/>
          <w:szCs w:val="20"/>
          <w:lang w:val="es-ES"/>
        </w:rPr>
        <w:t>[…]</w:t>
      </w:r>
      <w:r w:rsidRPr="008327ED">
        <w:rPr>
          <w:rFonts w:ascii="Arial" w:eastAsiaTheme="minorHAnsi" w:hAnsi="Arial" w:cs="Arial"/>
          <w:sz w:val="20"/>
          <w:szCs w:val="20"/>
          <w:lang w:val="es-MX" w:eastAsia="en-US"/>
        </w:rPr>
        <w:t xml:space="preserve"> </w:t>
      </w:r>
      <w:r w:rsidR="008327ED" w:rsidRPr="008327ED">
        <w:rPr>
          <w:rFonts w:ascii="Arial" w:eastAsiaTheme="minorHAnsi" w:hAnsi="Arial" w:cs="Arial"/>
          <w:sz w:val="20"/>
          <w:szCs w:val="20"/>
          <w:lang w:val="es-MX" w:eastAsia="en-US"/>
        </w:rPr>
        <w:t>la posibilidad de acudir a la subasta inversa no está ligada o limitada a un tipo específico de bienes o servicios y, más bien, su utilización en un proceso de licitación pública se deriva de la voluntad discrecional de la entidad estatal contratante, la cual deberá determinar en los documentos previos si la oferta puede ser presentada, total o parcialmente, de manera dinámica mediante subasta inversa.</w:t>
      </w:r>
    </w:p>
    <w:p w14:paraId="7ADBAF37" w14:textId="58DDC44B" w:rsidR="00696A2B" w:rsidRPr="008327ED" w:rsidRDefault="00696A2B" w:rsidP="008327ED">
      <w:pPr>
        <w:jc w:val="both"/>
        <w:rPr>
          <w:rFonts w:ascii="Arial" w:eastAsiaTheme="minorHAnsi" w:hAnsi="Arial" w:cs="Arial"/>
          <w:sz w:val="20"/>
          <w:szCs w:val="20"/>
          <w:lang w:val="es-MX" w:eastAsia="en-US"/>
        </w:rPr>
      </w:pPr>
    </w:p>
    <w:p w14:paraId="4EC06011" w14:textId="7D2474EC" w:rsidR="00696A2B" w:rsidRPr="008327ED" w:rsidRDefault="00696A2B" w:rsidP="008327ED">
      <w:pPr>
        <w:jc w:val="both"/>
        <w:rPr>
          <w:rFonts w:ascii="Arial" w:eastAsiaTheme="minorHAnsi" w:hAnsi="Arial" w:cs="Arial"/>
          <w:sz w:val="20"/>
          <w:szCs w:val="20"/>
          <w:lang w:val="es-MX" w:eastAsia="en-US"/>
        </w:rPr>
      </w:pPr>
      <w:r w:rsidRPr="008327ED">
        <w:rPr>
          <w:rFonts w:ascii="Arial" w:hAnsi="Arial" w:cs="Arial"/>
          <w:sz w:val="20"/>
          <w:szCs w:val="20"/>
          <w:lang w:val="es-ES"/>
        </w:rPr>
        <w:t xml:space="preserve">[…] </w:t>
      </w:r>
      <w:r w:rsidRPr="008327ED">
        <w:rPr>
          <w:rFonts w:ascii="Arial" w:eastAsiaTheme="minorHAnsi" w:hAnsi="Arial" w:cs="Arial"/>
          <w:sz w:val="20"/>
          <w:szCs w:val="20"/>
          <w:lang w:val="es-MX" w:eastAsia="en-US"/>
        </w:rPr>
        <w:t>la subasta inversa puede ser utilizada en dos eventos: primero, en la licitación pública, con independencia del bien o servicio a adquirir, cuando la Entidad Estatal utilice la licitación pública como mecanismo de selección del contratista y, en ejercicio de su discrecionalidad, considere que la oferta debe ser presentada de esa forma. Y, segundo, en la selección abreviada para la adquisición de bienes y servicios de características técnicas uniformes y de común utilización.</w:t>
      </w:r>
    </w:p>
    <w:p w14:paraId="24AAFD63" w14:textId="77777777" w:rsidR="001D28EC" w:rsidRDefault="001D28EC" w:rsidP="00A84220">
      <w:pPr>
        <w:jc w:val="both"/>
        <w:rPr>
          <w:rFonts w:ascii="Arial" w:hAnsi="Arial" w:cs="Arial"/>
          <w:b/>
          <w:bCs/>
          <w:sz w:val="22"/>
          <w:szCs w:val="22"/>
        </w:rPr>
      </w:pPr>
    </w:p>
    <w:p w14:paraId="3C6C36AD" w14:textId="3AE58E8F" w:rsidR="00A84220" w:rsidRDefault="00A84220" w:rsidP="00A84220">
      <w:pPr>
        <w:jc w:val="both"/>
        <w:rPr>
          <w:rFonts w:ascii="Arial" w:hAnsi="Arial" w:cs="Arial"/>
          <w:b/>
          <w:bCs/>
          <w:sz w:val="22"/>
          <w:szCs w:val="22"/>
        </w:rPr>
      </w:pPr>
      <w:r>
        <w:rPr>
          <w:rFonts w:ascii="Arial" w:hAnsi="Arial" w:cs="Arial"/>
          <w:b/>
          <w:bCs/>
          <w:sz w:val="22"/>
          <w:szCs w:val="22"/>
        </w:rPr>
        <w:t xml:space="preserve">SUBASTA INVERSA </w:t>
      </w:r>
      <w:r w:rsidR="00194155">
        <w:rPr>
          <w:rFonts w:ascii="Arial" w:hAnsi="Arial" w:cs="Arial"/>
          <w:b/>
          <w:bCs/>
          <w:sz w:val="22"/>
          <w:szCs w:val="22"/>
        </w:rPr>
        <w:t>–</w:t>
      </w:r>
      <w:r>
        <w:rPr>
          <w:rFonts w:ascii="Arial" w:hAnsi="Arial" w:cs="Arial"/>
          <w:b/>
          <w:bCs/>
          <w:sz w:val="22"/>
          <w:szCs w:val="22"/>
        </w:rPr>
        <w:t xml:space="preserve"> </w:t>
      </w:r>
      <w:r w:rsidRPr="00B35449">
        <w:rPr>
          <w:rFonts w:ascii="Arial" w:eastAsiaTheme="minorHAnsi" w:hAnsi="Arial" w:cs="Arial"/>
          <w:b/>
          <w:bCs/>
          <w:sz w:val="22"/>
          <w:szCs w:val="22"/>
          <w:lang w:val="es-MX" w:eastAsia="en-US"/>
        </w:rPr>
        <w:t xml:space="preserve">Adquisición de bienes y servicios de </w:t>
      </w:r>
      <w:r w:rsidR="00E32253" w:rsidRPr="00B35449">
        <w:rPr>
          <w:rFonts w:ascii="Arial" w:eastAsiaTheme="minorHAnsi" w:hAnsi="Arial" w:cs="Arial"/>
          <w:b/>
          <w:bCs/>
          <w:sz w:val="22"/>
          <w:szCs w:val="22"/>
          <w:lang w:val="es-MX" w:eastAsia="en-US"/>
        </w:rPr>
        <w:t>características</w:t>
      </w:r>
      <w:r w:rsidRPr="00B35449">
        <w:rPr>
          <w:rFonts w:ascii="Arial" w:eastAsiaTheme="minorHAnsi" w:hAnsi="Arial" w:cs="Arial"/>
          <w:b/>
          <w:bCs/>
          <w:sz w:val="22"/>
          <w:szCs w:val="22"/>
          <w:lang w:val="es-MX" w:eastAsia="en-US"/>
        </w:rPr>
        <w:t xml:space="preserve"> técnicas uniformes y de común utilización</w:t>
      </w:r>
    </w:p>
    <w:p w14:paraId="3F4DD501" w14:textId="381DFA3D" w:rsidR="00A84220" w:rsidRDefault="00A84220" w:rsidP="00A84220">
      <w:pPr>
        <w:jc w:val="both"/>
        <w:rPr>
          <w:rFonts w:ascii="Arial" w:hAnsi="Arial" w:cs="Arial"/>
          <w:b/>
          <w:bCs/>
          <w:sz w:val="22"/>
          <w:szCs w:val="22"/>
        </w:rPr>
      </w:pPr>
    </w:p>
    <w:p w14:paraId="1F92F828" w14:textId="77777777" w:rsidR="008327ED" w:rsidRPr="008327ED" w:rsidRDefault="008327ED" w:rsidP="008327ED">
      <w:pPr>
        <w:autoSpaceDE w:val="0"/>
        <w:autoSpaceDN w:val="0"/>
        <w:adjustRightInd w:val="0"/>
        <w:spacing w:after="120"/>
        <w:jc w:val="both"/>
        <w:rPr>
          <w:rFonts w:ascii="Arial" w:eastAsiaTheme="minorHAnsi" w:hAnsi="Arial" w:cs="Arial"/>
          <w:sz w:val="20"/>
          <w:szCs w:val="20"/>
          <w:lang w:val="es-MX" w:eastAsia="en-US"/>
        </w:rPr>
      </w:pPr>
      <w:r w:rsidRPr="008327ED">
        <w:rPr>
          <w:rFonts w:ascii="Arial" w:eastAsiaTheme="minorHAnsi" w:hAnsi="Arial" w:cs="Arial"/>
          <w:sz w:val="20"/>
          <w:szCs w:val="20"/>
          <w:lang w:val="es-MX" w:eastAsia="en-US"/>
        </w:rPr>
        <w:t>El literal a) del numeral 2 del artículo 2 de la Ley 1150 de 2007, en relación con la adquisición de bienes y servicios de características técnicas uniformes y de común utilización, establece que «Para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p>
    <w:p w14:paraId="2A15CAA4" w14:textId="6446E667" w:rsidR="008327ED" w:rsidRPr="00E65D9D" w:rsidRDefault="008327ED" w:rsidP="008327ED">
      <w:pPr>
        <w:autoSpaceDE w:val="0"/>
        <w:autoSpaceDN w:val="0"/>
        <w:adjustRightInd w:val="0"/>
        <w:spacing w:after="120"/>
        <w:jc w:val="both"/>
        <w:rPr>
          <w:rFonts w:ascii="Arial" w:eastAsiaTheme="minorHAnsi" w:hAnsi="Arial" w:cs="Arial"/>
          <w:sz w:val="22"/>
          <w:szCs w:val="22"/>
          <w:lang w:val="es-MX" w:eastAsia="en-US"/>
        </w:rPr>
      </w:pPr>
      <w:r w:rsidRPr="008327ED">
        <w:rPr>
          <w:rFonts w:ascii="Arial" w:eastAsiaTheme="minorHAnsi" w:hAnsi="Arial" w:cs="Arial"/>
          <w:sz w:val="20"/>
          <w:szCs w:val="20"/>
          <w:lang w:val="es-MX" w:eastAsia="en-US"/>
        </w:rPr>
        <w:t>En este evento, contrario a lo que ocurre en la licitación pública, el ordenamiento jurídico prescribe la utilización de la subasta inversa en los procedimientos de selección abreviada cuando se pretendan</w:t>
      </w:r>
      <w:r w:rsidRPr="00E65D9D">
        <w:rPr>
          <w:rFonts w:ascii="Arial" w:eastAsiaTheme="minorHAnsi" w:hAnsi="Arial" w:cs="Arial"/>
          <w:sz w:val="22"/>
          <w:szCs w:val="22"/>
          <w:lang w:val="es-MX" w:eastAsia="en-US"/>
        </w:rPr>
        <w:t xml:space="preserve"> adquirir bienes y servicios de características técnicas uniformes y de común utilización. </w:t>
      </w:r>
    </w:p>
    <w:p w14:paraId="56DBDDA6" w14:textId="77777777" w:rsidR="00A84220" w:rsidRDefault="00A84220" w:rsidP="00A84220">
      <w:pPr>
        <w:jc w:val="both"/>
        <w:rPr>
          <w:rFonts w:ascii="Arial" w:hAnsi="Arial" w:cs="Arial"/>
          <w:b/>
          <w:bCs/>
          <w:sz w:val="22"/>
          <w:szCs w:val="22"/>
        </w:rPr>
      </w:pPr>
    </w:p>
    <w:p w14:paraId="4953CB62" w14:textId="6D50FBE1" w:rsidR="00A84220" w:rsidRPr="00B35449" w:rsidRDefault="00A84220" w:rsidP="00B35449">
      <w:pPr>
        <w:jc w:val="both"/>
        <w:rPr>
          <w:rFonts w:ascii="Arial" w:hAnsi="Arial" w:cs="Arial"/>
          <w:b/>
          <w:bCs/>
          <w:sz w:val="22"/>
          <w:szCs w:val="22"/>
        </w:rPr>
      </w:pPr>
      <w:r w:rsidRPr="00B35449">
        <w:rPr>
          <w:rFonts w:ascii="Arial" w:hAnsi="Arial" w:cs="Arial"/>
          <w:b/>
          <w:bCs/>
          <w:sz w:val="22"/>
          <w:szCs w:val="22"/>
        </w:rPr>
        <w:t xml:space="preserve">SUBASTA INVERSA </w:t>
      </w:r>
      <w:r w:rsidRPr="00B35449">
        <w:rPr>
          <w:rFonts w:ascii="Arial" w:hAnsi="Arial" w:cs="Arial"/>
          <w:b/>
          <w:sz w:val="22"/>
          <w:szCs w:val="22"/>
        </w:rPr>
        <w:t>– Ficha técnica –</w:t>
      </w:r>
      <w:r w:rsidRPr="00B35449">
        <w:rPr>
          <w:rFonts w:ascii="Arial" w:hAnsi="Arial" w:cs="Arial"/>
          <w:b/>
          <w:bCs/>
          <w:sz w:val="22"/>
          <w:szCs w:val="22"/>
        </w:rPr>
        <w:t xml:space="preserve"> Contenido</w:t>
      </w:r>
    </w:p>
    <w:p w14:paraId="2EAE3EA0" w14:textId="77777777" w:rsidR="00A84220" w:rsidRPr="00B35449" w:rsidRDefault="00A84220" w:rsidP="00A84220">
      <w:pPr>
        <w:ind w:left="1701"/>
        <w:jc w:val="both"/>
        <w:rPr>
          <w:rFonts w:ascii="Arial" w:hAnsi="Arial" w:cs="Arial"/>
          <w:sz w:val="20"/>
          <w:szCs w:val="20"/>
        </w:rPr>
      </w:pPr>
    </w:p>
    <w:p w14:paraId="17A0D0FD" w14:textId="77777777" w:rsidR="008327ED" w:rsidRDefault="001D28EC" w:rsidP="001D28EC">
      <w:pPr>
        <w:jc w:val="both"/>
        <w:rPr>
          <w:rFonts w:ascii="Arial" w:hAnsi="Arial" w:cs="Arial"/>
          <w:sz w:val="20"/>
          <w:szCs w:val="20"/>
        </w:rPr>
      </w:pPr>
      <w:r w:rsidRPr="0020782C">
        <w:rPr>
          <w:rFonts w:ascii="Arial" w:hAnsi="Arial" w:cs="Arial"/>
          <w:sz w:val="20"/>
          <w:szCs w:val="20"/>
          <w:lang w:val="es-ES"/>
        </w:rPr>
        <w:t>[…]</w:t>
      </w:r>
      <w:r>
        <w:rPr>
          <w:rFonts w:ascii="Arial" w:hAnsi="Arial" w:cs="Arial"/>
          <w:sz w:val="20"/>
          <w:szCs w:val="20"/>
          <w:lang w:val="es-ES"/>
        </w:rPr>
        <w:t xml:space="preserve"> </w:t>
      </w:r>
      <w:r w:rsidRPr="001D28EC">
        <w:rPr>
          <w:rFonts w:ascii="Arial" w:hAnsi="Arial" w:cs="Arial"/>
          <w:sz w:val="20"/>
          <w:szCs w:val="20"/>
        </w:rPr>
        <w:t>el literal a) del numeral 2 del artículo 2 de la Ley 1150 de 2007 establece, como causal de selección abreviada, la adquisición o suministro de bienes y servicios de características técnicas uniformes y de común utilización por parte de las entidades. Además, señaló que en esos casos las entidades deben hacer uso de procedimientos de subasta inversa, entre otros.</w:t>
      </w:r>
    </w:p>
    <w:p w14:paraId="1B8E3C69" w14:textId="649DDFD5" w:rsidR="001D28EC" w:rsidRPr="001D28EC" w:rsidRDefault="001D28EC" w:rsidP="001D28EC">
      <w:pPr>
        <w:jc w:val="both"/>
        <w:rPr>
          <w:rFonts w:ascii="Arial" w:hAnsi="Arial" w:cs="Arial"/>
          <w:sz w:val="20"/>
          <w:szCs w:val="20"/>
        </w:rPr>
      </w:pPr>
      <w:r w:rsidRPr="001D28EC">
        <w:rPr>
          <w:rFonts w:ascii="Arial" w:hAnsi="Arial" w:cs="Arial"/>
          <w:sz w:val="20"/>
          <w:szCs w:val="20"/>
        </w:rPr>
        <w:t xml:space="preserve"> </w:t>
      </w:r>
    </w:p>
    <w:p w14:paraId="308083FB" w14:textId="28B9DB3F" w:rsidR="00FF102F" w:rsidRPr="008327ED" w:rsidRDefault="00FF102F" w:rsidP="008327ED">
      <w:pPr>
        <w:spacing w:after="120"/>
        <w:jc w:val="both"/>
        <w:rPr>
          <w:rFonts w:ascii="Arial" w:hAnsi="Arial" w:cs="Arial"/>
          <w:sz w:val="20"/>
          <w:szCs w:val="20"/>
        </w:rPr>
      </w:pPr>
      <w:r w:rsidRPr="008327ED">
        <w:rPr>
          <w:rFonts w:ascii="Arial" w:hAnsi="Arial" w:cs="Arial"/>
          <w:sz w:val="20"/>
          <w:szCs w:val="20"/>
        </w:rPr>
        <w:lastRenderedPageBreak/>
        <w:t>En cuanto a la «ficha técnica», de acuerdo con el Decreto 1082 de 2015, y desde un análisis puramente normativo, ésta se circunscribe al procedimiento de selección abreviada mediante subasta inversa. Sin perjuicio de que en otros procedimientos se establezca un documento o aparte en los documentos del proceso bajo esta denominación, caso en que simplemente se entenderá de acuerdo con su sentido natural. No obstante, como se indicó, el Decreto 1082 de 2015 solo establece una regulación particular de la «ficha técnica» para la adquisición de bienes y servicios de características técnicas uniformes mediante subasta inversa, prescribiendo que: «La ficha técnica del bien o servicio que debe incluir: i) la clasificación del bien o servicio de acuerdo con el Clasificador de Bienes y Servicios; ii) la identificación adicional requerida; iii) la unidad de medida; iv) la calidad mínima, y v) los patrones de desempeño mínimos». En relación con la exigencia anterior, esta Agencia manifestó que «Conforme a lo anterior, la entidad estatal determina el contenido de la ficha, es decir, las condiciones mínimas del bien o servicio que necesita. Lo anterior, no se traduce en que los oferentes no puedan presentar bienes o servicios que tengan mejores calidades de las que han sido descritas en la ficha técnica, sino que no pueden presentar fichas con calidad o patrones de desempeño que no cumplan con los mínimos establecidos por la entidad».</w:t>
      </w:r>
    </w:p>
    <w:p w14:paraId="028EACA1" w14:textId="36814972" w:rsidR="00E65D9D" w:rsidRDefault="00E65D9D" w:rsidP="005F5CB4">
      <w:pPr>
        <w:jc w:val="both"/>
        <w:rPr>
          <w:rFonts w:ascii="Arial" w:eastAsia="Calibri" w:hAnsi="Arial" w:cs="Arial"/>
          <w:b/>
          <w:color w:val="000000" w:themeColor="text1"/>
          <w:sz w:val="22"/>
          <w:lang w:val="es-ES_tradnl"/>
        </w:rPr>
      </w:pPr>
    </w:p>
    <w:p w14:paraId="606FED20" w14:textId="77777777" w:rsidR="000A3221" w:rsidRPr="00887158" w:rsidRDefault="000A3221" w:rsidP="000A3221">
      <w:pPr>
        <w:pStyle w:val="NormalWeb"/>
        <w:spacing w:before="0" w:beforeAutospacing="0" w:after="0" w:afterAutospacing="0"/>
        <w:jc w:val="both"/>
        <w:rPr>
          <w:rFonts w:ascii="Arial" w:hAnsi="Arial" w:cs="Arial"/>
          <w:color w:val="000000" w:themeColor="text1"/>
          <w:sz w:val="22"/>
          <w:szCs w:val="22"/>
        </w:rPr>
      </w:pPr>
    </w:p>
    <w:p w14:paraId="19D50C42" w14:textId="77777777" w:rsidR="00194155" w:rsidRDefault="00194155">
      <w:pPr>
        <w:rPr>
          <w:rFonts w:ascii="Arial" w:hAnsi="Arial" w:cs="Arial"/>
          <w:color w:val="000000" w:themeColor="text1"/>
          <w:sz w:val="22"/>
        </w:rPr>
      </w:pPr>
      <w:r>
        <w:rPr>
          <w:rFonts w:ascii="Arial" w:hAnsi="Arial" w:cs="Arial"/>
          <w:color w:val="000000" w:themeColor="text1"/>
          <w:sz w:val="22"/>
        </w:rPr>
        <w:br w:type="page"/>
      </w:r>
    </w:p>
    <w:p w14:paraId="5C4E3DB4" w14:textId="4080D115" w:rsidR="000C2468" w:rsidRPr="000C2468" w:rsidRDefault="000C2468" w:rsidP="000C2468">
      <w:pPr>
        <w:jc w:val="right"/>
      </w:pPr>
      <w:r w:rsidRPr="000C2468">
        <w:lastRenderedPageBreak/>
        <w:fldChar w:fldCharType="begin"/>
      </w:r>
      <w:r w:rsidRPr="000C2468">
        <w:instrText xml:space="preserve"> INCLUDEPICTURE "/var/folders/tb/0fmk9b510f57pz5rwhv8lnpw0000gp/T/com.microsoft.Word/WebArchiveCopyPasteTempFiles/page1image10551296" \* MERGEFORMATINET </w:instrText>
      </w:r>
      <w:r w:rsidRPr="000C2468">
        <w:fldChar w:fldCharType="separate"/>
      </w:r>
      <w:r w:rsidRPr="000C2468">
        <w:rPr>
          <w:noProof/>
        </w:rPr>
        <w:drawing>
          <wp:inline distT="0" distB="0" distL="0" distR="0" wp14:anchorId="28E1D923" wp14:editId="7B53EAA1">
            <wp:extent cx="2407285" cy="605155"/>
            <wp:effectExtent l="0" t="0" r="5715" b="4445"/>
            <wp:docPr id="1" name="Imagen 1" descr="page1image1055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055129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7285" cy="605155"/>
                    </a:xfrm>
                    <a:prstGeom prst="rect">
                      <a:avLst/>
                    </a:prstGeom>
                    <a:noFill/>
                    <a:ln>
                      <a:noFill/>
                    </a:ln>
                  </pic:spPr>
                </pic:pic>
              </a:graphicData>
            </a:graphic>
          </wp:inline>
        </w:drawing>
      </w:r>
      <w:r w:rsidRPr="000C2468">
        <w:fldChar w:fldCharType="end"/>
      </w:r>
    </w:p>
    <w:p w14:paraId="7BAE63CF" w14:textId="77777777" w:rsidR="000A3221" w:rsidRPr="006C15D5" w:rsidRDefault="000A3221" w:rsidP="000A3221">
      <w:pPr>
        <w:rPr>
          <w:rFonts w:ascii="Arial" w:eastAsia="Calibri" w:hAnsi="Arial" w:cs="Arial"/>
          <w:color w:val="000000" w:themeColor="text1"/>
          <w:sz w:val="22"/>
        </w:rPr>
      </w:pPr>
    </w:p>
    <w:p w14:paraId="6C380817" w14:textId="77777777" w:rsidR="000A3221" w:rsidRPr="006C15D5" w:rsidRDefault="000A3221" w:rsidP="000A3221">
      <w:pPr>
        <w:rPr>
          <w:rFonts w:ascii="Arial" w:eastAsia="Calibri" w:hAnsi="Arial" w:cs="Arial"/>
          <w:color w:val="000000" w:themeColor="text1"/>
          <w:sz w:val="22"/>
        </w:rPr>
      </w:pPr>
    </w:p>
    <w:p w14:paraId="13B0C214" w14:textId="12AF9548" w:rsidR="00CF46D6"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14233C4A" w14:textId="659D0F98" w:rsidR="00CF46D6" w:rsidRDefault="00CF46D6" w:rsidP="000A3221">
      <w:pPr>
        <w:rPr>
          <w:rFonts w:ascii="Arial" w:eastAsia="Calibri" w:hAnsi="Arial" w:cs="Arial"/>
          <w:b/>
          <w:color w:val="000000" w:themeColor="text1"/>
          <w:sz w:val="22"/>
        </w:rPr>
      </w:pPr>
      <w:r>
        <w:rPr>
          <w:rFonts w:ascii="Arial" w:eastAsia="Calibri" w:hAnsi="Arial" w:cs="Arial"/>
          <w:b/>
          <w:color w:val="000000" w:themeColor="text1"/>
          <w:sz w:val="22"/>
        </w:rPr>
        <w:t xml:space="preserve">Ciudadano </w:t>
      </w:r>
    </w:p>
    <w:p w14:paraId="648CC771" w14:textId="79D92E61" w:rsidR="000A3221" w:rsidRPr="006C15D5" w:rsidRDefault="00D923D4" w:rsidP="000A3221">
      <w:pPr>
        <w:rPr>
          <w:rFonts w:ascii="Arial" w:eastAsia="Calibri" w:hAnsi="Arial" w:cs="Arial"/>
          <w:color w:val="000000" w:themeColor="text1"/>
          <w:sz w:val="22"/>
        </w:rPr>
      </w:pPr>
      <w:r>
        <w:rPr>
          <w:rFonts w:ascii="Arial" w:eastAsia="Calibri" w:hAnsi="Arial" w:cs="Arial"/>
          <w:bCs/>
          <w:color w:val="000000" w:themeColor="text1"/>
          <w:sz w:val="22"/>
        </w:rPr>
        <w:t>Malaga</w:t>
      </w:r>
      <w:r w:rsidR="00BF3AEF">
        <w:rPr>
          <w:rFonts w:ascii="Arial" w:eastAsia="Calibri" w:hAnsi="Arial" w:cs="Arial"/>
          <w:bCs/>
          <w:color w:val="000000" w:themeColor="text1"/>
          <w:sz w:val="22"/>
        </w:rPr>
        <w:t>, Santander</w:t>
      </w:r>
    </w:p>
    <w:p w14:paraId="07CC316A" w14:textId="77777777" w:rsidR="000A3221" w:rsidRPr="006C15D5" w:rsidRDefault="000A3221" w:rsidP="000A3221">
      <w:pPr>
        <w:rPr>
          <w:rFonts w:ascii="Arial" w:eastAsia="Calibri" w:hAnsi="Arial" w:cs="Arial"/>
          <w:color w:val="000000" w:themeColor="text1"/>
          <w:sz w:val="22"/>
        </w:rPr>
      </w:pPr>
    </w:p>
    <w:p w14:paraId="0E9ED585" w14:textId="5F685E5D" w:rsidR="00BF3AEF" w:rsidRPr="006C15D5" w:rsidRDefault="000A3221" w:rsidP="00BF3AEF">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D923D4">
        <w:rPr>
          <w:rFonts w:ascii="Arial" w:eastAsia="Calibri" w:hAnsi="Arial" w:cs="Arial"/>
          <w:b/>
          <w:color w:val="000000" w:themeColor="text1"/>
          <w:sz w:val="22"/>
        </w:rPr>
        <w:t>024</w:t>
      </w:r>
      <w:r>
        <w:rPr>
          <w:rFonts w:ascii="Arial" w:eastAsia="Calibri" w:hAnsi="Arial" w:cs="Arial"/>
          <w:b/>
          <w:color w:val="000000" w:themeColor="text1"/>
          <w:sz w:val="22"/>
        </w:rPr>
        <w:t xml:space="preserve"> </w:t>
      </w:r>
      <w:r w:rsidRPr="00BF3AEF">
        <w:rPr>
          <w:rFonts w:ascii="Arial" w:eastAsia="Calibri" w:hAnsi="Arial" w:cs="Arial"/>
          <w:b/>
          <w:color w:val="000000" w:themeColor="text1"/>
          <w:sz w:val="22"/>
        </w:rPr>
        <w:t>de 202</w:t>
      </w:r>
      <w:r w:rsidR="00D923D4">
        <w:rPr>
          <w:rFonts w:ascii="Arial" w:eastAsia="Calibri" w:hAnsi="Arial" w:cs="Arial"/>
          <w:b/>
          <w:color w:val="000000" w:themeColor="text1"/>
          <w:sz w:val="22"/>
        </w:rPr>
        <w:t>1</w:t>
      </w:r>
    </w:p>
    <w:p w14:paraId="233A77D0" w14:textId="77777777" w:rsidR="000A3221" w:rsidRPr="006C15D5" w:rsidRDefault="000A3221" w:rsidP="000A322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A3221" w:rsidRPr="003F6D32" w14:paraId="324DF65E" w14:textId="77777777" w:rsidTr="00707F5A">
        <w:tc>
          <w:tcPr>
            <w:tcW w:w="2689" w:type="dxa"/>
            <w:hideMark/>
          </w:tcPr>
          <w:p w14:paraId="15132EF2" w14:textId="77777777" w:rsidR="000A3221" w:rsidRPr="006C15D5" w:rsidRDefault="000A3221" w:rsidP="009F28D5">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1BFCBF3A" w14:textId="77777777" w:rsidR="000A3221" w:rsidRPr="006C15D5" w:rsidRDefault="000A3221" w:rsidP="009F28D5">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237" w:type="dxa"/>
            <w:hideMark/>
          </w:tcPr>
          <w:p w14:paraId="6F42A582" w14:textId="139ACDC2" w:rsidR="00B35449" w:rsidRPr="00B35449" w:rsidRDefault="00B35449" w:rsidP="00B35449">
            <w:pPr>
              <w:jc w:val="both"/>
              <w:rPr>
                <w:rFonts w:ascii="Arial" w:hAnsi="Arial" w:cs="Arial"/>
              </w:rPr>
            </w:pPr>
            <w:r w:rsidRPr="00B35449">
              <w:rPr>
                <w:rFonts w:ascii="Arial" w:hAnsi="Arial" w:cs="Arial"/>
              </w:rPr>
              <w:t xml:space="preserve">SUBASTA INVERSA – </w:t>
            </w:r>
            <w:r w:rsidR="00194155">
              <w:rPr>
                <w:rFonts w:ascii="Arial" w:hAnsi="Arial" w:cs="Arial"/>
              </w:rPr>
              <w:t>C</w:t>
            </w:r>
            <w:r w:rsidR="006F1FFF">
              <w:rPr>
                <w:rFonts w:ascii="Arial" w:hAnsi="Arial" w:cs="Arial"/>
              </w:rPr>
              <w:t>oncepto d</w:t>
            </w:r>
            <w:r w:rsidRPr="00B35449">
              <w:rPr>
                <w:rFonts w:ascii="Arial" w:hAnsi="Arial" w:cs="Arial"/>
              </w:rPr>
              <w:t>octrina</w:t>
            </w:r>
            <w:r w:rsidR="006F1FFF">
              <w:rPr>
                <w:rFonts w:ascii="Arial" w:hAnsi="Arial" w:cs="Arial"/>
              </w:rPr>
              <w:t>l</w:t>
            </w:r>
            <w:r w:rsidRPr="00B35449">
              <w:rPr>
                <w:rFonts w:ascii="Arial" w:hAnsi="Arial" w:cs="Arial"/>
              </w:rPr>
              <w:t xml:space="preserve"> / SUBASTA INVERSA – Licitación Pública / SUBASTA INVERSA - </w:t>
            </w:r>
            <w:r w:rsidRPr="00B35449">
              <w:rPr>
                <w:rFonts w:ascii="Arial" w:eastAsiaTheme="minorHAnsi" w:hAnsi="Arial" w:cs="Arial"/>
                <w:lang w:val="es-MX" w:eastAsia="en-US"/>
              </w:rPr>
              <w:t xml:space="preserve">Adquisición de bienes y servicios de caracteristicas técnicas uniformes y de común utilización / </w:t>
            </w:r>
            <w:r w:rsidRPr="00B35449">
              <w:rPr>
                <w:rFonts w:ascii="Arial" w:hAnsi="Arial" w:cs="Arial"/>
              </w:rPr>
              <w:t>SUBASTA INVERSA – Ficha técnica – Contenido</w:t>
            </w:r>
          </w:p>
          <w:p w14:paraId="609885E6" w14:textId="6DCCFDB2" w:rsidR="00B35449" w:rsidRDefault="00B35449" w:rsidP="00B35449">
            <w:pPr>
              <w:jc w:val="both"/>
              <w:rPr>
                <w:rFonts w:ascii="Arial" w:hAnsi="Arial" w:cs="Arial"/>
                <w:b/>
                <w:bCs/>
              </w:rPr>
            </w:pPr>
            <w:r>
              <w:rPr>
                <w:rFonts w:ascii="Arial" w:hAnsi="Arial" w:cs="Arial"/>
                <w:b/>
                <w:bCs/>
              </w:rPr>
              <w:t xml:space="preserve"> </w:t>
            </w:r>
          </w:p>
          <w:p w14:paraId="4A40C838" w14:textId="27AACEEE" w:rsidR="000A3221" w:rsidRPr="00707F5A" w:rsidRDefault="000A3221" w:rsidP="009F28D5">
            <w:pPr>
              <w:jc w:val="both"/>
              <w:rPr>
                <w:rFonts w:ascii="Arial" w:eastAsia="Calibri" w:hAnsi="Arial" w:cs="Arial"/>
                <w:b/>
                <w:bCs/>
                <w:lang w:val="es-ES_tradnl"/>
              </w:rPr>
            </w:pPr>
          </w:p>
        </w:tc>
      </w:tr>
      <w:tr w:rsidR="000A3221" w:rsidRPr="003F6D32" w14:paraId="62A81E64" w14:textId="77777777" w:rsidTr="00707F5A">
        <w:tc>
          <w:tcPr>
            <w:tcW w:w="2689" w:type="dxa"/>
          </w:tcPr>
          <w:p w14:paraId="73F14ECF" w14:textId="77777777" w:rsidR="000A3221" w:rsidRPr="006C15D5" w:rsidRDefault="000A3221" w:rsidP="009F28D5">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237" w:type="dxa"/>
          </w:tcPr>
          <w:p w14:paraId="0B69532A" w14:textId="09D65338" w:rsidR="000A3221" w:rsidRPr="006C15D5" w:rsidRDefault="000A3221" w:rsidP="009F28D5">
            <w:pPr>
              <w:spacing w:before="120"/>
              <w:jc w:val="both"/>
              <w:rPr>
                <w:rFonts w:ascii="Arial" w:eastAsia="Calibri" w:hAnsi="Arial" w:cs="Arial"/>
                <w:color w:val="000000" w:themeColor="text1"/>
              </w:rPr>
            </w:pPr>
            <w:r w:rsidRPr="006C15D5">
              <w:rPr>
                <w:rFonts w:ascii="Arial" w:eastAsia="Calibri" w:hAnsi="Arial" w:cs="Arial"/>
                <w:color w:val="000000" w:themeColor="text1"/>
              </w:rPr>
              <w:t xml:space="preserve">Respuesta a consulta </w:t>
            </w:r>
            <w:r>
              <w:rPr>
                <w:rFonts w:ascii="Arial" w:eastAsia="Calibri" w:hAnsi="Arial" w:cs="Arial"/>
                <w:color w:val="000000" w:themeColor="text1"/>
              </w:rPr>
              <w:t>P202</w:t>
            </w:r>
            <w:r w:rsidR="00D923D4">
              <w:rPr>
                <w:rFonts w:ascii="Arial" w:eastAsia="Calibri" w:hAnsi="Arial" w:cs="Arial"/>
                <w:color w:val="000000" w:themeColor="text1"/>
              </w:rPr>
              <w:t>10114000237</w:t>
            </w:r>
          </w:p>
        </w:tc>
      </w:tr>
      <w:tr w:rsidR="000A3221" w:rsidRPr="003F6D32" w14:paraId="47AE2467" w14:textId="77777777" w:rsidTr="00707F5A">
        <w:trPr>
          <w:trHeight w:val="80"/>
        </w:trPr>
        <w:tc>
          <w:tcPr>
            <w:tcW w:w="2689" w:type="dxa"/>
          </w:tcPr>
          <w:p w14:paraId="66A2BBA4" w14:textId="77777777" w:rsidR="000A3221" w:rsidRPr="006C15D5" w:rsidRDefault="000A3221" w:rsidP="009F28D5">
            <w:pPr>
              <w:spacing w:before="120"/>
              <w:rPr>
                <w:rFonts w:ascii="Arial" w:eastAsia="Calibri" w:hAnsi="Arial" w:cs="Arial"/>
                <w:b/>
                <w:color w:val="000000" w:themeColor="text1"/>
              </w:rPr>
            </w:pPr>
          </w:p>
        </w:tc>
        <w:tc>
          <w:tcPr>
            <w:tcW w:w="6237" w:type="dxa"/>
          </w:tcPr>
          <w:p w14:paraId="0C057034" w14:textId="77777777" w:rsidR="000A3221" w:rsidRPr="006C15D5" w:rsidRDefault="000A3221" w:rsidP="009F28D5">
            <w:pPr>
              <w:spacing w:before="120"/>
              <w:jc w:val="both"/>
              <w:rPr>
                <w:rFonts w:ascii="Arial" w:eastAsia="Calibri" w:hAnsi="Arial" w:cs="Arial"/>
                <w:color w:val="000000" w:themeColor="text1"/>
              </w:rPr>
            </w:pPr>
          </w:p>
        </w:tc>
      </w:tr>
    </w:tbl>
    <w:p w14:paraId="595F5738" w14:textId="77777777" w:rsidR="000A3221" w:rsidRPr="006C15D5" w:rsidRDefault="000A3221" w:rsidP="000A3221">
      <w:pPr>
        <w:jc w:val="both"/>
        <w:rPr>
          <w:rFonts w:ascii="Arial" w:eastAsia="Calibri" w:hAnsi="Arial" w:cs="Arial"/>
          <w:color w:val="000000" w:themeColor="text1"/>
          <w:sz w:val="22"/>
        </w:rPr>
      </w:pPr>
    </w:p>
    <w:p w14:paraId="39A1E878" w14:textId="0245F167"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Estimad</w:t>
      </w:r>
      <w:r>
        <w:rPr>
          <w:rFonts w:ascii="Arial" w:eastAsia="Calibri" w:hAnsi="Arial" w:cs="Arial"/>
          <w:color w:val="000000" w:themeColor="text1"/>
          <w:sz w:val="22"/>
        </w:rPr>
        <w:t>o</w:t>
      </w:r>
      <w:r w:rsidRPr="006C15D5">
        <w:rPr>
          <w:rFonts w:ascii="Arial" w:eastAsia="Calibri" w:hAnsi="Arial" w:cs="Arial"/>
          <w:color w:val="000000" w:themeColor="text1"/>
          <w:sz w:val="22"/>
        </w:rPr>
        <w:t xml:space="preserve"> señor:</w:t>
      </w:r>
    </w:p>
    <w:p w14:paraId="1360175E" w14:textId="77777777" w:rsidR="000A3221" w:rsidRPr="006C15D5" w:rsidRDefault="000A3221" w:rsidP="000A3221">
      <w:pPr>
        <w:rPr>
          <w:rFonts w:ascii="Arial" w:eastAsia="Calibri" w:hAnsi="Arial" w:cs="Arial"/>
          <w:color w:val="000000" w:themeColor="text1"/>
          <w:sz w:val="22"/>
        </w:rPr>
      </w:pPr>
    </w:p>
    <w:p w14:paraId="686D2778" w14:textId="22B4D3C0" w:rsidR="000A3221" w:rsidRPr="006C15D5" w:rsidRDefault="000A3221" w:rsidP="000A3221">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D923D4">
        <w:rPr>
          <w:rFonts w:ascii="Arial" w:eastAsia="Calibri" w:hAnsi="Arial" w:cs="Arial"/>
          <w:color w:val="000000" w:themeColor="text1"/>
          <w:sz w:val="22"/>
        </w:rPr>
        <w:t>14</w:t>
      </w:r>
      <w:r>
        <w:rPr>
          <w:rFonts w:ascii="Arial" w:eastAsia="Calibri" w:hAnsi="Arial" w:cs="Arial"/>
          <w:color w:val="000000" w:themeColor="text1"/>
          <w:sz w:val="22"/>
        </w:rPr>
        <w:t xml:space="preserve"> de </w:t>
      </w:r>
      <w:r w:rsidR="00D923D4">
        <w:rPr>
          <w:rFonts w:ascii="Arial" w:eastAsia="Calibri" w:hAnsi="Arial" w:cs="Arial"/>
          <w:color w:val="000000" w:themeColor="text1"/>
          <w:sz w:val="22"/>
        </w:rPr>
        <w:t>enero de 2021</w:t>
      </w:r>
      <w:r>
        <w:rPr>
          <w:rFonts w:ascii="Arial" w:eastAsia="Calibri" w:hAnsi="Arial" w:cs="Arial"/>
          <w:color w:val="000000" w:themeColor="text1"/>
          <w:sz w:val="22"/>
        </w:rPr>
        <w:t xml:space="preserve">. </w:t>
      </w:r>
    </w:p>
    <w:p w14:paraId="3E901AE2" w14:textId="77777777" w:rsidR="000A3221" w:rsidRPr="006C15D5" w:rsidRDefault="000A3221" w:rsidP="000A3221">
      <w:pPr>
        <w:spacing w:line="276" w:lineRule="auto"/>
        <w:jc w:val="both"/>
        <w:rPr>
          <w:rFonts w:ascii="Arial" w:eastAsia="Calibri" w:hAnsi="Arial" w:cs="Arial"/>
          <w:color w:val="000000" w:themeColor="text1"/>
          <w:sz w:val="22"/>
        </w:rPr>
      </w:pPr>
    </w:p>
    <w:p w14:paraId="39642658" w14:textId="54694918" w:rsidR="000A3221" w:rsidRDefault="000A3221" w:rsidP="000170B8">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sidR="00B63EB7">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 xml:space="preserve">planteado </w:t>
      </w:r>
    </w:p>
    <w:p w14:paraId="662601F9" w14:textId="77777777" w:rsidR="00194155" w:rsidRPr="00F61ACC" w:rsidRDefault="00194155" w:rsidP="000170B8">
      <w:pPr>
        <w:pStyle w:val="Prrafodelista"/>
        <w:tabs>
          <w:tab w:val="left" w:pos="284"/>
        </w:tabs>
        <w:spacing w:line="276" w:lineRule="auto"/>
        <w:ind w:left="0"/>
        <w:contextualSpacing w:val="0"/>
        <w:jc w:val="both"/>
        <w:rPr>
          <w:rFonts w:ascii="Arial" w:eastAsia="Calibri" w:hAnsi="Arial" w:cs="Arial"/>
          <w:b/>
          <w:color w:val="000000" w:themeColor="text1"/>
          <w:sz w:val="22"/>
        </w:rPr>
      </w:pPr>
    </w:p>
    <w:p w14:paraId="521FDA6E" w14:textId="1A0306AD" w:rsidR="000A3221" w:rsidRPr="00E65D9D" w:rsidRDefault="000A3221" w:rsidP="00FE7B58">
      <w:pPr>
        <w:autoSpaceDE w:val="0"/>
        <w:autoSpaceDN w:val="0"/>
        <w:adjustRightInd w:val="0"/>
        <w:spacing w:line="276" w:lineRule="auto"/>
        <w:jc w:val="both"/>
        <w:rPr>
          <w:rFonts w:ascii="Arial" w:eastAsiaTheme="minorHAnsi" w:hAnsi="Arial" w:cs="Arial"/>
          <w:sz w:val="22"/>
          <w:szCs w:val="22"/>
          <w:lang w:val="es-MX" w:eastAsia="en-US"/>
        </w:rPr>
      </w:pPr>
      <w:r w:rsidRPr="00C56D20">
        <w:rPr>
          <w:rFonts w:ascii="Arial" w:eastAsia="Calibri" w:hAnsi="Arial" w:cs="Arial"/>
          <w:color w:val="000000" w:themeColor="text1"/>
          <w:sz w:val="22"/>
        </w:rPr>
        <w:t>Usted realiza la</w:t>
      </w:r>
      <w:r w:rsidR="00E65D9D">
        <w:rPr>
          <w:rFonts w:ascii="Arial" w:eastAsia="Calibri" w:hAnsi="Arial" w:cs="Arial"/>
          <w:color w:val="000000" w:themeColor="text1"/>
          <w:sz w:val="22"/>
        </w:rPr>
        <w:t>s</w:t>
      </w:r>
      <w:r w:rsidRPr="00C56D20">
        <w:rPr>
          <w:rFonts w:ascii="Arial" w:eastAsia="Calibri" w:hAnsi="Arial" w:cs="Arial"/>
          <w:color w:val="000000" w:themeColor="text1"/>
          <w:sz w:val="22"/>
        </w:rPr>
        <w:t xml:space="preserve"> siguiente</w:t>
      </w:r>
      <w:r w:rsidR="00E65D9D">
        <w:rPr>
          <w:rFonts w:ascii="Arial" w:eastAsia="Calibri" w:hAnsi="Arial" w:cs="Arial"/>
          <w:color w:val="000000" w:themeColor="text1"/>
          <w:sz w:val="22"/>
        </w:rPr>
        <w:t>s</w:t>
      </w:r>
      <w:r w:rsidRPr="00C56D20">
        <w:rPr>
          <w:rFonts w:ascii="Arial" w:eastAsia="Calibri" w:hAnsi="Arial" w:cs="Arial"/>
          <w:color w:val="000000" w:themeColor="text1"/>
          <w:sz w:val="22"/>
        </w:rPr>
        <w:t xml:space="preserve"> pregun</w:t>
      </w:r>
      <w:r w:rsidRPr="005852AA">
        <w:rPr>
          <w:rFonts w:ascii="Arial" w:eastAsia="Calibri" w:hAnsi="Arial" w:cs="Arial"/>
          <w:color w:val="000000" w:themeColor="text1"/>
          <w:sz w:val="22"/>
          <w:szCs w:val="22"/>
        </w:rPr>
        <w:t>ta</w:t>
      </w:r>
      <w:r w:rsidR="00E65D9D">
        <w:rPr>
          <w:rFonts w:ascii="Arial" w:eastAsia="Calibri" w:hAnsi="Arial" w:cs="Arial"/>
          <w:color w:val="000000" w:themeColor="text1"/>
          <w:sz w:val="22"/>
          <w:szCs w:val="22"/>
        </w:rPr>
        <w:t>s</w:t>
      </w:r>
      <w:r w:rsidRPr="005852AA">
        <w:rPr>
          <w:rFonts w:ascii="Arial" w:eastAsia="Calibri" w:hAnsi="Arial" w:cs="Arial"/>
          <w:color w:val="000000" w:themeColor="text1"/>
          <w:sz w:val="22"/>
          <w:szCs w:val="22"/>
        </w:rPr>
        <w:t xml:space="preserve">: </w:t>
      </w:r>
      <w:r w:rsidR="00E65D9D">
        <w:rPr>
          <w:rFonts w:ascii="Arial" w:eastAsia="Calibri" w:hAnsi="Arial" w:cs="Arial"/>
          <w:color w:val="000000" w:themeColor="text1"/>
          <w:sz w:val="22"/>
          <w:szCs w:val="22"/>
        </w:rPr>
        <w:t xml:space="preserve">1. </w:t>
      </w:r>
      <w:r w:rsidRPr="00E65D9D">
        <w:rPr>
          <w:rFonts w:ascii="Arial" w:eastAsia="Calibri" w:hAnsi="Arial" w:cs="Arial"/>
          <w:color w:val="000000" w:themeColor="text1"/>
          <w:sz w:val="22"/>
          <w:szCs w:val="22"/>
          <w:lang w:val="es-ES"/>
        </w:rPr>
        <w:t>«</w:t>
      </w:r>
      <w:r w:rsidRPr="00E65D9D">
        <w:rPr>
          <w:rFonts w:ascii="Arial" w:hAnsi="Arial" w:cs="Arial"/>
          <w:color w:val="000000" w:themeColor="text1"/>
          <w:sz w:val="22"/>
          <w:szCs w:val="22"/>
          <w:lang w:val="es-ES"/>
        </w:rPr>
        <w:t>¿</w:t>
      </w:r>
      <w:r w:rsidR="00E65D9D" w:rsidRPr="00E65D9D">
        <w:rPr>
          <w:rFonts w:ascii="Arial" w:eastAsiaTheme="minorHAnsi" w:hAnsi="Arial" w:cs="Arial"/>
          <w:sz w:val="22"/>
          <w:szCs w:val="22"/>
          <w:lang w:val="es-MX" w:eastAsia="en-US"/>
        </w:rPr>
        <w:t>Para la adquisición de qué tipo de bienes o servicios se debe utilizar la subasta inversa</w:t>
      </w:r>
      <w:r w:rsidR="00E65D9D" w:rsidRPr="00E65D9D">
        <w:rPr>
          <w:rFonts w:ascii="Arial" w:hAnsi="Arial" w:cs="Arial"/>
          <w:color w:val="000000" w:themeColor="text1"/>
          <w:sz w:val="22"/>
          <w:szCs w:val="22"/>
          <w:lang w:val="es-ES"/>
        </w:rPr>
        <w:t>?</w:t>
      </w:r>
      <w:r w:rsidR="00E65D9D" w:rsidRPr="00E65D9D">
        <w:rPr>
          <w:rFonts w:ascii="Arial" w:eastAsia="Calibri" w:hAnsi="Arial" w:cs="Arial"/>
          <w:color w:val="000000" w:themeColor="text1"/>
          <w:sz w:val="22"/>
          <w:szCs w:val="22"/>
          <w:lang w:val="es-ES"/>
        </w:rPr>
        <w:t>»</w:t>
      </w:r>
      <w:r w:rsidR="00E65D9D">
        <w:rPr>
          <w:rFonts w:ascii="Arial" w:eastAsiaTheme="minorHAnsi" w:hAnsi="Arial" w:cs="Arial"/>
          <w:sz w:val="22"/>
          <w:szCs w:val="22"/>
          <w:lang w:val="es-MX" w:eastAsia="en-US"/>
        </w:rPr>
        <w:t>.</w:t>
      </w:r>
      <w:r w:rsidR="00E65D9D">
        <w:rPr>
          <w:rFonts w:ascii="Arial" w:eastAsia="Calibri" w:hAnsi="Arial" w:cs="Arial"/>
          <w:color w:val="000000" w:themeColor="text1"/>
          <w:sz w:val="22"/>
          <w:szCs w:val="22"/>
          <w:lang w:val="es-ES"/>
        </w:rPr>
        <w:t xml:space="preserve"> Y 2. </w:t>
      </w:r>
      <w:r w:rsidR="00E65D9D" w:rsidRPr="00E65D9D">
        <w:rPr>
          <w:rFonts w:ascii="Arial" w:eastAsia="Calibri" w:hAnsi="Arial" w:cs="Arial"/>
          <w:color w:val="000000" w:themeColor="text1"/>
          <w:sz w:val="22"/>
          <w:szCs w:val="22"/>
          <w:lang w:val="es-ES"/>
        </w:rPr>
        <w:t>«</w:t>
      </w:r>
      <w:r w:rsidR="00E65D9D" w:rsidRPr="00E65D9D">
        <w:rPr>
          <w:rFonts w:ascii="Arial" w:eastAsiaTheme="minorHAnsi" w:hAnsi="Arial" w:cs="Arial"/>
          <w:sz w:val="22"/>
          <w:szCs w:val="22"/>
          <w:lang w:val="es-MX" w:eastAsia="en-US"/>
        </w:rPr>
        <w:t>¿Qué es una ficha técnica</w:t>
      </w:r>
      <w:r w:rsidRPr="00E65D9D">
        <w:rPr>
          <w:rFonts w:ascii="Arial" w:hAnsi="Arial" w:cs="Arial"/>
          <w:color w:val="000000" w:themeColor="text1"/>
          <w:sz w:val="22"/>
          <w:szCs w:val="22"/>
          <w:lang w:val="es-ES"/>
        </w:rPr>
        <w:t>?</w:t>
      </w:r>
      <w:r w:rsidRPr="00E65D9D">
        <w:rPr>
          <w:rFonts w:ascii="Arial" w:eastAsia="Calibri" w:hAnsi="Arial" w:cs="Arial"/>
          <w:color w:val="000000" w:themeColor="text1"/>
          <w:sz w:val="22"/>
          <w:szCs w:val="22"/>
          <w:lang w:val="es-ES"/>
        </w:rPr>
        <w:t>».</w:t>
      </w:r>
    </w:p>
    <w:p w14:paraId="2B0B8D59" w14:textId="77777777" w:rsidR="000A3221" w:rsidRPr="00B63EB7" w:rsidRDefault="000A3221" w:rsidP="000A3221">
      <w:pPr>
        <w:pStyle w:val="xxmsonospacing"/>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p>
    <w:p w14:paraId="753A4B92" w14:textId="7FC8667C" w:rsidR="000A3221" w:rsidRDefault="000A3221" w:rsidP="000A322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4610A57F" w14:textId="77777777" w:rsidR="00194155" w:rsidRDefault="00194155" w:rsidP="000170B8">
      <w:pPr>
        <w:pStyle w:val="Prrafodelista"/>
        <w:tabs>
          <w:tab w:val="left" w:pos="426"/>
        </w:tabs>
        <w:spacing w:line="276" w:lineRule="auto"/>
        <w:ind w:left="284"/>
        <w:jc w:val="both"/>
        <w:rPr>
          <w:rFonts w:ascii="Arial" w:eastAsia="Calibri" w:hAnsi="Arial" w:cs="Arial"/>
          <w:b/>
          <w:color w:val="000000" w:themeColor="text1"/>
          <w:sz w:val="22"/>
        </w:rPr>
      </w:pPr>
    </w:p>
    <w:p w14:paraId="0CB28DD6" w14:textId="392C5527" w:rsidR="00E65D9D" w:rsidRDefault="000A3221" w:rsidP="000170B8">
      <w:pPr>
        <w:autoSpaceDE w:val="0"/>
        <w:autoSpaceDN w:val="0"/>
        <w:adjustRightInd w:val="0"/>
        <w:spacing w:after="120" w:line="276" w:lineRule="auto"/>
        <w:jc w:val="both"/>
        <w:rPr>
          <w:rFonts w:ascii="Arial" w:eastAsiaTheme="minorHAnsi" w:hAnsi="Arial" w:cs="Arial"/>
          <w:b/>
          <w:bCs/>
          <w:sz w:val="22"/>
          <w:szCs w:val="22"/>
          <w:lang w:val="es-MX" w:eastAsia="en-US"/>
        </w:rPr>
      </w:pPr>
      <w:r w:rsidRPr="00410AF1">
        <w:rPr>
          <w:rFonts w:ascii="Arial" w:eastAsia="Calibri" w:hAnsi="Arial" w:cs="Arial"/>
          <w:bCs/>
          <w:color w:val="000000" w:themeColor="text1"/>
          <w:sz w:val="22"/>
        </w:rPr>
        <w:t>Para responder sus interrogantes se estudiarán los siguientes t</w:t>
      </w:r>
      <w:r w:rsidR="00E65D9D">
        <w:rPr>
          <w:rFonts w:ascii="Arial" w:eastAsia="Calibri" w:hAnsi="Arial" w:cs="Arial"/>
          <w:bCs/>
          <w:color w:val="000000" w:themeColor="text1"/>
          <w:sz w:val="22"/>
        </w:rPr>
        <w:t>emas</w:t>
      </w:r>
      <w:r w:rsidRPr="00410AF1">
        <w:rPr>
          <w:rFonts w:ascii="Arial" w:eastAsia="Calibri" w:hAnsi="Arial" w:cs="Arial"/>
          <w:bCs/>
          <w:color w:val="000000" w:themeColor="text1"/>
          <w:sz w:val="22"/>
        </w:rPr>
        <w:t xml:space="preserve">: i) </w:t>
      </w:r>
      <w:r w:rsidR="00A7118F">
        <w:rPr>
          <w:rFonts w:ascii="Arial" w:eastAsia="Calibri" w:hAnsi="Arial" w:cs="Arial"/>
          <w:bCs/>
          <w:color w:val="000000" w:themeColor="text1"/>
          <w:sz w:val="22"/>
        </w:rPr>
        <w:t xml:space="preserve">la </w:t>
      </w:r>
      <w:r w:rsidR="00E65D9D">
        <w:rPr>
          <w:rFonts w:ascii="Arial" w:eastAsia="Calibri" w:hAnsi="Arial" w:cs="Arial"/>
          <w:bCs/>
          <w:color w:val="000000" w:themeColor="text1"/>
          <w:sz w:val="22"/>
        </w:rPr>
        <w:t xml:space="preserve">figura de </w:t>
      </w:r>
      <w:r w:rsidR="00A7118F">
        <w:rPr>
          <w:rFonts w:ascii="Arial" w:eastAsia="Calibri" w:hAnsi="Arial" w:cs="Arial"/>
          <w:bCs/>
          <w:color w:val="000000" w:themeColor="text1"/>
          <w:sz w:val="22"/>
        </w:rPr>
        <w:t xml:space="preserve">la </w:t>
      </w:r>
      <w:r w:rsidR="00E65D9D">
        <w:rPr>
          <w:rFonts w:ascii="Arial" w:eastAsia="Calibri" w:hAnsi="Arial" w:cs="Arial"/>
          <w:bCs/>
          <w:color w:val="000000" w:themeColor="text1"/>
          <w:sz w:val="22"/>
        </w:rPr>
        <w:t xml:space="preserve">subasta inversa en el ordenamiento jurídico colombiano; ii) </w:t>
      </w:r>
      <w:r w:rsidR="00A7118F">
        <w:rPr>
          <w:rFonts w:ascii="Arial" w:eastAsia="Calibri" w:hAnsi="Arial" w:cs="Arial"/>
          <w:bCs/>
          <w:color w:val="000000" w:themeColor="text1"/>
          <w:sz w:val="22"/>
        </w:rPr>
        <w:t xml:space="preserve">la </w:t>
      </w:r>
      <w:r w:rsidR="00E65D9D">
        <w:rPr>
          <w:rFonts w:ascii="Arial" w:eastAsia="Calibri" w:hAnsi="Arial" w:cs="Arial"/>
          <w:bCs/>
          <w:color w:val="000000" w:themeColor="text1"/>
          <w:sz w:val="22"/>
        </w:rPr>
        <w:t xml:space="preserve">subasta inversa en </w:t>
      </w:r>
      <w:r w:rsidR="00A7118F">
        <w:rPr>
          <w:rFonts w:ascii="Arial" w:eastAsia="Calibri" w:hAnsi="Arial" w:cs="Arial"/>
          <w:bCs/>
          <w:color w:val="000000" w:themeColor="text1"/>
          <w:sz w:val="22"/>
        </w:rPr>
        <w:t xml:space="preserve">la </w:t>
      </w:r>
      <w:r w:rsidR="00E65D9D">
        <w:rPr>
          <w:rFonts w:ascii="Arial" w:eastAsia="Calibri" w:hAnsi="Arial" w:cs="Arial"/>
          <w:bCs/>
          <w:color w:val="000000" w:themeColor="text1"/>
          <w:sz w:val="22"/>
        </w:rPr>
        <w:t>licitación pública; iii)</w:t>
      </w:r>
      <w:r w:rsidR="00A7118F">
        <w:rPr>
          <w:rFonts w:ascii="Arial" w:eastAsia="Calibri" w:hAnsi="Arial" w:cs="Arial"/>
          <w:bCs/>
          <w:color w:val="000000" w:themeColor="text1"/>
          <w:sz w:val="22"/>
        </w:rPr>
        <w:t xml:space="preserve"> la</w:t>
      </w:r>
      <w:r w:rsidR="00E65D9D">
        <w:rPr>
          <w:rFonts w:ascii="Arial" w:eastAsia="Calibri" w:hAnsi="Arial" w:cs="Arial"/>
          <w:bCs/>
          <w:color w:val="000000" w:themeColor="text1"/>
          <w:sz w:val="22"/>
        </w:rPr>
        <w:t xml:space="preserve"> subasta inversa </w:t>
      </w:r>
      <w:r w:rsidR="00E65D9D" w:rsidRPr="00E65D9D">
        <w:rPr>
          <w:rFonts w:ascii="Arial" w:eastAsiaTheme="minorHAnsi" w:hAnsi="Arial" w:cs="Arial"/>
          <w:sz w:val="22"/>
          <w:szCs w:val="22"/>
          <w:lang w:val="es-MX" w:eastAsia="en-US"/>
        </w:rPr>
        <w:t>para la adquisición de bienes y servicios de caracter</w:t>
      </w:r>
      <w:r w:rsidR="00A7118F">
        <w:rPr>
          <w:rFonts w:ascii="Arial" w:eastAsiaTheme="minorHAnsi" w:hAnsi="Arial" w:cs="Arial"/>
          <w:sz w:val="22"/>
          <w:szCs w:val="22"/>
          <w:lang w:val="es-MX" w:eastAsia="en-US"/>
        </w:rPr>
        <w:t>í</w:t>
      </w:r>
      <w:r w:rsidR="00E65D9D" w:rsidRPr="00E65D9D">
        <w:rPr>
          <w:rFonts w:ascii="Arial" w:eastAsiaTheme="minorHAnsi" w:hAnsi="Arial" w:cs="Arial"/>
          <w:sz w:val="22"/>
          <w:szCs w:val="22"/>
          <w:lang w:val="es-MX" w:eastAsia="en-US"/>
        </w:rPr>
        <w:t>sticas técnicas uniformes y de común utilización</w:t>
      </w:r>
      <w:r w:rsidR="00A7118F">
        <w:rPr>
          <w:rFonts w:ascii="Arial" w:eastAsiaTheme="minorHAnsi" w:hAnsi="Arial" w:cs="Arial"/>
          <w:sz w:val="22"/>
          <w:szCs w:val="22"/>
          <w:lang w:val="es-MX" w:eastAsia="en-US"/>
        </w:rPr>
        <w:t xml:space="preserve">, </w:t>
      </w:r>
      <w:r w:rsidR="00194155">
        <w:rPr>
          <w:rFonts w:ascii="Arial" w:eastAsiaTheme="minorHAnsi" w:hAnsi="Arial" w:cs="Arial"/>
          <w:sz w:val="22"/>
          <w:szCs w:val="22"/>
          <w:lang w:val="es-MX" w:eastAsia="en-US"/>
        </w:rPr>
        <w:t>mediante</w:t>
      </w:r>
      <w:r w:rsidR="00A7118F">
        <w:rPr>
          <w:rFonts w:ascii="Arial" w:eastAsiaTheme="minorHAnsi" w:hAnsi="Arial" w:cs="Arial"/>
          <w:sz w:val="22"/>
          <w:szCs w:val="22"/>
          <w:lang w:val="es-MX" w:eastAsia="en-US"/>
        </w:rPr>
        <w:t xml:space="preserve"> selección abreviada</w:t>
      </w:r>
      <w:r w:rsidR="00E65D9D">
        <w:rPr>
          <w:rFonts w:ascii="Arial" w:eastAsiaTheme="minorHAnsi" w:hAnsi="Arial" w:cs="Arial"/>
          <w:sz w:val="22"/>
          <w:szCs w:val="22"/>
          <w:lang w:val="es-MX" w:eastAsia="en-US"/>
        </w:rPr>
        <w:t xml:space="preserve"> y iv)</w:t>
      </w:r>
      <w:r w:rsidR="00A7118F">
        <w:rPr>
          <w:rFonts w:ascii="Arial" w:eastAsiaTheme="minorHAnsi" w:hAnsi="Arial" w:cs="Arial"/>
          <w:sz w:val="22"/>
          <w:szCs w:val="22"/>
          <w:lang w:val="es-MX" w:eastAsia="en-US"/>
        </w:rPr>
        <w:t xml:space="preserve"> la</w:t>
      </w:r>
      <w:r w:rsidR="00E65D9D">
        <w:rPr>
          <w:rFonts w:ascii="Arial" w:eastAsiaTheme="minorHAnsi" w:hAnsi="Arial" w:cs="Arial"/>
          <w:sz w:val="22"/>
          <w:szCs w:val="22"/>
          <w:lang w:val="es-MX" w:eastAsia="en-US"/>
        </w:rPr>
        <w:t xml:space="preserve"> ficha técnica</w:t>
      </w:r>
      <w:r w:rsidR="00A7118F">
        <w:rPr>
          <w:rFonts w:ascii="Arial" w:eastAsiaTheme="minorHAnsi" w:hAnsi="Arial" w:cs="Arial"/>
          <w:sz w:val="22"/>
          <w:szCs w:val="22"/>
          <w:lang w:val="es-MX" w:eastAsia="en-US"/>
        </w:rPr>
        <w:t xml:space="preserve"> en la </w:t>
      </w:r>
      <w:r w:rsidR="00A7118F" w:rsidRPr="00E65D9D">
        <w:rPr>
          <w:rFonts w:ascii="Arial" w:eastAsiaTheme="minorHAnsi" w:hAnsi="Arial" w:cs="Arial"/>
          <w:sz w:val="22"/>
          <w:szCs w:val="22"/>
          <w:lang w:val="es-MX" w:eastAsia="en-US"/>
        </w:rPr>
        <w:t>adquisición de bienes y servicios de características técnicas uniformes y de común utilización</w:t>
      </w:r>
      <w:r w:rsidR="00A7118F">
        <w:rPr>
          <w:rFonts w:ascii="Arial" w:eastAsiaTheme="minorHAnsi" w:hAnsi="Arial" w:cs="Arial"/>
          <w:sz w:val="22"/>
          <w:szCs w:val="22"/>
          <w:lang w:val="es-MX" w:eastAsia="en-US"/>
        </w:rPr>
        <w:t>.</w:t>
      </w:r>
    </w:p>
    <w:p w14:paraId="13A55CB4" w14:textId="212497BB" w:rsidR="00E65D9D" w:rsidRPr="00BE7BE1" w:rsidRDefault="005D7830" w:rsidP="00BE7BE1">
      <w:pPr>
        <w:spacing w:line="276" w:lineRule="auto"/>
        <w:ind w:firstLine="709"/>
        <w:jc w:val="both"/>
        <w:rPr>
          <w:rFonts w:ascii="Arial" w:hAnsi="Arial" w:cs="Arial"/>
          <w:sz w:val="22"/>
          <w:szCs w:val="22"/>
          <w:shd w:val="clear" w:color="auto" w:fill="FFFFFF"/>
        </w:rPr>
      </w:pPr>
      <w:bookmarkStart w:id="0" w:name="_Hlk38448224"/>
      <w:r w:rsidRPr="00B60E43">
        <w:rPr>
          <w:rFonts w:ascii="Arial" w:hAnsi="Arial" w:cs="Arial"/>
          <w:sz w:val="22"/>
          <w:lang w:val="es-ES_tradnl"/>
        </w:rPr>
        <w:t xml:space="preserve">La Agencia Nacional de Contratación Pública – Colombia Compra Eficiente se pronunció sobre </w:t>
      </w:r>
      <w:r w:rsidR="00E65D9D">
        <w:rPr>
          <w:rFonts w:ascii="Arial" w:hAnsi="Arial" w:cs="Arial"/>
          <w:sz w:val="22"/>
          <w:lang w:val="es-ES_tradnl"/>
        </w:rPr>
        <w:t>la figura de la subasta inversa, en los conceptos</w:t>
      </w:r>
      <w:r w:rsidR="00E65D9D">
        <w:rPr>
          <w:rFonts w:ascii="Arial" w:hAnsi="Arial" w:cs="Arial"/>
          <w:sz w:val="22"/>
          <w:szCs w:val="22"/>
          <w:shd w:val="clear" w:color="auto" w:fill="FFFFFF"/>
        </w:rPr>
        <w:t xml:space="preserve"> con radicado </w:t>
      </w:r>
      <w:r w:rsidR="00E65D9D">
        <w:rPr>
          <w:rFonts w:ascii="Arial" w:hAnsi="Arial" w:cs="Arial"/>
          <w:sz w:val="22"/>
          <w:szCs w:val="22"/>
          <w:shd w:val="clear" w:color="auto" w:fill="FFFFFF"/>
        </w:rPr>
        <w:lastRenderedPageBreak/>
        <w:t>4201913000004928 del 20 de agosto de 2019</w:t>
      </w:r>
      <w:r w:rsidR="00BE7BE1">
        <w:rPr>
          <w:rFonts w:ascii="Arial" w:hAnsi="Arial" w:cs="Arial"/>
          <w:sz w:val="22"/>
          <w:szCs w:val="22"/>
          <w:shd w:val="clear" w:color="auto" w:fill="FFFFFF"/>
        </w:rPr>
        <w:t xml:space="preserve">, </w:t>
      </w:r>
      <w:r w:rsidR="00E65D9D" w:rsidRPr="00E65D9D">
        <w:rPr>
          <w:rFonts w:ascii="Arial" w:hAnsi="Arial" w:cs="Arial"/>
          <w:sz w:val="22"/>
          <w:szCs w:val="22"/>
          <w:shd w:val="clear" w:color="auto" w:fill="FFFFFF"/>
        </w:rPr>
        <w:t>4201912000004846</w:t>
      </w:r>
      <w:r w:rsidR="00E65D9D">
        <w:rPr>
          <w:rFonts w:ascii="Arial" w:hAnsi="Arial" w:cs="Arial"/>
          <w:sz w:val="22"/>
          <w:szCs w:val="22"/>
          <w:shd w:val="clear" w:color="auto" w:fill="FFFFFF"/>
        </w:rPr>
        <w:t xml:space="preserve"> del 3 de septiembre de 2019</w:t>
      </w:r>
      <w:r w:rsidR="00BE7BE1">
        <w:rPr>
          <w:rFonts w:ascii="Arial" w:hAnsi="Arial" w:cs="Arial"/>
          <w:sz w:val="22"/>
          <w:szCs w:val="22"/>
          <w:shd w:val="clear" w:color="auto" w:fill="FFFFFF"/>
        </w:rPr>
        <w:t xml:space="preserve"> y en el C-008 del 14 de mayo de 2020.</w:t>
      </w:r>
      <w:r w:rsidR="00E65D9D">
        <w:rPr>
          <w:rFonts w:ascii="Arial" w:hAnsi="Arial" w:cs="Arial"/>
          <w:sz w:val="22"/>
          <w:szCs w:val="22"/>
          <w:shd w:val="clear" w:color="auto" w:fill="FFFFFF"/>
        </w:rPr>
        <w:t xml:space="preserve"> Adicionalmente se pronunci</w:t>
      </w:r>
      <w:r w:rsidR="00F547EA">
        <w:rPr>
          <w:rFonts w:ascii="Arial" w:hAnsi="Arial" w:cs="Arial"/>
          <w:sz w:val="22"/>
          <w:szCs w:val="22"/>
          <w:shd w:val="clear" w:color="auto" w:fill="FFFFFF"/>
        </w:rPr>
        <w:t>ó</w:t>
      </w:r>
      <w:r w:rsidR="00E65D9D">
        <w:rPr>
          <w:rFonts w:ascii="Arial" w:hAnsi="Arial" w:cs="Arial"/>
          <w:sz w:val="22"/>
          <w:szCs w:val="22"/>
          <w:shd w:val="clear" w:color="auto" w:fill="FFFFFF"/>
        </w:rPr>
        <w:t xml:space="preserve"> sobre el tema de la ficha técnica en las siguientes consultas </w:t>
      </w:r>
      <w:r w:rsidR="00E65D9D" w:rsidRPr="00E65D9D">
        <w:rPr>
          <w:rFonts w:ascii="Arial" w:eastAsiaTheme="minorHAnsi" w:hAnsi="Arial" w:cs="Arial"/>
          <w:sz w:val="22"/>
          <w:szCs w:val="22"/>
          <w:lang w:val="es-MX" w:eastAsia="en-US"/>
        </w:rPr>
        <w:t>4201912000004846 del 3 de septiembre de 2019</w:t>
      </w:r>
      <w:r w:rsidR="00E65D9D">
        <w:rPr>
          <w:rFonts w:ascii="Arial" w:hAnsi="Arial" w:cs="Arial"/>
          <w:sz w:val="22"/>
          <w:szCs w:val="22"/>
          <w:shd w:val="clear" w:color="auto" w:fill="FFFFFF"/>
        </w:rPr>
        <w:t xml:space="preserve"> y </w:t>
      </w:r>
      <w:r w:rsidR="00E65D9D" w:rsidRPr="00E65D9D">
        <w:rPr>
          <w:rFonts w:ascii="Arial" w:eastAsiaTheme="minorHAnsi" w:hAnsi="Arial" w:cs="Arial"/>
          <w:sz w:val="22"/>
          <w:szCs w:val="22"/>
          <w:lang w:val="es-MX" w:eastAsia="en-US"/>
        </w:rPr>
        <w:t>4201912000006453 del 14 de noviembre de 2019</w:t>
      </w:r>
      <w:r w:rsidR="00E65D9D">
        <w:rPr>
          <w:rFonts w:ascii="Arial" w:eastAsiaTheme="minorHAnsi" w:hAnsi="Arial" w:cs="Arial"/>
          <w:sz w:val="22"/>
          <w:szCs w:val="22"/>
          <w:lang w:val="es-MX" w:eastAsia="en-US"/>
        </w:rPr>
        <w:t xml:space="preserve">. </w:t>
      </w:r>
      <w:bookmarkEnd w:id="0"/>
      <w:r w:rsidRPr="00B60E43">
        <w:rPr>
          <w:rFonts w:ascii="Arial" w:hAnsi="Arial" w:cs="Arial"/>
          <w:sz w:val="22"/>
          <w:lang w:val="es-ES_tradnl"/>
        </w:rPr>
        <w:t xml:space="preserve">Las ideas expuestas en </w:t>
      </w:r>
      <w:r>
        <w:rPr>
          <w:rFonts w:ascii="Arial" w:hAnsi="Arial" w:cs="Arial"/>
          <w:sz w:val="22"/>
          <w:lang w:val="es-ES_tradnl"/>
        </w:rPr>
        <w:t>esas ocasiones</w:t>
      </w:r>
      <w:r w:rsidRPr="00B60E43">
        <w:rPr>
          <w:rFonts w:ascii="Arial" w:hAnsi="Arial" w:cs="Arial"/>
          <w:sz w:val="22"/>
          <w:lang w:val="es-ES_tradnl"/>
        </w:rPr>
        <w:t xml:space="preserve"> se reiteran </w:t>
      </w:r>
      <w:r w:rsidR="00F547EA">
        <w:rPr>
          <w:rFonts w:ascii="Arial" w:hAnsi="Arial" w:cs="Arial"/>
          <w:sz w:val="22"/>
          <w:lang w:val="es-ES_tradnl"/>
        </w:rPr>
        <w:t xml:space="preserve">y complementan </w:t>
      </w:r>
      <w:r w:rsidRPr="00B60E43">
        <w:rPr>
          <w:rFonts w:ascii="Arial" w:hAnsi="Arial" w:cs="Arial"/>
          <w:sz w:val="22"/>
          <w:lang w:val="es-ES_tradnl"/>
        </w:rPr>
        <w:t>a continuación</w:t>
      </w:r>
      <w:r w:rsidR="00F547EA">
        <w:rPr>
          <w:rFonts w:ascii="Arial" w:hAnsi="Arial" w:cs="Arial"/>
          <w:sz w:val="22"/>
          <w:lang w:val="es-ES_tradnl"/>
        </w:rPr>
        <w:t>.</w:t>
      </w:r>
      <w:r w:rsidRPr="00B60E43">
        <w:rPr>
          <w:rFonts w:ascii="Arial" w:hAnsi="Arial" w:cs="Arial"/>
          <w:sz w:val="22"/>
          <w:lang w:val="es-ES_tradnl"/>
        </w:rPr>
        <w:t xml:space="preserve"> </w:t>
      </w:r>
    </w:p>
    <w:p w14:paraId="073E7257" w14:textId="77777777" w:rsidR="00AE0EA0" w:rsidRPr="00B60E43" w:rsidRDefault="00AE0EA0" w:rsidP="00E65D9D">
      <w:pPr>
        <w:spacing w:line="276" w:lineRule="auto"/>
        <w:ind w:firstLine="709"/>
        <w:jc w:val="both"/>
        <w:rPr>
          <w:rFonts w:ascii="Arial" w:hAnsi="Arial" w:cs="Arial"/>
          <w:sz w:val="22"/>
          <w:lang w:val="es-ES_tradnl"/>
        </w:rPr>
      </w:pPr>
    </w:p>
    <w:p w14:paraId="74D75364" w14:textId="12BCA2CE" w:rsidR="005D7830" w:rsidRPr="00BC42A3" w:rsidRDefault="000A3221" w:rsidP="00E65D9D">
      <w:pPr>
        <w:spacing w:line="276" w:lineRule="auto"/>
        <w:jc w:val="both"/>
        <w:rPr>
          <w:rFonts w:ascii="Arial" w:hAnsi="Arial" w:cs="Arial"/>
          <w:b/>
          <w:sz w:val="22"/>
          <w:lang w:val="es-ES_tradnl"/>
        </w:rPr>
      </w:pPr>
      <w:r w:rsidRPr="00866D6C">
        <w:rPr>
          <w:rFonts w:ascii="Arial" w:hAnsi="Arial" w:cs="Arial"/>
          <w:b/>
          <w:bCs/>
          <w:sz w:val="22"/>
        </w:rPr>
        <w:t>2.1.</w:t>
      </w:r>
      <w:r w:rsidR="005D7830">
        <w:rPr>
          <w:rFonts w:ascii="Arial" w:hAnsi="Arial" w:cs="Arial"/>
          <w:b/>
          <w:sz w:val="22"/>
          <w:lang w:val="es-ES_tradnl"/>
        </w:rPr>
        <w:t xml:space="preserve"> </w:t>
      </w:r>
      <w:r w:rsidR="00A7118F">
        <w:rPr>
          <w:rFonts w:ascii="Arial" w:hAnsi="Arial" w:cs="Arial"/>
          <w:b/>
          <w:sz w:val="22"/>
          <w:lang w:val="es-ES_tradnl"/>
        </w:rPr>
        <w:t>La</w:t>
      </w:r>
      <w:r w:rsidR="00E65D9D">
        <w:rPr>
          <w:rFonts w:ascii="Arial" w:hAnsi="Arial" w:cs="Arial"/>
          <w:b/>
          <w:sz w:val="22"/>
          <w:lang w:val="es-ES_tradnl"/>
        </w:rPr>
        <w:t xml:space="preserve"> subasta inversa en el ordenamiento jurídico colombiano</w:t>
      </w:r>
    </w:p>
    <w:p w14:paraId="167E4D76" w14:textId="066E6E61" w:rsidR="005D7830" w:rsidRPr="00A7118F" w:rsidRDefault="005D7830" w:rsidP="005D7830">
      <w:pPr>
        <w:autoSpaceDE w:val="0"/>
        <w:autoSpaceDN w:val="0"/>
        <w:adjustRightInd w:val="0"/>
        <w:spacing w:line="276" w:lineRule="auto"/>
        <w:jc w:val="both"/>
        <w:rPr>
          <w:rFonts w:ascii="Arial" w:eastAsia="Calibri" w:hAnsi="Arial" w:cs="Arial"/>
          <w:b/>
          <w:color w:val="000000" w:themeColor="text1"/>
          <w:sz w:val="22"/>
          <w:lang w:val="es-ES_tradnl"/>
        </w:rPr>
      </w:pPr>
    </w:p>
    <w:p w14:paraId="43800FC5" w14:textId="6161AA0D" w:rsidR="00E65D9D" w:rsidRPr="00E65D9D" w:rsidRDefault="00E65D9D" w:rsidP="00E65D9D">
      <w:pPr>
        <w:autoSpaceDE w:val="0"/>
        <w:autoSpaceDN w:val="0"/>
        <w:adjustRightInd w:val="0"/>
        <w:spacing w:after="120" w:line="276" w:lineRule="auto"/>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La subasta inversa es un mecanismo que se concibió con la finalidad de introducir una metodología alternativa para el proceso de negociación y perfeccionamiento del contrato estatal. Su regulación</w:t>
      </w:r>
      <w:r w:rsidR="00B61F96">
        <w:rPr>
          <w:rFonts w:ascii="Arial" w:eastAsiaTheme="minorHAnsi" w:hAnsi="Arial" w:cs="Arial"/>
          <w:sz w:val="22"/>
          <w:szCs w:val="22"/>
          <w:lang w:val="es-MX" w:eastAsia="en-US"/>
        </w:rPr>
        <w:t>,</w:t>
      </w:r>
      <w:r w:rsidRPr="00E65D9D">
        <w:rPr>
          <w:rFonts w:ascii="Arial" w:eastAsiaTheme="minorHAnsi" w:hAnsi="Arial" w:cs="Arial"/>
          <w:sz w:val="22"/>
          <w:szCs w:val="22"/>
          <w:lang w:val="es-MX" w:eastAsia="en-US"/>
        </w:rPr>
        <w:t xml:space="preserve"> en el derecho positivo</w:t>
      </w:r>
      <w:r w:rsidR="00B61F96">
        <w:rPr>
          <w:rFonts w:ascii="Arial" w:eastAsiaTheme="minorHAnsi" w:hAnsi="Arial" w:cs="Arial"/>
          <w:sz w:val="22"/>
          <w:szCs w:val="22"/>
          <w:lang w:val="es-MX" w:eastAsia="en-US"/>
        </w:rPr>
        <w:t>,</w:t>
      </w:r>
      <w:r w:rsidRPr="00E65D9D">
        <w:rPr>
          <w:rFonts w:ascii="Arial" w:eastAsiaTheme="minorHAnsi" w:hAnsi="Arial" w:cs="Arial"/>
          <w:sz w:val="22"/>
          <w:szCs w:val="22"/>
          <w:lang w:val="es-MX" w:eastAsia="en-US"/>
        </w:rPr>
        <w:t xml:space="preserve"> se encuentra en el artículo 2 de la Ley 1150 de 2007</w:t>
      </w:r>
      <w:r>
        <w:rPr>
          <w:rStyle w:val="Refdenotaalpie"/>
          <w:rFonts w:ascii="Arial" w:eastAsiaTheme="minorHAnsi" w:hAnsi="Arial" w:cs="Arial"/>
          <w:sz w:val="22"/>
          <w:szCs w:val="22"/>
          <w:lang w:val="es-MX" w:eastAsia="en-US"/>
        </w:rPr>
        <w:footnoteReference w:id="1"/>
      </w:r>
      <w:r w:rsidRPr="00E65D9D">
        <w:rPr>
          <w:rFonts w:ascii="Arial" w:eastAsiaTheme="minorHAnsi" w:hAnsi="Arial" w:cs="Arial"/>
          <w:sz w:val="22"/>
          <w:szCs w:val="22"/>
          <w:lang w:val="es-MX" w:eastAsia="en-US"/>
        </w:rPr>
        <w:t xml:space="preserve">, en donde se indica que la figura tiene como finalidad confrontar, de manera </w:t>
      </w:r>
      <w:r w:rsidRPr="00E65D9D">
        <w:rPr>
          <w:rFonts w:ascii="Arial" w:eastAsiaTheme="minorHAnsi" w:hAnsi="Arial" w:cs="Arial"/>
          <w:sz w:val="22"/>
          <w:szCs w:val="22"/>
          <w:lang w:val="es-MX" w:eastAsia="en-US"/>
        </w:rPr>
        <w:lastRenderedPageBreak/>
        <w:t xml:space="preserve">dinámica, las distintas ofertas que pueden presentarse para los procesos de licitación pública, </w:t>
      </w:r>
      <w:r w:rsidR="00B61F96">
        <w:rPr>
          <w:rFonts w:ascii="Arial" w:eastAsiaTheme="minorHAnsi" w:hAnsi="Arial" w:cs="Arial"/>
          <w:sz w:val="22"/>
          <w:szCs w:val="22"/>
          <w:lang w:val="es-MX" w:eastAsia="en-US"/>
        </w:rPr>
        <w:t xml:space="preserve">para </w:t>
      </w:r>
      <w:r w:rsidRPr="00E65D9D">
        <w:rPr>
          <w:rFonts w:ascii="Arial" w:eastAsiaTheme="minorHAnsi" w:hAnsi="Arial" w:cs="Arial"/>
          <w:sz w:val="22"/>
          <w:szCs w:val="22"/>
          <w:lang w:val="es-MX" w:eastAsia="en-US"/>
        </w:rPr>
        <w:t>la adquisición de bienes y servicios de características técnicas uniformes y de común utilización</w:t>
      </w:r>
      <w:r w:rsidR="00B61F96">
        <w:rPr>
          <w:rFonts w:ascii="Arial" w:eastAsiaTheme="minorHAnsi" w:hAnsi="Arial" w:cs="Arial"/>
          <w:sz w:val="22"/>
          <w:szCs w:val="22"/>
          <w:lang w:val="es-MX" w:eastAsia="en-US"/>
        </w:rPr>
        <w:t xml:space="preserve">, </w:t>
      </w:r>
      <w:r w:rsidRPr="00E65D9D">
        <w:rPr>
          <w:rFonts w:ascii="Arial" w:eastAsiaTheme="minorHAnsi" w:hAnsi="Arial" w:cs="Arial"/>
          <w:sz w:val="22"/>
          <w:szCs w:val="22"/>
          <w:lang w:val="es-MX" w:eastAsia="en-US"/>
        </w:rPr>
        <w:t>y</w:t>
      </w:r>
      <w:r w:rsidR="00B61F96">
        <w:rPr>
          <w:rFonts w:ascii="Arial" w:eastAsiaTheme="minorHAnsi" w:hAnsi="Arial" w:cs="Arial"/>
          <w:sz w:val="22"/>
          <w:szCs w:val="22"/>
          <w:lang w:val="es-MX" w:eastAsia="en-US"/>
        </w:rPr>
        <w:t xml:space="preserve"> en los</w:t>
      </w:r>
      <w:r w:rsidRPr="00E65D9D">
        <w:rPr>
          <w:rFonts w:ascii="Arial" w:eastAsiaTheme="minorHAnsi" w:hAnsi="Arial" w:cs="Arial"/>
          <w:sz w:val="22"/>
          <w:szCs w:val="22"/>
          <w:lang w:val="es-MX" w:eastAsia="en-US"/>
        </w:rPr>
        <w:t xml:space="preserve"> procesos de enajenación de bienes del Estado.  </w:t>
      </w:r>
    </w:p>
    <w:p w14:paraId="3CC33DD6" w14:textId="4743B28C" w:rsidR="00C32383" w:rsidRDefault="00B61F96" w:rsidP="000170B8">
      <w:pPr>
        <w:autoSpaceDE w:val="0"/>
        <w:autoSpaceDN w:val="0"/>
        <w:adjustRightInd w:val="0"/>
        <w:spacing w:after="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En este contexto normativo,</w:t>
      </w:r>
      <w:r w:rsidR="004B4E65">
        <w:rPr>
          <w:rFonts w:ascii="Arial" w:eastAsiaTheme="minorHAnsi" w:hAnsi="Arial" w:cs="Arial"/>
          <w:sz w:val="22"/>
          <w:szCs w:val="22"/>
          <w:lang w:val="es-MX" w:eastAsia="en-US"/>
        </w:rPr>
        <w:t xml:space="preserve"> la doctrina</w:t>
      </w:r>
      <w:r>
        <w:rPr>
          <w:rFonts w:ascii="Arial" w:eastAsiaTheme="minorHAnsi" w:hAnsi="Arial" w:cs="Arial"/>
          <w:sz w:val="22"/>
          <w:szCs w:val="22"/>
          <w:lang w:val="es-MX" w:eastAsia="en-US"/>
        </w:rPr>
        <w:t xml:space="preserve"> ha </w:t>
      </w:r>
      <w:r w:rsidR="004B4E65">
        <w:rPr>
          <w:rFonts w:ascii="Arial" w:eastAsiaTheme="minorHAnsi" w:hAnsi="Arial" w:cs="Arial"/>
          <w:sz w:val="22"/>
          <w:szCs w:val="22"/>
          <w:lang w:val="es-MX" w:eastAsia="en-US"/>
        </w:rPr>
        <w:t xml:space="preserve">señalado </w:t>
      </w:r>
      <w:r>
        <w:rPr>
          <w:rFonts w:ascii="Arial" w:eastAsiaTheme="minorHAnsi" w:hAnsi="Arial" w:cs="Arial"/>
          <w:sz w:val="22"/>
          <w:szCs w:val="22"/>
          <w:lang w:val="es-MX" w:eastAsia="en-US"/>
        </w:rPr>
        <w:t>que</w:t>
      </w:r>
      <w:r w:rsidR="00E65D9D" w:rsidRPr="00E65D9D">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s</w:t>
      </w:r>
      <w:r w:rsidR="00E65D9D" w:rsidRPr="00E65D9D">
        <w:rPr>
          <w:rFonts w:ascii="Arial" w:eastAsiaTheme="minorHAnsi" w:hAnsi="Arial" w:cs="Arial"/>
          <w:sz w:val="22"/>
          <w:szCs w:val="22"/>
          <w:lang w:val="es-MX" w:eastAsia="en-US"/>
        </w:rPr>
        <w:t>e entiende por subasta inversa para la presentación de la oferta,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w:t>
      </w:r>
      <w:r w:rsidR="00E65D9D">
        <w:rPr>
          <w:rStyle w:val="Refdenotaalpie"/>
          <w:rFonts w:ascii="Arial" w:eastAsiaTheme="minorHAnsi" w:hAnsi="Arial" w:cs="Arial"/>
          <w:sz w:val="22"/>
          <w:szCs w:val="22"/>
          <w:lang w:val="es-MX" w:eastAsia="en-US"/>
        </w:rPr>
        <w:footnoteReference w:id="2"/>
      </w:r>
      <w:r w:rsidR="00E65D9D" w:rsidRPr="00E65D9D">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En </w:t>
      </w:r>
      <w:r w:rsidR="004B4E65">
        <w:rPr>
          <w:rFonts w:ascii="Arial" w:eastAsiaTheme="minorHAnsi" w:hAnsi="Arial" w:cs="Arial"/>
          <w:sz w:val="22"/>
          <w:szCs w:val="22"/>
          <w:lang w:val="es-MX" w:eastAsia="en-US"/>
        </w:rPr>
        <w:t>igual sentido</w:t>
      </w:r>
      <w:r>
        <w:rPr>
          <w:rFonts w:ascii="Arial" w:eastAsiaTheme="minorHAnsi" w:hAnsi="Arial" w:cs="Arial"/>
          <w:sz w:val="22"/>
          <w:szCs w:val="22"/>
          <w:lang w:val="es-MX" w:eastAsia="en-US"/>
        </w:rPr>
        <w:t xml:space="preserve">, </w:t>
      </w:r>
      <w:r w:rsidR="004B4E65">
        <w:rPr>
          <w:rFonts w:ascii="Arial" w:eastAsiaTheme="minorHAnsi" w:hAnsi="Arial" w:cs="Arial"/>
          <w:sz w:val="22"/>
          <w:szCs w:val="22"/>
          <w:lang w:val="es-MX" w:eastAsia="en-US"/>
        </w:rPr>
        <w:t>la doctrina especializada</w:t>
      </w:r>
      <w:r w:rsidR="00E65D9D" w:rsidRPr="00E65D9D">
        <w:rPr>
          <w:rFonts w:ascii="Arial" w:eastAsiaTheme="minorHAnsi" w:hAnsi="Arial" w:cs="Arial"/>
          <w:sz w:val="22"/>
          <w:szCs w:val="22"/>
          <w:lang w:val="es-MX" w:eastAsia="en-US"/>
        </w:rPr>
        <w:t xml:space="preserve"> destaca de este mecanismo que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r w:rsidR="00E65D9D">
        <w:rPr>
          <w:rStyle w:val="Refdenotaalpie"/>
          <w:rFonts w:ascii="Arial" w:eastAsiaTheme="minorHAnsi" w:hAnsi="Arial" w:cs="Arial"/>
          <w:sz w:val="22"/>
          <w:szCs w:val="22"/>
          <w:lang w:val="es-MX" w:eastAsia="en-US"/>
        </w:rPr>
        <w:footnoteReference w:id="3"/>
      </w:r>
      <w:r w:rsidR="00E65D9D" w:rsidRPr="00E65D9D">
        <w:rPr>
          <w:rFonts w:ascii="Arial" w:eastAsiaTheme="minorHAnsi" w:hAnsi="Arial" w:cs="Arial"/>
          <w:sz w:val="22"/>
          <w:szCs w:val="22"/>
          <w:lang w:val="es-MX" w:eastAsia="en-US"/>
        </w:rPr>
        <w:t>.   </w:t>
      </w:r>
    </w:p>
    <w:p w14:paraId="0F329D81" w14:textId="0B258825" w:rsidR="00B61F96" w:rsidRDefault="00B61F96" w:rsidP="00C32383">
      <w:pPr>
        <w:autoSpaceDE w:val="0"/>
        <w:autoSpaceDN w:val="0"/>
        <w:adjustRightInd w:val="0"/>
        <w:spacing w:line="276" w:lineRule="auto"/>
        <w:ind w:firstLine="709"/>
        <w:jc w:val="both"/>
        <w:rPr>
          <w:rStyle w:val="normaltextrun"/>
          <w:rFonts w:ascii="Arial" w:hAnsi="Arial" w:cs="Arial"/>
          <w:color w:val="000000"/>
          <w:sz w:val="22"/>
          <w:szCs w:val="22"/>
          <w:shd w:val="clear" w:color="auto" w:fill="FFFFFF"/>
          <w:lang w:val="es-ES"/>
        </w:rPr>
      </w:pPr>
      <w:r>
        <w:rPr>
          <w:rStyle w:val="normaltextrun"/>
          <w:rFonts w:ascii="Arial" w:hAnsi="Arial" w:cs="Arial"/>
          <w:color w:val="000000"/>
          <w:sz w:val="22"/>
          <w:szCs w:val="22"/>
          <w:shd w:val="clear" w:color="auto" w:fill="FFFFFF"/>
          <w:lang w:val="es-ES"/>
        </w:rPr>
        <w:t xml:space="preserve">De este modo, </w:t>
      </w:r>
      <w:r w:rsidR="00167A6B">
        <w:rPr>
          <w:rStyle w:val="normaltextrun"/>
          <w:rFonts w:ascii="Arial" w:hAnsi="Arial" w:cs="Arial"/>
          <w:color w:val="000000"/>
          <w:sz w:val="22"/>
          <w:szCs w:val="22"/>
          <w:shd w:val="clear" w:color="auto" w:fill="FFFFFF"/>
          <w:lang w:val="es-ES"/>
        </w:rPr>
        <w:t>queda claro que la subasta inversa constituye un</w:t>
      </w:r>
      <w:r w:rsidR="00C061FD">
        <w:rPr>
          <w:rStyle w:val="normaltextrun"/>
          <w:rFonts w:ascii="Arial" w:hAnsi="Arial" w:cs="Arial"/>
          <w:color w:val="000000"/>
          <w:sz w:val="22"/>
          <w:szCs w:val="22"/>
          <w:shd w:val="clear" w:color="auto" w:fill="FFFFFF"/>
          <w:lang w:val="es-ES"/>
        </w:rPr>
        <w:t>a metodología alternativa para la configuración de la oferta por parte de los proponentes</w:t>
      </w:r>
      <w:r w:rsidR="004E3E0B">
        <w:rPr>
          <w:rStyle w:val="normaltextrun"/>
          <w:rFonts w:ascii="Arial" w:hAnsi="Arial" w:cs="Arial"/>
          <w:color w:val="000000"/>
          <w:sz w:val="22"/>
          <w:szCs w:val="22"/>
          <w:shd w:val="clear" w:color="auto" w:fill="FFFFFF"/>
          <w:lang w:val="es-ES"/>
        </w:rPr>
        <w:t xml:space="preserve">, que se </w:t>
      </w:r>
      <w:r w:rsidR="00BF677A">
        <w:rPr>
          <w:rStyle w:val="normaltextrun"/>
          <w:rFonts w:ascii="Arial" w:hAnsi="Arial" w:cs="Arial"/>
          <w:color w:val="000000"/>
          <w:sz w:val="22"/>
          <w:szCs w:val="22"/>
          <w:shd w:val="clear" w:color="auto" w:fill="FFFFFF"/>
          <w:lang w:val="es-ES"/>
        </w:rPr>
        <w:t xml:space="preserve">presenta </w:t>
      </w:r>
      <w:r w:rsidR="004E3E0B">
        <w:rPr>
          <w:rStyle w:val="normaltextrun"/>
          <w:rFonts w:ascii="Arial" w:hAnsi="Arial" w:cs="Arial"/>
          <w:color w:val="000000"/>
          <w:sz w:val="22"/>
          <w:szCs w:val="22"/>
          <w:shd w:val="clear" w:color="auto" w:fill="FFFFFF"/>
          <w:lang w:val="es-ES"/>
        </w:rPr>
        <w:t>como un mecanismo eficiente para que las entidades públicas obtengan el mejor valor en dinero</w:t>
      </w:r>
      <w:r w:rsidR="00320523">
        <w:rPr>
          <w:rStyle w:val="normaltextrun"/>
          <w:rFonts w:ascii="Arial" w:hAnsi="Arial" w:cs="Arial"/>
          <w:color w:val="000000"/>
          <w:sz w:val="22"/>
          <w:szCs w:val="22"/>
          <w:shd w:val="clear" w:color="auto" w:fill="FFFFFF"/>
          <w:lang w:val="es-ES"/>
        </w:rPr>
        <w:t xml:space="preserve"> de los bienes y servicios que pretenden adquirir, derivado de la concreción de un procedimiento de</w:t>
      </w:r>
      <w:r w:rsidR="004E3E0B">
        <w:rPr>
          <w:rStyle w:val="normaltextrun"/>
          <w:rFonts w:ascii="Arial" w:hAnsi="Arial" w:cs="Arial"/>
          <w:color w:val="000000"/>
          <w:sz w:val="22"/>
          <w:szCs w:val="22"/>
          <w:shd w:val="clear" w:color="auto" w:fill="FFFFFF"/>
          <w:lang w:val="es-ES"/>
        </w:rPr>
        <w:t xml:space="preserve"> </w:t>
      </w:r>
      <w:r w:rsidR="00320523" w:rsidRPr="00320523">
        <w:rPr>
          <w:rStyle w:val="normaltextrun"/>
          <w:rFonts w:ascii="Arial" w:hAnsi="Arial" w:cs="Arial"/>
          <w:color w:val="000000"/>
          <w:sz w:val="22"/>
          <w:szCs w:val="22"/>
          <w:shd w:val="clear" w:color="auto" w:fill="FFFFFF"/>
          <w:lang w:val="es-ES"/>
        </w:rPr>
        <w:t>contratación de carácter competitivo</w:t>
      </w:r>
      <w:r w:rsidR="00320523">
        <w:rPr>
          <w:rStyle w:val="normaltextrun"/>
          <w:rFonts w:ascii="Arial" w:hAnsi="Arial" w:cs="Arial"/>
          <w:color w:val="000000"/>
          <w:sz w:val="22"/>
          <w:szCs w:val="22"/>
          <w:shd w:val="clear" w:color="auto" w:fill="FFFFFF"/>
          <w:lang w:val="es-ES"/>
        </w:rPr>
        <w:t xml:space="preserve"> guiado, </w:t>
      </w:r>
      <w:r w:rsidR="00320523" w:rsidRPr="00320523">
        <w:rPr>
          <w:rStyle w:val="normaltextrun"/>
          <w:rFonts w:ascii="Arial" w:hAnsi="Arial" w:cs="Arial"/>
          <w:color w:val="000000"/>
          <w:sz w:val="22"/>
          <w:szCs w:val="22"/>
          <w:shd w:val="clear" w:color="auto" w:fill="FFFFFF"/>
          <w:lang w:val="es-ES"/>
        </w:rPr>
        <w:t>precisamente</w:t>
      </w:r>
      <w:r w:rsidR="00320523">
        <w:rPr>
          <w:rStyle w:val="normaltextrun"/>
          <w:rFonts w:ascii="Arial" w:hAnsi="Arial" w:cs="Arial"/>
          <w:color w:val="000000"/>
          <w:sz w:val="22"/>
          <w:szCs w:val="22"/>
          <w:shd w:val="clear" w:color="auto" w:fill="FFFFFF"/>
          <w:lang w:val="es-ES"/>
        </w:rPr>
        <w:t>,</w:t>
      </w:r>
      <w:r w:rsidR="00320523" w:rsidRPr="00320523">
        <w:rPr>
          <w:rStyle w:val="normaltextrun"/>
          <w:rFonts w:ascii="Arial" w:hAnsi="Arial" w:cs="Arial"/>
          <w:color w:val="000000"/>
          <w:sz w:val="22"/>
          <w:szCs w:val="22"/>
          <w:shd w:val="clear" w:color="auto" w:fill="FFFFFF"/>
          <w:lang w:val="es-ES"/>
        </w:rPr>
        <w:t xml:space="preserve"> por los factores de puja y dinamismo</w:t>
      </w:r>
      <w:r w:rsidR="00320523">
        <w:rPr>
          <w:rStyle w:val="Refdenotaalpie"/>
          <w:rFonts w:ascii="Arial" w:hAnsi="Arial" w:cs="Arial"/>
          <w:color w:val="000000"/>
          <w:sz w:val="22"/>
          <w:szCs w:val="22"/>
          <w:shd w:val="clear" w:color="auto" w:fill="FFFFFF"/>
          <w:lang w:val="es-ES"/>
        </w:rPr>
        <w:footnoteReference w:id="4"/>
      </w:r>
      <w:r w:rsidR="00320523">
        <w:rPr>
          <w:rStyle w:val="normaltextrun"/>
          <w:rFonts w:ascii="Arial" w:hAnsi="Arial" w:cs="Arial"/>
          <w:color w:val="000000"/>
          <w:sz w:val="22"/>
          <w:szCs w:val="22"/>
          <w:shd w:val="clear" w:color="auto" w:fill="FFFFFF"/>
          <w:lang w:val="es-ES"/>
        </w:rPr>
        <w:t>.</w:t>
      </w:r>
    </w:p>
    <w:p w14:paraId="371B2E1E" w14:textId="77777777" w:rsidR="00604889" w:rsidRPr="00320523" w:rsidRDefault="00604889" w:rsidP="00C32383">
      <w:pPr>
        <w:autoSpaceDE w:val="0"/>
        <w:autoSpaceDN w:val="0"/>
        <w:adjustRightInd w:val="0"/>
        <w:spacing w:line="276" w:lineRule="auto"/>
        <w:jc w:val="both"/>
        <w:rPr>
          <w:rFonts w:ascii="Arial" w:eastAsiaTheme="minorHAnsi" w:hAnsi="Arial" w:cs="Arial"/>
          <w:sz w:val="22"/>
          <w:szCs w:val="22"/>
          <w:lang w:val="es-ES" w:eastAsia="en-US"/>
        </w:rPr>
      </w:pPr>
    </w:p>
    <w:p w14:paraId="2E04F888" w14:textId="548F13C0" w:rsidR="00E65D9D" w:rsidRDefault="00E65D9D" w:rsidP="00604889">
      <w:pPr>
        <w:autoSpaceDE w:val="0"/>
        <w:autoSpaceDN w:val="0"/>
        <w:adjustRightInd w:val="0"/>
        <w:spacing w:line="276" w:lineRule="auto"/>
        <w:jc w:val="both"/>
        <w:rPr>
          <w:rFonts w:ascii="Arial" w:eastAsiaTheme="minorHAnsi" w:hAnsi="Arial" w:cs="Arial"/>
          <w:b/>
          <w:bCs/>
          <w:sz w:val="22"/>
          <w:szCs w:val="22"/>
          <w:lang w:val="es-MX" w:eastAsia="en-US"/>
        </w:rPr>
      </w:pPr>
      <w:r w:rsidRPr="00E65D9D">
        <w:rPr>
          <w:rFonts w:ascii="Arial" w:eastAsiaTheme="minorHAnsi" w:hAnsi="Arial" w:cs="Arial"/>
          <w:b/>
          <w:bCs/>
          <w:sz w:val="22"/>
          <w:szCs w:val="22"/>
          <w:lang w:val="es-MX" w:eastAsia="en-US"/>
        </w:rPr>
        <w:t>2.2.</w:t>
      </w:r>
      <w:r w:rsidR="005C4AC0">
        <w:rPr>
          <w:rFonts w:ascii="Arial" w:eastAsiaTheme="minorHAnsi" w:hAnsi="Arial" w:cs="Arial"/>
          <w:b/>
          <w:bCs/>
          <w:sz w:val="22"/>
          <w:szCs w:val="22"/>
          <w:lang w:val="es-MX" w:eastAsia="en-US"/>
        </w:rPr>
        <w:t xml:space="preserve"> La s</w:t>
      </w:r>
      <w:r>
        <w:rPr>
          <w:rFonts w:ascii="Arial" w:eastAsiaTheme="minorHAnsi" w:hAnsi="Arial" w:cs="Arial"/>
          <w:b/>
          <w:bCs/>
          <w:sz w:val="22"/>
          <w:szCs w:val="22"/>
          <w:lang w:val="es-MX" w:eastAsia="en-US"/>
        </w:rPr>
        <w:t xml:space="preserve">ubasta inversa en </w:t>
      </w:r>
      <w:r w:rsidR="009E3759">
        <w:rPr>
          <w:rFonts w:ascii="Arial" w:eastAsiaTheme="minorHAnsi" w:hAnsi="Arial" w:cs="Arial"/>
          <w:b/>
          <w:bCs/>
          <w:sz w:val="22"/>
          <w:szCs w:val="22"/>
          <w:lang w:val="es-MX" w:eastAsia="en-US"/>
        </w:rPr>
        <w:t xml:space="preserve">la </w:t>
      </w:r>
      <w:r>
        <w:rPr>
          <w:rFonts w:ascii="Arial" w:eastAsiaTheme="minorHAnsi" w:hAnsi="Arial" w:cs="Arial"/>
          <w:b/>
          <w:bCs/>
          <w:sz w:val="22"/>
          <w:szCs w:val="22"/>
          <w:lang w:val="es-MX" w:eastAsia="en-US"/>
        </w:rPr>
        <w:t xml:space="preserve">licitación pública </w:t>
      </w:r>
    </w:p>
    <w:p w14:paraId="1DE9CDB3" w14:textId="77777777" w:rsidR="00604889" w:rsidRPr="00E65D9D" w:rsidRDefault="00604889" w:rsidP="00FD6E1E">
      <w:pPr>
        <w:autoSpaceDE w:val="0"/>
        <w:autoSpaceDN w:val="0"/>
        <w:adjustRightInd w:val="0"/>
        <w:spacing w:line="276" w:lineRule="auto"/>
        <w:jc w:val="both"/>
        <w:rPr>
          <w:rFonts w:ascii="Arial" w:eastAsiaTheme="minorHAnsi" w:hAnsi="Arial" w:cs="Arial"/>
          <w:b/>
          <w:bCs/>
          <w:sz w:val="22"/>
          <w:szCs w:val="22"/>
          <w:lang w:val="es-MX" w:eastAsia="en-US"/>
        </w:rPr>
      </w:pPr>
    </w:p>
    <w:p w14:paraId="4F61ACBE" w14:textId="4A7D7565" w:rsidR="00FD6E1E" w:rsidRDefault="00E65D9D" w:rsidP="000170B8">
      <w:pPr>
        <w:autoSpaceDE w:val="0"/>
        <w:autoSpaceDN w:val="0"/>
        <w:adjustRightInd w:val="0"/>
        <w:spacing w:line="276" w:lineRule="auto"/>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El inciso 2 del numeral 1 del artículo 2 de la Ley 1150 de 2007 indica que «cuando la entidad estatal así lo determine, la oferta en un proceso de la licitación pública podrá ser presentada total o parcialmente de manera dinámica mediante subasta inversa, en las condiciones que fije el reglamento.» De este modo, a efectos de la consulta, es pertinente resaltar que l</w:t>
      </w:r>
      <w:r w:rsidR="0028635C">
        <w:rPr>
          <w:rFonts w:ascii="Arial" w:eastAsiaTheme="minorHAnsi" w:hAnsi="Arial" w:cs="Arial"/>
          <w:sz w:val="22"/>
          <w:szCs w:val="22"/>
          <w:lang w:val="es-MX" w:eastAsia="en-US"/>
        </w:rPr>
        <w:t>a</w:t>
      </w:r>
      <w:r w:rsidRPr="00E65D9D">
        <w:rPr>
          <w:rFonts w:ascii="Arial" w:eastAsiaTheme="minorHAnsi" w:hAnsi="Arial" w:cs="Arial"/>
          <w:sz w:val="22"/>
          <w:szCs w:val="22"/>
          <w:lang w:val="es-MX" w:eastAsia="en-US"/>
        </w:rPr>
        <w:t xml:space="preserve"> </w:t>
      </w:r>
      <w:r w:rsidR="0028635C">
        <w:rPr>
          <w:rFonts w:ascii="Arial" w:eastAsiaTheme="minorHAnsi" w:hAnsi="Arial" w:cs="Arial"/>
          <w:sz w:val="22"/>
          <w:szCs w:val="22"/>
          <w:lang w:val="es-MX" w:eastAsia="en-US"/>
        </w:rPr>
        <w:lastRenderedPageBreak/>
        <w:t xml:space="preserve">posibilidad de acudir </w:t>
      </w:r>
      <w:r w:rsidR="00333888">
        <w:rPr>
          <w:rFonts w:ascii="Arial" w:eastAsiaTheme="minorHAnsi" w:hAnsi="Arial" w:cs="Arial"/>
          <w:sz w:val="22"/>
          <w:szCs w:val="22"/>
          <w:lang w:val="es-MX" w:eastAsia="en-US"/>
        </w:rPr>
        <w:t>a</w:t>
      </w:r>
      <w:r w:rsidRPr="00E65D9D">
        <w:rPr>
          <w:rFonts w:ascii="Arial" w:eastAsiaTheme="minorHAnsi" w:hAnsi="Arial" w:cs="Arial"/>
          <w:sz w:val="22"/>
          <w:szCs w:val="22"/>
          <w:lang w:val="es-MX" w:eastAsia="en-US"/>
        </w:rPr>
        <w:t xml:space="preserve"> la subasta inversa no est</w:t>
      </w:r>
      <w:r w:rsidR="001D28EC">
        <w:rPr>
          <w:rFonts w:ascii="Arial" w:eastAsiaTheme="minorHAnsi" w:hAnsi="Arial" w:cs="Arial"/>
          <w:sz w:val="22"/>
          <w:szCs w:val="22"/>
          <w:lang w:val="es-MX" w:eastAsia="en-US"/>
        </w:rPr>
        <w:t>á</w:t>
      </w:r>
      <w:r w:rsidRPr="00E65D9D">
        <w:rPr>
          <w:rFonts w:ascii="Arial" w:eastAsiaTheme="minorHAnsi" w:hAnsi="Arial" w:cs="Arial"/>
          <w:sz w:val="22"/>
          <w:szCs w:val="22"/>
          <w:lang w:val="es-MX" w:eastAsia="en-US"/>
        </w:rPr>
        <w:t xml:space="preserve"> ligad</w:t>
      </w:r>
      <w:r w:rsidR="0028635C">
        <w:rPr>
          <w:rFonts w:ascii="Arial" w:eastAsiaTheme="minorHAnsi" w:hAnsi="Arial" w:cs="Arial"/>
          <w:sz w:val="22"/>
          <w:szCs w:val="22"/>
          <w:lang w:val="es-MX" w:eastAsia="en-US"/>
        </w:rPr>
        <w:t>a</w:t>
      </w:r>
      <w:r w:rsidRPr="00E65D9D">
        <w:rPr>
          <w:rFonts w:ascii="Arial" w:eastAsiaTheme="minorHAnsi" w:hAnsi="Arial" w:cs="Arial"/>
          <w:sz w:val="22"/>
          <w:szCs w:val="22"/>
          <w:lang w:val="es-MX" w:eastAsia="en-US"/>
        </w:rPr>
        <w:t xml:space="preserve"> o limitad</w:t>
      </w:r>
      <w:r w:rsidR="0028635C">
        <w:rPr>
          <w:rFonts w:ascii="Arial" w:eastAsiaTheme="minorHAnsi" w:hAnsi="Arial" w:cs="Arial"/>
          <w:sz w:val="22"/>
          <w:szCs w:val="22"/>
          <w:lang w:val="es-MX" w:eastAsia="en-US"/>
        </w:rPr>
        <w:t>a</w:t>
      </w:r>
      <w:r w:rsidRPr="00E65D9D">
        <w:rPr>
          <w:rFonts w:ascii="Arial" w:eastAsiaTheme="minorHAnsi" w:hAnsi="Arial" w:cs="Arial"/>
          <w:sz w:val="22"/>
          <w:szCs w:val="22"/>
          <w:lang w:val="es-MX" w:eastAsia="en-US"/>
        </w:rPr>
        <w:t xml:space="preserve"> a un tipo espec</w:t>
      </w:r>
      <w:r w:rsidR="001D28EC">
        <w:rPr>
          <w:rFonts w:ascii="Arial" w:eastAsiaTheme="minorHAnsi" w:hAnsi="Arial" w:cs="Arial"/>
          <w:sz w:val="22"/>
          <w:szCs w:val="22"/>
          <w:lang w:val="es-MX" w:eastAsia="en-US"/>
        </w:rPr>
        <w:t>í</w:t>
      </w:r>
      <w:r w:rsidRPr="00E65D9D">
        <w:rPr>
          <w:rFonts w:ascii="Arial" w:eastAsiaTheme="minorHAnsi" w:hAnsi="Arial" w:cs="Arial"/>
          <w:sz w:val="22"/>
          <w:szCs w:val="22"/>
          <w:lang w:val="es-MX" w:eastAsia="en-US"/>
        </w:rPr>
        <w:t>fico de bienes o servicios</w:t>
      </w:r>
      <w:r w:rsidR="00FE78CA">
        <w:rPr>
          <w:rStyle w:val="Refdenotaalpie"/>
          <w:rFonts w:ascii="Arial" w:eastAsiaTheme="minorHAnsi" w:hAnsi="Arial" w:cs="Arial"/>
          <w:sz w:val="22"/>
          <w:szCs w:val="22"/>
          <w:lang w:val="es-MX" w:eastAsia="en-US"/>
        </w:rPr>
        <w:footnoteReference w:id="5"/>
      </w:r>
      <w:r w:rsidRPr="00E65D9D">
        <w:rPr>
          <w:rFonts w:ascii="Arial" w:eastAsiaTheme="minorHAnsi" w:hAnsi="Arial" w:cs="Arial"/>
          <w:sz w:val="22"/>
          <w:szCs w:val="22"/>
          <w:lang w:val="es-MX" w:eastAsia="en-US"/>
        </w:rPr>
        <w:t xml:space="preserve"> y, más bien, su utilización en un proceso de licitación</w:t>
      </w:r>
      <w:r w:rsidR="00333888">
        <w:rPr>
          <w:rFonts w:ascii="Arial" w:eastAsiaTheme="minorHAnsi" w:hAnsi="Arial" w:cs="Arial"/>
          <w:sz w:val="22"/>
          <w:szCs w:val="22"/>
          <w:lang w:val="es-MX" w:eastAsia="en-US"/>
        </w:rPr>
        <w:t xml:space="preserve"> pública</w:t>
      </w:r>
      <w:r w:rsidRPr="00E65D9D">
        <w:rPr>
          <w:rFonts w:ascii="Arial" w:eastAsiaTheme="minorHAnsi" w:hAnsi="Arial" w:cs="Arial"/>
          <w:sz w:val="22"/>
          <w:szCs w:val="22"/>
          <w:lang w:val="es-MX" w:eastAsia="en-US"/>
        </w:rPr>
        <w:t xml:space="preserve"> se deriva de la voluntad discrecional de la </w:t>
      </w:r>
      <w:r w:rsidR="009E3759">
        <w:rPr>
          <w:rFonts w:ascii="Arial" w:eastAsiaTheme="minorHAnsi" w:hAnsi="Arial" w:cs="Arial"/>
          <w:sz w:val="22"/>
          <w:szCs w:val="22"/>
          <w:lang w:val="es-MX" w:eastAsia="en-US"/>
        </w:rPr>
        <w:t>e</w:t>
      </w:r>
      <w:r w:rsidRPr="00E65D9D">
        <w:rPr>
          <w:rFonts w:ascii="Arial" w:eastAsiaTheme="minorHAnsi" w:hAnsi="Arial" w:cs="Arial"/>
          <w:sz w:val="22"/>
          <w:szCs w:val="22"/>
          <w:lang w:val="es-MX" w:eastAsia="en-US"/>
        </w:rPr>
        <w:t xml:space="preserve">ntidad </w:t>
      </w:r>
      <w:r w:rsidR="009E3759">
        <w:rPr>
          <w:rFonts w:ascii="Arial" w:eastAsiaTheme="minorHAnsi" w:hAnsi="Arial" w:cs="Arial"/>
          <w:sz w:val="22"/>
          <w:szCs w:val="22"/>
          <w:lang w:val="es-MX" w:eastAsia="en-US"/>
        </w:rPr>
        <w:t>e</w:t>
      </w:r>
      <w:r w:rsidRPr="00E65D9D">
        <w:rPr>
          <w:rFonts w:ascii="Arial" w:eastAsiaTheme="minorHAnsi" w:hAnsi="Arial" w:cs="Arial"/>
          <w:sz w:val="22"/>
          <w:szCs w:val="22"/>
          <w:lang w:val="es-MX" w:eastAsia="en-US"/>
        </w:rPr>
        <w:t>statal contratante, la cual deberá determinar en los documentos previos si la oferta puede ser presentada, total o parcialmente, de manera dinámica mediante subasta inversa.  A</w:t>
      </w:r>
      <w:r w:rsidR="009E3759">
        <w:rPr>
          <w:rFonts w:ascii="Arial" w:eastAsiaTheme="minorHAnsi" w:hAnsi="Arial" w:cs="Arial"/>
          <w:sz w:val="22"/>
          <w:szCs w:val="22"/>
          <w:lang w:val="es-MX" w:eastAsia="en-US"/>
        </w:rPr>
        <w:t>l</w:t>
      </w:r>
      <w:r w:rsidRPr="00E65D9D">
        <w:rPr>
          <w:rFonts w:ascii="Arial" w:eastAsiaTheme="minorHAnsi" w:hAnsi="Arial" w:cs="Arial"/>
          <w:sz w:val="22"/>
          <w:szCs w:val="22"/>
          <w:lang w:val="es-MX" w:eastAsia="en-US"/>
        </w:rPr>
        <w:t xml:space="preserve"> respecto, la Corte Constitucional consideró que</w:t>
      </w:r>
      <w:r w:rsidR="00FD6E1E">
        <w:rPr>
          <w:rFonts w:ascii="Arial" w:eastAsiaTheme="minorHAnsi" w:hAnsi="Arial" w:cs="Arial"/>
          <w:sz w:val="22"/>
          <w:szCs w:val="22"/>
          <w:lang w:val="es-MX" w:eastAsia="en-US"/>
        </w:rPr>
        <w:t xml:space="preserve">: </w:t>
      </w:r>
    </w:p>
    <w:p w14:paraId="22B495FB" w14:textId="77777777" w:rsidR="009E3759" w:rsidRDefault="009E3759" w:rsidP="00604B99">
      <w:pPr>
        <w:autoSpaceDE w:val="0"/>
        <w:autoSpaceDN w:val="0"/>
        <w:adjustRightInd w:val="0"/>
        <w:ind w:left="709" w:right="709"/>
        <w:jc w:val="both"/>
        <w:rPr>
          <w:rFonts w:ascii="Arial" w:eastAsiaTheme="minorHAnsi" w:hAnsi="Arial" w:cs="Arial"/>
          <w:sz w:val="22"/>
          <w:szCs w:val="22"/>
          <w:lang w:val="es-MX" w:eastAsia="en-US"/>
        </w:rPr>
      </w:pPr>
    </w:p>
    <w:p w14:paraId="2C21FDAB" w14:textId="04224A3C" w:rsidR="00E65D9D" w:rsidRDefault="00E65D9D" w:rsidP="00604B99">
      <w:pPr>
        <w:autoSpaceDE w:val="0"/>
        <w:autoSpaceDN w:val="0"/>
        <w:adjustRightInd w:val="0"/>
        <w:ind w:left="709" w:right="709"/>
        <w:jc w:val="both"/>
        <w:rPr>
          <w:rFonts w:ascii="Arial" w:eastAsiaTheme="minorHAnsi" w:hAnsi="Arial" w:cs="Arial"/>
          <w:sz w:val="22"/>
          <w:szCs w:val="22"/>
          <w:lang w:val="es-MX" w:eastAsia="en-US"/>
        </w:rPr>
      </w:pPr>
      <w:r w:rsidRPr="004240DD">
        <w:rPr>
          <w:rFonts w:ascii="Arial" w:eastAsiaTheme="minorHAnsi" w:hAnsi="Arial" w:cs="Arial"/>
          <w:sz w:val="21"/>
          <w:szCs w:val="21"/>
          <w:lang w:val="es-MX" w:eastAsia="en-US"/>
        </w:rPr>
        <w:t>«En la medida en que el legislador ha ejercido su competencia dentro de los precisos términos que le confiere la Carta, la Sala entiende que la posibilidad de presentar la oferta total o parcialmente de manera dinámica mediante subasta inversa en los procesos licitatorios, no vulnera el principio de interés general ni los fines del Estado, máxime cuando la utilización de este mecanismo constituye una opción para la entidad estatal, que debe determinar si lo emplea o no, habida cuenta que la posibilidad de conformar dinámicamente la oferta en una etapa de la licitación pública, persigue reducir el costo total de la propuesta presentada, siendo posible lograr mejores condiciones técnicas y económicas y habilita un mecanismo de presentación de la oferta en el que la única variable a utilizar no es necesariamente la del precio, pues pueden incluirse otras variables dinámicas de conformidad con el pliego de condiciones</w:t>
      </w:r>
      <w:r w:rsidRPr="00E65D9D">
        <w:rPr>
          <w:rFonts w:ascii="Arial" w:eastAsiaTheme="minorHAnsi" w:hAnsi="Arial" w:cs="Arial"/>
          <w:sz w:val="22"/>
          <w:szCs w:val="22"/>
          <w:lang w:val="es-MX" w:eastAsia="en-US"/>
        </w:rPr>
        <w:t>»</w:t>
      </w:r>
      <w:r w:rsidR="00FD6E1E">
        <w:rPr>
          <w:rStyle w:val="Refdenotaalpie"/>
          <w:rFonts w:ascii="Arial" w:eastAsiaTheme="minorHAnsi" w:hAnsi="Arial" w:cs="Arial"/>
          <w:sz w:val="22"/>
          <w:szCs w:val="22"/>
          <w:lang w:val="es-MX" w:eastAsia="en-US"/>
        </w:rPr>
        <w:footnoteReference w:id="6"/>
      </w:r>
      <w:r w:rsidR="003B0802">
        <w:rPr>
          <w:rFonts w:ascii="Arial" w:eastAsiaTheme="minorHAnsi" w:hAnsi="Arial" w:cs="Arial"/>
          <w:sz w:val="22"/>
          <w:szCs w:val="22"/>
          <w:lang w:val="es-MX" w:eastAsia="en-US"/>
        </w:rPr>
        <w:t>.</w:t>
      </w:r>
      <w:r w:rsidRPr="00E65D9D">
        <w:rPr>
          <w:rFonts w:ascii="Arial" w:eastAsiaTheme="minorHAnsi" w:hAnsi="Arial" w:cs="Arial"/>
          <w:sz w:val="22"/>
          <w:szCs w:val="22"/>
          <w:lang w:val="es-MX" w:eastAsia="en-US"/>
        </w:rPr>
        <w:t> </w:t>
      </w:r>
    </w:p>
    <w:p w14:paraId="361329EB" w14:textId="77777777" w:rsidR="00604B99" w:rsidRPr="00E65D9D" w:rsidRDefault="00604B99" w:rsidP="00604B99">
      <w:pPr>
        <w:autoSpaceDE w:val="0"/>
        <w:autoSpaceDN w:val="0"/>
        <w:adjustRightInd w:val="0"/>
        <w:ind w:left="709" w:right="709"/>
        <w:jc w:val="both"/>
        <w:rPr>
          <w:rFonts w:ascii="Arial" w:eastAsiaTheme="minorHAnsi" w:hAnsi="Arial" w:cs="Arial"/>
          <w:sz w:val="22"/>
          <w:szCs w:val="22"/>
          <w:lang w:val="es-MX" w:eastAsia="en-US"/>
        </w:rPr>
      </w:pPr>
    </w:p>
    <w:p w14:paraId="4FC7F234" w14:textId="70BE2B3C" w:rsidR="00333888" w:rsidRDefault="00E65D9D" w:rsidP="000170B8">
      <w:pPr>
        <w:autoSpaceDE w:val="0"/>
        <w:autoSpaceDN w:val="0"/>
        <w:adjustRightInd w:val="0"/>
        <w:spacing w:after="120" w:line="276" w:lineRule="auto"/>
        <w:ind w:firstLine="709"/>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 xml:space="preserve">De este modo, resulta claro que la previsión normativa y la interpretación de la Corte Constitucional conciben la subasta inversa como un instrumento utilizable en la licitación pública, vinculado a la voluntad de la </w:t>
      </w:r>
      <w:r w:rsidR="009E3759">
        <w:rPr>
          <w:rFonts w:ascii="Arial" w:eastAsiaTheme="minorHAnsi" w:hAnsi="Arial" w:cs="Arial"/>
          <w:sz w:val="22"/>
          <w:szCs w:val="22"/>
          <w:lang w:val="es-MX" w:eastAsia="en-US"/>
        </w:rPr>
        <w:t>e</w:t>
      </w:r>
      <w:r w:rsidRPr="00E65D9D">
        <w:rPr>
          <w:rFonts w:ascii="Arial" w:eastAsiaTheme="minorHAnsi" w:hAnsi="Arial" w:cs="Arial"/>
          <w:sz w:val="22"/>
          <w:szCs w:val="22"/>
          <w:lang w:val="es-MX" w:eastAsia="en-US"/>
        </w:rPr>
        <w:t xml:space="preserve">ntidad contratante y no al tipo de bienes o servicios que se pretendan adquirir. </w:t>
      </w:r>
      <w:r w:rsidR="00344795">
        <w:rPr>
          <w:rFonts w:ascii="Arial" w:eastAsiaTheme="minorHAnsi" w:hAnsi="Arial" w:cs="Arial"/>
          <w:sz w:val="22"/>
          <w:szCs w:val="22"/>
          <w:lang w:val="es-MX" w:eastAsia="en-US"/>
        </w:rPr>
        <w:t>Así las cosas,</w:t>
      </w:r>
      <w:r w:rsidRPr="00E65D9D">
        <w:rPr>
          <w:rFonts w:ascii="Arial" w:eastAsiaTheme="minorHAnsi" w:hAnsi="Arial" w:cs="Arial"/>
          <w:sz w:val="22"/>
          <w:szCs w:val="22"/>
          <w:lang w:val="es-MX" w:eastAsia="en-US"/>
        </w:rPr>
        <w:t xml:space="preserve"> el artículo 2.2.1.2.1.1.1 del Decreto 1082 de 2015</w:t>
      </w:r>
      <w:r w:rsidR="00FD6E1E">
        <w:rPr>
          <w:rStyle w:val="Refdenotaalpie"/>
          <w:rFonts w:ascii="Arial" w:eastAsiaTheme="minorHAnsi" w:hAnsi="Arial" w:cs="Arial"/>
          <w:sz w:val="22"/>
          <w:szCs w:val="22"/>
          <w:lang w:val="es-MX" w:eastAsia="en-US"/>
        </w:rPr>
        <w:footnoteReference w:id="7"/>
      </w:r>
      <w:r w:rsidRPr="00E65D9D">
        <w:rPr>
          <w:rFonts w:ascii="Arial" w:eastAsiaTheme="minorHAnsi" w:hAnsi="Arial" w:cs="Arial"/>
          <w:sz w:val="22"/>
          <w:szCs w:val="22"/>
          <w:lang w:val="es-MX" w:eastAsia="en-US"/>
        </w:rPr>
        <w:t xml:space="preserve"> </w:t>
      </w:r>
      <w:r w:rsidRPr="00E65D9D">
        <w:rPr>
          <w:rFonts w:ascii="Arial" w:eastAsiaTheme="minorHAnsi" w:hAnsi="Arial" w:cs="Arial"/>
          <w:sz w:val="22"/>
          <w:szCs w:val="22"/>
          <w:lang w:val="es-MX" w:eastAsia="en-US"/>
        </w:rPr>
        <w:lastRenderedPageBreak/>
        <w:t>establece que «Las Entidades Estatales pueden utilizar el mecanismo de subasta inversa para la conformación dinámica de las ofertas en la licitación. En este caso, la Entidad Estatal debe señalar en los pliegos de condiciones las variables técnicas y económicas sobre las cuales los oferentes pueden realizar la puja»</w:t>
      </w:r>
      <w:r>
        <w:rPr>
          <w:rFonts w:ascii="Arial" w:eastAsiaTheme="minorHAnsi" w:hAnsi="Arial" w:cs="Arial"/>
          <w:sz w:val="22"/>
          <w:szCs w:val="22"/>
          <w:lang w:val="es-MX" w:eastAsia="en-US"/>
        </w:rPr>
        <w:t>.</w:t>
      </w:r>
    </w:p>
    <w:p w14:paraId="2EBCF300" w14:textId="078212D8" w:rsidR="00E65D9D" w:rsidRDefault="00333888" w:rsidP="000170B8">
      <w:pPr>
        <w:autoSpaceDE w:val="0"/>
        <w:autoSpaceDN w:val="0"/>
        <w:adjustRightInd w:val="0"/>
        <w:spacing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Así las cosas, </w:t>
      </w:r>
      <w:r w:rsidR="004B10AA">
        <w:rPr>
          <w:rFonts w:ascii="Arial" w:eastAsiaTheme="minorHAnsi" w:hAnsi="Arial" w:cs="Arial"/>
          <w:sz w:val="22"/>
          <w:szCs w:val="22"/>
          <w:lang w:val="es-MX" w:eastAsia="en-US"/>
        </w:rPr>
        <w:t>teniendo en cuenta los interrogantes planteados en la consulta</w:t>
      </w:r>
      <w:r w:rsidR="00BC64BE">
        <w:rPr>
          <w:rFonts w:ascii="Arial" w:eastAsiaTheme="minorHAnsi" w:hAnsi="Arial" w:cs="Arial"/>
          <w:sz w:val="22"/>
          <w:szCs w:val="22"/>
          <w:lang w:val="es-MX" w:eastAsia="en-US"/>
        </w:rPr>
        <w:t xml:space="preserve">, </w:t>
      </w:r>
      <w:r w:rsidR="009A545B">
        <w:rPr>
          <w:rFonts w:ascii="Arial" w:eastAsiaTheme="minorHAnsi" w:hAnsi="Arial" w:cs="Arial"/>
          <w:sz w:val="22"/>
          <w:szCs w:val="22"/>
          <w:lang w:val="es-MX" w:eastAsia="en-US"/>
        </w:rPr>
        <w:t>los bienes y servicios que se pueden adquirir a través de subasta inversa en una licitación pública son todos aquellos que, en virtud de la normativ</w:t>
      </w:r>
      <w:r w:rsidR="00C6205D">
        <w:rPr>
          <w:rFonts w:ascii="Arial" w:eastAsiaTheme="minorHAnsi" w:hAnsi="Arial" w:cs="Arial"/>
          <w:sz w:val="22"/>
          <w:szCs w:val="22"/>
          <w:lang w:val="es-MX" w:eastAsia="en-US"/>
        </w:rPr>
        <w:t>idad</w:t>
      </w:r>
      <w:r w:rsidR="009A545B">
        <w:rPr>
          <w:rFonts w:ascii="Arial" w:eastAsiaTheme="minorHAnsi" w:hAnsi="Arial" w:cs="Arial"/>
          <w:sz w:val="22"/>
          <w:szCs w:val="22"/>
          <w:lang w:val="es-MX" w:eastAsia="en-US"/>
        </w:rPr>
        <w:t xml:space="preserve"> vigente, deben ser adquiridos </w:t>
      </w:r>
      <w:r w:rsidR="00C6205D">
        <w:rPr>
          <w:rFonts w:ascii="Arial" w:eastAsiaTheme="minorHAnsi" w:hAnsi="Arial" w:cs="Arial"/>
          <w:sz w:val="22"/>
          <w:szCs w:val="22"/>
          <w:lang w:val="es-MX" w:eastAsia="en-US"/>
        </w:rPr>
        <w:t>mediante</w:t>
      </w:r>
      <w:r w:rsidR="009A545B">
        <w:rPr>
          <w:rFonts w:ascii="Arial" w:eastAsiaTheme="minorHAnsi" w:hAnsi="Arial" w:cs="Arial"/>
          <w:sz w:val="22"/>
          <w:szCs w:val="22"/>
          <w:lang w:val="es-MX" w:eastAsia="en-US"/>
        </w:rPr>
        <w:t xml:space="preserve"> esa modalidad de selección. Es decir, </w:t>
      </w:r>
      <w:r w:rsidR="00BC64BE">
        <w:rPr>
          <w:rFonts w:ascii="Arial" w:eastAsiaTheme="minorHAnsi" w:hAnsi="Arial" w:cs="Arial"/>
          <w:sz w:val="22"/>
          <w:szCs w:val="22"/>
          <w:lang w:val="es-MX" w:eastAsia="en-US"/>
        </w:rPr>
        <w:t xml:space="preserve">si la entidad contratante decide, en ejercicio de su discrecionalidad, que la configuración de las ofertas en una licitación pública se realizará </w:t>
      </w:r>
      <w:r w:rsidR="00C6205D">
        <w:rPr>
          <w:rFonts w:ascii="Arial" w:eastAsiaTheme="minorHAnsi" w:hAnsi="Arial" w:cs="Arial"/>
          <w:sz w:val="22"/>
          <w:szCs w:val="22"/>
          <w:lang w:val="es-MX" w:eastAsia="en-US"/>
        </w:rPr>
        <w:t xml:space="preserve">mediante </w:t>
      </w:r>
      <w:r w:rsidR="00BC64BE">
        <w:rPr>
          <w:rFonts w:ascii="Arial" w:eastAsiaTheme="minorHAnsi" w:hAnsi="Arial" w:cs="Arial"/>
          <w:sz w:val="22"/>
          <w:szCs w:val="22"/>
          <w:lang w:val="es-MX" w:eastAsia="en-US"/>
        </w:rPr>
        <w:t xml:space="preserve">el procedimiento </w:t>
      </w:r>
      <w:r w:rsidR="009A545B">
        <w:rPr>
          <w:rFonts w:ascii="Arial" w:eastAsiaTheme="minorHAnsi" w:hAnsi="Arial" w:cs="Arial"/>
          <w:sz w:val="22"/>
          <w:szCs w:val="22"/>
          <w:lang w:val="es-MX" w:eastAsia="en-US"/>
        </w:rPr>
        <w:t xml:space="preserve">o metodología de subasta inversa, la única limitación para el tipo de bienes o servicios a adquirir se encuentra en </w:t>
      </w:r>
      <w:r w:rsidR="0031645E">
        <w:rPr>
          <w:rFonts w:ascii="Arial" w:eastAsiaTheme="minorHAnsi" w:hAnsi="Arial" w:cs="Arial"/>
          <w:sz w:val="22"/>
          <w:szCs w:val="22"/>
          <w:lang w:val="es-MX" w:eastAsia="en-US"/>
        </w:rPr>
        <w:t>los bienes y servicios que se pueden adquirir a través de licitación pública</w:t>
      </w:r>
      <w:r w:rsidR="00B83E14">
        <w:rPr>
          <w:rFonts w:ascii="Arial" w:eastAsiaTheme="minorHAnsi" w:hAnsi="Arial" w:cs="Arial"/>
          <w:sz w:val="22"/>
          <w:szCs w:val="22"/>
          <w:lang w:val="es-MX" w:eastAsia="en-US"/>
        </w:rPr>
        <w:t>. En suma, se trata de una amplia gama de bienes y servicios</w:t>
      </w:r>
      <w:r w:rsidR="00C6205D">
        <w:rPr>
          <w:rFonts w:ascii="Arial" w:eastAsiaTheme="minorHAnsi" w:hAnsi="Arial" w:cs="Arial"/>
          <w:sz w:val="22"/>
          <w:szCs w:val="22"/>
          <w:lang w:val="es-MX" w:eastAsia="en-US"/>
        </w:rPr>
        <w:t xml:space="preserve"> que pueden adquirirse mediante la utilización de la metodología en comento</w:t>
      </w:r>
      <w:r w:rsidR="00B83E14">
        <w:rPr>
          <w:rFonts w:ascii="Arial" w:eastAsiaTheme="minorHAnsi" w:hAnsi="Arial" w:cs="Arial"/>
          <w:sz w:val="22"/>
          <w:szCs w:val="22"/>
          <w:lang w:val="es-MX" w:eastAsia="en-US"/>
        </w:rPr>
        <w:t>.</w:t>
      </w:r>
      <w:r w:rsidR="009A545B">
        <w:rPr>
          <w:rFonts w:ascii="Arial" w:eastAsiaTheme="minorHAnsi" w:hAnsi="Arial" w:cs="Arial"/>
          <w:sz w:val="22"/>
          <w:szCs w:val="22"/>
          <w:lang w:val="es-MX" w:eastAsia="en-US"/>
        </w:rPr>
        <w:t xml:space="preserve"> </w:t>
      </w:r>
    </w:p>
    <w:p w14:paraId="36476873" w14:textId="77777777" w:rsidR="00E65D9D" w:rsidRDefault="00E65D9D" w:rsidP="00FC49E1">
      <w:pPr>
        <w:autoSpaceDE w:val="0"/>
        <w:autoSpaceDN w:val="0"/>
        <w:adjustRightInd w:val="0"/>
        <w:spacing w:line="276" w:lineRule="auto"/>
        <w:ind w:firstLine="709"/>
        <w:jc w:val="both"/>
        <w:rPr>
          <w:rFonts w:ascii="Arial" w:eastAsiaTheme="minorHAnsi" w:hAnsi="Arial" w:cs="Arial"/>
          <w:sz w:val="22"/>
          <w:szCs w:val="22"/>
          <w:lang w:val="es-MX" w:eastAsia="en-US"/>
        </w:rPr>
      </w:pPr>
    </w:p>
    <w:p w14:paraId="625355EE" w14:textId="2419A743" w:rsidR="00E65D9D" w:rsidRDefault="00E65D9D" w:rsidP="00E65D9D">
      <w:pPr>
        <w:autoSpaceDE w:val="0"/>
        <w:autoSpaceDN w:val="0"/>
        <w:adjustRightInd w:val="0"/>
        <w:spacing w:line="276" w:lineRule="auto"/>
        <w:jc w:val="both"/>
        <w:rPr>
          <w:rFonts w:ascii="Arial" w:eastAsiaTheme="minorHAnsi" w:hAnsi="Arial" w:cs="Arial"/>
          <w:b/>
          <w:bCs/>
          <w:sz w:val="22"/>
          <w:szCs w:val="22"/>
          <w:lang w:val="es-MX" w:eastAsia="en-US"/>
        </w:rPr>
      </w:pPr>
      <w:r>
        <w:rPr>
          <w:rFonts w:ascii="Arial" w:eastAsiaTheme="minorHAnsi" w:hAnsi="Arial" w:cs="Arial"/>
          <w:b/>
          <w:bCs/>
          <w:sz w:val="22"/>
          <w:szCs w:val="22"/>
          <w:lang w:val="es-MX" w:eastAsia="en-US"/>
        </w:rPr>
        <w:t xml:space="preserve">2.3. </w:t>
      </w:r>
      <w:r w:rsidR="00B83E14">
        <w:rPr>
          <w:rFonts w:ascii="Arial" w:eastAsiaTheme="minorHAnsi" w:hAnsi="Arial" w:cs="Arial"/>
          <w:b/>
          <w:bCs/>
          <w:sz w:val="22"/>
          <w:szCs w:val="22"/>
          <w:lang w:val="es-MX" w:eastAsia="en-US"/>
        </w:rPr>
        <w:t>La s</w:t>
      </w:r>
      <w:r>
        <w:rPr>
          <w:rFonts w:ascii="Arial" w:eastAsiaTheme="minorHAnsi" w:hAnsi="Arial" w:cs="Arial"/>
          <w:b/>
          <w:bCs/>
          <w:sz w:val="22"/>
          <w:szCs w:val="22"/>
          <w:lang w:val="es-MX" w:eastAsia="en-US"/>
        </w:rPr>
        <w:t xml:space="preserve">ubasta inversa </w:t>
      </w:r>
      <w:r w:rsidR="00B83E14">
        <w:rPr>
          <w:rFonts w:ascii="Arial" w:eastAsiaTheme="minorHAnsi" w:hAnsi="Arial" w:cs="Arial"/>
          <w:b/>
          <w:bCs/>
          <w:sz w:val="22"/>
          <w:szCs w:val="22"/>
          <w:lang w:val="es-MX" w:eastAsia="en-US"/>
        </w:rPr>
        <w:t xml:space="preserve">en la selección abreviada </w:t>
      </w:r>
      <w:r>
        <w:rPr>
          <w:rFonts w:ascii="Arial" w:eastAsiaTheme="minorHAnsi" w:hAnsi="Arial" w:cs="Arial"/>
          <w:b/>
          <w:bCs/>
          <w:sz w:val="22"/>
          <w:szCs w:val="22"/>
          <w:lang w:val="es-MX" w:eastAsia="en-US"/>
        </w:rPr>
        <w:t>para la adquisición de bienes y servicios de caracter</w:t>
      </w:r>
      <w:r w:rsidR="00C77F51">
        <w:rPr>
          <w:rFonts w:ascii="Arial" w:eastAsiaTheme="minorHAnsi" w:hAnsi="Arial" w:cs="Arial"/>
          <w:b/>
          <w:bCs/>
          <w:sz w:val="22"/>
          <w:szCs w:val="22"/>
          <w:lang w:val="es-MX" w:eastAsia="en-US"/>
        </w:rPr>
        <w:t>í</w:t>
      </w:r>
      <w:r>
        <w:rPr>
          <w:rFonts w:ascii="Arial" w:eastAsiaTheme="minorHAnsi" w:hAnsi="Arial" w:cs="Arial"/>
          <w:b/>
          <w:bCs/>
          <w:sz w:val="22"/>
          <w:szCs w:val="22"/>
          <w:lang w:val="es-MX" w:eastAsia="en-US"/>
        </w:rPr>
        <w:t xml:space="preserve">sticas técnicas uniformes y de común utilización </w:t>
      </w:r>
    </w:p>
    <w:p w14:paraId="5304C389" w14:textId="77777777" w:rsidR="00E65D9D" w:rsidRPr="00E65D9D" w:rsidRDefault="00E65D9D" w:rsidP="00E65D9D">
      <w:pPr>
        <w:autoSpaceDE w:val="0"/>
        <w:autoSpaceDN w:val="0"/>
        <w:adjustRightInd w:val="0"/>
        <w:spacing w:line="276" w:lineRule="auto"/>
        <w:jc w:val="both"/>
        <w:rPr>
          <w:rFonts w:ascii="Arial" w:eastAsiaTheme="minorHAnsi" w:hAnsi="Arial" w:cs="Arial"/>
          <w:b/>
          <w:bCs/>
          <w:sz w:val="22"/>
          <w:szCs w:val="22"/>
          <w:lang w:val="es-MX" w:eastAsia="en-US"/>
        </w:rPr>
      </w:pPr>
    </w:p>
    <w:p w14:paraId="518E3ACB" w14:textId="5EFBA5F1" w:rsidR="00E65D9D" w:rsidRPr="00E65D9D" w:rsidRDefault="00B83E14" w:rsidP="00FD6E1E">
      <w:pPr>
        <w:autoSpaceDE w:val="0"/>
        <w:autoSpaceDN w:val="0"/>
        <w:adjustRightInd w:val="0"/>
        <w:spacing w:after="120" w:line="276" w:lineRule="auto"/>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línea con lo expuesto en </w:t>
      </w:r>
      <w:r w:rsidR="0021084A">
        <w:rPr>
          <w:rFonts w:ascii="Arial" w:eastAsiaTheme="minorHAnsi" w:hAnsi="Arial" w:cs="Arial"/>
          <w:sz w:val="22"/>
          <w:szCs w:val="22"/>
          <w:lang w:val="es-MX" w:eastAsia="en-US"/>
        </w:rPr>
        <w:t xml:space="preserve">los </w:t>
      </w:r>
      <w:r>
        <w:rPr>
          <w:rFonts w:ascii="Arial" w:eastAsiaTheme="minorHAnsi" w:hAnsi="Arial" w:cs="Arial"/>
          <w:sz w:val="22"/>
          <w:szCs w:val="22"/>
          <w:lang w:val="es-MX" w:eastAsia="en-US"/>
        </w:rPr>
        <w:t>numeral</w:t>
      </w:r>
      <w:r w:rsidR="0021084A">
        <w:rPr>
          <w:rFonts w:ascii="Arial" w:eastAsiaTheme="minorHAnsi" w:hAnsi="Arial" w:cs="Arial"/>
          <w:sz w:val="22"/>
          <w:szCs w:val="22"/>
          <w:lang w:val="es-MX" w:eastAsia="en-US"/>
        </w:rPr>
        <w:t>es</w:t>
      </w:r>
      <w:r>
        <w:rPr>
          <w:rFonts w:ascii="Arial" w:eastAsiaTheme="minorHAnsi" w:hAnsi="Arial" w:cs="Arial"/>
          <w:sz w:val="22"/>
          <w:szCs w:val="22"/>
          <w:lang w:val="es-MX" w:eastAsia="en-US"/>
        </w:rPr>
        <w:t xml:space="preserve"> anterior</w:t>
      </w:r>
      <w:r w:rsidR="0021084A">
        <w:rPr>
          <w:rFonts w:ascii="Arial" w:eastAsiaTheme="minorHAnsi" w:hAnsi="Arial" w:cs="Arial"/>
          <w:sz w:val="22"/>
          <w:szCs w:val="22"/>
          <w:lang w:val="es-MX" w:eastAsia="en-US"/>
        </w:rPr>
        <w:t>es</w:t>
      </w:r>
      <w:r w:rsidR="00E65D9D" w:rsidRPr="00E65D9D">
        <w:rPr>
          <w:rFonts w:ascii="Arial" w:eastAsiaTheme="minorHAnsi" w:hAnsi="Arial" w:cs="Arial"/>
          <w:sz w:val="22"/>
          <w:szCs w:val="22"/>
          <w:lang w:val="es-MX" w:eastAsia="en-US"/>
        </w:rPr>
        <w:t>, el literal a</w:t>
      </w:r>
      <w:r>
        <w:rPr>
          <w:rFonts w:ascii="Arial" w:eastAsiaTheme="minorHAnsi" w:hAnsi="Arial" w:cs="Arial"/>
          <w:sz w:val="22"/>
          <w:szCs w:val="22"/>
          <w:lang w:val="es-MX" w:eastAsia="en-US"/>
        </w:rPr>
        <w:t>)</w:t>
      </w:r>
      <w:r w:rsidR="00E65D9D" w:rsidRPr="00E65D9D">
        <w:rPr>
          <w:rFonts w:ascii="Arial" w:eastAsiaTheme="minorHAnsi" w:hAnsi="Arial" w:cs="Arial"/>
          <w:sz w:val="22"/>
          <w:szCs w:val="22"/>
          <w:lang w:val="es-MX" w:eastAsia="en-US"/>
        </w:rPr>
        <w:t xml:space="preserve"> del numeral 2 del artículo 2 de la Ley 1150 de 2007, en relación con la adquisición de bienes y servicios de características técnicas uniformes y de común utilización, </w:t>
      </w:r>
      <w:r w:rsidR="0021084A">
        <w:rPr>
          <w:rFonts w:ascii="Arial" w:eastAsiaTheme="minorHAnsi" w:hAnsi="Arial" w:cs="Arial"/>
          <w:sz w:val="22"/>
          <w:szCs w:val="22"/>
          <w:lang w:val="es-MX" w:eastAsia="en-US"/>
        </w:rPr>
        <w:t>establece</w:t>
      </w:r>
      <w:r w:rsidR="0021084A" w:rsidRPr="00E65D9D">
        <w:rPr>
          <w:rFonts w:ascii="Arial" w:eastAsiaTheme="minorHAnsi" w:hAnsi="Arial" w:cs="Arial"/>
          <w:sz w:val="22"/>
          <w:szCs w:val="22"/>
          <w:lang w:val="es-MX" w:eastAsia="en-US"/>
        </w:rPr>
        <w:t xml:space="preserve"> </w:t>
      </w:r>
      <w:r w:rsidR="00E65D9D" w:rsidRPr="00E65D9D">
        <w:rPr>
          <w:rFonts w:ascii="Arial" w:eastAsiaTheme="minorHAnsi" w:hAnsi="Arial" w:cs="Arial"/>
          <w:sz w:val="22"/>
          <w:szCs w:val="22"/>
          <w:lang w:val="es-MX" w:eastAsia="en-US"/>
        </w:rPr>
        <w:t xml:space="preserve">que «Para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En este evento, contrario a lo que ocurre en la licitación pública, el ordenamiento jurídico </w:t>
      </w:r>
      <w:r w:rsidR="0021084A">
        <w:rPr>
          <w:rFonts w:ascii="Arial" w:eastAsiaTheme="minorHAnsi" w:hAnsi="Arial" w:cs="Arial"/>
          <w:sz w:val="22"/>
          <w:szCs w:val="22"/>
          <w:lang w:val="es-MX" w:eastAsia="en-US"/>
        </w:rPr>
        <w:t>prescribe</w:t>
      </w:r>
      <w:r w:rsidR="0021084A" w:rsidRPr="00E65D9D">
        <w:rPr>
          <w:rFonts w:ascii="Arial" w:eastAsiaTheme="minorHAnsi" w:hAnsi="Arial" w:cs="Arial"/>
          <w:sz w:val="22"/>
          <w:szCs w:val="22"/>
          <w:lang w:val="es-MX" w:eastAsia="en-US"/>
        </w:rPr>
        <w:t xml:space="preserve"> </w:t>
      </w:r>
      <w:r w:rsidR="00E65D9D" w:rsidRPr="00E65D9D">
        <w:rPr>
          <w:rFonts w:ascii="Arial" w:eastAsiaTheme="minorHAnsi" w:hAnsi="Arial" w:cs="Arial"/>
          <w:sz w:val="22"/>
          <w:szCs w:val="22"/>
          <w:lang w:val="es-MX" w:eastAsia="en-US"/>
        </w:rPr>
        <w:t>la utilización de la subasta inversa en los procedimientos de selección abreviada cuando se pretenda</w:t>
      </w:r>
      <w:r w:rsidR="00D36FC4">
        <w:rPr>
          <w:rFonts w:ascii="Arial" w:eastAsiaTheme="minorHAnsi" w:hAnsi="Arial" w:cs="Arial"/>
          <w:sz w:val="22"/>
          <w:szCs w:val="22"/>
          <w:lang w:val="es-MX" w:eastAsia="en-US"/>
        </w:rPr>
        <w:t>n</w:t>
      </w:r>
      <w:r w:rsidR="00E65D9D" w:rsidRPr="00E65D9D">
        <w:rPr>
          <w:rFonts w:ascii="Arial" w:eastAsiaTheme="minorHAnsi" w:hAnsi="Arial" w:cs="Arial"/>
          <w:sz w:val="22"/>
          <w:szCs w:val="22"/>
          <w:lang w:val="es-MX" w:eastAsia="en-US"/>
        </w:rPr>
        <w:t xml:space="preserve"> adquirir bienes y servicios de características técnicas uniformes y de común utilización. </w:t>
      </w:r>
    </w:p>
    <w:p w14:paraId="194AF93D" w14:textId="3C6482EB" w:rsidR="003A2AC2" w:rsidRDefault="004F6D40" w:rsidP="00E65D9D">
      <w:pPr>
        <w:autoSpaceDE w:val="0"/>
        <w:autoSpaceDN w:val="0"/>
        <w:adjustRightInd w:val="0"/>
        <w:spacing w:after="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Así las cosas, c</w:t>
      </w:r>
      <w:r w:rsidR="00E65D9D" w:rsidRPr="00E65D9D">
        <w:rPr>
          <w:rFonts w:ascii="Arial" w:eastAsiaTheme="minorHAnsi" w:hAnsi="Arial" w:cs="Arial"/>
          <w:sz w:val="22"/>
          <w:szCs w:val="22"/>
          <w:lang w:val="es-MX" w:eastAsia="en-US"/>
        </w:rPr>
        <w:t xml:space="preserve">omo se desprende </w:t>
      </w:r>
      <w:r w:rsidR="00C85E8B">
        <w:rPr>
          <w:rFonts w:ascii="Arial" w:eastAsiaTheme="minorHAnsi" w:hAnsi="Arial" w:cs="Arial"/>
          <w:sz w:val="22"/>
          <w:szCs w:val="22"/>
          <w:lang w:val="es-MX" w:eastAsia="en-US"/>
        </w:rPr>
        <w:t xml:space="preserve">de la </w:t>
      </w:r>
      <w:r w:rsidR="00E65D9D" w:rsidRPr="00E65D9D">
        <w:rPr>
          <w:rFonts w:ascii="Arial" w:eastAsiaTheme="minorHAnsi" w:hAnsi="Arial" w:cs="Arial"/>
          <w:sz w:val="22"/>
          <w:szCs w:val="22"/>
          <w:lang w:val="es-MX" w:eastAsia="en-US"/>
        </w:rPr>
        <w:t xml:space="preserve">disposición </w:t>
      </w:r>
      <w:r w:rsidR="00C85E8B">
        <w:rPr>
          <w:rFonts w:ascii="Arial" w:eastAsiaTheme="minorHAnsi" w:hAnsi="Arial" w:cs="Arial"/>
          <w:sz w:val="22"/>
          <w:szCs w:val="22"/>
          <w:lang w:val="es-MX" w:eastAsia="en-US"/>
        </w:rPr>
        <w:t>citada</w:t>
      </w:r>
      <w:r w:rsidR="00E65D9D" w:rsidRPr="00E65D9D">
        <w:rPr>
          <w:rFonts w:ascii="Arial" w:eastAsiaTheme="minorHAnsi" w:hAnsi="Arial" w:cs="Arial"/>
          <w:sz w:val="22"/>
          <w:szCs w:val="22"/>
          <w:lang w:val="es-MX" w:eastAsia="en-US"/>
        </w:rPr>
        <w:t>, la utilización de la subasta inversa en la selección abreviada está plenamente ligada con el tipo o la naturaleza de los bienes o servicios a adquirir. En este sentido, el artículo 2.2.1.2.1.2.2. del Decreto 1082 de 2015</w:t>
      </w:r>
      <w:r w:rsidR="003A2AC2">
        <w:rPr>
          <w:rStyle w:val="Refdenotaalpie"/>
          <w:rFonts w:ascii="Arial" w:eastAsiaTheme="minorHAnsi" w:hAnsi="Arial" w:cs="Arial"/>
          <w:sz w:val="22"/>
          <w:szCs w:val="22"/>
          <w:lang w:val="es-MX" w:eastAsia="en-US"/>
        </w:rPr>
        <w:footnoteReference w:id="8"/>
      </w:r>
      <w:r w:rsidR="00E65D9D" w:rsidRPr="00E65D9D">
        <w:rPr>
          <w:rFonts w:ascii="Arial" w:eastAsiaTheme="minorHAnsi" w:hAnsi="Arial" w:cs="Arial"/>
          <w:sz w:val="22"/>
          <w:szCs w:val="22"/>
          <w:lang w:val="es-MX" w:eastAsia="en-US"/>
        </w:rPr>
        <w:t xml:space="preserve"> indica que, en la selección abreviada para la adquisición de bienes y </w:t>
      </w:r>
      <w:r w:rsidR="00E65D9D" w:rsidRPr="00E65D9D">
        <w:rPr>
          <w:rFonts w:ascii="Arial" w:eastAsiaTheme="minorHAnsi" w:hAnsi="Arial" w:cs="Arial"/>
          <w:sz w:val="22"/>
          <w:szCs w:val="22"/>
          <w:lang w:val="es-MX" w:eastAsia="en-US"/>
        </w:rPr>
        <w:lastRenderedPageBreak/>
        <w:t>servicios de características técnicas uniformes por subasta inversa, además de las reglas generales previstas en la ley y en el ese título del Decreto deben observarse las reglas específicas allí enunciadas. De este modo, queda claro que para recurrir a la subasta inversa en la selección abreviada es determinante la naturaleza de los bienes y servicios que se pretenden adquirir.</w:t>
      </w:r>
    </w:p>
    <w:p w14:paraId="4677FCE4" w14:textId="380F15D5" w:rsidR="004240DD" w:rsidRDefault="004240DD" w:rsidP="004240DD">
      <w:pPr>
        <w:pStyle w:val="paragraph"/>
        <w:spacing w:before="0" w:beforeAutospacing="0" w:after="0" w:afterAutospacing="0" w:line="276" w:lineRule="auto"/>
        <w:ind w:firstLine="720"/>
        <w:jc w:val="both"/>
        <w:textAlignment w:val="baseline"/>
        <w:rPr>
          <w:rFonts w:ascii="Segoe UI" w:hAnsi="Segoe UI" w:cs="Segoe UI"/>
          <w:sz w:val="18"/>
          <w:szCs w:val="18"/>
        </w:rPr>
      </w:pPr>
      <w:r>
        <w:rPr>
          <w:rStyle w:val="normaltextrun"/>
          <w:rFonts w:ascii="Arial" w:hAnsi="Arial" w:cs="Arial"/>
          <w:sz w:val="22"/>
          <w:lang w:val="es-ES"/>
        </w:rPr>
        <w:t>A partir de las disposiciones</w:t>
      </w:r>
      <w:r w:rsidR="004F6D40">
        <w:rPr>
          <w:rStyle w:val="normaltextrun"/>
          <w:rFonts w:ascii="Arial" w:hAnsi="Arial" w:cs="Arial"/>
          <w:sz w:val="22"/>
          <w:lang w:val="es-ES"/>
        </w:rPr>
        <w:t xml:space="preserve"> </w:t>
      </w:r>
      <w:r>
        <w:rPr>
          <w:rStyle w:val="normaltextrun"/>
          <w:rFonts w:ascii="Arial" w:hAnsi="Arial" w:cs="Arial"/>
          <w:sz w:val="22"/>
          <w:lang w:val="es-ES"/>
        </w:rPr>
        <w:t xml:space="preserve">anteriores, tal como se puso de presente en el concepto C-678 del 24 de noviembre de 2020 de esta </w:t>
      </w:r>
      <w:r w:rsidR="004F6D40">
        <w:rPr>
          <w:rStyle w:val="normaltextrun"/>
          <w:rFonts w:ascii="Arial" w:hAnsi="Arial" w:cs="Arial"/>
          <w:sz w:val="22"/>
          <w:lang w:val="es-ES"/>
        </w:rPr>
        <w:t>A</w:t>
      </w:r>
      <w:r>
        <w:rPr>
          <w:rStyle w:val="normaltextrun"/>
          <w:rFonts w:ascii="Arial" w:hAnsi="Arial" w:cs="Arial"/>
          <w:sz w:val="22"/>
          <w:lang w:val="es-ES"/>
        </w:rPr>
        <w:t>gencia, la doctrina</w:t>
      </w:r>
      <w:r>
        <w:rPr>
          <w:rStyle w:val="apple-converted-space"/>
          <w:rFonts w:ascii="Arial" w:hAnsi="Arial" w:cs="Arial"/>
          <w:sz w:val="22"/>
          <w:szCs w:val="22"/>
          <w:lang w:val="es-ES"/>
        </w:rPr>
        <w:t> </w:t>
      </w:r>
      <w:r>
        <w:rPr>
          <w:rStyle w:val="normaltextrun"/>
          <w:rFonts w:ascii="Arial" w:hAnsi="Arial" w:cs="Arial"/>
          <w:sz w:val="22"/>
          <w:lang w:val="es-ES"/>
        </w:rPr>
        <w:t>ha</w:t>
      </w:r>
      <w:r>
        <w:rPr>
          <w:rStyle w:val="apple-converted-space"/>
          <w:rFonts w:ascii="Arial" w:hAnsi="Arial" w:cs="Arial"/>
          <w:sz w:val="22"/>
          <w:szCs w:val="22"/>
          <w:lang w:val="es-ES"/>
        </w:rPr>
        <w:t> </w:t>
      </w:r>
      <w:r>
        <w:rPr>
          <w:rStyle w:val="normaltextrun"/>
          <w:rFonts w:ascii="Arial" w:hAnsi="Arial" w:cs="Arial"/>
          <w:sz w:val="22"/>
          <w:lang w:val="es-ES"/>
        </w:rPr>
        <w:t>avanzado en la conceptualización de este tipo de bienes</w:t>
      </w:r>
      <w:r>
        <w:rPr>
          <w:rStyle w:val="apple-converted-space"/>
          <w:rFonts w:ascii="Arial" w:hAnsi="Arial" w:cs="Arial"/>
          <w:sz w:val="22"/>
          <w:szCs w:val="22"/>
          <w:lang w:val="es-ES"/>
        </w:rPr>
        <w:t> </w:t>
      </w:r>
      <w:r>
        <w:rPr>
          <w:rStyle w:val="normaltextrun"/>
          <w:rFonts w:ascii="Arial" w:hAnsi="Arial" w:cs="Arial"/>
          <w:sz w:val="22"/>
          <w:lang w:val="es-ES"/>
        </w:rPr>
        <w:t>y servicios,</w:t>
      </w:r>
      <w:r>
        <w:rPr>
          <w:rStyle w:val="apple-converted-space"/>
          <w:rFonts w:ascii="Arial" w:hAnsi="Arial" w:cs="Arial"/>
          <w:sz w:val="22"/>
          <w:szCs w:val="22"/>
          <w:lang w:val="es-ES"/>
        </w:rPr>
        <w:t> </w:t>
      </w:r>
      <w:r>
        <w:rPr>
          <w:rStyle w:val="normaltextrun"/>
          <w:rFonts w:ascii="Arial" w:hAnsi="Arial" w:cs="Arial"/>
          <w:sz w:val="22"/>
          <w:lang w:val="es-ES"/>
        </w:rPr>
        <w:t>resaltando sus características esenciales relacionadas con su</w:t>
      </w:r>
      <w:r>
        <w:rPr>
          <w:rStyle w:val="apple-converted-space"/>
          <w:rFonts w:ascii="Arial" w:hAnsi="Arial" w:cs="Arial"/>
          <w:sz w:val="22"/>
          <w:szCs w:val="22"/>
          <w:lang w:val="es-ES"/>
        </w:rPr>
        <w:t> </w:t>
      </w:r>
      <w:r>
        <w:rPr>
          <w:rStyle w:val="normaltextrun"/>
          <w:rFonts w:ascii="Arial" w:hAnsi="Arial" w:cs="Arial"/>
          <w:i/>
          <w:iCs/>
          <w:sz w:val="22"/>
          <w:lang w:val="es-ES"/>
        </w:rPr>
        <w:t>homogeneidad</w:t>
      </w:r>
      <w:r>
        <w:rPr>
          <w:rStyle w:val="apple-converted-space"/>
          <w:rFonts w:ascii="Arial" w:hAnsi="Arial" w:cs="Arial"/>
          <w:i/>
          <w:iCs/>
          <w:sz w:val="22"/>
          <w:szCs w:val="22"/>
          <w:lang w:val="es-ES"/>
        </w:rPr>
        <w:t> </w:t>
      </w:r>
      <w:r>
        <w:rPr>
          <w:rStyle w:val="normaltextrun"/>
          <w:rFonts w:ascii="Arial" w:hAnsi="Arial" w:cs="Arial"/>
          <w:sz w:val="22"/>
          <w:lang w:val="es-ES"/>
        </w:rPr>
        <w:t xml:space="preserve">y su oferta en el mercado en condiciones estandarizadas. En tal sentido, </w:t>
      </w:r>
      <w:r w:rsidR="00C6205D">
        <w:rPr>
          <w:rStyle w:val="normaltextrun"/>
          <w:rFonts w:ascii="Arial" w:hAnsi="Arial" w:cs="Arial"/>
          <w:sz w:val="22"/>
          <w:lang w:val="es-ES"/>
        </w:rPr>
        <w:t xml:space="preserve">en relación con </w:t>
      </w:r>
      <w:r>
        <w:rPr>
          <w:rStyle w:val="normaltextrun"/>
          <w:rFonts w:ascii="Arial" w:hAnsi="Arial" w:cs="Arial"/>
          <w:sz w:val="22"/>
          <w:lang w:val="es-ES"/>
        </w:rPr>
        <w:t xml:space="preserve">ellos </w:t>
      </w:r>
      <w:r w:rsidR="00D36FC4">
        <w:rPr>
          <w:rStyle w:val="normaltextrun"/>
          <w:rFonts w:ascii="Arial" w:hAnsi="Arial" w:cs="Arial"/>
          <w:sz w:val="22"/>
          <w:lang w:val="es-ES"/>
        </w:rPr>
        <w:t>afirmó, con apoyo en la doctrina, que</w:t>
      </w:r>
      <w:r>
        <w:rPr>
          <w:rStyle w:val="normaltextrun"/>
          <w:rFonts w:ascii="Arial" w:hAnsi="Arial" w:cs="Arial"/>
          <w:sz w:val="22"/>
          <w:lang w:val="es-ES"/>
        </w:rPr>
        <w:t>:</w:t>
      </w:r>
      <w:r>
        <w:rPr>
          <w:rStyle w:val="eop"/>
          <w:rFonts w:ascii="Arial" w:hAnsi="Arial" w:cs="Arial"/>
          <w:sz w:val="22"/>
          <w:szCs w:val="22"/>
        </w:rPr>
        <w:t> </w:t>
      </w:r>
    </w:p>
    <w:p w14:paraId="042D7F5D" w14:textId="77777777" w:rsidR="004240DD" w:rsidRDefault="004240DD" w:rsidP="004240DD">
      <w:pPr>
        <w:pStyle w:val="paragraph"/>
        <w:spacing w:before="0" w:beforeAutospacing="0" w:after="0" w:afterAutospacing="0"/>
        <w:ind w:firstLine="720"/>
        <w:jc w:val="both"/>
        <w:textAlignment w:val="baseline"/>
        <w:rPr>
          <w:rFonts w:ascii="Segoe UI" w:hAnsi="Segoe UI" w:cs="Segoe UI"/>
          <w:sz w:val="18"/>
          <w:szCs w:val="18"/>
        </w:rPr>
      </w:pPr>
      <w:r>
        <w:rPr>
          <w:rStyle w:val="eop"/>
          <w:rFonts w:ascii="Arial" w:hAnsi="Arial" w:cs="Arial"/>
          <w:sz w:val="22"/>
          <w:szCs w:val="22"/>
        </w:rPr>
        <w:t> </w:t>
      </w:r>
    </w:p>
    <w:p w14:paraId="607BBFAA" w14:textId="77777777" w:rsidR="004240DD" w:rsidRDefault="004240DD" w:rsidP="004240DD">
      <w:pPr>
        <w:pStyle w:val="paragraph"/>
        <w:spacing w:before="0" w:beforeAutospacing="0" w:after="0" w:afterAutospacing="0"/>
        <w:ind w:left="709" w:right="709"/>
        <w:jc w:val="both"/>
        <w:textAlignment w:val="baseline"/>
        <w:rPr>
          <w:rFonts w:ascii="Segoe UI" w:hAnsi="Segoe UI" w:cs="Segoe UI"/>
          <w:sz w:val="18"/>
          <w:szCs w:val="18"/>
        </w:rPr>
      </w:pPr>
      <w:r>
        <w:rPr>
          <w:rStyle w:val="normaltextrun"/>
          <w:rFonts w:ascii="Arial" w:hAnsi="Arial" w:cs="Arial"/>
          <w:sz w:val="21"/>
          <w:szCs w:val="21"/>
          <w:lang w:val="es-ES"/>
        </w:rPr>
        <w:t>«[…]</w:t>
      </w:r>
      <w:r>
        <w:rPr>
          <w:rStyle w:val="apple-converted-space"/>
          <w:rFonts w:ascii="Arial" w:hAnsi="Arial" w:cs="Arial"/>
          <w:sz w:val="21"/>
          <w:szCs w:val="21"/>
          <w:lang w:val="es-ES"/>
        </w:rPr>
        <w:t> </w:t>
      </w:r>
      <w:r>
        <w:rPr>
          <w:rStyle w:val="normaltextrun"/>
          <w:rFonts w:ascii="Arial" w:hAnsi="Arial" w:cs="Arial"/>
          <w:sz w:val="21"/>
          <w:szCs w:val="21"/>
          <w:lang w:val="es-ES"/>
        </w:rPr>
        <w:t>ello evoca que sean fácilmente describibles por</w:t>
      </w:r>
      <w:r>
        <w:rPr>
          <w:rStyle w:val="apple-converted-space"/>
          <w:rFonts w:ascii="Arial" w:hAnsi="Arial" w:cs="Arial"/>
          <w:sz w:val="21"/>
          <w:szCs w:val="21"/>
          <w:lang w:val="es-ES"/>
        </w:rPr>
        <w:t> </w:t>
      </w:r>
      <w:r>
        <w:rPr>
          <w:rStyle w:val="normaltextrun"/>
          <w:rFonts w:ascii="Arial" w:hAnsi="Arial" w:cs="Arial"/>
          <w:i/>
          <w:iCs/>
          <w:sz w:val="21"/>
          <w:szCs w:val="21"/>
          <w:lang w:val="es-ES"/>
        </w:rPr>
        <w:t>características mínimas comunes a los de su tipo, excluyendo elementos no esenciales, tales como los de diseño o cualquier otro que no altere la funcionalidad del bien o servicio.</w:t>
      </w:r>
      <w:r>
        <w:rPr>
          <w:rStyle w:val="apple-converted-space"/>
          <w:rFonts w:ascii="Arial" w:hAnsi="Arial" w:cs="Arial"/>
          <w:i/>
          <w:iCs/>
          <w:sz w:val="21"/>
          <w:szCs w:val="21"/>
          <w:lang w:val="es-ES"/>
        </w:rPr>
        <w:t> </w:t>
      </w:r>
      <w:r>
        <w:rPr>
          <w:rStyle w:val="normaltextrun"/>
          <w:rFonts w:ascii="Arial" w:hAnsi="Arial" w:cs="Arial"/>
          <w:sz w:val="21"/>
          <w:szCs w:val="21"/>
          <w:lang w:val="es-ES"/>
        </w:rPr>
        <w:t>Ello debería ser así, en la medida en</w:t>
      </w:r>
      <w:r>
        <w:rPr>
          <w:rStyle w:val="apple-converted-space"/>
          <w:rFonts w:ascii="Arial" w:hAnsi="Arial" w:cs="Arial"/>
          <w:sz w:val="21"/>
          <w:szCs w:val="21"/>
          <w:lang w:val="es-ES"/>
        </w:rPr>
        <w:t> </w:t>
      </w:r>
      <w:r>
        <w:rPr>
          <w:rStyle w:val="normaltextrun"/>
          <w:rFonts w:ascii="Arial" w:hAnsi="Arial" w:cs="Arial"/>
          <w:sz w:val="21"/>
          <w:szCs w:val="21"/>
          <w:lang w:val="es-ES"/>
        </w:rPr>
        <w:t>la cual</w:t>
      </w:r>
      <w:r>
        <w:rPr>
          <w:rStyle w:val="apple-converted-space"/>
          <w:rFonts w:ascii="Arial" w:hAnsi="Arial" w:cs="Arial"/>
          <w:sz w:val="21"/>
          <w:szCs w:val="21"/>
          <w:lang w:val="es-ES"/>
        </w:rPr>
        <w:t> </w:t>
      </w:r>
      <w:r>
        <w:rPr>
          <w:rStyle w:val="normaltextrun"/>
          <w:rFonts w:ascii="Arial" w:hAnsi="Arial" w:cs="Arial"/>
          <w:sz w:val="21"/>
          <w:szCs w:val="21"/>
          <w:lang w:val="es-ES"/>
        </w:rPr>
        <w:t>se</w:t>
      </w:r>
      <w:r>
        <w:rPr>
          <w:rStyle w:val="apple-converted-space"/>
          <w:rFonts w:ascii="Arial" w:hAnsi="Arial" w:cs="Arial"/>
          <w:sz w:val="21"/>
          <w:szCs w:val="21"/>
          <w:lang w:val="es-ES"/>
        </w:rPr>
        <w:t> </w:t>
      </w:r>
      <w:r>
        <w:rPr>
          <w:rStyle w:val="normaltextrun"/>
          <w:rFonts w:ascii="Arial" w:hAnsi="Arial" w:cs="Arial"/>
          <w:sz w:val="21"/>
          <w:szCs w:val="21"/>
          <w:lang w:val="es-ES"/>
        </w:rPr>
        <w:t>busca que la Administración logre que compitan</w:t>
      </w:r>
      <w:r>
        <w:rPr>
          <w:rStyle w:val="apple-converted-space"/>
          <w:rFonts w:ascii="Arial" w:hAnsi="Arial" w:cs="Arial"/>
          <w:sz w:val="21"/>
          <w:szCs w:val="21"/>
          <w:lang w:val="es-ES"/>
        </w:rPr>
        <w:t> </w:t>
      </w:r>
      <w:r>
        <w:rPr>
          <w:rStyle w:val="normaltextrun"/>
          <w:rFonts w:ascii="Arial" w:hAnsi="Arial" w:cs="Arial"/>
          <w:sz w:val="21"/>
          <w:szCs w:val="21"/>
          <w:lang w:val="es-ES"/>
        </w:rPr>
        <w:t>bienes y servicios de igual calidad ofrecidos por proponentes capaces de satisfacer el requerimiento de la entidad contratante.</w:t>
      </w:r>
      <w:r>
        <w:rPr>
          <w:rStyle w:val="eop"/>
          <w:rFonts w:ascii="Arial" w:hAnsi="Arial" w:cs="Arial"/>
          <w:sz w:val="21"/>
          <w:szCs w:val="21"/>
        </w:rPr>
        <w:t> </w:t>
      </w:r>
    </w:p>
    <w:p w14:paraId="0674D565" w14:textId="77777777" w:rsidR="004240DD" w:rsidRDefault="004240DD" w:rsidP="000170B8">
      <w:pPr>
        <w:pStyle w:val="paragraph"/>
        <w:spacing w:before="0" w:beforeAutospacing="0" w:after="120" w:afterAutospacing="0"/>
        <w:ind w:left="709" w:right="709"/>
        <w:jc w:val="both"/>
        <w:textAlignment w:val="baseline"/>
        <w:rPr>
          <w:rFonts w:ascii="Segoe UI" w:hAnsi="Segoe UI" w:cs="Segoe UI"/>
          <w:sz w:val="18"/>
          <w:szCs w:val="18"/>
        </w:rPr>
      </w:pPr>
      <w:r>
        <w:rPr>
          <w:rStyle w:val="normaltextrun"/>
          <w:rFonts w:ascii="Arial" w:hAnsi="Arial" w:cs="Arial"/>
          <w:sz w:val="21"/>
          <w:szCs w:val="21"/>
          <w:lang w:val="es-ES"/>
        </w:rPr>
        <w:t>[…]</w:t>
      </w:r>
      <w:r>
        <w:rPr>
          <w:rStyle w:val="eop"/>
          <w:rFonts w:ascii="Arial" w:hAnsi="Arial" w:cs="Arial"/>
          <w:sz w:val="21"/>
          <w:szCs w:val="21"/>
        </w:rPr>
        <w:t> </w:t>
      </w:r>
    </w:p>
    <w:p w14:paraId="4B2B481A" w14:textId="22750B30" w:rsidR="004240DD" w:rsidRDefault="004240DD" w:rsidP="004240DD">
      <w:pPr>
        <w:pStyle w:val="paragraph"/>
        <w:spacing w:before="0" w:beforeAutospacing="0" w:after="0" w:afterAutospacing="0"/>
        <w:ind w:left="709" w:right="709"/>
        <w:jc w:val="both"/>
        <w:textAlignment w:val="baseline"/>
        <w:rPr>
          <w:rFonts w:ascii="Segoe UI" w:hAnsi="Segoe UI" w:cs="Segoe UI"/>
          <w:sz w:val="18"/>
          <w:szCs w:val="18"/>
        </w:rPr>
      </w:pPr>
      <w:r>
        <w:rPr>
          <w:rStyle w:val="normaltextrun"/>
          <w:rFonts w:ascii="Arial" w:hAnsi="Arial" w:cs="Arial"/>
          <w:sz w:val="21"/>
          <w:szCs w:val="21"/>
          <w:lang w:val="es-ES"/>
        </w:rPr>
        <w:lastRenderedPageBreak/>
        <w:t>Aquellos</w:t>
      </w:r>
      <w:r>
        <w:rPr>
          <w:rStyle w:val="apple-converted-space"/>
          <w:rFonts w:ascii="Arial" w:hAnsi="Arial" w:cs="Arial"/>
          <w:sz w:val="21"/>
          <w:szCs w:val="21"/>
          <w:lang w:val="es-ES"/>
        </w:rPr>
        <w:t> </w:t>
      </w:r>
      <w:r>
        <w:rPr>
          <w:rStyle w:val="normaltextrun"/>
          <w:rFonts w:ascii="Arial" w:hAnsi="Arial" w:cs="Arial"/>
          <w:sz w:val="21"/>
          <w:szCs w:val="21"/>
          <w:lang w:val="es-ES"/>
        </w:rPr>
        <w:t>que se ofrecen en el mercado con</w:t>
      </w:r>
      <w:r>
        <w:rPr>
          <w:rStyle w:val="apple-converted-space"/>
          <w:rFonts w:ascii="Arial" w:hAnsi="Arial" w:cs="Arial"/>
          <w:sz w:val="21"/>
          <w:szCs w:val="21"/>
          <w:lang w:val="es-ES"/>
        </w:rPr>
        <w:t> </w:t>
      </w:r>
      <w:r>
        <w:rPr>
          <w:rStyle w:val="normaltextrun"/>
          <w:rFonts w:ascii="Arial" w:hAnsi="Arial" w:cs="Arial"/>
          <w:sz w:val="21"/>
          <w:szCs w:val="21"/>
          <w:lang w:val="es-ES"/>
        </w:rPr>
        <w:t xml:space="preserve">un estándar para quienes los demandan, o lo que es igual, que la oferta de </w:t>
      </w:r>
      <w:proofErr w:type="gramStart"/>
      <w:r>
        <w:rPr>
          <w:rStyle w:val="normaltextrun"/>
          <w:rFonts w:ascii="Arial" w:hAnsi="Arial" w:cs="Arial"/>
          <w:sz w:val="21"/>
          <w:szCs w:val="21"/>
          <w:lang w:val="es-ES"/>
        </w:rPr>
        <w:t>los mismos</w:t>
      </w:r>
      <w:proofErr w:type="gramEnd"/>
      <w:r>
        <w:rPr>
          <w:rStyle w:val="normaltextrun"/>
          <w:rFonts w:ascii="Arial" w:hAnsi="Arial" w:cs="Arial"/>
          <w:sz w:val="21"/>
          <w:szCs w:val="21"/>
          <w:lang w:val="es-ES"/>
        </w:rPr>
        <w:t xml:space="preserve"> en el mercado ocurriese en condiciones equivalentes para todo interesado en adquirirlo»</w:t>
      </w:r>
      <w:r>
        <w:rPr>
          <w:rStyle w:val="Refdenotaalpie"/>
          <w:rFonts w:ascii="Arial" w:hAnsi="Arial" w:cs="Arial"/>
          <w:sz w:val="21"/>
          <w:szCs w:val="21"/>
          <w:lang w:val="es-ES"/>
        </w:rPr>
        <w:footnoteReference w:id="9"/>
      </w:r>
      <w:r>
        <w:rPr>
          <w:rStyle w:val="normaltextrun"/>
          <w:rFonts w:ascii="Arial" w:hAnsi="Arial" w:cs="Arial"/>
          <w:sz w:val="21"/>
          <w:szCs w:val="21"/>
          <w:lang w:val="es-ES"/>
        </w:rPr>
        <w:t>.</w:t>
      </w:r>
      <w:r>
        <w:rPr>
          <w:rStyle w:val="eop"/>
          <w:rFonts w:ascii="Arial" w:hAnsi="Arial" w:cs="Arial"/>
          <w:sz w:val="21"/>
          <w:szCs w:val="21"/>
        </w:rPr>
        <w:t> </w:t>
      </w:r>
    </w:p>
    <w:p w14:paraId="5679E110" w14:textId="77777777" w:rsidR="004240DD" w:rsidRDefault="004240DD" w:rsidP="004240DD">
      <w:pPr>
        <w:pStyle w:val="paragraph"/>
        <w:spacing w:before="0" w:beforeAutospacing="0" w:after="0" w:afterAutospacing="0"/>
        <w:ind w:firstLine="720"/>
        <w:jc w:val="both"/>
        <w:textAlignment w:val="baseline"/>
        <w:rPr>
          <w:rFonts w:ascii="Segoe UI" w:hAnsi="Segoe UI" w:cs="Segoe UI"/>
          <w:sz w:val="18"/>
          <w:szCs w:val="18"/>
        </w:rPr>
      </w:pPr>
      <w:r>
        <w:rPr>
          <w:rStyle w:val="eop"/>
          <w:rFonts w:ascii="Arial" w:hAnsi="Arial" w:cs="Arial"/>
          <w:sz w:val="22"/>
          <w:szCs w:val="22"/>
        </w:rPr>
        <w:t> </w:t>
      </w:r>
    </w:p>
    <w:p w14:paraId="1CBC17EE" w14:textId="6D5D2D24" w:rsidR="004240DD" w:rsidRDefault="004240DD" w:rsidP="004240DD">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sz w:val="22"/>
          <w:lang w:val="es-ES"/>
        </w:rPr>
        <w:t>Como se advierte de lo anterior,</w:t>
      </w:r>
      <w:r>
        <w:rPr>
          <w:rStyle w:val="apple-converted-space"/>
          <w:rFonts w:ascii="Arial" w:hAnsi="Arial" w:cs="Arial"/>
          <w:sz w:val="22"/>
          <w:szCs w:val="22"/>
          <w:lang w:val="es-ES"/>
        </w:rPr>
        <w:t> </w:t>
      </w:r>
      <w:r>
        <w:rPr>
          <w:rStyle w:val="normaltextrun"/>
          <w:rFonts w:ascii="Arial" w:hAnsi="Arial" w:cs="Arial"/>
          <w:sz w:val="22"/>
          <w:lang w:val="es-ES"/>
        </w:rPr>
        <w:t>los elementos centrales para definir si un bien o servicio se considera de características técnicas uniformes</w:t>
      </w:r>
      <w:r>
        <w:rPr>
          <w:rStyle w:val="apple-converted-space"/>
          <w:rFonts w:ascii="Arial" w:hAnsi="Arial" w:cs="Arial"/>
          <w:sz w:val="22"/>
          <w:szCs w:val="22"/>
          <w:lang w:val="es-ES"/>
        </w:rPr>
        <w:t> </w:t>
      </w:r>
      <w:r>
        <w:rPr>
          <w:rStyle w:val="normaltextrun"/>
          <w:rFonts w:ascii="Arial" w:hAnsi="Arial" w:cs="Arial"/>
          <w:sz w:val="22"/>
          <w:lang w:val="es-ES"/>
        </w:rPr>
        <w:t>consiste en</w:t>
      </w:r>
      <w:r>
        <w:rPr>
          <w:rStyle w:val="apple-converted-space"/>
          <w:rFonts w:ascii="Arial" w:hAnsi="Arial" w:cs="Arial"/>
          <w:sz w:val="22"/>
          <w:szCs w:val="22"/>
          <w:lang w:val="es-ES"/>
        </w:rPr>
        <w:t> </w:t>
      </w:r>
      <w:r>
        <w:rPr>
          <w:rStyle w:val="normaltextrun"/>
          <w:rFonts w:ascii="Arial" w:hAnsi="Arial" w:cs="Arial"/>
          <w:sz w:val="22"/>
          <w:lang w:val="es-ES"/>
        </w:rPr>
        <w:t>que</w:t>
      </w:r>
      <w:r>
        <w:rPr>
          <w:rStyle w:val="apple-converted-space"/>
          <w:rFonts w:ascii="Arial" w:hAnsi="Arial" w:cs="Arial"/>
          <w:sz w:val="22"/>
          <w:szCs w:val="22"/>
          <w:lang w:val="es-ES"/>
        </w:rPr>
        <w:t> </w:t>
      </w:r>
      <w:r>
        <w:rPr>
          <w:rStyle w:val="normaltextrun"/>
          <w:rFonts w:ascii="Arial" w:hAnsi="Arial" w:cs="Arial"/>
          <w:sz w:val="22"/>
          <w:lang w:val="es-ES"/>
        </w:rPr>
        <w:t xml:space="preserve">posea las mismas especificaciones técnicas y compartan patrones de desempeño y calidad objetivamente definidos, de manera que </w:t>
      </w:r>
      <w:r w:rsidR="004F6D40">
        <w:rPr>
          <w:rStyle w:val="normaltextrun"/>
          <w:rFonts w:ascii="Arial" w:hAnsi="Arial" w:cs="Arial"/>
          <w:sz w:val="22"/>
          <w:lang w:val="es-ES"/>
        </w:rPr>
        <w:t>sea</w:t>
      </w:r>
      <w:r>
        <w:rPr>
          <w:rStyle w:val="normaltextrun"/>
          <w:rFonts w:ascii="Arial" w:hAnsi="Arial" w:cs="Arial"/>
          <w:sz w:val="22"/>
          <w:lang w:val="es-ES"/>
        </w:rPr>
        <w:t xml:space="preserve"> posible adquirirlos en el mercado en condiciones</w:t>
      </w:r>
      <w:r>
        <w:rPr>
          <w:rStyle w:val="apple-converted-space"/>
          <w:rFonts w:ascii="Arial" w:hAnsi="Arial" w:cs="Arial"/>
          <w:sz w:val="22"/>
          <w:szCs w:val="22"/>
          <w:lang w:val="es-ES"/>
        </w:rPr>
        <w:t> </w:t>
      </w:r>
      <w:r>
        <w:rPr>
          <w:rStyle w:val="normaltextrun"/>
          <w:rFonts w:ascii="Arial" w:hAnsi="Arial" w:cs="Arial"/>
          <w:sz w:val="22"/>
          <w:lang w:val="es-ES"/>
        </w:rPr>
        <w:t>estandarizadas u homogéneas, con independencia de su diseño o de sus características descriptivas,</w:t>
      </w:r>
      <w:r>
        <w:rPr>
          <w:rStyle w:val="apple-converted-space"/>
          <w:rFonts w:ascii="Arial" w:hAnsi="Arial" w:cs="Arial"/>
          <w:sz w:val="22"/>
          <w:szCs w:val="22"/>
          <w:lang w:val="es-ES"/>
        </w:rPr>
        <w:t> </w:t>
      </w:r>
      <w:r>
        <w:rPr>
          <w:rStyle w:val="normaltextrun"/>
          <w:rFonts w:ascii="Arial" w:hAnsi="Arial" w:cs="Arial"/>
          <w:sz w:val="22"/>
          <w:lang w:val="es-ES"/>
        </w:rPr>
        <w:t>que no</w:t>
      </w:r>
      <w:r>
        <w:rPr>
          <w:rStyle w:val="apple-converted-space"/>
          <w:rFonts w:ascii="Arial" w:hAnsi="Arial" w:cs="Arial"/>
          <w:sz w:val="22"/>
          <w:szCs w:val="22"/>
          <w:lang w:val="es-ES"/>
        </w:rPr>
        <w:t> </w:t>
      </w:r>
      <w:r>
        <w:rPr>
          <w:rStyle w:val="normaltextrun"/>
          <w:rFonts w:ascii="Arial" w:hAnsi="Arial" w:cs="Arial"/>
          <w:sz w:val="22"/>
          <w:lang w:val="es-ES"/>
        </w:rPr>
        <w:t>afectan</w:t>
      </w:r>
      <w:r>
        <w:rPr>
          <w:rStyle w:val="apple-converted-space"/>
          <w:rFonts w:ascii="Arial" w:hAnsi="Arial" w:cs="Arial"/>
          <w:sz w:val="22"/>
          <w:szCs w:val="22"/>
          <w:lang w:val="es-ES"/>
        </w:rPr>
        <w:t xml:space="preserve"> </w:t>
      </w:r>
      <w:r>
        <w:rPr>
          <w:rStyle w:val="normaltextrun"/>
          <w:rFonts w:ascii="Arial" w:hAnsi="Arial" w:cs="Arial"/>
          <w:sz w:val="22"/>
          <w:lang w:val="es-ES"/>
        </w:rPr>
        <w:t>su funcionalidad.</w:t>
      </w:r>
      <w:r>
        <w:rPr>
          <w:rStyle w:val="apple-converted-space"/>
          <w:rFonts w:ascii="Arial" w:hAnsi="Arial" w:cs="Arial"/>
          <w:sz w:val="22"/>
          <w:szCs w:val="22"/>
          <w:lang w:val="es-ES"/>
        </w:rPr>
        <w:t> </w:t>
      </w:r>
      <w:r>
        <w:rPr>
          <w:rStyle w:val="normaltextrun"/>
          <w:rFonts w:ascii="Arial" w:hAnsi="Arial" w:cs="Arial"/>
          <w:sz w:val="22"/>
          <w:lang w:val="es-ES"/>
        </w:rPr>
        <w:t>En este sentido, la</w:t>
      </w:r>
      <w:r w:rsidR="00D36FC4">
        <w:rPr>
          <w:rStyle w:val="normaltextrun"/>
          <w:rFonts w:ascii="Arial" w:hAnsi="Arial" w:cs="Arial"/>
          <w:sz w:val="22"/>
          <w:lang w:val="es-ES"/>
        </w:rPr>
        <w:t xml:space="preserve"> </w:t>
      </w:r>
      <w:r>
        <w:rPr>
          <w:rStyle w:val="normaltextrun"/>
          <w:rFonts w:ascii="Arial" w:hAnsi="Arial" w:cs="Arial"/>
          <w:sz w:val="22"/>
          <w:lang w:val="es-ES"/>
        </w:rPr>
        <w:t>forma</w:t>
      </w:r>
      <w:r>
        <w:rPr>
          <w:rStyle w:val="apple-converted-space"/>
          <w:rFonts w:ascii="Arial" w:hAnsi="Arial" w:cs="Arial"/>
          <w:sz w:val="22"/>
          <w:szCs w:val="22"/>
          <w:lang w:val="es-ES"/>
        </w:rPr>
        <w:t> </w:t>
      </w:r>
      <w:r>
        <w:rPr>
          <w:rStyle w:val="normaltextrun"/>
          <w:rFonts w:ascii="Arial" w:hAnsi="Arial" w:cs="Arial"/>
          <w:sz w:val="22"/>
          <w:lang w:val="es-ES"/>
        </w:rPr>
        <w:t>como se adquieren en el mercado</w:t>
      </w:r>
      <w:r>
        <w:rPr>
          <w:rStyle w:val="apple-converted-space"/>
          <w:rFonts w:ascii="Arial" w:hAnsi="Arial" w:cs="Arial"/>
          <w:sz w:val="22"/>
          <w:szCs w:val="22"/>
          <w:lang w:val="es-ES"/>
        </w:rPr>
        <w:t> </w:t>
      </w:r>
      <w:r>
        <w:rPr>
          <w:rStyle w:val="normaltextrun"/>
          <w:rFonts w:ascii="Arial" w:hAnsi="Arial" w:cs="Arial"/>
          <w:sz w:val="22"/>
          <w:lang w:val="es-ES"/>
        </w:rPr>
        <w:t xml:space="preserve">incide en la determinación </w:t>
      </w:r>
      <w:r w:rsidR="00C6205D">
        <w:rPr>
          <w:rStyle w:val="normaltextrun"/>
          <w:rFonts w:ascii="Arial" w:hAnsi="Arial" w:cs="Arial"/>
          <w:sz w:val="22"/>
          <w:lang w:val="es-ES"/>
        </w:rPr>
        <w:t xml:space="preserve">de </w:t>
      </w:r>
      <w:r>
        <w:rPr>
          <w:rStyle w:val="normaltextrun"/>
          <w:rFonts w:ascii="Arial" w:hAnsi="Arial" w:cs="Arial"/>
          <w:sz w:val="22"/>
          <w:lang w:val="es-ES"/>
        </w:rPr>
        <w:t xml:space="preserve">si un bien o servicio </w:t>
      </w:r>
      <w:r w:rsidR="00C6205D">
        <w:rPr>
          <w:rStyle w:val="normaltextrun"/>
          <w:rFonts w:ascii="Arial" w:hAnsi="Arial" w:cs="Arial"/>
          <w:sz w:val="22"/>
          <w:lang w:val="es-ES"/>
        </w:rPr>
        <w:t>se encuadra</w:t>
      </w:r>
      <w:r>
        <w:rPr>
          <w:rStyle w:val="normaltextrun"/>
          <w:rFonts w:ascii="Arial" w:hAnsi="Arial" w:cs="Arial"/>
          <w:sz w:val="22"/>
          <w:lang w:val="es-ES"/>
        </w:rPr>
        <w:t xml:space="preserve"> en esta categoría, de ahí que el Decreto 1082 de 2015 señale que «pueden ser agrupados</w:t>
      </w:r>
      <w:r>
        <w:rPr>
          <w:rStyle w:val="apple-converted-space"/>
          <w:rFonts w:ascii="Arial" w:hAnsi="Arial" w:cs="Arial"/>
          <w:sz w:val="22"/>
          <w:szCs w:val="22"/>
          <w:lang w:val="es-ES"/>
        </w:rPr>
        <w:t> </w:t>
      </w:r>
      <w:r>
        <w:rPr>
          <w:rStyle w:val="normaltextrun"/>
          <w:rFonts w:ascii="Arial" w:hAnsi="Arial" w:cs="Arial"/>
          <w:sz w:val="22"/>
          <w:lang w:val="es-ES"/>
        </w:rPr>
        <w:t>como bienes y servicios homogéneos para su adquisición», dado que</w:t>
      </w:r>
      <w:r>
        <w:rPr>
          <w:rStyle w:val="apple-converted-space"/>
          <w:rFonts w:ascii="Arial" w:hAnsi="Arial" w:cs="Arial"/>
          <w:sz w:val="22"/>
          <w:szCs w:val="22"/>
          <w:lang w:val="es-ES"/>
        </w:rPr>
        <w:t> </w:t>
      </w:r>
      <w:r>
        <w:rPr>
          <w:rStyle w:val="normaltextrun"/>
          <w:rFonts w:ascii="Arial" w:hAnsi="Arial" w:cs="Arial"/>
          <w:sz w:val="22"/>
          <w:lang w:val="es-ES"/>
        </w:rPr>
        <w:t>son bienes y servicio</w:t>
      </w:r>
      <w:r w:rsidR="00C6205D">
        <w:rPr>
          <w:rStyle w:val="normaltextrun"/>
          <w:rFonts w:ascii="Arial" w:hAnsi="Arial" w:cs="Arial"/>
          <w:sz w:val="22"/>
          <w:lang w:val="es-ES"/>
        </w:rPr>
        <w:t>s</w:t>
      </w:r>
      <w:r>
        <w:rPr>
          <w:rStyle w:val="normaltextrun"/>
          <w:rFonts w:ascii="Arial" w:hAnsi="Arial" w:cs="Arial"/>
          <w:sz w:val="22"/>
          <w:lang w:val="es-ES"/>
        </w:rPr>
        <w:t xml:space="preserve"> con</w:t>
      </w:r>
      <w:r>
        <w:rPr>
          <w:rStyle w:val="apple-converted-space"/>
          <w:rFonts w:ascii="Arial" w:hAnsi="Arial" w:cs="Arial"/>
          <w:sz w:val="22"/>
          <w:szCs w:val="22"/>
          <w:lang w:val="es-ES"/>
        </w:rPr>
        <w:t> </w:t>
      </w:r>
      <w:r>
        <w:rPr>
          <w:rStyle w:val="normaltextrun"/>
          <w:rFonts w:ascii="Arial" w:hAnsi="Arial" w:cs="Arial"/>
          <w:sz w:val="22"/>
          <w:lang w:val="es-ES"/>
        </w:rPr>
        <w:t>especificaciones técnicas y patrones de desempeño y calidad iguales o similares.</w:t>
      </w:r>
      <w:r>
        <w:rPr>
          <w:rStyle w:val="eop"/>
          <w:rFonts w:ascii="Arial" w:hAnsi="Arial" w:cs="Arial"/>
          <w:sz w:val="22"/>
          <w:szCs w:val="22"/>
        </w:rPr>
        <w:t> </w:t>
      </w:r>
    </w:p>
    <w:p w14:paraId="76EEB543" w14:textId="1B45CE2A" w:rsidR="004240DD" w:rsidRDefault="004240DD" w:rsidP="004240DD">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sz w:val="22"/>
          <w:lang w:val="es-ES"/>
        </w:rPr>
        <w:t>Así las cosas,</w:t>
      </w:r>
      <w:r>
        <w:rPr>
          <w:rStyle w:val="apple-converted-space"/>
          <w:rFonts w:ascii="Arial" w:hAnsi="Arial" w:cs="Arial"/>
          <w:sz w:val="22"/>
          <w:szCs w:val="22"/>
          <w:lang w:val="es-ES"/>
        </w:rPr>
        <w:t> </w:t>
      </w:r>
      <w:r>
        <w:rPr>
          <w:rStyle w:val="normaltextrun"/>
          <w:rFonts w:ascii="Arial" w:hAnsi="Arial" w:cs="Arial"/>
          <w:sz w:val="22"/>
          <w:lang w:val="es-ES"/>
        </w:rPr>
        <w:t>con</w:t>
      </w:r>
      <w:r>
        <w:rPr>
          <w:rStyle w:val="apple-converted-space"/>
          <w:rFonts w:ascii="Arial" w:hAnsi="Arial" w:cs="Arial"/>
          <w:sz w:val="22"/>
          <w:szCs w:val="22"/>
          <w:lang w:val="es-ES"/>
        </w:rPr>
        <w:t> </w:t>
      </w:r>
      <w:r>
        <w:rPr>
          <w:rStyle w:val="normaltextrun"/>
          <w:rFonts w:ascii="Arial" w:hAnsi="Arial" w:cs="Arial"/>
          <w:sz w:val="22"/>
          <w:lang w:val="es-ES"/>
        </w:rPr>
        <w:t>la finalidad de</w:t>
      </w:r>
      <w:r>
        <w:rPr>
          <w:rStyle w:val="apple-converted-space"/>
          <w:rFonts w:ascii="Arial" w:hAnsi="Arial" w:cs="Arial"/>
          <w:sz w:val="22"/>
          <w:szCs w:val="22"/>
          <w:lang w:val="es-ES"/>
        </w:rPr>
        <w:t> </w:t>
      </w:r>
      <w:r w:rsidR="00564381">
        <w:rPr>
          <w:rStyle w:val="normaltextrun"/>
          <w:rFonts w:ascii="Arial" w:hAnsi="Arial" w:cs="Arial"/>
          <w:sz w:val="22"/>
          <w:lang w:val="es-ES"/>
        </w:rPr>
        <w:t>delimitar</w:t>
      </w:r>
      <w:r>
        <w:rPr>
          <w:rStyle w:val="normaltextrun"/>
          <w:rFonts w:ascii="Arial" w:hAnsi="Arial" w:cs="Arial"/>
          <w:sz w:val="22"/>
          <w:lang w:val="es-ES"/>
        </w:rPr>
        <w:t xml:space="preserve"> la noción, cabe destacar que la definición contenida en la Ley 1150 de 2007, pese a que nominalmente acude al término de «común utilización», al referirse a los «bienes y servicios de características técnicas uniformes y de común utilización por parte de las entidades», en realidad los define haciendo abstracción de dicho elemento, al establecer que:</w:t>
      </w:r>
      <w:r>
        <w:rPr>
          <w:rStyle w:val="apple-converted-space"/>
          <w:rFonts w:ascii="Arial" w:hAnsi="Arial" w:cs="Arial"/>
          <w:sz w:val="22"/>
          <w:szCs w:val="22"/>
          <w:lang w:val="es-ES"/>
        </w:rPr>
        <w:t> </w:t>
      </w:r>
      <w:r>
        <w:rPr>
          <w:rStyle w:val="normaltextrun"/>
          <w:rFonts w:ascii="Arial" w:hAnsi="Arial" w:cs="Arial"/>
          <w:sz w:val="22"/>
          <w:lang w:val="es-ES"/>
        </w:rPr>
        <w:t>«corresponden a aquellos que poseen las mismas especificaciones técnicas, con independencia de su diseño o de sus características descriptivas, y comparten patrones de desempeño y calidad objetivamente definidos».</w:t>
      </w:r>
      <w:r>
        <w:rPr>
          <w:rStyle w:val="eop"/>
          <w:rFonts w:ascii="Arial" w:hAnsi="Arial" w:cs="Arial"/>
          <w:sz w:val="22"/>
          <w:szCs w:val="22"/>
        </w:rPr>
        <w:t> </w:t>
      </w:r>
    </w:p>
    <w:p w14:paraId="2E0D89EA" w14:textId="62405A4A" w:rsidR="004240DD" w:rsidRDefault="004240DD" w:rsidP="00C32383">
      <w:pPr>
        <w:pStyle w:val="paragraph"/>
        <w:spacing w:before="0" w:beforeAutospacing="0" w:after="120" w:afterAutospacing="0" w:line="276" w:lineRule="auto"/>
        <w:ind w:firstLine="705"/>
        <w:jc w:val="both"/>
        <w:textAlignment w:val="baseline"/>
        <w:rPr>
          <w:rStyle w:val="eop"/>
          <w:rFonts w:ascii="Arial" w:hAnsi="Arial" w:cs="Arial"/>
          <w:sz w:val="22"/>
          <w:szCs w:val="22"/>
        </w:rPr>
      </w:pPr>
      <w:r>
        <w:rPr>
          <w:rStyle w:val="normaltextrun"/>
          <w:rFonts w:ascii="Arial" w:hAnsi="Arial" w:cs="Arial"/>
          <w:sz w:val="22"/>
          <w:lang w:val="es-ES"/>
        </w:rPr>
        <w:t>Por ello,</w:t>
      </w:r>
      <w:r>
        <w:rPr>
          <w:rStyle w:val="apple-converted-space"/>
          <w:rFonts w:ascii="Arial" w:hAnsi="Arial" w:cs="Arial"/>
          <w:sz w:val="22"/>
          <w:szCs w:val="22"/>
          <w:lang w:val="es-ES"/>
        </w:rPr>
        <w:t> </w:t>
      </w:r>
      <w:r>
        <w:rPr>
          <w:rStyle w:val="normaltextrun"/>
          <w:rFonts w:ascii="Arial" w:hAnsi="Arial" w:cs="Arial"/>
          <w:sz w:val="22"/>
          <w:lang w:val="es-ES"/>
        </w:rPr>
        <w:t xml:space="preserve">para considerar si determinados bienes o </w:t>
      </w:r>
      <w:proofErr w:type="gramStart"/>
      <w:r>
        <w:rPr>
          <w:rStyle w:val="normaltextrun"/>
          <w:rFonts w:ascii="Arial" w:hAnsi="Arial" w:cs="Arial"/>
          <w:sz w:val="22"/>
          <w:lang w:val="es-ES"/>
        </w:rPr>
        <w:t>servicios</w:t>
      </w:r>
      <w:r>
        <w:rPr>
          <w:rStyle w:val="apple-converted-space"/>
          <w:rFonts w:ascii="Arial" w:hAnsi="Arial" w:cs="Arial"/>
          <w:sz w:val="22"/>
          <w:szCs w:val="22"/>
          <w:lang w:val="es-ES"/>
        </w:rPr>
        <w:t> </w:t>
      </w:r>
      <w:r>
        <w:rPr>
          <w:rStyle w:val="normaltextrun"/>
          <w:rFonts w:ascii="Arial" w:hAnsi="Arial" w:cs="Arial"/>
          <w:sz w:val="22"/>
          <w:lang w:val="es-ES"/>
        </w:rPr>
        <w:t xml:space="preserve"> encuadran</w:t>
      </w:r>
      <w:proofErr w:type="gramEnd"/>
      <w:r>
        <w:rPr>
          <w:rStyle w:val="apple-converted-space"/>
          <w:rFonts w:ascii="Arial" w:hAnsi="Arial" w:cs="Arial"/>
          <w:sz w:val="22"/>
          <w:szCs w:val="22"/>
          <w:lang w:val="es-ES"/>
        </w:rPr>
        <w:t> </w:t>
      </w:r>
      <w:r>
        <w:rPr>
          <w:rStyle w:val="normaltextrun"/>
          <w:rFonts w:ascii="Arial" w:hAnsi="Arial" w:cs="Arial"/>
          <w:sz w:val="22"/>
          <w:lang w:val="es-ES"/>
        </w:rPr>
        <w:t>en dicha noción no es necesario que la entidad</w:t>
      </w:r>
      <w:r>
        <w:rPr>
          <w:rStyle w:val="apple-converted-space"/>
          <w:rFonts w:ascii="Arial" w:hAnsi="Arial" w:cs="Arial"/>
          <w:sz w:val="22"/>
          <w:szCs w:val="22"/>
          <w:lang w:val="es-ES"/>
        </w:rPr>
        <w:t> </w:t>
      </w:r>
      <w:r>
        <w:rPr>
          <w:rStyle w:val="normaltextrun"/>
          <w:rFonts w:ascii="Arial" w:hAnsi="Arial" w:cs="Arial"/>
          <w:sz w:val="22"/>
          <w:lang w:val="es-ES"/>
        </w:rPr>
        <w:t>acredite que estos son contratados por más de una entidad estatal, toda vez que incluso podrían ser de común utilización al interior de una misma entidad.</w:t>
      </w:r>
      <w:r>
        <w:rPr>
          <w:rStyle w:val="apple-converted-space"/>
          <w:rFonts w:ascii="Arial" w:hAnsi="Arial" w:cs="Arial"/>
          <w:sz w:val="22"/>
          <w:szCs w:val="22"/>
          <w:lang w:val="es-ES"/>
        </w:rPr>
        <w:t> </w:t>
      </w:r>
      <w:r>
        <w:rPr>
          <w:rStyle w:val="normaltextrun"/>
          <w:rFonts w:ascii="Arial" w:hAnsi="Arial" w:cs="Arial"/>
          <w:sz w:val="22"/>
          <w:lang w:val="es-ES"/>
        </w:rPr>
        <w:t>En tal sentido, siempre que se cumplan los elementos de la noción desarrollados anteriormente, se podrá considerar que un bien o servicio es de características técnicas uniformes.</w:t>
      </w:r>
      <w:r>
        <w:rPr>
          <w:rStyle w:val="eop"/>
          <w:rFonts w:ascii="Arial" w:hAnsi="Arial" w:cs="Arial"/>
          <w:sz w:val="22"/>
          <w:szCs w:val="22"/>
        </w:rPr>
        <w:t> </w:t>
      </w:r>
    </w:p>
    <w:p w14:paraId="567BDD48" w14:textId="42658FC7" w:rsidR="00C32383" w:rsidRPr="00C32383" w:rsidRDefault="002F2393" w:rsidP="00C32383">
      <w:pPr>
        <w:pStyle w:val="paragraph"/>
        <w:spacing w:before="0" w:beforeAutospacing="0" w:after="120" w:afterAutospacing="0" w:line="276" w:lineRule="auto"/>
        <w:ind w:firstLine="709"/>
        <w:jc w:val="both"/>
        <w:textAlignment w:val="baseline"/>
        <w:rPr>
          <w:rFonts w:ascii="Segoe UI" w:hAnsi="Segoe UI" w:cs="Segoe UI"/>
          <w:color w:val="000000"/>
          <w:sz w:val="22"/>
          <w:szCs w:val="22"/>
        </w:rPr>
      </w:pPr>
      <w:r>
        <w:rPr>
          <w:rStyle w:val="normaltextrun"/>
          <w:rFonts w:ascii="Arial" w:hAnsi="Arial" w:cs="Arial"/>
          <w:color w:val="000000"/>
          <w:sz w:val="22"/>
          <w:szCs w:val="22"/>
          <w:shd w:val="clear" w:color="auto" w:fill="FFFFFF"/>
          <w:lang w:val="es-ES"/>
        </w:rPr>
        <w:t xml:space="preserve">En este sentido, </w:t>
      </w:r>
      <w:r w:rsidR="00D36FC4">
        <w:rPr>
          <w:rStyle w:val="normaltextrun"/>
          <w:rFonts w:ascii="Arial" w:hAnsi="Arial" w:cs="Arial"/>
          <w:color w:val="000000"/>
          <w:sz w:val="22"/>
          <w:szCs w:val="22"/>
          <w:shd w:val="clear" w:color="auto" w:fill="FFFFFF"/>
          <w:lang w:val="es-ES"/>
        </w:rPr>
        <w:t xml:space="preserve">en relación con el procedimiento aplicables, </w:t>
      </w:r>
      <w:r>
        <w:rPr>
          <w:rStyle w:val="normaltextrun"/>
          <w:rFonts w:ascii="Arial" w:hAnsi="Arial" w:cs="Arial"/>
          <w:color w:val="000000"/>
          <w:sz w:val="22"/>
          <w:szCs w:val="22"/>
          <w:shd w:val="clear" w:color="auto" w:fill="FFFFFF"/>
          <w:lang w:val="es-ES"/>
        </w:rPr>
        <w:t>e</w:t>
      </w:r>
      <w:r w:rsidR="00C32383" w:rsidRPr="00C32383">
        <w:rPr>
          <w:rStyle w:val="normaltextrun"/>
          <w:rFonts w:ascii="Arial" w:hAnsi="Arial" w:cs="Arial"/>
          <w:color w:val="000000"/>
          <w:sz w:val="22"/>
          <w:szCs w:val="22"/>
          <w:shd w:val="clear" w:color="auto" w:fill="FFFFFF"/>
          <w:lang w:val="es-ES"/>
        </w:rPr>
        <w:t xml:space="preserve">l proceso de subasta inversa </w:t>
      </w:r>
      <w:r w:rsidR="00C32383">
        <w:rPr>
          <w:rStyle w:val="normaltextrun"/>
          <w:rFonts w:ascii="Arial" w:hAnsi="Arial" w:cs="Arial"/>
          <w:color w:val="000000"/>
          <w:sz w:val="22"/>
          <w:szCs w:val="22"/>
          <w:shd w:val="clear" w:color="auto" w:fill="FFFFFF"/>
          <w:lang w:val="es-ES"/>
        </w:rPr>
        <w:t xml:space="preserve">para la </w:t>
      </w:r>
      <w:r w:rsidR="00C32383" w:rsidRPr="00C32383">
        <w:rPr>
          <w:rFonts w:ascii="Arial" w:eastAsiaTheme="minorHAnsi" w:hAnsi="Arial" w:cs="Arial"/>
          <w:sz w:val="22"/>
          <w:szCs w:val="22"/>
          <w:lang w:val="es-MX" w:eastAsia="en-US"/>
        </w:rPr>
        <w:t>adquisición de bienes y servicios de caracteristicas técnicas uniformes y de común utilización</w:t>
      </w:r>
      <w:r w:rsidR="00C32383">
        <w:rPr>
          <w:rStyle w:val="normaltextrun"/>
          <w:rFonts w:ascii="Arial" w:hAnsi="Arial" w:cs="Arial"/>
          <w:color w:val="000000"/>
          <w:sz w:val="22"/>
          <w:szCs w:val="22"/>
          <w:shd w:val="clear" w:color="auto" w:fill="FFFFFF"/>
          <w:lang w:val="es-ES"/>
        </w:rPr>
        <w:t xml:space="preserve"> </w:t>
      </w:r>
      <w:r w:rsidR="00C32383" w:rsidRPr="00C32383">
        <w:rPr>
          <w:rStyle w:val="normaltextrun"/>
          <w:rFonts w:ascii="Arial" w:hAnsi="Arial" w:cs="Arial"/>
          <w:color w:val="000000"/>
          <w:sz w:val="22"/>
          <w:szCs w:val="22"/>
          <w:shd w:val="clear" w:color="auto" w:fill="FFFFFF"/>
          <w:lang w:val="es-ES"/>
        </w:rPr>
        <w:t>podrá realizarse de manera presencial o de forma virtual</w:t>
      </w:r>
      <w:r>
        <w:rPr>
          <w:rStyle w:val="normaltextrun"/>
          <w:rFonts w:ascii="Arial" w:hAnsi="Arial" w:cs="Arial"/>
          <w:color w:val="000000"/>
          <w:sz w:val="22"/>
          <w:szCs w:val="22"/>
          <w:shd w:val="clear" w:color="auto" w:fill="FFFFFF"/>
          <w:lang w:val="es-ES"/>
        </w:rPr>
        <w:t xml:space="preserve">, según la decisión discrecional de </w:t>
      </w:r>
      <w:r w:rsidR="00C32383" w:rsidRPr="00C32383">
        <w:rPr>
          <w:rStyle w:val="normaltextrun"/>
          <w:rFonts w:ascii="Arial" w:hAnsi="Arial" w:cs="Arial"/>
          <w:color w:val="000000"/>
          <w:sz w:val="22"/>
          <w:szCs w:val="22"/>
          <w:shd w:val="clear" w:color="auto" w:fill="FFFFFF"/>
          <w:lang w:val="es-ES"/>
        </w:rPr>
        <w:t>la entidad estatal. S</w:t>
      </w:r>
      <w:r>
        <w:rPr>
          <w:rStyle w:val="normaltextrun"/>
          <w:rFonts w:ascii="Arial" w:hAnsi="Arial" w:cs="Arial"/>
          <w:color w:val="000000"/>
          <w:sz w:val="22"/>
          <w:szCs w:val="22"/>
          <w:shd w:val="clear" w:color="auto" w:fill="FFFFFF"/>
          <w:lang w:val="es-ES"/>
        </w:rPr>
        <w:t xml:space="preserve">i se decide </w:t>
      </w:r>
      <w:r w:rsidR="00C32383" w:rsidRPr="00C32383">
        <w:rPr>
          <w:rStyle w:val="normaltextrun"/>
          <w:rFonts w:ascii="Arial" w:hAnsi="Arial" w:cs="Arial"/>
          <w:color w:val="000000"/>
          <w:sz w:val="22"/>
          <w:szCs w:val="22"/>
          <w:shd w:val="clear" w:color="auto" w:fill="FFFFFF"/>
          <w:lang w:val="es-ES"/>
        </w:rPr>
        <w:t>adelantarla electrónicamente</w:t>
      </w:r>
      <w:r>
        <w:rPr>
          <w:rStyle w:val="normaltextrun"/>
          <w:rFonts w:ascii="Arial" w:hAnsi="Arial" w:cs="Arial"/>
          <w:color w:val="000000"/>
          <w:sz w:val="22"/>
          <w:szCs w:val="22"/>
          <w:shd w:val="clear" w:color="auto" w:fill="FFFFFF"/>
          <w:lang w:val="es-ES"/>
        </w:rPr>
        <w:t>, se</w:t>
      </w:r>
      <w:r w:rsidR="00C32383" w:rsidRPr="00C32383">
        <w:rPr>
          <w:rStyle w:val="normaltextrun"/>
          <w:rFonts w:ascii="Arial" w:hAnsi="Arial" w:cs="Arial"/>
          <w:color w:val="000000"/>
          <w:sz w:val="22"/>
          <w:szCs w:val="22"/>
          <w:shd w:val="clear" w:color="auto" w:fill="FFFFFF"/>
          <w:lang w:val="es-ES"/>
        </w:rPr>
        <w:t xml:space="preserve"> </w:t>
      </w:r>
      <w:r w:rsidR="00C32383" w:rsidRPr="00C32383">
        <w:rPr>
          <w:rStyle w:val="normaltextrun"/>
          <w:rFonts w:ascii="Arial" w:hAnsi="Arial" w:cs="Arial"/>
          <w:color w:val="000000"/>
          <w:sz w:val="22"/>
          <w:szCs w:val="22"/>
          <w:shd w:val="clear" w:color="auto" w:fill="FFFFFF"/>
          <w:lang w:val="es-ES"/>
        </w:rPr>
        <w:lastRenderedPageBreak/>
        <w:t>debe fijar en los pliegos de condiciones el sistema que va a utilizar para la subasta y los mecanismos de seguridad para el intercambio de los mensajes de datos</w:t>
      </w:r>
      <w:r w:rsidR="00C32383" w:rsidRPr="00C32383">
        <w:rPr>
          <w:rStyle w:val="Refdenotaalpie"/>
          <w:rFonts w:ascii="Arial" w:hAnsi="Arial" w:cs="Arial"/>
          <w:color w:val="000000"/>
          <w:sz w:val="22"/>
          <w:szCs w:val="22"/>
          <w:shd w:val="clear" w:color="auto" w:fill="FFFFFF"/>
          <w:lang w:val="es-ES"/>
        </w:rPr>
        <w:footnoteReference w:id="10"/>
      </w:r>
      <w:r w:rsidR="00C32383" w:rsidRPr="00C32383">
        <w:rPr>
          <w:rStyle w:val="normaltextrun"/>
          <w:rFonts w:ascii="Arial" w:hAnsi="Arial" w:cs="Arial"/>
          <w:color w:val="000000"/>
          <w:sz w:val="22"/>
          <w:szCs w:val="22"/>
          <w:shd w:val="clear" w:color="auto" w:fill="FFFFFF"/>
          <w:lang w:val="es-ES"/>
        </w:rPr>
        <w:t>.</w:t>
      </w:r>
      <w:r w:rsidR="00C32383" w:rsidRPr="00C32383">
        <w:rPr>
          <w:rStyle w:val="eop"/>
          <w:rFonts w:ascii="Arial" w:hAnsi="Arial" w:cs="Arial"/>
          <w:color w:val="000000"/>
          <w:sz w:val="22"/>
          <w:szCs w:val="22"/>
        </w:rPr>
        <w:t> </w:t>
      </w:r>
    </w:p>
    <w:p w14:paraId="00CD13C3" w14:textId="29C522CD" w:rsidR="00C32383" w:rsidRDefault="00C32383" w:rsidP="00C32383">
      <w:pPr>
        <w:pStyle w:val="paragraph"/>
        <w:spacing w:before="0" w:beforeAutospacing="0" w:after="0" w:afterAutospacing="0" w:line="276" w:lineRule="auto"/>
        <w:ind w:firstLine="709"/>
        <w:jc w:val="both"/>
        <w:textAlignment w:val="baseline"/>
        <w:rPr>
          <w:rFonts w:ascii="Segoe UI" w:hAnsi="Segoe UI" w:cs="Segoe UI"/>
          <w:sz w:val="18"/>
          <w:szCs w:val="18"/>
        </w:rPr>
      </w:pPr>
      <w:r w:rsidRPr="00C32383">
        <w:rPr>
          <w:rStyle w:val="normaltextrun"/>
          <w:rFonts w:ascii="Arial" w:hAnsi="Arial" w:cs="Arial"/>
          <w:color w:val="000000"/>
          <w:sz w:val="22"/>
          <w:szCs w:val="22"/>
          <w:shd w:val="clear" w:color="auto" w:fill="FFFFFF"/>
          <w:lang w:val="es-ES"/>
        </w:rPr>
        <w:t>En caso de presentar fallas técnicas durante la subasta inversa electrónica, el Decreto 1082 de 2015 establece, en el artículo 2.2.1.2.1.2.6, que la entidad estatal debe suspenderla y cuando se haya</w:t>
      </w:r>
      <w:r w:rsidR="00AC059B">
        <w:rPr>
          <w:rStyle w:val="normaltextrun"/>
          <w:rFonts w:ascii="Arial" w:hAnsi="Arial" w:cs="Arial"/>
          <w:color w:val="000000"/>
          <w:sz w:val="22"/>
          <w:szCs w:val="22"/>
          <w:shd w:val="clear" w:color="auto" w:fill="FFFFFF"/>
          <w:lang w:val="es-ES"/>
        </w:rPr>
        <w:t>n</w:t>
      </w:r>
      <w:r w:rsidRPr="00C32383">
        <w:rPr>
          <w:rStyle w:val="normaltextrun"/>
          <w:rFonts w:ascii="Arial" w:hAnsi="Arial" w:cs="Arial"/>
          <w:color w:val="000000"/>
          <w:sz w:val="22"/>
          <w:szCs w:val="22"/>
          <w:shd w:val="clear" w:color="auto" w:fill="FFFFFF"/>
          <w:lang w:val="es-ES"/>
        </w:rPr>
        <w:t xml:space="preserve"> superado la</w:t>
      </w:r>
      <w:r w:rsidR="00AC059B">
        <w:rPr>
          <w:rStyle w:val="normaltextrun"/>
          <w:rFonts w:ascii="Arial" w:hAnsi="Arial" w:cs="Arial"/>
          <w:color w:val="000000"/>
          <w:sz w:val="22"/>
          <w:szCs w:val="22"/>
          <w:shd w:val="clear" w:color="auto" w:fill="FFFFFF"/>
          <w:lang w:val="es-ES"/>
        </w:rPr>
        <w:t>s dificultades técnicas, la</w:t>
      </w:r>
      <w:r w:rsidRPr="00C32383">
        <w:rPr>
          <w:rStyle w:val="normaltextrun"/>
          <w:rFonts w:ascii="Arial" w:hAnsi="Arial" w:cs="Arial"/>
          <w:color w:val="000000"/>
          <w:sz w:val="22"/>
          <w:szCs w:val="22"/>
          <w:shd w:val="clear" w:color="auto" w:fill="FFFFFF"/>
          <w:lang w:val="es-ES"/>
        </w:rPr>
        <w:t xml:space="preserve"> entidad debe reiniciar la subasta.</w:t>
      </w:r>
      <w:r>
        <w:rPr>
          <w:rStyle w:val="normaltextrun"/>
          <w:rFonts w:ascii="Arial" w:hAnsi="Arial" w:cs="Arial"/>
          <w:color w:val="000000"/>
          <w:sz w:val="22"/>
          <w:szCs w:val="22"/>
          <w:shd w:val="clear" w:color="auto" w:fill="FFFFFF"/>
          <w:lang w:val="es-ES"/>
        </w:rPr>
        <w:t xml:space="preserve"> Así mismo, determina que si por causas imputables al ofere</w:t>
      </w:r>
      <w:r w:rsidRPr="00C32383">
        <w:rPr>
          <w:rStyle w:val="normaltextrun"/>
          <w:rFonts w:ascii="Arial" w:hAnsi="Arial" w:cs="Arial"/>
          <w:color w:val="000000"/>
          <w:sz w:val="22"/>
          <w:szCs w:val="22"/>
          <w:shd w:val="clear" w:color="auto" w:fill="FFFFFF"/>
          <w:lang w:val="es-ES"/>
        </w:rPr>
        <w:t>nte o a su proveedor de soluciones de tecnología de la información y telecomunicaciones, la conexión de la subasta inversa se pierde, ésta continuará y la entidad estatal entiende que el proveedor ha desistido de participar.</w:t>
      </w:r>
    </w:p>
    <w:p w14:paraId="400DEA18" w14:textId="0383369E" w:rsidR="001C03B6" w:rsidRDefault="001C03B6" w:rsidP="004240DD">
      <w:pPr>
        <w:pStyle w:val="paragraph"/>
        <w:spacing w:before="0" w:beforeAutospacing="0" w:after="0" w:afterAutospacing="0" w:line="276" w:lineRule="auto"/>
        <w:ind w:firstLine="705"/>
        <w:jc w:val="both"/>
        <w:textAlignment w:val="baseline"/>
        <w:rPr>
          <w:rFonts w:eastAsiaTheme="minorHAnsi"/>
          <w:lang w:val="es-MX" w:eastAsia="en-US"/>
        </w:rPr>
      </w:pPr>
    </w:p>
    <w:p w14:paraId="56B8DE84" w14:textId="52F6DB70" w:rsidR="001C03B6" w:rsidRPr="001C03B6" w:rsidRDefault="001C03B6" w:rsidP="004240DD">
      <w:pPr>
        <w:autoSpaceDE w:val="0"/>
        <w:autoSpaceDN w:val="0"/>
        <w:adjustRightInd w:val="0"/>
        <w:spacing w:line="276" w:lineRule="auto"/>
        <w:jc w:val="both"/>
        <w:rPr>
          <w:rFonts w:ascii="Arial" w:eastAsiaTheme="minorHAnsi" w:hAnsi="Arial" w:cs="Arial"/>
          <w:sz w:val="22"/>
          <w:szCs w:val="22"/>
          <w:lang w:val="es-MX" w:eastAsia="en-US"/>
        </w:rPr>
      </w:pPr>
      <w:r w:rsidRPr="00BC42A3">
        <w:rPr>
          <w:rFonts w:ascii="Arial" w:eastAsiaTheme="minorHAnsi" w:hAnsi="Arial" w:cs="Arial"/>
          <w:b/>
          <w:bCs/>
          <w:sz w:val="22"/>
          <w:szCs w:val="22"/>
          <w:lang w:val="es-MX" w:eastAsia="en-US"/>
        </w:rPr>
        <w:t>2.</w:t>
      </w:r>
      <w:r w:rsidR="00E65D9D">
        <w:rPr>
          <w:rFonts w:ascii="Arial" w:eastAsiaTheme="minorHAnsi" w:hAnsi="Arial" w:cs="Arial"/>
          <w:b/>
          <w:bCs/>
          <w:sz w:val="22"/>
          <w:szCs w:val="22"/>
          <w:lang w:val="es-MX" w:eastAsia="en-US"/>
        </w:rPr>
        <w:t>4</w:t>
      </w:r>
      <w:r w:rsidRPr="00BC42A3">
        <w:rPr>
          <w:rFonts w:ascii="Arial" w:eastAsiaTheme="minorHAnsi" w:hAnsi="Arial" w:cs="Arial"/>
          <w:b/>
          <w:bCs/>
          <w:sz w:val="22"/>
          <w:szCs w:val="22"/>
          <w:lang w:val="es-MX" w:eastAsia="en-US"/>
        </w:rPr>
        <w:t>.</w:t>
      </w:r>
      <w:r w:rsidRPr="001C03B6">
        <w:rPr>
          <w:rFonts w:ascii="Arial" w:eastAsiaTheme="minorHAnsi" w:hAnsi="Arial" w:cs="Arial"/>
          <w:sz w:val="22"/>
          <w:szCs w:val="22"/>
          <w:lang w:val="es-MX" w:eastAsia="en-US"/>
        </w:rPr>
        <w:t xml:space="preserve"> </w:t>
      </w:r>
      <w:bookmarkStart w:id="1" w:name="OLE_LINK3"/>
      <w:bookmarkStart w:id="2" w:name="OLE_LINK4"/>
      <w:r w:rsidR="00333888" w:rsidRPr="00333888">
        <w:rPr>
          <w:rFonts w:ascii="Arial" w:eastAsiaTheme="minorHAnsi" w:hAnsi="Arial" w:cs="Arial"/>
          <w:b/>
          <w:bCs/>
          <w:sz w:val="22"/>
          <w:szCs w:val="22"/>
          <w:lang w:val="es-MX" w:eastAsia="en-US"/>
        </w:rPr>
        <w:t>La f</w:t>
      </w:r>
      <w:r w:rsidR="00E65D9D" w:rsidRPr="00333888">
        <w:rPr>
          <w:rFonts w:ascii="Arial" w:eastAsiaTheme="minorHAnsi" w:hAnsi="Arial" w:cs="Arial"/>
          <w:b/>
          <w:bCs/>
          <w:sz w:val="22"/>
          <w:szCs w:val="22"/>
          <w:lang w:val="es-MX" w:eastAsia="en-US"/>
        </w:rPr>
        <w:t>i</w:t>
      </w:r>
      <w:r w:rsidR="00E65D9D">
        <w:rPr>
          <w:rFonts w:ascii="Arial" w:eastAsiaTheme="minorHAnsi" w:hAnsi="Arial" w:cs="Arial"/>
          <w:b/>
          <w:bCs/>
          <w:sz w:val="22"/>
          <w:szCs w:val="22"/>
          <w:lang w:val="es-MX" w:eastAsia="en-US"/>
        </w:rPr>
        <w:t xml:space="preserve">cha </w:t>
      </w:r>
      <w:r w:rsidR="00333888">
        <w:rPr>
          <w:rFonts w:ascii="Arial" w:eastAsiaTheme="minorHAnsi" w:hAnsi="Arial" w:cs="Arial"/>
          <w:b/>
          <w:bCs/>
          <w:sz w:val="22"/>
          <w:szCs w:val="22"/>
          <w:lang w:val="es-MX" w:eastAsia="en-US"/>
        </w:rPr>
        <w:t>técnica</w:t>
      </w:r>
      <w:r w:rsidR="00E65D9D">
        <w:rPr>
          <w:rFonts w:ascii="Arial" w:eastAsiaTheme="minorHAnsi" w:hAnsi="Arial" w:cs="Arial"/>
          <w:b/>
          <w:bCs/>
          <w:sz w:val="22"/>
          <w:szCs w:val="22"/>
          <w:lang w:val="es-MX" w:eastAsia="en-US"/>
        </w:rPr>
        <w:t xml:space="preserve"> </w:t>
      </w:r>
      <w:bookmarkEnd w:id="1"/>
      <w:bookmarkEnd w:id="2"/>
      <w:r w:rsidR="002F2393">
        <w:rPr>
          <w:rFonts w:ascii="Arial" w:eastAsiaTheme="minorHAnsi" w:hAnsi="Arial" w:cs="Arial"/>
          <w:b/>
          <w:bCs/>
          <w:sz w:val="22"/>
          <w:szCs w:val="22"/>
          <w:lang w:val="es-MX" w:eastAsia="en-US"/>
        </w:rPr>
        <w:t>en l</w:t>
      </w:r>
      <w:r w:rsidR="00333888" w:rsidRPr="00333888">
        <w:rPr>
          <w:rFonts w:ascii="Arial" w:eastAsiaTheme="minorHAnsi" w:hAnsi="Arial" w:cs="Arial"/>
          <w:b/>
          <w:bCs/>
          <w:sz w:val="22"/>
          <w:szCs w:val="22"/>
          <w:lang w:val="es-MX" w:eastAsia="en-US"/>
        </w:rPr>
        <w:t>a adquisición de bienes y servicios de características técnicas uniformes y de común utilización</w:t>
      </w:r>
    </w:p>
    <w:p w14:paraId="6E3C56FE" w14:textId="61AB9383" w:rsidR="00DE48C6" w:rsidRPr="00E65D9D" w:rsidRDefault="001C03B6" w:rsidP="00E65D9D">
      <w:pPr>
        <w:spacing w:line="276" w:lineRule="auto"/>
        <w:ind w:right="300"/>
        <w:jc w:val="both"/>
        <w:textAlignment w:val="baseline"/>
        <w:rPr>
          <w:rFonts w:ascii="Arial" w:eastAsia="Calibri" w:hAnsi="Arial" w:cs="Arial"/>
          <w:b/>
          <w:color w:val="000000" w:themeColor="text1"/>
          <w:sz w:val="22"/>
          <w:szCs w:val="22"/>
        </w:rPr>
      </w:pPr>
      <w:r w:rsidRPr="00E65D9D">
        <w:rPr>
          <w:rFonts w:ascii="Arial" w:eastAsiaTheme="minorHAnsi" w:hAnsi="Arial" w:cs="Arial"/>
          <w:sz w:val="22"/>
          <w:szCs w:val="22"/>
          <w:lang w:val="es-MX" w:eastAsia="en-US"/>
        </w:rPr>
        <w:t> </w:t>
      </w:r>
    </w:p>
    <w:p w14:paraId="60F82B59" w14:textId="77777777" w:rsidR="00C06842" w:rsidRDefault="00C06842" w:rsidP="00FD6E1E">
      <w:pPr>
        <w:spacing w:after="120" w:line="276" w:lineRule="auto"/>
        <w:jc w:val="both"/>
        <w:rPr>
          <w:rFonts w:ascii="Arial" w:hAnsi="Arial" w:cs="Arial"/>
          <w:sz w:val="22"/>
          <w:szCs w:val="22"/>
        </w:rPr>
      </w:pPr>
      <w:r>
        <w:rPr>
          <w:rFonts w:ascii="Arial" w:hAnsi="Arial" w:cs="Arial"/>
          <w:sz w:val="22"/>
          <w:szCs w:val="22"/>
        </w:rPr>
        <w:t xml:space="preserve">Como se ha indicado, </w:t>
      </w:r>
      <w:bookmarkStart w:id="3" w:name="_Hlk63093136"/>
      <w:r>
        <w:rPr>
          <w:rFonts w:ascii="Arial" w:hAnsi="Arial" w:cs="Arial"/>
          <w:sz w:val="22"/>
          <w:szCs w:val="22"/>
        </w:rPr>
        <w:t>el literal a) del numeral 2 del artículo 2 de l</w:t>
      </w:r>
      <w:r w:rsidR="00A84220" w:rsidRPr="00B35449">
        <w:rPr>
          <w:rFonts w:ascii="Arial" w:hAnsi="Arial" w:cs="Arial"/>
          <w:sz w:val="22"/>
          <w:szCs w:val="22"/>
        </w:rPr>
        <w:t>a Ley 1150 de 2007</w:t>
      </w:r>
      <w:r>
        <w:rPr>
          <w:rFonts w:ascii="Arial" w:hAnsi="Arial" w:cs="Arial"/>
          <w:sz w:val="22"/>
          <w:szCs w:val="22"/>
        </w:rPr>
        <w:t xml:space="preserve"> </w:t>
      </w:r>
      <w:r w:rsidR="00A84220" w:rsidRPr="00B35449">
        <w:rPr>
          <w:rFonts w:ascii="Arial" w:hAnsi="Arial" w:cs="Arial"/>
          <w:sz w:val="22"/>
          <w:szCs w:val="22"/>
        </w:rPr>
        <w:t>establece</w:t>
      </w:r>
      <w:r>
        <w:rPr>
          <w:rFonts w:ascii="Arial" w:hAnsi="Arial" w:cs="Arial"/>
          <w:sz w:val="22"/>
          <w:szCs w:val="22"/>
        </w:rPr>
        <w:t>,</w:t>
      </w:r>
      <w:r w:rsidR="00A84220" w:rsidRPr="00B35449">
        <w:rPr>
          <w:rFonts w:ascii="Arial" w:hAnsi="Arial" w:cs="Arial"/>
          <w:sz w:val="22"/>
          <w:szCs w:val="22"/>
        </w:rPr>
        <w:t xml:space="preserve"> como causal de selección abreviada</w:t>
      </w:r>
      <w:r>
        <w:rPr>
          <w:rFonts w:ascii="Arial" w:hAnsi="Arial" w:cs="Arial"/>
          <w:sz w:val="22"/>
          <w:szCs w:val="22"/>
        </w:rPr>
        <w:t>,</w:t>
      </w:r>
      <w:r w:rsidR="00A84220" w:rsidRPr="00B35449">
        <w:rPr>
          <w:rFonts w:ascii="Arial" w:hAnsi="Arial" w:cs="Arial"/>
          <w:sz w:val="22"/>
          <w:szCs w:val="22"/>
        </w:rPr>
        <w:t xml:space="preserve"> la adquisición o suministro de bienes y servicios de características técnicas uniformes y de común utilización por parte de las entidades. Además, señaló que en esos casos las entidades deben hacer uso de procedimientos de subasta inversa, entre otros. </w:t>
      </w:r>
    </w:p>
    <w:p w14:paraId="58F66896" w14:textId="500BD99B" w:rsidR="00A84220" w:rsidRPr="00B35449" w:rsidRDefault="00A84220" w:rsidP="00C06842">
      <w:pPr>
        <w:spacing w:after="120" w:line="276" w:lineRule="auto"/>
        <w:ind w:firstLine="708"/>
        <w:jc w:val="both"/>
        <w:rPr>
          <w:rFonts w:ascii="Arial" w:hAnsi="Arial" w:cs="Arial"/>
          <w:sz w:val="22"/>
          <w:szCs w:val="22"/>
        </w:rPr>
      </w:pPr>
      <w:r w:rsidRPr="00B35449">
        <w:rPr>
          <w:rFonts w:ascii="Arial" w:hAnsi="Arial" w:cs="Arial"/>
          <w:sz w:val="22"/>
          <w:szCs w:val="22"/>
        </w:rPr>
        <w:t xml:space="preserve">En </w:t>
      </w:r>
      <w:r w:rsidR="00C06842">
        <w:rPr>
          <w:rFonts w:ascii="Arial" w:hAnsi="Arial" w:cs="Arial"/>
          <w:sz w:val="22"/>
          <w:szCs w:val="22"/>
        </w:rPr>
        <w:t xml:space="preserve">cuanto </w:t>
      </w:r>
      <w:r w:rsidRPr="00B35449">
        <w:rPr>
          <w:rFonts w:ascii="Arial" w:hAnsi="Arial" w:cs="Arial"/>
          <w:sz w:val="22"/>
          <w:szCs w:val="22"/>
        </w:rPr>
        <w:t xml:space="preserve">a la </w:t>
      </w:r>
      <w:r w:rsidR="00FC49E1">
        <w:rPr>
          <w:rFonts w:ascii="Arial" w:hAnsi="Arial" w:cs="Arial"/>
          <w:sz w:val="22"/>
          <w:szCs w:val="22"/>
        </w:rPr>
        <w:t>«</w:t>
      </w:r>
      <w:r w:rsidRPr="00B35449">
        <w:rPr>
          <w:rFonts w:ascii="Arial" w:hAnsi="Arial" w:cs="Arial"/>
          <w:sz w:val="22"/>
          <w:szCs w:val="22"/>
        </w:rPr>
        <w:t>ficha técnica</w:t>
      </w:r>
      <w:r w:rsidR="00FC49E1">
        <w:rPr>
          <w:rFonts w:ascii="Arial" w:hAnsi="Arial" w:cs="Arial"/>
          <w:sz w:val="22"/>
          <w:szCs w:val="22"/>
        </w:rPr>
        <w:t>»</w:t>
      </w:r>
      <w:r w:rsidRPr="00B35449">
        <w:rPr>
          <w:rFonts w:ascii="Arial" w:hAnsi="Arial" w:cs="Arial"/>
          <w:sz w:val="22"/>
          <w:szCs w:val="22"/>
        </w:rPr>
        <w:t xml:space="preserve">, </w:t>
      </w:r>
      <w:r w:rsidR="00FC49E1">
        <w:rPr>
          <w:rFonts w:ascii="Arial" w:hAnsi="Arial" w:cs="Arial"/>
          <w:sz w:val="22"/>
          <w:szCs w:val="22"/>
        </w:rPr>
        <w:t xml:space="preserve">de acuerdo con el Decreto 1082 de 2015, y desde un análisis puramente normativo, </w:t>
      </w:r>
      <w:r w:rsidRPr="00B35449">
        <w:rPr>
          <w:rFonts w:ascii="Arial" w:hAnsi="Arial" w:cs="Arial"/>
          <w:sz w:val="22"/>
          <w:szCs w:val="22"/>
        </w:rPr>
        <w:t>ésta se circunscribe a</w:t>
      </w:r>
      <w:r w:rsidR="00FC49E1">
        <w:rPr>
          <w:rFonts w:ascii="Arial" w:hAnsi="Arial" w:cs="Arial"/>
          <w:sz w:val="22"/>
          <w:szCs w:val="22"/>
        </w:rPr>
        <w:t>l</w:t>
      </w:r>
      <w:r w:rsidRPr="00B35449">
        <w:rPr>
          <w:rFonts w:ascii="Arial" w:hAnsi="Arial" w:cs="Arial"/>
          <w:sz w:val="22"/>
          <w:szCs w:val="22"/>
        </w:rPr>
        <w:t xml:space="preserve"> procedimiento </w:t>
      </w:r>
      <w:r w:rsidR="00FC49E1">
        <w:rPr>
          <w:rFonts w:ascii="Arial" w:hAnsi="Arial" w:cs="Arial"/>
          <w:sz w:val="22"/>
          <w:szCs w:val="22"/>
        </w:rPr>
        <w:t>de selección abreviada mediante</w:t>
      </w:r>
      <w:r w:rsidR="00FC49E1" w:rsidRPr="00B35449">
        <w:rPr>
          <w:rFonts w:ascii="Arial" w:hAnsi="Arial" w:cs="Arial"/>
          <w:sz w:val="22"/>
          <w:szCs w:val="22"/>
        </w:rPr>
        <w:t xml:space="preserve"> </w:t>
      </w:r>
      <w:r w:rsidRPr="00B35449">
        <w:rPr>
          <w:rFonts w:ascii="Arial" w:hAnsi="Arial" w:cs="Arial"/>
          <w:sz w:val="22"/>
          <w:szCs w:val="22"/>
        </w:rPr>
        <w:t>subasta inversa</w:t>
      </w:r>
      <w:r w:rsidR="00FC49E1">
        <w:rPr>
          <w:rFonts w:ascii="Arial" w:hAnsi="Arial" w:cs="Arial"/>
          <w:sz w:val="22"/>
          <w:szCs w:val="22"/>
        </w:rPr>
        <w:t>. Sin perjuicio de que en otros procedimientos se establezca un documento o aparte en los documentos del proceso bajo esta denominación, caso en que simplemente se entenderá de acuerdo con su sentido natural</w:t>
      </w:r>
      <w:r w:rsidRPr="00B35449">
        <w:rPr>
          <w:rFonts w:ascii="Arial" w:hAnsi="Arial" w:cs="Arial"/>
          <w:sz w:val="22"/>
          <w:szCs w:val="22"/>
        </w:rPr>
        <w:t>.</w:t>
      </w:r>
      <w:r w:rsidR="00FC49E1">
        <w:rPr>
          <w:rFonts w:ascii="Arial" w:hAnsi="Arial" w:cs="Arial"/>
          <w:sz w:val="22"/>
          <w:szCs w:val="22"/>
        </w:rPr>
        <w:t xml:space="preserve"> No obstante, como se indicó, el Decreto 1082 de 2015 solo establece una regulación particular de la «ficha técnica»</w:t>
      </w:r>
      <w:r w:rsidRPr="00B35449">
        <w:rPr>
          <w:rFonts w:ascii="Arial" w:hAnsi="Arial" w:cs="Arial"/>
          <w:sz w:val="22"/>
          <w:szCs w:val="22"/>
        </w:rPr>
        <w:t xml:space="preserve"> </w:t>
      </w:r>
      <w:r w:rsidR="00FC49E1">
        <w:rPr>
          <w:rFonts w:ascii="Arial" w:hAnsi="Arial" w:cs="Arial"/>
          <w:sz w:val="22"/>
          <w:szCs w:val="22"/>
        </w:rPr>
        <w:t xml:space="preserve">para la adquisición </w:t>
      </w:r>
      <w:r w:rsidRPr="00B35449">
        <w:rPr>
          <w:rFonts w:ascii="Arial" w:hAnsi="Arial" w:cs="Arial"/>
          <w:sz w:val="22"/>
          <w:szCs w:val="22"/>
        </w:rPr>
        <w:t xml:space="preserve">de bienes y servicios de características técnicas uniformes </w:t>
      </w:r>
      <w:r w:rsidR="00FC49E1">
        <w:rPr>
          <w:rFonts w:ascii="Arial" w:hAnsi="Arial" w:cs="Arial"/>
          <w:sz w:val="22"/>
          <w:szCs w:val="22"/>
        </w:rPr>
        <w:t>mediante subasta inversa</w:t>
      </w:r>
      <w:r w:rsidR="00397CC5">
        <w:rPr>
          <w:rFonts w:ascii="Arial" w:hAnsi="Arial" w:cs="Arial"/>
          <w:sz w:val="22"/>
          <w:szCs w:val="22"/>
        </w:rPr>
        <w:t xml:space="preserve">, </w:t>
      </w:r>
      <w:r w:rsidR="00E6772B">
        <w:rPr>
          <w:rFonts w:ascii="Arial" w:hAnsi="Arial" w:cs="Arial"/>
          <w:sz w:val="22"/>
          <w:szCs w:val="22"/>
        </w:rPr>
        <w:t>prescribiendo que: «</w:t>
      </w:r>
      <w:r w:rsidR="00E6772B" w:rsidRPr="000170B8">
        <w:rPr>
          <w:rFonts w:ascii="Arial" w:hAnsi="Arial" w:cs="Arial"/>
          <w:sz w:val="22"/>
          <w:szCs w:val="22"/>
        </w:rPr>
        <w:t>La ficha técnica del bien o servicio que debe incluir:</w:t>
      </w:r>
      <w:r w:rsidR="00E6772B">
        <w:rPr>
          <w:rFonts w:ascii="Arial" w:hAnsi="Arial" w:cs="Arial"/>
          <w:sz w:val="22"/>
          <w:szCs w:val="22"/>
        </w:rPr>
        <w:t xml:space="preserve"> </w:t>
      </w:r>
      <w:r w:rsidRPr="00B35449">
        <w:rPr>
          <w:rFonts w:ascii="Arial" w:hAnsi="Arial" w:cs="Arial"/>
          <w:sz w:val="22"/>
          <w:szCs w:val="22"/>
        </w:rPr>
        <w:t>i) la clasificación del bien o servicio de acuerdo con el Clasificador de Bienes y Servicios; ii) la identificación adicional requerida; iii) la unidad de medida; iv) la calidad mínima, y v) los patrones de desempeño mínimos</w:t>
      </w:r>
      <w:r w:rsidR="00E6772B">
        <w:rPr>
          <w:rFonts w:ascii="Arial" w:hAnsi="Arial" w:cs="Arial"/>
          <w:sz w:val="22"/>
          <w:szCs w:val="22"/>
        </w:rPr>
        <w:t>»</w:t>
      </w:r>
      <w:r w:rsidRPr="00B35449">
        <w:rPr>
          <w:rFonts w:ascii="Arial" w:hAnsi="Arial" w:cs="Arial"/>
          <w:sz w:val="22"/>
          <w:szCs w:val="22"/>
        </w:rPr>
        <w:t xml:space="preserve">. </w:t>
      </w:r>
      <w:r w:rsidR="0035564B">
        <w:rPr>
          <w:rFonts w:ascii="Arial" w:hAnsi="Arial" w:cs="Arial"/>
          <w:sz w:val="22"/>
          <w:szCs w:val="22"/>
        </w:rPr>
        <w:t>En relación con</w:t>
      </w:r>
      <w:r w:rsidR="00E6772B">
        <w:rPr>
          <w:rFonts w:ascii="Arial" w:hAnsi="Arial" w:cs="Arial"/>
          <w:sz w:val="22"/>
          <w:szCs w:val="22"/>
        </w:rPr>
        <w:t xml:space="preserve"> la exigencia anterior, esta Agencia manifestó que «</w:t>
      </w:r>
      <w:r w:rsidRPr="00B35449">
        <w:rPr>
          <w:rFonts w:ascii="Arial" w:hAnsi="Arial" w:cs="Arial"/>
          <w:sz w:val="22"/>
          <w:szCs w:val="22"/>
        </w:rPr>
        <w:t xml:space="preserve">Conforme a lo anterior, la entidad estatal determina el contenido de la ficha, es decir, las condiciones mínimas del bien o servicio que necesita. Lo anterior, no se traduce en que los oferentes no puedan presentar bienes o servicios que tengan mejores calidades de las que han sido descritas en la ficha técnica, sino que no </w:t>
      </w:r>
      <w:r w:rsidRPr="00B35449">
        <w:rPr>
          <w:rFonts w:ascii="Arial" w:hAnsi="Arial" w:cs="Arial"/>
          <w:sz w:val="22"/>
          <w:szCs w:val="22"/>
        </w:rPr>
        <w:lastRenderedPageBreak/>
        <w:t>pueden presentar fichas con calidad o patrones de desempeño que no cumplan con los mínimos establecidos por la entidad</w:t>
      </w:r>
      <w:r w:rsidR="00E6772B">
        <w:rPr>
          <w:rFonts w:ascii="Arial" w:hAnsi="Arial" w:cs="Arial"/>
          <w:sz w:val="22"/>
          <w:szCs w:val="22"/>
        </w:rPr>
        <w:t>»</w:t>
      </w:r>
      <w:bookmarkEnd w:id="3"/>
      <w:r w:rsidRPr="00B35449">
        <w:rPr>
          <w:rStyle w:val="Refdenotaalpie"/>
          <w:rFonts w:ascii="Arial" w:hAnsi="Arial" w:cs="Arial"/>
          <w:sz w:val="22"/>
          <w:szCs w:val="22"/>
        </w:rPr>
        <w:footnoteReference w:id="11"/>
      </w:r>
      <w:r w:rsidR="00397CC5">
        <w:rPr>
          <w:rFonts w:ascii="Arial" w:hAnsi="Arial" w:cs="Arial"/>
          <w:sz w:val="22"/>
          <w:szCs w:val="22"/>
        </w:rPr>
        <w:t>.</w:t>
      </w:r>
    </w:p>
    <w:p w14:paraId="2D4630FD" w14:textId="71A7E732" w:rsidR="00E65D9D" w:rsidRPr="00E65D9D" w:rsidRDefault="00E65D9D" w:rsidP="00604889">
      <w:pPr>
        <w:autoSpaceDE w:val="0"/>
        <w:autoSpaceDN w:val="0"/>
        <w:adjustRightInd w:val="0"/>
        <w:spacing w:after="120" w:line="276" w:lineRule="auto"/>
        <w:ind w:firstLine="709"/>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Así mismo, el artículo 2.2.1.2.1.2.2 del Decreto 1082 de 2015</w:t>
      </w:r>
      <w:r w:rsidR="00397CC5">
        <w:rPr>
          <w:rFonts w:ascii="Arial" w:eastAsiaTheme="minorHAnsi" w:hAnsi="Arial" w:cs="Arial"/>
          <w:sz w:val="22"/>
          <w:szCs w:val="22"/>
          <w:lang w:val="es-MX" w:eastAsia="en-US"/>
        </w:rPr>
        <w:t xml:space="preserve"> </w:t>
      </w:r>
      <w:r w:rsidRPr="00E65D9D">
        <w:rPr>
          <w:rFonts w:ascii="Arial" w:eastAsiaTheme="minorHAnsi" w:hAnsi="Arial" w:cs="Arial"/>
          <w:sz w:val="22"/>
          <w:szCs w:val="22"/>
          <w:lang w:val="es-MX" w:eastAsia="en-US"/>
        </w:rPr>
        <w:t>establece que</w:t>
      </w:r>
      <w:r w:rsidR="00397CC5">
        <w:rPr>
          <w:rFonts w:ascii="Arial" w:eastAsiaTheme="minorHAnsi" w:hAnsi="Arial" w:cs="Arial"/>
          <w:sz w:val="22"/>
          <w:szCs w:val="22"/>
          <w:lang w:val="es-MX" w:eastAsia="en-US"/>
        </w:rPr>
        <w:t>,</w:t>
      </w:r>
      <w:r w:rsidRPr="00E65D9D">
        <w:rPr>
          <w:rFonts w:ascii="Arial" w:eastAsiaTheme="minorHAnsi" w:hAnsi="Arial" w:cs="Arial"/>
          <w:sz w:val="22"/>
          <w:szCs w:val="22"/>
          <w:lang w:val="es-MX" w:eastAsia="en-US"/>
        </w:rPr>
        <w:t xml:space="preserve"> para presentar la oferta en los procesos de selección abreviada para adquirir bienes y servicios de características técnicas uniforme por subasta inversa, el proponente debe indicar si cumple con la ficha técnica y</w:t>
      </w:r>
      <w:r w:rsidR="00397CC5">
        <w:rPr>
          <w:rFonts w:ascii="Arial" w:eastAsiaTheme="minorHAnsi" w:hAnsi="Arial" w:cs="Arial"/>
          <w:sz w:val="22"/>
          <w:szCs w:val="22"/>
          <w:lang w:val="es-MX" w:eastAsia="en-US"/>
        </w:rPr>
        <w:t>, consecuentemente,</w:t>
      </w:r>
      <w:r w:rsidRPr="00E65D9D">
        <w:rPr>
          <w:rFonts w:ascii="Arial" w:eastAsiaTheme="minorHAnsi" w:hAnsi="Arial" w:cs="Arial"/>
          <w:sz w:val="22"/>
          <w:szCs w:val="22"/>
          <w:lang w:val="es-MX" w:eastAsia="en-US"/>
        </w:rPr>
        <w:t xml:space="preserve"> la entidad</w:t>
      </w:r>
      <w:r w:rsidR="00397CC5">
        <w:rPr>
          <w:rFonts w:ascii="Arial" w:eastAsiaTheme="minorHAnsi" w:hAnsi="Arial" w:cs="Arial"/>
          <w:sz w:val="22"/>
          <w:szCs w:val="22"/>
          <w:lang w:val="es-MX" w:eastAsia="en-US"/>
        </w:rPr>
        <w:t xml:space="preserve"> s</w:t>
      </w:r>
      <w:r w:rsidR="00E6772B">
        <w:rPr>
          <w:rFonts w:ascii="Arial" w:eastAsiaTheme="minorHAnsi" w:hAnsi="Arial" w:cs="Arial"/>
          <w:sz w:val="22"/>
          <w:szCs w:val="22"/>
          <w:lang w:val="es-MX" w:eastAsia="en-US"/>
        </w:rPr>
        <w:t>o</w:t>
      </w:r>
      <w:r w:rsidR="00397CC5">
        <w:rPr>
          <w:rFonts w:ascii="Arial" w:eastAsiaTheme="minorHAnsi" w:hAnsi="Arial" w:cs="Arial"/>
          <w:sz w:val="22"/>
          <w:szCs w:val="22"/>
          <w:lang w:val="es-MX" w:eastAsia="en-US"/>
        </w:rPr>
        <w:t>lo</w:t>
      </w:r>
      <w:r w:rsidRPr="00E65D9D">
        <w:rPr>
          <w:rFonts w:ascii="Arial" w:eastAsiaTheme="minorHAnsi" w:hAnsi="Arial" w:cs="Arial"/>
          <w:sz w:val="22"/>
          <w:szCs w:val="22"/>
          <w:lang w:val="es-MX" w:eastAsia="en-US"/>
        </w:rPr>
        <w:t xml:space="preserve"> debe habilitar al oferente que cumple con esta, pues hay subasta inversa cuando se presentan mínimo dos oferentes que cumplan con la ficha técnica</w:t>
      </w:r>
      <w:r w:rsidR="00397CC5">
        <w:rPr>
          <w:rFonts w:ascii="Arial" w:eastAsiaTheme="minorHAnsi" w:hAnsi="Arial" w:cs="Arial"/>
          <w:sz w:val="22"/>
          <w:szCs w:val="22"/>
          <w:lang w:val="es-MX" w:eastAsia="en-US"/>
        </w:rPr>
        <w:t xml:space="preserve">. Con todo, </w:t>
      </w:r>
      <w:r w:rsidRPr="00E65D9D">
        <w:rPr>
          <w:rFonts w:ascii="Arial" w:eastAsiaTheme="minorHAnsi" w:hAnsi="Arial" w:cs="Arial"/>
          <w:sz w:val="22"/>
          <w:szCs w:val="22"/>
          <w:lang w:val="es-MX" w:eastAsia="en-US"/>
        </w:rPr>
        <w:t>si un único proponente cumple, puede</w:t>
      </w:r>
      <w:r w:rsidR="00B073BD">
        <w:rPr>
          <w:rFonts w:ascii="Arial" w:eastAsiaTheme="minorHAnsi" w:hAnsi="Arial" w:cs="Arial"/>
          <w:sz w:val="22"/>
          <w:szCs w:val="22"/>
          <w:lang w:val="es-MX" w:eastAsia="en-US"/>
        </w:rPr>
        <w:t xml:space="preserve"> la entidad</w:t>
      </w:r>
      <w:r w:rsidRPr="00E65D9D">
        <w:rPr>
          <w:rFonts w:ascii="Arial" w:eastAsiaTheme="minorHAnsi" w:hAnsi="Arial" w:cs="Arial"/>
          <w:sz w:val="22"/>
          <w:szCs w:val="22"/>
          <w:lang w:val="es-MX" w:eastAsia="en-US"/>
        </w:rPr>
        <w:t xml:space="preserve"> adjudicarle el contrato al único oferente si el valor de la oferta es igual o inferior a la disponibilidad presupuestal para el contrato.</w:t>
      </w:r>
    </w:p>
    <w:p w14:paraId="7A99B868" w14:textId="64B06059" w:rsidR="00C32383" w:rsidRPr="00E65D9D" w:rsidRDefault="00E65D9D" w:rsidP="00C32383">
      <w:pPr>
        <w:autoSpaceDE w:val="0"/>
        <w:autoSpaceDN w:val="0"/>
        <w:adjustRightInd w:val="0"/>
        <w:spacing w:after="120" w:line="276" w:lineRule="auto"/>
        <w:ind w:firstLine="709"/>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En concordancia con lo anterior, según la línea de esta Agencia, en consulta con radicado 4201912000004846 del 3 de septiembre de 2019, «la entidad estatal determina el contenido de la ficha, es decir, las condiciones mínimas del bien o servicio que necesita. Lo anterior, no se traduce en que los oferentes no puedan presentar bienes o servicios que tengan mejores calidades de las que han sido descritas en la ficha técnica, sino que no pueden presentar fichas con calidad o patrones de desempeño que no cumplan con los mínimos establecidos por la entidad»</w:t>
      </w:r>
      <w:r w:rsidR="00C32383">
        <w:rPr>
          <w:rFonts w:ascii="Arial" w:eastAsiaTheme="minorHAnsi" w:hAnsi="Arial" w:cs="Arial"/>
          <w:sz w:val="22"/>
          <w:szCs w:val="22"/>
          <w:lang w:val="es-MX" w:eastAsia="en-US"/>
        </w:rPr>
        <w:t xml:space="preserve">. </w:t>
      </w:r>
    </w:p>
    <w:p w14:paraId="62B61B81" w14:textId="204432F4" w:rsidR="00C32383" w:rsidRDefault="00E65D9D">
      <w:pPr>
        <w:spacing w:after="120" w:line="276" w:lineRule="auto"/>
        <w:ind w:firstLine="709"/>
        <w:jc w:val="both"/>
        <w:textAlignment w:val="baseline"/>
        <w:rPr>
          <w:rFonts w:ascii="AppleSystemUIFont" w:eastAsiaTheme="minorHAnsi" w:hAnsi="AppleSystemUIFont" w:cs="AppleSystemUIFont"/>
          <w:sz w:val="26"/>
          <w:szCs w:val="26"/>
          <w:lang w:val="es-MX" w:eastAsia="en-US"/>
        </w:rPr>
      </w:pPr>
      <w:r w:rsidRPr="00E65D9D">
        <w:rPr>
          <w:rFonts w:ascii="Arial" w:eastAsiaTheme="minorHAnsi" w:hAnsi="Arial" w:cs="Arial"/>
          <w:sz w:val="22"/>
          <w:szCs w:val="22"/>
          <w:lang w:val="es-MX" w:eastAsia="en-US"/>
        </w:rPr>
        <w:t>Con base en lo anterior, es posible afirmar</w:t>
      </w:r>
      <w:r w:rsidR="00397CC5">
        <w:rPr>
          <w:rFonts w:ascii="Arial" w:eastAsiaTheme="minorHAnsi" w:hAnsi="Arial" w:cs="Arial"/>
          <w:sz w:val="22"/>
          <w:szCs w:val="22"/>
          <w:lang w:val="es-MX" w:eastAsia="en-US"/>
        </w:rPr>
        <w:t xml:space="preserve"> que</w:t>
      </w:r>
      <w:r w:rsidRPr="00E65D9D">
        <w:rPr>
          <w:rFonts w:ascii="Arial" w:eastAsiaTheme="minorHAnsi" w:hAnsi="Arial" w:cs="Arial"/>
          <w:sz w:val="22"/>
          <w:szCs w:val="22"/>
          <w:lang w:val="es-MX" w:eastAsia="en-US"/>
        </w:rPr>
        <w:t xml:space="preserve"> una ficha técnica consiste en el instrumento que contiene las condiciones o características mínimas que requieren los bienes y servicios que se pretenden contratar por parte de la entidad. Por tratarse de requisitos mínimos, debe aclararse que los oferentes pueden presentar bienes y servicios con calidades superiores a las exigidas, sin que con ello se desnaturalice la función de la ficha técnica, consistente en garantizar que se cumplan con el mínimo de requisitos establecidos.</w:t>
      </w:r>
      <w:r>
        <w:rPr>
          <w:rFonts w:ascii="AppleSystemUIFont" w:eastAsiaTheme="minorHAnsi" w:hAnsi="AppleSystemUIFont" w:cs="AppleSystemUIFont"/>
          <w:sz w:val="26"/>
          <w:szCs w:val="26"/>
          <w:lang w:val="es-MX" w:eastAsia="en-US"/>
        </w:rPr>
        <w:t> </w:t>
      </w:r>
    </w:p>
    <w:p w14:paraId="3C4A9B22" w14:textId="079D9F02" w:rsidR="00E65D9D" w:rsidRPr="00585342" w:rsidRDefault="00C32383" w:rsidP="003725F6">
      <w:pPr>
        <w:spacing w:line="276" w:lineRule="auto"/>
        <w:ind w:firstLine="708"/>
        <w:jc w:val="both"/>
        <w:textAlignment w:val="baseline"/>
        <w:rPr>
          <w:rFonts w:ascii="Arial" w:eastAsia="Calibri" w:hAnsi="Arial" w:cs="Arial"/>
          <w:bCs/>
          <w:color w:val="000000" w:themeColor="text1"/>
          <w:sz w:val="22"/>
          <w:szCs w:val="22"/>
        </w:rPr>
      </w:pPr>
      <w:r w:rsidRPr="00C32383">
        <w:rPr>
          <w:rFonts w:ascii="Arial" w:eastAsiaTheme="minorHAnsi" w:hAnsi="Arial" w:cs="Arial"/>
          <w:color w:val="000000" w:themeColor="text1"/>
          <w:sz w:val="22"/>
          <w:szCs w:val="22"/>
          <w:lang w:val="es-MX" w:eastAsia="en-US"/>
        </w:rPr>
        <w:t>Adicional</w:t>
      </w:r>
      <w:r w:rsidR="00397CC5">
        <w:rPr>
          <w:rFonts w:ascii="Arial" w:eastAsiaTheme="minorHAnsi" w:hAnsi="Arial" w:cs="Arial"/>
          <w:color w:val="000000" w:themeColor="text1"/>
          <w:sz w:val="22"/>
          <w:szCs w:val="22"/>
          <w:lang w:val="es-MX" w:eastAsia="en-US"/>
        </w:rPr>
        <w:t>mente</w:t>
      </w:r>
      <w:r w:rsidRPr="00C32383">
        <w:rPr>
          <w:rFonts w:ascii="Arial" w:eastAsiaTheme="minorHAnsi" w:hAnsi="Arial" w:cs="Arial"/>
          <w:color w:val="000000" w:themeColor="text1"/>
          <w:sz w:val="22"/>
          <w:szCs w:val="22"/>
          <w:lang w:val="es-MX" w:eastAsia="en-US"/>
        </w:rPr>
        <w:t xml:space="preserve">, </w:t>
      </w:r>
      <w:r w:rsidR="00397CC5">
        <w:rPr>
          <w:rFonts w:ascii="Arial" w:eastAsiaTheme="minorHAnsi" w:hAnsi="Arial" w:cs="Arial"/>
          <w:color w:val="000000" w:themeColor="text1"/>
          <w:sz w:val="22"/>
          <w:szCs w:val="22"/>
          <w:lang w:val="es-MX" w:eastAsia="en-US"/>
        </w:rPr>
        <w:t xml:space="preserve">es posible </w:t>
      </w:r>
      <w:r w:rsidR="007A22E6">
        <w:rPr>
          <w:rFonts w:ascii="Arial" w:eastAsiaTheme="minorHAnsi" w:hAnsi="Arial" w:cs="Arial"/>
          <w:color w:val="000000" w:themeColor="text1"/>
          <w:sz w:val="22"/>
          <w:szCs w:val="22"/>
          <w:lang w:val="es-MX" w:eastAsia="en-US"/>
        </w:rPr>
        <w:t xml:space="preserve">precisar que, si bien la </w:t>
      </w:r>
      <w:r>
        <w:rPr>
          <w:rFonts w:ascii="Arial" w:eastAsiaTheme="minorHAnsi" w:hAnsi="Arial" w:cs="Arial"/>
          <w:color w:val="000000" w:themeColor="text1"/>
          <w:sz w:val="22"/>
          <w:szCs w:val="22"/>
          <w:lang w:val="es-MX" w:eastAsia="en-US"/>
        </w:rPr>
        <w:t xml:space="preserve">ficha técnica hace parte de uno de los componentes del proceso de la subasta inversa, </w:t>
      </w:r>
      <w:r>
        <w:rPr>
          <w:rFonts w:ascii="Arial" w:hAnsi="Arial" w:cs="Arial"/>
          <w:color w:val="000000" w:themeColor="text1"/>
          <w:sz w:val="22"/>
          <w:szCs w:val="22"/>
        </w:rPr>
        <w:t>según</w:t>
      </w:r>
      <w:r w:rsidRPr="00C32383">
        <w:rPr>
          <w:rFonts w:ascii="Arial" w:hAnsi="Arial" w:cs="Arial"/>
          <w:color w:val="000000" w:themeColor="text1"/>
          <w:sz w:val="22"/>
          <w:szCs w:val="22"/>
        </w:rPr>
        <w:t xml:space="preserve"> la normativa del sistema de compra pública, </w:t>
      </w:r>
      <w:r w:rsidR="007A22E6">
        <w:rPr>
          <w:rFonts w:ascii="Arial" w:hAnsi="Arial" w:cs="Arial"/>
          <w:color w:val="000000" w:themeColor="text1"/>
          <w:sz w:val="22"/>
          <w:szCs w:val="22"/>
        </w:rPr>
        <w:t xml:space="preserve">es posible </w:t>
      </w:r>
      <w:r>
        <w:rPr>
          <w:rFonts w:ascii="Arial" w:hAnsi="Arial" w:cs="Arial"/>
          <w:color w:val="000000" w:themeColor="text1"/>
          <w:sz w:val="22"/>
          <w:szCs w:val="22"/>
        </w:rPr>
        <w:t xml:space="preserve">concluir que, </w:t>
      </w:r>
      <w:r>
        <w:rPr>
          <w:rStyle w:val="normaltextrun"/>
          <w:rFonts w:ascii="Arial" w:hAnsi="Arial" w:cs="Arial"/>
          <w:sz w:val="22"/>
          <w:szCs w:val="22"/>
          <w:lang w:val="es-ES"/>
        </w:rPr>
        <w:t xml:space="preserve">toda vez que la ficha técnica es un documento que contiene los aspectos técnicos mínimos de acreditación del bien o servicio a ofertar, no es un factor susceptible de evaluación </w:t>
      </w:r>
      <w:r w:rsidR="00FB6E41" w:rsidRPr="007849C9">
        <w:rPr>
          <w:rStyle w:val="normaltextrun"/>
          <w:rFonts w:ascii="Arial" w:hAnsi="Arial" w:cs="Arial"/>
          <w:sz w:val="22"/>
          <w:szCs w:val="22"/>
          <w:lang w:val="es-ES"/>
        </w:rPr>
        <w:t>mediante</w:t>
      </w:r>
      <w:r w:rsidRPr="007849C9">
        <w:rPr>
          <w:rStyle w:val="normaltextrun"/>
          <w:rFonts w:ascii="Arial" w:hAnsi="Arial" w:cs="Arial"/>
          <w:sz w:val="22"/>
          <w:szCs w:val="22"/>
          <w:lang w:val="es-ES"/>
        </w:rPr>
        <w:t xml:space="preserve"> la asignación de puntaje</w:t>
      </w:r>
      <w:r w:rsidR="00E6772B" w:rsidRPr="007849C9">
        <w:rPr>
          <w:rStyle w:val="normaltextrun"/>
          <w:rFonts w:ascii="Arial" w:hAnsi="Arial" w:cs="Arial"/>
          <w:sz w:val="22"/>
          <w:szCs w:val="22"/>
          <w:lang w:val="es-ES"/>
        </w:rPr>
        <w:t>, máxime cuando de conformidad con el numeral 3 del artículo de la Ley 1150 de 2007</w:t>
      </w:r>
      <w:r w:rsidR="003725F6">
        <w:rPr>
          <w:rStyle w:val="normaltextrun"/>
          <w:rFonts w:ascii="Arial" w:hAnsi="Arial" w:cs="Arial"/>
          <w:sz w:val="22"/>
          <w:szCs w:val="22"/>
          <w:lang w:val="es-ES"/>
        </w:rPr>
        <w:t xml:space="preserve"> </w:t>
      </w:r>
      <w:r w:rsidR="003725F6" w:rsidRPr="003725F6">
        <w:rPr>
          <w:rStyle w:val="normaltextrun"/>
          <w:rFonts w:ascii="Arial" w:hAnsi="Arial" w:cs="Arial"/>
          <w:sz w:val="22"/>
          <w:szCs w:val="22"/>
          <w:lang w:val="es-ES"/>
        </w:rPr>
        <w:t>«[…]</w:t>
      </w:r>
      <w:r w:rsidR="003725F6">
        <w:rPr>
          <w:rStyle w:val="normaltextrun"/>
          <w:rFonts w:ascii="Arial" w:hAnsi="Arial" w:cs="Arial"/>
          <w:sz w:val="22"/>
          <w:szCs w:val="22"/>
          <w:lang w:val="es-ES"/>
        </w:rPr>
        <w:t xml:space="preserve"> </w:t>
      </w:r>
      <w:r w:rsidR="003725F6" w:rsidRPr="003725F6">
        <w:rPr>
          <w:rStyle w:val="normaltextrun"/>
          <w:rFonts w:ascii="Arial" w:hAnsi="Arial" w:cs="Arial"/>
          <w:sz w:val="22"/>
          <w:szCs w:val="22"/>
          <w:lang w:val="es-ES"/>
        </w:rPr>
        <w:t xml:space="preserve">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r w:rsidR="007A22E6" w:rsidRPr="007849C9">
        <w:rPr>
          <w:rStyle w:val="normaltextrun"/>
          <w:rFonts w:ascii="Arial" w:hAnsi="Arial" w:cs="Arial"/>
          <w:sz w:val="22"/>
          <w:szCs w:val="22"/>
          <w:lang w:val="es-ES"/>
        </w:rPr>
        <w:t>E</w:t>
      </w:r>
      <w:r w:rsidRPr="007849C9">
        <w:rPr>
          <w:rStyle w:val="normaltextrun"/>
          <w:rFonts w:ascii="Arial" w:hAnsi="Arial" w:cs="Arial"/>
          <w:sz w:val="22"/>
          <w:szCs w:val="22"/>
          <w:lang w:val="es-ES"/>
        </w:rPr>
        <w:t>n</w:t>
      </w:r>
      <w:r w:rsidRPr="000170B8">
        <w:rPr>
          <w:rStyle w:val="normaltextrun"/>
          <w:szCs w:val="22"/>
        </w:rPr>
        <w:t> </w:t>
      </w:r>
      <w:r w:rsidRPr="007849C9">
        <w:rPr>
          <w:rStyle w:val="normaltextrun"/>
          <w:rFonts w:ascii="Arial" w:hAnsi="Arial" w:cs="Arial"/>
          <w:sz w:val="22"/>
          <w:szCs w:val="22"/>
          <w:lang w:val="es-ES"/>
        </w:rPr>
        <w:t>consecuencia</w:t>
      </w:r>
      <w:r w:rsidR="007A22E6" w:rsidRPr="007849C9">
        <w:rPr>
          <w:rStyle w:val="normaltextrun"/>
          <w:rFonts w:ascii="Arial" w:hAnsi="Arial" w:cs="Arial"/>
          <w:sz w:val="22"/>
          <w:szCs w:val="22"/>
          <w:lang w:val="es-ES"/>
        </w:rPr>
        <w:t>,</w:t>
      </w:r>
      <w:r w:rsidRPr="000170B8">
        <w:rPr>
          <w:rStyle w:val="normaltextrun"/>
          <w:szCs w:val="22"/>
        </w:rPr>
        <w:t> </w:t>
      </w:r>
      <w:r w:rsidR="00E6772B" w:rsidRPr="000170B8">
        <w:rPr>
          <w:rStyle w:val="normaltextrun"/>
          <w:rFonts w:ascii="Arial" w:hAnsi="Arial" w:cs="Arial"/>
          <w:sz w:val="22"/>
          <w:szCs w:val="22"/>
          <w:lang w:val="es-ES"/>
        </w:rPr>
        <w:t xml:space="preserve">de conformidad con el </w:t>
      </w:r>
      <w:r w:rsidR="00E6772B" w:rsidRPr="007849C9">
        <w:rPr>
          <w:rStyle w:val="normaltextrun"/>
          <w:rFonts w:ascii="Arial" w:hAnsi="Arial" w:cs="Arial"/>
          <w:sz w:val="22"/>
          <w:szCs w:val="22"/>
          <w:lang w:val="es-ES"/>
        </w:rPr>
        <w:t>parágrafo 1 del artículo 5 de la Ley 1150 de 2007 –modificado por</w:t>
      </w:r>
      <w:r w:rsidR="00E6772B">
        <w:rPr>
          <w:rStyle w:val="normaltextrun"/>
          <w:rFonts w:ascii="Arial" w:hAnsi="Arial" w:cs="Arial"/>
          <w:sz w:val="22"/>
          <w:szCs w:val="22"/>
          <w:lang w:val="es-ES"/>
        </w:rPr>
        <w:t xml:space="preserve"> el artículo 5 de la Ley 1882 de 2018–, </w:t>
      </w:r>
      <w:r>
        <w:rPr>
          <w:rStyle w:val="normaltextrun"/>
          <w:rFonts w:ascii="Arial" w:hAnsi="Arial" w:cs="Arial"/>
          <w:sz w:val="22"/>
          <w:szCs w:val="22"/>
          <w:lang w:val="es-ES"/>
        </w:rPr>
        <w:t xml:space="preserve">la entidad debe permitirle al oferente subsanar la ficha </w:t>
      </w:r>
      <w:r>
        <w:rPr>
          <w:rStyle w:val="normaltextrun"/>
          <w:rFonts w:ascii="Arial" w:hAnsi="Arial" w:cs="Arial"/>
          <w:sz w:val="22"/>
          <w:szCs w:val="22"/>
          <w:lang w:val="es-ES"/>
        </w:rPr>
        <w:lastRenderedPageBreak/>
        <w:t xml:space="preserve">técnica, </w:t>
      </w:r>
      <w:r w:rsidR="00E6772B">
        <w:rPr>
          <w:rStyle w:val="normaltextrun"/>
          <w:rFonts w:ascii="Arial" w:hAnsi="Arial" w:cs="Arial"/>
          <w:sz w:val="22"/>
          <w:szCs w:val="22"/>
          <w:lang w:val="es-ES"/>
        </w:rPr>
        <w:t>cuando a su juicio esta no haya sido cumplida por el ofer</w:t>
      </w:r>
      <w:r w:rsidR="005B14AD">
        <w:rPr>
          <w:rStyle w:val="normaltextrun"/>
          <w:rFonts w:ascii="Arial" w:hAnsi="Arial" w:cs="Arial"/>
          <w:sz w:val="22"/>
          <w:szCs w:val="22"/>
          <w:lang w:val="es-ES"/>
        </w:rPr>
        <w:t>en</w:t>
      </w:r>
      <w:r w:rsidR="00E6772B">
        <w:rPr>
          <w:rStyle w:val="normaltextrun"/>
          <w:rFonts w:ascii="Arial" w:hAnsi="Arial" w:cs="Arial"/>
          <w:sz w:val="22"/>
          <w:szCs w:val="22"/>
          <w:lang w:val="es-ES"/>
        </w:rPr>
        <w:t>te en los términos exigidos en el pliego de condiciones, por tratarse de un requisito que no asigna puntaje</w:t>
      </w:r>
      <w:r>
        <w:rPr>
          <w:rStyle w:val="normaltextrun"/>
          <w:rFonts w:ascii="Arial" w:hAnsi="Arial" w:cs="Arial"/>
          <w:sz w:val="22"/>
          <w:szCs w:val="22"/>
          <w:lang w:val="es-ES"/>
        </w:rPr>
        <w:t xml:space="preserve">. </w:t>
      </w:r>
    </w:p>
    <w:p w14:paraId="1A30FEEC" w14:textId="051EC737" w:rsidR="00C32383" w:rsidRDefault="00C32383" w:rsidP="00B35449">
      <w:pPr>
        <w:tabs>
          <w:tab w:val="left" w:pos="284"/>
        </w:tabs>
        <w:rPr>
          <w:rFonts w:ascii="Arial" w:hAnsi="Arial" w:cs="Arial"/>
          <w:b/>
          <w:bCs/>
          <w:color w:val="000000" w:themeColor="text1"/>
          <w:sz w:val="22"/>
        </w:rPr>
      </w:pPr>
    </w:p>
    <w:p w14:paraId="08CD3DF5" w14:textId="77777777" w:rsidR="00427F89" w:rsidRDefault="00427F89" w:rsidP="00B35449">
      <w:pPr>
        <w:tabs>
          <w:tab w:val="left" w:pos="284"/>
        </w:tabs>
        <w:rPr>
          <w:rFonts w:ascii="Arial" w:hAnsi="Arial" w:cs="Arial"/>
          <w:b/>
          <w:bCs/>
          <w:color w:val="000000" w:themeColor="text1"/>
          <w:sz w:val="22"/>
        </w:rPr>
      </w:pPr>
    </w:p>
    <w:p w14:paraId="580EE935" w14:textId="2F0627C8" w:rsidR="000A3221" w:rsidRPr="00B35449" w:rsidRDefault="00E65D9D" w:rsidP="00B35449">
      <w:pPr>
        <w:tabs>
          <w:tab w:val="left" w:pos="284"/>
        </w:tabs>
        <w:rPr>
          <w:rFonts w:ascii="Arial" w:hAnsi="Arial" w:cs="Arial"/>
          <w:b/>
          <w:bCs/>
          <w:color w:val="000000" w:themeColor="text1"/>
          <w:sz w:val="22"/>
        </w:rPr>
      </w:pPr>
      <w:r>
        <w:rPr>
          <w:rFonts w:ascii="Arial" w:hAnsi="Arial" w:cs="Arial"/>
          <w:b/>
          <w:bCs/>
          <w:color w:val="000000" w:themeColor="text1"/>
          <w:sz w:val="22"/>
        </w:rPr>
        <w:t>3.</w:t>
      </w:r>
      <w:r w:rsidR="000A3221" w:rsidRPr="00B35449">
        <w:rPr>
          <w:rFonts w:ascii="Arial" w:hAnsi="Arial" w:cs="Arial"/>
          <w:b/>
          <w:bCs/>
          <w:color w:val="000000" w:themeColor="text1"/>
          <w:sz w:val="22"/>
        </w:rPr>
        <w:t xml:space="preserve">Respuesta </w:t>
      </w:r>
    </w:p>
    <w:p w14:paraId="4F157BB5" w14:textId="77777777" w:rsidR="000A3221" w:rsidRPr="006C15D5" w:rsidRDefault="000A3221" w:rsidP="00E65D9D">
      <w:pPr>
        <w:pStyle w:val="Prrafodelista"/>
        <w:tabs>
          <w:tab w:val="left" w:pos="284"/>
        </w:tabs>
        <w:spacing w:after="120"/>
        <w:ind w:left="0" w:firstLine="709"/>
        <w:rPr>
          <w:rFonts w:ascii="Arial" w:hAnsi="Arial" w:cs="Arial"/>
          <w:b/>
          <w:bCs/>
          <w:color w:val="000000" w:themeColor="text1"/>
          <w:sz w:val="22"/>
          <w:lang w:val="es-CO"/>
        </w:rPr>
      </w:pPr>
    </w:p>
    <w:p w14:paraId="6A11F40F" w14:textId="16E6B49D" w:rsidR="00E65D9D" w:rsidRPr="00E65D9D" w:rsidRDefault="00E65D9D" w:rsidP="000170B8">
      <w:pPr>
        <w:autoSpaceDE w:val="0"/>
        <w:autoSpaceDN w:val="0"/>
        <w:adjustRightInd w:val="0"/>
        <w:ind w:left="709" w:right="709"/>
        <w:jc w:val="both"/>
        <w:rPr>
          <w:rFonts w:ascii="Arial" w:eastAsiaTheme="minorHAnsi" w:hAnsi="Arial" w:cs="Arial"/>
          <w:sz w:val="21"/>
          <w:szCs w:val="21"/>
          <w:lang w:val="es-MX" w:eastAsia="en-US"/>
        </w:rPr>
      </w:pPr>
      <w:r w:rsidRPr="00E65D9D">
        <w:rPr>
          <w:rFonts w:ascii="Arial" w:eastAsiaTheme="minorHAnsi" w:hAnsi="Arial" w:cs="Arial"/>
          <w:sz w:val="21"/>
          <w:szCs w:val="21"/>
          <w:lang w:val="es-MX" w:eastAsia="en-US"/>
        </w:rPr>
        <w:t>1. ¿Para la adquisición de qué tipo de bienes o servicios se debe utilizar la subasta inversa?  </w:t>
      </w:r>
    </w:p>
    <w:p w14:paraId="4DCCD471" w14:textId="77777777" w:rsidR="00E65D9D" w:rsidRPr="00E65D9D" w:rsidRDefault="00E65D9D">
      <w:pPr>
        <w:autoSpaceDE w:val="0"/>
        <w:autoSpaceDN w:val="0"/>
        <w:adjustRightInd w:val="0"/>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 </w:t>
      </w:r>
    </w:p>
    <w:p w14:paraId="5A889E30" w14:textId="5496CEB8" w:rsidR="00E65D9D" w:rsidRPr="00E65D9D" w:rsidRDefault="00E65D9D" w:rsidP="00E65D9D">
      <w:pPr>
        <w:autoSpaceDE w:val="0"/>
        <w:autoSpaceDN w:val="0"/>
        <w:adjustRightInd w:val="0"/>
        <w:spacing w:after="120" w:line="276" w:lineRule="auto"/>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 xml:space="preserve">Según lo expuesto anteriormente, de conformidad con lo previsto en el artículo 2 de la Ley 1150 de 2007 y la normativa contenida en el Decreto 1082 de 2015, la subasta inversa puede ser utilizada en dos eventos: primero, en la licitación pública, con independencia del bien o servicio a adquirir, cuando la </w:t>
      </w:r>
      <w:r w:rsidR="002D24FF">
        <w:rPr>
          <w:rFonts w:ascii="Arial" w:eastAsiaTheme="minorHAnsi" w:hAnsi="Arial" w:cs="Arial"/>
          <w:sz w:val="22"/>
          <w:szCs w:val="22"/>
          <w:lang w:val="es-MX" w:eastAsia="en-US"/>
        </w:rPr>
        <w:t>e</w:t>
      </w:r>
      <w:r w:rsidRPr="00E65D9D">
        <w:rPr>
          <w:rFonts w:ascii="Arial" w:eastAsiaTheme="minorHAnsi" w:hAnsi="Arial" w:cs="Arial"/>
          <w:sz w:val="22"/>
          <w:szCs w:val="22"/>
          <w:lang w:val="es-MX" w:eastAsia="en-US"/>
        </w:rPr>
        <w:t xml:space="preserve">ntidad </w:t>
      </w:r>
      <w:r w:rsidR="002D24FF">
        <w:rPr>
          <w:rFonts w:ascii="Arial" w:eastAsiaTheme="minorHAnsi" w:hAnsi="Arial" w:cs="Arial"/>
          <w:sz w:val="22"/>
          <w:szCs w:val="22"/>
          <w:lang w:val="es-MX" w:eastAsia="en-US"/>
        </w:rPr>
        <w:t>e</w:t>
      </w:r>
      <w:r w:rsidRPr="00E65D9D">
        <w:rPr>
          <w:rFonts w:ascii="Arial" w:eastAsiaTheme="minorHAnsi" w:hAnsi="Arial" w:cs="Arial"/>
          <w:sz w:val="22"/>
          <w:szCs w:val="22"/>
          <w:lang w:val="es-MX" w:eastAsia="en-US"/>
        </w:rPr>
        <w:t>statal</w:t>
      </w:r>
      <w:r w:rsidR="007A22E6">
        <w:rPr>
          <w:rFonts w:ascii="Arial" w:eastAsiaTheme="minorHAnsi" w:hAnsi="Arial" w:cs="Arial"/>
          <w:sz w:val="22"/>
          <w:szCs w:val="22"/>
          <w:lang w:val="es-MX" w:eastAsia="en-US"/>
        </w:rPr>
        <w:t xml:space="preserve"> utilice la licitación pública como mecanismo de selección del contratista y</w:t>
      </w:r>
      <w:r w:rsidRPr="00E65D9D">
        <w:rPr>
          <w:rFonts w:ascii="Arial" w:eastAsiaTheme="minorHAnsi" w:hAnsi="Arial" w:cs="Arial"/>
          <w:sz w:val="22"/>
          <w:szCs w:val="22"/>
          <w:lang w:val="es-MX" w:eastAsia="en-US"/>
        </w:rPr>
        <w:t>, en ejercicio de su discrecionalidad, considere que la oferta debe ser presentada de esa forma. Y, segundo, en la selección abreviada para la adquisición de bienes y servicios de características técnicas uniformes y de común utilización. </w:t>
      </w:r>
    </w:p>
    <w:p w14:paraId="43079322" w14:textId="5294F9DE" w:rsidR="00E65D9D" w:rsidRPr="00E65D9D" w:rsidRDefault="00E65D9D" w:rsidP="00E65D9D">
      <w:pPr>
        <w:autoSpaceDE w:val="0"/>
        <w:autoSpaceDN w:val="0"/>
        <w:adjustRightInd w:val="0"/>
        <w:spacing w:after="120" w:line="276" w:lineRule="auto"/>
        <w:ind w:firstLine="709"/>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 xml:space="preserve">De este modo, resulta claro que la naturaleza o tipo de bienes y servicios a adquirir </w:t>
      </w:r>
      <w:r w:rsidR="005B14AD">
        <w:rPr>
          <w:rFonts w:ascii="Arial" w:eastAsiaTheme="minorHAnsi" w:hAnsi="Arial" w:cs="Arial"/>
          <w:sz w:val="22"/>
          <w:szCs w:val="22"/>
          <w:lang w:val="es-MX" w:eastAsia="en-US"/>
        </w:rPr>
        <w:t>mediante</w:t>
      </w:r>
      <w:r w:rsidRPr="00E65D9D">
        <w:rPr>
          <w:rFonts w:ascii="Arial" w:eastAsiaTheme="minorHAnsi" w:hAnsi="Arial" w:cs="Arial"/>
          <w:sz w:val="22"/>
          <w:szCs w:val="22"/>
          <w:lang w:val="es-MX" w:eastAsia="en-US"/>
        </w:rPr>
        <w:t xml:space="preserve"> subasta inversa es importante según la modalidad de selección. En el caso de la licitación pública no existe limitación normativa, </w:t>
      </w:r>
      <w:r w:rsidR="0084756C">
        <w:rPr>
          <w:rFonts w:ascii="Arial" w:eastAsiaTheme="minorHAnsi" w:hAnsi="Arial" w:cs="Arial"/>
          <w:sz w:val="22"/>
          <w:szCs w:val="22"/>
          <w:lang w:val="es-MX" w:eastAsia="en-US"/>
        </w:rPr>
        <w:t>por lo que</w:t>
      </w:r>
      <w:r w:rsidR="0084756C" w:rsidRPr="00E65D9D">
        <w:rPr>
          <w:rFonts w:ascii="Arial" w:eastAsiaTheme="minorHAnsi" w:hAnsi="Arial" w:cs="Arial"/>
          <w:sz w:val="22"/>
          <w:szCs w:val="22"/>
          <w:lang w:val="es-MX" w:eastAsia="en-US"/>
        </w:rPr>
        <w:t xml:space="preserve"> </w:t>
      </w:r>
      <w:r w:rsidRPr="00E65D9D">
        <w:rPr>
          <w:rFonts w:ascii="Arial" w:eastAsiaTheme="minorHAnsi" w:hAnsi="Arial" w:cs="Arial"/>
          <w:sz w:val="22"/>
          <w:szCs w:val="22"/>
          <w:lang w:val="es-MX" w:eastAsia="en-US"/>
        </w:rPr>
        <w:t xml:space="preserve">se puede adquirir cualquier tipo de bien o servicio que deba ser contratado </w:t>
      </w:r>
      <w:r w:rsidR="0084756C">
        <w:rPr>
          <w:rFonts w:ascii="Arial" w:eastAsiaTheme="minorHAnsi" w:hAnsi="Arial" w:cs="Arial"/>
          <w:sz w:val="22"/>
          <w:szCs w:val="22"/>
          <w:lang w:val="es-MX" w:eastAsia="en-US"/>
        </w:rPr>
        <w:t>mediante</w:t>
      </w:r>
      <w:r w:rsidRPr="00E65D9D">
        <w:rPr>
          <w:rFonts w:ascii="Arial" w:eastAsiaTheme="minorHAnsi" w:hAnsi="Arial" w:cs="Arial"/>
          <w:sz w:val="22"/>
          <w:szCs w:val="22"/>
          <w:lang w:val="es-MX" w:eastAsia="en-US"/>
        </w:rPr>
        <w:t xml:space="preserve"> esa modalidad de selección; mientras que </w:t>
      </w:r>
      <w:r w:rsidR="0084756C">
        <w:rPr>
          <w:rFonts w:ascii="Arial" w:eastAsiaTheme="minorHAnsi" w:hAnsi="Arial" w:cs="Arial"/>
          <w:sz w:val="22"/>
          <w:szCs w:val="22"/>
          <w:lang w:val="es-MX" w:eastAsia="en-US"/>
        </w:rPr>
        <w:t xml:space="preserve">en </w:t>
      </w:r>
      <w:r w:rsidRPr="00E65D9D">
        <w:rPr>
          <w:rFonts w:ascii="Arial" w:eastAsiaTheme="minorHAnsi" w:hAnsi="Arial" w:cs="Arial"/>
          <w:sz w:val="22"/>
          <w:szCs w:val="22"/>
          <w:lang w:val="es-MX" w:eastAsia="en-US"/>
        </w:rPr>
        <w:t>el caso de la selección abreviada, s</w:t>
      </w:r>
      <w:r w:rsidR="0084756C">
        <w:rPr>
          <w:rFonts w:ascii="Arial" w:eastAsiaTheme="minorHAnsi" w:hAnsi="Arial" w:cs="Arial"/>
          <w:sz w:val="22"/>
          <w:szCs w:val="22"/>
          <w:lang w:val="es-MX" w:eastAsia="en-US"/>
        </w:rPr>
        <w:t>o</w:t>
      </w:r>
      <w:r w:rsidRPr="00E65D9D">
        <w:rPr>
          <w:rFonts w:ascii="Arial" w:eastAsiaTheme="minorHAnsi" w:hAnsi="Arial" w:cs="Arial"/>
          <w:sz w:val="22"/>
          <w:szCs w:val="22"/>
          <w:lang w:val="es-MX" w:eastAsia="en-US"/>
        </w:rPr>
        <w:t>lo se pueden adquirir a través de subasta inversa los bienes y servicios de características técnicas uniformes y de común utilización.  </w:t>
      </w:r>
    </w:p>
    <w:p w14:paraId="6A367EDA" w14:textId="384297C2" w:rsidR="00E65D9D" w:rsidRPr="00E65D9D" w:rsidRDefault="00E65D9D" w:rsidP="00E65D9D">
      <w:pPr>
        <w:autoSpaceDE w:val="0"/>
        <w:autoSpaceDN w:val="0"/>
        <w:adjustRightInd w:val="0"/>
        <w:spacing w:line="276" w:lineRule="auto"/>
        <w:ind w:firstLine="709"/>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 xml:space="preserve">A este último respecto, se reitera la línea </w:t>
      </w:r>
      <w:r w:rsidR="0084756C">
        <w:rPr>
          <w:rFonts w:ascii="Arial" w:eastAsiaTheme="minorHAnsi" w:hAnsi="Arial" w:cs="Arial"/>
          <w:sz w:val="22"/>
          <w:szCs w:val="22"/>
          <w:lang w:val="es-MX" w:eastAsia="en-US"/>
        </w:rPr>
        <w:t>argumentativa</w:t>
      </w:r>
      <w:r w:rsidR="0084756C" w:rsidRPr="00E65D9D">
        <w:rPr>
          <w:rFonts w:ascii="Arial" w:eastAsiaTheme="minorHAnsi" w:hAnsi="Arial" w:cs="Arial"/>
          <w:sz w:val="22"/>
          <w:szCs w:val="22"/>
          <w:lang w:val="es-MX" w:eastAsia="en-US"/>
        </w:rPr>
        <w:t xml:space="preserve"> </w:t>
      </w:r>
      <w:r w:rsidRPr="00E65D9D">
        <w:rPr>
          <w:rFonts w:ascii="Arial" w:eastAsiaTheme="minorHAnsi" w:hAnsi="Arial" w:cs="Arial"/>
          <w:sz w:val="22"/>
          <w:szCs w:val="22"/>
          <w:lang w:val="es-MX" w:eastAsia="en-US"/>
        </w:rPr>
        <w:t>de esta Agencia, en el sentido de entender que los bienes y servicios de características técnicas uniformes y de común utilización son bienes y servicios con especificaciones técnicas y patrones de desempeño y calidad iguales o similares, que en consecuencia pueden ser agrupados como bienes y servicios homogéneos para su adquisición. </w:t>
      </w:r>
    </w:p>
    <w:p w14:paraId="7E1B9432" w14:textId="47AD5A65" w:rsidR="00E65D9D" w:rsidRPr="00E65D9D" w:rsidRDefault="00E65D9D" w:rsidP="00E65D9D">
      <w:pPr>
        <w:autoSpaceDE w:val="0"/>
        <w:autoSpaceDN w:val="0"/>
        <w:adjustRightInd w:val="0"/>
        <w:spacing w:line="276" w:lineRule="auto"/>
        <w:ind w:firstLine="709"/>
        <w:jc w:val="both"/>
        <w:rPr>
          <w:rFonts w:ascii="Arial" w:eastAsiaTheme="minorHAnsi" w:hAnsi="Arial" w:cs="Arial"/>
          <w:sz w:val="22"/>
          <w:szCs w:val="22"/>
          <w:lang w:val="es-MX" w:eastAsia="en-US"/>
        </w:rPr>
      </w:pPr>
    </w:p>
    <w:p w14:paraId="031143B8" w14:textId="77777777" w:rsidR="00E65D9D" w:rsidRPr="00E65D9D" w:rsidRDefault="00E65D9D" w:rsidP="00E65D9D">
      <w:pPr>
        <w:autoSpaceDE w:val="0"/>
        <w:autoSpaceDN w:val="0"/>
        <w:adjustRightInd w:val="0"/>
        <w:ind w:left="709" w:right="709"/>
        <w:jc w:val="both"/>
        <w:rPr>
          <w:rFonts w:ascii="Arial" w:eastAsiaTheme="minorHAnsi" w:hAnsi="Arial" w:cs="Arial"/>
          <w:sz w:val="21"/>
          <w:szCs w:val="21"/>
          <w:lang w:val="es-MX" w:eastAsia="en-US"/>
        </w:rPr>
      </w:pPr>
      <w:r w:rsidRPr="00E65D9D">
        <w:rPr>
          <w:rFonts w:ascii="Arial" w:eastAsiaTheme="minorHAnsi" w:hAnsi="Arial" w:cs="Arial"/>
          <w:sz w:val="21"/>
          <w:szCs w:val="21"/>
          <w:lang w:val="es-MX" w:eastAsia="en-US"/>
        </w:rPr>
        <w:t>2. ¿Qué es una ficha técnica? </w:t>
      </w:r>
    </w:p>
    <w:p w14:paraId="485F9F91" w14:textId="77777777" w:rsidR="00E65D9D" w:rsidRPr="00E65D9D" w:rsidRDefault="00E65D9D" w:rsidP="00E65D9D">
      <w:pPr>
        <w:autoSpaceDE w:val="0"/>
        <w:autoSpaceDN w:val="0"/>
        <w:adjustRightInd w:val="0"/>
        <w:jc w:val="both"/>
        <w:rPr>
          <w:rFonts w:ascii="Arial" w:eastAsiaTheme="minorHAnsi" w:hAnsi="Arial" w:cs="Arial"/>
          <w:sz w:val="22"/>
          <w:szCs w:val="22"/>
          <w:lang w:val="es-MX" w:eastAsia="en-US"/>
        </w:rPr>
      </w:pPr>
      <w:r w:rsidRPr="00E65D9D">
        <w:rPr>
          <w:rFonts w:ascii="Arial" w:eastAsiaTheme="minorHAnsi" w:hAnsi="Arial" w:cs="Arial"/>
          <w:sz w:val="22"/>
          <w:szCs w:val="22"/>
          <w:lang w:val="es-MX" w:eastAsia="en-US"/>
        </w:rPr>
        <w:t> </w:t>
      </w:r>
    </w:p>
    <w:p w14:paraId="05B5C3AD" w14:textId="634BAE66" w:rsidR="00E65D9D" w:rsidRDefault="0084756C" w:rsidP="00E65D9D">
      <w:pPr>
        <w:pStyle w:val="xxmsonospacing"/>
        <w:shd w:val="clear" w:color="auto" w:fill="FFFFFF"/>
        <w:spacing w:before="0" w:beforeAutospacing="0" w:after="0" w:afterAutospacing="0" w:line="276" w:lineRule="auto"/>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E</w:t>
      </w:r>
      <w:r w:rsidR="00E65D9D" w:rsidRPr="00E65D9D">
        <w:rPr>
          <w:rFonts w:ascii="Arial" w:eastAsiaTheme="minorHAnsi" w:hAnsi="Arial" w:cs="Arial"/>
          <w:sz w:val="22"/>
          <w:szCs w:val="22"/>
          <w:lang w:val="es-MX" w:eastAsia="en-US"/>
        </w:rPr>
        <w:t xml:space="preserve">s importante resaltar que la ficha técnica no se encuentra definida formalmente en la normativa que regula la contratación pública en Colombia. Sin embargo, </w:t>
      </w:r>
      <w:r w:rsidR="00E946C7">
        <w:rPr>
          <w:rFonts w:ascii="Arial" w:eastAsiaTheme="minorHAnsi" w:hAnsi="Arial" w:cs="Arial"/>
          <w:sz w:val="22"/>
          <w:szCs w:val="22"/>
          <w:lang w:val="es-MX" w:eastAsia="en-US"/>
        </w:rPr>
        <w:t>de conformidad con el</w:t>
      </w:r>
      <w:r w:rsidR="00E65D9D" w:rsidRPr="00E65D9D">
        <w:rPr>
          <w:rFonts w:ascii="Arial" w:eastAsiaTheme="minorHAnsi" w:hAnsi="Arial" w:cs="Arial"/>
          <w:sz w:val="22"/>
          <w:szCs w:val="22"/>
          <w:lang w:val="es-MX" w:eastAsia="en-US"/>
        </w:rPr>
        <w:t xml:space="preserve"> Decreto 1082 de 2015</w:t>
      </w:r>
      <w:r w:rsidR="001B0152">
        <w:rPr>
          <w:rFonts w:ascii="Arial" w:eastAsiaTheme="minorHAnsi" w:hAnsi="Arial" w:cs="Arial"/>
          <w:sz w:val="22"/>
          <w:szCs w:val="22"/>
          <w:lang w:val="es-MX" w:eastAsia="en-US"/>
        </w:rPr>
        <w:t xml:space="preserve"> </w:t>
      </w:r>
      <w:r w:rsidR="001B0152" w:rsidRPr="001B0152">
        <w:rPr>
          <w:rFonts w:ascii="Arial" w:eastAsiaTheme="minorHAnsi" w:hAnsi="Arial" w:cs="Arial"/>
          <w:sz w:val="22"/>
          <w:szCs w:val="22"/>
          <w:lang w:val="es-MX" w:eastAsia="en-US"/>
        </w:rPr>
        <w:t xml:space="preserve">–art. 2.2.1.2.1.2.1., numeral 1–, </w:t>
      </w:r>
      <w:r>
        <w:rPr>
          <w:rFonts w:ascii="Arial" w:eastAsiaTheme="minorHAnsi" w:hAnsi="Arial" w:cs="Arial"/>
          <w:sz w:val="22"/>
          <w:szCs w:val="22"/>
          <w:lang w:val="es-MX" w:eastAsia="en-US"/>
        </w:rPr>
        <w:t xml:space="preserve"> </w:t>
      </w:r>
      <w:r w:rsidR="00E65D9D" w:rsidRPr="00973B03">
        <w:rPr>
          <w:rFonts w:ascii="Arial" w:eastAsiaTheme="minorHAnsi" w:hAnsi="Arial" w:cs="Arial"/>
          <w:sz w:val="22"/>
          <w:szCs w:val="22"/>
          <w:lang w:val="es-MX" w:eastAsia="en-US"/>
        </w:rPr>
        <w:t>la</w:t>
      </w:r>
      <w:r w:rsidR="00E65D9D" w:rsidRPr="00E65D9D">
        <w:rPr>
          <w:rFonts w:ascii="Arial" w:eastAsiaTheme="minorHAnsi" w:hAnsi="Arial" w:cs="Arial"/>
          <w:sz w:val="22"/>
          <w:szCs w:val="22"/>
          <w:lang w:val="es-MX" w:eastAsia="en-US"/>
        </w:rPr>
        <w:t xml:space="preserve"> ficha técnica, en la subasta inversa, cumple con la función de</w:t>
      </w:r>
      <w:r>
        <w:rPr>
          <w:rFonts w:ascii="Arial" w:eastAsiaTheme="minorHAnsi" w:hAnsi="Arial" w:cs="Arial"/>
          <w:sz w:val="22"/>
          <w:szCs w:val="22"/>
          <w:lang w:val="es-MX" w:eastAsia="en-US"/>
        </w:rPr>
        <w:t xml:space="preserve"> señalar y</w:t>
      </w:r>
      <w:r w:rsidR="00E65D9D" w:rsidRPr="00E65D9D">
        <w:rPr>
          <w:rFonts w:ascii="Arial" w:eastAsiaTheme="minorHAnsi" w:hAnsi="Arial" w:cs="Arial"/>
          <w:sz w:val="22"/>
          <w:szCs w:val="22"/>
          <w:lang w:val="es-MX" w:eastAsia="en-US"/>
        </w:rPr>
        <w:t xml:space="preserve"> garantizar las características mínimas con las que deben contar los bienes y servicios de características técnicas uniformes y de común utilización que se pretenden contratar. En otras palabras, la ficha técnica es el instrumento que contiene las condiciones o características mínimas que requieren los bienes y servicios que se pretenden contratar por parte de la entidad</w:t>
      </w:r>
      <w:r>
        <w:rPr>
          <w:rFonts w:ascii="Arial" w:eastAsiaTheme="minorHAnsi" w:hAnsi="Arial" w:cs="Arial"/>
          <w:sz w:val="22"/>
          <w:szCs w:val="22"/>
          <w:lang w:val="es-MX" w:eastAsia="en-US"/>
        </w:rPr>
        <w:t>, por lo que, de acuerdo con el artículo citado: «</w:t>
      </w:r>
      <w:r w:rsidRPr="000170B8">
        <w:rPr>
          <w:rFonts w:ascii="Arial" w:eastAsiaTheme="minorHAnsi" w:hAnsi="Arial" w:cs="Arial"/>
          <w:sz w:val="22"/>
          <w:szCs w:val="22"/>
          <w:lang w:val="es-MX" w:eastAsia="en-US"/>
        </w:rPr>
        <w:t xml:space="preserve">La ficha técnica del bien o servicio que debe incluir: a) la clasificación del bien o </w:t>
      </w:r>
      <w:r w:rsidRPr="000170B8">
        <w:rPr>
          <w:rFonts w:ascii="Arial" w:eastAsiaTheme="minorHAnsi" w:hAnsi="Arial" w:cs="Arial"/>
          <w:sz w:val="22"/>
          <w:szCs w:val="22"/>
          <w:lang w:val="es-MX" w:eastAsia="en-US"/>
        </w:rPr>
        <w:lastRenderedPageBreak/>
        <w:t>servicio de acuerdo con el Clasificador de Bienes y Servicios; b) la identificación adicional requerida; c) la unidad de medida; d) la calidad mínima, y e) los patrones de desempeño mínimos».</w:t>
      </w:r>
    </w:p>
    <w:p w14:paraId="365973BF" w14:textId="77777777" w:rsidR="0084756C" w:rsidRPr="00E65D9D" w:rsidRDefault="0084756C" w:rsidP="00E65D9D">
      <w:pPr>
        <w:pStyle w:val="xxmsonospacing"/>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p>
    <w:p w14:paraId="3206D288" w14:textId="77777777" w:rsidR="000A3221" w:rsidRPr="006C15D5" w:rsidRDefault="000A3221" w:rsidP="00F31054">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4AC77A75" w14:textId="77777777" w:rsidR="000A3221" w:rsidRPr="006C15D5" w:rsidRDefault="000A3221" w:rsidP="000A3221">
      <w:pPr>
        <w:ind w:firstLine="709"/>
        <w:jc w:val="both"/>
        <w:rPr>
          <w:rFonts w:ascii="Arial" w:eastAsia="Calibri" w:hAnsi="Arial" w:cs="Arial"/>
          <w:color w:val="000000" w:themeColor="text1"/>
          <w:sz w:val="22"/>
        </w:rPr>
      </w:pPr>
    </w:p>
    <w:p w14:paraId="50C0BBC2" w14:textId="4A1FA973" w:rsidR="00F31054" w:rsidRDefault="000A3221" w:rsidP="000A3221">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77411E15" w14:textId="556C1AA7" w:rsidR="000A3221" w:rsidRPr="006C15D5" w:rsidRDefault="00CF46D6" w:rsidP="000A3221">
      <w:pPr>
        <w:jc w:val="center"/>
        <w:rPr>
          <w:rFonts w:ascii="Arial" w:hAnsi="Arial" w:cs="Arial"/>
          <w:color w:val="000000" w:themeColor="text1"/>
          <w:sz w:val="22"/>
          <w:lang w:eastAsia="es-CO"/>
        </w:rPr>
      </w:pPr>
      <w:r w:rsidRPr="00FC4438">
        <w:rPr>
          <w:noProof/>
        </w:rPr>
        <w:drawing>
          <wp:inline distT="0" distB="0" distL="0" distR="0" wp14:anchorId="5F757B94" wp14:editId="3912D939">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14600" cy="1114425"/>
                    </a:xfrm>
                    <a:prstGeom prst="rect">
                      <a:avLst/>
                    </a:prstGeom>
                  </pic:spPr>
                </pic:pic>
              </a:graphicData>
            </a:graphic>
          </wp:inline>
        </w:drawing>
      </w:r>
    </w:p>
    <w:p w14:paraId="182BF0A3" w14:textId="77777777" w:rsidR="000A3221" w:rsidRDefault="000A3221" w:rsidP="000A3221">
      <w:pPr>
        <w:jc w:val="center"/>
        <w:rPr>
          <w:rFonts w:ascii="Arial" w:hAnsi="Arial" w:cs="Arial"/>
          <w:color w:val="000000" w:themeColor="text1"/>
          <w:sz w:val="18"/>
          <w:szCs w:val="20"/>
          <w:lang w:eastAsia="es-CO"/>
        </w:rPr>
      </w:pPr>
    </w:p>
    <w:p w14:paraId="68BB4AFE" w14:textId="77777777" w:rsidR="000A3221" w:rsidRPr="006C15D5" w:rsidRDefault="000A3221" w:rsidP="000A3221">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3221" w:rsidRPr="003F6D32" w14:paraId="0D9B5608" w14:textId="77777777" w:rsidTr="009F28D5">
        <w:trPr>
          <w:trHeight w:val="315"/>
        </w:trPr>
        <w:tc>
          <w:tcPr>
            <w:tcW w:w="812" w:type="dxa"/>
            <w:vAlign w:val="center"/>
            <w:hideMark/>
          </w:tcPr>
          <w:p w14:paraId="7438F1CC" w14:textId="77777777" w:rsidR="000A3221" w:rsidRPr="006C15D5" w:rsidRDefault="000A3221" w:rsidP="009F28D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7A12528" w14:textId="77777777" w:rsidR="000A3221" w:rsidRPr="006C15D5" w:rsidRDefault="000A3221" w:rsidP="009F28D5">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0C1B47BA" w14:textId="77777777" w:rsidR="000A3221" w:rsidRPr="006C15D5" w:rsidRDefault="000A3221" w:rsidP="009F28D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0A3221" w:rsidRPr="003F6D32" w14:paraId="6148E603" w14:textId="77777777" w:rsidTr="009F28D5">
        <w:trPr>
          <w:trHeight w:val="330"/>
        </w:trPr>
        <w:tc>
          <w:tcPr>
            <w:tcW w:w="812" w:type="dxa"/>
            <w:vAlign w:val="center"/>
            <w:hideMark/>
          </w:tcPr>
          <w:p w14:paraId="1B4031DF" w14:textId="77777777" w:rsidR="000A3221" w:rsidRPr="006C15D5" w:rsidRDefault="000A3221" w:rsidP="009F28D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C5FE00" w14:textId="45149E7C" w:rsidR="000A3221" w:rsidRDefault="006F1FFF" w:rsidP="009F28D5">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Sebastián Ramírez</w:t>
            </w:r>
            <w:r w:rsidR="009F28D5">
              <w:rPr>
                <w:rFonts w:ascii="Arial" w:hAnsi="Arial" w:cs="Arial"/>
                <w:color w:val="000000" w:themeColor="text1"/>
                <w:sz w:val="16"/>
                <w:szCs w:val="16"/>
                <w:lang w:eastAsia="es-ES"/>
              </w:rPr>
              <w:t xml:space="preserve"> Grisales</w:t>
            </w:r>
          </w:p>
          <w:p w14:paraId="2EADEC24" w14:textId="4DFE0531" w:rsidR="000A3221" w:rsidRPr="006C15D5" w:rsidRDefault="00572AB2" w:rsidP="009F28D5">
            <w:pPr>
              <w:rPr>
                <w:rFonts w:ascii="Arial" w:hAnsi="Arial" w:cs="Arial"/>
                <w:color w:val="000000" w:themeColor="text1"/>
                <w:sz w:val="16"/>
                <w:szCs w:val="16"/>
                <w:lang w:eastAsia="es-ES"/>
              </w:rPr>
            </w:pPr>
            <w:r>
              <w:rPr>
                <w:rFonts w:ascii="Arial" w:hAnsi="Arial" w:cs="Arial"/>
                <w:color w:val="000000" w:themeColor="text1"/>
                <w:sz w:val="16"/>
                <w:szCs w:val="16"/>
                <w:lang w:eastAsia="es-ES"/>
              </w:rPr>
              <w:t>Gestor T1-15</w:t>
            </w:r>
            <w:r w:rsidR="009F28D5" w:rsidRPr="009F28D5">
              <w:rPr>
                <w:rFonts w:ascii="Arial" w:hAnsi="Arial" w:cs="Arial"/>
                <w:color w:val="000000" w:themeColor="text1"/>
                <w:sz w:val="16"/>
                <w:szCs w:val="16"/>
                <w:lang w:eastAsia="es-ES"/>
              </w:rPr>
              <w:t xml:space="preserve"> Subdirección de Gestión Contractual</w:t>
            </w:r>
          </w:p>
        </w:tc>
      </w:tr>
      <w:tr w:rsidR="000A3221" w:rsidRPr="003F6D32" w14:paraId="0B72FD9B" w14:textId="77777777" w:rsidTr="009F28D5">
        <w:trPr>
          <w:trHeight w:val="300"/>
        </w:trPr>
        <w:tc>
          <w:tcPr>
            <w:tcW w:w="812" w:type="dxa"/>
            <w:vAlign w:val="center"/>
            <w:hideMark/>
          </w:tcPr>
          <w:p w14:paraId="44ACDF20" w14:textId="77777777" w:rsidR="000A3221" w:rsidRPr="006C15D5" w:rsidRDefault="000A3221" w:rsidP="009F28D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F8A6E4" w14:textId="77777777" w:rsidR="000A3221" w:rsidRDefault="000A3221" w:rsidP="009F28D5">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7C27519D" w14:textId="77777777" w:rsidR="000A3221" w:rsidRPr="006C15D5" w:rsidRDefault="000A3221" w:rsidP="009F28D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560748D5" w14:textId="77777777" w:rsidR="003D76D7" w:rsidRDefault="003D76D7"/>
    <w:sectPr w:rsidR="003D76D7" w:rsidSect="009F28D5">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E4D967" w14:textId="77777777" w:rsidR="001F0CF2" w:rsidRDefault="001F0CF2" w:rsidP="003D76D7">
      <w:r>
        <w:separator/>
      </w:r>
    </w:p>
  </w:endnote>
  <w:endnote w:type="continuationSeparator" w:id="0">
    <w:p w14:paraId="5F52767A" w14:textId="77777777" w:rsidR="001F0CF2" w:rsidRDefault="001F0CF2" w:rsidP="003D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84B14" w14:textId="77777777" w:rsidR="00E32253" w:rsidRDefault="00E32253" w:rsidP="009F28D5">
    <w:pPr>
      <w:pStyle w:val="Sinespaciado"/>
      <w:jc w:val="right"/>
      <w:rPr>
        <w:rFonts w:ascii="Arial" w:hAnsi="Arial" w:cs="Arial"/>
        <w:sz w:val="18"/>
        <w:szCs w:val="18"/>
      </w:rPr>
    </w:pPr>
  </w:p>
  <w:p w14:paraId="09F5290B" w14:textId="77777777" w:rsidR="00E32253" w:rsidRDefault="00E32253" w:rsidP="009F28D5">
    <w:pPr>
      <w:pStyle w:val="Sinespaciado"/>
      <w:jc w:val="right"/>
      <w:rPr>
        <w:rFonts w:ascii="Arial" w:hAnsi="Arial" w:cs="Arial"/>
        <w:sz w:val="18"/>
        <w:szCs w:val="18"/>
      </w:rPr>
    </w:pPr>
  </w:p>
  <w:p w14:paraId="1D343841" w14:textId="77777777" w:rsidR="00E32253" w:rsidRPr="008217B7" w:rsidRDefault="00E32253" w:rsidP="009F28D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75EE45C" w14:textId="77777777" w:rsidR="00E32253" w:rsidRDefault="00E32253" w:rsidP="009F28D5">
    <w:pPr>
      <w:pStyle w:val="Piedepgina"/>
      <w:jc w:val="center"/>
      <w:rPr>
        <w:lang w:val="es-ES"/>
      </w:rPr>
    </w:pPr>
    <w:r>
      <w:rPr>
        <w:noProof/>
      </w:rPr>
      <w:drawing>
        <wp:inline distT="0" distB="0" distL="0" distR="0" wp14:anchorId="332D4274" wp14:editId="6A5B2B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B99F5" w14:textId="77777777" w:rsidR="00E32253" w:rsidRPr="00E756AC" w:rsidRDefault="00E32253" w:rsidP="009F28D5">
    <w:pPr>
      <w:pStyle w:val="Piedepgina"/>
      <w:jc w:val="center"/>
      <w:rPr>
        <w:sz w:val="18"/>
        <w:szCs w:val="18"/>
        <w:lang w:val="es-ES"/>
      </w:rPr>
    </w:pPr>
  </w:p>
  <w:p w14:paraId="50FDFB48" w14:textId="77777777" w:rsidR="00E32253" w:rsidRPr="00E756AC" w:rsidRDefault="00E32253" w:rsidP="009F28D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180DA4" w14:textId="77777777" w:rsidR="001F0CF2" w:rsidRDefault="001F0CF2" w:rsidP="003D76D7">
      <w:r>
        <w:separator/>
      </w:r>
    </w:p>
  </w:footnote>
  <w:footnote w:type="continuationSeparator" w:id="0">
    <w:p w14:paraId="6175507D" w14:textId="77777777" w:rsidR="001F0CF2" w:rsidRDefault="001F0CF2" w:rsidP="003D76D7">
      <w:r>
        <w:continuationSeparator/>
      </w:r>
    </w:p>
  </w:footnote>
  <w:footnote w:id="1">
    <w:p w14:paraId="61BAC24D" w14:textId="2A03AF6A" w:rsidR="00E32253" w:rsidRPr="003B0802" w:rsidRDefault="00E32253" w:rsidP="003B0802">
      <w:pPr>
        <w:pStyle w:val="Textonotapie"/>
        <w:ind w:firstLine="708"/>
        <w:jc w:val="both"/>
        <w:rPr>
          <w:rFonts w:ascii="Arial" w:hAnsi="Arial" w:cs="Arial"/>
          <w:color w:val="000000" w:themeColor="text1"/>
          <w:sz w:val="19"/>
          <w:szCs w:val="19"/>
          <w:lang w:val="es-CO"/>
        </w:rPr>
      </w:pPr>
      <w:r w:rsidRPr="003B0802">
        <w:rPr>
          <w:rStyle w:val="Refdenotaalpie"/>
          <w:rFonts w:ascii="Arial" w:hAnsi="Arial" w:cs="Arial"/>
          <w:color w:val="000000" w:themeColor="text1"/>
          <w:sz w:val="19"/>
          <w:szCs w:val="19"/>
        </w:rPr>
        <w:footnoteRef/>
      </w:r>
      <w:r w:rsidRPr="003B0802">
        <w:rPr>
          <w:rFonts w:ascii="Arial" w:hAnsi="Arial" w:cs="Arial"/>
          <w:color w:val="000000" w:themeColor="text1"/>
          <w:sz w:val="19"/>
          <w:szCs w:val="19"/>
        </w:rPr>
        <w:t xml:space="preserve"> Ley 1150 de 2007 </w:t>
      </w:r>
      <w:r w:rsidRPr="003B0802">
        <w:rPr>
          <w:rFonts w:ascii="Arial" w:hAnsi="Arial" w:cs="Arial"/>
          <w:color w:val="000000" w:themeColor="text1"/>
          <w:sz w:val="19"/>
          <w:szCs w:val="19"/>
          <w:lang w:val="es-CO"/>
        </w:rPr>
        <w:t>«Artículo 2o. De las modalidades de selección. La escogencia del contratista se efectuará con arreglo a las modalidades de selección de licitación pública, selección abreviada, concurso de méritos y contratación directa, con base en las siguientes reglas:</w:t>
      </w:r>
    </w:p>
    <w:p w14:paraId="54BCF57D"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»1. Licitación pública. La escogencia del contratista se efectuará por regla general a través de licitación pública, con las excepciones que se señalan en los numerales 2, 3 y 4 del presente artículo.</w:t>
      </w:r>
    </w:p>
    <w:p w14:paraId="70229D5D" w14:textId="77777777" w:rsidR="00E32253" w:rsidRPr="003B0802" w:rsidRDefault="00E32253">
      <w:pPr>
        <w:pStyle w:val="Textonotapie"/>
        <w:ind w:firstLine="708"/>
        <w:jc w:val="both"/>
        <w:rPr>
          <w:rFonts w:ascii="Arial" w:hAnsi="Arial" w:cs="Arial"/>
          <w:color w:val="000000" w:themeColor="text1"/>
          <w:sz w:val="19"/>
          <w:szCs w:val="19"/>
          <w:lang w:val="es-CO"/>
        </w:rPr>
      </w:pPr>
      <w:r w:rsidRPr="000170B8">
        <w:rPr>
          <w:rFonts w:ascii="Arial" w:hAnsi="Arial" w:cs="Arial"/>
          <w:i/>
          <w:iCs/>
          <w:color w:val="000000" w:themeColor="text1"/>
          <w:sz w:val="19"/>
          <w:szCs w:val="19"/>
          <w:lang w:val="es-CO"/>
        </w:rPr>
        <w:t>Cuando la entidad estatal así lo determine, la oferta en un proceso de la licitación pública podrá ser presentada total o parcialmente de manera dinámica mediante subasta inversa, en las condiciones que fije el reglamento</w:t>
      </w:r>
      <w:r w:rsidRPr="003B0802">
        <w:rPr>
          <w:rFonts w:ascii="Arial" w:hAnsi="Arial" w:cs="Arial"/>
          <w:color w:val="000000" w:themeColor="text1"/>
          <w:sz w:val="19"/>
          <w:szCs w:val="19"/>
          <w:lang w:val="es-CO"/>
        </w:rPr>
        <w:t>.</w:t>
      </w:r>
    </w:p>
    <w:p w14:paraId="7AFBFAA2"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2FCB10D0"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»El Gobierno Nacional reglamentará la materia.</w:t>
      </w:r>
    </w:p>
    <w:p w14:paraId="1C50CE10"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»Serán causales de selección abreviada las siguientes:</w:t>
      </w:r>
    </w:p>
    <w:p w14:paraId="62FDEEC3"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42BD9C76" w14:textId="77777777" w:rsidR="00E32253" w:rsidRPr="003B0802" w:rsidRDefault="00E32253">
      <w:pPr>
        <w:pStyle w:val="Textonotapie"/>
        <w:ind w:firstLine="705"/>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w:t>
      </w:r>
      <w:r w:rsidRPr="000170B8">
        <w:rPr>
          <w:rFonts w:ascii="Arial" w:hAnsi="Arial" w:cs="Arial"/>
          <w:i/>
          <w:iCs/>
          <w:color w:val="000000" w:themeColor="text1"/>
          <w:sz w:val="19"/>
          <w:szCs w:val="19"/>
          <w:lang w:val="es-CO"/>
        </w:rPr>
        <w:t>Para la adquisición de estos bienes y servicios las entidades deberán, siempre que el reglamento así lo señale, hacer uso de procedimientos de subasta inversa</w:t>
      </w:r>
      <w:r w:rsidRPr="003B0802">
        <w:rPr>
          <w:rFonts w:ascii="Arial" w:hAnsi="Arial" w:cs="Arial"/>
          <w:color w:val="000000" w:themeColor="text1"/>
          <w:sz w:val="19"/>
          <w:szCs w:val="19"/>
          <w:lang w:val="es-CO"/>
        </w:rPr>
        <w:t xml:space="preserve"> o de instrumentos de compra por catálogo derivados de la celebración de acuerdos marco de precios o de procedimientos de adquisición en bolsas de productos; </w:t>
      </w:r>
    </w:p>
    <w:p w14:paraId="7F282ABD" w14:textId="77777777" w:rsidR="00E32253" w:rsidRPr="003B0802" w:rsidRDefault="00E32253">
      <w:pPr>
        <w:pStyle w:val="Textonotapie"/>
        <w:ind w:left="705"/>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w:t>
      </w:r>
    </w:p>
    <w:p w14:paraId="42FC86A0"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»e) La enajenación de bienes del Estado, con excepción de aquellos a que se refiere la Ley 226 de 1995.</w:t>
      </w:r>
    </w:p>
    <w:p w14:paraId="6CC58C9A"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w:t>
      </w:r>
      <w:r w:rsidRPr="000170B8">
        <w:rPr>
          <w:rFonts w:ascii="Arial" w:hAnsi="Arial" w:cs="Arial"/>
          <w:i/>
          <w:iCs/>
          <w:color w:val="000000" w:themeColor="text1"/>
          <w:sz w:val="19"/>
          <w:szCs w:val="19"/>
          <w:lang w:val="es-CO"/>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r w:rsidRPr="003B0802">
        <w:rPr>
          <w:rFonts w:ascii="Arial" w:hAnsi="Arial" w:cs="Arial"/>
          <w:color w:val="000000" w:themeColor="text1"/>
          <w:sz w:val="19"/>
          <w:szCs w:val="19"/>
          <w:lang w:val="es-CO"/>
        </w:rPr>
        <w:t>.</w:t>
      </w:r>
    </w:p>
    <w:p w14:paraId="71AFE009"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w:t>
      </w:r>
    </w:p>
    <w:p w14:paraId="0332AF49"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»Las reglas y procedimientos que deberán atender la administración y los promotores y la publicidad del proceso deberán garantizar la libre concurrencia y oportunidad de quienes participen en el mismo.</w:t>
      </w:r>
    </w:p>
    <w:p w14:paraId="4A7B3A4B" w14:textId="77777777"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w:t>
      </w:r>
      <w:r w:rsidRPr="000170B8">
        <w:rPr>
          <w:rFonts w:ascii="Arial" w:hAnsi="Arial" w:cs="Arial"/>
          <w:i/>
          <w:iCs/>
          <w:color w:val="000000" w:themeColor="text1"/>
          <w:sz w:val="19"/>
          <w:szCs w:val="19"/>
          <w:lang w:val="es-CO"/>
        </w:rPr>
        <w:t>Los bienes serán enajenados a través de venta directa en sobre cerrado o en pública subasta</w:t>
      </w:r>
      <w:r w:rsidRPr="003B0802">
        <w:rPr>
          <w:rFonts w:ascii="Arial" w:hAnsi="Arial" w:cs="Arial"/>
          <w:color w:val="000000" w:themeColor="text1"/>
          <w:sz w:val="19"/>
          <w:szCs w:val="19"/>
          <w:lang w:val="es-CO"/>
        </w:rPr>
        <w:t xml:space="preserve">. La adjudicación para la venta directa deberá hacerse en audiencia pública, en donde se conozcan las ofertas iniciales y se efectúe un segundo ofrecimiento, frente al cual se adjudicará el bien a quien oferte el mejor precio. </w:t>
      </w:r>
      <w:r w:rsidRPr="000170B8">
        <w:rPr>
          <w:rFonts w:ascii="Arial" w:hAnsi="Arial" w:cs="Arial"/>
          <w:i/>
          <w:iCs/>
          <w:color w:val="000000" w:themeColor="text1"/>
          <w:sz w:val="19"/>
          <w:szCs w:val="19"/>
          <w:lang w:val="es-CO"/>
        </w:rPr>
        <w:t>En la subasta pública, de acuerdo con el reglamento definido para su realización, el bien será adjudicado al mejor postor</w:t>
      </w:r>
      <w:r w:rsidRPr="003B0802">
        <w:rPr>
          <w:rFonts w:ascii="Arial" w:hAnsi="Arial" w:cs="Arial"/>
          <w:color w:val="000000" w:themeColor="text1"/>
          <w:sz w:val="19"/>
          <w:szCs w:val="19"/>
          <w:lang w:val="es-CO"/>
        </w:rPr>
        <w:t>.</w:t>
      </w:r>
    </w:p>
    <w:p w14:paraId="7478209E" w14:textId="6A6D3A11" w:rsidR="00E32253" w:rsidRPr="003B0802" w:rsidRDefault="00E32253">
      <w:pPr>
        <w:pStyle w:val="Textonotapie"/>
        <w:ind w:firstLine="708"/>
        <w:jc w:val="both"/>
        <w:rPr>
          <w:rFonts w:ascii="Arial" w:hAnsi="Arial" w:cs="Arial"/>
          <w:color w:val="000000" w:themeColor="text1"/>
          <w:sz w:val="19"/>
          <w:szCs w:val="19"/>
          <w:lang w:val="es-CO"/>
        </w:rPr>
      </w:pPr>
      <w:r w:rsidRPr="003B0802">
        <w:rPr>
          <w:rFonts w:ascii="Arial" w:hAnsi="Arial" w:cs="Arial"/>
          <w:color w:val="000000" w:themeColor="text1"/>
          <w:sz w:val="19"/>
          <w:szCs w:val="19"/>
          <w:lang w:val="es-CO"/>
        </w:rPr>
        <w:t>»La venta implica la publicación previa de los bienes en un diario de amplia circulación nacional, con la determinación del precio base. El interesado en adquirir bienes deberá consignar al menos el 20% del valor base de venta para participar en la oferta […]»</w:t>
      </w:r>
      <w:r w:rsidR="007268D7">
        <w:rPr>
          <w:rFonts w:ascii="Arial" w:hAnsi="Arial" w:cs="Arial"/>
          <w:color w:val="000000" w:themeColor="text1"/>
          <w:sz w:val="19"/>
          <w:szCs w:val="19"/>
          <w:lang w:val="es-CO"/>
        </w:rPr>
        <w:t>.</w:t>
      </w:r>
      <w:r w:rsidRPr="003B0802">
        <w:rPr>
          <w:rFonts w:ascii="Arial" w:hAnsi="Arial" w:cs="Arial"/>
          <w:color w:val="000000" w:themeColor="text1"/>
          <w:sz w:val="19"/>
          <w:szCs w:val="19"/>
          <w:lang w:val="es-CO"/>
        </w:rPr>
        <w:t xml:space="preserve"> (Cursivas fuera del original).</w:t>
      </w:r>
    </w:p>
    <w:p w14:paraId="1F3F898F" w14:textId="3F884848" w:rsidR="00E32253" w:rsidRPr="003B0802" w:rsidRDefault="00E32253" w:rsidP="000170B8">
      <w:pPr>
        <w:pStyle w:val="Textonotapie"/>
        <w:jc w:val="both"/>
        <w:rPr>
          <w:rFonts w:ascii="Arial" w:hAnsi="Arial" w:cs="Arial"/>
          <w:sz w:val="19"/>
          <w:szCs w:val="19"/>
          <w:lang w:val="es-ES"/>
        </w:rPr>
      </w:pPr>
    </w:p>
  </w:footnote>
  <w:footnote w:id="2">
    <w:p w14:paraId="5BC05310" w14:textId="338615CE" w:rsidR="00E32253" w:rsidRPr="003B0802" w:rsidRDefault="00E32253">
      <w:pPr>
        <w:pStyle w:val="Textonotapie"/>
        <w:ind w:firstLine="708"/>
        <w:jc w:val="both"/>
        <w:rPr>
          <w:rFonts w:ascii="Arial" w:hAnsi="Arial" w:cs="Arial"/>
          <w:color w:val="000000" w:themeColor="text1"/>
          <w:sz w:val="19"/>
          <w:szCs w:val="19"/>
          <w:lang w:val="es-CO"/>
        </w:rPr>
      </w:pPr>
      <w:r w:rsidRPr="003B0802">
        <w:rPr>
          <w:rStyle w:val="Refdenotaalpie"/>
          <w:rFonts w:ascii="Arial" w:hAnsi="Arial" w:cs="Arial"/>
          <w:sz w:val="19"/>
          <w:szCs w:val="19"/>
        </w:rPr>
        <w:footnoteRef/>
      </w:r>
      <w:r w:rsidRPr="003B0802">
        <w:rPr>
          <w:rFonts w:ascii="Arial" w:hAnsi="Arial" w:cs="Arial"/>
          <w:sz w:val="19"/>
          <w:szCs w:val="19"/>
        </w:rPr>
        <w:t xml:space="preserve"> </w:t>
      </w:r>
      <w:r w:rsidRPr="003B0802">
        <w:rPr>
          <w:rFonts w:ascii="Arial" w:hAnsi="Arial" w:cs="Arial"/>
          <w:color w:val="000000" w:themeColor="text1"/>
          <w:sz w:val="19"/>
          <w:szCs w:val="19"/>
        </w:rPr>
        <w:t>MATALLANA CAMACHO, Ernesto. Manual de Contratación de la Administración Pública. 3a ed. Bogotá D. C. Editorial Universidad externado de Colombia, 2013. p. 579.</w:t>
      </w:r>
    </w:p>
    <w:p w14:paraId="622856D3" w14:textId="7C3F69CC" w:rsidR="00E32253" w:rsidRPr="003B0802" w:rsidRDefault="00E32253" w:rsidP="000170B8">
      <w:pPr>
        <w:pStyle w:val="Textonotapie"/>
        <w:jc w:val="both"/>
        <w:rPr>
          <w:rFonts w:ascii="Arial" w:hAnsi="Arial" w:cs="Arial"/>
          <w:sz w:val="19"/>
          <w:szCs w:val="19"/>
          <w:lang w:val="es-ES"/>
        </w:rPr>
      </w:pPr>
    </w:p>
  </w:footnote>
  <w:footnote w:id="3">
    <w:p w14:paraId="773DD457" w14:textId="7E7C3C45" w:rsidR="00E32253" w:rsidRPr="003B0802" w:rsidRDefault="00E32253">
      <w:pPr>
        <w:pStyle w:val="Textonotapie"/>
        <w:ind w:firstLine="708"/>
        <w:jc w:val="both"/>
        <w:rPr>
          <w:rFonts w:ascii="Arial" w:hAnsi="Arial" w:cs="Arial"/>
          <w:color w:val="000000" w:themeColor="text1"/>
          <w:sz w:val="19"/>
          <w:szCs w:val="19"/>
        </w:rPr>
      </w:pPr>
      <w:r w:rsidRPr="003B0802">
        <w:rPr>
          <w:rStyle w:val="Refdenotaalpie"/>
          <w:rFonts w:ascii="Arial" w:hAnsi="Arial" w:cs="Arial"/>
          <w:sz w:val="19"/>
          <w:szCs w:val="19"/>
        </w:rPr>
        <w:footnoteRef/>
      </w:r>
      <w:r w:rsidRPr="003B0802">
        <w:rPr>
          <w:rFonts w:ascii="Arial" w:hAnsi="Arial" w:cs="Arial"/>
          <w:sz w:val="19"/>
          <w:szCs w:val="19"/>
        </w:rPr>
        <w:t xml:space="preserve"> </w:t>
      </w:r>
      <w:r w:rsidRPr="003B0802">
        <w:rPr>
          <w:rFonts w:ascii="Arial" w:hAnsi="Arial" w:cs="Arial"/>
          <w:color w:val="000000" w:themeColor="text1"/>
          <w:sz w:val="19"/>
          <w:szCs w:val="19"/>
        </w:rPr>
        <w:t>SOLANO SIERRA, Jairo E. Contratación Administrativa, Modalidades de selección del Contratista. 4a. ed. Bogotá D.C.: Editorial Doctrina y Ley Ltda., 2010. p. 283.</w:t>
      </w:r>
    </w:p>
    <w:p w14:paraId="7927A388" w14:textId="1A0817B3" w:rsidR="00E32253" w:rsidRPr="003B0802" w:rsidRDefault="00E32253" w:rsidP="000170B8">
      <w:pPr>
        <w:pStyle w:val="Textonotapie"/>
        <w:jc w:val="both"/>
        <w:rPr>
          <w:rFonts w:ascii="Arial" w:hAnsi="Arial" w:cs="Arial"/>
          <w:sz w:val="19"/>
          <w:szCs w:val="19"/>
          <w:lang w:val="es-ES"/>
        </w:rPr>
      </w:pPr>
    </w:p>
  </w:footnote>
  <w:footnote w:id="4">
    <w:p w14:paraId="121EF7A6" w14:textId="7C6EB437" w:rsidR="00E32253" w:rsidRPr="003B0802" w:rsidRDefault="00E32253">
      <w:pPr>
        <w:pStyle w:val="Textonotapie"/>
        <w:ind w:firstLine="708"/>
        <w:jc w:val="both"/>
        <w:rPr>
          <w:rFonts w:ascii="Arial" w:hAnsi="Arial" w:cs="Arial"/>
          <w:sz w:val="19"/>
          <w:szCs w:val="19"/>
        </w:rPr>
      </w:pPr>
      <w:r w:rsidRPr="003B0802">
        <w:rPr>
          <w:rStyle w:val="Refdenotaalpie"/>
          <w:rFonts w:ascii="Arial" w:hAnsi="Arial" w:cs="Arial"/>
          <w:sz w:val="19"/>
          <w:szCs w:val="19"/>
        </w:rPr>
        <w:footnoteRef/>
      </w:r>
      <w:r w:rsidRPr="003B0802">
        <w:rPr>
          <w:rFonts w:ascii="Arial" w:hAnsi="Arial" w:cs="Arial"/>
          <w:sz w:val="19"/>
          <w:szCs w:val="19"/>
        </w:rPr>
        <w:t xml:space="preserve"> SAFAR, Mónica. ¿Hay ventajas en el mecanismo de subasta para la contratación pública en Colombia?. Revista Digital de Derecho Administrativo. Universidad Externado de Colombia, 2016.</w:t>
      </w:r>
    </w:p>
  </w:footnote>
  <w:footnote w:id="5">
    <w:p w14:paraId="2431E5B2" w14:textId="0C4C3AC0" w:rsidR="00E32253" w:rsidRPr="000170B8" w:rsidRDefault="00E32253" w:rsidP="000170B8">
      <w:pPr>
        <w:pStyle w:val="Textonotapie"/>
        <w:ind w:firstLine="708"/>
        <w:jc w:val="both"/>
        <w:rPr>
          <w:rFonts w:ascii="Arial" w:hAnsi="Arial" w:cs="Arial"/>
          <w:sz w:val="19"/>
          <w:szCs w:val="19"/>
        </w:rPr>
      </w:pPr>
      <w:r w:rsidRPr="000170B8">
        <w:rPr>
          <w:rStyle w:val="Refdenotaalpie"/>
          <w:rFonts w:ascii="Arial" w:hAnsi="Arial" w:cs="Arial"/>
          <w:sz w:val="19"/>
          <w:szCs w:val="19"/>
        </w:rPr>
        <w:footnoteRef/>
      </w:r>
      <w:r w:rsidRPr="000170B8">
        <w:rPr>
          <w:rFonts w:ascii="Arial" w:hAnsi="Arial" w:cs="Arial"/>
          <w:sz w:val="19"/>
          <w:szCs w:val="19"/>
        </w:rPr>
        <w:t xml:space="preserve"> </w:t>
      </w:r>
      <w:r w:rsidRPr="000170B8">
        <w:rPr>
          <w:rFonts w:ascii="Arial" w:hAnsi="Arial" w:cs="Arial"/>
          <w:color w:val="000000" w:themeColor="text1"/>
          <w:sz w:val="19"/>
          <w:szCs w:val="19"/>
        </w:rPr>
        <w:t>Sin perjuicio de lo que se desarrollará posteriormente frente a subasta inversa en la selección abreviada para la adquisición de bienes y servicios de caracter</w:t>
      </w:r>
      <w:r w:rsidRPr="003B0802">
        <w:rPr>
          <w:rFonts w:ascii="Arial" w:hAnsi="Arial" w:cs="Arial"/>
          <w:color w:val="000000" w:themeColor="text1"/>
          <w:sz w:val="19"/>
          <w:szCs w:val="19"/>
        </w:rPr>
        <w:t>í</w:t>
      </w:r>
      <w:r w:rsidRPr="000170B8">
        <w:rPr>
          <w:rFonts w:ascii="Arial" w:hAnsi="Arial" w:cs="Arial"/>
          <w:color w:val="000000" w:themeColor="text1"/>
          <w:sz w:val="19"/>
          <w:szCs w:val="19"/>
        </w:rPr>
        <w:t>sticas técnicas uniformes y de común utilización</w:t>
      </w:r>
      <w:r w:rsidRPr="003B0802">
        <w:rPr>
          <w:rFonts w:ascii="Arial" w:hAnsi="Arial" w:cs="Arial"/>
          <w:color w:val="000000" w:themeColor="text1"/>
          <w:sz w:val="19"/>
          <w:szCs w:val="19"/>
        </w:rPr>
        <w:t>.</w:t>
      </w:r>
    </w:p>
    <w:p w14:paraId="5C129390" w14:textId="6942011F" w:rsidR="00E32253" w:rsidRPr="000170B8" w:rsidRDefault="00E32253" w:rsidP="000170B8">
      <w:pPr>
        <w:pStyle w:val="Textonotapie"/>
        <w:ind w:firstLine="708"/>
        <w:jc w:val="both"/>
        <w:rPr>
          <w:rFonts w:ascii="Arial" w:hAnsi="Arial" w:cs="Arial"/>
          <w:sz w:val="19"/>
          <w:szCs w:val="19"/>
          <w:lang w:val="es-CO"/>
        </w:rPr>
      </w:pPr>
      <w:r w:rsidRPr="000170B8">
        <w:rPr>
          <w:rFonts w:ascii="Arial" w:hAnsi="Arial" w:cs="Arial"/>
          <w:sz w:val="19"/>
          <w:szCs w:val="19"/>
        </w:rPr>
        <w:t xml:space="preserve"> </w:t>
      </w:r>
    </w:p>
  </w:footnote>
  <w:footnote w:id="6">
    <w:p w14:paraId="1C83D5E9" w14:textId="3E048A48" w:rsidR="00E32253" w:rsidRPr="003B0802" w:rsidRDefault="00E32253" w:rsidP="000170B8">
      <w:pPr>
        <w:pStyle w:val="Textonotapie"/>
        <w:ind w:firstLine="709"/>
        <w:jc w:val="both"/>
        <w:rPr>
          <w:rFonts w:ascii="Arial" w:hAnsi="Arial" w:cs="Arial"/>
          <w:color w:val="000000" w:themeColor="text1"/>
          <w:sz w:val="19"/>
          <w:szCs w:val="19"/>
        </w:rPr>
      </w:pPr>
      <w:r w:rsidRPr="003B0802">
        <w:rPr>
          <w:rStyle w:val="Refdenotaalpie"/>
          <w:rFonts w:ascii="Arial" w:hAnsi="Arial" w:cs="Arial"/>
          <w:color w:val="000000" w:themeColor="text1"/>
          <w:sz w:val="19"/>
          <w:szCs w:val="19"/>
        </w:rPr>
        <w:footnoteRef/>
      </w:r>
      <w:r w:rsidRPr="003B0802">
        <w:rPr>
          <w:rFonts w:ascii="Arial" w:hAnsi="Arial" w:cs="Arial"/>
          <w:color w:val="000000" w:themeColor="text1"/>
          <w:sz w:val="19"/>
          <w:szCs w:val="19"/>
        </w:rPr>
        <w:t xml:space="preserve"> Sentencia C-713 del 7 de octubre de 2009. </w:t>
      </w:r>
    </w:p>
    <w:p w14:paraId="55EA49CA" w14:textId="77777777" w:rsidR="00E32253" w:rsidRPr="003B0802" w:rsidRDefault="00E32253" w:rsidP="000170B8">
      <w:pPr>
        <w:pStyle w:val="Textonotapie"/>
        <w:ind w:firstLine="709"/>
        <w:jc w:val="both"/>
        <w:rPr>
          <w:rFonts w:ascii="Arial" w:hAnsi="Arial" w:cs="Arial"/>
          <w:color w:val="000000" w:themeColor="text1"/>
          <w:sz w:val="19"/>
          <w:szCs w:val="19"/>
          <w:lang w:val="es-ES"/>
        </w:rPr>
      </w:pPr>
    </w:p>
  </w:footnote>
  <w:footnote w:id="7">
    <w:p w14:paraId="5DB680ED" w14:textId="22514170"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Style w:val="Refdenotaalpie"/>
          <w:rFonts w:ascii="Arial" w:hAnsi="Arial" w:cs="Arial"/>
          <w:color w:val="000000" w:themeColor="text1"/>
          <w:sz w:val="19"/>
          <w:szCs w:val="19"/>
        </w:rPr>
        <w:footnoteRef/>
      </w:r>
      <w:r w:rsidRPr="003B0802">
        <w:rPr>
          <w:rFonts w:ascii="Arial" w:hAnsi="Arial" w:cs="Arial"/>
          <w:color w:val="000000" w:themeColor="text1"/>
          <w:sz w:val="19"/>
          <w:szCs w:val="19"/>
          <w:lang w:val="es-ES"/>
        </w:rPr>
        <w:t xml:space="preserve"> Artículo 2.2.1.2.1.1.1 Decreto 1082 de 2015 «</w:t>
      </w:r>
      <w:r w:rsidR="003B0802">
        <w:rPr>
          <w:rFonts w:ascii="Arial" w:hAnsi="Arial" w:cs="Arial"/>
          <w:color w:val="000000" w:themeColor="text1"/>
          <w:sz w:val="19"/>
          <w:szCs w:val="19"/>
          <w:lang w:val="es-ES"/>
        </w:rPr>
        <w:t>[</w:t>
      </w:r>
      <w:r w:rsidRPr="003B0802">
        <w:rPr>
          <w:rFonts w:ascii="Arial" w:hAnsi="Arial" w:cs="Arial"/>
          <w:color w:val="000000" w:themeColor="text1"/>
          <w:sz w:val="19"/>
          <w:szCs w:val="19"/>
          <w:lang w:val="es-ES"/>
        </w:rPr>
        <w:t>…</w:t>
      </w:r>
      <w:r w:rsidR="003B0802">
        <w:rPr>
          <w:rFonts w:ascii="Arial" w:hAnsi="Arial" w:cs="Arial"/>
          <w:color w:val="000000" w:themeColor="text1"/>
          <w:sz w:val="19"/>
          <w:szCs w:val="19"/>
          <w:lang w:val="es-ES"/>
        </w:rPr>
        <w:t>]</w:t>
      </w:r>
      <w:r w:rsidRPr="003B0802">
        <w:rPr>
          <w:rFonts w:ascii="Arial" w:hAnsi="Arial" w:cs="Arial"/>
          <w:color w:val="000000" w:themeColor="text1"/>
          <w:sz w:val="19"/>
          <w:szCs w:val="19"/>
          <w:lang w:val="es-ES"/>
        </w:rPr>
        <w:t xml:space="preserve"> </w:t>
      </w:r>
      <w:r w:rsidRPr="003B0802">
        <w:rPr>
          <w:rFonts w:ascii="Arial" w:hAnsi="Arial" w:cs="Arial"/>
          <w:color w:val="000000" w:themeColor="text1"/>
          <w:sz w:val="19"/>
          <w:szCs w:val="19"/>
        </w:rPr>
        <w:t>En la fecha señalada en los pliegos de condiciones, los oferentes deben presentar los documentos que acrediten los requisitos habilitantes requeridos por la Entidad Estatal. En el caso de una conformación dinámica parcial de la oferta, a los documentos señalados se acompañará el componente de la oferta que no es objeto de conformación dinámica.</w:t>
      </w:r>
    </w:p>
    <w:p w14:paraId="3D7CEA00" w14:textId="365B1734" w:rsidR="00E32253" w:rsidRPr="003B0802" w:rsidRDefault="00E32253" w:rsidP="000170B8">
      <w:pPr>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»La Entidad Estatal dentro del plazo previsto en los pliegos de condiciones debe verificar el cumplimiento de los requisitos habilitantes y de las condiciones adicionales si hay lugar a ello para determinar los oferentes que pueden continuar en el proceso de selección. La subasta inversa para la conformación dinámica de la oferta debe realizarse con los oferentes habilitados, en la fecha y hora previstas en los pliegos de condiciones.</w:t>
      </w:r>
    </w:p>
    <w:p w14:paraId="7C29DD09" w14:textId="5F95E86D" w:rsidR="00E32253" w:rsidRPr="003B0802" w:rsidRDefault="00E32253" w:rsidP="000170B8">
      <w:pPr>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»En la subasta, los oferentes deben presentar su oferta inicial con las variables dinámicas, de conformidad con los pliegos de condiciones, la cual puede ser mejorada con los Lances hasta la conformación de la oferta definitiva.</w:t>
      </w:r>
    </w:p>
    <w:p w14:paraId="6D1196B5" w14:textId="150282D4" w:rsidR="00E32253" w:rsidRPr="003B0802" w:rsidRDefault="00E32253" w:rsidP="000170B8">
      <w:pPr>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»Se tomará como definitiva la oferta inicial realizada por el oferente que no presente Lances en la subasta.</w:t>
      </w:r>
    </w:p>
    <w:p w14:paraId="56CF8215" w14:textId="1C61C1B4" w:rsidR="00E32253" w:rsidRPr="003B0802" w:rsidRDefault="00E32253" w:rsidP="000170B8">
      <w:pPr>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»En ningún caso el precio será la única variable sometida a conformación dinámica.</w:t>
      </w:r>
    </w:p>
    <w:p w14:paraId="71BE41DB" w14:textId="6D50E331" w:rsidR="00E32253" w:rsidRPr="003B0802" w:rsidRDefault="00E32253" w:rsidP="000170B8">
      <w:pPr>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»La herramienta electrónica usada para la subasta debe permitir que el oferente conozca su situación respecto de los demás competidores y únicamente en relación con el cálculo del menor costo evaluado. Si la subasta recae únicamente sobre algunas variables, las que no admiten mejora deben haber sido previamente evaluadas y alimentadas en el sistema, de manera que este pueda ante cualquier Lance efectuar el cálculo automático del menor costo evaluado.</w:t>
      </w:r>
    </w:p>
    <w:p w14:paraId="07E5251A" w14:textId="22481F4F" w:rsidR="00E32253" w:rsidRDefault="00E32253" w:rsidP="003B0802">
      <w:pPr>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 xml:space="preserve">»De lo acontecido en la subasta, se levantará un acta donde se dejarán todas las constancias del caso». </w:t>
      </w:r>
    </w:p>
    <w:p w14:paraId="10EF1B95" w14:textId="77777777" w:rsidR="004C0655" w:rsidRPr="003B0802" w:rsidRDefault="004C0655" w:rsidP="000170B8">
      <w:pPr>
        <w:ind w:firstLine="709"/>
        <w:jc w:val="both"/>
        <w:rPr>
          <w:rFonts w:ascii="Arial" w:hAnsi="Arial" w:cs="Arial"/>
          <w:color w:val="333333"/>
          <w:sz w:val="19"/>
          <w:szCs w:val="19"/>
        </w:rPr>
      </w:pPr>
    </w:p>
  </w:footnote>
  <w:footnote w:id="8">
    <w:p w14:paraId="73809071" w14:textId="5BEFAE32"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Style w:val="Refdenotaalpie"/>
          <w:rFonts w:ascii="Arial" w:hAnsi="Arial" w:cs="Arial"/>
          <w:color w:val="000000" w:themeColor="text1"/>
          <w:sz w:val="19"/>
          <w:szCs w:val="19"/>
        </w:rPr>
        <w:footnoteRef/>
      </w:r>
      <w:r w:rsidRPr="003B0802">
        <w:rPr>
          <w:rFonts w:ascii="Arial" w:hAnsi="Arial" w:cs="Arial"/>
          <w:color w:val="000000" w:themeColor="text1"/>
          <w:sz w:val="19"/>
          <w:szCs w:val="19"/>
        </w:rPr>
        <w:t xml:space="preserve"> «</w:t>
      </w:r>
      <w:r w:rsidRPr="003B0802">
        <w:rPr>
          <w:rStyle w:val="Textoennegrita"/>
          <w:rFonts w:ascii="Arial" w:hAnsi="Arial" w:cs="Arial"/>
          <w:b w:val="0"/>
          <w:bCs w:val="0"/>
          <w:color w:val="000000" w:themeColor="text1"/>
          <w:sz w:val="19"/>
          <w:szCs w:val="19"/>
        </w:rPr>
        <w:t>Artículo 2.2.1.2.1.2.2. </w:t>
      </w:r>
      <w:r w:rsidRPr="003B0802">
        <w:rPr>
          <w:rStyle w:val="nfasis"/>
          <w:rFonts w:ascii="Arial" w:hAnsi="Arial" w:cs="Arial"/>
          <w:color w:val="000000" w:themeColor="text1"/>
          <w:sz w:val="19"/>
          <w:szCs w:val="19"/>
        </w:rPr>
        <w:t>Procedimiento para la subasta inversa. </w:t>
      </w:r>
      <w:r w:rsidRPr="003B0802">
        <w:rPr>
          <w:rFonts w:ascii="Arial" w:hAnsi="Arial" w:cs="Arial"/>
          <w:color w:val="000000" w:themeColor="text1"/>
          <w:sz w:val="19"/>
          <w:szCs w:val="19"/>
        </w:rPr>
        <w:t>Además de las reglas generales previstas en la ley y en el presente título, las siguientes reglas son aplicables a la subasta inversa:</w:t>
      </w:r>
    </w:p>
    <w:p w14:paraId="26322BD9" w14:textId="14FA919A"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»1.    Los pliegos de condiciones deben indicar: a) la fecha y hora de inicio de la subasta; b) la periodicidad de los Lances; y c) el Margen Mínimo para mejorar la oferta durante la subasta inversa.</w:t>
      </w:r>
    </w:p>
    <w:p w14:paraId="6DC8F3C7" w14:textId="6BB087D3"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»2.    La oferta debe contener dos partes, la primera en la cual el interesado acredite su capacidad de participar en el Proceso de Contratación y acredite el cumplimiento de la ficha técnica; y la segunda parte debe contener el precio inicial propuesto por el oferente.</w:t>
      </w:r>
    </w:p>
    <w:p w14:paraId="513D123A" w14:textId="6E57A369"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»3.    La Entidad Estatal debe publicar un informe de habilitación de los oferentes, en el cual debe indicar si los bienes o servicios ofrecidos por el interesado cumplen con la ficha técnica y si el oferente se encuentra habilitado.</w:t>
      </w:r>
    </w:p>
    <w:p w14:paraId="2EF11B81" w14:textId="3324D36E"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»4.    Hay subasta inversa siempre que haya como mínimo dos oferentes habilitados cuyos bienes o servicios cumplen con la ficha técnica.</w:t>
      </w:r>
    </w:p>
    <w:p w14:paraId="72B8F4EF" w14:textId="26CFE62C"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»5.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w:t>
      </w:r>
    </w:p>
    <w:p w14:paraId="3C996332" w14:textId="10BDFD34"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»6.    La subasta debe iniciar con el precio más bajo indicado por los oferentes y en consecuencia, solamente serán válidos los Lances efectuados durante la subasta inversa en los cuales la oferta sea mejorada en por lo menos el Margen Mínimo establecido.</w:t>
      </w:r>
    </w:p>
    <w:p w14:paraId="637F3E11" w14:textId="63A777D9"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»7.    Si los oferentes no presentan Lances durante la subasta, la Entidad Estatal debe adjudicar el contrato al oferente que haya presentado el precio inicial más bajo.</w:t>
      </w:r>
    </w:p>
    <w:p w14:paraId="237D0844" w14:textId="2AADB65F"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»8.    Al terminar la presentación de cada Lance, la Entidad Estatal debe informar el valor del Lance más bajo.</w:t>
      </w:r>
    </w:p>
    <w:p w14:paraId="0EB2D65F" w14:textId="01429D0D" w:rsidR="00E32253" w:rsidRPr="003B0802" w:rsidRDefault="00E32253" w:rsidP="000170B8">
      <w:pPr>
        <w:pStyle w:val="NormalWeb"/>
        <w:spacing w:before="0" w:beforeAutospacing="0" w:after="0" w:afterAutospacing="0"/>
        <w:ind w:firstLine="709"/>
        <w:jc w:val="both"/>
        <w:rPr>
          <w:rFonts w:ascii="Arial" w:hAnsi="Arial" w:cs="Arial"/>
          <w:color w:val="000000" w:themeColor="text1"/>
          <w:sz w:val="19"/>
          <w:szCs w:val="19"/>
        </w:rPr>
      </w:pPr>
      <w:r w:rsidRPr="003B0802">
        <w:rPr>
          <w:rFonts w:ascii="Arial" w:hAnsi="Arial" w:cs="Arial"/>
          <w:color w:val="000000" w:themeColor="text1"/>
          <w:sz w:val="19"/>
          <w:szCs w:val="19"/>
        </w:rPr>
        <w:t>»9.    Si al terminar la subasta inversa hay empate, la Entidad Estatal debe seleccionar al oferente que presentó el menor precio inicial. En caso de persistir el empate la Entidad Estatal debe aplicar las reglas del numeral 1 al 5 del artículo 2.2.1.1.2.2.9 del presente decreto».</w:t>
      </w:r>
    </w:p>
    <w:p w14:paraId="322ED88F" w14:textId="7DD6C0CA" w:rsidR="00E32253" w:rsidRPr="003B0802" w:rsidRDefault="00E32253" w:rsidP="000170B8">
      <w:pPr>
        <w:pStyle w:val="Textonotapie"/>
        <w:jc w:val="both"/>
        <w:rPr>
          <w:rFonts w:ascii="Arial" w:hAnsi="Arial" w:cs="Arial"/>
          <w:sz w:val="19"/>
          <w:szCs w:val="19"/>
          <w:lang w:val="es-ES"/>
        </w:rPr>
      </w:pPr>
    </w:p>
  </w:footnote>
  <w:footnote w:id="9">
    <w:p w14:paraId="595AAAC4" w14:textId="77777777" w:rsidR="00E32253" w:rsidRPr="003B0802" w:rsidRDefault="00E32253">
      <w:pPr>
        <w:ind w:firstLine="709"/>
        <w:jc w:val="both"/>
        <w:rPr>
          <w:rFonts w:ascii="Arial" w:hAnsi="Arial" w:cs="Arial"/>
          <w:sz w:val="19"/>
          <w:szCs w:val="19"/>
        </w:rPr>
      </w:pPr>
      <w:r w:rsidRPr="003B0802">
        <w:rPr>
          <w:rStyle w:val="Refdenotaalpie"/>
          <w:rFonts w:ascii="Arial" w:hAnsi="Arial" w:cs="Arial"/>
          <w:sz w:val="19"/>
          <w:szCs w:val="19"/>
        </w:rPr>
        <w:footnoteRef/>
      </w:r>
      <w:r w:rsidRPr="003B0802">
        <w:rPr>
          <w:rFonts w:ascii="Arial" w:hAnsi="Arial" w:cs="Arial"/>
          <w:sz w:val="19"/>
          <w:szCs w:val="19"/>
        </w:rPr>
        <w:t xml:space="preserve"> </w:t>
      </w:r>
      <w:r w:rsidRPr="003B0802">
        <w:rPr>
          <w:rStyle w:val="normaltextrun"/>
          <w:rFonts w:ascii="Arial" w:hAnsi="Arial" w:cs="Arial"/>
          <w:sz w:val="19"/>
          <w:szCs w:val="19"/>
          <w:lang w:val="es-MX"/>
        </w:rPr>
        <w:t>SUÁREZ BELTRÁN,</w:t>
      </w:r>
      <w:r w:rsidRPr="003B0802">
        <w:rPr>
          <w:rStyle w:val="apple-converted-space"/>
          <w:rFonts w:ascii="Arial" w:hAnsi="Arial" w:cs="Arial"/>
          <w:sz w:val="19"/>
          <w:szCs w:val="19"/>
        </w:rPr>
        <w:t> </w:t>
      </w:r>
      <w:r w:rsidRPr="003B0802">
        <w:rPr>
          <w:rStyle w:val="normaltextrun"/>
          <w:rFonts w:ascii="Arial" w:hAnsi="Arial" w:cs="Arial"/>
          <w:sz w:val="19"/>
          <w:szCs w:val="19"/>
          <w:lang w:val="es-MX"/>
        </w:rPr>
        <w:t>Gonzalo. Estudios de derecho contractual público. Pontificia Universidad Javeriana. Bogotá: Legis, 2014.</w:t>
      </w:r>
      <w:r w:rsidRPr="003B0802">
        <w:rPr>
          <w:rStyle w:val="apple-converted-space"/>
          <w:rFonts w:ascii="Arial" w:hAnsi="Arial" w:cs="Arial"/>
          <w:sz w:val="19"/>
          <w:szCs w:val="19"/>
        </w:rPr>
        <w:t> </w:t>
      </w:r>
      <w:r w:rsidRPr="003B0802">
        <w:rPr>
          <w:rStyle w:val="normaltextrun"/>
          <w:rFonts w:ascii="Arial" w:hAnsi="Arial" w:cs="Arial"/>
          <w:sz w:val="19"/>
          <w:szCs w:val="19"/>
          <w:lang w:val="es-MX"/>
        </w:rPr>
        <w:t>p 71 y 72. Citado en: DÁVILA VINEZA, Luis Guillermo. Régimen Jurídico de la contratación estatal. 3ª ed. Legis: Bogotá, 2016. p.</w:t>
      </w:r>
      <w:r w:rsidRPr="003B0802">
        <w:rPr>
          <w:rStyle w:val="apple-converted-space"/>
          <w:rFonts w:ascii="Arial" w:hAnsi="Arial" w:cs="Arial"/>
          <w:sz w:val="19"/>
          <w:szCs w:val="19"/>
        </w:rPr>
        <w:t> </w:t>
      </w:r>
      <w:r w:rsidRPr="003B0802">
        <w:rPr>
          <w:rStyle w:val="normaltextrun"/>
          <w:rFonts w:ascii="Arial" w:hAnsi="Arial" w:cs="Arial"/>
          <w:sz w:val="19"/>
          <w:szCs w:val="19"/>
          <w:lang w:val="es-MX"/>
        </w:rPr>
        <w:t>466.</w:t>
      </w:r>
      <w:r w:rsidRPr="003B0802">
        <w:rPr>
          <w:rStyle w:val="eop"/>
          <w:rFonts w:ascii="Arial" w:hAnsi="Arial" w:cs="Arial"/>
          <w:sz w:val="19"/>
          <w:szCs w:val="19"/>
        </w:rPr>
        <w:t> </w:t>
      </w:r>
    </w:p>
    <w:p w14:paraId="0BBE277D" w14:textId="0655FBA5" w:rsidR="00E32253" w:rsidRPr="003B0802" w:rsidRDefault="00E32253" w:rsidP="000170B8">
      <w:pPr>
        <w:pStyle w:val="Textonotapie"/>
        <w:jc w:val="both"/>
        <w:rPr>
          <w:rFonts w:ascii="Arial" w:hAnsi="Arial" w:cs="Arial"/>
          <w:sz w:val="19"/>
          <w:szCs w:val="19"/>
          <w:lang w:val="es-ES"/>
        </w:rPr>
      </w:pPr>
    </w:p>
  </w:footnote>
  <w:footnote w:id="10">
    <w:p w14:paraId="31145365" w14:textId="01E38738" w:rsidR="00E32253" w:rsidRPr="003B0802" w:rsidRDefault="00E32253" w:rsidP="000170B8">
      <w:pPr>
        <w:pStyle w:val="paragraph"/>
        <w:spacing w:before="0" w:beforeAutospacing="0" w:after="0" w:afterAutospacing="0"/>
        <w:ind w:firstLine="735"/>
        <w:jc w:val="both"/>
        <w:textAlignment w:val="baseline"/>
        <w:rPr>
          <w:rFonts w:ascii="Arial" w:hAnsi="Arial" w:cs="Arial"/>
          <w:color w:val="000000"/>
          <w:sz w:val="19"/>
          <w:szCs w:val="19"/>
        </w:rPr>
      </w:pPr>
      <w:r w:rsidRPr="003B0802">
        <w:rPr>
          <w:rStyle w:val="Refdenotaalpie"/>
          <w:rFonts w:ascii="Arial" w:hAnsi="Arial" w:cs="Arial"/>
          <w:sz w:val="19"/>
          <w:szCs w:val="19"/>
        </w:rPr>
        <w:footnoteRef/>
      </w:r>
      <w:r w:rsidRPr="003B0802">
        <w:rPr>
          <w:rFonts w:ascii="Arial" w:hAnsi="Arial" w:cs="Arial"/>
          <w:sz w:val="19"/>
          <w:szCs w:val="19"/>
        </w:rPr>
        <w:t xml:space="preserve"> </w:t>
      </w:r>
      <w:r w:rsidRPr="003B0802">
        <w:rPr>
          <w:rStyle w:val="normaltextrun"/>
          <w:rFonts w:ascii="Arial" w:hAnsi="Arial" w:cs="Arial"/>
          <w:color w:val="000000"/>
          <w:sz w:val="19"/>
          <w:szCs w:val="19"/>
          <w:shd w:val="clear" w:color="auto" w:fill="FFFFFF"/>
          <w:lang w:val="es-ES"/>
        </w:rPr>
        <w:t>«Artículo 2.2.1.2.1.2.5. Subasta inversa electrónica o presencial. La Entidad Estatal puede escoger si</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adelanta la subasta</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inversa electrónica</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o</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presencialmente</w:t>
      </w:r>
      <w:r w:rsidRPr="003B0802">
        <w:rPr>
          <w:rStyle w:val="eop"/>
          <w:rFonts w:ascii="Arial" w:hAnsi="Arial" w:cs="Arial"/>
          <w:color w:val="000000"/>
          <w:sz w:val="19"/>
          <w:szCs w:val="19"/>
        </w:rPr>
        <w:t>.</w:t>
      </w:r>
    </w:p>
    <w:p w14:paraId="73D01B5C" w14:textId="75F9BA43" w:rsidR="00E32253" w:rsidRPr="003B0802" w:rsidRDefault="00E32253" w:rsidP="000170B8">
      <w:pPr>
        <w:pStyle w:val="paragraph"/>
        <w:spacing w:before="0" w:beforeAutospacing="0" w:after="0" w:afterAutospacing="0"/>
        <w:ind w:right="180" w:firstLine="708"/>
        <w:jc w:val="both"/>
        <w:textAlignment w:val="baseline"/>
        <w:rPr>
          <w:rFonts w:ascii="Arial" w:hAnsi="Arial" w:cs="Arial"/>
          <w:color w:val="000000"/>
          <w:sz w:val="19"/>
          <w:szCs w:val="19"/>
        </w:rPr>
      </w:pPr>
      <w:r w:rsidRPr="003B0802">
        <w:rPr>
          <w:rStyle w:val="normaltextrun"/>
          <w:rFonts w:ascii="Arial" w:hAnsi="Arial" w:cs="Arial"/>
          <w:color w:val="000000"/>
          <w:sz w:val="19"/>
          <w:szCs w:val="19"/>
          <w:shd w:val="clear" w:color="auto" w:fill="FFFFFF"/>
          <w:lang w:val="es-ES"/>
        </w:rPr>
        <w:t>«Si</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la Entidad Estatal decide adelantar</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la</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subasta</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electrónicamente debe fijar en los</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pliegos</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de condiciones el</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sistema que utilizará para la subasta</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inversa y</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los</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mecanismos</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de</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segundad para e! intercambio de mensajes</w:t>
      </w:r>
      <w:r w:rsidRPr="003B0802">
        <w:rPr>
          <w:rStyle w:val="apple-converted-space"/>
          <w:rFonts w:ascii="Arial" w:hAnsi="Arial" w:cs="Arial"/>
          <w:color w:val="000000"/>
          <w:sz w:val="19"/>
          <w:szCs w:val="19"/>
          <w:shd w:val="clear" w:color="auto" w:fill="FFFFFF"/>
          <w:lang w:val="es-ES"/>
        </w:rPr>
        <w:t> </w:t>
      </w:r>
      <w:r w:rsidRPr="003B0802">
        <w:rPr>
          <w:rStyle w:val="normaltextrun"/>
          <w:rFonts w:ascii="Arial" w:hAnsi="Arial" w:cs="Arial"/>
          <w:color w:val="000000"/>
          <w:sz w:val="19"/>
          <w:szCs w:val="19"/>
          <w:shd w:val="clear" w:color="auto" w:fill="FFFFFF"/>
          <w:lang w:val="es-ES"/>
        </w:rPr>
        <w:t>de datos».</w:t>
      </w:r>
      <w:r w:rsidRPr="003B0802">
        <w:rPr>
          <w:rStyle w:val="eop"/>
          <w:rFonts w:ascii="Arial" w:hAnsi="Arial" w:cs="Arial"/>
          <w:color w:val="000000"/>
          <w:sz w:val="19"/>
          <w:szCs w:val="19"/>
        </w:rPr>
        <w:t> </w:t>
      </w:r>
    </w:p>
    <w:p w14:paraId="11B6982E" w14:textId="77777777" w:rsidR="00E32253" w:rsidRPr="003B0802" w:rsidRDefault="00E32253" w:rsidP="000170B8">
      <w:pPr>
        <w:pStyle w:val="Textonotapie"/>
        <w:jc w:val="both"/>
        <w:rPr>
          <w:rFonts w:ascii="Arial" w:hAnsi="Arial" w:cs="Arial"/>
          <w:sz w:val="19"/>
          <w:szCs w:val="19"/>
          <w:lang w:val="es-ES"/>
        </w:rPr>
      </w:pPr>
    </w:p>
  </w:footnote>
  <w:footnote w:id="11">
    <w:p w14:paraId="393A6B58" w14:textId="1E5E7EA5" w:rsidR="00E32253" w:rsidRPr="003B0802" w:rsidRDefault="00E32253" w:rsidP="000170B8">
      <w:pPr>
        <w:pStyle w:val="Textonotapie"/>
        <w:ind w:firstLine="708"/>
        <w:jc w:val="both"/>
        <w:rPr>
          <w:rFonts w:ascii="Arial" w:hAnsi="Arial" w:cs="Arial"/>
          <w:sz w:val="19"/>
          <w:szCs w:val="19"/>
          <w:lang w:val="es-ES"/>
        </w:rPr>
      </w:pPr>
      <w:r w:rsidRPr="003B0802">
        <w:rPr>
          <w:rStyle w:val="Refdenotaalpie"/>
          <w:rFonts w:ascii="Arial" w:hAnsi="Arial" w:cs="Arial"/>
          <w:sz w:val="19"/>
          <w:szCs w:val="19"/>
        </w:rPr>
        <w:footnoteRef/>
      </w:r>
      <w:r w:rsidRPr="003B0802">
        <w:rPr>
          <w:rFonts w:ascii="Arial" w:hAnsi="Arial" w:cs="Arial"/>
          <w:sz w:val="19"/>
          <w:szCs w:val="19"/>
        </w:rPr>
        <w:t xml:space="preserve"> Concepto con radicado 4201912000006453 del 14 de noviembre de 2019</w:t>
      </w:r>
      <w:r w:rsidR="00973B03">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E5F8C" w14:textId="77777777" w:rsidR="00E32253" w:rsidRDefault="00E32253">
    <w:pPr>
      <w:pStyle w:val="Encabezado"/>
    </w:pPr>
    <w:r>
      <w:rPr>
        <w:noProof/>
        <w:lang w:val="es-CO" w:eastAsia="es-CO"/>
      </w:rPr>
      <w:drawing>
        <wp:anchor distT="0" distB="0" distL="114300" distR="114300" simplePos="0" relativeHeight="251659264" behindDoc="1" locked="0" layoutInCell="1" allowOverlap="1" wp14:anchorId="573DC992" wp14:editId="786AC5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6D7"/>
    <w:rsid w:val="000170B8"/>
    <w:rsid w:val="000559E9"/>
    <w:rsid w:val="000803FE"/>
    <w:rsid w:val="000A3221"/>
    <w:rsid w:val="000C2468"/>
    <w:rsid w:val="00125144"/>
    <w:rsid w:val="00130782"/>
    <w:rsid w:val="001450B1"/>
    <w:rsid w:val="00167A6B"/>
    <w:rsid w:val="00194155"/>
    <w:rsid w:val="00197D73"/>
    <w:rsid w:val="001B0152"/>
    <w:rsid w:val="001B77B2"/>
    <w:rsid w:val="001C03B6"/>
    <w:rsid w:val="001D28EC"/>
    <w:rsid w:val="001D47F7"/>
    <w:rsid w:val="001D5C48"/>
    <w:rsid w:val="001E1555"/>
    <w:rsid w:val="001F0CF2"/>
    <w:rsid w:val="002075E5"/>
    <w:rsid w:val="0021084A"/>
    <w:rsid w:val="00261027"/>
    <w:rsid w:val="00275779"/>
    <w:rsid w:val="0028635C"/>
    <w:rsid w:val="002D24FF"/>
    <w:rsid w:val="002F2393"/>
    <w:rsid w:val="00315D74"/>
    <w:rsid w:val="0031645E"/>
    <w:rsid w:val="00320523"/>
    <w:rsid w:val="003213E0"/>
    <w:rsid w:val="00333888"/>
    <w:rsid w:val="00344795"/>
    <w:rsid w:val="0035564B"/>
    <w:rsid w:val="003725F6"/>
    <w:rsid w:val="00374DAD"/>
    <w:rsid w:val="00397CC5"/>
    <w:rsid w:val="003A2AC2"/>
    <w:rsid w:val="003B0802"/>
    <w:rsid w:val="003C558A"/>
    <w:rsid w:val="003D76D7"/>
    <w:rsid w:val="003E2FED"/>
    <w:rsid w:val="004240DD"/>
    <w:rsid w:val="00425809"/>
    <w:rsid w:val="00427F89"/>
    <w:rsid w:val="00444045"/>
    <w:rsid w:val="00450B67"/>
    <w:rsid w:val="00483166"/>
    <w:rsid w:val="004A4777"/>
    <w:rsid w:val="004B10AA"/>
    <w:rsid w:val="004B3A91"/>
    <w:rsid w:val="004B4E65"/>
    <w:rsid w:val="004B62EF"/>
    <w:rsid w:val="004C0655"/>
    <w:rsid w:val="004C1D5D"/>
    <w:rsid w:val="004D6641"/>
    <w:rsid w:val="004D6EB0"/>
    <w:rsid w:val="004E3E0B"/>
    <w:rsid w:val="004F6D40"/>
    <w:rsid w:val="00564381"/>
    <w:rsid w:val="00572AB2"/>
    <w:rsid w:val="00585342"/>
    <w:rsid w:val="005B14AD"/>
    <w:rsid w:val="005B4540"/>
    <w:rsid w:val="005C4AC0"/>
    <w:rsid w:val="005D7830"/>
    <w:rsid w:val="005F07B3"/>
    <w:rsid w:val="005F5CB4"/>
    <w:rsid w:val="00604889"/>
    <w:rsid w:val="00604B99"/>
    <w:rsid w:val="00666FB4"/>
    <w:rsid w:val="00696A2B"/>
    <w:rsid w:val="006B382F"/>
    <w:rsid w:val="006F1FFF"/>
    <w:rsid w:val="00706796"/>
    <w:rsid w:val="00707F5A"/>
    <w:rsid w:val="007268D7"/>
    <w:rsid w:val="00727161"/>
    <w:rsid w:val="007849C9"/>
    <w:rsid w:val="007A1095"/>
    <w:rsid w:val="007A22E6"/>
    <w:rsid w:val="007E029A"/>
    <w:rsid w:val="007E5A7C"/>
    <w:rsid w:val="00806D63"/>
    <w:rsid w:val="0081421D"/>
    <w:rsid w:val="008327ED"/>
    <w:rsid w:val="0084756C"/>
    <w:rsid w:val="00881473"/>
    <w:rsid w:val="008B320B"/>
    <w:rsid w:val="008F639B"/>
    <w:rsid w:val="00902FF1"/>
    <w:rsid w:val="00973B03"/>
    <w:rsid w:val="009A545B"/>
    <w:rsid w:val="009E3759"/>
    <w:rsid w:val="009F03D4"/>
    <w:rsid w:val="009F28D5"/>
    <w:rsid w:val="00A00880"/>
    <w:rsid w:val="00A1440E"/>
    <w:rsid w:val="00A21762"/>
    <w:rsid w:val="00A37206"/>
    <w:rsid w:val="00A57CE2"/>
    <w:rsid w:val="00A7118F"/>
    <w:rsid w:val="00A84220"/>
    <w:rsid w:val="00A851EC"/>
    <w:rsid w:val="00A95C83"/>
    <w:rsid w:val="00AB0AB1"/>
    <w:rsid w:val="00AB1255"/>
    <w:rsid w:val="00AC059B"/>
    <w:rsid w:val="00AE0EA0"/>
    <w:rsid w:val="00AE5029"/>
    <w:rsid w:val="00B073BD"/>
    <w:rsid w:val="00B35449"/>
    <w:rsid w:val="00B4530C"/>
    <w:rsid w:val="00B61F96"/>
    <w:rsid w:val="00B63EB7"/>
    <w:rsid w:val="00B83E14"/>
    <w:rsid w:val="00BC42A3"/>
    <w:rsid w:val="00BC64BE"/>
    <w:rsid w:val="00BE7BE1"/>
    <w:rsid w:val="00BF3AEF"/>
    <w:rsid w:val="00BF677A"/>
    <w:rsid w:val="00C020F3"/>
    <w:rsid w:val="00C061FD"/>
    <w:rsid w:val="00C06842"/>
    <w:rsid w:val="00C32383"/>
    <w:rsid w:val="00C40D8E"/>
    <w:rsid w:val="00C6205D"/>
    <w:rsid w:val="00C74D6A"/>
    <w:rsid w:val="00C77F51"/>
    <w:rsid w:val="00C82EF7"/>
    <w:rsid w:val="00C85E8B"/>
    <w:rsid w:val="00CB5570"/>
    <w:rsid w:val="00CF46D6"/>
    <w:rsid w:val="00D36FC4"/>
    <w:rsid w:val="00D5791A"/>
    <w:rsid w:val="00D80DC9"/>
    <w:rsid w:val="00D923D4"/>
    <w:rsid w:val="00D93DE7"/>
    <w:rsid w:val="00DB6A11"/>
    <w:rsid w:val="00DB6FCA"/>
    <w:rsid w:val="00DE48C6"/>
    <w:rsid w:val="00E26580"/>
    <w:rsid w:val="00E32253"/>
    <w:rsid w:val="00E65D9D"/>
    <w:rsid w:val="00E6772B"/>
    <w:rsid w:val="00E773FC"/>
    <w:rsid w:val="00E84C78"/>
    <w:rsid w:val="00E946C7"/>
    <w:rsid w:val="00E95F23"/>
    <w:rsid w:val="00F24AF8"/>
    <w:rsid w:val="00F31054"/>
    <w:rsid w:val="00F344A0"/>
    <w:rsid w:val="00F410F2"/>
    <w:rsid w:val="00F50D4C"/>
    <w:rsid w:val="00F547EA"/>
    <w:rsid w:val="00F61F2D"/>
    <w:rsid w:val="00FB35DC"/>
    <w:rsid w:val="00FB6E41"/>
    <w:rsid w:val="00FC4706"/>
    <w:rsid w:val="00FC49E1"/>
    <w:rsid w:val="00FD6E1E"/>
    <w:rsid w:val="00FE09A3"/>
    <w:rsid w:val="00FE78CA"/>
    <w:rsid w:val="00FE7B58"/>
    <w:rsid w:val="00FF10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43A3"/>
  <w15:chartTrackingRefBased/>
  <w15:docId w15:val="{3D397E1E-011D-9E41-8CBD-D232CF87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383"/>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D76D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D76D7"/>
    <w:rPr>
      <w:szCs w:val="22"/>
      <w:lang w:val="es-MX"/>
    </w:rPr>
  </w:style>
  <w:style w:type="paragraph" w:styleId="Encabezado">
    <w:name w:val="header"/>
    <w:basedOn w:val="Normal"/>
    <w:link w:val="EncabezadoCar"/>
    <w:uiPriority w:val="99"/>
    <w:unhideWhenUsed/>
    <w:rsid w:val="003D76D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D76D7"/>
    <w:rPr>
      <w:szCs w:val="22"/>
      <w:lang w:val="es-MX"/>
    </w:rPr>
  </w:style>
  <w:style w:type="table" w:styleId="Tablaconcuadrcula">
    <w:name w:val="Table Grid"/>
    <w:basedOn w:val="Tablanormal"/>
    <w:uiPriority w:val="39"/>
    <w:rsid w:val="003D76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D76D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D76D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D76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D76D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D76D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76D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3D76D7"/>
    <w:rPr>
      <w:vertAlign w:val="superscript"/>
    </w:rPr>
  </w:style>
  <w:style w:type="paragraph" w:customStyle="1" w:styleId="paragraph">
    <w:name w:val="paragraph"/>
    <w:basedOn w:val="Normal"/>
    <w:rsid w:val="003D76D7"/>
    <w:pPr>
      <w:spacing w:before="100" w:beforeAutospacing="1" w:after="100" w:afterAutospacing="1"/>
    </w:pPr>
  </w:style>
  <w:style w:type="paragraph" w:styleId="Textoindependiente">
    <w:name w:val="Body Text"/>
    <w:basedOn w:val="Normal"/>
    <w:link w:val="TextoindependienteCar"/>
    <w:uiPriority w:val="1"/>
    <w:qFormat/>
    <w:rsid w:val="003D76D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D76D7"/>
    <w:rPr>
      <w:rFonts w:ascii="Arial" w:eastAsia="Arial" w:hAnsi="Arial" w:cs="Arial"/>
      <w:sz w:val="20"/>
      <w:szCs w:val="20"/>
      <w:lang w:val="es-ES"/>
    </w:rPr>
  </w:style>
  <w:style w:type="paragraph" w:styleId="NormalWeb">
    <w:name w:val="Normal (Web)"/>
    <w:basedOn w:val="Normal"/>
    <w:link w:val="NormalWebCar"/>
    <w:uiPriority w:val="99"/>
    <w:unhideWhenUsed/>
    <w:rsid w:val="003D76D7"/>
    <w:pPr>
      <w:spacing w:before="100" w:beforeAutospacing="1" w:after="100" w:afterAutospacing="1"/>
    </w:pPr>
  </w:style>
  <w:style w:type="paragraph" w:customStyle="1" w:styleId="xxmsonospacing">
    <w:name w:val="x_xmsonospacing"/>
    <w:basedOn w:val="Normal"/>
    <w:rsid w:val="003D76D7"/>
    <w:pPr>
      <w:spacing w:before="100" w:beforeAutospacing="1" w:after="100" w:afterAutospacing="1"/>
    </w:pPr>
  </w:style>
  <w:style w:type="paragraph" w:customStyle="1" w:styleId="xmsonormal">
    <w:name w:val="x_msonormal"/>
    <w:basedOn w:val="Normal"/>
    <w:rsid w:val="003D76D7"/>
    <w:pPr>
      <w:spacing w:before="100" w:beforeAutospacing="1" w:after="100" w:afterAutospacing="1"/>
    </w:pPr>
  </w:style>
  <w:style w:type="paragraph" w:customStyle="1" w:styleId="Appelnotedebasde">
    <w:name w:val="Appel note de bas de..."/>
    <w:basedOn w:val="Normal"/>
    <w:link w:val="Refdenotaalpie"/>
    <w:uiPriority w:val="99"/>
    <w:rsid w:val="003D76D7"/>
    <w:pPr>
      <w:spacing w:after="160" w:line="240" w:lineRule="exact"/>
    </w:pPr>
    <w:rPr>
      <w:rFonts w:asciiTheme="minorHAnsi" w:eastAsiaTheme="minorHAnsi" w:hAnsiTheme="minorHAnsi" w:cstheme="minorBidi"/>
      <w:vertAlign w:val="superscript"/>
      <w:lang w:eastAsia="en-US"/>
    </w:rPr>
  </w:style>
  <w:style w:type="character" w:styleId="Refdecomentario">
    <w:name w:val="annotation reference"/>
    <w:basedOn w:val="Fuentedeprrafopredeter"/>
    <w:uiPriority w:val="99"/>
    <w:semiHidden/>
    <w:unhideWhenUsed/>
    <w:rsid w:val="007E5A7C"/>
    <w:rPr>
      <w:sz w:val="16"/>
      <w:szCs w:val="16"/>
    </w:rPr>
  </w:style>
  <w:style w:type="paragraph" w:styleId="Textocomentario">
    <w:name w:val="annotation text"/>
    <w:basedOn w:val="Normal"/>
    <w:link w:val="TextocomentarioCar"/>
    <w:uiPriority w:val="99"/>
    <w:semiHidden/>
    <w:unhideWhenUsed/>
    <w:rsid w:val="007E5A7C"/>
    <w:rPr>
      <w:sz w:val="20"/>
      <w:szCs w:val="20"/>
    </w:rPr>
  </w:style>
  <w:style w:type="character" w:customStyle="1" w:styleId="TextocomentarioCar">
    <w:name w:val="Texto comentario Car"/>
    <w:basedOn w:val="Fuentedeprrafopredeter"/>
    <w:link w:val="Textocomentario"/>
    <w:uiPriority w:val="99"/>
    <w:semiHidden/>
    <w:rsid w:val="007E5A7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5A7C"/>
    <w:rPr>
      <w:b/>
      <w:bCs/>
    </w:rPr>
  </w:style>
  <w:style w:type="character" w:customStyle="1" w:styleId="AsuntodelcomentarioCar">
    <w:name w:val="Asunto del comentario Car"/>
    <w:basedOn w:val="TextocomentarioCar"/>
    <w:link w:val="Asuntodelcomentario"/>
    <w:uiPriority w:val="99"/>
    <w:semiHidden/>
    <w:rsid w:val="007E5A7C"/>
    <w:rPr>
      <w:rFonts w:ascii="Times New Roman" w:eastAsia="Times New Roman" w:hAnsi="Times New Roman" w:cs="Times New Roman"/>
      <w:b/>
      <w:bCs/>
      <w:sz w:val="20"/>
      <w:szCs w:val="20"/>
      <w:lang w:eastAsia="es-MX"/>
    </w:rPr>
  </w:style>
  <w:style w:type="paragraph" w:styleId="Textodeglobo">
    <w:name w:val="Balloon Text"/>
    <w:basedOn w:val="Normal"/>
    <w:link w:val="TextodegloboCar"/>
    <w:uiPriority w:val="99"/>
    <w:semiHidden/>
    <w:unhideWhenUsed/>
    <w:rsid w:val="007E5A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5A7C"/>
    <w:rPr>
      <w:rFonts w:ascii="Segoe UI" w:eastAsia="Times New Roman" w:hAnsi="Segoe UI" w:cs="Segoe UI"/>
      <w:sz w:val="18"/>
      <w:szCs w:val="18"/>
      <w:lang w:eastAsia="es-MX"/>
    </w:rPr>
  </w:style>
  <w:style w:type="character" w:customStyle="1" w:styleId="normaltextrun">
    <w:name w:val="normaltextrun"/>
    <w:basedOn w:val="Fuentedeprrafopredeter"/>
    <w:rsid w:val="000A3221"/>
  </w:style>
  <w:style w:type="paragraph" w:styleId="Revisin">
    <w:name w:val="Revision"/>
    <w:hidden/>
    <w:uiPriority w:val="99"/>
    <w:semiHidden/>
    <w:rsid w:val="00B63EB7"/>
    <w:rPr>
      <w:rFonts w:ascii="Times New Roman" w:eastAsia="Times New Roman" w:hAnsi="Times New Roman" w:cs="Times New Roman"/>
      <w:lang w:eastAsia="es-MX"/>
    </w:rPr>
  </w:style>
  <w:style w:type="character" w:customStyle="1" w:styleId="NormalWebCar">
    <w:name w:val="Normal (Web) Car"/>
    <w:link w:val="NormalWeb"/>
    <w:uiPriority w:val="99"/>
    <w:rsid w:val="005D7830"/>
    <w:rPr>
      <w:rFonts w:ascii="Times New Roman" w:eastAsia="Times New Roman" w:hAnsi="Times New Roman" w:cs="Times New Roman"/>
      <w:lang w:eastAsia="es-MX"/>
    </w:rPr>
  </w:style>
  <w:style w:type="character" w:customStyle="1" w:styleId="apple-converted-space">
    <w:name w:val="apple-converted-space"/>
    <w:basedOn w:val="Fuentedeprrafopredeter"/>
    <w:rsid w:val="00DE48C6"/>
  </w:style>
  <w:style w:type="character" w:customStyle="1" w:styleId="eop">
    <w:name w:val="eop"/>
    <w:basedOn w:val="Fuentedeprrafopredeter"/>
    <w:rsid w:val="00DE48C6"/>
  </w:style>
  <w:style w:type="character" w:styleId="Textoennegrita">
    <w:name w:val="Strong"/>
    <w:basedOn w:val="Fuentedeprrafopredeter"/>
    <w:uiPriority w:val="22"/>
    <w:qFormat/>
    <w:rsid w:val="003A2AC2"/>
    <w:rPr>
      <w:b/>
      <w:bCs/>
    </w:rPr>
  </w:style>
  <w:style w:type="character" w:styleId="nfasis">
    <w:name w:val="Emphasis"/>
    <w:basedOn w:val="Fuentedeprrafopredeter"/>
    <w:uiPriority w:val="20"/>
    <w:qFormat/>
    <w:rsid w:val="003A2AC2"/>
    <w:rPr>
      <w:i/>
      <w:iCs/>
    </w:rPr>
  </w:style>
  <w:style w:type="character" w:customStyle="1" w:styleId="superscript">
    <w:name w:val="superscript"/>
    <w:basedOn w:val="Fuentedeprrafopredeter"/>
    <w:rsid w:val="00424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63063">
      <w:bodyDiv w:val="1"/>
      <w:marLeft w:val="0"/>
      <w:marRight w:val="0"/>
      <w:marTop w:val="0"/>
      <w:marBottom w:val="0"/>
      <w:divBdr>
        <w:top w:val="none" w:sz="0" w:space="0" w:color="auto"/>
        <w:left w:val="none" w:sz="0" w:space="0" w:color="auto"/>
        <w:bottom w:val="none" w:sz="0" w:space="0" w:color="auto"/>
        <w:right w:val="none" w:sz="0" w:space="0" w:color="auto"/>
      </w:divBdr>
    </w:div>
    <w:div w:id="276372094">
      <w:bodyDiv w:val="1"/>
      <w:marLeft w:val="0"/>
      <w:marRight w:val="0"/>
      <w:marTop w:val="0"/>
      <w:marBottom w:val="0"/>
      <w:divBdr>
        <w:top w:val="none" w:sz="0" w:space="0" w:color="auto"/>
        <w:left w:val="none" w:sz="0" w:space="0" w:color="auto"/>
        <w:bottom w:val="none" w:sz="0" w:space="0" w:color="auto"/>
        <w:right w:val="none" w:sz="0" w:space="0" w:color="auto"/>
      </w:divBdr>
    </w:div>
    <w:div w:id="341858198">
      <w:bodyDiv w:val="1"/>
      <w:marLeft w:val="0"/>
      <w:marRight w:val="0"/>
      <w:marTop w:val="0"/>
      <w:marBottom w:val="0"/>
      <w:divBdr>
        <w:top w:val="none" w:sz="0" w:space="0" w:color="auto"/>
        <w:left w:val="none" w:sz="0" w:space="0" w:color="auto"/>
        <w:bottom w:val="none" w:sz="0" w:space="0" w:color="auto"/>
        <w:right w:val="none" w:sz="0" w:space="0" w:color="auto"/>
      </w:divBdr>
    </w:div>
    <w:div w:id="360673300">
      <w:bodyDiv w:val="1"/>
      <w:marLeft w:val="0"/>
      <w:marRight w:val="0"/>
      <w:marTop w:val="0"/>
      <w:marBottom w:val="0"/>
      <w:divBdr>
        <w:top w:val="none" w:sz="0" w:space="0" w:color="auto"/>
        <w:left w:val="none" w:sz="0" w:space="0" w:color="auto"/>
        <w:bottom w:val="none" w:sz="0" w:space="0" w:color="auto"/>
        <w:right w:val="none" w:sz="0" w:space="0" w:color="auto"/>
      </w:divBdr>
    </w:div>
    <w:div w:id="493494541">
      <w:bodyDiv w:val="1"/>
      <w:marLeft w:val="0"/>
      <w:marRight w:val="0"/>
      <w:marTop w:val="0"/>
      <w:marBottom w:val="0"/>
      <w:divBdr>
        <w:top w:val="none" w:sz="0" w:space="0" w:color="auto"/>
        <w:left w:val="none" w:sz="0" w:space="0" w:color="auto"/>
        <w:bottom w:val="none" w:sz="0" w:space="0" w:color="auto"/>
        <w:right w:val="none" w:sz="0" w:space="0" w:color="auto"/>
      </w:divBdr>
      <w:divsChild>
        <w:div w:id="1807162830">
          <w:marLeft w:val="0"/>
          <w:marRight w:val="0"/>
          <w:marTop w:val="0"/>
          <w:marBottom w:val="0"/>
          <w:divBdr>
            <w:top w:val="none" w:sz="0" w:space="0" w:color="auto"/>
            <w:left w:val="none" w:sz="0" w:space="0" w:color="auto"/>
            <w:bottom w:val="none" w:sz="0" w:space="0" w:color="auto"/>
            <w:right w:val="none" w:sz="0" w:space="0" w:color="auto"/>
          </w:divBdr>
        </w:div>
        <w:div w:id="2074306171">
          <w:marLeft w:val="0"/>
          <w:marRight w:val="0"/>
          <w:marTop w:val="0"/>
          <w:marBottom w:val="0"/>
          <w:divBdr>
            <w:top w:val="none" w:sz="0" w:space="0" w:color="auto"/>
            <w:left w:val="none" w:sz="0" w:space="0" w:color="auto"/>
            <w:bottom w:val="none" w:sz="0" w:space="0" w:color="auto"/>
            <w:right w:val="none" w:sz="0" w:space="0" w:color="auto"/>
          </w:divBdr>
        </w:div>
        <w:div w:id="357001520">
          <w:marLeft w:val="0"/>
          <w:marRight w:val="0"/>
          <w:marTop w:val="0"/>
          <w:marBottom w:val="0"/>
          <w:divBdr>
            <w:top w:val="none" w:sz="0" w:space="0" w:color="auto"/>
            <w:left w:val="none" w:sz="0" w:space="0" w:color="auto"/>
            <w:bottom w:val="none" w:sz="0" w:space="0" w:color="auto"/>
            <w:right w:val="none" w:sz="0" w:space="0" w:color="auto"/>
          </w:divBdr>
        </w:div>
        <w:div w:id="2125033588">
          <w:marLeft w:val="0"/>
          <w:marRight w:val="0"/>
          <w:marTop w:val="0"/>
          <w:marBottom w:val="0"/>
          <w:divBdr>
            <w:top w:val="none" w:sz="0" w:space="0" w:color="auto"/>
            <w:left w:val="none" w:sz="0" w:space="0" w:color="auto"/>
            <w:bottom w:val="none" w:sz="0" w:space="0" w:color="auto"/>
            <w:right w:val="none" w:sz="0" w:space="0" w:color="auto"/>
          </w:divBdr>
        </w:div>
        <w:div w:id="826938508">
          <w:marLeft w:val="0"/>
          <w:marRight w:val="0"/>
          <w:marTop w:val="0"/>
          <w:marBottom w:val="0"/>
          <w:divBdr>
            <w:top w:val="none" w:sz="0" w:space="0" w:color="auto"/>
            <w:left w:val="none" w:sz="0" w:space="0" w:color="auto"/>
            <w:bottom w:val="none" w:sz="0" w:space="0" w:color="auto"/>
            <w:right w:val="none" w:sz="0" w:space="0" w:color="auto"/>
          </w:divBdr>
        </w:div>
        <w:div w:id="1554537634">
          <w:marLeft w:val="0"/>
          <w:marRight w:val="0"/>
          <w:marTop w:val="0"/>
          <w:marBottom w:val="0"/>
          <w:divBdr>
            <w:top w:val="none" w:sz="0" w:space="0" w:color="auto"/>
            <w:left w:val="none" w:sz="0" w:space="0" w:color="auto"/>
            <w:bottom w:val="none" w:sz="0" w:space="0" w:color="auto"/>
            <w:right w:val="none" w:sz="0" w:space="0" w:color="auto"/>
          </w:divBdr>
        </w:div>
        <w:div w:id="1653636644">
          <w:marLeft w:val="0"/>
          <w:marRight w:val="0"/>
          <w:marTop w:val="0"/>
          <w:marBottom w:val="0"/>
          <w:divBdr>
            <w:top w:val="none" w:sz="0" w:space="0" w:color="auto"/>
            <w:left w:val="none" w:sz="0" w:space="0" w:color="auto"/>
            <w:bottom w:val="none" w:sz="0" w:space="0" w:color="auto"/>
            <w:right w:val="none" w:sz="0" w:space="0" w:color="auto"/>
          </w:divBdr>
        </w:div>
        <w:div w:id="1385135713">
          <w:marLeft w:val="0"/>
          <w:marRight w:val="0"/>
          <w:marTop w:val="0"/>
          <w:marBottom w:val="0"/>
          <w:divBdr>
            <w:top w:val="none" w:sz="0" w:space="0" w:color="auto"/>
            <w:left w:val="none" w:sz="0" w:space="0" w:color="auto"/>
            <w:bottom w:val="none" w:sz="0" w:space="0" w:color="auto"/>
            <w:right w:val="none" w:sz="0" w:space="0" w:color="auto"/>
          </w:divBdr>
        </w:div>
        <w:div w:id="1892382154">
          <w:marLeft w:val="0"/>
          <w:marRight w:val="0"/>
          <w:marTop w:val="0"/>
          <w:marBottom w:val="0"/>
          <w:divBdr>
            <w:top w:val="none" w:sz="0" w:space="0" w:color="auto"/>
            <w:left w:val="none" w:sz="0" w:space="0" w:color="auto"/>
            <w:bottom w:val="none" w:sz="0" w:space="0" w:color="auto"/>
            <w:right w:val="none" w:sz="0" w:space="0" w:color="auto"/>
          </w:divBdr>
        </w:div>
        <w:div w:id="1713262178">
          <w:marLeft w:val="0"/>
          <w:marRight w:val="0"/>
          <w:marTop w:val="0"/>
          <w:marBottom w:val="0"/>
          <w:divBdr>
            <w:top w:val="none" w:sz="0" w:space="0" w:color="auto"/>
            <w:left w:val="none" w:sz="0" w:space="0" w:color="auto"/>
            <w:bottom w:val="none" w:sz="0" w:space="0" w:color="auto"/>
            <w:right w:val="none" w:sz="0" w:space="0" w:color="auto"/>
          </w:divBdr>
        </w:div>
      </w:divsChild>
    </w:div>
    <w:div w:id="607272835">
      <w:bodyDiv w:val="1"/>
      <w:marLeft w:val="0"/>
      <w:marRight w:val="0"/>
      <w:marTop w:val="0"/>
      <w:marBottom w:val="0"/>
      <w:divBdr>
        <w:top w:val="none" w:sz="0" w:space="0" w:color="auto"/>
        <w:left w:val="none" w:sz="0" w:space="0" w:color="auto"/>
        <w:bottom w:val="none" w:sz="0" w:space="0" w:color="auto"/>
        <w:right w:val="none" w:sz="0" w:space="0" w:color="auto"/>
      </w:divBdr>
      <w:divsChild>
        <w:div w:id="1541551668">
          <w:marLeft w:val="0"/>
          <w:marRight w:val="0"/>
          <w:marTop w:val="0"/>
          <w:marBottom w:val="0"/>
          <w:divBdr>
            <w:top w:val="none" w:sz="0" w:space="0" w:color="auto"/>
            <w:left w:val="none" w:sz="0" w:space="0" w:color="auto"/>
            <w:bottom w:val="none" w:sz="0" w:space="0" w:color="auto"/>
            <w:right w:val="none" w:sz="0" w:space="0" w:color="auto"/>
          </w:divBdr>
        </w:div>
        <w:div w:id="2049135579">
          <w:marLeft w:val="0"/>
          <w:marRight w:val="0"/>
          <w:marTop w:val="0"/>
          <w:marBottom w:val="0"/>
          <w:divBdr>
            <w:top w:val="none" w:sz="0" w:space="0" w:color="auto"/>
            <w:left w:val="none" w:sz="0" w:space="0" w:color="auto"/>
            <w:bottom w:val="none" w:sz="0" w:space="0" w:color="auto"/>
            <w:right w:val="none" w:sz="0" w:space="0" w:color="auto"/>
          </w:divBdr>
        </w:div>
      </w:divsChild>
    </w:div>
    <w:div w:id="673842962">
      <w:bodyDiv w:val="1"/>
      <w:marLeft w:val="0"/>
      <w:marRight w:val="0"/>
      <w:marTop w:val="0"/>
      <w:marBottom w:val="0"/>
      <w:divBdr>
        <w:top w:val="none" w:sz="0" w:space="0" w:color="auto"/>
        <w:left w:val="none" w:sz="0" w:space="0" w:color="auto"/>
        <w:bottom w:val="none" w:sz="0" w:space="0" w:color="auto"/>
        <w:right w:val="none" w:sz="0" w:space="0" w:color="auto"/>
      </w:divBdr>
    </w:div>
    <w:div w:id="747266671">
      <w:bodyDiv w:val="1"/>
      <w:marLeft w:val="0"/>
      <w:marRight w:val="0"/>
      <w:marTop w:val="0"/>
      <w:marBottom w:val="0"/>
      <w:divBdr>
        <w:top w:val="none" w:sz="0" w:space="0" w:color="auto"/>
        <w:left w:val="none" w:sz="0" w:space="0" w:color="auto"/>
        <w:bottom w:val="none" w:sz="0" w:space="0" w:color="auto"/>
        <w:right w:val="none" w:sz="0" w:space="0" w:color="auto"/>
      </w:divBdr>
      <w:divsChild>
        <w:div w:id="1528986057">
          <w:marLeft w:val="0"/>
          <w:marRight w:val="0"/>
          <w:marTop w:val="0"/>
          <w:marBottom w:val="0"/>
          <w:divBdr>
            <w:top w:val="none" w:sz="0" w:space="0" w:color="auto"/>
            <w:left w:val="none" w:sz="0" w:space="0" w:color="auto"/>
            <w:bottom w:val="none" w:sz="0" w:space="0" w:color="auto"/>
            <w:right w:val="none" w:sz="0" w:space="0" w:color="auto"/>
          </w:divBdr>
        </w:div>
        <w:div w:id="1104230724">
          <w:marLeft w:val="0"/>
          <w:marRight w:val="0"/>
          <w:marTop w:val="0"/>
          <w:marBottom w:val="0"/>
          <w:divBdr>
            <w:top w:val="none" w:sz="0" w:space="0" w:color="auto"/>
            <w:left w:val="none" w:sz="0" w:space="0" w:color="auto"/>
            <w:bottom w:val="none" w:sz="0" w:space="0" w:color="auto"/>
            <w:right w:val="none" w:sz="0" w:space="0" w:color="auto"/>
          </w:divBdr>
        </w:div>
        <w:div w:id="131099236">
          <w:marLeft w:val="0"/>
          <w:marRight w:val="0"/>
          <w:marTop w:val="0"/>
          <w:marBottom w:val="0"/>
          <w:divBdr>
            <w:top w:val="none" w:sz="0" w:space="0" w:color="auto"/>
            <w:left w:val="none" w:sz="0" w:space="0" w:color="auto"/>
            <w:bottom w:val="none" w:sz="0" w:space="0" w:color="auto"/>
            <w:right w:val="none" w:sz="0" w:space="0" w:color="auto"/>
          </w:divBdr>
        </w:div>
      </w:divsChild>
    </w:div>
    <w:div w:id="790592009">
      <w:bodyDiv w:val="1"/>
      <w:marLeft w:val="0"/>
      <w:marRight w:val="0"/>
      <w:marTop w:val="0"/>
      <w:marBottom w:val="0"/>
      <w:divBdr>
        <w:top w:val="none" w:sz="0" w:space="0" w:color="auto"/>
        <w:left w:val="none" w:sz="0" w:space="0" w:color="auto"/>
        <w:bottom w:val="none" w:sz="0" w:space="0" w:color="auto"/>
        <w:right w:val="none" w:sz="0" w:space="0" w:color="auto"/>
      </w:divBdr>
      <w:divsChild>
        <w:div w:id="1287585932">
          <w:marLeft w:val="0"/>
          <w:marRight w:val="0"/>
          <w:marTop w:val="0"/>
          <w:marBottom w:val="0"/>
          <w:divBdr>
            <w:top w:val="none" w:sz="0" w:space="0" w:color="auto"/>
            <w:left w:val="none" w:sz="0" w:space="0" w:color="auto"/>
            <w:bottom w:val="none" w:sz="0" w:space="0" w:color="auto"/>
            <w:right w:val="none" w:sz="0" w:space="0" w:color="auto"/>
          </w:divBdr>
        </w:div>
        <w:div w:id="332880593">
          <w:marLeft w:val="0"/>
          <w:marRight w:val="0"/>
          <w:marTop w:val="0"/>
          <w:marBottom w:val="0"/>
          <w:divBdr>
            <w:top w:val="none" w:sz="0" w:space="0" w:color="auto"/>
            <w:left w:val="none" w:sz="0" w:space="0" w:color="auto"/>
            <w:bottom w:val="none" w:sz="0" w:space="0" w:color="auto"/>
            <w:right w:val="none" w:sz="0" w:space="0" w:color="auto"/>
          </w:divBdr>
        </w:div>
      </w:divsChild>
    </w:div>
    <w:div w:id="799880408">
      <w:bodyDiv w:val="1"/>
      <w:marLeft w:val="0"/>
      <w:marRight w:val="0"/>
      <w:marTop w:val="0"/>
      <w:marBottom w:val="0"/>
      <w:divBdr>
        <w:top w:val="none" w:sz="0" w:space="0" w:color="auto"/>
        <w:left w:val="none" w:sz="0" w:space="0" w:color="auto"/>
        <w:bottom w:val="none" w:sz="0" w:space="0" w:color="auto"/>
        <w:right w:val="none" w:sz="0" w:space="0" w:color="auto"/>
      </w:divBdr>
    </w:div>
    <w:div w:id="854225801">
      <w:bodyDiv w:val="1"/>
      <w:marLeft w:val="0"/>
      <w:marRight w:val="0"/>
      <w:marTop w:val="0"/>
      <w:marBottom w:val="0"/>
      <w:divBdr>
        <w:top w:val="none" w:sz="0" w:space="0" w:color="auto"/>
        <w:left w:val="none" w:sz="0" w:space="0" w:color="auto"/>
        <w:bottom w:val="none" w:sz="0" w:space="0" w:color="auto"/>
        <w:right w:val="none" w:sz="0" w:space="0" w:color="auto"/>
      </w:divBdr>
      <w:divsChild>
        <w:div w:id="1637373823">
          <w:marLeft w:val="0"/>
          <w:marRight w:val="0"/>
          <w:marTop w:val="0"/>
          <w:marBottom w:val="0"/>
          <w:divBdr>
            <w:top w:val="none" w:sz="0" w:space="0" w:color="auto"/>
            <w:left w:val="none" w:sz="0" w:space="0" w:color="auto"/>
            <w:bottom w:val="none" w:sz="0" w:space="0" w:color="auto"/>
            <w:right w:val="none" w:sz="0" w:space="0" w:color="auto"/>
          </w:divBdr>
        </w:div>
      </w:divsChild>
    </w:div>
    <w:div w:id="873926933">
      <w:bodyDiv w:val="1"/>
      <w:marLeft w:val="0"/>
      <w:marRight w:val="0"/>
      <w:marTop w:val="0"/>
      <w:marBottom w:val="0"/>
      <w:divBdr>
        <w:top w:val="none" w:sz="0" w:space="0" w:color="auto"/>
        <w:left w:val="none" w:sz="0" w:space="0" w:color="auto"/>
        <w:bottom w:val="none" w:sz="0" w:space="0" w:color="auto"/>
        <w:right w:val="none" w:sz="0" w:space="0" w:color="auto"/>
      </w:divBdr>
    </w:div>
    <w:div w:id="949894315">
      <w:bodyDiv w:val="1"/>
      <w:marLeft w:val="0"/>
      <w:marRight w:val="0"/>
      <w:marTop w:val="0"/>
      <w:marBottom w:val="0"/>
      <w:divBdr>
        <w:top w:val="none" w:sz="0" w:space="0" w:color="auto"/>
        <w:left w:val="none" w:sz="0" w:space="0" w:color="auto"/>
        <w:bottom w:val="none" w:sz="0" w:space="0" w:color="auto"/>
        <w:right w:val="none" w:sz="0" w:space="0" w:color="auto"/>
      </w:divBdr>
      <w:divsChild>
        <w:div w:id="746145689">
          <w:marLeft w:val="0"/>
          <w:marRight w:val="0"/>
          <w:marTop w:val="0"/>
          <w:marBottom w:val="0"/>
          <w:divBdr>
            <w:top w:val="none" w:sz="0" w:space="0" w:color="auto"/>
            <w:left w:val="none" w:sz="0" w:space="0" w:color="auto"/>
            <w:bottom w:val="none" w:sz="0" w:space="0" w:color="auto"/>
            <w:right w:val="none" w:sz="0" w:space="0" w:color="auto"/>
          </w:divBdr>
        </w:div>
        <w:div w:id="1419328434">
          <w:marLeft w:val="0"/>
          <w:marRight w:val="0"/>
          <w:marTop w:val="0"/>
          <w:marBottom w:val="0"/>
          <w:divBdr>
            <w:top w:val="none" w:sz="0" w:space="0" w:color="auto"/>
            <w:left w:val="none" w:sz="0" w:space="0" w:color="auto"/>
            <w:bottom w:val="none" w:sz="0" w:space="0" w:color="auto"/>
            <w:right w:val="none" w:sz="0" w:space="0" w:color="auto"/>
          </w:divBdr>
        </w:div>
      </w:divsChild>
    </w:div>
    <w:div w:id="1219827067">
      <w:bodyDiv w:val="1"/>
      <w:marLeft w:val="0"/>
      <w:marRight w:val="0"/>
      <w:marTop w:val="0"/>
      <w:marBottom w:val="0"/>
      <w:divBdr>
        <w:top w:val="none" w:sz="0" w:space="0" w:color="auto"/>
        <w:left w:val="none" w:sz="0" w:space="0" w:color="auto"/>
        <w:bottom w:val="none" w:sz="0" w:space="0" w:color="auto"/>
        <w:right w:val="none" w:sz="0" w:space="0" w:color="auto"/>
      </w:divBdr>
    </w:div>
    <w:div w:id="1354652612">
      <w:bodyDiv w:val="1"/>
      <w:marLeft w:val="0"/>
      <w:marRight w:val="0"/>
      <w:marTop w:val="0"/>
      <w:marBottom w:val="0"/>
      <w:divBdr>
        <w:top w:val="none" w:sz="0" w:space="0" w:color="auto"/>
        <w:left w:val="none" w:sz="0" w:space="0" w:color="auto"/>
        <w:bottom w:val="none" w:sz="0" w:space="0" w:color="auto"/>
        <w:right w:val="none" w:sz="0" w:space="0" w:color="auto"/>
      </w:divBdr>
    </w:div>
    <w:div w:id="1506096129">
      <w:bodyDiv w:val="1"/>
      <w:marLeft w:val="0"/>
      <w:marRight w:val="0"/>
      <w:marTop w:val="0"/>
      <w:marBottom w:val="0"/>
      <w:divBdr>
        <w:top w:val="none" w:sz="0" w:space="0" w:color="auto"/>
        <w:left w:val="none" w:sz="0" w:space="0" w:color="auto"/>
        <w:bottom w:val="none" w:sz="0" w:space="0" w:color="auto"/>
        <w:right w:val="none" w:sz="0" w:space="0" w:color="auto"/>
      </w:divBdr>
    </w:div>
    <w:div w:id="1588072404">
      <w:bodyDiv w:val="1"/>
      <w:marLeft w:val="0"/>
      <w:marRight w:val="0"/>
      <w:marTop w:val="0"/>
      <w:marBottom w:val="0"/>
      <w:divBdr>
        <w:top w:val="none" w:sz="0" w:space="0" w:color="auto"/>
        <w:left w:val="none" w:sz="0" w:space="0" w:color="auto"/>
        <w:bottom w:val="none" w:sz="0" w:space="0" w:color="auto"/>
        <w:right w:val="none" w:sz="0" w:space="0" w:color="auto"/>
      </w:divBdr>
    </w:div>
    <w:div w:id="1605185161">
      <w:bodyDiv w:val="1"/>
      <w:marLeft w:val="0"/>
      <w:marRight w:val="0"/>
      <w:marTop w:val="0"/>
      <w:marBottom w:val="0"/>
      <w:divBdr>
        <w:top w:val="none" w:sz="0" w:space="0" w:color="auto"/>
        <w:left w:val="none" w:sz="0" w:space="0" w:color="auto"/>
        <w:bottom w:val="none" w:sz="0" w:space="0" w:color="auto"/>
        <w:right w:val="none" w:sz="0" w:space="0" w:color="auto"/>
      </w:divBdr>
    </w:div>
    <w:div w:id="1683119605">
      <w:bodyDiv w:val="1"/>
      <w:marLeft w:val="0"/>
      <w:marRight w:val="0"/>
      <w:marTop w:val="0"/>
      <w:marBottom w:val="0"/>
      <w:divBdr>
        <w:top w:val="none" w:sz="0" w:space="0" w:color="auto"/>
        <w:left w:val="none" w:sz="0" w:space="0" w:color="auto"/>
        <w:bottom w:val="none" w:sz="0" w:space="0" w:color="auto"/>
        <w:right w:val="none" w:sz="0" w:space="0" w:color="auto"/>
      </w:divBdr>
    </w:div>
    <w:div w:id="1770467412">
      <w:bodyDiv w:val="1"/>
      <w:marLeft w:val="0"/>
      <w:marRight w:val="0"/>
      <w:marTop w:val="0"/>
      <w:marBottom w:val="0"/>
      <w:divBdr>
        <w:top w:val="none" w:sz="0" w:space="0" w:color="auto"/>
        <w:left w:val="none" w:sz="0" w:space="0" w:color="auto"/>
        <w:bottom w:val="none" w:sz="0" w:space="0" w:color="auto"/>
        <w:right w:val="none" w:sz="0" w:space="0" w:color="auto"/>
      </w:divBdr>
      <w:divsChild>
        <w:div w:id="1356225530">
          <w:marLeft w:val="0"/>
          <w:marRight w:val="0"/>
          <w:marTop w:val="0"/>
          <w:marBottom w:val="0"/>
          <w:divBdr>
            <w:top w:val="none" w:sz="0" w:space="0" w:color="auto"/>
            <w:left w:val="none" w:sz="0" w:space="0" w:color="auto"/>
            <w:bottom w:val="none" w:sz="0" w:space="0" w:color="auto"/>
            <w:right w:val="none" w:sz="0" w:space="0" w:color="auto"/>
          </w:divBdr>
        </w:div>
        <w:div w:id="673343171">
          <w:marLeft w:val="0"/>
          <w:marRight w:val="0"/>
          <w:marTop w:val="0"/>
          <w:marBottom w:val="0"/>
          <w:divBdr>
            <w:top w:val="none" w:sz="0" w:space="0" w:color="auto"/>
            <w:left w:val="none" w:sz="0" w:space="0" w:color="auto"/>
            <w:bottom w:val="none" w:sz="0" w:space="0" w:color="auto"/>
            <w:right w:val="none" w:sz="0" w:space="0" w:color="auto"/>
          </w:divBdr>
        </w:div>
        <w:div w:id="1746412416">
          <w:marLeft w:val="0"/>
          <w:marRight w:val="0"/>
          <w:marTop w:val="0"/>
          <w:marBottom w:val="0"/>
          <w:divBdr>
            <w:top w:val="none" w:sz="0" w:space="0" w:color="auto"/>
            <w:left w:val="none" w:sz="0" w:space="0" w:color="auto"/>
            <w:bottom w:val="none" w:sz="0" w:space="0" w:color="auto"/>
            <w:right w:val="none" w:sz="0" w:space="0" w:color="auto"/>
          </w:divBdr>
        </w:div>
        <w:div w:id="2040667375">
          <w:marLeft w:val="0"/>
          <w:marRight w:val="0"/>
          <w:marTop w:val="0"/>
          <w:marBottom w:val="0"/>
          <w:divBdr>
            <w:top w:val="none" w:sz="0" w:space="0" w:color="auto"/>
            <w:left w:val="none" w:sz="0" w:space="0" w:color="auto"/>
            <w:bottom w:val="none" w:sz="0" w:space="0" w:color="auto"/>
            <w:right w:val="none" w:sz="0" w:space="0" w:color="auto"/>
          </w:divBdr>
        </w:div>
        <w:div w:id="287786855">
          <w:marLeft w:val="0"/>
          <w:marRight w:val="0"/>
          <w:marTop w:val="0"/>
          <w:marBottom w:val="0"/>
          <w:divBdr>
            <w:top w:val="none" w:sz="0" w:space="0" w:color="auto"/>
            <w:left w:val="none" w:sz="0" w:space="0" w:color="auto"/>
            <w:bottom w:val="none" w:sz="0" w:space="0" w:color="auto"/>
            <w:right w:val="none" w:sz="0" w:space="0" w:color="auto"/>
          </w:divBdr>
        </w:div>
        <w:div w:id="1780024923">
          <w:marLeft w:val="0"/>
          <w:marRight w:val="0"/>
          <w:marTop w:val="0"/>
          <w:marBottom w:val="0"/>
          <w:divBdr>
            <w:top w:val="none" w:sz="0" w:space="0" w:color="auto"/>
            <w:left w:val="none" w:sz="0" w:space="0" w:color="auto"/>
            <w:bottom w:val="none" w:sz="0" w:space="0" w:color="auto"/>
            <w:right w:val="none" w:sz="0" w:space="0" w:color="auto"/>
          </w:divBdr>
        </w:div>
        <w:div w:id="1641229585">
          <w:marLeft w:val="0"/>
          <w:marRight w:val="0"/>
          <w:marTop w:val="0"/>
          <w:marBottom w:val="0"/>
          <w:divBdr>
            <w:top w:val="none" w:sz="0" w:space="0" w:color="auto"/>
            <w:left w:val="none" w:sz="0" w:space="0" w:color="auto"/>
            <w:bottom w:val="none" w:sz="0" w:space="0" w:color="auto"/>
            <w:right w:val="none" w:sz="0" w:space="0" w:color="auto"/>
          </w:divBdr>
        </w:div>
        <w:div w:id="1805463703">
          <w:marLeft w:val="0"/>
          <w:marRight w:val="0"/>
          <w:marTop w:val="0"/>
          <w:marBottom w:val="0"/>
          <w:divBdr>
            <w:top w:val="none" w:sz="0" w:space="0" w:color="auto"/>
            <w:left w:val="none" w:sz="0" w:space="0" w:color="auto"/>
            <w:bottom w:val="none" w:sz="0" w:space="0" w:color="auto"/>
            <w:right w:val="none" w:sz="0" w:space="0" w:color="auto"/>
          </w:divBdr>
        </w:div>
        <w:div w:id="770663490">
          <w:marLeft w:val="0"/>
          <w:marRight w:val="0"/>
          <w:marTop w:val="0"/>
          <w:marBottom w:val="0"/>
          <w:divBdr>
            <w:top w:val="none" w:sz="0" w:space="0" w:color="auto"/>
            <w:left w:val="none" w:sz="0" w:space="0" w:color="auto"/>
            <w:bottom w:val="none" w:sz="0" w:space="0" w:color="auto"/>
            <w:right w:val="none" w:sz="0" w:space="0" w:color="auto"/>
          </w:divBdr>
        </w:div>
        <w:div w:id="1656370835">
          <w:marLeft w:val="0"/>
          <w:marRight w:val="0"/>
          <w:marTop w:val="0"/>
          <w:marBottom w:val="0"/>
          <w:divBdr>
            <w:top w:val="none" w:sz="0" w:space="0" w:color="auto"/>
            <w:left w:val="none" w:sz="0" w:space="0" w:color="auto"/>
            <w:bottom w:val="none" w:sz="0" w:space="0" w:color="auto"/>
            <w:right w:val="none" w:sz="0" w:space="0" w:color="auto"/>
          </w:divBdr>
        </w:div>
        <w:div w:id="1120025592">
          <w:marLeft w:val="0"/>
          <w:marRight w:val="0"/>
          <w:marTop w:val="0"/>
          <w:marBottom w:val="0"/>
          <w:divBdr>
            <w:top w:val="none" w:sz="0" w:space="0" w:color="auto"/>
            <w:left w:val="none" w:sz="0" w:space="0" w:color="auto"/>
            <w:bottom w:val="none" w:sz="0" w:space="0" w:color="auto"/>
            <w:right w:val="none" w:sz="0" w:space="0" w:color="auto"/>
          </w:divBdr>
        </w:div>
        <w:div w:id="782114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5B62066-A48F-4F52-8247-BFB04E92D617}">
  <ds:schemaRefs>
    <ds:schemaRef ds:uri="http://schemas.openxmlformats.org/officeDocument/2006/bibliography"/>
  </ds:schemaRefs>
</ds:datastoreItem>
</file>

<file path=customXml/itemProps2.xml><?xml version="1.0" encoding="utf-8"?>
<ds:datastoreItem xmlns:ds="http://schemas.openxmlformats.org/officeDocument/2006/customXml" ds:itemID="{6DD4C6C3-2C9D-4702-A0AA-9E6306AC6B9C}"/>
</file>

<file path=customXml/itemProps3.xml><?xml version="1.0" encoding="utf-8"?>
<ds:datastoreItem xmlns:ds="http://schemas.openxmlformats.org/officeDocument/2006/customXml" ds:itemID="{E2E3F377-8E04-431F-85B0-E299C12C8D84}"/>
</file>

<file path=customXml/itemProps4.xml><?xml version="1.0" encoding="utf-8"?>
<ds:datastoreItem xmlns:ds="http://schemas.openxmlformats.org/officeDocument/2006/customXml" ds:itemID="{B05FD16F-7270-4F6E-B33E-CE7D7EC1860A}"/>
</file>

<file path=docProps/app.xml><?xml version="1.0" encoding="utf-8"?>
<Properties xmlns="http://schemas.openxmlformats.org/officeDocument/2006/extended-properties" xmlns:vt="http://schemas.openxmlformats.org/officeDocument/2006/docPropsVTypes">
  <Template>Normal.dotm</Template>
  <TotalTime>5</TotalTime>
  <Pages>13</Pages>
  <Words>3998</Words>
  <Characters>21993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10</cp:revision>
  <dcterms:created xsi:type="dcterms:W3CDTF">2021-02-24T20:55:00Z</dcterms:created>
  <dcterms:modified xsi:type="dcterms:W3CDTF">2021-03-17T14:56:00Z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