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DAD81" w14:textId="77777777" w:rsidR="005B4D3E" w:rsidRPr="00851774" w:rsidRDefault="005B4D3E" w:rsidP="005B4D3E">
      <w:pPr>
        <w:spacing w:after="0" w:line="240" w:lineRule="auto"/>
        <w:ind w:right="102"/>
        <w:jc w:val="both"/>
        <w:rPr>
          <w:rFonts w:ascii="Century Gothic" w:eastAsiaTheme="minorEastAsia" w:hAnsi="Century Gothic" w:cs="Arial"/>
          <w:b/>
          <w:lang w:val="es-ES_tradnl" w:eastAsia="es-CO"/>
        </w:rPr>
      </w:pPr>
      <w:bookmarkStart w:id="0" w:name="_Hlk94281581"/>
      <w:bookmarkStart w:id="1" w:name="_Hlk102489058"/>
      <w:bookmarkStart w:id="2" w:name="_Hlk34951122"/>
      <w:r w:rsidRPr="00851774">
        <w:rPr>
          <w:rFonts w:ascii="Century Gothic" w:eastAsiaTheme="minorEastAsia" w:hAnsi="Century Gothic" w:cs="Arial"/>
          <w:b/>
          <w:lang w:val="es-ES_tradnl" w:eastAsia="es-CO"/>
        </w:rPr>
        <w:t xml:space="preserve">DECRETO 092 DE 2017 – Finalidad – Clases de contratos </w:t>
      </w:r>
    </w:p>
    <w:p w14:paraId="3475F353" w14:textId="77777777" w:rsidR="005B4D3E" w:rsidRPr="00851774" w:rsidRDefault="005B4D3E" w:rsidP="005B4D3E">
      <w:pPr>
        <w:spacing w:after="0" w:line="240" w:lineRule="auto"/>
        <w:ind w:right="102"/>
        <w:jc w:val="both"/>
        <w:rPr>
          <w:rFonts w:ascii="Century Gothic" w:eastAsiaTheme="minorEastAsia" w:hAnsi="Century Gothic" w:cs="Arial"/>
          <w:sz w:val="20"/>
          <w:szCs w:val="20"/>
          <w:lang w:val="es-ES_tradnl" w:eastAsia="es-CO"/>
        </w:rPr>
      </w:pPr>
    </w:p>
    <w:p w14:paraId="2C04793E" w14:textId="77777777" w:rsidR="005B4D3E" w:rsidRPr="00851774" w:rsidRDefault="005B4D3E" w:rsidP="005B4D3E">
      <w:pPr>
        <w:spacing w:after="0" w:line="240" w:lineRule="auto"/>
        <w:jc w:val="both"/>
        <w:rPr>
          <w:rFonts w:ascii="Century Gothic" w:eastAsia="Arial" w:hAnsi="Century Gothic" w:cs="Arial"/>
          <w:sz w:val="20"/>
          <w:szCs w:val="20"/>
          <w:lang w:val="es-ES_tradnl"/>
        </w:rPr>
      </w:pPr>
      <w:r w:rsidRPr="00851774">
        <w:rPr>
          <w:rFonts w:ascii="Century Gothic" w:eastAsia="Arial" w:hAnsi="Century Gothic" w:cs="Arial"/>
          <w:sz w:val="20"/>
          <w:szCs w:val="20"/>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851774">
        <w:rPr>
          <w:rFonts w:ascii="Century Gothic" w:eastAsia="Arial" w:hAnsi="Century Gothic" w:cs="Arial"/>
          <w:sz w:val="20"/>
          <w:szCs w:val="20"/>
          <w:lang w:val="es-ES_tradnl"/>
        </w:rPr>
        <w:t>ii</w:t>
      </w:r>
      <w:proofErr w:type="spellEnd"/>
      <w:r w:rsidRPr="00851774">
        <w:rPr>
          <w:rFonts w:ascii="Century Gothic" w:eastAsia="Arial" w:hAnsi="Century Gothic" w:cs="Arial"/>
          <w:sz w:val="20"/>
          <w:szCs w:val="20"/>
          <w:lang w:val="es-ES_tradnl"/>
        </w:rPr>
        <w:t>) los convenios de asociación, para el desarrollo conjunto de actividades relacionadas con las funciones de las entidades estatales, en desarrollo del artículo 96 de la Ley 489 de 1998.</w:t>
      </w:r>
    </w:p>
    <w:p w14:paraId="42ABFAF1" w14:textId="77777777" w:rsidR="005B4D3E" w:rsidRPr="00851774" w:rsidRDefault="005B4D3E" w:rsidP="005B4D3E">
      <w:pPr>
        <w:spacing w:after="0"/>
        <w:rPr>
          <w:rFonts w:ascii="Century Gothic" w:hAnsi="Century Gothic" w:cs="Arial"/>
          <w:shd w:val="clear" w:color="auto" w:fill="FFFFFF"/>
        </w:rPr>
      </w:pPr>
    </w:p>
    <w:p w14:paraId="5AC6CAF6" w14:textId="77777777" w:rsidR="005B4D3E" w:rsidRPr="00851774" w:rsidRDefault="005B4D3E" w:rsidP="005B4D3E">
      <w:pPr>
        <w:spacing w:after="0"/>
        <w:jc w:val="both"/>
        <w:rPr>
          <w:rFonts w:ascii="Century Gothic" w:eastAsia="Calibri" w:hAnsi="Century Gothic" w:cs="Arial"/>
          <w:b/>
          <w:lang w:val="es-ES_tradnl" w:eastAsia="es-ES_tradnl"/>
        </w:rPr>
      </w:pPr>
      <w:r w:rsidRPr="00851774">
        <w:rPr>
          <w:rFonts w:ascii="Century Gothic" w:eastAsia="Calibri" w:hAnsi="Century Gothic" w:cs="Arial"/>
          <w:b/>
          <w:lang w:val="es-ES_tradnl" w:eastAsia="es-ES_tradnl"/>
        </w:rPr>
        <w:t>ASOCIACIONES DE PADRES DE FAMILIA – Contrato de asociación – Objeto – Requisitos</w:t>
      </w:r>
    </w:p>
    <w:p w14:paraId="17653049" w14:textId="77777777" w:rsidR="005B4D3E" w:rsidRPr="00851774" w:rsidRDefault="005B4D3E" w:rsidP="005B4D3E">
      <w:pPr>
        <w:spacing w:after="0"/>
        <w:rPr>
          <w:rFonts w:ascii="Century Gothic" w:hAnsi="Century Gothic" w:cs="Arial"/>
          <w:shd w:val="clear" w:color="auto" w:fill="FFFFFF"/>
        </w:rPr>
      </w:pPr>
    </w:p>
    <w:p w14:paraId="1FFA3018" w14:textId="77777777" w:rsidR="005B4D3E" w:rsidRPr="00851774" w:rsidRDefault="005B4D3E" w:rsidP="005B4D3E">
      <w:pPr>
        <w:spacing w:after="0" w:line="240" w:lineRule="auto"/>
        <w:jc w:val="both"/>
        <w:rPr>
          <w:rFonts w:ascii="Century Gothic" w:eastAsia="Arial" w:hAnsi="Century Gothic" w:cs="Arial"/>
          <w:sz w:val="20"/>
          <w:szCs w:val="20"/>
        </w:rPr>
      </w:pPr>
      <w:r w:rsidRPr="00851774">
        <w:rPr>
          <w:rFonts w:ascii="Century Gothic" w:eastAsia="Arial" w:hAnsi="Century Gothic" w:cs="Arial"/>
          <w:sz w:val="20"/>
          <w:szCs w:val="20"/>
        </w:rPr>
        <w:t>[…] en lo referente a la “contratación con las asociaciones de padres de familia”, resulta importante aclarar que esta figura se encuentra regulada por el artículo 9 del Decreto 1286 de 2005, el cual la describe como “[…] una entidad de jurídica de derecho privado, sin ánimo de lucro, que se constituye por la decisión libre y voluntaria de los padres de familia de los estudiantes matriculados en un establecimiento educativo” [Énfasis fuera de texto]. De acuerdo con lo anterior, al considerarse las asociaciones de padres de familia como ESAL, las Entidades Estatales se encuentran facultadas para suscribir con estas, bajo el régimen señalado en el Decreto 092 de 2017, convenios de asociación para el desarrollo conjunto de actividades relacionadas con los cometidos y funciones asignadas a aquellas conforme a la Constitución y a la ley.</w:t>
      </w:r>
    </w:p>
    <w:p w14:paraId="5C13DECF" w14:textId="77777777" w:rsidR="005B4D3E" w:rsidRPr="00851774" w:rsidRDefault="005B4D3E" w:rsidP="005B4D3E">
      <w:pPr>
        <w:spacing w:after="0" w:line="240" w:lineRule="auto"/>
        <w:jc w:val="both"/>
        <w:rPr>
          <w:rFonts w:ascii="Century Gothic" w:eastAsia="Arial" w:hAnsi="Century Gothic" w:cs="Arial"/>
          <w:sz w:val="20"/>
          <w:szCs w:val="20"/>
        </w:rPr>
      </w:pPr>
    </w:p>
    <w:p w14:paraId="0157A017" w14:textId="77777777" w:rsidR="005B4D3E" w:rsidRPr="00851774" w:rsidRDefault="005B4D3E" w:rsidP="005B4D3E">
      <w:pPr>
        <w:spacing w:after="0" w:line="240" w:lineRule="auto"/>
        <w:jc w:val="both"/>
        <w:rPr>
          <w:rFonts w:ascii="Century Gothic" w:eastAsia="Arial" w:hAnsi="Century Gothic" w:cs="Arial"/>
          <w:sz w:val="20"/>
          <w:szCs w:val="20"/>
        </w:rPr>
      </w:pPr>
      <w:r w:rsidRPr="00851774">
        <w:rPr>
          <w:rFonts w:ascii="Century Gothic" w:eastAsia="Arial" w:hAnsi="Century Gothic" w:cs="Arial"/>
          <w:sz w:val="20"/>
          <w:szCs w:val="20"/>
        </w:rPr>
        <w:t xml:space="preserve">Sin embargo, para ello, esto es, suscribir convenios de asociación con las asociaciones de padres de familia, las Entidades Estatales deberán tener en cuenta lo siguiente: i) la asociación de padres de familia deberá encontrarse legalmente constituida, según las reglas dispuestas en el inciso segundo del artículo 9 del Decreto 1286 de 2005; </w:t>
      </w:r>
      <w:proofErr w:type="spellStart"/>
      <w:r w:rsidRPr="00851774">
        <w:rPr>
          <w:rFonts w:ascii="Century Gothic" w:eastAsia="Arial" w:hAnsi="Century Gothic" w:cs="Arial"/>
          <w:sz w:val="20"/>
          <w:szCs w:val="20"/>
        </w:rPr>
        <w:t>ii</w:t>
      </w:r>
      <w:proofErr w:type="spellEnd"/>
      <w:r w:rsidRPr="00851774">
        <w:rPr>
          <w:rFonts w:ascii="Century Gothic" w:eastAsia="Arial" w:hAnsi="Century Gothic" w:cs="Arial"/>
          <w:sz w:val="20"/>
          <w:szCs w:val="20"/>
        </w:rPr>
        <w:t xml:space="preserve">) el objeto contractual del convenio de asociación, deberá guardar afinidad con las funciones y cometidos de la entidad pública, según la Constitución y la ley; </w:t>
      </w:r>
      <w:proofErr w:type="spellStart"/>
      <w:r w:rsidRPr="00851774">
        <w:rPr>
          <w:rFonts w:ascii="Century Gothic" w:eastAsia="Arial" w:hAnsi="Century Gothic" w:cs="Arial"/>
          <w:sz w:val="20"/>
          <w:szCs w:val="20"/>
        </w:rPr>
        <w:t>iii</w:t>
      </w:r>
      <w:proofErr w:type="spellEnd"/>
      <w:r w:rsidRPr="00851774">
        <w:rPr>
          <w:rFonts w:ascii="Century Gothic" w:eastAsia="Arial" w:hAnsi="Century Gothic" w:cs="Arial"/>
          <w:sz w:val="20"/>
          <w:szCs w:val="20"/>
        </w:rPr>
        <w:t>) deberán observarse las prohibiciones dispuestas en el artículo 12 ibidem para las asociaciones de padres de familia, esto, con el fin de que el desarrollo de las actividades objeto del convenio, no excedan los límites señalados en tal disposición, puesto que, particularmente en su literal c), establece que estas asociaciones tienen prohibido “[a]sumir las competencias y funciones propias de las autoridades y demás organismos colectivos del establecimiento educativo, o aquellas propias de los organismos y entidades de fiscalización, evaluación, inspección y vigilancia del sector educativo”.</w:t>
      </w:r>
    </w:p>
    <w:p w14:paraId="19A5539F" w14:textId="77777777" w:rsidR="005B4D3E" w:rsidRPr="00851774" w:rsidRDefault="005B4D3E" w:rsidP="005B4D3E">
      <w:pPr>
        <w:spacing w:after="0"/>
        <w:rPr>
          <w:rFonts w:ascii="Century Gothic" w:hAnsi="Century Gothic" w:cs="Arial"/>
          <w:shd w:val="clear" w:color="auto" w:fill="FFFFFF"/>
        </w:rPr>
      </w:pPr>
    </w:p>
    <w:p w14:paraId="7685B641" w14:textId="77777777" w:rsidR="005B4D3E" w:rsidRPr="00851774" w:rsidRDefault="005B4D3E" w:rsidP="005B4D3E">
      <w:pPr>
        <w:spacing w:after="0" w:line="240" w:lineRule="auto"/>
        <w:rPr>
          <w:rFonts w:ascii="Century Gothic" w:eastAsia="Times New Roman" w:hAnsi="Century Gothic" w:cs="Arial"/>
          <w:b/>
          <w:color w:val="000000" w:themeColor="text1"/>
          <w:lang w:eastAsia="es-ES"/>
        </w:rPr>
      </w:pPr>
      <w:r w:rsidRPr="00851774">
        <w:rPr>
          <w:rFonts w:ascii="Century Gothic" w:eastAsia="Times New Roman" w:hAnsi="Century Gothic" w:cs="Arial"/>
          <w:b/>
          <w:color w:val="000000" w:themeColor="text1"/>
          <w:lang w:eastAsia="es-ES"/>
        </w:rPr>
        <w:t xml:space="preserve">MODALIDADES DE SELECCIÓN – Clases </w:t>
      </w:r>
    </w:p>
    <w:p w14:paraId="02ADC980" w14:textId="77777777" w:rsidR="005B4D3E" w:rsidRPr="00851774" w:rsidRDefault="005B4D3E" w:rsidP="005B4D3E">
      <w:pPr>
        <w:spacing w:after="0" w:line="240" w:lineRule="auto"/>
        <w:rPr>
          <w:rFonts w:ascii="Century Gothic" w:eastAsia="Times New Roman" w:hAnsi="Century Gothic" w:cs="Arial"/>
          <w:b/>
          <w:color w:val="000000" w:themeColor="text1"/>
          <w:sz w:val="20"/>
          <w:szCs w:val="20"/>
          <w:lang w:eastAsia="es-ES"/>
        </w:rPr>
      </w:pPr>
    </w:p>
    <w:p w14:paraId="6017E254" w14:textId="77777777" w:rsidR="005B4D3E" w:rsidRPr="00851774" w:rsidRDefault="005B4D3E" w:rsidP="005B4D3E">
      <w:pPr>
        <w:widowControl w:val="0"/>
        <w:autoSpaceDE w:val="0"/>
        <w:autoSpaceDN w:val="0"/>
        <w:spacing w:after="0" w:line="240" w:lineRule="auto"/>
        <w:jc w:val="both"/>
        <w:rPr>
          <w:rFonts w:ascii="Century Gothic" w:eastAsia="Arial MT" w:hAnsi="Century Gothic" w:cs="Arial"/>
          <w:sz w:val="20"/>
          <w:szCs w:val="20"/>
          <w:lang w:val="es-ES" w:eastAsia="es-ES_tradnl"/>
        </w:rPr>
      </w:pPr>
      <w:r w:rsidRPr="00851774">
        <w:rPr>
          <w:rFonts w:ascii="Century Gothic" w:eastAsia="Times New Roman" w:hAnsi="Century Gothic" w:cs="Arial"/>
          <w:sz w:val="20"/>
          <w:szCs w:val="20"/>
          <w:lang w:eastAsia="es-ES_tradnl"/>
        </w:rPr>
        <w:t xml:space="preserve">[…] </w:t>
      </w:r>
      <w:r w:rsidRPr="00851774">
        <w:rPr>
          <w:rFonts w:ascii="Century Gothic" w:eastAsia="Arial MT" w:hAnsi="Century Gothic" w:cs="Arial"/>
          <w:sz w:val="20"/>
          <w:szCs w:val="20"/>
          <w:lang w:val="es-ES" w:eastAsia="es-ES_tradnl"/>
        </w:rPr>
        <w:t>teniendo en cuenta la reforma introducida con la Ley 1474</w:t>
      </w:r>
      <w:r w:rsidRPr="00851774">
        <w:rPr>
          <w:rFonts w:ascii="Century Gothic" w:eastAsia="Arial MT" w:hAnsi="Century Gothic" w:cs="Arial"/>
          <w:spacing w:val="1"/>
          <w:sz w:val="20"/>
          <w:szCs w:val="20"/>
          <w:lang w:val="es-ES" w:eastAsia="es-ES_tradnl"/>
        </w:rPr>
        <w:t xml:space="preserve"> </w:t>
      </w:r>
      <w:r w:rsidRPr="00851774">
        <w:rPr>
          <w:rFonts w:ascii="Century Gothic" w:eastAsia="Arial MT" w:hAnsi="Century Gothic" w:cs="Arial"/>
          <w:sz w:val="20"/>
          <w:szCs w:val="20"/>
          <w:lang w:val="es-ES" w:eastAsia="es-ES_tradnl"/>
        </w:rPr>
        <w:t xml:space="preserve">de 2011, los procedimientos actualmente regulados son los siguientes: i) licitación pública, </w:t>
      </w:r>
      <w:proofErr w:type="spellStart"/>
      <w:r w:rsidRPr="00851774">
        <w:rPr>
          <w:rFonts w:ascii="Century Gothic" w:eastAsia="Arial MT" w:hAnsi="Century Gothic" w:cs="Arial"/>
          <w:sz w:val="20"/>
          <w:szCs w:val="20"/>
          <w:lang w:val="es-ES" w:eastAsia="es-ES_tradnl"/>
        </w:rPr>
        <w:t>ii</w:t>
      </w:r>
      <w:proofErr w:type="spellEnd"/>
      <w:r w:rsidRPr="00851774">
        <w:rPr>
          <w:rFonts w:ascii="Century Gothic" w:eastAsia="Arial MT" w:hAnsi="Century Gothic" w:cs="Arial"/>
          <w:sz w:val="20"/>
          <w:szCs w:val="20"/>
          <w:lang w:val="es-ES" w:eastAsia="es-ES_tradnl"/>
        </w:rPr>
        <w:t>)</w:t>
      </w:r>
      <w:r w:rsidRPr="00851774">
        <w:rPr>
          <w:rFonts w:ascii="Century Gothic" w:eastAsia="Arial MT" w:hAnsi="Century Gothic" w:cs="Arial"/>
          <w:spacing w:val="1"/>
          <w:sz w:val="20"/>
          <w:szCs w:val="20"/>
          <w:lang w:val="es-ES" w:eastAsia="es-ES_tradnl"/>
        </w:rPr>
        <w:t xml:space="preserve"> </w:t>
      </w:r>
      <w:r w:rsidRPr="00851774">
        <w:rPr>
          <w:rFonts w:ascii="Century Gothic" w:eastAsia="Arial MT" w:hAnsi="Century Gothic" w:cs="Arial"/>
          <w:sz w:val="20"/>
          <w:szCs w:val="20"/>
          <w:lang w:val="es-ES" w:eastAsia="es-ES_tradnl"/>
        </w:rPr>
        <w:t xml:space="preserve">selección abreviada, </w:t>
      </w:r>
      <w:proofErr w:type="spellStart"/>
      <w:r w:rsidRPr="00851774">
        <w:rPr>
          <w:rFonts w:ascii="Century Gothic" w:eastAsia="Arial MT" w:hAnsi="Century Gothic" w:cs="Arial"/>
          <w:sz w:val="20"/>
          <w:szCs w:val="20"/>
          <w:lang w:val="es-ES" w:eastAsia="es-ES_tradnl"/>
        </w:rPr>
        <w:t>iii</w:t>
      </w:r>
      <w:proofErr w:type="spellEnd"/>
      <w:r w:rsidRPr="00851774">
        <w:rPr>
          <w:rFonts w:ascii="Century Gothic" w:eastAsia="Arial MT" w:hAnsi="Century Gothic" w:cs="Arial"/>
          <w:sz w:val="20"/>
          <w:szCs w:val="20"/>
          <w:lang w:val="es-ES" w:eastAsia="es-ES_tradnl"/>
        </w:rPr>
        <w:t xml:space="preserve">) concurso de méritos, </w:t>
      </w:r>
      <w:proofErr w:type="spellStart"/>
      <w:r w:rsidRPr="00851774">
        <w:rPr>
          <w:rFonts w:ascii="Century Gothic" w:eastAsia="Arial MT" w:hAnsi="Century Gothic" w:cs="Arial"/>
          <w:sz w:val="20"/>
          <w:szCs w:val="20"/>
          <w:lang w:val="es-ES" w:eastAsia="es-ES_tradnl"/>
        </w:rPr>
        <w:t>iv</w:t>
      </w:r>
      <w:proofErr w:type="spellEnd"/>
      <w:r w:rsidRPr="00851774">
        <w:rPr>
          <w:rFonts w:ascii="Century Gothic" w:eastAsia="Arial MT" w:hAnsi="Century Gothic" w:cs="Arial"/>
          <w:sz w:val="20"/>
          <w:szCs w:val="20"/>
          <w:lang w:val="es-ES" w:eastAsia="es-ES_tradnl"/>
        </w:rPr>
        <w:t>) mínima cuantía y v) contratación directa. En</w:t>
      </w:r>
      <w:r w:rsidRPr="00851774">
        <w:rPr>
          <w:rFonts w:ascii="Century Gothic" w:eastAsia="Arial MT" w:hAnsi="Century Gothic" w:cs="Arial"/>
          <w:spacing w:val="1"/>
          <w:sz w:val="20"/>
          <w:szCs w:val="20"/>
          <w:lang w:val="es-ES" w:eastAsia="es-ES_tradnl"/>
        </w:rPr>
        <w:t xml:space="preserve"> </w:t>
      </w:r>
      <w:r w:rsidRPr="00851774">
        <w:rPr>
          <w:rFonts w:ascii="Century Gothic" w:eastAsia="Arial MT" w:hAnsi="Century Gothic" w:cs="Arial"/>
          <w:sz w:val="20"/>
          <w:szCs w:val="20"/>
          <w:lang w:val="es-ES" w:eastAsia="es-ES_tradnl"/>
        </w:rPr>
        <w:t>dichos</w:t>
      </w:r>
      <w:r w:rsidRPr="00851774">
        <w:rPr>
          <w:rFonts w:ascii="Century Gothic" w:eastAsia="Arial MT" w:hAnsi="Century Gothic" w:cs="Arial"/>
          <w:spacing w:val="-6"/>
          <w:sz w:val="20"/>
          <w:szCs w:val="20"/>
          <w:lang w:val="es-ES" w:eastAsia="es-ES_tradnl"/>
        </w:rPr>
        <w:t xml:space="preserve"> </w:t>
      </w:r>
      <w:r w:rsidRPr="00851774">
        <w:rPr>
          <w:rFonts w:ascii="Century Gothic" w:eastAsia="Arial MT" w:hAnsi="Century Gothic" w:cs="Arial"/>
          <w:sz w:val="20"/>
          <w:szCs w:val="20"/>
          <w:lang w:val="es-ES" w:eastAsia="es-ES_tradnl"/>
        </w:rPr>
        <w:t>procedimientos</w:t>
      </w:r>
      <w:r w:rsidRPr="00851774">
        <w:rPr>
          <w:rFonts w:ascii="Century Gothic" w:eastAsia="Arial MT" w:hAnsi="Century Gothic" w:cs="Arial"/>
          <w:spacing w:val="-6"/>
          <w:sz w:val="20"/>
          <w:szCs w:val="20"/>
          <w:lang w:val="es-ES" w:eastAsia="es-ES_tradnl"/>
        </w:rPr>
        <w:t xml:space="preserve"> </w:t>
      </w:r>
      <w:r w:rsidRPr="00851774">
        <w:rPr>
          <w:rFonts w:ascii="Century Gothic" w:eastAsia="Arial MT" w:hAnsi="Century Gothic" w:cs="Arial"/>
          <w:sz w:val="20"/>
          <w:szCs w:val="20"/>
          <w:lang w:val="es-ES" w:eastAsia="es-ES_tradnl"/>
        </w:rPr>
        <w:t>constan</w:t>
      </w:r>
      <w:r w:rsidRPr="00851774">
        <w:rPr>
          <w:rFonts w:ascii="Century Gothic" w:eastAsia="Arial MT" w:hAnsi="Century Gothic" w:cs="Arial"/>
          <w:spacing w:val="-5"/>
          <w:sz w:val="20"/>
          <w:szCs w:val="20"/>
          <w:lang w:val="es-ES" w:eastAsia="es-ES_tradnl"/>
        </w:rPr>
        <w:t xml:space="preserve"> </w:t>
      </w:r>
      <w:r w:rsidRPr="00851774">
        <w:rPr>
          <w:rFonts w:ascii="Century Gothic" w:eastAsia="Arial MT" w:hAnsi="Century Gothic" w:cs="Arial"/>
          <w:sz w:val="20"/>
          <w:szCs w:val="20"/>
          <w:lang w:val="es-ES" w:eastAsia="es-ES_tradnl"/>
        </w:rPr>
        <w:t>las</w:t>
      </w:r>
      <w:r w:rsidRPr="00851774">
        <w:rPr>
          <w:rFonts w:ascii="Century Gothic" w:eastAsia="Arial MT" w:hAnsi="Century Gothic" w:cs="Arial"/>
          <w:spacing w:val="-6"/>
          <w:sz w:val="20"/>
          <w:szCs w:val="20"/>
          <w:lang w:val="es-ES" w:eastAsia="es-ES_tradnl"/>
        </w:rPr>
        <w:t xml:space="preserve"> </w:t>
      </w:r>
      <w:r w:rsidRPr="00851774">
        <w:rPr>
          <w:rFonts w:ascii="Century Gothic" w:eastAsia="Arial MT" w:hAnsi="Century Gothic" w:cs="Arial"/>
          <w:sz w:val="20"/>
          <w:szCs w:val="20"/>
          <w:lang w:val="es-ES" w:eastAsia="es-ES_tradnl"/>
        </w:rPr>
        <w:t>etapas</w:t>
      </w:r>
      <w:r w:rsidRPr="00851774">
        <w:rPr>
          <w:rFonts w:ascii="Century Gothic" w:eastAsia="Arial MT" w:hAnsi="Century Gothic" w:cs="Arial"/>
          <w:spacing w:val="-6"/>
          <w:sz w:val="20"/>
          <w:szCs w:val="20"/>
          <w:lang w:val="es-ES" w:eastAsia="es-ES_tradnl"/>
        </w:rPr>
        <w:t xml:space="preserve"> </w:t>
      </w:r>
      <w:r w:rsidRPr="00851774">
        <w:rPr>
          <w:rFonts w:ascii="Century Gothic" w:eastAsia="Arial MT" w:hAnsi="Century Gothic" w:cs="Arial"/>
          <w:sz w:val="20"/>
          <w:szCs w:val="20"/>
          <w:lang w:val="es-ES" w:eastAsia="es-ES_tradnl"/>
        </w:rPr>
        <w:t>para</w:t>
      </w:r>
      <w:r w:rsidRPr="00851774">
        <w:rPr>
          <w:rFonts w:ascii="Century Gothic" w:eastAsia="Arial MT" w:hAnsi="Century Gothic" w:cs="Arial"/>
          <w:spacing w:val="-5"/>
          <w:sz w:val="20"/>
          <w:szCs w:val="20"/>
          <w:lang w:val="es-ES" w:eastAsia="es-ES_tradnl"/>
        </w:rPr>
        <w:t xml:space="preserve"> </w:t>
      </w:r>
      <w:r w:rsidRPr="00851774">
        <w:rPr>
          <w:rFonts w:ascii="Century Gothic" w:eastAsia="Arial MT" w:hAnsi="Century Gothic" w:cs="Arial"/>
          <w:sz w:val="20"/>
          <w:szCs w:val="20"/>
          <w:lang w:val="es-ES" w:eastAsia="es-ES_tradnl"/>
        </w:rPr>
        <w:t>la</w:t>
      </w:r>
      <w:r w:rsidRPr="00851774">
        <w:rPr>
          <w:rFonts w:ascii="Century Gothic" w:eastAsia="Arial MT" w:hAnsi="Century Gothic" w:cs="Arial"/>
          <w:spacing w:val="-6"/>
          <w:sz w:val="20"/>
          <w:szCs w:val="20"/>
          <w:lang w:val="es-ES" w:eastAsia="es-ES_tradnl"/>
        </w:rPr>
        <w:t xml:space="preserve"> </w:t>
      </w:r>
      <w:r w:rsidRPr="00851774">
        <w:rPr>
          <w:rFonts w:ascii="Century Gothic" w:eastAsia="Arial MT" w:hAnsi="Century Gothic" w:cs="Arial"/>
          <w:sz w:val="20"/>
          <w:szCs w:val="20"/>
          <w:lang w:val="es-ES" w:eastAsia="es-ES_tradnl"/>
        </w:rPr>
        <w:t>adquisición</w:t>
      </w:r>
      <w:r w:rsidRPr="00851774">
        <w:rPr>
          <w:rFonts w:ascii="Century Gothic" w:eastAsia="Arial MT" w:hAnsi="Century Gothic" w:cs="Arial"/>
          <w:spacing w:val="-5"/>
          <w:sz w:val="20"/>
          <w:szCs w:val="20"/>
          <w:lang w:val="es-ES" w:eastAsia="es-ES_tradnl"/>
        </w:rPr>
        <w:t xml:space="preserve"> </w:t>
      </w:r>
      <w:r w:rsidRPr="00851774">
        <w:rPr>
          <w:rFonts w:ascii="Century Gothic" w:eastAsia="Arial MT" w:hAnsi="Century Gothic" w:cs="Arial"/>
          <w:sz w:val="20"/>
          <w:szCs w:val="20"/>
          <w:lang w:val="es-ES" w:eastAsia="es-ES_tradnl"/>
        </w:rPr>
        <w:t>de</w:t>
      </w:r>
      <w:r w:rsidRPr="00851774">
        <w:rPr>
          <w:rFonts w:ascii="Century Gothic" w:eastAsia="Arial MT" w:hAnsi="Century Gothic" w:cs="Arial"/>
          <w:spacing w:val="-6"/>
          <w:sz w:val="20"/>
          <w:szCs w:val="20"/>
          <w:lang w:val="es-ES" w:eastAsia="es-ES_tradnl"/>
        </w:rPr>
        <w:t xml:space="preserve"> </w:t>
      </w:r>
      <w:r w:rsidRPr="00851774">
        <w:rPr>
          <w:rFonts w:ascii="Century Gothic" w:eastAsia="Arial MT" w:hAnsi="Century Gothic" w:cs="Arial"/>
          <w:sz w:val="20"/>
          <w:szCs w:val="20"/>
          <w:lang w:val="es-ES" w:eastAsia="es-ES_tradnl"/>
        </w:rPr>
        <w:t>obras,</w:t>
      </w:r>
      <w:r w:rsidRPr="00851774">
        <w:rPr>
          <w:rFonts w:ascii="Century Gothic" w:eastAsia="Arial MT" w:hAnsi="Century Gothic" w:cs="Arial"/>
          <w:spacing w:val="-6"/>
          <w:sz w:val="20"/>
          <w:szCs w:val="20"/>
          <w:lang w:val="es-ES" w:eastAsia="es-ES_tradnl"/>
        </w:rPr>
        <w:t xml:space="preserve"> </w:t>
      </w:r>
      <w:r w:rsidRPr="00851774">
        <w:rPr>
          <w:rFonts w:ascii="Century Gothic" w:eastAsia="Arial MT" w:hAnsi="Century Gothic" w:cs="Arial"/>
          <w:sz w:val="20"/>
          <w:szCs w:val="20"/>
          <w:lang w:val="es-ES" w:eastAsia="es-ES_tradnl"/>
        </w:rPr>
        <w:t>bienes</w:t>
      </w:r>
      <w:r w:rsidRPr="00851774">
        <w:rPr>
          <w:rFonts w:ascii="Century Gothic" w:eastAsia="Arial MT" w:hAnsi="Century Gothic" w:cs="Arial"/>
          <w:spacing w:val="-5"/>
          <w:sz w:val="20"/>
          <w:szCs w:val="20"/>
          <w:lang w:val="es-ES" w:eastAsia="es-ES_tradnl"/>
        </w:rPr>
        <w:t xml:space="preserve"> </w:t>
      </w:r>
      <w:r w:rsidRPr="00851774">
        <w:rPr>
          <w:rFonts w:ascii="Century Gothic" w:eastAsia="Arial MT" w:hAnsi="Century Gothic" w:cs="Arial"/>
          <w:sz w:val="20"/>
          <w:szCs w:val="20"/>
          <w:lang w:val="es-ES" w:eastAsia="es-ES_tradnl"/>
        </w:rPr>
        <w:t>y</w:t>
      </w:r>
      <w:r w:rsidRPr="00851774">
        <w:rPr>
          <w:rFonts w:ascii="Century Gothic" w:eastAsia="Arial MT" w:hAnsi="Century Gothic" w:cs="Arial"/>
          <w:spacing w:val="-6"/>
          <w:sz w:val="20"/>
          <w:szCs w:val="20"/>
          <w:lang w:val="es-ES" w:eastAsia="es-ES_tradnl"/>
        </w:rPr>
        <w:t xml:space="preserve"> </w:t>
      </w:r>
      <w:r w:rsidRPr="00851774">
        <w:rPr>
          <w:rFonts w:ascii="Century Gothic" w:eastAsia="Arial MT" w:hAnsi="Century Gothic" w:cs="Arial"/>
          <w:sz w:val="20"/>
          <w:szCs w:val="20"/>
          <w:lang w:val="es-ES" w:eastAsia="es-ES_tradnl"/>
        </w:rPr>
        <w:t>servicios,</w:t>
      </w:r>
      <w:r w:rsidRPr="00851774">
        <w:rPr>
          <w:rFonts w:ascii="Century Gothic" w:eastAsia="Arial MT" w:hAnsi="Century Gothic" w:cs="Arial"/>
          <w:spacing w:val="-5"/>
          <w:sz w:val="20"/>
          <w:szCs w:val="20"/>
          <w:lang w:val="es-ES" w:eastAsia="es-ES_tradnl"/>
        </w:rPr>
        <w:t xml:space="preserve"> </w:t>
      </w:r>
      <w:r w:rsidRPr="00851774">
        <w:rPr>
          <w:rFonts w:ascii="Century Gothic" w:eastAsia="Arial MT" w:hAnsi="Century Gothic" w:cs="Arial"/>
          <w:sz w:val="20"/>
          <w:szCs w:val="20"/>
          <w:lang w:val="es-ES" w:eastAsia="es-ES_tradnl"/>
        </w:rPr>
        <w:t>por</w:t>
      </w:r>
      <w:r w:rsidRPr="00851774">
        <w:rPr>
          <w:rFonts w:ascii="Century Gothic" w:eastAsia="Arial MT" w:hAnsi="Century Gothic" w:cs="Arial"/>
          <w:spacing w:val="-6"/>
          <w:sz w:val="20"/>
          <w:szCs w:val="20"/>
          <w:lang w:val="es-ES" w:eastAsia="es-ES_tradnl"/>
        </w:rPr>
        <w:t xml:space="preserve"> </w:t>
      </w:r>
      <w:r w:rsidRPr="00851774">
        <w:rPr>
          <w:rFonts w:ascii="Century Gothic" w:eastAsia="Arial MT" w:hAnsi="Century Gothic" w:cs="Arial"/>
          <w:sz w:val="20"/>
          <w:szCs w:val="20"/>
          <w:lang w:val="es-ES" w:eastAsia="es-ES_tradnl"/>
        </w:rPr>
        <w:t>lo</w:t>
      </w:r>
      <w:r w:rsidRPr="00851774">
        <w:rPr>
          <w:rFonts w:ascii="Century Gothic" w:eastAsia="Arial MT" w:hAnsi="Century Gothic" w:cs="Arial"/>
          <w:spacing w:val="-59"/>
          <w:sz w:val="20"/>
          <w:szCs w:val="20"/>
          <w:lang w:val="es-ES" w:eastAsia="es-ES_tradnl"/>
        </w:rPr>
        <w:t xml:space="preserve"> </w:t>
      </w:r>
      <w:r w:rsidRPr="00851774">
        <w:rPr>
          <w:rFonts w:ascii="Century Gothic" w:eastAsia="Arial MT" w:hAnsi="Century Gothic" w:cs="Arial"/>
          <w:sz w:val="20"/>
          <w:szCs w:val="20"/>
          <w:lang w:val="es-ES" w:eastAsia="es-ES_tradnl"/>
        </w:rPr>
        <w:t>que</w:t>
      </w:r>
      <w:r w:rsidRPr="00851774">
        <w:rPr>
          <w:rFonts w:ascii="Century Gothic" w:eastAsia="Arial MT" w:hAnsi="Century Gothic" w:cs="Arial"/>
          <w:spacing w:val="-9"/>
          <w:sz w:val="20"/>
          <w:szCs w:val="20"/>
          <w:lang w:val="es-ES" w:eastAsia="es-ES_tradnl"/>
        </w:rPr>
        <w:t xml:space="preserve"> </w:t>
      </w:r>
      <w:r w:rsidRPr="00851774">
        <w:rPr>
          <w:rFonts w:ascii="Century Gothic" w:eastAsia="Arial MT" w:hAnsi="Century Gothic" w:cs="Arial"/>
          <w:sz w:val="20"/>
          <w:szCs w:val="20"/>
          <w:lang w:val="es-ES" w:eastAsia="es-ES_tradnl"/>
        </w:rPr>
        <w:t>cada</w:t>
      </w:r>
      <w:r w:rsidRPr="00851774">
        <w:rPr>
          <w:rFonts w:ascii="Century Gothic" w:eastAsia="Arial MT" w:hAnsi="Century Gothic" w:cs="Arial"/>
          <w:spacing w:val="-8"/>
          <w:sz w:val="20"/>
          <w:szCs w:val="20"/>
          <w:lang w:val="es-ES" w:eastAsia="es-ES_tradnl"/>
        </w:rPr>
        <w:t xml:space="preserve"> </w:t>
      </w:r>
      <w:r w:rsidRPr="00851774">
        <w:rPr>
          <w:rFonts w:ascii="Century Gothic" w:eastAsia="Arial MT" w:hAnsi="Century Gothic" w:cs="Arial"/>
          <w:sz w:val="20"/>
          <w:szCs w:val="20"/>
          <w:lang w:val="es-ES" w:eastAsia="es-ES_tradnl"/>
        </w:rPr>
        <w:t>entidad</w:t>
      </w:r>
      <w:r w:rsidRPr="00851774">
        <w:rPr>
          <w:rFonts w:ascii="Century Gothic" w:eastAsia="Arial MT" w:hAnsi="Century Gothic" w:cs="Arial"/>
          <w:spacing w:val="-7"/>
          <w:sz w:val="20"/>
          <w:szCs w:val="20"/>
          <w:lang w:val="es-ES" w:eastAsia="es-ES_tradnl"/>
        </w:rPr>
        <w:t xml:space="preserve"> </w:t>
      </w:r>
      <w:r w:rsidRPr="00851774">
        <w:rPr>
          <w:rFonts w:ascii="Century Gothic" w:eastAsia="Arial MT" w:hAnsi="Century Gothic" w:cs="Arial"/>
          <w:sz w:val="20"/>
          <w:szCs w:val="20"/>
          <w:lang w:val="es-ES" w:eastAsia="es-ES_tradnl"/>
        </w:rPr>
        <w:t>es</w:t>
      </w:r>
      <w:r w:rsidRPr="00851774">
        <w:rPr>
          <w:rFonts w:ascii="Century Gothic" w:eastAsia="Arial MT" w:hAnsi="Century Gothic" w:cs="Arial"/>
          <w:spacing w:val="-8"/>
          <w:sz w:val="20"/>
          <w:szCs w:val="20"/>
          <w:lang w:val="es-ES" w:eastAsia="es-ES_tradnl"/>
        </w:rPr>
        <w:t xml:space="preserve"> </w:t>
      </w:r>
      <w:r w:rsidRPr="00851774">
        <w:rPr>
          <w:rFonts w:ascii="Century Gothic" w:eastAsia="Arial MT" w:hAnsi="Century Gothic" w:cs="Arial"/>
          <w:sz w:val="20"/>
          <w:szCs w:val="20"/>
          <w:lang w:val="es-ES" w:eastAsia="es-ES_tradnl"/>
        </w:rPr>
        <w:t>responsable</w:t>
      </w:r>
      <w:r w:rsidRPr="00851774">
        <w:rPr>
          <w:rFonts w:ascii="Century Gothic" w:eastAsia="Arial MT" w:hAnsi="Century Gothic" w:cs="Arial"/>
          <w:spacing w:val="-8"/>
          <w:sz w:val="20"/>
          <w:szCs w:val="20"/>
          <w:lang w:val="es-ES" w:eastAsia="es-ES_tradnl"/>
        </w:rPr>
        <w:t xml:space="preserve"> </w:t>
      </w:r>
      <w:r w:rsidRPr="00851774">
        <w:rPr>
          <w:rFonts w:ascii="Century Gothic" w:eastAsia="Arial MT" w:hAnsi="Century Gothic" w:cs="Arial"/>
          <w:sz w:val="20"/>
          <w:szCs w:val="20"/>
          <w:lang w:val="es-ES" w:eastAsia="es-ES_tradnl"/>
        </w:rPr>
        <w:t>de</w:t>
      </w:r>
      <w:r w:rsidRPr="00851774">
        <w:rPr>
          <w:rFonts w:ascii="Century Gothic" w:eastAsia="Arial MT" w:hAnsi="Century Gothic" w:cs="Arial"/>
          <w:spacing w:val="-9"/>
          <w:sz w:val="20"/>
          <w:szCs w:val="20"/>
          <w:lang w:val="es-ES" w:eastAsia="es-ES_tradnl"/>
        </w:rPr>
        <w:t xml:space="preserve"> </w:t>
      </w:r>
      <w:r w:rsidRPr="00851774">
        <w:rPr>
          <w:rFonts w:ascii="Century Gothic" w:eastAsia="Arial MT" w:hAnsi="Century Gothic" w:cs="Arial"/>
          <w:sz w:val="20"/>
          <w:szCs w:val="20"/>
          <w:lang w:val="es-ES" w:eastAsia="es-ES_tradnl"/>
        </w:rPr>
        <w:t>estructurar</w:t>
      </w:r>
      <w:r w:rsidRPr="00851774">
        <w:rPr>
          <w:rFonts w:ascii="Century Gothic" w:eastAsia="Arial MT" w:hAnsi="Century Gothic" w:cs="Arial"/>
          <w:spacing w:val="-7"/>
          <w:sz w:val="20"/>
          <w:szCs w:val="20"/>
          <w:lang w:val="es-ES" w:eastAsia="es-ES_tradnl"/>
        </w:rPr>
        <w:t xml:space="preserve"> </w:t>
      </w:r>
      <w:r w:rsidRPr="00851774">
        <w:rPr>
          <w:rFonts w:ascii="Century Gothic" w:eastAsia="Arial MT" w:hAnsi="Century Gothic" w:cs="Arial"/>
          <w:sz w:val="20"/>
          <w:szCs w:val="20"/>
          <w:lang w:val="es-ES" w:eastAsia="es-ES_tradnl"/>
        </w:rPr>
        <w:t>los</w:t>
      </w:r>
      <w:r w:rsidRPr="00851774">
        <w:rPr>
          <w:rFonts w:ascii="Century Gothic" w:eastAsia="Arial MT" w:hAnsi="Century Gothic" w:cs="Arial"/>
          <w:spacing w:val="-8"/>
          <w:sz w:val="20"/>
          <w:szCs w:val="20"/>
          <w:lang w:val="es-ES" w:eastAsia="es-ES_tradnl"/>
        </w:rPr>
        <w:t xml:space="preserve"> </w:t>
      </w:r>
      <w:r w:rsidRPr="00851774">
        <w:rPr>
          <w:rFonts w:ascii="Century Gothic" w:eastAsia="Arial MT" w:hAnsi="Century Gothic" w:cs="Arial"/>
          <w:sz w:val="20"/>
          <w:szCs w:val="20"/>
          <w:lang w:val="es-ES" w:eastAsia="es-ES_tradnl"/>
        </w:rPr>
        <w:t>procedimientos</w:t>
      </w:r>
      <w:r w:rsidRPr="00851774">
        <w:rPr>
          <w:rFonts w:ascii="Century Gothic" w:eastAsia="Arial MT" w:hAnsi="Century Gothic" w:cs="Arial"/>
          <w:spacing w:val="-7"/>
          <w:sz w:val="20"/>
          <w:szCs w:val="20"/>
          <w:lang w:val="es-ES" w:eastAsia="es-ES_tradnl"/>
        </w:rPr>
        <w:t xml:space="preserve"> </w:t>
      </w:r>
      <w:r w:rsidRPr="00851774">
        <w:rPr>
          <w:rFonts w:ascii="Century Gothic" w:eastAsia="Arial MT" w:hAnsi="Century Gothic" w:cs="Arial"/>
          <w:sz w:val="20"/>
          <w:szCs w:val="20"/>
          <w:lang w:val="es-ES" w:eastAsia="es-ES_tradnl"/>
        </w:rPr>
        <w:t>de</w:t>
      </w:r>
      <w:r w:rsidRPr="00851774">
        <w:rPr>
          <w:rFonts w:ascii="Century Gothic" w:eastAsia="Arial MT" w:hAnsi="Century Gothic" w:cs="Arial"/>
          <w:spacing w:val="-8"/>
          <w:sz w:val="20"/>
          <w:szCs w:val="20"/>
          <w:lang w:val="es-ES" w:eastAsia="es-ES_tradnl"/>
        </w:rPr>
        <w:t xml:space="preserve"> </w:t>
      </w:r>
      <w:r w:rsidRPr="00851774">
        <w:rPr>
          <w:rFonts w:ascii="Century Gothic" w:eastAsia="Arial MT" w:hAnsi="Century Gothic" w:cs="Arial"/>
          <w:sz w:val="20"/>
          <w:szCs w:val="20"/>
          <w:lang w:val="es-ES" w:eastAsia="es-ES_tradnl"/>
        </w:rPr>
        <w:t>contratación,</w:t>
      </w:r>
      <w:r w:rsidRPr="00851774">
        <w:rPr>
          <w:rFonts w:ascii="Century Gothic" w:eastAsia="Arial MT" w:hAnsi="Century Gothic" w:cs="Arial"/>
          <w:spacing w:val="-9"/>
          <w:sz w:val="20"/>
          <w:szCs w:val="20"/>
          <w:lang w:val="es-ES" w:eastAsia="es-ES_tradnl"/>
        </w:rPr>
        <w:t xml:space="preserve"> </w:t>
      </w:r>
      <w:r w:rsidRPr="00851774">
        <w:rPr>
          <w:rFonts w:ascii="Century Gothic" w:eastAsia="Arial MT" w:hAnsi="Century Gothic" w:cs="Arial"/>
          <w:sz w:val="20"/>
          <w:szCs w:val="20"/>
          <w:lang w:val="es-ES" w:eastAsia="es-ES_tradnl"/>
        </w:rPr>
        <w:t>siempre</w:t>
      </w:r>
      <w:r w:rsidRPr="00851774">
        <w:rPr>
          <w:rFonts w:ascii="Century Gothic" w:eastAsia="Arial MT" w:hAnsi="Century Gothic" w:cs="Arial"/>
          <w:spacing w:val="-8"/>
          <w:sz w:val="20"/>
          <w:szCs w:val="20"/>
          <w:lang w:val="es-ES" w:eastAsia="es-ES_tradnl"/>
        </w:rPr>
        <w:t xml:space="preserve"> </w:t>
      </w:r>
      <w:r w:rsidRPr="00851774">
        <w:rPr>
          <w:rFonts w:ascii="Century Gothic" w:eastAsia="Arial MT" w:hAnsi="Century Gothic" w:cs="Arial"/>
          <w:sz w:val="20"/>
          <w:szCs w:val="20"/>
          <w:lang w:val="es-ES" w:eastAsia="es-ES_tradnl"/>
        </w:rPr>
        <w:t>que</w:t>
      </w:r>
      <w:r w:rsidRPr="00851774">
        <w:rPr>
          <w:rFonts w:ascii="Century Gothic" w:eastAsia="Arial MT" w:hAnsi="Century Gothic" w:cs="Arial"/>
          <w:spacing w:val="-58"/>
          <w:sz w:val="20"/>
          <w:szCs w:val="20"/>
          <w:lang w:val="es-ES" w:eastAsia="es-ES_tradnl"/>
        </w:rPr>
        <w:t xml:space="preserve"> </w:t>
      </w:r>
      <w:r w:rsidRPr="00851774">
        <w:rPr>
          <w:rFonts w:ascii="Century Gothic" w:eastAsia="Arial MT" w:hAnsi="Century Gothic" w:cs="Arial"/>
          <w:sz w:val="20"/>
          <w:szCs w:val="20"/>
          <w:lang w:val="es-ES" w:eastAsia="es-ES_tradnl"/>
        </w:rPr>
        <w:t>respete</w:t>
      </w:r>
      <w:r w:rsidRPr="00851774">
        <w:rPr>
          <w:rFonts w:ascii="Century Gothic" w:eastAsia="Arial MT" w:hAnsi="Century Gothic" w:cs="Arial"/>
          <w:spacing w:val="-2"/>
          <w:sz w:val="20"/>
          <w:szCs w:val="20"/>
          <w:lang w:val="es-ES" w:eastAsia="es-ES_tradnl"/>
        </w:rPr>
        <w:t xml:space="preserve"> </w:t>
      </w:r>
      <w:r w:rsidRPr="00851774">
        <w:rPr>
          <w:rFonts w:ascii="Century Gothic" w:eastAsia="Arial MT" w:hAnsi="Century Gothic" w:cs="Arial"/>
          <w:sz w:val="20"/>
          <w:szCs w:val="20"/>
          <w:lang w:val="es-ES" w:eastAsia="es-ES_tradnl"/>
        </w:rPr>
        <w:t>el</w:t>
      </w:r>
      <w:r w:rsidRPr="00851774">
        <w:rPr>
          <w:rFonts w:ascii="Century Gothic" w:eastAsia="Arial MT" w:hAnsi="Century Gothic" w:cs="Arial"/>
          <w:spacing w:val="-1"/>
          <w:sz w:val="20"/>
          <w:szCs w:val="20"/>
          <w:lang w:val="es-ES" w:eastAsia="es-ES_tradnl"/>
        </w:rPr>
        <w:t xml:space="preserve"> </w:t>
      </w:r>
      <w:r w:rsidRPr="00851774">
        <w:rPr>
          <w:rFonts w:ascii="Century Gothic" w:eastAsia="Arial MT" w:hAnsi="Century Gothic" w:cs="Arial"/>
          <w:sz w:val="20"/>
          <w:szCs w:val="20"/>
          <w:lang w:val="es-ES" w:eastAsia="es-ES_tradnl"/>
        </w:rPr>
        <w:t>principio</w:t>
      </w:r>
      <w:r w:rsidRPr="00851774">
        <w:rPr>
          <w:rFonts w:ascii="Century Gothic" w:eastAsia="Arial MT" w:hAnsi="Century Gothic" w:cs="Arial"/>
          <w:spacing w:val="-1"/>
          <w:sz w:val="20"/>
          <w:szCs w:val="20"/>
          <w:lang w:val="es-ES" w:eastAsia="es-ES_tradnl"/>
        </w:rPr>
        <w:t xml:space="preserve"> </w:t>
      </w:r>
      <w:r w:rsidRPr="00851774">
        <w:rPr>
          <w:rFonts w:ascii="Century Gothic" w:eastAsia="Arial MT" w:hAnsi="Century Gothic" w:cs="Arial"/>
          <w:sz w:val="20"/>
          <w:szCs w:val="20"/>
          <w:lang w:val="es-ES" w:eastAsia="es-ES_tradnl"/>
        </w:rPr>
        <w:t>de</w:t>
      </w:r>
      <w:r w:rsidRPr="00851774">
        <w:rPr>
          <w:rFonts w:ascii="Century Gothic" w:eastAsia="Arial MT" w:hAnsi="Century Gothic" w:cs="Arial"/>
          <w:spacing w:val="-1"/>
          <w:sz w:val="20"/>
          <w:szCs w:val="20"/>
          <w:lang w:val="es-ES" w:eastAsia="es-ES_tradnl"/>
        </w:rPr>
        <w:t xml:space="preserve"> </w:t>
      </w:r>
      <w:r w:rsidRPr="00851774">
        <w:rPr>
          <w:rFonts w:ascii="Century Gothic" w:eastAsia="Arial MT" w:hAnsi="Century Gothic" w:cs="Arial"/>
          <w:sz w:val="20"/>
          <w:szCs w:val="20"/>
          <w:lang w:val="es-ES" w:eastAsia="es-ES_tradnl"/>
        </w:rPr>
        <w:t>legalidad.</w:t>
      </w:r>
    </w:p>
    <w:p w14:paraId="0F529E84" w14:textId="77777777" w:rsidR="005B4D3E" w:rsidRPr="00851774" w:rsidRDefault="005B4D3E" w:rsidP="005B4D3E">
      <w:pPr>
        <w:widowControl w:val="0"/>
        <w:autoSpaceDE w:val="0"/>
        <w:autoSpaceDN w:val="0"/>
        <w:spacing w:after="0" w:line="240" w:lineRule="auto"/>
        <w:jc w:val="both"/>
        <w:rPr>
          <w:rFonts w:ascii="Century Gothic" w:eastAsia="Calibri" w:hAnsi="Century Gothic" w:cs="Arial"/>
          <w:b/>
          <w:bCs/>
          <w:color w:val="000000" w:themeColor="text1"/>
          <w:sz w:val="20"/>
          <w:szCs w:val="20"/>
          <w:lang w:val="es-ES"/>
        </w:rPr>
      </w:pPr>
    </w:p>
    <w:p w14:paraId="6F97EAF1" w14:textId="77777777" w:rsidR="005B4D3E" w:rsidRPr="00851774" w:rsidRDefault="005B4D3E" w:rsidP="005B4D3E">
      <w:pPr>
        <w:spacing w:after="0" w:line="240" w:lineRule="auto"/>
        <w:jc w:val="both"/>
        <w:rPr>
          <w:rFonts w:ascii="Century Gothic" w:eastAsia="Calibri" w:hAnsi="Century Gothic" w:cs="Arial"/>
          <w:b/>
          <w:bCs/>
          <w:color w:val="000000" w:themeColor="text1"/>
          <w:lang w:val="es-ES_tradnl" w:eastAsia="es-ES_tradnl"/>
        </w:rPr>
      </w:pPr>
      <w:r w:rsidRPr="00851774">
        <w:rPr>
          <w:rFonts w:ascii="Century Gothic" w:eastAsia="Calibri" w:hAnsi="Century Gothic" w:cs="Arial"/>
          <w:b/>
          <w:bCs/>
          <w:color w:val="000000" w:themeColor="text1"/>
          <w:lang w:val="es-ES_tradnl" w:eastAsia="es-ES_tradnl"/>
        </w:rPr>
        <w:t>MÍNIMA CUANTÍA – Concepto – Regulación – Requisitos</w:t>
      </w:r>
    </w:p>
    <w:p w14:paraId="321D1A36" w14:textId="77777777" w:rsidR="005B4D3E" w:rsidRPr="00851774" w:rsidRDefault="005B4D3E" w:rsidP="005B4D3E">
      <w:pPr>
        <w:spacing w:after="0" w:line="240" w:lineRule="auto"/>
        <w:jc w:val="both"/>
        <w:rPr>
          <w:rFonts w:ascii="Century Gothic" w:eastAsia="Calibri" w:hAnsi="Century Gothic" w:cs="Arial"/>
          <w:b/>
          <w:bCs/>
          <w:color w:val="000000" w:themeColor="text1"/>
          <w:sz w:val="20"/>
          <w:szCs w:val="20"/>
          <w:lang w:val="es-ES_tradnl" w:eastAsia="es-ES_tradnl"/>
        </w:rPr>
      </w:pPr>
    </w:p>
    <w:p w14:paraId="21834A6F" w14:textId="77777777" w:rsidR="005B4D3E" w:rsidRPr="00851774" w:rsidRDefault="005B4D3E" w:rsidP="005B4D3E">
      <w:pPr>
        <w:spacing w:after="0" w:line="240" w:lineRule="auto"/>
        <w:ind w:right="62"/>
        <w:jc w:val="both"/>
        <w:rPr>
          <w:rFonts w:ascii="Century Gothic" w:eastAsia="Calibri" w:hAnsi="Century Gothic" w:cs="Arial"/>
          <w:sz w:val="20"/>
          <w:szCs w:val="20"/>
          <w:lang w:val="es-ES_tradnl" w:eastAsia="es-ES_tradnl"/>
        </w:rPr>
      </w:pPr>
      <w:r w:rsidRPr="00851774">
        <w:rPr>
          <w:rFonts w:ascii="Century Gothic" w:eastAsia="Calibri" w:hAnsi="Century Gothic" w:cs="Arial"/>
          <w:sz w:val="20"/>
          <w:szCs w:val="20"/>
          <w:lang w:eastAsia="es-ES_tradnl"/>
        </w:rPr>
        <w:t>[…] l</w:t>
      </w:r>
      <w:r w:rsidRPr="00851774">
        <w:rPr>
          <w:rFonts w:ascii="Century Gothic" w:eastAsia="Calibri" w:hAnsi="Century Gothic" w:cs="Arial"/>
          <w:sz w:val="20"/>
          <w:szCs w:val="20"/>
          <w:lang w:val="es-ES_tradnl" w:eastAsia="es-ES_tradnl"/>
        </w:rPr>
        <w:t xml:space="preserve">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 </w:t>
      </w:r>
    </w:p>
    <w:p w14:paraId="44CB3C5F" w14:textId="77777777" w:rsidR="005B4D3E" w:rsidRPr="00851774" w:rsidRDefault="005B4D3E" w:rsidP="005B4D3E">
      <w:pPr>
        <w:spacing w:after="0" w:line="240" w:lineRule="auto"/>
        <w:jc w:val="both"/>
        <w:rPr>
          <w:rFonts w:ascii="Century Gothic" w:eastAsia="Calibri" w:hAnsi="Century Gothic" w:cs="Arial"/>
          <w:sz w:val="20"/>
          <w:szCs w:val="20"/>
          <w:lang w:val="es-ES_tradnl" w:eastAsia="es-ES_tradnl"/>
        </w:rPr>
      </w:pPr>
    </w:p>
    <w:p w14:paraId="43D7DD41" w14:textId="77777777" w:rsidR="005B4D3E" w:rsidRPr="00851774" w:rsidRDefault="005B4D3E" w:rsidP="005B4D3E">
      <w:pPr>
        <w:spacing w:after="0" w:line="240" w:lineRule="auto"/>
        <w:jc w:val="both"/>
        <w:rPr>
          <w:rFonts w:ascii="Century Gothic" w:eastAsia="Calibri" w:hAnsi="Century Gothic" w:cs="Arial"/>
          <w:sz w:val="20"/>
          <w:szCs w:val="20"/>
          <w:lang w:val="es-ES_tradnl" w:eastAsia="es-ES_tradnl"/>
        </w:rPr>
      </w:pPr>
      <w:r w:rsidRPr="00851774">
        <w:rPr>
          <w:rFonts w:ascii="Century Gothic" w:eastAsia="Calibri" w:hAnsi="Century Gothic" w:cs="Arial"/>
          <w:sz w:val="20"/>
          <w:szCs w:val="20"/>
          <w:lang w:val="es-ES_tradnl" w:eastAsia="es-ES_tradnl"/>
        </w:rPr>
        <w:t xml:space="preserve">Dicho de otro modo, la mínima cuantía es un procedimiento de selección excepcional,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 </w:t>
      </w:r>
    </w:p>
    <w:p w14:paraId="4B4FF129" w14:textId="77777777" w:rsidR="005B4D3E" w:rsidRPr="00851774" w:rsidRDefault="005B4D3E" w:rsidP="005B4D3E">
      <w:pPr>
        <w:spacing w:after="0"/>
        <w:rPr>
          <w:rFonts w:ascii="Century Gothic" w:hAnsi="Century Gothic" w:cs="Arial"/>
          <w:shd w:val="clear" w:color="auto" w:fill="FFFFFF"/>
        </w:rPr>
      </w:pPr>
    </w:p>
    <w:p w14:paraId="54E396F9" w14:textId="77777777" w:rsidR="005B4D3E" w:rsidRPr="00851774" w:rsidRDefault="005B4D3E" w:rsidP="005B4D3E">
      <w:pPr>
        <w:spacing w:after="0"/>
        <w:rPr>
          <w:rFonts w:ascii="Century Gothic" w:hAnsi="Century Gothic" w:cs="Arial"/>
          <w:b/>
          <w:bCs/>
          <w:shd w:val="clear" w:color="auto" w:fill="FFFFFF"/>
        </w:rPr>
      </w:pPr>
      <w:r w:rsidRPr="00851774">
        <w:rPr>
          <w:rFonts w:ascii="Century Gothic" w:hAnsi="Century Gothic" w:cs="Arial"/>
          <w:b/>
          <w:bCs/>
          <w:shd w:val="clear" w:color="auto" w:fill="FFFFFF"/>
        </w:rPr>
        <w:t>CONTRATO DE PRESTACIÓN DE SERVICIOS – Fijación de honorarios – Facultad de la entidad – Justificación en los estudios previos</w:t>
      </w:r>
    </w:p>
    <w:p w14:paraId="3A23A992" w14:textId="77777777" w:rsidR="005B4D3E" w:rsidRPr="00851774" w:rsidRDefault="005B4D3E" w:rsidP="005B4D3E">
      <w:pPr>
        <w:spacing w:after="0"/>
        <w:rPr>
          <w:rFonts w:ascii="Century Gothic" w:hAnsi="Century Gothic" w:cs="Arial"/>
          <w:shd w:val="clear" w:color="auto" w:fill="FFFFFF"/>
        </w:rPr>
      </w:pPr>
    </w:p>
    <w:p w14:paraId="052D1B16" w14:textId="77777777" w:rsidR="005B4D3E" w:rsidRPr="00851774" w:rsidRDefault="005B4D3E" w:rsidP="005B4D3E">
      <w:pPr>
        <w:spacing w:after="0" w:line="240" w:lineRule="auto"/>
        <w:jc w:val="both"/>
        <w:rPr>
          <w:rFonts w:ascii="Century Gothic" w:hAnsi="Century Gothic" w:cs="Arial"/>
          <w:noProof/>
          <w:sz w:val="20"/>
          <w:szCs w:val="20"/>
          <w:lang w:val="es-ES_tradnl"/>
        </w:rPr>
      </w:pPr>
      <w:r w:rsidRPr="00851774">
        <w:rPr>
          <w:rFonts w:ascii="Century Gothic" w:hAnsi="Century Gothic" w:cs="Arial"/>
          <w:noProof/>
          <w:sz w:val="20"/>
          <w:szCs w:val="20"/>
          <w:lang w:val="es-ES_tradnl"/>
        </w:rPr>
        <w:t xml:space="preserve">[….] en lo concerniente a los </w:t>
      </w:r>
      <w:r w:rsidRPr="00851774">
        <w:rPr>
          <w:rFonts w:ascii="Century Gothic" w:hAnsi="Century Gothic" w:cs="Arial"/>
          <w:i/>
          <w:iCs/>
          <w:noProof/>
          <w:sz w:val="20"/>
          <w:szCs w:val="20"/>
          <w:lang w:val="es-ES_tradnl"/>
        </w:rPr>
        <w:t xml:space="preserve">honorarios </w:t>
      </w:r>
      <w:r w:rsidRPr="00851774">
        <w:rPr>
          <w:rFonts w:ascii="Century Gothic" w:hAnsi="Century Gothic" w:cs="Arial"/>
          <w:noProof/>
          <w:sz w:val="20"/>
          <w:szCs w:val="20"/>
          <w:lang w:val="es-ES_tradnl"/>
        </w:rPr>
        <w:t>en esta tipología contractual, resulta a bien indicar, que no existe en el Sistema de Compra y Contratación Pública una disposición que establezca la forma en la que deberían fijarse los honorarios de los contratistas de prestación de servicios profesionales, de apoyo a la gestión y de trabajos artísticos, pues en virtud del principio de autonomía de la voluntad, las partes pueden determinar el contenido de los contratos estales e incluir las condiciones, clásulas o estipulaciones que consideren necesarias para desarrollar el objeto contractual, siempre que no sean contrarias a la Constitución Política, la ley y el orden público.</w:t>
      </w:r>
    </w:p>
    <w:p w14:paraId="2E74D4B0" w14:textId="77777777" w:rsidR="005B4D3E" w:rsidRPr="00851774" w:rsidRDefault="005B4D3E" w:rsidP="005B4D3E">
      <w:pPr>
        <w:spacing w:after="0" w:line="240" w:lineRule="auto"/>
        <w:jc w:val="both"/>
        <w:rPr>
          <w:rFonts w:ascii="Century Gothic" w:eastAsia="Calibri" w:hAnsi="Century Gothic" w:cs="Arial"/>
          <w:sz w:val="20"/>
          <w:szCs w:val="20"/>
          <w:lang w:val="es-ES_tradnl"/>
        </w:rPr>
      </w:pPr>
    </w:p>
    <w:p w14:paraId="53103888" w14:textId="77777777" w:rsidR="005B4D3E" w:rsidRPr="00851774" w:rsidRDefault="005B4D3E" w:rsidP="005B4D3E">
      <w:pPr>
        <w:spacing w:after="0" w:line="240" w:lineRule="auto"/>
        <w:jc w:val="both"/>
        <w:rPr>
          <w:rFonts w:ascii="Century Gothic" w:eastAsia="Calibri" w:hAnsi="Century Gothic" w:cs="Arial"/>
          <w:sz w:val="20"/>
          <w:szCs w:val="20"/>
          <w:lang w:val="es-ES_tradnl"/>
        </w:rPr>
      </w:pPr>
      <w:r w:rsidRPr="00851774">
        <w:rPr>
          <w:rFonts w:ascii="Century Gothic" w:eastAsia="Calibri" w:hAnsi="Century Gothic" w:cs="Arial"/>
          <w:sz w:val="20"/>
          <w:szCs w:val="20"/>
          <w:lang w:val="es-ES_tradnl"/>
        </w:rPr>
        <w:t>En consecuencia, las Entidades Estatales durante la etapa de planeación, tienen el deber de realizar el análisis del sector y justificar la modalidad de contratación en los documentos del proceso, que para el caso de los procesos que impliquen una contratación directa y en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30559605" w14:textId="77777777" w:rsidR="005B4D3E" w:rsidRPr="00851774" w:rsidRDefault="005B4D3E" w:rsidP="005B4D3E">
      <w:pPr>
        <w:spacing w:after="0"/>
        <w:rPr>
          <w:rFonts w:ascii="Century Gothic" w:hAnsi="Century Gothic" w:cs="Arial"/>
          <w:shd w:val="clear" w:color="auto" w:fill="FFFFFF"/>
        </w:rPr>
      </w:pPr>
    </w:p>
    <w:p w14:paraId="5E6904C6" w14:textId="77777777" w:rsidR="005B4D3E" w:rsidRPr="00851774" w:rsidRDefault="005B4D3E" w:rsidP="005B4D3E">
      <w:pPr>
        <w:spacing w:after="0"/>
        <w:rPr>
          <w:rFonts w:ascii="Century Gothic" w:hAnsi="Century Gothic" w:cs="Arial"/>
          <w:b/>
          <w:bCs/>
          <w:shd w:val="clear" w:color="auto" w:fill="FFFFFF"/>
        </w:rPr>
      </w:pPr>
      <w:r w:rsidRPr="00851774">
        <w:rPr>
          <w:rFonts w:ascii="Century Gothic" w:hAnsi="Century Gothic" w:cs="Arial"/>
          <w:b/>
          <w:bCs/>
          <w:shd w:val="clear" w:color="auto" w:fill="FFFFFF"/>
        </w:rPr>
        <w:t>CONTRATOS DE PRESTACIÓN DE SERVICIOS – Distinción – Contratos de consultoría</w:t>
      </w:r>
    </w:p>
    <w:p w14:paraId="7DE8FA4A" w14:textId="77777777" w:rsidR="005B4D3E" w:rsidRPr="00851774" w:rsidRDefault="005B4D3E" w:rsidP="005B4D3E">
      <w:pPr>
        <w:spacing w:after="0"/>
        <w:rPr>
          <w:rFonts w:ascii="Century Gothic" w:hAnsi="Century Gothic" w:cs="Arial"/>
          <w:shd w:val="clear" w:color="auto" w:fill="FFFFFF"/>
        </w:rPr>
      </w:pPr>
    </w:p>
    <w:p w14:paraId="6DD6EB55" w14:textId="77777777" w:rsidR="005B4D3E" w:rsidRPr="00851774" w:rsidRDefault="005B4D3E" w:rsidP="005B4D3E">
      <w:pPr>
        <w:spacing w:after="0" w:line="240" w:lineRule="auto"/>
        <w:jc w:val="both"/>
        <w:rPr>
          <w:rFonts w:ascii="Century Gothic" w:hAnsi="Century Gothic" w:cs="Arial"/>
          <w:sz w:val="20"/>
          <w:szCs w:val="20"/>
          <w:shd w:val="clear" w:color="auto" w:fill="FFFFFF"/>
        </w:rPr>
      </w:pPr>
      <w:r w:rsidRPr="00851774">
        <w:rPr>
          <w:rFonts w:ascii="Century Gothic" w:hAnsi="Century Gothic" w:cs="Arial"/>
          <w:sz w:val="20"/>
          <w:szCs w:val="20"/>
          <w:shd w:val="clear" w:color="auto" w:fill="FFFFFF"/>
        </w:rPr>
        <w:t xml:space="preserve">[…] pese a que el contrato de consultoría y el de prestación de servicios se asemejan en lo intelectual y profesional, el primero no puede tener como objeto contractual, actividades </w:t>
      </w:r>
      <w:r w:rsidRPr="00851774">
        <w:rPr>
          <w:rFonts w:ascii="Century Gothic" w:hAnsi="Century Gothic" w:cs="Arial"/>
          <w:sz w:val="20"/>
          <w:szCs w:val="20"/>
          <w:shd w:val="clear" w:color="auto" w:fill="FFFFFF"/>
        </w:rPr>
        <w:lastRenderedPageBreak/>
        <w:t>del segundo. Esto por cuanto, como lo indicó el Consejo de Estado en la antes referida sentencia de unificación jurisprudencial, si bien existe un componente intelectual y profesional, tanto en los contratos de prestación de servicios profesionales y en los contratos de consultoría, el objeto contractual de este último es especial y debe celebrarse, por regla general, mediante la modalidad de selección de concurso de méritos. Así pues, debe aclararse, que no es factible suscribir un contrato de prestación de servicios profesionales para ejecutar actividades que se enmarcan en los contratos tipificados en el artículo 32 de la Ley 80 de 1993, como, por ejemplo, las consultorías.</w:t>
      </w:r>
    </w:p>
    <w:p w14:paraId="690EFEDB" w14:textId="77777777" w:rsidR="005B4D3E" w:rsidRPr="00851774" w:rsidRDefault="005B4D3E" w:rsidP="005B4D3E">
      <w:pPr>
        <w:spacing w:after="0" w:line="240" w:lineRule="auto"/>
        <w:jc w:val="both"/>
        <w:rPr>
          <w:rFonts w:ascii="Century Gothic" w:hAnsi="Century Gothic" w:cs="Arial"/>
          <w:sz w:val="20"/>
          <w:szCs w:val="20"/>
          <w:shd w:val="clear" w:color="auto" w:fill="FFFFFF"/>
        </w:rPr>
      </w:pPr>
    </w:p>
    <w:p w14:paraId="7F5415CF" w14:textId="77777777" w:rsidR="005B4D3E" w:rsidRPr="00851774" w:rsidRDefault="005B4D3E" w:rsidP="005B4D3E">
      <w:pPr>
        <w:spacing w:after="0" w:line="240" w:lineRule="auto"/>
        <w:jc w:val="both"/>
        <w:rPr>
          <w:rFonts w:ascii="Century Gothic" w:hAnsi="Century Gothic" w:cs="Arial"/>
          <w:sz w:val="20"/>
          <w:szCs w:val="20"/>
          <w:shd w:val="clear" w:color="auto" w:fill="FFFFFF"/>
        </w:rPr>
      </w:pPr>
      <w:r w:rsidRPr="00851774">
        <w:rPr>
          <w:rFonts w:ascii="Century Gothic" w:hAnsi="Century Gothic" w:cs="Arial"/>
          <w:sz w:val="20"/>
          <w:szCs w:val="20"/>
          <w:shd w:val="clear" w:color="auto" w:fill="FFFFFF"/>
        </w:rPr>
        <w:t>Bajo este entendimiento, la característica fundamental para identificar los contratos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tal y como se indicó en el numeral anterior, el desarrollo de actividades de colaboración y apoyo a la gestión de la entidad dirigidas al cumplimiento de las funciones asignadas a esta, de carácter temporal, excepcional u ocasional, siempre que no haya suficiente personal de planta o que, existiendo, está sobrecargado de trabajo, o que sean actividades que requieran conocimientos especializados, según lo prescrito en el numeral 3 del artículo 32 de la Ley 80 de 1993.</w:t>
      </w:r>
    </w:p>
    <w:p w14:paraId="57D5A8DF" w14:textId="77777777" w:rsidR="005B4D3E" w:rsidRPr="00851774" w:rsidRDefault="005B4D3E" w:rsidP="005B4D3E">
      <w:pPr>
        <w:spacing w:after="0"/>
        <w:rPr>
          <w:rFonts w:ascii="Century Gothic" w:hAnsi="Century Gothic" w:cs="Arial"/>
          <w:shd w:val="clear" w:color="auto" w:fill="FFFFFF"/>
        </w:rPr>
      </w:pPr>
    </w:p>
    <w:p w14:paraId="3ABC6AD3" w14:textId="77777777" w:rsidR="005B4D3E" w:rsidRPr="00851774" w:rsidRDefault="005B4D3E" w:rsidP="005B4D3E">
      <w:pPr>
        <w:spacing w:after="0"/>
        <w:rPr>
          <w:rFonts w:ascii="Century Gothic" w:hAnsi="Century Gothic"/>
          <w:b/>
          <w:bCs/>
        </w:rPr>
      </w:pPr>
      <w:r w:rsidRPr="00851774">
        <w:rPr>
          <w:rFonts w:ascii="Century Gothic" w:hAnsi="Century Gothic"/>
          <w:b/>
          <w:bCs/>
        </w:rPr>
        <w:t>SUBSANABILIDAD DE LA OFERTA – Reglas -Artículo 5 de la ley 1150 – Artículo 5 de la ley 1882 de 2018</w:t>
      </w:r>
    </w:p>
    <w:p w14:paraId="695AE522" w14:textId="77777777" w:rsidR="005B4D3E" w:rsidRPr="00851774" w:rsidRDefault="005B4D3E" w:rsidP="005B4D3E">
      <w:pPr>
        <w:spacing w:after="0"/>
        <w:rPr>
          <w:rFonts w:ascii="Century Gothic" w:hAnsi="Century Gothic"/>
        </w:rPr>
      </w:pPr>
    </w:p>
    <w:p w14:paraId="5F154A4D" w14:textId="77777777" w:rsidR="005B4D3E" w:rsidRPr="00851774" w:rsidRDefault="005B4D3E" w:rsidP="005B4D3E">
      <w:pPr>
        <w:spacing w:after="0" w:line="240" w:lineRule="auto"/>
        <w:jc w:val="both"/>
        <w:rPr>
          <w:rFonts w:ascii="Century Gothic" w:hAnsi="Century Gothic"/>
          <w:sz w:val="20"/>
          <w:szCs w:val="20"/>
        </w:rPr>
      </w:pPr>
      <w:r w:rsidRPr="00851774">
        <w:rPr>
          <w:rFonts w:ascii="Century Gothic" w:hAnsi="Century Gothic"/>
          <w:sz w:val="20"/>
          <w:szCs w:val="20"/>
        </w:rPr>
        <w:t>La regla de subsanabilidad es un mecanismo previsto en los procesos de contratación que se regulan por el EGCAP.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 “[…]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p>
    <w:p w14:paraId="4ED05CF7" w14:textId="77777777" w:rsidR="005B4D3E" w:rsidRPr="00851774" w:rsidRDefault="005B4D3E" w:rsidP="005B4D3E">
      <w:pPr>
        <w:spacing w:after="0"/>
        <w:rPr>
          <w:rFonts w:ascii="Century Gothic" w:hAnsi="Century Gothic"/>
        </w:rPr>
      </w:pPr>
      <w:r w:rsidRPr="00851774">
        <w:rPr>
          <w:rFonts w:ascii="Century Gothic" w:hAnsi="Century Gothic"/>
        </w:rPr>
        <w:t>[…]</w:t>
      </w:r>
    </w:p>
    <w:p w14:paraId="2A8B4646" w14:textId="77777777" w:rsidR="005B4D3E" w:rsidRPr="00851774" w:rsidRDefault="005B4D3E" w:rsidP="005B4D3E">
      <w:pPr>
        <w:spacing w:after="0"/>
        <w:jc w:val="both"/>
        <w:rPr>
          <w:rFonts w:ascii="Century Gothic" w:hAnsi="Century Gothic"/>
          <w:sz w:val="20"/>
          <w:szCs w:val="20"/>
        </w:rPr>
      </w:pPr>
      <w:r w:rsidRPr="00851774">
        <w:rPr>
          <w:rFonts w:ascii="Century Gothic" w:hAnsi="Century Gothic"/>
          <w:sz w:val="20"/>
          <w:szCs w:val="20"/>
        </w:rPr>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14:paraId="3C13BD67" w14:textId="77777777" w:rsidR="005B4D3E" w:rsidRPr="00851774" w:rsidRDefault="005B4D3E" w:rsidP="005B4D3E">
      <w:pPr>
        <w:spacing w:after="0"/>
        <w:rPr>
          <w:rFonts w:ascii="Century Gothic" w:hAnsi="Century Gothic" w:cs="Arial"/>
          <w:shd w:val="clear" w:color="auto" w:fill="FFFFFF"/>
        </w:rPr>
      </w:pPr>
    </w:p>
    <w:p w14:paraId="5C55E751" w14:textId="77777777" w:rsidR="005B4D3E" w:rsidRPr="00851774" w:rsidRDefault="005B4D3E" w:rsidP="005B4D3E">
      <w:pPr>
        <w:spacing w:after="0"/>
        <w:rPr>
          <w:rFonts w:ascii="Century Gothic" w:hAnsi="Century Gothic" w:cs="Arial"/>
          <w:shd w:val="clear" w:color="auto" w:fill="FFFFFF"/>
        </w:rPr>
      </w:pPr>
    </w:p>
    <w:p w14:paraId="6697F287" w14:textId="77777777" w:rsidR="005B4D3E" w:rsidRPr="00851774" w:rsidRDefault="005B4D3E" w:rsidP="005B4D3E">
      <w:pPr>
        <w:spacing w:after="0"/>
        <w:rPr>
          <w:rFonts w:ascii="Century Gothic" w:hAnsi="Century Gothic" w:cs="Arial"/>
          <w:shd w:val="clear" w:color="auto" w:fill="FFFFFF"/>
        </w:rPr>
      </w:pPr>
    </w:p>
    <w:p w14:paraId="6E4018A8" w14:textId="77777777" w:rsidR="005B4D3E" w:rsidRDefault="005B4D3E" w:rsidP="005B4D3E">
      <w:pPr>
        <w:spacing w:after="0"/>
        <w:rPr>
          <w:rFonts w:ascii="Century Gothic" w:eastAsia="Geomanist Light" w:hAnsi="Century Gothic" w:cs="Arial"/>
          <w:lang w:val="es-MX"/>
        </w:rPr>
      </w:pPr>
      <w:r w:rsidRPr="00851774">
        <w:rPr>
          <w:rFonts w:ascii="Century Gothic" w:hAnsi="Century Gothic" w:cs="Arial"/>
          <w:shd w:val="clear" w:color="auto" w:fill="FFFFFF"/>
        </w:rPr>
        <w:lastRenderedPageBreak/>
        <w:t>Bogotá D.C., [Día] de [</w:t>
      </w:r>
      <w:proofErr w:type="spellStart"/>
      <w:r w:rsidRPr="00851774">
        <w:rPr>
          <w:rFonts w:ascii="Century Gothic" w:hAnsi="Century Gothic" w:cs="Arial"/>
          <w:shd w:val="clear" w:color="auto" w:fill="FFFFFF"/>
        </w:rPr>
        <w:t>Mes.NombreCapitalizado</w:t>
      </w:r>
      <w:proofErr w:type="spellEnd"/>
      <w:r w:rsidRPr="00851774">
        <w:rPr>
          <w:rFonts w:ascii="Century Gothic" w:hAnsi="Century Gothic" w:cs="Arial"/>
          <w:shd w:val="clear" w:color="auto" w:fill="FFFFFF"/>
        </w:rPr>
        <w:t>] de [Año]</w:t>
      </w:r>
      <w:r w:rsidRPr="00851774">
        <w:rPr>
          <w:rFonts w:ascii="Century Gothic" w:hAnsi="Century Gothic" w:cs="Calibri"/>
          <w:shd w:val="clear" w:color="auto" w:fill="FFFFFF"/>
        </w:rPr>
        <w:tab/>
      </w:r>
      <w:r w:rsidRPr="00851774">
        <w:rPr>
          <w:rFonts w:ascii="Arial" w:hAnsi="Arial" w:cs="Arial"/>
          <w:shd w:val="clear" w:color="auto" w:fill="FFFFFF"/>
        </w:rPr>
        <w:t>    </w:t>
      </w:r>
      <w:r w:rsidRPr="00851774">
        <w:rPr>
          <w:rFonts w:ascii="Century Gothic" w:hAnsi="Century Gothic" w:cs="Arial"/>
          <w:shd w:val="clear" w:color="auto" w:fill="FFFFFF"/>
        </w:rPr>
        <w:t> </w:t>
      </w:r>
      <w:r w:rsidRPr="00851774">
        <w:rPr>
          <w:rFonts w:ascii="Arial" w:hAnsi="Arial" w:cs="Arial"/>
          <w:shd w:val="clear" w:color="auto" w:fill="FFFFFF"/>
        </w:rPr>
        <w:t> </w:t>
      </w:r>
      <w:r w:rsidRPr="00851774">
        <w:rPr>
          <w:rFonts w:ascii="Century Gothic" w:hAnsi="Century Gothic" w:cs="Century Gothic"/>
          <w:shd w:val="clear" w:color="auto" w:fill="FFFFFF"/>
        </w:rPr>
        <w:t> </w:t>
      </w:r>
      <w:r w:rsidRPr="00851774">
        <w:rPr>
          <w:rFonts w:ascii="Century Gothic" w:eastAsia="Geomanist Light" w:hAnsi="Century Gothic" w:cs="Arial"/>
          <w:lang w:val="es-MX"/>
        </w:rPr>
        <w:cr/>
      </w:r>
    </w:p>
    <w:p w14:paraId="4F16E0AE" w14:textId="77777777" w:rsidR="007D6E6F" w:rsidRDefault="007D6E6F" w:rsidP="005B4D3E">
      <w:pPr>
        <w:spacing w:after="0"/>
        <w:rPr>
          <w:rFonts w:ascii="Century Gothic" w:eastAsia="Geomanist Light" w:hAnsi="Century Gothic" w:cs="Arial"/>
          <w:lang w:val="es-MX"/>
        </w:rPr>
      </w:pPr>
    </w:p>
    <w:p w14:paraId="5E0F825D" w14:textId="108345A5" w:rsidR="007D6E6F" w:rsidRPr="00851774" w:rsidRDefault="007D6E6F" w:rsidP="007D6E6F">
      <w:pPr>
        <w:spacing w:after="0"/>
        <w:jc w:val="right"/>
        <w:rPr>
          <w:rFonts w:ascii="Century Gothic" w:eastAsia="Geomanist Light" w:hAnsi="Century Gothic" w:cs="Arial"/>
          <w:lang w:val="es-MX"/>
        </w:rPr>
      </w:pPr>
      <w:r w:rsidRPr="007D6E6F">
        <w:rPr>
          <w:rFonts w:ascii="Century Gothic" w:eastAsia="Geomanist Light" w:hAnsi="Century Gothic" w:cs="Arial"/>
          <w:lang w:val="es-MX"/>
        </w:rPr>
        <w:drawing>
          <wp:inline distT="0" distB="0" distL="0" distR="0" wp14:anchorId="171397D2" wp14:editId="65B414B3">
            <wp:extent cx="3267531" cy="990738"/>
            <wp:effectExtent l="0" t="0" r="9525" b="0"/>
            <wp:docPr id="371245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45903" name=""/>
                    <pic:cNvPicPr/>
                  </pic:nvPicPr>
                  <pic:blipFill>
                    <a:blip r:embed="rId10"/>
                    <a:stretch>
                      <a:fillRect/>
                    </a:stretch>
                  </pic:blipFill>
                  <pic:spPr>
                    <a:xfrm>
                      <a:off x="0" y="0"/>
                      <a:ext cx="3267531" cy="990738"/>
                    </a:xfrm>
                    <a:prstGeom prst="rect">
                      <a:avLst/>
                    </a:prstGeom>
                  </pic:spPr>
                </pic:pic>
              </a:graphicData>
            </a:graphic>
          </wp:inline>
        </w:drawing>
      </w:r>
    </w:p>
    <w:p w14:paraId="2BFEC949" w14:textId="77777777" w:rsidR="005B4D3E" w:rsidRPr="00851774" w:rsidRDefault="005B4D3E" w:rsidP="005B4D3E">
      <w:pPr>
        <w:contextualSpacing/>
        <w:jc w:val="both"/>
        <w:rPr>
          <w:rFonts w:ascii="Century Gothic" w:eastAsia="Calibri" w:hAnsi="Century Gothic" w:cs="Arial"/>
          <w:lang w:eastAsia="es-ES_tradnl"/>
        </w:rPr>
      </w:pPr>
      <w:r w:rsidRPr="00851774">
        <w:rPr>
          <w:rFonts w:ascii="Century Gothic" w:eastAsia="Calibri" w:hAnsi="Century Gothic" w:cs="Arial"/>
          <w:lang w:eastAsia="es-ES_tradnl"/>
        </w:rPr>
        <w:t>Señora</w:t>
      </w:r>
    </w:p>
    <w:p w14:paraId="687CD0DB" w14:textId="77777777" w:rsidR="005B4D3E" w:rsidRPr="00851774" w:rsidRDefault="005B4D3E" w:rsidP="005B4D3E">
      <w:pPr>
        <w:contextualSpacing/>
        <w:jc w:val="both"/>
        <w:rPr>
          <w:rFonts w:ascii="Century Gothic" w:eastAsia="Calibri" w:hAnsi="Century Gothic" w:cs="Arial"/>
          <w:b/>
          <w:lang w:eastAsia="es-ES_tradnl"/>
        </w:rPr>
      </w:pPr>
      <w:proofErr w:type="spellStart"/>
      <w:r w:rsidRPr="00851774">
        <w:rPr>
          <w:rFonts w:ascii="Century Gothic" w:eastAsia="Calibri" w:hAnsi="Century Gothic" w:cs="Arial"/>
          <w:b/>
          <w:lang w:eastAsia="es-ES_tradnl"/>
        </w:rPr>
        <w:t>Nicolle</w:t>
      </w:r>
      <w:proofErr w:type="spellEnd"/>
      <w:r w:rsidRPr="00851774">
        <w:rPr>
          <w:rFonts w:ascii="Century Gothic" w:eastAsia="Calibri" w:hAnsi="Century Gothic" w:cs="Arial"/>
          <w:b/>
          <w:lang w:eastAsia="es-ES_tradnl"/>
        </w:rPr>
        <w:t xml:space="preserve"> Daniela Rueda Fernández</w:t>
      </w:r>
    </w:p>
    <w:p w14:paraId="17654B83" w14:textId="77777777" w:rsidR="005B4D3E" w:rsidRPr="00851774" w:rsidRDefault="005B4D3E" w:rsidP="005B4D3E">
      <w:pPr>
        <w:contextualSpacing/>
        <w:jc w:val="both"/>
        <w:rPr>
          <w:rFonts w:ascii="Century Gothic" w:eastAsia="Calibri" w:hAnsi="Century Gothic" w:cs="Arial"/>
          <w:bCs/>
          <w:lang w:eastAsia="es-ES_tradnl"/>
        </w:rPr>
      </w:pPr>
      <w:r w:rsidRPr="00851774">
        <w:rPr>
          <w:rFonts w:ascii="Century Gothic" w:hAnsi="Century Gothic"/>
        </w:rPr>
        <w:t>Bucaramanga, Santander</w:t>
      </w:r>
    </w:p>
    <w:p w14:paraId="240E8DEC" w14:textId="77777777" w:rsidR="005B4D3E" w:rsidRPr="00851774" w:rsidRDefault="005B4D3E" w:rsidP="005B4D3E">
      <w:pPr>
        <w:contextualSpacing/>
        <w:rPr>
          <w:rFonts w:ascii="Century Gothic" w:eastAsia="Calibri" w:hAnsi="Century Gothic" w:cs="Arial"/>
          <w:b/>
          <w:bCs/>
          <w:lang w:val="es-ES_tradnl" w:eastAsia="es-ES_tradnl"/>
        </w:rPr>
      </w:pPr>
    </w:p>
    <w:p w14:paraId="5D676C73" w14:textId="77777777" w:rsidR="005B4D3E" w:rsidRPr="00851774" w:rsidRDefault="005B4D3E" w:rsidP="005B4D3E">
      <w:pPr>
        <w:ind w:left="2124" w:firstLine="570"/>
        <w:contextualSpacing/>
        <w:rPr>
          <w:rFonts w:ascii="Century Gothic" w:eastAsia="Calibri" w:hAnsi="Century Gothic" w:cs="Arial"/>
          <w:b/>
          <w:bCs/>
          <w:lang w:val="es-ES_tradnl" w:eastAsia="es-ES_tradnl"/>
        </w:rPr>
      </w:pPr>
      <w:r w:rsidRPr="00851774">
        <w:rPr>
          <w:rFonts w:ascii="Century Gothic" w:eastAsia="Calibri" w:hAnsi="Century Gothic" w:cs="Arial"/>
          <w:b/>
          <w:bCs/>
          <w:lang w:val="es-ES_tradnl" w:eastAsia="es-ES_tradnl"/>
        </w:rPr>
        <w:t>Concepto C – 024 de 2024</w:t>
      </w:r>
    </w:p>
    <w:p w14:paraId="63B8702F" w14:textId="77777777" w:rsidR="005B4D3E" w:rsidRPr="00851774" w:rsidRDefault="005B4D3E" w:rsidP="005B4D3E">
      <w:pPr>
        <w:contextualSpacing/>
        <w:jc w:val="both"/>
        <w:rPr>
          <w:rFonts w:ascii="Century Gothic" w:eastAsia="Calibri" w:hAnsi="Century Gothic" w:cs="Arial"/>
          <w:highlight w:val="yellow"/>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B4D3E" w:rsidRPr="00851774" w14:paraId="15BCC13E" w14:textId="77777777" w:rsidTr="001B01B8">
        <w:tc>
          <w:tcPr>
            <w:tcW w:w="2689" w:type="dxa"/>
          </w:tcPr>
          <w:p w14:paraId="35B4B74E" w14:textId="77777777" w:rsidR="005B4D3E" w:rsidRPr="00851774" w:rsidRDefault="005B4D3E" w:rsidP="001B01B8">
            <w:pPr>
              <w:contextualSpacing/>
              <w:jc w:val="both"/>
              <w:rPr>
                <w:rFonts w:ascii="Century Gothic" w:eastAsia="Calibri" w:hAnsi="Century Gothic" w:cs="Arial"/>
                <w:highlight w:val="yellow"/>
                <w:lang w:val="es-ES_tradnl" w:eastAsia="es-ES_tradnl"/>
              </w:rPr>
            </w:pPr>
            <w:r w:rsidRPr="00851774">
              <w:rPr>
                <w:rFonts w:ascii="Century Gothic" w:eastAsia="Calibri" w:hAnsi="Century Gothic" w:cs="Arial"/>
                <w:b/>
                <w:lang w:val="es-ES_tradnl" w:eastAsia="es-ES_tradnl"/>
              </w:rPr>
              <w:t>Temas:</w:t>
            </w:r>
            <w:r w:rsidRPr="00851774">
              <w:rPr>
                <w:rFonts w:ascii="Century Gothic" w:eastAsia="Calibri" w:hAnsi="Century Gothic" w:cs="Arial"/>
                <w:lang w:val="es-ES_tradnl" w:eastAsia="es-ES_tradnl"/>
              </w:rPr>
              <w:t xml:space="preserve">                                      </w:t>
            </w:r>
          </w:p>
        </w:tc>
        <w:tc>
          <w:tcPr>
            <w:tcW w:w="6237" w:type="dxa"/>
          </w:tcPr>
          <w:p w14:paraId="70E90B51" w14:textId="77777777" w:rsidR="005B4D3E" w:rsidRPr="00851774" w:rsidRDefault="005B4D3E" w:rsidP="001B01B8">
            <w:pPr>
              <w:spacing w:after="120"/>
              <w:contextualSpacing/>
              <w:jc w:val="both"/>
              <w:rPr>
                <w:rFonts w:ascii="Century Gothic" w:eastAsia="Calibri" w:hAnsi="Century Gothic" w:cs="Arial"/>
                <w:bCs/>
                <w:lang w:val="es-ES_tradnl" w:eastAsia="es-ES_tradnl"/>
              </w:rPr>
            </w:pPr>
            <w:r w:rsidRPr="00851774">
              <w:rPr>
                <w:rFonts w:ascii="Century Gothic" w:eastAsia="Calibri" w:hAnsi="Century Gothic" w:cs="Arial"/>
                <w:bCs/>
                <w:lang w:val="es-ES_tradnl" w:eastAsia="es-ES_tradnl"/>
              </w:rPr>
              <w:t>DECRETO 092 DE 2017 – Finalidad – Clases de contratos / ASOCIACIONES DE PADRES DE FAMILIA – Contrato de asociación – Objeto – Alcance / MODALIDADES DE SELECCIÓN – Clases / MÍNIMA CUANTÍA – Concepto – Regulación – Requisitos / CONTRATO DE PRESTACIÓN DE SERVICIOS – Fijación de honorarios – Facultad de la entidad – Justificación en estudios previos / CONTRATO DE PRESTACIÓN DE SERVICIOS – Distinción – Contratos de consultoría / SUBSANABILIDAD DE LA OFERTA – Reglas -Artículo 5 de la ley 1150 – Artículo 5 de la ley 1882 de 2018</w:t>
            </w:r>
          </w:p>
          <w:p w14:paraId="3764166A" w14:textId="77777777" w:rsidR="005B4D3E" w:rsidRPr="00851774" w:rsidRDefault="005B4D3E" w:rsidP="001B01B8">
            <w:pPr>
              <w:spacing w:after="120"/>
              <w:contextualSpacing/>
              <w:jc w:val="both"/>
              <w:rPr>
                <w:rFonts w:ascii="Century Gothic" w:eastAsia="Calibri" w:hAnsi="Century Gothic" w:cs="Arial"/>
                <w:bCs/>
                <w:sz w:val="12"/>
                <w:szCs w:val="12"/>
                <w:lang w:val="es-ES_tradnl" w:eastAsia="es-ES_tradnl"/>
              </w:rPr>
            </w:pPr>
          </w:p>
        </w:tc>
      </w:tr>
      <w:tr w:rsidR="005B4D3E" w:rsidRPr="00851774" w14:paraId="273A39FF" w14:textId="77777777" w:rsidTr="001B01B8">
        <w:trPr>
          <w:trHeight w:val="227"/>
        </w:trPr>
        <w:tc>
          <w:tcPr>
            <w:tcW w:w="2689" w:type="dxa"/>
          </w:tcPr>
          <w:p w14:paraId="054E2E1C" w14:textId="77777777" w:rsidR="005B4D3E" w:rsidRPr="00851774" w:rsidRDefault="005B4D3E" w:rsidP="001B01B8">
            <w:pPr>
              <w:contextualSpacing/>
              <w:jc w:val="both"/>
              <w:rPr>
                <w:rFonts w:ascii="Century Gothic" w:eastAsia="Calibri" w:hAnsi="Century Gothic" w:cs="Arial"/>
                <w:b/>
                <w:lang w:val="es-ES_tradnl" w:eastAsia="es-ES_tradnl"/>
              </w:rPr>
            </w:pPr>
            <w:r w:rsidRPr="00851774">
              <w:rPr>
                <w:rFonts w:ascii="Century Gothic" w:eastAsia="Calibri" w:hAnsi="Century Gothic" w:cs="Arial"/>
                <w:b/>
                <w:lang w:val="es-ES_tradnl" w:eastAsia="es-ES_tradnl"/>
              </w:rPr>
              <w:t>Radicación:</w:t>
            </w:r>
            <w:r w:rsidRPr="00851774">
              <w:rPr>
                <w:rFonts w:ascii="Century Gothic" w:eastAsia="Calibri" w:hAnsi="Century Gothic" w:cs="Arial"/>
                <w:lang w:val="es-ES_tradnl" w:eastAsia="es-ES_tradnl"/>
              </w:rPr>
              <w:t xml:space="preserve">                             </w:t>
            </w:r>
          </w:p>
        </w:tc>
        <w:tc>
          <w:tcPr>
            <w:tcW w:w="6237" w:type="dxa"/>
          </w:tcPr>
          <w:p w14:paraId="234B9FB2" w14:textId="77777777" w:rsidR="005B4D3E" w:rsidRPr="00851774" w:rsidRDefault="005B4D3E" w:rsidP="001B01B8">
            <w:pPr>
              <w:contextualSpacing/>
              <w:jc w:val="both"/>
              <w:rPr>
                <w:rFonts w:ascii="Century Gothic" w:eastAsia="Calibri" w:hAnsi="Century Gothic" w:cs="Arial"/>
                <w:lang w:val="es-ES_tradnl" w:eastAsia="es-ES_tradnl"/>
              </w:rPr>
            </w:pPr>
            <w:r w:rsidRPr="00851774">
              <w:rPr>
                <w:rFonts w:ascii="Century Gothic" w:eastAsia="Calibri" w:hAnsi="Century Gothic" w:cs="Arial"/>
                <w:lang w:val="es-ES_tradnl" w:eastAsia="es-ES_tradnl"/>
              </w:rPr>
              <w:t>Respuesta a consulta No. P20240205001133</w:t>
            </w:r>
            <w:r w:rsidRPr="00851774">
              <w:rPr>
                <w:rFonts w:ascii="Century Gothic" w:eastAsia="Calibri" w:hAnsi="Century Gothic" w:cs="Arial"/>
                <w:lang w:val="es-ES_tradnl" w:eastAsia="es-ES_tradnl"/>
              </w:rPr>
              <w:tab/>
            </w:r>
            <w:r w:rsidRPr="00851774">
              <w:rPr>
                <w:rFonts w:ascii="Century Gothic" w:eastAsia="Calibri" w:hAnsi="Century Gothic" w:cs="Arial"/>
                <w:lang w:val="es-ES_tradnl" w:eastAsia="es-ES_tradnl"/>
              </w:rPr>
              <w:tab/>
            </w:r>
          </w:p>
        </w:tc>
      </w:tr>
    </w:tbl>
    <w:p w14:paraId="7FCFA64D" w14:textId="77777777" w:rsidR="005B4D3E" w:rsidRPr="00851774" w:rsidRDefault="005B4D3E" w:rsidP="005B4D3E">
      <w:pPr>
        <w:contextualSpacing/>
        <w:jc w:val="both"/>
        <w:rPr>
          <w:rFonts w:ascii="Century Gothic" w:eastAsia="Calibri" w:hAnsi="Century Gothic" w:cs="Arial"/>
          <w:lang w:val="es-ES_tradnl" w:eastAsia="es-ES_tradnl"/>
        </w:rPr>
      </w:pPr>
    </w:p>
    <w:p w14:paraId="5C2BE0CA" w14:textId="77777777" w:rsidR="005B4D3E" w:rsidRPr="00851774" w:rsidRDefault="005B4D3E" w:rsidP="005B4D3E">
      <w:pPr>
        <w:contextualSpacing/>
        <w:jc w:val="both"/>
        <w:rPr>
          <w:rFonts w:ascii="Century Gothic" w:eastAsia="Calibri" w:hAnsi="Century Gothic" w:cs="Arial"/>
          <w:lang w:val="es-ES_tradnl" w:eastAsia="es-ES_tradnl"/>
        </w:rPr>
      </w:pPr>
    </w:p>
    <w:p w14:paraId="1A5B994D" w14:textId="77777777" w:rsidR="005B4D3E" w:rsidRPr="00851774" w:rsidRDefault="005B4D3E" w:rsidP="005B4D3E">
      <w:pPr>
        <w:contextualSpacing/>
        <w:jc w:val="both"/>
        <w:rPr>
          <w:rFonts w:ascii="Century Gothic" w:eastAsia="Calibri" w:hAnsi="Century Gothic" w:cs="Arial"/>
          <w:lang w:val="es-ES" w:eastAsia="es-ES"/>
        </w:rPr>
      </w:pPr>
      <w:r w:rsidRPr="00851774">
        <w:rPr>
          <w:rFonts w:ascii="Century Gothic" w:eastAsia="Calibri" w:hAnsi="Century Gothic" w:cs="Arial"/>
          <w:lang w:val="es-ES" w:eastAsia="es-ES"/>
        </w:rPr>
        <w:t>Estimada Señora Rueda:</w:t>
      </w:r>
    </w:p>
    <w:p w14:paraId="4714D260" w14:textId="77777777" w:rsidR="005B4D3E" w:rsidRPr="00851774" w:rsidRDefault="005B4D3E" w:rsidP="005B4D3E">
      <w:pPr>
        <w:spacing w:line="276" w:lineRule="auto"/>
        <w:contextualSpacing/>
        <w:jc w:val="both"/>
        <w:rPr>
          <w:rFonts w:ascii="Century Gothic" w:eastAsia="Calibri" w:hAnsi="Century Gothic" w:cs="Arial"/>
          <w:szCs w:val="24"/>
          <w:lang w:val="es-ES_tradnl" w:eastAsia="es-ES_tradnl"/>
        </w:rPr>
      </w:pPr>
    </w:p>
    <w:bookmarkEnd w:id="0"/>
    <w:bookmarkEnd w:id="1"/>
    <w:p w14:paraId="04D77795" w14:textId="77777777" w:rsidR="005B4D3E" w:rsidRPr="00851774" w:rsidRDefault="005B4D3E" w:rsidP="005B4D3E">
      <w:pPr>
        <w:spacing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En ejercicio de la competencia otorgada por el numeral 5° del artículo 3 y el numeral 8° del artículo 11 del Decreto Ley 4170 de 2011</w:t>
      </w:r>
      <w:bookmarkStart w:id="3" w:name="_Hlk99120496"/>
      <w:r w:rsidRPr="00851774">
        <w:rPr>
          <w:rFonts w:ascii="Century Gothic" w:eastAsia="Arial MT" w:hAnsi="Century Gothic" w:cs="Arial MT"/>
          <w:lang w:val="es-ES"/>
        </w:rPr>
        <w:t xml:space="preserve">, </w:t>
      </w:r>
      <w:bookmarkEnd w:id="3"/>
      <w:r w:rsidRPr="00851774">
        <w:rPr>
          <w:rFonts w:ascii="Century Gothic" w:eastAsia="Calibri" w:hAnsi="Century Gothic" w:cs="Arial"/>
          <w:lang w:val="es-ES_tradnl"/>
        </w:rPr>
        <w:t>la Agencia Nacional de Contratación Pública – Colombia Compra Eficiente– responde su petición recibida el 05 de febrero de 2024.</w:t>
      </w:r>
    </w:p>
    <w:p w14:paraId="59134646" w14:textId="77777777" w:rsidR="005B4D3E" w:rsidRPr="00851774" w:rsidRDefault="005B4D3E" w:rsidP="005B4D3E">
      <w:pPr>
        <w:spacing w:after="0" w:line="276" w:lineRule="auto"/>
        <w:jc w:val="both"/>
        <w:rPr>
          <w:rFonts w:ascii="Century Gothic" w:eastAsia="Calibri" w:hAnsi="Century Gothic" w:cs="Arial"/>
          <w:b/>
          <w:lang w:val="es-ES_tradnl"/>
        </w:rPr>
      </w:pPr>
    </w:p>
    <w:p w14:paraId="537BDFA5" w14:textId="77777777" w:rsidR="005B4D3E" w:rsidRPr="00851774" w:rsidRDefault="005B4D3E" w:rsidP="005B4D3E">
      <w:pPr>
        <w:numPr>
          <w:ilvl w:val="0"/>
          <w:numId w:val="1"/>
        </w:numPr>
        <w:tabs>
          <w:tab w:val="left" w:pos="0"/>
          <w:tab w:val="left" w:pos="142"/>
          <w:tab w:val="left" w:pos="284"/>
        </w:tabs>
        <w:spacing w:after="0" w:line="276" w:lineRule="auto"/>
        <w:ind w:left="0" w:firstLine="0"/>
        <w:contextualSpacing/>
        <w:jc w:val="both"/>
        <w:rPr>
          <w:rFonts w:ascii="Century Gothic" w:eastAsia="Calibri" w:hAnsi="Century Gothic" w:cs="Arial"/>
          <w:b/>
          <w:lang w:val="es-ES_tradnl"/>
        </w:rPr>
      </w:pPr>
      <w:r w:rsidRPr="00851774">
        <w:rPr>
          <w:rFonts w:ascii="Century Gothic" w:eastAsia="Calibri" w:hAnsi="Century Gothic" w:cs="Arial"/>
          <w:b/>
          <w:lang w:val="es-ES_tradnl"/>
        </w:rPr>
        <w:t xml:space="preserve">Problemas planteados </w:t>
      </w:r>
    </w:p>
    <w:p w14:paraId="523F8C37" w14:textId="77777777" w:rsidR="005B4D3E" w:rsidRPr="00851774" w:rsidRDefault="005B4D3E" w:rsidP="005B4D3E">
      <w:pPr>
        <w:tabs>
          <w:tab w:val="left" w:pos="0"/>
          <w:tab w:val="left" w:pos="142"/>
          <w:tab w:val="left" w:pos="284"/>
        </w:tabs>
        <w:spacing w:after="0" w:line="276" w:lineRule="auto"/>
        <w:contextualSpacing/>
        <w:jc w:val="both"/>
        <w:rPr>
          <w:rFonts w:ascii="Century Gothic" w:eastAsia="Calibri" w:hAnsi="Century Gothic" w:cs="Arial"/>
          <w:b/>
          <w:lang w:val="es-ES_tradnl"/>
        </w:rPr>
      </w:pPr>
    </w:p>
    <w:p w14:paraId="6AF2FA90" w14:textId="77777777" w:rsidR="005B4D3E" w:rsidRPr="00851774" w:rsidRDefault="005B4D3E" w:rsidP="005B4D3E">
      <w:pPr>
        <w:tabs>
          <w:tab w:val="left" w:pos="0"/>
          <w:tab w:val="left" w:pos="142"/>
          <w:tab w:val="left" w:pos="284"/>
        </w:tabs>
        <w:spacing w:after="0" w:line="276" w:lineRule="auto"/>
        <w:contextualSpacing/>
        <w:jc w:val="both"/>
        <w:rPr>
          <w:rFonts w:ascii="Century Gothic" w:hAnsi="Century Gothic" w:cs="Arial"/>
          <w:sz w:val="20"/>
          <w:szCs w:val="20"/>
          <w:lang w:val="es-ES_tradnl"/>
        </w:rPr>
      </w:pPr>
      <w:r w:rsidRPr="00851774">
        <w:rPr>
          <w:rFonts w:ascii="Century Gothic" w:eastAsia="Calibri" w:hAnsi="Century Gothic" w:cs="Arial"/>
          <w:bCs/>
          <w:lang w:val="es-ES_tradnl"/>
        </w:rPr>
        <w:t>Usted realiza las siguientes preguntas:</w:t>
      </w:r>
    </w:p>
    <w:p w14:paraId="06834553" w14:textId="77777777" w:rsidR="005B4D3E" w:rsidRPr="00851774" w:rsidRDefault="005B4D3E" w:rsidP="005B4D3E">
      <w:pPr>
        <w:spacing w:after="0" w:line="240" w:lineRule="auto"/>
        <w:jc w:val="both"/>
        <w:rPr>
          <w:rFonts w:ascii="Century Gothic" w:hAnsi="Century Gothic" w:cs="Arial"/>
          <w:lang w:val="es-ES_tradnl"/>
        </w:rPr>
      </w:pPr>
    </w:p>
    <w:p w14:paraId="750740EA" w14:textId="77777777" w:rsidR="005B4D3E" w:rsidRPr="00FE6FD8" w:rsidRDefault="005B4D3E" w:rsidP="005B4D3E">
      <w:pPr>
        <w:spacing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“1. ¿Se puede entregar subsidios de transporte escolar a la asociación de padres de familia, para que sea la misma asociación de padres de familia quiénes contraten el transporte escolar que requieren sus hijos para llegar a los colegios veredales?</w:t>
      </w:r>
    </w:p>
    <w:p w14:paraId="325240F4" w14:textId="77777777" w:rsidR="005B4D3E" w:rsidRPr="00FE6FD8" w:rsidRDefault="005B4D3E" w:rsidP="005B4D3E">
      <w:pPr>
        <w:spacing w:before="120"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 xml:space="preserve">2. ¿Se puede contratar con recursos de cajas menores, por ejemplo; mantenimiento de un aire acondicionado, limpieza de sillas, mantenimiento de computadores, etc. </w:t>
      </w:r>
      <w:proofErr w:type="gramStart"/>
      <w:r w:rsidRPr="00FE6FD8">
        <w:rPr>
          <w:rFonts w:ascii="Century Gothic" w:hAnsi="Century Gothic" w:cs="Arial"/>
          <w:sz w:val="20"/>
          <w:szCs w:val="20"/>
          <w:shd w:val="clear" w:color="auto" w:fill="FFFFFF"/>
        </w:rPr>
        <w:t xml:space="preserve">Evadiendo los procesos de contratación pública que </w:t>
      </w:r>
      <w:r w:rsidRPr="00FE6FD8">
        <w:rPr>
          <w:rFonts w:ascii="Century Gothic" w:hAnsi="Century Gothic" w:cs="Arial"/>
          <w:sz w:val="20"/>
          <w:szCs w:val="20"/>
          <w:shd w:val="clear" w:color="auto" w:fill="FFFFFF"/>
        </w:rPr>
        <w:lastRenderedPageBreak/>
        <w:t>se encuentren en la página, a través del establecimiento de esas cajas menores de una Entidad Pública?</w:t>
      </w:r>
      <w:proofErr w:type="gramEnd"/>
    </w:p>
    <w:p w14:paraId="18929281" w14:textId="77777777" w:rsidR="005B4D3E" w:rsidRPr="00FE6FD8" w:rsidRDefault="005B4D3E" w:rsidP="005B4D3E">
      <w:pPr>
        <w:spacing w:before="120"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 xml:space="preserve">3. ¿Un contratista de prestación de servicios, puede tener un sueldo más alto que un </w:t>
      </w:r>
      <w:proofErr w:type="gramStart"/>
      <w:r w:rsidRPr="00FE6FD8">
        <w:rPr>
          <w:rFonts w:ascii="Century Gothic" w:hAnsi="Century Gothic" w:cs="Arial"/>
          <w:sz w:val="20"/>
          <w:szCs w:val="20"/>
          <w:shd w:val="clear" w:color="auto" w:fill="FFFFFF"/>
        </w:rPr>
        <w:t>Alcalde</w:t>
      </w:r>
      <w:proofErr w:type="gramEnd"/>
      <w:r w:rsidRPr="00FE6FD8">
        <w:rPr>
          <w:rFonts w:ascii="Century Gothic" w:hAnsi="Century Gothic" w:cs="Arial"/>
          <w:sz w:val="20"/>
          <w:szCs w:val="20"/>
          <w:shd w:val="clear" w:color="auto" w:fill="FFFFFF"/>
        </w:rPr>
        <w:t xml:space="preserve"> de un municipio de quinta (05) y/o sexta (06) categoría?</w:t>
      </w:r>
    </w:p>
    <w:p w14:paraId="4A0B2BBD" w14:textId="77777777" w:rsidR="005B4D3E" w:rsidRPr="00FE6FD8" w:rsidRDefault="005B4D3E" w:rsidP="005B4D3E">
      <w:pPr>
        <w:spacing w:before="120"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4. En materia de cobro coactivo ¿le puedo entregar a un particular que realice el cobro coactivo y sustancie actos para que firme el tesorero, para darle a cambio el 16% a título de prima de éxito gracias a su gestión?</w:t>
      </w:r>
    </w:p>
    <w:p w14:paraId="2999D970" w14:textId="77777777" w:rsidR="005B4D3E" w:rsidRPr="00FE6FD8" w:rsidRDefault="005B4D3E" w:rsidP="005B4D3E">
      <w:pPr>
        <w:spacing w:before="120"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5. A la hora de contratar el PLAN DE DESARROLLO de un Municipio, ¿se puede realizar bajo la modalidad de contratación directa a través de un contrato de prestación de servicios profesionales?</w:t>
      </w:r>
    </w:p>
    <w:p w14:paraId="0E37671F" w14:textId="77777777" w:rsidR="005B4D3E" w:rsidRPr="00FE6FD8" w:rsidRDefault="005B4D3E" w:rsidP="005B4D3E">
      <w:pPr>
        <w:spacing w:before="120"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 xml:space="preserve">6. Cuando se presenta una hoja de vida como requisito habilitante en un proceso de Licitación Pública, no cumple en el traslado de la valoración ¿se puede cambiar por otra hoja de vida que sí cumpla, sin que genere una causal de rechazo y sin que se genera una mejora de propuesta?” </w:t>
      </w:r>
      <w:r w:rsidRPr="00790EAE">
        <w:rPr>
          <w:rFonts w:ascii="Century Gothic" w:hAnsi="Century Gothic" w:cs="Arial"/>
          <w:sz w:val="20"/>
          <w:szCs w:val="20"/>
          <w:shd w:val="clear" w:color="auto" w:fill="FFFFFF"/>
        </w:rPr>
        <w:t>[Sic]</w:t>
      </w:r>
      <w:r>
        <w:rPr>
          <w:rFonts w:ascii="Century Gothic" w:hAnsi="Century Gothic" w:cs="Arial"/>
          <w:sz w:val="20"/>
          <w:szCs w:val="20"/>
          <w:shd w:val="clear" w:color="auto" w:fill="FFFFFF"/>
        </w:rPr>
        <w:t>.</w:t>
      </w:r>
    </w:p>
    <w:p w14:paraId="7E7BC409" w14:textId="77777777" w:rsidR="005B4D3E" w:rsidRPr="00851774" w:rsidRDefault="005B4D3E" w:rsidP="005B4D3E">
      <w:pPr>
        <w:spacing w:after="0" w:line="240" w:lineRule="auto"/>
        <w:ind w:left="709" w:right="709"/>
        <w:jc w:val="both"/>
        <w:textAlignment w:val="baseline"/>
        <w:rPr>
          <w:rFonts w:ascii="Century Gothic" w:hAnsi="Century Gothic" w:cs="Arial"/>
          <w:sz w:val="21"/>
          <w:szCs w:val="21"/>
          <w:shd w:val="clear" w:color="auto" w:fill="FFFFFF"/>
        </w:rPr>
      </w:pPr>
    </w:p>
    <w:p w14:paraId="6D1C7AD0" w14:textId="77777777" w:rsidR="005B4D3E" w:rsidRPr="00851774" w:rsidRDefault="005B4D3E" w:rsidP="005B4D3E">
      <w:pPr>
        <w:numPr>
          <w:ilvl w:val="0"/>
          <w:numId w:val="1"/>
        </w:numPr>
        <w:tabs>
          <w:tab w:val="left" w:pos="0"/>
          <w:tab w:val="left" w:pos="284"/>
        </w:tabs>
        <w:spacing w:after="0" w:line="240" w:lineRule="auto"/>
        <w:ind w:left="0" w:firstLine="0"/>
        <w:contextualSpacing/>
        <w:jc w:val="both"/>
        <w:rPr>
          <w:rFonts w:ascii="Century Gothic" w:eastAsia="Calibri" w:hAnsi="Century Gothic" w:cs="Arial"/>
          <w:b/>
          <w:lang w:val="es-ES_tradnl"/>
        </w:rPr>
      </w:pPr>
      <w:r w:rsidRPr="00851774">
        <w:rPr>
          <w:rFonts w:ascii="Century Gothic" w:eastAsia="Calibri" w:hAnsi="Century Gothic" w:cs="Arial"/>
          <w:b/>
          <w:lang w:val="es-ES_tradnl"/>
        </w:rPr>
        <w:t>Consideraciones</w:t>
      </w:r>
    </w:p>
    <w:p w14:paraId="78A06CFA" w14:textId="77777777" w:rsidR="005B4D3E" w:rsidRPr="00851774" w:rsidRDefault="005B4D3E" w:rsidP="005B4D3E">
      <w:pPr>
        <w:spacing w:after="0" w:line="276" w:lineRule="auto"/>
        <w:jc w:val="both"/>
        <w:rPr>
          <w:rFonts w:ascii="Century Gothic" w:eastAsia="Calibri" w:hAnsi="Century Gothic" w:cs="Arial"/>
          <w:lang w:val="es-ES"/>
        </w:rPr>
      </w:pPr>
    </w:p>
    <w:p w14:paraId="3D81B6EB" w14:textId="77777777" w:rsidR="005B4D3E" w:rsidRPr="00851774" w:rsidRDefault="005B4D3E" w:rsidP="005B4D3E">
      <w:pPr>
        <w:spacing w:after="12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En ejercicio de las competencias establecidas en los artículos 3, numeral 5° y 11, numeral 8° del Decreto 4170 de 2011, la Agencia Nacional de Contratación Pública – Colombia Compra Eficiente resuelve consultas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34533834" w14:textId="77777777" w:rsidR="005B4D3E" w:rsidRPr="00851774" w:rsidRDefault="005B4D3E" w:rsidP="005B4D3E">
      <w:pPr>
        <w:spacing w:after="120" w:line="276" w:lineRule="auto"/>
        <w:ind w:firstLine="708"/>
        <w:jc w:val="both"/>
        <w:rPr>
          <w:rFonts w:ascii="Century Gothic" w:eastAsia="Calibri" w:hAnsi="Century Gothic" w:cs="Arial"/>
          <w:lang w:val="es-ES_tradnl"/>
        </w:rPr>
      </w:pPr>
      <w:r w:rsidRPr="00851774">
        <w:rPr>
          <w:rFonts w:ascii="Century Gothic" w:eastAsia="Calibri" w:hAnsi="Century Gothic" w:cs="Arial"/>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51774">
        <w:rPr>
          <w:rFonts w:ascii="Century Gothic" w:eastAsia="Calibri" w:hAnsi="Century Gothic" w:cs="Arial"/>
          <w:vertAlign w:val="superscript"/>
          <w:lang w:val="es-ES_tradnl"/>
        </w:rPr>
        <w:footnoteReference w:id="1"/>
      </w:r>
      <w:r w:rsidRPr="00851774">
        <w:rPr>
          <w:rFonts w:ascii="Century Gothic" w:eastAsia="Calibri" w:hAnsi="Century Gothic" w:cs="Arial"/>
          <w:vertAlign w:val="superscript"/>
          <w:lang w:val="es-ES_tradnl"/>
        </w:rPr>
        <w:t>.</w:t>
      </w:r>
      <w:r w:rsidRPr="00851774">
        <w:rPr>
          <w:rFonts w:ascii="Century Gothic" w:eastAsia="Calibri" w:hAnsi="Century Gothic" w:cs="Arial"/>
          <w:lang w:val="es-ES_tradnl"/>
        </w:rPr>
        <w:t xml:space="preserve"> Esta competencia de interpretación de normas generales, por definición, no puede extenderse a la resolución de controversias ni brindar asesorías sobre casos puntuales. </w:t>
      </w:r>
    </w:p>
    <w:p w14:paraId="779FECC4" w14:textId="77777777" w:rsidR="005B4D3E" w:rsidRPr="00851774" w:rsidRDefault="005B4D3E" w:rsidP="005B4D3E">
      <w:pPr>
        <w:spacing w:after="120" w:line="276" w:lineRule="auto"/>
        <w:ind w:firstLine="708"/>
        <w:jc w:val="both"/>
        <w:rPr>
          <w:rFonts w:ascii="Century Gothic" w:eastAsia="Calibri" w:hAnsi="Century Gothic" w:cs="Arial"/>
          <w:lang w:val="es-ES_tradnl"/>
        </w:rPr>
      </w:pPr>
      <w:r w:rsidRPr="00851774">
        <w:rPr>
          <w:rFonts w:ascii="Century Gothic" w:eastAsia="Calibri" w:hAnsi="Century Gothic" w:cs="Arial"/>
          <w:lang w:val="es-ES_tradnl"/>
        </w:rPr>
        <w:lastRenderedPageBreak/>
        <w:t xml:space="preserve">En atención a lo anterior, la Subdirección de Gestión Contractual de esta Agencia, dentro de los límites de sus atribuciones –esto es, haciendo abstracción del caso particular expuesto por la peticionaria– resolverá la consulta conforme a las normas generales en materia de contratación estatal, luego de analizar los siguientes temas: i) convenios de asociación regulados en el Decreto 092 de 2017: contratación con las asociaciones de padres de familia; </w:t>
      </w:r>
      <w:proofErr w:type="spellStart"/>
      <w:r w:rsidRPr="00851774">
        <w:rPr>
          <w:rFonts w:ascii="Century Gothic" w:eastAsia="Calibri" w:hAnsi="Century Gothic" w:cs="Arial"/>
          <w:lang w:val="es-ES_tradnl"/>
        </w:rPr>
        <w:t>ii</w:t>
      </w:r>
      <w:proofErr w:type="spellEnd"/>
      <w:r w:rsidRPr="00851774">
        <w:rPr>
          <w:rFonts w:ascii="Century Gothic" w:eastAsia="Calibri" w:hAnsi="Century Gothic" w:cs="Arial"/>
          <w:lang w:val="es-ES_tradnl"/>
        </w:rPr>
        <w:t xml:space="preserve">) </w:t>
      </w:r>
      <w:bookmarkStart w:id="4" w:name="_Hlk160097897"/>
      <w:r w:rsidRPr="00851774">
        <w:rPr>
          <w:rFonts w:ascii="Century Gothic" w:eastAsia="Calibri" w:hAnsi="Century Gothic" w:cs="Arial"/>
          <w:lang w:val="es-ES_tradnl"/>
        </w:rPr>
        <w:t>modalidades de selección de contratistas reguladas en el Estatuto General de Contratación Pública: particularidades de la modalidad de selección de mínima cuantía</w:t>
      </w:r>
      <w:bookmarkEnd w:id="4"/>
      <w:r w:rsidRPr="00851774">
        <w:rPr>
          <w:rFonts w:ascii="Century Gothic" w:eastAsia="Calibri" w:hAnsi="Century Gothic" w:cs="Arial"/>
          <w:lang w:val="es-ES_tradnl"/>
        </w:rPr>
        <w:t xml:space="preserve">; </w:t>
      </w:r>
      <w:proofErr w:type="spellStart"/>
      <w:r w:rsidRPr="00851774">
        <w:rPr>
          <w:rFonts w:ascii="Century Gothic" w:eastAsia="Calibri" w:hAnsi="Century Gothic" w:cs="Arial"/>
          <w:lang w:val="es-ES_tradnl"/>
        </w:rPr>
        <w:t>iii</w:t>
      </w:r>
      <w:proofErr w:type="spellEnd"/>
      <w:r w:rsidRPr="00851774">
        <w:rPr>
          <w:rFonts w:ascii="Century Gothic" w:eastAsia="Calibri" w:hAnsi="Century Gothic" w:cs="Arial"/>
          <w:lang w:val="es-ES_tradnl"/>
        </w:rPr>
        <w:t>) generalidades del contrato de prestación de servicios</w:t>
      </w:r>
      <w:r>
        <w:rPr>
          <w:rFonts w:ascii="Century Gothic" w:eastAsia="Calibri" w:hAnsi="Century Gothic" w:cs="Arial"/>
          <w:lang w:val="es-ES_tradnl"/>
        </w:rPr>
        <w:t xml:space="preserve">; </w:t>
      </w:r>
      <w:proofErr w:type="spellStart"/>
      <w:r>
        <w:rPr>
          <w:rFonts w:ascii="Century Gothic" w:eastAsia="Calibri" w:hAnsi="Century Gothic" w:cs="Arial"/>
          <w:lang w:val="es-ES_tradnl"/>
        </w:rPr>
        <w:t>iv</w:t>
      </w:r>
      <w:proofErr w:type="spellEnd"/>
      <w:r>
        <w:rPr>
          <w:rFonts w:ascii="Century Gothic" w:eastAsia="Calibri" w:hAnsi="Century Gothic" w:cs="Arial"/>
          <w:lang w:val="es-ES_tradnl"/>
        </w:rPr>
        <w:t>)</w:t>
      </w:r>
      <w:r w:rsidRPr="00851774">
        <w:rPr>
          <w:rFonts w:ascii="Century Gothic" w:eastAsia="Calibri" w:hAnsi="Century Gothic" w:cs="Arial"/>
          <w:lang w:val="es-ES_tradnl"/>
        </w:rPr>
        <w:t xml:space="preserve"> distinción del contrato de consultoría; y v) reglas de subsanabilidad de las ofertas en los procesos regulados por el Estatuto General de Contratación de la Administración Pública.</w:t>
      </w:r>
    </w:p>
    <w:p w14:paraId="4D4B1F27" w14:textId="77777777" w:rsidR="005B4D3E" w:rsidRPr="00851774" w:rsidRDefault="005B4D3E" w:rsidP="005B4D3E">
      <w:pPr>
        <w:spacing w:after="120" w:line="276" w:lineRule="auto"/>
        <w:ind w:firstLine="708"/>
        <w:jc w:val="both"/>
        <w:rPr>
          <w:rFonts w:ascii="Century Gothic" w:eastAsia="Calibri" w:hAnsi="Century Gothic" w:cs="Arial"/>
          <w:lang w:val="es-ES_tradnl"/>
        </w:rPr>
      </w:pPr>
      <w:r w:rsidRPr="00851774">
        <w:rPr>
          <w:rFonts w:ascii="Century Gothic" w:eastAsia="Calibri" w:hAnsi="Century Gothic" w:cs="Arial"/>
          <w:lang w:val="es-ES_tradnl"/>
        </w:rPr>
        <w:t>La Agencia Nacional de Contratación Pública – Colombia Compra Eficiente, se ha pronunciado en diferentes conceptos sobre la contratación con entidades privadas sin ánimo de lucro y de reconocida idoneidad –desde ahora ESAL–, con fundamento en el Decreto 092 de 2017, entre otros, en los conceptos, C- 537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y C-853 del 9 de diciembre de 2022, C-026 de 16 de marzo de 2023, C-037 de 05 de abril de 2023, C-203 de 21 de junio de 2023, C-003 del 02 de febrero de 2024.</w:t>
      </w:r>
    </w:p>
    <w:p w14:paraId="55F6F010" w14:textId="77777777" w:rsidR="005B4D3E" w:rsidRPr="00851774" w:rsidRDefault="005B4D3E" w:rsidP="005B4D3E">
      <w:pPr>
        <w:spacing w:after="120" w:line="276" w:lineRule="auto"/>
        <w:ind w:firstLine="708"/>
        <w:jc w:val="both"/>
        <w:rPr>
          <w:rFonts w:ascii="Century Gothic" w:eastAsia="Calibri" w:hAnsi="Century Gothic" w:cs="Arial"/>
          <w:lang w:val="es-ES_tradnl"/>
        </w:rPr>
      </w:pPr>
      <w:r w:rsidRPr="00851774">
        <w:rPr>
          <w:rFonts w:ascii="Century Gothic" w:eastAsia="Calibri" w:hAnsi="Century Gothic" w:cs="Arial"/>
          <w:lang w:val="es-ES_tradnl"/>
        </w:rPr>
        <w:t>Así mismo, esta Agencia en los conceptos C-562 del 25 de octubre de 2021, C-625 del 14 de septiembre de 2022, C-927 del 29 de diciembre de 2022, C-393 del 27 de septiembre de 2023, entre otros, estudió la modalidad de selección de mínima cuantía su regulación y las características del procedimiento. De igual forma, sobre las características del contrato de prestación de servicios se pronunció, particularmente en los conceptos C- 936 de 19 de diciembre de 2022, C- 057 de 29 de marzo de 2023, C-102 de 5 de mayo de 2023, C-135 de 25 de mayo de 2023, C-178 de 8 de junio de 2023, C-192 de 13 de junio de 2023, C-334 de 17 de agosto de 2023, C-420 de 10 de octubre de 2023, C-443 de 21 de octubre de 2023, C-472 del 11 de diciembre de 2023. Igualmente, en los conceptos, C- 707 del 17 de enero de 2022, C-052 del 3 de marzo de 2022, C-933 del 9 de febrero de 2023, C-266 del 12 de julio de 2023.</w:t>
      </w:r>
    </w:p>
    <w:p w14:paraId="7D6467EE" w14:textId="77777777" w:rsidR="005B4D3E" w:rsidRPr="00851774" w:rsidRDefault="005B4D3E" w:rsidP="005B4D3E">
      <w:pPr>
        <w:spacing w:after="0" w:line="276" w:lineRule="auto"/>
        <w:ind w:firstLine="708"/>
        <w:jc w:val="both"/>
        <w:rPr>
          <w:rFonts w:ascii="Century Gothic" w:eastAsia="Calibri" w:hAnsi="Century Gothic" w:cs="Arial"/>
          <w:lang w:val="es-ES_tradnl"/>
        </w:rPr>
      </w:pPr>
      <w:r w:rsidRPr="00851774">
        <w:rPr>
          <w:rFonts w:ascii="Century Gothic" w:eastAsia="Calibri" w:hAnsi="Century Gothic" w:cs="Arial"/>
          <w:lang w:val="es-ES_tradnl"/>
        </w:rPr>
        <w:lastRenderedPageBreak/>
        <w:t>Adicionalmente, Colombia Compra Eficiente estudió las reglas de subsanabilidad de las ofertas, entre otros, en los conceptos C–802 del 1 de febrero de 2021, C–010 del 16 de febrero de 2021, C–217 del 14 de mayo de 2021, C–250 del 2 de junio de 2021, C-877 del 22 de diciembre de 2022, C-058 del 10 de mayo de 2023, C-125 del 11 de mayo de 2023 y C-265 del 26 de julio de 2023, C-409 del 20 de noviembre de 2023</w:t>
      </w:r>
      <w:r w:rsidRPr="00851774">
        <w:rPr>
          <w:rFonts w:ascii="Century Gothic" w:eastAsia="Calibri" w:hAnsi="Century Gothic" w:cs="Arial"/>
          <w:vertAlign w:val="superscript"/>
          <w:lang w:val="es-ES_tradnl"/>
        </w:rPr>
        <w:footnoteReference w:id="2"/>
      </w:r>
      <w:r w:rsidRPr="00851774">
        <w:rPr>
          <w:rFonts w:ascii="Century Gothic" w:eastAsia="Calibri" w:hAnsi="Century Gothic" w:cs="Arial"/>
          <w:lang w:val="es-ES_tradnl"/>
        </w:rPr>
        <w:t>.Las tesis propuestas en tales conceptos se reiteran a continuación y se complementan en lo pertinente.</w:t>
      </w:r>
    </w:p>
    <w:p w14:paraId="0FF418AA" w14:textId="77777777" w:rsidR="005B4D3E" w:rsidRPr="00851774" w:rsidRDefault="005B4D3E" w:rsidP="005B4D3E">
      <w:pPr>
        <w:widowControl w:val="0"/>
        <w:autoSpaceDE w:val="0"/>
        <w:autoSpaceDN w:val="0"/>
        <w:spacing w:after="0" w:line="276" w:lineRule="auto"/>
        <w:ind w:firstLine="708"/>
        <w:jc w:val="both"/>
        <w:rPr>
          <w:rFonts w:ascii="Century Gothic" w:hAnsi="Century Gothic" w:cs="Arial"/>
          <w:b/>
          <w:lang w:val="es-MX"/>
        </w:rPr>
      </w:pPr>
    </w:p>
    <w:p w14:paraId="2262E755" w14:textId="77777777" w:rsidR="005B4D3E" w:rsidRPr="00851774" w:rsidRDefault="005B4D3E" w:rsidP="005B4D3E">
      <w:pPr>
        <w:spacing w:after="0" w:line="276" w:lineRule="auto"/>
        <w:contextualSpacing/>
        <w:jc w:val="both"/>
        <w:rPr>
          <w:rFonts w:ascii="Century Gothic" w:eastAsia="Arial" w:hAnsi="Century Gothic" w:cs="Arial"/>
          <w:b/>
          <w:bCs/>
          <w:lang w:val="es-ES_tradnl" w:eastAsia="es-ES_tradnl"/>
        </w:rPr>
      </w:pPr>
      <w:bookmarkStart w:id="5" w:name="_Hlk73970609"/>
      <w:r w:rsidRPr="00851774">
        <w:rPr>
          <w:rFonts w:ascii="Century Gothic" w:eastAsia="Arial" w:hAnsi="Century Gothic" w:cs="Arial"/>
          <w:b/>
          <w:bCs/>
          <w:lang w:val="es-ES_tradnl" w:eastAsia="es-ES_tradnl"/>
        </w:rPr>
        <w:t>2.1. Convenios de asociación regulados en el Decreto 092 de 2017: contratación con las asociaciones de padres de familia</w:t>
      </w:r>
    </w:p>
    <w:p w14:paraId="47517CD9" w14:textId="77777777" w:rsidR="005B4D3E" w:rsidRPr="00851774" w:rsidRDefault="005B4D3E" w:rsidP="005B4D3E">
      <w:pPr>
        <w:spacing w:after="0" w:line="276" w:lineRule="auto"/>
        <w:contextualSpacing/>
        <w:jc w:val="both"/>
        <w:rPr>
          <w:rFonts w:ascii="Century Gothic" w:eastAsia="Arial" w:hAnsi="Century Gothic" w:cs="Arial"/>
          <w:b/>
          <w:bCs/>
          <w:lang w:val="es-ES_tradnl" w:eastAsia="es-ES_tradnl"/>
        </w:rPr>
      </w:pPr>
    </w:p>
    <w:p w14:paraId="1C2F69ED" w14:textId="77777777" w:rsidR="005B4D3E" w:rsidRPr="00851774" w:rsidRDefault="005B4D3E" w:rsidP="005B4D3E">
      <w:pPr>
        <w:spacing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en adelante ESAL, con el fin de impulsar programas y actividades de interés público acordes con el Plan Nacional y los planes seccionales de desarrollo</w:t>
      </w:r>
      <w:r w:rsidRPr="00851774">
        <w:rPr>
          <w:rFonts w:ascii="Century Gothic" w:eastAsia="Calibri" w:hAnsi="Century Gothic" w:cs="Arial"/>
          <w:lang w:val="es-ES_tradnl"/>
        </w:rPr>
        <w:footnoteReference w:id="3"/>
      </w:r>
      <w:r w:rsidRPr="00851774">
        <w:rPr>
          <w:rFonts w:ascii="Century Gothic" w:eastAsia="Calibri" w:hAnsi="Century Gothic" w:cs="Arial"/>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851774">
        <w:rPr>
          <w:rFonts w:ascii="Century Gothic" w:eastAsia="Calibri" w:hAnsi="Century Gothic" w:cs="Arial"/>
          <w:lang w:val="es-ES_tradnl"/>
        </w:rPr>
        <w:footnoteReference w:id="4"/>
      </w:r>
      <w:r w:rsidRPr="00851774">
        <w:rPr>
          <w:rFonts w:ascii="Century Gothic" w:eastAsia="Calibri" w:hAnsi="Century Gothic" w:cs="Arial"/>
          <w:lang w:val="es-ES_tradnl"/>
        </w:rPr>
        <w:t>.</w:t>
      </w:r>
    </w:p>
    <w:p w14:paraId="61FF5B73" w14:textId="77777777" w:rsidR="005B4D3E" w:rsidRPr="00851774" w:rsidRDefault="005B4D3E" w:rsidP="005B4D3E">
      <w:pPr>
        <w:spacing w:after="12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t xml:space="preserve">El Decreto 092 de 2017 dispone las reglas para las contrataciones que realicen las Entidades Estatales con las ESAL. El Decreto regula dos (2) eventos: i) los contratos del artículo 355 de la Constitución Política con el fin de impulsar </w:t>
      </w:r>
      <w:r w:rsidRPr="00851774">
        <w:rPr>
          <w:rFonts w:ascii="Century Gothic" w:eastAsia="Calibri" w:hAnsi="Century Gothic" w:cs="Arial"/>
          <w:lang w:val="es-ES_tradnl"/>
        </w:rPr>
        <w:lastRenderedPageBreak/>
        <w:t xml:space="preserve">programas y actividades de interés público de acuerdo con el Plan Nacional o los planes seccionales de desarrollo; y </w:t>
      </w:r>
      <w:proofErr w:type="spellStart"/>
      <w:r w:rsidRPr="00851774">
        <w:rPr>
          <w:rFonts w:ascii="Century Gothic" w:eastAsia="Calibri" w:hAnsi="Century Gothic" w:cs="Arial"/>
          <w:lang w:val="es-ES_tradnl"/>
        </w:rPr>
        <w:t>ii</w:t>
      </w:r>
      <w:proofErr w:type="spellEnd"/>
      <w:r w:rsidRPr="00851774">
        <w:rPr>
          <w:rFonts w:ascii="Century Gothic" w:eastAsia="Calibri" w:hAnsi="Century Gothic" w:cs="Arial"/>
          <w:lang w:val="es-ES_tradnl"/>
        </w:rPr>
        <w:t>) los convenios de asociación, para el desarrollo conjunto de actividades relacionadas con las funciones de las Entidades Estatales, en desarrollo del artículo 96 de la Ley 489 de 1998.</w:t>
      </w:r>
    </w:p>
    <w:p w14:paraId="1C642704" w14:textId="77777777" w:rsidR="005B4D3E" w:rsidRPr="00851774" w:rsidRDefault="005B4D3E" w:rsidP="005B4D3E">
      <w:pPr>
        <w:spacing w:after="12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t xml:space="preserve">Los contratos del artículo 355 de la Constitución Política, tiene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ESAL contratista. En particular, debe verificar el cumplimiento de los siguientes requisitos: i) que el objeto del contrato corresponda a programas y actividades de interés público acordes con el Plan Nacional o Seccional de Desarrollo; y </w:t>
      </w:r>
      <w:proofErr w:type="spellStart"/>
      <w:r w:rsidRPr="00851774">
        <w:rPr>
          <w:rFonts w:ascii="Century Gothic" w:eastAsia="Calibri" w:hAnsi="Century Gothic" w:cs="Arial"/>
          <w:lang w:val="es-ES_tradnl"/>
        </w:rPr>
        <w:t>ii</w:t>
      </w:r>
      <w:proofErr w:type="spellEnd"/>
      <w:r w:rsidRPr="00851774">
        <w:rPr>
          <w:rFonts w:ascii="Century Gothic" w:eastAsia="Calibri" w:hAnsi="Century Gothic" w:cs="Arial"/>
          <w:lang w:val="es-ES_tradnl"/>
        </w:rPr>
        <w:t>) que no haya una contraprestación directa a favor de la Entidad Estatal, es decir, que el programa o actividad a desarrollar esté dirigida al beneficio de la población en general, ya que cuando se adquieren bienes y servicios o se ejecutan obras en una relación conmutativa, las normas aplicables son las del Estatuto General de Contratación de la Administración Pública, en adelante EGCAP.</w:t>
      </w:r>
    </w:p>
    <w:p w14:paraId="49398EEE" w14:textId="77777777" w:rsidR="005B4D3E" w:rsidRPr="00851774" w:rsidRDefault="005B4D3E" w:rsidP="005B4D3E">
      <w:pPr>
        <w:spacing w:before="120" w:after="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t>De otro lado, los convenios de asociación, los cuales se relacionan con el objeto bajo consulta, “[t]</w:t>
      </w:r>
      <w:proofErr w:type="spellStart"/>
      <w:r w:rsidRPr="00851774">
        <w:rPr>
          <w:rFonts w:ascii="Century Gothic" w:eastAsia="Calibri" w:hAnsi="Century Gothic" w:cs="Arial"/>
          <w:lang w:val="es-ES_tradnl"/>
        </w:rPr>
        <w:t>ienen</w:t>
      </w:r>
      <w:proofErr w:type="spellEnd"/>
      <w:r w:rsidRPr="00851774">
        <w:rPr>
          <w:rFonts w:ascii="Century Gothic" w:eastAsia="Calibri" w:hAnsi="Century Gothic" w:cs="Arial"/>
          <w:lang w:val="es-ES_tradnl"/>
        </w:rPr>
        <w:t xml:space="preserve"> como finalidad que la entidad estatal, cualquiera que sea su naturaleza y ordenamiento administrativo, se asocien con personas jurídicas particulares para el desarrollo conjunto de actividades relacionadas con los cometidos y funciones asignadas a aquellas conforme a la Constitución y a la Ley”</w:t>
      </w:r>
      <w:r w:rsidRPr="00FE6FD8">
        <w:rPr>
          <w:rFonts w:ascii="Century Gothic" w:eastAsia="Calibri" w:hAnsi="Century Gothic" w:cs="Arial"/>
          <w:vertAlign w:val="superscript"/>
          <w:lang w:val="es-ES_tradnl"/>
        </w:rPr>
        <w:footnoteReference w:id="5"/>
      </w:r>
      <w:r w:rsidRPr="00851774">
        <w:rPr>
          <w:rFonts w:ascii="Century Gothic" w:eastAsia="Calibri" w:hAnsi="Century Gothic" w:cs="Arial"/>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toral del convenio</w:t>
      </w:r>
      <w:r w:rsidRPr="00851774">
        <w:rPr>
          <w:rFonts w:ascii="Century Gothic" w:eastAsia="Calibri" w:hAnsi="Century Gothic" w:cs="Arial"/>
          <w:vertAlign w:val="superscript"/>
          <w:lang w:val="es-ES_tradnl"/>
        </w:rPr>
        <w:footnoteReference w:id="6"/>
      </w:r>
      <w:r w:rsidRPr="00851774">
        <w:rPr>
          <w:rFonts w:ascii="Century Gothic" w:eastAsia="Calibri" w:hAnsi="Century Gothic" w:cs="Arial"/>
          <w:vertAlign w:val="superscript"/>
          <w:lang w:val="es-ES_tradnl"/>
        </w:rPr>
        <w:t>.</w:t>
      </w:r>
      <w:r w:rsidRPr="00851774">
        <w:rPr>
          <w:rFonts w:ascii="Century Gothic" w:eastAsia="Calibri" w:hAnsi="Century Gothic" w:cs="Arial"/>
          <w:lang w:val="es-ES_tradnl"/>
        </w:rPr>
        <w:t xml:space="preserve"> El convenio de asociación no es conmutativo y, por tanto, la entidad </w:t>
      </w:r>
      <w:r w:rsidRPr="00851774">
        <w:rPr>
          <w:rFonts w:ascii="Century Gothic" w:eastAsia="Calibri" w:hAnsi="Century Gothic" w:cs="Arial"/>
          <w:lang w:val="es-ES_tradnl"/>
        </w:rPr>
        <w:lastRenderedPageBreak/>
        <w:t>no instruye al contratista para desarrollar los programas o actividades previstas, sino que se asocia con él para el cumplimiento de objetivos comunes</w:t>
      </w:r>
      <w:r w:rsidRPr="00851774">
        <w:rPr>
          <w:rFonts w:ascii="Century Gothic" w:eastAsia="Calibri" w:hAnsi="Century Gothic" w:cs="Arial"/>
          <w:lang w:val="es-ES_tradnl"/>
        </w:rPr>
        <w:footnoteReference w:id="7"/>
      </w:r>
      <w:r w:rsidRPr="00851774">
        <w:rPr>
          <w:rFonts w:ascii="Century Gothic" w:eastAsia="Calibri" w:hAnsi="Century Gothic" w:cs="Arial"/>
          <w:lang w:val="es-ES_tradnl"/>
        </w:rPr>
        <w:t>.</w:t>
      </w:r>
    </w:p>
    <w:p w14:paraId="402D2F6E" w14:textId="77777777" w:rsidR="005B4D3E" w:rsidRPr="00851774" w:rsidRDefault="005B4D3E" w:rsidP="005B4D3E">
      <w:pPr>
        <w:spacing w:before="120" w:after="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t>La normativa vigente no impide que varias entidades suscriban conjuntamente el convenio de asociación y tampoco que dos o más ESAL puedan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(30%)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sí, la entidad deberá seleccionar objetivamente con cual asociarse.</w:t>
      </w:r>
    </w:p>
    <w:p w14:paraId="2081692D" w14:textId="77777777" w:rsidR="005B4D3E" w:rsidRPr="00851774" w:rsidRDefault="005B4D3E" w:rsidP="005B4D3E">
      <w:pPr>
        <w:spacing w:after="0" w:line="276" w:lineRule="auto"/>
        <w:ind w:firstLine="708"/>
        <w:jc w:val="both"/>
        <w:rPr>
          <w:rFonts w:ascii="Century Gothic" w:eastAsia="Calibri" w:hAnsi="Century Gothic" w:cs="Arial"/>
          <w:lang w:val="es-ES_tradnl"/>
        </w:rPr>
      </w:pPr>
      <w:r w:rsidRPr="00851774">
        <w:rPr>
          <w:rFonts w:ascii="Century Gothic" w:eastAsia="Calibri" w:hAnsi="Century Gothic" w:cs="Arial"/>
          <w:lang w:val="es-ES_tradnl"/>
        </w:rPr>
        <w:t xml:space="preserve">La noción “seleccionar de forma objetiva”, contenida en la disposición sub examine no puede ser entendida como una remisión total a la Leyes 80 de 1993 y 1150 de 2007. A lo que se refiere la norma es que la Entidad Estatal debe diseñar herramientas que permitan una comparación objetiva de las ESAL para seleccionar objetivamente a aquella que tenga las mejores condiciones para alcanzar el resultado esperado con el proyecto de cooperación. Por ello, la entidad puede tomar la decisión de acudir a los procesos de selección de contratistas que </w:t>
      </w:r>
      <w:r w:rsidRPr="00851774">
        <w:rPr>
          <w:rFonts w:ascii="Century Gothic" w:eastAsia="Calibri" w:hAnsi="Century Gothic" w:cs="Arial"/>
          <w:lang w:val="es-ES_tradnl"/>
        </w:rPr>
        <w:lastRenderedPageBreak/>
        <w:t>establece el EGCAP o, incluso, al trámite que regula el inciso 2 del artículo 2 del Decreto 092 de 2017.</w:t>
      </w:r>
    </w:p>
    <w:p w14:paraId="1FACB180" w14:textId="77777777" w:rsidR="005B4D3E" w:rsidRPr="00851774" w:rsidRDefault="005B4D3E" w:rsidP="005B4D3E">
      <w:pPr>
        <w:spacing w:before="120" w:after="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t xml:space="preserve">Ahora bien, teniendo en cuenta su pregunta número 1, es decir, </w:t>
      </w:r>
      <w:bookmarkStart w:id="7" w:name="_Hlk160179086"/>
      <w:r w:rsidRPr="00851774">
        <w:rPr>
          <w:rFonts w:ascii="Century Gothic" w:eastAsia="Calibri" w:hAnsi="Century Gothic" w:cs="Arial"/>
          <w:lang w:val="es-ES_tradnl"/>
        </w:rPr>
        <w:t xml:space="preserve">en lo referente a la “contratación con las asociaciones de padres de familia”, resulta importante aclarar que esta figura se encuentra regulada por el artículo 9 del Decreto 1286 de 2005, el cual la describe como </w:t>
      </w:r>
      <w:r w:rsidRPr="00FE6FD8">
        <w:rPr>
          <w:rFonts w:ascii="Century Gothic" w:eastAsia="Calibri" w:hAnsi="Century Gothic" w:cs="Arial"/>
          <w:i/>
          <w:iCs/>
          <w:lang w:val="es-ES_tradnl"/>
        </w:rPr>
        <w:t>“[…] una entidad de jurídica de derecho privado, sin ánimo de lucro, que se constituye por la decisión libre y voluntaria de los padres de familia de los estudiantes matriculados en un establecimiento educativo”</w:t>
      </w:r>
      <w:r w:rsidRPr="00851774">
        <w:rPr>
          <w:rFonts w:ascii="Century Gothic" w:eastAsia="Calibri" w:hAnsi="Century Gothic" w:cs="Arial"/>
          <w:lang w:val="es-ES_tradnl"/>
        </w:rPr>
        <w:t xml:space="preserve"> [Énfasis fuera de texto]. De acuerdo con lo anterior, al considerarse las asociaciones de padres de familia como ESAL, las Entidades Estatales se encuentran facultadas para suscribir con estas, bajo el régimen señalado en el Decreto 092 de 2017, convenios de asociación para el desarrollo conjunto de actividades relacionadas con los cometidos y funciones asignadas a aquellas conforme a la Constitución y a la ley.</w:t>
      </w:r>
    </w:p>
    <w:p w14:paraId="3F224049" w14:textId="77777777" w:rsidR="005B4D3E" w:rsidRPr="00851774" w:rsidRDefault="005B4D3E" w:rsidP="005B4D3E">
      <w:pPr>
        <w:spacing w:before="120" w:after="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t xml:space="preserve">Sin embargo, para ello, esto es, suscribir convenios de asociación con las asociaciones de padres de familia, las Entidades Estatales deberán tener en cuenta lo siguiente: i) la asociación de padres de familia deberá encontrarse legalmente constituida, según las reglas dispuestas en el inciso segundo del artículo 9 del Decreto 1286 de 2005; </w:t>
      </w:r>
      <w:proofErr w:type="spellStart"/>
      <w:r w:rsidRPr="00851774">
        <w:rPr>
          <w:rFonts w:ascii="Century Gothic" w:eastAsia="Calibri" w:hAnsi="Century Gothic" w:cs="Arial"/>
          <w:lang w:val="es-ES_tradnl"/>
        </w:rPr>
        <w:t>ii</w:t>
      </w:r>
      <w:proofErr w:type="spellEnd"/>
      <w:r w:rsidRPr="00851774">
        <w:rPr>
          <w:rFonts w:ascii="Century Gothic" w:eastAsia="Calibri" w:hAnsi="Century Gothic" w:cs="Arial"/>
          <w:lang w:val="es-ES_tradnl"/>
        </w:rPr>
        <w:t xml:space="preserve">) el objeto contractual del convenio de asociación, deberá guardar afinidad con las funciones y cometidos de la entidad pública, según la Constitución y la ley; </w:t>
      </w:r>
      <w:proofErr w:type="spellStart"/>
      <w:r w:rsidRPr="00851774">
        <w:rPr>
          <w:rFonts w:ascii="Century Gothic" w:eastAsia="Calibri" w:hAnsi="Century Gothic" w:cs="Arial"/>
          <w:lang w:val="es-ES_tradnl"/>
        </w:rPr>
        <w:t>iii</w:t>
      </w:r>
      <w:proofErr w:type="spellEnd"/>
      <w:r w:rsidRPr="00851774">
        <w:rPr>
          <w:rFonts w:ascii="Century Gothic" w:eastAsia="Calibri" w:hAnsi="Century Gothic" w:cs="Arial"/>
          <w:lang w:val="es-ES_tradnl"/>
        </w:rPr>
        <w:t>) deberán observarse las prohibiciones dispuestas en el artículo 12 ibidem para las asociaciones de padres de familia, esto, con el fin de que el desarrollo de las actividades objeto del convenio, no excedan los límites señalados en tal disposición, puesto que, particularmente en su literal c), establece que estas asociaciones tienen prohibido “[a]sumir las competencias y funciones propias de las autoridades y demás organismos colectivos del establecimiento educativo, o aquellas propias de los organismos y entidades de fiscalización, evaluación, inspección y vigilancia del sector educativo”.</w:t>
      </w:r>
      <w:bookmarkEnd w:id="7"/>
      <w:r>
        <w:rPr>
          <w:rFonts w:ascii="Century Gothic" w:eastAsia="Calibri" w:hAnsi="Century Gothic" w:cs="Arial"/>
          <w:lang w:val="es-ES_tradnl"/>
        </w:rPr>
        <w:t xml:space="preserve"> </w:t>
      </w:r>
      <w:r w:rsidRPr="00851774">
        <w:rPr>
          <w:rFonts w:ascii="Century Gothic" w:eastAsia="Calibri" w:hAnsi="Century Gothic" w:cs="Arial"/>
          <w:lang w:val="es-ES_tradnl"/>
        </w:rPr>
        <w:t xml:space="preserve">En ese contexto, las entidades públicas que pretendan suscribir convenios de asociación con las asociaciones de padres de familia, también considerados como ESAL, deberán tener en cuenta lo indicado en el párrafo anterior y lo dispuesto en el artículo 5 del Decreto 092 de 2017. </w:t>
      </w:r>
    </w:p>
    <w:p w14:paraId="2009009F" w14:textId="77777777" w:rsidR="005B4D3E" w:rsidRPr="00851774" w:rsidRDefault="005B4D3E" w:rsidP="005B4D3E">
      <w:pPr>
        <w:spacing w:after="0" w:line="276" w:lineRule="auto"/>
        <w:jc w:val="both"/>
        <w:rPr>
          <w:rFonts w:ascii="Century Gothic" w:eastAsia="Arial" w:hAnsi="Century Gothic" w:cs="Arial"/>
        </w:rPr>
      </w:pPr>
    </w:p>
    <w:p w14:paraId="14698DE9" w14:textId="77777777" w:rsidR="005B4D3E" w:rsidRPr="00851774" w:rsidRDefault="005B4D3E" w:rsidP="005B4D3E">
      <w:pPr>
        <w:spacing w:after="0" w:line="276" w:lineRule="auto"/>
        <w:jc w:val="both"/>
        <w:rPr>
          <w:rFonts w:ascii="Century Gothic" w:eastAsia="Arial" w:hAnsi="Century Gothic" w:cs="Arial"/>
          <w:b/>
          <w:bCs/>
        </w:rPr>
      </w:pPr>
      <w:r w:rsidRPr="00851774">
        <w:rPr>
          <w:rFonts w:ascii="Century Gothic" w:eastAsia="Arial" w:hAnsi="Century Gothic" w:cs="Arial"/>
          <w:b/>
          <w:bCs/>
        </w:rPr>
        <w:t>2.2. Modalidades de selección de contratistas reguladas en el Estatuto General de Contratación Pública: particularidades de la modalidad de selección de mínima cuantía. Reiteración de línea</w:t>
      </w:r>
    </w:p>
    <w:p w14:paraId="3075D553" w14:textId="77777777" w:rsidR="005B4D3E" w:rsidRPr="00851774" w:rsidRDefault="005B4D3E" w:rsidP="005B4D3E">
      <w:pPr>
        <w:spacing w:after="0" w:line="276" w:lineRule="auto"/>
        <w:jc w:val="both"/>
        <w:rPr>
          <w:rFonts w:ascii="Century Gothic" w:eastAsia="Arial" w:hAnsi="Century Gothic" w:cs="Arial"/>
        </w:rPr>
      </w:pPr>
    </w:p>
    <w:p w14:paraId="3385950A" w14:textId="77777777" w:rsidR="005B4D3E" w:rsidRPr="00851774" w:rsidRDefault="005B4D3E" w:rsidP="005B4D3E">
      <w:pPr>
        <w:spacing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La contratación pública comprende, entre otros aspectos, la toma de decisiones del gasto que las entidades realizan como ejecución de los recursos públicos asignados para adquirir bienes, obras o servicios que satisfagan sus necesidades, y en esa medida cumplir el interés general, que es la finalidad que la ley les confía a través de las funciones que se les encomiendan. Para las adquisiciones, las entidades estructuran sus procedimientos de contratación previamente definidos por la ley, consultando las normas que los rigen para determinar la forma que el ordenamiento prevé para adelantarlos. En esta medida, conforme al artículo 29 de la Constitución Política, los procesos de selección son una manifestación de la legalidad de las formas de cada proceso en sede administrativa</w:t>
      </w:r>
      <w:r w:rsidRPr="00851774">
        <w:rPr>
          <w:rFonts w:ascii="Century Gothic" w:eastAsia="Calibri" w:hAnsi="Century Gothic" w:cs="Arial"/>
          <w:vertAlign w:val="superscript"/>
          <w:lang w:val="es-ES_tradnl"/>
        </w:rPr>
        <w:footnoteReference w:id="8"/>
      </w:r>
      <w:r w:rsidRPr="00851774">
        <w:rPr>
          <w:rFonts w:ascii="Century Gothic" w:eastAsia="Calibri" w:hAnsi="Century Gothic" w:cs="Arial"/>
          <w:vertAlign w:val="superscript"/>
          <w:lang w:val="es-ES_tradnl"/>
        </w:rPr>
        <w:t>.</w:t>
      </w:r>
    </w:p>
    <w:p w14:paraId="26B369D7" w14:textId="77777777" w:rsidR="005B4D3E" w:rsidRPr="00851774" w:rsidRDefault="005B4D3E" w:rsidP="005B4D3E">
      <w:pPr>
        <w:spacing w:before="120" w:after="0" w:line="276" w:lineRule="auto"/>
        <w:jc w:val="both"/>
        <w:rPr>
          <w:rFonts w:ascii="Century Gothic" w:eastAsia="Arial" w:hAnsi="Century Gothic" w:cs="Arial"/>
        </w:rPr>
      </w:pPr>
      <w:r w:rsidRPr="00851774">
        <w:rPr>
          <w:rFonts w:ascii="Century Gothic" w:eastAsia="Arial" w:hAnsi="Century Gothic" w:cs="Arial"/>
        </w:rPr>
        <w:tab/>
        <w:t xml:space="preserve">Inicialmente, la Ley 80 de 1993 estableció tres (3) procedimientos de selección, esto es: i) licitación o concurso público, </w:t>
      </w:r>
      <w:proofErr w:type="spellStart"/>
      <w:r w:rsidRPr="00851774">
        <w:rPr>
          <w:rFonts w:ascii="Century Gothic" w:eastAsia="Arial" w:hAnsi="Century Gothic" w:cs="Arial"/>
        </w:rPr>
        <w:t>ii</w:t>
      </w:r>
      <w:proofErr w:type="spellEnd"/>
      <w:r w:rsidRPr="00851774">
        <w:rPr>
          <w:rFonts w:ascii="Century Gothic" w:eastAsia="Arial" w:hAnsi="Century Gothic" w:cs="Arial"/>
        </w:rPr>
        <w:t xml:space="preserve">) contratación sin formalidades plenas y </w:t>
      </w:r>
      <w:proofErr w:type="spellStart"/>
      <w:r w:rsidRPr="00851774">
        <w:rPr>
          <w:rFonts w:ascii="Century Gothic" w:eastAsia="Arial" w:hAnsi="Century Gothic" w:cs="Arial"/>
        </w:rPr>
        <w:t>iii</w:t>
      </w:r>
      <w:proofErr w:type="spellEnd"/>
      <w:r w:rsidRPr="00851774">
        <w:rPr>
          <w:rFonts w:ascii="Century Gothic" w:eastAsia="Arial" w:hAnsi="Century Gothic" w:cs="Arial"/>
        </w:rPr>
        <w:t xml:space="preserve">) contratación directa. Sin embargo, después del año 2007, el ordenamiento jurídico reguló nuevos procesos de selección. En efecto, con el artículo 2 de la Ley 1150 de 2007 y la modificación realizada a este por la Ley 1474 de 2011, los procedimientos de selección son los siguientes:  i) licitación pública, </w:t>
      </w:r>
      <w:proofErr w:type="spellStart"/>
      <w:r w:rsidRPr="00851774">
        <w:rPr>
          <w:rFonts w:ascii="Century Gothic" w:eastAsia="Arial" w:hAnsi="Century Gothic" w:cs="Arial"/>
        </w:rPr>
        <w:t>ii</w:t>
      </w:r>
      <w:proofErr w:type="spellEnd"/>
      <w:r w:rsidRPr="00851774">
        <w:rPr>
          <w:rFonts w:ascii="Century Gothic" w:eastAsia="Arial" w:hAnsi="Century Gothic" w:cs="Arial"/>
        </w:rPr>
        <w:t xml:space="preserve">) selección abreviada, </w:t>
      </w:r>
      <w:proofErr w:type="spellStart"/>
      <w:r w:rsidRPr="00851774">
        <w:rPr>
          <w:rFonts w:ascii="Century Gothic" w:eastAsia="Arial" w:hAnsi="Century Gothic" w:cs="Arial"/>
        </w:rPr>
        <w:t>iii</w:t>
      </w:r>
      <w:proofErr w:type="spellEnd"/>
      <w:r w:rsidRPr="00851774">
        <w:rPr>
          <w:rFonts w:ascii="Century Gothic" w:eastAsia="Arial" w:hAnsi="Century Gothic" w:cs="Arial"/>
        </w:rPr>
        <w:t xml:space="preserve">) concurso de méritos, </w:t>
      </w:r>
      <w:proofErr w:type="spellStart"/>
      <w:r w:rsidRPr="00851774">
        <w:rPr>
          <w:rFonts w:ascii="Century Gothic" w:eastAsia="Arial" w:hAnsi="Century Gothic" w:cs="Arial"/>
        </w:rPr>
        <w:t>iv</w:t>
      </w:r>
      <w:proofErr w:type="spellEnd"/>
      <w:r w:rsidRPr="00851774">
        <w:rPr>
          <w:rFonts w:ascii="Century Gothic" w:eastAsia="Arial" w:hAnsi="Century Gothic" w:cs="Arial"/>
        </w:rPr>
        <w:t>) mínima cuantía y v) contratación directa. En dichos procedimientos constan las etapas para la adquisición de obras, bienes y servicios, por lo que cada entidad es responsable de estructurar los procedimientos de contratación, siempre que respete el principio de legalidad.</w:t>
      </w:r>
    </w:p>
    <w:p w14:paraId="4BF02257" w14:textId="77777777" w:rsidR="005B4D3E" w:rsidRPr="00851774" w:rsidRDefault="005B4D3E" w:rsidP="005B4D3E">
      <w:pPr>
        <w:widowControl w:val="0"/>
        <w:autoSpaceDE w:val="0"/>
        <w:autoSpaceDN w:val="0"/>
        <w:spacing w:before="120" w:after="120" w:line="276" w:lineRule="auto"/>
        <w:ind w:firstLine="709"/>
        <w:jc w:val="both"/>
        <w:rPr>
          <w:rFonts w:ascii="Century Gothic" w:eastAsia="Arial MT" w:hAnsi="Century Gothic" w:cs="Arial"/>
          <w:lang w:val="es-ES"/>
        </w:rPr>
      </w:pPr>
      <w:r w:rsidRPr="00851774">
        <w:rPr>
          <w:rFonts w:ascii="Century Gothic" w:eastAsia="Arial MT" w:hAnsi="Century Gothic" w:cs="Arial"/>
          <w:lang w:val="es-ES"/>
        </w:rPr>
        <w:t>Para las adquisiciones, las entidades deben estructurar un procedimiento de contratación que es reglado, es decir, el procedimiento no es discrecional, y se deben consultar las normas</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que rigen el Sistema de Compra Pública para determinar la forma que la ley prevé para</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adelantarlo.</w:t>
      </w:r>
      <w:r w:rsidRPr="00851774">
        <w:rPr>
          <w:rFonts w:ascii="Century Gothic" w:eastAsia="Arial MT" w:hAnsi="Century Gothic" w:cs="Arial"/>
          <w:spacing w:val="-13"/>
          <w:lang w:val="es-ES"/>
        </w:rPr>
        <w:t xml:space="preserve"> </w:t>
      </w:r>
      <w:r w:rsidRPr="00851774">
        <w:rPr>
          <w:rFonts w:ascii="Century Gothic" w:eastAsia="Arial MT" w:hAnsi="Century Gothic" w:cs="Arial"/>
          <w:lang w:val="es-ES"/>
        </w:rPr>
        <w:t>Por</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consiguiente,</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las</w:t>
      </w:r>
      <w:r w:rsidRPr="00851774">
        <w:rPr>
          <w:rFonts w:ascii="Century Gothic" w:eastAsia="Arial MT" w:hAnsi="Century Gothic" w:cs="Arial"/>
          <w:spacing w:val="-13"/>
          <w:lang w:val="es-ES"/>
        </w:rPr>
        <w:t xml:space="preserve"> </w:t>
      </w:r>
      <w:r w:rsidRPr="00851774">
        <w:rPr>
          <w:rFonts w:ascii="Century Gothic" w:eastAsia="Arial MT" w:hAnsi="Century Gothic" w:cs="Arial"/>
          <w:lang w:val="es-ES"/>
        </w:rPr>
        <w:t>principales</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normas</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son:</w:t>
      </w:r>
      <w:r w:rsidRPr="00851774">
        <w:rPr>
          <w:rFonts w:ascii="Century Gothic" w:eastAsia="Arial MT" w:hAnsi="Century Gothic" w:cs="Arial"/>
          <w:spacing w:val="-13"/>
          <w:lang w:val="es-ES"/>
        </w:rPr>
        <w:t xml:space="preserve"> </w:t>
      </w:r>
      <w:r w:rsidRPr="00851774">
        <w:rPr>
          <w:rFonts w:ascii="Century Gothic" w:eastAsia="Arial MT" w:hAnsi="Century Gothic" w:cs="Arial"/>
          <w:lang w:val="es-ES"/>
        </w:rPr>
        <w:t>la</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Ley</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80</w:t>
      </w:r>
      <w:r w:rsidRPr="00851774">
        <w:rPr>
          <w:rFonts w:ascii="Century Gothic" w:eastAsia="Arial MT" w:hAnsi="Century Gothic" w:cs="Arial"/>
          <w:spacing w:val="-13"/>
          <w:lang w:val="es-ES"/>
        </w:rPr>
        <w:t xml:space="preserve"> </w:t>
      </w:r>
      <w:r w:rsidRPr="00851774">
        <w:rPr>
          <w:rFonts w:ascii="Century Gothic" w:eastAsia="Arial MT" w:hAnsi="Century Gothic" w:cs="Arial"/>
          <w:lang w:val="es-ES"/>
        </w:rPr>
        <w:t>de</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1993,</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–EGCAP–; la Ley 1150 de 2007 que, entre otras disposiciones,</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regula</w:t>
      </w:r>
      <w:r w:rsidRPr="00851774">
        <w:rPr>
          <w:rFonts w:ascii="Century Gothic" w:eastAsia="Arial MT" w:hAnsi="Century Gothic" w:cs="Arial"/>
          <w:spacing w:val="-16"/>
          <w:lang w:val="es-ES"/>
        </w:rPr>
        <w:t xml:space="preserve"> </w:t>
      </w:r>
      <w:r w:rsidRPr="00851774">
        <w:rPr>
          <w:rFonts w:ascii="Century Gothic" w:eastAsia="Arial MT" w:hAnsi="Century Gothic" w:cs="Arial"/>
          <w:lang w:val="es-ES"/>
        </w:rPr>
        <w:t>las</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modalidades</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de</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selección</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para</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la</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escogencia</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del</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contratista;</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y</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el</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Decreto</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1082</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de</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2015,</w:t>
      </w:r>
      <w:r w:rsidRPr="00851774">
        <w:rPr>
          <w:rFonts w:ascii="Century Gothic" w:eastAsia="Arial MT" w:hAnsi="Century Gothic" w:cs="Arial"/>
          <w:spacing w:val="-59"/>
          <w:lang w:val="es-ES"/>
        </w:rPr>
        <w:t xml:space="preserve"> </w:t>
      </w:r>
      <w:r w:rsidRPr="00851774">
        <w:rPr>
          <w:rFonts w:ascii="Century Gothic" w:eastAsia="Arial MT" w:hAnsi="Century Gothic" w:cs="Arial"/>
          <w:lang w:val="es-ES"/>
        </w:rPr>
        <w:t>que</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es</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reglamentario</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y</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concreta</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cada</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modalidad</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de</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selección,</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señalando</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reglas</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o</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pasos</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a</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seguir</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para</w:t>
      </w:r>
      <w:r w:rsidRPr="00851774">
        <w:rPr>
          <w:rFonts w:ascii="Century Gothic" w:eastAsia="Arial MT" w:hAnsi="Century Gothic" w:cs="Arial"/>
          <w:spacing w:val="-2"/>
          <w:lang w:val="es-ES"/>
        </w:rPr>
        <w:t xml:space="preserve"> </w:t>
      </w:r>
      <w:r w:rsidRPr="00851774">
        <w:rPr>
          <w:rFonts w:ascii="Century Gothic" w:eastAsia="Arial MT" w:hAnsi="Century Gothic" w:cs="Arial"/>
          <w:lang w:val="es-ES"/>
        </w:rPr>
        <w:t>celebrar</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el</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lastRenderedPageBreak/>
        <w:t>contrato</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estatal.</w:t>
      </w:r>
    </w:p>
    <w:p w14:paraId="56623726" w14:textId="77777777" w:rsidR="005B4D3E" w:rsidRPr="00851774" w:rsidRDefault="005B4D3E" w:rsidP="005B4D3E">
      <w:pPr>
        <w:spacing w:before="120" w:after="0" w:line="276" w:lineRule="auto"/>
        <w:jc w:val="both"/>
        <w:rPr>
          <w:rFonts w:ascii="Century Gothic" w:eastAsia="Calibri" w:hAnsi="Century Gothic" w:cs="Arial"/>
          <w:lang w:val="es-ES_tradnl"/>
        </w:rPr>
      </w:pPr>
      <w:r w:rsidRPr="00851774">
        <w:rPr>
          <w:rFonts w:ascii="Century Gothic" w:eastAsia="Arial" w:hAnsi="Century Gothic" w:cs="Arial"/>
        </w:rPr>
        <w:tab/>
        <w:t>De acuerdo con lo anterior, en lo que respecta a la modalidad de selección de mínima cuantía, debe precisarse que esa es una modalidad de selección en virtud de la cual la Entidad Estatal realiza una convocatoria pública para recibir ofertas de bienes, obras o servicios cuyo valor no excede el diez por ciento (10%) de la menor cuantía. Esta modalidad de selección fue creada en el 2011 por el artículo 274 de la Ley 1450 de 2011, modificado por el artículo 94 de la Ley 1474 de 2011</w:t>
      </w:r>
      <w:r w:rsidRPr="00851774">
        <w:rPr>
          <w:rFonts w:ascii="Century Gothic" w:eastAsia="Calibri" w:hAnsi="Century Gothic" w:cs="Arial"/>
          <w:vertAlign w:val="superscript"/>
          <w:lang w:val="es-ES_tradnl"/>
        </w:rPr>
        <w:footnoteReference w:id="9"/>
      </w:r>
      <w:r w:rsidRPr="00851774">
        <w:rPr>
          <w:rFonts w:ascii="Century Gothic" w:eastAsia="Calibri" w:hAnsi="Century Gothic" w:cs="Arial"/>
          <w:lang w:val="es-ES_tradnl"/>
        </w:rPr>
        <w:t xml:space="preserve">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r w:rsidRPr="00851774">
        <w:rPr>
          <w:rFonts w:ascii="Century Gothic" w:eastAsia="Calibri" w:hAnsi="Century Gothic" w:cs="Arial"/>
          <w:vertAlign w:val="superscript"/>
          <w:lang w:val="es-ES_tradnl"/>
        </w:rPr>
        <w:footnoteReference w:id="10"/>
      </w:r>
      <w:r w:rsidRPr="00851774">
        <w:rPr>
          <w:rFonts w:ascii="Century Gothic" w:eastAsia="Calibri" w:hAnsi="Century Gothic" w:cs="Arial"/>
          <w:lang w:val="es-ES_tradnl"/>
        </w:rPr>
        <w:t>.</w:t>
      </w:r>
    </w:p>
    <w:p w14:paraId="10EA9AF4" w14:textId="77777777" w:rsidR="005B4D3E" w:rsidRPr="00851774" w:rsidRDefault="005B4D3E" w:rsidP="005B4D3E">
      <w:pPr>
        <w:spacing w:before="120" w:after="0" w:line="276" w:lineRule="auto"/>
        <w:jc w:val="both"/>
        <w:rPr>
          <w:rFonts w:ascii="Century Gothic" w:eastAsia="Arial" w:hAnsi="Century Gothic" w:cs="Arial"/>
        </w:rPr>
      </w:pPr>
      <w:r w:rsidRPr="00851774">
        <w:rPr>
          <w:rFonts w:ascii="Century Gothic" w:eastAsia="Arial" w:hAnsi="Century Gothic" w:cs="Arial"/>
        </w:rPr>
        <w:tab/>
        <w:t>Dicho de otro modo, la mínima cuantía es un procedimiento de selección excepcional</w:t>
      </w:r>
      <w:r w:rsidRPr="00851774">
        <w:rPr>
          <w:rFonts w:ascii="Century Gothic" w:eastAsia="Calibri" w:hAnsi="Century Gothic" w:cs="Arial"/>
          <w:vertAlign w:val="superscript"/>
          <w:lang w:val="es-ES_tradnl"/>
        </w:rPr>
        <w:footnoteReference w:id="11"/>
      </w:r>
      <w:r w:rsidRPr="00851774">
        <w:rPr>
          <w:rFonts w:ascii="Century Gothic" w:eastAsia="Calibri" w:hAnsi="Century Gothic" w:cs="Arial"/>
          <w:lang w:val="es-ES_tradnl"/>
        </w:rPr>
        <w:t>, porque es una excepción adicional a la regla general constituida por la licitación pública, pero se parce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851774">
        <w:rPr>
          <w:rFonts w:ascii="Century Gothic" w:eastAsia="Calibri" w:hAnsi="Century Gothic" w:cs="Arial"/>
          <w:vertAlign w:val="superscript"/>
          <w:lang w:val="es-ES_tradnl"/>
        </w:rPr>
        <w:footnoteReference w:id="12"/>
      </w:r>
      <w:r w:rsidRPr="00851774">
        <w:rPr>
          <w:rFonts w:ascii="Century Gothic" w:eastAsia="Calibri" w:hAnsi="Century Gothic" w:cs="Arial"/>
          <w:lang w:val="es-ES_tradnl"/>
        </w:rPr>
        <w:t>, y lo segundo, porque sus requisitos, etapas y términos son peculiares.</w:t>
      </w:r>
      <w:r w:rsidRPr="00851774">
        <w:rPr>
          <w:rFonts w:ascii="Century Gothic" w:eastAsia="Arial" w:hAnsi="Century Gothic" w:cs="Arial"/>
        </w:rPr>
        <w:t xml:space="preserve"> </w:t>
      </w:r>
      <w:r w:rsidRPr="00851774">
        <w:rPr>
          <w:rFonts w:ascii="Century Gothic" w:eastAsia="Calibri" w:hAnsi="Century Gothic" w:cs="Arial"/>
          <w:lang w:val="es-ES_tradnl" w:eastAsia="es-CO"/>
        </w:rPr>
        <w:t>Lo anterior, ha sido ratificado por el Consejo de Estado, de la siguiente forma:</w:t>
      </w:r>
    </w:p>
    <w:p w14:paraId="13473692" w14:textId="77777777" w:rsidR="005B4D3E" w:rsidRPr="00851774" w:rsidRDefault="005B4D3E" w:rsidP="005B4D3E">
      <w:pPr>
        <w:spacing w:after="0" w:line="240" w:lineRule="auto"/>
        <w:ind w:left="709" w:right="709"/>
        <w:jc w:val="both"/>
        <w:rPr>
          <w:rFonts w:ascii="Century Gothic" w:eastAsia="Times New Roman" w:hAnsi="Century Gothic" w:cs="Arial"/>
          <w:sz w:val="20"/>
          <w:szCs w:val="20"/>
          <w:lang w:val="es-ES_tradnl" w:eastAsia="es-MX"/>
        </w:rPr>
      </w:pPr>
    </w:p>
    <w:p w14:paraId="2E052DCC" w14:textId="77777777" w:rsidR="005B4D3E" w:rsidRPr="00851774" w:rsidRDefault="005B4D3E" w:rsidP="005B4D3E">
      <w:pPr>
        <w:spacing w:after="0" w:line="240" w:lineRule="auto"/>
        <w:ind w:left="709" w:right="709"/>
        <w:jc w:val="both"/>
        <w:rPr>
          <w:rFonts w:ascii="Century Gothic" w:eastAsia="Times New Roman" w:hAnsi="Century Gothic" w:cs="Arial"/>
          <w:sz w:val="20"/>
          <w:szCs w:val="20"/>
          <w:lang w:val="es-ES_tradnl" w:eastAsia="es-MX"/>
        </w:rPr>
      </w:pPr>
      <w:r w:rsidRPr="00851774">
        <w:rPr>
          <w:rFonts w:ascii="Century Gothic" w:eastAsia="Times New Roman" w:hAnsi="Century Gothic" w:cs="Arial"/>
          <w:sz w:val="20"/>
          <w:szCs w:val="20"/>
          <w:lang w:val="es-ES_tradnl" w:eastAsia="es-MX"/>
        </w:rPr>
        <w:t>“Así,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w:t>
      </w:r>
      <w:r w:rsidRPr="00851774">
        <w:rPr>
          <w:rFonts w:ascii="Century Gothic" w:eastAsia="Times New Roman" w:hAnsi="Century Gothic" w:cs="Arial"/>
          <w:sz w:val="20"/>
          <w:szCs w:val="20"/>
          <w:vertAlign w:val="superscript"/>
          <w:lang w:val="es-ES_tradnl" w:eastAsia="es-MX"/>
        </w:rPr>
        <w:footnoteReference w:id="13"/>
      </w:r>
      <w:r w:rsidRPr="00851774">
        <w:rPr>
          <w:rFonts w:ascii="Century Gothic" w:eastAsia="Times New Roman" w:hAnsi="Century Gothic" w:cs="Arial"/>
          <w:sz w:val="20"/>
          <w:szCs w:val="20"/>
          <w:lang w:val="es-ES_tradnl" w:eastAsia="es-MX"/>
        </w:rPr>
        <w:t xml:space="preserve">. </w:t>
      </w:r>
    </w:p>
    <w:p w14:paraId="17BAABC6" w14:textId="77777777" w:rsidR="005B4D3E" w:rsidRPr="00851774" w:rsidRDefault="005B4D3E" w:rsidP="005B4D3E">
      <w:pPr>
        <w:spacing w:after="0" w:line="276" w:lineRule="auto"/>
        <w:ind w:left="709" w:right="709"/>
        <w:jc w:val="both"/>
        <w:rPr>
          <w:rFonts w:ascii="Century Gothic" w:eastAsia="Times New Roman" w:hAnsi="Century Gothic" w:cs="Arial"/>
          <w:lang w:val="es-ES_tradnl" w:eastAsia="es-MX"/>
        </w:rPr>
      </w:pPr>
    </w:p>
    <w:p w14:paraId="6F5C9B66" w14:textId="77777777" w:rsidR="005B4D3E" w:rsidRPr="00851774" w:rsidRDefault="005B4D3E" w:rsidP="005B4D3E">
      <w:pPr>
        <w:spacing w:after="0" w:line="276" w:lineRule="auto"/>
        <w:jc w:val="both"/>
        <w:rPr>
          <w:rFonts w:ascii="Century Gothic" w:eastAsia="Arial" w:hAnsi="Century Gothic" w:cs="Arial"/>
        </w:rPr>
      </w:pPr>
      <w:r w:rsidRPr="00851774">
        <w:rPr>
          <w:rFonts w:ascii="Century Gothic" w:eastAsia="Arial" w:hAnsi="Century Gothic" w:cs="Arial"/>
        </w:rPr>
        <w:tab/>
        <w:t xml:space="preserve">En conclusión, podría afirmarse entonces, </w:t>
      </w:r>
      <w:proofErr w:type="gramStart"/>
      <w:r w:rsidRPr="00851774">
        <w:rPr>
          <w:rFonts w:ascii="Century Gothic" w:eastAsia="Arial" w:hAnsi="Century Gothic" w:cs="Arial"/>
        </w:rPr>
        <w:t>que</w:t>
      </w:r>
      <w:proofErr w:type="gramEnd"/>
      <w:r w:rsidRPr="00851774">
        <w:rPr>
          <w:rFonts w:ascii="Century Gothic" w:eastAsia="Arial" w:hAnsi="Century Gothic" w:cs="Arial"/>
        </w:rPr>
        <w:t xml:space="preserve"> sin importar el objeto del contrato, la Entidad Estatal deberá adelantar el procedimiento de selección del contratista a través de la modalidad de mínima cuantía, siempre que, en el caso concreto, el valor del contrato no exceda el diez por ciento (10%) de la menor cuantía de la entidad. Sin embargo, es pertinente aclarar, que existen entidades públicas a las que, dependiendo de la cuantía del proceso de contratación, no les resulta aplicable el EGCAP, ni mucho menos las precitadas reglas del artículo 2 de la Ley 1150 de 2007, sino, las dispuestas en el derecho privado. Por ejemplo, las Instituciones Educativas mediante los Fondos de Servicios Educativos, estará supeditada en cuanto al régimen contractual aplicable, a la cuantía del proceso de contratación. Lo anterior, en razón a que, de acuerdo con lo señalado en el artículo 13 de la Ley 715 de 2001, en caso de que los procesos de contratación de dichos entes no superen los veinte (20) salarios mínimos legales mensuales vigentes, </w:t>
      </w:r>
      <w:r w:rsidRPr="00851774">
        <w:rPr>
          <w:rFonts w:ascii="Century Gothic" w:eastAsia="Arial" w:hAnsi="Century Gothic" w:cs="Arial"/>
        </w:rPr>
        <w:lastRenderedPageBreak/>
        <w:t>el proceso se ceñirá por las reglas definidas por el Consejo Directivo, esto es, por el derecho privado.</w:t>
      </w:r>
    </w:p>
    <w:p w14:paraId="4EC29B67" w14:textId="77777777" w:rsidR="005B4D3E" w:rsidRPr="00851774" w:rsidRDefault="005B4D3E" w:rsidP="005B4D3E">
      <w:pPr>
        <w:spacing w:before="120" w:after="0" w:line="276" w:lineRule="auto"/>
        <w:jc w:val="both"/>
        <w:rPr>
          <w:rFonts w:ascii="Century Gothic" w:eastAsia="Arial" w:hAnsi="Century Gothic" w:cs="Arial"/>
        </w:rPr>
      </w:pPr>
      <w:r w:rsidRPr="00851774">
        <w:rPr>
          <w:rFonts w:ascii="Century Gothic" w:eastAsia="Arial" w:hAnsi="Century Gothic" w:cs="Arial"/>
        </w:rPr>
        <w:tab/>
        <w:t>Finalmente, serán las Entidades Estatales que pretendan adelantar un proceso de contratación, las facultadas para dilucidar, de acuerdo con la normativa vigente y el régimen de contratación que les resulte aplicable, la forma en la que deberán adelantar dichos procedimientos.</w:t>
      </w:r>
    </w:p>
    <w:p w14:paraId="1AD0A84B" w14:textId="77777777" w:rsidR="005B4D3E" w:rsidRPr="00851774" w:rsidRDefault="005B4D3E" w:rsidP="005B4D3E">
      <w:pPr>
        <w:spacing w:after="0" w:line="276" w:lineRule="auto"/>
        <w:jc w:val="both"/>
        <w:rPr>
          <w:rFonts w:ascii="Century Gothic" w:eastAsia="Arial" w:hAnsi="Century Gothic" w:cs="Arial"/>
        </w:rPr>
      </w:pPr>
    </w:p>
    <w:p w14:paraId="51D511F9" w14:textId="77777777" w:rsidR="005B4D3E" w:rsidRPr="00851774" w:rsidRDefault="005B4D3E" w:rsidP="005B4D3E">
      <w:pPr>
        <w:spacing w:after="0" w:line="276" w:lineRule="auto"/>
        <w:jc w:val="both"/>
        <w:rPr>
          <w:rFonts w:ascii="Century Gothic" w:eastAsia="Arial" w:hAnsi="Century Gothic" w:cs="Arial"/>
          <w:b/>
          <w:bCs/>
        </w:rPr>
      </w:pPr>
      <w:r w:rsidRPr="00851774">
        <w:rPr>
          <w:rFonts w:ascii="Century Gothic" w:eastAsia="Arial" w:hAnsi="Century Gothic" w:cs="Arial"/>
          <w:b/>
          <w:bCs/>
        </w:rPr>
        <w:t>2.3. Generalidades del contrato de prestación de servicios: facultad de la entidad para fijar honorarios. Reiteración de línea</w:t>
      </w:r>
    </w:p>
    <w:p w14:paraId="761F574B" w14:textId="77777777" w:rsidR="005B4D3E" w:rsidRPr="00851774" w:rsidRDefault="005B4D3E" w:rsidP="005B4D3E">
      <w:pPr>
        <w:spacing w:after="0" w:line="276" w:lineRule="auto"/>
        <w:jc w:val="both"/>
        <w:rPr>
          <w:rFonts w:ascii="Century Gothic" w:eastAsia="Arial" w:hAnsi="Century Gothic" w:cs="Arial"/>
        </w:rPr>
      </w:pPr>
    </w:p>
    <w:bookmarkEnd w:id="5"/>
    <w:p w14:paraId="2B64D048" w14:textId="77777777" w:rsidR="005B4D3E" w:rsidRPr="00851774" w:rsidRDefault="005B4D3E" w:rsidP="005B4D3E">
      <w:pPr>
        <w:tabs>
          <w:tab w:val="left" w:pos="0"/>
        </w:tabs>
        <w:spacing w:line="276" w:lineRule="auto"/>
        <w:contextualSpacing/>
        <w:jc w:val="both"/>
        <w:rPr>
          <w:rFonts w:ascii="Century Gothic" w:eastAsia="Arial" w:hAnsi="Century Gothic" w:cs="Arial"/>
        </w:rPr>
      </w:pPr>
      <w:r w:rsidRPr="00851774">
        <w:rPr>
          <w:rFonts w:ascii="Century Gothic" w:eastAsia="Arial" w:hAnsi="Century Gothic" w:cs="Arial"/>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Así lo dispone el artículo 2, numeral 4º, literal h), de la Ley 1150 de 2007:</w:t>
      </w:r>
    </w:p>
    <w:p w14:paraId="559733B2" w14:textId="77777777" w:rsidR="005B4D3E" w:rsidRPr="00851774" w:rsidRDefault="005B4D3E" w:rsidP="005B4D3E">
      <w:pPr>
        <w:spacing w:after="0" w:line="276" w:lineRule="auto"/>
        <w:ind w:right="709"/>
        <w:contextualSpacing/>
        <w:jc w:val="both"/>
        <w:rPr>
          <w:rFonts w:ascii="Century Gothic" w:eastAsia="Calibri" w:hAnsi="Century Gothic" w:cs="Arial"/>
          <w:lang w:val="es-ES_tradnl"/>
        </w:rPr>
      </w:pPr>
    </w:p>
    <w:p w14:paraId="24A70FD4" w14:textId="77777777" w:rsidR="005B4D3E" w:rsidRPr="00851774" w:rsidRDefault="005B4D3E" w:rsidP="005B4D3E">
      <w:pPr>
        <w:spacing w:after="0" w:line="240" w:lineRule="auto"/>
        <w:ind w:left="709" w:right="709"/>
        <w:contextualSpacing/>
        <w:jc w:val="both"/>
        <w:rPr>
          <w:rFonts w:ascii="Century Gothic" w:eastAsia="Calibri" w:hAnsi="Century Gothic" w:cs="Arial"/>
          <w:sz w:val="21"/>
          <w:szCs w:val="21"/>
          <w:lang w:val="es-MX"/>
        </w:rPr>
      </w:pPr>
      <w:r w:rsidRPr="00851774">
        <w:rPr>
          <w:rFonts w:ascii="Century Gothic" w:eastAsia="Yu Gothic UI Semibold" w:hAnsi="Century Gothic" w:cs="Arial"/>
          <w:iCs/>
          <w:sz w:val="21"/>
          <w:szCs w:val="21"/>
          <w:lang w:eastAsia="es-MX"/>
        </w:rPr>
        <w:t>“</w:t>
      </w:r>
      <w:r w:rsidRPr="00851774">
        <w:rPr>
          <w:rFonts w:ascii="Century Gothic" w:eastAsia="Calibri" w:hAnsi="Century Gothic" w:cs="Arial"/>
          <w:sz w:val="21"/>
          <w:szCs w:val="21"/>
          <w:lang w:val="es-MX"/>
        </w:rPr>
        <w:t>La escogencia del contratista se efectuará con arreglo a las modalidades de selección de licitación pública, selección abreviada, concurso de méritos y contratación directa, con base en las siguientes reglas:</w:t>
      </w:r>
    </w:p>
    <w:p w14:paraId="3816FB87" w14:textId="77777777" w:rsidR="005B4D3E" w:rsidRPr="00851774" w:rsidRDefault="005B4D3E" w:rsidP="005B4D3E">
      <w:pPr>
        <w:spacing w:after="0" w:line="240" w:lineRule="auto"/>
        <w:ind w:left="709" w:right="709"/>
        <w:contextualSpacing/>
        <w:jc w:val="both"/>
        <w:rPr>
          <w:rFonts w:ascii="Century Gothic" w:eastAsia="Calibri" w:hAnsi="Century Gothic" w:cs="Arial"/>
          <w:sz w:val="21"/>
          <w:szCs w:val="21"/>
          <w:lang w:val="es-MX"/>
        </w:rPr>
      </w:pPr>
      <w:r w:rsidRPr="00851774">
        <w:rPr>
          <w:rFonts w:ascii="Century Gothic" w:eastAsia="Calibri" w:hAnsi="Century Gothic" w:cs="Arial"/>
          <w:sz w:val="21"/>
          <w:szCs w:val="21"/>
          <w:lang w:val="es-MX"/>
        </w:rPr>
        <w:t>[…]</w:t>
      </w:r>
    </w:p>
    <w:p w14:paraId="64BC36C5" w14:textId="77777777" w:rsidR="005B4D3E" w:rsidRPr="00851774" w:rsidRDefault="005B4D3E" w:rsidP="005B4D3E">
      <w:pPr>
        <w:spacing w:after="0" w:line="240" w:lineRule="auto"/>
        <w:ind w:left="709" w:right="709"/>
        <w:contextualSpacing/>
        <w:jc w:val="both"/>
        <w:rPr>
          <w:rFonts w:ascii="Century Gothic" w:eastAsia="Calibri" w:hAnsi="Century Gothic" w:cs="Arial"/>
          <w:sz w:val="12"/>
          <w:szCs w:val="12"/>
          <w:lang w:val="es-MX"/>
        </w:rPr>
      </w:pPr>
    </w:p>
    <w:p w14:paraId="238DFD68" w14:textId="77777777" w:rsidR="005B4D3E" w:rsidRPr="00851774" w:rsidRDefault="005B4D3E" w:rsidP="005B4D3E">
      <w:pPr>
        <w:spacing w:after="0" w:line="240" w:lineRule="auto"/>
        <w:ind w:left="709" w:right="709"/>
        <w:contextualSpacing/>
        <w:jc w:val="both"/>
        <w:rPr>
          <w:rFonts w:ascii="Century Gothic" w:eastAsia="Calibri" w:hAnsi="Century Gothic" w:cs="Arial"/>
          <w:sz w:val="21"/>
          <w:szCs w:val="21"/>
          <w:lang w:val="es-MX"/>
        </w:rPr>
      </w:pPr>
      <w:r w:rsidRPr="00851774">
        <w:rPr>
          <w:rFonts w:ascii="Century Gothic" w:eastAsia="Calibri" w:hAnsi="Century Gothic" w:cs="Arial"/>
          <w:sz w:val="21"/>
          <w:szCs w:val="21"/>
          <w:lang w:val="es-MX"/>
        </w:rPr>
        <w:t>4. Contratación directa. La modalidad de selección de contratación directa, solamente procederá en los siguientes casos:</w:t>
      </w:r>
    </w:p>
    <w:p w14:paraId="193F5075" w14:textId="77777777" w:rsidR="005B4D3E" w:rsidRPr="00851774" w:rsidRDefault="005B4D3E" w:rsidP="005B4D3E">
      <w:pPr>
        <w:spacing w:after="0" w:line="240" w:lineRule="auto"/>
        <w:ind w:left="709" w:right="709"/>
        <w:contextualSpacing/>
        <w:jc w:val="both"/>
        <w:rPr>
          <w:rFonts w:ascii="Century Gothic" w:eastAsia="Calibri" w:hAnsi="Century Gothic" w:cs="Arial"/>
          <w:sz w:val="21"/>
          <w:szCs w:val="21"/>
          <w:lang w:val="es-MX"/>
        </w:rPr>
      </w:pPr>
      <w:r w:rsidRPr="00851774">
        <w:rPr>
          <w:rFonts w:ascii="Century Gothic" w:eastAsia="Calibri" w:hAnsi="Century Gothic" w:cs="Arial"/>
          <w:sz w:val="21"/>
          <w:szCs w:val="21"/>
          <w:lang w:val="es-MX"/>
        </w:rPr>
        <w:t>[…]</w:t>
      </w:r>
    </w:p>
    <w:p w14:paraId="2CFE4B88" w14:textId="77777777" w:rsidR="005B4D3E" w:rsidRPr="00851774" w:rsidRDefault="005B4D3E" w:rsidP="005B4D3E">
      <w:pPr>
        <w:spacing w:after="0" w:line="240" w:lineRule="auto"/>
        <w:ind w:left="709" w:right="709"/>
        <w:contextualSpacing/>
        <w:jc w:val="both"/>
        <w:rPr>
          <w:rFonts w:ascii="Century Gothic" w:eastAsia="Calibri" w:hAnsi="Century Gothic" w:cs="Arial"/>
          <w:sz w:val="12"/>
          <w:szCs w:val="12"/>
          <w:lang w:val="es-MX"/>
        </w:rPr>
      </w:pPr>
    </w:p>
    <w:p w14:paraId="32A46EA2" w14:textId="77777777" w:rsidR="005B4D3E" w:rsidRPr="00851774" w:rsidRDefault="005B4D3E" w:rsidP="005B4D3E">
      <w:pPr>
        <w:spacing w:after="0" w:line="240" w:lineRule="auto"/>
        <w:ind w:left="709" w:right="709"/>
        <w:contextualSpacing/>
        <w:jc w:val="both"/>
        <w:rPr>
          <w:rFonts w:ascii="Century Gothic" w:eastAsia="Calibri" w:hAnsi="Century Gothic" w:cs="Arial"/>
          <w:sz w:val="21"/>
          <w:szCs w:val="21"/>
          <w:lang w:val="es-MX"/>
        </w:rPr>
      </w:pPr>
      <w:r w:rsidRPr="00851774">
        <w:rPr>
          <w:rFonts w:ascii="Century Gothic" w:eastAsia="Calibri" w:hAnsi="Century Gothic" w:cs="Arial"/>
          <w:sz w:val="21"/>
          <w:szCs w:val="21"/>
          <w:lang w:val="es-MX"/>
        </w:rPr>
        <w:t>h) Para la prestación de servicios profesionales y de apoyo a la gestión, o para la ejecución de trabajos artísticos que sólo puedan encomendarse a determinadas personas naturales</w:t>
      </w:r>
      <w:r w:rsidRPr="00851774">
        <w:rPr>
          <w:rFonts w:ascii="Century Gothic" w:eastAsia="Yu Gothic UI Semibold" w:hAnsi="Century Gothic" w:cs="Arial"/>
          <w:iCs/>
          <w:sz w:val="21"/>
          <w:szCs w:val="21"/>
          <w:lang w:eastAsia="es-MX"/>
        </w:rPr>
        <w:t>”</w:t>
      </w:r>
      <w:r w:rsidRPr="00851774">
        <w:rPr>
          <w:rFonts w:ascii="Century Gothic" w:eastAsia="Calibri" w:hAnsi="Century Gothic" w:cs="Arial"/>
          <w:sz w:val="21"/>
          <w:szCs w:val="21"/>
          <w:lang w:val="es-MX"/>
        </w:rPr>
        <w:t>.</w:t>
      </w:r>
    </w:p>
    <w:p w14:paraId="6935089A" w14:textId="77777777" w:rsidR="005B4D3E" w:rsidRPr="00851774" w:rsidRDefault="005B4D3E" w:rsidP="005B4D3E">
      <w:pPr>
        <w:spacing w:after="0"/>
        <w:ind w:left="709" w:right="709"/>
        <w:contextualSpacing/>
        <w:jc w:val="both"/>
        <w:rPr>
          <w:rFonts w:ascii="Century Gothic" w:eastAsia="Calibri" w:hAnsi="Century Gothic" w:cs="Arial"/>
          <w:sz w:val="21"/>
          <w:szCs w:val="21"/>
          <w:lang w:val="es-MX"/>
        </w:rPr>
      </w:pPr>
    </w:p>
    <w:p w14:paraId="3297EE49" w14:textId="77777777" w:rsidR="005B4D3E" w:rsidRPr="00851774" w:rsidRDefault="005B4D3E" w:rsidP="005B4D3E">
      <w:pPr>
        <w:tabs>
          <w:tab w:val="left" w:pos="0"/>
        </w:tabs>
        <w:spacing w:line="276" w:lineRule="auto"/>
        <w:contextualSpacing/>
        <w:jc w:val="both"/>
        <w:rPr>
          <w:rFonts w:ascii="Century Gothic" w:eastAsia="Arial" w:hAnsi="Century Gothic" w:cs="Arial"/>
        </w:rPr>
      </w:pPr>
      <w:r w:rsidRPr="00851774">
        <w:rPr>
          <w:rFonts w:ascii="Century Gothic" w:hAnsi="Century Gothic" w:cs="Arial"/>
          <w:noProof/>
          <w:lang w:val="es-ES_tradnl"/>
        </w:rPr>
        <w:tab/>
      </w:r>
      <w:r w:rsidRPr="00851774">
        <w:rPr>
          <w:rFonts w:ascii="Century Gothic" w:eastAsia="Arial" w:hAnsi="Century Gothic" w:cs="Arial"/>
        </w:rPr>
        <w:t>En tal sentido, el artículo 2.2.1.2.1.4.9 del Decreto 1082 de 2015 reglamenta la contratación directa para los contratos de servicios profesionales y de apoyo a la gestión, o para la ejecución de trabajos artísticos que solo puedan encomendarse a determinadas personas naturales, en los siguientes términos:</w:t>
      </w:r>
    </w:p>
    <w:p w14:paraId="099D4768" w14:textId="77777777" w:rsidR="005B4D3E" w:rsidRPr="00851774" w:rsidRDefault="005B4D3E" w:rsidP="005B4D3E">
      <w:pPr>
        <w:tabs>
          <w:tab w:val="left" w:pos="0"/>
        </w:tabs>
        <w:spacing w:line="276" w:lineRule="auto"/>
        <w:contextualSpacing/>
        <w:jc w:val="both"/>
        <w:rPr>
          <w:rFonts w:ascii="Century Gothic" w:hAnsi="Century Gothic" w:cs="Arial"/>
          <w:noProof/>
          <w:lang w:val="es-ES_tradnl"/>
        </w:rPr>
      </w:pPr>
    </w:p>
    <w:p w14:paraId="71C90EEF" w14:textId="77777777" w:rsidR="005B4D3E" w:rsidRPr="00851774" w:rsidRDefault="005B4D3E" w:rsidP="005B4D3E">
      <w:pPr>
        <w:spacing w:after="0" w:line="240" w:lineRule="auto"/>
        <w:ind w:left="709" w:right="709"/>
        <w:contextualSpacing/>
        <w:jc w:val="both"/>
        <w:rPr>
          <w:rFonts w:ascii="Century Gothic" w:hAnsi="Century Gothic" w:cs="Arial"/>
          <w:sz w:val="21"/>
          <w:szCs w:val="21"/>
          <w:lang w:val="es-MX"/>
        </w:rPr>
      </w:pPr>
      <w:r w:rsidRPr="00851774">
        <w:rPr>
          <w:rFonts w:ascii="Century Gothic" w:eastAsia="Yu Gothic UI Semibold" w:hAnsi="Century Gothic" w:cs="Arial"/>
          <w:iCs/>
          <w:sz w:val="21"/>
          <w:szCs w:val="21"/>
          <w:lang w:eastAsia="es-MX"/>
        </w:rPr>
        <w:t>“</w:t>
      </w:r>
      <w:r w:rsidRPr="00851774">
        <w:rPr>
          <w:rFonts w:ascii="Century Gothic" w:hAnsi="Century Gothic"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94EE2D5" w14:textId="77777777" w:rsidR="005B4D3E" w:rsidRPr="00851774" w:rsidRDefault="005B4D3E" w:rsidP="005B4D3E">
      <w:pPr>
        <w:spacing w:after="0" w:line="240" w:lineRule="auto"/>
        <w:ind w:left="709" w:right="709"/>
        <w:contextualSpacing/>
        <w:jc w:val="both"/>
        <w:rPr>
          <w:rFonts w:ascii="Century Gothic" w:hAnsi="Century Gothic" w:cs="Arial"/>
          <w:sz w:val="12"/>
          <w:szCs w:val="12"/>
          <w:lang w:val="es-MX"/>
        </w:rPr>
      </w:pPr>
    </w:p>
    <w:p w14:paraId="7260D087" w14:textId="77777777" w:rsidR="005B4D3E" w:rsidRPr="00851774" w:rsidRDefault="005B4D3E" w:rsidP="005B4D3E">
      <w:pPr>
        <w:spacing w:after="0" w:line="240" w:lineRule="auto"/>
        <w:ind w:left="709" w:right="709"/>
        <w:contextualSpacing/>
        <w:jc w:val="both"/>
        <w:rPr>
          <w:rFonts w:ascii="Century Gothic" w:hAnsi="Century Gothic" w:cs="Arial"/>
          <w:sz w:val="21"/>
          <w:szCs w:val="21"/>
          <w:lang w:val="es-MX"/>
        </w:rPr>
      </w:pPr>
      <w:r w:rsidRPr="00851774">
        <w:rPr>
          <w:rFonts w:ascii="Century Gothic" w:hAnsi="Century Gothic" w:cs="Arial"/>
          <w:sz w:val="21"/>
          <w:szCs w:val="21"/>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72CD25E" w14:textId="77777777" w:rsidR="005B4D3E" w:rsidRPr="00851774" w:rsidRDefault="005B4D3E" w:rsidP="005B4D3E">
      <w:pPr>
        <w:spacing w:after="0" w:line="240" w:lineRule="auto"/>
        <w:ind w:left="709" w:right="709"/>
        <w:contextualSpacing/>
        <w:jc w:val="both"/>
        <w:rPr>
          <w:rFonts w:ascii="Century Gothic" w:hAnsi="Century Gothic" w:cs="Arial"/>
          <w:sz w:val="12"/>
          <w:szCs w:val="12"/>
          <w:lang w:val="es-MX"/>
        </w:rPr>
      </w:pPr>
    </w:p>
    <w:p w14:paraId="5D8F156C" w14:textId="77777777" w:rsidR="005B4D3E" w:rsidRPr="00851774" w:rsidRDefault="005B4D3E" w:rsidP="005B4D3E">
      <w:pPr>
        <w:spacing w:after="0" w:line="240" w:lineRule="auto"/>
        <w:ind w:left="709" w:right="709"/>
        <w:contextualSpacing/>
        <w:jc w:val="both"/>
        <w:rPr>
          <w:rFonts w:ascii="Century Gothic" w:hAnsi="Century Gothic" w:cs="Arial"/>
          <w:sz w:val="21"/>
          <w:szCs w:val="21"/>
          <w:lang w:val="es-MX"/>
        </w:rPr>
      </w:pPr>
      <w:r w:rsidRPr="00851774">
        <w:rPr>
          <w:rFonts w:ascii="Century Gothic" w:hAnsi="Century Gothic" w:cs="Arial"/>
          <w:sz w:val="21"/>
          <w:szCs w:val="21"/>
          <w:lang w:val="es-MX"/>
        </w:rPr>
        <w:t>La Entidad Estatal, para la contratación de trabajos artísticos que solamente puedan en</w:t>
      </w:r>
      <w:r w:rsidRPr="00851774">
        <w:rPr>
          <w:rFonts w:ascii="Century Gothic" w:hAnsi="Century Gothic" w:cs="Arial"/>
          <w:sz w:val="21"/>
          <w:szCs w:val="21"/>
          <w:lang w:val="es-MX"/>
        </w:rPr>
        <w:softHyphen/>
        <w:t>comendarse a determinadas personas naturales, debe justificar esta situación en los estudios y documentos previos</w:t>
      </w:r>
      <w:r w:rsidRPr="00851774">
        <w:rPr>
          <w:rFonts w:ascii="Century Gothic" w:eastAsia="Yu Gothic UI Semibold" w:hAnsi="Century Gothic" w:cs="Arial"/>
          <w:iCs/>
          <w:sz w:val="21"/>
          <w:szCs w:val="21"/>
          <w:lang w:eastAsia="es-MX"/>
        </w:rPr>
        <w:t>”</w:t>
      </w:r>
      <w:r w:rsidRPr="00851774">
        <w:rPr>
          <w:rFonts w:ascii="Century Gothic" w:hAnsi="Century Gothic" w:cs="Arial"/>
          <w:sz w:val="21"/>
          <w:szCs w:val="21"/>
          <w:lang w:val="es-MX"/>
        </w:rPr>
        <w:t>.</w:t>
      </w:r>
    </w:p>
    <w:p w14:paraId="5535AFB1" w14:textId="77777777" w:rsidR="005B4D3E" w:rsidRPr="00851774" w:rsidRDefault="005B4D3E" w:rsidP="005B4D3E">
      <w:pPr>
        <w:tabs>
          <w:tab w:val="left" w:pos="0"/>
        </w:tabs>
        <w:spacing w:after="0" w:line="276" w:lineRule="auto"/>
        <w:jc w:val="both"/>
        <w:rPr>
          <w:rFonts w:ascii="Century Gothic" w:hAnsi="Century Gothic" w:cs="Arial"/>
          <w:noProof/>
          <w:sz w:val="21"/>
          <w:szCs w:val="21"/>
        </w:rPr>
      </w:pPr>
    </w:p>
    <w:p w14:paraId="07A202E1" w14:textId="77777777" w:rsidR="005B4D3E" w:rsidRPr="00851774" w:rsidRDefault="005B4D3E" w:rsidP="005B4D3E">
      <w:pPr>
        <w:tabs>
          <w:tab w:val="left" w:pos="0"/>
        </w:tabs>
        <w:spacing w:line="276" w:lineRule="auto"/>
        <w:contextualSpacing/>
        <w:jc w:val="both"/>
        <w:rPr>
          <w:rFonts w:ascii="Century Gothic" w:eastAsia="Arial" w:hAnsi="Century Gothic" w:cs="Arial"/>
        </w:rPr>
      </w:pPr>
      <w:r w:rsidRPr="00851774">
        <w:rPr>
          <w:rFonts w:ascii="Century Gothic" w:hAnsi="Century Gothic" w:cs="Arial"/>
          <w:lang w:val="es-ES_tradnl"/>
        </w:rPr>
        <w:tab/>
      </w:r>
      <w:r w:rsidRPr="00851774">
        <w:rPr>
          <w:rFonts w:ascii="Century Gothic" w:eastAsia="Arial" w:hAnsi="Century Gothic" w:cs="Arial"/>
        </w:rPr>
        <w:t>A partir de las disposiciones citadas, así como de la Sentencia de Unificación Jurisprudencial del 9 de septiembre de 2021, proferida por el Consejo de Estado</w:t>
      </w:r>
      <w:r w:rsidRPr="00851774">
        <w:rPr>
          <w:rFonts w:ascii="Century Gothic" w:eastAsia="Arial" w:hAnsi="Century Gothic" w:cs="Arial"/>
          <w:vertAlign w:val="superscript"/>
        </w:rPr>
        <w:footnoteReference w:id="14"/>
      </w:r>
      <w:r w:rsidRPr="00851774">
        <w:rPr>
          <w:rFonts w:ascii="Century Gothic" w:eastAsia="Arial" w:hAnsi="Century Gothic" w:cs="Arial"/>
        </w:rPr>
        <w:t>, es posible señalar las siguientes características del contrato de prestación de servicios:</w:t>
      </w:r>
    </w:p>
    <w:p w14:paraId="6D552297" w14:textId="77777777" w:rsidR="005B4D3E" w:rsidRPr="00851774" w:rsidRDefault="005B4D3E" w:rsidP="005B4D3E">
      <w:pPr>
        <w:spacing w:before="120" w:after="12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t>i</w:t>
      </w:r>
      <w:r w:rsidRPr="00851774">
        <w:rPr>
          <w:rFonts w:ascii="Century Gothic" w:eastAsia="Arial" w:hAnsi="Century Gothic" w:cs="Arial"/>
        </w:rPr>
        <w:t>) Solo puede celebrarse para realizar “actividades relacionadas con la administración o funcionamiento de la entidad”, es decir, que hagan parte de su giro ordinario o quehacer cotidiano</w:t>
      </w:r>
      <w:r w:rsidRPr="00851774">
        <w:rPr>
          <w:rFonts w:ascii="Century Gothic" w:hAnsi="Century Gothic" w:cs="Arial"/>
          <w:noProof/>
          <w:vertAlign w:val="superscript"/>
          <w:lang w:val="es-ES_tradnl"/>
        </w:rPr>
        <w:footnoteReference w:id="15"/>
      </w:r>
      <w:r w:rsidRPr="00851774">
        <w:rPr>
          <w:rFonts w:ascii="Century Gothic" w:hAnsi="Century Gothic" w:cs="Arial"/>
          <w:noProof/>
          <w:lang w:val="es-ES_tradnl"/>
        </w:rPr>
        <w:t>.</w:t>
      </w:r>
    </w:p>
    <w:p w14:paraId="761CE52D" w14:textId="77777777" w:rsidR="005B4D3E" w:rsidRPr="00851774" w:rsidRDefault="005B4D3E" w:rsidP="005B4D3E">
      <w:pPr>
        <w:spacing w:after="12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4D90E5F5" w14:textId="77777777" w:rsidR="005B4D3E" w:rsidRPr="00851774" w:rsidRDefault="005B4D3E" w:rsidP="005B4D3E">
      <w:pPr>
        <w:spacing w:after="12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w:t>
      </w:r>
      <w:r w:rsidRPr="00851774">
        <w:rPr>
          <w:rFonts w:ascii="Century Gothic" w:hAnsi="Century Gothic" w:cs="Arial"/>
          <w:noProof/>
          <w:lang w:val="es-ES_tradnl"/>
        </w:rPr>
        <w:lastRenderedPageBreak/>
        <w:t>labor, lo que significa que no debe existir subordinación ni dependencia, que es uno de los elementos constitutivos del vínculo laboral</w:t>
      </w:r>
      <w:r w:rsidRPr="00851774">
        <w:rPr>
          <w:rFonts w:ascii="Century Gothic" w:hAnsi="Century Gothic" w:cs="Arial"/>
          <w:noProof/>
          <w:vertAlign w:val="superscript"/>
          <w:lang w:val="es-ES_tradnl"/>
        </w:rPr>
        <w:footnoteReference w:id="16"/>
      </w:r>
      <w:r w:rsidRPr="00851774">
        <w:rPr>
          <w:rFonts w:ascii="Century Gothic" w:hAnsi="Century Gothic" w:cs="Arial"/>
          <w:noProof/>
          <w:vertAlign w:val="superscript"/>
          <w:lang w:val="es-ES_tradnl"/>
        </w:rPr>
        <w:t>.</w:t>
      </w:r>
      <w:r w:rsidRPr="00851774">
        <w:rPr>
          <w:rFonts w:ascii="Century Gothic" w:hAnsi="Century Gothic"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851774">
        <w:rPr>
          <w:rFonts w:ascii="Century Gothic" w:hAnsi="Century Gothic" w:cs="Arial"/>
          <w:noProof/>
          <w:vertAlign w:val="superscript"/>
          <w:lang w:val="es-ES_tradnl"/>
        </w:rPr>
        <w:footnoteReference w:id="17"/>
      </w:r>
      <w:r w:rsidRPr="00851774">
        <w:rPr>
          <w:rFonts w:ascii="Century Gothic" w:hAnsi="Century Gothic" w:cs="Arial"/>
          <w:noProof/>
          <w:vertAlign w:val="superscript"/>
          <w:lang w:val="es-ES_tradnl"/>
        </w:rPr>
        <w:t>.</w:t>
      </w:r>
      <w:r w:rsidRPr="00851774">
        <w:rPr>
          <w:rFonts w:ascii="Century Gothic" w:hAnsi="Century Gothic" w:cs="Arial"/>
          <w:noProof/>
          <w:lang w:val="es-ES_tradnl"/>
        </w:rPr>
        <w:t xml:space="preserve"> </w:t>
      </w:r>
    </w:p>
    <w:p w14:paraId="4AD2D686" w14:textId="77777777" w:rsidR="005B4D3E" w:rsidRPr="00851774" w:rsidRDefault="005B4D3E" w:rsidP="005B4D3E">
      <w:pPr>
        <w:spacing w:after="12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t>A pesar de este mandato deontológico, es posible que en la práctica se configure una relación laboral, pues el contrato de trabajo es de realidad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851774">
        <w:rPr>
          <w:rFonts w:ascii="Century Gothic" w:hAnsi="Century Gothic" w:cs="Arial"/>
          <w:noProof/>
          <w:vertAlign w:val="superscript"/>
          <w:lang w:val="es-ES_tradnl"/>
        </w:rPr>
        <w:footnoteReference w:id="18"/>
      </w:r>
      <w:r w:rsidRPr="00851774">
        <w:rPr>
          <w:rFonts w:ascii="Century Gothic" w:hAnsi="Century Gothic" w:cs="Arial"/>
          <w:noProof/>
          <w:lang w:val="es-ES_tradnl"/>
        </w:rPr>
        <w:t>.</w:t>
      </w:r>
    </w:p>
    <w:p w14:paraId="157CA973" w14:textId="77777777" w:rsidR="005B4D3E" w:rsidRPr="00851774" w:rsidRDefault="005B4D3E" w:rsidP="005B4D3E">
      <w:pPr>
        <w:spacing w:after="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lastRenderedPageBreak/>
        <w:t>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De igual manera, señaló que “no cabe su empleo para la cobertura indefinida de necesidades permanentes o recurrentes”. En sentido similar se manifestó la Corte Constitucional en la sentencia C-154 de 1997, expresando que:</w:t>
      </w:r>
    </w:p>
    <w:p w14:paraId="6A7D614A" w14:textId="77777777" w:rsidR="005B4D3E" w:rsidRPr="00851774" w:rsidRDefault="005B4D3E" w:rsidP="005B4D3E">
      <w:pPr>
        <w:spacing w:after="0"/>
        <w:ind w:left="709" w:right="709"/>
        <w:contextualSpacing/>
        <w:jc w:val="both"/>
        <w:rPr>
          <w:rFonts w:ascii="Century Gothic" w:eastAsia="Yu Gothic UI Semibold" w:hAnsi="Century Gothic" w:cs="Arial"/>
          <w:iCs/>
          <w:sz w:val="21"/>
          <w:szCs w:val="21"/>
          <w:lang w:eastAsia="es-MX"/>
        </w:rPr>
      </w:pPr>
    </w:p>
    <w:p w14:paraId="670A3CC8" w14:textId="77777777" w:rsidR="005B4D3E" w:rsidRPr="00851774" w:rsidRDefault="005B4D3E" w:rsidP="005B4D3E">
      <w:pPr>
        <w:spacing w:after="0"/>
        <w:ind w:left="709" w:right="709"/>
        <w:contextualSpacing/>
        <w:jc w:val="both"/>
        <w:rPr>
          <w:rFonts w:ascii="Century Gothic" w:hAnsi="Century Gothic" w:cs="Arial"/>
          <w:noProof/>
          <w:sz w:val="21"/>
          <w:szCs w:val="21"/>
          <w:lang w:val="es-ES_tradnl"/>
        </w:rPr>
      </w:pPr>
      <w:r w:rsidRPr="00851774">
        <w:rPr>
          <w:rFonts w:ascii="Century Gothic" w:eastAsia="Yu Gothic UI Semibold" w:hAnsi="Century Gothic" w:cs="Arial"/>
          <w:iCs/>
          <w:sz w:val="21"/>
          <w:szCs w:val="21"/>
          <w:lang w:eastAsia="es-MX"/>
        </w:rPr>
        <w:t>“</w:t>
      </w:r>
      <w:r w:rsidRPr="00851774">
        <w:rPr>
          <w:rFonts w:ascii="Century Gothic" w:hAnsi="Century Gothic"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51774">
        <w:rPr>
          <w:rFonts w:ascii="Century Gothic" w:hAnsi="Century Gothic" w:cs="Arial"/>
          <w:noProof/>
          <w:sz w:val="21"/>
          <w:szCs w:val="21"/>
          <w:vertAlign w:val="superscript"/>
          <w:lang w:val="es-ES_tradnl"/>
        </w:rPr>
        <w:footnoteReference w:id="19"/>
      </w:r>
      <w:r w:rsidRPr="00851774">
        <w:rPr>
          <w:rFonts w:ascii="Century Gothic" w:hAnsi="Century Gothic" w:cs="Arial"/>
          <w:noProof/>
          <w:sz w:val="21"/>
          <w:szCs w:val="21"/>
          <w:lang w:val="es-ES_tradnl"/>
        </w:rPr>
        <w:t>.</w:t>
      </w:r>
    </w:p>
    <w:p w14:paraId="0ECAA9E3" w14:textId="77777777" w:rsidR="005B4D3E" w:rsidRPr="00851774" w:rsidRDefault="005B4D3E" w:rsidP="005B4D3E">
      <w:pPr>
        <w:spacing w:after="0" w:line="276" w:lineRule="auto"/>
        <w:ind w:left="709" w:right="709"/>
        <w:contextualSpacing/>
        <w:jc w:val="both"/>
        <w:rPr>
          <w:rFonts w:ascii="Century Gothic" w:hAnsi="Century Gothic" w:cs="Arial"/>
          <w:noProof/>
          <w:lang w:val="es-ES_tradnl"/>
        </w:rPr>
      </w:pPr>
    </w:p>
    <w:p w14:paraId="0FE42C27" w14:textId="77777777" w:rsidR="005B4D3E" w:rsidRPr="00851774" w:rsidRDefault="005B4D3E" w:rsidP="005B4D3E">
      <w:pPr>
        <w:spacing w:after="12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851774">
        <w:rPr>
          <w:rFonts w:ascii="Century Gothic" w:hAnsi="Century Gothic" w:cs="Arial"/>
          <w:noProof/>
          <w:vertAlign w:val="superscript"/>
          <w:lang w:val="es-ES_tradnl"/>
        </w:rPr>
        <w:footnoteReference w:id="20"/>
      </w:r>
      <w:r w:rsidRPr="00851774">
        <w:rPr>
          <w:rFonts w:ascii="Century Gothic" w:hAnsi="Century Gothic" w:cs="Arial"/>
          <w:noProof/>
          <w:lang w:val="es-ES_tradnl"/>
        </w:rPr>
        <w:t xml:space="preserve">. Esto también se deriva del artículo 2, numeral 4º, literal h) de la Ley </w:t>
      </w:r>
      <w:r w:rsidRPr="00851774">
        <w:rPr>
          <w:rFonts w:ascii="Century Gothic" w:hAnsi="Century Gothic" w:cs="Arial"/>
          <w:noProof/>
          <w:lang w:val="es-ES_tradnl"/>
        </w:rPr>
        <w:lastRenderedPageBreak/>
        <w:t>1150 de 2007, al señalar que procede la contratación directa para la prestación de servicios profesionales y de apoyo a la gestión o para la ejecución de trabajos artísticos que solo pueden encomendarse a determinadas personas.</w:t>
      </w:r>
    </w:p>
    <w:p w14:paraId="3F7EA0F8" w14:textId="77777777" w:rsidR="005B4D3E" w:rsidRPr="00851774" w:rsidRDefault="005B4D3E" w:rsidP="005B4D3E">
      <w:pPr>
        <w:spacing w:after="12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t>vi) Para su celebración no se requiere expedir un acto administrativo de justificación de la contratación directa</w:t>
      </w:r>
      <w:r w:rsidRPr="00851774">
        <w:rPr>
          <w:rFonts w:ascii="Century Gothic" w:hAnsi="Century Gothic" w:cs="Arial"/>
          <w:noProof/>
          <w:vertAlign w:val="superscript"/>
          <w:lang w:val="es-ES_tradnl"/>
        </w:rPr>
        <w:footnoteReference w:id="21"/>
      </w:r>
      <w:r w:rsidRPr="00851774">
        <w:rPr>
          <w:rFonts w:ascii="Century Gothic" w:hAnsi="Century Gothic" w:cs="Arial"/>
          <w:noProof/>
          <w:lang w:val="es-ES_tradnl"/>
        </w:rPr>
        <w:t>.</w:t>
      </w:r>
    </w:p>
    <w:p w14:paraId="77F22AE6" w14:textId="77777777" w:rsidR="005B4D3E" w:rsidRPr="00851774" w:rsidRDefault="005B4D3E" w:rsidP="005B4D3E">
      <w:pPr>
        <w:spacing w:after="12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851774">
        <w:rPr>
          <w:rFonts w:ascii="Century Gothic" w:hAnsi="Century Gothic" w:cs="Arial"/>
          <w:noProof/>
          <w:vertAlign w:val="superscript"/>
          <w:lang w:val="es-ES_tradnl"/>
        </w:rPr>
        <w:footnoteReference w:id="22"/>
      </w:r>
      <w:r w:rsidRPr="00851774">
        <w:rPr>
          <w:rFonts w:ascii="Century Gothic" w:hAnsi="Century Gothic" w:cs="Arial"/>
          <w:noProof/>
          <w:lang w:val="es-ES_tradnl"/>
        </w:rPr>
        <w:t>.</w:t>
      </w:r>
    </w:p>
    <w:p w14:paraId="2064AD79" w14:textId="77777777" w:rsidR="005B4D3E" w:rsidRPr="00851774" w:rsidRDefault="005B4D3E" w:rsidP="005B4D3E">
      <w:pPr>
        <w:spacing w:after="12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lastRenderedPageBreak/>
        <w:t>viii) No es obligatoria la liquidación de estos contratos, como lo establece el artículo 217 del Decreto 019 de 2012, que modificó el artículo 60 de la Ley 80 de 1993</w:t>
      </w:r>
      <w:r w:rsidRPr="00851774">
        <w:rPr>
          <w:rFonts w:ascii="Century Gothic" w:hAnsi="Century Gothic" w:cs="Arial"/>
          <w:noProof/>
          <w:vertAlign w:val="superscript"/>
          <w:lang w:val="es-ES_tradnl"/>
        </w:rPr>
        <w:footnoteReference w:id="23"/>
      </w:r>
      <w:r w:rsidRPr="00851774">
        <w:rPr>
          <w:rFonts w:ascii="Century Gothic" w:hAnsi="Century Gothic" w:cs="Arial"/>
          <w:noProof/>
          <w:lang w:val="es-ES_tradnl"/>
        </w:rPr>
        <w:t>.</w:t>
      </w:r>
    </w:p>
    <w:p w14:paraId="515FAE6F" w14:textId="77777777" w:rsidR="005B4D3E" w:rsidRPr="00851774" w:rsidRDefault="005B4D3E" w:rsidP="005B4D3E">
      <w:pPr>
        <w:spacing w:after="12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t>ix) Para su celebración el contratista no requiere estar inscrito en el Registro Único de Proponentes –en adelante RUP–, como lo señala el artículo 6 de la Ley 1150 de 2007</w:t>
      </w:r>
      <w:r w:rsidRPr="00851774">
        <w:rPr>
          <w:rFonts w:ascii="Century Gothic" w:hAnsi="Century Gothic" w:cs="Arial"/>
          <w:noProof/>
          <w:vertAlign w:val="superscript"/>
          <w:lang w:val="es-ES_tradnl"/>
        </w:rPr>
        <w:footnoteReference w:id="24"/>
      </w:r>
      <w:r w:rsidRPr="00851774">
        <w:rPr>
          <w:rFonts w:ascii="Century Gothic" w:hAnsi="Century Gothic" w:cs="Arial"/>
          <w:noProof/>
          <w:lang w:val="es-ES_tradnl"/>
        </w:rPr>
        <w:t>.</w:t>
      </w:r>
    </w:p>
    <w:p w14:paraId="5EB3A9FF" w14:textId="77777777" w:rsidR="005B4D3E" w:rsidRPr="00851774" w:rsidRDefault="005B4D3E" w:rsidP="005B4D3E">
      <w:pPr>
        <w:spacing w:after="120" w:line="276" w:lineRule="auto"/>
        <w:ind w:firstLine="708"/>
        <w:jc w:val="both"/>
        <w:rPr>
          <w:rFonts w:ascii="Century Gothic" w:hAnsi="Century Gothic" w:cs="Arial"/>
          <w:noProof/>
          <w:lang w:val="es-ES_tradnl"/>
        </w:rPr>
      </w:pPr>
      <w:r w:rsidRPr="00851774">
        <w:rPr>
          <w:rFonts w:ascii="Century Gothic" w:hAnsi="Century Gothic" w:cs="Arial"/>
          <w:noProof/>
          <w:lang w:val="es-ES_tradnl"/>
        </w:rPr>
        <w:t>x) No es obligtoria la exigencia de garantías</w:t>
      </w:r>
      <w:r w:rsidRPr="00851774">
        <w:rPr>
          <w:rFonts w:ascii="Century Gothic" w:hAnsi="Century Gothic" w:cs="Arial"/>
          <w:noProof/>
          <w:vertAlign w:val="superscript"/>
          <w:lang w:val="es-ES_tradnl"/>
        </w:rPr>
        <w:footnoteReference w:id="25"/>
      </w:r>
      <w:r w:rsidRPr="00851774">
        <w:rPr>
          <w:rFonts w:ascii="Century Gothic" w:hAnsi="Century Gothic" w:cs="Arial"/>
          <w:noProof/>
          <w:lang w:val="es-ES_tradnl"/>
        </w:rPr>
        <w:t>, y</w:t>
      </w:r>
    </w:p>
    <w:p w14:paraId="2D8D7507" w14:textId="77777777" w:rsidR="005B4D3E" w:rsidRPr="00851774" w:rsidRDefault="005B4D3E" w:rsidP="005B4D3E">
      <w:pPr>
        <w:spacing w:after="120" w:line="276" w:lineRule="auto"/>
        <w:ind w:firstLine="708"/>
        <w:jc w:val="both"/>
        <w:rPr>
          <w:rFonts w:ascii="Century Gothic" w:hAnsi="Century Gothic" w:cs="Arial"/>
          <w:noProof/>
          <w:lang w:val="es-ES_tradnl"/>
        </w:rPr>
      </w:pPr>
      <w:r w:rsidRPr="00851774">
        <w:rPr>
          <w:rFonts w:ascii="Century Gothic" w:hAnsi="Century Gothic" w:cs="Arial"/>
          <w:noProof/>
          <w:lang w:val="es-ES_tradnl"/>
        </w:rPr>
        <w:t>xi) Como los demás contratos estatales, se trata de un contrato solemne que debe constar por escrito y debe ser publicado en el SECOP.</w:t>
      </w:r>
    </w:p>
    <w:p w14:paraId="26CF5BC5" w14:textId="77777777" w:rsidR="005B4D3E" w:rsidRPr="00851774" w:rsidRDefault="005B4D3E" w:rsidP="005B4D3E">
      <w:pPr>
        <w:spacing w:after="120" w:line="276" w:lineRule="auto"/>
        <w:ind w:firstLine="708"/>
        <w:jc w:val="both"/>
        <w:rPr>
          <w:rFonts w:ascii="Century Gothic" w:hAnsi="Century Gothic" w:cs="Arial"/>
          <w:noProof/>
          <w:lang w:val="es-ES_tradnl"/>
        </w:rPr>
      </w:pPr>
      <w:r w:rsidRPr="00851774">
        <w:rPr>
          <w:rFonts w:ascii="Century Gothic" w:hAnsi="Century Gothic" w:cs="Arial"/>
          <w:noProof/>
          <w:lang w:val="es-ES_tradnl"/>
        </w:rPr>
        <w:t>Por otra parte, en lo concerniente a los honorarios en esta tipología contractual, resulta a bien indicar, que no existe en el Sistema de Compra y Contratación Pública una disposición que establezca la forma en la que deberían fijarse los honorarios de los contratistas de prestación de servicios profesionales, de apoyo a la gestión y de trabajos artísticos, pues en virtud del principio de autonomía de la voluntad, las partes pueden determinar el contenido de los contratos estales e incluir las condiciones, clásulas o estipulaciones que consideren necesarias para desarrollar el objeto contractual, siempre que no sean contrarias a la Constitución Política, la ley y el orden público.</w:t>
      </w:r>
    </w:p>
    <w:p w14:paraId="7C006051" w14:textId="77777777" w:rsidR="005B4D3E" w:rsidRPr="00851774" w:rsidRDefault="005B4D3E" w:rsidP="005B4D3E">
      <w:pPr>
        <w:spacing w:after="0" w:line="276" w:lineRule="auto"/>
        <w:ind w:firstLine="708"/>
        <w:jc w:val="both"/>
        <w:rPr>
          <w:rFonts w:ascii="Century Gothic" w:hAnsi="Century Gothic" w:cs="Arial"/>
          <w:noProof/>
          <w:lang w:val="es-ES_tradnl"/>
        </w:rPr>
      </w:pPr>
      <w:r w:rsidRPr="00851774">
        <w:rPr>
          <w:rFonts w:ascii="Century Gothic" w:hAnsi="Century Gothic" w:cs="Arial"/>
          <w:noProof/>
          <w:lang w:val="es-ES_tradnl"/>
        </w:rPr>
        <w:lastRenderedPageBreak/>
        <w:t>En consecuencia, las Entidades Estatales durante la etapa de planeación, tienen el deber de realizar el análisis del sector y justificar la modalidad de contratación en los documentos del proceso, que para el caso de los procesos que impliquen una contratación directa y en los contratos de prestación de servicios profesionales, de apoyo a la gestión y de trabajos artísiticosm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357BF5C4" w14:textId="77777777" w:rsidR="005B4D3E" w:rsidRPr="00851774" w:rsidRDefault="005B4D3E" w:rsidP="005B4D3E">
      <w:pPr>
        <w:spacing w:after="0" w:line="276" w:lineRule="auto"/>
        <w:jc w:val="both"/>
        <w:rPr>
          <w:rFonts w:ascii="Century Gothic" w:hAnsi="Century Gothic" w:cs="Arial"/>
          <w:noProof/>
          <w:lang w:val="es-ES_tradnl"/>
        </w:rPr>
      </w:pPr>
    </w:p>
    <w:p w14:paraId="6F90413C" w14:textId="77777777" w:rsidR="005B4D3E" w:rsidRPr="00851774" w:rsidRDefault="005B4D3E" w:rsidP="005B4D3E">
      <w:pPr>
        <w:spacing w:after="0" w:line="276" w:lineRule="auto"/>
        <w:jc w:val="both"/>
        <w:rPr>
          <w:rFonts w:ascii="Century Gothic" w:hAnsi="Century Gothic" w:cs="Arial"/>
          <w:b/>
          <w:bCs/>
          <w:noProof/>
          <w:lang w:val="es-ES_tradnl"/>
        </w:rPr>
      </w:pPr>
      <w:r w:rsidRPr="00851774">
        <w:rPr>
          <w:rFonts w:ascii="Century Gothic" w:hAnsi="Century Gothic" w:cs="Arial"/>
          <w:b/>
          <w:bCs/>
          <w:noProof/>
          <w:lang w:val="es-ES_tradnl"/>
        </w:rPr>
        <w:t>2</w:t>
      </w:r>
      <w:r>
        <w:rPr>
          <w:rFonts w:ascii="Century Gothic" w:hAnsi="Century Gothic" w:cs="Arial"/>
          <w:b/>
          <w:bCs/>
          <w:noProof/>
          <w:lang w:val="es-ES_tradnl"/>
        </w:rPr>
        <w:t xml:space="preserve">.4. </w:t>
      </w:r>
      <w:r w:rsidRPr="00851774">
        <w:rPr>
          <w:rFonts w:ascii="Century Gothic" w:hAnsi="Century Gothic" w:cs="Arial"/>
          <w:b/>
          <w:bCs/>
          <w:noProof/>
          <w:lang w:val="es-ES_tradnl"/>
        </w:rPr>
        <w:t>Distinción del contrato de prestación de servicios de los contratos de consultoría</w:t>
      </w:r>
    </w:p>
    <w:p w14:paraId="0C237D42" w14:textId="77777777" w:rsidR="005B4D3E" w:rsidRPr="00851774" w:rsidRDefault="005B4D3E" w:rsidP="005B4D3E">
      <w:pPr>
        <w:spacing w:after="0" w:line="276" w:lineRule="auto"/>
        <w:ind w:firstLine="709"/>
        <w:jc w:val="both"/>
        <w:rPr>
          <w:rFonts w:ascii="Century Gothic" w:hAnsi="Century Gothic" w:cs="Arial"/>
          <w:noProof/>
          <w:lang w:val="es-ES_tradnl"/>
        </w:rPr>
      </w:pPr>
    </w:p>
    <w:p w14:paraId="4888F42A" w14:textId="77777777" w:rsidR="005B4D3E" w:rsidRPr="00851774" w:rsidRDefault="005B4D3E" w:rsidP="005B4D3E">
      <w:pPr>
        <w:spacing w:after="120" w:line="276" w:lineRule="auto"/>
        <w:jc w:val="both"/>
        <w:rPr>
          <w:rFonts w:ascii="Century Gothic" w:hAnsi="Century Gothic" w:cs="Arial"/>
          <w:noProof/>
          <w:lang w:val="es-ES_tradnl"/>
        </w:rPr>
      </w:pPr>
      <w:r w:rsidRPr="00851774">
        <w:rPr>
          <w:rFonts w:ascii="Century Gothic" w:hAnsi="Century Gothic" w:cs="Arial"/>
          <w:noProof/>
          <w:lang w:val="es-ES_tradnl"/>
        </w:rPr>
        <w:t>El contrato de consultoría se encuentra definido en el el numeral 2 del artículo 32 de la Ley 80 de 1993, disposión que los define como aquelos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De igual forma, son contratos de consultoría los que tienen por objeto la interventoría, asesoría, gerencia de obra o de proyectos, dirección, programación y la ejecución de diseños, planos, anteproyectos y proyectos</w:t>
      </w:r>
      <w:r w:rsidRPr="00851774">
        <w:rPr>
          <w:rFonts w:ascii="Century Gothic" w:hAnsi="Century Gothic"/>
          <w:vertAlign w:val="superscript"/>
        </w:rPr>
        <w:footnoteReference w:id="26"/>
      </w:r>
      <w:r w:rsidRPr="00851774">
        <w:rPr>
          <w:rFonts w:ascii="Century Gothic" w:hAnsi="Century Gothic"/>
        </w:rPr>
        <w:t xml:space="preserve"> - </w:t>
      </w:r>
      <w:r w:rsidRPr="00851774">
        <w:rPr>
          <w:rFonts w:ascii="Century Gothic" w:hAnsi="Century Gothic"/>
          <w:vertAlign w:val="superscript"/>
        </w:rPr>
        <w:footnoteReference w:id="27"/>
      </w:r>
      <w:r w:rsidRPr="00851774">
        <w:rPr>
          <w:rFonts w:ascii="Century Gothic" w:hAnsi="Century Gothic"/>
        </w:rPr>
        <w:t>.</w:t>
      </w:r>
    </w:p>
    <w:p w14:paraId="490BC906" w14:textId="77777777" w:rsidR="005B4D3E" w:rsidRPr="00851774" w:rsidRDefault="005B4D3E" w:rsidP="005B4D3E">
      <w:pPr>
        <w:spacing w:line="276" w:lineRule="auto"/>
        <w:ind w:firstLine="708"/>
        <w:jc w:val="both"/>
        <w:rPr>
          <w:rFonts w:ascii="Century Gothic" w:hAnsi="Century Gothic"/>
        </w:rPr>
      </w:pPr>
      <w:r w:rsidRPr="00851774">
        <w:rPr>
          <w:rFonts w:ascii="Century Gothic" w:hAnsi="Century Gothic" w:cs="Arial"/>
          <w:noProof/>
          <w:lang w:val="es-ES_tradnl"/>
        </w:rPr>
        <w:lastRenderedPageBreak/>
        <w:t>La doctrina, por su parte, expresa que el numeral 2 del artículo 32 de la Ley 80 de 1993, no establce una definición de contrato de consultoría, sino que, simplemente, enuncia una serie de actividades que pueden hacer parte de este tipo contractual</w:t>
      </w:r>
      <w:r w:rsidRPr="00851774">
        <w:rPr>
          <w:rFonts w:ascii="Century Gothic" w:hAnsi="Century Gothic"/>
          <w:vertAlign w:val="superscript"/>
        </w:rPr>
        <w:footnoteReference w:id="28"/>
      </w:r>
      <w:r w:rsidRPr="00851774">
        <w:rPr>
          <w:rFonts w:ascii="Century Gothic" w:hAnsi="Century Gothic" w:cs="Arial"/>
          <w:noProof/>
          <w:lang w:val="es-ES_tradnl"/>
        </w:rPr>
        <w:t>. Es decir, no hay un concepto propio de consultoría dentro de la Ley 80 de 1993, pero sí se establecen los elementos o actividades que configuran este tipo de contratos. Sobre el particular, el Consejo de Estado manifestó: “Son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técnica de coordinación, control y supervisión, realizar actividades de interventoría, asesoría y gerencia de obra o de proyectos, así como la dirección, programación y la ejecución de diseños, planos, anteproyectos y proyectos, y el que la otra se obligue a pagar una determinada remuneración como retribución por el servicio prestado</w:t>
      </w:r>
      <w:r w:rsidRPr="00851774">
        <w:rPr>
          <w:rFonts w:ascii="Century Gothic" w:hAnsi="Century Gothic"/>
        </w:rPr>
        <w:t>”</w:t>
      </w:r>
      <w:r w:rsidRPr="00851774">
        <w:rPr>
          <w:rFonts w:ascii="Century Gothic" w:hAnsi="Century Gothic"/>
          <w:vertAlign w:val="superscript"/>
        </w:rPr>
        <w:footnoteReference w:id="29"/>
      </w:r>
      <w:r w:rsidRPr="00851774">
        <w:rPr>
          <w:rFonts w:ascii="Century Gothic" w:hAnsi="Century Gothic"/>
        </w:rPr>
        <w:t>.</w:t>
      </w:r>
    </w:p>
    <w:p w14:paraId="642BB5E2" w14:textId="77777777" w:rsidR="005B4D3E" w:rsidRPr="00851774" w:rsidRDefault="005B4D3E" w:rsidP="005B4D3E">
      <w:pPr>
        <w:spacing w:after="120" w:line="276" w:lineRule="auto"/>
        <w:ind w:firstLine="708"/>
        <w:jc w:val="both"/>
        <w:rPr>
          <w:rFonts w:ascii="Century Gothic" w:hAnsi="Century Gothic" w:cs="Arial"/>
          <w:noProof/>
          <w:lang w:val="es-ES_tradnl"/>
        </w:rPr>
      </w:pPr>
      <w:r w:rsidRPr="00851774">
        <w:rPr>
          <w:rFonts w:ascii="Century Gothic" w:hAnsi="Century Gothic" w:cs="Arial"/>
          <w:noProof/>
          <w:lang w:val="es-ES_tradnl"/>
        </w:rPr>
        <w:t xml:space="preserve">Ahora bien, </w:t>
      </w:r>
      <w:bookmarkStart w:id="8" w:name="_Hlk160180027"/>
      <w:r w:rsidRPr="00851774">
        <w:rPr>
          <w:rFonts w:ascii="Century Gothic" w:hAnsi="Century Gothic" w:cs="Arial"/>
          <w:noProof/>
          <w:lang w:val="es-ES_tradnl"/>
        </w:rPr>
        <w:t>pese a que el contrato de consultoría y el de prestación de servicios se asemejan en lo intelectual y profesional, el primero no puede tener como objeto contractual, actividades del segundo. Esto por cuanto, como lo indicó el Consejo de Estado en la antes referida sentencia de unificación jurisprudencial, si bien existe un componente intectual y profesional, tanto en los contratos de prestación de servicios profesionales y en los contratos de consultoría, el objeto contractual de este último es especial y debe celebrarse, por regla general, mediante la modalidad de selección de concurso de méritos. Así pues, debe aclararse, que no es factible suscribir un contrato de prestación de servicios profesionales para ejecutar actividades que se enmarcan en los contratos tipificados en el artículo 32 de la Ley 80 de 1993, como, por ejemplo, las consultorías</w:t>
      </w:r>
      <w:r w:rsidRPr="00851774">
        <w:rPr>
          <w:rFonts w:ascii="Century Gothic" w:eastAsia="Calibri" w:hAnsi="Century Gothic" w:cs="Arial"/>
          <w:noProof/>
          <w:lang w:val="es-ES_tradnl"/>
        </w:rPr>
        <w:t>.</w:t>
      </w:r>
    </w:p>
    <w:p w14:paraId="7BED7C9C" w14:textId="77777777" w:rsidR="005B4D3E" w:rsidRPr="00851774" w:rsidRDefault="005B4D3E" w:rsidP="005B4D3E">
      <w:pPr>
        <w:spacing w:after="120" w:line="276" w:lineRule="auto"/>
        <w:ind w:firstLine="708"/>
        <w:jc w:val="both"/>
        <w:rPr>
          <w:rFonts w:ascii="Century Gothic" w:hAnsi="Century Gothic" w:cs="Arial"/>
          <w:noProof/>
          <w:lang w:val="es-ES_tradnl"/>
        </w:rPr>
      </w:pPr>
      <w:r w:rsidRPr="00851774">
        <w:rPr>
          <w:rFonts w:ascii="Century Gothic" w:hAnsi="Century Gothic" w:cs="Arial"/>
          <w:noProof/>
          <w:lang w:val="es-ES_tradnl"/>
        </w:rPr>
        <w:t xml:space="preserve">Bajo este entendimiento, la característica fundamental para identifcar los contratos de consultoría es el carácter ampliamente técnico de su contenido, que se diferencia de otros tipos contractuales, como el de prestación de servicios –apoyo a la gestión, servicios profesionales o de ejecución de trabajos artísticos–. A </w:t>
      </w:r>
      <w:r w:rsidRPr="00851774">
        <w:rPr>
          <w:rFonts w:ascii="Century Gothic" w:hAnsi="Century Gothic" w:cs="Arial"/>
          <w:noProof/>
          <w:lang w:val="es-ES_tradnl"/>
        </w:rPr>
        <w:lastRenderedPageBreak/>
        <w:t>diferencia del contrato de consultoría, el de prestación de servicios supone tal y como se indicó en el numeral anterior, el desarrollo de actividades de colaboración y apoyo a la gestión de la entidad dirigidas al cumplimiento de las funciones asignadas a esta, de carácter temporal, excepcional u ocasional, siempre que no haya suficiente personal de planta o que, existiendo, está sobrecargado de trabajo, o que sean actividades que requieran conocimientos especializados, según lo prescrito en el numeral 3 del artículo 32 de la Ley 80 de 1993</w:t>
      </w:r>
      <w:bookmarkEnd w:id="8"/>
      <w:r w:rsidRPr="00851774">
        <w:rPr>
          <w:rFonts w:ascii="Century Gothic" w:hAnsi="Century Gothic"/>
          <w:vertAlign w:val="superscript"/>
        </w:rPr>
        <w:footnoteReference w:id="30"/>
      </w:r>
      <w:r w:rsidRPr="00851774">
        <w:rPr>
          <w:rFonts w:ascii="Century Gothic" w:hAnsi="Century Gothic"/>
        </w:rPr>
        <w:t>.</w:t>
      </w:r>
    </w:p>
    <w:p w14:paraId="60D260E2" w14:textId="77777777" w:rsidR="005B4D3E" w:rsidRPr="00851774" w:rsidRDefault="005B4D3E" w:rsidP="005B4D3E">
      <w:pPr>
        <w:spacing w:after="120" w:line="276" w:lineRule="auto"/>
        <w:ind w:firstLine="708"/>
        <w:jc w:val="both"/>
        <w:rPr>
          <w:rFonts w:ascii="Century Gothic" w:hAnsi="Century Gothic" w:cs="Arial"/>
          <w:noProof/>
          <w:lang w:val="es-ES_tradnl"/>
        </w:rPr>
      </w:pPr>
      <w:r w:rsidRPr="00851774">
        <w:rPr>
          <w:rFonts w:ascii="Century Gothic" w:hAnsi="Century Gothic" w:cs="Arial"/>
          <w:noProof/>
          <w:lang w:val="es-ES_tradnl"/>
        </w:rPr>
        <w:t>Finalmente, en lo que respecta a la modalidad de selección apliable para el contrato de consultoría, es importante aclarar que el numeral 3 del artículo 2 de la Ley 1150 de 2007, establece que el concurso de méritos es, en principio, la modalidad de selección aplicable para la celebración de este tipo de contratos</w:t>
      </w:r>
      <w:r w:rsidRPr="00851774">
        <w:rPr>
          <w:rFonts w:ascii="Century Gothic" w:hAnsi="Century Gothic"/>
          <w:vertAlign w:val="superscript"/>
        </w:rPr>
        <w:footnoteReference w:id="31"/>
      </w:r>
      <w:r w:rsidRPr="00851774">
        <w:rPr>
          <w:rFonts w:ascii="Century Gothic" w:hAnsi="Century Gothic"/>
        </w:rPr>
        <w:t xml:space="preserve">. </w:t>
      </w:r>
      <w:r w:rsidRPr="00851774">
        <w:rPr>
          <w:rFonts w:ascii="Century Gothic" w:hAnsi="Century Gothic" w:cs="Arial"/>
          <w:noProof/>
          <w:lang w:val="es-ES_tradnl"/>
        </w:rPr>
        <w:t xml:space="preserve">Al respecto, 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ibidem. El segundo, además de los dos artículos anteriores, lo regulan los artículos 2.2.1.2.1.3.3. a 2.2.1.2.1.3.7. </w:t>
      </w:r>
      <w:r w:rsidRPr="00851774">
        <w:rPr>
          <w:rFonts w:ascii="Century Gothic" w:hAnsi="Century Gothic" w:cs="Arial"/>
          <w:noProof/>
          <w:lang w:val="es-ES_tradnl"/>
        </w:rPr>
        <w:lastRenderedPageBreak/>
        <w:t>ejusdem. Y, el tercero, lo regulan los artículos 2.2.1.2.1.3.8. a 2.2.1.2.1.3.25. del mencionado Decret</w:t>
      </w:r>
      <w:r w:rsidRPr="00851774">
        <w:rPr>
          <w:rFonts w:ascii="Century Gothic" w:hAnsi="Century Gothic"/>
        </w:rPr>
        <w:t>o</w:t>
      </w:r>
      <w:r w:rsidRPr="00851774">
        <w:rPr>
          <w:rFonts w:ascii="Century Gothic" w:hAnsi="Century Gothic"/>
          <w:vertAlign w:val="superscript"/>
        </w:rPr>
        <w:footnoteReference w:id="32"/>
      </w:r>
      <w:r w:rsidRPr="00851774">
        <w:rPr>
          <w:rFonts w:ascii="Century Gothic" w:hAnsi="Century Gothic"/>
        </w:rPr>
        <w:t>.</w:t>
      </w:r>
    </w:p>
    <w:p w14:paraId="01DBB3D1" w14:textId="77777777" w:rsidR="005B4D3E" w:rsidRPr="00851774" w:rsidRDefault="005B4D3E" w:rsidP="005B4D3E">
      <w:pPr>
        <w:spacing w:after="120" w:line="276" w:lineRule="auto"/>
        <w:ind w:firstLine="708"/>
        <w:jc w:val="both"/>
        <w:rPr>
          <w:rFonts w:ascii="Century Gothic" w:hAnsi="Century Gothic" w:cs="Arial"/>
          <w:noProof/>
          <w:lang w:val="es-ES_tradnl"/>
        </w:rPr>
      </w:pPr>
      <w:r w:rsidRPr="00851774">
        <w:rPr>
          <w:rFonts w:ascii="Century Gothic" w:hAnsi="Century Gothic" w:cs="Arial"/>
          <w:noProof/>
          <w:lang w:val="es-ES_tradnl"/>
        </w:rPr>
        <w:t>Sin embargo, lo anterior no significa que los contratos de consultoría solo puedan perfeccionarse con la previa realización de la modalidad de selección de un concurso de méritos. El procedimiento que antecede su celebración también puede ser, excepcionalmente, desarrollado mediante el proceso de mínima cuantía –cuando el presupuesto oficial no exceda el 10% de la menor cuantía– o el de contratación directa, pues el artículo 2º, numeral 4º de la Ley 1150 establece algunas circunstancias que así lo permiten, como la urgencia manifiesta –literal a)– o los contratos interadministrativos –literal c)–. Estas modalidades de selección alternativas, mediante las cuales, excepcionalmente, se puede celebrar un contrato de consultoría, se explican a continuación:</w:t>
      </w:r>
    </w:p>
    <w:p w14:paraId="648E1A1D" w14:textId="77777777" w:rsidR="005B4D3E" w:rsidRPr="00851774" w:rsidRDefault="005B4D3E" w:rsidP="005B4D3E">
      <w:pPr>
        <w:spacing w:after="0" w:line="276" w:lineRule="auto"/>
        <w:ind w:firstLine="708"/>
        <w:jc w:val="both"/>
        <w:rPr>
          <w:rFonts w:ascii="Century Gothic" w:eastAsia="Times New Roman" w:hAnsi="Century Gothic" w:cs="Arial"/>
          <w:iCs/>
          <w:szCs w:val="24"/>
          <w:lang w:val="es-ES_tradnl" w:eastAsia="es-ES_tradnl"/>
        </w:rPr>
      </w:pPr>
      <w:r w:rsidRPr="00851774">
        <w:rPr>
          <w:rFonts w:ascii="Century Gothic" w:hAnsi="Century Gothic" w:cs="Arial"/>
          <w:noProof/>
          <w:lang w:val="es-ES_tradnl"/>
        </w:rPr>
        <w:t>a) Respecto a la modalidad de selección de mínima cuantía, la Agencia Nacional de Contratación Pública – Colombia Compra Eficiente, en el “Manual de la Modalidad de Selección de Mínima Cuantía” expresó</w:t>
      </w:r>
      <w:r w:rsidRPr="00851774">
        <w:rPr>
          <w:rFonts w:ascii="Century Gothic" w:eastAsia="Times New Roman" w:hAnsi="Century Gothic" w:cs="Arial"/>
          <w:iCs/>
          <w:szCs w:val="24"/>
          <w:lang w:val="es-ES_tradnl" w:eastAsia="es-ES_tradnl"/>
        </w:rPr>
        <w:t xml:space="preserve">: </w:t>
      </w:r>
    </w:p>
    <w:p w14:paraId="3A8CA56D" w14:textId="77777777" w:rsidR="005B4D3E" w:rsidRPr="00851774" w:rsidRDefault="005B4D3E" w:rsidP="005B4D3E">
      <w:pPr>
        <w:spacing w:after="0" w:line="276" w:lineRule="auto"/>
        <w:jc w:val="both"/>
        <w:rPr>
          <w:rFonts w:ascii="Century Gothic" w:eastAsia="Times New Roman" w:hAnsi="Century Gothic" w:cs="Arial"/>
          <w:iCs/>
          <w:szCs w:val="24"/>
          <w:lang w:val="es-ES_tradnl" w:eastAsia="es-ES_tradnl"/>
        </w:rPr>
      </w:pPr>
    </w:p>
    <w:p w14:paraId="40B31DBD" w14:textId="77777777" w:rsidR="005B4D3E" w:rsidRPr="00851774" w:rsidRDefault="005B4D3E" w:rsidP="005B4D3E">
      <w:pPr>
        <w:spacing w:after="0" w:line="240" w:lineRule="auto"/>
        <w:ind w:left="709" w:right="709"/>
        <w:jc w:val="both"/>
        <w:rPr>
          <w:rFonts w:ascii="Century Gothic" w:eastAsia="Times New Roman" w:hAnsi="Century Gothic" w:cs="Arial"/>
          <w:iCs/>
          <w:sz w:val="21"/>
          <w:szCs w:val="21"/>
          <w:lang w:val="es-ES_tradnl" w:eastAsia="es-ES_tradnl"/>
        </w:rPr>
      </w:pPr>
      <w:r w:rsidRPr="00851774">
        <w:rPr>
          <w:rFonts w:ascii="Century Gothic" w:eastAsia="Times New Roman" w:hAnsi="Century Gothic" w:cs="Arial"/>
          <w:iCs/>
          <w:sz w:val="21"/>
          <w:szCs w:val="21"/>
          <w:lang w:val="es-ES_tradnl" w:eastAsia="es-ES_tradnl"/>
        </w:rPr>
        <w:t>“Las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w:t>
      </w:r>
    </w:p>
    <w:p w14:paraId="3288BF04" w14:textId="77777777" w:rsidR="005B4D3E" w:rsidRPr="00851774" w:rsidRDefault="005B4D3E" w:rsidP="005B4D3E">
      <w:pPr>
        <w:spacing w:before="120" w:after="0" w:line="240" w:lineRule="auto"/>
        <w:ind w:left="709" w:right="709"/>
        <w:jc w:val="both"/>
        <w:rPr>
          <w:rFonts w:ascii="Century Gothic" w:eastAsia="Times New Roman" w:hAnsi="Century Gothic" w:cs="Arial"/>
          <w:iCs/>
          <w:sz w:val="21"/>
          <w:szCs w:val="21"/>
          <w:lang w:val="es-ES_tradnl" w:eastAsia="es-ES_tradnl"/>
        </w:rPr>
      </w:pPr>
      <w:r w:rsidRPr="00851774">
        <w:rPr>
          <w:rFonts w:ascii="Century Gothic" w:eastAsia="Times New Roman" w:hAnsi="Century Gothic" w:cs="Arial"/>
          <w:iCs/>
          <w:sz w:val="21"/>
          <w:szCs w:val="21"/>
          <w:lang w:val="es-ES_tradnl" w:eastAsia="es-ES_tradnl"/>
        </w:rPr>
        <w:t>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r w:rsidRPr="00851774">
        <w:rPr>
          <w:rFonts w:ascii="Century Gothic" w:eastAsia="Times New Roman" w:hAnsi="Century Gothic" w:cs="Arial"/>
          <w:iCs/>
          <w:sz w:val="21"/>
          <w:szCs w:val="21"/>
          <w:vertAlign w:val="superscript"/>
          <w:lang w:val="es-ES_tradnl" w:eastAsia="es-ES_tradnl"/>
        </w:rPr>
        <w:footnoteReference w:id="33"/>
      </w:r>
      <w:r w:rsidRPr="00851774">
        <w:rPr>
          <w:rFonts w:ascii="Century Gothic" w:eastAsia="Times New Roman" w:hAnsi="Century Gothic" w:cs="Arial"/>
          <w:iCs/>
          <w:sz w:val="21"/>
          <w:szCs w:val="21"/>
          <w:lang w:val="es-ES_tradnl" w:eastAsia="es-ES_tradnl"/>
        </w:rPr>
        <w:t>.</w:t>
      </w:r>
    </w:p>
    <w:p w14:paraId="4314D0BF" w14:textId="77777777" w:rsidR="005B4D3E" w:rsidRPr="00851774" w:rsidRDefault="005B4D3E" w:rsidP="005B4D3E">
      <w:pPr>
        <w:spacing w:after="0" w:line="276" w:lineRule="auto"/>
        <w:ind w:firstLine="709"/>
        <w:jc w:val="both"/>
        <w:rPr>
          <w:rFonts w:ascii="Century Gothic" w:eastAsia="Times New Roman" w:hAnsi="Century Gothic" w:cs="Arial"/>
          <w:iCs/>
          <w:szCs w:val="24"/>
          <w:lang w:val="es-ES_tradnl" w:eastAsia="es-ES_tradnl"/>
        </w:rPr>
      </w:pPr>
    </w:p>
    <w:p w14:paraId="1099167E" w14:textId="77777777" w:rsidR="005B4D3E" w:rsidRPr="00851774" w:rsidRDefault="005B4D3E" w:rsidP="005B4D3E">
      <w:pPr>
        <w:spacing w:after="0" w:line="276" w:lineRule="auto"/>
        <w:ind w:firstLine="709"/>
        <w:jc w:val="both"/>
        <w:rPr>
          <w:rFonts w:ascii="Century Gothic" w:eastAsia="Times New Roman" w:hAnsi="Century Gothic" w:cs="Arial"/>
          <w:iCs/>
          <w:szCs w:val="24"/>
          <w:lang w:val="es-ES_tradnl" w:eastAsia="es-ES_tradnl"/>
        </w:rPr>
      </w:pPr>
      <w:r w:rsidRPr="00851774">
        <w:rPr>
          <w:rFonts w:ascii="Century Gothic" w:hAnsi="Century Gothic" w:cs="Arial"/>
          <w:noProof/>
          <w:lang w:val="es-ES_tradnl"/>
        </w:rPr>
        <w:t>De esta manera, la Agencia Nacional de Contratación Pública – Colombia Compra Eficiente establece que hay una regla de especialidad de la modalidad de selección de mínima cuantía respecto al concurso de méritos para la escogencia de consultores, pero con la condición de que el presupuesto de contratación sea menor o igual al dispuesto por la entidad para el proceso de selección de mínima cuantía</w:t>
      </w:r>
      <w:r w:rsidRPr="00851774">
        <w:rPr>
          <w:rFonts w:ascii="Century Gothic" w:eastAsia="Times New Roman" w:hAnsi="Century Gothic" w:cs="Arial"/>
          <w:iCs/>
          <w:szCs w:val="24"/>
          <w:lang w:val="es-ES_tradnl" w:eastAsia="es-ES_tradnl"/>
        </w:rPr>
        <w:t xml:space="preserve">. </w:t>
      </w:r>
    </w:p>
    <w:p w14:paraId="5C0090DA" w14:textId="77777777" w:rsidR="005B4D3E" w:rsidRPr="00851774" w:rsidRDefault="005B4D3E" w:rsidP="005B4D3E">
      <w:pPr>
        <w:spacing w:before="120" w:after="120" w:line="276" w:lineRule="auto"/>
        <w:ind w:firstLine="709"/>
        <w:jc w:val="both"/>
        <w:rPr>
          <w:rFonts w:ascii="Century Gothic" w:eastAsia="Times New Roman" w:hAnsi="Century Gothic" w:cs="Arial"/>
          <w:iCs/>
          <w:szCs w:val="24"/>
          <w:lang w:val="es-ES_tradnl" w:eastAsia="es-ES_tradnl"/>
        </w:rPr>
      </w:pPr>
      <w:r w:rsidRPr="00851774">
        <w:rPr>
          <w:rFonts w:ascii="Century Gothic" w:hAnsi="Century Gothic" w:cs="Arial"/>
          <w:noProof/>
          <w:lang w:val="es-ES_tradnl"/>
        </w:rPr>
        <w:t>b) Otra forma de celebrar un contrato de consultoría es de manera directa, si previamente se ha declarado la urgencia manifiesta, que está regulada en el artículo 2, numeral 4, literal a) de la Ley 1150 de 2007 y si la actividad de consultoría es indispensable para remediar o mitigar el evento urgente. Para entender la urgencia hay que acudir al artículo 42 de la Ley 80 de 1993</w:t>
      </w:r>
      <w:r w:rsidRPr="00851774">
        <w:rPr>
          <w:rFonts w:ascii="Century Gothic" w:eastAsia="Times New Roman" w:hAnsi="Century Gothic" w:cs="Arial"/>
          <w:iCs/>
          <w:szCs w:val="24"/>
          <w:vertAlign w:val="superscript"/>
          <w:lang w:val="es-ES_tradnl" w:eastAsia="es-ES_tradnl"/>
        </w:rPr>
        <w:footnoteReference w:id="34"/>
      </w:r>
      <w:r w:rsidRPr="00851774">
        <w:rPr>
          <w:rFonts w:ascii="Century Gothic" w:eastAsia="Times New Roman" w:hAnsi="Century Gothic" w:cs="Arial"/>
          <w:iCs/>
          <w:szCs w:val="24"/>
          <w:lang w:val="es-ES_tradnl" w:eastAsia="es-ES_tradnl"/>
        </w:rPr>
        <w:t xml:space="preserve">, </w:t>
      </w:r>
      <w:r w:rsidRPr="00851774">
        <w:rPr>
          <w:rFonts w:ascii="Century Gothic" w:hAnsi="Century Gothic" w:cs="Arial"/>
          <w:noProof/>
          <w:lang w:val="es-ES_tradnl"/>
        </w:rPr>
        <w:t>que la define como una circunstancia que exige, con carácter apremiante, preservar la continuidad del servicio, cuando se afecta por situaciones de fuerza mayor, desastres, calamidades o hechos relacionados con los estados de excepción. Por ello, para la doctrina, las situaciones de urgencia manifiesta deben ser concretas, inmediatas, objetivas y probadas, pues se trata de circunstancias de hechos actuales, debidamente acreditadas y fundadas por estudios técnicos, verificadas por la autoridad competente</w:t>
      </w:r>
      <w:r w:rsidRPr="00851774">
        <w:rPr>
          <w:rFonts w:ascii="Century Gothic" w:eastAsia="Times New Roman" w:hAnsi="Century Gothic" w:cs="Arial"/>
          <w:iCs/>
          <w:szCs w:val="24"/>
          <w:vertAlign w:val="superscript"/>
          <w:lang w:val="es-ES_tradnl" w:eastAsia="es-ES_tradnl"/>
        </w:rPr>
        <w:footnoteReference w:id="35"/>
      </w:r>
      <w:r w:rsidRPr="00851774">
        <w:rPr>
          <w:rFonts w:ascii="Century Gothic" w:eastAsia="Times New Roman" w:hAnsi="Century Gothic" w:cs="Arial"/>
          <w:iCs/>
          <w:szCs w:val="24"/>
          <w:lang w:val="es-ES_tradnl" w:eastAsia="es-ES_tradnl"/>
        </w:rPr>
        <w:t>.</w:t>
      </w:r>
    </w:p>
    <w:p w14:paraId="1CC1D410" w14:textId="77777777" w:rsidR="005B4D3E" w:rsidRPr="00851774" w:rsidRDefault="005B4D3E" w:rsidP="005B4D3E">
      <w:pPr>
        <w:spacing w:before="120" w:after="120" w:line="276" w:lineRule="auto"/>
        <w:ind w:firstLine="709"/>
        <w:jc w:val="both"/>
        <w:rPr>
          <w:rFonts w:ascii="Century Gothic" w:eastAsia="Times New Roman" w:hAnsi="Century Gothic" w:cs="Arial"/>
          <w:iCs/>
          <w:szCs w:val="24"/>
          <w:lang w:val="es-ES_tradnl" w:eastAsia="es-ES_tradnl"/>
        </w:rPr>
      </w:pPr>
      <w:r w:rsidRPr="00851774">
        <w:rPr>
          <w:rFonts w:ascii="Century Gothic" w:hAnsi="Century Gothic" w:cs="Arial"/>
          <w:noProof/>
          <w:lang w:val="es-ES_tradnl"/>
        </w:rPr>
        <w:t xml:space="preserve">En esos casos excepcionales, que prometen fines superiores de interés colectivo, con mayor razón, son de obligatoria aplicación los objetivos de la contratación administrativa, previstos en el artículo 3 de la Ley 80 de 1993, pues el incumplimiento de los fines estatales, la continua y eficiente prestación de los </w:t>
      </w:r>
      <w:r w:rsidRPr="00851774">
        <w:rPr>
          <w:rFonts w:ascii="Century Gothic" w:hAnsi="Century Gothic" w:cs="Arial"/>
          <w:noProof/>
          <w:lang w:val="es-ES_tradnl"/>
        </w:rPr>
        <w:lastRenderedPageBreak/>
        <w:t>servicios públicos, y la efectividad de los derechos e intereses de los administrados que colaboran con entidades y organismos del Estado en la consecución de dichos propósitos, confieren un fundamento adicional a esta causal de contratación directa</w:t>
      </w:r>
      <w:r w:rsidRPr="00851774">
        <w:rPr>
          <w:rFonts w:ascii="Century Gothic" w:eastAsia="Times New Roman" w:hAnsi="Century Gothic" w:cs="Arial"/>
          <w:iCs/>
          <w:szCs w:val="24"/>
          <w:vertAlign w:val="superscript"/>
          <w:lang w:val="es-ES_tradnl" w:eastAsia="es-ES_tradnl"/>
        </w:rPr>
        <w:footnoteReference w:id="36"/>
      </w:r>
      <w:r w:rsidRPr="00851774">
        <w:rPr>
          <w:rFonts w:ascii="Century Gothic" w:eastAsia="Times New Roman" w:hAnsi="Century Gothic" w:cs="Arial"/>
          <w:iCs/>
          <w:szCs w:val="24"/>
          <w:lang w:val="es-ES_tradnl" w:eastAsia="es-ES_tradnl"/>
        </w:rPr>
        <w:t xml:space="preserve">. </w:t>
      </w:r>
      <w:r w:rsidRPr="00851774">
        <w:rPr>
          <w:rFonts w:ascii="Century Gothic" w:hAnsi="Century Gothic" w:cs="Arial"/>
          <w:noProof/>
          <w:lang w:val="es-ES_tradnl"/>
        </w:rPr>
        <w:t>Por ello, en los supuestos y en las condiciones de una urgencia manifiesta también podrá celebrarse un contrato de consultoría, si este resulta estrictamente necesario.</w:t>
      </w:r>
    </w:p>
    <w:p w14:paraId="52F12D9F" w14:textId="77777777" w:rsidR="005B4D3E" w:rsidRPr="00851774" w:rsidRDefault="005B4D3E" w:rsidP="005B4D3E">
      <w:pPr>
        <w:spacing w:after="0" w:line="276" w:lineRule="auto"/>
        <w:ind w:firstLine="709"/>
        <w:jc w:val="both"/>
        <w:rPr>
          <w:rFonts w:ascii="Century Gothic" w:hAnsi="Century Gothic" w:cs="Arial"/>
          <w:noProof/>
          <w:lang w:val="es-ES_tradnl"/>
        </w:rPr>
      </w:pPr>
      <w:r w:rsidRPr="00851774">
        <w:rPr>
          <w:rFonts w:ascii="Century Gothic" w:hAnsi="Century Gothic" w:cs="Arial"/>
          <w:noProof/>
          <w:lang w:val="es-ES_tradnl"/>
        </w:rPr>
        <w:t>c) Finalmente, otra forma para la configuración de un contrato de consultoría es por medio de la celebración de contratos interadministrativos, la cual es una causal de contratación directa, que obedece, antes que nada, a la naturaleza de las partes. Es decir, para suscribir un contrato o un convenio interadministrativo, en principio, no interesa el objeto del contrato, pudiendo ser de obra pública, de consultoría, de suministro, de prestación de servicios, de arrendamiento, entre otros. Se establece que, en principio, no es relevante el objeto del contrato, porque el artículo 2, numeral 4, literal c), en su segundo inciso, establece una excepción a dicha regla, al prohibir que determinados contratos interadministrativos se celebren con ciertas entidades –dentro de las cuales están las instituciones de educación superior públicas– si estas son las ejecutoras, condicionándolo a que deberán estar precedidos de licitación pública o selección abreviada. Estos objetos, se recuerda, son “los contratos de obra, suministro, prestación de servicios de evaluación de conformidad respecto de las normas o reglamentaciones técnicos, encargos fiduciarios y fiducia pública”</w:t>
      </w:r>
      <w:r w:rsidRPr="00851774">
        <w:rPr>
          <w:rFonts w:ascii="Century Gothic" w:hAnsi="Century Gothic" w:cs="Arial"/>
          <w:noProof/>
          <w:lang w:val="es-ES_tradnl"/>
        </w:rPr>
        <w:footnoteReference w:id="37"/>
      </w:r>
      <w:r w:rsidRPr="00851774">
        <w:rPr>
          <w:rFonts w:ascii="Century Gothic" w:hAnsi="Century Gothic" w:cs="Arial"/>
          <w:noProof/>
          <w:lang w:val="es-ES_tradnl"/>
        </w:rPr>
        <w:t>. De este modo, podrán adelantarse mediante contratos interadministrativos los de consultoría, pues no se encuentran dentro de la restricción del artículo 2, numeral 4, literal c), en el segundo inciso de la Ley 1150 de 2007.</w:t>
      </w:r>
    </w:p>
    <w:p w14:paraId="0970155E" w14:textId="77777777" w:rsidR="005B4D3E" w:rsidRPr="00851774" w:rsidRDefault="005B4D3E" w:rsidP="005B4D3E">
      <w:pPr>
        <w:tabs>
          <w:tab w:val="left" w:pos="0"/>
        </w:tabs>
        <w:spacing w:after="0"/>
        <w:ind w:left="709" w:hanging="709"/>
        <w:jc w:val="both"/>
        <w:rPr>
          <w:rFonts w:ascii="Century Gothic" w:eastAsia="Calibri" w:hAnsi="Century Gothic" w:cs="Arial"/>
          <w:b/>
          <w:lang w:val="es-ES_tradnl"/>
        </w:rPr>
      </w:pPr>
    </w:p>
    <w:p w14:paraId="2BF05A24" w14:textId="77777777" w:rsidR="005B4D3E" w:rsidRPr="00851774" w:rsidRDefault="005B4D3E" w:rsidP="005B4D3E">
      <w:pPr>
        <w:spacing w:after="0" w:line="276" w:lineRule="auto"/>
        <w:jc w:val="both"/>
        <w:rPr>
          <w:rFonts w:ascii="Century Gothic" w:eastAsia="Calibri" w:hAnsi="Century Gothic" w:cs="Arial"/>
          <w:b/>
          <w:bCs/>
          <w:lang w:val="es-ES"/>
        </w:rPr>
      </w:pPr>
      <w:r w:rsidRPr="00851774">
        <w:rPr>
          <w:rFonts w:ascii="Century Gothic" w:eastAsia="Calibri" w:hAnsi="Century Gothic" w:cs="Arial"/>
          <w:b/>
          <w:bCs/>
          <w:lang w:val="es-ES_tradnl" w:eastAsia="es-MX"/>
        </w:rPr>
        <w:t>2.</w:t>
      </w:r>
      <w:r>
        <w:rPr>
          <w:rFonts w:ascii="Century Gothic" w:eastAsia="Calibri" w:hAnsi="Century Gothic" w:cs="Arial"/>
          <w:b/>
          <w:bCs/>
          <w:lang w:val="es-ES_tradnl" w:eastAsia="es-MX"/>
        </w:rPr>
        <w:t>5</w:t>
      </w:r>
      <w:r w:rsidRPr="00851774">
        <w:rPr>
          <w:rFonts w:ascii="Century Gothic" w:eastAsia="Calibri" w:hAnsi="Century Gothic" w:cs="Arial"/>
          <w:b/>
          <w:bCs/>
          <w:lang w:val="es-ES_tradnl" w:eastAsia="es-MX"/>
        </w:rPr>
        <w:t>. Reglas de subsanabilidad de las ofertas en los procesos regulados por el Estatuto General de Contratación de la Administración Pública. Reiteración de línea</w:t>
      </w:r>
    </w:p>
    <w:p w14:paraId="3EBEEA40" w14:textId="77777777" w:rsidR="005B4D3E" w:rsidRPr="00851774" w:rsidRDefault="005B4D3E" w:rsidP="005B4D3E">
      <w:pPr>
        <w:tabs>
          <w:tab w:val="left" w:pos="0"/>
        </w:tabs>
        <w:spacing w:after="0"/>
        <w:ind w:left="709" w:hanging="709"/>
        <w:jc w:val="both"/>
        <w:rPr>
          <w:rFonts w:ascii="Century Gothic" w:eastAsia="Times New Roman" w:hAnsi="Century Gothic" w:cs="Arial"/>
          <w:iCs/>
          <w:szCs w:val="24"/>
          <w:lang w:val="es-ES_tradnl" w:eastAsia="es-ES_tradnl"/>
        </w:rPr>
      </w:pPr>
    </w:p>
    <w:p w14:paraId="3D2D648E" w14:textId="77777777" w:rsidR="005B4D3E" w:rsidRPr="00851774" w:rsidRDefault="005B4D3E" w:rsidP="005B4D3E">
      <w:pPr>
        <w:tabs>
          <w:tab w:val="left" w:pos="567"/>
        </w:tabs>
        <w:spacing w:after="120" w:line="276" w:lineRule="auto"/>
        <w:jc w:val="both"/>
        <w:rPr>
          <w:rFonts w:ascii="Century Gothic" w:eastAsia="Calibri" w:hAnsi="Century Gothic" w:cs="Arial"/>
        </w:rPr>
      </w:pPr>
      <w:r w:rsidRPr="00851774">
        <w:rPr>
          <w:rFonts w:ascii="Century Gothic" w:eastAsia="Calibri" w:hAnsi="Century Gothic" w:cs="Arial"/>
        </w:rPr>
        <w:t xml:space="preserve">La regla de subsanabilidad es un mecanismo previsto en los procesos de contratación que se regulan por el EGCAP. Esta regla, prevista en el artículo 5 de la Ley 1150 de 2007, consiste en permitir que los proponentes puedan enmendar, </w:t>
      </w:r>
      <w:r w:rsidRPr="00851774">
        <w:rPr>
          <w:rFonts w:ascii="Century Gothic" w:eastAsia="Calibri" w:hAnsi="Century Gothic" w:cs="Arial"/>
        </w:rPr>
        <w:lastRenderedPageBreak/>
        <w:t>corregir o modificar los errores en los que se incurre en los documentos contentivos de la oferta. Así lo ha establecido el Consejo de Estado, en los siguientes términos: “[…]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851774">
        <w:rPr>
          <w:rFonts w:ascii="Century Gothic" w:eastAsia="Calibri" w:hAnsi="Century Gothic" w:cs="Arial"/>
          <w:vertAlign w:val="superscript"/>
        </w:rPr>
        <w:footnoteReference w:id="38"/>
      </w:r>
      <w:r w:rsidRPr="00851774">
        <w:rPr>
          <w:rFonts w:ascii="Century Gothic" w:eastAsia="Calibri" w:hAnsi="Century Gothic" w:cs="Arial"/>
        </w:rPr>
        <w:t xml:space="preserve">. </w:t>
      </w:r>
    </w:p>
    <w:p w14:paraId="1177641F" w14:textId="77777777" w:rsidR="005B4D3E" w:rsidRPr="00851774" w:rsidRDefault="005B4D3E" w:rsidP="005B4D3E">
      <w:pPr>
        <w:widowControl w:val="0"/>
        <w:autoSpaceDE w:val="0"/>
        <w:autoSpaceDN w:val="0"/>
        <w:spacing w:after="0" w:line="276" w:lineRule="auto"/>
        <w:ind w:firstLine="609"/>
        <w:jc w:val="both"/>
        <w:rPr>
          <w:rFonts w:ascii="Century Gothic" w:eastAsia="Calibri" w:hAnsi="Century Gothic" w:cs="Arial"/>
        </w:rPr>
      </w:pPr>
      <w:r w:rsidRPr="00851774">
        <w:rPr>
          <w:rFonts w:ascii="Century Gothic" w:eastAsia="Calibri" w:hAnsi="Century Gothic" w:cs="Arial"/>
        </w:rPr>
        <w:t>Esta Subdirección se ha pronunciado en diversas oportunidades acerca del alcance de la regla de la subsanabilidad, contenida actualmente en el parágrafo 1 del artículo 5 de la Ley 1150 de 2007, modificado por el artículo 5 de la Ley 1882 de 2018</w:t>
      </w:r>
      <w:r w:rsidRPr="00851774">
        <w:rPr>
          <w:rFonts w:ascii="Century Gothic" w:eastAsia="Calibri" w:hAnsi="Century Gothic" w:cs="Arial"/>
          <w:vertAlign w:val="superscript"/>
        </w:rPr>
        <w:footnoteReference w:id="39"/>
      </w:r>
      <w:r w:rsidRPr="00851774">
        <w:rPr>
          <w:rFonts w:ascii="Century Gothic" w:eastAsia="Calibri" w:hAnsi="Century Gothic" w:cs="Aria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2C48A625" w14:textId="77777777" w:rsidR="005B4D3E" w:rsidRPr="00851774" w:rsidRDefault="005B4D3E" w:rsidP="005B4D3E">
      <w:pPr>
        <w:widowControl w:val="0"/>
        <w:tabs>
          <w:tab w:val="left" w:pos="284"/>
        </w:tabs>
        <w:autoSpaceDE w:val="0"/>
        <w:autoSpaceDN w:val="0"/>
        <w:spacing w:before="120" w:after="0" w:line="276" w:lineRule="auto"/>
        <w:ind w:firstLine="709"/>
        <w:jc w:val="both"/>
        <w:rPr>
          <w:rFonts w:ascii="Century Gothic" w:eastAsia="Calibri" w:hAnsi="Century Gothic" w:cs="Arial"/>
          <w:sz w:val="24"/>
          <w:lang w:val="es-ES_tradnl"/>
        </w:rPr>
      </w:pPr>
      <w:r w:rsidRPr="00851774">
        <w:rPr>
          <w:rFonts w:ascii="Century Gothic" w:eastAsia="Calibri" w:hAnsi="Century Gothic" w:cs="Arial"/>
        </w:rPr>
        <w:t xml:space="preserve">En este sentido, bajo la normativa actual que regula la subsanabilidad de las ofertas debe tenerse en cuenta que </w:t>
      </w:r>
      <w:r w:rsidRPr="00851774">
        <w:rPr>
          <w:rFonts w:ascii="Century Gothic" w:eastAsia="Arial" w:hAnsi="Century Gothic" w:cs="Arial"/>
          <w:lang w:val="es-ES"/>
        </w:rPr>
        <w:t>el</w:t>
      </w:r>
      <w:r w:rsidRPr="00851774">
        <w:rPr>
          <w:rFonts w:ascii="Century Gothic" w:eastAsia="Arial" w:hAnsi="Century Gothic" w:cs="Arial"/>
          <w:spacing w:val="-12"/>
          <w:lang w:val="es-ES"/>
        </w:rPr>
        <w:t xml:space="preserve"> </w:t>
      </w:r>
      <w:r w:rsidRPr="00851774">
        <w:rPr>
          <w:rFonts w:ascii="Century Gothic" w:eastAsia="Arial" w:hAnsi="Century Gothic" w:cs="Arial"/>
          <w:lang w:val="es-ES"/>
        </w:rPr>
        <w:t>legislador</w:t>
      </w:r>
      <w:r w:rsidRPr="00851774">
        <w:rPr>
          <w:rFonts w:ascii="Century Gothic" w:eastAsia="Arial" w:hAnsi="Century Gothic" w:cs="Arial"/>
          <w:spacing w:val="-12"/>
          <w:lang w:val="es-ES"/>
        </w:rPr>
        <w:t xml:space="preserve"> </w:t>
      </w:r>
      <w:r w:rsidRPr="00851774">
        <w:rPr>
          <w:rFonts w:ascii="Century Gothic" w:eastAsia="Arial" w:hAnsi="Century Gothic" w:cs="Arial"/>
          <w:lang w:val="es-ES"/>
        </w:rPr>
        <w:t>expidió</w:t>
      </w:r>
      <w:r w:rsidRPr="00851774">
        <w:rPr>
          <w:rFonts w:ascii="Century Gothic" w:eastAsia="Arial" w:hAnsi="Century Gothic" w:cs="Arial"/>
          <w:spacing w:val="-13"/>
          <w:lang w:val="es-ES"/>
        </w:rPr>
        <w:t xml:space="preserve"> </w:t>
      </w:r>
      <w:r w:rsidRPr="00851774">
        <w:rPr>
          <w:rFonts w:ascii="Century Gothic" w:eastAsia="Arial" w:hAnsi="Century Gothic" w:cs="Arial"/>
          <w:lang w:val="es-ES"/>
        </w:rPr>
        <w:t>la</w:t>
      </w:r>
      <w:r w:rsidRPr="00851774">
        <w:rPr>
          <w:rFonts w:ascii="Century Gothic" w:eastAsia="Arial" w:hAnsi="Century Gothic" w:cs="Arial"/>
          <w:spacing w:val="-12"/>
          <w:lang w:val="es-ES"/>
        </w:rPr>
        <w:t xml:space="preserve"> </w:t>
      </w:r>
      <w:r w:rsidRPr="00851774">
        <w:rPr>
          <w:rFonts w:ascii="Century Gothic" w:eastAsia="Arial" w:hAnsi="Century Gothic" w:cs="Arial"/>
          <w:lang w:val="es-ES"/>
        </w:rPr>
        <w:t>Ley</w:t>
      </w:r>
      <w:r w:rsidRPr="00851774">
        <w:rPr>
          <w:rFonts w:ascii="Century Gothic" w:eastAsia="Arial" w:hAnsi="Century Gothic" w:cs="Arial"/>
          <w:spacing w:val="-13"/>
          <w:lang w:val="es-ES"/>
        </w:rPr>
        <w:t xml:space="preserve"> </w:t>
      </w:r>
      <w:r w:rsidRPr="00851774">
        <w:rPr>
          <w:rFonts w:ascii="Century Gothic" w:eastAsia="Arial" w:hAnsi="Century Gothic" w:cs="Arial"/>
          <w:lang w:val="es-ES"/>
        </w:rPr>
        <w:t>1882</w:t>
      </w:r>
      <w:r w:rsidRPr="00851774">
        <w:rPr>
          <w:rFonts w:ascii="Century Gothic" w:eastAsia="Arial" w:hAnsi="Century Gothic" w:cs="Arial"/>
          <w:spacing w:val="-13"/>
          <w:lang w:val="es-ES"/>
        </w:rPr>
        <w:t xml:space="preserve"> </w:t>
      </w:r>
      <w:r w:rsidRPr="00851774">
        <w:rPr>
          <w:rFonts w:ascii="Century Gothic" w:eastAsia="Arial" w:hAnsi="Century Gothic" w:cs="Arial"/>
          <w:lang w:val="es-ES"/>
        </w:rPr>
        <w:t>de</w:t>
      </w:r>
      <w:r w:rsidRPr="00851774">
        <w:rPr>
          <w:rFonts w:ascii="Century Gothic" w:eastAsia="Arial" w:hAnsi="Century Gothic" w:cs="Arial"/>
          <w:spacing w:val="-12"/>
          <w:lang w:val="es-ES"/>
        </w:rPr>
        <w:t xml:space="preserve"> </w:t>
      </w:r>
      <w:r w:rsidRPr="00851774">
        <w:rPr>
          <w:rFonts w:ascii="Century Gothic" w:eastAsia="Arial" w:hAnsi="Century Gothic" w:cs="Arial"/>
          <w:lang w:val="es-ES"/>
        </w:rPr>
        <w:t>2018,</w:t>
      </w:r>
      <w:r w:rsidRPr="00851774">
        <w:rPr>
          <w:rFonts w:ascii="Century Gothic" w:eastAsia="Arial" w:hAnsi="Century Gothic" w:cs="Arial"/>
          <w:spacing w:val="-13"/>
          <w:lang w:val="es-ES"/>
        </w:rPr>
        <w:t xml:space="preserve"> </w:t>
      </w:r>
      <w:r w:rsidRPr="00851774">
        <w:rPr>
          <w:rFonts w:ascii="Century Gothic" w:eastAsia="Arial" w:hAnsi="Century Gothic" w:cs="Arial"/>
          <w:lang w:val="es-ES"/>
        </w:rPr>
        <w:t>con</w:t>
      </w:r>
      <w:r w:rsidRPr="00851774">
        <w:rPr>
          <w:rFonts w:ascii="Century Gothic" w:eastAsia="Arial" w:hAnsi="Century Gothic" w:cs="Arial"/>
          <w:spacing w:val="-12"/>
          <w:lang w:val="es-ES"/>
        </w:rPr>
        <w:t xml:space="preserve"> </w:t>
      </w:r>
      <w:r w:rsidRPr="00851774">
        <w:rPr>
          <w:rFonts w:ascii="Century Gothic" w:eastAsia="Arial" w:hAnsi="Century Gothic" w:cs="Arial"/>
          <w:lang w:val="es-ES"/>
        </w:rPr>
        <w:t>la</w:t>
      </w:r>
      <w:r w:rsidRPr="00851774">
        <w:rPr>
          <w:rFonts w:ascii="Century Gothic" w:eastAsia="Arial" w:hAnsi="Century Gothic" w:cs="Arial"/>
          <w:spacing w:val="-13"/>
          <w:lang w:val="es-ES"/>
        </w:rPr>
        <w:t xml:space="preserve"> </w:t>
      </w:r>
      <w:r w:rsidRPr="00851774">
        <w:rPr>
          <w:rFonts w:ascii="Century Gothic" w:eastAsia="Arial" w:hAnsi="Century Gothic" w:cs="Arial"/>
          <w:lang w:val="es-ES"/>
        </w:rPr>
        <w:t xml:space="preserve">finalidad de introducir cambios y ajustes para fortalecer la contratación pública. </w:t>
      </w:r>
      <w:r w:rsidRPr="00851774">
        <w:rPr>
          <w:rFonts w:ascii="Century Gothic" w:eastAsia="Arial" w:hAnsi="Century Gothic" w:cs="Arial"/>
          <w:lang w:val="es-ES_tradnl"/>
        </w:rPr>
        <w:t>Particularmente, el artículo 5 de dicha norma, modificó el parágrafo 1º del artículo 5 de la Ley 1150 de 2007, así:</w:t>
      </w:r>
      <w:r w:rsidRPr="00851774">
        <w:rPr>
          <w:rFonts w:ascii="Century Gothic" w:eastAsia="Arial" w:hAnsi="Century Gothic" w:cs="Arial"/>
          <w:sz w:val="24"/>
          <w:lang w:val="es-ES_tradnl"/>
        </w:rPr>
        <w:t xml:space="preserve"> </w:t>
      </w:r>
    </w:p>
    <w:p w14:paraId="7A1AABB6" w14:textId="77777777" w:rsidR="005B4D3E" w:rsidRPr="00851774" w:rsidRDefault="005B4D3E" w:rsidP="005B4D3E">
      <w:pPr>
        <w:spacing w:after="0" w:line="276" w:lineRule="auto"/>
        <w:jc w:val="both"/>
        <w:rPr>
          <w:rFonts w:ascii="Century Gothic" w:eastAsia="Calibri" w:hAnsi="Century Gothic" w:cs="Arial"/>
          <w:sz w:val="24"/>
          <w:lang w:val="es-ES_tradnl"/>
        </w:rPr>
      </w:pPr>
    </w:p>
    <w:p w14:paraId="6C3A4FE3" w14:textId="77777777" w:rsidR="005B4D3E" w:rsidRPr="00851774" w:rsidRDefault="005B4D3E" w:rsidP="005B4D3E">
      <w:pPr>
        <w:spacing w:after="0" w:line="240" w:lineRule="auto"/>
        <w:ind w:left="709" w:right="709"/>
        <w:jc w:val="both"/>
        <w:rPr>
          <w:rFonts w:ascii="Century Gothic" w:eastAsia="Calibri" w:hAnsi="Century Gothic" w:cs="Arial"/>
          <w:sz w:val="21"/>
          <w:szCs w:val="21"/>
          <w:lang w:val="es-ES_tradnl"/>
        </w:rPr>
      </w:pPr>
      <w:r w:rsidRPr="00851774">
        <w:rPr>
          <w:rFonts w:ascii="Century Gothic" w:eastAsia="Calibri" w:hAnsi="Century Gothic" w:cs="Arial"/>
          <w:sz w:val="21"/>
          <w:szCs w:val="21"/>
          <w:lang w:val="es-ES_tradnl"/>
        </w:rPr>
        <w:t xml:space="preserve">“Artículo 5°. De la selección objetiva. </w:t>
      </w:r>
    </w:p>
    <w:p w14:paraId="1417B187" w14:textId="77777777" w:rsidR="005B4D3E" w:rsidRPr="00851774" w:rsidRDefault="005B4D3E" w:rsidP="005B4D3E">
      <w:pPr>
        <w:spacing w:after="120" w:line="240" w:lineRule="auto"/>
        <w:ind w:left="709" w:right="709"/>
        <w:jc w:val="both"/>
        <w:rPr>
          <w:rFonts w:ascii="Century Gothic" w:eastAsia="Calibri" w:hAnsi="Century Gothic" w:cs="Arial"/>
          <w:sz w:val="21"/>
          <w:szCs w:val="21"/>
          <w:lang w:val="es-ES_tradnl"/>
        </w:rPr>
      </w:pPr>
      <w:r w:rsidRPr="00851774">
        <w:rPr>
          <w:rFonts w:ascii="Century Gothic" w:eastAsia="Calibri" w:hAnsi="Century Gothic" w:cs="Arial"/>
          <w:sz w:val="21"/>
          <w:szCs w:val="21"/>
          <w:lang w:val="es-ES_tradnl"/>
        </w:rPr>
        <w:t xml:space="preserve">[...] </w:t>
      </w:r>
    </w:p>
    <w:p w14:paraId="6C023778" w14:textId="77777777" w:rsidR="005B4D3E" w:rsidRPr="00851774" w:rsidRDefault="005B4D3E" w:rsidP="005B4D3E">
      <w:pPr>
        <w:spacing w:after="0" w:line="240" w:lineRule="auto"/>
        <w:ind w:left="709" w:right="709"/>
        <w:jc w:val="both"/>
        <w:rPr>
          <w:rFonts w:ascii="Century Gothic" w:eastAsia="Calibri" w:hAnsi="Century Gothic" w:cs="Arial"/>
          <w:sz w:val="21"/>
          <w:szCs w:val="21"/>
          <w:lang w:val="es-ES_tradnl"/>
        </w:rPr>
      </w:pPr>
      <w:r w:rsidRPr="00851774">
        <w:rPr>
          <w:rFonts w:ascii="Century Gothic" w:eastAsia="Calibri" w:hAnsi="Century Gothic"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w:t>
      </w:r>
      <w:r w:rsidRPr="00851774">
        <w:rPr>
          <w:rFonts w:ascii="Century Gothic" w:eastAsia="Calibri" w:hAnsi="Century Gothic" w:cs="Arial"/>
          <w:sz w:val="21"/>
          <w:szCs w:val="21"/>
          <w:lang w:val="es-ES_tradnl"/>
        </w:rPr>
        <w:lastRenderedPageBreak/>
        <w:t xml:space="preserve">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2C16F5F9" w14:textId="77777777" w:rsidR="005B4D3E" w:rsidRPr="00851774" w:rsidRDefault="005B4D3E" w:rsidP="005B4D3E">
      <w:pPr>
        <w:spacing w:after="0" w:line="240" w:lineRule="auto"/>
        <w:jc w:val="both"/>
        <w:rPr>
          <w:rFonts w:ascii="Century Gothic" w:eastAsia="Calibri" w:hAnsi="Century Gothic" w:cs="Arial"/>
          <w:b/>
          <w:sz w:val="24"/>
          <w:lang w:val="es-ES_tradnl"/>
        </w:rPr>
      </w:pPr>
    </w:p>
    <w:p w14:paraId="07E72335" w14:textId="77777777" w:rsidR="005B4D3E" w:rsidRPr="00851774" w:rsidRDefault="005B4D3E" w:rsidP="005B4D3E">
      <w:pPr>
        <w:spacing w:after="120" w:line="276" w:lineRule="auto"/>
        <w:ind w:firstLine="709"/>
        <w:jc w:val="both"/>
        <w:rPr>
          <w:rFonts w:ascii="Century Gothic" w:eastAsia="Arial" w:hAnsi="Century Gothic" w:cs="Arial"/>
          <w:szCs w:val="24"/>
          <w:lang w:val="es-ES" w:eastAsia="es-MX"/>
        </w:rPr>
      </w:pPr>
      <w:r w:rsidRPr="00851774">
        <w:rPr>
          <w:rFonts w:ascii="Century Gothic" w:eastAsia="Calibri" w:hAnsi="Century Gothic" w:cs="Arial"/>
          <w:lang w:val="es-ES_tradnl"/>
        </w:rPr>
        <w:t xml:space="preserve">De lo anterior se colige, que la disposición precitada: i) mantiene el criterio de la Ley 80 de 1993, relativo a que todo lo que no sea necesario para la comparación de propuestas no es título suficiente para su rechazo, </w:t>
      </w:r>
      <w:proofErr w:type="spellStart"/>
      <w:r w:rsidRPr="00851774">
        <w:rPr>
          <w:rFonts w:ascii="Century Gothic" w:eastAsia="Calibri" w:hAnsi="Century Gothic" w:cs="Arial"/>
          <w:lang w:val="es-ES_tradnl"/>
        </w:rPr>
        <w:t>ii</w:t>
      </w:r>
      <w:proofErr w:type="spellEnd"/>
      <w:r w:rsidRPr="00851774">
        <w:rPr>
          <w:rFonts w:ascii="Century Gothic" w:eastAsia="Calibri" w:hAnsi="Century Gothic" w:cs="Arial"/>
          <w:lang w:val="es-ES_tradnl"/>
        </w:rPr>
        <w:t xml:space="preserve">) mantiene el criterio aclaratorio de la Ley 1150 de 2007, según el cual todo lo que no afecte la asignación de puntaje puede subsanarse e </w:t>
      </w:r>
      <w:proofErr w:type="spellStart"/>
      <w:r w:rsidRPr="00851774">
        <w:rPr>
          <w:rFonts w:ascii="Century Gothic" w:eastAsia="Calibri" w:hAnsi="Century Gothic" w:cs="Arial"/>
          <w:lang w:val="es-ES_tradnl"/>
        </w:rPr>
        <w:t>iii</w:t>
      </w:r>
      <w:proofErr w:type="spellEnd"/>
      <w:r w:rsidRPr="00851774">
        <w:rPr>
          <w:rFonts w:ascii="Century Gothic" w:eastAsia="Calibri" w:hAnsi="Century Gothic" w:cs="Arial"/>
          <w:lang w:val="es-ES_tradnl"/>
        </w:rPr>
        <w:t>) introduce modificaciones en relación con tres aspectos que se analizarán a continuación</w:t>
      </w:r>
      <w:r w:rsidRPr="00851774">
        <w:rPr>
          <w:rFonts w:ascii="Century Gothic" w:eastAsia="Arial" w:hAnsi="Century Gothic" w:cs="Arial"/>
          <w:szCs w:val="24"/>
          <w:lang w:val="es-ES" w:eastAsia="es-MX"/>
        </w:rPr>
        <w:t xml:space="preserve">. </w:t>
      </w:r>
    </w:p>
    <w:p w14:paraId="493E6240" w14:textId="77777777" w:rsidR="005B4D3E" w:rsidRPr="00851774" w:rsidRDefault="005B4D3E" w:rsidP="005B4D3E">
      <w:pPr>
        <w:spacing w:after="120" w:line="276" w:lineRule="auto"/>
        <w:ind w:firstLine="709"/>
        <w:jc w:val="both"/>
        <w:rPr>
          <w:rFonts w:ascii="Century Gothic" w:eastAsia="Arial" w:hAnsi="Century Gothic" w:cs="Arial"/>
          <w:szCs w:val="24"/>
          <w:lang w:val="es-ES" w:eastAsia="es-MX"/>
        </w:rPr>
      </w:pPr>
      <w:r w:rsidRPr="00851774">
        <w:rPr>
          <w:rFonts w:ascii="Century Gothic" w:eastAsia="Arial" w:hAnsi="Century Gothic" w:cs="Arial"/>
          <w:szCs w:val="24"/>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el proceso de selección a través del sistema de subasta: en este último los documentos o requisitos subsanables deben solicitarse, como límite final, hasta el momento previo a su realización</w:t>
      </w:r>
      <w:r w:rsidRPr="00851774">
        <w:rPr>
          <w:rFonts w:ascii="Century Gothic" w:eastAsia="Arial" w:hAnsi="Century Gothic" w:cs="Arial"/>
          <w:vertAlign w:val="superscript"/>
          <w:lang w:eastAsia="es-MX"/>
        </w:rPr>
        <w:footnoteReference w:id="40"/>
      </w:r>
      <w:r w:rsidRPr="00851774">
        <w:rPr>
          <w:rFonts w:ascii="Century Gothic" w:eastAsia="Arial" w:hAnsi="Century Gothic" w:cs="Arial"/>
          <w:szCs w:val="24"/>
          <w:lang w:val="es-ES" w:eastAsia="es-MX"/>
        </w:rPr>
        <w:t>. Sin embargo, para el caso de los procesos de mínima cuantía, deberá tenerse en cuenta la regla dispuesta en el numeral 5 y 6 del artículo 2.2.1.2.1.5.2 del Decreto 1082 de 2015.</w:t>
      </w:r>
    </w:p>
    <w:p w14:paraId="794BFB5A" w14:textId="77777777" w:rsidR="005B4D3E" w:rsidRPr="00851774" w:rsidRDefault="005B4D3E" w:rsidP="005B4D3E">
      <w:pPr>
        <w:spacing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ab/>
        <w:t xml:space="preserve">Así pues, para los procesos de mínima cuantía, el Decreto 1860 de 2021 que modifica el Decreto 1082 de 2015, en el numeral 5 del artículo </w:t>
      </w:r>
      <w:r w:rsidRPr="00851774">
        <w:rPr>
          <w:rFonts w:ascii="Century Gothic" w:eastAsia="Arial" w:hAnsi="Century Gothic" w:cs="Arial"/>
          <w:szCs w:val="24"/>
          <w:lang w:val="es-ES" w:eastAsia="es-MX"/>
        </w:rPr>
        <w:t>2.2.1.2.1.5.2, dispone que sin perjuicio de la oportunidad que deben otorgar las entidades para subsanar las ofertas, de acuerdo con el artículo 5 de la Ley 1150 de 2007, se establecerá un término preclusivo para recibir los documentos subsanables. En el evento que no se regule este término, los proponentes podrán subsanar sus ofertas hasta antes que finalice el traslado del informe de evaluación</w:t>
      </w:r>
      <w:bookmarkStart w:id="9" w:name="_Hlk140658491"/>
      <w:r w:rsidRPr="00851774">
        <w:rPr>
          <w:rFonts w:ascii="Century Gothic" w:hAnsi="Century Gothic" w:cs="Arial"/>
          <w:vertAlign w:val="superscript"/>
          <w:lang w:val="es-ES_tradnl"/>
        </w:rPr>
        <w:footnoteReference w:id="41"/>
      </w:r>
      <w:r w:rsidRPr="00851774">
        <w:rPr>
          <w:rFonts w:ascii="Century Gothic" w:hAnsi="Century Gothic" w:cs="Arial"/>
          <w:lang w:val="es-ES_tradnl"/>
        </w:rPr>
        <w:t>.</w:t>
      </w:r>
      <w:bookmarkEnd w:id="9"/>
    </w:p>
    <w:p w14:paraId="72F69E2F" w14:textId="77777777" w:rsidR="005B4D3E" w:rsidRPr="00851774" w:rsidRDefault="005B4D3E" w:rsidP="005B4D3E">
      <w:pPr>
        <w:spacing w:before="120"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lastRenderedPageBreak/>
        <w:tab/>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w:t>
      </w:r>
    </w:p>
    <w:p w14:paraId="7A1F5FE4" w14:textId="77777777" w:rsidR="005B4D3E" w:rsidRPr="00851774" w:rsidRDefault="005B4D3E" w:rsidP="005B4D3E">
      <w:pPr>
        <w:spacing w:before="120"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ab/>
        <w:t xml:space="preserve">Sin embargo, de lo anterior, podría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 traslado del informe de evaluación es el límite para la subsanación de ofertas, pero no el único momento para hacerlo. De acuerdo con la primera interpretación, el informe de evaluación se convierte en la oportunidad que adopta la entidad contratante para decirles a los oferentes qué documentos o requisitos omitieron y deben subsanar y, consecuentemente, el término del traslado es la oportunidad del proponente para cumplir con lo solicitado. </w:t>
      </w:r>
    </w:p>
    <w:p w14:paraId="20AEA08C" w14:textId="77777777" w:rsidR="005B4D3E" w:rsidRPr="00851774" w:rsidRDefault="005B4D3E" w:rsidP="005B4D3E">
      <w:pPr>
        <w:spacing w:before="120" w:after="0" w:line="276" w:lineRule="auto"/>
        <w:ind w:firstLine="708"/>
        <w:jc w:val="both"/>
        <w:rPr>
          <w:rFonts w:ascii="Century Gothic" w:eastAsia="Calibri" w:hAnsi="Century Gothic" w:cs="Arial"/>
          <w:lang w:val="es-ES_tradnl"/>
        </w:rPr>
      </w:pPr>
      <w:r w:rsidRPr="00851774">
        <w:rPr>
          <w:rFonts w:ascii="Century Gothic" w:eastAsia="Calibri" w:hAnsi="Century Gothic" w:cs="Arial"/>
          <w:lang w:val="es-ES_tradnl"/>
        </w:rPr>
        <w:t xml:space="preserve">La segunda interpretación, permitiría que la entidad contratante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w:t>
      </w:r>
      <w:r w:rsidRPr="00851774">
        <w:rPr>
          <w:rFonts w:ascii="Century Gothic" w:eastAsia="Calibri" w:hAnsi="Century Gothic" w:cs="Arial"/>
          <w:lang w:val="es-ES_tradnl"/>
        </w:rPr>
        <w:lastRenderedPageBreak/>
        <w:t>encuentren subsanadas las propuestas, sin perjuicio del término límite que concedió la ley.</w:t>
      </w:r>
    </w:p>
    <w:p w14:paraId="6651D1EE" w14:textId="77777777" w:rsidR="005B4D3E" w:rsidRPr="00851774" w:rsidRDefault="005B4D3E" w:rsidP="005B4D3E">
      <w:pPr>
        <w:spacing w:before="120" w:after="120" w:line="276" w:lineRule="auto"/>
        <w:ind w:firstLine="709"/>
        <w:jc w:val="both"/>
        <w:rPr>
          <w:rFonts w:ascii="Century Gothic" w:hAnsi="Century Gothic" w:cs="Arial"/>
          <w:lang w:val="es-ES_tradnl"/>
        </w:rPr>
      </w:pPr>
      <w:r w:rsidRPr="00851774">
        <w:rPr>
          <w:rFonts w:ascii="Century Gothic" w:hAnsi="Century Gothic" w:cs="Arial"/>
          <w:lang w:val="es-ES_tradnl"/>
        </w:rPr>
        <w:t>La disposición introducida por el artículo 5 de la Ley 1882 de 2018, si bien pudo significar, en la práctica de los procesos de selección, que el informe de evaluación fuera la oportunidad de la entidad contratante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entidad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6BEF84B4" w14:textId="77777777" w:rsidR="005B4D3E" w:rsidRPr="00851774" w:rsidRDefault="005B4D3E" w:rsidP="005B4D3E">
      <w:pPr>
        <w:spacing w:before="120" w:after="120" w:line="276" w:lineRule="auto"/>
        <w:ind w:firstLine="709"/>
        <w:jc w:val="both"/>
        <w:rPr>
          <w:rFonts w:ascii="Century Gothic" w:hAnsi="Century Gothic" w:cs="Arial"/>
          <w:lang w:val="es-ES_tradnl"/>
        </w:rPr>
      </w:pPr>
      <w:r w:rsidRPr="00851774">
        <w:rPr>
          <w:rFonts w:ascii="Century Gothic" w:hAnsi="Century Gothic" w:cs="Arial"/>
          <w:lang w:val="es-ES_tradnl"/>
        </w:rPr>
        <w:t xml:space="preserve">El segundo cambio importante de la Ley 1882 de 2018 fue la introducción de un criterio material, directamente relacionado con los aspectos subsanables: “los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5EC2E726" w14:textId="77777777" w:rsidR="005B4D3E" w:rsidRPr="00851774" w:rsidRDefault="005B4D3E" w:rsidP="005B4D3E">
      <w:pPr>
        <w:spacing w:before="120" w:after="120" w:line="276" w:lineRule="auto"/>
        <w:ind w:firstLine="709"/>
        <w:jc w:val="both"/>
        <w:rPr>
          <w:rFonts w:ascii="Century Gothic" w:hAnsi="Century Gothic" w:cs="Arial"/>
          <w:lang w:val="es-ES_tradnl"/>
        </w:rPr>
      </w:pPr>
      <w:r w:rsidRPr="00851774">
        <w:rPr>
          <w:rFonts w:ascii="Century Gothic" w:hAnsi="Century Gothic" w:cs="Arial"/>
          <w:lang w:val="es-ES_tradnl"/>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851774">
        <w:rPr>
          <w:rFonts w:ascii="Century Gothic" w:hAnsi="Century Gothic" w:cs="Arial"/>
          <w:vertAlign w:val="superscript"/>
          <w:lang w:val="es-ES_tradnl"/>
        </w:rPr>
        <w:footnoteReference w:id="42"/>
      </w:r>
      <w:r w:rsidRPr="00851774">
        <w:rPr>
          <w:rFonts w:ascii="Century Gothic" w:hAnsi="Century Gothic" w:cs="Arial"/>
          <w:lang w:val="es-ES_tradnl"/>
        </w:rPr>
        <w:t>.</w:t>
      </w:r>
    </w:p>
    <w:p w14:paraId="762A7D16" w14:textId="77777777" w:rsidR="005B4D3E" w:rsidRPr="00851774" w:rsidRDefault="005B4D3E" w:rsidP="005B4D3E">
      <w:pPr>
        <w:spacing w:before="120" w:after="120" w:line="276" w:lineRule="auto"/>
        <w:ind w:firstLine="709"/>
        <w:jc w:val="both"/>
        <w:rPr>
          <w:rFonts w:ascii="Century Gothic" w:hAnsi="Century Gothic" w:cs="Arial"/>
          <w:lang w:val="es-ES_tradnl"/>
        </w:rPr>
      </w:pPr>
      <w:r w:rsidRPr="00851774">
        <w:rPr>
          <w:rFonts w:ascii="Century Gothic" w:hAnsi="Century Gothic" w:cs="Arial"/>
          <w:lang w:val="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570D9E7D" w14:textId="77777777" w:rsidR="005B4D3E" w:rsidRPr="00851774" w:rsidRDefault="005B4D3E" w:rsidP="005B4D3E">
      <w:pPr>
        <w:spacing w:before="120" w:after="120" w:line="276" w:lineRule="auto"/>
        <w:ind w:firstLine="709"/>
        <w:jc w:val="both"/>
        <w:rPr>
          <w:rFonts w:ascii="Century Gothic" w:hAnsi="Century Gothic" w:cs="Arial"/>
          <w:lang w:val="es-ES_tradnl"/>
        </w:rPr>
      </w:pPr>
      <w:r w:rsidRPr="00851774">
        <w:rPr>
          <w:rFonts w:ascii="Century Gothic" w:hAnsi="Century Gothic" w:cs="Arial"/>
          <w:lang w:val="es-ES_tradnl"/>
        </w:rPr>
        <w:t>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851774">
        <w:rPr>
          <w:rFonts w:ascii="Century Gothic" w:hAnsi="Century Gothic" w:cs="Arial"/>
          <w:vertAlign w:val="superscript"/>
          <w:lang w:val="es-ES_tradnl"/>
        </w:rPr>
        <w:footnoteReference w:id="43"/>
      </w:r>
      <w:r w:rsidRPr="00851774">
        <w:rPr>
          <w:rFonts w:ascii="Century Gothic" w:hAnsi="Century Gothic" w:cs="Arial"/>
          <w:lang w:val="es-ES_tradnl"/>
        </w:rPr>
        <w:t>.</w:t>
      </w:r>
    </w:p>
    <w:p w14:paraId="40861806" w14:textId="77777777" w:rsidR="005B4D3E" w:rsidRPr="00851774" w:rsidRDefault="005B4D3E" w:rsidP="005B4D3E">
      <w:pPr>
        <w:spacing w:before="120" w:after="120" w:line="276" w:lineRule="auto"/>
        <w:ind w:firstLine="709"/>
        <w:jc w:val="both"/>
        <w:rPr>
          <w:rFonts w:ascii="Century Gothic" w:hAnsi="Century Gothic" w:cs="Arial"/>
          <w:lang w:val="es-ES_tradnl"/>
        </w:rPr>
      </w:pPr>
      <w:r w:rsidRPr="00851774">
        <w:rPr>
          <w:rFonts w:ascii="Century Gothic" w:hAnsi="Century Gothic" w:cs="Arial"/>
          <w:lang w:val="es-ES_tradnl"/>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ésta en firme para dicho momento; </w:t>
      </w:r>
      <w:proofErr w:type="spellStart"/>
      <w:r w:rsidRPr="00851774">
        <w:rPr>
          <w:rFonts w:ascii="Century Gothic" w:hAnsi="Century Gothic" w:cs="Arial"/>
          <w:lang w:val="es-ES_tradnl"/>
        </w:rPr>
        <w:t>ii</w:t>
      </w:r>
      <w:proofErr w:type="spellEnd"/>
      <w:r w:rsidRPr="00851774">
        <w:rPr>
          <w:rFonts w:ascii="Century Gothic" w:hAnsi="Century Gothic" w:cs="Arial"/>
          <w:lang w:val="es-ES_tradnl"/>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851774">
        <w:rPr>
          <w:rFonts w:ascii="Century Gothic" w:hAnsi="Century Gothic" w:cs="Arial"/>
          <w:vertAlign w:val="superscript"/>
          <w:lang w:val="es-ES_tradnl"/>
        </w:rPr>
        <w:footnoteReference w:id="44"/>
      </w:r>
      <w:r w:rsidRPr="00851774">
        <w:rPr>
          <w:rFonts w:ascii="Century Gothic" w:hAnsi="Century Gothic" w:cs="Arial"/>
          <w:lang w:val="es-ES_tradnl"/>
        </w:rPr>
        <w:t xml:space="preserve">; </w:t>
      </w:r>
      <w:proofErr w:type="spellStart"/>
      <w:r w:rsidRPr="00851774">
        <w:rPr>
          <w:rFonts w:ascii="Century Gothic" w:hAnsi="Century Gothic" w:cs="Arial"/>
          <w:lang w:val="es-ES_tradnl"/>
        </w:rPr>
        <w:t>iii</w:t>
      </w:r>
      <w:proofErr w:type="spellEnd"/>
      <w:r w:rsidRPr="00851774">
        <w:rPr>
          <w:rFonts w:ascii="Century Gothic" w:hAnsi="Century Gothic" w:cs="Arial"/>
          <w:lang w:val="es-ES_tradnl"/>
        </w:rPr>
        <w:t xml:space="preserve">) si un oferente no anexó el certificado de existencia y representación legal, el documento aportado con posterioridad debe dar cuenta de que la sociedad </w:t>
      </w:r>
      <w:r w:rsidRPr="00851774">
        <w:rPr>
          <w:rFonts w:ascii="Century Gothic" w:hAnsi="Century Gothic" w:cs="Arial"/>
          <w:lang w:val="es-ES_tradnl"/>
        </w:rPr>
        <w:lastRenderedPageBreak/>
        <w:t>existía antes del cierre del proceso</w:t>
      </w:r>
      <w:r w:rsidRPr="00851774">
        <w:rPr>
          <w:rFonts w:ascii="Century Gothic" w:hAnsi="Century Gothic" w:cs="Arial"/>
          <w:vertAlign w:val="superscript"/>
          <w:lang w:val="es-ES_tradnl"/>
        </w:rPr>
        <w:footnoteReference w:id="45"/>
      </w:r>
      <w:r w:rsidRPr="00851774">
        <w:rPr>
          <w:rFonts w:ascii="Century Gothic" w:hAnsi="Century Gothic" w:cs="Arial"/>
          <w:lang w:val="es-ES_tradnl"/>
        </w:rPr>
        <w:t xml:space="preserve">; </w:t>
      </w:r>
      <w:proofErr w:type="spellStart"/>
      <w:r w:rsidRPr="00851774">
        <w:rPr>
          <w:rFonts w:ascii="Century Gothic" w:hAnsi="Century Gothic" w:cs="Arial"/>
          <w:lang w:val="es-ES_tradnl"/>
        </w:rPr>
        <w:t>iv</w:t>
      </w:r>
      <w:proofErr w:type="spellEnd"/>
      <w:r w:rsidRPr="00851774">
        <w:rPr>
          <w:rFonts w:ascii="Century Gothic" w:hAnsi="Century Gothic" w:cs="Arial"/>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73546642" w14:textId="77777777" w:rsidR="005B4D3E" w:rsidRPr="00851774" w:rsidRDefault="005B4D3E" w:rsidP="005B4D3E">
      <w:pPr>
        <w:spacing w:before="120" w:after="120" w:line="276" w:lineRule="auto"/>
        <w:ind w:firstLine="709"/>
        <w:jc w:val="both"/>
        <w:rPr>
          <w:rFonts w:ascii="Century Gothic" w:hAnsi="Century Gothic" w:cs="Arial"/>
          <w:lang w:val="es-ES_tradnl"/>
        </w:rPr>
      </w:pPr>
      <w:r w:rsidRPr="00851774">
        <w:rPr>
          <w:rFonts w:ascii="Century Gothic" w:hAnsi="Century Gothic" w:cs="Arial"/>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851774">
        <w:rPr>
          <w:rFonts w:ascii="Century Gothic" w:hAnsi="Century Gothic" w:cs="Arial"/>
          <w:lang w:val="es-ES_tradnl"/>
        </w:rPr>
        <w:t>que</w:t>
      </w:r>
      <w:proofErr w:type="gramEnd"/>
      <w:r w:rsidRPr="00851774">
        <w:rPr>
          <w:rFonts w:ascii="Century Gothic" w:hAnsi="Century Gothic" w:cs="Arial"/>
          <w:lang w:val="es-ES_tradnl"/>
        </w:rPr>
        <w:t>,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851774">
        <w:rPr>
          <w:rFonts w:ascii="Century Gothic" w:hAnsi="Century Gothic" w:cs="Arial"/>
          <w:vertAlign w:val="superscript"/>
          <w:lang w:val="es-ES_tradnl"/>
        </w:rPr>
        <w:footnoteReference w:id="46"/>
      </w:r>
      <w:r w:rsidRPr="00851774">
        <w:rPr>
          <w:rFonts w:ascii="Century Gothic" w:hAnsi="Century Gothic" w:cs="Arial"/>
          <w:lang w:val="es-ES_tradnl"/>
        </w:rPr>
        <w:t xml:space="preserve">. </w:t>
      </w:r>
    </w:p>
    <w:p w14:paraId="07E3E824" w14:textId="77777777" w:rsidR="005B4D3E" w:rsidRPr="00851774" w:rsidRDefault="005B4D3E" w:rsidP="005B4D3E">
      <w:pPr>
        <w:spacing w:before="120"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ab/>
        <w:t xml:space="preserve">En línea con lo anterior, una vez verificada la ausencia de requisitos y/o documentos de la oferta, para efectos de saber si se pueden subsanar, la entidad contratante debe preguntarse,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w:t>
      </w:r>
      <w:r w:rsidRPr="00851774">
        <w:rPr>
          <w:rFonts w:ascii="Century Gothic" w:eastAsia="Calibri" w:hAnsi="Century Gothic" w:cs="Arial"/>
          <w:lang w:val="es-ES_tradnl"/>
        </w:rPr>
        <w:lastRenderedPageBreak/>
        <w:t>prueba de una circunstancia o hecho que ocurrió con anterioridad al cierre del proceso.</w:t>
      </w:r>
    </w:p>
    <w:p w14:paraId="4D4D71C9" w14:textId="77777777" w:rsidR="005B4D3E" w:rsidRPr="00851774" w:rsidRDefault="005B4D3E" w:rsidP="005B4D3E">
      <w:pPr>
        <w:spacing w:after="0" w:line="276" w:lineRule="auto"/>
        <w:ind w:firstLine="709"/>
        <w:jc w:val="both"/>
        <w:rPr>
          <w:rFonts w:ascii="Century Gothic" w:eastAsia="Calibri" w:hAnsi="Century Gothic" w:cs="Arial"/>
          <w:lang w:val="es-ES_tradnl"/>
          <w14:ligatures w14:val="standardContextual"/>
        </w:rPr>
      </w:pPr>
      <w:r w:rsidRPr="00851774">
        <w:rPr>
          <w:rFonts w:ascii="Century Gothic" w:eastAsia="Calibri" w:hAnsi="Century Gothic" w:cs="Arial"/>
          <w:lang w:val="es-ES_tradnl"/>
          <w14:ligatures w14:val="standardContextual"/>
        </w:rPr>
        <w:t>De acuerdo con lo expuesto en torno a la subsanabilidad de las ofertas</w:t>
      </w:r>
      <w:r w:rsidRPr="00851774">
        <w:rPr>
          <w:rFonts w:ascii="Century Gothic" w:eastAsia="Times New Roman" w:hAnsi="Century Gothic" w:cs="Arial"/>
          <w:szCs w:val="24"/>
          <w:lang w:eastAsia="es-ES_tradnl"/>
          <w14:ligatures w14:val="standardContextual"/>
        </w:rPr>
        <w:t xml:space="preserve"> y teniendo en cuenta las reglas dispuestas en </w:t>
      </w:r>
      <w:r w:rsidRPr="00851774">
        <w:rPr>
          <w:rFonts w:ascii="Century Gothic" w:eastAsia="Calibri" w:hAnsi="Century Gothic" w:cs="Arial"/>
          <w:lang w:val="es-ES_tradnl"/>
          <w14:ligatures w14:val="standardContextual"/>
        </w:rPr>
        <w:t xml:space="preserve">la Ley 1882 de 2018, se itera que dicha norma 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 </w:t>
      </w:r>
    </w:p>
    <w:p w14:paraId="2F131B84" w14:textId="77777777" w:rsidR="005B4D3E" w:rsidRPr="00851774" w:rsidRDefault="005B4D3E" w:rsidP="005B4D3E">
      <w:pPr>
        <w:tabs>
          <w:tab w:val="left" w:pos="567"/>
        </w:tabs>
        <w:spacing w:after="0" w:line="276" w:lineRule="auto"/>
        <w:jc w:val="both"/>
        <w:rPr>
          <w:rFonts w:ascii="Century Gothic" w:eastAsia="Calibri" w:hAnsi="Century Gothic" w:cs="Arial"/>
        </w:rPr>
      </w:pPr>
    </w:p>
    <w:p w14:paraId="0B135539" w14:textId="77777777" w:rsidR="005B4D3E" w:rsidRPr="00851774" w:rsidRDefault="005B4D3E" w:rsidP="005B4D3E">
      <w:pPr>
        <w:tabs>
          <w:tab w:val="left" w:pos="0"/>
        </w:tabs>
        <w:spacing w:after="0"/>
        <w:jc w:val="both"/>
        <w:rPr>
          <w:rFonts w:ascii="Century Gothic" w:eastAsia="Calibri" w:hAnsi="Century Gothic" w:cs="Arial"/>
          <w:b/>
          <w:lang w:val="es-ES_tradnl"/>
        </w:rPr>
      </w:pPr>
      <w:r w:rsidRPr="00851774">
        <w:rPr>
          <w:rFonts w:ascii="Century Gothic" w:eastAsia="Calibri" w:hAnsi="Century Gothic" w:cs="Arial"/>
          <w:b/>
          <w:lang w:val="es-ES_tradnl"/>
        </w:rPr>
        <w:t>3. Respuestas</w:t>
      </w:r>
    </w:p>
    <w:p w14:paraId="7FB91D02" w14:textId="77777777" w:rsidR="005B4D3E" w:rsidRPr="00851774" w:rsidRDefault="005B4D3E" w:rsidP="005B4D3E">
      <w:pPr>
        <w:spacing w:after="0" w:line="276" w:lineRule="auto"/>
        <w:jc w:val="both"/>
        <w:rPr>
          <w:rFonts w:ascii="Century Gothic" w:hAnsi="Century Gothic" w:cs="Arial"/>
          <w:lang w:val="es-ES_tradnl"/>
        </w:rPr>
      </w:pPr>
    </w:p>
    <w:p w14:paraId="7B9AC37E" w14:textId="77777777" w:rsidR="005B4D3E" w:rsidRPr="00FE6FD8" w:rsidRDefault="005B4D3E" w:rsidP="005B4D3E">
      <w:pPr>
        <w:spacing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“1. ¿Se puede entregar subsidios de transporte escolar a la asociación de padres de familia, para que sea la misma asociación de padres de familia quiénes contraten el transporte escolar que requieren sus hijos para llegar a los colegios veredales?” [sic]</w:t>
      </w:r>
    </w:p>
    <w:p w14:paraId="7B4ABD05" w14:textId="77777777" w:rsidR="005B4D3E" w:rsidRPr="00851774" w:rsidRDefault="005B4D3E" w:rsidP="005B4D3E">
      <w:pPr>
        <w:spacing w:after="0" w:line="276" w:lineRule="auto"/>
        <w:jc w:val="both"/>
        <w:rPr>
          <w:rFonts w:ascii="Century Gothic" w:eastAsia="Calibri" w:hAnsi="Century Gothic" w:cs="Arial"/>
          <w:lang w:val="es-ES_tradnl"/>
        </w:rPr>
      </w:pPr>
    </w:p>
    <w:p w14:paraId="7D425994" w14:textId="77777777" w:rsidR="005B4D3E" w:rsidRPr="00851774" w:rsidRDefault="005B4D3E" w:rsidP="005B4D3E">
      <w:pPr>
        <w:spacing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 xml:space="preserve">De conformidad con lo expuesto en este concepto, </w:t>
      </w:r>
      <w:r w:rsidRPr="00851774">
        <w:rPr>
          <w:rFonts w:ascii="Century Gothic" w:eastAsia="Calibri" w:hAnsi="Century Gothic" w:cs="Arial"/>
          <w:i/>
          <w:iCs/>
          <w:lang w:val="es-ES_tradnl"/>
        </w:rPr>
        <w:t>las asociaciones de padres de familia</w:t>
      </w:r>
      <w:r w:rsidRPr="00851774">
        <w:rPr>
          <w:rFonts w:ascii="Century Gothic" w:eastAsia="Calibri" w:hAnsi="Century Gothic" w:cs="Arial"/>
          <w:lang w:val="es-ES_tradnl"/>
        </w:rPr>
        <w:t>, son consideradas por el artículo 9 del Decreto 1286 de 2005 como “</w:t>
      </w:r>
      <w:r w:rsidRPr="00851774">
        <w:rPr>
          <w:rFonts w:ascii="Century Gothic" w:eastAsia="Calibri" w:hAnsi="Century Gothic" w:cs="Arial"/>
          <w:i/>
          <w:iCs/>
          <w:lang w:val="es-ES_tradnl"/>
        </w:rPr>
        <w:t xml:space="preserve">entidades jurídicas de derecho privado, sin ánimo de lucro”, </w:t>
      </w:r>
      <w:r w:rsidRPr="00851774">
        <w:rPr>
          <w:rFonts w:ascii="Century Gothic" w:eastAsia="Calibri" w:hAnsi="Century Gothic" w:cs="Arial"/>
          <w:lang w:val="es-ES_tradnl"/>
        </w:rPr>
        <w:t>por ello, las Entidades Estatales se encuentran facultadas para suscribir con estas, bajo el régimen señalado en el Decreto 092 de 2017, convenios de asociación para el desarrollo conjunto de actividades relacionadas con los cometidos y funciones asignadas a aquellas por la Constitución y la ley.</w:t>
      </w:r>
    </w:p>
    <w:p w14:paraId="75739134" w14:textId="77777777" w:rsidR="005B4D3E" w:rsidRPr="00851774" w:rsidRDefault="005B4D3E" w:rsidP="005B4D3E">
      <w:pPr>
        <w:spacing w:before="120" w:after="0" w:line="276" w:lineRule="auto"/>
        <w:ind w:firstLine="709"/>
        <w:jc w:val="both"/>
        <w:rPr>
          <w:rFonts w:ascii="Century Gothic" w:eastAsia="Arial" w:hAnsi="Century Gothic" w:cs="Arial"/>
        </w:rPr>
      </w:pPr>
      <w:r w:rsidRPr="00851774">
        <w:rPr>
          <w:rFonts w:ascii="Century Gothic" w:eastAsia="Arial" w:hAnsi="Century Gothic" w:cs="Arial"/>
        </w:rPr>
        <w:t xml:space="preserve">Sin embargo, para ello, esto es, suscribir convenios de asociación con las asociaciones de padres de familia, las Entidades Estatales deberán tener en cuenta lo siguiente: </w:t>
      </w:r>
      <w:r w:rsidRPr="00851774">
        <w:rPr>
          <w:rFonts w:ascii="Century Gothic" w:eastAsia="Arial" w:hAnsi="Century Gothic" w:cs="Arial"/>
          <w:i/>
          <w:iCs/>
        </w:rPr>
        <w:t>i)</w:t>
      </w:r>
      <w:r w:rsidRPr="00851774">
        <w:rPr>
          <w:rFonts w:ascii="Century Gothic" w:eastAsia="Arial" w:hAnsi="Century Gothic" w:cs="Arial"/>
        </w:rPr>
        <w:t xml:space="preserve"> la asociación de padres de familia, según las reglas dispuestas en el inciso segundo del artículo 9 del Decreto 1286 de 2005, deberá encontrarse legalmente constituida; </w:t>
      </w:r>
      <w:proofErr w:type="spellStart"/>
      <w:r w:rsidRPr="00851774">
        <w:rPr>
          <w:rFonts w:ascii="Century Gothic" w:eastAsia="Arial" w:hAnsi="Century Gothic" w:cs="Arial"/>
          <w:i/>
          <w:iCs/>
        </w:rPr>
        <w:t>ii</w:t>
      </w:r>
      <w:proofErr w:type="spellEnd"/>
      <w:r w:rsidRPr="00851774">
        <w:rPr>
          <w:rFonts w:ascii="Century Gothic" w:eastAsia="Arial" w:hAnsi="Century Gothic" w:cs="Arial"/>
          <w:i/>
          <w:iCs/>
        </w:rPr>
        <w:t>)</w:t>
      </w:r>
      <w:r w:rsidRPr="00851774">
        <w:rPr>
          <w:rFonts w:ascii="Century Gothic" w:eastAsia="Arial" w:hAnsi="Century Gothic" w:cs="Arial"/>
        </w:rPr>
        <w:t xml:space="preserve"> el objeto contractual del convenio de asociación, deberá guardar afinidad con las funciones y cometidos de la entidad pública, según la Constitución y la ley; </w:t>
      </w:r>
      <w:proofErr w:type="spellStart"/>
      <w:r w:rsidRPr="00851774">
        <w:rPr>
          <w:rFonts w:ascii="Century Gothic" w:eastAsia="Arial" w:hAnsi="Century Gothic" w:cs="Arial"/>
          <w:i/>
          <w:iCs/>
        </w:rPr>
        <w:t>iii</w:t>
      </w:r>
      <w:proofErr w:type="spellEnd"/>
      <w:r w:rsidRPr="00851774">
        <w:rPr>
          <w:rFonts w:ascii="Century Gothic" w:eastAsia="Arial" w:hAnsi="Century Gothic" w:cs="Arial"/>
          <w:i/>
          <w:iCs/>
        </w:rPr>
        <w:t>)</w:t>
      </w:r>
      <w:r w:rsidRPr="00851774">
        <w:rPr>
          <w:rFonts w:ascii="Century Gothic" w:eastAsia="Arial" w:hAnsi="Century Gothic" w:cs="Arial"/>
        </w:rPr>
        <w:t xml:space="preserve"> deberán observarse las prohibiciones dispuestas en el artículo 12 </w:t>
      </w:r>
      <w:r w:rsidRPr="00851774">
        <w:rPr>
          <w:rFonts w:ascii="Century Gothic" w:eastAsia="Arial" w:hAnsi="Century Gothic" w:cs="Arial"/>
          <w:i/>
          <w:iCs/>
        </w:rPr>
        <w:t xml:space="preserve">ibidem </w:t>
      </w:r>
      <w:r w:rsidRPr="00851774">
        <w:rPr>
          <w:rFonts w:ascii="Century Gothic" w:eastAsia="Arial" w:hAnsi="Century Gothic" w:cs="Arial"/>
        </w:rPr>
        <w:t xml:space="preserve">para las asociaciones de padres de familia, esto, con el fin de que el desarrollo de las actividades objeto del convenio, no excedan los límites señalados en tal disposición, puesto que, particularmente en su literal c), establece que estas asociaciones tienen prohibido “[a]sumir las competencias y funciones </w:t>
      </w:r>
      <w:r w:rsidRPr="00851774">
        <w:rPr>
          <w:rFonts w:ascii="Century Gothic" w:eastAsia="Arial" w:hAnsi="Century Gothic" w:cs="Arial"/>
        </w:rPr>
        <w:lastRenderedPageBreak/>
        <w:t>propias de las autoridades y demás organismos colectivos del establecimiento educativo, o aquellas propias de los organismos y entidades de fiscalización, evaluación, inspección y vigilancia del sector educativo”.</w:t>
      </w:r>
    </w:p>
    <w:p w14:paraId="6D965D44" w14:textId="77777777" w:rsidR="005B4D3E" w:rsidRPr="00851774" w:rsidRDefault="005B4D3E" w:rsidP="005B4D3E">
      <w:pPr>
        <w:spacing w:after="0" w:line="240" w:lineRule="auto"/>
        <w:ind w:left="709" w:right="709"/>
        <w:jc w:val="both"/>
        <w:textAlignment w:val="baseline"/>
        <w:rPr>
          <w:rFonts w:ascii="Century Gothic" w:hAnsi="Century Gothic" w:cs="Arial"/>
          <w:sz w:val="21"/>
          <w:szCs w:val="21"/>
          <w:shd w:val="clear" w:color="auto" w:fill="FFFFFF"/>
        </w:rPr>
      </w:pPr>
    </w:p>
    <w:p w14:paraId="3C84F0C4" w14:textId="77777777" w:rsidR="005B4D3E" w:rsidRPr="00FE6FD8" w:rsidRDefault="005B4D3E" w:rsidP="005B4D3E">
      <w:pPr>
        <w:spacing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 xml:space="preserve">“2. ¿Se puede contratar con recursos de cajas menores, por ejemplo; mantenimiento de un aire acondicionado, limpieza de sillas, mantenimiento de computadores, etc. </w:t>
      </w:r>
      <w:proofErr w:type="gramStart"/>
      <w:r w:rsidRPr="00FE6FD8">
        <w:rPr>
          <w:rFonts w:ascii="Century Gothic" w:hAnsi="Century Gothic" w:cs="Arial"/>
          <w:sz w:val="20"/>
          <w:szCs w:val="20"/>
          <w:shd w:val="clear" w:color="auto" w:fill="FFFFFF"/>
        </w:rPr>
        <w:t>Evadiendo los procesos de contratación pública que se encuentren en la página, a través del establecimiento de esas cajas menores de una Entidad Pública?</w:t>
      </w:r>
      <w:proofErr w:type="gramEnd"/>
      <w:r w:rsidRPr="00FE6FD8">
        <w:rPr>
          <w:rFonts w:ascii="Century Gothic" w:hAnsi="Century Gothic" w:cs="Arial"/>
          <w:sz w:val="20"/>
          <w:szCs w:val="20"/>
          <w:shd w:val="clear" w:color="auto" w:fill="FFFFFF"/>
        </w:rPr>
        <w:t>” [sic]</w:t>
      </w:r>
    </w:p>
    <w:p w14:paraId="53155ACE" w14:textId="77777777" w:rsidR="005B4D3E" w:rsidRPr="00851774" w:rsidRDefault="005B4D3E" w:rsidP="005B4D3E">
      <w:pPr>
        <w:spacing w:after="0" w:line="240" w:lineRule="auto"/>
        <w:ind w:left="709" w:right="709"/>
        <w:jc w:val="both"/>
        <w:textAlignment w:val="baseline"/>
        <w:rPr>
          <w:rFonts w:ascii="Century Gothic" w:hAnsi="Century Gothic" w:cs="Arial"/>
          <w:sz w:val="21"/>
          <w:szCs w:val="21"/>
          <w:shd w:val="clear" w:color="auto" w:fill="FFFFFF"/>
        </w:rPr>
      </w:pPr>
    </w:p>
    <w:p w14:paraId="7549753D" w14:textId="77777777" w:rsidR="005B4D3E" w:rsidRPr="00851774" w:rsidRDefault="005B4D3E" w:rsidP="005B4D3E">
      <w:pPr>
        <w:widowControl w:val="0"/>
        <w:autoSpaceDE w:val="0"/>
        <w:autoSpaceDN w:val="0"/>
        <w:spacing w:after="120" w:line="276" w:lineRule="auto"/>
        <w:ind w:firstLine="708"/>
        <w:jc w:val="both"/>
        <w:rPr>
          <w:rFonts w:ascii="Century Gothic" w:eastAsia="Arial MT" w:hAnsi="Century Gothic" w:cs="Arial"/>
          <w:lang w:val="es-ES"/>
        </w:rPr>
      </w:pPr>
      <w:r w:rsidRPr="00851774">
        <w:rPr>
          <w:rFonts w:ascii="Century Gothic" w:eastAsia="Arial MT" w:hAnsi="Century Gothic" w:cs="Arial"/>
          <w:lang w:val="es-ES"/>
        </w:rPr>
        <w:t>Para las adquisiciones, las entidades deben estructurar un procedimiento de contratación que es reglado, es decir, el procedimiento no es discrecional, y se deben consultar las normas</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que rigen el Sistema de Compra Pública para determinar la forma que la ley prevé para</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adelantarlo.</w:t>
      </w:r>
      <w:r w:rsidRPr="00851774">
        <w:rPr>
          <w:rFonts w:ascii="Century Gothic" w:eastAsia="Arial MT" w:hAnsi="Century Gothic" w:cs="Arial"/>
          <w:spacing w:val="-13"/>
          <w:lang w:val="es-ES"/>
        </w:rPr>
        <w:t xml:space="preserve"> </w:t>
      </w:r>
      <w:r w:rsidRPr="00851774">
        <w:rPr>
          <w:rFonts w:ascii="Century Gothic" w:eastAsia="Arial MT" w:hAnsi="Century Gothic" w:cs="Arial"/>
          <w:lang w:val="es-ES"/>
        </w:rPr>
        <w:t>Por</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consiguiente,</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las</w:t>
      </w:r>
      <w:r w:rsidRPr="00851774">
        <w:rPr>
          <w:rFonts w:ascii="Century Gothic" w:eastAsia="Arial MT" w:hAnsi="Century Gothic" w:cs="Arial"/>
          <w:spacing w:val="-13"/>
          <w:lang w:val="es-ES"/>
        </w:rPr>
        <w:t xml:space="preserve"> </w:t>
      </w:r>
      <w:r w:rsidRPr="00851774">
        <w:rPr>
          <w:rFonts w:ascii="Century Gothic" w:eastAsia="Arial MT" w:hAnsi="Century Gothic" w:cs="Arial"/>
          <w:lang w:val="es-ES"/>
        </w:rPr>
        <w:t>principales</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normas</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son:</w:t>
      </w:r>
      <w:r w:rsidRPr="00851774">
        <w:rPr>
          <w:rFonts w:ascii="Century Gothic" w:eastAsia="Arial MT" w:hAnsi="Century Gothic" w:cs="Arial"/>
          <w:spacing w:val="-13"/>
          <w:lang w:val="es-ES"/>
        </w:rPr>
        <w:t xml:space="preserve"> </w:t>
      </w:r>
      <w:r w:rsidRPr="00851774">
        <w:rPr>
          <w:rFonts w:ascii="Century Gothic" w:eastAsia="Arial MT" w:hAnsi="Century Gothic" w:cs="Arial"/>
          <w:lang w:val="es-ES"/>
        </w:rPr>
        <w:t>la</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Ley</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80</w:t>
      </w:r>
      <w:r w:rsidRPr="00851774">
        <w:rPr>
          <w:rFonts w:ascii="Century Gothic" w:eastAsia="Arial MT" w:hAnsi="Century Gothic" w:cs="Arial"/>
          <w:spacing w:val="-13"/>
          <w:lang w:val="es-ES"/>
        </w:rPr>
        <w:t xml:space="preserve"> </w:t>
      </w:r>
      <w:r w:rsidRPr="00851774">
        <w:rPr>
          <w:rFonts w:ascii="Century Gothic" w:eastAsia="Arial MT" w:hAnsi="Century Gothic" w:cs="Arial"/>
          <w:lang w:val="es-ES"/>
        </w:rPr>
        <w:t>de</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1993,</w:t>
      </w:r>
      <w:r w:rsidRPr="00851774">
        <w:rPr>
          <w:rFonts w:ascii="Century Gothic" w:eastAsia="Arial MT" w:hAnsi="Century Gothic" w:cs="Arial"/>
          <w:spacing w:val="-12"/>
          <w:lang w:val="es-ES"/>
        </w:rPr>
        <w:t xml:space="preserve"> </w:t>
      </w:r>
      <w:r w:rsidRPr="00851774">
        <w:rPr>
          <w:rFonts w:ascii="Century Gothic" w:eastAsia="Arial MT" w:hAnsi="Century Gothic" w:cs="Arial"/>
          <w:lang w:val="es-ES"/>
        </w:rPr>
        <w:t>–EGCAP–; la Ley 1150 de 2007 que, entre otras disposiciones,</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regula</w:t>
      </w:r>
      <w:r w:rsidRPr="00851774">
        <w:rPr>
          <w:rFonts w:ascii="Century Gothic" w:eastAsia="Arial MT" w:hAnsi="Century Gothic" w:cs="Arial"/>
          <w:spacing w:val="-16"/>
          <w:lang w:val="es-ES"/>
        </w:rPr>
        <w:t xml:space="preserve"> </w:t>
      </w:r>
      <w:r w:rsidRPr="00851774">
        <w:rPr>
          <w:rFonts w:ascii="Century Gothic" w:eastAsia="Arial MT" w:hAnsi="Century Gothic" w:cs="Arial"/>
          <w:lang w:val="es-ES"/>
        </w:rPr>
        <w:t>las</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modalidades</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de</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selección</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para</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la</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escogencia</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del</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contratista;</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y</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el</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Decreto</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1082</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de</w:t>
      </w:r>
      <w:r w:rsidRPr="00851774">
        <w:rPr>
          <w:rFonts w:ascii="Century Gothic" w:eastAsia="Arial MT" w:hAnsi="Century Gothic" w:cs="Arial"/>
          <w:spacing w:val="-15"/>
          <w:lang w:val="es-ES"/>
        </w:rPr>
        <w:t xml:space="preserve"> </w:t>
      </w:r>
      <w:r w:rsidRPr="00851774">
        <w:rPr>
          <w:rFonts w:ascii="Century Gothic" w:eastAsia="Arial MT" w:hAnsi="Century Gothic" w:cs="Arial"/>
          <w:lang w:val="es-ES"/>
        </w:rPr>
        <w:t>2015,</w:t>
      </w:r>
      <w:r w:rsidRPr="00851774">
        <w:rPr>
          <w:rFonts w:ascii="Century Gothic" w:eastAsia="Arial MT" w:hAnsi="Century Gothic" w:cs="Arial"/>
          <w:spacing w:val="-59"/>
          <w:lang w:val="es-ES"/>
        </w:rPr>
        <w:t xml:space="preserve"> </w:t>
      </w:r>
      <w:r w:rsidRPr="00851774">
        <w:rPr>
          <w:rFonts w:ascii="Century Gothic" w:eastAsia="Arial MT" w:hAnsi="Century Gothic" w:cs="Arial"/>
          <w:lang w:val="es-ES"/>
        </w:rPr>
        <w:t>que</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es</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reglamentario</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y</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concreta</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cada</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modalidad</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de</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selección,</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señalando</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reglas</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o</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pasos</w:t>
      </w:r>
      <w:r w:rsidRPr="00851774">
        <w:rPr>
          <w:rFonts w:ascii="Century Gothic" w:eastAsia="Arial MT" w:hAnsi="Century Gothic" w:cs="Arial"/>
          <w:spacing w:val="-8"/>
          <w:lang w:val="es-ES"/>
        </w:rPr>
        <w:t xml:space="preserve"> </w:t>
      </w:r>
      <w:r w:rsidRPr="00851774">
        <w:rPr>
          <w:rFonts w:ascii="Century Gothic" w:eastAsia="Arial MT" w:hAnsi="Century Gothic" w:cs="Arial"/>
          <w:lang w:val="es-ES"/>
        </w:rPr>
        <w:t>a</w:t>
      </w:r>
      <w:r w:rsidRPr="00851774">
        <w:rPr>
          <w:rFonts w:ascii="Century Gothic" w:eastAsia="Arial MT" w:hAnsi="Century Gothic" w:cs="Arial"/>
          <w:spacing w:val="-9"/>
          <w:lang w:val="es-ES"/>
        </w:rPr>
        <w:t xml:space="preserve"> </w:t>
      </w:r>
      <w:r w:rsidRPr="00851774">
        <w:rPr>
          <w:rFonts w:ascii="Century Gothic" w:eastAsia="Arial MT" w:hAnsi="Century Gothic" w:cs="Arial"/>
          <w:lang w:val="es-ES"/>
        </w:rPr>
        <w:t>seguir</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para</w:t>
      </w:r>
      <w:r w:rsidRPr="00851774">
        <w:rPr>
          <w:rFonts w:ascii="Century Gothic" w:eastAsia="Arial MT" w:hAnsi="Century Gothic" w:cs="Arial"/>
          <w:spacing w:val="-2"/>
          <w:lang w:val="es-ES"/>
        </w:rPr>
        <w:t xml:space="preserve"> </w:t>
      </w:r>
      <w:r w:rsidRPr="00851774">
        <w:rPr>
          <w:rFonts w:ascii="Century Gothic" w:eastAsia="Arial MT" w:hAnsi="Century Gothic" w:cs="Arial"/>
          <w:lang w:val="es-ES"/>
        </w:rPr>
        <w:t>celebrar</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el</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contrato</w:t>
      </w:r>
      <w:r w:rsidRPr="00851774">
        <w:rPr>
          <w:rFonts w:ascii="Century Gothic" w:eastAsia="Arial MT" w:hAnsi="Century Gothic" w:cs="Arial"/>
          <w:spacing w:val="-1"/>
          <w:lang w:val="es-ES"/>
        </w:rPr>
        <w:t xml:space="preserve"> </w:t>
      </w:r>
      <w:r w:rsidRPr="00851774">
        <w:rPr>
          <w:rFonts w:ascii="Century Gothic" w:eastAsia="Arial MT" w:hAnsi="Century Gothic" w:cs="Arial"/>
          <w:lang w:val="es-ES"/>
        </w:rPr>
        <w:t>estatal.</w:t>
      </w:r>
    </w:p>
    <w:p w14:paraId="1E238E49" w14:textId="77777777" w:rsidR="005B4D3E" w:rsidRPr="00851774" w:rsidRDefault="005B4D3E" w:rsidP="005B4D3E">
      <w:pPr>
        <w:spacing w:before="120" w:line="276" w:lineRule="auto"/>
        <w:ind w:firstLine="708"/>
        <w:jc w:val="both"/>
        <w:rPr>
          <w:rFonts w:ascii="Century Gothic" w:eastAsia="Calibri" w:hAnsi="Century Gothic" w:cs="Arial"/>
          <w:lang w:val="es-ES_tradnl"/>
        </w:rPr>
      </w:pPr>
      <w:r w:rsidRPr="00851774">
        <w:rPr>
          <w:rFonts w:ascii="Century Gothic" w:eastAsia="Arial" w:hAnsi="Century Gothic" w:cs="Arial"/>
        </w:rPr>
        <w:t>De acuerdo con lo anterior, en lo que respecta a la modalidad de selección de mínima cuantía, debe precisarse que esta es una modalidad de selección en virtud de la cual la Entidad Estatal realiza una convocatoria pública para recibir ofertas de bienes, obras o servicios cuyo valor no excede el diez por ciento (10%) de la menor cuantía.</w:t>
      </w:r>
      <w:r w:rsidRPr="00851774">
        <w:t xml:space="preserve"> </w:t>
      </w:r>
      <w:r w:rsidRPr="00851774">
        <w:rPr>
          <w:rFonts w:ascii="Century Gothic" w:eastAsia="Calibri" w:hAnsi="Century Gothic" w:cs="Arial"/>
          <w:lang w:val="es-ES_tradnl"/>
        </w:rPr>
        <w:t xml:space="preserve">En ese contexto, podría afirmarse entonces, </w:t>
      </w:r>
      <w:proofErr w:type="gramStart"/>
      <w:r w:rsidRPr="00851774">
        <w:rPr>
          <w:rFonts w:ascii="Century Gothic" w:eastAsia="Calibri" w:hAnsi="Century Gothic" w:cs="Arial"/>
          <w:lang w:val="es-ES_tradnl"/>
        </w:rPr>
        <w:t>que</w:t>
      </w:r>
      <w:proofErr w:type="gramEnd"/>
      <w:r w:rsidRPr="00851774">
        <w:rPr>
          <w:rFonts w:ascii="Century Gothic" w:eastAsia="Calibri" w:hAnsi="Century Gothic" w:cs="Arial"/>
          <w:lang w:val="es-ES_tradnl"/>
        </w:rPr>
        <w:t xml:space="preserve"> sin importar el objeto del contrato, la Entidad Estatal deberá adelantar el procedimiento de selección del contratista a través de la modalidad de mínima cuantía, siempre que, en el caso concreto, el valor del contrato, como se indicó, no exceda el diez por ciento (10%) de la menor cuantía de la entidad.</w:t>
      </w:r>
      <w:r w:rsidRPr="00851774">
        <w:t xml:space="preserve"> </w:t>
      </w:r>
      <w:r w:rsidRPr="00851774">
        <w:rPr>
          <w:rFonts w:ascii="Century Gothic" w:eastAsia="Calibri" w:hAnsi="Century Gothic" w:cs="Arial"/>
          <w:lang w:val="es-ES_tradnl"/>
        </w:rPr>
        <w:t>Sin embargo, es pertinente aclarar, que existen entidades públicas a las que, dependiendo de la cuantía del proceso de contratación, no les resulta aplicable el EGCAP, ni mucho menos las precitadas reglas del artículo 2 de la Ley 1150 de 2007, sino, las dispuestas en el derecho privado. Por ejemplo, las contrataciones que realizan las Instituciones Educativas mediante los Fondos de Servicios Educativos.</w:t>
      </w:r>
    </w:p>
    <w:p w14:paraId="55165A5D" w14:textId="77777777" w:rsidR="005B4D3E" w:rsidRPr="00851774" w:rsidRDefault="005B4D3E" w:rsidP="005B4D3E">
      <w:pPr>
        <w:spacing w:before="120" w:after="0" w:line="276" w:lineRule="auto"/>
        <w:jc w:val="both"/>
        <w:rPr>
          <w:rFonts w:ascii="Century Gothic" w:eastAsia="Arial" w:hAnsi="Century Gothic" w:cs="Arial"/>
        </w:rPr>
      </w:pPr>
      <w:r w:rsidRPr="00851774">
        <w:rPr>
          <w:rFonts w:ascii="Century Gothic" w:eastAsia="Arial" w:hAnsi="Century Gothic" w:cs="Arial"/>
        </w:rPr>
        <w:tab/>
        <w:t>Finalmente, serán las Entidades Estatales que pretendan adelantar un proceso de contratación, las facultadas para dilucidar, de acuerdo con la normativa vigente y el régimen de contratación que les resulte aplicable, la forma en la que deberán adelantar dichos procedimientos.</w:t>
      </w:r>
    </w:p>
    <w:p w14:paraId="55958570" w14:textId="77777777" w:rsidR="005B4D3E" w:rsidRPr="00851774" w:rsidRDefault="005B4D3E" w:rsidP="005B4D3E">
      <w:pPr>
        <w:spacing w:after="0" w:line="240" w:lineRule="auto"/>
        <w:ind w:left="709" w:right="709"/>
        <w:jc w:val="both"/>
        <w:textAlignment w:val="baseline"/>
        <w:rPr>
          <w:rFonts w:ascii="Century Gothic" w:hAnsi="Century Gothic" w:cs="Arial"/>
          <w:sz w:val="21"/>
          <w:szCs w:val="21"/>
          <w:shd w:val="clear" w:color="auto" w:fill="FFFFFF"/>
        </w:rPr>
      </w:pPr>
    </w:p>
    <w:p w14:paraId="642D09DA" w14:textId="77777777" w:rsidR="005B4D3E" w:rsidRPr="00FE6FD8" w:rsidRDefault="005B4D3E" w:rsidP="005B4D3E">
      <w:pPr>
        <w:spacing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 xml:space="preserve">“3. ¿Un contratista de prestación de servicios, puede tener un sueldo más alto que un </w:t>
      </w:r>
      <w:proofErr w:type="gramStart"/>
      <w:r w:rsidRPr="00FE6FD8">
        <w:rPr>
          <w:rFonts w:ascii="Century Gothic" w:hAnsi="Century Gothic" w:cs="Arial"/>
          <w:sz w:val="20"/>
          <w:szCs w:val="20"/>
          <w:shd w:val="clear" w:color="auto" w:fill="FFFFFF"/>
        </w:rPr>
        <w:t>Alcalde</w:t>
      </w:r>
      <w:proofErr w:type="gramEnd"/>
      <w:r w:rsidRPr="00FE6FD8">
        <w:rPr>
          <w:rFonts w:ascii="Century Gothic" w:hAnsi="Century Gothic" w:cs="Arial"/>
          <w:sz w:val="20"/>
          <w:szCs w:val="20"/>
          <w:shd w:val="clear" w:color="auto" w:fill="FFFFFF"/>
        </w:rPr>
        <w:t xml:space="preserve"> de un municipio de quinta (05) y/o sexta (06) categoría?</w:t>
      </w:r>
    </w:p>
    <w:p w14:paraId="2EDFED2D" w14:textId="77777777" w:rsidR="005B4D3E" w:rsidRPr="00FE6FD8" w:rsidRDefault="005B4D3E" w:rsidP="005B4D3E">
      <w:pPr>
        <w:spacing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w:t>
      </w:r>
    </w:p>
    <w:p w14:paraId="5F9AB049" w14:textId="77777777" w:rsidR="005B4D3E" w:rsidRPr="00FE6FD8" w:rsidRDefault="005B4D3E" w:rsidP="005B4D3E">
      <w:pPr>
        <w:spacing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5. A la hora de contratar el PLAN DE DESARROLLO de un Municipio, ¿se puede realizar bajo la modalidad de contratación directa a través de un contrato de prestación de servicios profesionales?” [sic]</w:t>
      </w:r>
    </w:p>
    <w:p w14:paraId="4C69D1A9" w14:textId="77777777" w:rsidR="005B4D3E" w:rsidRPr="00851774" w:rsidRDefault="005B4D3E" w:rsidP="005B4D3E">
      <w:pPr>
        <w:spacing w:after="0" w:line="240" w:lineRule="auto"/>
        <w:ind w:left="709" w:right="709"/>
        <w:jc w:val="both"/>
        <w:textAlignment w:val="baseline"/>
        <w:rPr>
          <w:rFonts w:ascii="Century Gothic" w:hAnsi="Century Gothic" w:cs="Arial"/>
          <w:sz w:val="21"/>
          <w:szCs w:val="21"/>
          <w:shd w:val="clear" w:color="auto" w:fill="FFFFFF"/>
        </w:rPr>
      </w:pPr>
    </w:p>
    <w:p w14:paraId="129D24E0" w14:textId="77777777" w:rsidR="005B4D3E" w:rsidRPr="00851774" w:rsidRDefault="005B4D3E" w:rsidP="005B4D3E">
      <w:pPr>
        <w:spacing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ab/>
        <w:t>Teniendo en cuenta lo expuesto en el considerando 2.3, se itera, que no existe en el Sistema de Compra y Contratación Pública una disposición que establezca la forma en la que deberían fijarse los honorarios de los contratistas de prestación de servicios profesionales, de apoyo a la gestión y de trabajos artísticos, pues en virtud del principio de autonomía de la voluntad, las partes pueden determinar el contenido de los contratos estales e incluir las condiciones, cláusulas o estipulaciones que consideren necesarias para desarrollar el objeto contractual, siempre que no sean contrarias a la Constitución Política, la ley y el orden público.</w:t>
      </w:r>
    </w:p>
    <w:p w14:paraId="319C6F1B" w14:textId="77777777" w:rsidR="005B4D3E" w:rsidRPr="00851774" w:rsidRDefault="005B4D3E" w:rsidP="005B4D3E">
      <w:pPr>
        <w:spacing w:before="120" w:after="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t>En consecuencia, las Entidades Estatales durante la etapa de planeación, tienen el deber de realizar el análisis del sector y justificar la modalidad de contratación en los documentos del proceso, que para el caso de los procesos que impliquen una contratación directa y en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595F2E75" w14:textId="77777777" w:rsidR="005B4D3E" w:rsidRPr="00851774" w:rsidRDefault="005B4D3E" w:rsidP="005B4D3E">
      <w:pPr>
        <w:spacing w:before="120" w:after="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t>Por otro lado, resulta a bien precisar que, pese a que el contrato de consultoría y el de prestación de servicios se asemejan en lo intelectual y profesional, el primero no puede tener como objeto contractual, actividades del segundo. Esto por cuanto, como lo indicó el Consejo de Estado en la antes referida sentencia de unificación jurisprudencial, si bien existe un componente intelectual y profesional, tanto en los contratos de prestación de servicios profesionales y en los contratos de consultoría, el objeto contractual de este último es especial y debe celebrarse, por regla general, mediante la modalidad de selección de concurso de méritos. Así pues, debe aclararse, que no es factible suscribir un contrato de prestación de servicios profesionales para ejecutar actividades que se enmarcan en los contratos tipificados en el artículo 32 de la Ley 80 de 1993, como, por ejemplo, las consultorías.</w:t>
      </w:r>
    </w:p>
    <w:p w14:paraId="33861B91" w14:textId="77777777" w:rsidR="005B4D3E" w:rsidRPr="00851774" w:rsidRDefault="005B4D3E" w:rsidP="005B4D3E">
      <w:pPr>
        <w:spacing w:before="120" w:after="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lastRenderedPageBreak/>
        <w:t>Bajo este entendimiento, la característica fundamental para identificar los contratos de consultoría es el carácter ampliamente técnico de su contenido, que se diferencia de otros tipos contractuales, como el de prestación de servicios –apoyo a la gestión, servicios profesionales o de ejecución de trabajos artísticos–.</w:t>
      </w:r>
      <w:r w:rsidRPr="00851774">
        <w:t xml:space="preserve"> </w:t>
      </w:r>
      <w:r w:rsidRPr="00851774">
        <w:rPr>
          <w:rFonts w:ascii="Century Gothic" w:eastAsia="Calibri" w:hAnsi="Century Gothic" w:cs="Arial"/>
          <w:lang w:val="es-ES_tradnl"/>
        </w:rPr>
        <w:t>A diferencia del contrato de consultoría, el de prestación de servicios supone tal y como se indicó en el numeral anterior, el desarrollo de actividades de colaboración y apoyo a la gestión de la entidad dirigidas al cumplimiento de las funciones asignadas a esta, de carácter temporal, excepcional u ocasional, siempre que no haya suficiente personal de planta o que, existiendo, está sobrecargado de trabajo, o que sean actividades que requieran conocimientos especializados, según lo prescrito en el numeral 3 del artículo 32 de la Ley 80 de 1993.</w:t>
      </w:r>
    </w:p>
    <w:p w14:paraId="3ADC5415" w14:textId="77777777" w:rsidR="005B4D3E" w:rsidRPr="00851774" w:rsidRDefault="005B4D3E" w:rsidP="005B4D3E">
      <w:pPr>
        <w:spacing w:before="120" w:after="0" w:line="276" w:lineRule="auto"/>
        <w:ind w:firstLine="709"/>
        <w:jc w:val="both"/>
        <w:rPr>
          <w:rFonts w:ascii="Century Gothic" w:eastAsia="Calibri" w:hAnsi="Century Gothic" w:cs="Arial"/>
          <w:i/>
          <w:iCs/>
          <w:lang w:val="es-ES_tradnl"/>
        </w:rPr>
      </w:pPr>
      <w:r w:rsidRPr="00851774">
        <w:rPr>
          <w:rFonts w:ascii="Century Gothic" w:eastAsia="Calibri" w:hAnsi="Century Gothic" w:cs="Arial"/>
          <w:lang w:val="es-ES_tradnl"/>
        </w:rPr>
        <w:t xml:space="preserve">De esta manera, las entidades deberán identificar si las actividades que pretendan contratar por prestación de servicios, se enmarcan o no en las reglas dispuestas en el numeral 3 del artículo 32 de la Ley 80 de 1993 o, si en cambio, son propias de un contrato de consultoría según lo señalado en numeral 2 </w:t>
      </w:r>
      <w:r w:rsidRPr="00851774">
        <w:rPr>
          <w:rFonts w:ascii="Century Gothic" w:eastAsia="Calibri" w:hAnsi="Century Gothic" w:cs="Arial"/>
          <w:i/>
          <w:iCs/>
          <w:lang w:val="es-ES_tradnl"/>
        </w:rPr>
        <w:t>ibidem.</w:t>
      </w:r>
    </w:p>
    <w:p w14:paraId="31926B44" w14:textId="77777777" w:rsidR="005B4D3E" w:rsidRPr="00851774" w:rsidRDefault="005B4D3E" w:rsidP="005B4D3E">
      <w:pPr>
        <w:spacing w:after="0" w:line="240" w:lineRule="auto"/>
        <w:ind w:left="709" w:right="709"/>
        <w:jc w:val="both"/>
        <w:textAlignment w:val="baseline"/>
        <w:rPr>
          <w:rFonts w:ascii="Century Gothic" w:hAnsi="Century Gothic" w:cs="Arial"/>
          <w:sz w:val="21"/>
          <w:szCs w:val="21"/>
          <w:shd w:val="clear" w:color="auto" w:fill="FFFFFF"/>
        </w:rPr>
      </w:pPr>
    </w:p>
    <w:p w14:paraId="5929EE09" w14:textId="77777777" w:rsidR="005B4D3E" w:rsidRPr="00FE6FD8" w:rsidRDefault="005B4D3E" w:rsidP="005B4D3E">
      <w:pPr>
        <w:spacing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t>“4. En materia de cobro coactivo ¿le puedo entregar a un particular que realice el cobro coactivo y sustancie actos para que firme el tesorero, para darle a cambio el 16% a título de prima de éxito gracias a su gestión?” [sic]</w:t>
      </w:r>
    </w:p>
    <w:p w14:paraId="389DC369" w14:textId="77777777" w:rsidR="005B4D3E" w:rsidRPr="00851774" w:rsidRDefault="005B4D3E" w:rsidP="005B4D3E">
      <w:pPr>
        <w:spacing w:after="0" w:line="276" w:lineRule="auto"/>
        <w:jc w:val="both"/>
        <w:rPr>
          <w:rFonts w:ascii="Century Gothic" w:eastAsia="Calibri" w:hAnsi="Century Gothic" w:cs="Arial"/>
          <w:lang w:val="es-ES_tradnl"/>
        </w:rPr>
      </w:pPr>
    </w:p>
    <w:p w14:paraId="175E5B74" w14:textId="77777777" w:rsidR="005B4D3E" w:rsidRPr="00851774" w:rsidRDefault="005B4D3E" w:rsidP="005B4D3E">
      <w:pPr>
        <w:spacing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ab/>
        <w:t xml:space="preserve">La Agencia Nacional de Contratación Pública – Colombia Compra Eficiente, solo tiene competencia para responder solicitudes sobre la aplicación de normas de carácter general en materia de compras y contratación pública. Por ello, debe abstenerse de emitir pronunciamientos, cuyo propósito sea el resolver situaciones que no se refieran al alcance interpretativo de las disposiciones que rigen la contratación estatal. En ese contexto,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19E72F7C" w14:textId="77777777" w:rsidR="005B4D3E" w:rsidRPr="00851774" w:rsidRDefault="005B4D3E" w:rsidP="005B4D3E">
      <w:pPr>
        <w:spacing w:before="120" w:after="0" w:line="276" w:lineRule="auto"/>
        <w:ind w:firstLine="709"/>
        <w:jc w:val="both"/>
        <w:rPr>
          <w:rFonts w:ascii="Century Gothic" w:eastAsia="Calibri" w:hAnsi="Century Gothic" w:cs="Arial"/>
          <w:lang w:val="es-ES_tradnl"/>
        </w:rPr>
      </w:pPr>
      <w:r w:rsidRPr="00851774">
        <w:rPr>
          <w:rFonts w:ascii="Century Gothic" w:eastAsia="Calibri" w:hAnsi="Century Gothic" w:cs="Arial"/>
          <w:lang w:val="es-ES_tradnl"/>
        </w:rPr>
        <w:t>Por ende, ser</w:t>
      </w:r>
      <w:r w:rsidRPr="00851774">
        <w:rPr>
          <w:rFonts w:ascii="Century Gothic" w:eastAsia="Calibri" w:hAnsi="Century Gothic" w:cs="Century Gothic"/>
          <w:lang w:val="es-ES_tradnl"/>
        </w:rPr>
        <w:t>á</w:t>
      </w:r>
      <w:r w:rsidRPr="00851774">
        <w:rPr>
          <w:rFonts w:ascii="Century Gothic" w:eastAsia="Calibri" w:hAnsi="Century Gothic" w:cs="Arial"/>
          <w:lang w:val="es-ES_tradnl"/>
        </w:rPr>
        <w:t>n las entidades p</w:t>
      </w:r>
      <w:r w:rsidRPr="00851774">
        <w:rPr>
          <w:rFonts w:ascii="Century Gothic" w:eastAsia="Calibri" w:hAnsi="Century Gothic" w:cs="Century Gothic"/>
          <w:lang w:val="es-ES_tradnl"/>
        </w:rPr>
        <w:t>ú</w:t>
      </w:r>
      <w:r w:rsidRPr="00851774">
        <w:rPr>
          <w:rFonts w:ascii="Century Gothic" w:eastAsia="Calibri" w:hAnsi="Century Gothic" w:cs="Arial"/>
          <w:lang w:val="es-ES_tradnl"/>
        </w:rPr>
        <w:t>blicas, de conformidad con disposiciones jurídicas que les sean aplicables, las competentes para determinar en cada caso particular y concreto, la forma en la que deberán adelantar los trámites y actividades relacionadas con el cobro coactivo de las obligaciones que tengan a su favor.</w:t>
      </w:r>
    </w:p>
    <w:p w14:paraId="55156051" w14:textId="77777777" w:rsidR="005B4D3E" w:rsidRPr="00851774" w:rsidRDefault="005B4D3E" w:rsidP="005B4D3E">
      <w:pPr>
        <w:spacing w:after="0" w:line="276" w:lineRule="auto"/>
        <w:jc w:val="both"/>
        <w:rPr>
          <w:rFonts w:ascii="Century Gothic" w:eastAsia="Calibri" w:hAnsi="Century Gothic" w:cs="Arial"/>
          <w:lang w:val="es-ES_tradnl"/>
        </w:rPr>
      </w:pPr>
    </w:p>
    <w:p w14:paraId="301CED13" w14:textId="77777777" w:rsidR="005B4D3E" w:rsidRPr="00FE6FD8" w:rsidRDefault="005B4D3E" w:rsidP="005B4D3E">
      <w:pPr>
        <w:spacing w:after="0" w:line="240" w:lineRule="auto"/>
        <w:ind w:left="709" w:right="709"/>
        <w:jc w:val="both"/>
        <w:textAlignment w:val="baseline"/>
        <w:rPr>
          <w:rFonts w:ascii="Century Gothic" w:hAnsi="Century Gothic" w:cs="Arial"/>
          <w:sz w:val="20"/>
          <w:szCs w:val="20"/>
          <w:shd w:val="clear" w:color="auto" w:fill="FFFFFF"/>
        </w:rPr>
      </w:pPr>
      <w:r w:rsidRPr="00FE6FD8">
        <w:rPr>
          <w:rFonts w:ascii="Century Gothic" w:hAnsi="Century Gothic" w:cs="Arial"/>
          <w:sz w:val="20"/>
          <w:szCs w:val="20"/>
          <w:shd w:val="clear" w:color="auto" w:fill="FFFFFF"/>
        </w:rPr>
        <w:lastRenderedPageBreak/>
        <w:t>“6. Cuando se presenta una hoja de vida como requisito habilitante en un proceso de Licitación Pública, no cumple en el traslado de la valoración ¿se puede cambiar por otra hoja de vida que sí cumpla, sin que genere una causal de rechazo y sin que se genera una mejora de propuesta?” [sic]</w:t>
      </w:r>
    </w:p>
    <w:p w14:paraId="60BFD016" w14:textId="77777777" w:rsidR="005B4D3E" w:rsidRPr="00851774" w:rsidRDefault="005B4D3E" w:rsidP="005B4D3E">
      <w:pPr>
        <w:spacing w:after="0" w:line="276" w:lineRule="auto"/>
        <w:jc w:val="both"/>
        <w:rPr>
          <w:rFonts w:ascii="Century Gothic" w:eastAsia="Calibri" w:hAnsi="Century Gothic" w:cs="Arial"/>
          <w:lang w:val="es-ES_tradnl"/>
        </w:rPr>
      </w:pPr>
    </w:p>
    <w:p w14:paraId="399EC232" w14:textId="77777777" w:rsidR="005B4D3E" w:rsidRPr="00851774" w:rsidRDefault="005B4D3E" w:rsidP="005B4D3E">
      <w:pPr>
        <w:spacing w:after="0" w:line="276" w:lineRule="auto"/>
        <w:ind w:firstLine="708"/>
        <w:jc w:val="both"/>
        <w:rPr>
          <w:rFonts w:ascii="Century Gothic" w:eastAsia="Calibri" w:hAnsi="Century Gothic" w:cs="Arial"/>
          <w:lang w:val="es-ES_tradnl"/>
        </w:rPr>
      </w:pPr>
      <w:r w:rsidRPr="00851774">
        <w:rPr>
          <w:rFonts w:ascii="Century Gothic" w:eastAsia="Calibri" w:hAnsi="Century Gothic" w:cs="Arial"/>
          <w:lang w:val="es-ES_tradnl"/>
        </w:rPr>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14:paraId="1A8CC8B7" w14:textId="77777777" w:rsidR="005B4D3E" w:rsidRPr="00851774" w:rsidRDefault="005B4D3E" w:rsidP="005B4D3E">
      <w:pPr>
        <w:spacing w:before="120" w:after="0" w:line="276" w:lineRule="auto"/>
        <w:jc w:val="both"/>
        <w:rPr>
          <w:rFonts w:ascii="Century Gothic" w:eastAsia="Calibri" w:hAnsi="Century Gothic" w:cs="Arial"/>
          <w:lang w:val="es-ES_tradnl"/>
        </w:rPr>
      </w:pPr>
      <w:r w:rsidRPr="00851774">
        <w:rPr>
          <w:rFonts w:ascii="Century Gothic" w:eastAsia="Calibri" w:hAnsi="Century Gothic" w:cs="Arial"/>
          <w:lang w:val="es-ES_tradnl"/>
        </w:rPr>
        <w:tab/>
        <w:t>Así pues, una vez verificada la ausencia de requisitos y/o documentos de la oferta, para efectos de saber si se pueden subsanar, la entidad contratante debe preguntarse,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25FCD213" w14:textId="77777777" w:rsidR="005B4D3E" w:rsidRPr="00851774" w:rsidRDefault="005B4D3E" w:rsidP="005B4D3E">
      <w:pPr>
        <w:spacing w:before="120" w:after="0" w:line="276" w:lineRule="auto"/>
        <w:ind w:firstLine="708"/>
        <w:jc w:val="both"/>
        <w:rPr>
          <w:rFonts w:ascii="Century Gothic" w:eastAsia="Calibri" w:hAnsi="Century Gothic" w:cs="Arial"/>
          <w:lang w:val="es-ES_tradnl"/>
        </w:rPr>
      </w:pPr>
      <w:r w:rsidRPr="00851774">
        <w:rPr>
          <w:rFonts w:ascii="Century Gothic" w:eastAsia="Calibri" w:hAnsi="Century Gothic" w:cs="Arial"/>
          <w:lang w:val="es-ES_tradnl"/>
        </w:rPr>
        <w:t>De acuerdo con lo expuesto en torno a la subsanabilidad de las ofertas y teniendo en cuenta las reglas dispuestas en la Ley 1882 de 2018, se itera que dicha norma 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6F13E237" w14:textId="77777777" w:rsidR="005B4D3E" w:rsidRPr="00851774" w:rsidRDefault="005B4D3E" w:rsidP="005B4D3E">
      <w:pPr>
        <w:spacing w:after="0" w:line="276" w:lineRule="auto"/>
        <w:jc w:val="both"/>
        <w:rPr>
          <w:rFonts w:ascii="Century Gothic" w:eastAsia="Arial" w:hAnsi="Century Gothic" w:cs="Arial"/>
        </w:rPr>
      </w:pPr>
    </w:p>
    <w:p w14:paraId="68DA4479" w14:textId="77777777" w:rsidR="005B4D3E" w:rsidRPr="00851774" w:rsidRDefault="005B4D3E" w:rsidP="005B4D3E">
      <w:pPr>
        <w:widowControl w:val="0"/>
        <w:autoSpaceDE w:val="0"/>
        <w:autoSpaceDN w:val="0"/>
        <w:spacing w:after="0" w:line="276" w:lineRule="auto"/>
        <w:jc w:val="both"/>
        <w:rPr>
          <w:rFonts w:ascii="Century Gothic" w:hAnsi="Century Gothic" w:cs="Arial"/>
          <w:lang w:val="es-ES_tradnl" w:bidi="es-ES"/>
        </w:rPr>
      </w:pPr>
      <w:r w:rsidRPr="00851774">
        <w:rPr>
          <w:rFonts w:ascii="Century Gothic" w:hAnsi="Century Gothic" w:cs="Arial"/>
          <w:lang w:val="es-ES_tradnl"/>
        </w:rPr>
        <w:t>Este concepto tiene el alcance previsto en el artículo 28 del Código de Procedimiento Administrativo y de lo Contencioso Administrativo.</w:t>
      </w:r>
    </w:p>
    <w:p w14:paraId="1881D6C3" w14:textId="77777777" w:rsidR="005B4D3E" w:rsidRPr="00851774" w:rsidRDefault="005B4D3E" w:rsidP="005B4D3E">
      <w:pPr>
        <w:widowControl w:val="0"/>
        <w:autoSpaceDE w:val="0"/>
        <w:autoSpaceDN w:val="0"/>
        <w:spacing w:after="0" w:line="276" w:lineRule="auto"/>
        <w:jc w:val="both"/>
        <w:rPr>
          <w:rFonts w:ascii="Century Gothic" w:hAnsi="Century Gothic" w:cs="Arial"/>
          <w:lang w:val="es-ES_tradnl" w:bidi="es-ES"/>
        </w:rPr>
      </w:pPr>
    </w:p>
    <w:p w14:paraId="4818B388" w14:textId="77777777" w:rsidR="005B4D3E" w:rsidRPr="00851774" w:rsidRDefault="005B4D3E" w:rsidP="005B4D3E">
      <w:pPr>
        <w:tabs>
          <w:tab w:val="left" w:pos="426"/>
        </w:tabs>
        <w:spacing w:line="276" w:lineRule="auto"/>
        <w:jc w:val="both"/>
        <w:rPr>
          <w:rFonts w:ascii="Century Gothic" w:eastAsia="Times New Roman" w:hAnsi="Century Gothic" w:cs="Arial"/>
        </w:rPr>
      </w:pPr>
      <w:r w:rsidRPr="00851774">
        <w:rPr>
          <w:rFonts w:ascii="Century Gothic" w:eastAsia="Times New Roman" w:hAnsi="Century Gothic" w:cs="Arial"/>
        </w:rPr>
        <w:lastRenderedPageBreak/>
        <w:t>Atentamente,</w:t>
      </w:r>
    </w:p>
    <w:p w14:paraId="76AC4730" w14:textId="4EB5DE6A" w:rsidR="005B4D3E" w:rsidRPr="00851774" w:rsidRDefault="007D6E6F" w:rsidP="005B4D3E">
      <w:pPr>
        <w:jc w:val="center"/>
        <w:rPr>
          <w:rFonts w:ascii="Century Gothic" w:eastAsia="Times New Roman" w:hAnsi="Century Gothic" w:cs="Arial"/>
          <w:lang w:eastAsia="es-CO"/>
        </w:rPr>
      </w:pPr>
      <w:r>
        <w:rPr>
          <w:rStyle w:val="wacimagecontainer"/>
          <w:rFonts w:ascii="Segoe UI" w:hAnsi="Segoe UI" w:cs="Segoe UI"/>
          <w:noProof/>
          <w:color w:val="000000"/>
          <w:sz w:val="18"/>
          <w:szCs w:val="18"/>
          <w:shd w:val="clear" w:color="auto" w:fill="FFFFFF"/>
        </w:rPr>
        <w:drawing>
          <wp:inline distT="0" distB="0" distL="0" distR="0" wp14:anchorId="08999ABE" wp14:editId="794AF599">
            <wp:extent cx="3156585" cy="1208405"/>
            <wp:effectExtent l="0" t="0" r="5715" b="0"/>
            <wp:docPr id="154132043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6585" cy="1208405"/>
                    </a:xfrm>
                    <a:prstGeom prst="rect">
                      <a:avLst/>
                    </a:prstGeom>
                    <a:noFill/>
                    <a:ln>
                      <a:noFill/>
                    </a:ln>
                  </pic:spPr>
                </pic:pic>
              </a:graphicData>
            </a:graphic>
          </wp:inline>
        </w:drawing>
      </w:r>
      <w:r>
        <w:rPr>
          <w:rFonts w:ascii="Calibri" w:hAnsi="Calibri" w:cs="Calibri"/>
          <w:color w:val="000000"/>
          <w:shd w:val="clear" w:color="auto" w:fill="FFFFFF"/>
        </w:rPr>
        <w:br/>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B4D3E" w:rsidRPr="00851774" w14:paraId="5675437C" w14:textId="77777777" w:rsidTr="001B01B8">
        <w:trPr>
          <w:trHeight w:val="409"/>
        </w:trPr>
        <w:tc>
          <w:tcPr>
            <w:tcW w:w="817" w:type="dxa"/>
            <w:tcBorders>
              <w:top w:val="nil"/>
              <w:left w:val="nil"/>
              <w:bottom w:val="nil"/>
              <w:right w:val="nil"/>
            </w:tcBorders>
            <w:vAlign w:val="center"/>
            <w:hideMark/>
          </w:tcPr>
          <w:p w14:paraId="4A33F406" w14:textId="77777777" w:rsidR="005B4D3E" w:rsidRPr="00851774" w:rsidRDefault="005B4D3E" w:rsidP="001B01B8">
            <w:pPr>
              <w:spacing w:after="0" w:line="240" w:lineRule="auto"/>
              <w:jc w:val="both"/>
              <w:rPr>
                <w:rFonts w:ascii="Century Gothic" w:hAnsi="Century Gothic" w:cs="Arial"/>
                <w:sz w:val="16"/>
                <w:szCs w:val="16"/>
              </w:rPr>
            </w:pPr>
            <w:r w:rsidRPr="00851774">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625601F" w14:textId="77777777" w:rsidR="005B4D3E" w:rsidRPr="00851774" w:rsidRDefault="005B4D3E" w:rsidP="001B01B8">
            <w:pPr>
              <w:spacing w:after="0" w:line="240" w:lineRule="auto"/>
              <w:jc w:val="both"/>
              <w:rPr>
                <w:rFonts w:ascii="Century Gothic" w:hAnsi="Century Gothic" w:cs="Arial"/>
                <w:sz w:val="16"/>
                <w:szCs w:val="16"/>
              </w:rPr>
            </w:pPr>
            <w:r w:rsidRPr="00851774">
              <w:rPr>
                <w:rFonts w:ascii="Century Gothic" w:hAnsi="Century Gothic" w:cs="Arial"/>
                <w:sz w:val="16"/>
                <w:szCs w:val="16"/>
              </w:rPr>
              <w:t>Nasly Yeana Mosquera Rivas</w:t>
            </w:r>
          </w:p>
          <w:p w14:paraId="22E56C37" w14:textId="77777777" w:rsidR="005B4D3E" w:rsidRPr="00851774" w:rsidRDefault="005B4D3E" w:rsidP="001B01B8">
            <w:pPr>
              <w:spacing w:after="0" w:line="240" w:lineRule="auto"/>
              <w:jc w:val="both"/>
              <w:rPr>
                <w:rFonts w:ascii="Century Gothic" w:hAnsi="Century Gothic" w:cs="Arial"/>
                <w:sz w:val="16"/>
                <w:szCs w:val="16"/>
              </w:rPr>
            </w:pPr>
            <w:r w:rsidRPr="00851774">
              <w:rPr>
                <w:rFonts w:ascii="Century Gothic" w:hAnsi="Century Gothic" w:cs="Arial"/>
                <w:sz w:val="16"/>
                <w:szCs w:val="16"/>
              </w:rPr>
              <w:t>Analista T2 – 06 de la Subdirección de Gestión Contractual</w:t>
            </w:r>
          </w:p>
        </w:tc>
      </w:tr>
      <w:tr w:rsidR="005B4D3E" w:rsidRPr="00851774" w14:paraId="5922B492" w14:textId="77777777" w:rsidTr="001B01B8">
        <w:trPr>
          <w:trHeight w:val="409"/>
        </w:trPr>
        <w:tc>
          <w:tcPr>
            <w:tcW w:w="817" w:type="dxa"/>
            <w:tcBorders>
              <w:top w:val="nil"/>
              <w:left w:val="nil"/>
              <w:right w:val="nil"/>
            </w:tcBorders>
            <w:vAlign w:val="center"/>
          </w:tcPr>
          <w:p w14:paraId="6BAACD27" w14:textId="77777777" w:rsidR="005B4D3E" w:rsidRPr="00851774" w:rsidRDefault="005B4D3E" w:rsidP="001B01B8">
            <w:pPr>
              <w:jc w:val="both"/>
              <w:rPr>
                <w:rFonts w:ascii="Century Gothic" w:hAnsi="Century Gothic" w:cs="Arial"/>
                <w:sz w:val="16"/>
                <w:szCs w:val="16"/>
              </w:rPr>
            </w:pPr>
            <w:r w:rsidRPr="00851774">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28D3A98" w14:textId="77777777" w:rsidR="005B4D3E" w:rsidRPr="00851774" w:rsidRDefault="005B4D3E" w:rsidP="001B01B8">
            <w:pPr>
              <w:spacing w:after="0" w:line="240" w:lineRule="auto"/>
              <w:jc w:val="both"/>
              <w:rPr>
                <w:rFonts w:ascii="Century Gothic" w:hAnsi="Century Gothic" w:cs="Arial"/>
                <w:sz w:val="16"/>
                <w:szCs w:val="16"/>
              </w:rPr>
            </w:pPr>
            <w:r w:rsidRPr="00851774">
              <w:rPr>
                <w:rFonts w:ascii="Century Gothic" w:hAnsi="Century Gothic" w:cs="Arial"/>
                <w:sz w:val="16"/>
                <w:szCs w:val="16"/>
              </w:rPr>
              <w:t xml:space="preserve">Alejandro Sarmiento Cantillo </w:t>
            </w:r>
          </w:p>
          <w:p w14:paraId="4F0DA293" w14:textId="77777777" w:rsidR="005B4D3E" w:rsidRPr="00851774" w:rsidRDefault="005B4D3E" w:rsidP="001B01B8">
            <w:pPr>
              <w:spacing w:after="0" w:line="240" w:lineRule="auto"/>
              <w:jc w:val="both"/>
              <w:rPr>
                <w:rFonts w:ascii="Century Gothic" w:hAnsi="Century Gothic" w:cs="Arial"/>
                <w:sz w:val="16"/>
                <w:szCs w:val="16"/>
              </w:rPr>
            </w:pPr>
            <w:r w:rsidRPr="00851774">
              <w:rPr>
                <w:rFonts w:ascii="Century Gothic" w:hAnsi="Century Gothic" w:cs="Arial"/>
                <w:sz w:val="16"/>
                <w:szCs w:val="16"/>
              </w:rPr>
              <w:t>Gestor T1 – 15 de la Subdirección de Gestión Contractual</w:t>
            </w:r>
          </w:p>
        </w:tc>
      </w:tr>
      <w:tr w:rsidR="005B4D3E" w:rsidRPr="00851774" w14:paraId="67DA3E79" w14:textId="77777777" w:rsidTr="001B01B8">
        <w:trPr>
          <w:trHeight w:val="389"/>
        </w:trPr>
        <w:tc>
          <w:tcPr>
            <w:tcW w:w="817" w:type="dxa"/>
            <w:tcBorders>
              <w:top w:val="nil"/>
              <w:left w:val="nil"/>
              <w:bottom w:val="nil"/>
              <w:right w:val="nil"/>
            </w:tcBorders>
            <w:vAlign w:val="center"/>
            <w:hideMark/>
          </w:tcPr>
          <w:p w14:paraId="237636B5" w14:textId="77777777" w:rsidR="005B4D3E" w:rsidRPr="00851774" w:rsidRDefault="005B4D3E" w:rsidP="001B01B8">
            <w:pPr>
              <w:spacing w:after="0" w:line="240" w:lineRule="auto"/>
              <w:jc w:val="both"/>
              <w:rPr>
                <w:rFonts w:ascii="Century Gothic" w:hAnsi="Century Gothic" w:cs="Arial"/>
                <w:sz w:val="16"/>
                <w:szCs w:val="16"/>
              </w:rPr>
            </w:pPr>
            <w:r w:rsidRPr="00851774">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91D864A" w14:textId="77777777" w:rsidR="005B4D3E" w:rsidRPr="00851774" w:rsidRDefault="005B4D3E" w:rsidP="001B01B8">
            <w:pPr>
              <w:spacing w:after="0" w:line="240" w:lineRule="auto"/>
              <w:jc w:val="both"/>
              <w:rPr>
                <w:rFonts w:ascii="Century Gothic" w:hAnsi="Century Gothic" w:cs="Arial"/>
                <w:sz w:val="16"/>
                <w:szCs w:val="16"/>
              </w:rPr>
            </w:pPr>
            <w:r w:rsidRPr="00851774">
              <w:rPr>
                <w:rFonts w:ascii="Century Gothic" w:hAnsi="Century Gothic" w:cs="Arial"/>
                <w:sz w:val="16"/>
                <w:szCs w:val="16"/>
              </w:rPr>
              <w:t xml:space="preserve">Nohelia del Carmen </w:t>
            </w:r>
            <w:proofErr w:type="spellStart"/>
            <w:r w:rsidRPr="00851774">
              <w:rPr>
                <w:rFonts w:ascii="Century Gothic" w:hAnsi="Century Gothic" w:cs="Arial"/>
                <w:sz w:val="16"/>
                <w:szCs w:val="16"/>
              </w:rPr>
              <w:t>Zawady</w:t>
            </w:r>
            <w:proofErr w:type="spellEnd"/>
            <w:r w:rsidRPr="00851774">
              <w:rPr>
                <w:rFonts w:ascii="Century Gothic" w:hAnsi="Century Gothic" w:cs="Arial"/>
                <w:sz w:val="16"/>
                <w:szCs w:val="16"/>
              </w:rPr>
              <w:t xml:space="preserve"> Palacio</w:t>
            </w:r>
          </w:p>
          <w:p w14:paraId="4CB571C4" w14:textId="77777777" w:rsidR="005B4D3E" w:rsidRPr="00851774" w:rsidRDefault="005B4D3E" w:rsidP="001B01B8">
            <w:pPr>
              <w:spacing w:after="0" w:line="240" w:lineRule="auto"/>
              <w:jc w:val="both"/>
              <w:rPr>
                <w:rFonts w:ascii="Century Gothic" w:hAnsi="Century Gothic" w:cs="Arial"/>
                <w:sz w:val="16"/>
                <w:szCs w:val="16"/>
              </w:rPr>
            </w:pPr>
            <w:r w:rsidRPr="00851774">
              <w:rPr>
                <w:rFonts w:ascii="Century Gothic" w:hAnsi="Century Gothic" w:cs="Arial"/>
                <w:sz w:val="16"/>
                <w:szCs w:val="16"/>
              </w:rPr>
              <w:t>Subdirectora de Gestión Contractual ANCP - CCE</w:t>
            </w:r>
          </w:p>
        </w:tc>
      </w:tr>
      <w:bookmarkEnd w:id="2"/>
    </w:tbl>
    <w:p w14:paraId="3A9B92BB" w14:textId="77777777" w:rsidR="005B4D3E" w:rsidRPr="00851774" w:rsidRDefault="005B4D3E" w:rsidP="005B4D3E"/>
    <w:p w14:paraId="7D58E38D" w14:textId="77777777" w:rsidR="005B4D3E" w:rsidRPr="00851774" w:rsidRDefault="005B4D3E" w:rsidP="005B4D3E"/>
    <w:p w14:paraId="51B39F44" w14:textId="77777777" w:rsidR="008E5C2E" w:rsidRDefault="008E5C2E"/>
    <w:sectPr w:rsidR="008E5C2E" w:rsidSect="005B4D3E">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9968D" w14:textId="77777777" w:rsidR="005B4D3E" w:rsidRDefault="005B4D3E" w:rsidP="005B4D3E">
      <w:pPr>
        <w:spacing w:after="0" w:line="240" w:lineRule="auto"/>
      </w:pPr>
      <w:r>
        <w:separator/>
      </w:r>
    </w:p>
  </w:endnote>
  <w:endnote w:type="continuationSeparator" w:id="0">
    <w:p w14:paraId="59DF310F" w14:textId="77777777" w:rsidR="005B4D3E" w:rsidRDefault="005B4D3E" w:rsidP="005B4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Geomanist Light">
    <w:panose1 w:val="00000000000000000000"/>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70F2D" w14:textId="77777777" w:rsidR="005C0C7A" w:rsidRDefault="005C0C7A">
    <w:pPr>
      <w:pStyle w:val="Piedepgina"/>
    </w:pPr>
    <w:r>
      <w:rPr>
        <w:noProof/>
        <w:lang w:eastAsia="es-CO"/>
      </w:rPr>
      <w:drawing>
        <wp:inline distT="0" distB="0" distL="0" distR="0" wp14:anchorId="1C84CD55" wp14:editId="2DC5F4E5">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2336" behindDoc="0" locked="0" layoutInCell="1" allowOverlap="1" wp14:anchorId="1E50C5D1" wp14:editId="1BC1A77D">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4366A000"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DCE20A7" w14:textId="77777777" w:rsidR="005C0C7A" w:rsidRPr="003F3941" w:rsidRDefault="005C0C7A"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7C78D05" w14:textId="77777777" w:rsidR="005C0C7A" w:rsidRPr="003F3941" w:rsidRDefault="005C0C7A"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w:t>
          </w:r>
          <w:r>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D79D74D" w14:textId="77777777" w:rsidR="005C0C7A" w:rsidRPr="003F3941" w:rsidRDefault="005C0C7A"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22</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64580AF" w14:textId="77777777" w:rsidR="005C0C7A" w:rsidRPr="003F3941" w:rsidRDefault="005C0C7A"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p>
      </w:tc>
    </w:tr>
  </w:tbl>
  <w:p w14:paraId="53150574" w14:textId="77777777" w:rsidR="005C0C7A" w:rsidRDefault="005C0C7A"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05DB1" w14:textId="77777777" w:rsidR="005B4D3E" w:rsidRDefault="005B4D3E" w:rsidP="005B4D3E">
      <w:pPr>
        <w:spacing w:after="0" w:line="240" w:lineRule="auto"/>
      </w:pPr>
      <w:r>
        <w:separator/>
      </w:r>
    </w:p>
  </w:footnote>
  <w:footnote w:type="continuationSeparator" w:id="0">
    <w:p w14:paraId="67C71650" w14:textId="77777777" w:rsidR="005B4D3E" w:rsidRDefault="005B4D3E" w:rsidP="005B4D3E">
      <w:pPr>
        <w:spacing w:after="0" w:line="240" w:lineRule="auto"/>
      </w:pPr>
      <w:r>
        <w:continuationSeparator/>
      </w:r>
    </w:p>
  </w:footnote>
  <w:footnote w:id="1">
    <w:p w14:paraId="24035B83" w14:textId="77777777" w:rsidR="005B4D3E" w:rsidRPr="00FE6FD8" w:rsidRDefault="005B4D3E" w:rsidP="005B4D3E">
      <w:pPr>
        <w:pStyle w:val="Textonotapie"/>
        <w:ind w:firstLine="708"/>
        <w:jc w:val="both"/>
        <w:rPr>
          <w:rFonts w:ascii="Century Gothic" w:hAnsi="Century Gothic" w:cs="Arial"/>
          <w:sz w:val="16"/>
          <w:szCs w:val="16"/>
          <w:lang w:val="es-ES"/>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La Agencia Nacional de Contratación Pública </w:t>
      </w:r>
      <w:r w:rsidRPr="00FE6FD8">
        <w:rPr>
          <w:rFonts w:ascii="Arial" w:hAnsi="Arial" w:cs="Arial"/>
          <w:sz w:val="16"/>
          <w:szCs w:val="16"/>
        </w:rPr>
        <w:t>‒</w:t>
      </w:r>
      <w:r w:rsidRPr="00FE6FD8">
        <w:rPr>
          <w:rFonts w:ascii="Century Gothic" w:hAnsi="Century Gothic" w:cs="Arial"/>
          <w:sz w:val="16"/>
          <w:szCs w:val="16"/>
        </w:rPr>
        <w:t xml:space="preserve"> Colombia Compra Eficiente fue creada por el Decreto Ley 4170 de 2011. Su objetivo es servir como ente rector de la pol</w:t>
      </w:r>
      <w:r w:rsidRPr="00FE6FD8">
        <w:rPr>
          <w:rFonts w:ascii="Century Gothic" w:hAnsi="Century Gothic" w:cs="Century Gothic"/>
          <w:sz w:val="16"/>
          <w:szCs w:val="16"/>
        </w:rPr>
        <w:t>í</w:t>
      </w:r>
      <w:r w:rsidRPr="00FE6FD8">
        <w:rPr>
          <w:rFonts w:ascii="Century Gothic" w:hAnsi="Century Gothic" w:cs="Arial"/>
          <w:sz w:val="16"/>
          <w:szCs w:val="16"/>
        </w:rPr>
        <w:t>tica de compras y contrataci</w:t>
      </w:r>
      <w:r w:rsidRPr="00FE6FD8">
        <w:rPr>
          <w:rFonts w:ascii="Century Gothic" w:hAnsi="Century Gothic" w:cs="Century Gothic"/>
          <w:sz w:val="16"/>
          <w:szCs w:val="16"/>
        </w:rPr>
        <w:t>ó</w:t>
      </w:r>
      <w:r w:rsidRPr="00FE6FD8">
        <w:rPr>
          <w:rFonts w:ascii="Century Gothic" w:hAnsi="Century Gothic" w:cs="Arial"/>
          <w:sz w:val="16"/>
          <w:szCs w:val="16"/>
        </w:rPr>
        <w:t xml:space="preserve">n del Estado. Para tales fines, como </w:t>
      </w:r>
      <w:r w:rsidRPr="00FE6FD8">
        <w:rPr>
          <w:rFonts w:ascii="Century Gothic" w:hAnsi="Century Gothic" w:cs="Century Gothic"/>
          <w:sz w:val="16"/>
          <w:szCs w:val="16"/>
        </w:rPr>
        <w:t>ó</w:t>
      </w:r>
      <w:r w:rsidRPr="00FE6FD8">
        <w:rPr>
          <w:rFonts w:ascii="Century Gothic" w:hAnsi="Century Gothic" w:cs="Arial"/>
          <w:sz w:val="16"/>
          <w:szCs w:val="16"/>
        </w:rPr>
        <w:t>rgano t</w:t>
      </w:r>
      <w:r w:rsidRPr="00FE6FD8">
        <w:rPr>
          <w:rFonts w:ascii="Century Gothic" w:hAnsi="Century Gothic" w:cs="Century Gothic"/>
          <w:sz w:val="16"/>
          <w:szCs w:val="16"/>
        </w:rPr>
        <w:t>é</w:t>
      </w:r>
      <w:r w:rsidRPr="00FE6FD8">
        <w:rPr>
          <w:rFonts w:ascii="Century Gothic" w:hAnsi="Century Gothic"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FE6FD8">
        <w:rPr>
          <w:rFonts w:ascii="Century Gothic" w:hAnsi="Century Gothic" w:cs="Arial"/>
          <w:i/>
          <w:iCs/>
          <w:sz w:val="16"/>
          <w:szCs w:val="16"/>
        </w:rPr>
        <w:t xml:space="preserve">ibidem </w:t>
      </w:r>
      <w:r w:rsidRPr="00FE6FD8">
        <w:rPr>
          <w:rFonts w:ascii="Century Gothic" w:hAnsi="Century Gothic" w:cs="Arial"/>
          <w:sz w:val="16"/>
          <w:szCs w:val="16"/>
        </w:rPr>
        <w:t>señala, de manera precisa, las funciones de Colombia Compra Eficiente. Concretamente, el numeral 5º de este artículo establece que le corresponde a esta entidad: “[a]</w:t>
      </w:r>
      <w:proofErr w:type="spellStart"/>
      <w:r w:rsidRPr="00FE6FD8">
        <w:rPr>
          <w:rFonts w:ascii="Century Gothic" w:hAnsi="Century Gothic" w:cs="Arial"/>
          <w:sz w:val="16"/>
          <w:szCs w:val="16"/>
        </w:rPr>
        <w:t>bsolver</w:t>
      </w:r>
      <w:proofErr w:type="spellEnd"/>
      <w:r w:rsidRPr="00FE6FD8">
        <w:rPr>
          <w:rFonts w:ascii="Century Gothic" w:hAnsi="Century Gothic"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FE6FD8">
        <w:rPr>
          <w:rFonts w:ascii="Century Gothic" w:hAnsi="Century Gothic" w:cs="Arial"/>
          <w:sz w:val="16"/>
          <w:szCs w:val="16"/>
        </w:rPr>
        <w:t>bsolver</w:t>
      </w:r>
      <w:proofErr w:type="spellEnd"/>
      <w:r w:rsidRPr="00FE6FD8">
        <w:rPr>
          <w:rFonts w:ascii="Century Gothic" w:hAnsi="Century Gothic" w:cs="Arial"/>
          <w:sz w:val="16"/>
          <w:szCs w:val="16"/>
        </w:rPr>
        <w:t xml:space="preserve"> consultas sobre la aplicación de normas de carácter general”.</w:t>
      </w:r>
    </w:p>
  </w:footnote>
  <w:footnote w:id="2">
    <w:p w14:paraId="2FDA69C3"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FE6FD8">
          <w:rPr>
            <w:rStyle w:val="Hipervnculo"/>
            <w:rFonts w:ascii="Century Gothic" w:hAnsi="Century Gothic" w:cs="Arial"/>
            <w:sz w:val="16"/>
            <w:szCs w:val="16"/>
          </w:rPr>
          <w:t>https://relatoria.colombiacompra.gov.co/busqueda/conceptos</w:t>
        </w:r>
      </w:hyperlink>
      <w:r w:rsidRPr="00FE6FD8">
        <w:rPr>
          <w:rStyle w:val="Hipervnculo"/>
          <w:rFonts w:ascii="Century Gothic" w:hAnsi="Century Gothic" w:cs="Arial"/>
          <w:sz w:val="16"/>
          <w:szCs w:val="16"/>
        </w:rPr>
        <w:t xml:space="preserve">. </w:t>
      </w:r>
      <w:r w:rsidRPr="00FE6FD8">
        <w:rPr>
          <w:rFonts w:ascii="Century Gothic" w:hAnsi="Century Gothic" w:cs="Arial"/>
          <w:sz w:val="16"/>
          <w:szCs w:val="16"/>
          <w:shd w:val="clear" w:color="auto" w:fill="E6E6E6"/>
        </w:rPr>
        <w:t xml:space="preserve"> </w:t>
      </w:r>
    </w:p>
  </w:footnote>
  <w:footnote w:id="3">
    <w:p w14:paraId="69182804" w14:textId="77777777" w:rsidR="005B4D3E" w:rsidRPr="00FE6FD8" w:rsidRDefault="005B4D3E" w:rsidP="005B4D3E">
      <w:pPr>
        <w:pStyle w:val="Textonotapie"/>
        <w:ind w:firstLine="708"/>
        <w:jc w:val="both"/>
        <w:rPr>
          <w:rFonts w:ascii="Century Gothic" w:hAnsi="Century Gothic" w:cs="Arial"/>
          <w:sz w:val="16"/>
          <w:szCs w:val="16"/>
        </w:rPr>
      </w:pPr>
    </w:p>
    <w:p w14:paraId="5EC41AE9"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Sobre esta norma, consultar los conceptos del 8 de octubre de 2019, con radicado No. 2201913000007532, y del 20 de diciembre de 2019, con radicado No. 4201913000008240.</w:t>
      </w:r>
    </w:p>
  </w:footnote>
  <w:footnote w:id="4">
    <w:p w14:paraId="24494758" w14:textId="77777777" w:rsidR="005B4D3E" w:rsidRPr="00FE6FD8" w:rsidRDefault="005B4D3E" w:rsidP="005B4D3E">
      <w:pPr>
        <w:pStyle w:val="Textonotapie"/>
        <w:ind w:firstLine="708"/>
        <w:jc w:val="both"/>
        <w:rPr>
          <w:rFonts w:ascii="Century Gothic" w:hAnsi="Century Gothic"/>
          <w:sz w:val="16"/>
          <w:szCs w:val="16"/>
        </w:rPr>
      </w:pPr>
    </w:p>
    <w:p w14:paraId="2A42C79F"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sz w:val="16"/>
          <w:szCs w:val="16"/>
        </w:rPr>
        <w:footnoteRef/>
      </w:r>
      <w:r w:rsidRPr="00FE6FD8">
        <w:rPr>
          <w:rFonts w:ascii="Century Gothic" w:hAnsi="Century Gothic"/>
          <w:sz w:val="16"/>
          <w:szCs w:val="16"/>
        </w:rPr>
        <w:t xml:space="preserve"> </w:t>
      </w:r>
      <w:r w:rsidRPr="00FE6FD8">
        <w:rPr>
          <w:rFonts w:ascii="Century Gothic" w:hAnsi="Century Gothic"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EF0F1A1" w14:textId="77777777" w:rsidR="005B4D3E" w:rsidRPr="00FE6FD8" w:rsidRDefault="005B4D3E" w:rsidP="005B4D3E">
      <w:pPr>
        <w:pStyle w:val="Textonotapie"/>
        <w:ind w:firstLine="708"/>
        <w:jc w:val="both"/>
        <w:rPr>
          <w:rFonts w:ascii="Century Gothic" w:hAnsi="Century Gothic" w:cs="Arial"/>
          <w:sz w:val="16"/>
          <w:szCs w:val="16"/>
        </w:rPr>
      </w:pPr>
      <w:r w:rsidRPr="00FE6FD8">
        <w:rPr>
          <w:rFonts w:ascii="Century Gothic" w:hAnsi="Century Gothic" w:cs="Arial"/>
          <w:sz w:val="16"/>
          <w:szCs w:val="16"/>
        </w:rPr>
        <w:t xml:space="preserve">Los convenios de asociación a que se refiere el presente artículo </w:t>
      </w:r>
      <w:bookmarkStart w:id="6" w:name="_Hlk36023315"/>
      <w:r w:rsidRPr="00FE6FD8">
        <w:rPr>
          <w:rFonts w:ascii="Century Gothic" w:hAnsi="Century Gothic" w:cs="Arial"/>
          <w:sz w:val="16"/>
          <w:szCs w:val="16"/>
        </w:rPr>
        <w:t>se celebrarán de conformidad con lo dispuesto en el artículo 355 de la Constitución Política</w:t>
      </w:r>
      <w:bookmarkEnd w:id="6"/>
      <w:r w:rsidRPr="00FE6FD8">
        <w:rPr>
          <w:rFonts w:ascii="Century Gothic" w:hAnsi="Century Gothic" w:cs="Arial"/>
          <w:sz w:val="16"/>
          <w:szCs w:val="16"/>
        </w:rPr>
        <w:t>, en ellos se determinará con precisión su objeto, término, obligaciones de las partes, aportes, coordinación y todos aquellos aspectos que se consideren pertinentes”.</w:t>
      </w:r>
    </w:p>
  </w:footnote>
  <w:footnote w:id="5">
    <w:p w14:paraId="5C72A9A5" w14:textId="77777777" w:rsidR="005B4D3E" w:rsidRPr="00FE6FD8" w:rsidRDefault="005B4D3E" w:rsidP="005B4D3E">
      <w:pPr>
        <w:pStyle w:val="Textonotapie"/>
        <w:ind w:firstLine="708"/>
        <w:jc w:val="both"/>
        <w:rPr>
          <w:rFonts w:ascii="Century Gothic" w:hAnsi="Century Gothic" w:cs="Arial"/>
          <w:sz w:val="16"/>
          <w:szCs w:val="16"/>
        </w:rPr>
      </w:pPr>
    </w:p>
    <w:p w14:paraId="35E2F7F5"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Concepto del 3 de septiembre de 2019, con radicado No. 2201913000006512.</w:t>
      </w:r>
    </w:p>
  </w:footnote>
  <w:footnote w:id="6">
    <w:p w14:paraId="5F4F43C0" w14:textId="77777777" w:rsidR="005B4D3E" w:rsidRPr="00FE6FD8" w:rsidRDefault="005B4D3E" w:rsidP="005B4D3E">
      <w:pPr>
        <w:pStyle w:val="Textonotapie"/>
        <w:ind w:firstLine="709"/>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Decreto 092 de 2017: “Artículo 5. </w:t>
      </w:r>
      <w:r w:rsidRPr="00FE6FD8">
        <w:rPr>
          <w:rFonts w:ascii="Century Gothic" w:hAnsi="Century Gothic" w:cs="Arial"/>
          <w:i/>
          <w:iCs/>
          <w:sz w:val="16"/>
          <w:szCs w:val="16"/>
        </w:rPr>
        <w:t>Asociación con entidades privadas sin ánimo de lucro para cumplir actividades propias de las Entidades Estatales.</w:t>
      </w:r>
      <w:r w:rsidRPr="00FE6FD8">
        <w:rPr>
          <w:rFonts w:ascii="Century Gothic" w:hAnsi="Century Gothic" w:cs="Arial"/>
          <w:sz w:val="16"/>
          <w:szCs w:val="16"/>
        </w:rPr>
        <w:t xml:space="preserve"> 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7EE6FD1B" w14:textId="77777777" w:rsidR="005B4D3E" w:rsidRPr="00FE6FD8" w:rsidRDefault="005B4D3E" w:rsidP="005B4D3E">
      <w:pPr>
        <w:pStyle w:val="Textonotapie"/>
        <w:ind w:firstLine="709"/>
        <w:jc w:val="both"/>
        <w:rPr>
          <w:rFonts w:ascii="Century Gothic" w:hAnsi="Century Gothic" w:cs="Arial"/>
          <w:sz w:val="16"/>
          <w:szCs w:val="16"/>
        </w:rPr>
      </w:pPr>
      <w:r w:rsidRPr="00FE6FD8">
        <w:rPr>
          <w:rFonts w:ascii="Century Gothic" w:hAnsi="Century Gothic" w:cs="Arial"/>
          <w:sz w:val="16"/>
          <w:szCs w:val="16"/>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14:paraId="7E88E546" w14:textId="77777777" w:rsidR="005B4D3E" w:rsidRPr="00FE6FD8" w:rsidRDefault="005B4D3E" w:rsidP="005B4D3E">
      <w:pPr>
        <w:pStyle w:val="Textonotapie"/>
        <w:ind w:firstLine="708"/>
        <w:jc w:val="both"/>
        <w:rPr>
          <w:rFonts w:ascii="Century Gothic" w:hAnsi="Century Gothic" w:cs="Arial"/>
          <w:sz w:val="16"/>
          <w:szCs w:val="16"/>
        </w:rPr>
      </w:pPr>
      <w:r w:rsidRPr="00FE6FD8">
        <w:rPr>
          <w:rFonts w:ascii="Century Gothic" w:hAnsi="Century Gothic" w:cs="Arial"/>
          <w:sz w:val="16"/>
          <w:szCs w:val="16"/>
        </w:rPr>
        <w:t>[…]”.</w:t>
      </w:r>
    </w:p>
    <w:p w14:paraId="64D0A0FE" w14:textId="77777777" w:rsidR="005B4D3E" w:rsidRPr="00FE6FD8" w:rsidRDefault="005B4D3E" w:rsidP="005B4D3E">
      <w:pPr>
        <w:pStyle w:val="Textonotapie"/>
        <w:ind w:firstLine="709"/>
        <w:jc w:val="both"/>
        <w:rPr>
          <w:rFonts w:ascii="Century Gothic" w:hAnsi="Century Gothic" w:cs="Arial"/>
          <w:sz w:val="16"/>
          <w:szCs w:val="16"/>
        </w:rPr>
      </w:pPr>
    </w:p>
  </w:footnote>
  <w:footnote w:id="7">
    <w:p w14:paraId="32BD2623"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Sobre la naturaleza de los convenios de asociación, se reitera lo expuesto en el concepto del 19 de noviembre de 2019, con radicado No. 2201913000008611.</w:t>
      </w:r>
    </w:p>
    <w:p w14:paraId="1D6CDBD7" w14:textId="77777777" w:rsidR="005B4D3E" w:rsidRPr="00FE6FD8" w:rsidRDefault="005B4D3E" w:rsidP="005B4D3E">
      <w:pPr>
        <w:pStyle w:val="Textonotapie"/>
        <w:ind w:firstLine="708"/>
        <w:jc w:val="both"/>
        <w:rPr>
          <w:rFonts w:ascii="Century Gothic" w:hAnsi="Century Gothic" w:cs="Arial"/>
          <w:sz w:val="16"/>
          <w:szCs w:val="16"/>
        </w:rPr>
      </w:pPr>
    </w:p>
  </w:footnote>
  <w:footnote w:id="8">
    <w:p w14:paraId="743A99C0" w14:textId="77777777" w:rsidR="005B4D3E" w:rsidRPr="00FE6FD8" w:rsidRDefault="005B4D3E" w:rsidP="005B4D3E">
      <w:pPr>
        <w:spacing w:after="0" w:line="240" w:lineRule="auto"/>
        <w:ind w:left="118" w:right="176" w:firstLine="708"/>
        <w:contextualSpacing/>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Al</w:t>
      </w:r>
      <w:r w:rsidRPr="00FE6FD8">
        <w:rPr>
          <w:rFonts w:ascii="Century Gothic" w:hAnsi="Century Gothic" w:cs="Arial"/>
          <w:spacing w:val="-8"/>
          <w:sz w:val="16"/>
          <w:szCs w:val="16"/>
        </w:rPr>
        <w:t xml:space="preserve"> </w:t>
      </w:r>
      <w:r w:rsidRPr="00FE6FD8">
        <w:rPr>
          <w:rFonts w:ascii="Century Gothic" w:hAnsi="Century Gothic" w:cs="Arial"/>
          <w:sz w:val="16"/>
          <w:szCs w:val="16"/>
        </w:rPr>
        <w:t>respecto,</w:t>
      </w:r>
      <w:r w:rsidRPr="00FE6FD8">
        <w:rPr>
          <w:rFonts w:ascii="Century Gothic" w:hAnsi="Century Gothic" w:cs="Arial"/>
          <w:spacing w:val="-8"/>
          <w:sz w:val="16"/>
          <w:szCs w:val="16"/>
        </w:rPr>
        <w:t xml:space="preserve"> </w:t>
      </w:r>
      <w:r w:rsidRPr="00FE6FD8">
        <w:rPr>
          <w:rFonts w:ascii="Century Gothic" w:hAnsi="Century Gothic" w:cs="Arial"/>
          <w:sz w:val="16"/>
          <w:szCs w:val="16"/>
        </w:rPr>
        <w:t>la</w:t>
      </w:r>
      <w:r w:rsidRPr="00FE6FD8">
        <w:rPr>
          <w:rFonts w:ascii="Century Gothic" w:hAnsi="Century Gothic" w:cs="Arial"/>
          <w:spacing w:val="-8"/>
          <w:sz w:val="16"/>
          <w:szCs w:val="16"/>
        </w:rPr>
        <w:t xml:space="preserve"> </w:t>
      </w:r>
      <w:r w:rsidRPr="00FE6FD8">
        <w:rPr>
          <w:rFonts w:ascii="Century Gothic" w:hAnsi="Century Gothic" w:cs="Arial"/>
          <w:sz w:val="16"/>
          <w:szCs w:val="16"/>
        </w:rPr>
        <w:t>jurisprudencia</w:t>
      </w:r>
      <w:r w:rsidRPr="00FE6FD8">
        <w:rPr>
          <w:rFonts w:ascii="Century Gothic" w:hAnsi="Century Gothic" w:cs="Arial"/>
          <w:spacing w:val="-8"/>
          <w:sz w:val="16"/>
          <w:szCs w:val="16"/>
        </w:rPr>
        <w:t xml:space="preserve"> </w:t>
      </w:r>
      <w:r w:rsidRPr="00FE6FD8">
        <w:rPr>
          <w:rFonts w:ascii="Century Gothic" w:hAnsi="Century Gothic" w:cs="Arial"/>
          <w:sz w:val="16"/>
          <w:szCs w:val="16"/>
        </w:rPr>
        <w:t>explica</w:t>
      </w:r>
      <w:r w:rsidRPr="00FE6FD8">
        <w:rPr>
          <w:rFonts w:ascii="Century Gothic" w:hAnsi="Century Gothic" w:cs="Arial"/>
          <w:spacing w:val="-8"/>
          <w:sz w:val="16"/>
          <w:szCs w:val="16"/>
        </w:rPr>
        <w:t xml:space="preserve"> </w:t>
      </w:r>
      <w:r w:rsidRPr="00FE6FD8">
        <w:rPr>
          <w:rFonts w:ascii="Century Gothic" w:hAnsi="Century Gothic" w:cs="Arial"/>
          <w:sz w:val="16"/>
          <w:szCs w:val="16"/>
        </w:rPr>
        <w:t>que</w:t>
      </w:r>
      <w:r w:rsidRPr="00FE6FD8">
        <w:rPr>
          <w:rFonts w:ascii="Century Gothic" w:hAnsi="Century Gothic" w:cs="Arial"/>
          <w:spacing w:val="-8"/>
          <w:sz w:val="16"/>
          <w:szCs w:val="16"/>
        </w:rPr>
        <w:t xml:space="preserve"> </w:t>
      </w:r>
      <w:r w:rsidRPr="00FE6FD8">
        <w:rPr>
          <w:rFonts w:ascii="Century Gothic" w:hAnsi="Century Gothic" w:cs="Arial"/>
          <w:sz w:val="16"/>
          <w:szCs w:val="16"/>
        </w:rPr>
        <w:t>la</w:t>
      </w:r>
      <w:r w:rsidRPr="00FE6FD8">
        <w:rPr>
          <w:rFonts w:ascii="Century Gothic" w:hAnsi="Century Gothic" w:cs="Arial"/>
          <w:spacing w:val="-9"/>
          <w:sz w:val="16"/>
          <w:szCs w:val="16"/>
        </w:rPr>
        <w:t xml:space="preserve"> </w:t>
      </w:r>
      <w:r w:rsidRPr="00FE6FD8">
        <w:rPr>
          <w:rFonts w:ascii="Century Gothic" w:hAnsi="Century Gothic" w:cs="Arial"/>
          <w:sz w:val="16"/>
          <w:szCs w:val="16"/>
        </w:rPr>
        <w:t>garantía</w:t>
      </w:r>
      <w:r w:rsidRPr="00FE6FD8">
        <w:rPr>
          <w:rFonts w:ascii="Century Gothic" w:hAnsi="Century Gothic" w:cs="Arial"/>
          <w:spacing w:val="-8"/>
          <w:sz w:val="16"/>
          <w:szCs w:val="16"/>
        </w:rPr>
        <w:t xml:space="preserve"> </w:t>
      </w:r>
      <w:r w:rsidRPr="00FE6FD8">
        <w:rPr>
          <w:rFonts w:ascii="Century Gothic" w:hAnsi="Century Gothic" w:cs="Arial"/>
          <w:sz w:val="16"/>
          <w:szCs w:val="16"/>
        </w:rPr>
        <w:t>del</w:t>
      </w:r>
      <w:r w:rsidRPr="00FE6FD8">
        <w:rPr>
          <w:rFonts w:ascii="Century Gothic" w:hAnsi="Century Gothic" w:cs="Arial"/>
          <w:spacing w:val="-8"/>
          <w:sz w:val="16"/>
          <w:szCs w:val="16"/>
        </w:rPr>
        <w:t xml:space="preserve"> </w:t>
      </w:r>
      <w:r w:rsidRPr="00FE6FD8">
        <w:rPr>
          <w:rFonts w:ascii="Century Gothic" w:hAnsi="Century Gothic" w:cs="Arial"/>
          <w:sz w:val="16"/>
          <w:szCs w:val="16"/>
        </w:rPr>
        <w:t>debido</w:t>
      </w:r>
      <w:r w:rsidRPr="00FE6FD8">
        <w:rPr>
          <w:rFonts w:ascii="Century Gothic" w:hAnsi="Century Gothic" w:cs="Arial"/>
          <w:spacing w:val="-8"/>
          <w:sz w:val="16"/>
          <w:szCs w:val="16"/>
        </w:rPr>
        <w:t xml:space="preserve"> </w:t>
      </w:r>
      <w:r w:rsidRPr="00FE6FD8">
        <w:rPr>
          <w:rFonts w:ascii="Century Gothic" w:hAnsi="Century Gothic" w:cs="Arial"/>
          <w:sz w:val="16"/>
          <w:szCs w:val="16"/>
        </w:rPr>
        <w:t>proceso</w:t>
      </w:r>
      <w:r w:rsidRPr="00FE6FD8">
        <w:rPr>
          <w:rFonts w:ascii="Century Gothic" w:hAnsi="Century Gothic" w:cs="Arial"/>
          <w:spacing w:val="-8"/>
          <w:sz w:val="16"/>
          <w:szCs w:val="16"/>
        </w:rPr>
        <w:t xml:space="preserve"> </w:t>
      </w:r>
      <w:r w:rsidRPr="00FE6FD8">
        <w:rPr>
          <w:rFonts w:ascii="Century Gothic" w:hAnsi="Century Gothic" w:cs="Arial"/>
          <w:sz w:val="16"/>
          <w:szCs w:val="16"/>
        </w:rPr>
        <w:t>“…]</w:t>
      </w:r>
      <w:r w:rsidRPr="00FE6FD8">
        <w:rPr>
          <w:rFonts w:ascii="Century Gothic" w:hAnsi="Century Gothic" w:cs="Arial"/>
          <w:spacing w:val="-8"/>
          <w:sz w:val="16"/>
          <w:szCs w:val="16"/>
        </w:rPr>
        <w:t xml:space="preserve"> </w:t>
      </w:r>
      <w:r w:rsidRPr="00FE6FD8">
        <w:rPr>
          <w:rFonts w:ascii="Century Gothic" w:hAnsi="Century Gothic" w:cs="Arial"/>
          <w:sz w:val="16"/>
          <w:szCs w:val="16"/>
        </w:rPr>
        <w:t>tampoco</w:t>
      </w:r>
      <w:r w:rsidRPr="00FE6FD8">
        <w:rPr>
          <w:rFonts w:ascii="Century Gothic" w:hAnsi="Century Gothic" w:cs="Arial"/>
          <w:spacing w:val="-8"/>
          <w:sz w:val="16"/>
          <w:szCs w:val="16"/>
        </w:rPr>
        <w:t xml:space="preserve"> </w:t>
      </w:r>
      <w:r w:rsidRPr="00FE6FD8">
        <w:rPr>
          <w:rFonts w:ascii="Century Gothic" w:hAnsi="Century Gothic" w:cs="Arial"/>
          <w:sz w:val="16"/>
          <w:szCs w:val="16"/>
        </w:rPr>
        <w:t>es</w:t>
      </w:r>
      <w:r w:rsidRPr="00FE6FD8">
        <w:rPr>
          <w:rFonts w:ascii="Century Gothic" w:hAnsi="Century Gothic" w:cs="Arial"/>
          <w:spacing w:val="-8"/>
          <w:sz w:val="16"/>
          <w:szCs w:val="16"/>
        </w:rPr>
        <w:t xml:space="preserve"> </w:t>
      </w:r>
      <w:r w:rsidRPr="00FE6FD8">
        <w:rPr>
          <w:rFonts w:ascii="Century Gothic" w:hAnsi="Century Gothic" w:cs="Arial"/>
          <w:sz w:val="16"/>
          <w:szCs w:val="16"/>
        </w:rPr>
        <w:t>exclusiva</w:t>
      </w:r>
      <w:r w:rsidRPr="00FE6FD8">
        <w:rPr>
          <w:rFonts w:ascii="Century Gothic" w:hAnsi="Century Gothic" w:cs="Arial"/>
          <w:spacing w:val="-8"/>
          <w:sz w:val="16"/>
          <w:szCs w:val="16"/>
        </w:rPr>
        <w:t xml:space="preserve"> </w:t>
      </w:r>
      <w:r w:rsidRPr="00FE6FD8">
        <w:rPr>
          <w:rFonts w:ascii="Century Gothic" w:hAnsi="Century Gothic" w:cs="Arial"/>
          <w:sz w:val="16"/>
          <w:szCs w:val="16"/>
        </w:rPr>
        <w:t>de</w:t>
      </w:r>
      <w:r w:rsidRPr="00FE6FD8">
        <w:rPr>
          <w:rFonts w:ascii="Century Gothic" w:hAnsi="Century Gothic" w:cs="Arial"/>
          <w:spacing w:val="1"/>
          <w:sz w:val="16"/>
          <w:szCs w:val="16"/>
        </w:rPr>
        <w:t xml:space="preserve"> </w:t>
      </w:r>
      <w:r w:rsidRPr="00FE6FD8">
        <w:rPr>
          <w:rFonts w:ascii="Century Gothic" w:hAnsi="Century Gothic" w:cs="Arial"/>
          <w:sz w:val="16"/>
          <w:szCs w:val="16"/>
        </w:rPr>
        <w:t>los procedimientos sancionatorios contractuales, sino de los demás trámites administrativos que se surten al</w:t>
      </w:r>
      <w:r w:rsidRPr="00FE6FD8">
        <w:rPr>
          <w:rFonts w:ascii="Century Gothic" w:hAnsi="Century Gothic" w:cs="Arial"/>
          <w:spacing w:val="1"/>
          <w:sz w:val="16"/>
          <w:szCs w:val="16"/>
        </w:rPr>
        <w:t xml:space="preserve"> </w:t>
      </w:r>
      <w:r w:rsidRPr="00FE6FD8">
        <w:rPr>
          <w:rFonts w:ascii="Century Gothic" w:hAnsi="Century Gothic" w:cs="Arial"/>
          <w:sz w:val="16"/>
          <w:szCs w:val="16"/>
        </w:rPr>
        <w:t>interior de la actividad contractual, que también deben garantizar un procedimiento previo que racionalice las</w:t>
      </w:r>
      <w:r w:rsidRPr="00FE6FD8">
        <w:rPr>
          <w:rFonts w:ascii="Century Gothic" w:hAnsi="Century Gothic" w:cs="Arial"/>
          <w:spacing w:val="1"/>
          <w:sz w:val="16"/>
          <w:szCs w:val="16"/>
        </w:rPr>
        <w:t xml:space="preserve"> </w:t>
      </w:r>
      <w:r w:rsidRPr="00FE6FD8">
        <w:rPr>
          <w:rFonts w:ascii="Century Gothic" w:hAnsi="Century Gothic" w:cs="Arial"/>
          <w:sz w:val="16"/>
          <w:szCs w:val="16"/>
        </w:rPr>
        <w:t>decisiones</w:t>
      </w:r>
      <w:r w:rsidRPr="00FE6FD8">
        <w:rPr>
          <w:rFonts w:ascii="Century Gothic" w:hAnsi="Century Gothic" w:cs="Arial"/>
          <w:spacing w:val="-12"/>
          <w:sz w:val="16"/>
          <w:szCs w:val="16"/>
        </w:rPr>
        <w:t xml:space="preserve"> </w:t>
      </w:r>
      <w:r w:rsidRPr="00FE6FD8">
        <w:rPr>
          <w:rFonts w:ascii="Century Gothic" w:hAnsi="Century Gothic" w:cs="Arial"/>
          <w:sz w:val="16"/>
          <w:szCs w:val="16"/>
        </w:rPr>
        <w:t>que</w:t>
      </w:r>
      <w:r w:rsidRPr="00FE6FD8">
        <w:rPr>
          <w:rFonts w:ascii="Century Gothic" w:hAnsi="Century Gothic" w:cs="Arial"/>
          <w:spacing w:val="-11"/>
          <w:sz w:val="16"/>
          <w:szCs w:val="16"/>
        </w:rPr>
        <w:t xml:space="preserve"> </w:t>
      </w:r>
      <w:r w:rsidRPr="00FE6FD8">
        <w:rPr>
          <w:rFonts w:ascii="Century Gothic" w:hAnsi="Century Gothic" w:cs="Arial"/>
          <w:sz w:val="16"/>
          <w:szCs w:val="16"/>
        </w:rPr>
        <w:t>se</w:t>
      </w:r>
      <w:r w:rsidRPr="00FE6FD8">
        <w:rPr>
          <w:rFonts w:ascii="Century Gothic" w:hAnsi="Century Gothic" w:cs="Arial"/>
          <w:spacing w:val="-11"/>
          <w:sz w:val="16"/>
          <w:szCs w:val="16"/>
        </w:rPr>
        <w:t xml:space="preserve"> </w:t>
      </w:r>
      <w:r w:rsidRPr="00FE6FD8">
        <w:rPr>
          <w:rFonts w:ascii="Century Gothic" w:hAnsi="Century Gothic" w:cs="Arial"/>
          <w:sz w:val="16"/>
          <w:szCs w:val="16"/>
        </w:rPr>
        <w:t>adoptan</w:t>
      </w:r>
      <w:r w:rsidRPr="00FE6FD8">
        <w:rPr>
          <w:rFonts w:ascii="Century Gothic" w:hAnsi="Century Gothic" w:cs="Arial"/>
          <w:spacing w:val="-11"/>
          <w:sz w:val="16"/>
          <w:szCs w:val="16"/>
        </w:rPr>
        <w:t xml:space="preserve"> </w:t>
      </w:r>
      <w:r w:rsidRPr="00FE6FD8">
        <w:rPr>
          <w:rFonts w:ascii="Century Gothic" w:hAnsi="Century Gothic" w:cs="Arial"/>
          <w:sz w:val="16"/>
          <w:szCs w:val="16"/>
        </w:rPr>
        <w:t>a</w:t>
      </w:r>
      <w:r w:rsidRPr="00FE6FD8">
        <w:rPr>
          <w:rFonts w:ascii="Century Gothic" w:hAnsi="Century Gothic" w:cs="Arial"/>
          <w:spacing w:val="-11"/>
          <w:sz w:val="16"/>
          <w:szCs w:val="16"/>
        </w:rPr>
        <w:t xml:space="preserve"> </w:t>
      </w:r>
      <w:r w:rsidRPr="00FE6FD8">
        <w:rPr>
          <w:rFonts w:ascii="Century Gothic" w:hAnsi="Century Gothic" w:cs="Arial"/>
          <w:sz w:val="16"/>
          <w:szCs w:val="16"/>
        </w:rPr>
        <w:t>través</w:t>
      </w:r>
      <w:r w:rsidRPr="00FE6FD8">
        <w:rPr>
          <w:rFonts w:ascii="Century Gothic" w:hAnsi="Century Gothic" w:cs="Arial"/>
          <w:spacing w:val="-11"/>
          <w:sz w:val="16"/>
          <w:szCs w:val="16"/>
        </w:rPr>
        <w:t xml:space="preserve"> </w:t>
      </w:r>
      <w:r w:rsidRPr="00FE6FD8">
        <w:rPr>
          <w:rFonts w:ascii="Century Gothic" w:hAnsi="Century Gothic" w:cs="Arial"/>
          <w:sz w:val="16"/>
          <w:szCs w:val="16"/>
        </w:rPr>
        <w:t>suyo.</w:t>
      </w:r>
      <w:r w:rsidRPr="00FE6FD8">
        <w:rPr>
          <w:rFonts w:ascii="Century Gothic" w:hAnsi="Century Gothic" w:cs="Arial"/>
          <w:spacing w:val="-11"/>
          <w:sz w:val="16"/>
          <w:szCs w:val="16"/>
        </w:rPr>
        <w:t xml:space="preserve"> </w:t>
      </w:r>
      <w:r w:rsidRPr="00FE6FD8">
        <w:rPr>
          <w:rFonts w:ascii="Century Gothic" w:hAnsi="Century Gothic" w:cs="Arial"/>
          <w:sz w:val="16"/>
          <w:szCs w:val="16"/>
        </w:rPr>
        <w:t>Los</w:t>
      </w:r>
      <w:r w:rsidRPr="00FE6FD8">
        <w:rPr>
          <w:rFonts w:ascii="Century Gothic" w:hAnsi="Century Gothic" w:cs="Arial"/>
          <w:spacing w:val="-11"/>
          <w:sz w:val="16"/>
          <w:szCs w:val="16"/>
        </w:rPr>
        <w:t xml:space="preserve"> </w:t>
      </w:r>
      <w:r w:rsidRPr="00FE6FD8">
        <w:rPr>
          <w:rFonts w:ascii="Century Gothic" w:hAnsi="Century Gothic" w:cs="Arial"/>
          <w:sz w:val="16"/>
          <w:szCs w:val="16"/>
        </w:rPr>
        <w:t>más</w:t>
      </w:r>
      <w:r w:rsidRPr="00FE6FD8">
        <w:rPr>
          <w:rFonts w:ascii="Century Gothic" w:hAnsi="Century Gothic" w:cs="Arial"/>
          <w:spacing w:val="-11"/>
          <w:sz w:val="16"/>
          <w:szCs w:val="16"/>
        </w:rPr>
        <w:t xml:space="preserve"> </w:t>
      </w:r>
      <w:r w:rsidRPr="00FE6FD8">
        <w:rPr>
          <w:rFonts w:ascii="Century Gothic" w:hAnsi="Century Gothic" w:cs="Arial"/>
          <w:sz w:val="16"/>
          <w:szCs w:val="16"/>
        </w:rPr>
        <w:t>representativos</w:t>
      </w:r>
      <w:r w:rsidRPr="00FE6FD8">
        <w:rPr>
          <w:rFonts w:ascii="Century Gothic" w:hAnsi="Century Gothic" w:cs="Arial"/>
          <w:spacing w:val="-11"/>
          <w:sz w:val="16"/>
          <w:szCs w:val="16"/>
        </w:rPr>
        <w:t xml:space="preserve"> </w:t>
      </w:r>
      <w:r w:rsidRPr="00FE6FD8">
        <w:rPr>
          <w:rFonts w:ascii="Century Gothic" w:hAnsi="Century Gothic" w:cs="Arial"/>
          <w:sz w:val="16"/>
          <w:szCs w:val="16"/>
        </w:rPr>
        <w:t>son</w:t>
      </w:r>
      <w:r w:rsidRPr="00FE6FD8">
        <w:rPr>
          <w:rFonts w:ascii="Century Gothic" w:hAnsi="Century Gothic" w:cs="Arial"/>
          <w:spacing w:val="-11"/>
          <w:sz w:val="16"/>
          <w:szCs w:val="16"/>
        </w:rPr>
        <w:t xml:space="preserve"> </w:t>
      </w:r>
      <w:r w:rsidRPr="00FE6FD8">
        <w:rPr>
          <w:rFonts w:ascii="Century Gothic" w:hAnsi="Century Gothic" w:cs="Arial"/>
          <w:sz w:val="16"/>
          <w:szCs w:val="16"/>
        </w:rPr>
        <w:t>los</w:t>
      </w:r>
      <w:r w:rsidRPr="00FE6FD8">
        <w:rPr>
          <w:rFonts w:ascii="Century Gothic" w:hAnsi="Century Gothic" w:cs="Arial"/>
          <w:spacing w:val="-11"/>
          <w:sz w:val="16"/>
          <w:szCs w:val="16"/>
        </w:rPr>
        <w:t xml:space="preserve"> </w:t>
      </w:r>
      <w:r w:rsidRPr="00FE6FD8">
        <w:rPr>
          <w:rFonts w:ascii="Century Gothic" w:hAnsi="Century Gothic" w:cs="Arial"/>
          <w:sz w:val="16"/>
          <w:szCs w:val="16"/>
        </w:rPr>
        <w:t>procesos</w:t>
      </w:r>
      <w:r w:rsidRPr="00FE6FD8">
        <w:rPr>
          <w:rFonts w:ascii="Century Gothic" w:hAnsi="Century Gothic" w:cs="Arial"/>
          <w:spacing w:val="-11"/>
          <w:sz w:val="16"/>
          <w:szCs w:val="16"/>
        </w:rPr>
        <w:t xml:space="preserve"> </w:t>
      </w:r>
      <w:r w:rsidRPr="00FE6FD8">
        <w:rPr>
          <w:rFonts w:ascii="Century Gothic" w:hAnsi="Century Gothic" w:cs="Arial"/>
          <w:sz w:val="16"/>
          <w:szCs w:val="16"/>
        </w:rPr>
        <w:t>de</w:t>
      </w:r>
      <w:r w:rsidRPr="00FE6FD8">
        <w:rPr>
          <w:rFonts w:ascii="Century Gothic" w:hAnsi="Century Gothic" w:cs="Arial"/>
          <w:spacing w:val="-12"/>
          <w:sz w:val="16"/>
          <w:szCs w:val="16"/>
        </w:rPr>
        <w:t xml:space="preserve"> </w:t>
      </w:r>
      <w:r w:rsidRPr="00FE6FD8">
        <w:rPr>
          <w:rFonts w:ascii="Century Gothic" w:hAnsi="Century Gothic" w:cs="Arial"/>
          <w:sz w:val="16"/>
          <w:szCs w:val="16"/>
        </w:rPr>
        <w:t>selección</w:t>
      </w:r>
      <w:r w:rsidRPr="00FE6FD8">
        <w:rPr>
          <w:rFonts w:ascii="Century Gothic" w:hAnsi="Century Gothic" w:cs="Arial"/>
          <w:spacing w:val="-11"/>
          <w:sz w:val="16"/>
          <w:szCs w:val="16"/>
        </w:rPr>
        <w:t xml:space="preserve"> </w:t>
      </w:r>
      <w:r w:rsidRPr="00FE6FD8">
        <w:rPr>
          <w:rFonts w:ascii="Century Gothic" w:hAnsi="Century Gothic" w:cs="Arial"/>
          <w:sz w:val="16"/>
          <w:szCs w:val="16"/>
        </w:rPr>
        <w:t>de</w:t>
      </w:r>
      <w:r w:rsidRPr="00FE6FD8">
        <w:rPr>
          <w:rFonts w:ascii="Century Gothic" w:hAnsi="Century Gothic" w:cs="Arial"/>
          <w:spacing w:val="-11"/>
          <w:sz w:val="16"/>
          <w:szCs w:val="16"/>
        </w:rPr>
        <w:t xml:space="preserve"> </w:t>
      </w:r>
      <w:r w:rsidRPr="00FE6FD8">
        <w:rPr>
          <w:rFonts w:ascii="Century Gothic" w:hAnsi="Century Gothic" w:cs="Arial"/>
          <w:sz w:val="16"/>
          <w:szCs w:val="16"/>
        </w:rPr>
        <w:t>contratistas,</w:t>
      </w:r>
      <w:r w:rsidRPr="00FE6FD8">
        <w:rPr>
          <w:rFonts w:ascii="Century Gothic" w:hAnsi="Century Gothic" w:cs="Arial"/>
          <w:spacing w:val="-50"/>
          <w:sz w:val="16"/>
          <w:szCs w:val="16"/>
        </w:rPr>
        <w:t xml:space="preserve"> </w:t>
      </w:r>
      <w:r w:rsidRPr="00FE6FD8">
        <w:rPr>
          <w:rFonts w:ascii="Century Gothic" w:hAnsi="Century Gothic" w:cs="Arial"/>
          <w:sz w:val="16"/>
          <w:szCs w:val="16"/>
        </w:rPr>
        <w:t>cuyas etapas y requisitos son de estricta observancia, tanto para la administración como para los participantes,</w:t>
      </w:r>
      <w:r w:rsidRPr="00FE6FD8">
        <w:rPr>
          <w:rFonts w:ascii="Century Gothic" w:hAnsi="Century Gothic" w:cs="Arial"/>
          <w:spacing w:val="-50"/>
          <w:sz w:val="16"/>
          <w:szCs w:val="16"/>
        </w:rPr>
        <w:t xml:space="preserve"> </w:t>
      </w:r>
      <w:r w:rsidRPr="00FE6FD8">
        <w:rPr>
          <w:rFonts w:ascii="Century Gothic" w:hAnsi="Century Gothic" w:cs="Arial"/>
          <w:sz w:val="16"/>
          <w:szCs w:val="16"/>
        </w:rPr>
        <w:t>en señal de respeto al principio de legalidad como a este derecho que integra el debido proceso” (CONSEJO</w:t>
      </w:r>
      <w:r w:rsidRPr="00FE6FD8">
        <w:rPr>
          <w:rFonts w:ascii="Century Gothic" w:hAnsi="Century Gothic" w:cs="Arial"/>
          <w:spacing w:val="1"/>
          <w:sz w:val="16"/>
          <w:szCs w:val="16"/>
        </w:rPr>
        <w:t xml:space="preserve"> </w:t>
      </w:r>
      <w:r w:rsidRPr="00FE6FD8">
        <w:rPr>
          <w:rFonts w:ascii="Century Gothic" w:hAnsi="Century Gothic" w:cs="Arial"/>
          <w:sz w:val="16"/>
          <w:szCs w:val="16"/>
        </w:rPr>
        <w:t>DE</w:t>
      </w:r>
      <w:r w:rsidRPr="00FE6FD8">
        <w:rPr>
          <w:rFonts w:ascii="Century Gothic" w:hAnsi="Century Gothic" w:cs="Arial"/>
          <w:spacing w:val="-4"/>
          <w:sz w:val="16"/>
          <w:szCs w:val="16"/>
        </w:rPr>
        <w:t xml:space="preserve"> </w:t>
      </w:r>
      <w:r w:rsidRPr="00FE6FD8">
        <w:rPr>
          <w:rFonts w:ascii="Century Gothic" w:hAnsi="Century Gothic" w:cs="Arial"/>
          <w:sz w:val="16"/>
          <w:szCs w:val="16"/>
        </w:rPr>
        <w:t>ESTADO.</w:t>
      </w:r>
      <w:r w:rsidRPr="00FE6FD8">
        <w:rPr>
          <w:rFonts w:ascii="Century Gothic" w:hAnsi="Century Gothic" w:cs="Arial"/>
          <w:spacing w:val="-4"/>
          <w:sz w:val="16"/>
          <w:szCs w:val="16"/>
        </w:rPr>
        <w:t xml:space="preserve"> </w:t>
      </w:r>
      <w:r w:rsidRPr="00FE6FD8">
        <w:rPr>
          <w:rFonts w:ascii="Century Gothic" w:hAnsi="Century Gothic" w:cs="Arial"/>
          <w:sz w:val="16"/>
          <w:szCs w:val="16"/>
        </w:rPr>
        <w:t>Sección</w:t>
      </w:r>
      <w:r w:rsidRPr="00FE6FD8">
        <w:rPr>
          <w:rFonts w:ascii="Century Gothic" w:hAnsi="Century Gothic" w:cs="Arial"/>
          <w:spacing w:val="-3"/>
          <w:sz w:val="16"/>
          <w:szCs w:val="16"/>
        </w:rPr>
        <w:t xml:space="preserve"> </w:t>
      </w:r>
      <w:r w:rsidRPr="00FE6FD8">
        <w:rPr>
          <w:rFonts w:ascii="Century Gothic" w:hAnsi="Century Gothic" w:cs="Arial"/>
          <w:sz w:val="16"/>
          <w:szCs w:val="16"/>
        </w:rPr>
        <w:t>Tercera.</w:t>
      </w:r>
      <w:r w:rsidRPr="00FE6FD8">
        <w:rPr>
          <w:rFonts w:ascii="Century Gothic" w:hAnsi="Century Gothic" w:cs="Arial"/>
          <w:spacing w:val="-4"/>
          <w:sz w:val="16"/>
          <w:szCs w:val="16"/>
        </w:rPr>
        <w:t xml:space="preserve"> </w:t>
      </w:r>
      <w:r w:rsidRPr="00FE6FD8">
        <w:rPr>
          <w:rFonts w:ascii="Century Gothic" w:hAnsi="Century Gothic" w:cs="Arial"/>
          <w:sz w:val="16"/>
          <w:szCs w:val="16"/>
        </w:rPr>
        <w:t>Sentencia</w:t>
      </w:r>
      <w:r w:rsidRPr="00FE6FD8">
        <w:rPr>
          <w:rFonts w:ascii="Century Gothic" w:hAnsi="Century Gothic" w:cs="Arial"/>
          <w:spacing w:val="-3"/>
          <w:sz w:val="16"/>
          <w:szCs w:val="16"/>
        </w:rPr>
        <w:t xml:space="preserve"> </w:t>
      </w:r>
      <w:r w:rsidRPr="00FE6FD8">
        <w:rPr>
          <w:rFonts w:ascii="Century Gothic" w:hAnsi="Century Gothic" w:cs="Arial"/>
          <w:sz w:val="16"/>
          <w:szCs w:val="16"/>
        </w:rPr>
        <w:t>del</w:t>
      </w:r>
      <w:r w:rsidRPr="00FE6FD8">
        <w:rPr>
          <w:rFonts w:ascii="Century Gothic" w:hAnsi="Century Gothic" w:cs="Arial"/>
          <w:spacing w:val="-4"/>
          <w:sz w:val="16"/>
          <w:szCs w:val="16"/>
        </w:rPr>
        <w:t xml:space="preserve"> </w:t>
      </w:r>
      <w:r w:rsidRPr="00FE6FD8">
        <w:rPr>
          <w:rFonts w:ascii="Century Gothic" w:hAnsi="Century Gothic" w:cs="Arial"/>
          <w:sz w:val="16"/>
          <w:szCs w:val="16"/>
        </w:rPr>
        <w:t>23</w:t>
      </w:r>
      <w:r w:rsidRPr="00FE6FD8">
        <w:rPr>
          <w:rFonts w:ascii="Century Gothic" w:hAnsi="Century Gothic" w:cs="Arial"/>
          <w:spacing w:val="-3"/>
          <w:sz w:val="16"/>
          <w:szCs w:val="16"/>
        </w:rPr>
        <w:t xml:space="preserve"> </w:t>
      </w:r>
      <w:r w:rsidRPr="00FE6FD8">
        <w:rPr>
          <w:rFonts w:ascii="Century Gothic" w:hAnsi="Century Gothic" w:cs="Arial"/>
          <w:sz w:val="16"/>
          <w:szCs w:val="16"/>
        </w:rPr>
        <w:t>de</w:t>
      </w:r>
      <w:r w:rsidRPr="00FE6FD8">
        <w:rPr>
          <w:rFonts w:ascii="Century Gothic" w:hAnsi="Century Gothic" w:cs="Arial"/>
          <w:spacing w:val="-4"/>
          <w:sz w:val="16"/>
          <w:szCs w:val="16"/>
        </w:rPr>
        <w:t xml:space="preserve"> </w:t>
      </w:r>
      <w:r w:rsidRPr="00FE6FD8">
        <w:rPr>
          <w:rFonts w:ascii="Century Gothic" w:hAnsi="Century Gothic" w:cs="Arial"/>
          <w:sz w:val="16"/>
          <w:szCs w:val="16"/>
        </w:rPr>
        <w:t>junio</w:t>
      </w:r>
      <w:r w:rsidRPr="00FE6FD8">
        <w:rPr>
          <w:rFonts w:ascii="Century Gothic" w:hAnsi="Century Gothic" w:cs="Arial"/>
          <w:spacing w:val="-3"/>
          <w:sz w:val="16"/>
          <w:szCs w:val="16"/>
        </w:rPr>
        <w:t xml:space="preserve"> </w:t>
      </w:r>
      <w:r w:rsidRPr="00FE6FD8">
        <w:rPr>
          <w:rFonts w:ascii="Century Gothic" w:hAnsi="Century Gothic" w:cs="Arial"/>
          <w:sz w:val="16"/>
          <w:szCs w:val="16"/>
        </w:rPr>
        <w:t>de</w:t>
      </w:r>
      <w:r w:rsidRPr="00FE6FD8">
        <w:rPr>
          <w:rFonts w:ascii="Century Gothic" w:hAnsi="Century Gothic" w:cs="Arial"/>
          <w:spacing w:val="-4"/>
          <w:sz w:val="16"/>
          <w:szCs w:val="16"/>
        </w:rPr>
        <w:t xml:space="preserve"> </w:t>
      </w:r>
      <w:r w:rsidRPr="00FE6FD8">
        <w:rPr>
          <w:rFonts w:ascii="Century Gothic" w:hAnsi="Century Gothic" w:cs="Arial"/>
          <w:sz w:val="16"/>
          <w:szCs w:val="16"/>
        </w:rPr>
        <w:t>2010.</w:t>
      </w:r>
      <w:r w:rsidRPr="00FE6FD8">
        <w:rPr>
          <w:rFonts w:ascii="Century Gothic" w:hAnsi="Century Gothic" w:cs="Arial"/>
          <w:spacing w:val="-3"/>
          <w:sz w:val="16"/>
          <w:szCs w:val="16"/>
        </w:rPr>
        <w:t xml:space="preserve"> </w:t>
      </w:r>
      <w:r w:rsidRPr="00FE6FD8">
        <w:rPr>
          <w:rFonts w:ascii="Century Gothic" w:hAnsi="Century Gothic" w:cs="Arial"/>
          <w:sz w:val="16"/>
          <w:szCs w:val="16"/>
        </w:rPr>
        <w:t>Rad.</w:t>
      </w:r>
      <w:r w:rsidRPr="00FE6FD8">
        <w:rPr>
          <w:rFonts w:ascii="Century Gothic" w:hAnsi="Century Gothic" w:cs="Arial"/>
          <w:spacing w:val="-4"/>
          <w:sz w:val="16"/>
          <w:szCs w:val="16"/>
        </w:rPr>
        <w:t xml:space="preserve"> </w:t>
      </w:r>
      <w:r w:rsidRPr="00FE6FD8">
        <w:rPr>
          <w:rFonts w:ascii="Century Gothic" w:hAnsi="Century Gothic" w:cs="Arial"/>
          <w:sz w:val="16"/>
          <w:szCs w:val="16"/>
        </w:rPr>
        <w:t>16.367.</w:t>
      </w:r>
      <w:r w:rsidRPr="00FE6FD8">
        <w:rPr>
          <w:rFonts w:ascii="Century Gothic" w:hAnsi="Century Gothic" w:cs="Arial"/>
          <w:spacing w:val="-3"/>
          <w:sz w:val="16"/>
          <w:szCs w:val="16"/>
        </w:rPr>
        <w:t xml:space="preserve"> </w:t>
      </w:r>
      <w:r w:rsidRPr="00FE6FD8">
        <w:rPr>
          <w:rFonts w:ascii="Century Gothic" w:hAnsi="Century Gothic" w:cs="Arial"/>
          <w:sz w:val="16"/>
          <w:szCs w:val="16"/>
        </w:rPr>
        <w:t>C.P.</w:t>
      </w:r>
      <w:r w:rsidRPr="00FE6FD8">
        <w:rPr>
          <w:rFonts w:ascii="Century Gothic" w:hAnsi="Century Gothic" w:cs="Arial"/>
          <w:spacing w:val="-4"/>
          <w:sz w:val="16"/>
          <w:szCs w:val="16"/>
        </w:rPr>
        <w:t xml:space="preserve"> </w:t>
      </w:r>
      <w:r w:rsidRPr="00FE6FD8">
        <w:rPr>
          <w:rFonts w:ascii="Century Gothic" w:hAnsi="Century Gothic" w:cs="Arial"/>
          <w:sz w:val="16"/>
          <w:szCs w:val="16"/>
        </w:rPr>
        <w:t>Enrique</w:t>
      </w:r>
      <w:r w:rsidRPr="00FE6FD8">
        <w:rPr>
          <w:rFonts w:ascii="Century Gothic" w:hAnsi="Century Gothic" w:cs="Arial"/>
          <w:spacing w:val="-3"/>
          <w:sz w:val="16"/>
          <w:szCs w:val="16"/>
        </w:rPr>
        <w:t xml:space="preserve"> </w:t>
      </w:r>
      <w:r w:rsidRPr="00FE6FD8">
        <w:rPr>
          <w:rFonts w:ascii="Century Gothic" w:hAnsi="Century Gothic" w:cs="Arial"/>
          <w:sz w:val="16"/>
          <w:szCs w:val="16"/>
        </w:rPr>
        <w:t>Gil</w:t>
      </w:r>
      <w:r w:rsidRPr="00FE6FD8">
        <w:rPr>
          <w:rFonts w:ascii="Century Gothic" w:hAnsi="Century Gothic" w:cs="Arial"/>
          <w:spacing w:val="-4"/>
          <w:sz w:val="16"/>
          <w:szCs w:val="16"/>
        </w:rPr>
        <w:t xml:space="preserve"> </w:t>
      </w:r>
      <w:r w:rsidRPr="00FE6FD8">
        <w:rPr>
          <w:rFonts w:ascii="Century Gothic" w:hAnsi="Century Gothic" w:cs="Arial"/>
          <w:sz w:val="16"/>
          <w:szCs w:val="16"/>
        </w:rPr>
        <w:t>Botero).</w:t>
      </w:r>
    </w:p>
  </w:footnote>
  <w:footnote w:id="9">
    <w:p w14:paraId="07294201"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Style w:val="Refdenotaalpie"/>
          <w:rFonts w:ascii="Century Gothic" w:hAnsi="Century Gothic" w:cs="Arial"/>
          <w:color w:val="000000"/>
          <w:sz w:val="16"/>
          <w:szCs w:val="16"/>
          <w:lang w:val="es-ES_tradnl"/>
        </w:rPr>
        <w:footnoteRef/>
      </w:r>
      <w:r w:rsidRPr="00FE6FD8">
        <w:rPr>
          <w:rFonts w:ascii="Century Gothic" w:hAnsi="Century Gothic" w:cs="Arial"/>
          <w:color w:val="000000"/>
          <w:sz w:val="16"/>
          <w:szCs w:val="16"/>
          <w:lang w:val="es-ES_tradnl"/>
        </w:rPr>
        <w:t xml:space="preserve"> En efecto, este artículo dispuso: “Adiciónese al artículo 2o de la Ley 1150 de 2007 el siguiente numeral.</w:t>
      </w:r>
    </w:p>
    <w:p w14:paraId="54D5DF87"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La contratación cuyo valor no excede del 10 por ciento de la menor cuantía de la entidad independientemente de su objeto, se efectuará de conformidad con las siguientes reglas:</w:t>
      </w:r>
    </w:p>
    <w:p w14:paraId="2BED1C9B"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a) Se publicará una invitación, por un término no inferior a un día hábil, en la cual se señalará el objeto a contratar, el presupuesto destinado para tal fin, así como las condiciones técnicas exigidas;</w:t>
      </w:r>
    </w:p>
    <w:p w14:paraId="426F22A0"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b) El término previsto en la invitación para presentar la oferta no podrá ser inferior a un día hábil;</w:t>
      </w:r>
    </w:p>
    <w:p w14:paraId="3C90366E"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c) La entidad seleccionará, mediante comunicación de aceptación de la oferta, la propuesta con el menor precio, siempre y cuando cumpla con las condiciones exigidas;</w:t>
      </w:r>
    </w:p>
    <w:p w14:paraId="0384FFCB"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d) La comunicación de aceptación junto con la oferta constituyen para todos los efectos el contrato celebrado, con base en lo cual se efectuará el respectivo registro presupuestal.</w:t>
      </w:r>
    </w:p>
    <w:p w14:paraId="2055BC74"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PARÁGRAFO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142B8057"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PARÁGRAFO 2o. La contratación a que se refiere el presente artículo se realizará exclusivamente con las reglas en él contempladas y en su reglamentación. En particular no se aplicará lo previsto en la Ley 816 de 2003, ni en el artículo 12 de la Ley 1150 de 2007”.</w:t>
      </w:r>
    </w:p>
  </w:footnote>
  <w:footnote w:id="10">
    <w:p w14:paraId="63E7470B"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p>
    <w:p w14:paraId="3A9D6F1A"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Style w:val="Refdenotaalpie"/>
          <w:rFonts w:ascii="Century Gothic" w:hAnsi="Century Gothic" w:cs="Arial"/>
          <w:color w:val="000000"/>
          <w:sz w:val="16"/>
          <w:szCs w:val="16"/>
          <w:lang w:val="es-ES_tradnl"/>
        </w:rPr>
        <w:footnoteRef/>
      </w:r>
      <w:r w:rsidRPr="00FE6FD8">
        <w:rPr>
          <w:rFonts w:ascii="Century Gothic" w:hAnsi="Century Gothic" w:cs="Arial"/>
          <w:color w:val="000000"/>
          <w:sz w:val="16"/>
          <w:szCs w:val="16"/>
          <w:lang w:val="es-ES_tradnl"/>
        </w:rPr>
        <w:t xml:space="preserve"> Esto lo ratifica el artículo 2.2.1.2.1.5.2. del Decreto 1082 de 2015.</w:t>
      </w:r>
    </w:p>
  </w:footnote>
  <w:footnote w:id="11">
    <w:p w14:paraId="44BC06D2"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Style w:val="Refdenotaalpie"/>
          <w:rFonts w:ascii="Century Gothic" w:hAnsi="Century Gothic" w:cs="Arial"/>
          <w:color w:val="000000"/>
          <w:sz w:val="16"/>
          <w:szCs w:val="16"/>
          <w:lang w:val="es-ES_tradnl"/>
        </w:rPr>
        <w:footnoteRef/>
      </w:r>
      <w:r w:rsidRPr="00FE6FD8">
        <w:rPr>
          <w:rFonts w:ascii="Century Gothic" w:hAnsi="Century Gothic" w:cs="Arial"/>
          <w:color w:val="000000"/>
          <w:sz w:val="16"/>
          <w:szCs w:val="16"/>
          <w:lang w:val="es-ES_tradnl"/>
        </w:rPr>
        <w:t xml:space="preserve"> DÁVILA VINUEZA, Luis Guillermo. Régimen jurídico de la contratación estatal. 3ª ed. Bogotá: Legis, 2016. p. 463.</w:t>
      </w:r>
    </w:p>
  </w:footnote>
  <w:footnote w:id="12">
    <w:p w14:paraId="7C5E7FFA"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p>
    <w:p w14:paraId="506083EB"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Style w:val="Refdenotaalpie"/>
          <w:rFonts w:ascii="Century Gothic" w:hAnsi="Century Gothic" w:cs="Arial"/>
          <w:color w:val="000000"/>
          <w:sz w:val="16"/>
          <w:szCs w:val="16"/>
          <w:lang w:val="es-ES_tradnl"/>
        </w:rPr>
        <w:footnoteRef/>
      </w:r>
      <w:r w:rsidRPr="00FE6FD8">
        <w:rPr>
          <w:rFonts w:ascii="Century Gothic" w:hAnsi="Century Gothic" w:cs="Arial"/>
          <w:color w:val="000000"/>
          <w:sz w:val="16"/>
          <w:szCs w:val="16"/>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21B1B001"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Para las entidades que tengan un presupuesto anual superior o igual a 1.200.000 salarios mínimos legales mensuales, la menor cuantía será hasta 1.000 salarios mínimos legales mensuales.</w:t>
      </w:r>
    </w:p>
    <w:p w14:paraId="38B9E3D7"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Las que tengan un presupuesto anual superior o igual a 850.000 salarios mínimos legales mensuales e inferiores a 1.200.000 salarios mínimos legales mensuales, la menor cuantía será hasta 850 salarios mínimos legales mensuales.</w:t>
      </w:r>
    </w:p>
    <w:p w14:paraId="4E6681E7"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Las que tengan un presupuesto anual superior o igual a 400.000 salarios mínimos legales mensuales e inferior a 850.000 salarios mínimos legales mensuales, la menor cuantía será hasta 650 salarios mínimos legales mensuales.</w:t>
      </w:r>
    </w:p>
    <w:p w14:paraId="4D9249BE"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Las que tengan un presupuesto anual superior o igual a 120.000 salarios mínimos legales mensuales e inferior a 400.000 salarios mínimos legales mensuales, la menor cuantía será hasta 450 salarios mínimos legales mensuales.</w:t>
      </w:r>
    </w:p>
    <w:p w14:paraId="0023DB2A" w14:textId="77777777" w:rsidR="005B4D3E" w:rsidRPr="00FE6FD8" w:rsidRDefault="005B4D3E" w:rsidP="005B4D3E">
      <w:pPr>
        <w:pStyle w:val="Textonotapie"/>
        <w:ind w:firstLine="709"/>
        <w:contextualSpacing/>
        <w:jc w:val="both"/>
        <w:rPr>
          <w:rFonts w:ascii="Century Gothic" w:hAnsi="Century Gothic" w:cs="Arial"/>
          <w:color w:val="000000"/>
          <w:sz w:val="16"/>
          <w:szCs w:val="16"/>
          <w:lang w:val="es-ES_tradnl"/>
        </w:rPr>
      </w:pPr>
      <w:r w:rsidRPr="00FE6FD8">
        <w:rPr>
          <w:rFonts w:ascii="Century Gothic" w:hAnsi="Century Gothic" w:cs="Arial"/>
          <w:color w:val="000000"/>
          <w:sz w:val="16"/>
          <w:szCs w:val="16"/>
          <w:lang w:val="es-ES_tradnl"/>
        </w:rPr>
        <w:t>Las que tengan un presupuesto anual inferior a 120.000 salarios mínimos legales mensuales, la menor cuantía será hasta 280 salarios mínimos legales mensuales”.</w:t>
      </w:r>
    </w:p>
  </w:footnote>
  <w:footnote w:id="13">
    <w:p w14:paraId="7A9B8543" w14:textId="77777777" w:rsidR="005B4D3E" w:rsidRPr="00FE6FD8" w:rsidRDefault="005B4D3E" w:rsidP="005B4D3E">
      <w:pPr>
        <w:pStyle w:val="Textonotapie"/>
        <w:ind w:firstLine="709"/>
        <w:contextualSpacing/>
        <w:jc w:val="both"/>
        <w:rPr>
          <w:rFonts w:ascii="Century Gothic" w:hAnsi="Century Gothic" w:cs="Arial"/>
          <w:sz w:val="16"/>
          <w:szCs w:val="16"/>
        </w:rPr>
      </w:pPr>
    </w:p>
    <w:p w14:paraId="3B546596" w14:textId="77777777" w:rsidR="005B4D3E" w:rsidRPr="00FE6FD8" w:rsidRDefault="005B4D3E" w:rsidP="005B4D3E">
      <w:pPr>
        <w:pStyle w:val="Textonotapie"/>
        <w:ind w:firstLine="709"/>
        <w:contextualSpacing/>
        <w:jc w:val="both"/>
        <w:rPr>
          <w:rFonts w:ascii="Century Gothic" w:hAnsi="Century Gothic" w:cs="Arial"/>
          <w:color w:val="000000" w:themeColor="text1"/>
          <w:sz w:val="16"/>
          <w:szCs w:val="16"/>
          <w:lang w:val="es-ES_tradnl"/>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color w:val="000000" w:themeColor="text1"/>
          <w:sz w:val="16"/>
          <w:szCs w:val="16"/>
          <w:lang w:val="es-ES_tradnl"/>
        </w:rPr>
        <w:t xml:space="preserve">Consejo de Estado. Sección Tercera. Subsección A. Auto del 29 de marzo de 2017. </w:t>
      </w:r>
      <w:proofErr w:type="spellStart"/>
      <w:r w:rsidRPr="00FE6FD8">
        <w:rPr>
          <w:rFonts w:ascii="Century Gothic" w:hAnsi="Century Gothic" w:cs="Arial"/>
          <w:color w:val="000000" w:themeColor="text1"/>
          <w:sz w:val="16"/>
          <w:szCs w:val="16"/>
          <w:lang w:val="es-ES_tradnl"/>
        </w:rPr>
        <w:t>Exp</w:t>
      </w:r>
      <w:proofErr w:type="spellEnd"/>
      <w:r w:rsidRPr="00FE6FD8">
        <w:rPr>
          <w:rFonts w:ascii="Century Gothic" w:hAnsi="Century Gothic" w:cs="Arial"/>
          <w:color w:val="000000" w:themeColor="text1"/>
          <w:sz w:val="16"/>
          <w:szCs w:val="16"/>
          <w:lang w:val="es-ES_tradnl"/>
        </w:rPr>
        <w:t>. 56.307. Consejero: Carlos Alberto Zambrano Barrera.</w:t>
      </w:r>
    </w:p>
  </w:footnote>
  <w:footnote w:id="14">
    <w:p w14:paraId="2FC9F24D"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Consejo de Estado. Sección Segunda. Sentencia del 9 de septiembre de 2021. Expediente No. 05001-23-33-000-2013-01143-01(1317-16). M.P. Dra. Sandra Lisset Ibarra Vélez.</w:t>
      </w:r>
    </w:p>
    <w:p w14:paraId="71614066" w14:textId="77777777" w:rsidR="005B4D3E" w:rsidRPr="00FE6FD8" w:rsidRDefault="005B4D3E" w:rsidP="005B4D3E">
      <w:pPr>
        <w:pStyle w:val="Textonotapie"/>
        <w:ind w:firstLine="708"/>
        <w:jc w:val="both"/>
        <w:rPr>
          <w:rFonts w:ascii="Century Gothic" w:hAnsi="Century Gothic" w:cs="Arial"/>
          <w:sz w:val="16"/>
          <w:szCs w:val="16"/>
        </w:rPr>
      </w:pPr>
    </w:p>
  </w:footnote>
  <w:footnote w:id="15">
    <w:p w14:paraId="3AF06D62"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34A12AD5" w14:textId="77777777" w:rsidR="005B4D3E" w:rsidRPr="00FE6FD8" w:rsidRDefault="005B4D3E" w:rsidP="005B4D3E">
      <w:pPr>
        <w:pStyle w:val="Textonotapie"/>
        <w:ind w:firstLine="708"/>
        <w:jc w:val="both"/>
        <w:rPr>
          <w:rFonts w:ascii="Century Gothic" w:hAnsi="Century Gothic" w:cs="Arial"/>
          <w:sz w:val="16"/>
          <w:szCs w:val="16"/>
          <w:lang w:val="es-ES_tradnl"/>
        </w:rPr>
      </w:pPr>
    </w:p>
  </w:footnote>
  <w:footnote w:id="16">
    <w:p w14:paraId="25F50C3D" w14:textId="77777777" w:rsidR="005B4D3E" w:rsidRPr="00FE6FD8" w:rsidRDefault="005B4D3E" w:rsidP="005B4D3E">
      <w:pPr>
        <w:pStyle w:val="Textonotapie"/>
        <w:ind w:firstLine="708"/>
        <w:jc w:val="both"/>
        <w:rPr>
          <w:rFonts w:ascii="Century Gothic" w:hAnsi="Century Gothic" w:cs="Arial"/>
          <w:sz w:val="16"/>
          <w:szCs w:val="16"/>
          <w:lang w:val="es-ES"/>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44E3585A" w14:textId="77777777" w:rsidR="005B4D3E" w:rsidRPr="00FE6FD8" w:rsidRDefault="005B4D3E" w:rsidP="005B4D3E">
      <w:pPr>
        <w:pStyle w:val="Textonotapie"/>
        <w:ind w:firstLine="709"/>
        <w:jc w:val="both"/>
        <w:rPr>
          <w:rFonts w:ascii="Century Gothic" w:hAnsi="Century Gothic" w:cs="Arial"/>
          <w:sz w:val="16"/>
          <w:szCs w:val="16"/>
          <w:lang w:val="es-ES"/>
        </w:rPr>
      </w:pPr>
    </w:p>
  </w:footnote>
  <w:footnote w:id="17">
    <w:p w14:paraId="60C14684"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1BB1D47"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325F1924"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El Gobierno nacional reglamentará el mecanismo para realizar la mensualización de que trata el presente artículo.</w:t>
      </w:r>
    </w:p>
    <w:p w14:paraId="055446BC" w14:textId="77777777" w:rsidR="005B4D3E" w:rsidRPr="00FE6FD8" w:rsidRDefault="005B4D3E" w:rsidP="005B4D3E">
      <w:pPr>
        <w:pStyle w:val="Textonotapie"/>
        <w:ind w:firstLine="709"/>
        <w:jc w:val="both"/>
        <w:rPr>
          <w:rFonts w:ascii="Century Gothic" w:hAnsi="Century Gothic" w:cs="Arial"/>
          <w:sz w:val="16"/>
          <w:szCs w:val="16"/>
          <w:lang w:val="pt-BR"/>
        </w:rPr>
      </w:pPr>
      <w:r w:rsidRPr="00FE6FD8">
        <w:rPr>
          <w:rFonts w:ascii="Century Gothic" w:hAnsi="Century Gothic" w:cs="Arial"/>
          <w:sz w:val="16"/>
          <w:szCs w:val="16"/>
          <w:lang w:val="pt-BR"/>
        </w:rPr>
        <w:t>[…]”.</w:t>
      </w:r>
    </w:p>
    <w:p w14:paraId="0D2A46CF" w14:textId="77777777" w:rsidR="005B4D3E" w:rsidRPr="00FE6FD8" w:rsidRDefault="005B4D3E" w:rsidP="005B4D3E">
      <w:pPr>
        <w:pStyle w:val="Textonotapie"/>
        <w:ind w:firstLine="709"/>
        <w:jc w:val="both"/>
        <w:rPr>
          <w:rFonts w:ascii="Century Gothic" w:hAnsi="Century Gothic" w:cs="Arial"/>
          <w:sz w:val="16"/>
          <w:szCs w:val="16"/>
          <w:lang w:val="pt-BR"/>
        </w:rPr>
      </w:pPr>
    </w:p>
  </w:footnote>
  <w:footnote w:id="18">
    <w:p w14:paraId="29EB22A1"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Style w:val="Refdenotaalpie"/>
          <w:rFonts w:ascii="Century Gothic" w:hAnsi="Century Gothic" w:cs="Arial"/>
          <w:sz w:val="16"/>
          <w:szCs w:val="16"/>
        </w:rPr>
        <w:footnoteRef/>
      </w:r>
      <w:r w:rsidRPr="00FE6FD8">
        <w:rPr>
          <w:rFonts w:ascii="Century Gothic" w:hAnsi="Century Gothic" w:cs="Arial"/>
          <w:sz w:val="16"/>
          <w:szCs w:val="16"/>
          <w:lang w:val="pt-BR"/>
        </w:rPr>
        <w:t xml:space="preserve"> Corte Constitucional. Sentencia C-154 de 1997. </w:t>
      </w:r>
      <w:r w:rsidRPr="00FE6FD8">
        <w:rPr>
          <w:rFonts w:ascii="Century Gothic" w:hAnsi="Century Gothic" w:cs="Arial"/>
          <w:sz w:val="16"/>
          <w:szCs w:val="16"/>
          <w:lang w:val="es-ES"/>
        </w:rPr>
        <w:t>M.P.: Hernando Herrera Vergara.</w:t>
      </w:r>
    </w:p>
    <w:p w14:paraId="3C9C5381" w14:textId="77777777" w:rsidR="005B4D3E" w:rsidRPr="00FE6FD8" w:rsidRDefault="005B4D3E" w:rsidP="005B4D3E">
      <w:pPr>
        <w:pStyle w:val="Textonotapie"/>
        <w:ind w:firstLine="709"/>
        <w:jc w:val="both"/>
        <w:rPr>
          <w:rFonts w:ascii="Century Gothic" w:hAnsi="Century Gothic" w:cs="Arial"/>
          <w:sz w:val="16"/>
          <w:szCs w:val="16"/>
          <w:lang w:val="es-ES"/>
        </w:rPr>
      </w:pPr>
    </w:p>
  </w:footnote>
  <w:footnote w:id="19">
    <w:p w14:paraId="543C4D9C"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sz w:val="16"/>
          <w:szCs w:val="16"/>
          <w:lang w:val="es-ES"/>
        </w:rPr>
        <w:t>Ibid.</w:t>
      </w:r>
    </w:p>
    <w:p w14:paraId="287A3A08" w14:textId="77777777" w:rsidR="005B4D3E" w:rsidRPr="00FE6FD8" w:rsidRDefault="005B4D3E" w:rsidP="005B4D3E">
      <w:pPr>
        <w:pStyle w:val="Textonotapie"/>
        <w:ind w:firstLine="709"/>
        <w:jc w:val="both"/>
        <w:rPr>
          <w:rFonts w:ascii="Century Gothic" w:hAnsi="Century Gothic" w:cs="Arial"/>
          <w:sz w:val="16"/>
          <w:szCs w:val="16"/>
          <w:lang w:val="es-ES"/>
        </w:rPr>
      </w:pPr>
    </w:p>
  </w:footnote>
  <w:footnote w:id="20">
    <w:p w14:paraId="74110F02" w14:textId="77777777" w:rsidR="005B4D3E" w:rsidRPr="00FE6FD8" w:rsidRDefault="005B4D3E" w:rsidP="005B4D3E">
      <w:pPr>
        <w:pStyle w:val="Textonotapie"/>
        <w:ind w:firstLine="709"/>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sz w:val="16"/>
          <w:szCs w:val="16"/>
          <w:lang w:val="es-ES"/>
        </w:rPr>
        <w:t xml:space="preserve">Consejo de Estado. Sección Tercera. Subsección C. Sentencia de Unificación del 2 de diciembre de 2013. </w:t>
      </w:r>
      <w:proofErr w:type="spellStart"/>
      <w:r w:rsidRPr="00FE6FD8">
        <w:rPr>
          <w:rFonts w:ascii="Century Gothic" w:hAnsi="Century Gothic" w:cs="Arial"/>
          <w:sz w:val="16"/>
          <w:szCs w:val="16"/>
          <w:lang w:val="es-ES"/>
        </w:rPr>
        <w:t>Exp</w:t>
      </w:r>
      <w:proofErr w:type="spellEnd"/>
      <w:r w:rsidRPr="00FE6FD8">
        <w:rPr>
          <w:rFonts w:ascii="Century Gothic" w:hAnsi="Century Gothic" w:cs="Arial"/>
          <w:sz w:val="16"/>
          <w:szCs w:val="16"/>
          <w:lang w:val="es-ES"/>
        </w:rPr>
        <w:t xml:space="preserve">. 41.719. C.P. Jaime Orlando Santofimio Gamboa. </w:t>
      </w:r>
    </w:p>
    <w:p w14:paraId="4D79B237"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0B6D6CC"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115B42C1"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 xml:space="preserve">Ninguna orden del interventor de una obra podrá darse verbalmente. Es obligatorio para el interventor entregar por escrito sus órdenes o sugerencias y ellas deben </w:t>
      </w:r>
      <w:proofErr w:type="gramStart"/>
      <w:r w:rsidRPr="00FE6FD8">
        <w:rPr>
          <w:rFonts w:ascii="Century Gothic" w:hAnsi="Century Gothic" w:cs="Arial"/>
          <w:sz w:val="16"/>
          <w:szCs w:val="16"/>
          <w:lang w:val="es-ES"/>
        </w:rPr>
        <w:t>enmarcarse dentro de</w:t>
      </w:r>
      <w:proofErr w:type="gramEnd"/>
      <w:r w:rsidRPr="00FE6FD8">
        <w:rPr>
          <w:rFonts w:ascii="Century Gothic" w:hAnsi="Century Gothic" w:cs="Arial"/>
          <w:sz w:val="16"/>
          <w:szCs w:val="16"/>
          <w:lang w:val="es-ES"/>
        </w:rPr>
        <w:t xml:space="preserve"> los términos del respectivo contrato”.</w:t>
      </w:r>
    </w:p>
    <w:p w14:paraId="751C9624" w14:textId="77777777" w:rsidR="005B4D3E" w:rsidRPr="00FE6FD8" w:rsidRDefault="005B4D3E" w:rsidP="005B4D3E">
      <w:pPr>
        <w:pStyle w:val="Textonotapie"/>
        <w:ind w:firstLine="709"/>
        <w:jc w:val="both"/>
        <w:rPr>
          <w:rFonts w:ascii="Century Gothic" w:hAnsi="Century Gothic" w:cs="Arial"/>
          <w:sz w:val="16"/>
          <w:szCs w:val="16"/>
          <w:lang w:val="es-ES"/>
        </w:rPr>
      </w:pPr>
    </w:p>
  </w:footnote>
  <w:footnote w:id="21">
    <w:p w14:paraId="64B8CD79"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20AF9877"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1. La causal que invoca para contratar directamente.</w:t>
      </w:r>
    </w:p>
    <w:p w14:paraId="0B78CA3A"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2. El objeto del contrato.</w:t>
      </w:r>
    </w:p>
    <w:p w14:paraId="33F2C101"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3. El presupuesto para la contratación y las condiciones que exigirá al contratista.</w:t>
      </w:r>
    </w:p>
    <w:p w14:paraId="02E3041B"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4. El lugar en el cual los interesados pueden consultar los estudios y documentos previos.</w:t>
      </w:r>
    </w:p>
    <w:p w14:paraId="5A2130E3"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465D4D55" w14:textId="77777777" w:rsidR="005B4D3E" w:rsidRPr="00FE6FD8" w:rsidRDefault="005B4D3E" w:rsidP="005B4D3E">
      <w:pPr>
        <w:pStyle w:val="Textonotapie"/>
        <w:ind w:firstLine="709"/>
        <w:jc w:val="both"/>
        <w:rPr>
          <w:rFonts w:ascii="Century Gothic" w:hAnsi="Century Gothic" w:cs="Arial"/>
          <w:sz w:val="16"/>
          <w:szCs w:val="16"/>
          <w:lang w:val="es-ES"/>
        </w:rPr>
      </w:pPr>
    </w:p>
  </w:footnote>
  <w:footnote w:id="22">
    <w:p w14:paraId="046C90B2"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sz w:val="16"/>
          <w:szCs w:val="16"/>
          <w:lang w:val="es-ES"/>
        </w:rPr>
        <w:t xml:space="preserve">La norma expresa: “Art. 14. </w:t>
      </w:r>
      <w:r w:rsidRPr="00FE6FD8">
        <w:rPr>
          <w:rFonts w:ascii="Century Gothic" w:hAnsi="Century Gothic" w:cs="Arial"/>
          <w:sz w:val="16"/>
          <w:szCs w:val="16"/>
        </w:rPr>
        <w:t>P</w:t>
      </w:r>
      <w:r w:rsidRPr="00FE6FD8">
        <w:rPr>
          <w:rFonts w:ascii="Century Gothic" w:hAnsi="Century Gothic" w:cs="Arial"/>
          <w:sz w:val="16"/>
          <w:szCs w:val="16"/>
          <w:lang w:val="es-ES"/>
        </w:rPr>
        <w:t>ara el cumplimiento de los fines de la contratación, las entidades estatales al celebrar un contrato:</w:t>
      </w:r>
    </w:p>
    <w:p w14:paraId="53F7B5D5"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w:t>
      </w:r>
    </w:p>
    <w:p w14:paraId="61079CEB"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C1BDCD4"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Las entidades estatales podrán pactar estas cláusulas en los contratos de suministro y de prestación de servicios.</w:t>
      </w:r>
    </w:p>
    <w:p w14:paraId="53F39BB6"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Fonts w:ascii="Century Gothic" w:hAnsi="Century Gothic" w:cs="Arial"/>
          <w:sz w:val="16"/>
          <w:szCs w:val="16"/>
          <w:lang w:val="es-ES"/>
        </w:rPr>
        <w:t>[…]”.</w:t>
      </w:r>
    </w:p>
    <w:p w14:paraId="43A98822" w14:textId="77777777" w:rsidR="005B4D3E" w:rsidRPr="00FE6FD8" w:rsidRDefault="005B4D3E" w:rsidP="005B4D3E">
      <w:pPr>
        <w:pStyle w:val="Textonotapie"/>
        <w:ind w:firstLine="709"/>
        <w:jc w:val="both"/>
        <w:rPr>
          <w:rFonts w:ascii="Century Gothic" w:hAnsi="Century Gothic" w:cs="Arial"/>
          <w:sz w:val="16"/>
          <w:szCs w:val="16"/>
          <w:lang w:val="es-ES"/>
        </w:rPr>
      </w:pPr>
    </w:p>
  </w:footnote>
  <w:footnote w:id="23">
    <w:p w14:paraId="59D85339"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sz w:val="16"/>
          <w:szCs w:val="16"/>
          <w:lang w:val="es-ES"/>
        </w:rPr>
        <w:t>La norma dispone: “La liquidación a que se refiere el presente artículo no será obligatoria en los contratos de prestación de servicios profesionales y de apoyo a la gestión”.</w:t>
      </w:r>
    </w:p>
    <w:p w14:paraId="5AFD8780" w14:textId="77777777" w:rsidR="005B4D3E" w:rsidRPr="00FE6FD8" w:rsidRDefault="005B4D3E" w:rsidP="005B4D3E">
      <w:pPr>
        <w:pStyle w:val="Textonotapie"/>
        <w:ind w:firstLine="709"/>
        <w:jc w:val="both"/>
        <w:rPr>
          <w:rFonts w:ascii="Century Gothic" w:hAnsi="Century Gothic" w:cs="Arial"/>
          <w:sz w:val="16"/>
          <w:szCs w:val="16"/>
          <w:lang w:val="es-ES"/>
        </w:rPr>
      </w:pPr>
    </w:p>
  </w:footnote>
  <w:footnote w:id="24">
    <w:p w14:paraId="4B441284" w14:textId="77777777" w:rsidR="005B4D3E" w:rsidRPr="00FE6FD8" w:rsidRDefault="005B4D3E" w:rsidP="005B4D3E">
      <w:pPr>
        <w:pStyle w:val="Textonotapie"/>
        <w:ind w:firstLine="709"/>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D8723B4" w14:textId="77777777" w:rsidR="005B4D3E" w:rsidRPr="00FE6FD8" w:rsidRDefault="005B4D3E" w:rsidP="005B4D3E">
      <w:pPr>
        <w:pStyle w:val="Textonotapie"/>
        <w:ind w:firstLine="709"/>
        <w:jc w:val="both"/>
        <w:rPr>
          <w:rFonts w:ascii="Century Gothic" w:hAnsi="Century Gothic" w:cs="Arial"/>
          <w:sz w:val="16"/>
          <w:szCs w:val="16"/>
        </w:rPr>
      </w:pPr>
      <w:r w:rsidRPr="00FE6FD8">
        <w:rPr>
          <w:rFonts w:ascii="Century Gothic" w:hAnsi="Century Gothic"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4716A63" w14:textId="77777777" w:rsidR="005B4D3E" w:rsidRPr="00FE6FD8" w:rsidRDefault="005B4D3E" w:rsidP="005B4D3E">
      <w:pPr>
        <w:pStyle w:val="Textonotapie"/>
        <w:ind w:firstLine="709"/>
        <w:jc w:val="both"/>
        <w:rPr>
          <w:rFonts w:ascii="Century Gothic" w:hAnsi="Century Gothic" w:cs="Arial"/>
          <w:sz w:val="16"/>
          <w:szCs w:val="16"/>
        </w:rPr>
      </w:pPr>
      <w:r w:rsidRPr="00FE6FD8">
        <w:rPr>
          <w:rFonts w:ascii="Century Gothic" w:hAnsi="Century Gothic" w:cs="Arial"/>
          <w:sz w:val="16"/>
          <w:szCs w:val="16"/>
        </w:rPr>
        <w:t>[…]”.</w:t>
      </w:r>
    </w:p>
    <w:p w14:paraId="5E0B2211" w14:textId="77777777" w:rsidR="005B4D3E" w:rsidRPr="00FE6FD8" w:rsidRDefault="005B4D3E" w:rsidP="005B4D3E">
      <w:pPr>
        <w:pStyle w:val="Textonotapie"/>
        <w:ind w:firstLine="709"/>
        <w:jc w:val="both"/>
        <w:rPr>
          <w:rFonts w:ascii="Century Gothic" w:hAnsi="Century Gothic" w:cs="Arial"/>
          <w:sz w:val="16"/>
          <w:szCs w:val="16"/>
          <w:lang w:val="es-ES"/>
        </w:rPr>
      </w:pPr>
    </w:p>
  </w:footnote>
  <w:footnote w:id="25">
    <w:p w14:paraId="6C26D8AA" w14:textId="77777777" w:rsidR="005B4D3E" w:rsidRPr="00FE6FD8" w:rsidRDefault="005B4D3E" w:rsidP="005B4D3E">
      <w:pPr>
        <w:pStyle w:val="Textonotapie"/>
        <w:ind w:firstLine="709"/>
        <w:jc w:val="both"/>
        <w:rPr>
          <w:rFonts w:ascii="Century Gothic" w:hAnsi="Century Gothic" w:cs="Arial"/>
          <w:sz w:val="16"/>
          <w:szCs w:val="16"/>
          <w:lang w:val="es-ES"/>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2952E094" w14:textId="77777777" w:rsidR="005B4D3E" w:rsidRPr="00FE6FD8" w:rsidRDefault="005B4D3E" w:rsidP="005B4D3E">
      <w:pPr>
        <w:pStyle w:val="Textonotapie"/>
        <w:ind w:firstLine="709"/>
        <w:jc w:val="both"/>
        <w:rPr>
          <w:rFonts w:ascii="Century Gothic" w:hAnsi="Century Gothic" w:cs="Arial"/>
          <w:sz w:val="16"/>
          <w:szCs w:val="16"/>
          <w:lang w:val="es-ES"/>
        </w:rPr>
      </w:pPr>
    </w:p>
  </w:footnote>
  <w:footnote w:id="26">
    <w:p w14:paraId="6B7E5A1D" w14:textId="77777777" w:rsidR="005B4D3E" w:rsidRPr="00FE6FD8" w:rsidRDefault="005B4D3E" w:rsidP="005B4D3E">
      <w:pPr>
        <w:pStyle w:val="Textonotapie"/>
        <w:ind w:firstLine="708"/>
        <w:jc w:val="both"/>
        <w:rPr>
          <w:rFonts w:ascii="Century Gothic" w:hAnsi="Century Gothic"/>
          <w:sz w:val="16"/>
          <w:szCs w:val="16"/>
        </w:rPr>
      </w:pPr>
      <w:r w:rsidRPr="00FE6FD8">
        <w:rPr>
          <w:rStyle w:val="Refdenotaalpie"/>
          <w:rFonts w:ascii="Century Gothic" w:hAnsi="Century Gothic"/>
          <w:sz w:val="16"/>
          <w:szCs w:val="16"/>
        </w:rPr>
        <w:footnoteRef/>
      </w:r>
      <w:r w:rsidRPr="00FE6FD8">
        <w:rPr>
          <w:rFonts w:ascii="Century Gothic" w:hAnsi="Century Gothic"/>
          <w:sz w:val="16"/>
          <w:szCs w:val="16"/>
        </w:rPr>
        <w:t xml:space="preserve"> Según este artículo: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w:t>
      </w:r>
    </w:p>
    <w:p w14:paraId="69540E42" w14:textId="77777777" w:rsidR="005B4D3E" w:rsidRPr="00FE6FD8" w:rsidRDefault="005B4D3E" w:rsidP="005B4D3E">
      <w:pPr>
        <w:pStyle w:val="Textonotapie"/>
        <w:ind w:firstLine="708"/>
        <w:jc w:val="both"/>
        <w:rPr>
          <w:rFonts w:ascii="Century Gothic" w:hAnsi="Century Gothic"/>
          <w:sz w:val="16"/>
          <w:szCs w:val="16"/>
        </w:rPr>
      </w:pPr>
      <w:r w:rsidRPr="00FE6FD8">
        <w:rPr>
          <w:rFonts w:ascii="Century Gothic" w:hAnsi="Century Gothic"/>
          <w:sz w:val="16"/>
          <w:szCs w:val="16"/>
        </w:rPr>
        <w:t xml:space="preserve">Son también contratos de consultoría los que tienen por objeto la interventoría, asesoría, gerencia de obra o de proyectos, dirección, programación y la ejecución de diseños, planos, anteproyectos y proyectos. </w:t>
      </w:r>
    </w:p>
    <w:p w14:paraId="58B3E067" w14:textId="77777777" w:rsidR="005B4D3E" w:rsidRPr="00FE6FD8" w:rsidRDefault="005B4D3E" w:rsidP="005B4D3E">
      <w:pPr>
        <w:pStyle w:val="Textonotapie"/>
        <w:ind w:firstLine="708"/>
        <w:jc w:val="both"/>
        <w:rPr>
          <w:rFonts w:ascii="Century Gothic" w:hAnsi="Century Gothic"/>
          <w:sz w:val="16"/>
          <w:szCs w:val="16"/>
        </w:rPr>
      </w:pPr>
      <w:r w:rsidRPr="00FE6FD8">
        <w:rPr>
          <w:rFonts w:ascii="Century Gothic" w:hAnsi="Century Gothic"/>
          <w:sz w:val="16"/>
          <w:szCs w:val="16"/>
        </w:rPr>
        <w:t xml:space="preserve">Ninguna orden del interventor de una obra podrá darse verbalmente. Es obligatorio para el interventor entregar por escrito sus órdenes o sugerencias y ellas deben </w:t>
      </w:r>
      <w:proofErr w:type="gramStart"/>
      <w:r w:rsidRPr="00FE6FD8">
        <w:rPr>
          <w:rFonts w:ascii="Century Gothic" w:hAnsi="Century Gothic"/>
          <w:sz w:val="16"/>
          <w:szCs w:val="16"/>
        </w:rPr>
        <w:t>enmarcarse dentro de</w:t>
      </w:r>
      <w:proofErr w:type="gramEnd"/>
      <w:r w:rsidRPr="00FE6FD8">
        <w:rPr>
          <w:rFonts w:ascii="Century Gothic" w:hAnsi="Century Gothic"/>
          <w:sz w:val="16"/>
          <w:szCs w:val="16"/>
        </w:rPr>
        <w:t xml:space="preserve"> los términos del respectivo contrato”.</w:t>
      </w:r>
    </w:p>
    <w:p w14:paraId="07B4B4E0" w14:textId="77777777" w:rsidR="005B4D3E" w:rsidRPr="00FE6FD8" w:rsidRDefault="005B4D3E" w:rsidP="005B4D3E">
      <w:pPr>
        <w:pStyle w:val="Textonotapie"/>
        <w:ind w:firstLine="708"/>
        <w:jc w:val="both"/>
        <w:rPr>
          <w:rFonts w:ascii="Century Gothic" w:hAnsi="Century Gothic"/>
          <w:sz w:val="16"/>
          <w:szCs w:val="16"/>
          <w:lang w:val="es-CO"/>
        </w:rPr>
      </w:pPr>
    </w:p>
  </w:footnote>
  <w:footnote w:id="27">
    <w:p w14:paraId="3A8BA69B" w14:textId="77777777" w:rsidR="005B4D3E" w:rsidRPr="00FE6FD8" w:rsidRDefault="005B4D3E" w:rsidP="005B4D3E">
      <w:pPr>
        <w:pStyle w:val="Textonotapie"/>
        <w:ind w:firstLine="708"/>
        <w:jc w:val="both"/>
        <w:rPr>
          <w:rFonts w:ascii="Century Gothic" w:hAnsi="Century Gothic"/>
          <w:sz w:val="16"/>
          <w:szCs w:val="16"/>
          <w:lang w:val="es-CO"/>
        </w:rPr>
      </w:pPr>
      <w:r w:rsidRPr="00FE6FD8">
        <w:rPr>
          <w:rStyle w:val="Refdenotaalpie"/>
          <w:rFonts w:ascii="Century Gothic" w:hAnsi="Century Gothic"/>
          <w:sz w:val="16"/>
          <w:szCs w:val="16"/>
        </w:rPr>
        <w:footnoteRef/>
      </w:r>
      <w:r w:rsidRPr="00FE6FD8">
        <w:rPr>
          <w:rFonts w:ascii="Century Gothic" w:hAnsi="Century Gothic"/>
          <w:sz w:val="16"/>
          <w:szCs w:val="16"/>
        </w:rPr>
        <w:t xml:space="preserve"> Al respecto, la Sección Tercera del Consejo de Estado en Sentencia de Unificación con radicado 41.179 señaló frente al contrato de consultoría lo siguiente: “Su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interventoría, asesoría, gerencia de obra o de proyectos, dirección, programas y la ejecución de diseños, planos, anteproyectos y proyectos. […] Además de estos objetos contractuales, se incluyen allí aquellos que las demás disposiciones legales especiales (y reglamentarias) establezcan”. CONSEJO DE ESTADO. Sección Tercera. Subsección C. Sentencia de Unificación del 2 de diciembre de 2013. Radicado. 11001-03-26-000- 2011-00039-00(41719). Magistrado Ponente: Jaime Orlando Santofimio Gamboa.</w:t>
      </w:r>
    </w:p>
  </w:footnote>
  <w:footnote w:id="28">
    <w:p w14:paraId="1A8348C0" w14:textId="77777777" w:rsidR="005B4D3E" w:rsidRPr="00FE6FD8" w:rsidRDefault="005B4D3E" w:rsidP="005B4D3E">
      <w:pPr>
        <w:pStyle w:val="Textonotapie"/>
        <w:jc w:val="both"/>
        <w:rPr>
          <w:rFonts w:ascii="Century Gothic" w:hAnsi="Century Gothic"/>
          <w:sz w:val="16"/>
          <w:szCs w:val="16"/>
        </w:rPr>
      </w:pPr>
    </w:p>
    <w:p w14:paraId="398AA952" w14:textId="77777777" w:rsidR="005B4D3E" w:rsidRPr="00FE6FD8" w:rsidRDefault="005B4D3E" w:rsidP="005B4D3E">
      <w:pPr>
        <w:pStyle w:val="Textonotapie"/>
        <w:ind w:firstLine="708"/>
        <w:jc w:val="both"/>
        <w:rPr>
          <w:rFonts w:ascii="Century Gothic" w:hAnsi="Century Gothic"/>
          <w:sz w:val="16"/>
          <w:szCs w:val="16"/>
        </w:rPr>
      </w:pPr>
      <w:r w:rsidRPr="00FE6FD8">
        <w:rPr>
          <w:rStyle w:val="Refdenotaalpie"/>
          <w:rFonts w:ascii="Century Gothic" w:hAnsi="Century Gothic"/>
          <w:sz w:val="16"/>
          <w:szCs w:val="16"/>
        </w:rPr>
        <w:footnoteRef/>
      </w:r>
      <w:r w:rsidRPr="00FE6FD8">
        <w:rPr>
          <w:rFonts w:ascii="Century Gothic" w:hAnsi="Century Gothic"/>
          <w:sz w:val="16"/>
          <w:szCs w:val="16"/>
        </w:rPr>
        <w:t xml:space="preserve"> DÁVILA VINUEZA, Guillermo. Régimen jurídico de la contratación estatal. Bogotá: Legis, 2016. p. 849.</w:t>
      </w:r>
    </w:p>
    <w:p w14:paraId="178E71C7" w14:textId="77777777" w:rsidR="005B4D3E" w:rsidRPr="00FE6FD8" w:rsidRDefault="005B4D3E" w:rsidP="005B4D3E">
      <w:pPr>
        <w:pStyle w:val="Textonotapie"/>
        <w:jc w:val="both"/>
        <w:rPr>
          <w:rFonts w:ascii="Century Gothic" w:hAnsi="Century Gothic"/>
          <w:sz w:val="16"/>
          <w:szCs w:val="16"/>
          <w:lang w:val="es-CO"/>
        </w:rPr>
      </w:pPr>
    </w:p>
  </w:footnote>
  <w:footnote w:id="29">
    <w:p w14:paraId="4EAFA19B" w14:textId="77777777" w:rsidR="005B4D3E" w:rsidRPr="00FE6FD8" w:rsidRDefault="005B4D3E" w:rsidP="005B4D3E">
      <w:pPr>
        <w:pStyle w:val="Textonotapie"/>
        <w:ind w:firstLine="708"/>
        <w:jc w:val="both"/>
        <w:rPr>
          <w:rFonts w:ascii="Century Gothic" w:hAnsi="Century Gothic"/>
          <w:sz w:val="16"/>
          <w:szCs w:val="16"/>
        </w:rPr>
      </w:pPr>
      <w:r w:rsidRPr="00FE6FD8">
        <w:rPr>
          <w:rStyle w:val="Refdenotaalpie"/>
          <w:rFonts w:ascii="Century Gothic" w:hAnsi="Century Gothic"/>
          <w:sz w:val="16"/>
          <w:szCs w:val="16"/>
        </w:rPr>
        <w:footnoteRef/>
      </w:r>
      <w:r w:rsidRPr="00FE6FD8">
        <w:rPr>
          <w:rFonts w:ascii="Century Gothic" w:hAnsi="Century Gothic"/>
          <w:sz w:val="16"/>
          <w:szCs w:val="16"/>
        </w:rPr>
        <w:t xml:space="preserve"> CONSEJO DE ESTADO. Sección Tercera. Subsección C. Sentencia del 25 de abril del 2012. Radicado. 52001-23-31-000-2000-00173-01(22167). Magistrado Ponente: Jaime Orlando Santofimio Gamboa.</w:t>
      </w:r>
    </w:p>
    <w:p w14:paraId="42D787A2" w14:textId="77777777" w:rsidR="005B4D3E" w:rsidRPr="00FE6FD8" w:rsidRDefault="005B4D3E" w:rsidP="005B4D3E">
      <w:pPr>
        <w:pStyle w:val="Textonotapie"/>
        <w:ind w:firstLine="708"/>
        <w:jc w:val="both"/>
        <w:rPr>
          <w:rFonts w:ascii="Century Gothic" w:hAnsi="Century Gothic"/>
          <w:sz w:val="16"/>
          <w:szCs w:val="16"/>
          <w:lang w:val="es-CO"/>
        </w:rPr>
      </w:pPr>
    </w:p>
  </w:footnote>
  <w:footnote w:id="30">
    <w:p w14:paraId="617B20E6" w14:textId="77777777" w:rsidR="005B4D3E" w:rsidRPr="00FE6FD8" w:rsidRDefault="005B4D3E" w:rsidP="005B4D3E">
      <w:pPr>
        <w:pStyle w:val="Textonotapie"/>
        <w:ind w:firstLine="708"/>
        <w:jc w:val="both"/>
        <w:rPr>
          <w:rFonts w:ascii="Century Gothic" w:hAnsi="Century Gothic"/>
          <w:sz w:val="16"/>
          <w:szCs w:val="16"/>
        </w:rPr>
      </w:pPr>
      <w:r w:rsidRPr="00FE6FD8">
        <w:rPr>
          <w:rStyle w:val="Refdenotaalpie"/>
          <w:rFonts w:ascii="Century Gothic" w:hAnsi="Century Gothic"/>
          <w:sz w:val="16"/>
          <w:szCs w:val="16"/>
        </w:rPr>
        <w:footnoteRef/>
      </w:r>
      <w:r w:rsidRPr="00FE6FD8">
        <w:rPr>
          <w:rFonts w:ascii="Century Gothic" w:hAnsi="Century Gothic"/>
          <w:sz w:val="16"/>
          <w:szCs w:val="16"/>
        </w:rPr>
        <w:t xml:space="preserve"> Al respecto: Al respecto, el Consejo de Estado ha señalado la diferencia entre estos dos contratos, de la siguiente manera: “[…]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 CONSEJO DE ESTADO. Sección Tercera. Subsección C. Sentencia del 2 de diciembre de 2013. Radicado. 11001-03-26-000-2011-00039-00(41719). Magistrado Ponente: Jaime Orlando Santofimio Gamboa</w:t>
      </w:r>
    </w:p>
    <w:p w14:paraId="4BAA0998" w14:textId="77777777" w:rsidR="005B4D3E" w:rsidRPr="00FE6FD8" w:rsidRDefault="005B4D3E" w:rsidP="005B4D3E">
      <w:pPr>
        <w:pStyle w:val="Textonotapie"/>
        <w:ind w:firstLine="708"/>
        <w:jc w:val="both"/>
        <w:rPr>
          <w:rFonts w:ascii="Century Gothic" w:hAnsi="Century Gothic"/>
          <w:sz w:val="16"/>
          <w:szCs w:val="16"/>
          <w:lang w:val="es-CO"/>
        </w:rPr>
      </w:pPr>
    </w:p>
  </w:footnote>
  <w:footnote w:id="31">
    <w:p w14:paraId="553EF797" w14:textId="77777777" w:rsidR="005B4D3E" w:rsidRPr="00FE6FD8" w:rsidRDefault="005B4D3E" w:rsidP="005B4D3E">
      <w:pPr>
        <w:pStyle w:val="Textonotapie"/>
        <w:ind w:firstLine="708"/>
        <w:jc w:val="both"/>
        <w:rPr>
          <w:rFonts w:ascii="Century Gothic" w:hAnsi="Century Gothic"/>
          <w:sz w:val="16"/>
          <w:szCs w:val="16"/>
        </w:rPr>
      </w:pPr>
      <w:r w:rsidRPr="00FE6FD8">
        <w:rPr>
          <w:rStyle w:val="Refdenotaalpie"/>
          <w:rFonts w:ascii="Century Gothic" w:hAnsi="Century Gothic"/>
          <w:sz w:val="16"/>
          <w:szCs w:val="16"/>
        </w:rPr>
        <w:footnoteRef/>
      </w:r>
      <w:r w:rsidRPr="00FE6FD8">
        <w:rPr>
          <w:rFonts w:ascii="Century Gothic" w:hAnsi="Century Gothic"/>
          <w:sz w:val="16"/>
          <w:szCs w:val="16"/>
        </w:rPr>
        <w:t xml:space="preserve"> En efecto, este numeral, modificado por el artículo 219 del Decreto 19 de 2012, dispone que el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6BAD40DB" w14:textId="77777777" w:rsidR="005B4D3E" w:rsidRPr="00FE6FD8" w:rsidRDefault="005B4D3E" w:rsidP="005B4D3E">
      <w:pPr>
        <w:pStyle w:val="Textonotapie"/>
        <w:ind w:firstLine="708"/>
        <w:jc w:val="both"/>
        <w:rPr>
          <w:rFonts w:ascii="Century Gothic" w:hAnsi="Century Gothic"/>
          <w:sz w:val="16"/>
          <w:szCs w:val="16"/>
        </w:rPr>
      </w:pPr>
    </w:p>
    <w:p w14:paraId="709E0C10" w14:textId="77777777" w:rsidR="005B4D3E" w:rsidRPr="00FE6FD8" w:rsidRDefault="005B4D3E" w:rsidP="005B4D3E">
      <w:pPr>
        <w:pStyle w:val="Textonotapie"/>
        <w:ind w:firstLine="708"/>
        <w:jc w:val="both"/>
        <w:rPr>
          <w:rFonts w:ascii="Century Gothic" w:hAnsi="Century Gothic"/>
          <w:sz w:val="16"/>
          <w:szCs w:val="16"/>
        </w:rPr>
      </w:pPr>
      <w:r w:rsidRPr="00FE6FD8">
        <w:rPr>
          <w:rFonts w:ascii="Century Gothic" w:hAnsi="Century Gothic"/>
          <w:sz w:val="16"/>
          <w:szCs w:val="16"/>
        </w:rPr>
        <w:t>De conformidad con las condiciones que señale el reglamento, en desarrollo de estos procesos de selección, las propuestas técnicas o de proyectos podrán ser presentadas en forma anónima ante un jurado plural, impar deliberante y calificado”.</w:t>
      </w:r>
    </w:p>
    <w:p w14:paraId="7A41C16A" w14:textId="77777777" w:rsidR="005B4D3E" w:rsidRPr="00FE6FD8" w:rsidRDefault="005B4D3E" w:rsidP="005B4D3E">
      <w:pPr>
        <w:pStyle w:val="Textonotapie"/>
        <w:ind w:firstLine="708"/>
        <w:jc w:val="both"/>
        <w:rPr>
          <w:rFonts w:ascii="Century Gothic" w:hAnsi="Century Gothic"/>
          <w:sz w:val="16"/>
          <w:szCs w:val="16"/>
          <w:lang w:val="es-CO"/>
        </w:rPr>
      </w:pPr>
    </w:p>
  </w:footnote>
  <w:footnote w:id="32">
    <w:p w14:paraId="47A5E63C" w14:textId="77777777" w:rsidR="005B4D3E" w:rsidRPr="00FE6FD8" w:rsidRDefault="005B4D3E" w:rsidP="005B4D3E">
      <w:pPr>
        <w:pStyle w:val="Textonotapie"/>
        <w:ind w:firstLine="708"/>
        <w:jc w:val="both"/>
        <w:rPr>
          <w:rFonts w:ascii="Century Gothic" w:hAnsi="Century Gothic"/>
          <w:sz w:val="16"/>
          <w:szCs w:val="16"/>
          <w:lang w:val="es-CO"/>
        </w:rPr>
      </w:pPr>
      <w:r w:rsidRPr="00FE6FD8">
        <w:rPr>
          <w:rStyle w:val="Refdenotaalpie"/>
          <w:rFonts w:ascii="Century Gothic" w:hAnsi="Century Gothic"/>
          <w:sz w:val="16"/>
          <w:szCs w:val="16"/>
        </w:rPr>
        <w:footnoteRef/>
      </w:r>
      <w:r w:rsidRPr="00FE6FD8">
        <w:rPr>
          <w:rFonts w:ascii="Century Gothic" w:hAnsi="Century Gothic"/>
          <w:sz w:val="16"/>
          <w:szCs w:val="16"/>
        </w:rPr>
        <w:t xml:space="preserve"> </w:t>
      </w:r>
      <w:r w:rsidRPr="00FE6FD8">
        <w:rPr>
          <w:rFonts w:ascii="Century Gothic" w:hAnsi="Century Gothic"/>
          <w:sz w:val="16"/>
          <w:szCs w:val="16"/>
          <w:lang w:val="es-CO"/>
        </w:rPr>
        <w:t>La Sección Tercera del Consejo de Estado, en autos del 25 de julio de 2018 y del 20 de febrero de 2019,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 Posteriormente, el artículo 2 del Decreto 399 de 2021 reformó la reglamentación del concurso de méritos, para adecuarla a los pronunciamientos del Consejo de Estado que habían suspendido provisionalmente algunos numerales del artículo 2.2.1.2.1.3.2. del Decreto 1082 de 2015.</w:t>
      </w:r>
    </w:p>
  </w:footnote>
  <w:footnote w:id="33">
    <w:p w14:paraId="427E66D6" w14:textId="77777777" w:rsidR="005B4D3E" w:rsidRPr="00FE6FD8" w:rsidRDefault="005B4D3E" w:rsidP="005B4D3E">
      <w:pPr>
        <w:pStyle w:val="Textonotapie"/>
        <w:ind w:firstLine="708"/>
        <w:jc w:val="both"/>
        <w:rPr>
          <w:rFonts w:ascii="Century Gothic" w:hAnsi="Century Gothic" w:cs="Arial"/>
          <w:sz w:val="16"/>
          <w:szCs w:val="16"/>
        </w:rPr>
      </w:pPr>
    </w:p>
    <w:p w14:paraId="063BEDD2"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AGENCIA NACIONAL DE CONTRATACIÓN PÚBLICA – COLOMBIA COMPRA EFIENTE-. Manual de la Modalidad de selección de mínima cuantía –M-MSMC-03–. p. 10. Así mismo, la Agencia en la versión 02 del Manual de la modalidad de selección de mínima cuantía expresó: “Las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 El principio de economía contenido en la Ley 80 de 1993 busca </w:t>
      </w:r>
      <w:proofErr w:type="gramStart"/>
      <w:r w:rsidRPr="00FE6FD8">
        <w:rPr>
          <w:rFonts w:ascii="Century Gothic" w:hAnsi="Century Gothic" w:cs="Arial"/>
          <w:sz w:val="16"/>
          <w:szCs w:val="16"/>
        </w:rPr>
        <w:t>que</w:t>
      </w:r>
      <w:proofErr w:type="gramEnd"/>
      <w:r w:rsidRPr="00FE6FD8">
        <w:rPr>
          <w:rFonts w:ascii="Century Gothic" w:hAnsi="Century Gothic" w:cs="Arial"/>
          <w:sz w:val="16"/>
          <w:szCs w:val="16"/>
        </w:rPr>
        <w:t xml:space="preserve"> en la selección del contratista, la Entidad Estatal cumpla y establezca los procedimientos y etapas estrictamente necesarios para asegurar la selección objetiva de la propuesta más favorable, con austeridad de tiempo, medios y gastos. En consecuencia, dado que la selección de mínima cuantía es especial para cualquier objeto y que la selección de mínima cuantía permite obtener una mayor economía en el trámite del Proceso de Contratación, en caso de concurrencia del concurso de méritos y de mínima cuantía, Colombia Compra Eficiente considera que la modalidad de selección aplicable es la de mínima cuantía” (AGENCIA NACIONAL DE CONTRATACIÓN PÚBLICA – COLOMBIA COMPRA EFIENTE-. Manual de la Modalidad de selección de mínima cuantía –M-MSMC-02–. p. 10)</w:t>
      </w:r>
    </w:p>
    <w:p w14:paraId="441F4F1B" w14:textId="77777777" w:rsidR="005B4D3E" w:rsidRPr="00FE6FD8" w:rsidRDefault="005B4D3E" w:rsidP="005B4D3E">
      <w:pPr>
        <w:pStyle w:val="Textonotapie"/>
        <w:jc w:val="both"/>
        <w:rPr>
          <w:rFonts w:ascii="Century Gothic" w:hAnsi="Century Gothic" w:cs="Arial"/>
          <w:sz w:val="16"/>
          <w:szCs w:val="16"/>
          <w:lang w:val="es-CO"/>
        </w:rPr>
      </w:pPr>
    </w:p>
  </w:footnote>
  <w:footnote w:id="34">
    <w:p w14:paraId="002A9308"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“ARTÍCULO 42. DE LA URGENCIA MANIFIESTA. Existe urgencia manifiesta cuando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que demanden actuaciones inmediatas y, en general, cuando se trate de situaciones similares que imposibiliten acudir a los procedimientos de selección o concurso públicos. </w:t>
      </w:r>
    </w:p>
    <w:p w14:paraId="7C5753AC" w14:textId="77777777" w:rsidR="005B4D3E" w:rsidRPr="00FE6FD8" w:rsidRDefault="005B4D3E" w:rsidP="005B4D3E">
      <w:pPr>
        <w:pStyle w:val="Textonotapie"/>
        <w:spacing w:before="120"/>
        <w:ind w:firstLine="708"/>
        <w:jc w:val="both"/>
        <w:rPr>
          <w:rFonts w:ascii="Century Gothic" w:hAnsi="Century Gothic" w:cs="Arial"/>
          <w:sz w:val="16"/>
          <w:szCs w:val="16"/>
        </w:rPr>
      </w:pPr>
      <w:r w:rsidRPr="00FE6FD8">
        <w:rPr>
          <w:rFonts w:ascii="Century Gothic" w:hAnsi="Century Gothic" w:cs="Arial"/>
          <w:sz w:val="16"/>
          <w:szCs w:val="16"/>
        </w:rPr>
        <w:t>La urgencia manifiesta se declarará mediante acto administrativo motivado […]”.</w:t>
      </w:r>
    </w:p>
    <w:p w14:paraId="3D31EF69" w14:textId="77777777" w:rsidR="005B4D3E" w:rsidRPr="00FE6FD8" w:rsidRDefault="005B4D3E" w:rsidP="005B4D3E">
      <w:pPr>
        <w:pStyle w:val="Textonotapie"/>
        <w:jc w:val="both"/>
        <w:rPr>
          <w:rFonts w:ascii="Century Gothic" w:hAnsi="Century Gothic" w:cs="Arial"/>
          <w:sz w:val="16"/>
          <w:szCs w:val="16"/>
          <w:lang w:val="es-CO"/>
        </w:rPr>
      </w:pPr>
    </w:p>
  </w:footnote>
  <w:footnote w:id="35">
    <w:p w14:paraId="3FBA7605"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DROMI, José Roberto. La licitación pública. Buenos Aires: Ciudad Argentina, 1980. p. 166-168</w:t>
      </w:r>
    </w:p>
    <w:p w14:paraId="6F4E86B7" w14:textId="77777777" w:rsidR="005B4D3E" w:rsidRPr="00FE6FD8" w:rsidRDefault="005B4D3E" w:rsidP="005B4D3E">
      <w:pPr>
        <w:pStyle w:val="Textonotapie"/>
        <w:jc w:val="both"/>
        <w:rPr>
          <w:rFonts w:ascii="Century Gothic" w:hAnsi="Century Gothic" w:cs="Arial"/>
          <w:sz w:val="16"/>
          <w:szCs w:val="16"/>
          <w:lang w:val="es-CO"/>
        </w:rPr>
      </w:pPr>
    </w:p>
  </w:footnote>
  <w:footnote w:id="36">
    <w:p w14:paraId="3292FFB6" w14:textId="77777777" w:rsidR="005B4D3E" w:rsidRPr="00FE6FD8" w:rsidRDefault="005B4D3E" w:rsidP="005B4D3E">
      <w:pPr>
        <w:pStyle w:val="Textonotapie"/>
        <w:ind w:firstLine="708"/>
        <w:jc w:val="both"/>
        <w:rPr>
          <w:rFonts w:ascii="Century Gothic" w:hAnsi="Century Gothic" w:cs="Arial"/>
          <w:sz w:val="16"/>
          <w:szCs w:val="16"/>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CONSEJO DE ESTADO. Sala de Consulta y de Servicio Civil. Concepto del 28 de enero de 1998. Rad. 1.073. C.P. Javier Henao </w:t>
      </w:r>
      <w:proofErr w:type="spellStart"/>
      <w:r w:rsidRPr="00FE6FD8">
        <w:rPr>
          <w:rFonts w:ascii="Century Gothic" w:hAnsi="Century Gothic" w:cs="Arial"/>
          <w:sz w:val="16"/>
          <w:szCs w:val="16"/>
        </w:rPr>
        <w:t>Hidrón</w:t>
      </w:r>
      <w:proofErr w:type="spellEnd"/>
      <w:r w:rsidRPr="00FE6FD8">
        <w:rPr>
          <w:rFonts w:ascii="Century Gothic" w:hAnsi="Century Gothic" w:cs="Arial"/>
          <w:sz w:val="16"/>
          <w:szCs w:val="16"/>
        </w:rPr>
        <w:t>.</w:t>
      </w:r>
    </w:p>
    <w:p w14:paraId="4C68ABE1" w14:textId="77777777" w:rsidR="005B4D3E" w:rsidRPr="00FE6FD8" w:rsidRDefault="005B4D3E" w:rsidP="005B4D3E">
      <w:pPr>
        <w:pStyle w:val="Textonotapie"/>
        <w:jc w:val="both"/>
        <w:rPr>
          <w:rFonts w:ascii="Century Gothic" w:hAnsi="Century Gothic" w:cs="Arial"/>
          <w:sz w:val="16"/>
          <w:szCs w:val="16"/>
          <w:lang w:val="es-CO"/>
        </w:rPr>
      </w:pPr>
    </w:p>
  </w:footnote>
  <w:footnote w:id="37">
    <w:p w14:paraId="6696AA82" w14:textId="77777777" w:rsidR="005B4D3E" w:rsidRPr="00FE6FD8" w:rsidRDefault="005B4D3E" w:rsidP="005B4D3E">
      <w:pPr>
        <w:pStyle w:val="Textonotapie"/>
        <w:ind w:firstLine="708"/>
        <w:jc w:val="both"/>
        <w:rPr>
          <w:rFonts w:ascii="Century Gothic" w:hAnsi="Century Gothic" w:cs="Arial"/>
          <w:sz w:val="16"/>
          <w:szCs w:val="16"/>
          <w:lang w:val="es-CO"/>
        </w:rPr>
      </w:pPr>
      <w:r w:rsidRPr="00FE6FD8">
        <w:rPr>
          <w:rStyle w:val="Refdenotaalpie"/>
          <w:rFonts w:ascii="Century Gothic" w:hAnsi="Century Gothic" w:cs="Arial"/>
          <w:sz w:val="16"/>
          <w:szCs w:val="16"/>
        </w:rPr>
        <w:footnoteRef/>
      </w:r>
      <w:r w:rsidRPr="00FE6FD8">
        <w:rPr>
          <w:rFonts w:ascii="Century Gothic" w:hAnsi="Century Gothic" w:cs="Arial"/>
          <w:sz w:val="16"/>
          <w:szCs w:val="16"/>
        </w:rPr>
        <w:t xml:space="preserve"> “El literal c, del numeral 4, del artículo 2 de la Ley 1150 de 2007, prescribe: c) Contratos interadministrativos, siempre que las obligaciones derivadas del mismo tengan relación directa con el objeto de la entidad ejecutora señalado en la ley o en sus reglamentos”.</w:t>
      </w:r>
    </w:p>
  </w:footnote>
  <w:footnote w:id="38">
    <w:p w14:paraId="3D1819EA" w14:textId="77777777" w:rsidR="005B4D3E" w:rsidRPr="00FE6FD8" w:rsidRDefault="005B4D3E" w:rsidP="005B4D3E">
      <w:pPr>
        <w:pStyle w:val="Textonotapie"/>
        <w:ind w:firstLine="708"/>
        <w:jc w:val="both"/>
        <w:rPr>
          <w:rFonts w:ascii="Century Gothic" w:eastAsia="Times New Roman" w:hAnsi="Century Gothic" w:cs="Arial"/>
          <w:color w:val="000000"/>
          <w:sz w:val="16"/>
          <w:szCs w:val="16"/>
          <w:lang w:eastAsia="es-CO"/>
        </w:rPr>
      </w:pPr>
      <w:r w:rsidRPr="00FE6FD8">
        <w:rPr>
          <w:rStyle w:val="Refdenotaalpie"/>
          <w:rFonts w:ascii="Century Gothic" w:hAnsi="Century Gothic" w:cs="Arial"/>
          <w:color w:val="000000"/>
          <w:sz w:val="16"/>
          <w:szCs w:val="16"/>
        </w:rPr>
        <w:footnoteRef/>
      </w:r>
      <w:r w:rsidRPr="00FE6FD8">
        <w:rPr>
          <w:rFonts w:ascii="Century Gothic" w:hAnsi="Century Gothic" w:cs="Arial"/>
          <w:color w:val="000000"/>
          <w:sz w:val="16"/>
          <w:szCs w:val="16"/>
        </w:rPr>
        <w:t xml:space="preserve"> </w:t>
      </w:r>
      <w:r w:rsidRPr="00FE6FD8">
        <w:rPr>
          <w:rFonts w:ascii="Century Gothic" w:eastAsia="Times New Roman" w:hAnsi="Century Gothic" w:cs="Arial"/>
          <w:color w:val="000000"/>
          <w:sz w:val="16"/>
          <w:szCs w:val="16"/>
          <w:lang w:eastAsia="es-CO"/>
        </w:rPr>
        <w:t xml:space="preserve">Consejo de Estado. Sala de Consulta y Servicio Civil. Concepto del 20 de mayo de 2010. </w:t>
      </w:r>
      <w:proofErr w:type="spellStart"/>
      <w:r w:rsidRPr="00FE6FD8">
        <w:rPr>
          <w:rFonts w:ascii="Century Gothic" w:eastAsia="Times New Roman" w:hAnsi="Century Gothic" w:cs="Arial"/>
          <w:color w:val="000000"/>
          <w:sz w:val="16"/>
          <w:szCs w:val="16"/>
          <w:lang w:eastAsia="es-CO"/>
        </w:rPr>
        <w:t>Exp</w:t>
      </w:r>
      <w:proofErr w:type="spellEnd"/>
      <w:r w:rsidRPr="00FE6FD8">
        <w:rPr>
          <w:rFonts w:ascii="Century Gothic" w:eastAsia="Times New Roman" w:hAnsi="Century Gothic" w:cs="Arial"/>
          <w:color w:val="000000"/>
          <w:sz w:val="16"/>
          <w:szCs w:val="16"/>
          <w:lang w:eastAsia="es-CO"/>
        </w:rPr>
        <w:t>. 1.992. C.P. Enrique José Arboleda Perdomo.</w:t>
      </w:r>
    </w:p>
    <w:p w14:paraId="60A6F3EE" w14:textId="77777777" w:rsidR="005B4D3E" w:rsidRPr="00FE6FD8" w:rsidRDefault="005B4D3E" w:rsidP="005B4D3E">
      <w:pPr>
        <w:pStyle w:val="Textonotapie"/>
        <w:ind w:firstLine="708"/>
        <w:jc w:val="both"/>
        <w:rPr>
          <w:rFonts w:ascii="Century Gothic" w:eastAsia="Times New Roman" w:hAnsi="Century Gothic" w:cs="Arial"/>
          <w:color w:val="000000"/>
          <w:sz w:val="16"/>
          <w:szCs w:val="16"/>
          <w:lang w:eastAsia="es-CO"/>
        </w:rPr>
      </w:pPr>
    </w:p>
  </w:footnote>
  <w:footnote w:id="39">
    <w:p w14:paraId="7FE8EE10" w14:textId="77777777" w:rsidR="005B4D3E" w:rsidRPr="00FE6FD8" w:rsidRDefault="005B4D3E" w:rsidP="005B4D3E">
      <w:pPr>
        <w:pStyle w:val="Textonotapie"/>
        <w:ind w:firstLine="708"/>
        <w:jc w:val="both"/>
        <w:rPr>
          <w:rFonts w:ascii="Century Gothic" w:eastAsia="Times New Roman" w:hAnsi="Century Gothic" w:cs="Arial"/>
          <w:color w:val="000000"/>
          <w:sz w:val="16"/>
          <w:szCs w:val="16"/>
          <w:lang w:eastAsia="es-CO"/>
        </w:rPr>
      </w:pPr>
      <w:r w:rsidRPr="00FE6FD8">
        <w:rPr>
          <w:rStyle w:val="Refdenotaalpie"/>
          <w:rFonts w:ascii="Century Gothic" w:hAnsi="Century Gothic" w:cs="Arial"/>
          <w:color w:val="000000"/>
          <w:sz w:val="16"/>
          <w:szCs w:val="16"/>
        </w:rPr>
        <w:footnoteRef/>
      </w:r>
      <w:r w:rsidRPr="00FE6FD8">
        <w:rPr>
          <w:rFonts w:ascii="Century Gothic" w:hAnsi="Century Gothic" w:cs="Arial"/>
          <w:color w:val="000000"/>
          <w:sz w:val="16"/>
          <w:szCs w:val="16"/>
        </w:rPr>
        <w:t xml:space="preserve"> </w:t>
      </w:r>
      <w:r w:rsidRPr="00FE6FD8">
        <w:rPr>
          <w:rFonts w:ascii="Century Gothic" w:eastAsia="Times New Roman" w:hAnsi="Century Gothic" w:cs="Arial"/>
          <w:color w:val="000000"/>
          <w:sz w:val="16"/>
          <w:szCs w:val="16"/>
          <w:lang w:eastAsia="es-CO"/>
        </w:rPr>
        <w:t>Ver conceptos: C-008 del 4 de mayo de 2020, C-267 del 4 de mayo de 2020, C-283 del 4 de mayo de 2020, C-365 del 30 de junio de 2020 y C-730 del 14 de diciembre del 2020 y C-779 de 18 de enero de 2021.</w:t>
      </w:r>
    </w:p>
  </w:footnote>
  <w:footnote w:id="40">
    <w:p w14:paraId="2601DEA4" w14:textId="77777777" w:rsidR="005B4D3E" w:rsidRPr="00FE6FD8" w:rsidRDefault="005B4D3E" w:rsidP="005B4D3E">
      <w:pPr>
        <w:pBdr>
          <w:top w:val="nil"/>
          <w:left w:val="nil"/>
          <w:bottom w:val="nil"/>
          <w:right w:val="nil"/>
          <w:between w:val="nil"/>
        </w:pBdr>
        <w:spacing w:after="0"/>
        <w:ind w:firstLine="709"/>
        <w:jc w:val="both"/>
        <w:rPr>
          <w:rFonts w:ascii="Century Gothic" w:eastAsia="Arial" w:hAnsi="Century Gothic" w:cs="Arial"/>
          <w:color w:val="000000"/>
          <w:sz w:val="16"/>
          <w:szCs w:val="16"/>
        </w:rPr>
      </w:pPr>
      <w:r w:rsidRPr="00FE6FD8">
        <w:rPr>
          <w:rFonts w:ascii="Century Gothic" w:hAnsi="Century Gothic" w:cs="Arial"/>
          <w:sz w:val="16"/>
          <w:szCs w:val="16"/>
          <w:vertAlign w:val="superscript"/>
        </w:rPr>
        <w:footnoteRef/>
      </w:r>
      <w:r w:rsidRPr="00FE6FD8">
        <w:rPr>
          <w:rFonts w:ascii="Century Gothic" w:eastAsia="Arial" w:hAnsi="Century Gothic" w:cs="Arial"/>
          <w:color w:val="000000"/>
          <w:sz w:val="16"/>
          <w:szCs w:val="16"/>
          <w:vertAlign w:val="superscript"/>
        </w:rPr>
        <w:t xml:space="preserve"> </w:t>
      </w:r>
      <w:r w:rsidRPr="00FE6FD8">
        <w:rPr>
          <w:rFonts w:ascii="Century Gothic" w:eastAsia="Arial" w:hAnsi="Century Gothic"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41">
    <w:p w14:paraId="30C6F2C0" w14:textId="77777777" w:rsidR="005B4D3E" w:rsidRPr="00FE6FD8" w:rsidRDefault="005B4D3E" w:rsidP="005B4D3E">
      <w:pPr>
        <w:pStyle w:val="NormalWeb"/>
        <w:shd w:val="clear" w:color="auto" w:fill="FFFFFF"/>
        <w:spacing w:after="0"/>
        <w:ind w:firstLine="708"/>
        <w:jc w:val="both"/>
        <w:rPr>
          <w:rFonts w:ascii="Century Gothic" w:hAnsi="Century Gothic" w:cs="Arial"/>
          <w:sz w:val="16"/>
          <w:szCs w:val="16"/>
        </w:rPr>
      </w:pPr>
    </w:p>
    <w:p w14:paraId="5B5B79ED" w14:textId="77777777" w:rsidR="005B4D3E" w:rsidRPr="00FE6FD8" w:rsidRDefault="005B4D3E" w:rsidP="005B4D3E">
      <w:pPr>
        <w:pStyle w:val="NormalWeb"/>
        <w:shd w:val="clear" w:color="auto" w:fill="FFFFFF"/>
        <w:spacing w:after="0"/>
        <w:ind w:firstLine="708"/>
        <w:jc w:val="both"/>
        <w:rPr>
          <w:rFonts w:ascii="Century Gothic" w:hAnsi="Century Gothic" w:cs="Arial"/>
          <w:sz w:val="16"/>
          <w:szCs w:val="16"/>
          <w:lang w:val="es-ES"/>
        </w:rPr>
      </w:pPr>
      <w:r w:rsidRPr="00FE6FD8">
        <w:rPr>
          <w:rStyle w:val="Refdenotaalpie"/>
          <w:rFonts w:ascii="Century Gothic" w:eastAsia="Arial" w:hAnsi="Century Gothic" w:cs="Arial"/>
          <w:sz w:val="16"/>
          <w:szCs w:val="16"/>
        </w:rPr>
        <w:footnoteRef/>
      </w:r>
      <w:r w:rsidRPr="00FE6FD8">
        <w:rPr>
          <w:rFonts w:ascii="Century Gothic" w:hAnsi="Century Gothic" w:cs="Arial"/>
          <w:sz w:val="16"/>
          <w:szCs w:val="16"/>
        </w:rPr>
        <w:t xml:space="preserve"> “</w:t>
      </w:r>
      <w:r w:rsidRPr="00FE6FD8">
        <w:rPr>
          <w:rFonts w:ascii="Century Gothic" w:hAnsi="Century Gothic" w:cs="Arial"/>
          <w:bCs/>
          <w:sz w:val="16"/>
          <w:szCs w:val="16"/>
          <w:shd w:val="clear" w:color="auto" w:fill="FFFFFF"/>
        </w:rPr>
        <w:t>2.2.1.2.1.5.2</w:t>
      </w:r>
      <w:r w:rsidRPr="00FE6FD8">
        <w:rPr>
          <w:rFonts w:ascii="Century Gothic" w:hAnsi="Century Gothic" w:cs="Arial"/>
          <w:sz w:val="16"/>
          <w:szCs w:val="16"/>
          <w:lang w:val="es-ES"/>
        </w:rPr>
        <w:t xml:space="preserve">5. </w:t>
      </w:r>
      <w:r w:rsidRPr="00FE6FD8">
        <w:rPr>
          <w:rFonts w:ascii="Century Gothic" w:hAnsi="Century Gothic" w:cs="Arial"/>
          <w:bCs/>
          <w:sz w:val="16"/>
          <w:szCs w:val="16"/>
          <w:lang w:val="es-ES"/>
        </w:rPr>
        <w:t>Procedimiento para la contratación de mínima cuantía.</w:t>
      </w:r>
      <w:r w:rsidRPr="00FE6FD8">
        <w:rPr>
          <w:rFonts w:ascii="Century Gothic" w:hAnsi="Century Gothic" w:cs="Arial"/>
          <w:sz w:val="16"/>
          <w:szCs w:val="16"/>
          <w:lang w:val="es-ES"/>
        </w:rPr>
        <w:t> Las siguientes reglas son aplicables a la contratación cuyo valor no excede del diez por ciento (10%) de la menor cuantía de la Entidad Estatal, independientemente de su objeto:</w:t>
      </w:r>
    </w:p>
    <w:p w14:paraId="5F61728E" w14:textId="77777777" w:rsidR="005B4D3E" w:rsidRPr="00FE6FD8" w:rsidRDefault="005B4D3E" w:rsidP="005B4D3E">
      <w:pPr>
        <w:pStyle w:val="NormalWeb"/>
        <w:shd w:val="clear" w:color="auto" w:fill="FFFFFF"/>
        <w:spacing w:after="0"/>
        <w:ind w:firstLine="708"/>
        <w:jc w:val="both"/>
        <w:rPr>
          <w:rFonts w:ascii="Century Gothic" w:hAnsi="Century Gothic" w:cs="Arial"/>
          <w:sz w:val="16"/>
          <w:szCs w:val="16"/>
          <w:lang w:val="es-ES"/>
        </w:rPr>
      </w:pPr>
      <w:r w:rsidRPr="00FE6FD8">
        <w:rPr>
          <w:rFonts w:ascii="Century Gothic" w:hAnsi="Century Gothic" w:cs="Arial"/>
          <w:sz w:val="16"/>
          <w:szCs w:val="16"/>
          <w:lang w:val="es-ES"/>
        </w:rPr>
        <w:t>[…]</w:t>
      </w:r>
    </w:p>
    <w:p w14:paraId="38749C49" w14:textId="77777777" w:rsidR="005B4D3E" w:rsidRPr="00FE6FD8" w:rsidRDefault="005B4D3E" w:rsidP="005B4D3E">
      <w:pPr>
        <w:pStyle w:val="NormalWeb"/>
        <w:shd w:val="clear" w:color="auto" w:fill="FFFFFF"/>
        <w:spacing w:after="0"/>
        <w:ind w:firstLine="708"/>
        <w:jc w:val="both"/>
        <w:rPr>
          <w:rFonts w:ascii="Century Gothic" w:hAnsi="Century Gothic" w:cs="Arial"/>
          <w:sz w:val="16"/>
          <w:szCs w:val="16"/>
          <w:lang w:val="es-ES"/>
        </w:rPr>
      </w:pPr>
      <w:r w:rsidRPr="00FE6FD8">
        <w:rPr>
          <w:rFonts w:ascii="Century Gothic" w:hAnsi="Century Gothic" w:cs="Arial"/>
          <w:sz w:val="16"/>
          <w:szCs w:val="16"/>
          <w:lang w:val="es-E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2" w:anchor="5" w:history="1">
        <w:r w:rsidRPr="00FE6FD8">
          <w:rPr>
            <w:rFonts w:ascii="Century Gothic" w:hAnsi="Century Gothic" w:cs="Arial"/>
            <w:sz w:val="16"/>
            <w:szCs w:val="16"/>
            <w:u w:val="single"/>
            <w:lang w:val="es-ES"/>
          </w:rPr>
          <w:t>5 </w:t>
        </w:r>
      </w:hyperlink>
      <w:r w:rsidRPr="00FE6FD8">
        <w:rPr>
          <w:rFonts w:ascii="Century Gothic" w:hAnsi="Century Gothic" w:cs="Arial"/>
          <w:sz w:val="16"/>
          <w:szCs w:val="16"/>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FE6FD8">
        <w:rPr>
          <w:rFonts w:ascii="Century Gothic" w:hAnsi="Century Gothic" w:cs="Arial"/>
          <w:sz w:val="16"/>
          <w:szCs w:val="16"/>
        </w:rPr>
        <w:t>”</w:t>
      </w:r>
      <w:r w:rsidRPr="00FE6FD8">
        <w:rPr>
          <w:rFonts w:ascii="Century Gothic" w:hAnsi="Century Gothic" w:cs="Arial"/>
          <w:sz w:val="16"/>
          <w:szCs w:val="16"/>
          <w:lang w:val="es-ES"/>
        </w:rPr>
        <w:t>.</w:t>
      </w:r>
    </w:p>
    <w:p w14:paraId="6C9C692B" w14:textId="77777777" w:rsidR="005B4D3E" w:rsidRPr="00FE6FD8" w:rsidRDefault="005B4D3E" w:rsidP="005B4D3E">
      <w:pPr>
        <w:pStyle w:val="Textonotapie"/>
        <w:jc w:val="both"/>
        <w:rPr>
          <w:rFonts w:ascii="Century Gothic" w:hAnsi="Century Gothic" w:cs="Arial"/>
          <w:sz w:val="16"/>
          <w:szCs w:val="16"/>
          <w:lang w:val="es-ES"/>
        </w:rPr>
      </w:pPr>
    </w:p>
  </w:footnote>
  <w:footnote w:id="42">
    <w:p w14:paraId="477B8FDB" w14:textId="77777777" w:rsidR="005B4D3E" w:rsidRPr="00FE6FD8" w:rsidRDefault="005B4D3E" w:rsidP="005B4D3E">
      <w:pPr>
        <w:pStyle w:val="Textonotapie"/>
        <w:ind w:firstLine="709"/>
        <w:jc w:val="both"/>
        <w:rPr>
          <w:rFonts w:ascii="Century Gothic" w:hAnsi="Century Gothic" w:cs="Arial"/>
          <w:color w:val="000000"/>
          <w:sz w:val="16"/>
          <w:szCs w:val="16"/>
        </w:rPr>
      </w:pPr>
      <w:r w:rsidRPr="00FE6FD8">
        <w:rPr>
          <w:rStyle w:val="Refdenotaalpie"/>
          <w:rFonts w:ascii="Century Gothic" w:hAnsi="Century Gothic" w:cs="Arial"/>
          <w:color w:val="000000"/>
          <w:sz w:val="16"/>
          <w:szCs w:val="16"/>
        </w:rPr>
        <w:footnoteRef/>
      </w:r>
      <w:r w:rsidRPr="00FE6FD8">
        <w:rPr>
          <w:rFonts w:ascii="Century Gothic" w:hAnsi="Century Gothic"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6A4A9A80" w14:textId="77777777" w:rsidR="005B4D3E" w:rsidRPr="00FE6FD8" w:rsidRDefault="005B4D3E" w:rsidP="005B4D3E">
      <w:pPr>
        <w:pStyle w:val="Textonotapie"/>
        <w:ind w:firstLine="709"/>
        <w:jc w:val="both"/>
        <w:rPr>
          <w:rFonts w:ascii="Century Gothic" w:hAnsi="Century Gothic" w:cs="Arial"/>
          <w:color w:val="000000"/>
          <w:sz w:val="16"/>
          <w:szCs w:val="16"/>
        </w:rPr>
      </w:pPr>
      <w:r w:rsidRPr="00FE6FD8">
        <w:rPr>
          <w:rFonts w:ascii="Century Gothic" w:hAnsi="Century Gothic" w:cs="Arial"/>
          <w:color w:val="000000"/>
          <w:sz w:val="16"/>
          <w:szCs w:val="16"/>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4B160773" w14:textId="77777777" w:rsidR="005B4D3E" w:rsidRPr="00FE6FD8" w:rsidRDefault="005B4D3E" w:rsidP="005B4D3E">
      <w:pPr>
        <w:pStyle w:val="Textonotapie"/>
        <w:ind w:firstLine="709"/>
        <w:jc w:val="both"/>
        <w:rPr>
          <w:rFonts w:ascii="Century Gothic" w:hAnsi="Century Gothic" w:cs="Arial"/>
          <w:color w:val="000000"/>
          <w:sz w:val="16"/>
          <w:szCs w:val="16"/>
        </w:rPr>
      </w:pPr>
    </w:p>
  </w:footnote>
  <w:footnote w:id="43">
    <w:p w14:paraId="2728B6A6" w14:textId="77777777" w:rsidR="005B4D3E" w:rsidRPr="00FE6FD8" w:rsidRDefault="005B4D3E" w:rsidP="005B4D3E">
      <w:pPr>
        <w:pStyle w:val="Textonotapie"/>
        <w:jc w:val="both"/>
        <w:rPr>
          <w:rFonts w:ascii="Century Gothic" w:hAnsi="Century Gothic" w:cs="Arial"/>
          <w:sz w:val="16"/>
          <w:szCs w:val="16"/>
        </w:rPr>
      </w:pPr>
    </w:p>
  </w:footnote>
  <w:footnote w:id="44">
    <w:p w14:paraId="5FF3B90C" w14:textId="77777777" w:rsidR="005B4D3E" w:rsidRPr="00FE6FD8" w:rsidRDefault="005B4D3E" w:rsidP="005B4D3E">
      <w:pPr>
        <w:pStyle w:val="Textonotapie"/>
        <w:ind w:firstLine="709"/>
        <w:jc w:val="both"/>
        <w:rPr>
          <w:rFonts w:ascii="Century Gothic" w:hAnsi="Century Gothic" w:cs="Arial"/>
          <w:color w:val="000000"/>
          <w:sz w:val="16"/>
          <w:szCs w:val="16"/>
        </w:rPr>
      </w:pPr>
      <w:r w:rsidRPr="00FE6FD8">
        <w:rPr>
          <w:rStyle w:val="Refdenotaalpie"/>
          <w:rFonts w:ascii="Century Gothic" w:hAnsi="Century Gothic" w:cs="Arial"/>
          <w:color w:val="000000"/>
          <w:sz w:val="16"/>
          <w:szCs w:val="16"/>
        </w:rPr>
        <w:footnoteRef/>
      </w:r>
      <w:r w:rsidRPr="00FE6FD8">
        <w:rPr>
          <w:rFonts w:ascii="Century Gothic" w:hAnsi="Century Gothic" w:cs="Arial"/>
          <w:color w:val="000000"/>
          <w:sz w:val="16"/>
          <w:szCs w:val="16"/>
        </w:rPr>
        <w:t xml:space="preserve"> Ver CONSEJO DE ESTADO, Sección Tercera, Subsección C. Sentencia del 26 de febrero de 2011. C.P. Jaime Orlando Santofimio. Rad. 36.408. </w:t>
      </w:r>
    </w:p>
    <w:p w14:paraId="240EEAC9" w14:textId="77777777" w:rsidR="005B4D3E" w:rsidRPr="00FE6FD8" w:rsidRDefault="005B4D3E" w:rsidP="005B4D3E">
      <w:pPr>
        <w:pStyle w:val="Textonotapie"/>
        <w:ind w:firstLine="709"/>
        <w:jc w:val="both"/>
        <w:rPr>
          <w:rFonts w:ascii="Century Gothic" w:hAnsi="Century Gothic" w:cs="Arial"/>
          <w:color w:val="000000"/>
          <w:sz w:val="16"/>
          <w:szCs w:val="16"/>
        </w:rPr>
      </w:pPr>
    </w:p>
  </w:footnote>
  <w:footnote w:id="45">
    <w:p w14:paraId="6B51EA4C" w14:textId="77777777" w:rsidR="005B4D3E" w:rsidRPr="00FE6FD8" w:rsidRDefault="005B4D3E" w:rsidP="005B4D3E">
      <w:pPr>
        <w:pStyle w:val="Textonotapie"/>
        <w:ind w:firstLine="709"/>
        <w:jc w:val="both"/>
        <w:rPr>
          <w:rFonts w:ascii="Century Gothic" w:hAnsi="Century Gothic" w:cs="Arial"/>
          <w:color w:val="000000"/>
          <w:sz w:val="16"/>
          <w:szCs w:val="16"/>
        </w:rPr>
      </w:pPr>
      <w:r w:rsidRPr="00FE6FD8">
        <w:rPr>
          <w:rStyle w:val="Refdenotaalpie"/>
          <w:rFonts w:ascii="Century Gothic" w:hAnsi="Century Gothic" w:cs="Arial"/>
          <w:color w:val="000000"/>
          <w:sz w:val="16"/>
          <w:szCs w:val="16"/>
        </w:rPr>
        <w:footnoteRef/>
      </w:r>
      <w:r w:rsidRPr="00FE6FD8">
        <w:rPr>
          <w:rFonts w:ascii="Century Gothic" w:hAnsi="Century Gothic" w:cs="Arial"/>
          <w:color w:val="000000"/>
          <w:sz w:val="16"/>
          <w:szCs w:val="16"/>
        </w:rPr>
        <w:t xml:space="preserve"> Ver CONSEJO DE ESTADO, Sección Tercera, Subsección C. Sentencia del 26 de febrero de 2014. C.P. Enrique Gil Botero. Rad. 25.804. </w:t>
      </w:r>
    </w:p>
    <w:p w14:paraId="4096582D" w14:textId="77777777" w:rsidR="005B4D3E" w:rsidRPr="00FE6FD8" w:rsidRDefault="005B4D3E" w:rsidP="005B4D3E">
      <w:pPr>
        <w:pStyle w:val="Textonotapie"/>
        <w:ind w:firstLine="709"/>
        <w:jc w:val="both"/>
        <w:rPr>
          <w:rFonts w:ascii="Century Gothic" w:hAnsi="Century Gothic" w:cs="Arial"/>
          <w:color w:val="000000"/>
          <w:sz w:val="16"/>
          <w:szCs w:val="16"/>
        </w:rPr>
      </w:pPr>
    </w:p>
  </w:footnote>
  <w:footnote w:id="46">
    <w:p w14:paraId="62C185D8" w14:textId="77777777" w:rsidR="005B4D3E" w:rsidRPr="00FE6FD8" w:rsidRDefault="005B4D3E" w:rsidP="005B4D3E">
      <w:pPr>
        <w:pStyle w:val="Textonotapie"/>
        <w:ind w:firstLine="709"/>
        <w:jc w:val="both"/>
        <w:rPr>
          <w:rFonts w:ascii="Century Gothic" w:hAnsi="Century Gothic" w:cs="Arial"/>
          <w:color w:val="000000"/>
          <w:sz w:val="16"/>
          <w:szCs w:val="16"/>
        </w:rPr>
      </w:pPr>
      <w:r w:rsidRPr="00FE6FD8">
        <w:rPr>
          <w:rStyle w:val="Refdenotaalpie"/>
          <w:rFonts w:ascii="Century Gothic" w:hAnsi="Century Gothic" w:cs="Arial"/>
          <w:color w:val="000000"/>
          <w:sz w:val="16"/>
          <w:szCs w:val="16"/>
        </w:rPr>
        <w:footnoteRef/>
      </w:r>
      <w:r w:rsidRPr="00FE6FD8">
        <w:rPr>
          <w:rFonts w:ascii="Century Gothic" w:hAnsi="Century Gothic" w:cs="Arial"/>
          <w:color w:val="000000"/>
          <w:sz w:val="16"/>
          <w:szCs w:val="16"/>
        </w:rPr>
        <w:t xml:space="preserve"> CONSEJO DE ESTADO.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8A4F5" w14:textId="77777777" w:rsidR="005C0C7A" w:rsidRDefault="005C0C7A">
    <w:pPr>
      <w:pStyle w:val="Encabezado"/>
    </w:pPr>
    <w:r>
      <w:rPr>
        <w:noProof/>
        <w:lang w:eastAsia="es-CO"/>
      </w:rPr>
      <w:drawing>
        <wp:anchor distT="0" distB="0" distL="114300" distR="114300" simplePos="0" relativeHeight="251659264" behindDoc="1" locked="0" layoutInCell="1" allowOverlap="1" wp14:anchorId="6CCB8EBC" wp14:editId="582FA43A">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eastAsia="es-CO"/>
      </w:rPr>
      <w:drawing>
        <wp:anchor distT="0" distB="0" distL="114300" distR="114300" simplePos="0" relativeHeight="251663360" behindDoc="0" locked="0" layoutInCell="1" allowOverlap="1" wp14:anchorId="36BC2E7F" wp14:editId="6C50876A">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eastAsia="es-CO"/>
      </w:rPr>
      <w:drawing>
        <wp:anchor distT="0" distB="0" distL="114300" distR="114300" simplePos="0" relativeHeight="251661312" behindDoc="0" locked="0" layoutInCell="1" allowOverlap="1" wp14:anchorId="6867E012" wp14:editId="740C086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60288" behindDoc="0" locked="0" layoutInCell="1" allowOverlap="1" wp14:anchorId="0CAB268C" wp14:editId="1CF2752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591D1DA6" w14:textId="77777777" w:rsidR="005C0C7A" w:rsidRDefault="005C0C7A">
    <w:pPr>
      <w:pStyle w:val="Encabezado"/>
    </w:pPr>
  </w:p>
  <w:p w14:paraId="4D07508E" w14:textId="77777777" w:rsidR="005C0C7A" w:rsidRDefault="005C0C7A">
    <w:pPr>
      <w:pStyle w:val="Encabezado"/>
    </w:pPr>
  </w:p>
  <w:p w14:paraId="2CAA3CF7" w14:textId="77777777" w:rsidR="005C0C7A" w:rsidRPr="004A305D" w:rsidRDefault="005C0C7A"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19F1A05B" w14:textId="77777777" w:rsidR="005C0C7A" w:rsidRPr="004A305D" w:rsidRDefault="005C0C7A"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w:t>
    </w:r>
    <w:r>
      <w:rPr>
        <w:rFonts w:ascii="Century Gothic" w:eastAsia="Geo" w:hAnsi="Century Gothic" w:cs="Geo"/>
        <w:bCs/>
        <w:color w:val="000000"/>
        <w:sz w:val="16"/>
        <w:szCs w:val="16"/>
        <w:lang w:eastAsia="es-CO"/>
      </w:rPr>
      <w:t>7</w:t>
    </w:r>
  </w:p>
  <w:p w14:paraId="65A1879E" w14:textId="77777777" w:rsidR="005C0C7A" w:rsidRDefault="005C0C7A"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22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00DC99F6" w14:textId="77777777" w:rsidR="005C0C7A" w:rsidRDefault="005C0C7A" w:rsidP="005B5D8B">
    <w:pPr>
      <w:spacing w:after="0"/>
      <w:rPr>
        <w:rFonts w:ascii="Century Gothic" w:eastAsia="Geo" w:hAnsi="Century Gothic" w:cs="Geo"/>
        <w:sz w:val="16"/>
        <w:szCs w:val="16"/>
        <w:lang w:eastAsia="es-CO"/>
      </w:rPr>
    </w:pPr>
  </w:p>
  <w:p w14:paraId="2A0B1283" w14:textId="77777777" w:rsidR="005C0C7A" w:rsidRPr="005B5D8B" w:rsidRDefault="005C0C7A"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87885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D3E"/>
    <w:rsid w:val="005727E1"/>
    <w:rsid w:val="005818E2"/>
    <w:rsid w:val="005B4D3E"/>
    <w:rsid w:val="007D6E6F"/>
    <w:rsid w:val="008E5C2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27AC"/>
  <w15:chartTrackingRefBased/>
  <w15:docId w15:val="{3497C2B9-1EEB-4E48-8E6C-5371DAF6C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D3E"/>
    <w:rPr>
      <w:kern w:val="0"/>
      <w14:ligatures w14:val="none"/>
    </w:rPr>
  </w:style>
  <w:style w:type="paragraph" w:styleId="Ttulo1">
    <w:name w:val="heading 1"/>
    <w:basedOn w:val="Normal"/>
    <w:next w:val="Normal"/>
    <w:link w:val="Ttulo1Car"/>
    <w:uiPriority w:val="9"/>
    <w:qFormat/>
    <w:rsid w:val="005B4D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B4D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4D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4D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4D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4D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4D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4D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4D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4D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B4D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4D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4D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4D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4D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4D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4D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4D3E"/>
    <w:rPr>
      <w:rFonts w:eastAsiaTheme="majorEastAsia" w:cstheme="majorBidi"/>
      <w:color w:val="272727" w:themeColor="text1" w:themeTint="D8"/>
    </w:rPr>
  </w:style>
  <w:style w:type="paragraph" w:styleId="Ttulo">
    <w:name w:val="Title"/>
    <w:basedOn w:val="Normal"/>
    <w:next w:val="Normal"/>
    <w:link w:val="TtuloCar"/>
    <w:uiPriority w:val="10"/>
    <w:qFormat/>
    <w:rsid w:val="005B4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4D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4D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4D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4D3E"/>
    <w:pPr>
      <w:spacing w:before="160"/>
      <w:jc w:val="center"/>
    </w:pPr>
    <w:rPr>
      <w:i/>
      <w:iCs/>
      <w:color w:val="404040" w:themeColor="text1" w:themeTint="BF"/>
    </w:rPr>
  </w:style>
  <w:style w:type="character" w:customStyle="1" w:styleId="CitaCar">
    <w:name w:val="Cita Car"/>
    <w:basedOn w:val="Fuentedeprrafopredeter"/>
    <w:link w:val="Cita"/>
    <w:uiPriority w:val="29"/>
    <w:rsid w:val="005B4D3E"/>
    <w:rPr>
      <w:i/>
      <w:iCs/>
      <w:color w:val="404040" w:themeColor="text1" w:themeTint="BF"/>
    </w:rPr>
  </w:style>
  <w:style w:type="paragraph" w:styleId="Prrafodelista">
    <w:name w:val="List Paragraph"/>
    <w:basedOn w:val="Normal"/>
    <w:uiPriority w:val="34"/>
    <w:qFormat/>
    <w:rsid w:val="005B4D3E"/>
    <w:pPr>
      <w:ind w:left="720"/>
      <w:contextualSpacing/>
    </w:pPr>
  </w:style>
  <w:style w:type="character" w:styleId="nfasisintenso">
    <w:name w:val="Intense Emphasis"/>
    <w:basedOn w:val="Fuentedeprrafopredeter"/>
    <w:uiPriority w:val="21"/>
    <w:qFormat/>
    <w:rsid w:val="005B4D3E"/>
    <w:rPr>
      <w:i/>
      <w:iCs/>
      <w:color w:val="0F4761" w:themeColor="accent1" w:themeShade="BF"/>
    </w:rPr>
  </w:style>
  <w:style w:type="paragraph" w:styleId="Citadestacada">
    <w:name w:val="Intense Quote"/>
    <w:basedOn w:val="Normal"/>
    <w:next w:val="Normal"/>
    <w:link w:val="CitadestacadaCar"/>
    <w:uiPriority w:val="30"/>
    <w:qFormat/>
    <w:rsid w:val="005B4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4D3E"/>
    <w:rPr>
      <w:i/>
      <w:iCs/>
      <w:color w:val="0F4761" w:themeColor="accent1" w:themeShade="BF"/>
    </w:rPr>
  </w:style>
  <w:style w:type="character" w:styleId="Referenciaintensa">
    <w:name w:val="Intense Reference"/>
    <w:basedOn w:val="Fuentedeprrafopredeter"/>
    <w:uiPriority w:val="32"/>
    <w:qFormat/>
    <w:rsid w:val="005B4D3E"/>
    <w:rPr>
      <w:b/>
      <w:bCs/>
      <w:smallCaps/>
      <w:color w:val="0F4761" w:themeColor="accent1" w:themeShade="BF"/>
      <w:spacing w:val="5"/>
    </w:rPr>
  </w:style>
  <w:style w:type="paragraph" w:styleId="Encabezado">
    <w:name w:val="header"/>
    <w:basedOn w:val="Normal"/>
    <w:link w:val="EncabezadoCar"/>
    <w:uiPriority w:val="99"/>
    <w:unhideWhenUsed/>
    <w:rsid w:val="005B4D3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B4D3E"/>
    <w:rPr>
      <w:kern w:val="0"/>
      <w14:ligatures w14:val="none"/>
    </w:rPr>
  </w:style>
  <w:style w:type="paragraph" w:styleId="Piedepgina">
    <w:name w:val="footer"/>
    <w:basedOn w:val="Normal"/>
    <w:link w:val="PiedepginaCar"/>
    <w:uiPriority w:val="99"/>
    <w:unhideWhenUsed/>
    <w:rsid w:val="005B4D3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4D3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B4D3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B4D3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B4D3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5B4D3E"/>
    <w:rPr>
      <w:vertAlign w:val="superscript"/>
    </w:rPr>
  </w:style>
  <w:style w:type="table" w:styleId="Tablaconcuadrcula">
    <w:name w:val="Table Grid"/>
    <w:basedOn w:val="Tablanormal"/>
    <w:uiPriority w:val="39"/>
    <w:rsid w:val="005B4D3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B4D3E"/>
    <w:rPr>
      <w:color w:val="0000FF"/>
      <w:u w:val="single"/>
    </w:rPr>
  </w:style>
  <w:style w:type="paragraph" w:customStyle="1" w:styleId="Appelnotedebasde">
    <w:name w:val="Appel note de bas de..."/>
    <w:basedOn w:val="Normal"/>
    <w:link w:val="Refdenotaalpie"/>
    <w:rsid w:val="005B4D3E"/>
    <w:pPr>
      <w:spacing w:line="240" w:lineRule="exact"/>
    </w:pPr>
    <w:rPr>
      <w:kern w:val="2"/>
      <w:vertAlign w:val="superscript"/>
      <w14:ligatures w14:val="standardContextual"/>
    </w:rPr>
  </w:style>
  <w:style w:type="paragraph" w:styleId="NormalWeb">
    <w:name w:val="Normal (Web)"/>
    <w:basedOn w:val="Normal"/>
    <w:link w:val="NormalWebCar"/>
    <w:uiPriority w:val="99"/>
    <w:unhideWhenUsed/>
    <w:rsid w:val="005B4D3E"/>
    <w:rPr>
      <w:rFonts w:ascii="Times New Roman" w:hAnsi="Times New Roman" w:cs="Times New Roman"/>
      <w:sz w:val="24"/>
      <w:szCs w:val="24"/>
    </w:rPr>
  </w:style>
  <w:style w:type="character" w:customStyle="1" w:styleId="NormalWebCar">
    <w:name w:val="Normal (Web) Car"/>
    <w:link w:val="NormalWeb"/>
    <w:uiPriority w:val="99"/>
    <w:rsid w:val="005B4D3E"/>
    <w:rPr>
      <w:rFonts w:ascii="Times New Roman" w:hAnsi="Times New Roman" w:cs="Times New Roman"/>
      <w:kern w:val="0"/>
      <w:sz w:val="24"/>
      <w:szCs w:val="24"/>
      <w14:ligatures w14:val="none"/>
    </w:rPr>
  </w:style>
  <w:style w:type="character" w:customStyle="1" w:styleId="wacimagecontainer">
    <w:name w:val="wacimagecontainer"/>
    <w:basedOn w:val="Fuentedeprrafopredeter"/>
    <w:rsid w:val="007D6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25678"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367CE3-654C-4030-8973-25E7ADB56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11197A-ED76-4F84-BE54-22037A89917C}">
  <ds:schemaRefs>
    <ds:schemaRef ds:uri="http://schemas.microsoft.com/sharepoint/v3/contenttype/forms"/>
  </ds:schemaRefs>
</ds:datastoreItem>
</file>

<file path=customXml/itemProps3.xml><?xml version="1.0" encoding="utf-8"?>
<ds:datastoreItem xmlns:ds="http://schemas.openxmlformats.org/officeDocument/2006/customXml" ds:itemID="{8D475067-A057-47CF-9EDE-05C2F6CD925E}">
  <ds:schemaRefs>
    <ds:schemaRef ds:uri="http://www.w3.org/XML/1998/namespace"/>
    <ds:schemaRef ds:uri="http://purl.org/dc/dcmitype/"/>
    <ds:schemaRef ds:uri="9d85dbaf-23eb-4e57-a637-93dcacc8b1a1"/>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a6cb9e4b-f1d1-4245-83ec-6cad768d538a"/>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11730</Words>
  <Characters>64518</Characters>
  <Application>Microsoft Office Word</Application>
  <DocSecurity>0</DocSecurity>
  <Lines>537</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2024-03-11T22:57:00Z</dcterms:created>
  <dcterms:modified xsi:type="dcterms:W3CDTF">2024-03-11T22:57:00Z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