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DA04B" w14:textId="760D339E" w:rsidR="00462864" w:rsidRPr="0083037E" w:rsidRDefault="00462864" w:rsidP="00462864">
      <w:pPr>
        <w:jc w:val="right"/>
        <w:rPr>
          <w:rFonts w:ascii="Arial" w:eastAsia="Calibri" w:hAnsi="Arial" w:cs="Arial"/>
          <w:b/>
          <w:lang w:val="es-ES_tradnl"/>
        </w:rPr>
      </w:pPr>
      <w:r w:rsidRPr="0083037E">
        <w:rPr>
          <w:rFonts w:ascii="Arial" w:hAnsi="Arial" w:cs="Arial"/>
          <w:b/>
          <w:sz w:val="16"/>
          <w:szCs w:val="16"/>
          <w:lang w:eastAsia="es-ES"/>
        </w:rPr>
        <w:t>CCE-DES-FM-17</w:t>
      </w:r>
    </w:p>
    <w:p w14:paraId="019FE7B1" w14:textId="77777777" w:rsidR="00462864" w:rsidRPr="0083037E" w:rsidRDefault="00462864" w:rsidP="003C4C74">
      <w:pPr>
        <w:jc w:val="both"/>
        <w:rPr>
          <w:rFonts w:ascii="Arial" w:eastAsia="Calibri" w:hAnsi="Arial" w:cs="Arial"/>
          <w:b/>
          <w:lang w:val="es-ES_tradnl"/>
        </w:rPr>
      </w:pPr>
    </w:p>
    <w:p w14:paraId="7FE8F267" w14:textId="78C03AE2" w:rsidR="004F74AA" w:rsidRPr="0083037E" w:rsidRDefault="004F74AA" w:rsidP="003C4C74">
      <w:pPr>
        <w:jc w:val="both"/>
        <w:rPr>
          <w:rFonts w:ascii="Arial" w:eastAsia="Calibri" w:hAnsi="Arial" w:cs="Arial"/>
          <w:b/>
          <w:lang w:val="es-ES_tradnl"/>
        </w:rPr>
      </w:pPr>
      <w:r w:rsidRPr="0083037E">
        <w:rPr>
          <w:rFonts w:ascii="Arial" w:eastAsia="Calibri" w:hAnsi="Arial" w:cs="Arial"/>
          <w:b/>
          <w:lang w:val="es-ES_tradnl"/>
        </w:rPr>
        <w:t xml:space="preserve">DOCUMENTOS TIPO </w:t>
      </w:r>
      <w:r w:rsidRPr="0083037E">
        <w:rPr>
          <w:rFonts w:ascii="Arial" w:eastAsia="Calibri" w:hAnsi="Arial" w:cs="Arial"/>
          <w:b/>
          <w:color w:val="000000"/>
          <w:lang w:val="es-ES_tradnl"/>
        </w:rPr>
        <w:t>–</w:t>
      </w:r>
      <w:r w:rsidRPr="0083037E">
        <w:rPr>
          <w:rFonts w:ascii="Arial" w:eastAsia="Calibri" w:hAnsi="Arial" w:cs="Arial"/>
          <w:b/>
          <w:lang w:val="es-ES_tradnl"/>
        </w:rPr>
        <w:t xml:space="preserve"> Fundamento normativo </w:t>
      </w:r>
      <w:r w:rsidRPr="0083037E">
        <w:rPr>
          <w:rFonts w:ascii="Arial" w:eastAsia="Calibri" w:hAnsi="Arial" w:cs="Arial"/>
          <w:b/>
          <w:color w:val="000000"/>
          <w:lang w:val="es-ES_tradnl"/>
        </w:rPr>
        <w:t xml:space="preserve">– </w:t>
      </w:r>
      <w:r w:rsidRPr="0083037E">
        <w:rPr>
          <w:rFonts w:ascii="Arial" w:eastAsia="Calibri" w:hAnsi="Arial" w:cs="Arial"/>
          <w:b/>
          <w:lang w:val="es-ES_tradnl"/>
        </w:rPr>
        <w:t>Ley 2022 de 2020</w:t>
      </w:r>
    </w:p>
    <w:p w14:paraId="26A84A09" w14:textId="77777777" w:rsidR="004F74AA" w:rsidRPr="0083037E" w:rsidRDefault="004F74AA" w:rsidP="003C4C74">
      <w:pPr>
        <w:jc w:val="both"/>
        <w:rPr>
          <w:rFonts w:ascii="Arial" w:eastAsia="Calibri" w:hAnsi="Arial" w:cs="Arial"/>
          <w:b/>
          <w:lang w:val="es-ES_tradnl"/>
        </w:rPr>
      </w:pPr>
    </w:p>
    <w:p w14:paraId="212D1569" w14:textId="77777777" w:rsidR="004F74AA" w:rsidRPr="0083037E" w:rsidRDefault="004F74AA" w:rsidP="003C4C74">
      <w:pPr>
        <w:jc w:val="both"/>
        <w:rPr>
          <w:rFonts w:ascii="Arial" w:eastAsia="Calibri" w:hAnsi="Arial" w:cs="Arial"/>
          <w:color w:val="000000"/>
          <w:sz w:val="20"/>
          <w:szCs w:val="20"/>
          <w:lang w:val="es-ES" w:eastAsia="es-ES"/>
        </w:rPr>
      </w:pPr>
      <w:r w:rsidRPr="0083037E">
        <w:rPr>
          <w:rFonts w:ascii="Arial" w:eastAsia="Calibri" w:hAnsi="Arial" w:cs="Arial"/>
          <w:color w:val="000000"/>
          <w:sz w:val="20"/>
          <w:szCs w:val="20"/>
          <w:lang w:val="es-ES" w:eastAsia="es-ES"/>
        </w:rPr>
        <w:t xml:space="preserve">[…] debe tenerse en cuenta que la Ley 2022 de 2020 fue sancionada por el </w:t>
      </w:r>
      <w:proofErr w:type="gramStart"/>
      <w:r w:rsidRPr="0083037E">
        <w:rPr>
          <w:rFonts w:ascii="Arial" w:eastAsia="Calibri" w:hAnsi="Arial" w:cs="Arial"/>
          <w:color w:val="000000"/>
          <w:sz w:val="20"/>
          <w:szCs w:val="20"/>
          <w:lang w:val="es-ES" w:eastAsia="es-ES"/>
        </w:rPr>
        <w:t>Presidente</w:t>
      </w:r>
      <w:proofErr w:type="gramEnd"/>
      <w:r w:rsidRPr="0083037E">
        <w:rPr>
          <w:rFonts w:ascii="Arial" w:eastAsia="Calibri" w:hAnsi="Arial" w:cs="Arial"/>
          <w:color w:val="000000"/>
          <w:sz w:val="20"/>
          <w:szCs w:val="20"/>
          <w:lang w:val="es-ES" w:eastAsia="es-ES"/>
        </w:rPr>
        <w:t xml:space="preserve"> de la República el 22 de julio del año pasado,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w:t>
      </w:r>
    </w:p>
    <w:p w14:paraId="3D37308E" w14:textId="77777777" w:rsidR="004F74AA" w:rsidRPr="0083037E" w:rsidRDefault="004F74AA" w:rsidP="003C4C74">
      <w:pPr>
        <w:jc w:val="both"/>
        <w:rPr>
          <w:rFonts w:ascii="Arial" w:eastAsia="Arial" w:hAnsi="Arial" w:cs="Arial"/>
          <w:b/>
          <w:bCs/>
          <w:color w:val="000000"/>
          <w:lang w:val="es-ES_tradnl"/>
        </w:rPr>
      </w:pPr>
    </w:p>
    <w:p w14:paraId="6C6EDBD4" w14:textId="77777777" w:rsidR="004F74AA" w:rsidRPr="0083037E" w:rsidRDefault="004F74AA" w:rsidP="003C4C74">
      <w:pPr>
        <w:tabs>
          <w:tab w:val="left" w:pos="-142"/>
        </w:tabs>
        <w:autoSpaceDE w:val="0"/>
        <w:autoSpaceDN w:val="0"/>
        <w:adjustRightInd w:val="0"/>
        <w:jc w:val="both"/>
        <w:rPr>
          <w:rFonts w:ascii="Arial" w:eastAsia="Calibri" w:hAnsi="Arial" w:cs="Arial"/>
          <w:b/>
          <w:bCs/>
          <w:lang w:val="es-ES_tradnl" w:eastAsia="es-ES"/>
        </w:rPr>
      </w:pPr>
      <w:r w:rsidRPr="0083037E">
        <w:rPr>
          <w:rFonts w:ascii="Arial" w:eastAsia="Calibri" w:hAnsi="Arial" w:cs="Arial"/>
          <w:b/>
          <w:bCs/>
          <w:lang w:val="es-ES_tradnl" w:eastAsia="es-ES"/>
        </w:rPr>
        <w:t xml:space="preserve">DOCUMENTOS TIPO </w:t>
      </w:r>
      <w:bookmarkStart w:id="0" w:name="_Hlk39666823"/>
      <w:r w:rsidRPr="0083037E">
        <w:rPr>
          <w:rFonts w:ascii="Arial" w:eastAsia="Calibri" w:hAnsi="Arial" w:cs="Arial"/>
          <w:b/>
          <w:lang w:val="x-none" w:eastAsia="es-ES"/>
        </w:rPr>
        <w:t>–</w:t>
      </w:r>
      <w:bookmarkEnd w:id="0"/>
      <w:r w:rsidRPr="0083037E">
        <w:rPr>
          <w:rFonts w:ascii="Arial" w:eastAsia="Calibri" w:hAnsi="Arial" w:cs="Arial"/>
          <w:b/>
          <w:bCs/>
          <w:lang w:val="es-ES_tradnl" w:eastAsia="es-ES"/>
        </w:rPr>
        <w:t xml:space="preserve"> Inalterabilidad </w:t>
      </w:r>
    </w:p>
    <w:p w14:paraId="73F43798" w14:textId="77777777" w:rsidR="004F74AA" w:rsidRPr="0083037E" w:rsidRDefault="004F74AA" w:rsidP="003C4C74">
      <w:pPr>
        <w:jc w:val="both"/>
        <w:rPr>
          <w:rFonts w:ascii="Arial" w:eastAsia="Calibri" w:hAnsi="Arial" w:cs="Arial"/>
          <w:b/>
          <w:bCs/>
          <w:sz w:val="20"/>
          <w:szCs w:val="20"/>
          <w:lang w:val="es-ES_tradnl"/>
        </w:rPr>
      </w:pPr>
    </w:p>
    <w:p w14:paraId="2ECEF4A4" w14:textId="012A81B6" w:rsidR="00F41B7F" w:rsidRPr="0083037E" w:rsidRDefault="00F41B7F" w:rsidP="00F41B7F">
      <w:pPr>
        <w:jc w:val="both"/>
        <w:rPr>
          <w:rFonts w:ascii="Arial" w:eastAsia="Calibri" w:hAnsi="Arial" w:cs="Arial"/>
          <w:color w:val="000000"/>
          <w:sz w:val="20"/>
          <w:szCs w:val="20"/>
          <w:lang w:val="es-ES_tradnl"/>
        </w:rPr>
      </w:pPr>
      <w:r w:rsidRPr="0083037E">
        <w:rPr>
          <w:rFonts w:ascii="Arial" w:eastAsia="Calibri" w:hAnsi="Arial" w:cs="Arial"/>
          <w:color w:val="000000"/>
          <w:sz w:val="20"/>
          <w:szCs w:val="20"/>
          <w:lang w:val="es-ES_tradnl"/>
        </w:rPr>
        <w:t xml:space="preserve">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83037E">
        <w:rPr>
          <w:rFonts w:ascii="Arial" w:eastAsia="Calibri" w:hAnsi="Arial" w:cs="Arial"/>
          <w:i/>
          <w:iCs/>
          <w:color w:val="000000"/>
          <w:sz w:val="20"/>
          <w:szCs w:val="20"/>
          <w:lang w:val="es-ES_tradnl"/>
        </w:rPr>
        <w:t>Documentos del Proceso</w:t>
      </w:r>
      <w:r w:rsidRPr="0083037E">
        <w:rPr>
          <w:rFonts w:ascii="Arial" w:eastAsia="Calibri" w:hAnsi="Arial" w:cs="Arial"/>
          <w:color w:val="000000"/>
          <w:sz w:val="20"/>
          <w:szCs w:val="20"/>
          <w:lang w:val="es-ES_tradnl"/>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por lo que no pueden variarse los requisitos fijados en ellos. Por lo tanto, las entidades estatales, al realizar sus procedimientos de selección, solo podrán modificarlos en los aspectos en que los documentos tipo lo permitan.</w:t>
      </w:r>
    </w:p>
    <w:p w14:paraId="548BFDDC" w14:textId="77777777" w:rsidR="00F41B7F" w:rsidRPr="0083037E" w:rsidRDefault="00F41B7F" w:rsidP="00F41B7F">
      <w:pPr>
        <w:spacing w:before="120"/>
        <w:jc w:val="both"/>
        <w:rPr>
          <w:rFonts w:ascii="Arial" w:eastAsia="Calibri" w:hAnsi="Arial" w:cs="Arial"/>
          <w:color w:val="000000"/>
          <w:sz w:val="20"/>
          <w:szCs w:val="20"/>
          <w:lang w:val="es-ES_tradnl"/>
        </w:rPr>
      </w:pPr>
      <w:r w:rsidRPr="0083037E">
        <w:rPr>
          <w:rFonts w:ascii="Arial" w:eastAsia="Calibri" w:hAnsi="Arial" w:cs="Arial"/>
          <w:color w:val="000000"/>
          <w:sz w:val="20"/>
          <w:szCs w:val="20"/>
          <w:lang w:val="es-ES_tradnl"/>
        </w:rPr>
        <w:t>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No obstante, ello no significa que antes no rigiera, pues así también lo disponía el artículo 4 de la Ley 1882 de 2018. Por vía reglamentaria, también quedó consignado en su momento el carácter inmodificable de los documentos tipo en el artículo 1 de los Decretos 342 de 2019, Decreto 2096 de 2019 y 594 de 2020, que adicionaron, respectivamente, los artículos 2.2.1.2.6.1.4, 2.2.1.2.6.2.3 y 2.2.1.2.6.3.4 al Decreto 1082 de 2015.</w:t>
      </w:r>
    </w:p>
    <w:p w14:paraId="1996C94D" w14:textId="206B2824" w:rsidR="00F41B7F" w:rsidRPr="0083037E" w:rsidRDefault="00F41B7F" w:rsidP="00F41B7F">
      <w:pPr>
        <w:spacing w:before="120"/>
        <w:jc w:val="both"/>
        <w:rPr>
          <w:rFonts w:ascii="Arial" w:eastAsia="Calibri" w:hAnsi="Arial" w:cs="Arial"/>
          <w:bCs/>
          <w:color w:val="000000"/>
          <w:sz w:val="20"/>
          <w:szCs w:val="20"/>
          <w:lang w:val="es-ES_tradnl"/>
        </w:rPr>
      </w:pPr>
      <w:r w:rsidRPr="0083037E">
        <w:rPr>
          <w:rFonts w:ascii="Arial" w:eastAsia="Calibri" w:hAnsi="Arial" w:cs="Arial"/>
          <w:bCs/>
          <w:color w:val="000000"/>
          <w:sz w:val="20"/>
          <w:szCs w:val="20"/>
          <w:lang w:val="es-ES_tradnl"/>
        </w:rPr>
        <w:t xml:space="preserve">Además, las entidades estatales deben garantizar el </w:t>
      </w:r>
      <w:r w:rsidRPr="0083037E">
        <w:rPr>
          <w:rFonts w:ascii="Arial" w:eastAsia="Calibri" w:hAnsi="Arial" w:cs="Arial"/>
          <w:bCs/>
          <w:i/>
          <w:iCs/>
          <w:color w:val="000000"/>
          <w:sz w:val="20"/>
          <w:szCs w:val="20"/>
          <w:lang w:val="es-ES_tradnl"/>
        </w:rPr>
        <w:t>principio de economía</w:t>
      </w:r>
      <w:r w:rsidRPr="0083037E">
        <w:rPr>
          <w:rFonts w:ascii="Arial" w:eastAsia="Calibri" w:hAnsi="Arial" w:cs="Arial"/>
          <w:bCs/>
          <w:color w:val="000000"/>
          <w:sz w:val="20"/>
          <w:szCs w:val="20"/>
          <w:lang w:val="es-ES_tradnl"/>
        </w:rPr>
        <w:t>, del cual se desprende que no pueden exigir documentos o requisitos más allá de los que permitan la Constitución, la ley y los reglamentos. Este postulado ha sido recogido no solo en la contratación estatal sino además en la normativa antitrámites, pues se inscribe dentro de la tendencia de simplificación y racionalización de los procedimientos administrativos. De ahí que cuando las autoridades solicitan la entrega de documentación innecesaria, desconocen el principio de economía.</w:t>
      </w:r>
    </w:p>
    <w:p w14:paraId="6E9E8A6C" w14:textId="53313D48" w:rsidR="00B749D1" w:rsidRPr="0083037E" w:rsidRDefault="00B749D1" w:rsidP="003C4C74">
      <w:pPr>
        <w:spacing w:line="276" w:lineRule="auto"/>
        <w:jc w:val="both"/>
        <w:rPr>
          <w:rFonts w:ascii="Arial" w:eastAsia="Arial" w:hAnsi="Arial" w:cs="Arial"/>
          <w:b/>
          <w:bCs/>
          <w:color w:val="000000"/>
          <w:lang w:val="es-ES_tradnl"/>
        </w:rPr>
      </w:pPr>
    </w:p>
    <w:p w14:paraId="2F263F83" w14:textId="5A0460DE" w:rsidR="003C4C74" w:rsidRPr="0083037E" w:rsidRDefault="003C4C74" w:rsidP="00F41B7F">
      <w:pPr>
        <w:shd w:val="clear" w:color="auto" w:fill="FFFFFF"/>
        <w:spacing w:line="276" w:lineRule="auto"/>
        <w:jc w:val="both"/>
        <w:rPr>
          <w:rFonts w:ascii="Arial" w:eastAsia="Calibri" w:hAnsi="Arial" w:cs="Arial"/>
          <w:b/>
          <w:color w:val="000000"/>
        </w:rPr>
      </w:pPr>
      <w:r w:rsidRPr="0083037E">
        <w:rPr>
          <w:rFonts w:ascii="Arial" w:eastAsia="Calibri" w:hAnsi="Arial" w:cs="Arial"/>
          <w:b/>
          <w:color w:val="000000"/>
        </w:rPr>
        <w:t>DOCUMENTOS TIPO − Matriz 1 – Experiencia − Aplicación</w:t>
      </w:r>
    </w:p>
    <w:p w14:paraId="695F5B21" w14:textId="77777777" w:rsidR="003C4C74" w:rsidRPr="0083037E" w:rsidRDefault="003C4C74" w:rsidP="00F41B7F">
      <w:pPr>
        <w:spacing w:line="276" w:lineRule="auto"/>
        <w:ind w:right="51"/>
        <w:jc w:val="both"/>
        <w:rPr>
          <w:rFonts w:ascii="Arial" w:eastAsia="Calibri" w:hAnsi="Arial" w:cs="Arial"/>
          <w:lang w:val="es-MX"/>
        </w:rPr>
      </w:pPr>
    </w:p>
    <w:p w14:paraId="4B151586" w14:textId="77777777" w:rsidR="00F41B7F" w:rsidRPr="0083037E" w:rsidRDefault="00F41B7F" w:rsidP="00F41B7F">
      <w:pPr>
        <w:jc w:val="both"/>
        <w:rPr>
          <w:rFonts w:ascii="Arial" w:eastAsia="Calibri" w:hAnsi="Arial" w:cs="Arial"/>
          <w:color w:val="0D0D0D"/>
          <w:sz w:val="20"/>
          <w:szCs w:val="20"/>
          <w:lang w:val="es-MX"/>
        </w:rPr>
      </w:pPr>
      <w:r w:rsidRPr="0083037E">
        <w:rPr>
          <w:rFonts w:ascii="Arial" w:eastAsia="Calibri" w:hAnsi="Arial" w:cs="Arial"/>
          <w:color w:val="0D0D0D"/>
          <w:sz w:val="20"/>
          <w:szCs w:val="20"/>
          <w:lang w:val="es-MX"/>
        </w:rPr>
        <w:t xml:space="preserve">Ahora bien, uno de los elementos comunes a los diferentes documentos tipo es la «Matriz 1 – Experiencia» –en adelante Matriz 1–. Esta consta de unas celdas en las que se describe la experiencia requerida en relación con el objeto a contratar, definiendo además qué tipo de actividades relacionadas con cada sector deben acogerse a los pliegos tipo. Por otro lado, </w:t>
      </w:r>
      <w:r w:rsidRPr="0083037E">
        <w:rPr>
          <w:rFonts w:ascii="Arial" w:eastAsia="Calibri" w:hAnsi="Arial" w:cs="Arial"/>
          <w:color w:val="0D0D0D"/>
          <w:sz w:val="20"/>
          <w:szCs w:val="20"/>
          <w:lang w:val="es-MX"/>
        </w:rPr>
        <w:lastRenderedPageBreak/>
        <w:t>encontramos el «Anexo 3 – Glosario», el cual contiene las definiciones de los términos usados en los documentos del proceso. Utilizando estos dos documentos, la entidad estatal puede definir si el objeto a contratarse debe emplear los documentos tipo adoptados por esta Agencia.</w:t>
      </w:r>
    </w:p>
    <w:p w14:paraId="02E7907F" w14:textId="77777777" w:rsidR="00F41B7F" w:rsidRPr="0083037E" w:rsidRDefault="00F41B7F" w:rsidP="00F41B7F">
      <w:pPr>
        <w:spacing w:before="120" w:after="120"/>
        <w:jc w:val="both"/>
        <w:rPr>
          <w:rFonts w:ascii="Arial" w:eastAsia="Calibri" w:hAnsi="Arial" w:cs="Arial"/>
          <w:color w:val="0D0D0D"/>
          <w:sz w:val="20"/>
          <w:szCs w:val="20"/>
          <w:lang w:val="es-MX"/>
        </w:rPr>
      </w:pPr>
      <w:r w:rsidRPr="0083037E">
        <w:rPr>
          <w:rFonts w:ascii="Arial" w:eastAsia="Calibri" w:hAnsi="Arial" w:cs="Arial"/>
          <w:color w:val="0D0D0D"/>
          <w:sz w:val="20"/>
          <w:szCs w:val="20"/>
          <w:lang w:val="es-MX"/>
        </w:rPr>
        <w:t>Conforme a lo anterior, la Matriz 1,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089F1150" w14:textId="68A87875" w:rsidR="00F41B7F" w:rsidRPr="0083037E" w:rsidRDefault="00F41B7F" w:rsidP="004A646F">
      <w:pPr>
        <w:spacing w:before="120"/>
        <w:jc w:val="both"/>
        <w:rPr>
          <w:rFonts w:ascii="Arial" w:eastAsia="Calibri" w:hAnsi="Arial" w:cs="Arial"/>
          <w:sz w:val="20"/>
          <w:szCs w:val="20"/>
          <w:lang w:val="es-MX"/>
        </w:rPr>
      </w:pPr>
      <w:r w:rsidRPr="0083037E">
        <w:rPr>
          <w:rFonts w:ascii="Arial" w:eastAsia="Calibri" w:hAnsi="Arial" w:cs="Arial"/>
          <w:color w:val="0D0D0D"/>
          <w:sz w:val="20"/>
          <w:szCs w:val="20"/>
          <w:lang w:val="es-MX"/>
        </w:rPr>
        <w:t>De esta manera, para saber a qué actividades se deben aplicar los documentos tipo expedidos por esta Agencia, la entidad debe verificar los que se hayan expedido para la modalidad de selección en la que debe celebrarse el proceso, subsumiendo el objeto a contratar en los tipos de proyectos de infraestructura a contratarse. De esta manera, si el objeto contractual a ejecutar se encuadra materialmente dentro de alguno de los tipos actividades concretas señaladas en cada una de las matrices de experiencia, se tendrán que aplicar los documentos tipo, mientras que en el caso contrario no será forzosa su aplicación. En este sentido, en los documentos base de los documentos tipo</w:t>
      </w:r>
      <w:r w:rsidRPr="0083037E">
        <w:rPr>
          <w:rFonts w:ascii="Arial" w:eastAsia="Calibri" w:hAnsi="Arial" w:cs="Arial"/>
          <w:sz w:val="20"/>
          <w:szCs w:val="20"/>
          <w:lang w:val="es-MX"/>
        </w:rPr>
        <w:t>, se indica que la entidad establecerá las condiciones de experiencia, tanto general como específica en las actividades que van a contratar. En este contexto, la entidad no podrá incluir condiciones distintas a las previstas en la matriz de experiencia y, por tanto, deberá transcribir textualmente lo indicado en ésta.</w:t>
      </w:r>
    </w:p>
    <w:p w14:paraId="620B1745" w14:textId="77777777" w:rsidR="004A646F" w:rsidRPr="0083037E" w:rsidRDefault="004A646F" w:rsidP="004A646F">
      <w:pPr>
        <w:shd w:val="clear" w:color="auto" w:fill="FFFFFF"/>
        <w:spacing w:line="276" w:lineRule="auto"/>
        <w:jc w:val="both"/>
        <w:rPr>
          <w:rFonts w:ascii="Arial" w:eastAsia="Calibri" w:hAnsi="Arial" w:cs="Arial"/>
          <w:b/>
          <w:color w:val="000000"/>
        </w:rPr>
      </w:pPr>
    </w:p>
    <w:p w14:paraId="50DE732F" w14:textId="5F3F358F" w:rsidR="004A646F" w:rsidRPr="0083037E" w:rsidRDefault="004A646F" w:rsidP="004A646F">
      <w:pPr>
        <w:shd w:val="clear" w:color="auto" w:fill="FFFFFF"/>
        <w:spacing w:line="276" w:lineRule="auto"/>
        <w:jc w:val="both"/>
        <w:rPr>
          <w:rFonts w:ascii="Arial" w:eastAsia="Calibri" w:hAnsi="Arial" w:cs="Arial"/>
          <w:b/>
          <w:color w:val="000000"/>
        </w:rPr>
      </w:pPr>
      <w:r w:rsidRPr="0083037E">
        <w:rPr>
          <w:rFonts w:ascii="Arial" w:eastAsia="Calibri" w:hAnsi="Arial" w:cs="Arial"/>
          <w:b/>
          <w:color w:val="000000"/>
        </w:rPr>
        <w:t>MATRIZ 1 – Experiencia – Tipos de consultoría – Criterios de definición</w:t>
      </w:r>
    </w:p>
    <w:p w14:paraId="1D2B0547" w14:textId="77777777" w:rsidR="004A646F" w:rsidRPr="0083037E" w:rsidRDefault="004A646F" w:rsidP="004A646F">
      <w:pPr>
        <w:spacing w:after="120"/>
        <w:jc w:val="both"/>
        <w:rPr>
          <w:rFonts w:ascii="Arial" w:eastAsia="Calibri" w:hAnsi="Arial" w:cs="Arial"/>
          <w:color w:val="0D0D0D"/>
          <w:sz w:val="20"/>
          <w:szCs w:val="20"/>
        </w:rPr>
      </w:pPr>
    </w:p>
    <w:p w14:paraId="02ED31E4" w14:textId="252525E2" w:rsidR="004A646F" w:rsidRPr="0083037E" w:rsidRDefault="004A646F" w:rsidP="004A646F">
      <w:pPr>
        <w:spacing w:after="120"/>
        <w:jc w:val="both"/>
        <w:rPr>
          <w:rFonts w:ascii="Arial" w:eastAsia="Calibri" w:hAnsi="Arial" w:cs="Arial"/>
          <w:color w:val="0D0D0D"/>
          <w:sz w:val="20"/>
          <w:szCs w:val="20"/>
        </w:rPr>
      </w:pPr>
      <w:r w:rsidRPr="0083037E">
        <w:rPr>
          <w:rFonts w:ascii="Arial" w:eastAsia="Calibri" w:hAnsi="Arial" w:cs="Arial"/>
          <w:color w:val="0D0D0D"/>
          <w:sz w:val="20"/>
          <w:szCs w:val="20"/>
        </w:rPr>
        <w:t>Concretamente, la Matriz 1 contempla ocho tipos de consultorías generales a saber: i) consultoría para obras en vías primarias o secundarias; ii) consultoría para obras en vías terciarias; iii) consultoría para obras marítimas y fluviales; iv) consultoría para obras en vías primarias o secundarias o terciarias o urbanas para atención, prevención o mitigación de emergencias diferentes a contratación directa; v) consultoría para obras férreas; vi) consultoría para obras de infraestructura vial urbana; vii) consultoría para obras en puentes; viii) consultoría para obras aeroportuarias.</w:t>
      </w:r>
    </w:p>
    <w:p w14:paraId="6D77CD05" w14:textId="77777777" w:rsidR="004A646F" w:rsidRPr="0083037E" w:rsidRDefault="004A646F" w:rsidP="00F41B7F">
      <w:pPr>
        <w:spacing w:before="120" w:after="120"/>
        <w:jc w:val="both"/>
        <w:rPr>
          <w:rFonts w:ascii="Arial" w:eastAsia="Calibri" w:hAnsi="Arial" w:cs="Arial"/>
          <w:color w:val="0D0D0D"/>
          <w:sz w:val="20"/>
          <w:szCs w:val="20"/>
        </w:rPr>
      </w:pPr>
      <w:r w:rsidRPr="0083037E">
        <w:rPr>
          <w:rFonts w:ascii="Arial" w:eastAsia="Calibri" w:hAnsi="Arial" w:cs="Arial"/>
          <w:color w:val="0D0D0D"/>
          <w:sz w:val="20"/>
          <w:szCs w:val="20"/>
        </w:rPr>
        <w:t>[…]</w:t>
      </w:r>
    </w:p>
    <w:p w14:paraId="7417FD21" w14:textId="53909A2F" w:rsidR="004A646F" w:rsidRPr="0083037E" w:rsidRDefault="004A646F" w:rsidP="00F41B7F">
      <w:pPr>
        <w:spacing w:before="120" w:after="120"/>
        <w:jc w:val="both"/>
        <w:rPr>
          <w:rFonts w:ascii="Arial" w:eastAsia="Calibri" w:hAnsi="Arial" w:cs="Arial"/>
          <w:color w:val="0D0D0D"/>
          <w:sz w:val="20"/>
          <w:szCs w:val="20"/>
        </w:rPr>
      </w:pPr>
      <w:r w:rsidRPr="0083037E">
        <w:rPr>
          <w:rFonts w:ascii="Arial" w:eastAsia="Calibri" w:hAnsi="Arial" w:cs="Arial"/>
          <w:color w:val="0D0D0D"/>
          <w:sz w:val="20"/>
          <w:szCs w:val="20"/>
        </w:rPr>
        <w:t>Por su parte, el numeral 3.8 del documento base establece las «exigencias mínimas de la experiencia del proponente y la experiencia y formación académica del equipo de trabajo». De igual modo, el capítulo IV prevé la forma como se deben definir los «criterios de evaluación, asignación de puntaje y criterios de desempate». En tal sentido, el numeral 4.1. regula la «forma de verificación y asignación del puntaje por la experiencia del proponente». Allí se pueden encontrar los criterios que debe tener en cuenta la entidad para evaluar la experiencia general y específica. Como se observa, la Agencia Nacional de Contratación Pública – Colombia Compra Eficiente ha establecido en el documento tipo de consultoría de estudios de ingeniería de infraestructura de transporte los criterios rectores para exigir la experiencia en estos procedimientos de selección, lo cuales deben respetarse, en armonía con la regla de la inalterabilidad de los documentos tipo.</w:t>
      </w:r>
    </w:p>
    <w:p w14:paraId="1495A8AD" w14:textId="77777777" w:rsidR="003C4C74" w:rsidRPr="0083037E" w:rsidRDefault="003C4C74" w:rsidP="003C4C74">
      <w:pPr>
        <w:spacing w:line="276" w:lineRule="auto"/>
        <w:jc w:val="both"/>
        <w:rPr>
          <w:rFonts w:ascii="Arial" w:eastAsia="Calibri" w:hAnsi="Arial" w:cs="Arial"/>
          <w:color w:val="000000"/>
        </w:rPr>
      </w:pPr>
      <w:r w:rsidRPr="0083037E">
        <w:rPr>
          <w:rFonts w:ascii="Arial" w:eastAsia="Calibri" w:hAnsi="Arial" w:cs="Arial"/>
          <w:lang w:val="es-MX"/>
        </w:rPr>
        <w:tab/>
      </w:r>
    </w:p>
    <w:p w14:paraId="36A03954" w14:textId="77777777" w:rsidR="003C4C74" w:rsidRPr="0083037E" w:rsidRDefault="003C4C74" w:rsidP="003C4C74">
      <w:pPr>
        <w:spacing w:line="276" w:lineRule="auto"/>
        <w:jc w:val="both"/>
        <w:rPr>
          <w:rFonts w:ascii="Arial" w:eastAsia="Calibri" w:hAnsi="Arial" w:cs="Arial"/>
          <w:color w:val="000000"/>
        </w:rPr>
      </w:pPr>
    </w:p>
    <w:p w14:paraId="6D27D942" w14:textId="77777777" w:rsidR="003C4C74" w:rsidRPr="0083037E" w:rsidRDefault="003C4C74" w:rsidP="003C4C74">
      <w:pPr>
        <w:spacing w:line="276" w:lineRule="auto"/>
        <w:jc w:val="both"/>
        <w:rPr>
          <w:rFonts w:ascii="Arial" w:eastAsia="Calibri" w:hAnsi="Arial" w:cs="Arial"/>
          <w:color w:val="000000"/>
        </w:rPr>
      </w:pPr>
    </w:p>
    <w:p w14:paraId="5A2EBFE9" w14:textId="77777777" w:rsidR="003C4C74" w:rsidRPr="0083037E" w:rsidRDefault="003C4C74" w:rsidP="003C4C74">
      <w:pPr>
        <w:spacing w:line="276" w:lineRule="auto"/>
        <w:jc w:val="both"/>
        <w:rPr>
          <w:rFonts w:ascii="Arial" w:eastAsia="Calibri" w:hAnsi="Arial" w:cs="Arial"/>
          <w:color w:val="000000"/>
        </w:rPr>
      </w:pPr>
    </w:p>
    <w:p w14:paraId="6476BB28" w14:textId="77777777" w:rsidR="003C4C74" w:rsidRPr="0083037E" w:rsidRDefault="003C4C74" w:rsidP="003C4C74">
      <w:pPr>
        <w:spacing w:line="276" w:lineRule="auto"/>
        <w:jc w:val="both"/>
        <w:rPr>
          <w:rFonts w:ascii="Arial" w:eastAsia="Calibri" w:hAnsi="Arial" w:cs="Arial"/>
          <w:color w:val="000000"/>
        </w:rPr>
      </w:pPr>
    </w:p>
    <w:p w14:paraId="50110238" w14:textId="77777777" w:rsidR="003C4C74" w:rsidRPr="0083037E" w:rsidRDefault="003C4C74" w:rsidP="003C4C74">
      <w:pPr>
        <w:spacing w:line="276" w:lineRule="auto"/>
        <w:jc w:val="both"/>
        <w:rPr>
          <w:rFonts w:ascii="Arial" w:eastAsia="Calibri" w:hAnsi="Arial" w:cs="Arial"/>
          <w:color w:val="000000"/>
        </w:rPr>
      </w:pPr>
    </w:p>
    <w:p w14:paraId="04BF7EA3" w14:textId="77777777" w:rsidR="003C4C74" w:rsidRPr="0083037E" w:rsidRDefault="003C4C74" w:rsidP="003C4C74">
      <w:pPr>
        <w:spacing w:line="276" w:lineRule="auto"/>
        <w:jc w:val="both"/>
        <w:rPr>
          <w:rFonts w:ascii="Arial" w:eastAsia="Calibri" w:hAnsi="Arial" w:cs="Arial"/>
          <w:color w:val="000000"/>
        </w:rPr>
      </w:pPr>
    </w:p>
    <w:p w14:paraId="14935F32" w14:textId="77777777" w:rsidR="003C4C74" w:rsidRPr="0083037E" w:rsidRDefault="003C4C74" w:rsidP="003C4C74">
      <w:pPr>
        <w:spacing w:line="276" w:lineRule="auto"/>
        <w:jc w:val="both"/>
        <w:rPr>
          <w:rFonts w:ascii="Arial" w:eastAsia="Calibri" w:hAnsi="Arial" w:cs="Arial"/>
          <w:color w:val="000000"/>
        </w:rPr>
      </w:pPr>
    </w:p>
    <w:p w14:paraId="7D784074" w14:textId="77777777" w:rsidR="004A646F" w:rsidRPr="0083037E" w:rsidRDefault="004A646F" w:rsidP="004A646F">
      <w:pPr>
        <w:spacing w:line="276" w:lineRule="auto"/>
        <w:jc w:val="both"/>
        <w:rPr>
          <w:rFonts w:ascii="Arial" w:eastAsia="Calibri" w:hAnsi="Arial" w:cs="Arial"/>
          <w:color w:val="000000"/>
        </w:rPr>
      </w:pPr>
    </w:p>
    <w:p w14:paraId="70898398" w14:textId="531D4347" w:rsidR="00F64793" w:rsidRPr="0083037E" w:rsidRDefault="00F64793" w:rsidP="004A646F">
      <w:pPr>
        <w:spacing w:line="276" w:lineRule="auto"/>
        <w:jc w:val="both"/>
        <w:rPr>
          <w:rFonts w:ascii="Arial" w:hAnsi="Arial" w:cs="Arial"/>
          <w:color w:val="0D0D0D"/>
          <w:bdr w:val="none" w:sz="0" w:space="0" w:color="auto" w:frame="1"/>
          <w:lang w:eastAsia="es-CO"/>
        </w:rPr>
      </w:pPr>
      <w:r w:rsidRPr="0083037E">
        <w:rPr>
          <w:rFonts w:ascii="Arial" w:hAnsi="Arial" w:cs="Arial"/>
          <w:noProof/>
          <w:color w:val="000000" w:themeColor="text1"/>
          <w:lang w:val="es-ES_tradnl"/>
        </w:rPr>
        <w:t xml:space="preserve">Bogotá D.C., </w:t>
      </w:r>
      <w:r w:rsidR="00BD33FE">
        <w:rPr>
          <w:rFonts w:ascii="Arial" w:hAnsi="Arial" w:cs="Arial"/>
          <w:b/>
          <w:color w:val="000000" w:themeColor="text1"/>
          <w:lang w:val="es-ES_tradnl"/>
        </w:rPr>
        <w:t>22/02/2022 11:02:53</w:t>
      </w:r>
    </w:p>
    <w:p w14:paraId="668A4146" w14:textId="77777777" w:rsidR="00F64793" w:rsidRPr="0083037E" w:rsidRDefault="00F64793" w:rsidP="00F64793">
      <w:pPr>
        <w:spacing w:line="276" w:lineRule="auto"/>
        <w:jc w:val="both"/>
        <w:rPr>
          <w:rFonts w:ascii="Arial" w:eastAsia="Calibri" w:hAnsi="Arial" w:cs="Arial"/>
          <w:noProof/>
          <w:color w:val="000000" w:themeColor="text1"/>
          <w:lang w:val="es-ES_tradnl"/>
        </w:rPr>
      </w:pPr>
    </w:p>
    <w:p w14:paraId="38AE9985" w14:textId="5BFA701E" w:rsidR="00BD33FE" w:rsidRDefault="00BD33FE" w:rsidP="00BD33FE">
      <w:pPr>
        <w:jc w:val="right"/>
      </w:pPr>
      <w:r>
        <w:fldChar w:fldCharType="begin"/>
      </w:r>
      <w:r>
        <w:instrText xml:space="preserve"> INCLUDEPICTURE "/var/folders/z2/mpmwzz0s3w31yr1_fh2qtrr80000gn/T/com.microsoft.Word/WebArchiveCopyPasteTempFiles/page1image37146896" \* MERGEFORMATINET </w:instrText>
      </w:r>
      <w:r>
        <w:fldChar w:fldCharType="separate"/>
      </w:r>
      <w:r>
        <w:rPr>
          <w:noProof/>
        </w:rPr>
        <w:drawing>
          <wp:inline distT="0" distB="0" distL="0" distR="0" wp14:anchorId="4DD9D433" wp14:editId="68248475">
            <wp:extent cx="2402205" cy="612140"/>
            <wp:effectExtent l="0" t="0" r="0" b="0"/>
            <wp:docPr id="1" name="Imagen 1" descr="page1image37146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3714689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2205" cy="612140"/>
                    </a:xfrm>
                    <a:prstGeom prst="rect">
                      <a:avLst/>
                    </a:prstGeom>
                    <a:noFill/>
                    <a:ln>
                      <a:noFill/>
                    </a:ln>
                  </pic:spPr>
                </pic:pic>
              </a:graphicData>
            </a:graphic>
          </wp:inline>
        </w:drawing>
      </w:r>
      <w:r>
        <w:fldChar w:fldCharType="end"/>
      </w:r>
    </w:p>
    <w:p w14:paraId="3DADFBA4" w14:textId="77777777" w:rsidR="0019670B" w:rsidRPr="0083037E" w:rsidRDefault="0019670B" w:rsidP="00932CDB">
      <w:pPr>
        <w:rPr>
          <w:rFonts w:ascii="Arial" w:eastAsia="Calibri" w:hAnsi="Arial" w:cs="Arial"/>
          <w:lang w:val="es-MX"/>
        </w:rPr>
      </w:pPr>
    </w:p>
    <w:p w14:paraId="5D13E289" w14:textId="7D884EDB" w:rsidR="00932CDB" w:rsidRPr="0083037E" w:rsidRDefault="00B749D1" w:rsidP="00932CDB">
      <w:pPr>
        <w:rPr>
          <w:rFonts w:ascii="Arial" w:eastAsia="Calibri" w:hAnsi="Arial" w:cs="Arial"/>
          <w:bCs/>
          <w:lang w:val="es-ES"/>
        </w:rPr>
      </w:pPr>
      <w:r w:rsidRPr="0083037E">
        <w:rPr>
          <w:rFonts w:ascii="Arial" w:eastAsia="Calibri" w:hAnsi="Arial" w:cs="Arial"/>
          <w:lang w:val="es-MX"/>
        </w:rPr>
        <w:t>Señor</w:t>
      </w:r>
    </w:p>
    <w:p w14:paraId="5432362D" w14:textId="01F53B4C" w:rsidR="00B749D1" w:rsidRPr="0083037E" w:rsidRDefault="00B87144" w:rsidP="00932CDB">
      <w:pPr>
        <w:rPr>
          <w:rFonts w:ascii="Arial" w:eastAsia="Calibri" w:hAnsi="Arial" w:cs="Arial"/>
          <w:b/>
          <w:bCs/>
          <w:lang w:val="es-ES"/>
        </w:rPr>
      </w:pPr>
      <w:r w:rsidRPr="0083037E">
        <w:rPr>
          <w:rFonts w:ascii="Arial" w:hAnsi="Arial" w:cs="Arial"/>
          <w:b/>
          <w:bCs/>
        </w:rPr>
        <w:t>Ciudadano anónimo</w:t>
      </w:r>
    </w:p>
    <w:p w14:paraId="5229344E" w14:textId="4F91A1A5" w:rsidR="00B749D1" w:rsidRPr="0083037E" w:rsidRDefault="00484CFD" w:rsidP="00B749D1">
      <w:pPr>
        <w:rPr>
          <w:rFonts w:ascii="Arial" w:eastAsia="Calibri" w:hAnsi="Arial" w:cs="Arial"/>
          <w:b/>
          <w:lang w:val="es-ES"/>
        </w:rPr>
      </w:pPr>
      <w:r w:rsidRPr="0083037E">
        <w:rPr>
          <w:rFonts w:ascii="Arial" w:eastAsia="Calibri" w:hAnsi="Arial" w:cs="Arial"/>
          <w:bCs/>
          <w:lang w:val="es-ES"/>
        </w:rPr>
        <w:t>Ciudad</w:t>
      </w:r>
    </w:p>
    <w:p w14:paraId="51E6256A" w14:textId="77777777" w:rsidR="00B749D1" w:rsidRPr="0083037E" w:rsidRDefault="00B749D1" w:rsidP="00B749D1">
      <w:pPr>
        <w:rPr>
          <w:rFonts w:ascii="Arial" w:eastAsia="Calibri" w:hAnsi="Arial" w:cs="Arial"/>
          <w:lang w:val="es-MX"/>
        </w:rPr>
      </w:pPr>
    </w:p>
    <w:p w14:paraId="05363F2F" w14:textId="16305E69" w:rsidR="00B749D1" w:rsidRPr="0083037E" w:rsidRDefault="00B749D1" w:rsidP="00B749D1">
      <w:pPr>
        <w:ind w:left="2124" w:firstLine="570"/>
        <w:rPr>
          <w:rFonts w:ascii="Arial" w:eastAsia="Calibri" w:hAnsi="Arial" w:cs="Arial"/>
          <w:b/>
          <w:lang w:val="es-MX"/>
        </w:rPr>
      </w:pPr>
      <w:r w:rsidRPr="0083037E">
        <w:rPr>
          <w:rFonts w:ascii="Arial" w:eastAsia="Calibri" w:hAnsi="Arial" w:cs="Arial"/>
          <w:b/>
          <w:lang w:val="es-MX"/>
        </w:rPr>
        <w:t>Concepto C</w:t>
      </w:r>
      <w:r w:rsidR="005E0AA3" w:rsidRPr="0083037E">
        <w:rPr>
          <w:rFonts w:ascii="Arial" w:eastAsia="Calibri" w:hAnsi="Arial" w:cs="Arial"/>
          <w:b/>
          <w:lang w:val="es-MX"/>
        </w:rPr>
        <w:t xml:space="preserve"> </w:t>
      </w:r>
      <w:r w:rsidRPr="0083037E">
        <w:rPr>
          <w:rFonts w:ascii="Arial" w:eastAsia="Calibri" w:hAnsi="Arial" w:cs="Arial"/>
          <w:b/>
          <w:lang w:val="es-MX"/>
        </w:rPr>
        <w:t>–</w:t>
      </w:r>
      <w:r w:rsidR="005E0AA3" w:rsidRPr="0083037E">
        <w:rPr>
          <w:rFonts w:ascii="Arial" w:eastAsia="Calibri" w:hAnsi="Arial" w:cs="Arial"/>
          <w:b/>
          <w:lang w:val="es-MX"/>
        </w:rPr>
        <w:t xml:space="preserve"> </w:t>
      </w:r>
      <w:r w:rsidR="00794BF2" w:rsidRPr="0083037E">
        <w:rPr>
          <w:rFonts w:ascii="Arial" w:eastAsia="Calibri" w:hAnsi="Arial" w:cs="Arial"/>
          <w:b/>
          <w:lang w:val="es-MX"/>
        </w:rPr>
        <w:t>025</w:t>
      </w:r>
      <w:r w:rsidRPr="0083037E">
        <w:rPr>
          <w:rFonts w:ascii="Arial" w:eastAsia="Calibri" w:hAnsi="Arial" w:cs="Arial"/>
          <w:b/>
          <w:lang w:val="es-MX"/>
        </w:rPr>
        <w:t xml:space="preserve"> de 202</w:t>
      </w:r>
      <w:r w:rsidR="00794BF2" w:rsidRPr="0083037E">
        <w:rPr>
          <w:rFonts w:ascii="Arial" w:eastAsia="Calibri" w:hAnsi="Arial" w:cs="Arial"/>
          <w:b/>
          <w:lang w:val="es-MX"/>
        </w:rPr>
        <w:t>2</w:t>
      </w:r>
    </w:p>
    <w:p w14:paraId="1B56FF4F" w14:textId="77777777" w:rsidR="00B922E8" w:rsidRPr="0083037E" w:rsidRDefault="00B922E8" w:rsidP="00B749D1">
      <w:pPr>
        <w:rPr>
          <w:rFonts w:ascii="Arial" w:eastAsia="Calibri" w:hAnsi="Arial" w:cs="Arial"/>
          <w:lang w:val="es-MX"/>
        </w:rPr>
      </w:pPr>
    </w:p>
    <w:tbl>
      <w:tblPr>
        <w:tblStyle w:val="Tablaconcuadrcula2"/>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B749D1" w:rsidRPr="0083037E" w14:paraId="1CAF0548" w14:textId="77777777" w:rsidTr="00932CDB">
        <w:trPr>
          <w:trHeight w:val="866"/>
        </w:trPr>
        <w:tc>
          <w:tcPr>
            <w:tcW w:w="2689" w:type="dxa"/>
            <w:hideMark/>
          </w:tcPr>
          <w:p w14:paraId="60F73698" w14:textId="77777777" w:rsidR="00B749D1" w:rsidRPr="0083037E" w:rsidRDefault="00B749D1" w:rsidP="00B749D1">
            <w:pPr>
              <w:rPr>
                <w:rFonts w:ascii="Arial" w:eastAsia="Calibri" w:hAnsi="Arial" w:cs="Arial"/>
                <w:lang w:val="es-MX"/>
              </w:rPr>
            </w:pPr>
            <w:r w:rsidRPr="0083037E">
              <w:rPr>
                <w:rFonts w:ascii="Arial" w:eastAsia="Calibri" w:hAnsi="Arial" w:cs="Arial"/>
                <w:b/>
                <w:lang w:val="es-MX"/>
              </w:rPr>
              <w:t>Temas:</w:t>
            </w:r>
            <w:r w:rsidRPr="0083037E">
              <w:rPr>
                <w:rFonts w:ascii="Arial" w:eastAsia="Calibri" w:hAnsi="Arial" w:cs="Arial"/>
                <w:lang w:val="es-MX"/>
              </w:rPr>
              <w:t xml:space="preserve">  </w:t>
            </w:r>
          </w:p>
          <w:p w14:paraId="06F65D2F" w14:textId="77777777" w:rsidR="00B749D1" w:rsidRPr="0083037E" w:rsidRDefault="00B749D1" w:rsidP="00B749D1">
            <w:pPr>
              <w:rPr>
                <w:rFonts w:ascii="Arial" w:eastAsia="Calibri" w:hAnsi="Arial" w:cs="Arial"/>
                <w:lang w:val="es-MX"/>
              </w:rPr>
            </w:pPr>
            <w:r w:rsidRPr="0083037E">
              <w:rPr>
                <w:rFonts w:ascii="Arial" w:eastAsia="Calibri" w:hAnsi="Arial" w:cs="Arial"/>
                <w:lang w:val="es-MX"/>
              </w:rPr>
              <w:t xml:space="preserve"> </w:t>
            </w:r>
          </w:p>
        </w:tc>
        <w:tc>
          <w:tcPr>
            <w:tcW w:w="6237" w:type="dxa"/>
            <w:hideMark/>
          </w:tcPr>
          <w:p w14:paraId="6BE3AE10" w14:textId="3F8669D9" w:rsidR="003C4C74" w:rsidRPr="0083037E" w:rsidRDefault="003C4C74" w:rsidP="00C746C4">
            <w:pPr>
              <w:shd w:val="clear" w:color="auto" w:fill="FFFFFF"/>
              <w:spacing w:after="120"/>
              <w:jc w:val="both"/>
              <w:rPr>
                <w:rFonts w:ascii="Arial" w:eastAsia="Calibri" w:hAnsi="Arial" w:cs="Arial"/>
                <w:bCs/>
                <w:color w:val="000000"/>
              </w:rPr>
            </w:pPr>
            <w:r w:rsidRPr="0083037E">
              <w:rPr>
                <w:rFonts w:ascii="Arial" w:eastAsia="Calibri" w:hAnsi="Arial" w:cs="Arial"/>
                <w:bCs/>
                <w:lang w:val="es-ES_tradnl"/>
              </w:rPr>
              <w:t xml:space="preserve">DOCUMENTOS TIPO </w:t>
            </w:r>
            <w:r w:rsidRPr="0083037E">
              <w:rPr>
                <w:rFonts w:ascii="Arial" w:eastAsia="Calibri" w:hAnsi="Arial" w:cs="Arial"/>
                <w:bCs/>
                <w:color w:val="000000"/>
                <w:lang w:val="es-ES_tradnl"/>
              </w:rPr>
              <w:t>–</w:t>
            </w:r>
            <w:r w:rsidRPr="0083037E">
              <w:rPr>
                <w:rFonts w:ascii="Arial" w:eastAsia="Calibri" w:hAnsi="Arial" w:cs="Arial"/>
                <w:bCs/>
                <w:lang w:val="es-ES_tradnl"/>
              </w:rPr>
              <w:t xml:space="preserve"> Fundamento normativo </w:t>
            </w:r>
            <w:r w:rsidRPr="0083037E">
              <w:rPr>
                <w:rFonts w:ascii="Arial" w:eastAsia="Calibri" w:hAnsi="Arial" w:cs="Arial"/>
                <w:bCs/>
                <w:color w:val="000000"/>
                <w:lang w:val="es-ES_tradnl"/>
              </w:rPr>
              <w:t xml:space="preserve">– </w:t>
            </w:r>
            <w:r w:rsidRPr="0083037E">
              <w:rPr>
                <w:rFonts w:ascii="Arial" w:eastAsia="Calibri" w:hAnsi="Arial" w:cs="Arial"/>
                <w:bCs/>
                <w:lang w:val="es-ES_tradnl"/>
              </w:rPr>
              <w:t xml:space="preserve">Ley 2022 de 2020 / </w:t>
            </w:r>
            <w:r w:rsidRPr="0083037E">
              <w:rPr>
                <w:rFonts w:ascii="Arial" w:eastAsia="Calibri" w:hAnsi="Arial" w:cs="Arial"/>
                <w:bCs/>
                <w:lang w:val="es-ES_tradnl" w:eastAsia="es-ES"/>
              </w:rPr>
              <w:t xml:space="preserve">DOCUMENTOS TIPO </w:t>
            </w:r>
            <w:r w:rsidRPr="0083037E">
              <w:rPr>
                <w:rFonts w:ascii="Arial" w:eastAsia="Calibri" w:hAnsi="Arial" w:cs="Arial"/>
                <w:bCs/>
                <w:lang w:val="x-none" w:eastAsia="es-ES"/>
              </w:rPr>
              <w:t>–</w:t>
            </w:r>
            <w:r w:rsidRPr="0083037E">
              <w:rPr>
                <w:rFonts w:ascii="Arial" w:eastAsia="Calibri" w:hAnsi="Arial" w:cs="Arial"/>
                <w:bCs/>
                <w:lang w:val="es-ES_tradnl" w:eastAsia="es-ES"/>
              </w:rPr>
              <w:t xml:space="preserve"> Inalterabilidad / </w:t>
            </w:r>
            <w:r w:rsidRPr="0083037E">
              <w:rPr>
                <w:rFonts w:ascii="Arial" w:eastAsia="Calibri" w:hAnsi="Arial" w:cs="Arial"/>
                <w:bCs/>
                <w:color w:val="000000"/>
              </w:rPr>
              <w:t>DOCUMENTOS TIPO − Matriz 1 – Experiencia – Aplicación</w:t>
            </w:r>
            <w:r w:rsidR="004A646F" w:rsidRPr="0083037E">
              <w:rPr>
                <w:rFonts w:ascii="Arial" w:eastAsia="Calibri" w:hAnsi="Arial" w:cs="Arial"/>
                <w:bCs/>
                <w:color w:val="000000"/>
              </w:rPr>
              <w:t xml:space="preserve"> / MATRIZ 1 – Experiencia – Tipos de consultoría – Criterios de definición</w:t>
            </w:r>
          </w:p>
          <w:p w14:paraId="1B7D6AB3" w14:textId="77777777" w:rsidR="00B749D1" w:rsidRPr="0083037E" w:rsidRDefault="00B749D1" w:rsidP="003C4C74">
            <w:pPr>
              <w:jc w:val="both"/>
              <w:rPr>
                <w:rFonts w:ascii="Arial" w:eastAsia="Calibri" w:hAnsi="Arial" w:cs="Arial"/>
                <w:lang w:val="es-ES_tradnl" w:eastAsia="es-ES"/>
              </w:rPr>
            </w:pPr>
          </w:p>
        </w:tc>
        <w:tc>
          <w:tcPr>
            <w:tcW w:w="6237" w:type="dxa"/>
          </w:tcPr>
          <w:p w14:paraId="35732068" w14:textId="77777777" w:rsidR="00B749D1" w:rsidRPr="0083037E" w:rsidRDefault="00B749D1" w:rsidP="00B749D1">
            <w:pPr>
              <w:spacing w:after="120" w:line="276" w:lineRule="auto"/>
              <w:jc w:val="both"/>
              <w:rPr>
                <w:rFonts w:ascii="Arial" w:eastAsia="Calibri" w:hAnsi="Arial" w:cs="Arial"/>
                <w:lang w:val="es-MX" w:eastAsia="es-ES"/>
              </w:rPr>
            </w:pPr>
          </w:p>
        </w:tc>
      </w:tr>
      <w:tr w:rsidR="00B749D1" w:rsidRPr="0083037E" w14:paraId="161D72BB" w14:textId="77777777" w:rsidTr="00274E27">
        <w:tc>
          <w:tcPr>
            <w:tcW w:w="2689" w:type="dxa"/>
          </w:tcPr>
          <w:p w14:paraId="6A7C1ECD" w14:textId="77777777" w:rsidR="00B749D1" w:rsidRPr="0083037E" w:rsidRDefault="00B749D1" w:rsidP="00B749D1">
            <w:pPr>
              <w:rPr>
                <w:rFonts w:ascii="Arial" w:eastAsia="Calibri" w:hAnsi="Arial" w:cs="Arial"/>
                <w:b/>
                <w:lang w:val="es-MX"/>
              </w:rPr>
            </w:pPr>
            <w:r w:rsidRPr="0083037E">
              <w:rPr>
                <w:rFonts w:ascii="Arial" w:eastAsia="Calibri" w:hAnsi="Arial" w:cs="Arial"/>
                <w:b/>
                <w:lang w:val="es-MX"/>
              </w:rPr>
              <w:t>Radicación:</w:t>
            </w:r>
            <w:r w:rsidRPr="0083037E">
              <w:rPr>
                <w:rFonts w:ascii="Arial" w:eastAsia="Calibri" w:hAnsi="Arial" w:cs="Arial"/>
                <w:lang w:val="es-MX"/>
              </w:rPr>
              <w:t xml:space="preserve"> </w:t>
            </w:r>
          </w:p>
        </w:tc>
        <w:tc>
          <w:tcPr>
            <w:tcW w:w="6237" w:type="dxa"/>
          </w:tcPr>
          <w:p w14:paraId="1334FB0D" w14:textId="10D44ADB" w:rsidR="00B749D1" w:rsidRPr="0083037E" w:rsidRDefault="00B749D1" w:rsidP="00B749D1">
            <w:pPr>
              <w:jc w:val="both"/>
              <w:rPr>
                <w:rFonts w:ascii="Arial" w:eastAsia="Calibri" w:hAnsi="Arial" w:cs="Arial"/>
                <w:lang w:val="es-MX"/>
              </w:rPr>
            </w:pPr>
            <w:r w:rsidRPr="0083037E">
              <w:rPr>
                <w:rFonts w:ascii="Arial" w:eastAsia="Calibri" w:hAnsi="Arial" w:cs="Arial"/>
                <w:lang w:val="es-MX"/>
              </w:rPr>
              <w:t>Respuesta a consulta</w:t>
            </w:r>
            <w:r w:rsidR="00773AA9" w:rsidRPr="0083037E">
              <w:rPr>
                <w:rFonts w:ascii="Arial" w:eastAsia="Calibri" w:hAnsi="Arial" w:cs="Arial"/>
                <w:lang w:val="es-MX"/>
              </w:rPr>
              <w:t xml:space="preserve"> #</w:t>
            </w:r>
            <w:r w:rsidRPr="0083037E">
              <w:rPr>
                <w:rFonts w:ascii="Arial" w:eastAsia="Calibri" w:hAnsi="Arial" w:cs="Arial"/>
                <w:lang w:val="es-MX"/>
              </w:rPr>
              <w:t xml:space="preserve"> </w:t>
            </w:r>
            <w:r w:rsidR="00D96383" w:rsidRPr="0083037E">
              <w:rPr>
                <w:rFonts w:ascii="Arial" w:eastAsia="Calibri" w:hAnsi="Arial" w:cs="Arial"/>
                <w:lang w:val="es-MX"/>
              </w:rPr>
              <w:t>P20220111000140</w:t>
            </w:r>
          </w:p>
        </w:tc>
        <w:tc>
          <w:tcPr>
            <w:tcW w:w="6237" w:type="dxa"/>
          </w:tcPr>
          <w:p w14:paraId="728FEA53" w14:textId="77777777" w:rsidR="00B749D1" w:rsidRPr="0083037E" w:rsidRDefault="00B749D1" w:rsidP="00B749D1">
            <w:pPr>
              <w:jc w:val="both"/>
              <w:rPr>
                <w:rFonts w:ascii="Arial" w:eastAsia="Calibri" w:hAnsi="Arial" w:cs="Arial"/>
                <w:lang w:val="es-MX"/>
              </w:rPr>
            </w:pPr>
          </w:p>
        </w:tc>
      </w:tr>
    </w:tbl>
    <w:p w14:paraId="5B962064" w14:textId="33BA4D75" w:rsidR="00B749D1" w:rsidRPr="0083037E" w:rsidRDefault="00B749D1" w:rsidP="00B749D1">
      <w:pPr>
        <w:spacing w:line="276" w:lineRule="auto"/>
        <w:rPr>
          <w:rFonts w:ascii="Arial" w:eastAsia="Calibri" w:hAnsi="Arial" w:cs="Arial"/>
          <w:lang w:val="es-MX"/>
        </w:rPr>
      </w:pPr>
    </w:p>
    <w:p w14:paraId="0D3A51FB" w14:textId="77777777" w:rsidR="0046135C" w:rsidRPr="0083037E" w:rsidRDefault="0046135C" w:rsidP="00B749D1">
      <w:pPr>
        <w:spacing w:line="276" w:lineRule="auto"/>
        <w:rPr>
          <w:rFonts w:ascii="Arial" w:eastAsia="Calibri" w:hAnsi="Arial" w:cs="Arial"/>
          <w:lang w:val="es-MX"/>
        </w:rPr>
      </w:pPr>
    </w:p>
    <w:p w14:paraId="296593D7" w14:textId="34BA7F8B" w:rsidR="00B749D1" w:rsidRPr="0083037E" w:rsidRDefault="00B749D1" w:rsidP="00B749D1">
      <w:pPr>
        <w:spacing w:line="276" w:lineRule="auto"/>
        <w:rPr>
          <w:rFonts w:ascii="Arial" w:eastAsia="Calibri" w:hAnsi="Arial" w:cs="Arial"/>
          <w:lang w:val="es-MX"/>
        </w:rPr>
      </w:pPr>
      <w:r w:rsidRPr="0083037E">
        <w:rPr>
          <w:rFonts w:ascii="Arial" w:eastAsia="Calibri" w:hAnsi="Arial" w:cs="Arial"/>
          <w:lang w:val="es-MX"/>
        </w:rPr>
        <w:t>Estimad</w:t>
      </w:r>
      <w:r w:rsidR="00F22695" w:rsidRPr="0083037E">
        <w:rPr>
          <w:rFonts w:ascii="Arial" w:eastAsia="Calibri" w:hAnsi="Arial" w:cs="Arial"/>
          <w:lang w:val="es-MX"/>
        </w:rPr>
        <w:t>o ciudadano</w:t>
      </w:r>
      <w:r w:rsidR="00932CDB" w:rsidRPr="0083037E">
        <w:rPr>
          <w:rFonts w:ascii="Arial" w:eastAsia="Calibri" w:hAnsi="Arial" w:cs="Arial"/>
          <w:lang w:val="es-ES"/>
        </w:rPr>
        <w:t>:</w:t>
      </w:r>
    </w:p>
    <w:p w14:paraId="38E56E15" w14:textId="77777777" w:rsidR="00B749D1" w:rsidRPr="0083037E" w:rsidRDefault="00B749D1" w:rsidP="00B749D1">
      <w:pPr>
        <w:spacing w:line="276" w:lineRule="auto"/>
        <w:rPr>
          <w:rFonts w:ascii="Arial" w:eastAsia="Calibri" w:hAnsi="Arial" w:cs="Arial"/>
          <w:lang w:val="es-MX"/>
        </w:rPr>
      </w:pPr>
    </w:p>
    <w:p w14:paraId="54BCE056" w14:textId="4E3F9F5C" w:rsidR="00B749D1" w:rsidRPr="0083037E" w:rsidRDefault="00B749D1" w:rsidP="00932CDB">
      <w:pPr>
        <w:spacing w:line="276" w:lineRule="auto"/>
        <w:jc w:val="both"/>
        <w:rPr>
          <w:rFonts w:ascii="Arial" w:eastAsia="Calibri" w:hAnsi="Arial" w:cs="Arial"/>
          <w:lang w:val="es-MX"/>
        </w:rPr>
      </w:pPr>
      <w:r w:rsidRPr="0083037E">
        <w:rPr>
          <w:rFonts w:ascii="Arial" w:eastAsia="Calibri" w:hAnsi="Arial" w:cs="Arial"/>
          <w:lang w:val="es-MX"/>
        </w:rPr>
        <w:t xml:space="preserve">En ejercicio de la competencia otorgada por el numeral 8 del artículo 11 y el numeral 5 del artículo 3 del Decreto Ley 4170 de 2011, la Agencia Nacional de Contratación Pública – Colombia Compra Eficiente responde la consulta del </w:t>
      </w:r>
      <w:r w:rsidR="00A34C8F" w:rsidRPr="0083037E">
        <w:rPr>
          <w:rFonts w:ascii="Arial" w:eastAsia="Calibri" w:hAnsi="Arial" w:cs="Arial"/>
          <w:lang w:val="es-MX"/>
        </w:rPr>
        <w:t>11</w:t>
      </w:r>
      <w:r w:rsidRPr="0083037E">
        <w:rPr>
          <w:rFonts w:ascii="Arial" w:eastAsia="Calibri" w:hAnsi="Arial" w:cs="Arial"/>
          <w:lang w:val="es-MX"/>
        </w:rPr>
        <w:t xml:space="preserve"> de </w:t>
      </w:r>
      <w:r w:rsidR="00A34C8F" w:rsidRPr="0083037E">
        <w:rPr>
          <w:rFonts w:ascii="Arial" w:eastAsia="Calibri" w:hAnsi="Arial" w:cs="Arial"/>
          <w:lang w:val="es-MX"/>
        </w:rPr>
        <w:t>enero</w:t>
      </w:r>
      <w:r w:rsidRPr="0083037E">
        <w:rPr>
          <w:rFonts w:ascii="Arial" w:eastAsia="Calibri" w:hAnsi="Arial" w:cs="Arial"/>
          <w:lang w:val="es-MX"/>
        </w:rPr>
        <w:t xml:space="preserve"> de 202</w:t>
      </w:r>
      <w:r w:rsidR="00A34C8F" w:rsidRPr="0083037E">
        <w:rPr>
          <w:rFonts w:ascii="Arial" w:eastAsia="Calibri" w:hAnsi="Arial" w:cs="Arial"/>
          <w:lang w:val="es-MX"/>
        </w:rPr>
        <w:t>2</w:t>
      </w:r>
      <w:r w:rsidRPr="0083037E">
        <w:rPr>
          <w:rFonts w:ascii="Arial" w:eastAsia="Calibri" w:hAnsi="Arial" w:cs="Arial"/>
          <w:lang w:val="es-MX"/>
        </w:rPr>
        <w:t>.</w:t>
      </w:r>
    </w:p>
    <w:p w14:paraId="6CF732BC" w14:textId="77777777" w:rsidR="00B749D1" w:rsidRPr="0083037E" w:rsidRDefault="00B749D1" w:rsidP="00932CDB">
      <w:pPr>
        <w:spacing w:line="276" w:lineRule="auto"/>
        <w:jc w:val="both"/>
        <w:rPr>
          <w:rFonts w:ascii="Arial" w:eastAsia="Calibri" w:hAnsi="Arial" w:cs="Arial"/>
          <w:lang w:val="es-MX"/>
        </w:rPr>
      </w:pPr>
    </w:p>
    <w:p w14:paraId="62623AEC" w14:textId="77777777" w:rsidR="00B749D1" w:rsidRPr="0083037E" w:rsidRDefault="00B749D1" w:rsidP="00932CDB">
      <w:pPr>
        <w:tabs>
          <w:tab w:val="left" w:pos="284"/>
        </w:tabs>
        <w:spacing w:line="276" w:lineRule="auto"/>
        <w:contextualSpacing/>
        <w:jc w:val="both"/>
        <w:rPr>
          <w:rFonts w:ascii="Arial" w:eastAsia="Calibri" w:hAnsi="Arial" w:cs="Arial"/>
          <w:b/>
          <w:lang w:val="es-MX"/>
        </w:rPr>
      </w:pPr>
      <w:r w:rsidRPr="0083037E">
        <w:rPr>
          <w:rFonts w:ascii="Arial" w:eastAsia="Calibri" w:hAnsi="Arial" w:cs="Arial"/>
          <w:b/>
          <w:lang w:val="es-MX"/>
        </w:rPr>
        <w:t>1. Problema planteado</w:t>
      </w:r>
    </w:p>
    <w:p w14:paraId="0B5E2F18" w14:textId="77777777" w:rsidR="00932CDB" w:rsidRPr="0083037E" w:rsidRDefault="00932CDB" w:rsidP="00932CDB">
      <w:pPr>
        <w:spacing w:line="276" w:lineRule="auto"/>
        <w:ind w:right="709"/>
        <w:rPr>
          <w:rFonts w:ascii="Arial" w:hAnsi="Arial" w:cs="Arial"/>
        </w:rPr>
      </w:pPr>
    </w:p>
    <w:p w14:paraId="04669327" w14:textId="521163EE" w:rsidR="00932CDB" w:rsidRPr="0083037E" w:rsidRDefault="00932CDB" w:rsidP="00932CDB">
      <w:pPr>
        <w:spacing w:line="276" w:lineRule="auto"/>
        <w:jc w:val="both"/>
        <w:rPr>
          <w:rFonts w:ascii="Arial" w:hAnsi="Arial" w:cs="Arial"/>
        </w:rPr>
      </w:pPr>
      <w:r w:rsidRPr="0083037E">
        <w:rPr>
          <w:rFonts w:ascii="Arial" w:hAnsi="Arial" w:cs="Arial"/>
        </w:rPr>
        <w:t>Usted realiza la siguiente pregunta:</w:t>
      </w:r>
    </w:p>
    <w:p w14:paraId="0033716A" w14:textId="50929BB7" w:rsidR="00335DFF" w:rsidRPr="0083037E" w:rsidRDefault="00335DFF" w:rsidP="00932CDB">
      <w:pPr>
        <w:spacing w:line="276" w:lineRule="auto"/>
        <w:jc w:val="both"/>
        <w:rPr>
          <w:rFonts w:ascii="Arial" w:hAnsi="Arial" w:cs="Arial"/>
        </w:rPr>
      </w:pPr>
    </w:p>
    <w:p w14:paraId="236C9BC4" w14:textId="1DD5CF83" w:rsidR="00335DFF" w:rsidRPr="0083037E" w:rsidRDefault="0081507E" w:rsidP="0081507E">
      <w:pPr>
        <w:ind w:left="709" w:right="709"/>
        <w:jc w:val="both"/>
        <w:rPr>
          <w:rFonts w:ascii="Arial" w:eastAsia="Calibri" w:hAnsi="Arial" w:cs="Arial"/>
          <w:bCs/>
          <w:sz w:val="21"/>
          <w:szCs w:val="21"/>
        </w:rPr>
      </w:pPr>
      <w:r w:rsidRPr="0083037E">
        <w:rPr>
          <w:rFonts w:ascii="Arial" w:eastAsia="Calibri" w:hAnsi="Arial" w:cs="Arial"/>
          <w:bCs/>
          <w:sz w:val="21"/>
          <w:szCs w:val="21"/>
        </w:rPr>
        <w:t>«</w:t>
      </w:r>
      <w:r w:rsidR="00335DFF" w:rsidRPr="0083037E">
        <w:rPr>
          <w:rFonts w:ascii="Arial" w:eastAsia="Calibri" w:hAnsi="Arial" w:cs="Arial"/>
          <w:bCs/>
          <w:sz w:val="21"/>
          <w:szCs w:val="21"/>
        </w:rPr>
        <w:t xml:space="preserve">De acuerdo a los Documentos Tipo de </w:t>
      </w:r>
      <w:r w:rsidRPr="0083037E">
        <w:rPr>
          <w:rFonts w:ascii="Arial" w:eastAsia="Calibri" w:hAnsi="Arial" w:cs="Arial"/>
          <w:bCs/>
          <w:sz w:val="21"/>
          <w:szCs w:val="21"/>
        </w:rPr>
        <w:t>Consultoría</w:t>
      </w:r>
      <w:r w:rsidR="00335DFF" w:rsidRPr="0083037E">
        <w:rPr>
          <w:rFonts w:ascii="Arial" w:eastAsia="Calibri" w:hAnsi="Arial" w:cs="Arial"/>
          <w:bCs/>
          <w:sz w:val="21"/>
          <w:szCs w:val="21"/>
        </w:rPr>
        <w:t xml:space="preserve"> de Estudios de </w:t>
      </w:r>
      <w:r w:rsidRPr="0083037E">
        <w:rPr>
          <w:rFonts w:ascii="Arial" w:eastAsia="Calibri" w:hAnsi="Arial" w:cs="Arial"/>
          <w:bCs/>
          <w:sz w:val="21"/>
          <w:szCs w:val="21"/>
        </w:rPr>
        <w:t>Ingeniería</w:t>
      </w:r>
      <w:r w:rsidR="00335DFF" w:rsidRPr="0083037E">
        <w:rPr>
          <w:rFonts w:ascii="Arial" w:eastAsia="Calibri" w:hAnsi="Arial" w:cs="Arial"/>
          <w:bCs/>
          <w:sz w:val="21"/>
          <w:szCs w:val="21"/>
        </w:rPr>
        <w:t xml:space="preserve"> de Infraestructura de Trasporte, </w:t>
      </w:r>
      <w:r w:rsidRPr="0083037E">
        <w:rPr>
          <w:rFonts w:ascii="Arial" w:eastAsia="Calibri" w:hAnsi="Arial" w:cs="Arial"/>
          <w:bCs/>
          <w:sz w:val="21"/>
          <w:szCs w:val="21"/>
        </w:rPr>
        <w:t>específicamente</w:t>
      </w:r>
      <w:r w:rsidR="00335DFF" w:rsidRPr="0083037E">
        <w:rPr>
          <w:rFonts w:ascii="Arial" w:eastAsia="Calibri" w:hAnsi="Arial" w:cs="Arial"/>
          <w:bCs/>
          <w:sz w:val="21"/>
          <w:szCs w:val="21"/>
        </w:rPr>
        <w:t xml:space="preserve"> sobre la matriz de experiencia, solicitamos por favor aclarar con que criterios las Entidades solicitan la experiencia general y especifica de cada uno de los procesos que publican de acuerdo a la matriz de experiencia. igualmente si existe alguna directriz de Colombia Compra Eficiente para que las entidades soliciten una experiencia determinada</w:t>
      </w:r>
      <w:r w:rsidRPr="0083037E">
        <w:rPr>
          <w:rFonts w:ascii="Arial" w:eastAsia="Calibri" w:hAnsi="Arial" w:cs="Arial"/>
          <w:bCs/>
          <w:sz w:val="21"/>
          <w:szCs w:val="21"/>
        </w:rPr>
        <w:t>»</w:t>
      </w:r>
      <w:r w:rsidR="00905858" w:rsidRPr="0083037E">
        <w:rPr>
          <w:rFonts w:ascii="Arial" w:eastAsia="Calibri" w:hAnsi="Arial" w:cs="Arial"/>
          <w:bCs/>
          <w:sz w:val="21"/>
          <w:szCs w:val="21"/>
        </w:rPr>
        <w:t xml:space="preserve"> (sic)</w:t>
      </w:r>
      <w:r w:rsidR="00335DFF" w:rsidRPr="0083037E">
        <w:rPr>
          <w:rFonts w:ascii="Arial" w:eastAsia="Calibri" w:hAnsi="Arial" w:cs="Arial"/>
          <w:bCs/>
          <w:sz w:val="21"/>
          <w:szCs w:val="21"/>
        </w:rPr>
        <w:t>.</w:t>
      </w:r>
    </w:p>
    <w:p w14:paraId="45198716" w14:textId="77777777" w:rsidR="00B749D1" w:rsidRPr="0083037E" w:rsidRDefault="00B749D1" w:rsidP="00932CDB">
      <w:pPr>
        <w:tabs>
          <w:tab w:val="left" w:pos="426"/>
        </w:tabs>
        <w:spacing w:line="276" w:lineRule="auto"/>
        <w:ind w:left="1069" w:right="709"/>
        <w:contextualSpacing/>
        <w:rPr>
          <w:rFonts w:ascii="Arial" w:eastAsia="Calibri" w:hAnsi="Arial" w:cs="Arial"/>
          <w:sz w:val="21"/>
          <w:szCs w:val="21"/>
        </w:rPr>
      </w:pPr>
    </w:p>
    <w:p w14:paraId="7F602537" w14:textId="25C8DFE5" w:rsidR="00B749D1" w:rsidRPr="0083037E" w:rsidRDefault="00B749D1" w:rsidP="00932CDB">
      <w:pPr>
        <w:tabs>
          <w:tab w:val="left" w:pos="426"/>
        </w:tabs>
        <w:spacing w:line="276" w:lineRule="auto"/>
        <w:jc w:val="both"/>
        <w:rPr>
          <w:rFonts w:ascii="Arial" w:eastAsia="Calibri" w:hAnsi="Arial" w:cs="Arial"/>
          <w:b/>
          <w:lang w:val="es-MX"/>
        </w:rPr>
      </w:pPr>
      <w:r w:rsidRPr="0083037E">
        <w:rPr>
          <w:rFonts w:ascii="Arial" w:eastAsia="Calibri" w:hAnsi="Arial" w:cs="Arial"/>
          <w:b/>
          <w:lang w:val="es-MX"/>
        </w:rPr>
        <w:t xml:space="preserve">2. Consideraciones </w:t>
      </w:r>
    </w:p>
    <w:p w14:paraId="264222B8" w14:textId="77777777" w:rsidR="00932CDB" w:rsidRPr="0083037E" w:rsidRDefault="00932CDB" w:rsidP="00932CDB">
      <w:pPr>
        <w:tabs>
          <w:tab w:val="left" w:pos="426"/>
        </w:tabs>
        <w:spacing w:line="276" w:lineRule="auto"/>
        <w:jc w:val="both"/>
        <w:rPr>
          <w:rFonts w:ascii="Arial" w:eastAsia="Calibri" w:hAnsi="Arial" w:cs="Arial"/>
          <w:b/>
          <w:lang w:val="es-MX"/>
        </w:rPr>
      </w:pPr>
    </w:p>
    <w:p w14:paraId="7BAEBBE7" w14:textId="01B2951A" w:rsidR="00932CDB" w:rsidRPr="0083037E" w:rsidRDefault="00B749D1" w:rsidP="00932CDB">
      <w:pPr>
        <w:spacing w:after="120" w:line="276" w:lineRule="auto"/>
        <w:jc w:val="both"/>
        <w:rPr>
          <w:rFonts w:ascii="Arial" w:eastAsia="Calibri" w:hAnsi="Arial" w:cs="Arial"/>
          <w:color w:val="000000"/>
          <w:lang w:val="es-ES_tradnl"/>
        </w:rPr>
      </w:pPr>
      <w:r w:rsidRPr="0083037E">
        <w:rPr>
          <w:rFonts w:ascii="Arial" w:eastAsia="Calibri" w:hAnsi="Arial" w:cs="Arial"/>
          <w:color w:val="000000"/>
          <w:lang w:val="es-ES_tradnl"/>
        </w:rPr>
        <w:t>La Agencia Nacional de Contratación Pública – Colombia Compra Eficiente ha estudiado del ámbito de aplicación de los documentos tipo en los conceptos C-645 del 6 de noviembre de 2020, C-673 del 11 de noviembre de 2020, C-692 del 27 de noviembre de 2020, C-778 del 18 de enero de 2021, C-021 del 22 de febrero de 2021, C-091 del 23 de marzo de 2021, C-200 del 14 de mayo de 2021, C-231 del 24 de mayo de 2021, C-267 de 2 de junio de 2021, C-370 del 28 de julio de 2021</w:t>
      </w:r>
      <w:r w:rsidR="00932CDB" w:rsidRPr="0083037E">
        <w:rPr>
          <w:rFonts w:ascii="Arial" w:eastAsia="Calibri" w:hAnsi="Arial" w:cs="Arial"/>
          <w:color w:val="000000"/>
          <w:lang w:val="es-ES_tradnl"/>
        </w:rPr>
        <w:t xml:space="preserve">, </w:t>
      </w:r>
      <w:r w:rsidRPr="0083037E">
        <w:rPr>
          <w:rFonts w:ascii="Arial" w:eastAsia="Calibri" w:hAnsi="Arial" w:cs="Arial"/>
          <w:color w:val="000000"/>
          <w:lang w:val="es-ES_tradnl"/>
        </w:rPr>
        <w:t>C-380 del 29 de julio de 2021</w:t>
      </w:r>
      <w:r w:rsidR="001D3C22" w:rsidRPr="0083037E">
        <w:rPr>
          <w:rFonts w:ascii="Arial" w:eastAsia="Calibri" w:hAnsi="Arial" w:cs="Arial"/>
          <w:color w:val="000000"/>
          <w:lang w:val="es-ES_tradnl"/>
        </w:rPr>
        <w:t xml:space="preserve">, </w:t>
      </w:r>
      <w:r w:rsidR="00932CDB" w:rsidRPr="0083037E">
        <w:rPr>
          <w:rFonts w:ascii="Arial" w:eastAsia="Calibri" w:hAnsi="Arial" w:cs="Arial"/>
          <w:color w:val="000000"/>
          <w:lang w:val="es-ES_tradnl"/>
        </w:rPr>
        <w:t>C-643 del 17 de noviembre de 2021</w:t>
      </w:r>
      <w:r w:rsidR="001D3C22" w:rsidRPr="0083037E">
        <w:rPr>
          <w:rFonts w:ascii="Arial" w:eastAsia="Calibri" w:hAnsi="Arial" w:cs="Arial"/>
          <w:color w:val="000000"/>
          <w:lang w:val="es-ES_tradnl"/>
        </w:rPr>
        <w:t xml:space="preserve"> y </w:t>
      </w:r>
      <w:r w:rsidR="00720E65" w:rsidRPr="0083037E">
        <w:rPr>
          <w:rFonts w:ascii="Arial" w:eastAsia="Calibri" w:hAnsi="Arial" w:cs="Arial"/>
          <w:color w:val="000000"/>
          <w:lang w:val="es-ES_tradnl"/>
        </w:rPr>
        <w:t xml:space="preserve">C-705 del </w:t>
      </w:r>
      <w:r w:rsidR="006868EC" w:rsidRPr="0083037E">
        <w:rPr>
          <w:rFonts w:ascii="Arial" w:eastAsia="Calibri" w:hAnsi="Arial" w:cs="Arial"/>
          <w:color w:val="000000"/>
          <w:lang w:val="es-ES_tradnl"/>
        </w:rPr>
        <w:t xml:space="preserve">5 de enero de 2022, </w:t>
      </w:r>
      <w:r w:rsidRPr="0083037E">
        <w:rPr>
          <w:rFonts w:ascii="Arial" w:eastAsia="Calibri" w:hAnsi="Arial" w:cs="Arial"/>
          <w:color w:val="000000"/>
          <w:lang w:val="es-ES_tradnl"/>
        </w:rPr>
        <w:t xml:space="preserve">entre otros. </w:t>
      </w:r>
    </w:p>
    <w:p w14:paraId="2680A119" w14:textId="1F3CBEEC" w:rsidR="00B749D1" w:rsidRPr="0083037E" w:rsidRDefault="006B4EF8" w:rsidP="00BC3CF6">
      <w:pPr>
        <w:spacing w:line="276" w:lineRule="auto"/>
        <w:ind w:firstLine="708"/>
        <w:jc w:val="both"/>
        <w:rPr>
          <w:rFonts w:ascii="Arial" w:eastAsia="Calibri" w:hAnsi="Arial" w:cs="Arial"/>
          <w:color w:val="000000"/>
          <w:lang w:val="es-ES_tradnl"/>
        </w:rPr>
      </w:pPr>
      <w:r w:rsidRPr="0083037E">
        <w:rPr>
          <w:rFonts w:ascii="Arial" w:hAnsi="Arial" w:cs="Arial"/>
          <w:color w:val="000000" w:themeColor="text1"/>
        </w:rPr>
        <w:t xml:space="preserve">Así mismo, </w:t>
      </w:r>
      <w:r w:rsidRPr="0083037E">
        <w:rPr>
          <w:rFonts w:ascii="Arial" w:eastAsia="Calibri" w:hAnsi="Arial" w:cs="Arial"/>
          <w:color w:val="000000" w:themeColor="text1"/>
        </w:rPr>
        <w:t xml:space="preserve">la Agencia Nacional de Contratación Pública − Colombia Compra Eficiente se pronunció sobre los pliegos de condiciones en la contratación estatal, así como su inalterabilidad y sus excepciones, entre otros, </w:t>
      </w:r>
      <w:r w:rsidRPr="0083037E">
        <w:rPr>
          <w:rFonts w:ascii="Arial" w:eastAsia="Calibri" w:hAnsi="Arial" w:cs="Arial"/>
        </w:rPr>
        <w:t>e</w:t>
      </w:r>
      <w:r w:rsidRPr="0083037E">
        <w:rPr>
          <w:rFonts w:ascii="Arial" w:hAnsi="Arial" w:cs="Arial"/>
        </w:rPr>
        <w:t>n los conceptos C–144 de 2 de marzo de 2020, C-174 del 16 de marzo de 2020, C-129 del 24 de marzo de 2020, C-193 del 6 de abril de 2020, C–189 del 8 de abril de 2020, C-009 del 27 de abril de 2020, C-289 del 26 de mayo de 2020, C-384 del 4 de junio de 2020, C-328 del 30 de junio de 2020, C-397 del 30 de junio de 2020, C-327 del 10 de julio de 2020, C-332 del 26 de mayo de 2020, C-354 del 4 de junio de 2020, C-387 del 23 de junio de 2020, C-379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w:t>
      </w:r>
      <w:bookmarkStart w:id="1" w:name="_Hlk75872808"/>
      <w:r w:rsidRPr="0083037E">
        <w:rPr>
          <w:rFonts w:ascii="Arial" w:hAnsi="Arial" w:cs="Arial"/>
        </w:rPr>
        <w:t xml:space="preserve">, </w:t>
      </w:r>
      <w:r w:rsidRPr="0083037E">
        <w:rPr>
          <w:rFonts w:ascii="Arial" w:eastAsia="Arial" w:hAnsi="Arial" w:cs="Arial"/>
          <w:lang w:val="es-ES_tradnl"/>
        </w:rPr>
        <w:t>C-031 del 1 de febrero de 2021,</w:t>
      </w:r>
      <w:r w:rsidRPr="0083037E">
        <w:rPr>
          <w:rFonts w:ascii="Arial" w:hAnsi="Arial" w:cs="Arial"/>
        </w:rPr>
        <w:t xml:space="preserve"> C-027 del 1 de marzo de 2021, C-064 del 8 de marzo 2021, C-157 del 13 de abril de 2021, C-204 del 6 de mayo de 2021</w:t>
      </w:r>
      <w:bookmarkEnd w:id="1"/>
      <w:r w:rsidRPr="0083037E">
        <w:rPr>
          <w:rFonts w:ascii="Arial" w:hAnsi="Arial" w:cs="Arial"/>
        </w:rPr>
        <w:t xml:space="preserve">, C-215 del 12 de mayo de 2021, C-263, C-268 del 3 de junio de 2021, C-287, C-304 del 28 de junio de 2021, C-361 del 2 de agosto de 2021, C-425 del 19 de agosto, C-471 del 30 de agosto de 2021, C-511 del 22 de septiembre de 2021, C-531 del 27 de septiembre de 2021, C-624 del 8 de noviembre de 2021, </w:t>
      </w:r>
      <w:r w:rsidR="00BC3CF6" w:rsidRPr="0083037E">
        <w:rPr>
          <w:rFonts w:ascii="Arial" w:hAnsi="Arial" w:cs="Arial"/>
        </w:rPr>
        <w:t>C</w:t>
      </w:r>
      <w:r w:rsidRPr="0083037E">
        <w:rPr>
          <w:rFonts w:ascii="Arial" w:hAnsi="Arial" w:cs="Arial"/>
        </w:rPr>
        <w:t>-643 del 17 de noviembre de 2021</w:t>
      </w:r>
      <w:r w:rsidR="00BC3CF6" w:rsidRPr="0083037E">
        <w:rPr>
          <w:rFonts w:ascii="Arial" w:hAnsi="Arial" w:cs="Arial"/>
        </w:rPr>
        <w:t xml:space="preserve"> y C-647 del 22 de noviembre de 2021</w:t>
      </w:r>
      <w:r w:rsidRPr="0083037E">
        <w:rPr>
          <w:rFonts w:ascii="Arial" w:hAnsi="Arial" w:cs="Arial"/>
        </w:rPr>
        <w:t>.</w:t>
      </w:r>
      <w:r w:rsidR="00BC3CF6" w:rsidRPr="0083037E">
        <w:rPr>
          <w:rFonts w:ascii="Arial" w:hAnsi="Arial" w:cs="Arial"/>
        </w:rPr>
        <w:t xml:space="preserve"> </w:t>
      </w:r>
      <w:r w:rsidR="00B749D1" w:rsidRPr="0083037E">
        <w:rPr>
          <w:rFonts w:ascii="Arial" w:eastAsia="Calibri" w:hAnsi="Arial" w:cs="Arial"/>
          <w:color w:val="000000"/>
          <w:lang w:val="es-ES_tradnl"/>
        </w:rPr>
        <w:t>En lo pertinente, las tesis expuestas en los conceptos mencionados se reiteran a continuación:</w:t>
      </w:r>
    </w:p>
    <w:p w14:paraId="51F05CB5" w14:textId="77777777" w:rsidR="00B749D1" w:rsidRPr="0083037E" w:rsidRDefault="00B749D1" w:rsidP="00951D2A">
      <w:pPr>
        <w:spacing w:line="276" w:lineRule="auto"/>
        <w:jc w:val="both"/>
        <w:rPr>
          <w:rFonts w:ascii="Arial" w:eastAsia="Arial" w:hAnsi="Arial" w:cs="Arial"/>
          <w:b/>
          <w:bCs/>
          <w:color w:val="000000"/>
          <w:lang w:val="es-ES_tradnl"/>
        </w:rPr>
      </w:pPr>
    </w:p>
    <w:p w14:paraId="24945848" w14:textId="2C7113CE" w:rsidR="00951D2A" w:rsidRPr="0083037E" w:rsidRDefault="00951D2A" w:rsidP="00951D2A">
      <w:pPr>
        <w:spacing w:line="276" w:lineRule="auto"/>
        <w:jc w:val="both"/>
        <w:rPr>
          <w:rFonts w:ascii="Arial" w:eastAsia="Arial" w:hAnsi="Arial" w:cs="Arial"/>
          <w:b/>
          <w:bCs/>
          <w:color w:val="000000"/>
          <w:lang w:val="es-ES_tradnl"/>
        </w:rPr>
      </w:pPr>
      <w:r w:rsidRPr="0083037E">
        <w:rPr>
          <w:rFonts w:ascii="Arial" w:eastAsia="Arial" w:hAnsi="Arial" w:cs="Arial"/>
          <w:b/>
          <w:bCs/>
          <w:color w:val="000000"/>
          <w:lang w:val="es-ES_tradnl"/>
        </w:rPr>
        <w:lastRenderedPageBreak/>
        <w:t xml:space="preserve">2.1. Fundamento normativo de los documentos tipo </w:t>
      </w:r>
    </w:p>
    <w:p w14:paraId="6A0B8836" w14:textId="77777777" w:rsidR="00951D2A" w:rsidRPr="0083037E" w:rsidRDefault="00951D2A" w:rsidP="00951D2A">
      <w:pPr>
        <w:jc w:val="both"/>
        <w:rPr>
          <w:rFonts w:ascii="Arial" w:eastAsia="Calibri" w:hAnsi="Arial" w:cs="Arial"/>
          <w:color w:val="000000"/>
          <w:lang w:val="es-ES_tradnl"/>
        </w:rPr>
      </w:pPr>
    </w:p>
    <w:p w14:paraId="57757973" w14:textId="2236C38E" w:rsidR="00951D2A" w:rsidRPr="0083037E" w:rsidRDefault="00951D2A" w:rsidP="00951D2A">
      <w:pPr>
        <w:spacing w:after="120" w:line="276" w:lineRule="auto"/>
        <w:jc w:val="both"/>
        <w:rPr>
          <w:rFonts w:ascii="Arial" w:eastAsia="Calibri" w:hAnsi="Arial" w:cs="Arial"/>
          <w:color w:val="000000"/>
          <w:lang w:val="es-ES"/>
        </w:rPr>
      </w:pPr>
      <w:r w:rsidRPr="0083037E">
        <w:rPr>
          <w:rFonts w:ascii="Arial" w:eastAsia="Calibri" w:hAnsi="Arial" w:cs="Arial"/>
          <w:color w:val="000000"/>
          <w:lang w:val="es-ES"/>
        </w:rPr>
        <w:t>La adopción de los documentos tipo obligatorios en el ordenamiento jurídico colombiano se incluyó por primera vez en el parágrafo 3 del artículo 2 de la Ley 1150 de 2007</w:t>
      </w:r>
      <w:r w:rsidRPr="0083037E">
        <w:rPr>
          <w:rFonts w:ascii="Arial" w:eastAsia="Calibri" w:hAnsi="Arial" w:cs="Arial"/>
          <w:color w:val="000000"/>
          <w:vertAlign w:val="superscript"/>
          <w:lang w:val="es-ES"/>
        </w:rPr>
        <w:footnoteReference w:id="1"/>
      </w:r>
      <w:r w:rsidRPr="0083037E">
        <w:rPr>
          <w:rFonts w:ascii="Arial" w:eastAsia="Calibri" w:hAnsi="Arial" w:cs="Arial"/>
          <w:color w:val="000000"/>
          <w:lang w:val="es-ES"/>
        </w:rPr>
        <w:t>, que facultó al gobierno nacional para expedirlos, pero solo cuando se tratara de la adquisición o suministro de bienes y servicios de características técnicas uniformes y de común utilización</w:t>
      </w:r>
      <w:r w:rsidR="005E0AA3" w:rsidRPr="0083037E">
        <w:rPr>
          <w:rFonts w:ascii="Arial" w:eastAsia="Calibri" w:hAnsi="Arial" w:cs="Arial"/>
          <w:color w:val="000000"/>
          <w:lang w:val="es-ES"/>
        </w:rPr>
        <w:t>. Sin embargo, esta</w:t>
      </w:r>
      <w:r w:rsidRPr="0083037E">
        <w:rPr>
          <w:rFonts w:ascii="Arial" w:eastAsia="Calibri" w:hAnsi="Arial" w:cs="Arial"/>
          <w:color w:val="000000"/>
          <w:lang w:val="es-ES"/>
        </w:rPr>
        <w:t xml:space="preserve"> facultad no ha sido ejercida hasta la actualidad. </w:t>
      </w:r>
    </w:p>
    <w:p w14:paraId="50C117F4" w14:textId="77777777" w:rsidR="00951D2A" w:rsidRPr="0083037E" w:rsidRDefault="00951D2A" w:rsidP="00951D2A">
      <w:pPr>
        <w:spacing w:line="276" w:lineRule="auto"/>
        <w:ind w:firstLine="708"/>
        <w:jc w:val="both"/>
        <w:rPr>
          <w:rFonts w:ascii="Arial" w:eastAsia="Calibri" w:hAnsi="Arial" w:cs="Arial"/>
          <w:color w:val="000000"/>
          <w:lang w:val="es-ES"/>
        </w:rPr>
      </w:pPr>
      <w:r w:rsidRPr="0083037E">
        <w:rPr>
          <w:rFonts w:ascii="Arial" w:eastAsia="Calibri" w:hAnsi="Arial" w:cs="Arial"/>
          <w:color w:val="000000"/>
          <w:lang w:val="es-ES"/>
        </w:rPr>
        <w:t xml:space="preserve">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w:t>
      </w:r>
    </w:p>
    <w:p w14:paraId="1AC0CA0E" w14:textId="77777777" w:rsidR="00951D2A" w:rsidRPr="0083037E" w:rsidRDefault="00951D2A" w:rsidP="00951D2A">
      <w:pPr>
        <w:spacing w:before="120" w:after="120" w:line="276" w:lineRule="auto"/>
        <w:ind w:firstLine="708"/>
        <w:jc w:val="both"/>
        <w:rPr>
          <w:rFonts w:ascii="Arial" w:eastAsia="Calibri" w:hAnsi="Arial" w:cs="Arial"/>
          <w:color w:val="000000"/>
          <w:lang w:val="es-ES"/>
        </w:rPr>
      </w:pPr>
      <w:r w:rsidRPr="0083037E">
        <w:rPr>
          <w:rFonts w:ascii="Arial" w:eastAsia="Calibri" w:hAnsi="Arial" w:cs="Arial"/>
          <w:color w:val="000000"/>
          <w:lang w:val="es-ES"/>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83037E">
        <w:rPr>
          <w:rFonts w:ascii="Arial" w:eastAsia="Calibri" w:hAnsi="Arial" w:cs="Arial"/>
          <w:color w:val="000000"/>
          <w:vertAlign w:val="superscript"/>
          <w:lang w:val="es-ES"/>
        </w:rPr>
        <w:footnoteReference w:id="2"/>
      </w:r>
      <w:r w:rsidRPr="0083037E">
        <w:rPr>
          <w:rFonts w:ascii="Arial" w:eastAsia="Calibri" w:hAnsi="Arial" w:cs="Arial"/>
          <w:color w:val="000000"/>
          <w:lang w:val="es-ES"/>
        </w:rPr>
        <w:t>.</w:t>
      </w:r>
    </w:p>
    <w:p w14:paraId="71142977" w14:textId="77777777" w:rsidR="00951D2A" w:rsidRPr="0083037E" w:rsidRDefault="00951D2A" w:rsidP="00951D2A">
      <w:pPr>
        <w:spacing w:before="120" w:after="120" w:line="276" w:lineRule="auto"/>
        <w:jc w:val="both"/>
        <w:rPr>
          <w:rFonts w:ascii="Arial" w:eastAsia="Calibri" w:hAnsi="Arial" w:cs="Arial"/>
          <w:color w:val="000000"/>
          <w:lang w:val="es-ES"/>
        </w:rPr>
      </w:pPr>
      <w:r w:rsidRPr="0083037E">
        <w:rPr>
          <w:rFonts w:ascii="Arial" w:eastAsia="Calibri" w:hAnsi="Arial" w:cs="Arial"/>
          <w:color w:val="000000"/>
          <w:lang w:val="es-ES"/>
        </w:rPr>
        <w:lastRenderedPageBreak/>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2D87A4C8" w14:textId="77777777" w:rsidR="00951D2A" w:rsidRPr="0083037E" w:rsidRDefault="00951D2A" w:rsidP="00951D2A">
      <w:pPr>
        <w:spacing w:before="120" w:after="120" w:line="276" w:lineRule="auto"/>
        <w:jc w:val="both"/>
        <w:rPr>
          <w:rFonts w:ascii="Arial" w:eastAsia="Calibri" w:hAnsi="Arial" w:cs="Arial"/>
          <w:color w:val="000000"/>
          <w:lang w:val="es-ES"/>
        </w:rPr>
      </w:pPr>
      <w:r w:rsidRPr="0083037E">
        <w:rPr>
          <w:rFonts w:ascii="Arial" w:eastAsia="Calibri" w:hAnsi="Arial" w:cs="Arial"/>
          <w:color w:val="000000"/>
          <w:lang w:val="es-ES"/>
        </w:rPr>
        <w:tab/>
        <w:t xml:space="preserve">De la norma descrita se concluía lo siguiente: i) la adopción de los documentos tipo estaba en cabeza del gobierno nacional; ii) estos debían relacionarse con procesos de obra públicas, interventoría para las obras públicas, interventoría para consultoría de estudios y diseños y, finalmente, consultoría en ingeniería para obras; iii) eran de obligatorio cumplimiento por parte de todas las entidades sometidas al Estatuto General de Contratación de la Administración Pública; iv)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 </w:t>
      </w:r>
    </w:p>
    <w:p w14:paraId="47C94B85" w14:textId="29F8D07D" w:rsidR="00951D2A" w:rsidRPr="0083037E" w:rsidRDefault="00951D2A" w:rsidP="00951D2A">
      <w:pPr>
        <w:spacing w:before="120" w:after="120" w:line="276" w:lineRule="auto"/>
        <w:jc w:val="both"/>
        <w:rPr>
          <w:rFonts w:ascii="Arial" w:eastAsia="Calibri" w:hAnsi="Arial" w:cs="Arial"/>
          <w:color w:val="000000"/>
          <w:lang w:val="es-ES"/>
        </w:rPr>
      </w:pPr>
      <w:r w:rsidRPr="0083037E">
        <w:rPr>
          <w:rFonts w:ascii="Arial" w:eastAsia="Calibri" w:hAnsi="Arial" w:cs="Arial"/>
          <w:color w:val="000000"/>
          <w:lang w:val="es-ES"/>
        </w:rPr>
        <w:tab/>
        <w:t xml:space="preserve">Esta norma fue estudiada por la Corte Constitucional en la </w:t>
      </w:r>
      <w:r w:rsidR="00D22557" w:rsidRPr="0083037E">
        <w:rPr>
          <w:rFonts w:ascii="Arial" w:eastAsia="Calibri" w:hAnsi="Arial" w:cs="Arial"/>
          <w:color w:val="000000"/>
          <w:lang w:val="es-ES"/>
        </w:rPr>
        <w:t>S</w:t>
      </w:r>
      <w:r w:rsidRPr="0083037E">
        <w:rPr>
          <w:rFonts w:ascii="Arial" w:eastAsia="Calibri" w:hAnsi="Arial" w:cs="Arial"/>
          <w:color w:val="000000"/>
          <w:lang w:val="es-ES"/>
        </w:rPr>
        <w:t>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sidRPr="0083037E">
        <w:rPr>
          <w:rFonts w:ascii="Arial" w:eastAsia="Calibri" w:hAnsi="Arial" w:cs="Arial"/>
          <w:color w:val="000000"/>
          <w:vertAlign w:val="superscript"/>
          <w:lang w:val="es-ES"/>
        </w:rPr>
        <w:footnoteReference w:id="3"/>
      </w:r>
      <w:r w:rsidRPr="0083037E">
        <w:rPr>
          <w:rFonts w:ascii="Arial" w:eastAsia="Calibri" w:hAnsi="Arial" w:cs="Arial"/>
          <w:color w:val="000000"/>
          <w:lang w:val="es-ES"/>
        </w:rPr>
        <w:t>.</w:t>
      </w:r>
    </w:p>
    <w:p w14:paraId="608BAB15" w14:textId="7AE4FC1D" w:rsidR="00951D2A" w:rsidRPr="0083037E" w:rsidRDefault="00951D2A" w:rsidP="007B1212">
      <w:pPr>
        <w:spacing w:before="120" w:after="120" w:line="276" w:lineRule="auto"/>
        <w:jc w:val="both"/>
        <w:rPr>
          <w:rFonts w:ascii="Arial" w:eastAsia="Calibri" w:hAnsi="Arial" w:cs="Arial"/>
          <w:color w:val="000000"/>
          <w:lang w:val="es-ES"/>
        </w:rPr>
      </w:pPr>
      <w:r w:rsidRPr="0083037E">
        <w:rPr>
          <w:rFonts w:ascii="Arial" w:eastAsia="Calibri" w:hAnsi="Arial" w:cs="Arial"/>
          <w:color w:val="000000"/>
          <w:lang w:val="es-ES"/>
        </w:rPr>
        <w:lastRenderedPageBreak/>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692F388A" w14:textId="3FCA9316" w:rsidR="00951D2A" w:rsidRPr="0083037E" w:rsidRDefault="00951D2A" w:rsidP="00951D2A">
      <w:pPr>
        <w:spacing w:before="120" w:line="276" w:lineRule="auto"/>
        <w:ind w:firstLine="709"/>
        <w:jc w:val="both"/>
        <w:rPr>
          <w:rFonts w:ascii="Arial" w:eastAsia="Calibri" w:hAnsi="Arial" w:cs="Arial"/>
          <w:color w:val="000000"/>
          <w:lang w:val="es-ES" w:eastAsia="es-ES"/>
        </w:rPr>
      </w:pPr>
      <w:r w:rsidRPr="0083037E">
        <w:rPr>
          <w:rFonts w:ascii="Arial" w:eastAsia="Calibri" w:hAnsi="Arial" w:cs="Arial"/>
          <w:color w:val="000000"/>
          <w:lang w:val="es-ES" w:eastAsia="es-ES"/>
        </w:rPr>
        <w:t>Por otra parte</w:t>
      </w:r>
      <w:r w:rsidRPr="0083037E">
        <w:rPr>
          <w:rFonts w:ascii="Arial" w:eastAsia="Calibri" w:hAnsi="Arial" w:cs="Arial"/>
          <w:i/>
          <w:iCs/>
          <w:color w:val="000000"/>
          <w:lang w:val="es-ES" w:eastAsia="es-ES"/>
        </w:rPr>
        <w:t>,</w:t>
      </w:r>
      <w:r w:rsidRPr="0083037E">
        <w:rPr>
          <w:rFonts w:ascii="Arial" w:eastAsia="Calibri" w:hAnsi="Arial" w:cs="Arial"/>
          <w:color w:val="000000"/>
          <w:lang w:val="es-ES" w:eastAsia="es-ES"/>
        </w:rPr>
        <w:t xml:space="preserve"> debe tenerse en cuenta que la Ley 2022 fue sancionada por el </w:t>
      </w:r>
      <w:proofErr w:type="gramStart"/>
      <w:r w:rsidRPr="0083037E">
        <w:rPr>
          <w:rFonts w:ascii="Arial" w:eastAsia="Calibri" w:hAnsi="Arial" w:cs="Arial"/>
          <w:color w:val="000000"/>
          <w:lang w:val="es-ES" w:eastAsia="es-ES"/>
        </w:rPr>
        <w:t>Presidente</w:t>
      </w:r>
      <w:proofErr w:type="gramEnd"/>
      <w:r w:rsidRPr="0083037E">
        <w:rPr>
          <w:rFonts w:ascii="Arial" w:eastAsia="Calibri" w:hAnsi="Arial" w:cs="Arial"/>
          <w:color w:val="000000"/>
          <w:lang w:val="es-ES" w:eastAsia="es-ES"/>
        </w:rPr>
        <w:t xml:space="preserve"> de la República el 22 de julio </w:t>
      </w:r>
      <w:r w:rsidR="00D22557" w:rsidRPr="0083037E">
        <w:rPr>
          <w:rFonts w:ascii="Arial" w:eastAsia="Calibri" w:hAnsi="Arial" w:cs="Arial"/>
          <w:color w:val="000000"/>
          <w:lang w:val="es-ES" w:eastAsia="es-ES"/>
        </w:rPr>
        <w:t>de 2020</w:t>
      </w:r>
      <w:r w:rsidR="000E1588" w:rsidRPr="0083037E">
        <w:rPr>
          <w:rFonts w:ascii="Arial" w:eastAsia="Calibri" w:hAnsi="Arial" w:cs="Arial"/>
          <w:color w:val="000000"/>
          <w:lang w:val="es-ES" w:eastAsia="es-ES"/>
        </w:rPr>
        <w:t>.</w:t>
      </w:r>
      <w:r w:rsidRPr="0083037E">
        <w:rPr>
          <w:rFonts w:ascii="Arial" w:eastAsia="Calibri" w:hAnsi="Arial" w:cs="Arial"/>
          <w:color w:val="000000"/>
          <w:lang w:val="es-ES" w:eastAsia="es-ES"/>
        </w:rPr>
        <w:t xml:space="preserve"> </w:t>
      </w:r>
      <w:r w:rsidR="000E1588" w:rsidRPr="0083037E">
        <w:rPr>
          <w:rFonts w:ascii="Arial" w:eastAsia="Calibri" w:hAnsi="Arial" w:cs="Arial"/>
          <w:color w:val="000000"/>
          <w:lang w:val="es-ES" w:eastAsia="es-ES"/>
        </w:rPr>
        <w:t>S</w:t>
      </w:r>
      <w:r w:rsidRPr="0083037E">
        <w:rPr>
          <w:rFonts w:ascii="Arial" w:eastAsia="Calibri" w:hAnsi="Arial" w:cs="Arial"/>
          <w:color w:val="000000"/>
          <w:lang w:val="es-ES" w:eastAsia="es-ES"/>
        </w:rPr>
        <w:t>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w:t>
      </w:r>
      <w:r w:rsidRPr="0083037E">
        <w:rPr>
          <w:rFonts w:ascii="Arial" w:eastAsia="Calibri" w:hAnsi="Arial" w:cs="Arial"/>
          <w:color w:val="000000"/>
          <w:vertAlign w:val="superscript"/>
          <w:lang w:val="es-ES" w:eastAsia="es-ES"/>
        </w:rPr>
        <w:footnoteReference w:id="4"/>
      </w:r>
      <w:r w:rsidRPr="0083037E">
        <w:rPr>
          <w:rFonts w:ascii="Arial" w:eastAsia="Calibri" w:hAnsi="Arial" w:cs="Arial"/>
          <w:color w:val="000000"/>
          <w:lang w:val="es-ES" w:eastAsia="es-ES"/>
        </w:rPr>
        <w:t xml:space="preserve">.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w:t>
      </w:r>
      <w:r w:rsidRPr="0083037E">
        <w:rPr>
          <w:rFonts w:ascii="Arial" w:eastAsia="Calibri" w:hAnsi="Arial" w:cs="Arial"/>
          <w:color w:val="000000"/>
          <w:lang w:val="es-ES" w:eastAsia="es-ES"/>
        </w:rPr>
        <w:lastRenderedPageBreak/>
        <w:t xml:space="preserve">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14:paraId="3BF63371" w14:textId="42805EEB" w:rsidR="00A81FD1" w:rsidRPr="0083037E" w:rsidRDefault="00E76696" w:rsidP="00FE157D">
      <w:pPr>
        <w:spacing w:before="120" w:line="276" w:lineRule="auto"/>
        <w:ind w:firstLine="709"/>
        <w:jc w:val="both"/>
        <w:rPr>
          <w:rFonts w:ascii="Arial" w:eastAsia="Calibri" w:hAnsi="Arial" w:cs="Arial"/>
          <w:color w:val="000000"/>
          <w:lang w:val="es-ES" w:eastAsia="es-ES"/>
        </w:rPr>
      </w:pPr>
      <w:r w:rsidRPr="0083037E">
        <w:rPr>
          <w:rFonts w:ascii="Arial" w:eastAsia="Calibri" w:hAnsi="Arial" w:cs="Arial"/>
          <w:color w:val="000000"/>
          <w:lang w:val="es-ES" w:eastAsia="es-ES"/>
        </w:rPr>
        <w:t>E</w:t>
      </w:r>
      <w:r w:rsidR="00951D2A" w:rsidRPr="0083037E">
        <w:rPr>
          <w:rFonts w:ascii="Arial" w:eastAsia="Calibri" w:hAnsi="Arial" w:cs="Arial"/>
          <w:color w:val="000000"/>
          <w:lang w:val="es-ES" w:eastAsia="es-ES"/>
        </w:rPr>
        <w:t xml:space="preserve">n el transcurso del año 2021, esta Agencia expidió la Resolución 193 del 14 de julio de 2021 «Por la cual se adoptan los documentos tipo para los procesos de selección de concurso de méritos, para contratar la consultoría de estudios de ingeniería de infraestructura de transporte». </w:t>
      </w:r>
      <w:r w:rsidR="00756DF3" w:rsidRPr="0083037E">
        <w:rPr>
          <w:rFonts w:ascii="Arial" w:eastAsia="Calibri" w:hAnsi="Arial" w:cs="Arial"/>
          <w:color w:val="000000"/>
          <w:lang w:val="es-ES" w:eastAsia="es-ES"/>
        </w:rPr>
        <w:t xml:space="preserve">La versión actual se encuentra vigente desde el </w:t>
      </w:r>
      <w:r w:rsidR="00DC3578" w:rsidRPr="0083037E">
        <w:rPr>
          <w:rFonts w:ascii="Arial" w:eastAsia="Calibri" w:hAnsi="Arial" w:cs="Arial"/>
          <w:color w:val="000000"/>
          <w:lang w:val="es-ES" w:eastAsia="es-ES"/>
        </w:rPr>
        <w:t>2 de noviembre de 20</w:t>
      </w:r>
      <w:r w:rsidR="00C00E12" w:rsidRPr="0083037E">
        <w:rPr>
          <w:rFonts w:ascii="Arial" w:eastAsia="Calibri" w:hAnsi="Arial" w:cs="Arial"/>
          <w:color w:val="000000"/>
          <w:lang w:val="es-ES" w:eastAsia="es-ES"/>
        </w:rPr>
        <w:t>2</w:t>
      </w:r>
      <w:r w:rsidR="00DC3578" w:rsidRPr="0083037E">
        <w:rPr>
          <w:rFonts w:ascii="Arial" w:eastAsia="Calibri" w:hAnsi="Arial" w:cs="Arial"/>
          <w:color w:val="000000"/>
          <w:lang w:val="es-ES" w:eastAsia="es-ES"/>
        </w:rPr>
        <w:t>1, con las modificaciones introducidas por la Resolución 304 de 2021</w:t>
      </w:r>
      <w:r w:rsidR="00DC3578" w:rsidRPr="0083037E">
        <w:rPr>
          <w:rStyle w:val="Refdenotaalpie"/>
          <w:rFonts w:ascii="Arial" w:eastAsia="Calibri" w:hAnsi="Arial" w:cs="Arial"/>
          <w:color w:val="000000"/>
          <w:lang w:val="es-ES" w:eastAsia="es-ES"/>
        </w:rPr>
        <w:footnoteReference w:id="5"/>
      </w:r>
      <w:r w:rsidR="00DC3578" w:rsidRPr="0083037E">
        <w:rPr>
          <w:rFonts w:ascii="Arial" w:eastAsia="Calibri" w:hAnsi="Arial" w:cs="Arial"/>
          <w:color w:val="000000"/>
          <w:lang w:val="es-ES" w:eastAsia="es-ES"/>
        </w:rPr>
        <w:t>.</w:t>
      </w:r>
    </w:p>
    <w:p w14:paraId="1DFFF3B8" w14:textId="77777777" w:rsidR="00FE157D" w:rsidRPr="0083037E" w:rsidRDefault="00FE157D" w:rsidP="006A5B2F">
      <w:pPr>
        <w:pStyle w:val="xmsonospacing"/>
        <w:spacing w:before="0" w:beforeAutospacing="0" w:after="0" w:afterAutospacing="0" w:line="276" w:lineRule="auto"/>
        <w:jc w:val="both"/>
        <w:rPr>
          <w:rFonts w:ascii="Arial" w:hAnsi="Arial" w:cs="Arial"/>
          <w:b/>
          <w:bCs/>
          <w:color w:val="000000"/>
          <w:sz w:val="22"/>
          <w:szCs w:val="22"/>
          <w:bdr w:val="none" w:sz="0" w:space="0" w:color="auto" w:frame="1"/>
        </w:rPr>
      </w:pPr>
    </w:p>
    <w:p w14:paraId="739DC349" w14:textId="4430C4F0" w:rsidR="006A5B2F" w:rsidRPr="0083037E" w:rsidRDefault="006A5B2F" w:rsidP="006A5B2F">
      <w:pPr>
        <w:pStyle w:val="xmsonospacing"/>
        <w:spacing w:before="0" w:beforeAutospacing="0" w:after="0" w:afterAutospacing="0" w:line="276" w:lineRule="auto"/>
        <w:jc w:val="both"/>
        <w:rPr>
          <w:rFonts w:ascii="Arial" w:eastAsia="Calibri" w:hAnsi="Arial" w:cs="Arial"/>
          <w:b/>
          <w:bCs/>
          <w:sz w:val="22"/>
          <w:szCs w:val="22"/>
          <w:lang w:val="es-ES"/>
        </w:rPr>
      </w:pPr>
      <w:r w:rsidRPr="0083037E">
        <w:rPr>
          <w:rFonts w:ascii="Arial" w:hAnsi="Arial" w:cs="Arial"/>
          <w:b/>
          <w:bCs/>
          <w:color w:val="000000"/>
          <w:sz w:val="22"/>
          <w:szCs w:val="22"/>
          <w:bdr w:val="none" w:sz="0" w:space="0" w:color="auto" w:frame="1"/>
        </w:rPr>
        <w:t xml:space="preserve">2.2. Ámbito de aplicación de los Documentos Tipo </w:t>
      </w:r>
      <w:r w:rsidRPr="0083037E">
        <w:rPr>
          <w:rFonts w:ascii="Arial" w:eastAsia="Calibri" w:hAnsi="Arial" w:cs="Arial"/>
          <w:b/>
          <w:bCs/>
          <w:sz w:val="22"/>
          <w:szCs w:val="22"/>
          <w:lang w:val="es-ES"/>
        </w:rPr>
        <w:t>de consultoría de estudios de ingeniería de infraestructura de transporte</w:t>
      </w:r>
    </w:p>
    <w:p w14:paraId="0659B212" w14:textId="77777777" w:rsidR="006A5B2F" w:rsidRPr="0083037E" w:rsidRDefault="006A5B2F" w:rsidP="006A5B2F">
      <w:pPr>
        <w:pStyle w:val="xmsonospacing"/>
        <w:spacing w:before="0" w:beforeAutospacing="0" w:after="0" w:afterAutospacing="0" w:line="276" w:lineRule="auto"/>
        <w:jc w:val="both"/>
        <w:rPr>
          <w:rFonts w:ascii="Arial" w:eastAsia="Calibri" w:hAnsi="Arial" w:cs="Arial"/>
          <w:b/>
          <w:bCs/>
          <w:sz w:val="22"/>
          <w:szCs w:val="22"/>
          <w:lang w:val="es-ES"/>
        </w:rPr>
      </w:pPr>
    </w:p>
    <w:p w14:paraId="691A6BB1" w14:textId="209D4BA0" w:rsidR="001C4032" w:rsidRPr="0083037E" w:rsidRDefault="00EF53F2" w:rsidP="00BC6958">
      <w:pPr>
        <w:spacing w:line="276" w:lineRule="auto"/>
        <w:jc w:val="both"/>
        <w:rPr>
          <w:rFonts w:ascii="Arial" w:hAnsi="Arial" w:cs="Arial"/>
          <w:lang w:val="es-ES_tradnl"/>
        </w:rPr>
      </w:pPr>
      <w:r w:rsidRPr="0083037E">
        <w:rPr>
          <w:rFonts w:ascii="Arial" w:hAnsi="Arial" w:cs="Arial"/>
          <w:lang w:val="es-ES_tradnl"/>
        </w:rPr>
        <w:t>Como se indicó anteriormente, e</w:t>
      </w:r>
      <w:r w:rsidR="001C4032" w:rsidRPr="0083037E">
        <w:rPr>
          <w:rFonts w:ascii="Arial" w:hAnsi="Arial" w:cs="Arial"/>
          <w:lang w:val="es-ES_tradnl"/>
        </w:rPr>
        <w:t>n ejercicio de la competencia otorgada por el artículo 1 de la Ley 2022 de 2020, la Agencia Nacional de Contratación Pública – Colombia Compra Eficiente expidió la Resolución No. 193 del 14 de julio de 2021, «Por la cual se adoptan los documentos tipo para los procesos de selección de concurso de méritos, para contratar la consultoría de estudios de ingeniería de infraestructura de transporte». El artículo 5 de dicha Resolución dispuso que los documentos tipo que adoptó se deben aplicar «a los procedimientos de selección cuyo aviso de convocatoria se publique el 9 de agosto de 2021 o en una fecha posterior».</w:t>
      </w:r>
    </w:p>
    <w:p w14:paraId="3A111B68" w14:textId="30C8BD31" w:rsidR="006A5B2F" w:rsidRPr="0083037E" w:rsidRDefault="00BC6958" w:rsidP="00BC6958">
      <w:pPr>
        <w:spacing w:before="120" w:line="276" w:lineRule="auto"/>
        <w:ind w:firstLine="703"/>
        <w:jc w:val="both"/>
        <w:textAlignment w:val="baseline"/>
        <w:rPr>
          <w:rFonts w:ascii="Segoe UI" w:hAnsi="Segoe UI" w:cs="Segoe UI"/>
          <w:color w:val="000000"/>
          <w:sz w:val="18"/>
          <w:szCs w:val="18"/>
          <w:lang w:val="es-MX" w:eastAsia="es-MX"/>
        </w:rPr>
      </w:pPr>
      <w:r w:rsidRPr="0083037E">
        <w:rPr>
          <w:rFonts w:ascii="Arial" w:eastAsia="Calibri" w:hAnsi="Arial" w:cs="Arial"/>
          <w:lang w:val="es-ES"/>
        </w:rPr>
        <w:t>Por tanto, e</w:t>
      </w:r>
      <w:r w:rsidR="006A5B2F" w:rsidRPr="0083037E">
        <w:rPr>
          <w:rFonts w:ascii="Arial" w:eastAsia="Calibri" w:hAnsi="Arial" w:cs="Arial"/>
          <w:lang w:val="es-ES"/>
        </w:rPr>
        <w:t xml:space="preserve">l ámbito de aplicación de los Documentos Tipo adoptados por </w:t>
      </w:r>
      <w:r w:rsidR="006A5B2F" w:rsidRPr="0083037E">
        <w:rPr>
          <w:rFonts w:ascii="Arial" w:eastAsia="Calibri" w:hAnsi="Arial" w:cs="Arial"/>
          <w:color w:val="000000"/>
          <w:lang w:val="es-ES" w:eastAsia="es-ES"/>
        </w:rPr>
        <w:t xml:space="preserve">Resolución 193 del 14 de julio de 2021 </w:t>
      </w:r>
      <w:r w:rsidR="006A5B2F" w:rsidRPr="0083037E">
        <w:rPr>
          <w:rFonts w:ascii="Arial" w:eastAsia="Calibri" w:hAnsi="Arial" w:cs="Arial"/>
          <w:lang w:val="es-ES"/>
        </w:rPr>
        <w:t>está determinado por los siguientes aspectos que deberá estudiar cada entidad estatal para definir si procede su aplicación obligatoria</w:t>
      </w:r>
      <w:r w:rsidRPr="0083037E">
        <w:rPr>
          <w:rFonts w:ascii="Arial" w:eastAsia="Calibri" w:hAnsi="Arial" w:cs="Arial"/>
          <w:lang w:val="es-ES"/>
        </w:rPr>
        <w:t>.</w:t>
      </w:r>
      <w:r w:rsidR="006A5B2F" w:rsidRPr="0083037E">
        <w:rPr>
          <w:rFonts w:ascii="Arial" w:eastAsia="Calibri" w:hAnsi="Arial" w:cs="Arial"/>
          <w:lang w:val="es-ES"/>
        </w:rPr>
        <w:t xml:space="preserve"> </w:t>
      </w:r>
      <w:r w:rsidRPr="0083037E">
        <w:rPr>
          <w:rFonts w:ascii="Arial" w:eastAsia="Calibri" w:hAnsi="Arial" w:cs="Arial"/>
          <w:lang w:val="es-ES"/>
        </w:rPr>
        <w:t>E</w:t>
      </w:r>
      <w:r w:rsidR="006A5B2F" w:rsidRPr="0083037E">
        <w:rPr>
          <w:rFonts w:ascii="Arial" w:eastAsia="Calibri" w:hAnsi="Arial" w:cs="Arial"/>
          <w:lang w:val="es-ES"/>
        </w:rPr>
        <w:t xml:space="preserve">n primer lugar, se deberá verificar si el proyecto a contratar corresponde a la ejecución de un contrato de consultoría. Para esto, se considera pertinente remitirse a la definición contenida en el numeral 2º del artículo 32 de la Ley 80 de 1993. Esta consagra lo siguiente: </w:t>
      </w:r>
    </w:p>
    <w:p w14:paraId="60036351" w14:textId="77777777" w:rsidR="00BC6958" w:rsidRPr="0083037E" w:rsidRDefault="00BC6958" w:rsidP="00BC6958">
      <w:pPr>
        <w:pStyle w:val="xmsonospacing"/>
        <w:spacing w:before="0" w:beforeAutospacing="0" w:after="0" w:afterAutospacing="0"/>
        <w:ind w:left="709" w:right="709"/>
        <w:jc w:val="both"/>
        <w:rPr>
          <w:rFonts w:ascii="Arial" w:eastAsia="Calibri" w:hAnsi="Arial" w:cs="Arial"/>
          <w:b/>
          <w:bCs/>
          <w:sz w:val="21"/>
          <w:szCs w:val="21"/>
          <w:lang w:val="es-ES"/>
        </w:rPr>
      </w:pPr>
    </w:p>
    <w:p w14:paraId="3D552778" w14:textId="7338AAF5" w:rsidR="006A5B2F" w:rsidRPr="0083037E" w:rsidRDefault="006A5B2F" w:rsidP="00BC6958">
      <w:pPr>
        <w:pStyle w:val="xmsonospacing"/>
        <w:spacing w:before="0" w:beforeAutospacing="0" w:after="0" w:afterAutospacing="0"/>
        <w:ind w:left="709" w:right="709"/>
        <w:jc w:val="both"/>
        <w:rPr>
          <w:rFonts w:ascii="Arial" w:eastAsia="Calibri" w:hAnsi="Arial" w:cs="Arial"/>
          <w:sz w:val="21"/>
          <w:szCs w:val="21"/>
          <w:lang w:val="es-ES"/>
        </w:rPr>
      </w:pPr>
      <w:r w:rsidRPr="0083037E">
        <w:rPr>
          <w:rFonts w:ascii="Arial" w:eastAsia="Calibri" w:hAnsi="Arial" w:cs="Arial"/>
          <w:sz w:val="21"/>
          <w:szCs w:val="21"/>
          <w:lang w:val="es-ES"/>
        </w:rPr>
        <w:t>2o. Contrato de Consultoría.</w:t>
      </w:r>
    </w:p>
    <w:p w14:paraId="06D7F366" w14:textId="77777777" w:rsidR="006A5B2F" w:rsidRPr="0083037E" w:rsidRDefault="006A5B2F" w:rsidP="006A5B2F">
      <w:pPr>
        <w:pStyle w:val="xmsonospacing"/>
        <w:spacing w:before="120" w:beforeAutospacing="0"/>
        <w:ind w:left="709" w:right="709"/>
        <w:jc w:val="both"/>
        <w:rPr>
          <w:rFonts w:ascii="Arial" w:eastAsia="Calibri" w:hAnsi="Arial" w:cs="Arial"/>
          <w:sz w:val="21"/>
          <w:szCs w:val="21"/>
          <w:lang w:val="es-ES"/>
        </w:rPr>
      </w:pPr>
      <w:r w:rsidRPr="0083037E">
        <w:rPr>
          <w:rFonts w:ascii="Arial" w:eastAsia="Calibri" w:hAnsi="Arial" w:cs="Arial"/>
          <w:sz w:val="21"/>
          <w:szCs w:val="21"/>
          <w:lang w:val="es-ES"/>
        </w:rPr>
        <w:t xml:space="preserve">Son contratos de consultoría los que celebren las entidades estatales referidos a los estudios necesarios para la ejecución de proyectos de inversión, estudios de diagnóstico, prefactibilidad o factibilidad para programas o proyectos </w:t>
      </w:r>
      <w:r w:rsidRPr="0083037E">
        <w:rPr>
          <w:rFonts w:ascii="Arial" w:eastAsia="Calibri" w:hAnsi="Arial" w:cs="Arial"/>
          <w:sz w:val="21"/>
          <w:szCs w:val="21"/>
          <w:lang w:val="es-ES"/>
        </w:rPr>
        <w:lastRenderedPageBreak/>
        <w:t>específicos, así como a las asesorías técnicas de coordinación, control y supervisión.</w:t>
      </w:r>
    </w:p>
    <w:p w14:paraId="25A14A80" w14:textId="77777777" w:rsidR="006A5B2F" w:rsidRPr="0083037E" w:rsidRDefault="006A5B2F" w:rsidP="006A5B2F">
      <w:pPr>
        <w:pStyle w:val="xmsonospacing"/>
        <w:spacing w:before="0" w:beforeAutospacing="0" w:after="0" w:afterAutospacing="0"/>
        <w:ind w:left="709" w:right="709"/>
        <w:jc w:val="both"/>
        <w:rPr>
          <w:rFonts w:ascii="Arial" w:eastAsia="Calibri" w:hAnsi="Arial" w:cs="Arial"/>
          <w:sz w:val="21"/>
          <w:szCs w:val="21"/>
          <w:lang w:val="es-ES"/>
        </w:rPr>
      </w:pPr>
      <w:r w:rsidRPr="0083037E">
        <w:rPr>
          <w:rFonts w:ascii="Arial" w:eastAsia="Calibri" w:hAnsi="Arial" w:cs="Arial"/>
          <w:sz w:val="21"/>
          <w:szCs w:val="21"/>
          <w:lang w:val="es-ES"/>
        </w:rPr>
        <w:t>Son también contratos de consultoría los que tienen por objeto la interventoría, asesoría, gerencia de obra o de proyectos, dirección, programación y la ejecución de diseños, planos, anteproyectos y proyectos.</w:t>
      </w:r>
    </w:p>
    <w:p w14:paraId="37B3DE0D" w14:textId="77777777" w:rsidR="006A5B2F" w:rsidRPr="0083037E" w:rsidRDefault="006A5B2F" w:rsidP="006A5B2F">
      <w:pPr>
        <w:pStyle w:val="xmsonospacing"/>
        <w:spacing w:before="0" w:beforeAutospacing="0" w:after="0" w:afterAutospacing="0"/>
        <w:ind w:left="709" w:right="709"/>
        <w:jc w:val="both"/>
        <w:rPr>
          <w:rFonts w:ascii="Arial" w:eastAsia="Calibri" w:hAnsi="Arial" w:cs="Arial"/>
          <w:sz w:val="21"/>
          <w:szCs w:val="21"/>
          <w:lang w:val="es-ES"/>
        </w:rPr>
      </w:pPr>
    </w:p>
    <w:p w14:paraId="638B7DBE" w14:textId="717609E5" w:rsidR="00BC6958" w:rsidRPr="0083037E" w:rsidRDefault="006A5B2F" w:rsidP="00BC6958">
      <w:pPr>
        <w:pStyle w:val="xmsonospacing"/>
        <w:spacing w:before="0" w:beforeAutospacing="0" w:after="0" w:afterAutospacing="0" w:line="276" w:lineRule="auto"/>
        <w:ind w:firstLine="709"/>
        <w:jc w:val="both"/>
        <w:rPr>
          <w:rFonts w:ascii="Arial" w:eastAsia="Calibri" w:hAnsi="Arial" w:cs="Arial"/>
          <w:bCs/>
          <w:sz w:val="22"/>
          <w:szCs w:val="22"/>
          <w:lang w:val="es-MX"/>
        </w:rPr>
      </w:pPr>
      <w:r w:rsidRPr="0083037E">
        <w:rPr>
          <w:rFonts w:ascii="Arial" w:eastAsia="Calibri" w:hAnsi="Arial" w:cs="Arial"/>
          <w:sz w:val="22"/>
          <w:szCs w:val="22"/>
          <w:lang w:val="es-ES"/>
        </w:rPr>
        <w:t>Como se observa de la norma, si las actividades a desarrollar corresponden, entre otr</w:t>
      </w:r>
      <w:r w:rsidR="00113ADB" w:rsidRPr="0083037E">
        <w:rPr>
          <w:rFonts w:ascii="Arial" w:eastAsia="Calibri" w:hAnsi="Arial" w:cs="Arial"/>
          <w:sz w:val="22"/>
          <w:szCs w:val="22"/>
          <w:lang w:val="es-ES"/>
        </w:rPr>
        <w:t>a</w:t>
      </w:r>
      <w:r w:rsidRPr="0083037E">
        <w:rPr>
          <w:rFonts w:ascii="Arial" w:eastAsia="Calibri" w:hAnsi="Arial" w:cs="Arial"/>
          <w:sz w:val="22"/>
          <w:szCs w:val="22"/>
          <w:lang w:val="es-ES"/>
        </w:rPr>
        <w:t xml:space="preserve">s, a </w:t>
      </w:r>
      <w:r w:rsidRPr="0083037E">
        <w:rPr>
          <w:rFonts w:ascii="Arial" w:eastAsia="Calibri" w:hAnsi="Arial" w:cs="Arial"/>
          <w:sz w:val="22"/>
          <w:szCs w:val="22"/>
        </w:rPr>
        <w:t xml:space="preserve">la </w:t>
      </w:r>
      <w:r w:rsidR="0021678E" w:rsidRPr="0083037E">
        <w:rPr>
          <w:rFonts w:ascii="Arial" w:eastAsia="Calibri" w:hAnsi="Arial" w:cs="Arial"/>
          <w:sz w:val="22"/>
          <w:szCs w:val="22"/>
        </w:rPr>
        <w:t>realización</w:t>
      </w:r>
      <w:r w:rsidRPr="0083037E">
        <w:rPr>
          <w:rFonts w:ascii="Arial" w:eastAsia="Calibri" w:hAnsi="Arial" w:cs="Arial"/>
          <w:sz w:val="22"/>
          <w:szCs w:val="22"/>
        </w:rPr>
        <w:t xml:space="preserve"> de estudios necesarios para la </w:t>
      </w:r>
      <w:r w:rsidR="0021678E" w:rsidRPr="0083037E">
        <w:rPr>
          <w:rFonts w:ascii="Arial" w:eastAsia="Calibri" w:hAnsi="Arial" w:cs="Arial"/>
          <w:sz w:val="22"/>
          <w:szCs w:val="22"/>
        </w:rPr>
        <w:t>ejecución</w:t>
      </w:r>
      <w:r w:rsidRPr="0083037E">
        <w:rPr>
          <w:rFonts w:ascii="Arial" w:eastAsia="Calibri" w:hAnsi="Arial" w:cs="Arial"/>
          <w:sz w:val="22"/>
          <w:szCs w:val="22"/>
        </w:rPr>
        <w:t xml:space="preserve"> de proyectos de </w:t>
      </w:r>
      <w:r w:rsidR="0021678E" w:rsidRPr="0083037E">
        <w:rPr>
          <w:rFonts w:ascii="Arial" w:eastAsia="Calibri" w:hAnsi="Arial" w:cs="Arial"/>
          <w:sz w:val="22"/>
          <w:szCs w:val="22"/>
        </w:rPr>
        <w:t>inversión</w:t>
      </w:r>
      <w:r w:rsidRPr="0083037E">
        <w:rPr>
          <w:rFonts w:ascii="Arial" w:eastAsia="Calibri" w:hAnsi="Arial" w:cs="Arial"/>
          <w:sz w:val="22"/>
          <w:szCs w:val="22"/>
        </w:rPr>
        <w:t xml:space="preserve">, estudios de </w:t>
      </w:r>
      <w:r w:rsidR="0021678E" w:rsidRPr="0083037E">
        <w:rPr>
          <w:rFonts w:ascii="Arial" w:eastAsia="Calibri" w:hAnsi="Arial" w:cs="Arial"/>
          <w:sz w:val="22"/>
          <w:szCs w:val="22"/>
        </w:rPr>
        <w:t>diagnóstico</w:t>
      </w:r>
      <w:r w:rsidRPr="0083037E">
        <w:rPr>
          <w:rFonts w:ascii="Arial" w:eastAsia="Calibri" w:hAnsi="Arial" w:cs="Arial"/>
          <w:sz w:val="22"/>
          <w:szCs w:val="22"/>
        </w:rPr>
        <w:t xml:space="preserve">, prefactibilidad o factibilidad para programas o proyectos </w:t>
      </w:r>
      <w:r w:rsidR="0021678E" w:rsidRPr="0083037E">
        <w:rPr>
          <w:rFonts w:ascii="Arial" w:eastAsia="Calibri" w:hAnsi="Arial" w:cs="Arial"/>
          <w:sz w:val="22"/>
          <w:szCs w:val="22"/>
        </w:rPr>
        <w:t>específicos</w:t>
      </w:r>
      <w:r w:rsidRPr="0083037E">
        <w:rPr>
          <w:rFonts w:ascii="Arial" w:eastAsia="Calibri" w:hAnsi="Arial" w:cs="Arial"/>
          <w:sz w:val="22"/>
          <w:szCs w:val="22"/>
        </w:rPr>
        <w:t xml:space="preserve">, se estará ante un contrato de consultoría. En este punto, no sobra precisar que aunque la interventoría es una especie de contrato de consultoría, Colombia Compra Eficiente adoptó unos Documentos Tipo particulares para estos contratos mediante la Resolución 256 del 11 de diciembre de 2020. En consecuencia, si las actividades a desarrollar consisten «en el control, vigilancia, </w:t>
      </w:r>
      <w:r w:rsidR="00296822" w:rsidRPr="0083037E">
        <w:rPr>
          <w:rFonts w:ascii="Arial" w:eastAsia="Calibri" w:hAnsi="Arial" w:cs="Arial"/>
          <w:sz w:val="22"/>
          <w:szCs w:val="22"/>
        </w:rPr>
        <w:t>inspección</w:t>
      </w:r>
      <w:r w:rsidRPr="0083037E">
        <w:rPr>
          <w:rFonts w:ascii="Arial" w:eastAsia="Calibri" w:hAnsi="Arial" w:cs="Arial"/>
          <w:sz w:val="22"/>
          <w:szCs w:val="22"/>
        </w:rPr>
        <w:t xml:space="preserve"> y </w:t>
      </w:r>
      <w:r w:rsidR="00296822" w:rsidRPr="0083037E">
        <w:rPr>
          <w:rFonts w:ascii="Arial" w:eastAsia="Calibri" w:hAnsi="Arial" w:cs="Arial"/>
          <w:sz w:val="22"/>
          <w:szCs w:val="22"/>
        </w:rPr>
        <w:t>verificación</w:t>
      </w:r>
      <w:r w:rsidRPr="0083037E">
        <w:rPr>
          <w:rFonts w:ascii="Arial" w:eastAsia="Calibri" w:hAnsi="Arial" w:cs="Arial"/>
          <w:sz w:val="22"/>
          <w:szCs w:val="22"/>
        </w:rPr>
        <w:t xml:space="preserve"> del cumplimiento de una, varias o todas las obligaciones derivadas de un contrato celebrado por una entidad estatal, en nombre y </w:t>
      </w:r>
      <w:r w:rsidR="00296822" w:rsidRPr="0083037E">
        <w:rPr>
          <w:rFonts w:ascii="Arial" w:eastAsia="Calibri" w:hAnsi="Arial" w:cs="Arial"/>
          <w:sz w:val="22"/>
          <w:szCs w:val="22"/>
        </w:rPr>
        <w:t>representación</w:t>
      </w:r>
      <w:r w:rsidRPr="0083037E">
        <w:rPr>
          <w:rFonts w:ascii="Arial" w:eastAsia="Calibri" w:hAnsi="Arial" w:cs="Arial"/>
          <w:sz w:val="22"/>
          <w:szCs w:val="22"/>
        </w:rPr>
        <w:t xml:space="preserve"> de ella»</w:t>
      </w:r>
      <w:r w:rsidRPr="0083037E">
        <w:rPr>
          <w:rStyle w:val="Refdenotaalpie"/>
          <w:rFonts w:ascii="Arial" w:eastAsia="Calibri" w:hAnsi="Arial" w:cs="Arial"/>
          <w:sz w:val="22"/>
          <w:szCs w:val="22"/>
        </w:rPr>
        <w:footnoteReference w:id="6"/>
      </w:r>
      <w:r w:rsidRPr="0083037E">
        <w:rPr>
          <w:rFonts w:ascii="Arial" w:eastAsia="Calibri" w:hAnsi="Arial" w:cs="Arial"/>
          <w:sz w:val="22"/>
          <w:szCs w:val="22"/>
        </w:rPr>
        <w:t xml:space="preserve">, la entidad prescindirá del uso de los Documentos Tipo de consultoría, y por ende, deberá estudiar si los Documentos Tipo de </w:t>
      </w:r>
      <w:r w:rsidRPr="0083037E">
        <w:rPr>
          <w:rFonts w:ascii="Arial" w:eastAsia="Calibri" w:hAnsi="Arial" w:cs="Arial"/>
          <w:bCs/>
          <w:sz w:val="22"/>
          <w:szCs w:val="22"/>
          <w:lang w:val="es-MX"/>
        </w:rPr>
        <w:t>interventoría de obra pública de infraestructura de transporte son aplicables al proyecto a contratar.</w:t>
      </w:r>
    </w:p>
    <w:p w14:paraId="736563A1" w14:textId="76F2161F" w:rsidR="001C094D" w:rsidRPr="0083037E" w:rsidRDefault="006A5B2F" w:rsidP="00BC6958">
      <w:pPr>
        <w:pStyle w:val="xmsonospacing"/>
        <w:spacing w:before="120" w:beforeAutospacing="0" w:after="0" w:afterAutospacing="0" w:line="276" w:lineRule="auto"/>
        <w:ind w:firstLine="709"/>
        <w:jc w:val="both"/>
        <w:rPr>
          <w:rFonts w:ascii="Arial" w:eastAsia="Calibri" w:hAnsi="Arial" w:cs="Arial"/>
          <w:bCs/>
          <w:sz w:val="22"/>
          <w:szCs w:val="22"/>
          <w:lang w:val="es-MX"/>
        </w:rPr>
      </w:pPr>
      <w:r w:rsidRPr="0083037E">
        <w:rPr>
          <w:rFonts w:ascii="Arial" w:eastAsia="Calibri" w:hAnsi="Arial" w:cs="Arial"/>
          <w:bCs/>
          <w:sz w:val="22"/>
          <w:szCs w:val="22"/>
          <w:lang w:val="es-MX"/>
        </w:rPr>
        <w:t xml:space="preserve">En segundo lugar, la Entidad Estatal debe analizar si la consultoría a contratar se relaciona con proyectos de infraestructura de transporte. Así, </w:t>
      </w:r>
      <w:r w:rsidRPr="0083037E">
        <w:rPr>
          <w:rFonts w:ascii="Arial" w:eastAsia="Calibri" w:hAnsi="Arial" w:cs="Arial"/>
          <w:color w:val="000000" w:themeColor="text1"/>
          <w:sz w:val="22"/>
          <w:lang w:val="es-ES" w:eastAsia="en-GB"/>
        </w:rPr>
        <w:t xml:space="preserve">la Ley 1682 de 2013 es útil para determinar si se está ante una infraestructura de transporte o no. En efecto, el artículo 2 de la citada ley, definió la infraestructura de transporte como un «[…] sistema de movilidad integrado por un conjunto de bienes tangibles, intangibles y aquellos que se encuentren relacionados con este, el cual está bajo la vigilancia y control del Estado […]». Por su lado, </w:t>
      </w:r>
      <w:r w:rsidR="00A50054" w:rsidRPr="0083037E">
        <w:rPr>
          <w:rFonts w:ascii="Arial" w:eastAsia="Calibri" w:hAnsi="Arial" w:cs="Arial"/>
          <w:color w:val="000000" w:themeColor="text1"/>
          <w:sz w:val="22"/>
          <w:lang w:val="es-ES" w:eastAsia="en-GB"/>
        </w:rPr>
        <w:t>el</w:t>
      </w:r>
      <w:r w:rsidRPr="0083037E">
        <w:rPr>
          <w:rFonts w:ascii="Arial" w:eastAsia="Calibri" w:hAnsi="Arial" w:cs="Arial"/>
          <w:color w:val="000000" w:themeColor="text1"/>
          <w:sz w:val="22"/>
          <w:lang w:val="es-ES" w:eastAsia="en-GB"/>
        </w:rPr>
        <w:t xml:space="preserve"> artículo 4 enumera los elementos que conforman el sistema de infraestructura de transporte. </w:t>
      </w:r>
    </w:p>
    <w:p w14:paraId="20EF1040" w14:textId="7AF3F7C0" w:rsidR="001C094D" w:rsidRPr="0083037E" w:rsidRDefault="006A5B2F" w:rsidP="001C094D">
      <w:pPr>
        <w:pStyle w:val="xmsonospacing"/>
        <w:spacing w:before="120" w:beforeAutospacing="0" w:after="0" w:afterAutospacing="0" w:line="276" w:lineRule="auto"/>
        <w:ind w:firstLine="709"/>
        <w:jc w:val="both"/>
        <w:rPr>
          <w:rFonts w:ascii="Arial" w:eastAsia="Calibri" w:hAnsi="Arial" w:cs="Arial"/>
          <w:bCs/>
          <w:sz w:val="22"/>
          <w:szCs w:val="22"/>
          <w:lang w:val="es-MX"/>
        </w:rPr>
      </w:pPr>
      <w:r w:rsidRPr="0083037E">
        <w:rPr>
          <w:rFonts w:ascii="Arial" w:eastAsia="Calibri" w:hAnsi="Arial" w:cs="Arial"/>
          <w:color w:val="000000" w:themeColor="text1"/>
          <w:sz w:val="22"/>
          <w:lang w:val="es-ES" w:eastAsia="en-GB"/>
        </w:rPr>
        <w:t xml:space="preserve">Bajo ese entendido, si el contrato de consultoría se relaciona con el sistema de infraestructura de transporte, la entidad estatal deberá analizar el aspecto que se va a explicar en el párrafo siguiente. </w:t>
      </w:r>
      <w:r w:rsidR="00EE0955" w:rsidRPr="0083037E">
        <w:rPr>
          <w:rFonts w:ascii="Arial" w:eastAsia="Calibri" w:hAnsi="Arial" w:cs="Arial"/>
          <w:color w:val="000000" w:themeColor="text1"/>
          <w:sz w:val="22"/>
          <w:lang w:val="es-ES" w:eastAsia="en-GB"/>
        </w:rPr>
        <w:t>Lo anterior teniendo en cuent</w:t>
      </w:r>
      <w:r w:rsidR="008E5C9D" w:rsidRPr="0083037E">
        <w:rPr>
          <w:rFonts w:ascii="Arial" w:eastAsia="Calibri" w:hAnsi="Arial" w:cs="Arial"/>
          <w:color w:val="000000" w:themeColor="text1"/>
          <w:sz w:val="22"/>
          <w:lang w:val="es-ES" w:eastAsia="en-GB"/>
        </w:rPr>
        <w:t>a</w:t>
      </w:r>
      <w:r w:rsidR="00EE0955" w:rsidRPr="0083037E">
        <w:rPr>
          <w:rFonts w:ascii="Arial" w:eastAsia="Calibri" w:hAnsi="Arial" w:cs="Arial"/>
          <w:color w:val="000000" w:themeColor="text1"/>
          <w:sz w:val="22"/>
          <w:lang w:val="es-ES" w:eastAsia="en-GB"/>
        </w:rPr>
        <w:t xml:space="preserve"> </w:t>
      </w:r>
      <w:proofErr w:type="gramStart"/>
      <w:r w:rsidRPr="0083037E">
        <w:rPr>
          <w:rFonts w:ascii="Arial" w:eastAsia="Calibri" w:hAnsi="Arial" w:cs="Arial"/>
          <w:color w:val="000000" w:themeColor="text1"/>
          <w:sz w:val="22"/>
          <w:lang w:val="es-ES" w:eastAsia="en-GB"/>
        </w:rPr>
        <w:t>que</w:t>
      </w:r>
      <w:proofErr w:type="gramEnd"/>
      <w:r w:rsidRPr="0083037E">
        <w:rPr>
          <w:rFonts w:ascii="Arial" w:eastAsia="Calibri" w:hAnsi="Arial" w:cs="Arial"/>
          <w:color w:val="000000" w:themeColor="text1"/>
          <w:sz w:val="22"/>
          <w:lang w:val="es-ES" w:eastAsia="en-GB"/>
        </w:rPr>
        <w:t xml:space="preserve"> de no relacionarse con aquel, la entidad no se verá obligada a aplicar los Documentos Tipo adoptados </w:t>
      </w:r>
      <w:r w:rsidRPr="0083037E">
        <w:rPr>
          <w:rFonts w:ascii="Arial" w:eastAsia="Calibri" w:hAnsi="Arial" w:cs="Arial"/>
          <w:sz w:val="22"/>
          <w:szCs w:val="22"/>
          <w:lang w:val="es-ES"/>
        </w:rPr>
        <w:t xml:space="preserve">por la </w:t>
      </w:r>
      <w:r w:rsidRPr="0083037E">
        <w:rPr>
          <w:rFonts w:ascii="Arial" w:eastAsia="Calibri" w:hAnsi="Arial" w:cs="Arial"/>
          <w:color w:val="000000"/>
          <w:sz w:val="22"/>
          <w:lang w:val="es-ES" w:eastAsia="es-ES"/>
        </w:rPr>
        <w:t>Resolución 193 del 14 de julio de 2021, pues su ámbito de aplicación se limita a proyectos de infraestructura de transporte.</w:t>
      </w:r>
    </w:p>
    <w:p w14:paraId="5CD5A835" w14:textId="4047A4F7" w:rsidR="006A5B2F" w:rsidRPr="0083037E" w:rsidRDefault="00A50054" w:rsidP="001C094D">
      <w:pPr>
        <w:pStyle w:val="xmsonospacing"/>
        <w:spacing w:before="120" w:beforeAutospacing="0" w:after="0" w:afterAutospacing="0" w:line="276" w:lineRule="auto"/>
        <w:ind w:firstLine="709"/>
        <w:jc w:val="both"/>
        <w:rPr>
          <w:rFonts w:ascii="Arial" w:eastAsia="Calibri" w:hAnsi="Arial" w:cs="Arial"/>
          <w:bCs/>
          <w:sz w:val="22"/>
          <w:szCs w:val="22"/>
          <w:lang w:val="es-MX"/>
        </w:rPr>
      </w:pPr>
      <w:r w:rsidRPr="0083037E">
        <w:rPr>
          <w:rFonts w:ascii="Arial" w:eastAsia="Calibri" w:hAnsi="Arial" w:cs="Arial"/>
          <w:sz w:val="22"/>
          <w:szCs w:val="22"/>
          <w:lang w:val="es-ES"/>
        </w:rPr>
        <w:t>De forma más precisa, p</w:t>
      </w:r>
      <w:r w:rsidR="006A5B2F" w:rsidRPr="0083037E">
        <w:rPr>
          <w:rFonts w:ascii="Arial" w:hAnsi="Arial" w:cs="Arial"/>
          <w:sz w:val="22"/>
          <w:shd w:val="clear" w:color="auto" w:fill="FFFFFF"/>
          <w:lang w:val="es-ES"/>
        </w:rPr>
        <w:t xml:space="preserve">ara determinar si la entidad regida por el EGCAP está obligada a aplicar los documentos tipo para la respectiva contratación, habrá que determinar si el objeto a contratar se encuadra dentro de los tipos de infraestructura y actividades establecidas dentro de la respectiva Matriz 1, documento que además </w:t>
      </w:r>
      <w:r w:rsidR="006A5B2F" w:rsidRPr="0083037E">
        <w:rPr>
          <w:rFonts w:ascii="Arial" w:hAnsi="Arial" w:cs="Arial"/>
          <w:sz w:val="22"/>
          <w:shd w:val="clear" w:color="auto" w:fill="FFFFFF"/>
          <w:lang w:val="es-ES"/>
        </w:rPr>
        <w:lastRenderedPageBreak/>
        <w:t>estandariza los requisitos de experiencia exigibles para cada uno de los objetos contractuales que deben contratarse aplicando Documentos Tipo</w:t>
      </w:r>
      <w:r w:rsidR="006A5B2F" w:rsidRPr="0083037E">
        <w:rPr>
          <w:rStyle w:val="Refdenotaalpie"/>
          <w:rFonts w:ascii="Arial" w:hAnsi="Arial" w:cs="Arial"/>
          <w:sz w:val="22"/>
          <w:shd w:val="clear" w:color="auto" w:fill="FFFFFF"/>
          <w:lang w:val="es-ES"/>
        </w:rPr>
        <w:footnoteReference w:id="7"/>
      </w:r>
      <w:r w:rsidR="006A5B2F" w:rsidRPr="0083037E">
        <w:rPr>
          <w:rFonts w:ascii="Arial" w:hAnsi="Arial" w:cs="Arial"/>
          <w:sz w:val="22"/>
          <w:shd w:val="clear" w:color="auto" w:fill="FFFFFF"/>
          <w:lang w:val="es-ES"/>
        </w:rPr>
        <w:t>. En tal sentido, la entidad asociará el objeto contractual a una de las «consultorías generales» relacionadas en la Matriz 1, y establecerá si las «actividades» a desarrollar corresponden a alguna de las señaladas para el correspondiente tipo de infraestructura. De estar contemplada la actividad a contratar en la Matriz 1, deberán emplearse los documentos tipo para el desarrollo del proceso de selección, y aplicarse los requisitos de experiencia establecidos para esta, de acuerdo con el rango en el que se encuentre la cuantía del proceso de contratación.</w:t>
      </w:r>
    </w:p>
    <w:p w14:paraId="19CD4A08" w14:textId="77777777" w:rsidR="006A5B2F" w:rsidRPr="0083037E" w:rsidRDefault="006A5B2F" w:rsidP="006A5B2F">
      <w:pPr>
        <w:shd w:val="clear" w:color="auto" w:fill="FFFFFF"/>
        <w:spacing w:line="276" w:lineRule="auto"/>
        <w:jc w:val="both"/>
        <w:textAlignment w:val="baseline"/>
        <w:rPr>
          <w:rFonts w:ascii="Arial" w:eastAsia="Calibri" w:hAnsi="Arial" w:cs="Arial"/>
          <w:color w:val="000000"/>
          <w:bdr w:val="none" w:sz="0" w:space="0" w:color="auto" w:frame="1"/>
          <w:lang w:val="es-ES"/>
        </w:rPr>
      </w:pPr>
    </w:p>
    <w:p w14:paraId="65C38F9C" w14:textId="742043A0" w:rsidR="00882484" w:rsidRPr="0083037E" w:rsidRDefault="00882484" w:rsidP="00882484">
      <w:pPr>
        <w:spacing w:line="276" w:lineRule="auto"/>
        <w:jc w:val="both"/>
        <w:rPr>
          <w:rFonts w:ascii="Arial" w:eastAsia="Calibri" w:hAnsi="Arial" w:cs="Arial"/>
          <w:b/>
          <w:bCs/>
          <w:color w:val="000000"/>
          <w:lang w:eastAsia="en-GB"/>
        </w:rPr>
      </w:pPr>
      <w:r w:rsidRPr="0083037E">
        <w:rPr>
          <w:rFonts w:ascii="Arial" w:eastAsia="Calibri" w:hAnsi="Arial" w:cs="Arial"/>
          <w:b/>
          <w:bCs/>
          <w:color w:val="000000"/>
          <w:lang w:eastAsia="en-GB"/>
        </w:rPr>
        <w:t>2.</w:t>
      </w:r>
      <w:r w:rsidR="002748DC" w:rsidRPr="0083037E">
        <w:rPr>
          <w:rFonts w:ascii="Arial" w:eastAsia="Calibri" w:hAnsi="Arial" w:cs="Arial"/>
          <w:b/>
          <w:bCs/>
          <w:color w:val="000000"/>
          <w:lang w:eastAsia="en-GB"/>
        </w:rPr>
        <w:t>3</w:t>
      </w:r>
      <w:r w:rsidRPr="0083037E">
        <w:rPr>
          <w:rFonts w:ascii="Arial" w:eastAsia="Calibri" w:hAnsi="Arial" w:cs="Arial"/>
          <w:b/>
          <w:bCs/>
          <w:color w:val="000000"/>
          <w:lang w:eastAsia="en-GB"/>
        </w:rPr>
        <w:t>. Inalterabilidad de los documentos tipo</w:t>
      </w:r>
    </w:p>
    <w:p w14:paraId="1A693F32" w14:textId="77777777" w:rsidR="00882484" w:rsidRPr="0083037E" w:rsidRDefault="00882484" w:rsidP="00882484">
      <w:pPr>
        <w:spacing w:line="276" w:lineRule="auto"/>
        <w:jc w:val="both"/>
        <w:rPr>
          <w:rFonts w:ascii="Arial" w:eastAsia="Calibri" w:hAnsi="Arial" w:cs="Arial"/>
          <w:b/>
          <w:bCs/>
          <w:color w:val="000000"/>
          <w:lang w:eastAsia="en-GB"/>
        </w:rPr>
      </w:pPr>
    </w:p>
    <w:p w14:paraId="52AA2DBD" w14:textId="163E93FE" w:rsidR="00882484" w:rsidRPr="0083037E" w:rsidRDefault="00BC6958" w:rsidP="00882484">
      <w:pPr>
        <w:spacing w:line="276" w:lineRule="auto"/>
        <w:jc w:val="both"/>
        <w:rPr>
          <w:rFonts w:ascii="Arial" w:eastAsia="Calibri" w:hAnsi="Arial" w:cs="Arial"/>
          <w:color w:val="000000"/>
          <w:lang w:val="es-ES_tradnl"/>
        </w:rPr>
      </w:pPr>
      <w:r w:rsidRPr="0083037E">
        <w:rPr>
          <w:rFonts w:ascii="Arial" w:eastAsia="Calibri" w:hAnsi="Arial" w:cs="Arial"/>
          <w:color w:val="000000"/>
          <w:lang w:val="es-ES_tradnl"/>
        </w:rPr>
        <w:t>Teniendo en cuenta que la consulta que se</w:t>
      </w:r>
      <w:r w:rsidR="001B4D7F" w:rsidRPr="0083037E">
        <w:rPr>
          <w:rFonts w:ascii="Arial" w:eastAsia="Calibri" w:hAnsi="Arial" w:cs="Arial"/>
          <w:color w:val="000000"/>
          <w:lang w:val="es-ES_tradnl"/>
        </w:rPr>
        <w:t xml:space="preserve"> analiza</w:t>
      </w:r>
      <w:r w:rsidR="00465423" w:rsidRPr="0083037E">
        <w:rPr>
          <w:rFonts w:ascii="Arial" w:eastAsia="Calibri" w:hAnsi="Arial" w:cs="Arial"/>
          <w:color w:val="000000"/>
          <w:lang w:val="es-ES_tradnl"/>
        </w:rPr>
        <w:t xml:space="preserve"> tiene que ver con la interpretación</w:t>
      </w:r>
      <w:r w:rsidR="00C848D8" w:rsidRPr="0083037E">
        <w:rPr>
          <w:rFonts w:ascii="Arial" w:eastAsia="Calibri" w:hAnsi="Arial" w:cs="Arial"/>
          <w:color w:val="000000"/>
          <w:lang w:val="es-ES_tradnl"/>
        </w:rPr>
        <w:t xml:space="preserve"> y aplicación</w:t>
      </w:r>
      <w:r w:rsidR="00465423" w:rsidRPr="0083037E">
        <w:rPr>
          <w:rFonts w:ascii="Arial" w:eastAsia="Calibri" w:hAnsi="Arial" w:cs="Arial"/>
          <w:color w:val="000000"/>
          <w:lang w:val="es-ES_tradnl"/>
        </w:rPr>
        <w:t xml:space="preserve"> de la Matriz 1, es importante </w:t>
      </w:r>
      <w:r w:rsidR="00024A96" w:rsidRPr="0083037E">
        <w:rPr>
          <w:rFonts w:ascii="Arial" w:eastAsia="Calibri" w:hAnsi="Arial" w:cs="Arial"/>
          <w:color w:val="000000"/>
          <w:lang w:val="es-ES_tradnl"/>
        </w:rPr>
        <w:t>recordar que en los documentos tipo rige la regla de la inalterabilidad. En efecto, t</w:t>
      </w:r>
      <w:r w:rsidR="00882484" w:rsidRPr="0083037E">
        <w:rPr>
          <w:rFonts w:ascii="Arial" w:eastAsia="Calibri" w:hAnsi="Arial" w:cs="Arial"/>
          <w:color w:val="000000"/>
          <w:lang w:val="es-ES_tradnl"/>
        </w:rPr>
        <w:t xml:space="preserve">odas las resoluciones expedidas por la Agencia Nacional de Contratación Pública – Colombia Compra Eficiente, mediante las cuales se han adoptado los documentos tipo, consagran </w:t>
      </w:r>
      <w:r w:rsidR="00C848D8" w:rsidRPr="0083037E">
        <w:rPr>
          <w:rFonts w:ascii="Arial" w:eastAsia="Calibri" w:hAnsi="Arial" w:cs="Arial"/>
          <w:color w:val="000000"/>
          <w:lang w:val="es-ES_tradnl"/>
        </w:rPr>
        <w:t>dicha regla</w:t>
      </w:r>
      <w:r w:rsidR="00882484" w:rsidRPr="0083037E">
        <w:rPr>
          <w:rFonts w:ascii="Arial" w:eastAsia="Calibri" w:hAnsi="Arial" w:cs="Arial"/>
          <w:color w:val="000000"/>
          <w:vertAlign w:val="superscript"/>
          <w:lang w:val="es-ES_tradnl"/>
        </w:rPr>
        <w:footnoteReference w:id="8"/>
      </w:r>
      <w:r w:rsidR="00882484" w:rsidRPr="0083037E">
        <w:rPr>
          <w:rFonts w:ascii="Arial" w:eastAsia="Calibri" w:hAnsi="Arial" w:cs="Arial"/>
          <w:color w:val="000000"/>
          <w:lang w:val="es-ES_tradnl"/>
        </w:rPr>
        <w:t xml:space="preserve">. Esta prohibición consiste en que </w:t>
      </w:r>
      <w:bookmarkStart w:id="2" w:name="_Hlk79403115"/>
      <w:r w:rsidR="00882484" w:rsidRPr="0083037E">
        <w:rPr>
          <w:rFonts w:ascii="Arial" w:eastAsia="Calibri" w:hAnsi="Arial" w:cs="Arial"/>
          <w:color w:val="000000"/>
          <w:lang w:val="es-ES_tradnl"/>
        </w:rPr>
        <w:t xml:space="preserve">las entidades estatales no pueden incluir o modificar en los </w:t>
      </w:r>
      <w:r w:rsidR="00882484" w:rsidRPr="0083037E">
        <w:rPr>
          <w:rFonts w:ascii="Arial" w:eastAsia="Calibri" w:hAnsi="Arial" w:cs="Arial"/>
          <w:i/>
          <w:iCs/>
          <w:color w:val="000000"/>
          <w:lang w:val="es-ES_tradnl"/>
        </w:rPr>
        <w:t>Documentos del Proceso</w:t>
      </w:r>
      <w:r w:rsidR="00882484" w:rsidRPr="0083037E">
        <w:rPr>
          <w:rFonts w:ascii="Arial" w:eastAsia="Calibri" w:hAnsi="Arial" w:cs="Arial"/>
          <w:color w:val="000000"/>
          <w:lang w:val="es-ES_tradnl"/>
        </w:rPr>
        <w:t xml:space="preserve"> las condiciones habilitantes, los factores técnicos y económicos de escogencia y los sistemas de ponderación distintos a los señalados en los documentos tipo</w:t>
      </w:r>
      <w:bookmarkEnd w:id="2"/>
      <w:r w:rsidR="00882484" w:rsidRPr="0083037E">
        <w:rPr>
          <w:rFonts w:ascii="Arial" w:eastAsia="Calibri" w:hAnsi="Arial" w:cs="Arial"/>
          <w:color w:val="000000"/>
          <w:lang w:val="es-ES_tradnl"/>
        </w:rPr>
        <w:t>. En consecuencia, las condiciones establecidas en los documentos tipo son de obligatorio cumplimiento para las entidades sometidas al Estatuto General de Contratación de la Administración Pública que adelanten procesos que deban regirse por su contenido, por lo que no pueden variarse los requisitos fijados en ellos. Por lo tanto, las entidades estatales, al realizar sus procedimientos de selección, solo podrán modificarlos en los aspectos en que los documentos tipo lo permitan.</w:t>
      </w:r>
    </w:p>
    <w:p w14:paraId="65A99DEC" w14:textId="20DEF884" w:rsidR="00882484" w:rsidRPr="0083037E" w:rsidRDefault="00882484" w:rsidP="00882484">
      <w:pPr>
        <w:spacing w:before="120" w:line="276" w:lineRule="auto"/>
        <w:ind w:firstLine="709"/>
        <w:jc w:val="both"/>
        <w:rPr>
          <w:rFonts w:ascii="Arial" w:eastAsia="Calibri" w:hAnsi="Arial" w:cs="Arial"/>
          <w:color w:val="000000"/>
          <w:lang w:val="es-ES_tradnl"/>
        </w:rPr>
      </w:pPr>
      <w:r w:rsidRPr="0083037E">
        <w:rPr>
          <w:rFonts w:ascii="Arial" w:eastAsia="Calibri" w:hAnsi="Arial" w:cs="Arial"/>
          <w:color w:val="000000"/>
          <w:lang w:val="es-ES_tradnl"/>
        </w:rPr>
        <w:t xml:space="preserve">El fundamento legal vigente de la regla de la inalterabilidad está en </w:t>
      </w:r>
      <w:bookmarkStart w:id="3" w:name="_Hlk79402315"/>
      <w:r w:rsidRPr="0083037E">
        <w:rPr>
          <w:rFonts w:ascii="Arial" w:eastAsia="Calibri" w:hAnsi="Arial" w:cs="Arial"/>
          <w:color w:val="000000"/>
          <w:lang w:val="es-ES_tradnl"/>
        </w:rPr>
        <w:t xml:space="preserve">el artículo 1 de la </w:t>
      </w:r>
      <w:bookmarkEnd w:id="3"/>
      <w:r w:rsidRPr="0083037E">
        <w:rPr>
          <w:rFonts w:ascii="Arial" w:eastAsia="Calibri" w:hAnsi="Arial" w:cs="Arial"/>
          <w:color w:val="000000"/>
          <w:lang w:val="es-ES_tradnl"/>
        </w:rPr>
        <w:t>Ley 2022 de 2020, según el cual «[…] serán de obligatorio cumplimiento en la actividad contractual de todas las entidades sometidas al Estatuto General de Contratación de la Administración Pública»</w:t>
      </w:r>
      <w:r w:rsidR="00611396" w:rsidRPr="0083037E">
        <w:rPr>
          <w:rFonts w:ascii="Arial" w:eastAsia="Calibri" w:hAnsi="Arial" w:cs="Arial"/>
          <w:color w:val="000000"/>
          <w:lang w:val="es-ES_tradnl"/>
        </w:rPr>
        <w:t>. No obstante,</w:t>
      </w:r>
      <w:r w:rsidRPr="0083037E">
        <w:rPr>
          <w:rFonts w:ascii="Arial" w:eastAsia="Calibri" w:hAnsi="Arial" w:cs="Arial"/>
          <w:color w:val="000000"/>
          <w:lang w:val="es-ES_tradnl"/>
        </w:rPr>
        <w:t xml:space="preserve"> ello no significa que antes no rigiera, pues así también lo disponía el artículo 4 de la Ley 1882 de 2018. Por vía </w:t>
      </w:r>
      <w:r w:rsidRPr="0083037E">
        <w:rPr>
          <w:rFonts w:ascii="Arial" w:eastAsia="Calibri" w:hAnsi="Arial" w:cs="Arial"/>
          <w:color w:val="000000"/>
          <w:lang w:val="es-ES_tradnl"/>
        </w:rPr>
        <w:lastRenderedPageBreak/>
        <w:t xml:space="preserve">reglamentaria, también quedó consignado en su momento el carácter inmodificable de los </w:t>
      </w:r>
      <w:r w:rsidR="00611396" w:rsidRPr="0083037E">
        <w:rPr>
          <w:rFonts w:ascii="Arial" w:eastAsia="Calibri" w:hAnsi="Arial" w:cs="Arial"/>
          <w:color w:val="000000"/>
          <w:lang w:val="es-ES_tradnl"/>
        </w:rPr>
        <w:t>documentos</w:t>
      </w:r>
      <w:r w:rsidRPr="0083037E">
        <w:rPr>
          <w:rFonts w:ascii="Arial" w:eastAsia="Calibri" w:hAnsi="Arial" w:cs="Arial"/>
          <w:color w:val="000000"/>
          <w:lang w:val="es-ES_tradnl"/>
        </w:rPr>
        <w:t xml:space="preserve"> tipo en el artículo 1 de los Decretos 342 de 2019, Decreto 2096 de 2019 y 594 de 2020, que adicionaron, respectivamente, los artículos 2.2.1.2.6.1.4, 2.2.1.2.6.2.3 y 2.2.1.2.6.3.4 al Decreto 1082 de 2015.</w:t>
      </w:r>
    </w:p>
    <w:p w14:paraId="371C6703" w14:textId="77777777" w:rsidR="00882484" w:rsidRPr="0083037E" w:rsidRDefault="00882484" w:rsidP="00882484">
      <w:pPr>
        <w:spacing w:before="120" w:line="276" w:lineRule="auto"/>
        <w:ind w:firstLine="709"/>
        <w:jc w:val="both"/>
        <w:rPr>
          <w:rFonts w:ascii="Arial" w:eastAsia="Calibri" w:hAnsi="Arial" w:cs="Arial"/>
          <w:bCs/>
          <w:color w:val="000000"/>
          <w:lang w:val="es-ES_tradnl"/>
        </w:rPr>
      </w:pPr>
      <w:r w:rsidRPr="0083037E">
        <w:rPr>
          <w:rFonts w:ascii="Arial" w:eastAsia="Calibri" w:hAnsi="Arial" w:cs="Arial"/>
          <w:bCs/>
          <w:color w:val="000000"/>
          <w:lang w:val="es-ES_tradnl"/>
        </w:rPr>
        <w:t xml:space="preserve">Además, las entidades estatales deben garantizar el </w:t>
      </w:r>
      <w:r w:rsidRPr="0083037E">
        <w:rPr>
          <w:rFonts w:ascii="Arial" w:eastAsia="Calibri" w:hAnsi="Arial" w:cs="Arial"/>
          <w:bCs/>
          <w:i/>
          <w:iCs/>
          <w:color w:val="000000"/>
          <w:lang w:val="es-ES_tradnl"/>
        </w:rPr>
        <w:t>principio de economía</w:t>
      </w:r>
      <w:r w:rsidRPr="0083037E">
        <w:rPr>
          <w:rFonts w:ascii="Arial" w:eastAsia="Calibri" w:hAnsi="Arial" w:cs="Arial"/>
          <w:bCs/>
          <w:color w:val="000000"/>
          <w:lang w:val="es-ES_tradnl"/>
        </w:rPr>
        <w:t>, del cual se desprende que no pueden exigir documentos o requisitos más allá de los que permitan la Constitución, la ley y los reglamentos. Este postulado ha sido recogido no solo en la contratación estatal</w:t>
      </w:r>
      <w:r w:rsidRPr="0083037E">
        <w:rPr>
          <w:rFonts w:ascii="Arial" w:eastAsia="Calibri" w:hAnsi="Arial" w:cs="Arial"/>
          <w:bCs/>
          <w:color w:val="000000"/>
          <w:vertAlign w:val="superscript"/>
          <w:lang w:val="es-ES_tradnl"/>
        </w:rPr>
        <w:footnoteReference w:id="9"/>
      </w:r>
      <w:r w:rsidRPr="0083037E">
        <w:rPr>
          <w:rFonts w:ascii="Arial" w:eastAsia="Calibri" w:hAnsi="Arial" w:cs="Arial"/>
          <w:bCs/>
          <w:color w:val="000000"/>
          <w:lang w:val="es-ES_tradnl"/>
        </w:rPr>
        <w:t xml:space="preserve"> sino además en la normativa antitrámites</w:t>
      </w:r>
      <w:r w:rsidRPr="0083037E">
        <w:rPr>
          <w:rFonts w:ascii="Arial" w:eastAsia="Calibri" w:hAnsi="Arial" w:cs="Arial"/>
          <w:bCs/>
          <w:color w:val="000000"/>
          <w:vertAlign w:val="superscript"/>
          <w:lang w:val="es-ES_tradnl"/>
        </w:rPr>
        <w:footnoteReference w:id="10"/>
      </w:r>
      <w:r w:rsidRPr="0083037E">
        <w:rPr>
          <w:rFonts w:ascii="Arial" w:eastAsia="Calibri" w:hAnsi="Arial" w:cs="Arial"/>
          <w:bCs/>
          <w:color w:val="000000"/>
          <w:lang w:val="es-ES_tradnl"/>
        </w:rPr>
        <w:t>, pues se inscribe dentro de la tendencia de simplificación y racionalización de los procedimientos administrativos. De ahí que cuando las autoridades solicitan la entrega de documentación innecesaria, desconocen el principio de economía.</w:t>
      </w:r>
    </w:p>
    <w:p w14:paraId="57A8B6BB" w14:textId="77777777" w:rsidR="00882484" w:rsidRPr="0083037E" w:rsidRDefault="00882484" w:rsidP="00882484">
      <w:pPr>
        <w:spacing w:before="120" w:line="276" w:lineRule="auto"/>
        <w:ind w:firstLine="709"/>
        <w:jc w:val="both"/>
        <w:rPr>
          <w:rFonts w:ascii="Arial" w:eastAsia="Calibri" w:hAnsi="Arial" w:cs="Arial"/>
          <w:color w:val="000000"/>
          <w:lang w:val="es-MX"/>
        </w:rPr>
      </w:pPr>
      <w:r w:rsidRPr="0083037E">
        <w:rPr>
          <w:rFonts w:ascii="Arial" w:eastAsia="Calibri" w:hAnsi="Arial" w:cs="Arial"/>
          <w:color w:val="000000"/>
          <w:lang w:val="es-MX"/>
        </w:rPr>
        <w:t xml:space="preserve">Adicionalmente, la parte introductoria de los documentos tipo dispone que los aspectos incluidos en corchetes y resaltado gris 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del pliego de condiciones. </w:t>
      </w:r>
    </w:p>
    <w:p w14:paraId="7E76F933" w14:textId="47D2C76F" w:rsidR="00882484" w:rsidRPr="0083037E" w:rsidRDefault="00882484" w:rsidP="00882484">
      <w:pPr>
        <w:spacing w:before="120" w:line="276" w:lineRule="auto"/>
        <w:ind w:firstLine="709"/>
        <w:jc w:val="both"/>
        <w:rPr>
          <w:rFonts w:ascii="Arial" w:eastAsia="Calibri" w:hAnsi="Arial" w:cs="Arial"/>
          <w:lang w:val="es-MX"/>
        </w:rPr>
      </w:pPr>
      <w:r w:rsidRPr="0083037E">
        <w:rPr>
          <w:rFonts w:ascii="Arial" w:eastAsia="Calibri" w:hAnsi="Arial" w:cs="Arial"/>
          <w:lang w:val="es-MX"/>
        </w:rPr>
        <w:t>Asimismo, en los documentos tipo se prevé</w:t>
      </w:r>
      <w:r w:rsidR="000975F3" w:rsidRPr="0083037E">
        <w:rPr>
          <w:rFonts w:ascii="Arial" w:eastAsia="Calibri" w:hAnsi="Arial" w:cs="Arial"/>
          <w:lang w:val="es-MX"/>
        </w:rPr>
        <w:t>n</w:t>
      </w:r>
      <w:r w:rsidRPr="0083037E">
        <w:rPr>
          <w:rFonts w:ascii="Arial" w:eastAsia="Calibri" w:hAnsi="Arial" w:cs="Arial"/>
          <w:lang w:val="es-MX"/>
        </w:rPr>
        <w:t xml:space="preserve"> los eventos en los que el objeto contractual incluye bienes o servicios adicionales. En este caso,</w:t>
      </w:r>
      <w:r w:rsidR="00611396" w:rsidRPr="0083037E">
        <w:rPr>
          <w:rFonts w:ascii="Arial" w:eastAsia="Calibri" w:hAnsi="Arial" w:cs="Arial"/>
          <w:lang w:val="es-MX"/>
        </w:rPr>
        <w:t xml:space="preserve"> de acuerdo con las </w:t>
      </w:r>
      <w:r w:rsidR="00611396" w:rsidRPr="0083037E">
        <w:rPr>
          <w:rFonts w:ascii="Arial" w:eastAsia="Calibri" w:hAnsi="Arial" w:cs="Arial"/>
          <w:lang w:val="es-MX"/>
        </w:rPr>
        <w:lastRenderedPageBreak/>
        <w:t>condiciones que disponga la resolución</w:t>
      </w:r>
      <w:r w:rsidR="00A50054" w:rsidRPr="0083037E">
        <w:rPr>
          <w:rFonts w:ascii="Arial" w:eastAsia="Calibri" w:hAnsi="Arial" w:cs="Arial"/>
          <w:lang w:val="es-MX"/>
        </w:rPr>
        <w:t xml:space="preserve"> que adopta los documentos tipo</w:t>
      </w:r>
      <w:r w:rsidR="00611396" w:rsidRPr="0083037E">
        <w:rPr>
          <w:rFonts w:ascii="Arial" w:eastAsia="Calibri" w:hAnsi="Arial" w:cs="Arial"/>
          <w:lang w:val="es-MX"/>
        </w:rPr>
        <w:t>,</w:t>
      </w:r>
      <w:r w:rsidRPr="0083037E">
        <w:rPr>
          <w:rFonts w:ascii="Arial" w:eastAsia="Calibri" w:hAnsi="Arial" w:cs="Arial"/>
          <w:lang w:val="es-MX"/>
        </w:rPr>
        <w:t xml:space="preserve"> la entidad estatal puede complementar experiencia adicional para evaluar la idoneidad respecto de los bienes o servicios ajenos </w:t>
      </w:r>
      <w:r w:rsidR="00611396" w:rsidRPr="0083037E">
        <w:rPr>
          <w:rFonts w:ascii="Arial" w:eastAsia="Calibri" w:hAnsi="Arial" w:cs="Arial"/>
          <w:lang w:val="es-MX"/>
        </w:rPr>
        <w:t>al objeto del documento tipo</w:t>
      </w:r>
      <w:r w:rsidRPr="0083037E">
        <w:rPr>
          <w:rFonts w:ascii="Arial" w:eastAsia="Calibri" w:hAnsi="Arial" w:cs="Arial"/>
          <w:lang w:val="es-MX"/>
        </w:rPr>
        <w:t>.</w:t>
      </w:r>
      <w:r w:rsidR="00611396" w:rsidRPr="0083037E">
        <w:rPr>
          <w:rFonts w:ascii="Arial" w:eastAsia="Calibri" w:hAnsi="Arial" w:cs="Arial"/>
          <w:lang w:val="es-MX"/>
        </w:rPr>
        <w:t xml:space="preserve"> Por ejemplo</w:t>
      </w:r>
      <w:r w:rsidRPr="0083037E">
        <w:rPr>
          <w:rFonts w:ascii="Arial" w:eastAsia="Calibri" w:hAnsi="Arial" w:cs="Arial"/>
          <w:lang w:val="es-MX"/>
        </w:rPr>
        <w:t>,</w:t>
      </w:r>
      <w:r w:rsidR="00611396" w:rsidRPr="0083037E">
        <w:rPr>
          <w:rFonts w:ascii="Arial" w:eastAsia="Calibri" w:hAnsi="Arial" w:cs="Arial"/>
          <w:lang w:val="es-MX"/>
        </w:rPr>
        <w:t xml:space="preserve"> respecto a los servicios adicionales a la </w:t>
      </w:r>
      <w:r w:rsidR="00A50054" w:rsidRPr="0083037E">
        <w:rPr>
          <w:rFonts w:ascii="Arial" w:eastAsia="Calibri" w:hAnsi="Arial" w:cs="Arial"/>
          <w:lang w:val="es-MX"/>
        </w:rPr>
        <w:t xml:space="preserve">consultoría de estudios de ingeniería de </w:t>
      </w:r>
      <w:r w:rsidR="00611396" w:rsidRPr="0083037E">
        <w:rPr>
          <w:rFonts w:ascii="Arial" w:eastAsia="Calibri" w:hAnsi="Arial" w:cs="Arial"/>
          <w:lang w:val="es-MX"/>
        </w:rPr>
        <w:t>infraestructura de transporte,</w:t>
      </w:r>
      <w:r w:rsidRPr="0083037E">
        <w:rPr>
          <w:rFonts w:ascii="Arial" w:eastAsia="Calibri" w:hAnsi="Arial" w:cs="Arial"/>
          <w:lang w:val="es-MX"/>
        </w:rPr>
        <w:t xml:space="preserve"> </w:t>
      </w:r>
      <w:r w:rsidR="00A50054" w:rsidRPr="0083037E">
        <w:rPr>
          <w:rFonts w:ascii="Arial" w:eastAsia="Calibri" w:hAnsi="Arial" w:cs="Arial"/>
          <w:lang w:val="es-MX"/>
        </w:rPr>
        <w:t xml:space="preserve">en caso que la entidad contratante considere necesario exigir experiencia adicional frente a ellos </w:t>
      </w:r>
      <w:r w:rsidRPr="0083037E">
        <w:rPr>
          <w:rFonts w:ascii="Arial" w:eastAsia="Calibri" w:hAnsi="Arial" w:cs="Arial"/>
          <w:lang w:val="es-MX"/>
        </w:rPr>
        <w:t xml:space="preserve">deberá seguir los siguientes parámetros: i) demostrar en los estudios previos que ha verificado las condiciones de mercado para la adquisición de los bienes o servicios adicionales al componente de </w:t>
      </w:r>
      <w:r w:rsidR="00A50054" w:rsidRPr="0083037E">
        <w:rPr>
          <w:rFonts w:ascii="Arial" w:eastAsia="Calibri" w:hAnsi="Arial" w:cs="Arial"/>
          <w:lang w:val="es-MX"/>
        </w:rPr>
        <w:t>consultoría de estudios de ingeniería</w:t>
      </w:r>
      <w:r w:rsidRPr="0083037E">
        <w:rPr>
          <w:rFonts w:ascii="Arial" w:eastAsia="Calibri" w:hAnsi="Arial" w:cs="Arial"/>
          <w:lang w:val="es-MX"/>
        </w:rPr>
        <w:t>, de tal forma que la 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 y iv) clasificar la experiencia requerida solo hasta el tercer nivel del Clasificador de Bienes y Servicios e incluir exclusivamente los códigos que estén relacionados directamente con el objeto a contratar</w:t>
      </w:r>
      <w:r w:rsidR="00A50054" w:rsidRPr="0083037E">
        <w:rPr>
          <w:rStyle w:val="Refdenotaalpie"/>
          <w:rFonts w:ascii="Arial" w:eastAsia="Calibri" w:hAnsi="Arial" w:cs="Arial"/>
          <w:lang w:val="es-MX"/>
        </w:rPr>
        <w:footnoteReference w:id="11"/>
      </w:r>
      <w:r w:rsidRPr="0083037E">
        <w:rPr>
          <w:rFonts w:ascii="Arial" w:eastAsia="Calibri" w:hAnsi="Arial" w:cs="Arial"/>
          <w:lang w:val="es-MX"/>
        </w:rPr>
        <w:t xml:space="preserve">. </w:t>
      </w:r>
    </w:p>
    <w:p w14:paraId="35430E7E" w14:textId="7C39BFAB" w:rsidR="00882484" w:rsidRPr="0083037E" w:rsidRDefault="00882484" w:rsidP="00882484">
      <w:pPr>
        <w:spacing w:before="120" w:line="276" w:lineRule="auto"/>
        <w:ind w:firstLine="709"/>
        <w:jc w:val="both"/>
        <w:rPr>
          <w:rFonts w:ascii="Arial" w:eastAsia="Calibri" w:hAnsi="Arial" w:cs="Arial"/>
          <w:bCs/>
          <w:lang w:val="es-MX"/>
        </w:rPr>
      </w:pPr>
      <w:r w:rsidRPr="0083037E">
        <w:rPr>
          <w:rFonts w:ascii="Arial" w:eastAsia="Calibri" w:hAnsi="Arial" w:cs="Arial"/>
          <w:bCs/>
          <w:lang w:val="es-MX"/>
        </w:rPr>
        <w:t xml:space="preserve">En suma, la regla general frente la aplicación del «Documento Base» y en general de los documentos tipo es su inalterabilidad, y no se podrán incluir o modificar en los documentos del proceso las condiciones habilitantes, los factores técnicos y económicos de escogencia y los sistemas de ponderación distintos a los señalados en los documentos tipo. Lo anterior salvo que el objeto contractual incluya bienes o servicios </w:t>
      </w:r>
      <w:r w:rsidR="00FD05E9" w:rsidRPr="0083037E">
        <w:rPr>
          <w:rFonts w:ascii="Arial" w:eastAsia="Calibri" w:hAnsi="Arial" w:cs="Arial"/>
          <w:bCs/>
          <w:lang w:val="es-MX"/>
        </w:rPr>
        <w:t>adicionales, en los términos explicados,</w:t>
      </w:r>
      <w:r w:rsidRPr="0083037E">
        <w:rPr>
          <w:rFonts w:ascii="Arial" w:eastAsia="Calibri" w:hAnsi="Arial" w:cs="Arial"/>
          <w:bCs/>
          <w:lang w:val="es-MX"/>
        </w:rPr>
        <w:t xml:space="preserve"> caso en el que se podrá incluir experiencia adicional; y, además, cuando el pliego tipo de forma expresa lo incluya, es decir, en los aspectos incluidos en corchetes y resaltados en gris.</w:t>
      </w:r>
    </w:p>
    <w:p w14:paraId="688FC014" w14:textId="77777777" w:rsidR="00882484" w:rsidRPr="0083037E" w:rsidRDefault="00882484" w:rsidP="00882484">
      <w:pPr>
        <w:spacing w:before="120" w:line="276" w:lineRule="auto"/>
        <w:ind w:firstLine="709"/>
        <w:jc w:val="both"/>
        <w:rPr>
          <w:rFonts w:ascii="Arial" w:eastAsia="Calibri" w:hAnsi="Arial" w:cs="Arial"/>
          <w:bCs/>
          <w:lang w:val="es-MX"/>
        </w:rPr>
      </w:pPr>
      <w:r w:rsidRPr="0083037E">
        <w:rPr>
          <w:rFonts w:ascii="Arial" w:eastAsia="Calibri" w:hAnsi="Arial" w:cs="Arial"/>
          <w:bCs/>
          <w:lang w:val="es-MX"/>
        </w:rPr>
        <w:t xml:space="preserve">Esta regla de inalterabilidad también aplica a los formatos y anexos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45473FBA" w14:textId="03D22DC1" w:rsidR="00882484" w:rsidRPr="0083037E" w:rsidRDefault="00882484" w:rsidP="00882484">
      <w:pPr>
        <w:spacing w:before="120" w:line="276" w:lineRule="auto"/>
        <w:ind w:firstLine="709"/>
        <w:jc w:val="both"/>
        <w:rPr>
          <w:rFonts w:ascii="Arial" w:eastAsia="Calibri" w:hAnsi="Arial" w:cs="Arial"/>
        </w:rPr>
      </w:pPr>
      <w:r w:rsidRPr="0083037E">
        <w:rPr>
          <w:rFonts w:ascii="Arial" w:eastAsia="Calibri" w:hAnsi="Arial" w:cs="Arial"/>
          <w:lang w:val="es-MX"/>
        </w:rPr>
        <w:t xml:space="preserve">Con todo, la regla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w:t>
      </w:r>
      <w:r w:rsidRPr="0083037E">
        <w:rPr>
          <w:rFonts w:ascii="Arial" w:eastAsia="Calibri" w:hAnsi="Arial" w:cs="Arial"/>
          <w:lang w:val="es-MX"/>
        </w:rPr>
        <w:lastRenderedPageBreak/>
        <w:t>Contratación Pública, impide que la entidad que adelanta el proceso contractual le rinda culto a las «formas», pues el deber que le asiste es el de tener en cuenta y aplicar los aspectos sustanciales de los documentos tipo, sin distingo de la formalidad de la que se sirva para ello los actores de la contratación pública</w:t>
      </w:r>
      <w:r w:rsidRPr="0083037E">
        <w:rPr>
          <w:rFonts w:ascii="Arial" w:eastAsia="Calibri" w:hAnsi="Arial" w:cs="Arial"/>
          <w:vertAlign w:val="superscript"/>
        </w:rPr>
        <w:footnoteReference w:id="12"/>
      </w:r>
      <w:r w:rsidRPr="0083037E">
        <w:rPr>
          <w:rFonts w:ascii="Arial" w:eastAsia="Calibri" w:hAnsi="Arial" w:cs="Arial"/>
        </w:rPr>
        <w:t xml:space="preserve">. </w:t>
      </w:r>
    </w:p>
    <w:p w14:paraId="5964AC4B" w14:textId="77777777" w:rsidR="00882484" w:rsidRPr="0083037E" w:rsidRDefault="00882484" w:rsidP="00882484">
      <w:pPr>
        <w:spacing w:before="120" w:line="276" w:lineRule="auto"/>
        <w:ind w:firstLine="709"/>
        <w:jc w:val="both"/>
        <w:rPr>
          <w:rFonts w:ascii="Arial" w:eastAsia="Calibri" w:hAnsi="Arial" w:cs="Arial"/>
          <w:lang w:val="es-MX"/>
        </w:rPr>
      </w:pPr>
      <w:r w:rsidRPr="0083037E">
        <w:rPr>
          <w:rFonts w:ascii="Arial" w:eastAsia="Calibri" w:hAnsi="Arial" w:cs="Arial"/>
          <w:lang w:val="es-MX"/>
        </w:rPr>
        <w:t>El carácter inalterable de los documentos tipo no puede, entonces, hacerse extensivo a los aspectos eminentemente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por lo que no afectan su contenido esencial y, mucho menos, las obligaciones, deberes y derechos que se derivan para los partícipes del proceso contractual.</w:t>
      </w:r>
    </w:p>
    <w:p w14:paraId="31CEB18B" w14:textId="77777777" w:rsidR="008A5692" w:rsidRPr="0083037E" w:rsidRDefault="008A5692" w:rsidP="00882484">
      <w:pPr>
        <w:shd w:val="clear" w:color="auto" w:fill="FFFFFF"/>
        <w:spacing w:line="276" w:lineRule="auto"/>
        <w:jc w:val="both"/>
        <w:textAlignment w:val="baseline"/>
        <w:rPr>
          <w:rFonts w:ascii="Arial" w:eastAsia="Calibri" w:hAnsi="Arial" w:cs="Arial"/>
        </w:rPr>
      </w:pPr>
    </w:p>
    <w:p w14:paraId="47A663AB" w14:textId="711F2D4C" w:rsidR="007A24D3" w:rsidRPr="0083037E" w:rsidRDefault="00300E95" w:rsidP="007A24D3">
      <w:pPr>
        <w:pStyle w:val="xmsonospacing"/>
        <w:spacing w:before="0" w:beforeAutospacing="0" w:after="0" w:afterAutospacing="0" w:line="276" w:lineRule="auto"/>
        <w:jc w:val="both"/>
        <w:rPr>
          <w:rFonts w:ascii="Arial" w:eastAsia="Calibri" w:hAnsi="Arial" w:cs="Arial"/>
          <w:b/>
          <w:bCs/>
          <w:sz w:val="22"/>
          <w:szCs w:val="22"/>
          <w:lang w:val="es-ES"/>
        </w:rPr>
      </w:pPr>
      <w:r w:rsidRPr="0083037E">
        <w:rPr>
          <w:rFonts w:ascii="Arial" w:eastAsia="Calibri" w:hAnsi="Arial" w:cs="Arial"/>
          <w:b/>
          <w:color w:val="000000"/>
          <w:sz w:val="22"/>
          <w:szCs w:val="22"/>
          <w:lang w:eastAsia="es-ES_tradnl"/>
        </w:rPr>
        <w:t>2.</w:t>
      </w:r>
      <w:r w:rsidR="002748DC" w:rsidRPr="0083037E">
        <w:rPr>
          <w:rFonts w:ascii="Arial" w:eastAsia="Calibri" w:hAnsi="Arial" w:cs="Arial"/>
          <w:b/>
          <w:color w:val="000000"/>
          <w:sz w:val="22"/>
          <w:szCs w:val="22"/>
          <w:lang w:eastAsia="es-ES_tradnl"/>
        </w:rPr>
        <w:t>4</w:t>
      </w:r>
      <w:r w:rsidRPr="0083037E">
        <w:rPr>
          <w:rFonts w:ascii="Arial" w:eastAsia="Calibri" w:hAnsi="Arial" w:cs="Arial"/>
          <w:b/>
          <w:color w:val="000000"/>
          <w:sz w:val="22"/>
          <w:szCs w:val="22"/>
          <w:lang w:eastAsia="es-ES_tradnl"/>
        </w:rPr>
        <w:t xml:space="preserve">. Aplicación de la </w:t>
      </w:r>
      <w:r w:rsidR="004A096E" w:rsidRPr="0083037E">
        <w:rPr>
          <w:rFonts w:ascii="Arial" w:eastAsia="Calibri" w:hAnsi="Arial" w:cs="Arial"/>
          <w:b/>
          <w:color w:val="000000"/>
          <w:sz w:val="22"/>
          <w:szCs w:val="22"/>
          <w:lang w:eastAsia="es-ES_tradnl"/>
        </w:rPr>
        <w:t>«</w:t>
      </w:r>
      <w:r w:rsidRPr="0083037E">
        <w:rPr>
          <w:rFonts w:ascii="Arial" w:eastAsia="Calibri" w:hAnsi="Arial" w:cs="Arial"/>
          <w:b/>
          <w:color w:val="000000"/>
          <w:sz w:val="22"/>
          <w:szCs w:val="22"/>
          <w:lang w:eastAsia="es-ES_tradnl"/>
        </w:rPr>
        <w:t>Matriz 1 – Experiencia</w:t>
      </w:r>
      <w:r w:rsidR="004A096E" w:rsidRPr="0083037E">
        <w:rPr>
          <w:rFonts w:ascii="Arial" w:eastAsia="Calibri" w:hAnsi="Arial" w:cs="Arial"/>
          <w:b/>
          <w:color w:val="000000"/>
          <w:sz w:val="22"/>
          <w:szCs w:val="22"/>
          <w:lang w:eastAsia="es-ES_tradnl"/>
        </w:rPr>
        <w:t>»</w:t>
      </w:r>
      <w:r w:rsidRPr="0083037E">
        <w:rPr>
          <w:rFonts w:ascii="Arial" w:eastAsia="Calibri" w:hAnsi="Arial" w:cs="Arial"/>
          <w:b/>
          <w:color w:val="000000"/>
          <w:sz w:val="22"/>
          <w:szCs w:val="22"/>
          <w:lang w:eastAsia="es-ES_tradnl"/>
        </w:rPr>
        <w:t xml:space="preserve"> </w:t>
      </w:r>
      <w:r w:rsidR="00003FFE" w:rsidRPr="0083037E">
        <w:rPr>
          <w:rFonts w:ascii="Arial" w:eastAsia="Calibri" w:hAnsi="Arial" w:cs="Arial"/>
          <w:b/>
          <w:color w:val="000000"/>
          <w:sz w:val="22"/>
          <w:szCs w:val="22"/>
          <w:lang w:eastAsia="es-ES_tradnl"/>
        </w:rPr>
        <w:t>en los documentos tipo</w:t>
      </w:r>
      <w:r w:rsidR="007A24D3" w:rsidRPr="0083037E">
        <w:rPr>
          <w:rFonts w:ascii="Arial" w:eastAsia="Calibri" w:hAnsi="Arial" w:cs="Arial"/>
          <w:b/>
          <w:color w:val="000000"/>
          <w:sz w:val="22"/>
          <w:szCs w:val="22"/>
          <w:lang w:eastAsia="es-ES_tradnl"/>
        </w:rPr>
        <w:t xml:space="preserve"> </w:t>
      </w:r>
      <w:r w:rsidR="007A24D3" w:rsidRPr="0083037E">
        <w:rPr>
          <w:rFonts w:ascii="Arial" w:eastAsia="Calibri" w:hAnsi="Arial" w:cs="Arial"/>
          <w:b/>
          <w:bCs/>
          <w:sz w:val="22"/>
          <w:szCs w:val="22"/>
          <w:lang w:val="es-ES"/>
        </w:rPr>
        <w:t>de consultoría de estudios de ingeniería de infraestructura de transporte</w:t>
      </w:r>
    </w:p>
    <w:p w14:paraId="7AD39ADC" w14:textId="554A6917" w:rsidR="00300E95" w:rsidRPr="0083037E" w:rsidRDefault="00300E95" w:rsidP="00300E95">
      <w:pPr>
        <w:shd w:val="clear" w:color="auto" w:fill="FFFFFF"/>
        <w:spacing w:line="276" w:lineRule="auto"/>
        <w:jc w:val="both"/>
        <w:rPr>
          <w:rFonts w:ascii="Arial" w:eastAsia="Calibri" w:hAnsi="Arial" w:cs="Arial"/>
          <w:b/>
          <w:color w:val="000000"/>
          <w:lang w:val="es-ES"/>
        </w:rPr>
      </w:pPr>
    </w:p>
    <w:p w14:paraId="5B7C0A08" w14:textId="2D66FAE5" w:rsidR="00300E95" w:rsidRPr="0083037E" w:rsidRDefault="00070DEA" w:rsidP="00300E95">
      <w:pPr>
        <w:spacing w:line="276" w:lineRule="auto"/>
        <w:jc w:val="both"/>
        <w:rPr>
          <w:rFonts w:ascii="Arial" w:eastAsia="Calibri" w:hAnsi="Arial" w:cs="Arial"/>
          <w:color w:val="0D0D0D"/>
          <w:lang w:val="es-MX"/>
        </w:rPr>
      </w:pPr>
      <w:r w:rsidRPr="0083037E">
        <w:rPr>
          <w:rFonts w:ascii="Arial" w:eastAsia="Calibri" w:hAnsi="Arial" w:cs="Arial"/>
          <w:color w:val="0D0D0D"/>
          <w:lang w:val="es-MX"/>
        </w:rPr>
        <w:t>L</w:t>
      </w:r>
      <w:r w:rsidR="00300E95" w:rsidRPr="0083037E">
        <w:rPr>
          <w:rFonts w:ascii="Arial" w:eastAsia="Calibri" w:hAnsi="Arial" w:cs="Arial"/>
          <w:color w:val="0D0D0D"/>
          <w:lang w:val="es-MX"/>
        </w:rPr>
        <w:t>os documentos tipo establecen las condiciones habilitantes,</w:t>
      </w:r>
      <w:r w:rsidR="00930CA9" w:rsidRPr="0083037E">
        <w:rPr>
          <w:rFonts w:ascii="Arial" w:eastAsia="Calibri" w:hAnsi="Arial" w:cs="Arial"/>
          <w:color w:val="0D0D0D"/>
          <w:lang w:val="es-MX"/>
        </w:rPr>
        <w:t xml:space="preserve"> </w:t>
      </w:r>
      <w:r w:rsidR="00300E95" w:rsidRPr="0083037E">
        <w:rPr>
          <w:rFonts w:ascii="Arial" w:eastAsia="Calibri" w:hAnsi="Arial" w:cs="Arial"/>
          <w:color w:val="0D0D0D"/>
          <w:lang w:val="es-MX"/>
        </w:rPr>
        <w:t xml:space="preserve">los factores técnicos y económicos de escogencia y los sistemas de ponderación de carácter obligatorio para las entidades estatales sometidas al Estatuto General de la Contratación </w:t>
      </w:r>
      <w:r w:rsidR="00FD05E9" w:rsidRPr="0083037E">
        <w:rPr>
          <w:rFonts w:ascii="Arial" w:eastAsia="Calibri" w:hAnsi="Arial" w:cs="Arial"/>
          <w:color w:val="0D0D0D"/>
          <w:lang w:val="es-MX"/>
        </w:rPr>
        <w:t xml:space="preserve">de la Administración </w:t>
      </w:r>
      <w:r w:rsidR="00300E95" w:rsidRPr="0083037E">
        <w:rPr>
          <w:rFonts w:ascii="Arial" w:eastAsia="Calibri" w:hAnsi="Arial" w:cs="Arial"/>
          <w:color w:val="0D0D0D"/>
          <w:lang w:val="es-MX"/>
        </w:rPr>
        <w:t>Pública que</w:t>
      </w:r>
      <w:r w:rsidR="00D442F0" w:rsidRPr="0083037E">
        <w:rPr>
          <w:rFonts w:ascii="Arial" w:eastAsia="Calibri" w:hAnsi="Arial" w:cs="Arial"/>
          <w:color w:val="000000"/>
          <w:bdr w:val="none" w:sz="0" w:space="0" w:color="auto" w:frame="1"/>
        </w:rPr>
        <w:t xml:space="preserve"> adelanten procesos de contratación mediante la modalidad que establecen los documentos tipo para cada sector</w:t>
      </w:r>
      <w:r w:rsidR="00300E95" w:rsidRPr="0083037E">
        <w:rPr>
          <w:rFonts w:ascii="Arial" w:eastAsia="Calibri" w:hAnsi="Arial" w:cs="Arial"/>
          <w:color w:val="0D0D0D"/>
          <w:lang w:val="es-MX"/>
        </w:rPr>
        <w:t>.</w:t>
      </w:r>
      <w:r w:rsidR="00FA7C56" w:rsidRPr="0083037E">
        <w:rPr>
          <w:rFonts w:ascii="Arial" w:eastAsia="Calibri" w:hAnsi="Arial" w:cs="Arial"/>
          <w:color w:val="0D0D0D"/>
          <w:lang w:val="es-MX"/>
        </w:rPr>
        <w:t xml:space="preserve"> </w:t>
      </w:r>
      <w:r w:rsidR="00300E95" w:rsidRPr="0083037E">
        <w:rPr>
          <w:rFonts w:ascii="Arial" w:eastAsia="Calibri" w:hAnsi="Arial" w:cs="Arial"/>
          <w:color w:val="0D0D0D"/>
          <w:lang w:val="es-MX"/>
        </w:rPr>
        <w:t>Estos consisten en un grupo de documentos, conformados por un documento base, anexos, matrices, formatos y formularios, que sirven tanto a las entidades para elaborar los documentos del proceso, como a los proponentes para conformar y presentar sus ofertas.</w:t>
      </w:r>
    </w:p>
    <w:p w14:paraId="4099AB13" w14:textId="59C8018D" w:rsidR="00300E95" w:rsidRPr="0083037E" w:rsidRDefault="00FA7C56" w:rsidP="00930CA9">
      <w:pPr>
        <w:spacing w:before="120" w:line="276" w:lineRule="auto"/>
        <w:ind w:firstLine="709"/>
        <w:jc w:val="both"/>
        <w:rPr>
          <w:rFonts w:ascii="Arial" w:eastAsia="Calibri" w:hAnsi="Arial" w:cs="Arial"/>
          <w:color w:val="0D0D0D"/>
          <w:lang w:val="es-MX"/>
        </w:rPr>
      </w:pPr>
      <w:r w:rsidRPr="0083037E">
        <w:rPr>
          <w:rFonts w:ascii="Arial" w:eastAsia="Calibri" w:hAnsi="Arial" w:cs="Arial"/>
          <w:color w:val="0D0D0D"/>
          <w:lang w:val="es-MX"/>
        </w:rPr>
        <w:t>Ahora bien, u</w:t>
      </w:r>
      <w:r w:rsidR="00300E95" w:rsidRPr="0083037E">
        <w:rPr>
          <w:rFonts w:ascii="Arial" w:eastAsia="Calibri" w:hAnsi="Arial" w:cs="Arial"/>
          <w:color w:val="0D0D0D"/>
          <w:lang w:val="es-MX"/>
        </w:rPr>
        <w:t xml:space="preserve">no de los elementos comunes a los diferentes documentos tipo es la «Matriz 1 – Experiencia» –en adelante Matriz 1–. Esta consta de unas celdas en las que se describe la experiencia requerida en relación con el objeto a contratar, definiendo además qué tipo de actividades relacionadas con </w:t>
      </w:r>
      <w:r w:rsidRPr="0083037E">
        <w:rPr>
          <w:rFonts w:ascii="Arial" w:eastAsia="Calibri" w:hAnsi="Arial" w:cs="Arial"/>
          <w:color w:val="0D0D0D"/>
          <w:lang w:val="es-MX"/>
        </w:rPr>
        <w:t xml:space="preserve">cada sector </w:t>
      </w:r>
      <w:r w:rsidR="00300E95" w:rsidRPr="0083037E">
        <w:rPr>
          <w:rFonts w:ascii="Arial" w:eastAsia="Calibri" w:hAnsi="Arial" w:cs="Arial"/>
          <w:color w:val="0D0D0D"/>
          <w:lang w:val="es-MX"/>
        </w:rPr>
        <w:t xml:space="preserve">deben acogerse a los pliegos tipo. Por otro lado, encontramos el «Anexo 3 – Glosario», el </w:t>
      </w:r>
      <w:r w:rsidR="00300E95" w:rsidRPr="0083037E">
        <w:rPr>
          <w:rFonts w:ascii="Arial" w:eastAsia="Calibri" w:hAnsi="Arial" w:cs="Arial"/>
          <w:color w:val="0D0D0D"/>
          <w:lang w:val="es-MX"/>
        </w:rPr>
        <w:lastRenderedPageBreak/>
        <w:t>cual contiene las definiciones de los términos usados en los documentos del proceso. Utilizando estos dos documentos, la entidad estatal puede definir si el objeto a contratar debe emplear los documentos tipo</w:t>
      </w:r>
      <w:r w:rsidRPr="0083037E">
        <w:rPr>
          <w:rFonts w:ascii="Arial" w:eastAsia="Calibri" w:hAnsi="Arial" w:cs="Arial"/>
          <w:color w:val="0D0D0D"/>
          <w:lang w:val="es-MX"/>
        </w:rPr>
        <w:t xml:space="preserve"> adoptados por esta Agencia</w:t>
      </w:r>
      <w:r w:rsidR="00300E95" w:rsidRPr="0083037E">
        <w:rPr>
          <w:rFonts w:ascii="Arial" w:eastAsia="Calibri" w:hAnsi="Arial" w:cs="Arial"/>
          <w:color w:val="0D0D0D"/>
          <w:lang w:val="es-MX"/>
        </w:rPr>
        <w:t>.</w:t>
      </w:r>
    </w:p>
    <w:p w14:paraId="0DB1988E" w14:textId="34E97816" w:rsidR="00300E95" w:rsidRPr="0083037E" w:rsidRDefault="00300E95" w:rsidP="00497541">
      <w:pPr>
        <w:spacing w:before="120" w:after="120" w:line="276" w:lineRule="auto"/>
        <w:ind w:firstLine="709"/>
        <w:jc w:val="both"/>
        <w:rPr>
          <w:rFonts w:ascii="Arial" w:eastAsia="Calibri" w:hAnsi="Arial" w:cs="Arial"/>
          <w:color w:val="0D0D0D"/>
          <w:lang w:val="es-MX"/>
        </w:rPr>
      </w:pPr>
      <w:r w:rsidRPr="0083037E">
        <w:rPr>
          <w:rFonts w:ascii="Arial" w:eastAsia="Calibri" w:hAnsi="Arial" w:cs="Arial"/>
          <w:color w:val="0D0D0D"/>
          <w:lang w:val="es-MX"/>
        </w:rPr>
        <w:t>Conforme a lo anterior, la Matriz 1 cumple una doble función</w:t>
      </w:r>
      <w:r w:rsidR="00930CA9" w:rsidRPr="0083037E">
        <w:rPr>
          <w:rFonts w:ascii="Arial" w:eastAsia="Calibri" w:hAnsi="Arial" w:cs="Arial"/>
          <w:color w:val="0D0D0D"/>
          <w:lang w:val="es-MX"/>
        </w:rPr>
        <w:t>:</w:t>
      </w:r>
      <w:r w:rsidRPr="0083037E">
        <w:rPr>
          <w:rFonts w:ascii="Arial" w:eastAsia="Calibri" w:hAnsi="Arial" w:cs="Arial"/>
          <w:color w:val="0D0D0D"/>
          <w:lang w:val="es-MX"/>
        </w:rPr>
        <w:t xml:space="preserve"> </w:t>
      </w:r>
      <w:r w:rsidR="00843C7E" w:rsidRPr="0083037E">
        <w:rPr>
          <w:rFonts w:ascii="Arial" w:eastAsia="Calibri" w:hAnsi="Arial" w:cs="Arial"/>
          <w:color w:val="0D0D0D"/>
          <w:lang w:val="es-MX"/>
        </w:rPr>
        <w:t>p</w:t>
      </w:r>
      <w:r w:rsidRPr="0083037E">
        <w:rPr>
          <w:rFonts w:ascii="Arial" w:eastAsia="Calibri" w:hAnsi="Arial" w:cs="Arial"/>
          <w:color w:val="0D0D0D"/>
          <w:lang w:val="es-MX"/>
        </w:rPr>
        <w:t>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71363169" w14:textId="4E8BD299" w:rsidR="00300E95" w:rsidRPr="0083037E" w:rsidRDefault="00300E95" w:rsidP="00497541">
      <w:pPr>
        <w:spacing w:before="120" w:after="120" w:line="276" w:lineRule="auto"/>
        <w:ind w:firstLine="709"/>
        <w:jc w:val="both"/>
        <w:rPr>
          <w:rFonts w:ascii="Arial" w:eastAsia="Calibri" w:hAnsi="Arial" w:cs="Arial"/>
          <w:lang w:val="es-MX"/>
        </w:rPr>
      </w:pPr>
      <w:r w:rsidRPr="0083037E">
        <w:rPr>
          <w:rFonts w:ascii="Arial" w:eastAsia="Calibri" w:hAnsi="Arial" w:cs="Arial"/>
          <w:color w:val="0D0D0D"/>
          <w:lang w:val="es-MX"/>
        </w:rPr>
        <w:t xml:space="preserve">De esta manera, para saber a </w:t>
      </w:r>
      <w:r w:rsidR="00FA7C56" w:rsidRPr="0083037E">
        <w:rPr>
          <w:rFonts w:ascii="Arial" w:eastAsia="Calibri" w:hAnsi="Arial" w:cs="Arial"/>
          <w:color w:val="0D0D0D"/>
          <w:lang w:val="es-MX"/>
        </w:rPr>
        <w:t>qué</w:t>
      </w:r>
      <w:r w:rsidRPr="0083037E">
        <w:rPr>
          <w:rFonts w:ascii="Arial" w:eastAsia="Calibri" w:hAnsi="Arial" w:cs="Arial"/>
          <w:color w:val="0D0D0D"/>
          <w:lang w:val="es-MX"/>
        </w:rPr>
        <w:t xml:space="preserve"> actividades se deben aplicar los documentos tipo expedidos por esta Agencia, la entidad debe verificar los que se hayan expedido para la modalidad de selección en la que debe celebrarse el proceso, subsumiendo el objeto a contratar en los tipos de proyectos de infraestructura a contratarse. De esta manera, si el objeto contractual a ejecutar se encuadra materialmente dentro de alguno de los tipos</w:t>
      </w:r>
      <w:r w:rsidR="0081604E" w:rsidRPr="0083037E">
        <w:rPr>
          <w:rFonts w:ascii="Arial" w:eastAsia="Calibri" w:hAnsi="Arial" w:cs="Arial"/>
          <w:color w:val="0D0D0D"/>
          <w:lang w:val="es-MX"/>
        </w:rPr>
        <w:t xml:space="preserve"> de</w:t>
      </w:r>
      <w:r w:rsidRPr="0083037E">
        <w:rPr>
          <w:rFonts w:ascii="Arial" w:eastAsia="Calibri" w:hAnsi="Arial" w:cs="Arial"/>
          <w:color w:val="0D0D0D"/>
          <w:lang w:val="es-MX"/>
        </w:rPr>
        <w:t xml:space="preserve"> actividades concretas señaladas en cada una de las </w:t>
      </w:r>
      <w:r w:rsidR="004A096E" w:rsidRPr="0083037E">
        <w:rPr>
          <w:rFonts w:ascii="Arial" w:eastAsia="Calibri" w:hAnsi="Arial" w:cs="Arial"/>
          <w:color w:val="0D0D0D"/>
          <w:lang w:val="es-MX"/>
        </w:rPr>
        <w:t>m</w:t>
      </w:r>
      <w:r w:rsidRPr="0083037E">
        <w:rPr>
          <w:rFonts w:ascii="Arial" w:eastAsia="Calibri" w:hAnsi="Arial" w:cs="Arial"/>
          <w:color w:val="0D0D0D"/>
          <w:lang w:val="es-MX"/>
        </w:rPr>
        <w:t>atrices de experiencia, se tendrán que aplicar los documentos tipo, mientras que en el caso contrario no será forzosa su aplicación. En este sentido, en los documentos base de los documentos tipo</w:t>
      </w:r>
      <w:r w:rsidRPr="0083037E">
        <w:rPr>
          <w:rFonts w:ascii="Arial" w:eastAsia="Calibri" w:hAnsi="Arial" w:cs="Arial"/>
          <w:lang w:val="es-MX"/>
        </w:rPr>
        <w:t xml:space="preserve">, se indica que la entidad establecerá las condiciones de experiencia, tanto general como específica en las actividades que van a contratar. En este contexto, la entidad no podrá incluir condiciones distintas a las previstas en la </w:t>
      </w:r>
      <w:r w:rsidR="0034715B" w:rsidRPr="0083037E">
        <w:rPr>
          <w:rFonts w:ascii="Arial" w:eastAsia="Calibri" w:hAnsi="Arial" w:cs="Arial"/>
          <w:lang w:val="es-MX"/>
        </w:rPr>
        <w:t>matriz de experiencia</w:t>
      </w:r>
      <w:r w:rsidRPr="0083037E">
        <w:rPr>
          <w:rFonts w:ascii="Arial" w:eastAsia="Calibri" w:hAnsi="Arial" w:cs="Arial"/>
          <w:lang w:val="es-MX"/>
        </w:rPr>
        <w:t xml:space="preserve"> y, por tanto, deberá transcribir textualmente lo indicado en </w:t>
      </w:r>
      <w:r w:rsidR="00232A1C" w:rsidRPr="0083037E">
        <w:rPr>
          <w:rFonts w:ascii="Arial" w:eastAsia="Calibri" w:hAnsi="Arial" w:cs="Arial"/>
          <w:lang w:val="es-MX"/>
        </w:rPr>
        <w:t>e</w:t>
      </w:r>
      <w:r w:rsidRPr="0083037E">
        <w:rPr>
          <w:rFonts w:ascii="Arial" w:eastAsia="Calibri" w:hAnsi="Arial" w:cs="Arial"/>
          <w:lang w:val="es-MX"/>
        </w:rPr>
        <w:t>sta.</w:t>
      </w:r>
    </w:p>
    <w:p w14:paraId="225A0EEC" w14:textId="0DFE72C0" w:rsidR="00FD05E9" w:rsidRPr="0083037E" w:rsidRDefault="00DA14BE" w:rsidP="00DA14BE">
      <w:pPr>
        <w:spacing w:before="120" w:line="276" w:lineRule="auto"/>
        <w:ind w:firstLine="709"/>
        <w:jc w:val="both"/>
        <w:rPr>
          <w:rFonts w:ascii="Arial" w:hAnsi="Arial" w:cs="Arial"/>
          <w:color w:val="000000" w:themeColor="text1"/>
        </w:rPr>
      </w:pPr>
      <w:r w:rsidRPr="0083037E">
        <w:rPr>
          <w:rFonts w:ascii="Arial" w:hAnsi="Arial" w:cs="Arial"/>
          <w:color w:val="000000" w:themeColor="text1"/>
        </w:rPr>
        <w:t>Concretamente, la Matriz 1 contempla ocho tipos de consultorías generales a saber: i) consultoría para obras en vías primarias o secundarias; ii) consultoría para obras en vías terciarias; iii) consultoría para obras marítimas y fluviales; iv) consultoría para obras en vías primarias o secundarias o terciarias o urbanas para atención, prevención o mitigación de emergencias diferentes a contratación directa; v) consultoría para obras férreas; vi) consultoría para obras de infraestructura vial urbana; vii) consultoría para obras en puentes; viii) consultoría para obras aeroportuarias.</w:t>
      </w:r>
      <w:r w:rsidR="00FD05E9" w:rsidRPr="0083037E">
        <w:rPr>
          <w:rFonts w:ascii="Arial" w:hAnsi="Arial" w:cs="Arial"/>
          <w:color w:val="000000" w:themeColor="text1"/>
        </w:rPr>
        <w:t xml:space="preserve"> Dentro de cada una de ellas se establecen las actividades a contratar más precisas que hacen parte de ellas, estableciéndose los requisitos de experiencia respectivos. </w:t>
      </w:r>
    </w:p>
    <w:p w14:paraId="24246EF7" w14:textId="7584DA4E" w:rsidR="00882880" w:rsidRPr="0083037E" w:rsidRDefault="00FD05E9" w:rsidP="00DA14BE">
      <w:pPr>
        <w:spacing w:before="120" w:line="276" w:lineRule="auto"/>
        <w:ind w:firstLine="709"/>
        <w:jc w:val="both"/>
        <w:rPr>
          <w:rFonts w:ascii="Arial" w:hAnsi="Arial" w:cs="Arial"/>
          <w:color w:val="000000" w:themeColor="text1"/>
        </w:rPr>
      </w:pPr>
      <w:r w:rsidRPr="0083037E">
        <w:rPr>
          <w:rFonts w:ascii="Arial" w:hAnsi="Arial" w:cs="Arial"/>
          <w:color w:val="000000" w:themeColor="text1"/>
        </w:rPr>
        <w:t>Además, l</w:t>
      </w:r>
      <w:r w:rsidR="00882880" w:rsidRPr="0083037E">
        <w:rPr>
          <w:rFonts w:ascii="Arial" w:hAnsi="Arial" w:cs="Arial"/>
          <w:color w:val="000000" w:themeColor="text1"/>
        </w:rPr>
        <w:t xml:space="preserve">a Matriz 1 establece las </w:t>
      </w:r>
      <w:r w:rsidR="00FC1712" w:rsidRPr="0083037E">
        <w:rPr>
          <w:rFonts w:ascii="Arial" w:hAnsi="Arial" w:cs="Arial"/>
          <w:color w:val="000000" w:themeColor="text1"/>
        </w:rPr>
        <w:t>«Reglas para definir la experiencia exigible en el proceso de contratación», así:</w:t>
      </w:r>
    </w:p>
    <w:p w14:paraId="597B0386" w14:textId="10070B7F" w:rsidR="00C76DFA" w:rsidRPr="0083037E" w:rsidRDefault="00C76DFA" w:rsidP="005D484C">
      <w:pPr>
        <w:ind w:left="709" w:right="709"/>
        <w:jc w:val="both"/>
        <w:rPr>
          <w:rFonts w:ascii="Arial" w:hAnsi="Arial" w:cs="Arial"/>
          <w:color w:val="000000" w:themeColor="text1"/>
          <w:sz w:val="21"/>
          <w:szCs w:val="21"/>
        </w:rPr>
      </w:pPr>
      <w:r w:rsidRPr="0083037E">
        <w:rPr>
          <w:rFonts w:ascii="Arial" w:hAnsi="Arial" w:cs="Arial"/>
          <w:color w:val="000000" w:themeColor="text1"/>
          <w:sz w:val="21"/>
          <w:szCs w:val="21"/>
        </w:rPr>
        <w:t>A la entidad estatal le corresponde definir la experiencia general y la experiencia espec</w:t>
      </w:r>
      <w:r w:rsidR="00E9395A" w:rsidRPr="0083037E">
        <w:rPr>
          <w:rFonts w:ascii="Arial" w:hAnsi="Arial" w:cs="Arial"/>
          <w:color w:val="000000" w:themeColor="text1"/>
          <w:sz w:val="21"/>
          <w:szCs w:val="21"/>
        </w:rPr>
        <w:t>í</w:t>
      </w:r>
      <w:r w:rsidRPr="0083037E">
        <w:rPr>
          <w:rFonts w:ascii="Arial" w:hAnsi="Arial" w:cs="Arial"/>
          <w:color w:val="000000" w:themeColor="text1"/>
          <w:sz w:val="21"/>
          <w:szCs w:val="21"/>
        </w:rPr>
        <w:t xml:space="preserve">fica del proceso de contratación, de acuerdo con la Matriz 1 – Experiencia, teniendo en cuenta las siguientes reglas: </w:t>
      </w:r>
    </w:p>
    <w:p w14:paraId="5F4322BD" w14:textId="77777777" w:rsidR="00C76DFA" w:rsidRPr="0083037E" w:rsidRDefault="00C76DFA" w:rsidP="005D484C">
      <w:pPr>
        <w:ind w:left="709" w:right="709" w:firstLine="709"/>
        <w:jc w:val="both"/>
        <w:rPr>
          <w:rFonts w:ascii="Arial" w:hAnsi="Arial" w:cs="Arial"/>
          <w:color w:val="000000" w:themeColor="text1"/>
          <w:sz w:val="21"/>
          <w:szCs w:val="21"/>
        </w:rPr>
      </w:pPr>
    </w:p>
    <w:p w14:paraId="2D989E8D" w14:textId="18A21A05" w:rsidR="00C76DFA" w:rsidRPr="0083037E" w:rsidRDefault="00C76DFA" w:rsidP="00E9395A">
      <w:pPr>
        <w:ind w:left="709" w:right="709"/>
        <w:jc w:val="both"/>
        <w:rPr>
          <w:rFonts w:ascii="Arial" w:hAnsi="Arial" w:cs="Arial"/>
          <w:color w:val="000000" w:themeColor="text1"/>
          <w:sz w:val="21"/>
          <w:szCs w:val="21"/>
        </w:rPr>
      </w:pPr>
      <w:r w:rsidRPr="0083037E">
        <w:rPr>
          <w:rFonts w:ascii="Arial" w:hAnsi="Arial" w:cs="Arial"/>
          <w:color w:val="000000" w:themeColor="text1"/>
          <w:sz w:val="21"/>
          <w:szCs w:val="21"/>
        </w:rPr>
        <w:lastRenderedPageBreak/>
        <w:t xml:space="preserve">i) La Entidad Estatal no puede modificar, omitir o adicionar las actividades de la experiencia general y especifica definidas en la Matriz 1 – Experiencia para cada </w:t>
      </w:r>
      <w:r w:rsidR="00E9395A" w:rsidRPr="0083037E">
        <w:rPr>
          <w:rFonts w:ascii="Arial" w:hAnsi="Arial" w:cs="Arial"/>
          <w:color w:val="000000" w:themeColor="text1"/>
          <w:sz w:val="21"/>
          <w:szCs w:val="21"/>
        </w:rPr>
        <w:t>«</w:t>
      </w:r>
      <w:r w:rsidRPr="0083037E">
        <w:rPr>
          <w:rFonts w:ascii="Arial" w:hAnsi="Arial" w:cs="Arial"/>
          <w:color w:val="000000" w:themeColor="text1"/>
          <w:sz w:val="21"/>
          <w:szCs w:val="21"/>
        </w:rPr>
        <w:t>actividad a contratar</w:t>
      </w:r>
      <w:r w:rsidR="00E9395A" w:rsidRPr="0083037E">
        <w:rPr>
          <w:rFonts w:ascii="Arial" w:hAnsi="Arial" w:cs="Arial"/>
          <w:color w:val="000000" w:themeColor="text1"/>
          <w:sz w:val="21"/>
          <w:szCs w:val="21"/>
        </w:rPr>
        <w:t>»</w:t>
      </w:r>
      <w:r w:rsidRPr="0083037E">
        <w:rPr>
          <w:rFonts w:ascii="Arial" w:hAnsi="Arial" w:cs="Arial"/>
          <w:color w:val="000000" w:themeColor="text1"/>
          <w:sz w:val="21"/>
          <w:szCs w:val="21"/>
        </w:rPr>
        <w:t xml:space="preserve">. Igual previsión aplica para el </w:t>
      </w:r>
      <w:r w:rsidR="00E12F1C" w:rsidRPr="0083037E">
        <w:rPr>
          <w:rFonts w:ascii="Arial" w:hAnsi="Arial" w:cs="Arial"/>
          <w:color w:val="000000" w:themeColor="text1"/>
          <w:sz w:val="21"/>
          <w:szCs w:val="21"/>
        </w:rPr>
        <w:t>«</w:t>
      </w:r>
      <w:r w:rsidRPr="0083037E">
        <w:rPr>
          <w:rFonts w:ascii="Arial" w:hAnsi="Arial" w:cs="Arial"/>
          <w:color w:val="000000" w:themeColor="text1"/>
          <w:sz w:val="21"/>
          <w:szCs w:val="21"/>
        </w:rPr>
        <w:t>% DE DIMENSIONAMIENTO (Según la longitud requerida en el proceso de contratación)</w:t>
      </w:r>
      <w:r w:rsidR="00E12F1C" w:rsidRPr="0083037E">
        <w:rPr>
          <w:rFonts w:ascii="Arial" w:hAnsi="Arial" w:cs="Arial"/>
          <w:color w:val="000000" w:themeColor="text1"/>
          <w:sz w:val="21"/>
          <w:szCs w:val="21"/>
        </w:rPr>
        <w:t>»</w:t>
      </w:r>
      <w:r w:rsidRPr="0083037E">
        <w:rPr>
          <w:rFonts w:ascii="Arial" w:hAnsi="Arial" w:cs="Arial"/>
          <w:color w:val="000000" w:themeColor="text1"/>
          <w:sz w:val="21"/>
          <w:szCs w:val="21"/>
        </w:rPr>
        <w:t>.</w:t>
      </w:r>
    </w:p>
    <w:p w14:paraId="530764A8" w14:textId="77777777" w:rsidR="00C76DFA" w:rsidRPr="0083037E" w:rsidRDefault="00C76DFA" w:rsidP="005D484C">
      <w:pPr>
        <w:ind w:left="709" w:right="709" w:firstLine="709"/>
        <w:jc w:val="both"/>
        <w:rPr>
          <w:rFonts w:ascii="Arial" w:hAnsi="Arial" w:cs="Arial"/>
          <w:color w:val="000000" w:themeColor="text1"/>
          <w:sz w:val="21"/>
          <w:szCs w:val="21"/>
        </w:rPr>
      </w:pPr>
    </w:p>
    <w:p w14:paraId="5DAD6E46" w14:textId="7D4584B5" w:rsidR="00C76DFA" w:rsidRPr="0083037E" w:rsidRDefault="00C76DFA" w:rsidP="00E9395A">
      <w:pPr>
        <w:ind w:left="709" w:right="709"/>
        <w:jc w:val="both"/>
        <w:rPr>
          <w:rFonts w:ascii="Arial" w:hAnsi="Arial" w:cs="Arial"/>
          <w:color w:val="000000" w:themeColor="text1"/>
          <w:sz w:val="21"/>
          <w:szCs w:val="21"/>
        </w:rPr>
      </w:pPr>
      <w:r w:rsidRPr="0083037E">
        <w:rPr>
          <w:rFonts w:ascii="Arial" w:hAnsi="Arial" w:cs="Arial"/>
          <w:color w:val="000000" w:themeColor="text1"/>
          <w:sz w:val="21"/>
          <w:szCs w:val="21"/>
        </w:rPr>
        <w:t xml:space="preserve">ii) </w:t>
      </w:r>
      <w:r w:rsidR="00E12F1C" w:rsidRPr="0083037E">
        <w:rPr>
          <w:rFonts w:ascii="Arial" w:hAnsi="Arial" w:cs="Arial"/>
          <w:color w:val="000000" w:themeColor="text1"/>
          <w:sz w:val="21"/>
          <w:szCs w:val="21"/>
        </w:rPr>
        <w:t>«</w:t>
      </w:r>
      <w:r w:rsidRPr="0083037E">
        <w:rPr>
          <w:rFonts w:ascii="Arial" w:hAnsi="Arial" w:cs="Arial"/>
          <w:color w:val="000000" w:themeColor="text1"/>
          <w:sz w:val="21"/>
          <w:szCs w:val="21"/>
        </w:rPr>
        <w:t>Experiencia General</w:t>
      </w:r>
      <w:r w:rsidR="00E12F1C" w:rsidRPr="0083037E">
        <w:rPr>
          <w:rFonts w:ascii="Arial" w:hAnsi="Arial" w:cs="Arial"/>
          <w:color w:val="000000" w:themeColor="text1"/>
          <w:sz w:val="21"/>
          <w:szCs w:val="21"/>
        </w:rPr>
        <w:t>»</w:t>
      </w:r>
      <w:r w:rsidRPr="0083037E">
        <w:rPr>
          <w:rFonts w:ascii="Arial" w:hAnsi="Arial" w:cs="Arial"/>
          <w:color w:val="000000" w:themeColor="text1"/>
          <w:sz w:val="21"/>
          <w:szCs w:val="21"/>
        </w:rPr>
        <w:t xml:space="preserve">: la experiencia general que solicite la entidad debe respetar toda la descripción prevista en la </w:t>
      </w:r>
      <w:r w:rsidR="00E12F1C" w:rsidRPr="0083037E">
        <w:rPr>
          <w:rFonts w:ascii="Arial" w:hAnsi="Arial" w:cs="Arial"/>
          <w:color w:val="000000" w:themeColor="text1"/>
          <w:sz w:val="21"/>
          <w:szCs w:val="21"/>
        </w:rPr>
        <w:t>«</w:t>
      </w:r>
      <w:r w:rsidRPr="0083037E">
        <w:rPr>
          <w:rFonts w:ascii="Arial" w:hAnsi="Arial" w:cs="Arial"/>
          <w:color w:val="000000" w:themeColor="text1"/>
          <w:sz w:val="21"/>
          <w:szCs w:val="21"/>
        </w:rPr>
        <w:t>Matriz 1 – Experiencia</w:t>
      </w:r>
      <w:r w:rsidR="00E12F1C" w:rsidRPr="0083037E">
        <w:rPr>
          <w:rFonts w:ascii="Arial" w:hAnsi="Arial" w:cs="Arial"/>
          <w:color w:val="000000" w:themeColor="text1"/>
          <w:sz w:val="21"/>
          <w:szCs w:val="21"/>
        </w:rPr>
        <w:t>»</w:t>
      </w:r>
      <w:r w:rsidRPr="0083037E">
        <w:rPr>
          <w:rFonts w:ascii="Arial" w:hAnsi="Arial" w:cs="Arial"/>
          <w:color w:val="000000" w:themeColor="text1"/>
          <w:sz w:val="21"/>
          <w:szCs w:val="21"/>
        </w:rPr>
        <w:t xml:space="preserve"> para la </w:t>
      </w:r>
      <w:r w:rsidR="00E12F1C" w:rsidRPr="0083037E">
        <w:rPr>
          <w:rFonts w:ascii="Arial" w:hAnsi="Arial" w:cs="Arial"/>
          <w:color w:val="000000" w:themeColor="text1"/>
          <w:sz w:val="21"/>
          <w:szCs w:val="21"/>
        </w:rPr>
        <w:t>«</w:t>
      </w:r>
      <w:r w:rsidRPr="0083037E">
        <w:rPr>
          <w:rFonts w:ascii="Arial" w:hAnsi="Arial" w:cs="Arial"/>
          <w:color w:val="000000" w:themeColor="text1"/>
          <w:sz w:val="21"/>
          <w:szCs w:val="21"/>
        </w:rPr>
        <w:t>actividad a contratar</w:t>
      </w:r>
      <w:r w:rsidR="00E12F1C" w:rsidRPr="0083037E">
        <w:rPr>
          <w:rFonts w:ascii="Arial" w:hAnsi="Arial" w:cs="Arial"/>
          <w:color w:val="000000" w:themeColor="text1"/>
          <w:sz w:val="21"/>
          <w:szCs w:val="21"/>
        </w:rPr>
        <w:t>»</w:t>
      </w:r>
      <w:r w:rsidRPr="0083037E">
        <w:rPr>
          <w:rFonts w:ascii="Arial" w:hAnsi="Arial" w:cs="Arial"/>
          <w:color w:val="000000" w:themeColor="text1"/>
          <w:sz w:val="21"/>
          <w:szCs w:val="21"/>
        </w:rPr>
        <w:t xml:space="preserve">, incluidas las Notas aclaratorias. </w:t>
      </w:r>
    </w:p>
    <w:p w14:paraId="616C6D30" w14:textId="77777777" w:rsidR="00C76DFA" w:rsidRPr="0083037E" w:rsidRDefault="00C76DFA" w:rsidP="005D484C">
      <w:pPr>
        <w:ind w:left="709" w:right="709" w:firstLine="709"/>
        <w:jc w:val="both"/>
        <w:rPr>
          <w:rFonts w:ascii="Arial" w:hAnsi="Arial" w:cs="Arial"/>
          <w:color w:val="000000" w:themeColor="text1"/>
          <w:sz w:val="21"/>
          <w:szCs w:val="21"/>
        </w:rPr>
      </w:pPr>
    </w:p>
    <w:p w14:paraId="17A5AAA6" w14:textId="54099EEE" w:rsidR="00C76DFA" w:rsidRPr="0083037E" w:rsidRDefault="00C76DFA" w:rsidP="00E9395A">
      <w:pPr>
        <w:ind w:left="709" w:right="709"/>
        <w:jc w:val="both"/>
        <w:rPr>
          <w:rFonts w:ascii="Arial" w:hAnsi="Arial" w:cs="Arial"/>
          <w:color w:val="000000" w:themeColor="text1"/>
          <w:sz w:val="21"/>
          <w:szCs w:val="21"/>
        </w:rPr>
      </w:pPr>
      <w:r w:rsidRPr="0083037E">
        <w:rPr>
          <w:rFonts w:ascii="Arial" w:hAnsi="Arial" w:cs="Arial"/>
          <w:color w:val="000000" w:themeColor="text1"/>
          <w:sz w:val="21"/>
          <w:szCs w:val="21"/>
        </w:rPr>
        <w:t xml:space="preserve">iii) </w:t>
      </w:r>
      <w:r w:rsidR="00E12F1C" w:rsidRPr="0083037E">
        <w:rPr>
          <w:rFonts w:ascii="Arial" w:hAnsi="Arial" w:cs="Arial"/>
          <w:color w:val="000000" w:themeColor="text1"/>
          <w:sz w:val="21"/>
          <w:szCs w:val="21"/>
        </w:rPr>
        <w:t>«</w:t>
      </w:r>
      <w:r w:rsidRPr="0083037E">
        <w:rPr>
          <w:rFonts w:ascii="Arial" w:hAnsi="Arial" w:cs="Arial"/>
          <w:color w:val="000000" w:themeColor="text1"/>
          <w:sz w:val="21"/>
          <w:szCs w:val="21"/>
        </w:rPr>
        <w:t>Experiencia Específica</w:t>
      </w:r>
      <w:r w:rsidR="00E12F1C" w:rsidRPr="0083037E">
        <w:rPr>
          <w:rFonts w:ascii="Arial" w:hAnsi="Arial" w:cs="Arial"/>
          <w:color w:val="000000" w:themeColor="text1"/>
          <w:sz w:val="21"/>
          <w:szCs w:val="21"/>
        </w:rPr>
        <w:t>»</w:t>
      </w:r>
      <w:r w:rsidRPr="0083037E">
        <w:rPr>
          <w:rFonts w:ascii="Arial" w:hAnsi="Arial" w:cs="Arial"/>
          <w:color w:val="000000" w:themeColor="text1"/>
          <w:sz w:val="21"/>
          <w:szCs w:val="21"/>
        </w:rPr>
        <w:t xml:space="preserve">: la entidad debe solicitar experiencia especifica cuando la </w:t>
      </w:r>
      <w:r w:rsidR="00E12F1C" w:rsidRPr="0083037E">
        <w:rPr>
          <w:rFonts w:ascii="Arial" w:hAnsi="Arial" w:cs="Arial"/>
          <w:color w:val="000000" w:themeColor="text1"/>
          <w:sz w:val="21"/>
          <w:szCs w:val="21"/>
        </w:rPr>
        <w:t>«</w:t>
      </w:r>
      <w:r w:rsidRPr="0083037E">
        <w:rPr>
          <w:rFonts w:ascii="Arial" w:hAnsi="Arial" w:cs="Arial"/>
          <w:color w:val="000000" w:themeColor="text1"/>
          <w:sz w:val="21"/>
          <w:szCs w:val="21"/>
        </w:rPr>
        <w:t>Matriz 1 – Experiencia</w:t>
      </w:r>
      <w:r w:rsidR="00E12F1C" w:rsidRPr="0083037E">
        <w:rPr>
          <w:rFonts w:ascii="Arial" w:hAnsi="Arial" w:cs="Arial"/>
          <w:color w:val="000000" w:themeColor="text1"/>
          <w:sz w:val="21"/>
          <w:szCs w:val="21"/>
        </w:rPr>
        <w:t>»</w:t>
      </w:r>
      <w:r w:rsidRPr="0083037E">
        <w:rPr>
          <w:rFonts w:ascii="Arial" w:hAnsi="Arial" w:cs="Arial"/>
          <w:color w:val="000000" w:themeColor="text1"/>
          <w:sz w:val="21"/>
          <w:szCs w:val="21"/>
        </w:rPr>
        <w:t xml:space="preserve"> lo exija, teniendo en cuenta las siguientes variables: a) </w:t>
      </w:r>
      <w:r w:rsidR="00E12F1C" w:rsidRPr="0083037E">
        <w:rPr>
          <w:rFonts w:ascii="Arial" w:hAnsi="Arial" w:cs="Arial"/>
          <w:color w:val="000000" w:themeColor="text1"/>
          <w:sz w:val="21"/>
          <w:szCs w:val="21"/>
        </w:rPr>
        <w:t>«</w:t>
      </w:r>
      <w:r w:rsidRPr="0083037E">
        <w:rPr>
          <w:rFonts w:ascii="Arial" w:hAnsi="Arial" w:cs="Arial"/>
          <w:color w:val="000000" w:themeColor="text1"/>
          <w:sz w:val="21"/>
          <w:szCs w:val="21"/>
        </w:rPr>
        <w:t>tipo de infraestructura</w:t>
      </w:r>
      <w:r w:rsidR="00E12F1C" w:rsidRPr="0083037E">
        <w:rPr>
          <w:rFonts w:ascii="Arial" w:hAnsi="Arial" w:cs="Arial"/>
          <w:color w:val="000000" w:themeColor="text1"/>
          <w:sz w:val="21"/>
          <w:szCs w:val="21"/>
        </w:rPr>
        <w:t>»</w:t>
      </w:r>
      <w:r w:rsidRPr="0083037E">
        <w:rPr>
          <w:rFonts w:ascii="Arial" w:hAnsi="Arial" w:cs="Arial"/>
          <w:color w:val="000000" w:themeColor="text1"/>
          <w:sz w:val="21"/>
          <w:szCs w:val="21"/>
        </w:rPr>
        <w:t xml:space="preserve">, b) </w:t>
      </w:r>
      <w:r w:rsidR="00E12F1C" w:rsidRPr="0083037E">
        <w:rPr>
          <w:rFonts w:ascii="Arial" w:hAnsi="Arial" w:cs="Arial"/>
          <w:color w:val="000000" w:themeColor="text1"/>
          <w:sz w:val="21"/>
          <w:szCs w:val="21"/>
        </w:rPr>
        <w:t>«</w:t>
      </w:r>
      <w:r w:rsidRPr="0083037E">
        <w:rPr>
          <w:rFonts w:ascii="Arial" w:hAnsi="Arial" w:cs="Arial"/>
          <w:color w:val="000000" w:themeColor="text1"/>
          <w:sz w:val="21"/>
          <w:szCs w:val="21"/>
        </w:rPr>
        <w:t>actividad a contratar</w:t>
      </w:r>
      <w:r w:rsidR="00E12F1C" w:rsidRPr="0083037E">
        <w:rPr>
          <w:rFonts w:ascii="Arial" w:hAnsi="Arial" w:cs="Arial"/>
          <w:color w:val="000000" w:themeColor="text1"/>
          <w:sz w:val="21"/>
          <w:szCs w:val="21"/>
        </w:rPr>
        <w:t>»</w:t>
      </w:r>
      <w:r w:rsidRPr="0083037E">
        <w:rPr>
          <w:rFonts w:ascii="Arial" w:hAnsi="Arial" w:cs="Arial"/>
          <w:color w:val="000000" w:themeColor="text1"/>
          <w:sz w:val="21"/>
          <w:szCs w:val="21"/>
        </w:rPr>
        <w:t xml:space="preserve"> y c) </w:t>
      </w:r>
      <w:r w:rsidR="00E12F1C" w:rsidRPr="0083037E">
        <w:rPr>
          <w:rFonts w:ascii="Arial" w:hAnsi="Arial" w:cs="Arial"/>
          <w:color w:val="000000" w:themeColor="text1"/>
          <w:sz w:val="21"/>
          <w:szCs w:val="21"/>
        </w:rPr>
        <w:t>«</w:t>
      </w:r>
      <w:r w:rsidRPr="0083037E">
        <w:rPr>
          <w:rFonts w:ascii="Arial" w:hAnsi="Arial" w:cs="Arial"/>
          <w:color w:val="000000" w:themeColor="text1"/>
          <w:sz w:val="21"/>
          <w:szCs w:val="21"/>
        </w:rPr>
        <w:t>cuantías del proceso de contratación</w:t>
      </w:r>
      <w:r w:rsidR="00E12F1C" w:rsidRPr="0083037E">
        <w:rPr>
          <w:rFonts w:ascii="Arial" w:hAnsi="Arial" w:cs="Arial"/>
          <w:color w:val="000000" w:themeColor="text1"/>
          <w:sz w:val="21"/>
          <w:szCs w:val="21"/>
        </w:rPr>
        <w:t>»</w:t>
      </w:r>
      <w:r w:rsidRPr="0083037E">
        <w:rPr>
          <w:rFonts w:ascii="Arial" w:hAnsi="Arial" w:cs="Arial"/>
          <w:color w:val="000000" w:themeColor="text1"/>
          <w:sz w:val="21"/>
          <w:szCs w:val="21"/>
        </w:rPr>
        <w:t xml:space="preserve">. </w:t>
      </w:r>
    </w:p>
    <w:p w14:paraId="49905E79" w14:textId="77777777" w:rsidR="00C76DFA" w:rsidRPr="0083037E" w:rsidRDefault="00C76DFA" w:rsidP="005D484C">
      <w:pPr>
        <w:ind w:left="709" w:right="709" w:firstLine="709"/>
        <w:jc w:val="both"/>
        <w:rPr>
          <w:rFonts w:ascii="Arial" w:hAnsi="Arial" w:cs="Arial"/>
          <w:color w:val="000000" w:themeColor="text1"/>
          <w:sz w:val="21"/>
          <w:szCs w:val="21"/>
        </w:rPr>
      </w:pPr>
    </w:p>
    <w:p w14:paraId="46F7054D" w14:textId="18CBDF3F" w:rsidR="00C76DFA" w:rsidRPr="0083037E" w:rsidRDefault="00C76DFA" w:rsidP="00E12F1C">
      <w:pPr>
        <w:ind w:left="709" w:right="709"/>
        <w:jc w:val="both"/>
        <w:rPr>
          <w:rFonts w:ascii="Arial" w:hAnsi="Arial" w:cs="Arial"/>
          <w:color w:val="000000" w:themeColor="text1"/>
          <w:sz w:val="21"/>
          <w:szCs w:val="21"/>
        </w:rPr>
      </w:pPr>
      <w:r w:rsidRPr="0083037E">
        <w:rPr>
          <w:rFonts w:ascii="Arial" w:hAnsi="Arial" w:cs="Arial"/>
          <w:color w:val="000000" w:themeColor="text1"/>
          <w:sz w:val="21"/>
          <w:szCs w:val="21"/>
        </w:rPr>
        <w:t xml:space="preserve">iv)  Cuando el objeto del proceso de contratación contemple la ejecución de una sola </w:t>
      </w:r>
      <w:r w:rsidR="00E12F1C" w:rsidRPr="0083037E">
        <w:rPr>
          <w:rFonts w:ascii="Arial" w:hAnsi="Arial" w:cs="Arial"/>
          <w:color w:val="000000" w:themeColor="text1"/>
          <w:sz w:val="21"/>
          <w:szCs w:val="21"/>
        </w:rPr>
        <w:t>«</w:t>
      </w:r>
      <w:r w:rsidRPr="0083037E">
        <w:rPr>
          <w:rFonts w:ascii="Arial" w:hAnsi="Arial" w:cs="Arial"/>
          <w:color w:val="000000" w:themeColor="text1"/>
          <w:sz w:val="21"/>
          <w:szCs w:val="21"/>
        </w:rPr>
        <w:t>actividad a contratar</w:t>
      </w:r>
      <w:r w:rsidR="00E12F1C" w:rsidRPr="0083037E">
        <w:rPr>
          <w:rFonts w:ascii="Arial" w:hAnsi="Arial" w:cs="Arial"/>
          <w:color w:val="000000" w:themeColor="text1"/>
          <w:sz w:val="21"/>
          <w:szCs w:val="21"/>
        </w:rPr>
        <w:t>»</w:t>
      </w:r>
      <w:r w:rsidRPr="0083037E">
        <w:rPr>
          <w:rFonts w:ascii="Arial" w:hAnsi="Arial" w:cs="Arial"/>
          <w:color w:val="000000" w:themeColor="text1"/>
          <w:sz w:val="21"/>
          <w:szCs w:val="21"/>
        </w:rPr>
        <w:t xml:space="preserve">, la entidad estatal, de acuerdo con la </w:t>
      </w:r>
      <w:r w:rsidR="00E12F1C" w:rsidRPr="0083037E">
        <w:rPr>
          <w:rFonts w:ascii="Arial" w:hAnsi="Arial" w:cs="Arial"/>
          <w:color w:val="000000" w:themeColor="text1"/>
          <w:sz w:val="21"/>
          <w:szCs w:val="21"/>
        </w:rPr>
        <w:t>«</w:t>
      </w:r>
      <w:r w:rsidRPr="0083037E">
        <w:rPr>
          <w:rFonts w:ascii="Arial" w:hAnsi="Arial" w:cs="Arial"/>
          <w:color w:val="000000" w:themeColor="text1"/>
          <w:sz w:val="21"/>
          <w:szCs w:val="21"/>
        </w:rPr>
        <w:t>Matriz 1 – Experiencia</w:t>
      </w:r>
      <w:r w:rsidR="00E12F1C" w:rsidRPr="0083037E">
        <w:rPr>
          <w:rFonts w:ascii="Arial" w:hAnsi="Arial" w:cs="Arial"/>
          <w:color w:val="000000" w:themeColor="text1"/>
          <w:sz w:val="21"/>
          <w:szCs w:val="21"/>
        </w:rPr>
        <w:t>»</w:t>
      </w:r>
      <w:r w:rsidRPr="0083037E">
        <w:rPr>
          <w:rFonts w:ascii="Arial" w:hAnsi="Arial" w:cs="Arial"/>
          <w:color w:val="000000" w:themeColor="text1"/>
          <w:sz w:val="21"/>
          <w:szCs w:val="21"/>
        </w:rPr>
        <w:t xml:space="preserve">, tendrá qué solicitar la experiencia general y la experiencia específica, cuando la cuantía del proceso de contratación lo exija acorde con el </w:t>
      </w:r>
      <w:r w:rsidR="00E12F1C" w:rsidRPr="0083037E">
        <w:rPr>
          <w:rFonts w:ascii="Arial" w:hAnsi="Arial" w:cs="Arial"/>
          <w:color w:val="000000" w:themeColor="text1"/>
          <w:sz w:val="21"/>
          <w:szCs w:val="21"/>
        </w:rPr>
        <w:t>«</w:t>
      </w:r>
      <w:r w:rsidRPr="0083037E">
        <w:rPr>
          <w:rFonts w:ascii="Arial" w:hAnsi="Arial" w:cs="Arial"/>
          <w:color w:val="000000" w:themeColor="text1"/>
          <w:sz w:val="21"/>
          <w:szCs w:val="21"/>
        </w:rPr>
        <w:t>rango en SMMLV del proceso de contratación</w:t>
      </w:r>
      <w:r w:rsidR="00E12F1C" w:rsidRPr="0083037E">
        <w:rPr>
          <w:rFonts w:ascii="Arial" w:hAnsi="Arial" w:cs="Arial"/>
          <w:color w:val="000000" w:themeColor="text1"/>
          <w:sz w:val="21"/>
          <w:szCs w:val="21"/>
        </w:rPr>
        <w:t>»</w:t>
      </w:r>
      <w:r w:rsidRPr="0083037E">
        <w:rPr>
          <w:rFonts w:ascii="Arial" w:hAnsi="Arial" w:cs="Arial"/>
          <w:color w:val="000000" w:themeColor="text1"/>
          <w:sz w:val="21"/>
          <w:szCs w:val="21"/>
        </w:rPr>
        <w:t xml:space="preserve">. Es decir, en este caso la entidad tiene que solicitar tanto la experiencia general como la experiencia específica en las condiciones previstas en la </w:t>
      </w:r>
      <w:r w:rsidR="00E12F1C" w:rsidRPr="0083037E">
        <w:rPr>
          <w:rFonts w:ascii="Arial" w:hAnsi="Arial" w:cs="Arial"/>
          <w:color w:val="000000" w:themeColor="text1"/>
          <w:sz w:val="21"/>
          <w:szCs w:val="21"/>
        </w:rPr>
        <w:t>«</w:t>
      </w:r>
      <w:r w:rsidRPr="0083037E">
        <w:rPr>
          <w:rFonts w:ascii="Arial" w:hAnsi="Arial" w:cs="Arial"/>
          <w:color w:val="000000" w:themeColor="text1"/>
          <w:sz w:val="21"/>
          <w:szCs w:val="21"/>
        </w:rPr>
        <w:t>Matriz 1- Experiencia</w:t>
      </w:r>
      <w:r w:rsidR="00E12F1C" w:rsidRPr="0083037E">
        <w:rPr>
          <w:rFonts w:ascii="Arial" w:hAnsi="Arial" w:cs="Arial"/>
          <w:color w:val="000000" w:themeColor="text1"/>
          <w:sz w:val="21"/>
          <w:szCs w:val="21"/>
        </w:rPr>
        <w:t>»</w:t>
      </w:r>
      <w:r w:rsidRPr="0083037E">
        <w:rPr>
          <w:rFonts w:ascii="Arial" w:hAnsi="Arial" w:cs="Arial"/>
          <w:color w:val="000000" w:themeColor="text1"/>
          <w:sz w:val="21"/>
          <w:szCs w:val="21"/>
        </w:rPr>
        <w:t xml:space="preserve"> para la correspondiente actividad a contratar y solo prescindirá de la experiencia especifica cuando la </w:t>
      </w:r>
      <w:r w:rsidR="00E12F1C" w:rsidRPr="0083037E">
        <w:rPr>
          <w:rFonts w:ascii="Arial" w:hAnsi="Arial" w:cs="Arial"/>
          <w:color w:val="000000" w:themeColor="text1"/>
          <w:sz w:val="21"/>
          <w:szCs w:val="21"/>
        </w:rPr>
        <w:t>«</w:t>
      </w:r>
      <w:r w:rsidRPr="0083037E">
        <w:rPr>
          <w:rFonts w:ascii="Arial" w:hAnsi="Arial" w:cs="Arial"/>
          <w:color w:val="000000" w:themeColor="text1"/>
          <w:sz w:val="21"/>
          <w:szCs w:val="21"/>
        </w:rPr>
        <w:t>Matriz 1- Experiencia</w:t>
      </w:r>
      <w:r w:rsidR="00E12F1C" w:rsidRPr="0083037E">
        <w:rPr>
          <w:rFonts w:ascii="Arial" w:hAnsi="Arial" w:cs="Arial"/>
          <w:color w:val="000000" w:themeColor="text1"/>
          <w:sz w:val="21"/>
          <w:szCs w:val="21"/>
        </w:rPr>
        <w:t>»</w:t>
      </w:r>
      <w:r w:rsidRPr="0083037E">
        <w:rPr>
          <w:rFonts w:ascii="Arial" w:hAnsi="Arial" w:cs="Arial"/>
          <w:color w:val="000000" w:themeColor="text1"/>
          <w:sz w:val="21"/>
          <w:szCs w:val="21"/>
        </w:rPr>
        <w:t xml:space="preserve"> así lo indique.</w:t>
      </w:r>
    </w:p>
    <w:p w14:paraId="54E9BDD1" w14:textId="77777777" w:rsidR="00E12F1C" w:rsidRPr="0083037E" w:rsidRDefault="00E12F1C" w:rsidP="00E12F1C">
      <w:pPr>
        <w:ind w:left="709" w:right="709"/>
        <w:jc w:val="both"/>
        <w:rPr>
          <w:rFonts w:ascii="Arial" w:hAnsi="Arial" w:cs="Arial"/>
          <w:color w:val="000000" w:themeColor="text1"/>
          <w:sz w:val="21"/>
          <w:szCs w:val="21"/>
        </w:rPr>
      </w:pPr>
    </w:p>
    <w:p w14:paraId="6C2330C6" w14:textId="6A9B0299" w:rsidR="00B51361" w:rsidRPr="0083037E" w:rsidRDefault="00B51361" w:rsidP="00E12F1C">
      <w:pPr>
        <w:ind w:left="709" w:right="709"/>
        <w:jc w:val="both"/>
        <w:rPr>
          <w:rFonts w:ascii="Arial" w:hAnsi="Arial" w:cs="Arial"/>
          <w:color w:val="000000" w:themeColor="text1"/>
          <w:sz w:val="21"/>
          <w:szCs w:val="21"/>
        </w:rPr>
      </w:pPr>
      <w:r w:rsidRPr="0083037E">
        <w:rPr>
          <w:rFonts w:ascii="Arial" w:hAnsi="Arial" w:cs="Arial"/>
          <w:color w:val="000000" w:themeColor="text1"/>
          <w:sz w:val="21"/>
          <w:szCs w:val="21"/>
        </w:rPr>
        <w:t xml:space="preserve">v)  Para identificar la experiencia exigible de un proceso de contratación, la entidad estatal debe tener en cuenta: i) el alcance del objeto a contratar, ii) el tipo de infraestructura, iii) las actividades a contratar definidas en la Matriz 1- Experiencia y iv) la cuantía del proceso de contratación. Por lo tanto, debe seguir los siguientes pasos: </w:t>
      </w:r>
    </w:p>
    <w:p w14:paraId="1D130728" w14:textId="77777777" w:rsidR="00B51361" w:rsidRPr="0083037E" w:rsidRDefault="00B51361" w:rsidP="005D484C">
      <w:pPr>
        <w:ind w:left="709" w:right="709" w:firstLine="709"/>
        <w:jc w:val="both"/>
        <w:rPr>
          <w:rFonts w:ascii="Arial" w:hAnsi="Arial" w:cs="Arial"/>
          <w:color w:val="000000" w:themeColor="text1"/>
          <w:sz w:val="21"/>
          <w:szCs w:val="21"/>
        </w:rPr>
      </w:pPr>
    </w:p>
    <w:p w14:paraId="7E063A4E" w14:textId="04CF2BD7" w:rsidR="00B51361" w:rsidRPr="0083037E" w:rsidRDefault="00B51361" w:rsidP="00AA26A3">
      <w:pPr>
        <w:ind w:left="709" w:right="709"/>
        <w:jc w:val="both"/>
        <w:rPr>
          <w:rFonts w:ascii="Arial" w:hAnsi="Arial" w:cs="Arial"/>
          <w:color w:val="000000" w:themeColor="text1"/>
          <w:sz w:val="21"/>
          <w:szCs w:val="21"/>
        </w:rPr>
      </w:pPr>
      <w:r w:rsidRPr="0083037E">
        <w:rPr>
          <w:rFonts w:ascii="Arial" w:hAnsi="Arial" w:cs="Arial"/>
          <w:color w:val="000000" w:themeColor="text1"/>
          <w:sz w:val="21"/>
          <w:szCs w:val="21"/>
        </w:rPr>
        <w:t xml:space="preserve">a) Identificar en la </w:t>
      </w:r>
      <w:r w:rsidR="00AA26A3" w:rsidRPr="0083037E">
        <w:rPr>
          <w:rFonts w:ascii="Arial" w:hAnsi="Arial" w:cs="Arial"/>
          <w:color w:val="000000" w:themeColor="text1"/>
          <w:sz w:val="21"/>
          <w:szCs w:val="21"/>
        </w:rPr>
        <w:t>«</w:t>
      </w:r>
      <w:r w:rsidRPr="0083037E">
        <w:rPr>
          <w:rFonts w:ascii="Arial" w:hAnsi="Arial" w:cs="Arial"/>
          <w:color w:val="000000" w:themeColor="text1"/>
          <w:sz w:val="21"/>
          <w:szCs w:val="21"/>
        </w:rPr>
        <w:t>Matriz 1- Experiencia</w:t>
      </w:r>
      <w:r w:rsidR="00AA26A3" w:rsidRPr="0083037E">
        <w:rPr>
          <w:rFonts w:ascii="Arial" w:hAnsi="Arial" w:cs="Arial"/>
          <w:color w:val="000000" w:themeColor="text1"/>
          <w:sz w:val="21"/>
          <w:szCs w:val="21"/>
        </w:rPr>
        <w:t>»</w:t>
      </w:r>
      <w:r w:rsidRPr="0083037E">
        <w:rPr>
          <w:rFonts w:ascii="Arial" w:hAnsi="Arial" w:cs="Arial"/>
          <w:color w:val="000000" w:themeColor="text1"/>
          <w:sz w:val="21"/>
          <w:szCs w:val="21"/>
        </w:rPr>
        <w:t xml:space="preserve">, el tipo de infraestructura sobre el cual recae la consultoría a la obra pública. </w:t>
      </w:r>
    </w:p>
    <w:p w14:paraId="4FF7CC0E" w14:textId="77777777" w:rsidR="00B51361" w:rsidRPr="0083037E" w:rsidRDefault="00B51361" w:rsidP="005D484C">
      <w:pPr>
        <w:ind w:left="709" w:right="709" w:firstLine="709"/>
        <w:jc w:val="both"/>
        <w:rPr>
          <w:rFonts w:ascii="Arial" w:hAnsi="Arial" w:cs="Arial"/>
          <w:color w:val="000000" w:themeColor="text1"/>
          <w:sz w:val="21"/>
          <w:szCs w:val="21"/>
        </w:rPr>
      </w:pPr>
    </w:p>
    <w:p w14:paraId="705C0987" w14:textId="190C9D66" w:rsidR="00B51361" w:rsidRPr="0083037E" w:rsidRDefault="00B51361" w:rsidP="00AA26A3">
      <w:pPr>
        <w:ind w:left="709" w:right="709"/>
        <w:jc w:val="both"/>
        <w:rPr>
          <w:rFonts w:ascii="Arial" w:hAnsi="Arial" w:cs="Arial"/>
          <w:color w:val="000000" w:themeColor="text1"/>
          <w:sz w:val="21"/>
          <w:szCs w:val="21"/>
        </w:rPr>
      </w:pPr>
      <w:r w:rsidRPr="0083037E">
        <w:rPr>
          <w:rFonts w:ascii="Arial" w:hAnsi="Arial" w:cs="Arial"/>
          <w:color w:val="000000" w:themeColor="text1"/>
          <w:sz w:val="21"/>
          <w:szCs w:val="21"/>
        </w:rPr>
        <w:t xml:space="preserve">b) Identificar la </w:t>
      </w:r>
      <w:r w:rsidR="00AA26A3" w:rsidRPr="0083037E">
        <w:rPr>
          <w:rFonts w:ascii="Arial" w:hAnsi="Arial" w:cs="Arial"/>
          <w:color w:val="000000" w:themeColor="text1"/>
          <w:sz w:val="21"/>
          <w:szCs w:val="21"/>
        </w:rPr>
        <w:t>«</w:t>
      </w:r>
      <w:r w:rsidRPr="0083037E">
        <w:rPr>
          <w:rFonts w:ascii="Arial" w:hAnsi="Arial" w:cs="Arial"/>
          <w:color w:val="000000" w:themeColor="text1"/>
          <w:sz w:val="21"/>
          <w:szCs w:val="21"/>
        </w:rPr>
        <w:t>ACTIVIDAD A CONTRATAR</w:t>
      </w:r>
      <w:r w:rsidR="00AA26A3" w:rsidRPr="0083037E">
        <w:rPr>
          <w:rFonts w:ascii="Arial" w:hAnsi="Arial" w:cs="Arial"/>
          <w:color w:val="000000" w:themeColor="text1"/>
          <w:sz w:val="21"/>
          <w:szCs w:val="21"/>
        </w:rPr>
        <w:t>»</w:t>
      </w:r>
      <w:r w:rsidRPr="0083037E">
        <w:rPr>
          <w:rFonts w:ascii="Arial" w:hAnsi="Arial" w:cs="Arial"/>
          <w:color w:val="000000" w:themeColor="text1"/>
          <w:sz w:val="21"/>
          <w:szCs w:val="21"/>
        </w:rPr>
        <w:t xml:space="preserve"> acorde con la Matriz 1- Experiencia. </w:t>
      </w:r>
    </w:p>
    <w:p w14:paraId="15E67515" w14:textId="77777777" w:rsidR="00B51361" w:rsidRPr="0083037E" w:rsidRDefault="00B51361" w:rsidP="005D484C">
      <w:pPr>
        <w:ind w:left="709" w:right="709" w:firstLine="709"/>
        <w:jc w:val="both"/>
        <w:rPr>
          <w:rFonts w:ascii="Arial" w:hAnsi="Arial" w:cs="Arial"/>
          <w:color w:val="000000" w:themeColor="text1"/>
          <w:sz w:val="21"/>
          <w:szCs w:val="21"/>
        </w:rPr>
      </w:pPr>
    </w:p>
    <w:p w14:paraId="452675FA" w14:textId="11B319B6" w:rsidR="00B51361" w:rsidRPr="0083037E" w:rsidRDefault="00B51361" w:rsidP="00AA26A3">
      <w:pPr>
        <w:ind w:left="709" w:right="709"/>
        <w:jc w:val="both"/>
        <w:rPr>
          <w:rFonts w:ascii="Arial" w:hAnsi="Arial" w:cs="Arial"/>
          <w:color w:val="000000" w:themeColor="text1"/>
          <w:sz w:val="21"/>
          <w:szCs w:val="21"/>
        </w:rPr>
      </w:pPr>
      <w:r w:rsidRPr="0083037E">
        <w:rPr>
          <w:rFonts w:ascii="Arial" w:hAnsi="Arial" w:cs="Arial"/>
          <w:color w:val="000000" w:themeColor="text1"/>
          <w:sz w:val="21"/>
          <w:szCs w:val="21"/>
        </w:rPr>
        <w:t xml:space="preserve">c) Identificar el rango de las </w:t>
      </w:r>
      <w:r w:rsidR="00AA26A3" w:rsidRPr="0083037E">
        <w:rPr>
          <w:rFonts w:ascii="Arial" w:hAnsi="Arial" w:cs="Arial"/>
          <w:color w:val="000000" w:themeColor="text1"/>
          <w:sz w:val="21"/>
          <w:szCs w:val="21"/>
        </w:rPr>
        <w:t>«</w:t>
      </w:r>
      <w:r w:rsidRPr="0083037E">
        <w:rPr>
          <w:rFonts w:ascii="Arial" w:hAnsi="Arial" w:cs="Arial"/>
          <w:color w:val="000000" w:themeColor="text1"/>
          <w:sz w:val="21"/>
          <w:szCs w:val="21"/>
        </w:rPr>
        <w:t>Cuantías del proceso de contratación</w:t>
      </w:r>
      <w:r w:rsidR="00AA26A3" w:rsidRPr="0083037E">
        <w:rPr>
          <w:rFonts w:ascii="Arial" w:hAnsi="Arial" w:cs="Arial"/>
          <w:color w:val="000000" w:themeColor="text1"/>
          <w:sz w:val="21"/>
          <w:szCs w:val="21"/>
        </w:rPr>
        <w:t>»</w:t>
      </w:r>
      <w:r w:rsidRPr="0083037E">
        <w:rPr>
          <w:rFonts w:ascii="Arial" w:hAnsi="Arial" w:cs="Arial"/>
          <w:color w:val="000000" w:themeColor="text1"/>
          <w:sz w:val="21"/>
          <w:szCs w:val="21"/>
        </w:rPr>
        <w:t xml:space="preserve">, de acuerdo con el presupuesto oficial. </w:t>
      </w:r>
    </w:p>
    <w:p w14:paraId="6F88DF5E" w14:textId="77777777" w:rsidR="00B51361" w:rsidRPr="0083037E" w:rsidRDefault="00B51361" w:rsidP="005D484C">
      <w:pPr>
        <w:ind w:left="709" w:right="709" w:firstLine="709"/>
        <w:jc w:val="both"/>
        <w:rPr>
          <w:rFonts w:ascii="Arial" w:hAnsi="Arial" w:cs="Arial"/>
          <w:color w:val="000000" w:themeColor="text1"/>
          <w:sz w:val="21"/>
          <w:szCs w:val="21"/>
        </w:rPr>
      </w:pPr>
    </w:p>
    <w:p w14:paraId="70EE1A66" w14:textId="4DAC63FF" w:rsidR="00B51361" w:rsidRPr="0083037E" w:rsidRDefault="00B51361" w:rsidP="00AA26A3">
      <w:pPr>
        <w:ind w:left="709" w:right="709"/>
        <w:jc w:val="both"/>
        <w:rPr>
          <w:rFonts w:ascii="Arial" w:hAnsi="Arial" w:cs="Arial"/>
          <w:color w:val="000000" w:themeColor="text1"/>
          <w:sz w:val="21"/>
          <w:szCs w:val="21"/>
        </w:rPr>
      </w:pPr>
      <w:r w:rsidRPr="0083037E">
        <w:rPr>
          <w:rFonts w:ascii="Arial" w:hAnsi="Arial" w:cs="Arial"/>
          <w:color w:val="000000" w:themeColor="text1"/>
          <w:sz w:val="21"/>
          <w:szCs w:val="21"/>
        </w:rPr>
        <w:t xml:space="preserve">d) Identificar la </w:t>
      </w:r>
      <w:r w:rsidR="00AA26A3" w:rsidRPr="0083037E">
        <w:rPr>
          <w:rFonts w:ascii="Arial" w:hAnsi="Arial" w:cs="Arial"/>
          <w:color w:val="000000" w:themeColor="text1"/>
          <w:sz w:val="21"/>
          <w:szCs w:val="21"/>
        </w:rPr>
        <w:t>«</w:t>
      </w:r>
      <w:r w:rsidRPr="0083037E">
        <w:rPr>
          <w:rFonts w:ascii="Arial" w:hAnsi="Arial" w:cs="Arial"/>
          <w:color w:val="000000" w:themeColor="text1"/>
          <w:sz w:val="21"/>
          <w:szCs w:val="21"/>
        </w:rPr>
        <w:t>experiencia general</w:t>
      </w:r>
      <w:r w:rsidR="00AA26A3" w:rsidRPr="0083037E">
        <w:rPr>
          <w:rFonts w:ascii="Arial" w:hAnsi="Arial" w:cs="Arial"/>
          <w:color w:val="000000" w:themeColor="text1"/>
          <w:sz w:val="21"/>
          <w:szCs w:val="21"/>
        </w:rPr>
        <w:t>»</w:t>
      </w:r>
      <w:r w:rsidRPr="0083037E">
        <w:rPr>
          <w:rFonts w:ascii="Arial" w:hAnsi="Arial" w:cs="Arial"/>
          <w:color w:val="000000" w:themeColor="text1"/>
          <w:sz w:val="21"/>
          <w:szCs w:val="21"/>
        </w:rPr>
        <w:t xml:space="preserve"> y la </w:t>
      </w:r>
      <w:r w:rsidR="00AA26A3" w:rsidRPr="0083037E">
        <w:rPr>
          <w:rFonts w:ascii="Arial" w:hAnsi="Arial" w:cs="Arial"/>
          <w:color w:val="000000" w:themeColor="text1"/>
          <w:sz w:val="21"/>
          <w:szCs w:val="21"/>
        </w:rPr>
        <w:t>«</w:t>
      </w:r>
      <w:r w:rsidRPr="0083037E">
        <w:rPr>
          <w:rFonts w:ascii="Arial" w:hAnsi="Arial" w:cs="Arial"/>
          <w:color w:val="000000" w:themeColor="text1"/>
          <w:sz w:val="21"/>
          <w:szCs w:val="21"/>
        </w:rPr>
        <w:t>experiencia específica</w:t>
      </w:r>
      <w:r w:rsidR="00AA26A3" w:rsidRPr="0083037E">
        <w:rPr>
          <w:rFonts w:ascii="Arial" w:hAnsi="Arial" w:cs="Arial"/>
          <w:color w:val="000000" w:themeColor="text1"/>
          <w:sz w:val="21"/>
          <w:szCs w:val="21"/>
        </w:rPr>
        <w:t>»</w:t>
      </w:r>
      <w:r w:rsidRPr="0083037E">
        <w:rPr>
          <w:rFonts w:ascii="Arial" w:hAnsi="Arial" w:cs="Arial"/>
          <w:color w:val="000000" w:themeColor="text1"/>
          <w:sz w:val="21"/>
          <w:szCs w:val="21"/>
        </w:rPr>
        <w:t xml:space="preserve"> exigible acorde con la Matriz 1- Experiencia teniendo en cuenta la </w:t>
      </w:r>
      <w:r w:rsidR="00AA26A3" w:rsidRPr="0083037E">
        <w:rPr>
          <w:rFonts w:ascii="Arial" w:hAnsi="Arial" w:cs="Arial"/>
          <w:color w:val="000000" w:themeColor="text1"/>
          <w:sz w:val="21"/>
          <w:szCs w:val="21"/>
        </w:rPr>
        <w:t>«</w:t>
      </w:r>
      <w:r w:rsidRPr="0083037E">
        <w:rPr>
          <w:rFonts w:ascii="Arial" w:hAnsi="Arial" w:cs="Arial"/>
          <w:color w:val="000000" w:themeColor="text1"/>
          <w:sz w:val="21"/>
          <w:szCs w:val="21"/>
        </w:rPr>
        <w:t>actividad a contratar</w:t>
      </w:r>
      <w:r w:rsidR="00AA26A3" w:rsidRPr="0083037E">
        <w:rPr>
          <w:rFonts w:ascii="Arial" w:hAnsi="Arial" w:cs="Arial"/>
          <w:color w:val="000000" w:themeColor="text1"/>
          <w:sz w:val="21"/>
          <w:szCs w:val="21"/>
        </w:rPr>
        <w:t>»</w:t>
      </w:r>
      <w:r w:rsidRPr="0083037E">
        <w:rPr>
          <w:rFonts w:ascii="Arial" w:hAnsi="Arial" w:cs="Arial"/>
          <w:color w:val="000000" w:themeColor="text1"/>
          <w:sz w:val="21"/>
          <w:szCs w:val="21"/>
        </w:rPr>
        <w:t xml:space="preserve"> y el rango de la cuantía del proceso de contratación. </w:t>
      </w:r>
    </w:p>
    <w:p w14:paraId="7977A1A1" w14:textId="77777777" w:rsidR="00B51361" w:rsidRPr="0083037E" w:rsidRDefault="00B51361" w:rsidP="005D484C">
      <w:pPr>
        <w:ind w:left="709" w:right="709" w:firstLine="709"/>
        <w:jc w:val="both"/>
        <w:rPr>
          <w:rFonts w:ascii="Arial" w:hAnsi="Arial" w:cs="Arial"/>
          <w:color w:val="000000" w:themeColor="text1"/>
          <w:sz w:val="21"/>
          <w:szCs w:val="21"/>
        </w:rPr>
      </w:pPr>
    </w:p>
    <w:p w14:paraId="313EA6A8" w14:textId="77777777" w:rsidR="00F56644" w:rsidRPr="0083037E" w:rsidRDefault="00B51361" w:rsidP="00F56644">
      <w:pPr>
        <w:ind w:left="709" w:right="709"/>
        <w:jc w:val="both"/>
        <w:rPr>
          <w:rFonts w:ascii="Arial" w:hAnsi="Arial" w:cs="Arial"/>
          <w:color w:val="000000" w:themeColor="text1"/>
          <w:sz w:val="21"/>
          <w:szCs w:val="21"/>
        </w:rPr>
      </w:pPr>
      <w:r w:rsidRPr="0083037E">
        <w:rPr>
          <w:rFonts w:ascii="Arial" w:hAnsi="Arial" w:cs="Arial"/>
          <w:color w:val="000000" w:themeColor="text1"/>
          <w:sz w:val="21"/>
          <w:szCs w:val="21"/>
        </w:rPr>
        <w:t xml:space="preserve">vi) Cuando el objeto del proceso de contratación contemple la ejecución de dos o más </w:t>
      </w:r>
      <w:r w:rsidR="00AA26A3" w:rsidRPr="0083037E">
        <w:rPr>
          <w:rFonts w:ascii="Arial" w:hAnsi="Arial" w:cs="Arial"/>
          <w:color w:val="000000" w:themeColor="text1"/>
          <w:sz w:val="21"/>
          <w:szCs w:val="21"/>
        </w:rPr>
        <w:t>«</w:t>
      </w:r>
      <w:r w:rsidRPr="0083037E">
        <w:rPr>
          <w:rFonts w:ascii="Arial" w:hAnsi="Arial" w:cs="Arial"/>
          <w:color w:val="000000" w:themeColor="text1"/>
          <w:sz w:val="21"/>
          <w:szCs w:val="21"/>
        </w:rPr>
        <w:t>Actividades a Contratar</w:t>
      </w:r>
      <w:r w:rsidR="00AA26A3" w:rsidRPr="0083037E">
        <w:rPr>
          <w:rFonts w:ascii="Arial" w:hAnsi="Arial" w:cs="Arial"/>
          <w:color w:val="000000" w:themeColor="text1"/>
          <w:sz w:val="21"/>
          <w:szCs w:val="21"/>
        </w:rPr>
        <w:t>»</w:t>
      </w:r>
      <w:r w:rsidRPr="0083037E">
        <w:rPr>
          <w:rFonts w:ascii="Arial" w:hAnsi="Arial" w:cs="Arial"/>
          <w:color w:val="000000" w:themeColor="text1"/>
          <w:sz w:val="21"/>
          <w:szCs w:val="21"/>
        </w:rPr>
        <w:t xml:space="preserve"> (ej.: 1.1 y 7.1), la entidad tiene dos alternativas: a) solicitar únicamente la experiencia de la </w:t>
      </w:r>
      <w:r w:rsidR="00AA26A3" w:rsidRPr="0083037E">
        <w:rPr>
          <w:rFonts w:ascii="Arial" w:hAnsi="Arial" w:cs="Arial"/>
          <w:color w:val="000000" w:themeColor="text1"/>
          <w:sz w:val="21"/>
          <w:szCs w:val="21"/>
        </w:rPr>
        <w:t>«</w:t>
      </w:r>
      <w:r w:rsidRPr="0083037E">
        <w:rPr>
          <w:rFonts w:ascii="Arial" w:hAnsi="Arial" w:cs="Arial"/>
          <w:color w:val="000000" w:themeColor="text1"/>
          <w:sz w:val="21"/>
          <w:szCs w:val="21"/>
        </w:rPr>
        <w:t>actividad a contratar</w:t>
      </w:r>
      <w:r w:rsidR="00AA26A3" w:rsidRPr="0083037E">
        <w:rPr>
          <w:rFonts w:ascii="Arial" w:hAnsi="Arial" w:cs="Arial"/>
          <w:color w:val="000000" w:themeColor="text1"/>
          <w:sz w:val="21"/>
          <w:szCs w:val="21"/>
        </w:rPr>
        <w:t>»</w:t>
      </w:r>
      <w:r w:rsidRPr="0083037E">
        <w:rPr>
          <w:rFonts w:ascii="Arial" w:hAnsi="Arial" w:cs="Arial"/>
          <w:color w:val="000000" w:themeColor="text1"/>
          <w:sz w:val="21"/>
          <w:szCs w:val="21"/>
        </w:rPr>
        <w:t xml:space="preserve"> de mayor relevancia de acuerdo con el objeto del contrato. La Entidad podrá analizar la relevancia en función del valor de las actividades o por la complejidad técnica; o b) solicitar la experiencia general y la experiencia específica de la </w:t>
      </w:r>
      <w:r w:rsidR="00AA26A3" w:rsidRPr="0083037E">
        <w:rPr>
          <w:rFonts w:ascii="Arial" w:hAnsi="Arial" w:cs="Arial"/>
          <w:color w:val="000000" w:themeColor="text1"/>
          <w:sz w:val="21"/>
          <w:szCs w:val="21"/>
        </w:rPr>
        <w:t>«</w:t>
      </w:r>
      <w:r w:rsidRPr="0083037E">
        <w:rPr>
          <w:rFonts w:ascii="Arial" w:hAnsi="Arial" w:cs="Arial"/>
          <w:color w:val="000000" w:themeColor="text1"/>
          <w:sz w:val="21"/>
          <w:szCs w:val="21"/>
        </w:rPr>
        <w:t xml:space="preserve">actividad a </w:t>
      </w:r>
      <w:r w:rsidRPr="0083037E">
        <w:rPr>
          <w:rFonts w:ascii="Arial" w:hAnsi="Arial" w:cs="Arial"/>
          <w:color w:val="000000" w:themeColor="text1"/>
          <w:sz w:val="21"/>
          <w:szCs w:val="21"/>
        </w:rPr>
        <w:lastRenderedPageBreak/>
        <w:t>contratar</w:t>
      </w:r>
      <w:r w:rsidR="00AA26A3" w:rsidRPr="0083037E">
        <w:rPr>
          <w:rFonts w:ascii="Arial" w:hAnsi="Arial" w:cs="Arial"/>
          <w:color w:val="000000" w:themeColor="text1"/>
          <w:sz w:val="21"/>
          <w:szCs w:val="21"/>
        </w:rPr>
        <w:t>»</w:t>
      </w:r>
      <w:r w:rsidRPr="0083037E">
        <w:rPr>
          <w:rFonts w:ascii="Arial" w:hAnsi="Arial" w:cs="Arial"/>
          <w:color w:val="000000" w:themeColor="text1"/>
          <w:sz w:val="21"/>
          <w:szCs w:val="21"/>
        </w:rPr>
        <w:t xml:space="preserve"> de mayor relevancia, y para las demás actividades a contratar requerir la experiencia específica de la correspondiente actividad. En el evento en que para las actividades a contratar, diferentes a la de mayor relevancia, la </w:t>
      </w:r>
      <w:r w:rsidR="00F56644" w:rsidRPr="0083037E">
        <w:rPr>
          <w:rFonts w:ascii="Arial" w:hAnsi="Arial" w:cs="Arial"/>
          <w:color w:val="000000" w:themeColor="text1"/>
          <w:sz w:val="21"/>
          <w:szCs w:val="21"/>
        </w:rPr>
        <w:t>«</w:t>
      </w:r>
      <w:r w:rsidRPr="0083037E">
        <w:rPr>
          <w:rFonts w:ascii="Arial" w:hAnsi="Arial" w:cs="Arial"/>
          <w:color w:val="000000" w:themeColor="text1"/>
          <w:sz w:val="21"/>
          <w:szCs w:val="21"/>
        </w:rPr>
        <w:t>Matriz 1- Experiencia</w:t>
      </w:r>
      <w:r w:rsidR="00F56644" w:rsidRPr="0083037E">
        <w:rPr>
          <w:rFonts w:ascii="Arial" w:hAnsi="Arial" w:cs="Arial"/>
          <w:color w:val="000000" w:themeColor="text1"/>
          <w:sz w:val="21"/>
          <w:szCs w:val="21"/>
        </w:rPr>
        <w:t>»</w:t>
      </w:r>
      <w:r w:rsidRPr="0083037E">
        <w:rPr>
          <w:rFonts w:ascii="Arial" w:hAnsi="Arial" w:cs="Arial"/>
          <w:color w:val="000000" w:themeColor="text1"/>
          <w:sz w:val="21"/>
          <w:szCs w:val="21"/>
        </w:rPr>
        <w:t xml:space="preserve"> no contemple la experiencia específica, se podrá solicitar la experiencia general de la actividad, como específica. </w:t>
      </w:r>
    </w:p>
    <w:p w14:paraId="5EFA5F34" w14:textId="77777777" w:rsidR="00F56644" w:rsidRPr="0083037E" w:rsidRDefault="00F56644" w:rsidP="00F56644">
      <w:pPr>
        <w:ind w:left="709" w:right="709"/>
        <w:jc w:val="both"/>
        <w:rPr>
          <w:rFonts w:ascii="Arial" w:hAnsi="Arial" w:cs="Arial"/>
          <w:color w:val="000000" w:themeColor="text1"/>
          <w:sz w:val="21"/>
          <w:szCs w:val="21"/>
        </w:rPr>
      </w:pPr>
    </w:p>
    <w:p w14:paraId="37831742" w14:textId="77777777" w:rsidR="00F56644" w:rsidRPr="0083037E" w:rsidRDefault="00B51361" w:rsidP="00F56644">
      <w:pPr>
        <w:ind w:left="709" w:right="709"/>
        <w:jc w:val="both"/>
        <w:rPr>
          <w:rFonts w:ascii="Arial" w:hAnsi="Arial" w:cs="Arial"/>
          <w:color w:val="000000" w:themeColor="text1"/>
          <w:sz w:val="21"/>
          <w:szCs w:val="21"/>
        </w:rPr>
      </w:pPr>
      <w:r w:rsidRPr="0083037E">
        <w:rPr>
          <w:rFonts w:ascii="Arial" w:hAnsi="Arial" w:cs="Arial"/>
          <w:color w:val="000000" w:themeColor="text1"/>
          <w:sz w:val="21"/>
          <w:szCs w:val="21"/>
        </w:rPr>
        <w:t>Tenga en cuenta que la experiencia se establecerá en función de la desagregación del valor de las actividades en los casos en los cuales sea procedente la combinación de actividades a contratar.</w:t>
      </w:r>
    </w:p>
    <w:p w14:paraId="572E9513" w14:textId="77777777" w:rsidR="00F56644" w:rsidRPr="0083037E" w:rsidRDefault="00F56644" w:rsidP="00F56644">
      <w:pPr>
        <w:ind w:left="709" w:right="709"/>
        <w:jc w:val="both"/>
        <w:rPr>
          <w:rFonts w:ascii="Arial" w:hAnsi="Arial" w:cs="Arial"/>
          <w:color w:val="000000" w:themeColor="text1"/>
          <w:sz w:val="21"/>
          <w:szCs w:val="21"/>
        </w:rPr>
      </w:pPr>
    </w:p>
    <w:p w14:paraId="072AF892" w14:textId="3B200A0E" w:rsidR="00B51361" w:rsidRPr="0083037E" w:rsidRDefault="00B51361" w:rsidP="00F56644">
      <w:pPr>
        <w:ind w:left="709" w:right="709"/>
        <w:jc w:val="both"/>
        <w:rPr>
          <w:rFonts w:ascii="Arial" w:hAnsi="Arial" w:cs="Arial"/>
          <w:color w:val="000000" w:themeColor="text1"/>
          <w:sz w:val="21"/>
          <w:szCs w:val="21"/>
        </w:rPr>
      </w:pPr>
      <w:r w:rsidRPr="0083037E">
        <w:rPr>
          <w:rFonts w:ascii="Arial" w:hAnsi="Arial" w:cs="Arial"/>
          <w:color w:val="000000" w:themeColor="text1"/>
          <w:sz w:val="21"/>
          <w:szCs w:val="21"/>
        </w:rPr>
        <w:t>Adicionalmente, en los casos donde la Entidad opte por la exigencia de la experiencia específica para las actividades distintas a la de mayor relevancia, se deberá incluir la siguiente nota:</w:t>
      </w:r>
    </w:p>
    <w:p w14:paraId="0E4A7AF5" w14:textId="77777777" w:rsidR="004A646F" w:rsidRPr="0083037E" w:rsidRDefault="004A646F" w:rsidP="00F56644">
      <w:pPr>
        <w:ind w:left="709" w:right="709"/>
        <w:jc w:val="both"/>
        <w:rPr>
          <w:rFonts w:ascii="Arial" w:hAnsi="Arial" w:cs="Arial"/>
          <w:color w:val="000000" w:themeColor="text1"/>
          <w:sz w:val="21"/>
          <w:szCs w:val="21"/>
        </w:rPr>
      </w:pPr>
    </w:p>
    <w:p w14:paraId="56ECFAB1" w14:textId="0AC3A2D5" w:rsidR="00C76DFA" w:rsidRPr="0083037E" w:rsidRDefault="00F56644" w:rsidP="00F56644">
      <w:pPr>
        <w:ind w:left="709" w:right="709"/>
        <w:jc w:val="both"/>
        <w:rPr>
          <w:rFonts w:ascii="Arial" w:hAnsi="Arial" w:cs="Arial"/>
          <w:color w:val="000000" w:themeColor="text1"/>
          <w:sz w:val="21"/>
          <w:szCs w:val="21"/>
        </w:rPr>
      </w:pPr>
      <w:r w:rsidRPr="0083037E">
        <w:rPr>
          <w:rFonts w:ascii="Arial" w:hAnsi="Arial" w:cs="Arial"/>
          <w:color w:val="000000" w:themeColor="text1"/>
          <w:sz w:val="21"/>
          <w:szCs w:val="21"/>
        </w:rPr>
        <w:t>«</w:t>
      </w:r>
      <w:r w:rsidR="00B51361" w:rsidRPr="0083037E">
        <w:rPr>
          <w:rFonts w:ascii="Arial" w:hAnsi="Arial" w:cs="Arial"/>
          <w:color w:val="000000" w:themeColor="text1"/>
          <w:sz w:val="21"/>
          <w:szCs w:val="21"/>
        </w:rPr>
        <w:t>Nota: Tenga en cuenta que la acreditación de las actividades de la Experiencia se podrá hacer a través de mínimo uno (1) y máximo (6) contratos. Para el caso de Experiencias combinadas,</w:t>
      </w:r>
      <w:r w:rsidR="00AD689A" w:rsidRPr="0083037E">
        <w:rPr>
          <w:rFonts w:ascii="Arial" w:hAnsi="Arial" w:cs="Arial"/>
          <w:color w:val="000000" w:themeColor="text1"/>
          <w:sz w:val="21"/>
          <w:szCs w:val="21"/>
        </w:rPr>
        <w:t xml:space="preserve"> </w:t>
      </w:r>
      <w:r w:rsidR="00B51361" w:rsidRPr="0083037E">
        <w:rPr>
          <w:rFonts w:ascii="Arial" w:hAnsi="Arial" w:cs="Arial"/>
          <w:color w:val="000000" w:themeColor="text1"/>
          <w:sz w:val="21"/>
          <w:szCs w:val="21"/>
        </w:rPr>
        <w:t>un Proponente podrá acreditar una o más actividades, con un contrato o con varios de forma independiente (</w:t>
      </w:r>
      <w:proofErr w:type="spellStart"/>
      <w:r w:rsidR="00B51361" w:rsidRPr="0083037E">
        <w:rPr>
          <w:rFonts w:ascii="Arial" w:hAnsi="Arial" w:cs="Arial"/>
          <w:color w:val="000000" w:themeColor="text1"/>
          <w:sz w:val="21"/>
          <w:szCs w:val="21"/>
        </w:rPr>
        <w:t>ej</w:t>
      </w:r>
      <w:proofErr w:type="spellEnd"/>
      <w:r w:rsidR="00B51361" w:rsidRPr="0083037E">
        <w:rPr>
          <w:rFonts w:ascii="Arial" w:hAnsi="Arial" w:cs="Arial"/>
          <w:color w:val="000000" w:themeColor="text1"/>
          <w:sz w:val="21"/>
          <w:szCs w:val="21"/>
        </w:rPr>
        <w:t>: un contrato que contemple construcción de vía con un paso a desnivel o un contrato que contemple construcción de vía y otro que contemple el paso a desnivel), situación que será verificada por la Entidad en la evaluación sin realizar desagregación por el valor de las actividades respecto al total del contrato</w:t>
      </w:r>
      <w:r w:rsidR="00AD689A" w:rsidRPr="0083037E">
        <w:rPr>
          <w:rFonts w:ascii="Arial" w:hAnsi="Arial" w:cs="Arial"/>
          <w:color w:val="000000" w:themeColor="text1"/>
          <w:sz w:val="21"/>
          <w:szCs w:val="21"/>
        </w:rPr>
        <w:t>».</w:t>
      </w:r>
    </w:p>
    <w:p w14:paraId="291A5325" w14:textId="77777777" w:rsidR="005D484C" w:rsidRPr="0083037E" w:rsidRDefault="005D484C" w:rsidP="00497541">
      <w:pPr>
        <w:spacing w:line="276" w:lineRule="auto"/>
        <w:ind w:firstLine="708"/>
        <w:jc w:val="both"/>
        <w:rPr>
          <w:rFonts w:ascii="Arial" w:eastAsia="Calibri" w:hAnsi="Arial" w:cs="Arial"/>
          <w:color w:val="000000"/>
        </w:rPr>
      </w:pPr>
    </w:p>
    <w:p w14:paraId="7EB5E003" w14:textId="6D4AA0FF" w:rsidR="00864AE8" w:rsidRPr="0083037E" w:rsidRDefault="006D0807" w:rsidP="00864AE8">
      <w:pPr>
        <w:spacing w:line="276" w:lineRule="auto"/>
        <w:ind w:firstLine="708"/>
        <w:jc w:val="both"/>
        <w:rPr>
          <w:rFonts w:ascii="Arial" w:eastAsia="Calibri" w:hAnsi="Arial" w:cs="Arial"/>
          <w:color w:val="000000"/>
        </w:rPr>
      </w:pPr>
      <w:r w:rsidRPr="0083037E">
        <w:rPr>
          <w:rFonts w:ascii="Arial" w:eastAsia="Calibri" w:hAnsi="Arial" w:cs="Arial"/>
          <w:color w:val="000000"/>
        </w:rPr>
        <w:t xml:space="preserve">Por su parte, el numeral 3.8 del documento base </w:t>
      </w:r>
      <w:r w:rsidR="00F04B86" w:rsidRPr="0083037E">
        <w:rPr>
          <w:rFonts w:ascii="Arial" w:eastAsia="Calibri" w:hAnsi="Arial" w:cs="Arial"/>
          <w:color w:val="000000"/>
        </w:rPr>
        <w:t>establece las «</w:t>
      </w:r>
      <w:r w:rsidR="00483416" w:rsidRPr="0083037E">
        <w:rPr>
          <w:rFonts w:ascii="Arial" w:eastAsia="Calibri" w:hAnsi="Arial" w:cs="Arial"/>
          <w:color w:val="000000"/>
        </w:rPr>
        <w:t>exigencias mínimas de la experiencia del proponente y la experiencia y formación académica del equipo de trabajo</w:t>
      </w:r>
      <w:r w:rsidR="00332A5E" w:rsidRPr="0083037E">
        <w:rPr>
          <w:rFonts w:ascii="Arial" w:eastAsia="Calibri" w:hAnsi="Arial" w:cs="Arial"/>
          <w:color w:val="000000"/>
        </w:rPr>
        <w:t>»</w:t>
      </w:r>
      <w:r w:rsidR="00483416" w:rsidRPr="0083037E">
        <w:rPr>
          <w:rFonts w:ascii="Arial" w:eastAsia="Calibri" w:hAnsi="Arial" w:cs="Arial"/>
          <w:color w:val="000000"/>
        </w:rPr>
        <w:t>.</w:t>
      </w:r>
      <w:r w:rsidR="00F04B86" w:rsidRPr="0083037E">
        <w:rPr>
          <w:rFonts w:ascii="Arial" w:eastAsia="Calibri" w:hAnsi="Arial" w:cs="Arial"/>
          <w:color w:val="000000"/>
        </w:rPr>
        <w:t xml:space="preserve"> </w:t>
      </w:r>
      <w:r w:rsidR="00864AE8" w:rsidRPr="0083037E">
        <w:rPr>
          <w:rFonts w:ascii="Arial" w:eastAsia="Calibri" w:hAnsi="Arial" w:cs="Arial"/>
          <w:color w:val="000000"/>
        </w:rPr>
        <w:t xml:space="preserve">De igual modo, el </w:t>
      </w:r>
      <w:r w:rsidR="00246625" w:rsidRPr="0083037E">
        <w:rPr>
          <w:rFonts w:ascii="Arial" w:eastAsia="Calibri" w:hAnsi="Arial" w:cs="Arial"/>
          <w:color w:val="000000"/>
        </w:rPr>
        <w:t xml:space="preserve">capítulo IV </w:t>
      </w:r>
      <w:r w:rsidR="00904FFC" w:rsidRPr="0083037E">
        <w:rPr>
          <w:rFonts w:ascii="Arial" w:eastAsia="Calibri" w:hAnsi="Arial" w:cs="Arial"/>
          <w:color w:val="000000"/>
        </w:rPr>
        <w:t>prevé</w:t>
      </w:r>
      <w:r w:rsidR="00246625" w:rsidRPr="0083037E">
        <w:rPr>
          <w:rFonts w:ascii="Arial" w:eastAsia="Calibri" w:hAnsi="Arial" w:cs="Arial"/>
          <w:color w:val="000000"/>
        </w:rPr>
        <w:t xml:space="preserve"> </w:t>
      </w:r>
      <w:r w:rsidR="00C5581C" w:rsidRPr="0083037E">
        <w:rPr>
          <w:rFonts w:ascii="Arial" w:eastAsia="Calibri" w:hAnsi="Arial" w:cs="Arial"/>
          <w:color w:val="000000"/>
        </w:rPr>
        <w:t xml:space="preserve">la forma como se deben definir los </w:t>
      </w:r>
      <w:r w:rsidR="004A0365" w:rsidRPr="0083037E">
        <w:rPr>
          <w:rFonts w:ascii="Arial" w:eastAsia="Calibri" w:hAnsi="Arial" w:cs="Arial"/>
          <w:color w:val="000000"/>
        </w:rPr>
        <w:t>«</w:t>
      </w:r>
      <w:r w:rsidR="00C5581C" w:rsidRPr="0083037E">
        <w:rPr>
          <w:rFonts w:ascii="Arial" w:eastAsia="Calibri" w:hAnsi="Arial" w:cs="Arial"/>
          <w:color w:val="000000"/>
        </w:rPr>
        <w:t>criterios de evaluación</w:t>
      </w:r>
      <w:r w:rsidR="004A0365" w:rsidRPr="0083037E">
        <w:rPr>
          <w:rFonts w:ascii="Arial" w:eastAsia="Calibri" w:hAnsi="Arial" w:cs="Arial"/>
          <w:color w:val="000000"/>
        </w:rPr>
        <w:t xml:space="preserve">, asignación de puntaje y criterios de desempate». </w:t>
      </w:r>
      <w:r w:rsidR="001016EB" w:rsidRPr="0083037E">
        <w:rPr>
          <w:rFonts w:ascii="Arial" w:eastAsia="Calibri" w:hAnsi="Arial" w:cs="Arial"/>
          <w:color w:val="000000"/>
        </w:rPr>
        <w:t>En tal sentido</w:t>
      </w:r>
      <w:r w:rsidR="00483416" w:rsidRPr="0083037E">
        <w:rPr>
          <w:rFonts w:ascii="Arial" w:eastAsia="Calibri" w:hAnsi="Arial" w:cs="Arial"/>
          <w:color w:val="000000"/>
        </w:rPr>
        <w:t xml:space="preserve">, </w:t>
      </w:r>
      <w:r w:rsidR="004A0365" w:rsidRPr="0083037E">
        <w:rPr>
          <w:rFonts w:ascii="Arial" w:eastAsia="Calibri" w:hAnsi="Arial" w:cs="Arial"/>
          <w:color w:val="000000"/>
        </w:rPr>
        <w:t>el numer</w:t>
      </w:r>
      <w:r w:rsidR="00615E29" w:rsidRPr="0083037E">
        <w:rPr>
          <w:rFonts w:ascii="Arial" w:eastAsia="Calibri" w:hAnsi="Arial" w:cs="Arial"/>
          <w:color w:val="000000"/>
        </w:rPr>
        <w:t xml:space="preserve">al 4.1. regula la </w:t>
      </w:r>
      <w:r w:rsidR="00D92514" w:rsidRPr="0083037E">
        <w:rPr>
          <w:rFonts w:ascii="Arial" w:eastAsia="Calibri" w:hAnsi="Arial" w:cs="Arial"/>
          <w:color w:val="000000"/>
        </w:rPr>
        <w:t>«forma de verificación</w:t>
      </w:r>
      <w:r w:rsidR="00966142" w:rsidRPr="0083037E">
        <w:rPr>
          <w:rFonts w:ascii="Arial" w:eastAsia="Calibri" w:hAnsi="Arial" w:cs="Arial"/>
          <w:color w:val="000000"/>
        </w:rPr>
        <w:t xml:space="preserve"> y asignación del puntaje por la experiencia del proponente».</w:t>
      </w:r>
      <w:r w:rsidR="00325A1F" w:rsidRPr="0083037E">
        <w:rPr>
          <w:rFonts w:ascii="Arial" w:eastAsia="Calibri" w:hAnsi="Arial" w:cs="Arial"/>
          <w:color w:val="000000"/>
        </w:rPr>
        <w:t xml:space="preserve"> Allí se pueden encontrar los criterios que debe tener en cuenta la entidad para </w:t>
      </w:r>
      <w:r w:rsidR="000B1124" w:rsidRPr="0083037E">
        <w:rPr>
          <w:rFonts w:ascii="Arial" w:eastAsia="Calibri" w:hAnsi="Arial" w:cs="Arial"/>
          <w:color w:val="000000"/>
        </w:rPr>
        <w:t>evaluar</w:t>
      </w:r>
      <w:r w:rsidR="00325A1F" w:rsidRPr="0083037E">
        <w:rPr>
          <w:rFonts w:ascii="Arial" w:eastAsia="Calibri" w:hAnsi="Arial" w:cs="Arial"/>
          <w:color w:val="000000"/>
        </w:rPr>
        <w:t xml:space="preserve"> la experiencia general y específica.</w:t>
      </w:r>
      <w:r w:rsidR="001016EB" w:rsidRPr="0083037E">
        <w:rPr>
          <w:rFonts w:ascii="Arial" w:eastAsia="Calibri" w:hAnsi="Arial" w:cs="Arial"/>
          <w:color w:val="000000"/>
        </w:rPr>
        <w:t xml:space="preserve"> Como se observa, la Agencia Nacional de Contratación Pública – Colombia Compra Eficiente ha establecido en el documento tipo de </w:t>
      </w:r>
      <w:r w:rsidR="00CB6CC9" w:rsidRPr="0083037E">
        <w:rPr>
          <w:rFonts w:ascii="Arial" w:eastAsia="Calibri" w:hAnsi="Arial" w:cs="Arial"/>
          <w:color w:val="000000"/>
        </w:rPr>
        <w:t>consultoría de estudios de ingeniería de infraestructura de transporte los criterios</w:t>
      </w:r>
      <w:r w:rsidR="00DF173A" w:rsidRPr="0083037E">
        <w:rPr>
          <w:rFonts w:ascii="Arial" w:eastAsia="Calibri" w:hAnsi="Arial" w:cs="Arial"/>
          <w:color w:val="000000"/>
        </w:rPr>
        <w:t xml:space="preserve"> rectores</w:t>
      </w:r>
      <w:r w:rsidR="00CB6CC9" w:rsidRPr="0083037E">
        <w:rPr>
          <w:rFonts w:ascii="Arial" w:eastAsia="Calibri" w:hAnsi="Arial" w:cs="Arial"/>
          <w:color w:val="000000"/>
        </w:rPr>
        <w:t xml:space="preserve"> para exigir la experiencia en estos procedimientos de selección</w:t>
      </w:r>
      <w:r w:rsidR="00100D66" w:rsidRPr="0083037E">
        <w:rPr>
          <w:rFonts w:ascii="Arial" w:eastAsia="Calibri" w:hAnsi="Arial" w:cs="Arial"/>
          <w:color w:val="000000"/>
        </w:rPr>
        <w:t>, lo cuales deben respetarse, en armonía con la regla de la inalterabilidad</w:t>
      </w:r>
      <w:r w:rsidR="00F205E2" w:rsidRPr="0083037E">
        <w:rPr>
          <w:rFonts w:ascii="Arial" w:eastAsia="Calibri" w:hAnsi="Arial" w:cs="Arial"/>
          <w:color w:val="000000"/>
        </w:rPr>
        <w:t xml:space="preserve"> de los documentos tipo.</w:t>
      </w:r>
    </w:p>
    <w:p w14:paraId="581C5301" w14:textId="28B98D81" w:rsidR="00300E95" w:rsidRPr="0083037E" w:rsidRDefault="00300E95" w:rsidP="00864AE8">
      <w:pPr>
        <w:spacing w:before="120" w:line="276" w:lineRule="auto"/>
        <w:ind w:firstLine="709"/>
        <w:jc w:val="both"/>
        <w:rPr>
          <w:rFonts w:ascii="Arial" w:eastAsia="Calibri" w:hAnsi="Arial" w:cs="Arial"/>
          <w:color w:val="000000"/>
        </w:rPr>
      </w:pPr>
      <w:r w:rsidRPr="0083037E">
        <w:rPr>
          <w:rFonts w:ascii="Arial" w:eastAsia="Calibri" w:hAnsi="Arial" w:cs="Arial"/>
          <w:color w:val="000000"/>
        </w:rPr>
        <w:t>Sin perjuicio de las aclaraciones anteriores</w:t>
      </w:r>
      <w:r w:rsidRPr="0083037E">
        <w:rPr>
          <w:rFonts w:ascii="Arial" w:hAnsi="Arial" w:cs="Arial"/>
        </w:rPr>
        <w:t xml:space="preserve">, debe advertirse que es la entidad contratante, al momento de adelantar sus actividades de planeación de cada proceso contractual, quien debe determinar si de acuerdo con las particularidades del contrato a ejecutar, este encaja o no dentro de alguna de las actividades de la </w:t>
      </w:r>
      <w:r w:rsidR="0034715B" w:rsidRPr="0083037E">
        <w:rPr>
          <w:rFonts w:ascii="Arial" w:hAnsi="Arial" w:cs="Arial"/>
        </w:rPr>
        <w:t>m</w:t>
      </w:r>
      <w:r w:rsidRPr="0083037E">
        <w:rPr>
          <w:rFonts w:ascii="Arial" w:hAnsi="Arial" w:cs="Arial"/>
        </w:rPr>
        <w:t>atriz 1 de cada documento tipo, y si en consecuencia deben aplicarse o no determinados documentos tipo, conforme a los parámetros indicados en este concepto</w:t>
      </w:r>
      <w:r w:rsidR="0034715B" w:rsidRPr="0083037E">
        <w:rPr>
          <w:rFonts w:ascii="Arial" w:hAnsi="Arial" w:cs="Arial"/>
        </w:rPr>
        <w:t>. Lo anterior s</w:t>
      </w:r>
      <w:r w:rsidRPr="0083037E">
        <w:rPr>
          <w:rFonts w:ascii="Arial" w:hAnsi="Arial" w:cs="Arial"/>
        </w:rPr>
        <w:t xml:space="preserve">in que pueda apartarse de su aplicación cuando materialmente el objeto a contratar corresponde con alguna actividad contemplada </w:t>
      </w:r>
      <w:r w:rsidRPr="0083037E">
        <w:rPr>
          <w:rFonts w:ascii="Arial" w:hAnsi="Arial" w:cs="Arial"/>
        </w:rPr>
        <w:lastRenderedPageBreak/>
        <w:t>en dicha matriz.</w:t>
      </w:r>
      <w:r w:rsidR="00AD689A" w:rsidRPr="0083037E">
        <w:rPr>
          <w:rFonts w:ascii="Arial" w:hAnsi="Arial" w:cs="Arial"/>
        </w:rPr>
        <w:t xml:space="preserve"> Adicionalmente, la entidad estatal debe </w:t>
      </w:r>
      <w:r w:rsidR="009E7B6A" w:rsidRPr="0083037E">
        <w:rPr>
          <w:rFonts w:ascii="Arial" w:hAnsi="Arial" w:cs="Arial"/>
        </w:rPr>
        <w:t>garantizar el principio de selección objetiva, en los términos del artículo 5 de la Ley 1150 de 2007, al momento de definir la experiencia exigible en el procedimiento de selección.</w:t>
      </w:r>
      <w:r w:rsidRPr="0083037E">
        <w:rPr>
          <w:rFonts w:ascii="Arial" w:hAnsi="Arial" w:cs="Arial"/>
        </w:rPr>
        <w:t xml:space="preserve"> </w:t>
      </w:r>
    </w:p>
    <w:p w14:paraId="51A941CD" w14:textId="77777777" w:rsidR="00300E95" w:rsidRPr="0083037E" w:rsidRDefault="00300E95" w:rsidP="005B6262">
      <w:pPr>
        <w:spacing w:line="276" w:lineRule="auto"/>
        <w:jc w:val="both"/>
        <w:rPr>
          <w:rFonts w:ascii="Arial" w:hAnsi="Arial" w:cs="Arial"/>
          <w:color w:val="000000"/>
        </w:rPr>
      </w:pPr>
    </w:p>
    <w:p w14:paraId="1AFFF24B" w14:textId="74C8F312" w:rsidR="00B749D1" w:rsidRPr="0083037E" w:rsidRDefault="00B749D1" w:rsidP="005B6262">
      <w:pPr>
        <w:spacing w:line="276" w:lineRule="auto"/>
        <w:jc w:val="both"/>
        <w:rPr>
          <w:rFonts w:ascii="Arial" w:eastAsia="Calibri" w:hAnsi="Arial" w:cs="Arial"/>
          <w:b/>
        </w:rPr>
      </w:pPr>
      <w:r w:rsidRPr="0083037E">
        <w:rPr>
          <w:rFonts w:ascii="Arial" w:eastAsia="Calibri" w:hAnsi="Arial" w:cs="Arial"/>
          <w:b/>
        </w:rPr>
        <w:t xml:space="preserve">3. Respuesta </w:t>
      </w:r>
    </w:p>
    <w:p w14:paraId="388C9EB0" w14:textId="77777777" w:rsidR="00FA7C56" w:rsidRPr="0083037E" w:rsidRDefault="00FA7C56" w:rsidP="00FA7C56">
      <w:pPr>
        <w:spacing w:line="276" w:lineRule="auto"/>
        <w:ind w:left="709" w:right="709"/>
        <w:jc w:val="center"/>
        <w:rPr>
          <w:rFonts w:ascii="Arial" w:hAnsi="Arial" w:cs="Arial"/>
          <w:sz w:val="21"/>
          <w:szCs w:val="21"/>
        </w:rPr>
      </w:pPr>
    </w:p>
    <w:p w14:paraId="7F302FE9" w14:textId="77777777" w:rsidR="005A5B88" w:rsidRPr="0083037E" w:rsidRDefault="005A5B88" w:rsidP="005A5B88">
      <w:pPr>
        <w:ind w:left="709" w:right="709"/>
        <w:jc w:val="both"/>
        <w:rPr>
          <w:rFonts w:ascii="Arial" w:eastAsia="Calibri" w:hAnsi="Arial" w:cs="Arial"/>
          <w:bCs/>
          <w:sz w:val="21"/>
          <w:szCs w:val="21"/>
        </w:rPr>
      </w:pPr>
      <w:r w:rsidRPr="0083037E">
        <w:rPr>
          <w:rFonts w:ascii="Arial" w:eastAsia="Calibri" w:hAnsi="Arial" w:cs="Arial"/>
          <w:bCs/>
          <w:sz w:val="21"/>
          <w:szCs w:val="21"/>
        </w:rPr>
        <w:t>«De acuerdo a los Documentos Tipo de Consultoría de Estudios de Ingeniería de Infraestructura de Trasporte, específicamente sobre la matriz de experiencia, solicitamos por favor aclarar con que criterios las Entidades solicitan la experiencia general y especifica de cada uno de los procesos que publican de acuerdo a la matriz de experiencia. igualmente si existe alguna directriz de Colombia Compra Eficiente para que las entidades soliciten una experiencia determinada» (sic).</w:t>
      </w:r>
    </w:p>
    <w:p w14:paraId="5C43271C" w14:textId="77777777" w:rsidR="00FA7C56" w:rsidRPr="0083037E" w:rsidRDefault="00FA7C56" w:rsidP="00FA7C56">
      <w:pPr>
        <w:spacing w:line="276" w:lineRule="auto"/>
        <w:ind w:left="709" w:right="709"/>
        <w:jc w:val="both"/>
        <w:rPr>
          <w:rFonts w:ascii="Arial" w:eastAsia="Calibri" w:hAnsi="Arial" w:cs="Arial"/>
          <w:b/>
          <w:sz w:val="21"/>
          <w:szCs w:val="21"/>
        </w:rPr>
      </w:pPr>
    </w:p>
    <w:p w14:paraId="030525EC" w14:textId="57007407" w:rsidR="00A219D6" w:rsidRPr="0083037E" w:rsidRDefault="00A03470" w:rsidP="00384643">
      <w:pPr>
        <w:spacing w:before="120" w:line="276" w:lineRule="auto"/>
        <w:ind w:firstLine="709"/>
        <w:jc w:val="both"/>
        <w:rPr>
          <w:rFonts w:ascii="Arial" w:hAnsi="Arial" w:cs="Arial"/>
          <w:color w:val="000000" w:themeColor="text1"/>
        </w:rPr>
      </w:pPr>
      <w:r w:rsidRPr="0083037E">
        <w:rPr>
          <w:rFonts w:ascii="Arial" w:hAnsi="Arial" w:cs="Arial"/>
          <w:color w:val="000000" w:themeColor="text1"/>
        </w:rPr>
        <w:t>L</w:t>
      </w:r>
      <w:r w:rsidR="00A219D6" w:rsidRPr="0083037E">
        <w:rPr>
          <w:rFonts w:ascii="Arial" w:hAnsi="Arial" w:cs="Arial"/>
          <w:color w:val="000000" w:themeColor="text1"/>
        </w:rPr>
        <w:t xml:space="preserve">a Matriz 1 </w:t>
      </w:r>
      <w:r w:rsidR="00317EF7" w:rsidRPr="0083037E">
        <w:rPr>
          <w:rFonts w:ascii="Arial" w:hAnsi="Arial" w:cs="Arial"/>
          <w:color w:val="000000" w:themeColor="text1"/>
        </w:rPr>
        <w:t xml:space="preserve">de los documentos tipo de consultoría de estudios de ingeniería de infraestructura de transporte </w:t>
      </w:r>
      <w:r w:rsidR="00A219D6" w:rsidRPr="0083037E">
        <w:rPr>
          <w:rFonts w:ascii="Arial" w:hAnsi="Arial" w:cs="Arial"/>
          <w:color w:val="000000" w:themeColor="text1"/>
        </w:rPr>
        <w:t>contempla ocho tipos de consultorías generales a saber: i) consultoría para obras en vías primarias o secundarias; ii) consultoría para obras en vías terciarias; iii) consultoría para obras marítimas y fluviales; iv) consultoría para obras en vías primarias o secundarias o terciarias o urbanas para atención, prevención o mitigación de emergencias diferentes a contratación directa; v) consultoría para obras férreas; vi) consultoría para obras de infraestructura vial urbana; vii) consultoría para obras en puentes; viii) consultoría para obras aeroportuarias.</w:t>
      </w:r>
      <w:r w:rsidR="00384643" w:rsidRPr="0083037E">
        <w:rPr>
          <w:rFonts w:ascii="Arial" w:hAnsi="Arial" w:cs="Arial"/>
          <w:color w:val="000000" w:themeColor="text1"/>
        </w:rPr>
        <w:t xml:space="preserve"> Dentro de cada una de ellas se establecen las actividades a contratar más precisas que hacen parte de ellas, estableciéndose los requisitos de experiencia respectivos. Además, l</w:t>
      </w:r>
      <w:r w:rsidR="00A219D6" w:rsidRPr="0083037E">
        <w:rPr>
          <w:rFonts w:ascii="Arial" w:hAnsi="Arial" w:cs="Arial"/>
          <w:color w:val="000000" w:themeColor="text1"/>
        </w:rPr>
        <w:t>a Matriz 1 establece las «Reglas para definir la experiencia exigible en el proceso de contratación», así:</w:t>
      </w:r>
    </w:p>
    <w:p w14:paraId="778C923E" w14:textId="77777777" w:rsidR="00A219D6" w:rsidRPr="0083037E" w:rsidRDefault="00A219D6" w:rsidP="00A219D6">
      <w:pPr>
        <w:ind w:left="709" w:right="709"/>
        <w:jc w:val="both"/>
        <w:rPr>
          <w:rFonts w:ascii="Arial" w:hAnsi="Arial" w:cs="Arial"/>
          <w:color w:val="000000" w:themeColor="text1"/>
          <w:sz w:val="21"/>
          <w:szCs w:val="21"/>
        </w:rPr>
      </w:pPr>
      <w:r w:rsidRPr="0083037E">
        <w:rPr>
          <w:rFonts w:ascii="Arial" w:hAnsi="Arial" w:cs="Arial"/>
          <w:color w:val="000000" w:themeColor="text1"/>
          <w:sz w:val="21"/>
          <w:szCs w:val="21"/>
        </w:rPr>
        <w:t xml:space="preserve">A la entidad estatal le corresponde definir la experiencia general y la experiencia específica del proceso de contratación, de acuerdo con la Matriz 1 – Experiencia, teniendo en cuenta las siguientes reglas: </w:t>
      </w:r>
    </w:p>
    <w:p w14:paraId="66D3479D" w14:textId="77777777" w:rsidR="00A219D6" w:rsidRPr="0083037E" w:rsidRDefault="00A219D6" w:rsidP="00A219D6">
      <w:pPr>
        <w:ind w:left="709" w:right="709" w:firstLine="709"/>
        <w:jc w:val="both"/>
        <w:rPr>
          <w:rFonts w:ascii="Arial" w:hAnsi="Arial" w:cs="Arial"/>
          <w:color w:val="000000" w:themeColor="text1"/>
          <w:sz w:val="21"/>
          <w:szCs w:val="21"/>
        </w:rPr>
      </w:pPr>
    </w:p>
    <w:p w14:paraId="526F42F4" w14:textId="77777777" w:rsidR="00A219D6" w:rsidRPr="0083037E" w:rsidRDefault="00A219D6" w:rsidP="00A219D6">
      <w:pPr>
        <w:ind w:left="709" w:right="709"/>
        <w:jc w:val="both"/>
        <w:rPr>
          <w:rFonts w:ascii="Arial" w:hAnsi="Arial" w:cs="Arial"/>
          <w:color w:val="000000" w:themeColor="text1"/>
          <w:sz w:val="21"/>
          <w:szCs w:val="21"/>
        </w:rPr>
      </w:pPr>
      <w:r w:rsidRPr="0083037E">
        <w:rPr>
          <w:rFonts w:ascii="Arial" w:hAnsi="Arial" w:cs="Arial"/>
          <w:color w:val="000000" w:themeColor="text1"/>
          <w:sz w:val="21"/>
          <w:szCs w:val="21"/>
        </w:rPr>
        <w:t>i) La Entidad Estatal no puede modificar, omitir o adicionar las actividades de la experiencia general y especifica definidas en la Matriz 1 – Experiencia para cada «actividad a contratar». Igual previsión aplica para el «% DE DIMENSIONAMIENTO (Según la longitud requerida en el proceso de contratación)».</w:t>
      </w:r>
    </w:p>
    <w:p w14:paraId="11685A38" w14:textId="77777777" w:rsidR="00A219D6" w:rsidRPr="0083037E" w:rsidRDefault="00A219D6" w:rsidP="00A219D6">
      <w:pPr>
        <w:ind w:left="709" w:right="709" w:firstLine="709"/>
        <w:jc w:val="both"/>
        <w:rPr>
          <w:rFonts w:ascii="Arial" w:hAnsi="Arial" w:cs="Arial"/>
          <w:color w:val="000000" w:themeColor="text1"/>
          <w:sz w:val="21"/>
          <w:szCs w:val="21"/>
        </w:rPr>
      </w:pPr>
    </w:p>
    <w:p w14:paraId="6B59C612" w14:textId="77777777" w:rsidR="00A219D6" w:rsidRPr="0083037E" w:rsidRDefault="00A219D6" w:rsidP="00A219D6">
      <w:pPr>
        <w:ind w:left="709" w:right="709"/>
        <w:jc w:val="both"/>
        <w:rPr>
          <w:rFonts w:ascii="Arial" w:hAnsi="Arial" w:cs="Arial"/>
          <w:color w:val="000000" w:themeColor="text1"/>
          <w:sz w:val="21"/>
          <w:szCs w:val="21"/>
        </w:rPr>
      </w:pPr>
      <w:r w:rsidRPr="0083037E">
        <w:rPr>
          <w:rFonts w:ascii="Arial" w:hAnsi="Arial" w:cs="Arial"/>
          <w:color w:val="000000" w:themeColor="text1"/>
          <w:sz w:val="21"/>
          <w:szCs w:val="21"/>
        </w:rPr>
        <w:t xml:space="preserve">ii) «Experiencia General»: la experiencia general que solicite la entidad debe respetar toda la descripción prevista en la «Matriz 1 – Experiencia» para la «actividad a contratar», incluidas las Notas aclaratorias. </w:t>
      </w:r>
    </w:p>
    <w:p w14:paraId="6E10956D" w14:textId="77777777" w:rsidR="00A219D6" w:rsidRPr="0083037E" w:rsidRDefault="00A219D6" w:rsidP="00A219D6">
      <w:pPr>
        <w:ind w:left="709" w:right="709" w:firstLine="709"/>
        <w:jc w:val="both"/>
        <w:rPr>
          <w:rFonts w:ascii="Arial" w:hAnsi="Arial" w:cs="Arial"/>
          <w:color w:val="000000" w:themeColor="text1"/>
          <w:sz w:val="21"/>
          <w:szCs w:val="21"/>
        </w:rPr>
      </w:pPr>
    </w:p>
    <w:p w14:paraId="0D415E3A" w14:textId="77777777" w:rsidR="00A219D6" w:rsidRPr="0083037E" w:rsidRDefault="00A219D6" w:rsidP="00A219D6">
      <w:pPr>
        <w:ind w:left="709" w:right="709"/>
        <w:jc w:val="both"/>
        <w:rPr>
          <w:rFonts w:ascii="Arial" w:hAnsi="Arial" w:cs="Arial"/>
          <w:color w:val="000000" w:themeColor="text1"/>
          <w:sz w:val="21"/>
          <w:szCs w:val="21"/>
        </w:rPr>
      </w:pPr>
      <w:r w:rsidRPr="0083037E">
        <w:rPr>
          <w:rFonts w:ascii="Arial" w:hAnsi="Arial" w:cs="Arial"/>
          <w:color w:val="000000" w:themeColor="text1"/>
          <w:sz w:val="21"/>
          <w:szCs w:val="21"/>
        </w:rPr>
        <w:t xml:space="preserve">iii) «Experiencia Específica»: la entidad debe solicitar experiencia especifica cuando la «Matriz 1 – Experiencia» lo exija, teniendo en cuenta las siguientes variables: a) «tipo de infraestructura», b) «actividad a contratar» y c) «cuantías del proceso de contratación». </w:t>
      </w:r>
    </w:p>
    <w:p w14:paraId="1FC892A4" w14:textId="77777777" w:rsidR="00A219D6" w:rsidRPr="0083037E" w:rsidRDefault="00A219D6" w:rsidP="00A219D6">
      <w:pPr>
        <w:ind w:left="709" w:right="709" w:firstLine="709"/>
        <w:jc w:val="both"/>
        <w:rPr>
          <w:rFonts w:ascii="Arial" w:hAnsi="Arial" w:cs="Arial"/>
          <w:color w:val="000000" w:themeColor="text1"/>
          <w:sz w:val="21"/>
          <w:szCs w:val="21"/>
        </w:rPr>
      </w:pPr>
    </w:p>
    <w:p w14:paraId="6CAE6090" w14:textId="77777777" w:rsidR="00A219D6" w:rsidRPr="0083037E" w:rsidRDefault="00A219D6" w:rsidP="00A219D6">
      <w:pPr>
        <w:ind w:left="709" w:right="709"/>
        <w:jc w:val="both"/>
        <w:rPr>
          <w:rFonts w:ascii="Arial" w:hAnsi="Arial" w:cs="Arial"/>
          <w:color w:val="000000" w:themeColor="text1"/>
          <w:sz w:val="21"/>
          <w:szCs w:val="21"/>
        </w:rPr>
      </w:pPr>
      <w:r w:rsidRPr="0083037E">
        <w:rPr>
          <w:rFonts w:ascii="Arial" w:hAnsi="Arial" w:cs="Arial"/>
          <w:color w:val="000000" w:themeColor="text1"/>
          <w:sz w:val="21"/>
          <w:szCs w:val="21"/>
        </w:rPr>
        <w:t>iv)  Cuando el objeto del proceso de contratación contemple la ejecución de una sola «actividad a contratar», la entidad estatal, de acuerdo con la «Matriz 1 – Experiencia», tendrá qué solicitar la experiencia general y la experiencia específica, cuando la cuantía del proceso de contratación lo exija acorde con el «rango en SMMLV del proceso de contratación». Es decir, en este caso la entidad tiene que solicitar tanto la experiencia general como la experiencia específica en las condiciones previstas en la «Matriz 1- Experiencia» para la correspondiente actividad a contratar y solo prescindirá de la experiencia especifica cuando la «Matriz 1- Experiencia» así lo indique.</w:t>
      </w:r>
    </w:p>
    <w:p w14:paraId="78BB5CFC" w14:textId="77777777" w:rsidR="00A219D6" w:rsidRPr="0083037E" w:rsidRDefault="00A219D6" w:rsidP="00A219D6">
      <w:pPr>
        <w:ind w:left="709" w:right="709"/>
        <w:jc w:val="both"/>
        <w:rPr>
          <w:rFonts w:ascii="Arial" w:hAnsi="Arial" w:cs="Arial"/>
          <w:color w:val="000000" w:themeColor="text1"/>
          <w:sz w:val="21"/>
          <w:szCs w:val="21"/>
        </w:rPr>
      </w:pPr>
    </w:p>
    <w:p w14:paraId="46EB264F" w14:textId="77777777" w:rsidR="00A219D6" w:rsidRPr="0083037E" w:rsidRDefault="00A219D6" w:rsidP="00A219D6">
      <w:pPr>
        <w:ind w:left="709" w:right="709"/>
        <w:jc w:val="both"/>
        <w:rPr>
          <w:rFonts w:ascii="Arial" w:hAnsi="Arial" w:cs="Arial"/>
          <w:color w:val="000000" w:themeColor="text1"/>
          <w:sz w:val="21"/>
          <w:szCs w:val="21"/>
        </w:rPr>
      </w:pPr>
      <w:r w:rsidRPr="0083037E">
        <w:rPr>
          <w:rFonts w:ascii="Arial" w:hAnsi="Arial" w:cs="Arial"/>
          <w:color w:val="000000" w:themeColor="text1"/>
          <w:sz w:val="21"/>
          <w:szCs w:val="21"/>
        </w:rPr>
        <w:t xml:space="preserve">v)  Para identificar la experiencia exigible de un proceso de contratación, la entidad estatal debe tener en cuenta: i) el alcance del objeto a contratar, ii) el tipo de infraestructura, iii) las actividades a contratar definidas en la Matriz 1- Experiencia y iv) la cuantía del proceso de contratación. Por lo tanto, debe seguir los siguientes pasos: </w:t>
      </w:r>
    </w:p>
    <w:p w14:paraId="46297ACB" w14:textId="77777777" w:rsidR="00A219D6" w:rsidRPr="0083037E" w:rsidRDefault="00A219D6" w:rsidP="00A219D6">
      <w:pPr>
        <w:ind w:left="709" w:right="709" w:firstLine="709"/>
        <w:jc w:val="both"/>
        <w:rPr>
          <w:rFonts w:ascii="Arial" w:hAnsi="Arial" w:cs="Arial"/>
          <w:color w:val="000000" w:themeColor="text1"/>
          <w:sz w:val="21"/>
          <w:szCs w:val="21"/>
        </w:rPr>
      </w:pPr>
    </w:p>
    <w:p w14:paraId="40588C45" w14:textId="77777777" w:rsidR="00A219D6" w:rsidRPr="0083037E" w:rsidRDefault="00A219D6" w:rsidP="00A219D6">
      <w:pPr>
        <w:ind w:left="709" w:right="709"/>
        <w:jc w:val="both"/>
        <w:rPr>
          <w:rFonts w:ascii="Arial" w:hAnsi="Arial" w:cs="Arial"/>
          <w:color w:val="000000" w:themeColor="text1"/>
          <w:sz w:val="21"/>
          <w:szCs w:val="21"/>
        </w:rPr>
      </w:pPr>
      <w:r w:rsidRPr="0083037E">
        <w:rPr>
          <w:rFonts w:ascii="Arial" w:hAnsi="Arial" w:cs="Arial"/>
          <w:color w:val="000000" w:themeColor="text1"/>
          <w:sz w:val="21"/>
          <w:szCs w:val="21"/>
        </w:rPr>
        <w:t xml:space="preserve">a) Identificar en la «Matriz 1- Experiencia», el tipo de infraestructura sobre el cual recae la consultoría a la obra pública. </w:t>
      </w:r>
    </w:p>
    <w:p w14:paraId="200A1AB2" w14:textId="77777777" w:rsidR="00A219D6" w:rsidRPr="0083037E" w:rsidRDefault="00A219D6" w:rsidP="00A219D6">
      <w:pPr>
        <w:ind w:left="709" w:right="709" w:firstLine="709"/>
        <w:jc w:val="both"/>
        <w:rPr>
          <w:rFonts w:ascii="Arial" w:hAnsi="Arial" w:cs="Arial"/>
          <w:color w:val="000000" w:themeColor="text1"/>
          <w:sz w:val="21"/>
          <w:szCs w:val="21"/>
        </w:rPr>
      </w:pPr>
    </w:p>
    <w:p w14:paraId="3EAEDA28" w14:textId="77777777" w:rsidR="00A219D6" w:rsidRPr="0083037E" w:rsidRDefault="00A219D6" w:rsidP="00A219D6">
      <w:pPr>
        <w:ind w:left="709" w:right="709"/>
        <w:jc w:val="both"/>
        <w:rPr>
          <w:rFonts w:ascii="Arial" w:hAnsi="Arial" w:cs="Arial"/>
          <w:color w:val="000000" w:themeColor="text1"/>
          <w:sz w:val="21"/>
          <w:szCs w:val="21"/>
        </w:rPr>
      </w:pPr>
      <w:r w:rsidRPr="0083037E">
        <w:rPr>
          <w:rFonts w:ascii="Arial" w:hAnsi="Arial" w:cs="Arial"/>
          <w:color w:val="000000" w:themeColor="text1"/>
          <w:sz w:val="21"/>
          <w:szCs w:val="21"/>
        </w:rPr>
        <w:t xml:space="preserve">b) Identificar la «ACTIVIDAD A CONTRATAR» acorde con la Matriz 1- Experiencia. </w:t>
      </w:r>
    </w:p>
    <w:p w14:paraId="54F412E9" w14:textId="77777777" w:rsidR="00A219D6" w:rsidRPr="0083037E" w:rsidRDefault="00A219D6" w:rsidP="00A219D6">
      <w:pPr>
        <w:ind w:left="709" w:right="709" w:firstLine="709"/>
        <w:jc w:val="both"/>
        <w:rPr>
          <w:rFonts w:ascii="Arial" w:hAnsi="Arial" w:cs="Arial"/>
          <w:color w:val="000000" w:themeColor="text1"/>
          <w:sz w:val="21"/>
          <w:szCs w:val="21"/>
        </w:rPr>
      </w:pPr>
    </w:p>
    <w:p w14:paraId="32866171" w14:textId="77777777" w:rsidR="00A219D6" w:rsidRPr="0083037E" w:rsidRDefault="00A219D6" w:rsidP="00A219D6">
      <w:pPr>
        <w:ind w:left="709" w:right="709"/>
        <w:jc w:val="both"/>
        <w:rPr>
          <w:rFonts w:ascii="Arial" w:hAnsi="Arial" w:cs="Arial"/>
          <w:color w:val="000000" w:themeColor="text1"/>
          <w:sz w:val="21"/>
          <w:szCs w:val="21"/>
        </w:rPr>
      </w:pPr>
      <w:r w:rsidRPr="0083037E">
        <w:rPr>
          <w:rFonts w:ascii="Arial" w:hAnsi="Arial" w:cs="Arial"/>
          <w:color w:val="000000" w:themeColor="text1"/>
          <w:sz w:val="21"/>
          <w:szCs w:val="21"/>
        </w:rPr>
        <w:t xml:space="preserve">c) Identificar el rango de las «Cuantías del proceso de contratación», de acuerdo con el presupuesto oficial. </w:t>
      </w:r>
    </w:p>
    <w:p w14:paraId="6854FBFF" w14:textId="77777777" w:rsidR="00A219D6" w:rsidRPr="0083037E" w:rsidRDefault="00A219D6" w:rsidP="00A219D6">
      <w:pPr>
        <w:ind w:left="709" w:right="709" w:firstLine="709"/>
        <w:jc w:val="both"/>
        <w:rPr>
          <w:rFonts w:ascii="Arial" w:hAnsi="Arial" w:cs="Arial"/>
          <w:color w:val="000000" w:themeColor="text1"/>
          <w:sz w:val="21"/>
          <w:szCs w:val="21"/>
        </w:rPr>
      </w:pPr>
    </w:p>
    <w:p w14:paraId="1F545E93" w14:textId="77777777" w:rsidR="00A219D6" w:rsidRPr="0083037E" w:rsidRDefault="00A219D6" w:rsidP="00A219D6">
      <w:pPr>
        <w:ind w:left="709" w:right="709"/>
        <w:jc w:val="both"/>
        <w:rPr>
          <w:rFonts w:ascii="Arial" w:hAnsi="Arial" w:cs="Arial"/>
          <w:color w:val="000000" w:themeColor="text1"/>
          <w:sz w:val="21"/>
          <w:szCs w:val="21"/>
        </w:rPr>
      </w:pPr>
      <w:r w:rsidRPr="0083037E">
        <w:rPr>
          <w:rFonts w:ascii="Arial" w:hAnsi="Arial" w:cs="Arial"/>
          <w:color w:val="000000" w:themeColor="text1"/>
          <w:sz w:val="21"/>
          <w:szCs w:val="21"/>
        </w:rPr>
        <w:t xml:space="preserve">d) Identificar la «experiencia general» y la «experiencia específica» exigible acorde con la Matriz 1- Experiencia teniendo en cuenta la «actividad a contratar» y el rango de la cuantía del proceso de contratación. </w:t>
      </w:r>
    </w:p>
    <w:p w14:paraId="02BCE753" w14:textId="77777777" w:rsidR="00A219D6" w:rsidRPr="0083037E" w:rsidRDefault="00A219D6" w:rsidP="00A219D6">
      <w:pPr>
        <w:ind w:left="709" w:right="709" w:firstLine="709"/>
        <w:jc w:val="both"/>
        <w:rPr>
          <w:rFonts w:ascii="Arial" w:hAnsi="Arial" w:cs="Arial"/>
          <w:color w:val="000000" w:themeColor="text1"/>
          <w:sz w:val="21"/>
          <w:szCs w:val="21"/>
        </w:rPr>
      </w:pPr>
    </w:p>
    <w:p w14:paraId="24031E4A" w14:textId="77777777" w:rsidR="00A219D6" w:rsidRPr="0083037E" w:rsidRDefault="00A219D6" w:rsidP="00A219D6">
      <w:pPr>
        <w:ind w:left="709" w:right="709"/>
        <w:jc w:val="both"/>
        <w:rPr>
          <w:rFonts w:ascii="Arial" w:hAnsi="Arial" w:cs="Arial"/>
          <w:color w:val="000000" w:themeColor="text1"/>
          <w:sz w:val="21"/>
          <w:szCs w:val="21"/>
        </w:rPr>
      </w:pPr>
      <w:r w:rsidRPr="0083037E">
        <w:rPr>
          <w:rFonts w:ascii="Arial" w:hAnsi="Arial" w:cs="Arial"/>
          <w:color w:val="000000" w:themeColor="text1"/>
          <w:sz w:val="21"/>
          <w:szCs w:val="21"/>
        </w:rPr>
        <w:t xml:space="preserve">vi) Cuando el objeto del proceso de contratación contemple la ejecución de dos o más «Actividades a Contratar» (ej.: 1.1 y 7.1), la entidad tiene dos alternativas: a) solicitar únicamente la experiencia de la «actividad a contratar» de mayor relevancia de acuerdo con el objeto del contrato. La Entidad podrá analizar la relevancia en función del valor de las actividades o por la complejidad técnica; o b) solicitar la experiencia general y la experiencia específica de la «actividad a contratar» de mayor relevancia, y para las demás actividades a contratar requerir la experiencia específica de la correspondiente actividad. En el evento en que para las actividades a contratar, diferentes a la de mayor relevancia, la «Matriz 1- Experiencia» no contemple la experiencia específica, se podrá solicitar la experiencia general de la actividad, como específica. </w:t>
      </w:r>
    </w:p>
    <w:p w14:paraId="26ADCD23" w14:textId="77777777" w:rsidR="00A219D6" w:rsidRPr="0083037E" w:rsidRDefault="00A219D6" w:rsidP="00A219D6">
      <w:pPr>
        <w:ind w:left="709" w:right="709"/>
        <w:jc w:val="both"/>
        <w:rPr>
          <w:rFonts w:ascii="Arial" w:hAnsi="Arial" w:cs="Arial"/>
          <w:color w:val="000000" w:themeColor="text1"/>
          <w:sz w:val="21"/>
          <w:szCs w:val="21"/>
        </w:rPr>
      </w:pPr>
    </w:p>
    <w:p w14:paraId="74A3706F" w14:textId="77777777" w:rsidR="00A219D6" w:rsidRPr="0083037E" w:rsidRDefault="00A219D6" w:rsidP="00A219D6">
      <w:pPr>
        <w:ind w:left="709" w:right="709"/>
        <w:jc w:val="both"/>
        <w:rPr>
          <w:rFonts w:ascii="Arial" w:hAnsi="Arial" w:cs="Arial"/>
          <w:color w:val="000000" w:themeColor="text1"/>
          <w:sz w:val="21"/>
          <w:szCs w:val="21"/>
        </w:rPr>
      </w:pPr>
      <w:r w:rsidRPr="0083037E">
        <w:rPr>
          <w:rFonts w:ascii="Arial" w:hAnsi="Arial" w:cs="Arial"/>
          <w:color w:val="000000" w:themeColor="text1"/>
          <w:sz w:val="21"/>
          <w:szCs w:val="21"/>
        </w:rPr>
        <w:t>Tenga en cuenta que la experiencia se establecerá en función de la desagregación del valor de las actividades en los casos en los cuales sea procedente la combinación de actividades a contratar.</w:t>
      </w:r>
    </w:p>
    <w:p w14:paraId="3D1D3F6C" w14:textId="77777777" w:rsidR="00A219D6" w:rsidRPr="0083037E" w:rsidRDefault="00A219D6" w:rsidP="00A219D6">
      <w:pPr>
        <w:ind w:left="709" w:right="709"/>
        <w:jc w:val="both"/>
        <w:rPr>
          <w:rFonts w:ascii="Arial" w:hAnsi="Arial" w:cs="Arial"/>
          <w:color w:val="000000" w:themeColor="text1"/>
          <w:sz w:val="21"/>
          <w:szCs w:val="21"/>
        </w:rPr>
      </w:pPr>
    </w:p>
    <w:p w14:paraId="2616D7B2" w14:textId="77777777" w:rsidR="00A219D6" w:rsidRPr="0083037E" w:rsidRDefault="00A219D6" w:rsidP="00A219D6">
      <w:pPr>
        <w:ind w:left="709" w:right="709"/>
        <w:jc w:val="both"/>
        <w:rPr>
          <w:rFonts w:ascii="Arial" w:hAnsi="Arial" w:cs="Arial"/>
          <w:color w:val="000000" w:themeColor="text1"/>
          <w:sz w:val="21"/>
          <w:szCs w:val="21"/>
        </w:rPr>
      </w:pPr>
      <w:r w:rsidRPr="0083037E">
        <w:rPr>
          <w:rFonts w:ascii="Arial" w:hAnsi="Arial" w:cs="Arial"/>
          <w:color w:val="000000" w:themeColor="text1"/>
          <w:sz w:val="21"/>
          <w:szCs w:val="21"/>
        </w:rPr>
        <w:t>Adicionalmente, en los casos donde la Entidad opte por la exigencia de la experiencia específica para las actividades distintas a la de mayor relevancia, se deberá incluir la siguiente nota:</w:t>
      </w:r>
    </w:p>
    <w:p w14:paraId="555D89C0" w14:textId="77777777" w:rsidR="00A219D6" w:rsidRPr="0083037E" w:rsidRDefault="00A219D6" w:rsidP="00A219D6">
      <w:pPr>
        <w:ind w:left="709" w:right="709"/>
        <w:jc w:val="both"/>
        <w:rPr>
          <w:rFonts w:ascii="Arial" w:hAnsi="Arial" w:cs="Arial"/>
          <w:color w:val="000000" w:themeColor="text1"/>
          <w:sz w:val="21"/>
          <w:szCs w:val="21"/>
        </w:rPr>
      </w:pPr>
      <w:r w:rsidRPr="0083037E">
        <w:rPr>
          <w:rFonts w:ascii="Arial" w:hAnsi="Arial" w:cs="Arial"/>
          <w:color w:val="000000" w:themeColor="text1"/>
          <w:sz w:val="21"/>
          <w:szCs w:val="21"/>
        </w:rPr>
        <w:lastRenderedPageBreak/>
        <w:t>«Nota: Tenga en cuenta que la acreditación de las actividades de la Experiencia se podrá hacer a través de mínimo uno (1) y máximo (6) contratos. Para el caso de Experiencias combinadas, un Proponente podrá acreditar una o más actividades, con un contrato o con varios de forma independiente (</w:t>
      </w:r>
      <w:proofErr w:type="spellStart"/>
      <w:r w:rsidRPr="0083037E">
        <w:rPr>
          <w:rFonts w:ascii="Arial" w:hAnsi="Arial" w:cs="Arial"/>
          <w:color w:val="000000" w:themeColor="text1"/>
          <w:sz w:val="21"/>
          <w:szCs w:val="21"/>
        </w:rPr>
        <w:t>ej</w:t>
      </w:r>
      <w:proofErr w:type="spellEnd"/>
      <w:r w:rsidRPr="0083037E">
        <w:rPr>
          <w:rFonts w:ascii="Arial" w:hAnsi="Arial" w:cs="Arial"/>
          <w:color w:val="000000" w:themeColor="text1"/>
          <w:sz w:val="21"/>
          <w:szCs w:val="21"/>
        </w:rPr>
        <w:t>: un contrato que contemple construcción de vía con un paso a desnivel o un contrato que contemple construcción de vía y otro que contemple el paso a desnivel), situación que será verificada por la Entidad en la evaluación sin realizar desagregación por el valor de las actividades respecto al total del contrato».</w:t>
      </w:r>
    </w:p>
    <w:p w14:paraId="007A6C89" w14:textId="77777777" w:rsidR="00A219D6" w:rsidRPr="0083037E" w:rsidRDefault="00A219D6" w:rsidP="00A219D6">
      <w:pPr>
        <w:spacing w:line="276" w:lineRule="auto"/>
        <w:ind w:firstLine="708"/>
        <w:jc w:val="both"/>
        <w:rPr>
          <w:rFonts w:ascii="Arial" w:eastAsia="Calibri" w:hAnsi="Arial" w:cs="Arial"/>
          <w:color w:val="000000"/>
        </w:rPr>
      </w:pPr>
    </w:p>
    <w:p w14:paraId="5C21E345" w14:textId="77777777" w:rsidR="00DF173A" w:rsidRPr="0083037E" w:rsidRDefault="00DF173A" w:rsidP="00DF173A">
      <w:pPr>
        <w:spacing w:line="276" w:lineRule="auto"/>
        <w:ind w:firstLine="708"/>
        <w:jc w:val="both"/>
        <w:rPr>
          <w:rFonts w:ascii="Arial" w:eastAsia="Calibri" w:hAnsi="Arial" w:cs="Arial"/>
          <w:color w:val="000000"/>
        </w:rPr>
      </w:pPr>
      <w:r w:rsidRPr="0083037E">
        <w:rPr>
          <w:rFonts w:ascii="Arial" w:eastAsia="Calibri" w:hAnsi="Arial" w:cs="Arial"/>
          <w:color w:val="000000"/>
        </w:rPr>
        <w:t>Por su parte, el numeral 3.8 del documento base establece las «exigencias mínimas de la experiencia del proponente y la experiencia y formación académica del equipo de trabajo». De igual modo, el capítulo IV prevé la forma como se deben definir los «criterios de evaluación, asignación de puntaje y criterios de desempate». En tal sentido, el numeral 4.1. regula la «forma de verificación y asignación del puntaje por la experiencia del proponente». Allí se pueden encontrar los criterios que debe tener en cuenta la entidad para evaluar la experiencia general y específica. Como se observa, la Agencia Nacional de Contratación Pública – Colombia Compra Eficiente ha establecido en el documento tipo de consultoría de estudios de ingeniería de infraestructura de transporte los criterios rectores para exigir la experiencia en estos procedimientos de selección, lo cuales deben respetarse, en armonía con la regla de la inalterabilidad de los documentos tipo.</w:t>
      </w:r>
    </w:p>
    <w:p w14:paraId="73A278D1" w14:textId="7A467CD1" w:rsidR="00A219D6" w:rsidRPr="0083037E" w:rsidRDefault="00A219D6" w:rsidP="00440568">
      <w:pPr>
        <w:spacing w:before="120" w:line="276" w:lineRule="auto"/>
        <w:ind w:firstLine="709"/>
        <w:jc w:val="both"/>
        <w:rPr>
          <w:rFonts w:ascii="Arial" w:hAnsi="Arial" w:cs="Arial"/>
        </w:rPr>
      </w:pPr>
      <w:r w:rsidRPr="0083037E">
        <w:rPr>
          <w:rFonts w:ascii="Arial" w:eastAsia="Calibri" w:hAnsi="Arial" w:cs="Arial"/>
          <w:color w:val="000000"/>
        </w:rPr>
        <w:t>Sin perjuicio de las aclaraciones anteriores</w:t>
      </w:r>
      <w:r w:rsidRPr="0083037E">
        <w:rPr>
          <w:rFonts w:ascii="Arial" w:hAnsi="Arial" w:cs="Arial"/>
        </w:rPr>
        <w:t xml:space="preserve">,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contemplada en dicha matriz. Adicionalmente, la entidad estatal debe garantizar el principio de selección objetiva, en los términos del artículo 5 de la Ley 1150 de 2007, al momento de definir la experiencia exigible en el procedimiento de selección. </w:t>
      </w:r>
    </w:p>
    <w:p w14:paraId="346E3255" w14:textId="77777777" w:rsidR="005A5B88" w:rsidRPr="0083037E" w:rsidRDefault="005A5B88" w:rsidP="00B749D1">
      <w:pPr>
        <w:spacing w:line="276" w:lineRule="auto"/>
        <w:jc w:val="both"/>
        <w:rPr>
          <w:rFonts w:ascii="Arial" w:eastAsia="Calibri" w:hAnsi="Arial" w:cs="Arial"/>
          <w:color w:val="000000"/>
        </w:rPr>
      </w:pPr>
    </w:p>
    <w:p w14:paraId="79D99817" w14:textId="11C457EF" w:rsidR="00B749D1" w:rsidRPr="0083037E" w:rsidRDefault="00B749D1" w:rsidP="00B749D1">
      <w:pPr>
        <w:spacing w:line="276" w:lineRule="auto"/>
        <w:jc w:val="both"/>
        <w:rPr>
          <w:rFonts w:ascii="Arial" w:eastAsia="Calibri" w:hAnsi="Arial" w:cs="Arial"/>
          <w:color w:val="000000"/>
          <w:lang w:val="es-ES_tradnl"/>
        </w:rPr>
      </w:pPr>
      <w:r w:rsidRPr="0083037E">
        <w:rPr>
          <w:rFonts w:ascii="Arial" w:eastAsia="Calibri" w:hAnsi="Arial" w:cs="Arial"/>
          <w:color w:val="000000"/>
          <w:lang w:val="es-ES_tradnl"/>
        </w:rPr>
        <w:t>Este concepto tiene el alcance previsto en el artículo 28 del Código de Procedimiento Administrativo y de lo Contencioso Administrativo.</w:t>
      </w:r>
    </w:p>
    <w:p w14:paraId="2BACA7DD" w14:textId="77777777" w:rsidR="00B749D1" w:rsidRPr="0083037E" w:rsidRDefault="00B749D1" w:rsidP="00B749D1">
      <w:pPr>
        <w:spacing w:line="276" w:lineRule="auto"/>
        <w:jc w:val="both"/>
        <w:rPr>
          <w:rFonts w:ascii="Arial" w:hAnsi="Arial" w:cs="Arial"/>
          <w:color w:val="000000"/>
          <w:lang w:val="es-ES_tradnl" w:eastAsia="es-CO"/>
        </w:rPr>
      </w:pPr>
    </w:p>
    <w:p w14:paraId="19B0865B" w14:textId="77777777" w:rsidR="00B749D1" w:rsidRPr="0083037E" w:rsidRDefault="00B749D1" w:rsidP="00B749D1">
      <w:pPr>
        <w:spacing w:line="276" w:lineRule="auto"/>
        <w:jc w:val="both"/>
        <w:rPr>
          <w:rFonts w:ascii="Arial" w:hAnsi="Arial" w:cs="Arial"/>
          <w:color w:val="000000"/>
          <w:lang w:val="es-ES_tradnl" w:eastAsia="es-CO"/>
        </w:rPr>
      </w:pPr>
    </w:p>
    <w:p w14:paraId="241F05F6" w14:textId="77777777" w:rsidR="00B749D1" w:rsidRPr="0083037E" w:rsidRDefault="00B749D1" w:rsidP="00B749D1">
      <w:pPr>
        <w:spacing w:line="276" w:lineRule="auto"/>
        <w:jc w:val="both"/>
        <w:rPr>
          <w:rFonts w:ascii="Arial" w:hAnsi="Arial" w:cs="Arial"/>
          <w:color w:val="000000"/>
          <w:lang w:val="es-ES_tradnl" w:eastAsia="es-CO"/>
        </w:rPr>
      </w:pPr>
      <w:r w:rsidRPr="0083037E">
        <w:rPr>
          <w:rFonts w:ascii="Arial" w:hAnsi="Arial" w:cs="Arial"/>
          <w:color w:val="000000"/>
          <w:lang w:val="es-ES_tradnl" w:eastAsia="es-CO"/>
        </w:rPr>
        <w:t>Atentamente,</w:t>
      </w:r>
    </w:p>
    <w:p w14:paraId="29703175" w14:textId="77777777" w:rsidR="00F95017" w:rsidRPr="0083037E" w:rsidRDefault="00F95017" w:rsidP="00F95017">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50260C47" w14:textId="6445D6EC" w:rsidR="00F95017" w:rsidRPr="0083037E" w:rsidRDefault="00C56F57" w:rsidP="00C56F57">
      <w:pPr>
        <w:pStyle w:val="NormalWeb"/>
        <w:spacing w:before="0" w:beforeAutospacing="0" w:after="0" w:afterAutospacing="0" w:line="276" w:lineRule="auto"/>
        <w:jc w:val="center"/>
        <w:rPr>
          <w:color w:val="000000" w:themeColor="text1"/>
          <w:lang w:val="es-ES_tradnl"/>
        </w:rPr>
      </w:pPr>
      <w:r>
        <w:rPr>
          <w:noProof/>
        </w:rPr>
        <w:lastRenderedPageBreak/>
        <w:drawing>
          <wp:inline distT="0" distB="0" distL="0" distR="0" wp14:anchorId="665302FC" wp14:editId="19A662ED">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5EB1D12A" w14:textId="77777777" w:rsidR="00F95017" w:rsidRPr="0083037E" w:rsidRDefault="00F95017" w:rsidP="00F9501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95017" w:rsidRPr="0083037E" w14:paraId="46581942" w14:textId="77777777" w:rsidTr="000C1AFE">
        <w:trPr>
          <w:trHeight w:val="315"/>
        </w:trPr>
        <w:tc>
          <w:tcPr>
            <w:tcW w:w="812" w:type="dxa"/>
            <w:vAlign w:val="center"/>
            <w:hideMark/>
          </w:tcPr>
          <w:p w14:paraId="66B21C23" w14:textId="77777777" w:rsidR="00F95017" w:rsidRPr="0083037E" w:rsidRDefault="00F95017" w:rsidP="000C1AFE">
            <w:pPr>
              <w:jc w:val="both"/>
              <w:rPr>
                <w:rFonts w:ascii="Arial" w:hAnsi="Arial" w:cs="Arial"/>
                <w:color w:val="000000" w:themeColor="text1"/>
                <w:sz w:val="16"/>
                <w:szCs w:val="16"/>
                <w:lang w:val="es-ES_tradnl" w:eastAsia="es-ES"/>
              </w:rPr>
            </w:pPr>
            <w:r w:rsidRPr="0083037E">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9EE496C" w14:textId="77777777" w:rsidR="00F95017" w:rsidRPr="0083037E" w:rsidRDefault="00F95017" w:rsidP="000C1AFE">
            <w:pPr>
              <w:jc w:val="both"/>
              <w:rPr>
                <w:rFonts w:ascii="Arial" w:hAnsi="Arial" w:cs="Arial"/>
                <w:color w:val="000000" w:themeColor="text1"/>
                <w:sz w:val="16"/>
                <w:szCs w:val="16"/>
                <w:lang w:val="es-ES_tradnl" w:eastAsia="es-ES"/>
              </w:rPr>
            </w:pPr>
            <w:r w:rsidRPr="0083037E">
              <w:rPr>
                <w:rFonts w:ascii="Arial" w:hAnsi="Arial" w:cs="Arial"/>
                <w:color w:val="000000" w:themeColor="text1"/>
                <w:sz w:val="16"/>
                <w:szCs w:val="16"/>
                <w:lang w:val="es-ES_tradnl" w:eastAsia="es-ES"/>
              </w:rPr>
              <w:t>Cristian Andrés Díaz Díez</w:t>
            </w:r>
          </w:p>
          <w:p w14:paraId="2583A4DB" w14:textId="77777777" w:rsidR="00F95017" w:rsidRPr="0083037E" w:rsidRDefault="00F95017" w:rsidP="000C1AFE">
            <w:pPr>
              <w:jc w:val="both"/>
              <w:rPr>
                <w:rFonts w:ascii="Arial" w:hAnsi="Arial" w:cs="Arial"/>
                <w:color w:val="000000" w:themeColor="text1"/>
                <w:sz w:val="16"/>
                <w:szCs w:val="16"/>
                <w:lang w:val="es-ES_tradnl" w:eastAsia="es-ES"/>
              </w:rPr>
            </w:pPr>
            <w:r w:rsidRPr="0083037E">
              <w:rPr>
                <w:rFonts w:ascii="Arial" w:hAnsi="Arial" w:cs="Arial"/>
                <w:color w:val="000000" w:themeColor="text1"/>
                <w:sz w:val="16"/>
                <w:szCs w:val="16"/>
                <w:lang w:val="es-ES_tradnl" w:eastAsia="es-ES"/>
              </w:rPr>
              <w:t>Contratista de la Subdirección de Gestión Contractual</w:t>
            </w:r>
          </w:p>
        </w:tc>
      </w:tr>
      <w:tr w:rsidR="00F95017" w:rsidRPr="0083037E" w14:paraId="11D5E428" w14:textId="77777777" w:rsidTr="000C1AFE">
        <w:trPr>
          <w:trHeight w:val="330"/>
        </w:trPr>
        <w:tc>
          <w:tcPr>
            <w:tcW w:w="812" w:type="dxa"/>
            <w:vAlign w:val="center"/>
            <w:hideMark/>
          </w:tcPr>
          <w:p w14:paraId="3CCDDF8E" w14:textId="77777777" w:rsidR="00F95017" w:rsidRPr="0083037E" w:rsidRDefault="00F95017" w:rsidP="000C1AFE">
            <w:pPr>
              <w:jc w:val="both"/>
              <w:rPr>
                <w:rFonts w:ascii="Arial" w:hAnsi="Arial" w:cs="Arial"/>
                <w:color w:val="000000" w:themeColor="text1"/>
                <w:sz w:val="16"/>
                <w:szCs w:val="16"/>
                <w:lang w:val="es-ES_tradnl" w:eastAsia="es-ES"/>
              </w:rPr>
            </w:pPr>
            <w:r w:rsidRPr="0083037E">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106179D" w14:textId="77777777" w:rsidR="00F95017" w:rsidRPr="0083037E" w:rsidRDefault="00F95017" w:rsidP="000C1AFE">
            <w:pPr>
              <w:jc w:val="both"/>
              <w:rPr>
                <w:rFonts w:ascii="Arial" w:hAnsi="Arial" w:cs="Arial"/>
                <w:color w:val="000000" w:themeColor="text1"/>
                <w:sz w:val="16"/>
                <w:szCs w:val="16"/>
                <w:lang w:val="es-ES_tradnl" w:eastAsia="es-ES"/>
              </w:rPr>
            </w:pPr>
            <w:r w:rsidRPr="0083037E">
              <w:rPr>
                <w:rFonts w:ascii="Arial" w:hAnsi="Arial" w:cs="Arial"/>
                <w:color w:val="000000" w:themeColor="text1"/>
                <w:sz w:val="16"/>
                <w:szCs w:val="16"/>
                <w:lang w:val="es-ES_tradnl" w:eastAsia="es-ES"/>
              </w:rPr>
              <w:t>Sebastián Ramírez Grisales</w:t>
            </w:r>
          </w:p>
          <w:p w14:paraId="21C4B163" w14:textId="77777777" w:rsidR="00F95017" w:rsidRPr="0083037E" w:rsidRDefault="00F95017" w:rsidP="000C1AFE">
            <w:pPr>
              <w:jc w:val="both"/>
              <w:rPr>
                <w:rFonts w:ascii="Arial" w:hAnsi="Arial" w:cs="Arial"/>
                <w:color w:val="000000" w:themeColor="text1"/>
                <w:sz w:val="16"/>
                <w:szCs w:val="16"/>
                <w:lang w:val="es-ES_tradnl" w:eastAsia="es-ES"/>
              </w:rPr>
            </w:pPr>
            <w:r w:rsidRPr="0083037E">
              <w:rPr>
                <w:rFonts w:ascii="Arial" w:hAnsi="Arial" w:cs="Arial"/>
                <w:color w:val="000000" w:themeColor="text1"/>
                <w:sz w:val="16"/>
                <w:szCs w:val="16"/>
                <w:lang w:val="es-ES_tradnl" w:eastAsia="es-ES"/>
              </w:rPr>
              <w:t xml:space="preserve">Contratista de la Subdirección de Gestión Contractual  </w:t>
            </w:r>
          </w:p>
        </w:tc>
      </w:tr>
      <w:tr w:rsidR="00F95017" w:rsidRPr="00494269" w14:paraId="14C9CC7B" w14:textId="77777777" w:rsidTr="000C1AFE">
        <w:trPr>
          <w:trHeight w:val="300"/>
        </w:trPr>
        <w:tc>
          <w:tcPr>
            <w:tcW w:w="812" w:type="dxa"/>
            <w:vAlign w:val="center"/>
            <w:hideMark/>
          </w:tcPr>
          <w:p w14:paraId="559E870E" w14:textId="77777777" w:rsidR="00F95017" w:rsidRPr="0083037E" w:rsidRDefault="00F95017" w:rsidP="000C1AFE">
            <w:pPr>
              <w:jc w:val="both"/>
              <w:rPr>
                <w:rFonts w:ascii="Arial" w:hAnsi="Arial" w:cs="Arial"/>
                <w:color w:val="000000" w:themeColor="text1"/>
                <w:sz w:val="16"/>
                <w:szCs w:val="16"/>
                <w:lang w:val="es-ES_tradnl" w:eastAsia="es-ES"/>
              </w:rPr>
            </w:pPr>
            <w:r w:rsidRPr="0083037E">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DB00A97" w14:textId="77777777" w:rsidR="00F95017" w:rsidRPr="0083037E" w:rsidRDefault="00F95017" w:rsidP="000C1AFE">
            <w:pPr>
              <w:jc w:val="both"/>
              <w:rPr>
                <w:rFonts w:ascii="Arial" w:hAnsi="Arial" w:cs="Arial"/>
                <w:color w:val="000000" w:themeColor="text1"/>
                <w:sz w:val="16"/>
                <w:szCs w:val="16"/>
                <w:lang w:val="es-ES_tradnl" w:eastAsia="es-ES"/>
              </w:rPr>
            </w:pPr>
            <w:r w:rsidRPr="0083037E">
              <w:rPr>
                <w:rFonts w:ascii="Arial" w:hAnsi="Arial" w:cs="Arial"/>
                <w:color w:val="000000" w:themeColor="text1"/>
                <w:sz w:val="16"/>
                <w:szCs w:val="16"/>
                <w:lang w:val="es-ES_tradnl" w:eastAsia="es-ES"/>
              </w:rPr>
              <w:t>Jorge Augusto Tirado Navarro</w:t>
            </w:r>
          </w:p>
          <w:p w14:paraId="259308EA" w14:textId="77777777" w:rsidR="00F95017" w:rsidRPr="00494269" w:rsidRDefault="00F95017" w:rsidP="000C1AFE">
            <w:pPr>
              <w:jc w:val="both"/>
              <w:rPr>
                <w:rFonts w:ascii="Arial" w:hAnsi="Arial" w:cs="Arial"/>
                <w:color w:val="000000" w:themeColor="text1"/>
                <w:sz w:val="16"/>
                <w:szCs w:val="16"/>
                <w:lang w:val="es-ES_tradnl" w:eastAsia="es-ES"/>
              </w:rPr>
            </w:pPr>
            <w:r w:rsidRPr="0083037E">
              <w:rPr>
                <w:rFonts w:ascii="Arial" w:hAnsi="Arial" w:cs="Arial"/>
                <w:color w:val="000000" w:themeColor="text1"/>
                <w:sz w:val="16"/>
                <w:szCs w:val="16"/>
                <w:lang w:val="es-ES_tradnl" w:eastAsia="es-ES"/>
              </w:rPr>
              <w:t>Subdirector de Gestión Contractual ANCP – CCE</w:t>
            </w:r>
          </w:p>
        </w:tc>
      </w:tr>
    </w:tbl>
    <w:p w14:paraId="187B258D" w14:textId="77777777" w:rsidR="00F95017" w:rsidRPr="00494269" w:rsidRDefault="00F95017" w:rsidP="00F95017">
      <w:pPr>
        <w:tabs>
          <w:tab w:val="left" w:pos="3795"/>
        </w:tabs>
        <w:rPr>
          <w:rFonts w:ascii="Arial" w:hAnsi="Arial" w:cs="Arial"/>
          <w:color w:val="000000" w:themeColor="text1"/>
          <w:lang w:val="es-ES_tradnl"/>
        </w:rPr>
      </w:pPr>
      <w:r w:rsidRPr="00494269">
        <w:rPr>
          <w:rFonts w:ascii="Arial" w:hAnsi="Arial" w:cs="Arial"/>
          <w:color w:val="000000" w:themeColor="text1"/>
          <w:lang w:val="es-ES_tradnl"/>
        </w:rPr>
        <w:tab/>
      </w:r>
    </w:p>
    <w:p w14:paraId="4B46E55A" w14:textId="77777777" w:rsidR="00B749D1" w:rsidRPr="00F95017" w:rsidRDefault="00B749D1">
      <w:pPr>
        <w:rPr>
          <w:lang w:val="es-ES_tradnl"/>
        </w:rPr>
      </w:pPr>
    </w:p>
    <w:sectPr w:rsidR="00B749D1" w:rsidRPr="00F95017">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EB352" w14:textId="77777777" w:rsidR="005A6BBE" w:rsidRDefault="005A6BBE" w:rsidP="00951D2A">
      <w:r>
        <w:separator/>
      </w:r>
    </w:p>
  </w:endnote>
  <w:endnote w:type="continuationSeparator" w:id="0">
    <w:p w14:paraId="3AC8B906" w14:textId="77777777" w:rsidR="005A6BBE" w:rsidRDefault="005A6BBE" w:rsidP="00951D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4A665" w14:textId="77777777" w:rsidR="00B922E8" w:rsidRDefault="00B922E8" w:rsidP="00951D2A">
    <w:pPr>
      <w:pStyle w:val="Piedepgina"/>
      <w:jc w:val="right"/>
      <w:rPr>
        <w:rFonts w:ascii="Arial" w:hAnsi="Arial" w:cs="Arial"/>
        <w:bCs/>
        <w:color w:val="7F7F7F" w:themeColor="text1" w:themeTint="80"/>
        <w:sz w:val="16"/>
        <w:szCs w:val="16"/>
      </w:rPr>
    </w:pPr>
  </w:p>
  <w:p w14:paraId="4150242A" w14:textId="55BBC4AB" w:rsidR="00951D2A" w:rsidRPr="008217B7" w:rsidRDefault="00951D2A" w:rsidP="00951D2A">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27</w:t>
    </w:r>
    <w:r w:rsidRPr="00084B97">
      <w:rPr>
        <w:rFonts w:ascii="Arial" w:hAnsi="Arial" w:cs="Arial"/>
        <w:b/>
        <w:bCs/>
        <w:color w:val="7F7F7F" w:themeColor="text1" w:themeTint="80"/>
        <w:sz w:val="16"/>
        <w:szCs w:val="16"/>
      </w:rPr>
      <w:fldChar w:fldCharType="end"/>
    </w:r>
  </w:p>
  <w:p w14:paraId="3A883BB8" w14:textId="77777777" w:rsidR="00951D2A" w:rsidRDefault="00951D2A" w:rsidP="00951D2A">
    <w:pPr>
      <w:pStyle w:val="Piedepgina"/>
      <w:jc w:val="center"/>
      <w:rPr>
        <w:lang w:val="es-ES"/>
      </w:rPr>
    </w:pPr>
    <w:r>
      <w:rPr>
        <w:noProof/>
        <w:lang w:val="en-US"/>
      </w:rPr>
      <w:drawing>
        <wp:inline distT="0" distB="0" distL="0" distR="0" wp14:anchorId="1767E13B" wp14:editId="073850AE">
          <wp:extent cx="3700130" cy="519139"/>
          <wp:effectExtent l="0" t="0" r="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8CADCF0" w14:textId="77777777" w:rsidR="00EA0A2C" w:rsidRDefault="00EA0A2C" w:rsidP="00951D2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D7B2BA" w14:textId="77777777" w:rsidR="005A6BBE" w:rsidRDefault="005A6BBE" w:rsidP="00951D2A">
      <w:r>
        <w:separator/>
      </w:r>
    </w:p>
  </w:footnote>
  <w:footnote w:type="continuationSeparator" w:id="0">
    <w:p w14:paraId="7CC99455" w14:textId="77777777" w:rsidR="005A6BBE" w:rsidRDefault="005A6BBE" w:rsidP="00951D2A">
      <w:r>
        <w:continuationSeparator/>
      </w:r>
    </w:p>
  </w:footnote>
  <w:footnote w:id="1">
    <w:p w14:paraId="6FD118FB" w14:textId="77777777" w:rsidR="00951D2A" w:rsidRPr="00A50054" w:rsidRDefault="00951D2A" w:rsidP="00A50054">
      <w:pPr>
        <w:pStyle w:val="Textonotapie"/>
        <w:ind w:firstLine="709"/>
        <w:jc w:val="both"/>
        <w:rPr>
          <w:rFonts w:ascii="Arial" w:hAnsi="Arial" w:cs="Arial"/>
          <w:color w:val="000000"/>
          <w:sz w:val="19"/>
          <w:szCs w:val="19"/>
          <w:lang w:val="es-CO"/>
        </w:rPr>
      </w:pPr>
      <w:r w:rsidRPr="00A50054">
        <w:rPr>
          <w:rStyle w:val="Refdenotaalpie"/>
          <w:rFonts w:ascii="Arial" w:hAnsi="Arial" w:cs="Arial"/>
          <w:color w:val="000000"/>
          <w:sz w:val="19"/>
          <w:szCs w:val="19"/>
        </w:rPr>
        <w:footnoteRef/>
      </w:r>
      <w:r w:rsidRPr="00A50054">
        <w:rPr>
          <w:rFonts w:ascii="Arial" w:hAnsi="Arial" w:cs="Arial"/>
          <w:color w:val="000000"/>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2">
    <w:p w14:paraId="43B84115" w14:textId="77777777" w:rsidR="00951D2A" w:rsidRPr="00A50054" w:rsidRDefault="00951D2A" w:rsidP="00A50054">
      <w:pPr>
        <w:pStyle w:val="Textonotapie"/>
        <w:ind w:firstLine="709"/>
        <w:jc w:val="both"/>
        <w:rPr>
          <w:rFonts w:ascii="Arial" w:hAnsi="Arial" w:cs="Arial"/>
          <w:color w:val="000000"/>
          <w:sz w:val="19"/>
          <w:szCs w:val="19"/>
        </w:rPr>
      </w:pPr>
      <w:r w:rsidRPr="00A50054">
        <w:rPr>
          <w:rStyle w:val="Refdenotaalpie"/>
          <w:rFonts w:ascii="Arial" w:hAnsi="Arial" w:cs="Arial"/>
          <w:color w:val="000000"/>
          <w:sz w:val="19"/>
          <w:szCs w:val="19"/>
        </w:rPr>
        <w:footnoteRef/>
      </w:r>
      <w:r w:rsidRPr="00A50054">
        <w:rPr>
          <w:rFonts w:ascii="Arial" w:hAnsi="Arial" w:cs="Arial"/>
          <w:color w:val="000000"/>
          <w:sz w:val="19"/>
          <w:szCs w:val="19"/>
        </w:rPr>
        <w:t xml:space="preserve"> </w:t>
      </w:r>
      <w:r w:rsidRPr="00A50054">
        <w:rPr>
          <w:rFonts w:ascii="Arial" w:hAnsi="Arial" w:cs="Arial"/>
          <w:color w:val="000000"/>
          <w:sz w:val="19"/>
          <w:szCs w:val="19"/>
          <w:lang w:val="es-CO"/>
        </w:rPr>
        <w:t xml:space="preserve">Ley 1882 de 2018: «Artículo 4. </w:t>
      </w:r>
      <w:r w:rsidRPr="00A50054">
        <w:rPr>
          <w:rFonts w:ascii="Arial" w:hAnsi="Arial" w:cs="Arial"/>
          <w:color w:val="000000"/>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0EA58BB0" w14:textId="77777777" w:rsidR="00951D2A" w:rsidRPr="00A50054" w:rsidRDefault="00951D2A" w:rsidP="00A50054">
      <w:pPr>
        <w:pStyle w:val="Textonotapie"/>
        <w:ind w:firstLine="709"/>
        <w:jc w:val="both"/>
        <w:rPr>
          <w:rFonts w:ascii="Arial" w:hAnsi="Arial" w:cs="Arial"/>
          <w:color w:val="000000"/>
          <w:sz w:val="19"/>
          <w:szCs w:val="19"/>
          <w:lang w:val="es-CO"/>
        </w:rPr>
      </w:pPr>
      <w:r w:rsidRPr="00A50054">
        <w:rPr>
          <w:rFonts w:ascii="Arial" w:hAnsi="Arial" w:cs="Arial"/>
          <w:color w:val="000000"/>
          <w:sz w:val="19"/>
          <w:szCs w:val="19"/>
          <w:lang w:val="es-CO"/>
        </w:rPr>
        <w:t>»La facultad de adoptar documentos tipo la tendrá el Gobierno nacional, cuando lo considere necesario, en relación con otros contratos o procesos de selección.</w:t>
      </w:r>
    </w:p>
    <w:p w14:paraId="7FEC963B" w14:textId="77777777" w:rsidR="00951D2A" w:rsidRPr="00A50054" w:rsidRDefault="00951D2A" w:rsidP="00A50054">
      <w:pPr>
        <w:pStyle w:val="Textonotapie"/>
        <w:ind w:firstLine="709"/>
        <w:jc w:val="both"/>
        <w:rPr>
          <w:rFonts w:ascii="Arial" w:hAnsi="Arial" w:cs="Arial"/>
          <w:color w:val="000000"/>
          <w:sz w:val="19"/>
          <w:szCs w:val="19"/>
          <w:lang w:val="es-CO"/>
        </w:rPr>
      </w:pPr>
      <w:r w:rsidRPr="00A50054">
        <w:rPr>
          <w:rFonts w:ascii="Arial" w:hAnsi="Arial" w:cs="Arial"/>
          <w:color w:val="000000"/>
          <w:sz w:val="19"/>
          <w:szCs w:val="19"/>
          <w:lang w:val="es-CO"/>
        </w:rPr>
        <w:t>»Los pliegos tipo se adoptarán por categorías de acuerdo con la cuantía de la contratación, según la reglamentación que expida el Gobierno nacional».</w:t>
      </w:r>
    </w:p>
    <w:p w14:paraId="324C5796" w14:textId="77777777" w:rsidR="00951D2A" w:rsidRPr="00A50054" w:rsidRDefault="00951D2A" w:rsidP="00A50054">
      <w:pPr>
        <w:pStyle w:val="Textonotapie"/>
        <w:ind w:firstLine="709"/>
        <w:jc w:val="both"/>
        <w:rPr>
          <w:rFonts w:ascii="Arial" w:hAnsi="Arial" w:cs="Arial"/>
          <w:color w:val="000000"/>
          <w:sz w:val="19"/>
          <w:szCs w:val="19"/>
          <w:lang w:val="es-CO"/>
        </w:rPr>
      </w:pPr>
    </w:p>
  </w:footnote>
  <w:footnote w:id="3">
    <w:p w14:paraId="35C8DC9A" w14:textId="77777777" w:rsidR="00951D2A" w:rsidRPr="00A50054" w:rsidRDefault="00951D2A" w:rsidP="00A50054">
      <w:pPr>
        <w:pStyle w:val="Textonotapie"/>
        <w:ind w:firstLine="709"/>
        <w:jc w:val="both"/>
        <w:rPr>
          <w:rFonts w:ascii="Arial" w:hAnsi="Arial" w:cs="Arial"/>
          <w:color w:val="000000"/>
          <w:sz w:val="19"/>
          <w:szCs w:val="19"/>
        </w:rPr>
      </w:pPr>
      <w:r w:rsidRPr="00A50054">
        <w:rPr>
          <w:rStyle w:val="Refdenotaalpie"/>
          <w:rFonts w:ascii="Arial" w:hAnsi="Arial" w:cs="Arial"/>
          <w:color w:val="000000"/>
          <w:sz w:val="19"/>
          <w:szCs w:val="19"/>
        </w:rPr>
        <w:footnoteRef/>
      </w:r>
      <w:r w:rsidRPr="00A50054">
        <w:rPr>
          <w:rFonts w:ascii="Arial" w:hAnsi="Arial" w:cs="Arial"/>
          <w:color w:val="000000"/>
          <w:sz w:val="19"/>
          <w:szCs w:val="19"/>
        </w:rPr>
        <w:t xml:space="preserve"> </w:t>
      </w:r>
      <w:r w:rsidRPr="00A50054">
        <w:rPr>
          <w:rFonts w:ascii="Arial" w:hAnsi="Arial" w:cs="Arial"/>
          <w:color w:val="000000"/>
          <w:sz w:val="19"/>
          <w:szCs w:val="19"/>
        </w:rPr>
        <w:t>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75C3C1E1" w14:textId="77777777" w:rsidR="00951D2A" w:rsidRPr="00A50054" w:rsidRDefault="00951D2A" w:rsidP="00A50054">
      <w:pPr>
        <w:pStyle w:val="Textonotapie"/>
        <w:ind w:firstLine="709"/>
        <w:jc w:val="both"/>
        <w:rPr>
          <w:rFonts w:ascii="Arial" w:hAnsi="Arial" w:cs="Arial"/>
          <w:color w:val="000000"/>
          <w:sz w:val="19"/>
          <w:szCs w:val="19"/>
        </w:rPr>
      </w:pPr>
    </w:p>
  </w:footnote>
  <w:footnote w:id="4">
    <w:p w14:paraId="71F1CEF2" w14:textId="77777777" w:rsidR="00951D2A" w:rsidRPr="00A50054" w:rsidRDefault="00951D2A" w:rsidP="00A50054">
      <w:pPr>
        <w:pStyle w:val="Textonotapie"/>
        <w:ind w:firstLine="709"/>
        <w:jc w:val="both"/>
        <w:rPr>
          <w:rFonts w:ascii="Arial" w:hAnsi="Arial" w:cs="Arial"/>
          <w:color w:val="000000"/>
          <w:sz w:val="19"/>
          <w:szCs w:val="19"/>
        </w:rPr>
      </w:pPr>
      <w:r w:rsidRPr="00A50054">
        <w:rPr>
          <w:rStyle w:val="Refdenotaalpie"/>
          <w:rFonts w:ascii="Arial" w:hAnsi="Arial" w:cs="Arial"/>
          <w:color w:val="000000"/>
          <w:sz w:val="19"/>
          <w:szCs w:val="19"/>
        </w:rPr>
        <w:footnoteRef/>
      </w:r>
      <w:r w:rsidRPr="00A50054">
        <w:rPr>
          <w:rFonts w:ascii="Arial" w:hAnsi="Arial" w:cs="Arial"/>
          <w:color w:val="000000"/>
          <w:sz w:val="19"/>
          <w:szCs w:val="19"/>
        </w:rPr>
        <w:t xml:space="preserve"> </w:t>
      </w:r>
      <w:r w:rsidRPr="00A50054">
        <w:rPr>
          <w:rFonts w:ascii="Arial" w:hAnsi="Arial" w:cs="Arial"/>
          <w:color w:val="000000"/>
          <w:sz w:val="19"/>
          <w:szCs w:val="19"/>
        </w:rPr>
        <w:t>«ARTÍCULO 1o. Modifíquese el artículo 4o de la Ley 1882 de 2018, el cual quedará así:</w:t>
      </w:r>
    </w:p>
    <w:p w14:paraId="649CFDA4" w14:textId="77777777" w:rsidR="00951D2A" w:rsidRPr="00A50054" w:rsidRDefault="00951D2A" w:rsidP="00A50054">
      <w:pPr>
        <w:pStyle w:val="Textonotapie"/>
        <w:ind w:firstLine="709"/>
        <w:jc w:val="both"/>
        <w:rPr>
          <w:rFonts w:ascii="Arial" w:hAnsi="Arial" w:cs="Arial"/>
          <w:color w:val="000000"/>
          <w:sz w:val="19"/>
          <w:szCs w:val="19"/>
        </w:rPr>
      </w:pPr>
      <w:r w:rsidRPr="00A50054">
        <w:rPr>
          <w:rFonts w:ascii="Arial" w:hAnsi="Arial" w:cs="Arial"/>
          <w:color w:val="000000"/>
          <w:sz w:val="19"/>
          <w:szCs w:val="19"/>
        </w:rPr>
        <w:t>»Artículo 4o. Adiciónese el siguiente parágrafo al artículo 2o de la Ley 1150 de 2007.</w:t>
      </w:r>
    </w:p>
    <w:p w14:paraId="75BB73C9" w14:textId="77777777" w:rsidR="00951D2A" w:rsidRPr="00A50054" w:rsidRDefault="00951D2A" w:rsidP="00A50054">
      <w:pPr>
        <w:pStyle w:val="Textonotapie"/>
        <w:ind w:firstLine="709"/>
        <w:jc w:val="both"/>
        <w:rPr>
          <w:rFonts w:ascii="Arial" w:hAnsi="Arial" w:cs="Arial"/>
          <w:color w:val="000000"/>
          <w:sz w:val="19"/>
          <w:szCs w:val="19"/>
        </w:rPr>
      </w:pPr>
      <w:r w:rsidRPr="00A50054">
        <w:rPr>
          <w:rFonts w:ascii="Arial" w:hAnsi="Arial" w:cs="Arial"/>
          <w:color w:val="000000"/>
          <w:sz w:val="19"/>
          <w:szCs w:val="19"/>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3355E5D9" w14:textId="77777777" w:rsidR="00951D2A" w:rsidRPr="00A50054" w:rsidRDefault="00951D2A" w:rsidP="00A50054">
      <w:pPr>
        <w:pStyle w:val="Textonotapie"/>
        <w:ind w:firstLine="709"/>
        <w:jc w:val="both"/>
        <w:rPr>
          <w:rFonts w:ascii="Arial" w:hAnsi="Arial" w:cs="Arial"/>
          <w:color w:val="000000"/>
          <w:sz w:val="19"/>
          <w:szCs w:val="19"/>
        </w:rPr>
      </w:pPr>
      <w:r w:rsidRPr="00A50054">
        <w:rPr>
          <w:rFonts w:ascii="Arial" w:hAnsi="Arial" w:cs="Arial"/>
          <w:color w:val="000000"/>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015F8B2E" w14:textId="77777777" w:rsidR="00951D2A" w:rsidRPr="00A50054" w:rsidRDefault="00951D2A" w:rsidP="00A50054">
      <w:pPr>
        <w:pStyle w:val="Textonotapie"/>
        <w:ind w:firstLine="709"/>
        <w:jc w:val="both"/>
        <w:rPr>
          <w:rFonts w:ascii="Arial" w:hAnsi="Arial" w:cs="Arial"/>
          <w:color w:val="000000"/>
          <w:sz w:val="19"/>
          <w:szCs w:val="19"/>
        </w:rPr>
      </w:pPr>
      <w:r w:rsidRPr="00A50054">
        <w:rPr>
          <w:rFonts w:ascii="Arial" w:hAnsi="Arial" w:cs="Arial"/>
          <w:color w:val="000000"/>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496B12EA" w14:textId="77777777" w:rsidR="00951D2A" w:rsidRPr="00A50054" w:rsidRDefault="00951D2A" w:rsidP="00A50054">
      <w:pPr>
        <w:pStyle w:val="Textonotapie"/>
        <w:ind w:firstLine="709"/>
        <w:jc w:val="both"/>
        <w:rPr>
          <w:rFonts w:ascii="Arial" w:hAnsi="Arial" w:cs="Arial"/>
          <w:color w:val="000000"/>
          <w:sz w:val="19"/>
          <w:szCs w:val="19"/>
        </w:rPr>
      </w:pPr>
      <w:r w:rsidRPr="00A50054">
        <w:rPr>
          <w:rFonts w:ascii="Arial" w:hAnsi="Arial" w:cs="Arial"/>
          <w:color w:val="000000"/>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2BC1857C" w14:textId="77777777" w:rsidR="00951D2A" w:rsidRPr="00A50054" w:rsidRDefault="00951D2A" w:rsidP="00A50054">
      <w:pPr>
        <w:pStyle w:val="Textonotapie"/>
        <w:ind w:firstLine="709"/>
        <w:jc w:val="both"/>
        <w:rPr>
          <w:rFonts w:ascii="Arial" w:hAnsi="Arial" w:cs="Arial"/>
          <w:color w:val="000000"/>
          <w:sz w:val="19"/>
          <w:szCs w:val="19"/>
          <w:lang w:val="es-CO"/>
        </w:rPr>
      </w:pPr>
      <w:r w:rsidRPr="00A50054">
        <w:rPr>
          <w:rFonts w:ascii="Arial" w:hAnsi="Arial" w:cs="Arial"/>
          <w:color w:val="000000"/>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5">
    <w:p w14:paraId="47AC4D3D" w14:textId="77777777" w:rsidR="00B944ED" w:rsidRPr="00A50054" w:rsidRDefault="00B944ED" w:rsidP="00A50054">
      <w:pPr>
        <w:pStyle w:val="Textonotapie"/>
        <w:ind w:firstLine="709"/>
        <w:jc w:val="both"/>
        <w:rPr>
          <w:rFonts w:ascii="Arial" w:hAnsi="Arial" w:cs="Arial"/>
          <w:sz w:val="19"/>
          <w:szCs w:val="19"/>
        </w:rPr>
      </w:pPr>
    </w:p>
    <w:p w14:paraId="6D5A42C2" w14:textId="135BE6A7" w:rsidR="00DC3578" w:rsidRPr="00A50054" w:rsidRDefault="00DC3578" w:rsidP="00A50054">
      <w:pPr>
        <w:pStyle w:val="Textonotapie"/>
        <w:ind w:firstLine="709"/>
        <w:jc w:val="both"/>
        <w:rPr>
          <w:rFonts w:ascii="Arial" w:hAnsi="Arial" w:cs="Arial"/>
          <w:sz w:val="19"/>
          <w:szCs w:val="19"/>
        </w:rPr>
      </w:pPr>
      <w:r w:rsidRPr="00A50054">
        <w:rPr>
          <w:rStyle w:val="Refdenotaalpie"/>
          <w:rFonts w:ascii="Arial" w:hAnsi="Arial" w:cs="Arial"/>
          <w:sz w:val="19"/>
          <w:szCs w:val="19"/>
        </w:rPr>
        <w:footnoteRef/>
      </w:r>
      <w:r w:rsidRPr="00A50054">
        <w:rPr>
          <w:rFonts w:ascii="Arial" w:hAnsi="Arial" w:cs="Arial"/>
          <w:sz w:val="19"/>
          <w:szCs w:val="19"/>
        </w:rPr>
        <w:t xml:space="preserve"> </w:t>
      </w:r>
      <w:r w:rsidRPr="00A50054">
        <w:rPr>
          <w:rFonts w:ascii="Arial" w:hAnsi="Arial" w:cs="Arial"/>
          <w:sz w:val="19"/>
          <w:szCs w:val="19"/>
        </w:rPr>
        <w:t xml:space="preserve">Se pueden consultar aquí: </w:t>
      </w:r>
      <w:r w:rsidR="00B944ED" w:rsidRPr="00A50054">
        <w:rPr>
          <w:rFonts w:ascii="Arial" w:hAnsi="Arial" w:cs="Arial"/>
          <w:sz w:val="19"/>
          <w:szCs w:val="19"/>
        </w:rPr>
        <w:t>https://www.colombiacompra.gov.co/content/documentos-tipo-de-consultoria-de-estudios-de-ingenieria-de-infraestructura-de-transporte</w:t>
      </w:r>
    </w:p>
  </w:footnote>
  <w:footnote w:id="6">
    <w:p w14:paraId="0BA2EEE5" w14:textId="77777777" w:rsidR="006A5B2F" w:rsidRPr="00A50054" w:rsidRDefault="006A5B2F" w:rsidP="00A50054">
      <w:pPr>
        <w:pStyle w:val="Textonotapie"/>
        <w:ind w:firstLine="709"/>
        <w:jc w:val="both"/>
        <w:rPr>
          <w:rFonts w:ascii="Arial" w:hAnsi="Arial" w:cs="Arial"/>
          <w:sz w:val="19"/>
          <w:szCs w:val="19"/>
          <w:lang w:val="es-CO"/>
        </w:rPr>
      </w:pPr>
      <w:r w:rsidRPr="00A50054">
        <w:rPr>
          <w:rStyle w:val="Refdenotaalpie"/>
          <w:rFonts w:ascii="Arial" w:hAnsi="Arial" w:cs="Arial"/>
          <w:sz w:val="19"/>
          <w:szCs w:val="19"/>
        </w:rPr>
        <w:footnoteRef/>
      </w:r>
      <w:r w:rsidRPr="00A50054">
        <w:rPr>
          <w:rFonts w:ascii="Arial" w:hAnsi="Arial" w:cs="Arial"/>
          <w:sz w:val="19"/>
          <w:szCs w:val="19"/>
        </w:rPr>
        <w:t xml:space="preserve"> </w:t>
      </w:r>
      <w:r w:rsidRPr="00A50054">
        <w:rPr>
          <w:rFonts w:ascii="Arial" w:hAnsi="Arial" w:cs="Arial"/>
          <w:sz w:val="19"/>
          <w:szCs w:val="19"/>
        </w:rPr>
        <w:t xml:space="preserve">Esta definición del contrato de interventoría fue expuesta por el Consejo de Estado en la siguiente sentencia: </w:t>
      </w:r>
      <w:r w:rsidRPr="00A50054">
        <w:rPr>
          <w:rFonts w:ascii="Arial" w:hAnsi="Arial" w:cs="Arial"/>
          <w:sz w:val="19"/>
          <w:szCs w:val="19"/>
          <w:lang w:val="es-CO"/>
        </w:rPr>
        <w:t xml:space="preserve">Consejo de Estado. </w:t>
      </w:r>
      <w:proofErr w:type="spellStart"/>
      <w:r w:rsidRPr="00A50054">
        <w:rPr>
          <w:rFonts w:ascii="Arial" w:hAnsi="Arial" w:cs="Arial"/>
          <w:sz w:val="19"/>
          <w:szCs w:val="19"/>
          <w:lang w:val="es-CO"/>
        </w:rPr>
        <w:t>Sección</w:t>
      </w:r>
      <w:proofErr w:type="spellEnd"/>
      <w:r w:rsidRPr="00A50054">
        <w:rPr>
          <w:rFonts w:ascii="Arial" w:hAnsi="Arial" w:cs="Arial"/>
          <w:sz w:val="19"/>
          <w:szCs w:val="19"/>
          <w:lang w:val="es-CO"/>
        </w:rPr>
        <w:t xml:space="preserve"> Tercera. Sentencia del 13 de febrero de 2013. </w:t>
      </w:r>
      <w:proofErr w:type="spellStart"/>
      <w:r w:rsidRPr="00A50054">
        <w:rPr>
          <w:rFonts w:ascii="Arial" w:hAnsi="Arial" w:cs="Arial"/>
          <w:sz w:val="19"/>
          <w:szCs w:val="19"/>
          <w:lang w:val="es-CO"/>
        </w:rPr>
        <w:t>Exp</w:t>
      </w:r>
      <w:proofErr w:type="spellEnd"/>
      <w:r w:rsidRPr="00A50054">
        <w:rPr>
          <w:rFonts w:ascii="Arial" w:hAnsi="Arial" w:cs="Arial"/>
          <w:sz w:val="19"/>
          <w:szCs w:val="19"/>
          <w:lang w:val="es-CO"/>
        </w:rPr>
        <w:t xml:space="preserve">. 24996. C.P. Mauricio Fajardo </w:t>
      </w:r>
      <w:proofErr w:type="spellStart"/>
      <w:r w:rsidRPr="00A50054">
        <w:rPr>
          <w:rFonts w:ascii="Arial" w:hAnsi="Arial" w:cs="Arial"/>
          <w:sz w:val="19"/>
          <w:szCs w:val="19"/>
          <w:lang w:val="es-CO"/>
        </w:rPr>
        <w:t>Gómez</w:t>
      </w:r>
      <w:proofErr w:type="spellEnd"/>
      <w:r w:rsidRPr="00A50054">
        <w:rPr>
          <w:rFonts w:ascii="Arial" w:hAnsi="Arial" w:cs="Arial"/>
          <w:sz w:val="19"/>
          <w:szCs w:val="19"/>
          <w:lang w:val="es-CO"/>
        </w:rPr>
        <w:t xml:space="preserve">. </w:t>
      </w:r>
    </w:p>
    <w:p w14:paraId="04B3816A" w14:textId="77777777" w:rsidR="006A5B2F" w:rsidRPr="00A50054" w:rsidRDefault="006A5B2F" w:rsidP="00A50054">
      <w:pPr>
        <w:pStyle w:val="Textonotapie"/>
        <w:ind w:firstLine="709"/>
        <w:jc w:val="both"/>
        <w:rPr>
          <w:rFonts w:ascii="Arial" w:hAnsi="Arial" w:cs="Arial"/>
          <w:sz w:val="19"/>
          <w:szCs w:val="19"/>
          <w:lang w:val="es-ES"/>
        </w:rPr>
      </w:pPr>
    </w:p>
  </w:footnote>
  <w:footnote w:id="7">
    <w:p w14:paraId="75787827" w14:textId="77777777" w:rsidR="006A5B2F" w:rsidRPr="00A50054" w:rsidRDefault="006A5B2F" w:rsidP="00A50054">
      <w:pPr>
        <w:pStyle w:val="Textonotapie"/>
        <w:ind w:firstLine="709"/>
        <w:jc w:val="both"/>
        <w:rPr>
          <w:rFonts w:ascii="Arial" w:hAnsi="Arial" w:cs="Arial"/>
          <w:sz w:val="19"/>
          <w:szCs w:val="19"/>
        </w:rPr>
      </w:pPr>
      <w:r w:rsidRPr="00A50054">
        <w:rPr>
          <w:rStyle w:val="Refdenotaalpie"/>
          <w:rFonts w:ascii="Arial" w:hAnsi="Arial" w:cs="Arial"/>
          <w:sz w:val="19"/>
          <w:szCs w:val="19"/>
        </w:rPr>
        <w:footnoteRef/>
      </w:r>
      <w:r w:rsidRPr="00A50054">
        <w:rPr>
          <w:rFonts w:ascii="Arial" w:hAnsi="Arial" w:cs="Arial"/>
          <w:sz w:val="19"/>
          <w:szCs w:val="19"/>
        </w:rPr>
        <w:t xml:space="preserve"> </w:t>
      </w:r>
      <w:r w:rsidRPr="00A50054">
        <w:rPr>
          <w:rFonts w:ascii="Arial" w:hAnsi="Arial" w:cs="Arial"/>
          <w:sz w:val="19"/>
          <w:szCs w:val="19"/>
        </w:rPr>
        <w:t>En efecto, en la introducción de cada uno de los documentos base de los documentos tipo, se establece una regulación como la siguiente, utilizando de modo ejemplificativo lo señalado frente a los de licitación –Versión 3–: «Los Documentos Tipo aplica a los procesos de licitación de obra pública de infraestructura de transporte (versión 3), que correspondan a las actividades definidas en la Matriz 1 – Experiencia. En consecuencia, las actividades de infraestructura de transporte no contempladas en la Matriz 1 – Experiencia no tienen que aplicar los documentos tipo».</w:t>
      </w:r>
    </w:p>
  </w:footnote>
  <w:footnote w:id="8">
    <w:p w14:paraId="06329E67" w14:textId="0A1E1E55" w:rsidR="00882484" w:rsidRPr="00A50054" w:rsidRDefault="00882484" w:rsidP="00A50054">
      <w:pPr>
        <w:pStyle w:val="Textonotapie"/>
        <w:ind w:firstLine="709"/>
        <w:jc w:val="both"/>
        <w:rPr>
          <w:rFonts w:ascii="Arial" w:hAnsi="Arial" w:cs="Arial"/>
          <w:sz w:val="19"/>
          <w:szCs w:val="19"/>
          <w:lang w:val="es-ES"/>
        </w:rPr>
      </w:pPr>
      <w:r w:rsidRPr="00A50054">
        <w:rPr>
          <w:rStyle w:val="Refdenotaalpie"/>
          <w:rFonts w:ascii="Arial" w:hAnsi="Arial" w:cs="Arial"/>
          <w:sz w:val="19"/>
          <w:szCs w:val="19"/>
        </w:rPr>
        <w:footnoteRef/>
      </w:r>
      <w:r w:rsidRPr="00A50054">
        <w:rPr>
          <w:rFonts w:ascii="Arial" w:hAnsi="Arial" w:cs="Arial"/>
          <w:sz w:val="19"/>
          <w:szCs w:val="19"/>
        </w:rPr>
        <w:t xml:space="preserve"> </w:t>
      </w:r>
      <w:r w:rsidR="00024A96" w:rsidRPr="00A50054">
        <w:rPr>
          <w:rFonts w:ascii="Arial" w:hAnsi="Arial" w:cs="Arial"/>
          <w:sz w:val="19"/>
          <w:szCs w:val="19"/>
        </w:rPr>
        <w:t xml:space="preserve">Verbigracia, </w:t>
      </w:r>
      <w:r w:rsidRPr="00A50054">
        <w:rPr>
          <w:rFonts w:ascii="Arial" w:hAnsi="Arial" w:cs="Arial"/>
          <w:sz w:val="19"/>
          <w:szCs w:val="19"/>
          <w:lang w:val="es-ES"/>
        </w:rPr>
        <w:t>en el artículo 3 de las Resoluciones 240, 241, 248, 249, 256, 269 de 2020 y 193, 219</w:t>
      </w:r>
      <w:r w:rsidR="004F74AA" w:rsidRPr="00A50054">
        <w:rPr>
          <w:rFonts w:ascii="Arial" w:hAnsi="Arial" w:cs="Arial"/>
          <w:sz w:val="19"/>
          <w:szCs w:val="19"/>
          <w:lang w:val="es-ES"/>
        </w:rPr>
        <w:t xml:space="preserve">, </w:t>
      </w:r>
      <w:r w:rsidRPr="00A50054">
        <w:rPr>
          <w:rFonts w:ascii="Arial" w:hAnsi="Arial" w:cs="Arial"/>
          <w:sz w:val="19"/>
          <w:szCs w:val="19"/>
          <w:lang w:val="es-ES"/>
        </w:rPr>
        <w:t>220</w:t>
      </w:r>
      <w:r w:rsidR="004F74AA" w:rsidRPr="00A50054">
        <w:rPr>
          <w:rFonts w:ascii="Arial" w:hAnsi="Arial" w:cs="Arial"/>
          <w:sz w:val="19"/>
          <w:szCs w:val="19"/>
          <w:lang w:val="es-ES"/>
        </w:rPr>
        <w:t xml:space="preserve">, 392 y </w:t>
      </w:r>
      <w:r w:rsidR="00611396" w:rsidRPr="00A50054">
        <w:rPr>
          <w:rFonts w:ascii="Arial" w:hAnsi="Arial" w:cs="Arial"/>
          <w:sz w:val="19"/>
          <w:szCs w:val="19"/>
          <w:lang w:val="es-ES"/>
        </w:rPr>
        <w:t>454</w:t>
      </w:r>
      <w:r w:rsidRPr="00A50054">
        <w:rPr>
          <w:rFonts w:ascii="Arial" w:hAnsi="Arial" w:cs="Arial"/>
          <w:sz w:val="19"/>
          <w:szCs w:val="19"/>
          <w:lang w:val="es-ES"/>
        </w:rPr>
        <w:t xml:space="preserve"> del 2021, así como en el artículo 2 de la Resolución 094 de 2020.</w:t>
      </w:r>
    </w:p>
    <w:p w14:paraId="279E3998" w14:textId="77777777" w:rsidR="00E1296B" w:rsidRPr="00A50054" w:rsidRDefault="00E1296B" w:rsidP="00A50054">
      <w:pPr>
        <w:pStyle w:val="Textonotapie"/>
        <w:ind w:firstLine="709"/>
        <w:jc w:val="both"/>
        <w:rPr>
          <w:rFonts w:ascii="Arial" w:hAnsi="Arial" w:cs="Arial"/>
          <w:sz w:val="19"/>
          <w:szCs w:val="19"/>
          <w:lang w:val="es-ES"/>
        </w:rPr>
      </w:pPr>
    </w:p>
  </w:footnote>
  <w:footnote w:id="9">
    <w:p w14:paraId="5EF39122" w14:textId="77777777" w:rsidR="00882484" w:rsidRPr="00A50054" w:rsidRDefault="00882484" w:rsidP="00A50054">
      <w:pPr>
        <w:pStyle w:val="Textonotapie"/>
        <w:ind w:firstLine="709"/>
        <w:jc w:val="both"/>
        <w:rPr>
          <w:rFonts w:ascii="Arial" w:hAnsi="Arial" w:cs="Arial"/>
          <w:color w:val="000000"/>
          <w:sz w:val="19"/>
          <w:szCs w:val="19"/>
        </w:rPr>
      </w:pPr>
      <w:r w:rsidRPr="00A50054">
        <w:rPr>
          <w:rStyle w:val="Refdenotaalpie"/>
          <w:rFonts w:ascii="Arial" w:hAnsi="Arial" w:cs="Arial"/>
          <w:color w:val="000000"/>
          <w:sz w:val="19"/>
          <w:szCs w:val="19"/>
        </w:rPr>
        <w:footnoteRef/>
      </w:r>
      <w:r w:rsidRPr="00A50054">
        <w:rPr>
          <w:rFonts w:ascii="Arial" w:hAnsi="Arial" w:cs="Arial"/>
          <w:color w:val="000000"/>
          <w:sz w:val="19"/>
          <w:szCs w:val="19"/>
        </w:rPr>
        <w:t xml:space="preserve"> </w:t>
      </w:r>
      <w:r w:rsidRPr="00A50054">
        <w:rPr>
          <w:rFonts w:ascii="Arial" w:hAnsi="Arial" w:cs="Arial"/>
          <w:color w:val="000000"/>
          <w:sz w:val="19"/>
          <w:szCs w:val="19"/>
        </w:rPr>
        <w:t>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4113BCA3" w14:textId="77777777" w:rsidR="00882484" w:rsidRPr="00A50054" w:rsidRDefault="00882484" w:rsidP="00A50054">
      <w:pPr>
        <w:pStyle w:val="Textonotapie"/>
        <w:ind w:firstLine="709"/>
        <w:jc w:val="both"/>
        <w:rPr>
          <w:rFonts w:ascii="Arial" w:hAnsi="Arial" w:cs="Arial"/>
          <w:color w:val="000000"/>
          <w:sz w:val="19"/>
          <w:szCs w:val="19"/>
        </w:rPr>
      </w:pPr>
      <w:r w:rsidRPr="00A50054">
        <w:rPr>
          <w:rFonts w:ascii="Arial" w:hAnsi="Arial" w:cs="Arial"/>
          <w:color w:val="000000"/>
          <w:sz w:val="19"/>
          <w:szCs w:val="19"/>
        </w:rPr>
        <w:t>En línea con lo anterior, el numeral 15 del mismo artículo prescribe: «15. Las autoridades no exigirán sellos, autenticaciones, documentos originales o autenticados, reconocimientos de firmas, traducciones oficiales, ni cualquier otra clase de formalidades o exigencias rituales, salvo cuando en forma perentoria y expresa lo exijan leyes especiales».</w:t>
      </w:r>
    </w:p>
    <w:p w14:paraId="2D3899A6" w14:textId="77777777" w:rsidR="00882484" w:rsidRPr="00A50054" w:rsidRDefault="00882484" w:rsidP="00A50054">
      <w:pPr>
        <w:pStyle w:val="Textonotapie"/>
        <w:ind w:firstLine="709"/>
        <w:jc w:val="both"/>
        <w:rPr>
          <w:rFonts w:ascii="Arial" w:hAnsi="Arial" w:cs="Arial"/>
          <w:color w:val="000000"/>
          <w:sz w:val="19"/>
          <w:szCs w:val="19"/>
        </w:rPr>
      </w:pPr>
    </w:p>
  </w:footnote>
  <w:footnote w:id="10">
    <w:p w14:paraId="6F6B4660" w14:textId="77777777" w:rsidR="00882484" w:rsidRPr="00A50054" w:rsidRDefault="00882484" w:rsidP="00A50054">
      <w:pPr>
        <w:ind w:firstLine="709"/>
        <w:jc w:val="both"/>
        <w:rPr>
          <w:rFonts w:ascii="Arial" w:hAnsi="Arial" w:cs="Arial"/>
          <w:color w:val="000000"/>
          <w:sz w:val="19"/>
          <w:szCs w:val="19"/>
          <w:lang w:val="es-ES"/>
        </w:rPr>
      </w:pPr>
      <w:r w:rsidRPr="00A50054">
        <w:rPr>
          <w:rStyle w:val="Refdenotaalpie"/>
          <w:rFonts w:ascii="Arial" w:hAnsi="Arial" w:cs="Arial"/>
          <w:color w:val="000000"/>
          <w:sz w:val="19"/>
          <w:szCs w:val="19"/>
        </w:rPr>
        <w:footnoteRef/>
      </w:r>
      <w:r w:rsidRPr="00A50054">
        <w:rPr>
          <w:rFonts w:ascii="Arial" w:hAnsi="Arial" w:cs="Arial"/>
          <w:color w:val="000000"/>
          <w:sz w:val="19"/>
          <w:szCs w:val="19"/>
        </w:rPr>
        <w:t xml:space="preserve"> </w:t>
      </w:r>
      <w:r w:rsidRPr="00A50054">
        <w:rPr>
          <w:rFonts w:ascii="Arial" w:hAnsi="Arial" w:cs="Arial"/>
          <w:color w:val="000000"/>
          <w:sz w:val="19"/>
          <w:szCs w:val="19"/>
          <w:lang w:val="es-ES"/>
        </w:rPr>
        <w:t>En efecto, el artículo 5 del Decreto-Ley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0177BF40" w14:textId="77777777" w:rsidR="00882484" w:rsidRPr="00A50054" w:rsidRDefault="00882484" w:rsidP="00A50054">
      <w:pPr>
        <w:ind w:firstLine="709"/>
        <w:jc w:val="both"/>
        <w:rPr>
          <w:rFonts w:ascii="Arial" w:hAnsi="Arial" w:cs="Arial"/>
          <w:color w:val="000000"/>
          <w:sz w:val="19"/>
          <w:szCs w:val="19"/>
          <w:lang w:val="es-ES"/>
        </w:rPr>
      </w:pPr>
    </w:p>
  </w:footnote>
  <w:footnote w:id="11">
    <w:p w14:paraId="465B6B5E" w14:textId="0022F85A" w:rsidR="00A50054" w:rsidRPr="0083037E" w:rsidRDefault="00A50054" w:rsidP="0083037E">
      <w:pPr>
        <w:pStyle w:val="Textonotapie"/>
        <w:ind w:firstLine="708"/>
        <w:jc w:val="both"/>
        <w:rPr>
          <w:rFonts w:ascii="Arial" w:hAnsi="Arial" w:cs="Arial"/>
          <w:sz w:val="19"/>
          <w:szCs w:val="19"/>
        </w:rPr>
      </w:pPr>
      <w:r w:rsidRPr="0083037E">
        <w:rPr>
          <w:rStyle w:val="Refdenotaalpie"/>
          <w:rFonts w:ascii="Arial" w:hAnsi="Arial" w:cs="Arial"/>
          <w:sz w:val="19"/>
          <w:szCs w:val="19"/>
        </w:rPr>
        <w:footnoteRef/>
      </w:r>
      <w:r w:rsidRPr="0083037E">
        <w:rPr>
          <w:rFonts w:ascii="Arial" w:hAnsi="Arial" w:cs="Arial"/>
          <w:sz w:val="19"/>
          <w:szCs w:val="19"/>
        </w:rPr>
        <w:t xml:space="preserve"> </w:t>
      </w:r>
      <w:r w:rsidRPr="0083037E">
        <w:rPr>
          <w:rFonts w:ascii="Arial" w:hAnsi="Arial" w:cs="Arial"/>
          <w:sz w:val="19"/>
          <w:szCs w:val="19"/>
        </w:rPr>
        <w:t>COLOMBIA COMPRA EFICIENTE. Resolución 193 del 14 de julio de 2021. «Por la cual se adoptan los documentos tipo para los procesos de selección de concurso de méritos, para contratar La interventoría de obras públicas de infraestructura de transporte».</w:t>
      </w:r>
      <w:r>
        <w:rPr>
          <w:rFonts w:ascii="Arial" w:hAnsi="Arial" w:cs="Arial"/>
          <w:sz w:val="19"/>
          <w:szCs w:val="19"/>
        </w:rPr>
        <w:t xml:space="preserve"> Artículo </w:t>
      </w:r>
      <w:r w:rsidR="00FD05E9">
        <w:rPr>
          <w:rFonts w:ascii="Arial" w:hAnsi="Arial" w:cs="Arial"/>
          <w:sz w:val="19"/>
          <w:szCs w:val="19"/>
        </w:rPr>
        <w:t>4.</w:t>
      </w:r>
    </w:p>
  </w:footnote>
  <w:footnote w:id="12">
    <w:p w14:paraId="69F09CCA" w14:textId="3C68B4EC" w:rsidR="00882484" w:rsidRPr="00A50054" w:rsidRDefault="00882484" w:rsidP="00A50054">
      <w:pPr>
        <w:ind w:firstLine="709"/>
        <w:jc w:val="both"/>
        <w:rPr>
          <w:rFonts w:ascii="Arial" w:hAnsi="Arial" w:cs="Arial"/>
          <w:color w:val="000000"/>
          <w:sz w:val="19"/>
          <w:szCs w:val="19"/>
          <w:lang w:val="es-MX"/>
        </w:rPr>
      </w:pPr>
      <w:r w:rsidRPr="00A50054">
        <w:rPr>
          <w:rStyle w:val="Refdenotaalpie"/>
          <w:rFonts w:ascii="Arial" w:hAnsi="Arial" w:cs="Arial"/>
          <w:color w:val="000000"/>
          <w:sz w:val="19"/>
          <w:szCs w:val="19"/>
        </w:rPr>
        <w:footnoteRef/>
      </w:r>
      <w:r w:rsidRPr="00A50054">
        <w:rPr>
          <w:rFonts w:ascii="Arial" w:hAnsi="Arial" w:cs="Arial"/>
          <w:color w:val="000000"/>
          <w:sz w:val="19"/>
          <w:szCs w:val="19"/>
        </w:rPr>
        <w:t xml:space="preserve"> </w:t>
      </w:r>
      <w:r w:rsidR="00611396" w:rsidRPr="00A50054">
        <w:rPr>
          <w:rFonts w:ascii="Arial" w:hAnsi="Arial" w:cs="Arial"/>
          <w:color w:val="000000"/>
          <w:sz w:val="19"/>
          <w:szCs w:val="19"/>
        </w:rPr>
        <w:t>En relación con el principio constitucional sub examine,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007F565A" w:rsidRPr="00A50054">
        <w:rPr>
          <w:rFonts w:ascii="Arial" w:hAnsi="Arial" w:cs="Arial"/>
          <w:color w:val="000000"/>
          <w:sz w:val="19"/>
          <w:szCs w:val="19"/>
        </w:rPr>
        <w:t xml:space="preserve"> (</w:t>
      </w:r>
      <w:r w:rsidRPr="00A50054">
        <w:rPr>
          <w:rFonts w:ascii="Arial" w:hAnsi="Arial" w:cs="Arial"/>
          <w:color w:val="000000"/>
          <w:sz w:val="19"/>
          <w:szCs w:val="19"/>
        </w:rPr>
        <w:t>Cita tomada de la providencia del 20 de febrero de 2020, dictada por el Consejo de Estado. Sección Tercera. Subsección A, dentro del expediente 47001-23-33-000-2018-00035-01 (63.854), cuya ponente fue Marta Nubia Velásquez Rico</w:t>
      </w:r>
      <w:r w:rsidR="007F565A" w:rsidRPr="00A50054">
        <w:rPr>
          <w:rFonts w:ascii="Arial" w:hAnsi="Arial" w:cs="Arial"/>
          <w:color w:val="000000"/>
          <w:sz w:val="19"/>
          <w:szCs w:val="19"/>
        </w:rPr>
        <w:t>)</w:t>
      </w:r>
      <w:r w:rsidRPr="00A50054">
        <w:rPr>
          <w:rFonts w:ascii="Arial" w:hAnsi="Arial" w:cs="Arial"/>
          <w:color w:val="000000"/>
          <w:sz w:val="19"/>
          <w:szCs w:val="19"/>
        </w:rPr>
        <w:t>.</w:t>
      </w:r>
    </w:p>
    <w:p w14:paraId="4EBBE778" w14:textId="77777777" w:rsidR="00882484" w:rsidRPr="00A50054" w:rsidRDefault="00882484" w:rsidP="00A50054">
      <w:pPr>
        <w:ind w:firstLine="709"/>
        <w:jc w:val="both"/>
        <w:rPr>
          <w:rFonts w:ascii="Arial" w:hAnsi="Arial" w:cs="Arial"/>
          <w:color w:val="000000"/>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8C64A" w14:textId="63483025" w:rsidR="00951D2A" w:rsidRDefault="00951D2A">
    <w:pPr>
      <w:pStyle w:val="Encabezado"/>
    </w:pPr>
    <w:r>
      <w:rPr>
        <w:noProof/>
        <w:lang w:val="en-US"/>
      </w:rPr>
      <w:drawing>
        <wp:anchor distT="0" distB="0" distL="114300" distR="114300" simplePos="0" relativeHeight="251659264" behindDoc="1" locked="0" layoutInCell="1" allowOverlap="1" wp14:anchorId="636BE264" wp14:editId="3AF9D8B7">
          <wp:simplePos x="0" y="0"/>
          <wp:positionH relativeFrom="column">
            <wp:posOffset>4606180</wp:posOffset>
          </wp:positionH>
          <wp:positionV relativeFrom="paragraph">
            <wp:posOffset>-105686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descr="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0 Imagen" descr="Form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478584F" w14:textId="77777777" w:rsidR="00EA0A2C" w:rsidRDefault="00EA0A2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D2A"/>
    <w:rsid w:val="00003FFE"/>
    <w:rsid w:val="00004415"/>
    <w:rsid w:val="00005A38"/>
    <w:rsid w:val="00024A96"/>
    <w:rsid w:val="0006005A"/>
    <w:rsid w:val="00070DEA"/>
    <w:rsid w:val="000975F3"/>
    <w:rsid w:val="000B1124"/>
    <w:rsid w:val="000E1588"/>
    <w:rsid w:val="00100D66"/>
    <w:rsid w:val="001016EB"/>
    <w:rsid w:val="00113ADB"/>
    <w:rsid w:val="00116021"/>
    <w:rsid w:val="001425C6"/>
    <w:rsid w:val="001632C0"/>
    <w:rsid w:val="00181A0F"/>
    <w:rsid w:val="0019670B"/>
    <w:rsid w:val="001A5C14"/>
    <w:rsid w:val="001B3B73"/>
    <w:rsid w:val="001B4D7F"/>
    <w:rsid w:val="001B77EA"/>
    <w:rsid w:val="001C094D"/>
    <w:rsid w:val="001C4032"/>
    <w:rsid w:val="001D3C22"/>
    <w:rsid w:val="0021678E"/>
    <w:rsid w:val="00232A1C"/>
    <w:rsid w:val="00246625"/>
    <w:rsid w:val="002533FF"/>
    <w:rsid w:val="00261906"/>
    <w:rsid w:val="002748DC"/>
    <w:rsid w:val="00296822"/>
    <w:rsid w:val="002F7AD4"/>
    <w:rsid w:val="00300E95"/>
    <w:rsid w:val="00317EF7"/>
    <w:rsid w:val="00325A1F"/>
    <w:rsid w:val="00332A5E"/>
    <w:rsid w:val="00335DFF"/>
    <w:rsid w:val="003429F7"/>
    <w:rsid w:val="0034715B"/>
    <w:rsid w:val="00384643"/>
    <w:rsid w:val="003B3D88"/>
    <w:rsid w:val="003C4C74"/>
    <w:rsid w:val="003C62EB"/>
    <w:rsid w:val="003E1881"/>
    <w:rsid w:val="004145C4"/>
    <w:rsid w:val="00440568"/>
    <w:rsid w:val="0046135C"/>
    <w:rsid w:val="00462864"/>
    <w:rsid w:val="00465423"/>
    <w:rsid w:val="00483416"/>
    <w:rsid w:val="00484CFD"/>
    <w:rsid w:val="00497541"/>
    <w:rsid w:val="004A0365"/>
    <w:rsid w:val="004A096E"/>
    <w:rsid w:val="004A21DA"/>
    <w:rsid w:val="004A646F"/>
    <w:rsid w:val="004E284C"/>
    <w:rsid w:val="004F74AA"/>
    <w:rsid w:val="005572C0"/>
    <w:rsid w:val="005849A6"/>
    <w:rsid w:val="005A3892"/>
    <w:rsid w:val="005A5B88"/>
    <w:rsid w:val="005A6BBE"/>
    <w:rsid w:val="005B489C"/>
    <w:rsid w:val="005B6262"/>
    <w:rsid w:val="005D484C"/>
    <w:rsid w:val="005E0AA3"/>
    <w:rsid w:val="00611396"/>
    <w:rsid w:val="00615E29"/>
    <w:rsid w:val="0064651E"/>
    <w:rsid w:val="006767E0"/>
    <w:rsid w:val="006868EC"/>
    <w:rsid w:val="006A5B2F"/>
    <w:rsid w:val="006B4EF8"/>
    <w:rsid w:val="006D0807"/>
    <w:rsid w:val="006D434B"/>
    <w:rsid w:val="006E05F3"/>
    <w:rsid w:val="00720E65"/>
    <w:rsid w:val="00756DF3"/>
    <w:rsid w:val="00773AA9"/>
    <w:rsid w:val="00794BF2"/>
    <w:rsid w:val="007A24D3"/>
    <w:rsid w:val="007B1212"/>
    <w:rsid w:val="007F3B41"/>
    <w:rsid w:val="007F565A"/>
    <w:rsid w:val="0081507E"/>
    <w:rsid w:val="0081604E"/>
    <w:rsid w:val="0083037E"/>
    <w:rsid w:val="00837079"/>
    <w:rsid w:val="00843C7E"/>
    <w:rsid w:val="00864AE8"/>
    <w:rsid w:val="00882484"/>
    <w:rsid w:val="00882880"/>
    <w:rsid w:val="00886C29"/>
    <w:rsid w:val="008A5692"/>
    <w:rsid w:val="008D512A"/>
    <w:rsid w:val="008D7D11"/>
    <w:rsid w:val="008E5C9D"/>
    <w:rsid w:val="00904FFC"/>
    <w:rsid w:val="00905858"/>
    <w:rsid w:val="00930CA9"/>
    <w:rsid w:val="00932CDB"/>
    <w:rsid w:val="00943A00"/>
    <w:rsid w:val="00951D2A"/>
    <w:rsid w:val="00966142"/>
    <w:rsid w:val="009B617E"/>
    <w:rsid w:val="009E7B6A"/>
    <w:rsid w:val="00A03470"/>
    <w:rsid w:val="00A05913"/>
    <w:rsid w:val="00A219D6"/>
    <w:rsid w:val="00A26564"/>
    <w:rsid w:val="00A34C8F"/>
    <w:rsid w:val="00A50054"/>
    <w:rsid w:val="00A81FD1"/>
    <w:rsid w:val="00A977E4"/>
    <w:rsid w:val="00AA26A3"/>
    <w:rsid w:val="00AA2FF2"/>
    <w:rsid w:val="00AA7EF9"/>
    <w:rsid w:val="00AD689A"/>
    <w:rsid w:val="00B50931"/>
    <w:rsid w:val="00B50C70"/>
    <w:rsid w:val="00B51361"/>
    <w:rsid w:val="00B57024"/>
    <w:rsid w:val="00B749D1"/>
    <w:rsid w:val="00B87144"/>
    <w:rsid w:val="00B9221E"/>
    <w:rsid w:val="00B922E8"/>
    <w:rsid w:val="00B944ED"/>
    <w:rsid w:val="00BC3CF6"/>
    <w:rsid w:val="00BC6958"/>
    <w:rsid w:val="00BD33FE"/>
    <w:rsid w:val="00BE2F2B"/>
    <w:rsid w:val="00C00E12"/>
    <w:rsid w:val="00C5581C"/>
    <w:rsid w:val="00C56F57"/>
    <w:rsid w:val="00C61F1D"/>
    <w:rsid w:val="00C746C4"/>
    <w:rsid w:val="00C76DFA"/>
    <w:rsid w:val="00C7710A"/>
    <w:rsid w:val="00C848D8"/>
    <w:rsid w:val="00C97F22"/>
    <w:rsid w:val="00CA4608"/>
    <w:rsid w:val="00CB6CC9"/>
    <w:rsid w:val="00CF5F85"/>
    <w:rsid w:val="00D22557"/>
    <w:rsid w:val="00D442F0"/>
    <w:rsid w:val="00D73C74"/>
    <w:rsid w:val="00D92514"/>
    <w:rsid w:val="00D96383"/>
    <w:rsid w:val="00DA14BE"/>
    <w:rsid w:val="00DA4877"/>
    <w:rsid w:val="00DC3578"/>
    <w:rsid w:val="00DF173A"/>
    <w:rsid w:val="00E113DB"/>
    <w:rsid w:val="00E1296B"/>
    <w:rsid w:val="00E12F1C"/>
    <w:rsid w:val="00E25C8D"/>
    <w:rsid w:val="00E76696"/>
    <w:rsid w:val="00E851DB"/>
    <w:rsid w:val="00E9395A"/>
    <w:rsid w:val="00EA0A2C"/>
    <w:rsid w:val="00EA22CF"/>
    <w:rsid w:val="00EE0955"/>
    <w:rsid w:val="00EF3191"/>
    <w:rsid w:val="00EF53F2"/>
    <w:rsid w:val="00F04B86"/>
    <w:rsid w:val="00F205E2"/>
    <w:rsid w:val="00F22695"/>
    <w:rsid w:val="00F4074F"/>
    <w:rsid w:val="00F41B7F"/>
    <w:rsid w:val="00F56644"/>
    <w:rsid w:val="00F620FA"/>
    <w:rsid w:val="00F64793"/>
    <w:rsid w:val="00F95017"/>
    <w:rsid w:val="00FA7C56"/>
    <w:rsid w:val="00FB347B"/>
    <w:rsid w:val="00FC1712"/>
    <w:rsid w:val="00FD05E9"/>
    <w:rsid w:val="00FE157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DEB38"/>
  <w15:chartTrackingRefBased/>
  <w15:docId w15:val="{BFEA2C65-A057-44CC-AC7F-D911EF62E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3FE"/>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51D2A"/>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951D2A"/>
    <w:rPr>
      <w:vertAlign w:val="superscript"/>
    </w:rPr>
  </w:style>
  <w:style w:type="paragraph" w:customStyle="1" w:styleId="Appelnotedebasde">
    <w:name w:val="Appel note de bas de..."/>
    <w:basedOn w:val="Normal"/>
    <w:link w:val="Refdenotaalpie"/>
    <w:uiPriority w:val="99"/>
    <w:rsid w:val="00951D2A"/>
    <w:pPr>
      <w:spacing w:after="160" w:line="240" w:lineRule="exact"/>
    </w:pPr>
    <w:rPr>
      <w:rFonts w:asciiTheme="minorHAnsi" w:eastAsiaTheme="minorHAnsi" w:hAnsiTheme="minorHAnsi" w:cstheme="minorBidi"/>
      <w:sz w:val="22"/>
      <w:szCs w:val="22"/>
      <w:vertAlign w:val="superscript"/>
      <w:lang w:eastAsia="en-US"/>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951D2A"/>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951D2A"/>
    <w:rPr>
      <w:sz w:val="20"/>
      <w:szCs w:val="20"/>
    </w:rPr>
  </w:style>
  <w:style w:type="paragraph" w:styleId="Encabezado">
    <w:name w:val="header"/>
    <w:basedOn w:val="Normal"/>
    <w:link w:val="EncabezadoCar"/>
    <w:uiPriority w:val="99"/>
    <w:unhideWhenUsed/>
    <w:rsid w:val="00951D2A"/>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951D2A"/>
  </w:style>
  <w:style w:type="paragraph" w:styleId="Piedepgina">
    <w:name w:val="footer"/>
    <w:basedOn w:val="Normal"/>
    <w:link w:val="PiedepginaCar"/>
    <w:uiPriority w:val="99"/>
    <w:unhideWhenUsed/>
    <w:rsid w:val="00951D2A"/>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951D2A"/>
  </w:style>
  <w:style w:type="paragraph" w:customStyle="1" w:styleId="Default">
    <w:name w:val="Default"/>
    <w:rsid w:val="00A81FD1"/>
    <w:pPr>
      <w:autoSpaceDE w:val="0"/>
      <w:autoSpaceDN w:val="0"/>
      <w:adjustRightInd w:val="0"/>
      <w:spacing w:after="0" w:line="240" w:lineRule="auto"/>
    </w:pPr>
    <w:rPr>
      <w:rFonts w:ascii="Arial" w:hAnsi="Arial" w:cs="Arial"/>
      <w:color w:val="000000"/>
      <w:sz w:val="24"/>
      <w:szCs w:val="24"/>
    </w:rPr>
  </w:style>
  <w:style w:type="character" w:styleId="Refdecomentario">
    <w:name w:val="annotation reference"/>
    <w:basedOn w:val="Fuentedeprrafopredeter"/>
    <w:uiPriority w:val="99"/>
    <w:semiHidden/>
    <w:unhideWhenUsed/>
    <w:rsid w:val="008A5692"/>
    <w:rPr>
      <w:sz w:val="16"/>
      <w:szCs w:val="16"/>
    </w:rPr>
  </w:style>
  <w:style w:type="paragraph" w:styleId="Textocomentario">
    <w:name w:val="annotation text"/>
    <w:basedOn w:val="Normal"/>
    <w:link w:val="TextocomentarioCar"/>
    <w:uiPriority w:val="99"/>
    <w:unhideWhenUsed/>
    <w:rsid w:val="008A5692"/>
    <w:pPr>
      <w:spacing w:after="160"/>
    </w:pPr>
    <w:rPr>
      <w:rFonts w:asciiTheme="minorHAnsi" w:eastAsiaTheme="minorHAnsi" w:hAnsiTheme="minorHAnsi" w:cstheme="minorBidi"/>
      <w:sz w:val="20"/>
      <w:szCs w:val="20"/>
      <w:lang w:eastAsia="en-US"/>
    </w:rPr>
  </w:style>
  <w:style w:type="character" w:customStyle="1" w:styleId="TextocomentarioCar">
    <w:name w:val="Texto comentario Car"/>
    <w:basedOn w:val="Fuentedeprrafopredeter"/>
    <w:link w:val="Textocomentario"/>
    <w:uiPriority w:val="99"/>
    <w:rsid w:val="008A5692"/>
    <w:rPr>
      <w:sz w:val="20"/>
      <w:szCs w:val="20"/>
    </w:rPr>
  </w:style>
  <w:style w:type="paragraph" w:styleId="Asuntodelcomentario">
    <w:name w:val="annotation subject"/>
    <w:basedOn w:val="Textocomentario"/>
    <w:next w:val="Textocomentario"/>
    <w:link w:val="AsuntodelcomentarioCar"/>
    <w:uiPriority w:val="99"/>
    <w:semiHidden/>
    <w:unhideWhenUsed/>
    <w:rsid w:val="008A5692"/>
    <w:rPr>
      <w:b/>
      <w:bCs/>
    </w:rPr>
  </w:style>
  <w:style w:type="character" w:customStyle="1" w:styleId="AsuntodelcomentarioCar">
    <w:name w:val="Asunto del comentario Car"/>
    <w:basedOn w:val="TextocomentarioCar"/>
    <w:link w:val="Asuntodelcomentario"/>
    <w:uiPriority w:val="99"/>
    <w:semiHidden/>
    <w:rsid w:val="008A5692"/>
    <w:rPr>
      <w:b/>
      <w:bCs/>
      <w:sz w:val="20"/>
      <w:szCs w:val="20"/>
    </w:rPr>
  </w:style>
  <w:style w:type="paragraph" w:customStyle="1" w:styleId="xmsonospacing">
    <w:name w:val="x_msonospacing"/>
    <w:basedOn w:val="Normal"/>
    <w:rsid w:val="004F74AA"/>
    <w:pPr>
      <w:spacing w:before="100" w:beforeAutospacing="1" w:after="100" w:afterAutospacing="1"/>
    </w:pPr>
    <w:rPr>
      <w:lang w:eastAsia="es-MX"/>
    </w:rPr>
  </w:style>
  <w:style w:type="table" w:customStyle="1" w:styleId="Tablaconcuadrcula1">
    <w:name w:val="Tabla con cuadrícula1"/>
    <w:basedOn w:val="Tablanormal"/>
    <w:next w:val="Tablaconcuadrcula"/>
    <w:uiPriority w:val="39"/>
    <w:rsid w:val="00B749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59"/>
    <w:rsid w:val="00B749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B749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46135C"/>
    <w:pPr>
      <w:spacing w:after="0" w:line="240" w:lineRule="auto"/>
    </w:pPr>
  </w:style>
  <w:style w:type="paragraph" w:styleId="NormalWeb">
    <w:name w:val="Normal (Web)"/>
    <w:basedOn w:val="Normal"/>
    <w:link w:val="NormalWebCar"/>
    <w:uiPriority w:val="99"/>
    <w:unhideWhenUsed/>
    <w:rsid w:val="00F95017"/>
    <w:pPr>
      <w:spacing w:before="100" w:beforeAutospacing="1" w:after="100" w:afterAutospacing="1"/>
    </w:pPr>
    <w:rPr>
      <w:lang w:eastAsia="es-CO"/>
    </w:rPr>
  </w:style>
  <w:style w:type="character" w:customStyle="1" w:styleId="NormalWebCar">
    <w:name w:val="Normal (Web) Car"/>
    <w:link w:val="NormalWeb"/>
    <w:uiPriority w:val="99"/>
    <w:rsid w:val="00F95017"/>
    <w:rPr>
      <w:rFonts w:ascii="Times New Roman" w:eastAsia="Times New Roman" w:hAnsi="Times New Roman" w:cs="Times New Roman"/>
      <w:sz w:val="24"/>
      <w:szCs w:val="24"/>
      <w:lang w:eastAsia="es-CO"/>
    </w:rPr>
  </w:style>
  <w:style w:type="paragraph" w:customStyle="1" w:styleId="Normal11pt">
    <w:name w:val="Normal + 11 pt"/>
    <w:aliases w:val="Negro,Justificado,Izquierda:  -0,95 cm,Derecha:  0,04 cm"/>
    <w:basedOn w:val="Normal"/>
    <w:uiPriority w:val="99"/>
    <w:rsid w:val="001C4032"/>
    <w:pPr>
      <w:ind w:left="-540"/>
      <w:jc w:val="both"/>
    </w:pPr>
    <w:rPr>
      <w:rFonts w:ascii="Arial" w:hAnsi="Arial" w:cs="Arial"/>
      <w:color w:val="000000"/>
      <w:sz w:val="22"/>
      <w:szCs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493938">
      <w:bodyDiv w:val="1"/>
      <w:marLeft w:val="0"/>
      <w:marRight w:val="0"/>
      <w:marTop w:val="0"/>
      <w:marBottom w:val="0"/>
      <w:divBdr>
        <w:top w:val="none" w:sz="0" w:space="0" w:color="auto"/>
        <w:left w:val="none" w:sz="0" w:space="0" w:color="auto"/>
        <w:bottom w:val="none" w:sz="0" w:space="0" w:color="auto"/>
        <w:right w:val="none" w:sz="0" w:space="0" w:color="auto"/>
      </w:divBdr>
    </w:div>
    <w:div w:id="350841138">
      <w:bodyDiv w:val="1"/>
      <w:marLeft w:val="0"/>
      <w:marRight w:val="0"/>
      <w:marTop w:val="0"/>
      <w:marBottom w:val="0"/>
      <w:divBdr>
        <w:top w:val="none" w:sz="0" w:space="0" w:color="auto"/>
        <w:left w:val="none" w:sz="0" w:space="0" w:color="auto"/>
        <w:bottom w:val="none" w:sz="0" w:space="0" w:color="auto"/>
        <w:right w:val="none" w:sz="0" w:space="0" w:color="auto"/>
      </w:divBdr>
      <w:divsChild>
        <w:div w:id="1871066426">
          <w:marLeft w:val="0"/>
          <w:marRight w:val="0"/>
          <w:marTop w:val="0"/>
          <w:marBottom w:val="0"/>
          <w:divBdr>
            <w:top w:val="none" w:sz="0" w:space="0" w:color="auto"/>
            <w:left w:val="none" w:sz="0" w:space="0" w:color="auto"/>
            <w:bottom w:val="none" w:sz="0" w:space="0" w:color="auto"/>
            <w:right w:val="none" w:sz="0" w:space="0" w:color="auto"/>
          </w:divBdr>
        </w:div>
      </w:divsChild>
    </w:div>
    <w:div w:id="432743607">
      <w:bodyDiv w:val="1"/>
      <w:marLeft w:val="0"/>
      <w:marRight w:val="0"/>
      <w:marTop w:val="0"/>
      <w:marBottom w:val="0"/>
      <w:divBdr>
        <w:top w:val="none" w:sz="0" w:space="0" w:color="auto"/>
        <w:left w:val="none" w:sz="0" w:space="0" w:color="auto"/>
        <w:bottom w:val="none" w:sz="0" w:space="0" w:color="auto"/>
        <w:right w:val="none" w:sz="0" w:space="0" w:color="auto"/>
      </w:divBdr>
    </w:div>
    <w:div w:id="1879974671">
      <w:bodyDiv w:val="1"/>
      <w:marLeft w:val="0"/>
      <w:marRight w:val="0"/>
      <w:marTop w:val="0"/>
      <w:marBottom w:val="0"/>
      <w:divBdr>
        <w:top w:val="none" w:sz="0" w:space="0" w:color="auto"/>
        <w:left w:val="none" w:sz="0" w:space="0" w:color="auto"/>
        <w:bottom w:val="none" w:sz="0" w:space="0" w:color="auto"/>
        <w:right w:val="none" w:sz="0" w:space="0" w:color="auto"/>
      </w:divBdr>
      <w:divsChild>
        <w:div w:id="364914123">
          <w:marLeft w:val="0"/>
          <w:marRight w:val="0"/>
          <w:marTop w:val="0"/>
          <w:marBottom w:val="0"/>
          <w:divBdr>
            <w:top w:val="none" w:sz="0" w:space="0" w:color="auto"/>
            <w:left w:val="none" w:sz="0" w:space="0" w:color="auto"/>
            <w:bottom w:val="none" w:sz="0" w:space="0" w:color="auto"/>
            <w:right w:val="none" w:sz="0" w:space="0" w:color="auto"/>
          </w:divBdr>
          <w:divsChild>
            <w:div w:id="21130245">
              <w:marLeft w:val="0"/>
              <w:marRight w:val="0"/>
              <w:marTop w:val="0"/>
              <w:marBottom w:val="0"/>
              <w:divBdr>
                <w:top w:val="none" w:sz="0" w:space="0" w:color="auto"/>
                <w:left w:val="none" w:sz="0" w:space="0" w:color="auto"/>
                <w:bottom w:val="none" w:sz="0" w:space="0" w:color="auto"/>
                <w:right w:val="none" w:sz="0" w:space="0" w:color="auto"/>
              </w:divBdr>
              <w:divsChild>
                <w:div w:id="38564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A044B7-FCC1-4CDD-A40C-39C0CE312A9B}">
  <ds:schemaRefs>
    <ds:schemaRef ds:uri="http://schemas.microsoft.com/sharepoint/v3/contenttype/forms"/>
  </ds:schemaRefs>
</ds:datastoreItem>
</file>

<file path=customXml/itemProps2.xml><?xml version="1.0" encoding="utf-8"?>
<ds:datastoreItem xmlns:ds="http://schemas.openxmlformats.org/officeDocument/2006/customXml" ds:itemID="{1CC8BACB-FAEC-4B0B-8D44-B94C85FCFB9B}">
  <ds:schemaRefs>
    <ds:schemaRef ds:uri="http://schemas.openxmlformats.org/officeDocument/2006/bibliography"/>
  </ds:schemaRefs>
</ds:datastoreItem>
</file>

<file path=customXml/itemProps3.xml><?xml version="1.0" encoding="utf-8"?>
<ds:datastoreItem xmlns:ds="http://schemas.openxmlformats.org/officeDocument/2006/customXml" ds:itemID="{AAF3B328-A9C3-47F6-B5BD-EFB6BAADA68C}">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C180791A-9530-4A67-8B06-029A223E08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20</Pages>
  <Words>7309</Words>
  <Characters>40205</Characters>
  <Application>Microsoft Office Word</Application>
  <DocSecurity>0</DocSecurity>
  <Lines>335</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Castrillon Endo</dc:creator>
  <cp:keywords/>
  <dc:description/>
  <cp:lastModifiedBy>Cristian Andres Diaz Diez</cp:lastModifiedBy>
  <cp:revision>28</cp:revision>
  <dcterms:created xsi:type="dcterms:W3CDTF">2022-02-22T14:17:00Z</dcterms:created>
  <dcterms:modified xsi:type="dcterms:W3CDTF">2022-02-22T16:11:00Z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