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5249A" w:rsidR="005F1C7D" w:rsidP="00B76E46" w:rsidRDefault="005F1C7D" w14:paraId="30028C43" w14:textId="77777777">
      <w:pPr>
        <w:spacing w:after="0" w:line="240" w:lineRule="auto"/>
        <w:jc w:val="both"/>
        <w:rPr>
          <w:rFonts w:ascii="Century Gothic" w:hAnsi="Century Gothic"/>
          <w:sz w:val="20"/>
          <w:szCs w:val="20"/>
          <w:lang w:val="es-MX"/>
        </w:rPr>
      </w:pPr>
      <w:bookmarkStart w:name="_Hlk143780582" w:id="0"/>
    </w:p>
    <w:p w:rsidRPr="0035249A" w:rsidR="006F3D28" w:rsidP="00B76E46" w:rsidRDefault="00B76E46" w14:paraId="25207123" w14:textId="2229933F">
      <w:pPr>
        <w:spacing w:after="0" w:line="240" w:lineRule="auto"/>
        <w:jc w:val="both"/>
        <w:rPr>
          <w:rFonts w:ascii="Century Gothic" w:hAnsi="Century Gothic" w:eastAsia="Calibri" w:cs="Arial"/>
          <w:b/>
          <w:bCs/>
          <w:sz w:val="20"/>
          <w:szCs w:val="20"/>
          <w:lang w:val="es-MX" w:eastAsia="es-ES_tradnl"/>
        </w:rPr>
      </w:pPr>
      <w:r w:rsidRPr="0035249A">
        <w:rPr>
          <w:rFonts w:ascii="Century Gothic" w:hAnsi="Century Gothic" w:eastAsia="Calibri" w:cs="Arial"/>
          <w:b/>
          <w:bCs/>
          <w:sz w:val="20"/>
          <w:szCs w:val="20"/>
          <w:lang w:val="es-MX" w:eastAsia="es-ES_tradnl"/>
        </w:rPr>
        <w:t>PUEBLOS TRIBALES -</w:t>
      </w:r>
      <w:r w:rsidRPr="0035249A">
        <w:rPr>
          <w:rFonts w:ascii="Century Gothic" w:hAnsi="Century Gothic" w:eastAsia="Calibri" w:cs="Arial"/>
          <w:b/>
          <w:bCs/>
          <w:sz w:val="20"/>
          <w:szCs w:val="20"/>
          <w:lang w:val="es-ES" w:eastAsia="es-ES_tradnl"/>
        </w:rPr>
        <w:t xml:space="preserve"> Convenio No. 169 de la OIT – Compromisos – Derechos / </w:t>
      </w:r>
      <w:r w:rsidRPr="0035249A">
        <w:rPr>
          <w:rFonts w:ascii="Century Gothic" w:hAnsi="Century Gothic" w:eastAsia="Calibri" w:cs="Arial"/>
          <w:b/>
          <w:bCs/>
          <w:sz w:val="20"/>
          <w:szCs w:val="20"/>
          <w:lang w:val="es-MX" w:eastAsia="es-ES_tradnl"/>
        </w:rPr>
        <w:t>COMUNIDADES NEGRAS, AFRODESCENDIENTES, RAIZALES Y PALENQUERAS – Naturaleza jurídica – Capacidad contractual</w:t>
      </w:r>
    </w:p>
    <w:p w:rsidRPr="0035249A" w:rsidR="00B76E46" w:rsidP="00B76E46" w:rsidRDefault="00B76E46" w14:paraId="2BF74B52" w14:textId="77777777">
      <w:pPr>
        <w:spacing w:after="0" w:line="240" w:lineRule="auto"/>
        <w:jc w:val="both"/>
        <w:rPr>
          <w:rFonts w:ascii="Century Gothic" w:hAnsi="Century Gothic" w:eastAsia="Calibri" w:cs="Arial"/>
          <w:b/>
          <w:bCs/>
          <w:sz w:val="20"/>
          <w:szCs w:val="20"/>
          <w:lang w:val="es-MX" w:eastAsia="es-ES_tradnl"/>
        </w:rPr>
      </w:pPr>
    </w:p>
    <w:p w:rsidRPr="0035249A" w:rsidR="006F1DB1" w:rsidP="006F1DB1" w:rsidRDefault="006F1DB1" w14:paraId="409139FA" w14:textId="77777777">
      <w:pPr>
        <w:spacing w:after="0" w:line="240" w:lineRule="auto"/>
        <w:jc w:val="both"/>
        <w:rPr>
          <w:rFonts w:ascii="Century Gothic" w:hAnsi="Century Gothic" w:eastAsia="Calibri" w:cs="Arial"/>
          <w:sz w:val="20"/>
          <w:szCs w:val="20"/>
          <w:lang w:val="es-ES_tradnl"/>
        </w:rPr>
      </w:pPr>
      <w:r w:rsidRPr="0035249A">
        <w:rPr>
          <w:rFonts w:ascii="Century Gothic" w:hAnsi="Century Gothic" w:eastAsia="Calibri" w:cs="Arial"/>
          <w:sz w:val="20"/>
          <w:szCs w:val="20"/>
          <w:lang w:val="es-ES_tradnl"/>
        </w:rPr>
        <w:t xml:space="preserve">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y tribales con acciones concretas dirigidas al reconocimiento de sus derechos y el respeto de su integridad, entre otros compromisos adquiridos. </w:t>
      </w:r>
    </w:p>
    <w:p w:rsidRPr="0035249A" w:rsidR="006F1DB1" w:rsidP="006F1DB1" w:rsidRDefault="006F1DB1" w14:paraId="1E69F7A6" w14:textId="77777777">
      <w:pPr>
        <w:spacing w:after="0" w:line="240" w:lineRule="auto"/>
        <w:jc w:val="both"/>
        <w:rPr>
          <w:rFonts w:ascii="Century Gothic" w:hAnsi="Century Gothic" w:eastAsia="Calibri" w:cs="Arial"/>
          <w:sz w:val="20"/>
          <w:szCs w:val="20"/>
          <w:lang w:val="es-ES_tradnl"/>
        </w:rPr>
      </w:pPr>
    </w:p>
    <w:p w:rsidRPr="0035249A" w:rsidR="006F1DB1" w:rsidP="006F1DB1" w:rsidRDefault="006F1DB1" w14:paraId="624E6E40" w14:textId="77777777">
      <w:pPr>
        <w:spacing w:after="0" w:line="240" w:lineRule="auto"/>
        <w:jc w:val="both"/>
        <w:rPr>
          <w:rFonts w:ascii="Century Gothic" w:hAnsi="Century Gothic" w:cs="Arial"/>
          <w:bCs/>
          <w:sz w:val="20"/>
          <w:szCs w:val="20"/>
          <w:lang w:val="es-ES_tradnl" w:eastAsia="es-ES"/>
        </w:rPr>
      </w:pPr>
      <w:r w:rsidRPr="0035249A">
        <w:rPr>
          <w:rFonts w:ascii="Century Gothic" w:hAnsi="Century Gothic" w:eastAsia="Calibri" w:cs="Arial"/>
          <w:sz w:val="20"/>
          <w:szCs w:val="20"/>
          <w:lang w:val="es-ES_tradnl"/>
        </w:rPr>
        <w:t>[…]</w:t>
      </w:r>
    </w:p>
    <w:p w:rsidRPr="0035249A" w:rsidR="006F1DB1" w:rsidP="006F1DB1" w:rsidRDefault="006F1DB1" w14:paraId="75E86A02" w14:textId="77777777">
      <w:pPr>
        <w:spacing w:after="0" w:line="240" w:lineRule="auto"/>
        <w:jc w:val="both"/>
        <w:rPr>
          <w:rFonts w:ascii="Century Gothic" w:hAnsi="Century Gothic" w:cs="Arial"/>
          <w:bCs/>
          <w:sz w:val="20"/>
          <w:szCs w:val="20"/>
          <w:lang w:val="es-ES_tradnl" w:eastAsia="es-ES"/>
        </w:rPr>
      </w:pPr>
    </w:p>
    <w:p w:rsidRPr="0035249A" w:rsidR="00E73923" w:rsidP="00B76E46" w:rsidRDefault="00DC0327" w14:paraId="7B0E9F1C" w14:textId="5B86F546">
      <w:pPr>
        <w:spacing w:after="0" w:line="240" w:lineRule="auto"/>
        <w:jc w:val="both"/>
        <w:rPr>
          <w:rFonts w:ascii="Century Gothic" w:hAnsi="Century Gothic" w:cs="Arial"/>
          <w:bCs/>
          <w:sz w:val="20"/>
          <w:szCs w:val="20"/>
          <w:lang w:val="es-ES_tradnl" w:eastAsia="es-ES"/>
        </w:rPr>
      </w:pPr>
      <w:r w:rsidRPr="0035249A">
        <w:rPr>
          <w:rFonts w:ascii="Century Gothic" w:hAnsi="Century Gothic" w:cs="Arial"/>
          <w:bCs/>
          <w:sz w:val="20"/>
          <w:szCs w:val="20"/>
          <w:lang w:val="es-ES" w:eastAsia="es-ES"/>
        </w:rPr>
        <w:t>E</w:t>
      </w:r>
      <w:r w:rsidRPr="0035249A">
        <w:rPr>
          <w:rFonts w:ascii="Century Gothic" w:hAnsi="Century Gothic" w:cs="Arial"/>
          <w:bCs/>
          <w:sz w:val="20"/>
          <w:szCs w:val="20"/>
          <w:lang w:val="es-ES" w:eastAsia="es-ES"/>
        </w:rPr>
        <w:t>n lo que respecta a la expresión “</w:t>
      </w:r>
      <w:r w:rsidRPr="0035249A">
        <w:rPr>
          <w:rFonts w:ascii="Century Gothic" w:hAnsi="Century Gothic" w:cs="Arial"/>
          <w:bCs/>
          <w:i/>
          <w:sz w:val="20"/>
          <w:szCs w:val="20"/>
          <w:lang w:val="es-ES" w:eastAsia="es-ES"/>
        </w:rPr>
        <w:t>pueblos indígenas y tribales</w:t>
      </w:r>
      <w:r w:rsidRPr="0035249A">
        <w:rPr>
          <w:rFonts w:ascii="Century Gothic" w:hAnsi="Century Gothic" w:cs="Arial"/>
          <w:bCs/>
          <w:sz w:val="20"/>
          <w:szCs w:val="20"/>
          <w:lang w:val="es-ES" w:eastAsia="es-ES"/>
        </w:rPr>
        <w:t xml:space="preserve">”, ha de precisarse que abarca a todos los pueblos y/o comunidades que conservan total o parcialmente sus tradiciones o costumbres, instituciones y organización social, ello quiere decir, que no solo los pueblos indígenas son titulares de los preceptos establecidos en el convenio 169 aprobado por la Ley 21 de 1991, sino que otros grupos étnicos diferenciados, como es el caso de las </w:t>
      </w:r>
      <w:r w:rsidRPr="0035249A">
        <w:rPr>
          <w:rFonts w:ascii="Century Gothic" w:hAnsi="Century Gothic" w:cs="Arial"/>
          <w:bCs/>
          <w:sz w:val="20"/>
          <w:szCs w:val="20"/>
          <w:lang w:val="es-ES_tradnl" w:eastAsia="es-ES"/>
        </w:rPr>
        <w:t xml:space="preserve">Comunidades Negras, Afrodescendientes, Raizales y Palenqueras, quienes también son titulares de los derechos ligados a la autonomía, diversidad cultural, defensa de los territorios, participación, entre otros.  </w:t>
      </w:r>
    </w:p>
    <w:p w:rsidRPr="0035249A" w:rsidR="00DC0327" w:rsidP="00B76E46" w:rsidRDefault="00DC0327" w14:paraId="2EDE3ADA" w14:textId="77777777">
      <w:pPr>
        <w:spacing w:after="0" w:line="240" w:lineRule="auto"/>
        <w:jc w:val="both"/>
        <w:rPr>
          <w:rFonts w:ascii="Century Gothic" w:hAnsi="Century Gothic" w:eastAsia="Calibri" w:cs="Arial"/>
          <w:bCs/>
          <w:sz w:val="20"/>
          <w:szCs w:val="20"/>
          <w:lang w:val="es-ES_tradnl"/>
        </w:rPr>
      </w:pPr>
    </w:p>
    <w:p w:rsidRPr="0035249A" w:rsidR="00E73923" w:rsidP="00B76E46" w:rsidRDefault="00E73923" w14:paraId="0A7E8036" w14:textId="46422884">
      <w:pPr>
        <w:spacing w:after="0" w:line="240" w:lineRule="auto"/>
        <w:jc w:val="both"/>
        <w:rPr>
          <w:rFonts w:ascii="Century Gothic" w:hAnsi="Century Gothic" w:eastAsia="Calibri" w:cs="Arial"/>
          <w:bCs/>
          <w:sz w:val="20"/>
          <w:szCs w:val="20"/>
          <w:lang w:val="es-ES_tradnl"/>
        </w:rPr>
      </w:pPr>
      <w:r w:rsidRPr="0035249A">
        <w:rPr>
          <w:rFonts w:ascii="Century Gothic" w:hAnsi="Century Gothic" w:eastAsia="Calibri" w:cs="Arial"/>
          <w:bCs/>
          <w:sz w:val="20"/>
          <w:szCs w:val="20"/>
          <w:lang w:val="es-ES_tradnl"/>
        </w:rPr>
        <w:t>[…]</w:t>
      </w:r>
    </w:p>
    <w:p w:rsidRPr="0035249A" w:rsidR="00B76E46" w:rsidP="00B76E46" w:rsidRDefault="00B76E46" w14:paraId="37A612D4" w14:textId="77777777">
      <w:pPr>
        <w:spacing w:after="0" w:line="240" w:lineRule="auto"/>
        <w:jc w:val="both"/>
        <w:rPr>
          <w:rFonts w:ascii="Century Gothic" w:hAnsi="Century Gothic"/>
          <w:b/>
          <w:bCs/>
          <w:sz w:val="20"/>
          <w:szCs w:val="20"/>
        </w:rPr>
      </w:pPr>
    </w:p>
    <w:p w:rsidRPr="0035249A" w:rsidR="006264FE" w:rsidP="00B76E46" w:rsidRDefault="000E206A" w14:paraId="26235D10" w14:textId="4B06A7B0">
      <w:pPr>
        <w:spacing w:after="0" w:line="240" w:lineRule="auto"/>
        <w:jc w:val="both"/>
        <w:rPr>
          <w:rFonts w:ascii="Century Gothic" w:hAnsi="Century Gothic"/>
          <w:sz w:val="20"/>
          <w:szCs w:val="20"/>
        </w:rPr>
      </w:pPr>
      <w:r w:rsidRPr="0035249A">
        <w:rPr>
          <w:rFonts w:ascii="Century Gothic" w:hAnsi="Century Gothic"/>
          <w:sz w:val="20"/>
          <w:szCs w:val="20"/>
          <w:lang w:val="es-ES"/>
        </w:rPr>
        <w:t>D</w:t>
      </w:r>
      <w:r w:rsidRPr="0035249A">
        <w:rPr>
          <w:rFonts w:ascii="Century Gothic" w:hAnsi="Century Gothic"/>
          <w:sz w:val="20"/>
          <w:szCs w:val="20"/>
          <w:lang w:val="es-ES"/>
        </w:rPr>
        <w:t xml:space="preserve">entro del marco jurídico aplicable a los contratos estatales existen disposiciones que regulan la celebración de contratos que involucran como cocontratantes de las Entidades Estatales a diferentes instancias de representación de las </w:t>
      </w:r>
      <w:r w:rsidRPr="0035249A">
        <w:rPr>
          <w:rFonts w:ascii="Century Gothic" w:hAnsi="Century Gothic"/>
          <w:sz w:val="20"/>
          <w:szCs w:val="20"/>
          <w:lang w:val="es-ES_tradnl"/>
        </w:rPr>
        <w:t xml:space="preserve">comunidades negras, afrodescendientes, raizales y palenqueras. </w:t>
      </w:r>
      <w:r w:rsidRPr="0035249A">
        <w:rPr>
          <w:rFonts w:ascii="Century Gothic" w:hAnsi="Century Gothic"/>
          <w:sz w:val="20"/>
          <w:szCs w:val="20"/>
          <w:lang w:val="es-ES"/>
        </w:rPr>
        <w:t>A través de estas disposiciones el legislador ha atribuido capacidad jurídica y contractual a diversas formas organizativas, estableciendo unos supuestos de hecho y requisitos con sujeción a los cuales procede la celebración de acuerdos de naturaleza contractual con dichos agentes.</w:t>
      </w:r>
    </w:p>
    <w:p w:rsidRPr="0035249A" w:rsidR="00B76E46" w:rsidP="00B76E46" w:rsidRDefault="00B76E46" w14:paraId="2384860D" w14:textId="77777777">
      <w:pPr>
        <w:spacing w:after="0" w:line="240" w:lineRule="auto"/>
        <w:jc w:val="both"/>
        <w:rPr>
          <w:rFonts w:ascii="Century Gothic" w:hAnsi="Century Gothic"/>
          <w:b/>
          <w:bCs/>
          <w:sz w:val="20"/>
          <w:szCs w:val="20"/>
        </w:rPr>
      </w:pPr>
    </w:p>
    <w:p w:rsidRPr="0035249A" w:rsidR="006F3D28" w:rsidP="00B76E46" w:rsidRDefault="00B76E46" w14:paraId="057BB4AE" w14:textId="08049151">
      <w:pPr>
        <w:spacing w:after="0"/>
        <w:jc w:val="both"/>
        <w:rPr>
          <w:rFonts w:ascii="Century Gothic" w:hAnsi="Century Gothic"/>
          <w:b/>
          <w:sz w:val="20"/>
          <w:szCs w:val="20"/>
          <w:lang w:val="es-MX"/>
        </w:rPr>
      </w:pPr>
      <w:r w:rsidRPr="0035249A">
        <w:rPr>
          <w:rFonts w:ascii="Century Gothic" w:hAnsi="Century Gothic"/>
          <w:b/>
          <w:sz w:val="20"/>
          <w:szCs w:val="20"/>
          <w:lang w:val="es-MX"/>
        </w:rPr>
        <w:t xml:space="preserve">CAPACIDAD PARA CONTRATAR – Consejos comunitarios de las comunidades negras Organizaciones de Base – Formas o expresiones organizativas </w:t>
      </w:r>
    </w:p>
    <w:p w:rsidRPr="0035249A" w:rsidR="00B76E46" w:rsidP="00B76E46" w:rsidRDefault="00B76E46" w14:paraId="5523441E" w14:textId="77777777">
      <w:pPr>
        <w:spacing w:after="0"/>
        <w:jc w:val="both"/>
        <w:rPr>
          <w:rFonts w:ascii="Century Gothic" w:hAnsi="Century Gothic"/>
          <w:b/>
          <w:sz w:val="20"/>
          <w:szCs w:val="20"/>
          <w:lang w:val="es-MX"/>
        </w:rPr>
      </w:pPr>
    </w:p>
    <w:p w:rsidRPr="0035249A" w:rsidR="00B76E46" w:rsidP="00B76E46" w:rsidRDefault="0080648E" w14:paraId="274A4BCF" w14:textId="7BE7F4F5">
      <w:pPr>
        <w:spacing w:after="0"/>
        <w:jc w:val="both"/>
        <w:rPr>
          <w:rFonts w:ascii="Century Gothic" w:hAnsi="Century Gothic" w:eastAsia="Calibri" w:cs="Arial"/>
          <w:sz w:val="20"/>
          <w:szCs w:val="20"/>
          <w:lang w:val="es-ES"/>
        </w:rPr>
      </w:pPr>
      <w:r w:rsidRPr="0035249A">
        <w:rPr>
          <w:rFonts w:ascii="Century Gothic" w:hAnsi="Century Gothic" w:eastAsia="Calibri" w:cs="Arial"/>
          <w:sz w:val="20"/>
          <w:szCs w:val="20"/>
          <w:lang w:val="es-ES_tradnl"/>
        </w:rPr>
        <w:t>La</w:t>
      </w:r>
      <w:r w:rsidRPr="0035249A">
        <w:rPr>
          <w:rFonts w:ascii="Century Gothic" w:hAnsi="Century Gothic" w:eastAsia="Calibri" w:cs="Arial"/>
          <w:sz w:val="20"/>
          <w:szCs w:val="20"/>
          <w:lang w:val="es-ES_tradnl"/>
        </w:rPr>
        <w:t xml:space="preserve"> Ley 2160 del 2021 “</w:t>
      </w:r>
      <w:r w:rsidRPr="0035249A">
        <w:rPr>
          <w:rFonts w:ascii="Century Gothic" w:hAnsi="Century Gothic" w:eastAsia="Calibri" w:cs="Arial"/>
          <w:i/>
          <w:iCs/>
          <w:sz w:val="20"/>
          <w:szCs w:val="20"/>
          <w:lang w:val="es-ES"/>
        </w:rPr>
        <w:t>por medio del cual se modifica la ley 80 de 1993 y la ley 1150 de 2007</w:t>
      </w:r>
      <w:r w:rsidRPr="0035249A">
        <w:rPr>
          <w:rFonts w:ascii="Century Gothic" w:hAnsi="Century Gothic" w:eastAsia="Calibri" w:cs="Arial"/>
          <w:sz w:val="20"/>
          <w:szCs w:val="20"/>
          <w:lang w:val="es-ES_tradnl"/>
        </w:rPr>
        <w:t xml:space="preserve">”, confirió de manera expresa capacidad jurídica a las </w:t>
      </w:r>
      <w:r w:rsidRPr="0035249A">
        <w:rPr>
          <w:rFonts w:ascii="Century Gothic" w:hAnsi="Century Gothic" w:eastAsia="Calibri" w:cs="Arial"/>
          <w:sz w:val="20"/>
          <w:szCs w:val="20"/>
          <w:lang w:val="es-ES"/>
        </w:rPr>
        <w:t>organizaciones de base de comunidades negras, afrocolombianas, raizales y palenqueras para celebrar contratos con Entidades Estatales. Esto en atención a la necesidad de incluir dentro del Estatuto General de Contratación de la Administración Pública disposiciones que facilitaran la celebración de contratos estatales con objetos dirigidos a proteger los elementos propios de la identidad y los derechos de estas comunidades, integrando de manera directa a sus formas organizativas dentro del ciclo de la contratación</w:t>
      </w:r>
      <w:r w:rsidRPr="0035249A" w:rsidR="00ED4E14">
        <w:rPr>
          <w:rFonts w:ascii="Century Gothic" w:hAnsi="Century Gothic" w:eastAsia="Calibri" w:cs="Arial"/>
          <w:sz w:val="20"/>
          <w:szCs w:val="20"/>
          <w:lang w:val="es-ES"/>
        </w:rPr>
        <w:t xml:space="preserve">. </w:t>
      </w:r>
    </w:p>
    <w:p w:rsidRPr="0035249A" w:rsidR="00853B2D" w:rsidP="00B76E46" w:rsidRDefault="00853B2D" w14:paraId="0E22A569" w14:textId="77777777">
      <w:pPr>
        <w:spacing w:after="0"/>
        <w:jc w:val="both"/>
        <w:rPr>
          <w:rFonts w:ascii="Century Gothic" w:hAnsi="Century Gothic" w:eastAsia="Calibri" w:cs="Arial"/>
          <w:sz w:val="20"/>
          <w:szCs w:val="20"/>
          <w:lang w:val="es-ES"/>
        </w:rPr>
      </w:pPr>
    </w:p>
    <w:p w:rsidRPr="0035249A" w:rsidR="00853B2D" w:rsidP="00853B2D" w:rsidRDefault="00853B2D" w14:paraId="71C0255B" w14:textId="77777777">
      <w:pPr>
        <w:spacing w:after="0" w:line="240" w:lineRule="auto"/>
        <w:jc w:val="both"/>
        <w:rPr>
          <w:rFonts w:ascii="Century Gothic" w:hAnsi="Century Gothic" w:eastAsia="Calibri" w:cs="Arial"/>
          <w:bCs/>
          <w:sz w:val="20"/>
          <w:szCs w:val="20"/>
          <w:lang w:val="es-ES_tradnl"/>
        </w:rPr>
      </w:pPr>
      <w:r w:rsidRPr="0035249A">
        <w:rPr>
          <w:rFonts w:ascii="Century Gothic" w:hAnsi="Century Gothic" w:eastAsia="Calibri" w:cs="Arial"/>
          <w:bCs/>
          <w:sz w:val="20"/>
          <w:szCs w:val="20"/>
          <w:lang w:val="es-ES_tradnl"/>
        </w:rPr>
        <w:t>[…]</w:t>
      </w:r>
    </w:p>
    <w:p w:rsidRPr="0035249A" w:rsidR="00853B2D" w:rsidP="00B76E46" w:rsidRDefault="00853B2D" w14:paraId="5462EA37" w14:textId="77777777">
      <w:pPr>
        <w:spacing w:after="0"/>
        <w:jc w:val="both"/>
        <w:rPr>
          <w:rFonts w:ascii="Century Gothic" w:hAnsi="Century Gothic" w:eastAsia="Calibri" w:cs="Arial"/>
          <w:sz w:val="20"/>
          <w:szCs w:val="20"/>
          <w:lang w:val="es-ES"/>
        </w:rPr>
      </w:pPr>
    </w:p>
    <w:p w:rsidRPr="0035249A" w:rsidR="00853B2D" w:rsidP="00B76E46" w:rsidRDefault="00853B2D" w14:paraId="7678B41A" w14:textId="15D55E80">
      <w:pPr>
        <w:spacing w:after="0"/>
        <w:jc w:val="both"/>
        <w:rPr>
          <w:rFonts w:ascii="Century Gothic" w:hAnsi="Century Gothic"/>
          <w:bCs/>
          <w:sz w:val="20"/>
          <w:szCs w:val="20"/>
          <w:lang w:val="es-MX"/>
        </w:rPr>
      </w:pPr>
      <w:r w:rsidRPr="0035249A">
        <w:rPr>
          <w:rFonts w:ascii="Century Gothic" w:hAnsi="Century Gothic"/>
          <w:bCs/>
          <w:sz w:val="20"/>
          <w:szCs w:val="20"/>
        </w:rPr>
        <w:t>E</w:t>
      </w:r>
      <w:r w:rsidRPr="0035249A">
        <w:rPr>
          <w:rFonts w:ascii="Century Gothic" w:hAnsi="Century Gothic"/>
          <w:bCs/>
          <w:sz w:val="20"/>
          <w:szCs w:val="20"/>
        </w:rPr>
        <w:t>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la modificación realizada por el artículo 1 de la Ley 2160 de 2021.  Entre las definiciones incluidas se destacan las de Organizaciones de Segundo nivel, Consejo comunitario de las comunidades negras, formas o expresiones organizativas, organizaciones de base de comunidades negras, afrocolombianas, raizales y palenqueras</w:t>
      </w:r>
      <w:r w:rsidRPr="0035249A" w:rsidR="00B74BFB">
        <w:rPr>
          <w:rFonts w:ascii="Century Gothic" w:hAnsi="Century Gothic"/>
          <w:bCs/>
          <w:sz w:val="20"/>
          <w:szCs w:val="20"/>
        </w:rPr>
        <w:t>.</w:t>
      </w:r>
    </w:p>
    <w:p w:rsidRPr="0035249A" w:rsidR="00B76E46" w:rsidP="00B76E46" w:rsidRDefault="00B76E46" w14:paraId="21E33AE7" w14:textId="77777777">
      <w:pPr>
        <w:spacing w:after="0"/>
        <w:jc w:val="both"/>
        <w:rPr>
          <w:rFonts w:ascii="Century Gothic" w:hAnsi="Century Gothic"/>
          <w:b/>
          <w:sz w:val="20"/>
          <w:szCs w:val="20"/>
        </w:rPr>
      </w:pPr>
    </w:p>
    <w:p w:rsidRPr="0035249A" w:rsidR="00B76E46" w:rsidP="00B76E46" w:rsidRDefault="00B76E46" w14:paraId="5428B5DE" w14:textId="77777777">
      <w:pPr>
        <w:spacing w:after="0"/>
        <w:jc w:val="both"/>
        <w:rPr>
          <w:rFonts w:ascii="Century Gothic" w:hAnsi="Century Gothic"/>
          <w:b/>
          <w:sz w:val="20"/>
          <w:szCs w:val="20"/>
        </w:rPr>
      </w:pPr>
      <w:r w:rsidRPr="0035249A">
        <w:rPr>
          <w:rFonts w:ascii="Century Gothic" w:hAnsi="Century Gothic"/>
          <w:b/>
          <w:sz w:val="20"/>
          <w:szCs w:val="20"/>
          <w:lang w:val="es-MX"/>
        </w:rPr>
        <w:t>CONTRATACIÓN DIRECTA – Aplicación restrictiva – Literales M y N, numeral 4, artículo 2 de la Ley 1150 de 2007</w:t>
      </w:r>
    </w:p>
    <w:p w:rsidRPr="0035249A" w:rsidR="00B76E46" w:rsidP="00B76E46" w:rsidRDefault="00B76E46" w14:paraId="027252FD" w14:textId="77777777">
      <w:pPr>
        <w:spacing w:after="0"/>
        <w:jc w:val="both"/>
        <w:rPr>
          <w:rFonts w:ascii="Century Gothic" w:hAnsi="Century Gothic"/>
          <w:b/>
          <w:sz w:val="20"/>
          <w:szCs w:val="20"/>
        </w:rPr>
      </w:pPr>
    </w:p>
    <w:p w:rsidRPr="0035249A" w:rsidR="00DE24A2" w:rsidP="00B76E46" w:rsidRDefault="00B34802" w14:paraId="37BE4960" w14:textId="7687DE81">
      <w:pPr>
        <w:spacing w:after="0"/>
        <w:jc w:val="both"/>
        <w:rPr>
          <w:rFonts w:ascii="Century Gothic" w:hAnsi="Century Gothic" w:cs="Arial"/>
          <w:sz w:val="20"/>
          <w:szCs w:val="20"/>
          <w:lang w:val="es-ES_tradnl"/>
        </w:rPr>
      </w:pPr>
      <w:r w:rsidRPr="0035249A">
        <w:rPr>
          <w:rFonts w:ascii="Century Gothic" w:hAnsi="Century Gothic" w:eastAsia="Calibri" w:cs="Arial"/>
          <w:sz w:val="20"/>
          <w:szCs w:val="20"/>
          <w:lang w:val="es-ES"/>
        </w:rPr>
        <w:t>Ley 2160 de 2021 también introdujo modificaciones en la Ley 1150 de 2007, específicamente en el artículo 2</w:t>
      </w:r>
      <w:r w:rsidRPr="0035249A">
        <w:rPr>
          <w:rFonts w:ascii="Century Gothic" w:hAnsi="Century Gothic" w:cs="Arial"/>
          <w:sz w:val="20"/>
          <w:szCs w:val="20"/>
          <w:lang w:val="es-ES_tradnl"/>
        </w:rPr>
        <w:t>, adicionando los literales M y N al numeral 4, creando unas causales de contratación directa aplicables de manera exclusiva a los entes organizativos a los que les atribuyen capacidad contractual los artículos 6 y 7 de la Ley 80 de 1993, por cuenta de las modificaciones aquí explicadas.</w:t>
      </w:r>
      <w:r w:rsidRPr="0035249A">
        <w:rPr>
          <w:rFonts w:ascii="Century Gothic" w:hAnsi="Century Gothic" w:eastAsia="Calibri" w:cs="Arial"/>
          <w:sz w:val="20"/>
          <w:szCs w:val="20"/>
          <w:lang w:val="es-ES"/>
        </w:rPr>
        <w:t xml:space="preserve"> Estas causales enfocan la colaboración entre la Entidades Estatales y los entes organizativos de</w:t>
      </w:r>
      <w:r w:rsidRPr="0035249A">
        <w:rPr>
          <w:rFonts w:ascii="Century Gothic" w:hAnsi="Century Gothic" w:cs="Arial"/>
          <w:sz w:val="20"/>
          <w:szCs w:val="20"/>
          <w:lang w:val="es-ES_tradnl"/>
        </w:rPr>
        <w:t xml:space="preserve"> la población negra, afrodescendiente, raizal y palenquera a objetos que busquen unas finalidades específicas</w:t>
      </w:r>
      <w:r w:rsidRPr="0035249A" w:rsidR="006C0DE2">
        <w:rPr>
          <w:rFonts w:ascii="Century Gothic" w:hAnsi="Century Gothic" w:cs="Arial"/>
          <w:sz w:val="20"/>
          <w:szCs w:val="20"/>
          <w:lang w:val="es-ES_tradnl"/>
        </w:rPr>
        <w:t>.</w:t>
      </w:r>
    </w:p>
    <w:p w:rsidRPr="0035249A" w:rsidR="006C0DE2" w:rsidP="00B76E46" w:rsidRDefault="006C0DE2" w14:paraId="601B5BB7" w14:textId="77777777">
      <w:pPr>
        <w:spacing w:after="0"/>
        <w:jc w:val="both"/>
        <w:rPr>
          <w:rFonts w:ascii="Century Gothic" w:hAnsi="Century Gothic" w:cs="Arial"/>
          <w:sz w:val="20"/>
          <w:szCs w:val="20"/>
          <w:lang w:val="es-ES_tradnl"/>
        </w:rPr>
      </w:pPr>
    </w:p>
    <w:p w:rsidRPr="0035249A" w:rsidR="006C0DE2" w:rsidP="006C0DE2" w:rsidRDefault="006C0DE2" w14:paraId="087CC515" w14:textId="77777777">
      <w:pPr>
        <w:spacing w:after="0" w:line="240" w:lineRule="auto"/>
        <w:jc w:val="both"/>
        <w:rPr>
          <w:rFonts w:ascii="Century Gothic" w:hAnsi="Century Gothic" w:eastAsia="Calibri" w:cs="Arial"/>
          <w:bCs/>
          <w:sz w:val="20"/>
          <w:szCs w:val="20"/>
          <w:lang w:val="es-ES_tradnl"/>
        </w:rPr>
      </w:pPr>
      <w:r w:rsidRPr="0035249A">
        <w:rPr>
          <w:rFonts w:ascii="Century Gothic" w:hAnsi="Century Gothic" w:eastAsia="Calibri" w:cs="Arial"/>
          <w:bCs/>
          <w:sz w:val="20"/>
          <w:szCs w:val="20"/>
          <w:lang w:val="es-ES_tradnl"/>
        </w:rPr>
        <w:t>[…]</w:t>
      </w:r>
    </w:p>
    <w:p w:rsidRPr="0035249A" w:rsidR="006C0DE2" w:rsidP="00B76E46" w:rsidRDefault="006C0DE2" w14:paraId="775A9772" w14:textId="77777777">
      <w:pPr>
        <w:spacing w:after="0"/>
        <w:jc w:val="both"/>
        <w:rPr>
          <w:rFonts w:ascii="Century Gothic" w:hAnsi="Century Gothic" w:cs="Arial"/>
          <w:sz w:val="20"/>
          <w:szCs w:val="20"/>
          <w:lang w:val="es-ES_tradnl"/>
        </w:rPr>
      </w:pPr>
    </w:p>
    <w:p w:rsidRPr="0035249A" w:rsidR="006C0DE2" w:rsidP="00B76E46" w:rsidRDefault="006C0DE2" w14:paraId="2B0E231E" w14:textId="1E8CD439">
      <w:pPr>
        <w:spacing w:after="0"/>
        <w:jc w:val="both"/>
        <w:rPr>
          <w:rFonts w:ascii="Century Gothic" w:hAnsi="Century Gothic"/>
          <w:bCs/>
          <w:sz w:val="20"/>
          <w:szCs w:val="20"/>
        </w:rPr>
      </w:pPr>
      <w:r w:rsidRPr="0035249A">
        <w:rPr>
          <w:rFonts w:ascii="Century Gothic" w:hAnsi="Century Gothic"/>
          <w:bCs/>
          <w:sz w:val="20"/>
          <w:szCs w:val="20"/>
          <w:lang w:val="es-ES"/>
        </w:rPr>
        <w:t>L</w:t>
      </w:r>
      <w:r w:rsidRPr="0035249A">
        <w:rPr>
          <w:rFonts w:ascii="Century Gothic" w:hAnsi="Century Gothic"/>
          <w:bCs/>
          <w:sz w:val="20"/>
          <w:szCs w:val="20"/>
          <w:lang w:val="es-ES"/>
        </w:rPr>
        <w:t xml:space="preserve">os literales M) y N) del artículo 2, numeral 4 de la Ley 1150 de 2007 consagran disposiciones que autorizan a las Entidades Estatales a contratar de manera directa con los </w:t>
      </w:r>
      <w:r w:rsidRPr="0035249A">
        <w:rPr>
          <w:rFonts w:ascii="Century Gothic" w:hAnsi="Century Gothic"/>
          <w:bCs/>
          <w:sz w:val="20"/>
          <w:szCs w:val="20"/>
        </w:rPr>
        <w:t>consejos comunitarios de las comunidades negras y organizaciones de base de personas pertenecientes a comunidades afrocolombianas, raizales y palenqueras o con otras formas y expresiones organizativas. En ese sentido, al igual que las otras causales de contratación directa previstas en el numeral 4 del artículo 2 de la Ley 1150 de 2007, estas suponen una excepción a la regla general que impone la selección del contratista a través del adelantamiento de proceso competitivo, estableciendo unas condiciones en atención a las cuales es permitido contratar de manera directa.</w:t>
      </w:r>
    </w:p>
    <w:p w:rsidRPr="0035249A" w:rsidR="00DE24A2" w:rsidP="00B76E46" w:rsidRDefault="00DE24A2" w14:paraId="368C17CA" w14:textId="77777777">
      <w:pPr>
        <w:spacing w:after="0"/>
        <w:jc w:val="both"/>
        <w:rPr>
          <w:rFonts w:ascii="Century Gothic" w:hAnsi="Century Gothic"/>
          <w:b/>
          <w:sz w:val="20"/>
          <w:szCs w:val="20"/>
        </w:rPr>
      </w:pPr>
    </w:p>
    <w:p w:rsidRPr="0035249A" w:rsidR="00B76E46" w:rsidP="00B76E46" w:rsidRDefault="00B76E46" w14:paraId="56675908" w14:textId="7BA48D29">
      <w:pPr>
        <w:spacing w:after="0"/>
        <w:jc w:val="both"/>
        <w:rPr>
          <w:rFonts w:ascii="Century Gothic" w:hAnsi="Century Gothic"/>
          <w:b w:val="1"/>
          <w:bCs w:val="1"/>
          <w:sz w:val="20"/>
          <w:szCs w:val="20"/>
        </w:rPr>
      </w:pPr>
      <w:r w:rsidRPr="594EC5B1" w:rsidR="00B76E46">
        <w:rPr>
          <w:rFonts w:ascii="Century Gothic" w:hAnsi="Century Gothic"/>
          <w:b w:val="1"/>
          <w:bCs w:val="1"/>
          <w:sz w:val="20"/>
          <w:szCs w:val="20"/>
          <w:lang w:val="es-MX"/>
        </w:rPr>
        <w:t>COMUNIDADES NEGRAS, AFRODESCENDIENTES, RAIZALES Y PALENQUERA</w:t>
      </w:r>
      <w:r w:rsidRPr="594EC5B1" w:rsidR="6F728390">
        <w:rPr>
          <w:rFonts w:ascii="Century Gothic" w:hAnsi="Century Gothic"/>
          <w:b w:val="1"/>
          <w:bCs w:val="1"/>
          <w:sz w:val="20"/>
          <w:szCs w:val="20"/>
          <w:lang w:val="es-MX"/>
        </w:rPr>
        <w:t>S</w:t>
      </w:r>
      <w:r w:rsidRPr="594EC5B1" w:rsidR="00B76E46">
        <w:rPr>
          <w:rFonts w:ascii="Century Gothic" w:hAnsi="Century Gothic"/>
          <w:b w:val="1"/>
          <w:bCs w:val="1"/>
          <w:sz w:val="20"/>
          <w:szCs w:val="20"/>
          <w:lang w:val="es-MX"/>
        </w:rPr>
        <w:t xml:space="preserve"> – Autonomía – Gobierno propio – Autonomía– Identidad cultural – Garantía de derechos – Nociones </w:t>
      </w:r>
    </w:p>
    <w:p w:rsidRPr="0035249A" w:rsidR="00B76E46" w:rsidP="00B76E46" w:rsidRDefault="00B76E46" w14:paraId="132188D1" w14:textId="77777777">
      <w:pPr>
        <w:spacing w:after="0"/>
        <w:jc w:val="both"/>
        <w:rPr>
          <w:rFonts w:ascii="Century Gothic" w:hAnsi="Century Gothic"/>
          <w:b/>
          <w:bCs/>
          <w:sz w:val="20"/>
          <w:szCs w:val="20"/>
        </w:rPr>
      </w:pPr>
    </w:p>
    <w:p w:rsidRPr="0035249A" w:rsidR="00565797" w:rsidP="00B76E46" w:rsidRDefault="00565797" w14:paraId="04D3AE2F" w14:textId="62553E1D">
      <w:pPr>
        <w:spacing w:after="0"/>
        <w:jc w:val="both"/>
        <w:rPr>
          <w:rFonts w:ascii="Arial" w:hAnsi="Arial" w:eastAsia="Arial" w:cs="Arial"/>
          <w:sz w:val="20"/>
          <w:szCs w:val="20"/>
          <w:lang w:val="es-ES_tradnl" w:eastAsia="es-ES_tradnl"/>
        </w:rPr>
      </w:pPr>
      <w:r w:rsidRPr="0035249A">
        <w:rPr>
          <w:rFonts w:ascii="Century Gothic" w:hAnsi="Century Gothic" w:cs="Arial"/>
          <w:color w:val="000000"/>
          <w:sz w:val="20"/>
          <w:szCs w:val="20"/>
        </w:rPr>
        <w:t>L</w:t>
      </w:r>
      <w:r w:rsidRPr="0035249A">
        <w:rPr>
          <w:rFonts w:ascii="Century Gothic" w:hAnsi="Century Gothic" w:cs="Arial"/>
          <w:color w:val="000000"/>
          <w:sz w:val="20"/>
          <w:szCs w:val="20"/>
        </w:rPr>
        <w:t xml:space="preserve">a </w:t>
      </w:r>
      <w:r w:rsidRPr="0035249A">
        <w:rPr>
          <w:rFonts w:ascii="Century Gothic" w:hAnsi="Century Gothic" w:cs="Arial"/>
          <w:i/>
          <w:iCs/>
          <w:color w:val="000000"/>
          <w:sz w:val="20"/>
          <w:szCs w:val="20"/>
        </w:rPr>
        <w:t>autonomía</w:t>
      </w:r>
      <w:r w:rsidRPr="0035249A">
        <w:rPr>
          <w:rFonts w:ascii="Century Gothic" w:hAnsi="Century Gothic" w:cs="Arial"/>
          <w:color w:val="000000"/>
          <w:sz w:val="20"/>
          <w:szCs w:val="20"/>
        </w:rPr>
        <w:t xml:space="preserve">, el </w:t>
      </w:r>
      <w:r w:rsidRPr="0035249A">
        <w:rPr>
          <w:rFonts w:ascii="Century Gothic" w:hAnsi="Century Gothic" w:cs="Arial"/>
          <w:i/>
          <w:iCs/>
          <w:sz w:val="20"/>
          <w:szCs w:val="20"/>
          <w:lang w:val="es-ES"/>
        </w:rPr>
        <w:t>gobierno propio</w:t>
      </w:r>
      <w:r w:rsidRPr="0035249A">
        <w:rPr>
          <w:rFonts w:ascii="Century Gothic" w:hAnsi="Century Gothic" w:cs="Arial"/>
          <w:sz w:val="20"/>
          <w:szCs w:val="20"/>
          <w:lang w:val="es-ES"/>
        </w:rPr>
        <w:t xml:space="preserve">, la </w:t>
      </w:r>
      <w:r w:rsidRPr="0035249A">
        <w:rPr>
          <w:rFonts w:ascii="Century Gothic" w:hAnsi="Century Gothic" w:cs="Arial"/>
          <w:i/>
          <w:iCs/>
          <w:sz w:val="20"/>
          <w:szCs w:val="20"/>
          <w:lang w:val="es-ES"/>
        </w:rPr>
        <w:t>identidad cultural</w:t>
      </w:r>
      <w:r w:rsidRPr="0035249A">
        <w:rPr>
          <w:rFonts w:ascii="Century Gothic" w:hAnsi="Century Gothic" w:cs="Arial"/>
          <w:sz w:val="20"/>
          <w:szCs w:val="20"/>
          <w:lang w:val="es-ES"/>
        </w:rPr>
        <w:t xml:space="preserve">, </w:t>
      </w:r>
      <w:r w:rsidRPr="0035249A">
        <w:rPr>
          <w:rFonts w:ascii="Century Gothic" w:hAnsi="Century Gothic" w:cs="Arial"/>
          <w:i/>
          <w:iCs/>
          <w:sz w:val="20"/>
          <w:szCs w:val="20"/>
          <w:lang w:val="es-ES"/>
        </w:rPr>
        <w:t xml:space="preserve">y la garantía de los derechos </w:t>
      </w:r>
      <w:r w:rsidRPr="0035249A">
        <w:rPr>
          <w:rFonts w:ascii="Century Gothic" w:hAnsi="Century Gothic" w:cs="Arial"/>
          <w:sz w:val="20"/>
          <w:szCs w:val="20"/>
          <w:lang w:val="es-ES"/>
        </w:rPr>
        <w:t>de las</w:t>
      </w:r>
      <w:r w:rsidRPr="0035249A">
        <w:rPr>
          <w:rFonts w:ascii="Century Gothic" w:hAnsi="Century Gothic" w:cs="Arial"/>
          <w:i/>
          <w:iCs/>
          <w:sz w:val="20"/>
          <w:szCs w:val="20"/>
          <w:lang w:val="es-ES"/>
        </w:rPr>
        <w:t xml:space="preserve"> comunidades</w:t>
      </w:r>
      <w:r w:rsidRPr="0035249A">
        <w:rPr>
          <w:rFonts w:ascii="Century Gothic" w:hAnsi="Century Gothic" w:cs="Arial"/>
          <w:color w:val="000000"/>
          <w:sz w:val="20"/>
          <w:szCs w:val="20"/>
        </w:rPr>
        <w:t xml:space="preserve">, se ofrecen como un conjunto de </w:t>
      </w:r>
      <w:r w:rsidRPr="0035249A">
        <w:rPr>
          <w:rFonts w:ascii="Century Gothic" w:hAnsi="Century Gothic" w:eastAsia="Calibri" w:cs="Arial"/>
          <w:bCs/>
          <w:sz w:val="20"/>
          <w:szCs w:val="20"/>
          <w:lang w:val="es-ES_tradnl" w:eastAsia="es-ES_tradnl"/>
        </w:rPr>
        <w:t>conceptos jurídicos indeterminados</w:t>
      </w:r>
      <w:r w:rsidRPr="0035249A">
        <w:rPr>
          <w:rFonts w:ascii="Century Gothic" w:hAnsi="Century Gothic" w:cs="Arial"/>
          <w:sz w:val="20"/>
          <w:szCs w:val="20"/>
          <w:lang w:val="es-ES"/>
        </w:rPr>
        <w:t xml:space="preserve">. </w:t>
      </w:r>
      <w:r w:rsidRPr="0035249A">
        <w:rPr>
          <w:rFonts w:ascii="Century Gothic" w:hAnsi="Century Gothic" w:eastAsia="Arial" w:cs="Arial"/>
          <w:sz w:val="20"/>
          <w:szCs w:val="20"/>
          <w:lang w:val="es-ES_tradnl" w:eastAsia="es-ES_tradnl"/>
        </w:rPr>
        <w:t xml:space="preserve">Un concepto adquiere esta denominación en el Derecho cuando se trata de un enunciado que goza de vaguedad y que debe materializarse en cada caso, atendiendo a las técnicas de la interpretación jurídica. La Corte Constitucional ha reconocido que el Congreso de la República, dentro de su libertad de configuración legislativa, puede emplear este tipo de </w:t>
      </w:r>
      <w:r w:rsidRPr="0035249A">
        <w:rPr>
          <w:rFonts w:ascii="Century Gothic" w:hAnsi="Century Gothic" w:eastAsia="Arial" w:cs="Arial"/>
          <w:sz w:val="20"/>
          <w:szCs w:val="20"/>
          <w:lang w:val="es-ES_tradnl" w:eastAsia="es-ES_tradnl"/>
        </w:rPr>
        <w:t>conceptos, que se caracterizan por tener un cierto halo de incertidumbre en su interpretación, quedando referida su determinación concreta a la actividad de los operadores jurídicos</w:t>
      </w:r>
      <w:r w:rsidRPr="0035249A">
        <w:rPr>
          <w:rFonts w:ascii="Arial" w:hAnsi="Arial" w:eastAsia="Arial" w:cs="Arial"/>
          <w:sz w:val="20"/>
          <w:szCs w:val="20"/>
          <w:lang w:val="es-ES_tradnl" w:eastAsia="es-ES_tradnl"/>
        </w:rPr>
        <w:t>.</w:t>
      </w:r>
    </w:p>
    <w:p w:rsidRPr="0035249A" w:rsidR="000F66F0" w:rsidP="00B76E46" w:rsidRDefault="000F66F0" w14:paraId="628A901B" w14:textId="77777777">
      <w:pPr>
        <w:spacing w:after="0"/>
        <w:jc w:val="both"/>
        <w:rPr>
          <w:rFonts w:ascii="Century Gothic" w:hAnsi="Century Gothic"/>
          <w:b/>
          <w:bCs/>
          <w:sz w:val="20"/>
          <w:szCs w:val="20"/>
        </w:rPr>
      </w:pPr>
    </w:p>
    <w:p w:rsidRPr="0035249A" w:rsidR="00B76E46" w:rsidP="00B76E46" w:rsidRDefault="00B76E46" w14:paraId="5CE0DA22" w14:textId="0FFDAC6E">
      <w:pPr>
        <w:spacing w:after="0"/>
        <w:jc w:val="both"/>
        <w:rPr>
          <w:rFonts w:ascii="Century Gothic" w:hAnsi="Century Gothic"/>
          <w:b w:val="1"/>
          <w:bCs w:val="1"/>
          <w:sz w:val="20"/>
          <w:szCs w:val="20"/>
        </w:rPr>
      </w:pPr>
      <w:r w:rsidRPr="04CAD13D" w:rsidR="00B76E46">
        <w:rPr>
          <w:rFonts w:ascii="Century Gothic" w:hAnsi="Century Gothic" w:eastAsia="Calibri" w:cs="Arial"/>
          <w:b w:val="1"/>
          <w:bCs w:val="1"/>
          <w:sz w:val="20"/>
          <w:szCs w:val="20"/>
          <w:lang w:val="es-MX" w:eastAsia="es-ES"/>
        </w:rPr>
        <w:t xml:space="preserve">OBRA PÚBLICA – Noción / INFRAESTRUCTURA DE TRANSPORTE – Noción – Integración / OBRA PÚBLICA DE INFRAESTRUCTURA DE </w:t>
      </w:r>
      <w:r w:rsidRPr="04CAD13D" w:rsidR="4454F4C3">
        <w:rPr>
          <w:rFonts w:ascii="Century Gothic" w:hAnsi="Century Gothic" w:eastAsia="Calibri" w:cs="Arial"/>
          <w:b w:val="1"/>
          <w:bCs w:val="1"/>
          <w:sz w:val="20"/>
          <w:szCs w:val="20"/>
          <w:lang w:val="es-MX" w:eastAsia="es-ES"/>
        </w:rPr>
        <w:t>TRANSPORTE –</w:t>
      </w:r>
      <w:r w:rsidRPr="04CAD13D" w:rsidR="00B76E46">
        <w:rPr>
          <w:rFonts w:ascii="Century Gothic" w:hAnsi="Century Gothic" w:eastAsia="Calibri" w:cs="Arial"/>
          <w:b w:val="1"/>
          <w:bCs w:val="1"/>
          <w:sz w:val="20"/>
          <w:szCs w:val="20"/>
          <w:lang w:val="es-MX" w:eastAsia="es-ES"/>
        </w:rPr>
        <w:t xml:space="preserve"> Contratación directa con Consejos Comunitarios y Organizaciones de Base</w:t>
      </w:r>
    </w:p>
    <w:p w:rsidRPr="0035249A" w:rsidR="00B76E46" w:rsidP="00E245AB" w:rsidRDefault="00B76E46" w14:paraId="31DC311D" w14:textId="77777777">
      <w:pPr>
        <w:spacing w:after="0"/>
        <w:rPr>
          <w:rFonts w:ascii="Century Gothic" w:hAnsi="Century Gothic"/>
          <w:sz w:val="20"/>
          <w:szCs w:val="20"/>
        </w:rPr>
      </w:pPr>
    </w:p>
    <w:p w:rsidRPr="0035249A" w:rsidR="00B76E46" w:rsidP="00F70158" w:rsidRDefault="00F70158" w14:paraId="43A7AE1B" w14:textId="3319BA0F">
      <w:pPr>
        <w:spacing w:after="0"/>
        <w:jc w:val="both"/>
        <w:rPr>
          <w:rFonts w:ascii="Century Gothic" w:hAnsi="Century Gothic"/>
          <w:sz w:val="20"/>
          <w:szCs w:val="20"/>
        </w:rPr>
      </w:pPr>
      <w:r w:rsidRPr="0035249A">
        <w:rPr>
          <w:rFonts w:ascii="Century Gothic" w:hAnsi="Century Gothic" w:eastAsia="Calibri"/>
          <w:color w:val="000000" w:themeColor="text1"/>
          <w:sz w:val="20"/>
          <w:szCs w:val="20"/>
          <w:lang w:val="es-ES_tradnl"/>
        </w:rPr>
        <w:t>E</w:t>
      </w:r>
      <w:r w:rsidRPr="0035249A">
        <w:rPr>
          <w:rFonts w:ascii="Century Gothic" w:hAnsi="Century Gothic" w:eastAsia="Calibri"/>
          <w:color w:val="000000" w:themeColor="text1"/>
          <w:sz w:val="20"/>
          <w:szCs w:val="20"/>
          <w:lang w:val="es-ES_tradnl"/>
        </w:rPr>
        <w:t xml:space="preserve">s conveniente explicar que, la obra es una tipología de los contratos estatales, entendidos estos últimos como los actos jurídicos generadores de obligaciones que han sido celebrados por alguna de las entidades estatales enlistadas en el artículo 2 del EGCAP.  </w:t>
      </w:r>
    </w:p>
    <w:p w:rsidRPr="0035249A" w:rsidR="00B76E46" w:rsidP="00E245AB" w:rsidRDefault="00B76E46" w14:paraId="2F3C1747" w14:textId="77777777">
      <w:pPr>
        <w:spacing w:after="0"/>
        <w:rPr>
          <w:rFonts w:ascii="Century Gothic" w:hAnsi="Century Gothic"/>
          <w:sz w:val="20"/>
          <w:szCs w:val="20"/>
        </w:rPr>
      </w:pPr>
    </w:p>
    <w:p w:rsidRPr="0035249A" w:rsidR="00F70158" w:rsidP="00E245AB" w:rsidRDefault="00F70158" w14:paraId="0D11D2A0" w14:textId="71F43409">
      <w:pPr>
        <w:spacing w:after="0"/>
        <w:rPr>
          <w:rFonts w:ascii="Century Gothic" w:hAnsi="Century Gothic"/>
          <w:sz w:val="20"/>
          <w:szCs w:val="20"/>
        </w:rPr>
      </w:pPr>
      <w:r w:rsidRPr="0035249A">
        <w:rPr>
          <w:rFonts w:ascii="Century Gothic" w:hAnsi="Century Gothic"/>
          <w:sz w:val="20"/>
          <w:szCs w:val="20"/>
        </w:rPr>
        <w:t>[…]</w:t>
      </w:r>
    </w:p>
    <w:p w:rsidRPr="0035249A" w:rsidR="00B76E46" w:rsidP="00E245AB" w:rsidRDefault="00B76E46" w14:paraId="0AFFF50E" w14:textId="77777777">
      <w:pPr>
        <w:spacing w:after="0"/>
        <w:rPr>
          <w:rFonts w:ascii="Century Gothic" w:hAnsi="Century Gothic"/>
          <w:sz w:val="20"/>
          <w:szCs w:val="20"/>
        </w:rPr>
      </w:pPr>
    </w:p>
    <w:p w:rsidRPr="0035249A" w:rsidR="00D17726" w:rsidP="00D17726" w:rsidRDefault="00D17726" w14:paraId="1DE1DE94" w14:textId="2D7C0B08">
      <w:pPr>
        <w:spacing w:after="0"/>
        <w:jc w:val="both"/>
        <w:rPr>
          <w:rFonts w:ascii="Century Gothic" w:hAnsi="Century Gothic"/>
          <w:sz w:val="20"/>
          <w:szCs w:val="20"/>
        </w:rPr>
      </w:pPr>
      <w:r w:rsidRPr="0035249A">
        <w:rPr>
          <w:rFonts w:ascii="Century Gothic" w:hAnsi="Century Gothic"/>
          <w:sz w:val="20"/>
          <w:szCs w:val="20"/>
          <w:lang w:val="es-ES_tradnl"/>
        </w:rPr>
        <w:t>L</w:t>
      </w:r>
      <w:r w:rsidRPr="0035249A">
        <w:rPr>
          <w:rFonts w:ascii="Century Gothic" w:hAnsi="Century Gothic"/>
          <w:sz w:val="20"/>
          <w:szCs w:val="20"/>
          <w:lang w:val="es-ES_tradnl"/>
        </w:rPr>
        <w:t xml:space="preserve">a infraestructura de transporte es definida por el artículo 2 de la Ley 1682 de 2013 como un </w:t>
      </w:r>
      <w:r w:rsidRPr="0035249A">
        <w:rPr>
          <w:rFonts w:ascii="Century Gothic" w:hAnsi="Century Gothic"/>
          <w:i/>
          <w:iCs/>
          <w:sz w:val="20"/>
          <w:szCs w:val="20"/>
          <w:lang w:val="es-ES_tradnl"/>
        </w:rPr>
        <w:t xml:space="preserve">“[…] </w:t>
      </w:r>
      <w:r w:rsidRPr="0035249A">
        <w:rPr>
          <w:rFonts w:ascii="Century Gothic" w:hAnsi="Century Gothic"/>
          <w:sz w:val="20"/>
          <w:szCs w:val="20"/>
          <w:lang w:val="es-ES_tradnl"/>
        </w:rPr>
        <w:t xml:space="preserve">un sistema de movilidad integrado por un </w:t>
      </w:r>
      <w:r w:rsidRPr="0035249A">
        <w:rPr>
          <w:rFonts w:ascii="Century Gothic" w:hAnsi="Century Gothic"/>
          <w:i/>
          <w:iCs/>
          <w:sz w:val="20"/>
          <w:szCs w:val="20"/>
          <w:lang w:val="es-ES_tradnl"/>
        </w:rPr>
        <w:t>conjunto de bienes tangibles, intangibles y aquellos que se encuentren relacionados con este</w:t>
      </w:r>
      <w:r w:rsidRPr="0035249A">
        <w:rPr>
          <w:rFonts w:ascii="Century Gothic" w:hAnsi="Century Gothic"/>
          <w:sz w:val="20"/>
          <w:szCs w:val="20"/>
          <w:lang w:val="es-ES_tradnl"/>
        </w:rPr>
        <w:t xml:space="preserv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  </w:t>
      </w:r>
    </w:p>
    <w:p w:rsidR="00B76E46" w:rsidP="00E245AB" w:rsidRDefault="00B76E46" w14:paraId="06300FAC" w14:textId="77777777">
      <w:pPr>
        <w:spacing w:after="0"/>
        <w:rPr>
          <w:rFonts w:ascii="Century Gothic" w:hAnsi="Century Gothic"/>
        </w:rPr>
      </w:pPr>
    </w:p>
    <w:p w:rsidR="00B76E46" w:rsidP="00E245AB" w:rsidRDefault="00B76E46" w14:paraId="350D5542" w14:textId="77777777">
      <w:pPr>
        <w:spacing w:after="0"/>
        <w:rPr>
          <w:rFonts w:ascii="Century Gothic" w:hAnsi="Century Gothic"/>
        </w:rPr>
      </w:pPr>
    </w:p>
    <w:p w:rsidR="00E560C7" w:rsidP="00E245AB" w:rsidRDefault="00E560C7" w14:paraId="5CA0940D" w14:textId="77777777">
      <w:pPr>
        <w:spacing w:after="0"/>
        <w:rPr>
          <w:rFonts w:ascii="Century Gothic" w:hAnsi="Century Gothic"/>
        </w:rPr>
      </w:pPr>
    </w:p>
    <w:p w:rsidR="00E560C7" w:rsidP="00E245AB" w:rsidRDefault="00E560C7" w14:paraId="5744DD69" w14:textId="77777777">
      <w:pPr>
        <w:spacing w:after="0"/>
        <w:rPr>
          <w:rFonts w:ascii="Century Gothic" w:hAnsi="Century Gothic"/>
        </w:rPr>
      </w:pPr>
    </w:p>
    <w:p w:rsidR="00E560C7" w:rsidP="00E245AB" w:rsidRDefault="00E560C7" w14:paraId="754014EF" w14:textId="77777777">
      <w:pPr>
        <w:spacing w:after="0"/>
        <w:rPr>
          <w:rFonts w:ascii="Century Gothic" w:hAnsi="Century Gothic"/>
        </w:rPr>
      </w:pPr>
    </w:p>
    <w:p w:rsidR="00E560C7" w:rsidP="00E245AB" w:rsidRDefault="00E560C7" w14:paraId="05FD329F" w14:textId="77777777">
      <w:pPr>
        <w:spacing w:after="0"/>
        <w:rPr>
          <w:rFonts w:ascii="Century Gothic" w:hAnsi="Century Gothic"/>
        </w:rPr>
      </w:pPr>
    </w:p>
    <w:p w:rsidR="00E560C7" w:rsidP="00E245AB" w:rsidRDefault="00E560C7" w14:paraId="510D3A7F" w14:textId="77777777">
      <w:pPr>
        <w:spacing w:after="0"/>
        <w:rPr>
          <w:rFonts w:ascii="Century Gothic" w:hAnsi="Century Gothic"/>
        </w:rPr>
      </w:pPr>
    </w:p>
    <w:p w:rsidR="00E560C7" w:rsidP="00E245AB" w:rsidRDefault="00E560C7" w14:paraId="621904AF" w14:textId="77777777">
      <w:pPr>
        <w:spacing w:after="0"/>
        <w:rPr>
          <w:rFonts w:ascii="Century Gothic" w:hAnsi="Century Gothic"/>
        </w:rPr>
      </w:pPr>
    </w:p>
    <w:p w:rsidR="00E560C7" w:rsidP="00E245AB" w:rsidRDefault="00E560C7" w14:paraId="41340299" w14:textId="77777777">
      <w:pPr>
        <w:spacing w:after="0"/>
        <w:rPr>
          <w:rFonts w:ascii="Century Gothic" w:hAnsi="Century Gothic"/>
        </w:rPr>
      </w:pPr>
    </w:p>
    <w:p w:rsidR="00E560C7" w:rsidP="00E245AB" w:rsidRDefault="00E560C7" w14:paraId="5D65CD5A" w14:textId="77777777">
      <w:pPr>
        <w:spacing w:after="0"/>
        <w:rPr>
          <w:rFonts w:ascii="Century Gothic" w:hAnsi="Century Gothic"/>
        </w:rPr>
      </w:pPr>
    </w:p>
    <w:p w:rsidR="00E560C7" w:rsidP="00E245AB" w:rsidRDefault="00E560C7" w14:paraId="4E1C53AB" w14:textId="77777777">
      <w:pPr>
        <w:spacing w:after="0"/>
        <w:rPr>
          <w:rFonts w:ascii="Century Gothic" w:hAnsi="Century Gothic"/>
        </w:rPr>
      </w:pPr>
    </w:p>
    <w:p w:rsidR="00E560C7" w:rsidP="00E245AB" w:rsidRDefault="00E560C7" w14:paraId="569D8672" w14:textId="77777777">
      <w:pPr>
        <w:spacing w:after="0"/>
        <w:rPr>
          <w:rFonts w:ascii="Century Gothic" w:hAnsi="Century Gothic"/>
        </w:rPr>
      </w:pPr>
    </w:p>
    <w:p w:rsidR="00E560C7" w:rsidP="00E245AB" w:rsidRDefault="00E560C7" w14:paraId="3087DBB5" w14:textId="77777777">
      <w:pPr>
        <w:spacing w:after="0"/>
        <w:rPr>
          <w:rFonts w:ascii="Century Gothic" w:hAnsi="Century Gothic"/>
        </w:rPr>
      </w:pPr>
    </w:p>
    <w:p w:rsidR="00E560C7" w:rsidP="00E245AB" w:rsidRDefault="00E560C7" w14:paraId="2FA9328E" w14:textId="77777777">
      <w:pPr>
        <w:spacing w:after="0"/>
        <w:rPr>
          <w:rFonts w:ascii="Century Gothic" w:hAnsi="Century Gothic"/>
        </w:rPr>
      </w:pPr>
    </w:p>
    <w:p w:rsidR="00B76E46" w:rsidP="00E245AB" w:rsidRDefault="00B76E46" w14:paraId="39B32C42" w14:textId="77777777">
      <w:pPr>
        <w:spacing w:after="0"/>
        <w:rPr>
          <w:rFonts w:ascii="Century Gothic" w:hAnsi="Century Gothic"/>
        </w:rPr>
      </w:pPr>
    </w:p>
    <w:p w:rsidR="00077A47" w:rsidP="00E245AB" w:rsidRDefault="00077A47" w14:paraId="6B710B89" w14:textId="77777777">
      <w:pPr>
        <w:spacing w:after="0"/>
        <w:rPr>
          <w:rFonts w:ascii="Century Gothic" w:hAnsi="Century Gothic"/>
        </w:rPr>
      </w:pPr>
    </w:p>
    <w:p w:rsidR="00077A47" w:rsidP="00E245AB" w:rsidRDefault="00077A47" w14:paraId="7481C4B0" w14:textId="77777777">
      <w:pPr>
        <w:spacing w:after="0"/>
        <w:rPr>
          <w:rFonts w:ascii="Century Gothic" w:hAnsi="Century Gothic"/>
        </w:rPr>
      </w:pPr>
    </w:p>
    <w:p w:rsidR="00077A47" w:rsidP="00E245AB" w:rsidRDefault="00077A47" w14:paraId="549E762B" w14:textId="77777777">
      <w:pPr>
        <w:spacing w:after="0"/>
        <w:rPr>
          <w:rFonts w:ascii="Century Gothic" w:hAnsi="Century Gothic"/>
        </w:rPr>
      </w:pPr>
    </w:p>
    <w:p w:rsidR="00077A47" w:rsidP="00E245AB" w:rsidRDefault="00077A47" w14:paraId="4788F17E" w14:textId="77777777">
      <w:pPr>
        <w:spacing w:after="0"/>
        <w:rPr>
          <w:rFonts w:ascii="Century Gothic" w:hAnsi="Century Gothic"/>
        </w:rPr>
      </w:pPr>
    </w:p>
    <w:p w:rsidR="00077A47" w:rsidP="00E245AB" w:rsidRDefault="00077A47" w14:paraId="40D0CA55" w14:textId="77777777">
      <w:pPr>
        <w:spacing w:after="0"/>
        <w:rPr>
          <w:rFonts w:ascii="Century Gothic" w:hAnsi="Century Gothic"/>
        </w:rPr>
      </w:pPr>
    </w:p>
    <w:p w:rsidR="00077A47" w:rsidP="00E245AB" w:rsidRDefault="00077A47" w14:paraId="011E619F" w14:textId="77777777">
      <w:pPr>
        <w:spacing w:after="0"/>
        <w:rPr>
          <w:rFonts w:ascii="Century Gothic" w:hAnsi="Century Gothic"/>
        </w:rPr>
      </w:pPr>
    </w:p>
    <w:p w:rsidR="006F3D28" w:rsidP="00E245AB" w:rsidRDefault="006F3D28" w14:paraId="639E4827" w14:textId="77777777">
      <w:pPr>
        <w:spacing w:after="0"/>
        <w:rPr>
          <w:rFonts w:ascii="Century Gothic" w:hAnsi="Century Gothic"/>
        </w:rPr>
      </w:pPr>
    </w:p>
    <w:p w:rsidRPr="00322A85" w:rsidR="00E245AB" w:rsidP="00E245AB" w:rsidRDefault="00E245AB" w14:paraId="3FE2184B" w14:textId="26B71463">
      <w:pPr>
        <w:spacing w:after="0"/>
        <w:rPr>
          <w:rFonts w:ascii="Century Gothic" w:hAnsi="Century Gothic"/>
        </w:rPr>
      </w:pPr>
      <w:r w:rsidRPr="00322A85">
        <w:rPr>
          <w:rFonts w:ascii="Century Gothic" w:hAnsi="Century Gothic"/>
        </w:rPr>
        <w:t xml:space="preserve">Bogotá D.C., </w:t>
      </w:r>
      <w:r w:rsidR="002C566A">
        <w:rPr>
          <w:rFonts w:ascii="Century Gothic" w:hAnsi="Century Gothic"/>
        </w:rPr>
        <w:t>21 de febrero del 2024</w:t>
      </w:r>
    </w:p>
    <w:p w:rsidR="00E245AB" w:rsidP="00E245AB" w:rsidRDefault="00E245AB" w14:paraId="5FCADBF9" w14:textId="77777777">
      <w:pPr>
        <w:spacing w:after="0"/>
        <w:rPr>
          <w:rFonts w:ascii="Century Gothic" w:hAnsi="Century Gothic"/>
        </w:rPr>
      </w:pPr>
    </w:p>
    <w:p w:rsidR="00753D00" w:rsidP="00753D00" w:rsidRDefault="00753D00" w14:paraId="4EBC52DC" w14:textId="59193932">
      <w:pPr>
        <w:spacing w:after="0"/>
        <w:jc w:val="right"/>
        <w:rPr>
          <w:rFonts w:ascii="Century Gothic" w:hAnsi="Century Gothic"/>
        </w:rPr>
      </w:pPr>
      <w:r w:rsidRPr="00753D00">
        <w:rPr>
          <w:rFonts w:ascii="Century Gothic" w:hAnsi="Century Gothic"/>
        </w:rPr>
        <w:drawing>
          <wp:inline distT="0" distB="0" distL="0" distR="0" wp14:anchorId="37B420C9" wp14:editId="39D40EC4">
            <wp:extent cx="3027212" cy="899610"/>
            <wp:effectExtent l="0" t="0" r="0" b="2540"/>
            <wp:docPr id="2081226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26275" name=""/>
                    <pic:cNvPicPr/>
                  </pic:nvPicPr>
                  <pic:blipFill>
                    <a:blip r:embed="rId11"/>
                    <a:stretch>
                      <a:fillRect/>
                    </a:stretch>
                  </pic:blipFill>
                  <pic:spPr>
                    <a:xfrm>
                      <a:off x="0" y="0"/>
                      <a:ext cx="3103269" cy="922212"/>
                    </a:xfrm>
                    <a:prstGeom prst="rect">
                      <a:avLst/>
                    </a:prstGeom>
                  </pic:spPr>
                </pic:pic>
              </a:graphicData>
            </a:graphic>
          </wp:inline>
        </w:drawing>
      </w:r>
    </w:p>
    <w:p w:rsidRPr="00322A85" w:rsidR="00753D00" w:rsidP="00E245AB" w:rsidRDefault="00753D00" w14:paraId="3EDAC86C" w14:textId="77777777">
      <w:pPr>
        <w:spacing w:after="0"/>
        <w:rPr>
          <w:rFonts w:ascii="Century Gothic" w:hAnsi="Century Gothic"/>
        </w:rPr>
      </w:pPr>
    </w:p>
    <w:bookmarkEnd w:id="0"/>
    <w:p w:rsidRPr="00A65B02" w:rsidR="00FD5D77" w:rsidP="00FD5D77" w:rsidRDefault="00864C29" w14:paraId="2FAC91E4" w14:textId="71DFE69F">
      <w:pPr>
        <w:spacing w:after="0"/>
        <w:rPr>
          <w:rFonts w:ascii="Century Gothic" w:hAnsi="Century Gothic"/>
        </w:rPr>
      </w:pPr>
      <w:r w:rsidRPr="001A0A60">
        <w:rPr>
          <w:rFonts w:ascii="Century Gothic" w:hAnsi="Century Gothic" w:cs="Arial"/>
          <w:lang w:val="es-MX"/>
        </w:rPr>
        <w:t>Doctora</w:t>
      </w:r>
      <w:r w:rsidR="006F3D28">
        <w:rPr>
          <w:rFonts w:ascii="Century Gothic" w:hAnsi="Century Gothic" w:cs="Arial"/>
          <w:lang w:val="es-MX"/>
        </w:rPr>
        <w:t>:</w:t>
      </w:r>
    </w:p>
    <w:p w:rsidRPr="00A65B02" w:rsidR="00FD5D77" w:rsidP="00FD5D77" w:rsidRDefault="00913299" w14:paraId="0A659E57" w14:textId="0E7C8B50">
      <w:pPr>
        <w:spacing w:after="0" w:line="276" w:lineRule="auto"/>
        <w:rPr>
          <w:rFonts w:ascii="Century Gothic" w:hAnsi="Century Gothic" w:cs="Arial"/>
          <w:b/>
          <w:bCs/>
          <w:lang w:val="es-MX"/>
        </w:rPr>
      </w:pPr>
      <w:r w:rsidRPr="001A0A60">
        <w:rPr>
          <w:rFonts w:ascii="Century Gothic" w:hAnsi="Century Gothic" w:cs="Arial"/>
          <w:b/>
          <w:bCs/>
          <w:lang w:val="es-MX"/>
        </w:rPr>
        <w:t>María</w:t>
      </w:r>
      <w:r w:rsidRPr="001A0A60" w:rsidR="00FD5D77">
        <w:rPr>
          <w:rFonts w:ascii="Century Gothic" w:hAnsi="Century Gothic" w:cs="Arial"/>
          <w:b/>
          <w:bCs/>
          <w:lang w:val="es-MX"/>
        </w:rPr>
        <w:t xml:space="preserve"> Victoria Arbel</w:t>
      </w:r>
      <w:r w:rsidRPr="001A0A60">
        <w:rPr>
          <w:rFonts w:ascii="Century Gothic" w:hAnsi="Century Gothic" w:cs="Arial"/>
          <w:b/>
          <w:bCs/>
          <w:lang w:val="es-MX"/>
        </w:rPr>
        <w:t>á</w:t>
      </w:r>
      <w:r w:rsidRPr="001A0A60" w:rsidR="00FD5D77">
        <w:rPr>
          <w:rFonts w:ascii="Century Gothic" w:hAnsi="Century Gothic" w:cs="Arial"/>
          <w:b/>
          <w:bCs/>
          <w:lang w:val="es-MX"/>
        </w:rPr>
        <w:t xml:space="preserve">ez </w:t>
      </w:r>
      <w:r w:rsidRPr="001A0A60">
        <w:rPr>
          <w:rFonts w:ascii="Century Gothic" w:hAnsi="Century Gothic" w:cs="Arial"/>
          <w:b/>
          <w:bCs/>
          <w:lang w:val="es-MX"/>
        </w:rPr>
        <w:t>González</w:t>
      </w:r>
    </w:p>
    <w:p w:rsidRPr="00A65B02" w:rsidR="00FD5D77" w:rsidP="00FD5D77" w:rsidRDefault="00FD5D77" w14:paraId="77782028" w14:textId="77777777">
      <w:pPr>
        <w:spacing w:after="0" w:line="276" w:lineRule="auto"/>
        <w:rPr>
          <w:rFonts w:ascii="Century Gothic" w:hAnsi="Century Gothic" w:cs="Arial"/>
          <w:lang w:val="es-MX"/>
        </w:rPr>
      </w:pPr>
      <w:r w:rsidRPr="00A65B02">
        <w:rPr>
          <w:rFonts w:ascii="Century Gothic" w:hAnsi="Century Gothic" w:cs="Arial"/>
          <w:lang w:val="es-MX"/>
        </w:rPr>
        <w:t xml:space="preserve">Subdirectora de procesos de selección contractuales </w:t>
      </w:r>
    </w:p>
    <w:p w:rsidRPr="00A65B02" w:rsidR="00FD5D77" w:rsidP="00FD5D77" w:rsidRDefault="00FD5D77" w14:paraId="56769358" w14:textId="77777777">
      <w:pPr>
        <w:spacing w:after="0" w:line="276" w:lineRule="auto"/>
        <w:rPr>
          <w:rFonts w:ascii="Century Gothic" w:hAnsi="Century Gothic" w:cs="Arial"/>
          <w:lang w:val="es-MX"/>
        </w:rPr>
      </w:pPr>
      <w:r w:rsidRPr="00A65B02">
        <w:rPr>
          <w:rFonts w:ascii="Century Gothic" w:hAnsi="Century Gothic" w:cs="Arial"/>
          <w:lang w:val="es-MX"/>
        </w:rPr>
        <w:t>Instituto Nacional de Vías - INVIAS</w:t>
      </w:r>
    </w:p>
    <w:p w:rsidRPr="00A65B02" w:rsidR="00FD5D77" w:rsidP="00FD5D77" w:rsidRDefault="00FD5D77" w14:paraId="1DFF77B4" w14:textId="77777777">
      <w:pPr>
        <w:spacing w:after="0" w:line="276" w:lineRule="auto"/>
        <w:rPr>
          <w:rFonts w:ascii="Century Gothic" w:hAnsi="Century Gothic" w:cs="Arial"/>
          <w:lang w:val="es-MX"/>
        </w:rPr>
      </w:pPr>
      <w:r w:rsidRPr="00A65B02">
        <w:rPr>
          <w:rFonts w:ascii="Century Gothic" w:hAnsi="Century Gothic" w:cs="Arial"/>
          <w:lang w:val="es-MX"/>
        </w:rPr>
        <w:t>Bogotá D.C.</w:t>
      </w:r>
    </w:p>
    <w:p w:rsidRPr="00A65B02" w:rsidR="00FD5D77" w:rsidP="00FD5D77" w:rsidRDefault="00FD5D77" w14:paraId="506C0057" w14:textId="77777777">
      <w:pPr>
        <w:spacing w:after="0" w:line="276" w:lineRule="auto"/>
        <w:rPr>
          <w:rFonts w:ascii="Century Gothic" w:hAnsi="Century Gothic" w:cs="Arial"/>
          <w:lang w:val="es-MX"/>
        </w:rPr>
      </w:pPr>
    </w:p>
    <w:p w:rsidRPr="00A65B02" w:rsidR="00FD5D77" w:rsidP="00FD5D77" w:rsidRDefault="00FD5D77" w14:paraId="5A55FA5F" w14:textId="15D4A370">
      <w:pPr>
        <w:spacing w:after="0" w:line="276" w:lineRule="auto"/>
        <w:ind w:left="2832"/>
        <w:rPr>
          <w:rFonts w:ascii="Century Gothic" w:hAnsi="Century Gothic" w:eastAsia="Calibri" w:cs="Arial"/>
          <w:b/>
          <w:bCs/>
          <w:lang w:val="es-ES"/>
        </w:rPr>
      </w:pPr>
      <w:r w:rsidRPr="00874EAA">
        <w:rPr>
          <w:rFonts w:ascii="Century Gothic" w:hAnsi="Century Gothic" w:eastAsia="Calibri" w:cs="Arial"/>
          <w:b/>
          <w:lang w:val="es-ES"/>
        </w:rPr>
        <w:t>Concepto C</w:t>
      </w:r>
      <w:r w:rsidRPr="001A0A60" w:rsidR="00460CD7">
        <w:rPr>
          <w:rFonts w:ascii="Century Gothic" w:hAnsi="Century Gothic" w:eastAsia="Calibri" w:cs="Arial"/>
          <w:b/>
          <w:bCs/>
          <w:lang w:val="es-ES"/>
        </w:rPr>
        <w:t>–</w:t>
      </w:r>
      <w:r w:rsidRPr="00874EAA" w:rsidR="00C77357">
        <w:rPr>
          <w:rFonts w:ascii="Century Gothic" w:hAnsi="Century Gothic" w:eastAsia="Calibri" w:cs="Arial"/>
          <w:b/>
          <w:bCs/>
          <w:lang w:val="es-ES"/>
        </w:rPr>
        <w:t xml:space="preserve">025 </w:t>
      </w:r>
      <w:r w:rsidRPr="00874EAA">
        <w:rPr>
          <w:rFonts w:ascii="Century Gothic" w:hAnsi="Century Gothic" w:eastAsia="Calibri" w:cs="Arial"/>
          <w:b/>
          <w:lang w:val="es-ES"/>
        </w:rPr>
        <w:t>del 2024</w:t>
      </w:r>
    </w:p>
    <w:p w:rsidRPr="00A65B02" w:rsidR="00FD5D77" w:rsidP="00FD5D77" w:rsidRDefault="00FD5D77" w14:paraId="2F72F683" w14:textId="77777777">
      <w:pPr>
        <w:spacing w:after="0" w:line="276" w:lineRule="auto"/>
        <w:jc w:val="both"/>
        <w:rPr>
          <w:rFonts w:ascii="Century Gothic" w:hAnsi="Century Gothic" w:eastAsia="Calibri" w:cs="Arial"/>
          <w:lang w:val="es-ES"/>
        </w:rPr>
      </w:pPr>
    </w:p>
    <w:tbl>
      <w:tblPr>
        <w:tblStyle w:val="TableGrid"/>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A65B02" w:rsidR="00FD5D77" w:rsidTr="00EE2ACB" w14:paraId="259F36FE" w14:textId="77777777">
        <w:trPr>
          <w:jc w:val="right"/>
        </w:trPr>
        <w:tc>
          <w:tcPr>
            <w:tcW w:w="1838" w:type="dxa"/>
          </w:tcPr>
          <w:p w:rsidRPr="00A65B02" w:rsidR="00FD5D77" w:rsidP="00EE2ACB" w:rsidRDefault="00FD5D77" w14:paraId="6867DDEC" w14:textId="77777777">
            <w:pPr>
              <w:spacing w:line="276" w:lineRule="auto"/>
              <w:jc w:val="center"/>
              <w:rPr>
                <w:rFonts w:ascii="Century Gothic" w:hAnsi="Century Gothic" w:eastAsia="Calibri" w:cs="Arial"/>
                <w:lang w:val="es-ES_tradnl"/>
              </w:rPr>
            </w:pPr>
            <w:r w:rsidRPr="00A65B02">
              <w:rPr>
                <w:rFonts w:ascii="Century Gothic" w:hAnsi="Century Gothic" w:eastAsia="Calibri" w:cs="Arial"/>
                <w:b/>
                <w:lang w:val="es-ES_tradnl"/>
              </w:rPr>
              <w:t>Tema</w:t>
            </w:r>
          </w:p>
        </w:tc>
        <w:tc>
          <w:tcPr>
            <w:tcW w:w="6237" w:type="dxa"/>
          </w:tcPr>
          <w:p w:rsidRPr="007C2182" w:rsidR="00FD5D77" w:rsidP="00EE2ACB" w:rsidRDefault="00611143" w14:paraId="73B99ADF" w14:textId="3E47B23C">
            <w:pPr>
              <w:spacing w:after="120"/>
              <w:contextualSpacing/>
              <w:jc w:val="both"/>
              <w:rPr>
                <w:rFonts w:ascii="Century Gothic" w:hAnsi="Century Gothic" w:eastAsia="Calibri" w:cs="Arial"/>
                <w:bCs/>
                <w:lang w:val="es-MX" w:eastAsia="es-ES_tradnl"/>
              </w:rPr>
            </w:pPr>
            <w:r w:rsidRPr="001A0A60">
              <w:rPr>
                <w:rFonts w:ascii="Century Gothic" w:hAnsi="Century Gothic" w:eastAsia="Calibri" w:cs="Arial"/>
                <w:lang w:val="es-MX" w:eastAsia="es-ES_tradnl"/>
              </w:rPr>
              <w:t xml:space="preserve">PUEBLOS TRIBALES </w:t>
            </w:r>
            <w:r w:rsidRPr="001A0A60" w:rsidR="00FD5D77">
              <w:rPr>
                <w:rFonts w:ascii="Century Gothic" w:hAnsi="Century Gothic" w:eastAsia="Calibri" w:cs="Arial"/>
                <w:lang w:val="es-MX" w:eastAsia="es-ES_tradnl"/>
              </w:rPr>
              <w:t>-</w:t>
            </w:r>
            <w:r w:rsidRPr="001A0A60" w:rsidR="00FD5D77">
              <w:rPr>
                <w:rFonts w:ascii="Century Gothic" w:hAnsi="Century Gothic" w:eastAsia="Calibri" w:cs="Arial"/>
                <w:lang w:val="es-ES" w:eastAsia="es-ES_tradnl"/>
              </w:rPr>
              <w:t xml:space="preserve"> Convenio No. 169 de la OIT – Compromisos</w:t>
            </w:r>
            <w:r w:rsidRPr="001A0A60">
              <w:rPr>
                <w:rFonts w:ascii="Century Gothic" w:hAnsi="Century Gothic" w:eastAsia="Calibri" w:cs="Arial"/>
                <w:lang w:val="es-ES" w:eastAsia="es-ES_tradnl"/>
              </w:rPr>
              <w:t xml:space="preserve"> – Derechos</w:t>
            </w:r>
            <w:r w:rsidRPr="001A0A60" w:rsidR="00FD5D77">
              <w:rPr>
                <w:rFonts w:ascii="Century Gothic" w:hAnsi="Century Gothic" w:eastAsia="Calibri" w:cs="Arial"/>
                <w:lang w:val="es-ES" w:eastAsia="es-ES_tradnl"/>
              </w:rPr>
              <w:t xml:space="preserve"> </w:t>
            </w:r>
            <w:r w:rsidRPr="001A0A60">
              <w:rPr>
                <w:rFonts w:ascii="Century Gothic" w:hAnsi="Century Gothic" w:eastAsia="Calibri" w:cs="Arial"/>
                <w:lang w:val="es-ES" w:eastAsia="es-ES_tradnl"/>
              </w:rPr>
              <w:t xml:space="preserve">/ </w:t>
            </w:r>
            <w:r w:rsidRPr="001A0A60" w:rsidR="00875124">
              <w:rPr>
                <w:rFonts w:ascii="Century Gothic" w:hAnsi="Century Gothic" w:eastAsia="Calibri" w:cs="Arial"/>
                <w:lang w:val="es-MX" w:eastAsia="es-ES_tradnl"/>
              </w:rPr>
              <w:t xml:space="preserve">COMUNIDADES NEGRAS, AFRODESCENDIENTES, RAIZALES Y PALENQUERAS – Naturaleza jurídica – Capacidad contractual / </w:t>
            </w:r>
            <w:r w:rsidRPr="001A0A60" w:rsidR="00FD5D77">
              <w:rPr>
                <w:rFonts w:ascii="Century Gothic" w:hAnsi="Century Gothic" w:eastAsia="Calibri" w:cs="Arial"/>
                <w:bCs/>
                <w:lang w:val="es-MX" w:eastAsia="es-ES_tradnl"/>
              </w:rPr>
              <w:t xml:space="preserve">CAPACIDAD PARA CONTRATAR – Consejos comunitarios de las comunidades negras </w:t>
            </w:r>
            <w:r w:rsidRPr="001A0A60" w:rsidR="00F02521">
              <w:rPr>
                <w:rFonts w:ascii="Century Gothic" w:hAnsi="Century Gothic" w:eastAsia="Calibri" w:cs="Arial"/>
                <w:bCs/>
                <w:lang w:val="es-MX" w:eastAsia="es-ES_tradnl"/>
              </w:rPr>
              <w:t xml:space="preserve">Organizaciones de Base </w:t>
            </w:r>
            <w:r w:rsidRPr="001A0A60" w:rsidR="00FD5D77">
              <w:rPr>
                <w:rFonts w:ascii="Century Gothic" w:hAnsi="Century Gothic" w:eastAsia="Calibri" w:cs="Arial"/>
                <w:bCs/>
                <w:lang w:val="es-MX" w:eastAsia="es-ES_tradnl"/>
              </w:rPr>
              <w:t xml:space="preserve">– Formas o expresiones organizativas </w:t>
            </w:r>
            <w:r w:rsidRPr="001A0A60" w:rsidR="00F02521">
              <w:rPr>
                <w:rFonts w:ascii="Century Gothic" w:hAnsi="Century Gothic" w:eastAsia="Calibri" w:cs="Arial"/>
                <w:bCs/>
                <w:lang w:val="es-MX" w:eastAsia="es-ES_tradnl"/>
              </w:rPr>
              <w:t xml:space="preserve">/ </w:t>
            </w:r>
            <w:r w:rsidRPr="001A0A60" w:rsidR="00FD5D77">
              <w:rPr>
                <w:rFonts w:ascii="Century Gothic" w:hAnsi="Century Gothic" w:eastAsia="Calibri" w:cs="Arial"/>
                <w:bCs/>
                <w:lang w:val="es-MX" w:eastAsia="es-ES_tradnl"/>
              </w:rPr>
              <w:t>CONTRATACI</w:t>
            </w:r>
            <w:r w:rsidRPr="001A0A60" w:rsidR="00F02521">
              <w:rPr>
                <w:rFonts w:ascii="Century Gothic" w:hAnsi="Century Gothic" w:eastAsia="Calibri" w:cs="Arial"/>
                <w:bCs/>
                <w:lang w:val="es-MX" w:eastAsia="es-ES_tradnl"/>
              </w:rPr>
              <w:t>Ó</w:t>
            </w:r>
            <w:r w:rsidRPr="001A0A60" w:rsidR="00FD5D77">
              <w:rPr>
                <w:rFonts w:ascii="Century Gothic" w:hAnsi="Century Gothic" w:eastAsia="Calibri" w:cs="Arial"/>
                <w:bCs/>
                <w:lang w:val="es-MX" w:eastAsia="es-ES_tradnl"/>
              </w:rPr>
              <w:t>N DIRECTA –</w:t>
            </w:r>
            <w:r w:rsidRPr="001A0A60" w:rsidR="00F02521">
              <w:rPr>
                <w:rFonts w:ascii="Century Gothic" w:hAnsi="Century Gothic" w:eastAsia="Calibri" w:cs="Arial"/>
                <w:bCs/>
                <w:lang w:val="es-MX" w:eastAsia="es-ES_tradnl"/>
              </w:rPr>
              <w:t xml:space="preserve"> </w:t>
            </w:r>
            <w:r w:rsidRPr="001A0A60" w:rsidR="00144D70">
              <w:rPr>
                <w:rFonts w:ascii="Century Gothic" w:hAnsi="Century Gothic" w:eastAsia="Calibri" w:cs="Arial"/>
                <w:bCs/>
                <w:lang w:val="es-MX" w:eastAsia="es-ES_tradnl"/>
              </w:rPr>
              <w:t>Aplicación restrictiva –</w:t>
            </w:r>
            <w:r w:rsidRPr="001A0A60" w:rsidR="00FD5D77">
              <w:rPr>
                <w:rFonts w:ascii="Century Gothic" w:hAnsi="Century Gothic" w:eastAsia="Calibri" w:cs="Arial"/>
                <w:bCs/>
                <w:lang w:val="es-MX" w:eastAsia="es-ES_tradnl"/>
              </w:rPr>
              <w:t xml:space="preserve"> </w:t>
            </w:r>
            <w:r w:rsidRPr="001A0A60" w:rsidR="00144D70">
              <w:rPr>
                <w:rFonts w:ascii="Century Gothic" w:hAnsi="Century Gothic" w:eastAsia="Calibri" w:cs="Arial"/>
                <w:bCs/>
                <w:lang w:val="es-MX" w:eastAsia="es-ES_tradnl"/>
              </w:rPr>
              <w:t>L</w:t>
            </w:r>
            <w:r w:rsidRPr="001A0A60" w:rsidR="00FD5D77">
              <w:rPr>
                <w:rFonts w:ascii="Century Gothic" w:hAnsi="Century Gothic" w:eastAsia="Calibri" w:cs="Arial"/>
                <w:bCs/>
                <w:lang w:val="es-MX" w:eastAsia="es-ES_tradnl"/>
              </w:rPr>
              <w:t xml:space="preserve">iterales M y N, numeral 4, artículo 2 de la </w:t>
            </w:r>
            <w:r w:rsidRPr="001A0A60" w:rsidR="00144D70">
              <w:rPr>
                <w:rFonts w:ascii="Century Gothic" w:hAnsi="Century Gothic" w:eastAsia="Calibri" w:cs="Arial"/>
                <w:bCs/>
                <w:lang w:val="es-MX" w:eastAsia="es-ES_tradnl"/>
              </w:rPr>
              <w:t>L</w:t>
            </w:r>
            <w:r w:rsidRPr="001A0A60" w:rsidR="00FD5D77">
              <w:rPr>
                <w:rFonts w:ascii="Century Gothic" w:hAnsi="Century Gothic" w:eastAsia="Calibri" w:cs="Arial"/>
                <w:bCs/>
                <w:lang w:val="es-MX" w:eastAsia="es-ES_tradnl"/>
              </w:rPr>
              <w:t>ey 1150 de 2007</w:t>
            </w:r>
            <w:r w:rsidRPr="001A0A60" w:rsidR="00144D70">
              <w:rPr>
                <w:rFonts w:ascii="Century Gothic" w:hAnsi="Century Gothic" w:eastAsia="Calibri" w:cs="Arial"/>
                <w:bCs/>
                <w:lang w:val="es-MX" w:eastAsia="es-ES_tradnl"/>
              </w:rPr>
              <w:t xml:space="preserve"> </w:t>
            </w:r>
            <w:r w:rsidRPr="001A0A60" w:rsidR="00F02521">
              <w:rPr>
                <w:rFonts w:ascii="Century Gothic" w:hAnsi="Century Gothic" w:eastAsia="Calibri" w:cs="Arial"/>
                <w:bCs/>
                <w:lang w:val="es-MX" w:eastAsia="es-ES_tradnl"/>
              </w:rPr>
              <w:t xml:space="preserve">/ </w:t>
            </w:r>
            <w:r w:rsidRPr="001A0A60" w:rsidR="00F02521">
              <w:rPr>
                <w:rFonts w:ascii="Century Gothic" w:hAnsi="Century Gothic" w:eastAsia="Calibri" w:cs="Arial"/>
                <w:lang w:val="es-MX" w:eastAsia="es-ES_tradnl"/>
              </w:rPr>
              <w:t>COMUNIDADES NEGRAS, AFRODESCENDIENTES, RAIZALES Y PALENQUERA – Autonomía –</w:t>
            </w:r>
            <w:r w:rsidRPr="001A0A60" w:rsidR="004D38BC">
              <w:rPr>
                <w:rFonts w:ascii="Century Gothic" w:hAnsi="Century Gothic" w:eastAsia="Calibri" w:cs="Arial"/>
                <w:lang w:val="es-MX" w:eastAsia="es-ES_tradnl"/>
              </w:rPr>
              <w:t xml:space="preserve"> Gobierno</w:t>
            </w:r>
            <w:r w:rsidRPr="001A0A60" w:rsidR="00144D70">
              <w:rPr>
                <w:rFonts w:ascii="Century Gothic" w:hAnsi="Century Gothic" w:eastAsia="Calibri" w:cs="Arial"/>
                <w:lang w:val="es-MX" w:eastAsia="es-ES_tradnl"/>
              </w:rPr>
              <w:t xml:space="preserve"> propio</w:t>
            </w:r>
            <w:r w:rsidRPr="001A0A60" w:rsidR="004D38BC">
              <w:rPr>
                <w:rFonts w:ascii="Century Gothic" w:hAnsi="Century Gothic" w:eastAsia="Calibri" w:cs="Arial"/>
                <w:lang w:val="es-MX" w:eastAsia="es-ES_tradnl"/>
              </w:rPr>
              <w:t xml:space="preserve"> </w:t>
            </w:r>
            <w:r w:rsidRPr="001A0A60" w:rsidR="00144D70">
              <w:rPr>
                <w:rFonts w:ascii="Century Gothic" w:hAnsi="Century Gothic" w:eastAsia="Calibri" w:cs="Arial"/>
                <w:lang w:val="es-MX" w:eastAsia="es-ES_tradnl"/>
              </w:rPr>
              <w:t>– Autonomía</w:t>
            </w:r>
            <w:r w:rsidRPr="001A0A60" w:rsidR="004D38BC">
              <w:rPr>
                <w:rFonts w:ascii="Century Gothic" w:hAnsi="Century Gothic" w:eastAsia="Calibri" w:cs="Arial"/>
                <w:lang w:val="es-MX" w:eastAsia="es-ES_tradnl"/>
              </w:rPr>
              <w:t>–</w:t>
            </w:r>
            <w:r w:rsidRPr="001A0A60" w:rsidR="00F02521">
              <w:rPr>
                <w:rFonts w:ascii="Century Gothic" w:hAnsi="Century Gothic" w:eastAsia="Calibri" w:cs="Arial"/>
                <w:lang w:val="es-MX" w:eastAsia="es-ES_tradnl"/>
              </w:rPr>
              <w:t xml:space="preserve"> Identidad cultural –</w:t>
            </w:r>
            <w:r w:rsidRPr="001A0A60" w:rsidR="00144D70">
              <w:rPr>
                <w:rFonts w:ascii="Century Gothic" w:hAnsi="Century Gothic" w:eastAsia="Calibri" w:cs="Arial"/>
                <w:lang w:val="es-MX" w:eastAsia="es-ES_tradnl"/>
              </w:rPr>
              <w:t xml:space="preserve"> Garantía de derechos –</w:t>
            </w:r>
            <w:r w:rsidRPr="001A0A60" w:rsidR="004D38BC">
              <w:rPr>
                <w:rFonts w:ascii="Century Gothic" w:hAnsi="Century Gothic" w:eastAsia="Calibri" w:cs="Arial"/>
                <w:lang w:val="es-MX" w:eastAsia="es-ES_tradnl"/>
              </w:rPr>
              <w:t xml:space="preserve"> Nociones / OBRA PÚBLICA – Noción</w:t>
            </w:r>
            <w:r w:rsidRPr="001A0A60" w:rsidR="00B117E8">
              <w:rPr>
                <w:rFonts w:ascii="Century Gothic" w:hAnsi="Century Gothic" w:eastAsia="Calibri" w:cs="Arial"/>
                <w:lang w:val="es-MX" w:eastAsia="es-ES_tradnl"/>
              </w:rPr>
              <w:t xml:space="preserve"> / INFRAESTRUCTURA DE TRANSPORTE – Noción – Integración / </w:t>
            </w:r>
            <w:r w:rsidRPr="001A0A60" w:rsidR="00144D70">
              <w:rPr>
                <w:rFonts w:ascii="Century Gothic" w:hAnsi="Century Gothic" w:eastAsia="Calibri" w:cs="Arial"/>
                <w:lang w:val="es-MX" w:eastAsia="es-ES_tradnl"/>
              </w:rPr>
              <w:t>OBRA PÚBLICA DE INFRAESTRUCTURA DE TRANSPORTE</w:t>
            </w:r>
            <w:r w:rsidRPr="001A0A60" w:rsidR="004D38BC">
              <w:rPr>
                <w:rFonts w:ascii="Century Gothic" w:hAnsi="Century Gothic" w:eastAsia="Calibri" w:cs="Arial"/>
                <w:lang w:val="es-MX" w:eastAsia="es-ES_tradnl"/>
              </w:rPr>
              <w:t xml:space="preserve">  </w:t>
            </w:r>
            <w:r w:rsidRPr="001A0A60" w:rsidR="00144D70">
              <w:rPr>
                <w:rFonts w:ascii="Century Gothic" w:hAnsi="Century Gothic" w:eastAsia="Calibri" w:cs="Arial"/>
                <w:lang w:val="es-MX" w:eastAsia="es-ES_tradnl"/>
              </w:rPr>
              <w:t xml:space="preserve">– Contratación directa con Consejos Comunitarios </w:t>
            </w:r>
            <w:r w:rsidRPr="001A0A60" w:rsidR="00460CD7">
              <w:rPr>
                <w:rFonts w:ascii="Century Gothic" w:hAnsi="Century Gothic" w:eastAsia="Calibri" w:cs="Arial"/>
                <w:lang w:val="es-MX" w:eastAsia="es-ES_tradnl"/>
              </w:rPr>
              <w:t>y</w:t>
            </w:r>
            <w:r w:rsidRPr="001A0A60" w:rsidR="00144D70">
              <w:rPr>
                <w:rFonts w:ascii="Century Gothic" w:hAnsi="Century Gothic" w:eastAsia="Calibri" w:cs="Arial"/>
                <w:lang w:val="es-MX" w:eastAsia="es-ES_tradnl"/>
              </w:rPr>
              <w:t xml:space="preserve"> Organizaciones de Base</w:t>
            </w:r>
          </w:p>
          <w:p w:rsidRPr="00A65B02" w:rsidR="00FD5D77" w:rsidP="00EE2ACB" w:rsidRDefault="00FD5D77" w14:paraId="32774BAF" w14:textId="77777777">
            <w:pPr>
              <w:spacing w:after="120"/>
              <w:contextualSpacing/>
              <w:jc w:val="both"/>
              <w:rPr>
                <w:rFonts w:ascii="Century Gothic" w:hAnsi="Century Gothic" w:eastAsia="Calibri" w:cs="Arial"/>
                <w:bCs/>
                <w:lang w:val="es-MX" w:eastAsia="es-ES_tradnl"/>
              </w:rPr>
            </w:pPr>
          </w:p>
        </w:tc>
      </w:tr>
      <w:tr w:rsidRPr="00A65B02" w:rsidR="00FD5D77" w:rsidTr="00EE2ACB" w14:paraId="38EFFD75" w14:textId="77777777">
        <w:trPr>
          <w:trHeight w:val="87"/>
          <w:jc w:val="right"/>
        </w:trPr>
        <w:tc>
          <w:tcPr>
            <w:tcW w:w="1838" w:type="dxa"/>
          </w:tcPr>
          <w:p w:rsidRPr="00A65B02" w:rsidR="00FD5D77" w:rsidP="00EE2ACB" w:rsidRDefault="00FD5D77" w14:paraId="680D6D83" w14:textId="5F8D8142">
            <w:pPr>
              <w:spacing w:line="276" w:lineRule="auto"/>
              <w:jc w:val="center"/>
              <w:rPr>
                <w:rFonts w:ascii="Century Gothic" w:hAnsi="Century Gothic" w:eastAsia="Calibri" w:cs="Arial"/>
                <w:b/>
                <w:lang w:val="es-ES"/>
              </w:rPr>
            </w:pPr>
          </w:p>
        </w:tc>
        <w:tc>
          <w:tcPr>
            <w:tcW w:w="6237" w:type="dxa"/>
          </w:tcPr>
          <w:p w:rsidRPr="00A65B02" w:rsidR="00FD5D77" w:rsidP="00EE2ACB" w:rsidRDefault="00FD5D77" w14:paraId="662F201E" w14:textId="52A4BC88">
            <w:pPr>
              <w:spacing w:line="276" w:lineRule="auto"/>
              <w:jc w:val="both"/>
              <w:rPr>
                <w:rFonts w:ascii="Century Gothic" w:hAnsi="Century Gothic" w:eastAsia="Calibri" w:cs="Arial"/>
                <w:lang w:val="es-ES"/>
              </w:rPr>
            </w:pPr>
            <w:r w:rsidRPr="00A65B02">
              <w:rPr>
                <w:rFonts w:ascii="Century Gothic" w:hAnsi="Century Gothic" w:eastAsia="Calibri" w:cs="Arial"/>
                <w:lang w:val="es-ES"/>
              </w:rPr>
              <w:t xml:space="preserve">Respuesta a consulta Nro. </w:t>
            </w:r>
            <w:r w:rsidRPr="00A65B02">
              <w:rPr>
                <w:rFonts w:ascii="Century Gothic" w:hAnsi="Century Gothic" w:eastAsia="Calibri" w:cs="Arial"/>
              </w:rPr>
              <w:t>P20240206001175</w:t>
            </w:r>
          </w:p>
        </w:tc>
      </w:tr>
    </w:tbl>
    <w:p w:rsidRPr="00A65B02" w:rsidR="00FD5D77" w:rsidP="00FD5D77" w:rsidRDefault="00FD5D77" w14:paraId="69DB542F" w14:textId="77777777">
      <w:pPr>
        <w:spacing w:line="276" w:lineRule="auto"/>
        <w:jc w:val="both"/>
        <w:rPr>
          <w:rFonts w:ascii="Century Gothic" w:hAnsi="Century Gothic" w:eastAsia="Calibri" w:cs="Arial"/>
          <w:lang w:val="es-ES_tradnl"/>
        </w:rPr>
      </w:pPr>
    </w:p>
    <w:p w:rsidRPr="00A65B02" w:rsidR="00FD5D77" w:rsidP="00FD5D77" w:rsidRDefault="00FD5D77" w14:paraId="1E397162" w14:textId="545B5E60">
      <w:pPr>
        <w:spacing w:line="276" w:lineRule="auto"/>
        <w:jc w:val="both"/>
        <w:rPr>
          <w:rFonts w:ascii="Century Gothic" w:hAnsi="Century Gothic" w:eastAsia="Calibri" w:cs="Arial"/>
          <w:bCs/>
          <w:lang w:val="es-MX"/>
        </w:rPr>
      </w:pPr>
      <w:r w:rsidRPr="00A65B02">
        <w:rPr>
          <w:rFonts w:ascii="Century Gothic" w:hAnsi="Century Gothic" w:eastAsia="Calibri" w:cs="Arial"/>
          <w:lang w:val="es-ES_tradnl"/>
        </w:rPr>
        <w:t xml:space="preserve">Estimada </w:t>
      </w:r>
      <w:r w:rsidRPr="001A0A60" w:rsidR="00864C29">
        <w:rPr>
          <w:rFonts w:ascii="Century Gothic" w:hAnsi="Century Gothic" w:eastAsia="Calibri" w:cs="Arial"/>
          <w:lang w:val="es-ES_tradnl"/>
        </w:rPr>
        <w:t xml:space="preserve">doctora </w:t>
      </w:r>
      <w:r w:rsidRPr="001A0A60" w:rsidR="00864C29">
        <w:rPr>
          <w:rFonts w:ascii="Century Gothic" w:hAnsi="Century Gothic" w:cs="Arial"/>
          <w:lang w:val="es-MX"/>
        </w:rPr>
        <w:t>Arbeláez:</w:t>
      </w:r>
    </w:p>
    <w:p w:rsidRPr="00A65B02" w:rsidR="00FD5D77" w:rsidP="00FD5D77" w:rsidRDefault="00FD5D77" w14:paraId="1CBF7C11" w14:textId="77777777">
      <w:pPr>
        <w:spacing w:after="0" w:line="276" w:lineRule="auto"/>
        <w:jc w:val="both"/>
        <w:rPr>
          <w:rFonts w:ascii="Century Gothic" w:hAnsi="Century Gothic" w:eastAsia="Calibri" w:cs="Arial"/>
          <w:lang w:val="es-ES"/>
        </w:rPr>
      </w:pPr>
      <w:r w:rsidRPr="00A65B02">
        <w:rPr>
          <w:rFonts w:ascii="Century Gothic" w:hAnsi="Century Gothic" w:eastAsia="Calibri" w:cs="Arial"/>
          <w:lang w:val="es-ES"/>
        </w:rPr>
        <w:t xml:space="preserve">En ejercicio de la competencia otorgada por el numeral 8° del artículo 11 y el numeral 5° del artículo 3 del Decreto Ley 4170 de 2011, la Agencia Nacional de </w:t>
      </w:r>
      <w:r w:rsidRPr="00A65B02">
        <w:rPr>
          <w:rFonts w:ascii="Century Gothic" w:hAnsi="Century Gothic" w:eastAsia="Calibri" w:cs="Arial"/>
          <w:lang w:val="es-ES"/>
        </w:rPr>
        <w:t xml:space="preserve">Contratación Pública ― Colombia Compra Eficiente responde su consulta del 07 de febrero del 2024. </w:t>
      </w:r>
    </w:p>
    <w:p w:rsidRPr="00A65B02" w:rsidR="00FD5D77" w:rsidP="00FD5D77" w:rsidRDefault="00FD5D77" w14:paraId="79076C3E" w14:textId="77777777">
      <w:pPr>
        <w:spacing w:after="0" w:line="276" w:lineRule="auto"/>
        <w:jc w:val="both"/>
        <w:rPr>
          <w:rFonts w:ascii="Century Gothic" w:hAnsi="Century Gothic" w:eastAsia="Calibri" w:cs="Arial"/>
          <w:lang w:val="es-ES"/>
        </w:rPr>
      </w:pPr>
    </w:p>
    <w:p w:rsidRPr="00A65B02" w:rsidR="00FD5D77" w:rsidP="00FD5D77" w:rsidRDefault="00FD5D77" w14:paraId="2CD07F16" w14:textId="77777777">
      <w:pPr>
        <w:pStyle w:val="ListParagraph"/>
        <w:numPr>
          <w:ilvl w:val="0"/>
          <w:numId w:val="17"/>
        </w:numPr>
        <w:tabs>
          <w:tab w:val="left" w:pos="0"/>
          <w:tab w:val="left" w:pos="142"/>
          <w:tab w:val="left" w:pos="284"/>
        </w:tabs>
        <w:spacing w:after="0" w:line="276" w:lineRule="auto"/>
        <w:ind w:left="0" w:firstLine="0"/>
        <w:jc w:val="both"/>
        <w:rPr>
          <w:rFonts w:ascii="Century Gothic" w:hAnsi="Century Gothic" w:eastAsia="Calibri" w:cs="Arial"/>
          <w:b/>
          <w:lang w:val="es-ES_tradnl"/>
        </w:rPr>
      </w:pPr>
      <w:r w:rsidRPr="00A65B02">
        <w:rPr>
          <w:rFonts w:ascii="Century Gothic" w:hAnsi="Century Gothic" w:eastAsia="Calibri" w:cs="Arial"/>
          <w:b/>
          <w:lang w:val="es-ES_tradnl"/>
        </w:rPr>
        <w:t xml:space="preserve">Problema planteado </w:t>
      </w:r>
    </w:p>
    <w:p w:rsidRPr="00A65B02" w:rsidR="00FD5D77" w:rsidP="00FD5D77" w:rsidRDefault="00FD5D77" w14:paraId="55A82C82" w14:textId="77777777">
      <w:pPr>
        <w:pStyle w:val="ListParagraph"/>
        <w:tabs>
          <w:tab w:val="left" w:pos="0"/>
          <w:tab w:val="left" w:pos="142"/>
          <w:tab w:val="left" w:pos="284"/>
        </w:tabs>
        <w:spacing w:after="0" w:line="276" w:lineRule="auto"/>
        <w:ind w:left="0"/>
        <w:jc w:val="both"/>
        <w:rPr>
          <w:rFonts w:ascii="Century Gothic" w:hAnsi="Century Gothic" w:eastAsia="Calibri" w:cs="Arial"/>
          <w:b/>
          <w:lang w:val="es-ES_tradnl"/>
        </w:rPr>
      </w:pPr>
    </w:p>
    <w:p w:rsidRPr="00A65B02" w:rsidR="00FD5D77" w:rsidP="00FD5D77" w:rsidRDefault="002B49C0" w14:paraId="2FC055F0" w14:textId="07E11755">
      <w:pPr>
        <w:spacing w:after="0" w:line="276" w:lineRule="auto"/>
        <w:jc w:val="both"/>
        <w:rPr>
          <w:rFonts w:ascii="Century Gothic" w:hAnsi="Century Gothic" w:cs="Arial"/>
          <w:lang w:val="es-ES_tradnl"/>
        </w:rPr>
      </w:pPr>
      <w:r w:rsidRPr="001A0A60">
        <w:rPr>
          <w:rFonts w:ascii="Century Gothic" w:hAnsi="Century Gothic" w:cs="Arial"/>
          <w:lang w:val="es-ES_tradnl"/>
        </w:rPr>
        <w:t xml:space="preserve">En </w:t>
      </w:r>
      <w:r w:rsidRPr="00A65B02" w:rsidR="00FD5D77">
        <w:rPr>
          <w:rFonts w:ascii="Century Gothic" w:hAnsi="Century Gothic" w:cs="Arial"/>
          <w:lang w:val="es-ES_tradnl"/>
        </w:rPr>
        <w:t xml:space="preserve">la </w:t>
      </w:r>
      <w:r w:rsidRPr="001A0A60">
        <w:rPr>
          <w:rFonts w:ascii="Century Gothic" w:hAnsi="Century Gothic" w:cs="Arial"/>
          <w:lang w:val="es-ES_tradnl"/>
        </w:rPr>
        <w:t xml:space="preserve">petición </w:t>
      </w:r>
      <w:r w:rsidRPr="001A0A60" w:rsidR="00EA1C39">
        <w:rPr>
          <w:rFonts w:ascii="Century Gothic" w:hAnsi="Century Gothic" w:cs="Arial"/>
          <w:lang w:val="es-ES_tradnl"/>
        </w:rPr>
        <w:t>de la referencia</w:t>
      </w:r>
      <w:r w:rsidRPr="001A0A60">
        <w:rPr>
          <w:rFonts w:ascii="Century Gothic" w:hAnsi="Century Gothic" w:cs="Arial"/>
          <w:lang w:val="es-ES_tradnl"/>
        </w:rPr>
        <w:t xml:space="preserve"> </w:t>
      </w:r>
      <w:r w:rsidRPr="001A0A60" w:rsidR="00EA1C39">
        <w:rPr>
          <w:rFonts w:ascii="Century Gothic" w:hAnsi="Century Gothic" w:cs="Arial"/>
          <w:lang w:val="es-ES_tradnl"/>
        </w:rPr>
        <w:t xml:space="preserve">se </w:t>
      </w:r>
      <w:r w:rsidRPr="001A0A60">
        <w:rPr>
          <w:rFonts w:ascii="Century Gothic" w:hAnsi="Century Gothic" w:cs="Arial"/>
          <w:lang w:val="es-ES_tradnl"/>
        </w:rPr>
        <w:t xml:space="preserve">realiza </w:t>
      </w:r>
      <w:r w:rsidRPr="001A0A60" w:rsidR="00252A82">
        <w:rPr>
          <w:rFonts w:ascii="Century Gothic" w:hAnsi="Century Gothic" w:cs="Arial"/>
          <w:lang w:val="es-ES_tradnl"/>
        </w:rPr>
        <w:t xml:space="preserve">solicitud de consulta sobre la aplicación de </w:t>
      </w:r>
      <w:r w:rsidRPr="001A0A60" w:rsidR="004E3204">
        <w:rPr>
          <w:rFonts w:ascii="Century Gothic" w:hAnsi="Century Gothic" w:cs="Arial"/>
          <w:lang w:val="es-ES_tradnl"/>
        </w:rPr>
        <w:t>los literales</w:t>
      </w:r>
      <w:r w:rsidRPr="001A0A60">
        <w:rPr>
          <w:rFonts w:ascii="Century Gothic" w:hAnsi="Century Gothic" w:cs="Arial"/>
          <w:lang w:val="es-ES_tradnl"/>
        </w:rPr>
        <w:t xml:space="preserve"> m y n</w:t>
      </w:r>
      <w:r w:rsidRPr="001A0A60" w:rsidR="00252A82">
        <w:rPr>
          <w:rFonts w:ascii="Century Gothic" w:hAnsi="Century Gothic" w:cs="Arial"/>
          <w:lang w:val="es-ES_tradnl"/>
        </w:rPr>
        <w:t xml:space="preserve"> del artículo, numeral 4 de la Ley </w:t>
      </w:r>
      <w:r w:rsidRPr="001A0A60" w:rsidR="002B30C0">
        <w:rPr>
          <w:rFonts w:ascii="Century Gothic" w:hAnsi="Century Gothic" w:cs="Arial"/>
          <w:lang w:val="es-ES_tradnl"/>
        </w:rPr>
        <w:t>1150 de 2007, adicionados por</w:t>
      </w:r>
      <w:r w:rsidRPr="001A0A60" w:rsidR="00FD5D77">
        <w:rPr>
          <w:rFonts w:ascii="Century Gothic" w:hAnsi="Century Gothic" w:cs="Arial"/>
          <w:lang w:val="es-ES_tradnl"/>
        </w:rPr>
        <w:t xml:space="preserve"> </w:t>
      </w:r>
      <w:r w:rsidRPr="001A0A60" w:rsidR="002B30C0">
        <w:rPr>
          <w:rFonts w:ascii="Century Gothic" w:hAnsi="Century Gothic" w:cs="Arial"/>
          <w:lang w:val="es-ES_tradnl"/>
        </w:rPr>
        <w:t>l</w:t>
      </w:r>
      <w:r w:rsidRPr="001A0A60" w:rsidR="00FD5D77">
        <w:rPr>
          <w:rFonts w:ascii="Century Gothic" w:hAnsi="Century Gothic" w:cs="Arial"/>
          <w:lang w:val="es-ES_tradnl"/>
        </w:rPr>
        <w:t xml:space="preserve">a </w:t>
      </w:r>
      <w:r w:rsidRPr="001A0A60" w:rsidR="00913299">
        <w:rPr>
          <w:rFonts w:ascii="Century Gothic" w:hAnsi="Century Gothic" w:cs="Arial"/>
          <w:lang w:val="es-ES_tradnl"/>
        </w:rPr>
        <w:t>L</w:t>
      </w:r>
      <w:r w:rsidRPr="00A65B02" w:rsidR="00FD5D77">
        <w:rPr>
          <w:rFonts w:ascii="Century Gothic" w:hAnsi="Century Gothic" w:cs="Arial"/>
          <w:lang w:val="es-ES_tradnl"/>
        </w:rPr>
        <w:t>ey 2160 del 2021</w:t>
      </w:r>
      <w:r w:rsidRPr="001A0A60" w:rsidR="00610729">
        <w:rPr>
          <w:rFonts w:ascii="Century Gothic" w:hAnsi="Century Gothic" w:cs="Arial"/>
          <w:lang w:val="es-ES_tradnl"/>
        </w:rPr>
        <w:t xml:space="preserve">.  </w:t>
      </w:r>
      <w:r w:rsidRPr="001A0A60" w:rsidR="001C2D97">
        <w:rPr>
          <w:rFonts w:ascii="Century Gothic" w:hAnsi="Century Gothic" w:cs="Arial"/>
          <w:lang w:val="es-ES_tradnl"/>
        </w:rPr>
        <w:t xml:space="preserve">Estas disposiciones </w:t>
      </w:r>
      <w:r w:rsidRPr="001A0A60" w:rsidR="007E76BB">
        <w:rPr>
          <w:rFonts w:ascii="Century Gothic" w:hAnsi="Century Gothic" w:cs="Arial"/>
          <w:lang w:val="es-ES_tradnl"/>
        </w:rPr>
        <w:t xml:space="preserve">prevén sendas causales de contratación directa </w:t>
      </w:r>
      <w:r w:rsidRPr="001A0A60" w:rsidR="00871315">
        <w:rPr>
          <w:rFonts w:ascii="Century Gothic" w:hAnsi="Century Gothic" w:cs="Arial"/>
          <w:lang w:val="es-ES_tradnl"/>
        </w:rPr>
        <w:t>aplicables</w:t>
      </w:r>
      <w:r w:rsidRPr="001A0A60" w:rsidR="001A7407">
        <w:rPr>
          <w:rFonts w:ascii="Century Gothic" w:hAnsi="Century Gothic" w:cs="Arial"/>
          <w:lang w:val="es-ES_tradnl"/>
        </w:rPr>
        <w:t xml:space="preserve"> </w:t>
      </w:r>
      <w:r w:rsidRPr="001A0A60" w:rsidR="008F1CBB">
        <w:rPr>
          <w:rFonts w:ascii="Century Gothic" w:hAnsi="Century Gothic" w:cs="Arial"/>
          <w:lang w:val="es-ES_tradnl"/>
        </w:rPr>
        <w:t>a</w:t>
      </w:r>
      <w:r w:rsidRPr="001A0A60" w:rsidR="001A7407">
        <w:rPr>
          <w:rFonts w:ascii="Century Gothic" w:hAnsi="Century Gothic" w:cs="Arial"/>
          <w:lang w:val="es-ES_tradnl"/>
        </w:rPr>
        <w:t xml:space="preserve"> </w:t>
      </w:r>
      <w:r w:rsidRPr="001A0A60" w:rsidR="00F52B63">
        <w:rPr>
          <w:rFonts w:ascii="Century Gothic" w:hAnsi="Century Gothic" w:cs="Arial"/>
          <w:lang w:val="es-ES_tradnl"/>
        </w:rPr>
        <w:t xml:space="preserve">Consejos Comunitarios y </w:t>
      </w:r>
      <w:r w:rsidRPr="001A0A60" w:rsidR="008F1CBB">
        <w:rPr>
          <w:rFonts w:ascii="Century Gothic" w:hAnsi="Century Gothic" w:cs="Arial"/>
          <w:lang w:val="es-ES_tradnl"/>
        </w:rPr>
        <w:t>Organizaciones de Base de</w:t>
      </w:r>
      <w:r w:rsidRPr="001A0A60" w:rsidR="00F52B63">
        <w:rPr>
          <w:rFonts w:ascii="Century Gothic" w:hAnsi="Century Gothic" w:cs="Arial"/>
          <w:lang w:val="es-ES_tradnl"/>
        </w:rPr>
        <w:t xml:space="preserve"> </w:t>
      </w:r>
      <w:r w:rsidRPr="001A0A60" w:rsidR="001A7407">
        <w:rPr>
          <w:rFonts w:ascii="Century Gothic" w:hAnsi="Century Gothic" w:cs="Arial"/>
          <w:lang w:val="es-ES_tradnl"/>
        </w:rPr>
        <w:t xml:space="preserve">comunidades </w:t>
      </w:r>
      <w:r w:rsidRPr="001A0A60" w:rsidR="00943C61">
        <w:rPr>
          <w:rFonts w:ascii="Century Gothic" w:hAnsi="Century Gothic" w:cs="Arial"/>
          <w:lang w:val="es-ES_tradnl"/>
        </w:rPr>
        <w:t>negras, afrodescendientes, raizales y palenqueras</w:t>
      </w:r>
      <w:r w:rsidRPr="001A0A60" w:rsidR="00F52B63">
        <w:rPr>
          <w:rFonts w:ascii="Century Gothic" w:hAnsi="Century Gothic" w:cs="Arial"/>
          <w:lang w:val="es-ES_tradnl"/>
        </w:rPr>
        <w:t>,</w:t>
      </w:r>
      <w:r w:rsidRPr="001A0A60" w:rsidR="008F1CBB">
        <w:rPr>
          <w:rFonts w:ascii="Century Gothic" w:hAnsi="Century Gothic" w:cs="Arial"/>
          <w:lang w:val="es-ES_tradnl"/>
        </w:rPr>
        <w:t xml:space="preserve"> </w:t>
      </w:r>
      <w:r w:rsidRPr="001A0A60" w:rsidR="00985988">
        <w:rPr>
          <w:rFonts w:ascii="Century Gothic" w:hAnsi="Century Gothic" w:cs="Arial"/>
          <w:lang w:val="es-ES_tradnl"/>
        </w:rPr>
        <w:t>siempre que se satis</w:t>
      </w:r>
      <w:r w:rsidRPr="001A0A60" w:rsidR="00EA1C39">
        <w:rPr>
          <w:rFonts w:ascii="Century Gothic" w:hAnsi="Century Gothic" w:cs="Arial"/>
          <w:lang w:val="es-ES_tradnl"/>
        </w:rPr>
        <w:t xml:space="preserve">fagan unas condiciones. Al respecto usted </w:t>
      </w:r>
      <w:r w:rsidRPr="001A0A60" w:rsidR="007A70F1">
        <w:rPr>
          <w:rFonts w:ascii="Century Gothic" w:hAnsi="Century Gothic" w:cs="Arial"/>
          <w:lang w:val="es-ES_tradnl"/>
        </w:rPr>
        <w:t xml:space="preserve">pregunta: </w:t>
      </w:r>
      <w:r w:rsidRPr="001A0A60" w:rsidR="00F52B63">
        <w:rPr>
          <w:rFonts w:ascii="Century Gothic" w:hAnsi="Century Gothic" w:cs="Arial"/>
          <w:lang w:val="es-ES_tradnl"/>
        </w:rPr>
        <w:t xml:space="preserve"> </w:t>
      </w:r>
    </w:p>
    <w:p w:rsidRPr="00A65B02" w:rsidR="00FD5D77" w:rsidP="00FD5D77" w:rsidRDefault="00FD5D77" w14:paraId="00ADA272" w14:textId="77777777">
      <w:pPr>
        <w:spacing w:after="0" w:line="240" w:lineRule="auto"/>
        <w:rPr>
          <w:rFonts w:ascii="Century Gothic" w:hAnsi="Century Gothic"/>
        </w:rPr>
      </w:pPr>
    </w:p>
    <w:p w:rsidRPr="00874EAA" w:rsidR="00FD5D77" w:rsidP="00FD5D77" w:rsidRDefault="00FD5D77" w14:paraId="203DA31E" w14:textId="77777777">
      <w:pPr>
        <w:spacing w:after="0" w:line="240" w:lineRule="auto"/>
        <w:ind w:left="709" w:right="709"/>
        <w:jc w:val="both"/>
        <w:rPr>
          <w:rFonts w:ascii="Century Gothic" w:hAnsi="Century Gothic"/>
          <w:sz w:val="20"/>
          <w:szCs w:val="20"/>
        </w:rPr>
      </w:pPr>
      <w:r w:rsidRPr="00874EAA">
        <w:rPr>
          <w:rFonts w:ascii="Century Gothic" w:hAnsi="Century Gothic"/>
          <w:sz w:val="20"/>
          <w:szCs w:val="20"/>
        </w:rPr>
        <w:t xml:space="preserve">“[…] 1. ¿Cómo debe entender los criterios </w:t>
      </w:r>
      <w:r w:rsidRPr="00874EAA">
        <w:rPr>
          <w:rFonts w:ascii="Century Gothic" w:hAnsi="Century Gothic"/>
          <w:b/>
          <w:sz w:val="20"/>
          <w:szCs w:val="20"/>
        </w:rPr>
        <w:t>(el fortalecimiento del gobierno propio, la identidad étnica y cultural, el ejercicio de la autonomía, y/o la garantía de los derechos de los pueblos de las mismas comunidades.)</w:t>
      </w:r>
      <w:r w:rsidRPr="00874EAA">
        <w:rPr>
          <w:rFonts w:ascii="Century Gothic" w:hAnsi="Century Gothic"/>
          <w:sz w:val="20"/>
          <w:szCs w:val="20"/>
        </w:rPr>
        <w:t xml:space="preserve"> en materia contractual determinados en los literales m) y n) del numeral 4 del artículo 2 de la ley 1150 incorporados por la ley 2160 de 2021, y si dentro de estos conceptos cabe la realización de obras de infraestructura de transporte. </w:t>
      </w:r>
    </w:p>
    <w:p w:rsidRPr="00874EAA" w:rsidR="00FD5D77" w:rsidP="00FD5D77" w:rsidRDefault="00FD5D77" w14:paraId="77A7761C" w14:textId="77777777">
      <w:pPr>
        <w:spacing w:after="0" w:line="240" w:lineRule="auto"/>
        <w:ind w:left="709" w:right="709"/>
        <w:jc w:val="both"/>
        <w:rPr>
          <w:rFonts w:ascii="Century Gothic" w:hAnsi="Century Gothic"/>
          <w:sz w:val="20"/>
          <w:szCs w:val="20"/>
        </w:rPr>
      </w:pPr>
    </w:p>
    <w:p w:rsidRPr="00874EAA" w:rsidR="00FD5D77" w:rsidP="00FD5D77" w:rsidRDefault="00FD5D77" w14:paraId="6E6B0F0F" w14:textId="16DB2D7C">
      <w:pPr>
        <w:spacing w:after="0" w:line="240" w:lineRule="auto"/>
        <w:ind w:left="709" w:right="709"/>
        <w:jc w:val="both"/>
        <w:rPr>
          <w:rFonts w:ascii="Century Gothic" w:hAnsi="Century Gothic"/>
          <w:sz w:val="20"/>
          <w:szCs w:val="20"/>
        </w:rPr>
      </w:pPr>
      <w:r w:rsidRPr="00874EAA">
        <w:rPr>
          <w:rFonts w:ascii="Century Gothic" w:hAnsi="Century Gothic"/>
          <w:sz w:val="20"/>
          <w:szCs w:val="20"/>
        </w:rPr>
        <w:t>2 En el entendido que en el Plan Nacional de Desarrollo 2022-2026, autoriza la contratación de obras de infraestructura con los indígenas de manera directa ¿en virtud del principio de igualdad debe darse la misma interpretación para los NARP? […]”</w:t>
      </w:r>
      <w:r w:rsidRPr="001A0A60" w:rsidR="00C65AAE">
        <w:rPr>
          <w:rFonts w:ascii="Century Gothic" w:hAnsi="Century Gothic"/>
          <w:sz w:val="20"/>
          <w:szCs w:val="20"/>
        </w:rPr>
        <w:t>.</w:t>
      </w:r>
    </w:p>
    <w:p w:rsidRPr="00A65B02" w:rsidR="00FD5D77" w:rsidP="00FD5D77" w:rsidRDefault="00FD5D77" w14:paraId="1C2DB6DA" w14:textId="77777777">
      <w:pPr>
        <w:spacing w:after="0" w:line="240" w:lineRule="auto"/>
        <w:ind w:left="709" w:right="709"/>
        <w:jc w:val="both"/>
        <w:rPr>
          <w:rFonts w:ascii="Century Gothic" w:hAnsi="Century Gothic"/>
        </w:rPr>
      </w:pPr>
    </w:p>
    <w:p w:rsidRPr="00A65B02" w:rsidR="00FD5D77" w:rsidP="00FD5D77" w:rsidRDefault="00FD5D77" w14:paraId="20CC7B2D" w14:textId="77777777">
      <w:pPr>
        <w:pStyle w:val="ListParagraph"/>
        <w:numPr>
          <w:ilvl w:val="0"/>
          <w:numId w:val="17"/>
        </w:numPr>
        <w:tabs>
          <w:tab w:val="left" w:pos="0"/>
          <w:tab w:val="left" w:pos="284"/>
        </w:tabs>
        <w:spacing w:after="0" w:line="276" w:lineRule="auto"/>
        <w:ind w:left="360"/>
        <w:jc w:val="both"/>
        <w:rPr>
          <w:rFonts w:ascii="Century Gothic" w:hAnsi="Century Gothic" w:eastAsia="Calibri" w:cs="Arial"/>
          <w:b/>
          <w:lang w:val="es-ES_tradnl"/>
        </w:rPr>
      </w:pPr>
      <w:r w:rsidRPr="00A65B02">
        <w:rPr>
          <w:rFonts w:ascii="Century Gothic" w:hAnsi="Century Gothic" w:eastAsia="Calibri" w:cs="Arial"/>
          <w:b/>
          <w:lang w:val="es-ES_tradnl"/>
        </w:rPr>
        <w:t>Consideraciones</w:t>
      </w:r>
    </w:p>
    <w:p w:rsidRPr="00A65B02" w:rsidR="00FD5D77" w:rsidP="00874EAA" w:rsidRDefault="00FD5D77" w14:paraId="5F9E26BE" w14:textId="77777777">
      <w:pPr>
        <w:pStyle w:val="ListParagraph"/>
        <w:tabs>
          <w:tab w:val="left" w:pos="0"/>
          <w:tab w:val="left" w:pos="284"/>
        </w:tabs>
        <w:spacing w:after="0" w:line="240" w:lineRule="auto"/>
        <w:ind w:left="360"/>
        <w:jc w:val="both"/>
        <w:rPr>
          <w:rFonts w:ascii="Century Gothic" w:hAnsi="Century Gothic" w:eastAsia="Calibri" w:cs="Arial"/>
          <w:b/>
          <w:lang w:val="es-ES_tradnl"/>
        </w:rPr>
      </w:pPr>
    </w:p>
    <w:p w:rsidRPr="00A65B02" w:rsidR="00FD5D77" w:rsidP="00FD5D77" w:rsidRDefault="00FD5D77" w14:paraId="5141261B" w14:textId="77777777">
      <w:pPr>
        <w:spacing w:after="120" w:line="276" w:lineRule="auto"/>
        <w:jc w:val="both"/>
        <w:rPr>
          <w:rFonts w:ascii="Century Gothic" w:hAnsi="Century Gothic" w:cs="Arial"/>
          <w:lang w:val="es-ES"/>
        </w:rPr>
      </w:pPr>
      <w:r w:rsidRPr="00A65B02">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1"/>
      <w:bookmarkStart w:name="_Hlk62136649" w:id="2"/>
      <w:r w:rsidRPr="00A65B02">
        <w:rPr>
          <w:rFonts w:ascii="Century Gothic" w:hAnsi="Century Gothic" w:cs="Arial"/>
        </w:rPr>
        <w:t xml:space="preserve">. </w:t>
      </w:r>
      <w:r w:rsidRPr="00A65B02">
        <w:rPr>
          <w:rFonts w:ascii="Century Gothic" w:hAnsi="Century Gothic" w:cs="Arial"/>
          <w:lang w:val="es-ES"/>
        </w:rPr>
        <w:t xml:space="preserve">Es necesario tener en cuenta que </w:t>
      </w:r>
      <w:bookmarkStart w:name="_Hlk61026958" w:id="3"/>
      <w:r w:rsidRPr="00A65B02">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65B02">
        <w:rPr>
          <w:rFonts w:ascii="Century Gothic" w:hAnsi="Century Gothic" w:cs="Arial"/>
        </w:rPr>
        <w:t xml:space="preserve"> de todos los partícipes de la contratación estatal.</w:t>
      </w:r>
      <w:r w:rsidRPr="00A65B02">
        <w:rPr>
          <w:rFonts w:ascii="Century Gothic" w:hAnsi="Century Gothic" w:cs="Arial"/>
          <w:lang w:val="es-ES"/>
        </w:rPr>
        <w:t xml:space="preserve"> </w:t>
      </w:r>
      <w:bookmarkEnd w:id="1"/>
      <w:bookmarkEnd w:id="2"/>
      <w:bookmarkEnd w:id="3"/>
    </w:p>
    <w:p w:rsidRPr="00A65B02" w:rsidR="00FD5D77" w:rsidP="00FD5D77" w:rsidRDefault="00FD5D77" w14:paraId="4B5FC6E7" w14:textId="77777777">
      <w:pPr>
        <w:spacing w:after="120" w:line="276" w:lineRule="auto"/>
        <w:ind w:firstLine="708"/>
        <w:jc w:val="both"/>
        <w:rPr>
          <w:rFonts w:ascii="Century Gothic" w:hAnsi="Century Gothic" w:cs="Arial"/>
          <w:lang w:val="es-ES"/>
        </w:rPr>
      </w:pPr>
      <w:r w:rsidRPr="00A65B02">
        <w:rPr>
          <w:rFonts w:ascii="Century Gothic" w:hAnsi="Century Gothic" w:eastAsia="Calibri" w:cs="Arial"/>
          <w:lang w:val="es-ES"/>
        </w:rPr>
        <w:t xml:space="preserve">La competencia de esta Entidad se fija con límites claros, con el objeto de evitar que la Agencia actúe como una instancia de validación de las actuaciones </w:t>
      </w:r>
      <w:r w:rsidRPr="00A65B02">
        <w:rPr>
          <w:rFonts w:ascii="Century Gothic" w:hAnsi="Century Gothic" w:eastAsia="Calibri" w:cs="Arial"/>
          <w:lang w:val="es-ES"/>
        </w:rPr>
        <w:t>de las entidades sujetas a la Ley 80 de 1993 o de los demás participantes de la contratación pública</w:t>
      </w:r>
      <w:r w:rsidRPr="00A65B02">
        <w:rPr>
          <w:rFonts w:ascii="Century Gothic" w:hAnsi="Century Gothic" w:eastAsia="Calibri" w:cs="Arial"/>
          <w:vertAlign w:val="superscript"/>
          <w:lang w:val="es-ES"/>
        </w:rPr>
        <w:footnoteReference w:id="2"/>
      </w:r>
      <w:r w:rsidRPr="00A65B02">
        <w:rPr>
          <w:rFonts w:ascii="Century Gothic" w:hAnsi="Century Gothic" w:eastAsia="Calibri"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rsidR="00215C99" w:rsidP="00874EAA" w:rsidRDefault="00FD5D77" w14:paraId="0B382CB0" w14:textId="77777777">
      <w:pPr>
        <w:spacing w:line="276" w:lineRule="auto"/>
        <w:ind w:firstLine="708"/>
        <w:jc w:val="both"/>
        <w:rPr>
          <w:rFonts w:ascii="Century Gothic" w:hAnsi="Century Gothic" w:eastAsia="Calibri" w:cs="Arial"/>
          <w:color w:val="000000"/>
        </w:rPr>
      </w:pPr>
      <w:r w:rsidRPr="001A0A60">
        <w:rPr>
          <w:rFonts w:ascii="Century Gothic" w:hAnsi="Century Gothic" w:eastAsia="Calibri" w:cs="Arial"/>
          <w:color w:val="000000"/>
          <w:lang w:val="es-MX"/>
        </w:rPr>
        <w:t xml:space="preserve">Sin perjuicio de lo anterior, </w:t>
      </w:r>
      <w:r w:rsidRPr="001A0A60">
        <w:rPr>
          <w:rFonts w:ascii="Century Gothic" w:hAnsi="Century Gothic" w:eastAsia="Calibri" w:cs="Arial"/>
          <w:color w:val="000000"/>
          <w:lang w:val="es-ES"/>
        </w:rPr>
        <w:t xml:space="preserve">la Subdirección de Gestión Contractual –dentro de los límites de sus atribuciones, esto es, </w:t>
      </w:r>
      <w:bookmarkStart w:name="_Hlk61025408" w:id="4"/>
      <w:r w:rsidRPr="001A0A60">
        <w:rPr>
          <w:rFonts w:ascii="Century Gothic" w:hAnsi="Century Gothic" w:eastAsia="Calibri" w:cs="Arial"/>
          <w:color w:val="000000"/>
          <w:lang w:val="es-ES"/>
        </w:rPr>
        <w:t>haciendo abstracción del caso particular expuesto por el peticionari</w:t>
      </w:r>
      <w:bookmarkEnd w:id="4"/>
      <w:r w:rsidRPr="001A0A60">
        <w:rPr>
          <w:rFonts w:ascii="Century Gothic" w:hAnsi="Century Gothic" w:eastAsia="Calibri" w:cs="Arial"/>
          <w:color w:val="000000"/>
          <w:lang w:val="es-ES"/>
        </w:rPr>
        <w:t>o– resolverá la consulta conforme a las normas generales en materia de contratación estatal</w:t>
      </w:r>
      <w:r w:rsidRPr="001A0A60">
        <w:rPr>
          <w:rFonts w:ascii="Century Gothic" w:hAnsi="Century Gothic" w:eastAsia="Calibri" w:cs="Arial"/>
          <w:lang w:val="es-ES_tradnl" w:eastAsia="es-MX"/>
        </w:rPr>
        <w:t xml:space="preserve">. Con este objetivo se analizarán los siguientes temas: i) </w:t>
      </w:r>
      <w:r w:rsidRPr="001A0A60" w:rsidR="00175908">
        <w:rPr>
          <w:rFonts w:ascii="Century Gothic" w:hAnsi="Century Gothic" w:eastAsia="Calibri" w:cs="Arial"/>
          <w:lang w:val="es-ES_tradnl" w:eastAsia="es-MX"/>
        </w:rPr>
        <w:t>naturaleza jurídica y capacidad contractual de las diferentes formas de organización de comunidades negras, afrodescendientes, raizales y palenqueras</w:t>
      </w:r>
      <w:r w:rsidRPr="001A0A60">
        <w:rPr>
          <w:rFonts w:ascii="Century Gothic" w:hAnsi="Century Gothic" w:eastAsia="Calibri" w:cs="Arial"/>
          <w:lang w:val="es-ES_tradnl" w:eastAsia="es-MX"/>
        </w:rPr>
        <w:t>;</w:t>
      </w:r>
      <w:r w:rsidRPr="001A0A60" w:rsidR="00175908">
        <w:rPr>
          <w:rFonts w:ascii="Century Gothic" w:hAnsi="Century Gothic" w:eastAsia="Calibri" w:cs="Arial"/>
          <w:lang w:val="es-ES_tradnl" w:eastAsia="es-MX"/>
        </w:rPr>
        <w:t xml:space="preserve"> </w:t>
      </w:r>
      <w:proofErr w:type="spellStart"/>
      <w:r w:rsidRPr="001A0A60" w:rsidR="00175908">
        <w:rPr>
          <w:rFonts w:ascii="Century Gothic" w:hAnsi="Century Gothic" w:eastAsia="Calibri" w:cs="Arial"/>
          <w:lang w:val="es-ES_tradnl" w:eastAsia="es-MX"/>
        </w:rPr>
        <w:t>ii</w:t>
      </w:r>
      <w:proofErr w:type="spellEnd"/>
      <w:r w:rsidRPr="001A0A60" w:rsidR="00175908">
        <w:rPr>
          <w:rFonts w:ascii="Century Gothic" w:hAnsi="Century Gothic" w:eastAsia="Calibri" w:cs="Arial"/>
          <w:lang w:val="es-ES_tradnl" w:eastAsia="es-MX"/>
        </w:rPr>
        <w:t xml:space="preserve">) ámbito de aplicación de la casuales de contratación directa previstas en beneficio de  las comunidades negras, afrodescendientes, raizales y palenqueras, y </w:t>
      </w:r>
      <w:r w:rsidRPr="001A0A60">
        <w:rPr>
          <w:rFonts w:ascii="Century Gothic" w:hAnsi="Century Gothic" w:eastAsia="Calibri" w:cs="Arial"/>
          <w:lang w:val="es-ES_tradnl" w:eastAsia="es-MX"/>
        </w:rPr>
        <w:t xml:space="preserve"> </w:t>
      </w:r>
      <w:proofErr w:type="spellStart"/>
      <w:r w:rsidRPr="001A0A60">
        <w:rPr>
          <w:rFonts w:ascii="Century Gothic" w:hAnsi="Century Gothic" w:eastAsia="Calibri" w:cs="Arial"/>
          <w:lang w:val="es-ES_tradnl" w:eastAsia="es-MX"/>
        </w:rPr>
        <w:t>i</w:t>
      </w:r>
      <w:r w:rsidRPr="001A0A60" w:rsidR="00175908">
        <w:rPr>
          <w:rFonts w:ascii="Century Gothic" w:hAnsi="Century Gothic" w:eastAsia="Calibri" w:cs="Arial"/>
          <w:lang w:val="es-ES_tradnl" w:eastAsia="es-MX"/>
        </w:rPr>
        <w:t>i</w:t>
      </w:r>
      <w:r w:rsidRPr="001A0A60">
        <w:rPr>
          <w:rFonts w:ascii="Century Gothic" w:hAnsi="Century Gothic" w:eastAsia="Calibri" w:cs="Arial"/>
          <w:lang w:val="es-ES_tradnl" w:eastAsia="es-MX"/>
        </w:rPr>
        <w:t>i</w:t>
      </w:r>
      <w:proofErr w:type="spellEnd"/>
      <w:r w:rsidRPr="001A0A60">
        <w:rPr>
          <w:rFonts w:ascii="Century Gothic" w:hAnsi="Century Gothic" w:eastAsia="Calibri" w:cs="Arial"/>
          <w:lang w:val="es-ES_tradnl" w:eastAsia="es-MX"/>
        </w:rPr>
        <w:t xml:space="preserve">) </w:t>
      </w:r>
      <w:r w:rsidRPr="001A0A60" w:rsidR="00175908">
        <w:rPr>
          <w:rFonts w:ascii="Century Gothic" w:hAnsi="Century Gothic" w:eastAsia="Calibri" w:cs="Arial"/>
          <w:lang w:val="es-ES_tradnl" w:eastAsia="es-MX"/>
        </w:rPr>
        <w:t>la contratación directa de obras públicas de infraestructura de transporte con comunidades, negras, afrodescendientes, raizales y palenqueras.</w:t>
      </w:r>
      <w:r w:rsidRPr="001A0A60" w:rsidR="00996EED">
        <w:rPr>
          <w:rFonts w:ascii="Century Gothic" w:hAnsi="Century Gothic" w:eastAsia="Calibri" w:cs="Arial"/>
          <w:lang w:val="es-ES_tradnl" w:eastAsia="es-MX"/>
        </w:rPr>
        <w:t xml:space="preserve"> </w:t>
      </w:r>
      <w:r w:rsidRPr="00A65B02">
        <w:rPr>
          <w:rFonts w:ascii="Century Gothic" w:hAnsi="Century Gothic" w:eastAsia="Calibri" w:cs="Arial"/>
          <w:color w:val="000000"/>
        </w:rPr>
        <w:t xml:space="preserve"> </w:t>
      </w:r>
    </w:p>
    <w:p w:rsidRPr="00A65B02" w:rsidR="00FD5D77" w:rsidP="00874EAA" w:rsidRDefault="00FD5D77" w14:paraId="2724761D" w14:textId="13930BCB">
      <w:pPr>
        <w:spacing w:line="276" w:lineRule="auto"/>
        <w:ind w:firstLine="708"/>
        <w:jc w:val="both"/>
        <w:rPr>
          <w:rFonts w:ascii="Century Gothic" w:hAnsi="Century Gothic" w:eastAsia="Calibri" w:cs="Arial"/>
          <w:lang w:val="es-ES_tradnl" w:eastAsia="es-ES_tradnl"/>
        </w:rPr>
      </w:pPr>
      <w:r w:rsidRPr="00A65B02">
        <w:rPr>
          <w:rFonts w:ascii="Century Gothic" w:hAnsi="Century Gothic" w:eastAsia="Calibri" w:cs="Arial"/>
        </w:rPr>
        <w:t>La Agencia Nacional de Contratación Pública – Colombia Compra Eficiente –en adelante la ANCP-CCE–</w:t>
      </w:r>
      <w:r w:rsidRPr="001A0A60" w:rsidR="005545FF">
        <w:rPr>
          <w:rFonts w:ascii="Century Gothic" w:hAnsi="Century Gothic" w:eastAsia="Calibri" w:cs="Arial"/>
        </w:rPr>
        <w:t xml:space="preserve">se ha pronunciado </w:t>
      </w:r>
      <w:r w:rsidRPr="00A65B02">
        <w:rPr>
          <w:rFonts w:ascii="Century Gothic" w:hAnsi="Century Gothic" w:eastAsia="Calibri" w:cs="Arial"/>
          <w:lang w:val="es-ES_tradnl"/>
        </w:rPr>
        <w:t xml:space="preserve">sobre </w:t>
      </w:r>
      <w:r w:rsidRPr="001A0A60" w:rsidR="005545FF">
        <w:rPr>
          <w:rFonts w:ascii="Century Gothic" w:hAnsi="Century Gothic" w:eastAsia="Calibri" w:cs="Arial"/>
          <w:lang w:val="es-ES_tradnl"/>
        </w:rPr>
        <w:t>el marco jurídico de la</w:t>
      </w:r>
      <w:r w:rsidRPr="001A0A60">
        <w:rPr>
          <w:rFonts w:ascii="Century Gothic" w:hAnsi="Century Gothic" w:eastAsia="Calibri" w:cs="Arial"/>
          <w:lang w:val="es-ES_tradnl"/>
        </w:rPr>
        <w:t xml:space="preserve"> </w:t>
      </w:r>
      <w:r w:rsidRPr="00A65B02">
        <w:rPr>
          <w:rFonts w:ascii="Century Gothic" w:hAnsi="Century Gothic" w:eastAsia="Calibri" w:cs="Arial"/>
          <w:lang w:val="es-ES_tradnl"/>
        </w:rPr>
        <w:t>contratación con comunidades negras, afrodescendientes, raizales y palenqueras en los conceptos Nro. C-731 del 26 de enero del 2022 y C- 052 del 21 de abril del 2023</w:t>
      </w:r>
      <w:r w:rsidRPr="00A65B02">
        <w:rPr>
          <w:rStyle w:val="FootnoteReference"/>
          <w:rFonts w:ascii="Century Gothic" w:hAnsi="Century Gothic" w:eastAsia="Calibri" w:cs="Arial"/>
          <w:bCs/>
          <w:lang w:val="es-MX"/>
        </w:rPr>
        <w:footnoteReference w:id="3"/>
      </w:r>
      <w:r w:rsidRPr="001A0A60" w:rsidR="005545FF">
        <w:rPr>
          <w:rFonts w:ascii="Century Gothic" w:hAnsi="Century Gothic" w:eastAsia="Calibri" w:cs="Arial"/>
          <w:bCs/>
          <w:lang w:val="es-MX"/>
        </w:rPr>
        <w:t>.</w:t>
      </w:r>
      <w:r w:rsidRPr="00A65B02">
        <w:rPr>
          <w:rFonts w:ascii="Century Gothic" w:hAnsi="Century Gothic" w:eastAsia="Calibri" w:cs="Arial"/>
          <w:lang w:val="es-MX" w:eastAsia="es-ES_tradnl"/>
        </w:rPr>
        <w:t xml:space="preserve"> </w:t>
      </w:r>
      <w:r w:rsidRPr="00A65B02">
        <w:rPr>
          <w:rFonts w:ascii="Century Gothic" w:hAnsi="Century Gothic" w:eastAsia="Calibri" w:cs="Arial"/>
          <w:lang w:val="es-ES_tradnl" w:eastAsia="es-ES_tradnl"/>
        </w:rPr>
        <w:t>Algunas de las consideraciones de estos conceptos se reiteran y se complementan en lo pertinente para dar respuesta a su consulta.</w:t>
      </w:r>
    </w:p>
    <w:p w:rsidRPr="00A65B02" w:rsidR="00FD5D77" w:rsidP="00FD5D77" w:rsidRDefault="00FD5D77" w14:paraId="3CD3F1F4" w14:textId="3BC22302">
      <w:pPr>
        <w:spacing w:after="0"/>
        <w:jc w:val="both"/>
        <w:rPr>
          <w:rFonts w:ascii="Century Gothic" w:hAnsi="Century Gothic" w:eastAsia="Calibri" w:cs="Arial"/>
          <w:b/>
          <w:lang w:val="es-ES_tradnl"/>
        </w:rPr>
      </w:pPr>
      <w:r w:rsidRPr="00A65B02">
        <w:rPr>
          <w:rFonts w:ascii="Century Gothic" w:hAnsi="Century Gothic" w:eastAsia="Calibri" w:cs="Arial"/>
          <w:b/>
          <w:lang w:val="es-ES_tradnl"/>
        </w:rPr>
        <w:t>2.1. Naturaleza jurídica y capacidad contractual de las diferentes formas de organización de comunidades negras, afrodescendientes, raizales y palenqueras</w:t>
      </w:r>
    </w:p>
    <w:p w:rsidRPr="00A65B02" w:rsidR="00FD5D77" w:rsidP="00FD5D77" w:rsidRDefault="00FD5D77" w14:paraId="29F5F90E" w14:textId="77777777">
      <w:pPr>
        <w:spacing w:after="0"/>
        <w:jc w:val="both"/>
        <w:rPr>
          <w:rFonts w:ascii="Century Gothic" w:hAnsi="Century Gothic" w:eastAsia="Calibri" w:cs="Arial"/>
          <w:lang w:val="es-ES_tradnl"/>
        </w:rPr>
      </w:pPr>
    </w:p>
    <w:p w:rsidRPr="00A65B02" w:rsidR="00FD5D77" w:rsidP="00FD5D77" w:rsidRDefault="00FD5D77" w14:paraId="5C6058A3" w14:textId="77777777">
      <w:pPr>
        <w:spacing w:after="0"/>
        <w:jc w:val="both"/>
        <w:rPr>
          <w:rFonts w:ascii="Century Gothic" w:hAnsi="Century Gothic" w:eastAsia="Calibri" w:cs="Arial"/>
          <w:lang w:val="es-ES"/>
        </w:rPr>
      </w:pPr>
      <w:r w:rsidRPr="00A65B02">
        <w:rPr>
          <w:rFonts w:ascii="Century Gothic" w:hAnsi="Century Gothic" w:eastAsia="Calibri" w:cs="Arial"/>
          <w:lang w:val="es-ES"/>
        </w:rPr>
        <w:t>Con la suscripción del Convenio No. 169 de 1989, “Sobre pueblos indígenas y tribales en países independientes” de la Organización Internacional del Trabajo – OIT, incorporado al bloque de constitucionalidad</w:t>
      </w:r>
      <w:r w:rsidRPr="00A65B02">
        <w:rPr>
          <w:rFonts w:ascii="Century Gothic" w:hAnsi="Century Gothic" w:eastAsia="Calibri" w:cs="Arial"/>
          <w:vertAlign w:val="superscript"/>
          <w:lang w:val="es-ES"/>
        </w:rPr>
        <w:footnoteReference w:id="4"/>
      </w:r>
      <w:r w:rsidRPr="00A65B02">
        <w:rPr>
          <w:rFonts w:ascii="Century Gothic" w:hAnsi="Century Gothic" w:eastAsia="Calibri" w:cs="Arial"/>
          <w:lang w:val="es-E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y tribales con acciones concretas dirigidas al reconocimiento de sus derechos y el respeto de su integridad, entre otros compromisos adquiridos. Al respecto, el artículo 2 de la Ley 21 de 1991 prescribe que: </w:t>
      </w:r>
    </w:p>
    <w:p w:rsidRPr="00A65B02" w:rsidR="00FD5D77" w:rsidP="00FD5D77" w:rsidRDefault="00FD5D77" w14:paraId="77355B26" w14:textId="77777777">
      <w:pPr>
        <w:spacing w:after="0"/>
        <w:jc w:val="both"/>
        <w:rPr>
          <w:rFonts w:ascii="Century Gothic" w:hAnsi="Century Gothic" w:eastAsia="Calibri" w:cs="Arial"/>
          <w:lang w:val="es-ES"/>
        </w:rPr>
      </w:pPr>
    </w:p>
    <w:p w:rsidRPr="00874EAA" w:rsidR="00FD5D77" w:rsidP="00FD5D77" w:rsidRDefault="00FD5D77" w14:paraId="54F6BD42" w14:textId="77777777">
      <w:pPr>
        <w:spacing w:line="240" w:lineRule="auto"/>
        <w:ind w:left="709" w:right="709"/>
        <w:jc w:val="both"/>
        <w:rPr>
          <w:rFonts w:ascii="Century Gothic" w:hAnsi="Century Gothic" w:eastAsia="Calibri" w:cs="Arial"/>
          <w:sz w:val="20"/>
          <w:szCs w:val="20"/>
          <w:lang w:val="es-ES"/>
        </w:rPr>
      </w:pPr>
      <w:r w:rsidRPr="00874EAA">
        <w:rPr>
          <w:rFonts w:ascii="Century Gothic" w:hAnsi="Century Gothic" w:eastAsia="Calibri" w:cs="Arial"/>
          <w:sz w:val="20"/>
          <w:szCs w:val="20"/>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rsidRPr="00874EAA" w:rsidR="00FD5D77" w:rsidP="00FD5D77" w:rsidRDefault="00FD5D77" w14:paraId="18C781F1" w14:textId="77777777">
      <w:pPr>
        <w:spacing w:line="240" w:lineRule="auto"/>
        <w:ind w:left="709" w:right="709"/>
        <w:jc w:val="both"/>
        <w:rPr>
          <w:rFonts w:ascii="Century Gothic" w:hAnsi="Century Gothic" w:eastAsia="Calibri" w:cs="Arial"/>
          <w:sz w:val="20"/>
          <w:szCs w:val="20"/>
          <w:lang w:val="es-ES"/>
        </w:rPr>
      </w:pPr>
      <w:r w:rsidRPr="00874EAA">
        <w:rPr>
          <w:rFonts w:ascii="Century Gothic" w:hAnsi="Century Gothic" w:eastAsia="Calibri" w:cs="Arial"/>
          <w:sz w:val="20"/>
          <w:szCs w:val="20"/>
          <w:lang w:val="es-ES"/>
        </w:rPr>
        <w:t>2. Esta acción deberá incluir medidas:</w:t>
      </w:r>
    </w:p>
    <w:p w:rsidRPr="00874EAA" w:rsidR="00FD5D77" w:rsidP="00FD5D77" w:rsidRDefault="00FD5D77" w14:paraId="38D0C2C8" w14:textId="77777777">
      <w:pPr>
        <w:spacing w:line="240" w:lineRule="auto"/>
        <w:ind w:left="709" w:right="709"/>
        <w:jc w:val="both"/>
        <w:rPr>
          <w:rFonts w:ascii="Century Gothic" w:hAnsi="Century Gothic" w:eastAsia="Calibri" w:cs="Arial"/>
          <w:sz w:val="20"/>
          <w:szCs w:val="20"/>
          <w:lang w:val="es-ES"/>
        </w:rPr>
      </w:pPr>
      <w:r w:rsidRPr="00874EAA">
        <w:rPr>
          <w:rFonts w:ascii="Century Gothic" w:hAnsi="Century Gothic" w:eastAsia="Calibri" w:cs="Arial"/>
          <w:sz w:val="20"/>
          <w:szCs w:val="20"/>
          <w:lang w:val="es-ES"/>
        </w:rPr>
        <w:t>a). Que aseguren a los miembros de dichos pueblos gozar, en pie de igualdad, de los derechos y oportunidades que la legislación nacional otorga a los demás miembros de la población;</w:t>
      </w:r>
    </w:p>
    <w:p w:rsidRPr="00874EAA" w:rsidR="00FD5D77" w:rsidP="00FD5D77" w:rsidRDefault="00FD5D77" w14:paraId="3BCD5064" w14:textId="77777777">
      <w:pPr>
        <w:spacing w:line="240" w:lineRule="auto"/>
        <w:ind w:left="709" w:right="709"/>
        <w:jc w:val="both"/>
        <w:rPr>
          <w:rFonts w:ascii="Century Gothic" w:hAnsi="Century Gothic" w:eastAsia="Calibri" w:cs="Arial"/>
          <w:sz w:val="20"/>
          <w:szCs w:val="20"/>
          <w:lang w:val="es-ES"/>
        </w:rPr>
      </w:pPr>
      <w:r w:rsidRPr="00874EAA">
        <w:rPr>
          <w:rFonts w:ascii="Century Gothic" w:hAnsi="Century Gothic" w:eastAsia="Calibri" w:cs="Arial"/>
          <w:sz w:val="20"/>
          <w:szCs w:val="20"/>
          <w:lang w:val="es-ES"/>
        </w:rPr>
        <w:t>b). Que promuevan la plena efectividad de los derechos sociales, económicos y culturales de esos pueblos, respetando su identidad social y cultural, sus costumbres y tradiciones, y sus instituciones;</w:t>
      </w:r>
    </w:p>
    <w:p w:rsidRPr="00874EAA" w:rsidR="00FD5D77" w:rsidP="00FD5D77" w:rsidRDefault="00FD5D77" w14:paraId="4E91EF15" w14:textId="77777777">
      <w:pPr>
        <w:spacing w:after="0" w:line="240" w:lineRule="auto"/>
        <w:ind w:left="708" w:right="709"/>
        <w:jc w:val="both"/>
        <w:rPr>
          <w:rFonts w:ascii="Century Gothic" w:hAnsi="Century Gothic" w:eastAsia="Calibri" w:cs="Arial"/>
          <w:sz w:val="20"/>
          <w:szCs w:val="20"/>
          <w:lang w:val="es-ES"/>
        </w:rPr>
      </w:pPr>
      <w:r w:rsidRPr="00874EAA">
        <w:rPr>
          <w:rFonts w:ascii="Century Gothic" w:hAnsi="Century Gothic" w:eastAsia="Calibri" w:cs="Arial"/>
          <w:sz w:val="20"/>
          <w:szCs w:val="20"/>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rsidRPr="00A65B02" w:rsidR="00FD5D77" w:rsidP="00FD5D77" w:rsidRDefault="00FD5D77" w14:paraId="4F8DE1E7" w14:textId="77777777">
      <w:pPr>
        <w:spacing w:after="0"/>
        <w:jc w:val="both"/>
        <w:rPr>
          <w:rFonts w:ascii="Century Gothic" w:hAnsi="Century Gothic" w:eastAsia="Calibri" w:cs="Arial"/>
          <w:sz w:val="21"/>
          <w:szCs w:val="21"/>
          <w:lang w:val="es-ES"/>
        </w:rPr>
      </w:pPr>
      <w:r w:rsidRPr="00A65B02">
        <w:rPr>
          <w:rFonts w:ascii="Century Gothic" w:hAnsi="Century Gothic" w:eastAsia="Calibri" w:cs="Arial"/>
          <w:sz w:val="21"/>
          <w:szCs w:val="21"/>
          <w:lang w:val="es-ES"/>
        </w:rPr>
        <w:tab/>
      </w:r>
    </w:p>
    <w:p w:rsidRPr="00A65B02" w:rsidR="00FD5D77" w:rsidP="00FD5D77" w:rsidRDefault="00FD5D77" w14:paraId="1CC29A92" w14:textId="0695639F">
      <w:pPr>
        <w:ind w:firstLine="680"/>
        <w:jc w:val="both"/>
        <w:rPr>
          <w:rFonts w:ascii="Century Gothic" w:hAnsi="Century Gothic" w:eastAsia="Calibri" w:cs="Arial"/>
          <w:lang w:val="es-ES_tradnl"/>
        </w:rPr>
      </w:pPr>
      <w:r w:rsidRPr="00A65B02">
        <w:rPr>
          <w:rFonts w:ascii="Century Gothic" w:hAnsi="Century Gothic" w:eastAsia="Calibri" w:cs="Arial"/>
          <w:lang w:val="es-ES"/>
        </w:rPr>
        <w:t>Ahora bien, en lo que respecta a la expresión “</w:t>
      </w:r>
      <w:r w:rsidRPr="00874EAA">
        <w:rPr>
          <w:rFonts w:ascii="Century Gothic" w:hAnsi="Century Gothic" w:eastAsia="Calibri" w:cs="Arial"/>
          <w:i/>
          <w:lang w:val="es-ES"/>
        </w:rPr>
        <w:t>pueblos indígenas y tribales</w:t>
      </w:r>
      <w:r w:rsidRPr="00A65B02">
        <w:rPr>
          <w:rFonts w:ascii="Century Gothic" w:hAnsi="Century Gothic" w:eastAsia="Calibri" w:cs="Arial"/>
          <w:lang w:val="es-ES"/>
        </w:rPr>
        <w:t xml:space="preserve">”, ha de precisarse que abarca a todos los pueblos y/o comunidades que conservan total o parcialmente sus tradiciones o costumbres, instituciones y organización social, ello quiere decir, que no solo los pueblos indígenas son titulares de los preceptos establecidos en el convenio </w:t>
      </w:r>
      <w:r w:rsidRPr="001A0A60">
        <w:rPr>
          <w:rFonts w:ascii="Century Gothic" w:hAnsi="Century Gothic" w:eastAsia="Calibri" w:cs="Arial"/>
          <w:lang w:val="es-ES"/>
        </w:rPr>
        <w:t>16</w:t>
      </w:r>
      <w:r w:rsidRPr="001A0A60" w:rsidR="005959A9">
        <w:rPr>
          <w:rFonts w:ascii="Century Gothic" w:hAnsi="Century Gothic" w:eastAsia="Calibri" w:cs="Arial"/>
          <w:lang w:val="es-ES"/>
        </w:rPr>
        <w:t>9</w:t>
      </w:r>
      <w:r w:rsidRPr="00A65B02">
        <w:rPr>
          <w:rFonts w:ascii="Century Gothic" w:hAnsi="Century Gothic" w:eastAsia="Calibri" w:cs="Arial"/>
          <w:lang w:val="es-ES"/>
        </w:rPr>
        <w:t xml:space="preserve"> aprobado por la Ley 21 de 1991, sino que otros grupos étnicos diferenciados, como es el caso de las </w:t>
      </w:r>
      <w:r w:rsidRPr="00A65B02">
        <w:rPr>
          <w:rFonts w:ascii="Century Gothic" w:hAnsi="Century Gothic" w:eastAsia="Calibri" w:cs="Arial"/>
          <w:lang w:val="es-ES_tradnl"/>
        </w:rPr>
        <w:t xml:space="preserve">Comunidades Negras, Afrodescendientes, Raizales y Palenqueras, </w:t>
      </w:r>
      <w:r w:rsidRPr="001A0A60" w:rsidR="00621C09">
        <w:rPr>
          <w:rFonts w:ascii="Century Gothic" w:hAnsi="Century Gothic" w:eastAsia="Calibri" w:cs="Arial"/>
          <w:lang w:val="es-ES_tradnl"/>
        </w:rPr>
        <w:t>quienes también son titulares</w:t>
      </w:r>
      <w:r w:rsidRPr="00A65B02">
        <w:rPr>
          <w:rFonts w:ascii="Century Gothic" w:hAnsi="Century Gothic" w:eastAsia="Calibri" w:cs="Arial"/>
          <w:lang w:val="es-ES_tradnl"/>
        </w:rPr>
        <w:t xml:space="preserve"> de los derechos ligados a la autonomía, diversidad cultural, defensa de los territorios, participación, entre otros.  Sobre el asunto la Corte Constitucional en </w:t>
      </w:r>
      <w:r w:rsidRPr="001A0A60" w:rsidR="00344F41">
        <w:rPr>
          <w:rFonts w:ascii="Century Gothic" w:hAnsi="Century Gothic" w:eastAsia="Calibri" w:cs="Arial"/>
          <w:lang w:val="es-ES_tradnl"/>
        </w:rPr>
        <w:t>ha</w:t>
      </w:r>
      <w:r w:rsidRPr="00A65B02">
        <w:rPr>
          <w:rFonts w:ascii="Century Gothic" w:hAnsi="Century Gothic" w:eastAsia="Calibri" w:cs="Arial"/>
          <w:lang w:val="es-ES_tradnl"/>
        </w:rPr>
        <w:t xml:space="preserve">, </w:t>
      </w:r>
      <w:r w:rsidRPr="001A0A60">
        <w:rPr>
          <w:rFonts w:ascii="Century Gothic" w:hAnsi="Century Gothic" w:eastAsia="Calibri" w:cs="Arial"/>
          <w:lang w:val="es-ES_tradnl"/>
        </w:rPr>
        <w:t>precis</w:t>
      </w:r>
      <w:r w:rsidRPr="001A0A60" w:rsidR="00344F41">
        <w:rPr>
          <w:rFonts w:ascii="Century Gothic" w:hAnsi="Century Gothic" w:eastAsia="Calibri" w:cs="Arial"/>
          <w:lang w:val="es-ES_tradnl"/>
        </w:rPr>
        <w:t>ado</w:t>
      </w:r>
      <w:r w:rsidRPr="00A65B02">
        <w:rPr>
          <w:rFonts w:ascii="Century Gothic" w:hAnsi="Century Gothic" w:eastAsia="Calibri" w:cs="Arial"/>
          <w:lang w:val="es-ES_tradnl"/>
        </w:rPr>
        <w:t xml:space="preserve"> lo siguiente:</w:t>
      </w:r>
    </w:p>
    <w:p w:rsidRPr="00874EAA" w:rsidR="00FD5D77" w:rsidP="00FD5D77" w:rsidRDefault="00FD5D77" w14:paraId="70B0A1B6" w14:textId="498E73E0">
      <w:pPr>
        <w:spacing w:after="0" w:line="240" w:lineRule="auto"/>
        <w:ind w:left="708" w:right="709"/>
        <w:jc w:val="both"/>
        <w:rPr>
          <w:rFonts w:ascii="Century Gothic" w:hAnsi="Century Gothic" w:eastAsia="Calibri" w:cs="Arial"/>
          <w:sz w:val="20"/>
          <w:szCs w:val="20"/>
          <w:lang w:val="es-ES"/>
        </w:rPr>
      </w:pPr>
      <w:r w:rsidRPr="00874EAA">
        <w:rPr>
          <w:rFonts w:ascii="Century Gothic" w:hAnsi="Century Gothic" w:eastAsia="Calibri" w:cs="Arial"/>
          <w:sz w:val="20"/>
          <w:szCs w:val="20"/>
          <w:lang w:val="es-ES"/>
        </w:rPr>
        <w:t xml:space="preserve">“[…] </w:t>
      </w:r>
      <w:r w:rsidRPr="00874EAA">
        <w:rPr>
          <w:rFonts w:ascii="Century Gothic" w:hAnsi="Century Gothic"/>
          <w:color w:val="2D2D2D"/>
          <w:sz w:val="20"/>
          <w:szCs w:val="20"/>
          <w:shd w:val="clear" w:color="auto" w:fill="FFFFFF"/>
          <w:lang w:val="es-ES_tradnl"/>
        </w:rPr>
        <w:t>las comunidades afrocolombianas son un grupo culturalmente diferenciado titular de derechos grupales especiales y que puede clasificarse como “pueblo tribal” para efectos de la aplicación del Convenio. La Corte ha rechazado </w:t>
      </w:r>
      <w:r w:rsidRPr="00874EAA">
        <w:rPr>
          <w:rFonts w:ascii="Century Gothic" w:hAnsi="Century Gothic"/>
          <w:color w:val="2D2D2D"/>
          <w:sz w:val="20"/>
          <w:szCs w:val="20"/>
          <w:shd w:val="clear" w:color="auto" w:fill="FFFFFF"/>
        </w:rPr>
        <w:t>que criterios raciales, espaciales –ubicación geográfica- o jurídico formales –existencia de una organización legalmente reconocida- sean criterios determinantes de la existencia de las comunidades negras como grupo étnico diferenciado. Para la Corporación, </w:t>
      </w:r>
      <w:r w:rsidRPr="00874EAA">
        <w:rPr>
          <w:rFonts w:ascii="Century Gothic" w:hAnsi="Century Gothic"/>
          <w:color w:val="2D2D2D"/>
          <w:sz w:val="20"/>
          <w:szCs w:val="20"/>
          <w:shd w:val="clear" w:color="auto" w:fill="FFFFFF"/>
          <w:lang w:val="es-ES_tradnl"/>
        </w:rPr>
        <w:t xml:space="preserve">siguiendo el Convenio 169 de la OIT, los factores que ayudan en mayor medida a la identificación de “los pueblos tribales” –como las comunidades negras- son, en primer lugar, uno objetivo relacionado con la existencia de rasgos culturales y sociales compartidos por los miembros del grupo y que lo diferencian de los demás sectores sociales; y uno subjetivo que hace referencia a la existencia de una identidad grupal que lleva a sus integrantes a asumirse como miembros de la colectividad. En este orden de ideas, la Corte ha resaltado que el concepto de comunidad negra es mucho más amplio que el contemplado por la Ley 70 de 1993; este último es sólo aplicable a los supuestos previstos en la disposición y, en todo caso, no es condición de acceso a otras medidas de protección. </w:t>
      </w:r>
      <w:r w:rsidRPr="00874EAA">
        <w:rPr>
          <w:rFonts w:ascii="Century Gothic" w:hAnsi="Century Gothic" w:eastAsia="Calibri" w:cs="Arial"/>
          <w:sz w:val="20"/>
          <w:szCs w:val="20"/>
          <w:lang w:val="es-ES"/>
        </w:rPr>
        <w:t>[…]”</w:t>
      </w:r>
      <w:r w:rsidRPr="00874EAA" w:rsidR="00344F41">
        <w:rPr>
          <w:rStyle w:val="FootnoteReference"/>
          <w:rFonts w:ascii="Century Gothic" w:hAnsi="Century Gothic" w:eastAsia="Calibri" w:cs="Arial"/>
          <w:sz w:val="20"/>
          <w:szCs w:val="20"/>
          <w:lang w:val="es-ES"/>
        </w:rPr>
        <w:footnoteReference w:id="5"/>
      </w:r>
    </w:p>
    <w:p w:rsidRPr="00A65B02" w:rsidR="00FD5D77" w:rsidP="00FD5D77" w:rsidRDefault="00FD5D77" w14:paraId="4338B8AE" w14:textId="77777777">
      <w:pPr>
        <w:spacing w:after="0"/>
        <w:jc w:val="both"/>
        <w:rPr>
          <w:rFonts w:ascii="Century Gothic" w:hAnsi="Century Gothic" w:eastAsia="Calibri" w:cs="Arial"/>
          <w:sz w:val="21"/>
          <w:szCs w:val="21"/>
          <w:lang w:val="es-ES"/>
        </w:rPr>
      </w:pPr>
    </w:p>
    <w:p w:rsidRPr="00A65B02" w:rsidR="00FD5D77" w:rsidP="00FD5D77" w:rsidRDefault="00FD5D77" w14:paraId="7211C4E6" w14:textId="64F01852">
      <w:pPr>
        <w:ind w:firstLine="680"/>
        <w:jc w:val="both"/>
        <w:rPr>
          <w:rFonts w:ascii="Century Gothic" w:hAnsi="Century Gothic" w:eastAsia="Calibri" w:cs="Arial"/>
          <w:lang w:val="es-ES"/>
        </w:rPr>
      </w:pPr>
      <w:r w:rsidRPr="00A65B02">
        <w:rPr>
          <w:rFonts w:ascii="Century Gothic" w:hAnsi="Century Gothic" w:eastAsia="Calibri" w:cs="Arial"/>
          <w:lang w:val="es-ES"/>
        </w:rPr>
        <w:t xml:space="preserve">Por su parte, el artículo 55 transitorio </w:t>
      </w:r>
      <w:r w:rsidRPr="001A0A60" w:rsidR="005B1028">
        <w:rPr>
          <w:rFonts w:ascii="Century Gothic" w:hAnsi="Century Gothic" w:eastAsia="Calibri" w:cs="Arial"/>
          <w:lang w:val="es-ES"/>
        </w:rPr>
        <w:t>c</w:t>
      </w:r>
      <w:r w:rsidRPr="00A65B02">
        <w:rPr>
          <w:rFonts w:ascii="Century Gothic" w:hAnsi="Century Gothic" w:eastAsia="Calibri" w:cs="Arial"/>
          <w:lang w:val="es-ES"/>
        </w:rPr>
        <w:t>onstitucional</w:t>
      </w:r>
      <w:r w:rsidRPr="00A65B02">
        <w:rPr>
          <w:rStyle w:val="FootnoteReference"/>
          <w:rFonts w:ascii="Century Gothic" w:hAnsi="Century Gothic" w:eastAsia="Calibri" w:cs="Arial"/>
          <w:lang w:val="es-ES"/>
        </w:rPr>
        <w:footnoteReference w:id="6"/>
      </w:r>
      <w:r w:rsidRPr="00A65B02">
        <w:rPr>
          <w:rFonts w:ascii="Century Gothic" w:hAnsi="Century Gothic" w:eastAsia="Calibri" w:cs="Arial"/>
          <w:lang w:val="es-ES"/>
        </w:rPr>
        <w:t xml:space="preserve"> otorgó la calidad de grupo étnico a las </w:t>
      </w:r>
      <w:r w:rsidRPr="001A0A60" w:rsidR="00332133">
        <w:rPr>
          <w:rFonts w:ascii="Century Gothic" w:hAnsi="Century Gothic" w:eastAsia="Calibri" w:cs="Arial"/>
          <w:lang w:val="es-ES"/>
        </w:rPr>
        <w:t>comunidades negras, afrodescendientes, raizales</w:t>
      </w:r>
      <w:r w:rsidRPr="00A65B02">
        <w:rPr>
          <w:rFonts w:ascii="Century Gothic" w:hAnsi="Century Gothic" w:eastAsia="Calibri" w:cs="Arial"/>
          <w:lang w:val="es-ES"/>
        </w:rPr>
        <w:t xml:space="preserve"> y </w:t>
      </w:r>
      <w:r w:rsidRPr="001A0A60" w:rsidR="00332133">
        <w:rPr>
          <w:rFonts w:ascii="Century Gothic" w:hAnsi="Century Gothic" w:eastAsia="Calibri" w:cs="Arial"/>
          <w:lang w:val="es-ES"/>
        </w:rPr>
        <w:t>palenqueras</w:t>
      </w:r>
      <w:r w:rsidRPr="00A65B02">
        <w:rPr>
          <w:rFonts w:ascii="Century Gothic" w:hAnsi="Century Gothic" w:eastAsia="Calibri" w:cs="Arial"/>
          <w:lang w:val="es-ES"/>
        </w:rPr>
        <w:t xml:space="preserve"> de modo que poseen similares derechos de reconocimiento de identidad y diversidad cultural que los pueblos indígenas</w:t>
      </w:r>
      <w:r w:rsidRPr="001A0A60" w:rsidR="005B1028">
        <w:rPr>
          <w:rFonts w:ascii="Century Gothic" w:hAnsi="Century Gothic" w:eastAsia="Calibri" w:cs="Arial"/>
          <w:lang w:val="es-ES"/>
        </w:rPr>
        <w:t>.</w:t>
      </w:r>
      <w:r w:rsidRPr="001A0A60">
        <w:rPr>
          <w:rFonts w:ascii="Century Gothic" w:hAnsi="Century Gothic" w:eastAsia="Calibri" w:cs="Arial"/>
          <w:lang w:val="es-ES"/>
        </w:rPr>
        <w:t xml:space="preserve"> </w:t>
      </w:r>
      <w:r w:rsidRPr="001A0A60" w:rsidR="005B1028">
        <w:rPr>
          <w:rFonts w:ascii="Century Gothic" w:hAnsi="Century Gothic" w:eastAsia="Calibri" w:cs="Arial"/>
          <w:lang w:val="es-ES"/>
        </w:rPr>
        <w:t>S</w:t>
      </w:r>
      <w:r w:rsidRPr="00A65B02">
        <w:rPr>
          <w:rFonts w:ascii="Century Gothic" w:hAnsi="Century Gothic" w:eastAsia="Calibri" w:cs="Arial"/>
          <w:lang w:val="es-ES"/>
        </w:rPr>
        <w:t>obre este aspecto vale la pena aclarar que las obligaciones constitucionales no dependen de las garantías que se reconozcan a estos últimos, puesto que tanto en la constitución y la ley se ha reconocido la identidad diferencia de estos sujetos colectivos</w:t>
      </w:r>
      <w:r w:rsidRPr="00A65B02">
        <w:rPr>
          <w:rStyle w:val="FootnoteReference"/>
          <w:rFonts w:ascii="Century Gothic" w:hAnsi="Century Gothic" w:eastAsia="Calibri" w:cs="Arial"/>
          <w:lang w:val="es-ES"/>
        </w:rPr>
        <w:footnoteReference w:id="7"/>
      </w:r>
      <w:r w:rsidRPr="001A0A60" w:rsidR="00E62680">
        <w:rPr>
          <w:rFonts w:ascii="Century Gothic" w:hAnsi="Century Gothic" w:eastAsia="Calibri" w:cs="Arial"/>
          <w:lang w:val="es-ES"/>
        </w:rPr>
        <w:t>.</w:t>
      </w:r>
      <w:r w:rsidRPr="00A65B02">
        <w:rPr>
          <w:rFonts w:ascii="Century Gothic" w:hAnsi="Century Gothic" w:eastAsia="Calibri" w:cs="Arial"/>
          <w:lang w:val="es-ES"/>
        </w:rPr>
        <w:t xml:space="preserve"> </w:t>
      </w:r>
    </w:p>
    <w:p w:rsidRPr="00A65B02" w:rsidR="00FD5D77" w:rsidP="00FD5D77" w:rsidRDefault="00FD5D77" w14:paraId="2EBB95A8" w14:textId="77777777">
      <w:pPr>
        <w:ind w:firstLine="680"/>
        <w:jc w:val="both"/>
        <w:rPr>
          <w:rFonts w:ascii="Century Gothic" w:hAnsi="Century Gothic" w:eastAsia="Calibri" w:cs="Arial"/>
          <w:lang w:val="es-ES"/>
        </w:rPr>
      </w:pPr>
      <w:r w:rsidRPr="00A65B02">
        <w:rPr>
          <w:rFonts w:ascii="Century Gothic" w:hAnsi="Century Gothic" w:eastAsia="Calibri" w:cs="Arial"/>
          <w:lang w:val="es-ES"/>
        </w:rPr>
        <w:t xml:space="preserve">Así, en virtud de lo dispuesto en el artículo 2 de la Ley 21 de 1991, el Estado colombiano se comprometió a implementar las acciones necesarias para garantizar que los pueblos indígenas y tribales, fueran respetados en igualdad de condiciones, promover sus derechos, respetar su identidad, sus costumbres y tradiciones, de modo que se eliminen las diferencias existentes entre sus miembros y los demás grupos sociales. </w:t>
      </w:r>
    </w:p>
    <w:p w:rsidRPr="00A65B02" w:rsidR="00FD5D77" w:rsidP="00874EAA" w:rsidRDefault="00FD5D77" w14:paraId="6D69094C" w14:textId="77777777">
      <w:pPr>
        <w:spacing w:after="120"/>
        <w:ind w:firstLine="680"/>
        <w:jc w:val="both"/>
        <w:rPr>
          <w:rFonts w:ascii="Century Gothic" w:hAnsi="Century Gothic" w:eastAsia="Calibri" w:cs="Arial"/>
          <w:lang w:val="es-ES"/>
        </w:rPr>
      </w:pPr>
      <w:r w:rsidRPr="00A65B02">
        <w:rPr>
          <w:rFonts w:ascii="Century Gothic" w:hAnsi="Century Gothic" w:eastAsia="Calibri" w:cs="Arial"/>
          <w:lang w:val="es-ES"/>
        </w:rPr>
        <w:t xml:space="preserve">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y comunidades étnicas. Dentro de los ámbitos en los que han incidido estas disposiciones se encuentra el de la contratación pública, en la medida en que las actuaciones orientadas a la satisfacción de derechos de los grupos étnicos diferenciados en situaciones concretas requieren de la concertación entre estos y las Entidades Estatales, lo que ha suscitado la necesidad de un tratamiento jurídico particular para tales acuerdos.  </w:t>
      </w:r>
    </w:p>
    <w:p w:rsidRPr="00A65B02" w:rsidR="00FD5D77" w:rsidP="006316DD" w:rsidRDefault="005B0116" w14:paraId="39FCBA93" w14:textId="6FF2290E">
      <w:pPr>
        <w:spacing w:after="120" w:line="276" w:lineRule="auto"/>
        <w:ind w:firstLine="680"/>
        <w:jc w:val="both"/>
        <w:rPr>
          <w:rFonts w:ascii="Century Gothic" w:hAnsi="Century Gothic" w:eastAsia="Calibri" w:cs="Arial"/>
          <w:lang w:val="es-ES"/>
        </w:rPr>
      </w:pPr>
      <w:r w:rsidRPr="001A0A60">
        <w:rPr>
          <w:rFonts w:ascii="Century Gothic" w:hAnsi="Century Gothic" w:eastAsia="Calibri" w:cs="Arial"/>
          <w:lang w:val="es-ES"/>
        </w:rPr>
        <w:t>H</w:t>
      </w:r>
      <w:r w:rsidRPr="001A0A60" w:rsidR="00E646F2">
        <w:rPr>
          <w:rFonts w:ascii="Century Gothic" w:hAnsi="Century Gothic" w:eastAsia="Calibri" w:cs="Arial"/>
          <w:lang w:val="es-ES"/>
        </w:rPr>
        <w:t xml:space="preserve">oy día, </w:t>
      </w:r>
      <w:r w:rsidRPr="001A0A60" w:rsidR="00801357">
        <w:rPr>
          <w:rFonts w:ascii="Century Gothic" w:hAnsi="Century Gothic" w:eastAsia="Calibri" w:cs="Arial"/>
          <w:lang w:val="es-ES"/>
        </w:rPr>
        <w:t>dentro</w:t>
      </w:r>
      <w:r w:rsidRPr="001A0A60" w:rsidR="00F16AEE">
        <w:rPr>
          <w:rFonts w:ascii="Century Gothic" w:hAnsi="Century Gothic" w:eastAsia="Calibri" w:cs="Arial"/>
          <w:lang w:val="es-ES"/>
        </w:rPr>
        <w:t xml:space="preserve"> </w:t>
      </w:r>
      <w:r w:rsidR="0002799B">
        <w:rPr>
          <w:rFonts w:ascii="Century Gothic" w:hAnsi="Century Gothic" w:eastAsia="Calibri" w:cs="Arial"/>
          <w:lang w:val="es-ES"/>
        </w:rPr>
        <w:t>d</w:t>
      </w:r>
      <w:r w:rsidRPr="001A0A60" w:rsidR="00F16AEE">
        <w:rPr>
          <w:rFonts w:ascii="Century Gothic" w:hAnsi="Century Gothic" w:eastAsia="Calibri" w:cs="Arial"/>
          <w:lang w:val="es-ES"/>
        </w:rPr>
        <w:t>el marco jurídico aplicable a los contratos estatales</w:t>
      </w:r>
      <w:r w:rsidRPr="001A0A60" w:rsidR="00FD5D77">
        <w:rPr>
          <w:rFonts w:ascii="Century Gothic" w:hAnsi="Century Gothic" w:eastAsia="Calibri" w:cs="Arial"/>
          <w:lang w:val="es-ES"/>
        </w:rPr>
        <w:t xml:space="preserve"> </w:t>
      </w:r>
      <w:r w:rsidRPr="001A0A60" w:rsidR="00673CBE">
        <w:rPr>
          <w:rFonts w:ascii="Century Gothic" w:hAnsi="Century Gothic" w:eastAsia="Calibri" w:cs="Arial"/>
          <w:lang w:val="es-ES"/>
        </w:rPr>
        <w:t>existen</w:t>
      </w:r>
      <w:r w:rsidRPr="00A65B02" w:rsidR="00FD5D77">
        <w:rPr>
          <w:rFonts w:ascii="Century Gothic" w:hAnsi="Century Gothic" w:eastAsia="Calibri" w:cs="Arial"/>
          <w:lang w:val="es-ES"/>
        </w:rPr>
        <w:t xml:space="preserve"> disposiciones </w:t>
      </w:r>
      <w:r w:rsidRPr="001A0A60" w:rsidR="00673CBE">
        <w:rPr>
          <w:rFonts w:ascii="Century Gothic" w:hAnsi="Century Gothic" w:eastAsia="Calibri" w:cs="Arial"/>
          <w:lang w:val="es-ES"/>
        </w:rPr>
        <w:t xml:space="preserve">que </w:t>
      </w:r>
      <w:r w:rsidRPr="001A0A60" w:rsidR="006771CA">
        <w:rPr>
          <w:rFonts w:ascii="Century Gothic" w:hAnsi="Century Gothic" w:eastAsia="Calibri" w:cs="Arial"/>
          <w:lang w:val="es-ES"/>
        </w:rPr>
        <w:t xml:space="preserve">regulan </w:t>
      </w:r>
      <w:r w:rsidRPr="001A0A60" w:rsidR="00CA0826">
        <w:rPr>
          <w:rFonts w:ascii="Century Gothic" w:hAnsi="Century Gothic" w:eastAsia="Calibri" w:cs="Arial"/>
          <w:lang w:val="es-ES"/>
        </w:rPr>
        <w:t>la celebraci</w:t>
      </w:r>
      <w:r w:rsidRPr="001A0A60" w:rsidR="00292F87">
        <w:rPr>
          <w:rFonts w:ascii="Century Gothic" w:hAnsi="Century Gothic" w:eastAsia="Calibri" w:cs="Arial"/>
          <w:lang w:val="es-ES"/>
        </w:rPr>
        <w:t>ón de</w:t>
      </w:r>
      <w:r w:rsidRPr="00A65B02" w:rsidR="00FD5D77">
        <w:rPr>
          <w:rFonts w:ascii="Century Gothic" w:hAnsi="Century Gothic" w:eastAsia="Calibri" w:cs="Arial"/>
          <w:lang w:val="es-ES"/>
        </w:rPr>
        <w:t xml:space="preserve"> contratos que involucran como cocontratantes de las Entidades Estatales a diferentes instancias de representación de las </w:t>
      </w:r>
      <w:r w:rsidRPr="00A65B02" w:rsidR="00FD5D77">
        <w:rPr>
          <w:rFonts w:ascii="Century Gothic" w:hAnsi="Century Gothic" w:eastAsia="Calibri" w:cs="Arial"/>
          <w:lang w:val="es-ES_tradnl"/>
        </w:rPr>
        <w:t xml:space="preserve">comunidades negras, afrodescendientes, raizales y palenqueras. </w:t>
      </w:r>
      <w:r w:rsidRPr="001A0A60" w:rsidR="00440BD4">
        <w:rPr>
          <w:rFonts w:ascii="Century Gothic" w:hAnsi="Century Gothic" w:eastAsia="Calibri" w:cs="Arial"/>
          <w:lang w:val="es-ES"/>
        </w:rPr>
        <w:t>A través de estas disposiciones el</w:t>
      </w:r>
      <w:r w:rsidRPr="00A65B02" w:rsidR="00FD5D77">
        <w:rPr>
          <w:rFonts w:ascii="Century Gothic" w:hAnsi="Century Gothic" w:eastAsia="Calibri" w:cs="Arial"/>
          <w:lang w:val="es-ES"/>
        </w:rPr>
        <w:t xml:space="preserve"> legislador ha atribuido capacidad jurídica y contractual a diversas formas organizativas, estableciendo unos supuestos de hecho y requisitos con sujeción a los cuales procede la celebración de acuerdos de naturaleza contractual con dichos agentes. </w:t>
      </w:r>
      <w:r w:rsidRPr="001A0A60" w:rsidR="009169CC">
        <w:rPr>
          <w:rFonts w:ascii="Century Gothic" w:hAnsi="Century Gothic" w:eastAsia="Calibri" w:cs="Arial"/>
          <w:lang w:val="es-ES"/>
        </w:rPr>
        <w:t>Esto con el fin de</w:t>
      </w:r>
      <w:r w:rsidRPr="00A65B02" w:rsidR="00FD5D77">
        <w:rPr>
          <w:rFonts w:ascii="Century Gothic" w:hAnsi="Century Gothic" w:eastAsia="Calibri" w:cs="Arial"/>
          <w:lang w:val="es-ES"/>
        </w:rPr>
        <w:t xml:space="preserve"> garantizar la igualdad material, procurar la satisfacción de derechos sociales, económicos y culturales, así como la preservación de la identidad social y cultural de las</w:t>
      </w:r>
      <w:r w:rsidRPr="00A65B02" w:rsidR="00FD5D77">
        <w:rPr>
          <w:rFonts w:ascii="Century Gothic" w:hAnsi="Century Gothic" w:eastAsia="Calibri" w:cs="Arial"/>
          <w:lang w:val="es-ES_tradnl"/>
        </w:rPr>
        <w:t xml:space="preserve"> comunidades negras, afrodescendientes, raizales y palenqueras,</w:t>
      </w:r>
      <w:r w:rsidRPr="00A65B02" w:rsidR="00FD5D77">
        <w:rPr>
          <w:rFonts w:ascii="Century Gothic" w:hAnsi="Century Gothic" w:eastAsia="Calibri" w:cs="Arial"/>
          <w:lang w:val="es-ES"/>
        </w:rPr>
        <w:t xml:space="preserve"> se han regulado algunos aspectos contractuales en relación con sus órganos representativos. </w:t>
      </w:r>
    </w:p>
    <w:p w:rsidRPr="001A0A60" w:rsidR="00FD69B0" w:rsidP="00874EAA" w:rsidRDefault="005B0116" w14:paraId="5DBEA791" w14:textId="109D83D0">
      <w:pPr>
        <w:spacing w:after="120" w:line="276" w:lineRule="auto"/>
        <w:ind w:firstLine="680"/>
        <w:jc w:val="both"/>
        <w:rPr>
          <w:rFonts w:ascii="Century Gothic" w:hAnsi="Century Gothic" w:eastAsia="Calibri" w:cs="Arial"/>
          <w:lang w:val="es-ES"/>
        </w:rPr>
      </w:pPr>
      <w:r w:rsidRPr="00874EAA">
        <w:rPr>
          <w:rFonts w:ascii="Century Gothic" w:hAnsi="Century Gothic" w:eastAsia="Calibri" w:cs="Arial"/>
          <w:lang w:val="es-ES"/>
        </w:rPr>
        <w:t>Es</w:t>
      </w:r>
      <w:r w:rsidRPr="00874EAA" w:rsidR="00584ECB">
        <w:rPr>
          <w:rFonts w:ascii="Century Gothic" w:hAnsi="Century Gothic" w:eastAsia="Calibri" w:cs="Arial"/>
          <w:lang w:val="es-ES"/>
        </w:rPr>
        <w:t xml:space="preserve"> por esto por lo que,</w:t>
      </w:r>
      <w:r w:rsidRPr="00874EAA">
        <w:rPr>
          <w:rFonts w:ascii="Century Gothic" w:hAnsi="Century Gothic" w:eastAsia="Calibri" w:cs="Arial"/>
          <w:lang w:val="es-ES"/>
        </w:rPr>
        <w:t xml:space="preserve"> </w:t>
      </w:r>
      <w:r w:rsidRPr="001A0A60" w:rsidR="00FD69B0">
        <w:rPr>
          <w:rFonts w:ascii="Century Gothic" w:hAnsi="Century Gothic" w:eastAsia="Calibri" w:cs="Arial"/>
          <w:lang w:val="es-ES_tradnl"/>
        </w:rPr>
        <w:t xml:space="preserve">la </w:t>
      </w:r>
      <w:r w:rsidRPr="00874EAA">
        <w:rPr>
          <w:rFonts w:ascii="Century Gothic" w:hAnsi="Century Gothic" w:eastAsia="Calibri" w:cs="Arial"/>
          <w:lang w:val="es-ES_tradnl"/>
        </w:rPr>
        <w:t>L</w:t>
      </w:r>
      <w:r w:rsidRPr="001A0A60" w:rsidR="00FD69B0">
        <w:rPr>
          <w:rFonts w:ascii="Century Gothic" w:hAnsi="Century Gothic" w:eastAsia="Calibri" w:cs="Arial"/>
          <w:lang w:val="es-ES_tradnl"/>
        </w:rPr>
        <w:t>ey 2160 del 2021 “</w:t>
      </w:r>
      <w:r w:rsidRPr="001A0A60" w:rsidR="00FD69B0">
        <w:rPr>
          <w:rFonts w:ascii="Century Gothic" w:hAnsi="Century Gothic" w:eastAsia="Calibri" w:cs="Arial"/>
          <w:i/>
          <w:iCs/>
          <w:lang w:val="es-ES"/>
        </w:rPr>
        <w:t>por medio del cual se modifica la ley 80 de 1993 y la ley 1150 de 2007</w:t>
      </w:r>
      <w:r w:rsidRPr="001A0A60" w:rsidR="00FD69B0">
        <w:rPr>
          <w:rFonts w:ascii="Century Gothic" w:hAnsi="Century Gothic" w:eastAsia="Calibri" w:cs="Arial"/>
          <w:lang w:val="es-ES_tradnl"/>
        </w:rPr>
        <w:t xml:space="preserve">”, confirió de manera expresa capacidad jurídica a las </w:t>
      </w:r>
      <w:r w:rsidRPr="001A0A60" w:rsidR="00FD69B0">
        <w:rPr>
          <w:rFonts w:ascii="Century Gothic" w:hAnsi="Century Gothic" w:eastAsia="Calibri" w:cs="Arial"/>
          <w:lang w:val="es-ES"/>
        </w:rPr>
        <w:t xml:space="preserve">organizaciones de base de </w:t>
      </w:r>
      <w:r w:rsidRPr="00874EAA">
        <w:rPr>
          <w:rFonts w:ascii="Century Gothic" w:hAnsi="Century Gothic" w:eastAsia="Calibri" w:cs="Arial"/>
          <w:lang w:val="es-ES"/>
        </w:rPr>
        <w:t>comunidades negras, afrocolombianas, raizales y palenqueras</w:t>
      </w:r>
      <w:r w:rsidRPr="001A0A60" w:rsidR="00FD69B0">
        <w:rPr>
          <w:rFonts w:ascii="Century Gothic" w:hAnsi="Century Gothic" w:eastAsia="Calibri" w:cs="Arial"/>
          <w:lang w:val="es-ES"/>
        </w:rPr>
        <w:t xml:space="preserve"> para celebrar contratos con Entidades Estatales</w:t>
      </w:r>
      <w:r w:rsidRPr="00874EAA" w:rsidR="00A950F2">
        <w:rPr>
          <w:rFonts w:ascii="Century Gothic" w:hAnsi="Century Gothic" w:eastAsia="Calibri" w:cs="Arial"/>
          <w:lang w:val="es-ES"/>
        </w:rPr>
        <w:t>.</w:t>
      </w:r>
      <w:r w:rsidRPr="001A0A60" w:rsidR="00FD69B0">
        <w:rPr>
          <w:rFonts w:ascii="Century Gothic" w:hAnsi="Century Gothic" w:eastAsia="Calibri" w:cs="Arial"/>
          <w:lang w:val="es-ES"/>
        </w:rPr>
        <w:t xml:space="preserve"> </w:t>
      </w:r>
      <w:r w:rsidRPr="00874EAA" w:rsidR="00A950F2">
        <w:rPr>
          <w:rFonts w:ascii="Century Gothic" w:hAnsi="Century Gothic" w:eastAsia="Calibri" w:cs="Arial"/>
          <w:lang w:val="es-ES"/>
        </w:rPr>
        <w:t>E</w:t>
      </w:r>
      <w:r w:rsidRPr="001A0A60" w:rsidR="00FD69B0">
        <w:rPr>
          <w:rFonts w:ascii="Century Gothic" w:hAnsi="Century Gothic" w:eastAsia="Calibri" w:cs="Arial"/>
          <w:lang w:val="es-ES"/>
        </w:rPr>
        <w:t xml:space="preserve">sto en </w:t>
      </w:r>
      <w:r w:rsidRPr="00874EAA" w:rsidR="00A950F2">
        <w:rPr>
          <w:rFonts w:ascii="Century Gothic" w:hAnsi="Century Gothic" w:eastAsia="Calibri" w:cs="Arial"/>
          <w:lang w:val="es-ES"/>
        </w:rPr>
        <w:t>atención</w:t>
      </w:r>
      <w:r w:rsidRPr="001A0A60" w:rsidR="00FD69B0">
        <w:rPr>
          <w:rFonts w:ascii="Century Gothic" w:hAnsi="Century Gothic" w:eastAsia="Calibri" w:cs="Arial"/>
          <w:lang w:val="es-ES"/>
        </w:rPr>
        <w:t xml:space="preserve"> a la necesidad de</w:t>
      </w:r>
      <w:r w:rsidRPr="00874EAA" w:rsidR="00A950F2">
        <w:rPr>
          <w:rFonts w:ascii="Century Gothic" w:hAnsi="Century Gothic" w:eastAsia="Calibri" w:cs="Arial"/>
          <w:lang w:val="es-ES"/>
        </w:rPr>
        <w:t xml:space="preserve"> incluir dentro del </w:t>
      </w:r>
      <w:r w:rsidRPr="00874EAA" w:rsidR="008B447A">
        <w:rPr>
          <w:rFonts w:ascii="Century Gothic" w:hAnsi="Century Gothic" w:eastAsia="Calibri" w:cs="Arial"/>
          <w:lang w:val="es-ES"/>
        </w:rPr>
        <w:t>Estatuto General de Contrataci</w:t>
      </w:r>
      <w:r w:rsidRPr="00874EAA" w:rsidR="0060321A">
        <w:rPr>
          <w:rFonts w:ascii="Century Gothic" w:hAnsi="Century Gothic" w:eastAsia="Calibri" w:cs="Arial"/>
          <w:lang w:val="es-ES"/>
        </w:rPr>
        <w:t>ón de la Administración Pública</w:t>
      </w:r>
      <w:r w:rsidRPr="001A0A60" w:rsidR="00FD69B0">
        <w:rPr>
          <w:rFonts w:ascii="Century Gothic" w:hAnsi="Century Gothic" w:eastAsia="Calibri" w:cs="Arial"/>
          <w:lang w:val="es-ES"/>
        </w:rPr>
        <w:t xml:space="preserve"> </w:t>
      </w:r>
      <w:r w:rsidRPr="00874EAA" w:rsidR="0060321A">
        <w:rPr>
          <w:rFonts w:ascii="Century Gothic" w:hAnsi="Century Gothic" w:eastAsia="Calibri" w:cs="Arial"/>
          <w:lang w:val="es-ES"/>
        </w:rPr>
        <w:t xml:space="preserve">disposiciones que </w:t>
      </w:r>
      <w:r w:rsidRPr="00874EAA" w:rsidR="00417E49">
        <w:rPr>
          <w:rFonts w:ascii="Century Gothic" w:hAnsi="Century Gothic" w:eastAsia="Calibri" w:cs="Arial"/>
          <w:lang w:val="es-ES"/>
        </w:rPr>
        <w:t>fac</w:t>
      </w:r>
      <w:r w:rsidRPr="00874EAA" w:rsidR="00E26007">
        <w:rPr>
          <w:rFonts w:ascii="Century Gothic" w:hAnsi="Century Gothic" w:eastAsia="Calibri" w:cs="Arial"/>
          <w:lang w:val="es-ES"/>
        </w:rPr>
        <w:t xml:space="preserve">ilitaran la celebración de contratos estatales </w:t>
      </w:r>
      <w:r w:rsidRPr="00874EAA" w:rsidR="00B17F8C">
        <w:rPr>
          <w:rFonts w:ascii="Century Gothic" w:hAnsi="Century Gothic" w:eastAsia="Calibri" w:cs="Arial"/>
          <w:lang w:val="es-ES"/>
        </w:rPr>
        <w:t xml:space="preserve">con objetos dirigidos </w:t>
      </w:r>
      <w:r w:rsidRPr="00874EAA" w:rsidR="00861A9D">
        <w:rPr>
          <w:rFonts w:ascii="Century Gothic" w:hAnsi="Century Gothic" w:eastAsia="Calibri" w:cs="Arial"/>
          <w:lang w:val="es-ES"/>
        </w:rPr>
        <w:t>a proteger los elementos propios de la identidad</w:t>
      </w:r>
      <w:r w:rsidRPr="00874EAA" w:rsidR="00751D45">
        <w:rPr>
          <w:rFonts w:ascii="Century Gothic" w:hAnsi="Century Gothic" w:eastAsia="Calibri" w:cs="Arial"/>
          <w:lang w:val="es-ES"/>
        </w:rPr>
        <w:t xml:space="preserve"> y los derechos de</w:t>
      </w:r>
      <w:r w:rsidRPr="00874EAA" w:rsidR="00173CE3">
        <w:rPr>
          <w:rFonts w:ascii="Century Gothic" w:hAnsi="Century Gothic" w:eastAsia="Calibri" w:cs="Arial"/>
          <w:lang w:val="es-ES"/>
        </w:rPr>
        <w:t xml:space="preserve"> estas comunidades</w:t>
      </w:r>
      <w:r w:rsidRPr="00874EAA" w:rsidR="000A3013">
        <w:rPr>
          <w:rFonts w:ascii="Century Gothic" w:hAnsi="Century Gothic" w:eastAsia="Calibri" w:cs="Arial"/>
          <w:lang w:val="es-ES"/>
        </w:rPr>
        <w:t xml:space="preserve">, </w:t>
      </w:r>
      <w:r w:rsidRPr="00874EAA" w:rsidR="00681228">
        <w:rPr>
          <w:rFonts w:ascii="Century Gothic" w:hAnsi="Century Gothic" w:eastAsia="Calibri" w:cs="Arial"/>
          <w:lang w:val="es-ES"/>
        </w:rPr>
        <w:t>integrando</w:t>
      </w:r>
      <w:r w:rsidRPr="00874EAA" w:rsidR="000A3013">
        <w:rPr>
          <w:rFonts w:ascii="Century Gothic" w:hAnsi="Century Gothic" w:eastAsia="Calibri" w:cs="Arial"/>
          <w:lang w:val="es-ES"/>
        </w:rPr>
        <w:t xml:space="preserve"> </w:t>
      </w:r>
      <w:r w:rsidRPr="00874EAA" w:rsidR="00467D45">
        <w:rPr>
          <w:rFonts w:ascii="Century Gothic" w:hAnsi="Century Gothic" w:eastAsia="Calibri" w:cs="Arial"/>
          <w:lang w:val="es-ES"/>
        </w:rPr>
        <w:t xml:space="preserve">de manera directa a </w:t>
      </w:r>
      <w:r w:rsidRPr="00874EAA" w:rsidR="00681228">
        <w:rPr>
          <w:rFonts w:ascii="Century Gothic" w:hAnsi="Century Gothic" w:eastAsia="Calibri" w:cs="Arial"/>
          <w:lang w:val="es-ES"/>
        </w:rPr>
        <w:t>sus</w:t>
      </w:r>
      <w:r w:rsidRPr="00874EAA" w:rsidR="00173CE3">
        <w:rPr>
          <w:rFonts w:ascii="Century Gothic" w:hAnsi="Century Gothic" w:eastAsia="Calibri" w:cs="Arial"/>
          <w:lang w:val="es-ES"/>
        </w:rPr>
        <w:t xml:space="preserve"> </w:t>
      </w:r>
      <w:r w:rsidRPr="001A0A60" w:rsidR="00FD69B0">
        <w:rPr>
          <w:rFonts w:ascii="Century Gothic" w:hAnsi="Century Gothic" w:eastAsia="Calibri" w:cs="Arial"/>
          <w:lang w:val="es-ES"/>
        </w:rPr>
        <w:t>formas organizativas</w:t>
      </w:r>
      <w:r w:rsidRPr="00874EAA" w:rsidR="00681228">
        <w:rPr>
          <w:rFonts w:ascii="Century Gothic" w:hAnsi="Century Gothic" w:eastAsia="Calibri" w:cs="Arial"/>
          <w:lang w:val="es-ES"/>
        </w:rPr>
        <w:t xml:space="preserve"> dentro</w:t>
      </w:r>
      <w:r w:rsidRPr="00874EAA" w:rsidR="00467D45">
        <w:rPr>
          <w:rFonts w:ascii="Century Gothic" w:hAnsi="Century Gothic" w:eastAsia="Calibri" w:cs="Arial"/>
          <w:lang w:val="es-ES"/>
        </w:rPr>
        <w:t xml:space="preserve"> del ciclo de la contratación</w:t>
      </w:r>
      <w:r w:rsidRPr="001A0A60" w:rsidR="00FD69B0">
        <w:rPr>
          <w:rFonts w:ascii="Century Gothic" w:hAnsi="Century Gothic" w:eastAsia="Calibri" w:cs="Arial"/>
          <w:vertAlign w:val="superscript"/>
          <w:lang w:val="es-ES"/>
        </w:rPr>
        <w:footnoteReference w:id="8"/>
      </w:r>
      <w:r w:rsidRPr="001A0A60" w:rsidR="00FD69B0">
        <w:rPr>
          <w:rFonts w:ascii="Century Gothic" w:hAnsi="Century Gothic" w:eastAsia="Calibri" w:cs="Arial"/>
          <w:lang w:val="es-ES"/>
        </w:rPr>
        <w:t xml:space="preserve"> </w:t>
      </w:r>
      <w:r w:rsidRPr="00874EAA" w:rsidR="00467D45">
        <w:rPr>
          <w:rFonts w:ascii="Century Gothic" w:hAnsi="Century Gothic" w:eastAsia="Calibri" w:cs="Arial"/>
          <w:lang w:val="es-ES"/>
        </w:rPr>
        <w:t xml:space="preserve">. </w:t>
      </w:r>
      <w:r w:rsidRPr="001A0A60" w:rsidR="00FD69B0">
        <w:rPr>
          <w:rFonts w:ascii="Century Gothic" w:hAnsi="Century Gothic" w:eastAsia="Calibri" w:cs="Arial"/>
          <w:lang w:val="es-ES"/>
        </w:rPr>
        <w:t xml:space="preserve">Con este propósito se dispuso la </w:t>
      </w:r>
      <w:r w:rsidRPr="001A0A60" w:rsidR="00FD69B0">
        <w:rPr>
          <w:rFonts w:ascii="Century Gothic" w:hAnsi="Century Gothic" w:eastAsia="Calibri" w:cs="Arial"/>
          <w:lang w:val="es-ES"/>
        </w:rPr>
        <w:t>modificación del artículo 6 de la Ley 80 de 1993, el cual regula la capacidad jurídica en el Estatuto General de Contratación de la Administración Pública, en los siguientes término</w:t>
      </w:r>
      <w:r w:rsidRPr="00874EAA" w:rsidR="00880F6E">
        <w:rPr>
          <w:rFonts w:ascii="Century Gothic" w:hAnsi="Century Gothic" w:eastAsia="Calibri" w:cs="Arial"/>
          <w:lang w:val="es-ES"/>
        </w:rPr>
        <w:t>s</w:t>
      </w:r>
      <w:r w:rsidRPr="00874EAA" w:rsidR="0010560D">
        <w:rPr>
          <w:rStyle w:val="FootnoteReference"/>
          <w:rFonts w:ascii="Century Gothic" w:hAnsi="Century Gothic" w:eastAsia="Calibri" w:cs="Arial"/>
          <w:lang w:val="es-ES"/>
        </w:rPr>
        <w:footnoteReference w:id="9"/>
      </w:r>
      <w:r w:rsidRPr="001A0A60" w:rsidR="00FD69B0">
        <w:rPr>
          <w:rFonts w:ascii="Century Gothic" w:hAnsi="Century Gothic" w:eastAsia="Calibri" w:cs="Arial"/>
          <w:lang w:val="es-ES"/>
        </w:rPr>
        <w:t xml:space="preserve">: </w:t>
      </w:r>
    </w:p>
    <w:p w:rsidRPr="00874EAA" w:rsidR="00FD69B0" w:rsidP="00874EAA" w:rsidRDefault="00FD69B0" w14:paraId="762F49DA" w14:textId="77777777">
      <w:pPr>
        <w:spacing w:after="120" w:line="240" w:lineRule="auto"/>
        <w:ind w:left="709" w:right="709"/>
        <w:jc w:val="both"/>
        <w:rPr>
          <w:rFonts w:ascii="Century Gothic" w:hAnsi="Century Gothic" w:eastAsia="Calibri" w:cs="Arial"/>
          <w:sz w:val="20"/>
          <w:szCs w:val="20"/>
          <w:lang w:val="es-ES"/>
        </w:rPr>
      </w:pPr>
      <w:r w:rsidRPr="00874EAA">
        <w:rPr>
          <w:rFonts w:ascii="Century Gothic" w:hAnsi="Century Gothic" w:eastAsia="Calibri" w:cs="Arial"/>
          <w:sz w:val="20"/>
          <w:szCs w:val="20"/>
          <w:lang w:val="es-ES"/>
        </w:rPr>
        <w:t>“ARTÍCULO 1°. Modifíquese el Artículo 6 de la Ley 80 de 1993, el cual quedara así:</w:t>
      </w:r>
    </w:p>
    <w:p w:rsidRPr="00874EAA" w:rsidR="00FD69B0" w:rsidP="00874EAA" w:rsidRDefault="006C7D53" w14:paraId="0F312AC8" w14:textId="05D68733">
      <w:pPr>
        <w:spacing w:after="120" w:line="240" w:lineRule="auto"/>
        <w:ind w:left="709" w:right="709"/>
        <w:jc w:val="both"/>
        <w:rPr>
          <w:rFonts w:ascii="Century Gothic" w:hAnsi="Century Gothic" w:eastAsia="Calibri" w:cs="Arial"/>
          <w:b/>
          <w:bCs/>
          <w:sz w:val="20"/>
          <w:szCs w:val="20"/>
          <w:lang w:val="es-ES"/>
        </w:rPr>
      </w:pPr>
      <w:r w:rsidRPr="00874EAA">
        <w:rPr>
          <w:rFonts w:ascii="Century Gothic" w:hAnsi="Century Gothic" w:eastAsia="Calibri" w:cs="Arial"/>
          <w:sz w:val="20"/>
          <w:szCs w:val="20"/>
          <w:lang w:val="es-ES"/>
        </w:rPr>
        <w:t>Artículo</w:t>
      </w:r>
      <w:r w:rsidRPr="00874EAA" w:rsidR="00FD69B0">
        <w:rPr>
          <w:rFonts w:ascii="Century Gothic" w:hAnsi="Century Gothic" w:eastAsia="Calibri" w:cs="Arial"/>
          <w:sz w:val="20"/>
          <w:szCs w:val="20"/>
          <w:lang w:val="es-ES"/>
        </w:rPr>
        <w:t xml:space="preserve"> 6°. </w:t>
      </w:r>
      <w:r w:rsidRPr="00874EAA">
        <w:rPr>
          <w:rFonts w:ascii="Century Gothic" w:hAnsi="Century Gothic" w:eastAsia="Calibri" w:cs="Arial"/>
          <w:sz w:val="20"/>
          <w:szCs w:val="20"/>
          <w:lang w:val="es-ES"/>
        </w:rPr>
        <w:t>De la capacidad para contratar</w:t>
      </w:r>
      <w:r w:rsidRPr="00874EAA" w:rsidR="00FD69B0">
        <w:rPr>
          <w:rFonts w:ascii="Century Gothic" w:hAnsi="Century Gothic" w:eastAsia="Calibri" w:cs="Arial"/>
          <w:sz w:val="20"/>
          <w:szCs w:val="20"/>
          <w:lang w:val="es-ES"/>
        </w:rPr>
        <w:t xml:space="preserve">. Pueden celebrar contratos con las entidades estatales las personas consideradas legalmente capaces en las disposiciones vigentes. </w:t>
      </w:r>
      <w:r w:rsidRPr="00874EAA" w:rsidR="00FD69B0">
        <w:rPr>
          <w:rFonts w:ascii="Century Gothic" w:hAnsi="Century Gothic" w:eastAsia="Calibri" w:cs="Arial"/>
          <w:i/>
          <w:iCs/>
          <w:sz w:val="20"/>
          <w:szCs w:val="20"/>
          <w:lang w:val="es-ES"/>
        </w:rPr>
        <w:t>También podrán celebrar contratos con las entidades estatales los Cabildos Indígenas</w:t>
      </w:r>
      <w:r w:rsidRPr="00874EAA" w:rsidR="00FD69B0">
        <w:rPr>
          <w:rFonts w:ascii="Century Gothic" w:hAnsi="Century Gothic" w:eastAsia="Calibri" w:cs="Arial"/>
          <w:sz w:val="20"/>
          <w:szCs w:val="20"/>
          <w:lang w:val="es-ES"/>
        </w:rPr>
        <w:t>,</w:t>
      </w:r>
      <w:r w:rsidRPr="00874EAA" w:rsidR="00FD69B0">
        <w:rPr>
          <w:rFonts w:ascii="Century Gothic" w:hAnsi="Century Gothic" w:eastAsia="Calibri" w:cs="Arial"/>
          <w:b/>
          <w:bCs/>
          <w:i/>
          <w:iCs/>
          <w:sz w:val="20"/>
          <w:szCs w:val="20"/>
          <w:lang w:val="es-ES"/>
        </w:rPr>
        <w:t xml:space="preserve"> </w:t>
      </w:r>
      <w:r w:rsidRPr="00874EAA" w:rsidR="00FD69B0">
        <w:rPr>
          <w:rFonts w:ascii="Century Gothic" w:hAnsi="Century Gothic" w:eastAsia="Calibri" w:cs="Arial"/>
          <w:sz w:val="20"/>
          <w:szCs w:val="20"/>
          <w:lang w:val="es-ES"/>
        </w:rPr>
        <w:t xml:space="preserve">las asociaciones de Autoridades Tradicionales Indígenas, los </w:t>
      </w:r>
      <w:r w:rsidRPr="00874EAA" w:rsidR="00FD69B0">
        <w:rPr>
          <w:rFonts w:ascii="Century Gothic" w:hAnsi="Century Gothic" w:eastAsia="Calibri" w:cs="Arial"/>
          <w:b/>
          <w:bCs/>
          <w:sz w:val="20"/>
          <w:szCs w:val="20"/>
          <w:lang w:val="es-ES"/>
        </w:rPr>
        <w:t>consejos comunitarios de las comunidades negras regulados por la Ley 70 de 1993</w:t>
      </w:r>
      <w:r w:rsidRPr="00874EAA" w:rsidR="00FD69B0">
        <w:rPr>
          <w:rFonts w:ascii="Century Gothic" w:hAnsi="Century Gothic" w:eastAsia="Calibri" w:cs="Arial"/>
          <w:sz w:val="20"/>
          <w:szCs w:val="20"/>
          <w:lang w:val="es-ES"/>
        </w:rPr>
        <w:t>.</w:t>
      </w:r>
    </w:p>
    <w:p w:rsidRPr="001A0A60" w:rsidR="00FD69B0" w:rsidP="00874EAA" w:rsidRDefault="00FD69B0" w14:paraId="6C42F46C" w14:textId="120D71B1">
      <w:pPr>
        <w:spacing w:after="0" w:line="240" w:lineRule="auto"/>
        <w:ind w:left="709" w:right="709"/>
        <w:jc w:val="both"/>
        <w:rPr>
          <w:rFonts w:ascii="Century Gothic" w:hAnsi="Century Gothic" w:eastAsia="Calibri" w:cs="Arial"/>
          <w:sz w:val="21"/>
          <w:szCs w:val="21"/>
          <w:lang w:val="es-ES"/>
        </w:rPr>
      </w:pPr>
      <w:r w:rsidRPr="00874EAA">
        <w:rPr>
          <w:rFonts w:ascii="Century Gothic" w:hAnsi="Century Gothic" w:eastAsia="Calibri" w:cs="Arial"/>
          <w:sz w:val="20"/>
          <w:szCs w:val="20"/>
          <w:lang w:val="es-ES"/>
        </w:rPr>
        <w:t xml:space="preserve">Para </w:t>
      </w:r>
      <w:r w:rsidRPr="00874EAA">
        <w:rPr>
          <w:rFonts w:ascii="Century Gothic" w:hAnsi="Century Gothic" w:eastAsia="Calibri" w:cs="Arial"/>
          <w:b/>
          <w:bCs/>
          <w:sz w:val="20"/>
          <w:szCs w:val="20"/>
          <w:lang w:val="es-ES"/>
        </w:rPr>
        <w:t>las organizaciones de base de comunidades negras, afrocolombianas, raizales y palenqueras y las demás formas y expresiones organizativas, deberán contar con diez (10) años</w:t>
      </w:r>
      <w:r w:rsidRPr="00874EAA">
        <w:rPr>
          <w:rFonts w:ascii="Century Gothic" w:hAnsi="Century Gothic" w:eastAsia="Calibri" w:cs="Arial"/>
          <w:sz w:val="20"/>
          <w:szCs w:val="20"/>
          <w:lang w:val="es-ES"/>
        </w:rPr>
        <w:t xml:space="preserve"> o más de haber sido incorporados par el Ministerio de: Interior en el correspondiente Registro Público Único Nacional y que hayan cumplido con el deber de actualización de información en el mismo registro; y los consorcios y uniones temporales […]</w:t>
      </w:r>
      <w:r w:rsidRPr="00874EAA" w:rsidR="00D86E9D">
        <w:rPr>
          <w:rFonts w:ascii="Century Gothic" w:hAnsi="Century Gothic" w:eastAsia="Calibri" w:cs="Arial"/>
          <w:sz w:val="20"/>
          <w:szCs w:val="20"/>
          <w:lang w:val="es-ES"/>
        </w:rPr>
        <w:t>”</w:t>
      </w:r>
      <w:r w:rsidRPr="00874EAA">
        <w:rPr>
          <w:rFonts w:ascii="Century Gothic" w:hAnsi="Century Gothic" w:eastAsia="Calibri" w:cs="Arial"/>
          <w:sz w:val="20"/>
          <w:szCs w:val="20"/>
          <w:lang w:val="es-ES"/>
        </w:rPr>
        <w:t xml:space="preserve">.  </w:t>
      </w:r>
      <w:r w:rsidRPr="001A0A60">
        <w:rPr>
          <w:rFonts w:ascii="Century Gothic" w:hAnsi="Century Gothic" w:eastAsia="Calibri" w:cs="Arial"/>
          <w:sz w:val="21"/>
          <w:szCs w:val="21"/>
          <w:lang w:val="es-ES"/>
        </w:rPr>
        <w:t>[Énfasis fuera de texto]</w:t>
      </w:r>
    </w:p>
    <w:p w:rsidRPr="001A0A60" w:rsidR="00FD69B0" w:rsidP="00FD69B0" w:rsidRDefault="00FD69B0" w14:paraId="5FA7D529" w14:textId="28CF55B0">
      <w:pPr>
        <w:spacing w:before="120" w:after="0" w:line="276" w:lineRule="auto"/>
        <w:ind w:firstLine="708"/>
        <w:jc w:val="both"/>
        <w:rPr>
          <w:rFonts w:ascii="Century Gothic" w:hAnsi="Century Gothic" w:eastAsia="Calibri" w:cs="Arial"/>
          <w:lang w:val="es-ES"/>
        </w:rPr>
      </w:pPr>
      <w:r w:rsidRPr="001A0A60">
        <w:rPr>
          <w:rFonts w:ascii="Century Gothic" w:hAnsi="Century Gothic" w:eastAsia="Calibri" w:cs="Arial"/>
          <w:lang w:val="es-ES"/>
        </w:rPr>
        <w:t xml:space="preserve"> </w:t>
      </w:r>
      <w:r w:rsidRPr="001A0A60">
        <w:rPr>
          <w:rFonts w:ascii="Century Gothic" w:hAnsi="Century Gothic" w:eastAsia="Calibri" w:cs="Arial"/>
        </w:rPr>
        <w:t>En concordancia con lo anterior, el artículo 3 de la Ley 2160 de 2021 modificó el artículo 7 de la Ley 80 de 1993, norma que hasta entonces se limitaba a regular las nociones de consorcio y unión temporal en el marco del EGCAP. La modificación efectuada consistió en la incorporación de definiciones de los sujetos a los que alude el artículo 6 de la Ley 80 de 1993, en atención a l</w:t>
      </w:r>
      <w:r w:rsidRPr="00874EAA" w:rsidR="00470C7C">
        <w:rPr>
          <w:rFonts w:ascii="Century Gothic" w:hAnsi="Century Gothic" w:eastAsia="Calibri" w:cs="Arial"/>
        </w:rPr>
        <w:t xml:space="preserve">a modificación </w:t>
      </w:r>
      <w:r w:rsidRPr="00874EAA" w:rsidR="00470C7C">
        <w:rPr>
          <w:rFonts w:ascii="Century Gothic" w:hAnsi="Century Gothic" w:eastAsia="Calibri" w:cs="Arial"/>
        </w:rPr>
        <w:t xml:space="preserve">realizada </w:t>
      </w:r>
      <w:r w:rsidRPr="001A0A60">
        <w:rPr>
          <w:rFonts w:ascii="Century Gothic" w:hAnsi="Century Gothic" w:eastAsia="Calibri" w:cs="Arial"/>
        </w:rPr>
        <w:t xml:space="preserve">por el artículo 1 de la Ley 2160 de 2021. </w:t>
      </w:r>
      <w:r w:rsidRPr="00874EAA" w:rsidR="00976D66">
        <w:rPr>
          <w:rFonts w:ascii="Century Gothic" w:hAnsi="Century Gothic" w:eastAsia="Calibri" w:cs="Arial"/>
        </w:rPr>
        <w:t xml:space="preserve"> </w:t>
      </w:r>
      <w:r w:rsidRPr="001A0A60">
        <w:rPr>
          <w:rFonts w:ascii="Century Gothic" w:hAnsi="Century Gothic" w:eastAsia="Calibri" w:cs="Arial"/>
        </w:rPr>
        <w:t>Entre las definiciones incluidas se destacan las de Organizaciones de Segundo nivel, Consejo comunitario de las comunidades negras, formas o expresiones organizativas</w:t>
      </w:r>
      <w:r w:rsidRPr="00874EAA" w:rsidR="00C17FAC">
        <w:rPr>
          <w:rFonts w:ascii="Century Gothic" w:hAnsi="Century Gothic" w:eastAsia="Calibri" w:cs="Arial"/>
        </w:rPr>
        <w:t>, organizaciones de base de comunidades negras, afrocolombianas, raizales y palenqueras:</w:t>
      </w:r>
    </w:p>
    <w:p w:rsidRPr="001A0A60" w:rsidR="00FD69B0" w:rsidP="00874EAA" w:rsidRDefault="00FD69B0" w14:paraId="44A95E89" w14:textId="77777777">
      <w:pPr>
        <w:spacing w:after="0" w:line="276" w:lineRule="auto"/>
        <w:ind w:firstLine="708"/>
        <w:jc w:val="both"/>
        <w:rPr>
          <w:rFonts w:ascii="Century Gothic" w:hAnsi="Century Gothic" w:eastAsia="Calibri" w:cs="Arial"/>
          <w:lang w:val="es-ES"/>
        </w:rPr>
      </w:pPr>
    </w:p>
    <w:p w:rsidRPr="00874EAA" w:rsidR="00FD69B0" w:rsidP="00874EAA" w:rsidRDefault="00FD69B0" w14:paraId="309C830A" w14:textId="77777777">
      <w:pPr>
        <w:spacing w:after="120" w:line="240" w:lineRule="auto"/>
        <w:ind w:left="709" w:right="709"/>
        <w:jc w:val="both"/>
        <w:rPr>
          <w:rFonts w:ascii="Century Gothic" w:hAnsi="Century Gothic" w:cs="Arial"/>
          <w:bCs/>
          <w:sz w:val="20"/>
          <w:szCs w:val="20"/>
          <w:lang w:val="es-ES"/>
        </w:rPr>
      </w:pPr>
      <w:r w:rsidRPr="00874EAA">
        <w:rPr>
          <w:rFonts w:ascii="Century Gothic" w:hAnsi="Century Gothic" w:cs="Arial"/>
          <w:bCs/>
          <w:sz w:val="20"/>
          <w:szCs w:val="20"/>
          <w:lang w:val="es-ES"/>
        </w:rPr>
        <w:t>“ARTÍCULO 3°. Modifíquese el Artículo 7 de la Ley 80 de 1993, el cual quedara así:</w:t>
      </w:r>
    </w:p>
    <w:p w:rsidRPr="00874EAA" w:rsidR="00FD69B0" w:rsidP="00D86E9D" w:rsidRDefault="00FD69B0" w14:paraId="7F5BE53B" w14:textId="52095A5C">
      <w:pPr>
        <w:shd w:val="clear" w:color="auto" w:fill="FFFFFF"/>
        <w:spacing w:after="120" w:line="240" w:lineRule="auto"/>
        <w:ind w:left="709" w:right="709"/>
        <w:jc w:val="both"/>
        <w:rPr>
          <w:rFonts w:ascii="Century Gothic" w:hAnsi="Century Gothic" w:cs="Arial"/>
          <w:bCs/>
          <w:sz w:val="20"/>
          <w:szCs w:val="20"/>
          <w:lang w:val="es-ES"/>
        </w:rPr>
      </w:pPr>
      <w:r w:rsidRPr="00874EAA">
        <w:rPr>
          <w:rFonts w:ascii="Century Gothic" w:hAnsi="Century Gothic" w:cs="Arial"/>
          <w:bCs/>
          <w:sz w:val="20"/>
          <w:szCs w:val="20"/>
          <w:lang w:val="es-ES"/>
        </w:rPr>
        <w:t>ARTÍCULO 7°. </w:t>
      </w:r>
      <w:proofErr w:type="gramStart"/>
      <w:r w:rsidRPr="00874EAA" w:rsidR="00976D66">
        <w:rPr>
          <w:rFonts w:ascii="Century Gothic" w:hAnsi="Century Gothic" w:cs="Arial"/>
          <w:bCs/>
          <w:sz w:val="20"/>
          <w:szCs w:val="20"/>
          <w:lang w:val="es-ES"/>
        </w:rPr>
        <w:t>Entidades a contratar</w:t>
      </w:r>
      <w:proofErr w:type="gramEnd"/>
      <w:r w:rsidRPr="00874EAA">
        <w:rPr>
          <w:rFonts w:ascii="Century Gothic" w:hAnsi="Century Gothic" w:cs="Arial"/>
          <w:bCs/>
          <w:sz w:val="20"/>
          <w:szCs w:val="20"/>
          <w:lang w:val="es-ES"/>
        </w:rPr>
        <w:t>. Para los efectos de esta ley se entiende por:</w:t>
      </w:r>
    </w:p>
    <w:p w:rsidRPr="00874EAA" w:rsidR="00976D66" w:rsidP="00874EAA" w:rsidRDefault="00976D66" w14:paraId="458473CA" w14:textId="0062BB30">
      <w:pPr>
        <w:shd w:val="clear" w:color="auto" w:fill="FFFFFF"/>
        <w:spacing w:after="120" w:line="240" w:lineRule="auto"/>
        <w:ind w:left="709" w:right="709"/>
        <w:jc w:val="both"/>
        <w:rPr>
          <w:rFonts w:ascii="Century Gothic" w:hAnsi="Century Gothic" w:cs="Arial"/>
          <w:bCs/>
          <w:sz w:val="20"/>
          <w:szCs w:val="20"/>
          <w:lang w:val="es-ES"/>
        </w:rPr>
      </w:pPr>
      <w:r w:rsidRPr="00874EAA">
        <w:rPr>
          <w:rFonts w:ascii="Century Gothic" w:hAnsi="Century Gothic" w:cs="Arial"/>
          <w:bCs/>
          <w:sz w:val="20"/>
          <w:szCs w:val="20"/>
          <w:lang w:val="es-ES"/>
        </w:rPr>
        <w:t>[…]</w:t>
      </w:r>
    </w:p>
    <w:p w:rsidRPr="00874EAA" w:rsidR="00FD69B0" w:rsidP="00874EAA" w:rsidRDefault="00FD69B0" w14:paraId="0375F708" w14:textId="77777777">
      <w:pPr>
        <w:shd w:val="clear" w:color="auto" w:fill="FFFFFF"/>
        <w:spacing w:after="120" w:line="240" w:lineRule="auto"/>
        <w:ind w:left="709" w:right="709"/>
        <w:jc w:val="both"/>
        <w:rPr>
          <w:rFonts w:ascii="Century Gothic" w:hAnsi="Century Gothic" w:cs="Arial"/>
          <w:bCs/>
          <w:sz w:val="20"/>
          <w:szCs w:val="20"/>
        </w:rPr>
      </w:pPr>
      <w:r w:rsidRPr="00874EAA">
        <w:rPr>
          <w:rFonts w:ascii="Century Gothic" w:hAnsi="Century Gothic" w:cs="Arial"/>
          <w:b/>
          <w:i/>
          <w:iCs/>
          <w:sz w:val="20"/>
          <w:szCs w:val="20"/>
          <w:lang w:val="es-ES"/>
        </w:rPr>
        <w:t xml:space="preserve">2. Consejo comunitario de las comunidades negras: </w:t>
      </w:r>
      <w:r w:rsidRPr="00874EAA">
        <w:rPr>
          <w:rFonts w:ascii="Century Gothic" w:hAnsi="Century Gothic" w:cs="Arial"/>
          <w:bCs/>
          <w:sz w:val="20"/>
          <w:szCs w:val="20"/>
        </w:rPr>
        <w:t>Es la persona jurídica que ejerce la máxima autoridad de administración Interna dentro de las Tierras de las Comunidades Negras, de acuerdo con los mandatos constitucionales y legales que lo rigen y los demás que le asigne el sistema de derecho propio de cada comunidad.  </w:t>
      </w:r>
    </w:p>
    <w:p w:rsidRPr="00874EAA" w:rsidR="00FD69B0" w:rsidP="00874EAA" w:rsidRDefault="00FD69B0" w14:paraId="5F92A547" w14:textId="4BDC6DD6">
      <w:pPr>
        <w:shd w:val="clear" w:color="auto" w:fill="FFFFFF"/>
        <w:spacing w:after="120" w:line="240" w:lineRule="auto"/>
        <w:ind w:left="709" w:right="709"/>
        <w:jc w:val="both"/>
        <w:rPr>
          <w:rFonts w:ascii="Century Gothic" w:hAnsi="Century Gothic" w:cs="Arial"/>
          <w:bCs/>
          <w:sz w:val="20"/>
          <w:szCs w:val="20"/>
        </w:rPr>
      </w:pPr>
      <w:r w:rsidRPr="00874EAA">
        <w:rPr>
          <w:rFonts w:ascii="Century Gothic" w:hAnsi="Century Gothic" w:cs="Arial"/>
          <w:b/>
          <w:i/>
          <w:iCs/>
          <w:sz w:val="20"/>
          <w:szCs w:val="20"/>
        </w:rPr>
        <w:t>3. Formas o expresiones organizativas</w:t>
      </w:r>
      <w:r w:rsidRPr="00874EAA" w:rsidR="00EA3F18">
        <w:rPr>
          <w:rFonts w:ascii="Century Gothic" w:hAnsi="Century Gothic" w:cs="Arial"/>
          <w:bCs/>
          <w:sz w:val="20"/>
          <w:szCs w:val="20"/>
        </w:rPr>
        <w:t>:</w:t>
      </w:r>
      <w:r w:rsidRPr="00874EAA">
        <w:rPr>
          <w:rFonts w:ascii="Century Gothic" w:hAnsi="Century Gothic" w:cs="Arial"/>
          <w:bCs/>
          <w:sz w:val="20"/>
          <w:szCs w:val="20"/>
        </w:rPr>
        <w:t xml:space="preserve"> Son manifestaciones que, en ejercicio del derecho constitucional de participación, asociación y de la autonomía de conjuntos de familias de ascendencia negra, afrocolombiana, raizal o palenquera que reivindican y promueven su cultura propia, su historia, sus prácticas tradicionales y costumbres, para preservar y proteger la identidad cultural y que estén asentados en un territorio que por su naturaleza no es susceptible de ser titulada de manera colectiva.  </w:t>
      </w:r>
    </w:p>
    <w:p w:rsidRPr="00874EAA" w:rsidR="00FD69B0" w:rsidP="00874EAA" w:rsidRDefault="00FD69B0" w14:paraId="17DB778D" w14:textId="626E9297">
      <w:pPr>
        <w:shd w:val="clear" w:color="auto" w:fill="FFFFFF"/>
        <w:spacing w:after="120" w:line="240" w:lineRule="auto"/>
        <w:ind w:left="709" w:right="709"/>
        <w:jc w:val="both"/>
        <w:rPr>
          <w:rFonts w:ascii="Century Gothic" w:hAnsi="Century Gothic" w:cs="Arial"/>
          <w:bCs/>
          <w:sz w:val="20"/>
          <w:szCs w:val="20"/>
        </w:rPr>
      </w:pPr>
      <w:r w:rsidRPr="00874EAA">
        <w:rPr>
          <w:rFonts w:ascii="Century Gothic" w:hAnsi="Century Gothic" w:cs="Arial"/>
          <w:bCs/>
          <w:sz w:val="20"/>
          <w:szCs w:val="20"/>
        </w:rPr>
        <w:t xml:space="preserve">4. </w:t>
      </w:r>
      <w:r w:rsidRPr="00874EAA">
        <w:rPr>
          <w:rFonts w:ascii="Century Gothic" w:hAnsi="Century Gothic" w:cs="Arial"/>
          <w:b/>
          <w:i/>
          <w:iCs/>
          <w:sz w:val="20"/>
          <w:szCs w:val="20"/>
        </w:rPr>
        <w:t>Organizaciones de Base de Comunidades Negras, Afrocolombianas, Rizales y Palenqueras</w:t>
      </w:r>
      <w:r w:rsidRPr="00874EAA" w:rsidR="00EA3F18">
        <w:rPr>
          <w:rFonts w:ascii="Century Gothic" w:hAnsi="Century Gothic" w:cs="Arial"/>
          <w:b/>
          <w:i/>
          <w:iCs/>
          <w:sz w:val="20"/>
          <w:szCs w:val="20"/>
        </w:rPr>
        <w:t>:</w:t>
      </w:r>
      <w:r w:rsidRPr="00874EAA">
        <w:rPr>
          <w:rFonts w:ascii="Century Gothic" w:hAnsi="Century Gothic" w:cs="Arial"/>
          <w:bCs/>
          <w:sz w:val="20"/>
          <w:szCs w:val="20"/>
        </w:rPr>
        <w:t xml:space="preserve"> Son asociaciones comunitarias integradas por personas de las Comunidades Negras, Afrocolombianas, Raizales o Palenqueras; que reivindican y promueven los derechos étnicos y humanos de estas comunidades.</w:t>
      </w:r>
    </w:p>
    <w:p w:rsidRPr="00874EAA" w:rsidR="00FD69B0" w:rsidP="00874EAA" w:rsidRDefault="00FD69B0" w14:paraId="59861F22" w14:textId="69027415">
      <w:pPr>
        <w:shd w:val="clear" w:color="auto" w:fill="FFFFFF"/>
        <w:spacing w:after="0" w:line="240" w:lineRule="auto"/>
        <w:ind w:left="709" w:right="709"/>
        <w:jc w:val="both"/>
        <w:rPr>
          <w:rFonts w:ascii="Century Gothic" w:hAnsi="Century Gothic" w:cs="Arial"/>
          <w:bCs/>
          <w:color w:val="000000"/>
          <w:sz w:val="20"/>
          <w:szCs w:val="20"/>
        </w:rPr>
      </w:pPr>
      <w:r w:rsidRPr="00874EAA">
        <w:rPr>
          <w:rFonts w:ascii="Century Gothic" w:hAnsi="Century Gothic" w:cs="Arial"/>
          <w:bCs/>
          <w:sz w:val="20"/>
          <w:szCs w:val="20"/>
        </w:rPr>
        <w:t xml:space="preserve">5. </w:t>
      </w:r>
      <w:r w:rsidRPr="00874EAA">
        <w:rPr>
          <w:rFonts w:ascii="Century Gothic" w:hAnsi="Century Gothic" w:cs="Arial"/>
          <w:b/>
          <w:i/>
          <w:iCs/>
          <w:color w:val="000000"/>
          <w:sz w:val="20"/>
          <w:szCs w:val="20"/>
        </w:rPr>
        <w:t>Organizaciones de Segundo Nivel.</w:t>
      </w:r>
      <w:r w:rsidRPr="00874EAA">
        <w:rPr>
          <w:rFonts w:ascii="Century Gothic" w:hAnsi="Century Gothic" w:cs="Arial"/>
          <w:bCs/>
          <w:color w:val="000000"/>
          <w:sz w:val="20"/>
          <w:szCs w:val="20"/>
        </w:rPr>
        <w:t xml:space="preserve"> Son asociaciones de Consejos Comunitarios, formas y expresiones organizativas y/o organizaciones de base que agrupan a más de dos (2), inscritas en el Registro Único de la Dirección de Asuntos para Comunidades Negras, Afrocolombianas, Raizales y Palenqueras del Ministerio del Interior, siempre y cuando el área de influencia de la organización de segundo nivel corresponda a más de la tercera parte de los departamentos donde existan comisiones consultivas.</w:t>
      </w:r>
      <w:r w:rsidRPr="00874EAA" w:rsidR="00976D66">
        <w:rPr>
          <w:rFonts w:ascii="Century Gothic" w:hAnsi="Century Gothic" w:cs="Arial"/>
          <w:bCs/>
          <w:color w:val="000000"/>
          <w:sz w:val="20"/>
          <w:szCs w:val="20"/>
        </w:rPr>
        <w:t xml:space="preserve"> […]</w:t>
      </w:r>
      <w:r w:rsidRPr="00874EAA">
        <w:rPr>
          <w:rFonts w:ascii="Century Gothic" w:hAnsi="Century Gothic" w:cs="Arial"/>
          <w:bCs/>
          <w:color w:val="000000"/>
          <w:sz w:val="20"/>
          <w:szCs w:val="20"/>
        </w:rPr>
        <w:t>”</w:t>
      </w:r>
    </w:p>
    <w:p w:rsidRPr="001A0A60" w:rsidR="00976D66" w:rsidP="00874EAA" w:rsidRDefault="00976D66" w14:paraId="086E184D" w14:textId="77777777">
      <w:pPr>
        <w:spacing w:after="0"/>
        <w:ind w:firstLine="680"/>
        <w:jc w:val="both"/>
        <w:rPr>
          <w:rFonts w:ascii="Century Gothic" w:hAnsi="Century Gothic" w:eastAsia="Calibri" w:cs="Arial"/>
          <w:lang w:val="es-ES"/>
        </w:rPr>
      </w:pPr>
    </w:p>
    <w:p w:rsidRPr="001A0A60" w:rsidR="00976D66" w:rsidP="009B34CB" w:rsidRDefault="00976D66" w14:paraId="101A0660" w14:textId="1CF5B11F">
      <w:pPr>
        <w:ind w:firstLine="680"/>
        <w:jc w:val="both"/>
        <w:rPr>
          <w:rFonts w:ascii="Century Gothic" w:hAnsi="Century Gothic" w:eastAsia="Calibri" w:cs="Arial"/>
          <w:lang w:val="es-ES"/>
        </w:rPr>
      </w:pPr>
      <w:r w:rsidRPr="001A0A60">
        <w:rPr>
          <w:rFonts w:ascii="Century Gothic" w:hAnsi="Century Gothic" w:eastAsia="Calibri" w:cs="Arial"/>
          <w:lang w:val="es-ES"/>
        </w:rPr>
        <w:t xml:space="preserve">Con </w:t>
      </w:r>
      <w:r w:rsidRPr="001A0A60" w:rsidR="0052202F">
        <w:rPr>
          <w:rFonts w:ascii="Century Gothic" w:hAnsi="Century Gothic" w:eastAsia="Calibri" w:cs="Arial"/>
          <w:lang w:val="es-ES"/>
        </w:rPr>
        <w:t>estas disp</w:t>
      </w:r>
      <w:r w:rsidRPr="001A0A60" w:rsidR="00F83C2F">
        <w:rPr>
          <w:rFonts w:ascii="Century Gothic" w:hAnsi="Century Gothic" w:eastAsia="Calibri" w:cs="Arial"/>
          <w:lang w:val="es-ES"/>
        </w:rPr>
        <w:t xml:space="preserve">osiciones </w:t>
      </w:r>
      <w:r w:rsidRPr="001A0A60" w:rsidR="009A00E6">
        <w:rPr>
          <w:rFonts w:ascii="Century Gothic" w:hAnsi="Century Gothic" w:eastAsia="Calibri" w:cs="Arial"/>
          <w:lang w:val="es-ES"/>
        </w:rPr>
        <w:t>no solo</w:t>
      </w:r>
      <w:r w:rsidRPr="001A0A60" w:rsidR="001F0086">
        <w:rPr>
          <w:rFonts w:ascii="Century Gothic" w:hAnsi="Century Gothic" w:eastAsia="Calibri" w:cs="Arial"/>
          <w:lang w:val="es-ES"/>
        </w:rPr>
        <w:t xml:space="preserve"> </w:t>
      </w:r>
      <w:r w:rsidRPr="001A0A60" w:rsidR="009A00E6">
        <w:rPr>
          <w:rFonts w:ascii="Century Gothic" w:hAnsi="Century Gothic" w:eastAsia="Calibri" w:cs="Arial"/>
          <w:lang w:val="es-ES"/>
        </w:rPr>
        <w:t xml:space="preserve">se </w:t>
      </w:r>
      <w:r w:rsidRPr="001A0A60" w:rsidR="001F0086">
        <w:rPr>
          <w:rFonts w:ascii="Century Gothic" w:hAnsi="Century Gothic" w:eastAsia="Calibri" w:cs="Arial"/>
          <w:lang w:val="es-ES"/>
        </w:rPr>
        <w:t>atribuye cap</w:t>
      </w:r>
      <w:r w:rsidRPr="001A0A60" w:rsidR="00B36C18">
        <w:rPr>
          <w:rFonts w:ascii="Century Gothic" w:hAnsi="Century Gothic" w:eastAsia="Calibri" w:cs="Arial"/>
          <w:lang w:val="es-ES"/>
        </w:rPr>
        <w:t xml:space="preserve">acidad </w:t>
      </w:r>
      <w:r w:rsidRPr="001A0A60" w:rsidR="007A754E">
        <w:rPr>
          <w:rFonts w:ascii="Century Gothic" w:hAnsi="Century Gothic" w:eastAsia="Calibri" w:cs="Arial"/>
          <w:lang w:val="es-ES"/>
        </w:rPr>
        <w:t xml:space="preserve">jurídica </w:t>
      </w:r>
      <w:r w:rsidRPr="001A0A60" w:rsidR="00B36C18">
        <w:rPr>
          <w:rFonts w:ascii="Century Gothic" w:hAnsi="Century Gothic" w:eastAsia="Calibri" w:cs="Arial"/>
          <w:lang w:val="es-ES"/>
        </w:rPr>
        <w:t>a</w:t>
      </w:r>
      <w:r w:rsidRPr="001A0A60" w:rsidR="007A754E">
        <w:rPr>
          <w:rFonts w:ascii="Century Gothic" w:hAnsi="Century Gothic" w:eastAsia="Calibri" w:cs="Arial"/>
          <w:lang w:val="es-ES"/>
        </w:rPr>
        <w:t xml:space="preserve"> los mencionados entes </w:t>
      </w:r>
      <w:r w:rsidRPr="001A0A60" w:rsidR="00E84ED8">
        <w:rPr>
          <w:rFonts w:ascii="Century Gothic" w:hAnsi="Century Gothic" w:eastAsia="Calibri" w:cs="Arial"/>
          <w:lang w:val="es-ES"/>
        </w:rPr>
        <w:t xml:space="preserve">representativos y asociativos de la población negra, </w:t>
      </w:r>
      <w:r w:rsidRPr="001A0A60" w:rsidR="00A87AB2">
        <w:rPr>
          <w:rFonts w:ascii="Century Gothic" w:hAnsi="Century Gothic" w:eastAsia="Calibri" w:cs="Arial"/>
          <w:lang w:val="es-ES"/>
        </w:rPr>
        <w:t>afrodescendiente</w:t>
      </w:r>
      <w:r w:rsidRPr="001A0A60" w:rsidR="00E84ED8">
        <w:rPr>
          <w:rFonts w:ascii="Century Gothic" w:hAnsi="Century Gothic" w:eastAsia="Calibri" w:cs="Arial"/>
          <w:lang w:val="es-ES"/>
        </w:rPr>
        <w:t>, raizal y palenquera</w:t>
      </w:r>
      <w:r w:rsidRPr="001A0A60" w:rsidR="006068AE">
        <w:rPr>
          <w:rFonts w:ascii="Century Gothic" w:hAnsi="Century Gothic" w:eastAsia="Calibri" w:cs="Arial"/>
          <w:lang w:val="es-ES"/>
        </w:rPr>
        <w:t xml:space="preserve">, </w:t>
      </w:r>
      <w:r w:rsidRPr="001A0A60" w:rsidR="009A00E6">
        <w:rPr>
          <w:rFonts w:ascii="Century Gothic" w:hAnsi="Century Gothic" w:eastAsia="Calibri" w:cs="Arial"/>
          <w:lang w:val="es-ES"/>
        </w:rPr>
        <w:t>sino que</w:t>
      </w:r>
      <w:r w:rsidRPr="001A0A60" w:rsidR="006068AE">
        <w:rPr>
          <w:rFonts w:ascii="Century Gothic" w:hAnsi="Century Gothic" w:eastAsia="Calibri" w:cs="Arial"/>
          <w:lang w:val="es-ES"/>
        </w:rPr>
        <w:t xml:space="preserve"> además se les da el tratamiento de “</w:t>
      </w:r>
      <w:r w:rsidRPr="00874EAA" w:rsidR="006068AE">
        <w:rPr>
          <w:rFonts w:ascii="Century Gothic" w:hAnsi="Century Gothic" w:eastAsia="Calibri" w:cs="Arial"/>
          <w:i/>
          <w:iCs/>
          <w:lang w:val="es-ES"/>
        </w:rPr>
        <w:t>entidades a contratar</w:t>
      </w:r>
      <w:r w:rsidRPr="001A0A60" w:rsidR="006068AE">
        <w:rPr>
          <w:rFonts w:ascii="Century Gothic" w:hAnsi="Century Gothic" w:eastAsia="Calibri" w:cs="Arial"/>
          <w:lang w:val="es-ES"/>
        </w:rPr>
        <w:t>”,</w:t>
      </w:r>
      <w:r w:rsidRPr="001A0A60" w:rsidR="009623ED">
        <w:rPr>
          <w:rFonts w:ascii="Century Gothic" w:hAnsi="Century Gothic" w:eastAsia="Calibri" w:cs="Arial"/>
          <w:lang w:val="es-ES"/>
        </w:rPr>
        <w:t xml:space="preserve"> </w:t>
      </w:r>
      <w:r w:rsidRPr="001A0A60" w:rsidR="00AE5ECA">
        <w:rPr>
          <w:rFonts w:ascii="Century Gothic" w:hAnsi="Century Gothic" w:eastAsia="Calibri" w:cs="Arial"/>
          <w:lang w:val="es-ES"/>
        </w:rPr>
        <w:t>de acuerdo con las condiciones incorporadas en las anotadas definiciones</w:t>
      </w:r>
      <w:r w:rsidRPr="001A0A60" w:rsidR="0038397F">
        <w:rPr>
          <w:rFonts w:ascii="Century Gothic" w:hAnsi="Century Gothic" w:eastAsia="Calibri" w:cs="Arial"/>
          <w:lang w:val="es-ES"/>
        </w:rPr>
        <w:t>, que la Ley 2160 de 2021 incorporó en el Estatuto General de Contratación de la Administración Pública</w:t>
      </w:r>
      <w:r w:rsidRPr="001A0A60" w:rsidR="009A00E6">
        <w:rPr>
          <w:rFonts w:ascii="Century Gothic" w:hAnsi="Century Gothic" w:eastAsia="Calibri" w:cs="Arial"/>
          <w:lang w:val="es-ES"/>
        </w:rPr>
        <w:t xml:space="preserve">. </w:t>
      </w:r>
      <w:r w:rsidRPr="001A0A60" w:rsidR="009174B2">
        <w:rPr>
          <w:rFonts w:ascii="Century Gothic" w:hAnsi="Century Gothic" w:eastAsia="Calibri" w:cs="Arial"/>
          <w:lang w:val="es-ES"/>
        </w:rPr>
        <w:t xml:space="preserve">Con estas </w:t>
      </w:r>
      <w:r w:rsidRPr="001A0A60" w:rsidR="00911953">
        <w:rPr>
          <w:rFonts w:ascii="Century Gothic" w:hAnsi="Century Gothic" w:eastAsia="Calibri" w:cs="Arial"/>
          <w:lang w:val="es-ES"/>
        </w:rPr>
        <w:t>disposiciones se adecua entonces el mar</w:t>
      </w:r>
      <w:r w:rsidRPr="001A0A60" w:rsidR="00FD2771">
        <w:rPr>
          <w:rFonts w:ascii="Century Gothic" w:hAnsi="Century Gothic" w:eastAsia="Calibri" w:cs="Arial"/>
          <w:lang w:val="es-ES"/>
        </w:rPr>
        <w:t xml:space="preserve">co normativo que se requiere para que los Consejos Comunitarios </w:t>
      </w:r>
      <w:r w:rsidRPr="001A0A60" w:rsidR="00FD2771">
        <w:rPr>
          <w:rFonts w:ascii="Century Gothic" w:hAnsi="Century Gothic" w:eastAsia="Calibri" w:cs="Arial"/>
          <w:lang w:val="es-ES"/>
        </w:rPr>
        <w:t xml:space="preserve">y las Organizaciones de Base de comunidades negras, </w:t>
      </w:r>
      <w:r w:rsidRPr="001A0A60" w:rsidR="002E383C">
        <w:rPr>
          <w:rFonts w:ascii="Century Gothic" w:hAnsi="Century Gothic" w:eastAsia="Calibri" w:cs="Arial"/>
          <w:lang w:val="es-ES"/>
        </w:rPr>
        <w:t>afrodescendientes</w:t>
      </w:r>
      <w:r w:rsidRPr="001A0A60" w:rsidR="00FD2771">
        <w:rPr>
          <w:rFonts w:ascii="Century Gothic" w:hAnsi="Century Gothic" w:eastAsia="Calibri" w:cs="Arial"/>
          <w:lang w:val="es-ES"/>
        </w:rPr>
        <w:t xml:space="preserve">, raizales y palenqueras </w:t>
      </w:r>
      <w:r w:rsidRPr="001A0A60" w:rsidR="008F493B">
        <w:rPr>
          <w:rFonts w:ascii="Century Gothic" w:hAnsi="Century Gothic" w:eastAsia="Calibri" w:cs="Arial"/>
          <w:lang w:val="es-ES"/>
        </w:rPr>
        <w:t xml:space="preserve">funjan con colaboradores de la Administración, </w:t>
      </w:r>
      <w:r w:rsidRPr="001A0A60" w:rsidR="002E383C">
        <w:rPr>
          <w:rFonts w:ascii="Century Gothic" w:hAnsi="Century Gothic" w:eastAsia="Calibri" w:cs="Arial"/>
          <w:lang w:val="es-ES"/>
        </w:rPr>
        <w:t>participando de</w:t>
      </w:r>
      <w:r w:rsidRPr="001A0A60" w:rsidR="008F493B">
        <w:rPr>
          <w:rFonts w:ascii="Century Gothic" w:hAnsi="Century Gothic" w:eastAsia="Calibri" w:cs="Arial"/>
          <w:lang w:val="es-ES"/>
        </w:rPr>
        <w:t xml:space="preserve"> la ejecución de los contratos estatales di</w:t>
      </w:r>
      <w:r w:rsidRPr="001A0A60" w:rsidR="00D3545C">
        <w:rPr>
          <w:rFonts w:ascii="Century Gothic" w:hAnsi="Century Gothic" w:eastAsia="Calibri" w:cs="Arial"/>
          <w:lang w:val="es-ES"/>
        </w:rPr>
        <w:t>rigidos</w:t>
      </w:r>
      <w:r w:rsidRPr="001A0A60" w:rsidR="002E383C">
        <w:rPr>
          <w:rFonts w:ascii="Century Gothic" w:hAnsi="Century Gothic" w:eastAsia="Calibri" w:cs="Arial"/>
          <w:lang w:val="es-ES"/>
        </w:rPr>
        <w:t>.</w:t>
      </w:r>
      <w:r w:rsidRPr="001A0A60" w:rsidR="00D3545C">
        <w:rPr>
          <w:rFonts w:ascii="Century Gothic" w:hAnsi="Century Gothic" w:eastAsia="Calibri" w:cs="Arial"/>
          <w:lang w:val="es-ES"/>
        </w:rPr>
        <w:t xml:space="preserve"> </w:t>
      </w:r>
    </w:p>
    <w:p w:rsidRPr="001A0A60" w:rsidR="00FD5D77" w:rsidP="00BF0805" w:rsidRDefault="006718C7" w14:paraId="2F8E684E" w14:textId="7F870F3E">
      <w:pPr>
        <w:spacing w:after="0"/>
        <w:ind w:firstLine="680"/>
        <w:jc w:val="both"/>
        <w:rPr>
          <w:rFonts w:ascii="Century Gothic" w:hAnsi="Century Gothic" w:eastAsia="Calibri" w:cs="Arial"/>
          <w:lang w:val="es-ES"/>
        </w:rPr>
      </w:pPr>
      <w:r w:rsidRPr="00874EAA">
        <w:rPr>
          <w:rFonts w:ascii="Century Gothic" w:hAnsi="Century Gothic" w:eastAsia="Calibri" w:cs="Arial"/>
          <w:lang w:val="es-ES"/>
        </w:rPr>
        <w:t>Fuera de las disposiciones arriba transcritas</w:t>
      </w:r>
      <w:r w:rsidRPr="00A65B02" w:rsidR="00FD5D77">
        <w:rPr>
          <w:rFonts w:ascii="Century Gothic" w:hAnsi="Century Gothic" w:eastAsia="Calibri" w:cs="Arial"/>
          <w:lang w:val="es-ES"/>
        </w:rPr>
        <w:t>, la Ley 2160 de 2021</w:t>
      </w:r>
      <w:r w:rsidRPr="00AB0C94" w:rsidR="00FD5D77">
        <w:rPr>
          <w:rFonts w:ascii="Century Gothic" w:hAnsi="Century Gothic" w:eastAsia="Calibri" w:cs="Arial"/>
          <w:lang w:val="es-ES"/>
        </w:rPr>
        <w:t xml:space="preserve"> </w:t>
      </w:r>
      <w:r w:rsidRPr="00874EAA">
        <w:rPr>
          <w:rFonts w:ascii="Century Gothic" w:hAnsi="Century Gothic" w:eastAsia="Calibri" w:cs="Arial"/>
          <w:lang w:val="es-ES"/>
        </w:rPr>
        <w:t xml:space="preserve">también introdujo modificaciones en </w:t>
      </w:r>
      <w:r w:rsidRPr="00874EAA" w:rsidR="00402FCE">
        <w:rPr>
          <w:rFonts w:ascii="Century Gothic" w:hAnsi="Century Gothic" w:eastAsia="Calibri" w:cs="Arial"/>
          <w:lang w:val="es-ES"/>
        </w:rPr>
        <w:t>la Ley 1150 de 2007</w:t>
      </w:r>
      <w:r w:rsidRPr="00874EAA" w:rsidR="0066667D">
        <w:rPr>
          <w:rFonts w:ascii="Century Gothic" w:hAnsi="Century Gothic" w:eastAsia="Calibri" w:cs="Arial"/>
          <w:lang w:val="es-ES"/>
        </w:rPr>
        <w:t>, específicamente en el artículo 2</w:t>
      </w:r>
      <w:r w:rsidRPr="00A65B02" w:rsidR="00FD5D77">
        <w:rPr>
          <w:rFonts w:ascii="Century Gothic" w:hAnsi="Century Gothic" w:cs="Arial"/>
          <w:lang w:val="es-ES_tradnl"/>
        </w:rPr>
        <w:t xml:space="preserve">, adicionando </w:t>
      </w:r>
      <w:r w:rsidRPr="00874EAA" w:rsidR="0066667D">
        <w:rPr>
          <w:rFonts w:ascii="Century Gothic" w:hAnsi="Century Gothic" w:cs="Arial"/>
          <w:lang w:val="es-ES_tradnl"/>
        </w:rPr>
        <w:t>los</w:t>
      </w:r>
      <w:r w:rsidRPr="001A0A60" w:rsidR="00FD5D77">
        <w:rPr>
          <w:rFonts w:ascii="Century Gothic" w:hAnsi="Century Gothic" w:cs="Arial"/>
          <w:lang w:val="es-ES_tradnl"/>
        </w:rPr>
        <w:t xml:space="preserve"> literal</w:t>
      </w:r>
      <w:r w:rsidRPr="00874EAA" w:rsidR="0066667D">
        <w:rPr>
          <w:rFonts w:ascii="Century Gothic" w:hAnsi="Century Gothic" w:cs="Arial"/>
          <w:lang w:val="es-ES_tradnl"/>
        </w:rPr>
        <w:t>es</w:t>
      </w:r>
      <w:r w:rsidRPr="00A65B02" w:rsidR="00FD5D77">
        <w:rPr>
          <w:rFonts w:ascii="Century Gothic" w:hAnsi="Century Gothic" w:cs="Arial"/>
          <w:lang w:val="es-ES_tradnl"/>
        </w:rPr>
        <w:t xml:space="preserve"> M y N al numeral 4, </w:t>
      </w:r>
      <w:r w:rsidRPr="00874EAA" w:rsidR="00D977F3">
        <w:rPr>
          <w:rFonts w:ascii="Century Gothic" w:hAnsi="Century Gothic" w:cs="Arial"/>
          <w:lang w:val="es-ES_tradnl"/>
        </w:rPr>
        <w:t xml:space="preserve">creando unas causales de contratación directa aplicables de manera exclusiva </w:t>
      </w:r>
      <w:r w:rsidRPr="00874EAA" w:rsidR="0091325B">
        <w:rPr>
          <w:rFonts w:ascii="Century Gothic" w:hAnsi="Century Gothic" w:cs="Arial"/>
          <w:lang w:val="es-ES_tradnl"/>
        </w:rPr>
        <w:t xml:space="preserve">a los </w:t>
      </w:r>
      <w:r w:rsidRPr="00874EAA" w:rsidR="00A338CA">
        <w:rPr>
          <w:rFonts w:ascii="Century Gothic" w:hAnsi="Century Gothic" w:cs="Arial"/>
          <w:lang w:val="es-ES_tradnl"/>
        </w:rPr>
        <w:t xml:space="preserve">entes </w:t>
      </w:r>
      <w:r w:rsidRPr="00874EAA" w:rsidR="0091325B">
        <w:rPr>
          <w:rFonts w:ascii="Century Gothic" w:hAnsi="Century Gothic" w:cs="Arial"/>
          <w:lang w:val="es-ES_tradnl"/>
        </w:rPr>
        <w:t>organizativ</w:t>
      </w:r>
      <w:r w:rsidRPr="00874EAA" w:rsidR="00BB171D">
        <w:rPr>
          <w:rFonts w:ascii="Century Gothic" w:hAnsi="Century Gothic" w:cs="Arial"/>
          <w:lang w:val="es-ES_tradnl"/>
        </w:rPr>
        <w:t>o</w:t>
      </w:r>
      <w:r w:rsidRPr="00874EAA" w:rsidR="0091325B">
        <w:rPr>
          <w:rFonts w:ascii="Century Gothic" w:hAnsi="Century Gothic" w:cs="Arial"/>
          <w:lang w:val="es-ES_tradnl"/>
        </w:rPr>
        <w:t>s</w:t>
      </w:r>
      <w:r w:rsidRPr="00874EAA" w:rsidR="00A338CA">
        <w:rPr>
          <w:rFonts w:ascii="Century Gothic" w:hAnsi="Century Gothic" w:cs="Arial"/>
          <w:lang w:val="es-ES_tradnl"/>
        </w:rPr>
        <w:t xml:space="preserve"> </w:t>
      </w:r>
      <w:r w:rsidRPr="00874EAA" w:rsidR="00A86B65">
        <w:rPr>
          <w:rFonts w:ascii="Century Gothic" w:hAnsi="Century Gothic" w:cs="Arial"/>
          <w:lang w:val="es-ES_tradnl"/>
        </w:rPr>
        <w:t xml:space="preserve">a los que les atribuyen </w:t>
      </w:r>
      <w:r w:rsidRPr="00874EAA" w:rsidR="00A5172D">
        <w:rPr>
          <w:rFonts w:ascii="Century Gothic" w:hAnsi="Century Gothic" w:cs="Arial"/>
          <w:lang w:val="es-ES_tradnl"/>
        </w:rPr>
        <w:t>capacidad contractual los artículo</w:t>
      </w:r>
      <w:r w:rsidRPr="00874EAA" w:rsidR="003D1F4A">
        <w:rPr>
          <w:rFonts w:ascii="Century Gothic" w:hAnsi="Century Gothic" w:cs="Arial"/>
          <w:lang w:val="es-ES_tradnl"/>
        </w:rPr>
        <w:t>s</w:t>
      </w:r>
      <w:r w:rsidRPr="00874EAA" w:rsidR="00A5172D">
        <w:rPr>
          <w:rFonts w:ascii="Century Gothic" w:hAnsi="Century Gothic" w:cs="Arial"/>
          <w:lang w:val="es-ES_tradnl"/>
        </w:rPr>
        <w:t xml:space="preserve"> 6 y 7 de la Ley 80 de 1993</w:t>
      </w:r>
      <w:r w:rsidRPr="00874EAA" w:rsidR="00BB171D">
        <w:rPr>
          <w:rFonts w:ascii="Century Gothic" w:hAnsi="Century Gothic" w:cs="Arial"/>
          <w:lang w:val="es-ES_tradnl"/>
        </w:rPr>
        <w:t xml:space="preserve">, </w:t>
      </w:r>
      <w:r w:rsidRPr="00874EAA" w:rsidR="003D1F4A">
        <w:rPr>
          <w:rFonts w:ascii="Century Gothic" w:hAnsi="Century Gothic" w:cs="Arial"/>
          <w:lang w:val="es-ES_tradnl"/>
        </w:rPr>
        <w:t>por cuenta de las modificaciones aquí explicadas</w:t>
      </w:r>
      <w:r w:rsidRPr="00A65B02" w:rsidR="00FD5D77">
        <w:rPr>
          <w:rFonts w:ascii="Century Gothic" w:hAnsi="Century Gothic" w:cs="Arial"/>
          <w:lang w:val="es-ES_tradnl"/>
        </w:rPr>
        <w:t>.</w:t>
      </w:r>
      <w:r w:rsidRPr="00874EAA" w:rsidR="00600E97">
        <w:rPr>
          <w:rFonts w:ascii="Century Gothic" w:hAnsi="Century Gothic" w:eastAsia="Calibri" w:cs="Arial"/>
          <w:lang w:val="es-ES"/>
        </w:rPr>
        <w:t xml:space="preserve"> Estas causales en</w:t>
      </w:r>
      <w:r w:rsidRPr="00874EAA" w:rsidR="00DE2BED">
        <w:rPr>
          <w:rFonts w:ascii="Century Gothic" w:hAnsi="Century Gothic" w:eastAsia="Calibri" w:cs="Arial"/>
          <w:lang w:val="es-ES"/>
        </w:rPr>
        <w:t xml:space="preserve">focan la colaboración entre la Entidades Estatales </w:t>
      </w:r>
      <w:r w:rsidRPr="00874EAA" w:rsidR="008C4036">
        <w:rPr>
          <w:rFonts w:ascii="Century Gothic" w:hAnsi="Century Gothic" w:eastAsia="Calibri" w:cs="Arial"/>
          <w:lang w:val="es-ES"/>
        </w:rPr>
        <w:t>y</w:t>
      </w:r>
      <w:r w:rsidRPr="00874EAA" w:rsidR="00E27244">
        <w:rPr>
          <w:rFonts w:ascii="Century Gothic" w:hAnsi="Century Gothic" w:eastAsia="Calibri" w:cs="Arial"/>
          <w:lang w:val="es-ES"/>
        </w:rPr>
        <w:t xml:space="preserve"> los entes organizativos de</w:t>
      </w:r>
      <w:r w:rsidRPr="00874EAA" w:rsidR="00E27244">
        <w:rPr>
          <w:rFonts w:ascii="Century Gothic" w:hAnsi="Century Gothic" w:cs="Arial"/>
          <w:lang w:val="es-ES_tradnl"/>
        </w:rPr>
        <w:t xml:space="preserve"> la población negra, afrodescendiente, raizal y palenquera a objetos que</w:t>
      </w:r>
      <w:r w:rsidRPr="00874EAA" w:rsidR="007A4268">
        <w:rPr>
          <w:rFonts w:ascii="Century Gothic" w:hAnsi="Century Gothic" w:cs="Arial"/>
          <w:lang w:val="es-ES_tradnl"/>
        </w:rPr>
        <w:t xml:space="preserve"> busquen unas finalidades específicas,</w:t>
      </w:r>
      <w:r w:rsidRPr="00874EAA" w:rsidR="000D7B47">
        <w:rPr>
          <w:rFonts w:ascii="Century Gothic" w:hAnsi="Century Gothic" w:cs="Arial"/>
          <w:lang w:val="es-ES_tradnl"/>
        </w:rPr>
        <w:t xml:space="preserve"> los cuales se explican en el siguiente acápite. </w:t>
      </w:r>
      <w:r w:rsidRPr="00874EAA" w:rsidR="007A4268">
        <w:rPr>
          <w:rFonts w:ascii="Century Gothic" w:hAnsi="Century Gothic" w:cs="Arial"/>
          <w:lang w:val="es-ES_tradnl"/>
        </w:rPr>
        <w:t xml:space="preserve"> </w:t>
      </w:r>
      <w:r w:rsidRPr="00874EAA" w:rsidR="008C4036">
        <w:rPr>
          <w:rFonts w:ascii="Century Gothic" w:hAnsi="Century Gothic" w:eastAsia="Calibri" w:cs="Arial"/>
          <w:lang w:val="es-ES"/>
        </w:rPr>
        <w:t xml:space="preserve"> </w:t>
      </w:r>
    </w:p>
    <w:p w:rsidRPr="001A0A60" w:rsidR="000D7B47" w:rsidP="00FD5D77" w:rsidRDefault="000D7B47" w14:paraId="6ED11CB3" w14:textId="77777777">
      <w:pPr>
        <w:spacing w:after="0"/>
        <w:jc w:val="both"/>
        <w:rPr>
          <w:rFonts w:ascii="Century Gothic" w:hAnsi="Century Gothic" w:eastAsia="Calibri" w:cs="Arial"/>
          <w:b/>
          <w:bCs/>
          <w:lang w:val="es-ES_tradnl" w:eastAsia="es-MX"/>
        </w:rPr>
      </w:pPr>
    </w:p>
    <w:p w:rsidRPr="00A65B02" w:rsidR="00FD5D77" w:rsidP="00FD5D77" w:rsidRDefault="00FD5D77" w14:paraId="05443615" w14:textId="76B7B588">
      <w:pPr>
        <w:spacing w:after="0"/>
        <w:jc w:val="both"/>
        <w:rPr>
          <w:rFonts w:ascii="Century Gothic" w:hAnsi="Century Gothic" w:eastAsia="Calibri" w:cs="Arial"/>
          <w:b/>
          <w:bCs/>
          <w:lang w:val="es-ES"/>
        </w:rPr>
      </w:pPr>
      <w:r w:rsidRPr="00A65B02">
        <w:rPr>
          <w:rFonts w:ascii="Century Gothic" w:hAnsi="Century Gothic" w:eastAsia="Calibri" w:cs="Arial"/>
          <w:b/>
          <w:bCs/>
          <w:lang w:val="es-ES_tradnl" w:eastAsia="es-MX"/>
        </w:rPr>
        <w:t xml:space="preserve">2.2. </w:t>
      </w:r>
      <w:r w:rsidRPr="001A0A60" w:rsidR="002206DF">
        <w:rPr>
          <w:rFonts w:ascii="Century Gothic" w:hAnsi="Century Gothic" w:eastAsia="Calibri" w:cs="Arial"/>
          <w:b/>
          <w:bCs/>
          <w:lang w:val="es-ES_tradnl" w:eastAsia="es-MX"/>
        </w:rPr>
        <w:t>Ámbito de aplicación de la casuales de contratación directa</w:t>
      </w:r>
      <w:r w:rsidRPr="001A0A60" w:rsidR="00062CA2">
        <w:rPr>
          <w:rFonts w:ascii="Century Gothic" w:hAnsi="Century Gothic" w:eastAsia="Calibri" w:cs="Arial"/>
          <w:b/>
          <w:bCs/>
          <w:lang w:val="es-ES_tradnl" w:eastAsia="es-MX"/>
        </w:rPr>
        <w:t xml:space="preserve"> previstas en beneficio </w:t>
      </w:r>
      <w:r w:rsidRPr="001A0A60" w:rsidR="0002799B">
        <w:rPr>
          <w:rFonts w:ascii="Century Gothic" w:hAnsi="Century Gothic" w:eastAsia="Calibri" w:cs="Arial"/>
          <w:b/>
          <w:bCs/>
          <w:lang w:val="es-ES_tradnl" w:eastAsia="es-MX"/>
        </w:rPr>
        <w:t>de las</w:t>
      </w:r>
      <w:r w:rsidRPr="001A0A60">
        <w:rPr>
          <w:rFonts w:ascii="Century Gothic" w:hAnsi="Century Gothic" w:eastAsia="Calibri" w:cs="Arial"/>
          <w:b/>
          <w:bCs/>
          <w:lang w:val="es-ES_tradnl" w:eastAsia="es-MX"/>
        </w:rPr>
        <w:t xml:space="preserve"> </w:t>
      </w:r>
      <w:r w:rsidRPr="001A0A60" w:rsidR="00062CA2">
        <w:rPr>
          <w:rFonts w:ascii="Century Gothic" w:hAnsi="Century Gothic" w:eastAsia="Calibri" w:cs="Arial"/>
          <w:b/>
          <w:bCs/>
          <w:lang w:val="es-ES_tradnl" w:eastAsia="es-MX"/>
        </w:rPr>
        <w:t>c</w:t>
      </w:r>
      <w:r w:rsidRPr="001A0A60">
        <w:rPr>
          <w:rFonts w:ascii="Century Gothic" w:hAnsi="Century Gothic" w:eastAsia="Calibri" w:cs="Arial"/>
          <w:b/>
          <w:bCs/>
          <w:lang w:val="es-ES_tradnl" w:eastAsia="es-MX"/>
        </w:rPr>
        <w:t xml:space="preserve">omunidades </w:t>
      </w:r>
      <w:r w:rsidRPr="001A0A60" w:rsidR="00062CA2">
        <w:rPr>
          <w:rFonts w:ascii="Century Gothic" w:hAnsi="Century Gothic" w:eastAsia="Calibri" w:cs="Arial"/>
          <w:b/>
          <w:bCs/>
          <w:lang w:val="es-ES_tradnl" w:eastAsia="es-MX"/>
        </w:rPr>
        <w:t>n</w:t>
      </w:r>
      <w:r w:rsidRPr="001A0A60">
        <w:rPr>
          <w:rFonts w:ascii="Century Gothic" w:hAnsi="Century Gothic" w:eastAsia="Calibri" w:cs="Arial"/>
          <w:b/>
          <w:bCs/>
          <w:lang w:val="es-ES_tradnl" w:eastAsia="es-MX"/>
        </w:rPr>
        <w:t xml:space="preserve">egras, </w:t>
      </w:r>
      <w:r w:rsidRPr="001A0A60" w:rsidR="00062CA2">
        <w:rPr>
          <w:rFonts w:ascii="Century Gothic" w:hAnsi="Century Gothic" w:eastAsia="Calibri" w:cs="Arial"/>
          <w:b/>
          <w:bCs/>
          <w:lang w:val="es-ES_tradnl" w:eastAsia="es-MX"/>
        </w:rPr>
        <w:t>a</w:t>
      </w:r>
      <w:r w:rsidRPr="001A0A60">
        <w:rPr>
          <w:rFonts w:ascii="Century Gothic" w:hAnsi="Century Gothic" w:eastAsia="Calibri" w:cs="Arial"/>
          <w:b/>
          <w:bCs/>
          <w:lang w:val="es-ES_tradnl" w:eastAsia="es-MX"/>
        </w:rPr>
        <w:t xml:space="preserve">frodescendientes, </w:t>
      </w:r>
      <w:r w:rsidRPr="001A0A60" w:rsidR="00062CA2">
        <w:rPr>
          <w:rFonts w:ascii="Century Gothic" w:hAnsi="Century Gothic" w:eastAsia="Calibri" w:cs="Arial"/>
          <w:b/>
          <w:bCs/>
          <w:lang w:val="es-ES_tradnl" w:eastAsia="es-MX"/>
        </w:rPr>
        <w:t>r</w:t>
      </w:r>
      <w:r w:rsidRPr="001A0A60">
        <w:rPr>
          <w:rFonts w:ascii="Century Gothic" w:hAnsi="Century Gothic" w:eastAsia="Calibri" w:cs="Arial"/>
          <w:b/>
          <w:bCs/>
          <w:lang w:val="es-ES_tradnl" w:eastAsia="es-MX"/>
        </w:rPr>
        <w:t xml:space="preserve">aizales y </w:t>
      </w:r>
      <w:r w:rsidRPr="001A0A60" w:rsidR="00062CA2">
        <w:rPr>
          <w:rFonts w:ascii="Century Gothic" w:hAnsi="Century Gothic" w:eastAsia="Calibri" w:cs="Arial"/>
          <w:b/>
          <w:bCs/>
          <w:lang w:val="es-ES_tradnl" w:eastAsia="es-MX"/>
        </w:rPr>
        <w:t>p</w:t>
      </w:r>
      <w:r w:rsidRPr="001A0A60">
        <w:rPr>
          <w:rFonts w:ascii="Century Gothic" w:hAnsi="Century Gothic" w:eastAsia="Calibri" w:cs="Arial"/>
          <w:b/>
          <w:bCs/>
          <w:lang w:val="es-ES_tradnl" w:eastAsia="es-MX"/>
        </w:rPr>
        <w:t>alenqueras</w:t>
      </w:r>
      <w:r w:rsidRPr="001A0A60">
        <w:rPr>
          <w:rFonts w:ascii="Century Gothic" w:hAnsi="Century Gothic" w:eastAsia="Calibri" w:cs="Arial"/>
          <w:b/>
          <w:bCs/>
          <w:lang w:val="es-ES"/>
        </w:rPr>
        <w:t xml:space="preserve"> </w:t>
      </w:r>
    </w:p>
    <w:p w:rsidRPr="00A65B02" w:rsidR="00FD5D77" w:rsidP="00FD5D77" w:rsidRDefault="00FD5D77" w14:paraId="24DB6A85" w14:textId="77777777">
      <w:pPr>
        <w:spacing w:after="0"/>
        <w:jc w:val="both"/>
        <w:rPr>
          <w:rFonts w:ascii="Century Gothic" w:hAnsi="Century Gothic" w:eastAsia="Calibri" w:cs="Arial"/>
          <w:lang w:val="es-ES"/>
        </w:rPr>
      </w:pPr>
    </w:p>
    <w:p w:rsidRPr="00A65B02" w:rsidR="00FD5D77" w:rsidP="00874EAA" w:rsidRDefault="002910C2" w14:paraId="62250BE3" w14:textId="0C06C6AA">
      <w:pPr>
        <w:shd w:val="clear" w:color="auto" w:fill="FFFFFF"/>
        <w:spacing w:after="0" w:line="276" w:lineRule="auto"/>
        <w:jc w:val="both"/>
        <w:rPr>
          <w:rFonts w:ascii="Century Gothic" w:hAnsi="Century Gothic" w:cs="Arial"/>
          <w:lang w:val="es-ES"/>
        </w:rPr>
      </w:pPr>
      <w:r w:rsidRPr="001A0A60">
        <w:rPr>
          <w:rFonts w:ascii="Century Gothic" w:hAnsi="Century Gothic" w:eastAsia="Calibri" w:cs="Arial"/>
          <w:lang w:val="es-ES"/>
        </w:rPr>
        <w:t>L</w:t>
      </w:r>
      <w:r w:rsidRPr="001A0A60" w:rsidR="003853AA">
        <w:rPr>
          <w:rFonts w:ascii="Century Gothic" w:hAnsi="Century Gothic" w:eastAsia="Calibri" w:cs="Arial"/>
          <w:lang w:val="es-ES"/>
        </w:rPr>
        <w:t>a</w:t>
      </w:r>
      <w:r w:rsidRPr="001A0A60" w:rsidR="00DE4B9F">
        <w:rPr>
          <w:rFonts w:ascii="Century Gothic" w:hAnsi="Century Gothic" w:eastAsia="Calibri" w:cs="Arial"/>
          <w:lang w:val="es-ES"/>
        </w:rPr>
        <w:t xml:space="preserve"> </w:t>
      </w:r>
      <w:r w:rsidRPr="001A0A60" w:rsidR="00357D9D">
        <w:rPr>
          <w:rFonts w:ascii="Century Gothic" w:hAnsi="Century Gothic" w:eastAsia="Calibri" w:cs="Arial"/>
          <w:lang w:val="es-ES"/>
        </w:rPr>
        <w:t xml:space="preserve">protección especial por parte del Estado de la que </w:t>
      </w:r>
      <w:r w:rsidRPr="001A0A60" w:rsidR="003853AA">
        <w:rPr>
          <w:rFonts w:ascii="Century Gothic" w:hAnsi="Century Gothic" w:eastAsia="Calibri" w:cs="Arial"/>
          <w:lang w:val="es-ES"/>
        </w:rPr>
        <w:t xml:space="preserve">son objeto </w:t>
      </w:r>
      <w:r w:rsidRPr="001A0A60" w:rsidR="006E2B0D">
        <w:rPr>
          <w:rFonts w:ascii="Century Gothic" w:hAnsi="Century Gothic" w:eastAsia="Calibri" w:cs="Arial"/>
          <w:lang w:val="es-ES"/>
        </w:rPr>
        <w:t>las comunidades negras, afrodescendientes, raizales y palenqueras ha t</w:t>
      </w:r>
      <w:r w:rsidRPr="001A0A60" w:rsidR="00C25AE4">
        <w:rPr>
          <w:rFonts w:ascii="Century Gothic" w:hAnsi="Century Gothic" w:eastAsia="Calibri" w:cs="Arial"/>
          <w:lang w:val="es-ES"/>
        </w:rPr>
        <w:t xml:space="preserve">enido </w:t>
      </w:r>
      <w:r w:rsidRPr="001A0A60" w:rsidR="004F78AD">
        <w:rPr>
          <w:rFonts w:ascii="Century Gothic" w:hAnsi="Century Gothic" w:eastAsia="Calibri" w:cs="Arial"/>
          <w:lang w:val="es-ES"/>
        </w:rPr>
        <w:t>especificas</w:t>
      </w:r>
      <w:r w:rsidRPr="001A0A60" w:rsidR="00FE0230">
        <w:rPr>
          <w:rFonts w:ascii="Century Gothic" w:hAnsi="Century Gothic" w:eastAsia="Calibri" w:cs="Arial"/>
          <w:lang w:val="es-ES"/>
        </w:rPr>
        <w:t xml:space="preserve"> </w:t>
      </w:r>
      <w:r w:rsidRPr="001A0A60" w:rsidR="00816382">
        <w:rPr>
          <w:rFonts w:ascii="Century Gothic" w:hAnsi="Century Gothic" w:eastAsia="Calibri" w:cs="Arial"/>
          <w:lang w:val="es-ES"/>
        </w:rPr>
        <w:t>repercusi</w:t>
      </w:r>
      <w:r w:rsidRPr="001A0A60" w:rsidR="004F78AD">
        <w:rPr>
          <w:rFonts w:ascii="Century Gothic" w:hAnsi="Century Gothic" w:eastAsia="Calibri" w:cs="Arial"/>
          <w:lang w:val="es-ES"/>
        </w:rPr>
        <w:t>ones</w:t>
      </w:r>
      <w:r w:rsidRPr="001A0A60" w:rsidR="00816382">
        <w:rPr>
          <w:rFonts w:ascii="Century Gothic" w:hAnsi="Century Gothic" w:eastAsia="Calibri" w:cs="Arial"/>
          <w:lang w:val="es-ES"/>
        </w:rPr>
        <w:t xml:space="preserve"> en la normativa que regula la contratación esta</w:t>
      </w:r>
      <w:r w:rsidRPr="001A0A60" w:rsidR="004F78AD">
        <w:rPr>
          <w:rFonts w:ascii="Century Gothic" w:hAnsi="Century Gothic" w:eastAsia="Calibri" w:cs="Arial"/>
          <w:lang w:val="es-ES"/>
        </w:rPr>
        <w:t>tal</w:t>
      </w:r>
      <w:r w:rsidRPr="001A0A60" w:rsidR="00FC4388">
        <w:rPr>
          <w:rFonts w:ascii="Century Gothic" w:hAnsi="Century Gothic" w:eastAsia="Calibri" w:cs="Arial"/>
          <w:lang w:val="es-ES"/>
        </w:rPr>
        <w:t xml:space="preserve">, las cuales se materializaron con la expedición de la </w:t>
      </w:r>
      <w:r w:rsidRPr="001A0A60" w:rsidR="0046154A">
        <w:rPr>
          <w:rFonts w:ascii="Century Gothic" w:hAnsi="Century Gothic" w:eastAsia="Calibri" w:cs="Arial"/>
          <w:lang w:val="es-ES"/>
        </w:rPr>
        <w:t xml:space="preserve">mencionada Ley 2160 de </w:t>
      </w:r>
      <w:r w:rsidRPr="001A0A60">
        <w:rPr>
          <w:rFonts w:ascii="Century Gothic" w:hAnsi="Century Gothic" w:eastAsia="Calibri" w:cs="Arial"/>
          <w:lang w:val="es-ES"/>
        </w:rPr>
        <w:t xml:space="preserve">2021. Según se viene explicando, </w:t>
      </w:r>
      <w:r w:rsidRPr="001A0A60" w:rsidR="00C57D5F">
        <w:rPr>
          <w:rFonts w:ascii="Century Gothic" w:hAnsi="Century Gothic" w:eastAsia="Calibri" w:cs="Arial"/>
          <w:lang w:val="es-ES"/>
        </w:rPr>
        <w:t xml:space="preserve">mediante esta </w:t>
      </w:r>
      <w:r w:rsidRPr="001A0A60" w:rsidR="00E65F9A">
        <w:rPr>
          <w:rFonts w:ascii="Century Gothic" w:hAnsi="Century Gothic" w:eastAsia="Calibri" w:cs="Arial"/>
          <w:lang w:val="es-ES"/>
        </w:rPr>
        <w:t>ley</w:t>
      </w:r>
      <w:r w:rsidRPr="001A0A60" w:rsidR="00B24308">
        <w:rPr>
          <w:rFonts w:ascii="Century Gothic" w:hAnsi="Century Gothic" w:eastAsia="Calibri" w:cs="Arial"/>
          <w:lang w:val="es-ES"/>
        </w:rPr>
        <w:t xml:space="preserve"> </w:t>
      </w:r>
      <w:r w:rsidRPr="001A0A60" w:rsidR="00196344">
        <w:rPr>
          <w:rFonts w:ascii="Century Gothic" w:hAnsi="Century Gothic" w:eastAsia="Calibri" w:cs="Arial"/>
          <w:lang w:val="es-ES"/>
        </w:rPr>
        <w:t xml:space="preserve">no solo </w:t>
      </w:r>
      <w:r w:rsidRPr="001A0A60" w:rsidR="00CF1967">
        <w:rPr>
          <w:rFonts w:ascii="Century Gothic" w:hAnsi="Century Gothic" w:eastAsia="Calibri" w:cs="Arial"/>
          <w:lang w:val="es-ES"/>
        </w:rPr>
        <w:t xml:space="preserve">se </w:t>
      </w:r>
      <w:r w:rsidRPr="001A0A60" w:rsidR="00B24308">
        <w:rPr>
          <w:rFonts w:ascii="Century Gothic" w:hAnsi="Century Gothic" w:eastAsia="Calibri" w:cs="Arial"/>
          <w:lang w:val="es-ES"/>
        </w:rPr>
        <w:t xml:space="preserve">otorgó capacidad contractual a los </w:t>
      </w:r>
      <w:r w:rsidRPr="001A0A60" w:rsidR="00896787">
        <w:rPr>
          <w:rFonts w:ascii="Century Gothic" w:hAnsi="Century Gothic" w:eastAsia="Calibri" w:cs="Arial"/>
          <w:lang w:val="es-ES"/>
        </w:rPr>
        <w:t>C</w:t>
      </w:r>
      <w:r w:rsidRPr="001A0A60" w:rsidR="00B24308">
        <w:rPr>
          <w:rFonts w:ascii="Century Gothic" w:hAnsi="Century Gothic" w:eastAsia="Calibri" w:cs="Arial"/>
          <w:lang w:val="es-ES"/>
        </w:rPr>
        <w:t xml:space="preserve">onsejos </w:t>
      </w:r>
      <w:r w:rsidRPr="001A0A60" w:rsidR="00896787">
        <w:rPr>
          <w:rFonts w:ascii="Century Gothic" w:hAnsi="Century Gothic" w:eastAsia="Calibri" w:cs="Arial"/>
          <w:lang w:val="es-ES"/>
        </w:rPr>
        <w:t>C</w:t>
      </w:r>
      <w:r w:rsidRPr="001A0A60" w:rsidR="00B24308">
        <w:rPr>
          <w:rFonts w:ascii="Century Gothic" w:hAnsi="Century Gothic" w:eastAsia="Calibri" w:cs="Arial"/>
          <w:lang w:val="es-ES"/>
        </w:rPr>
        <w:t>omunitarios</w:t>
      </w:r>
      <w:r w:rsidRPr="001A0A60" w:rsidR="00896787">
        <w:rPr>
          <w:rFonts w:ascii="Century Gothic" w:hAnsi="Century Gothic" w:eastAsia="Calibri" w:cs="Arial"/>
          <w:lang w:val="es-ES"/>
        </w:rPr>
        <w:t>, Organizaciones de base y demás formas organizativas</w:t>
      </w:r>
      <w:r w:rsidRPr="001A0A60" w:rsidR="00CF1967">
        <w:rPr>
          <w:rFonts w:ascii="Century Gothic" w:hAnsi="Century Gothic" w:eastAsia="Calibri" w:cs="Arial"/>
          <w:lang w:val="es-ES"/>
        </w:rPr>
        <w:t xml:space="preserve"> de l</w:t>
      </w:r>
      <w:r w:rsidRPr="001A0A60" w:rsidR="00754522">
        <w:rPr>
          <w:rFonts w:ascii="Century Gothic" w:hAnsi="Century Gothic" w:eastAsia="Calibri" w:cs="Arial"/>
          <w:lang w:val="es-ES"/>
        </w:rPr>
        <w:t>a</w:t>
      </w:r>
      <w:r w:rsidRPr="001A0A60" w:rsidR="00B20149">
        <w:rPr>
          <w:rFonts w:ascii="Century Gothic" w:hAnsi="Century Gothic" w:eastAsia="Calibri" w:cs="Arial"/>
          <w:lang w:val="es-ES"/>
        </w:rPr>
        <w:t xml:space="preserve"> </w:t>
      </w:r>
      <w:r w:rsidR="00143E15">
        <w:rPr>
          <w:rFonts w:ascii="Century Gothic" w:hAnsi="Century Gothic" w:eastAsia="Calibri" w:cs="Arial"/>
          <w:lang w:val="es-ES"/>
        </w:rPr>
        <w:t>comunidad</w:t>
      </w:r>
      <w:r w:rsidRPr="001A0A60" w:rsidR="00CF1967">
        <w:rPr>
          <w:rFonts w:ascii="Century Gothic" w:hAnsi="Century Gothic" w:eastAsia="Calibri" w:cs="Arial"/>
          <w:lang w:val="es-ES"/>
        </w:rPr>
        <w:t xml:space="preserve"> negr</w:t>
      </w:r>
      <w:r w:rsidRPr="001A0A60" w:rsidR="00754522">
        <w:rPr>
          <w:rFonts w:ascii="Century Gothic" w:hAnsi="Century Gothic" w:eastAsia="Calibri" w:cs="Arial"/>
          <w:lang w:val="es-ES"/>
        </w:rPr>
        <w:t>a</w:t>
      </w:r>
      <w:r w:rsidRPr="001A0A60" w:rsidR="00CF1967">
        <w:rPr>
          <w:rFonts w:ascii="Century Gothic" w:hAnsi="Century Gothic" w:eastAsia="Calibri" w:cs="Arial"/>
          <w:lang w:val="es-ES"/>
        </w:rPr>
        <w:t>,</w:t>
      </w:r>
      <w:r w:rsidRPr="001A0A60" w:rsidR="00B20149">
        <w:rPr>
          <w:rFonts w:ascii="Century Gothic" w:hAnsi="Century Gothic" w:eastAsia="Calibri" w:cs="Arial"/>
          <w:lang w:val="es-ES"/>
        </w:rPr>
        <w:t xml:space="preserve"> afrodescendiente, raizal y palenquera, </w:t>
      </w:r>
      <w:r w:rsidRPr="001A0A60" w:rsidR="00196344">
        <w:rPr>
          <w:rFonts w:ascii="Century Gothic" w:hAnsi="Century Gothic" w:eastAsia="Calibri" w:cs="Arial"/>
          <w:lang w:val="es-ES"/>
        </w:rPr>
        <w:t>sino que también se establecieron disposiciones que les permiten contratar de manera directa con las Entidades Estatales sometidas al EGCAP</w:t>
      </w:r>
      <w:r w:rsidRPr="001A0A60" w:rsidR="008E06B0">
        <w:rPr>
          <w:rFonts w:ascii="Century Gothic" w:hAnsi="Century Gothic" w:eastAsia="Calibri" w:cs="Arial"/>
          <w:lang w:val="es-ES"/>
        </w:rPr>
        <w:t>. Dich</w:t>
      </w:r>
      <w:r w:rsidRPr="001A0A60" w:rsidR="0050441C">
        <w:rPr>
          <w:rFonts w:ascii="Century Gothic" w:hAnsi="Century Gothic" w:eastAsia="Calibri" w:cs="Arial"/>
          <w:lang w:val="es-ES"/>
        </w:rPr>
        <w:t>o</w:t>
      </w:r>
      <w:r w:rsidRPr="001A0A60" w:rsidR="008E06B0">
        <w:rPr>
          <w:rFonts w:ascii="Century Gothic" w:hAnsi="Century Gothic" w:eastAsia="Calibri" w:cs="Arial"/>
          <w:lang w:val="es-ES"/>
        </w:rPr>
        <w:t xml:space="preserve">s </w:t>
      </w:r>
      <w:r w:rsidRPr="001A0A60" w:rsidR="0050441C">
        <w:rPr>
          <w:rFonts w:ascii="Century Gothic" w:hAnsi="Century Gothic" w:eastAsia="Calibri" w:cs="Arial"/>
          <w:lang w:val="es-ES"/>
        </w:rPr>
        <w:t>preceptos</w:t>
      </w:r>
      <w:r w:rsidRPr="001A0A60" w:rsidR="008E06B0">
        <w:rPr>
          <w:rFonts w:ascii="Century Gothic" w:hAnsi="Century Gothic" w:eastAsia="Calibri" w:cs="Arial"/>
          <w:lang w:val="es-ES"/>
        </w:rPr>
        <w:t xml:space="preserve"> fueron introducid</w:t>
      </w:r>
      <w:r w:rsidRPr="001A0A60" w:rsidR="0050441C">
        <w:rPr>
          <w:rFonts w:ascii="Century Gothic" w:hAnsi="Century Gothic" w:eastAsia="Calibri" w:cs="Arial"/>
          <w:lang w:val="es-ES"/>
        </w:rPr>
        <w:t>o</w:t>
      </w:r>
      <w:r w:rsidRPr="001A0A60" w:rsidR="008E06B0">
        <w:rPr>
          <w:rFonts w:ascii="Century Gothic" w:hAnsi="Century Gothic" w:eastAsia="Calibri" w:cs="Arial"/>
          <w:lang w:val="es-ES"/>
        </w:rPr>
        <w:t xml:space="preserve">s por </w:t>
      </w:r>
      <w:r w:rsidRPr="00A65B02" w:rsidR="00FD5D77">
        <w:rPr>
          <w:rFonts w:ascii="Century Gothic" w:hAnsi="Century Gothic" w:cs="Arial"/>
          <w:lang w:val="es-ES"/>
        </w:rPr>
        <w:t>el artículo 2 de la Ley 2160 de 2021</w:t>
      </w:r>
      <w:r w:rsidRPr="001A0A60" w:rsidR="008E06B0">
        <w:rPr>
          <w:rFonts w:ascii="Century Gothic" w:hAnsi="Century Gothic" w:cs="Arial"/>
          <w:lang w:val="es-ES"/>
        </w:rPr>
        <w:t>, el cual</w:t>
      </w:r>
      <w:r w:rsidRPr="00A65B02" w:rsidR="00FD5D77">
        <w:rPr>
          <w:rFonts w:ascii="Century Gothic" w:hAnsi="Century Gothic" w:cs="Arial"/>
          <w:lang w:val="es-ES"/>
        </w:rPr>
        <w:t xml:space="preserve"> adicionó los literales M) y N) al </w:t>
      </w:r>
      <w:r w:rsidRPr="001A0A60" w:rsidR="008E06B0">
        <w:rPr>
          <w:rFonts w:ascii="Century Gothic" w:hAnsi="Century Gothic" w:cs="Arial"/>
          <w:lang w:val="es-ES"/>
        </w:rPr>
        <w:t xml:space="preserve">numeral 4 del </w:t>
      </w:r>
      <w:r w:rsidRPr="00A65B02" w:rsidR="00FD5D77">
        <w:rPr>
          <w:rFonts w:ascii="Century Gothic" w:hAnsi="Century Gothic" w:cs="Arial"/>
          <w:lang w:val="es-ES"/>
        </w:rPr>
        <w:t>artículo 2 de la Ley 1150 de 2007,</w:t>
      </w:r>
      <w:r w:rsidRPr="001A0A60" w:rsidR="008E06B0">
        <w:rPr>
          <w:rFonts w:ascii="Century Gothic" w:hAnsi="Century Gothic" w:cs="Arial"/>
          <w:lang w:val="es-ES"/>
        </w:rPr>
        <w:t xml:space="preserve"> en </w:t>
      </w:r>
      <w:r w:rsidRPr="001A0A60" w:rsidR="0050441C">
        <w:rPr>
          <w:rFonts w:ascii="Century Gothic" w:hAnsi="Century Gothic" w:cs="Arial"/>
          <w:lang w:val="es-ES"/>
        </w:rPr>
        <w:t>los siguientes términos</w:t>
      </w:r>
      <w:r w:rsidRPr="00A65B02" w:rsidR="00FD5D77">
        <w:rPr>
          <w:rFonts w:ascii="Century Gothic" w:hAnsi="Century Gothic" w:cs="Arial"/>
          <w:lang w:val="es-ES"/>
        </w:rPr>
        <w:t>:</w:t>
      </w:r>
    </w:p>
    <w:p w:rsidRPr="001A0A60" w:rsidR="0050441C" w:rsidP="00874EAA" w:rsidRDefault="0050441C" w14:paraId="75BE74F4" w14:textId="77777777">
      <w:pPr>
        <w:shd w:val="clear" w:color="auto" w:fill="FFFFFF"/>
        <w:spacing w:after="0" w:line="276" w:lineRule="auto"/>
        <w:jc w:val="both"/>
        <w:rPr>
          <w:rFonts w:ascii="Century Gothic" w:hAnsi="Century Gothic" w:cs="Arial"/>
          <w:lang w:val="es-ES"/>
        </w:rPr>
      </w:pPr>
    </w:p>
    <w:p w:rsidRPr="00874EAA" w:rsidR="00FD5D77" w:rsidP="00FD5D77" w:rsidRDefault="0050441C" w14:paraId="4245E4CD" w14:textId="01B9F9BD">
      <w:pPr>
        <w:pStyle w:val="NormalWeb"/>
        <w:shd w:val="clear" w:color="auto" w:fill="FFFFFF"/>
        <w:spacing w:before="0" w:beforeAutospacing="0" w:after="120" w:afterAutospacing="0"/>
        <w:ind w:left="709" w:right="709"/>
        <w:jc w:val="both"/>
        <w:rPr>
          <w:rFonts w:ascii="Century Gothic" w:hAnsi="Century Gothic" w:cs="Arial"/>
          <w:sz w:val="20"/>
          <w:szCs w:val="20"/>
        </w:rPr>
      </w:pPr>
      <w:r w:rsidRPr="00874EAA">
        <w:rPr>
          <w:rStyle w:val="Strong"/>
          <w:rFonts w:ascii="Century Gothic" w:hAnsi="Century Gothic" w:cs="Arial"/>
          <w:sz w:val="20"/>
          <w:szCs w:val="20"/>
        </w:rPr>
        <w:t>“</w:t>
      </w:r>
      <w:r w:rsidRPr="00874EAA" w:rsidR="00FD5D77">
        <w:rPr>
          <w:rStyle w:val="Strong"/>
          <w:rFonts w:ascii="Century Gothic" w:hAnsi="Century Gothic" w:cs="Arial"/>
          <w:sz w:val="20"/>
          <w:szCs w:val="20"/>
        </w:rPr>
        <w:t>Artículo 2° Modifíquese el Artículo </w:t>
      </w:r>
      <w:bookmarkStart w:name="2" w:id="5"/>
      <w:r w:rsidRPr="00874EAA" w:rsidR="00FD5D77">
        <w:rPr>
          <w:rStyle w:val="Strong"/>
          <w:rFonts w:ascii="Century Gothic" w:hAnsi="Century Gothic" w:cs="Arial"/>
          <w:b w:val="0"/>
          <w:sz w:val="20"/>
          <w:szCs w:val="20"/>
        </w:rPr>
        <w:fldChar w:fldCharType="begin"/>
      </w:r>
      <w:r w:rsidRPr="00874EAA" w:rsidR="00FD5D77">
        <w:rPr>
          <w:rStyle w:val="Strong"/>
          <w:rFonts w:ascii="Century Gothic" w:hAnsi="Century Gothic" w:cs="Arial"/>
          <w:sz w:val="20"/>
          <w:szCs w:val="20"/>
        </w:rPr>
        <w:instrText xml:space="preserve"> HYPERLINK "https://www.funcionpublica.gov.co/eva/gestornormativo/norma.php?i=25678" \l "2" \o "vinculo" </w:instrText>
      </w:r>
      <w:r w:rsidRPr="00874EAA" w:rsidR="00FD5D77">
        <w:rPr>
          <w:rStyle w:val="Strong"/>
          <w:rFonts w:ascii="Century Gothic" w:hAnsi="Century Gothic" w:cs="Arial"/>
          <w:b w:val="0"/>
          <w:sz w:val="20"/>
          <w:szCs w:val="20"/>
        </w:rPr>
      </w:r>
      <w:r w:rsidRPr="00874EAA" w:rsidR="00FD5D77">
        <w:rPr>
          <w:rStyle w:val="Strong"/>
          <w:rFonts w:ascii="Century Gothic" w:hAnsi="Century Gothic" w:cs="Arial"/>
          <w:b w:val="0"/>
          <w:sz w:val="20"/>
          <w:szCs w:val="20"/>
        </w:rPr>
        <w:fldChar w:fldCharType="separate"/>
      </w:r>
      <w:r w:rsidRPr="00874EAA" w:rsidR="00FD5D77">
        <w:rPr>
          <w:rStyle w:val="Strong"/>
          <w:rFonts w:ascii="Century Gothic" w:hAnsi="Century Gothic" w:cs="Arial"/>
          <w:sz w:val="20"/>
          <w:szCs w:val="20"/>
        </w:rPr>
        <w:t>2</w:t>
      </w:r>
      <w:r w:rsidRPr="00874EAA" w:rsidR="00FD5D77">
        <w:rPr>
          <w:rStyle w:val="Strong"/>
          <w:rFonts w:ascii="Century Gothic" w:hAnsi="Century Gothic" w:cs="Arial"/>
          <w:b w:val="0"/>
          <w:sz w:val="20"/>
          <w:szCs w:val="20"/>
        </w:rPr>
        <w:fldChar w:fldCharType="end"/>
      </w:r>
      <w:bookmarkEnd w:id="5"/>
      <w:r w:rsidRPr="00874EAA" w:rsidR="00FD5D77">
        <w:rPr>
          <w:rStyle w:val="Strong"/>
          <w:rFonts w:ascii="Century Gothic" w:hAnsi="Century Gothic" w:cs="Arial"/>
          <w:sz w:val="20"/>
          <w:szCs w:val="20"/>
        </w:rPr>
        <w:t> de la Ley 1150 de 2007, e inclúyase el literal I), m) y n) al numeral </w:t>
      </w:r>
      <w:bookmarkStart w:name="2.4" w:id="6"/>
      <w:r w:rsidRPr="00874EAA" w:rsidR="00FD5D77">
        <w:rPr>
          <w:rStyle w:val="Strong"/>
          <w:rFonts w:ascii="Century Gothic" w:hAnsi="Century Gothic" w:cs="Arial"/>
          <w:b w:val="0"/>
          <w:sz w:val="20"/>
          <w:szCs w:val="20"/>
        </w:rPr>
        <w:fldChar w:fldCharType="begin"/>
      </w:r>
      <w:r w:rsidRPr="00874EAA" w:rsidR="00FD5D77">
        <w:rPr>
          <w:rStyle w:val="Strong"/>
          <w:rFonts w:ascii="Century Gothic" w:hAnsi="Century Gothic" w:cs="Arial"/>
          <w:sz w:val="20"/>
          <w:szCs w:val="20"/>
        </w:rPr>
        <w:instrText xml:space="preserve"> HYPERLINK "https://www.funcionpublica.gov.co/eva/gestornormativo/norma.php?i=25678" \l "2.4" \o "vinculo" </w:instrText>
      </w:r>
      <w:r w:rsidRPr="00874EAA" w:rsidR="00FD5D77">
        <w:rPr>
          <w:rStyle w:val="Strong"/>
          <w:rFonts w:ascii="Century Gothic" w:hAnsi="Century Gothic" w:cs="Arial"/>
          <w:b w:val="0"/>
          <w:sz w:val="20"/>
          <w:szCs w:val="20"/>
        </w:rPr>
      </w:r>
      <w:r w:rsidRPr="00874EAA" w:rsidR="00FD5D77">
        <w:rPr>
          <w:rStyle w:val="Strong"/>
          <w:rFonts w:ascii="Century Gothic" w:hAnsi="Century Gothic" w:cs="Arial"/>
          <w:b w:val="0"/>
          <w:sz w:val="20"/>
          <w:szCs w:val="20"/>
        </w:rPr>
        <w:fldChar w:fldCharType="separate"/>
      </w:r>
      <w:r w:rsidRPr="00874EAA" w:rsidR="00FD5D77">
        <w:rPr>
          <w:rStyle w:val="Strong"/>
          <w:rFonts w:ascii="Century Gothic" w:hAnsi="Century Gothic" w:cs="Arial"/>
          <w:sz w:val="20"/>
          <w:szCs w:val="20"/>
        </w:rPr>
        <w:t>4</w:t>
      </w:r>
      <w:r w:rsidRPr="00874EAA" w:rsidR="00FD5D77">
        <w:rPr>
          <w:rStyle w:val="Strong"/>
          <w:rFonts w:ascii="Century Gothic" w:hAnsi="Century Gothic" w:cs="Arial"/>
          <w:b w:val="0"/>
          <w:sz w:val="20"/>
          <w:szCs w:val="20"/>
        </w:rPr>
        <w:fldChar w:fldCharType="end"/>
      </w:r>
      <w:bookmarkEnd w:id="6"/>
      <w:r w:rsidRPr="00874EAA" w:rsidR="00FD5D77">
        <w:rPr>
          <w:rStyle w:val="Strong"/>
          <w:rFonts w:ascii="Century Gothic" w:hAnsi="Century Gothic" w:cs="Arial"/>
          <w:sz w:val="20"/>
          <w:szCs w:val="20"/>
        </w:rPr>
        <w:t>, el cual quedara así:</w:t>
      </w:r>
    </w:p>
    <w:p w:rsidRPr="00874EAA" w:rsidR="00FD5D77" w:rsidP="00FD5D77" w:rsidRDefault="00FD5D77" w14:paraId="0E675515" w14:textId="77777777">
      <w:pPr>
        <w:pStyle w:val="NormalWeb"/>
        <w:shd w:val="clear" w:color="auto" w:fill="FFFFFF"/>
        <w:spacing w:before="0" w:beforeAutospacing="0" w:after="0" w:afterAutospacing="0"/>
        <w:ind w:left="709" w:right="709"/>
        <w:jc w:val="both"/>
        <w:rPr>
          <w:rFonts w:ascii="Century Gothic" w:hAnsi="Century Gothic" w:cs="Arial"/>
          <w:sz w:val="20"/>
          <w:szCs w:val="20"/>
        </w:rPr>
      </w:pPr>
      <w:r w:rsidRPr="00874EAA">
        <w:rPr>
          <w:rStyle w:val="Strong"/>
          <w:rFonts w:ascii="Century Gothic" w:hAnsi="Century Gothic" w:cs="Arial"/>
          <w:sz w:val="20"/>
          <w:szCs w:val="20"/>
        </w:rPr>
        <w:t>Artículo 2°. De las modalidades de selección.</w:t>
      </w:r>
      <w:r w:rsidRPr="00874EAA">
        <w:rPr>
          <w:rFonts w:ascii="Century Gothic" w:hAnsi="Century Gothic" w:cs="Arial"/>
          <w:sz w:val="20"/>
          <w:szCs w:val="20"/>
        </w:rPr>
        <w:t> La escogencia del contratista se efectuará con arreglo a las modalidades de selección de licitación pública, selección abreviada, concurso de méritos y contratación directa, con base en las siguientes reglas:</w:t>
      </w:r>
    </w:p>
    <w:p w:rsidRPr="00874EAA" w:rsidR="00FD5D77" w:rsidP="00FD5D77" w:rsidRDefault="00FD5D77" w14:paraId="2D37BA7B" w14:textId="77777777">
      <w:pPr>
        <w:pStyle w:val="NormalWeb"/>
        <w:shd w:val="clear" w:color="auto" w:fill="FFFFFF"/>
        <w:spacing w:before="0" w:beforeAutospacing="0" w:after="120" w:afterAutospacing="0"/>
        <w:ind w:left="709" w:right="709"/>
        <w:jc w:val="both"/>
        <w:rPr>
          <w:rFonts w:ascii="Century Gothic" w:hAnsi="Century Gothic" w:cs="Arial"/>
          <w:sz w:val="20"/>
          <w:szCs w:val="20"/>
        </w:rPr>
      </w:pPr>
      <w:r w:rsidRPr="00874EAA">
        <w:rPr>
          <w:rFonts w:ascii="Century Gothic" w:hAnsi="Century Gothic" w:cs="Arial"/>
          <w:sz w:val="20"/>
          <w:szCs w:val="20"/>
        </w:rPr>
        <w:t>[...]</w:t>
      </w:r>
    </w:p>
    <w:p w:rsidRPr="00874EAA" w:rsidR="00FD5D77" w:rsidP="00FD5D77" w:rsidRDefault="00FD5D77" w14:paraId="4DF9CED5" w14:textId="77777777">
      <w:pPr>
        <w:numPr>
          <w:ilvl w:val="0"/>
          <w:numId w:val="21"/>
        </w:numPr>
        <w:shd w:val="clear" w:color="auto" w:fill="FFFFFF"/>
        <w:tabs>
          <w:tab w:val="clear" w:pos="720"/>
          <w:tab w:val="num" w:pos="993"/>
        </w:tabs>
        <w:spacing w:after="0" w:line="240" w:lineRule="auto"/>
        <w:ind w:left="709" w:right="709" w:firstLine="0"/>
        <w:jc w:val="both"/>
        <w:rPr>
          <w:rFonts w:ascii="Century Gothic" w:hAnsi="Century Gothic" w:cs="Arial"/>
          <w:sz w:val="20"/>
          <w:szCs w:val="20"/>
        </w:rPr>
      </w:pPr>
      <w:r w:rsidRPr="00874EAA">
        <w:rPr>
          <w:rFonts w:ascii="Century Gothic" w:hAnsi="Century Gothic" w:cs="Arial"/>
          <w:sz w:val="20"/>
          <w:szCs w:val="20"/>
        </w:rPr>
        <w:t>Contratación directa. La modalidad de selección de contratación directa solamente procederá en los siguientes casos:</w:t>
      </w:r>
    </w:p>
    <w:p w:rsidRPr="00874EAA" w:rsidR="00FD5D77" w:rsidP="00874EAA" w:rsidRDefault="00FD5D77" w14:paraId="0380AC88" w14:textId="77777777">
      <w:pPr>
        <w:shd w:val="clear" w:color="auto" w:fill="FFFFFF"/>
        <w:spacing w:after="120" w:line="240" w:lineRule="auto"/>
        <w:ind w:left="709" w:right="709"/>
        <w:jc w:val="both"/>
        <w:rPr>
          <w:rFonts w:ascii="Century Gothic" w:hAnsi="Century Gothic" w:cs="Arial"/>
          <w:sz w:val="20"/>
          <w:szCs w:val="20"/>
        </w:rPr>
      </w:pPr>
      <w:r w:rsidRPr="00874EAA">
        <w:rPr>
          <w:rFonts w:ascii="Century Gothic" w:hAnsi="Century Gothic" w:cs="Arial"/>
          <w:sz w:val="20"/>
          <w:szCs w:val="20"/>
        </w:rPr>
        <w:t>[…]</w:t>
      </w:r>
    </w:p>
    <w:p w:rsidRPr="00874EAA" w:rsidR="00FD5D77" w:rsidP="00874EAA" w:rsidRDefault="00FD5D77" w14:paraId="7A678723" w14:textId="77777777">
      <w:pPr>
        <w:shd w:val="clear" w:color="auto" w:fill="FFFFFF"/>
        <w:spacing w:after="120" w:line="240" w:lineRule="auto"/>
        <w:ind w:left="709" w:right="709"/>
        <w:jc w:val="both"/>
        <w:rPr>
          <w:rFonts w:ascii="Century Gothic" w:hAnsi="Century Gothic" w:eastAsia="Times New Roman" w:cs="Arial"/>
          <w:sz w:val="20"/>
          <w:szCs w:val="20"/>
          <w:lang w:eastAsia="es-CO"/>
        </w:rPr>
      </w:pPr>
      <w:r w:rsidRPr="00874EAA">
        <w:rPr>
          <w:rFonts w:ascii="Century Gothic" w:hAnsi="Century Gothic" w:eastAsia="Times New Roman" w:cs="Arial"/>
          <w:sz w:val="20"/>
          <w:szCs w:val="20"/>
          <w:lang w:eastAsia="es-CO"/>
        </w:rPr>
        <w:t>m) Los contratos que las entidades estatales suscriban con los consejos comunitarios de las comunidades negras, regulados por la Ley 70 de 1993, que se encuentren incorporados por el Ministerio del Interior en el correspondiente Registro Público Único Nacional y que hayan cumplido con el deber de actualización de información en el mismo registro, cuyo objeto esté relacionado con el fortalecimiento del gobierno propio, la identidad étnica y cultural, el ejercicio de la autonomía, y/o la garantía de los derechos de los pueblos de las mismas comunidades. </w:t>
      </w:r>
    </w:p>
    <w:p w:rsidRPr="00874EAA" w:rsidR="00FD5D77" w:rsidP="00874EAA" w:rsidRDefault="00FD5D77" w14:paraId="70B85095" w14:textId="77777777">
      <w:pPr>
        <w:shd w:val="clear" w:color="auto" w:fill="FFFFFF"/>
        <w:spacing w:after="120" w:line="240" w:lineRule="auto"/>
        <w:ind w:left="709" w:right="709"/>
        <w:jc w:val="both"/>
        <w:rPr>
          <w:rFonts w:ascii="Century Gothic" w:hAnsi="Century Gothic"/>
          <w:sz w:val="20"/>
          <w:szCs w:val="20"/>
        </w:rPr>
      </w:pPr>
      <w:r w:rsidRPr="00874EAA">
        <w:rPr>
          <w:rFonts w:ascii="Century Gothic" w:hAnsi="Century Gothic" w:eastAsia="Times New Roman" w:cs="Arial"/>
          <w:sz w:val="20"/>
          <w:szCs w:val="20"/>
          <w:lang w:eastAsia="es-CO"/>
        </w:rPr>
        <w:t>n) Los contratos que las entidades estatales suscriban 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 </w:t>
      </w:r>
    </w:p>
    <w:p w:rsidRPr="00874EAA" w:rsidR="00FD5D77" w:rsidP="00FD5D77" w:rsidRDefault="00FD5D77" w14:paraId="69F86288" w14:textId="77777777">
      <w:pPr>
        <w:pStyle w:val="NormalWeb"/>
        <w:shd w:val="clear" w:color="auto" w:fill="FFFFFF"/>
        <w:spacing w:before="0" w:beforeAutospacing="0" w:after="120" w:afterAutospacing="0"/>
        <w:ind w:left="709" w:right="709"/>
        <w:jc w:val="both"/>
        <w:rPr>
          <w:rFonts w:ascii="Century Gothic" w:hAnsi="Century Gothic" w:cs="Arial"/>
          <w:sz w:val="20"/>
          <w:szCs w:val="20"/>
        </w:rPr>
      </w:pPr>
      <w:r w:rsidRPr="00874EAA">
        <w:rPr>
          <w:rFonts w:ascii="Century Gothic" w:hAnsi="Century Gothic" w:cs="Arial"/>
          <w:sz w:val="20"/>
          <w:szCs w:val="20"/>
        </w:rPr>
        <w:t>[...]</w:t>
      </w:r>
    </w:p>
    <w:p w:rsidRPr="00874EAA" w:rsidR="00FD5D77" w:rsidP="00FD5D77" w:rsidRDefault="00FD5D77" w14:paraId="19C2071C" w14:textId="77777777">
      <w:pPr>
        <w:pStyle w:val="NormalWeb"/>
        <w:shd w:val="clear" w:color="auto" w:fill="FFFFFF"/>
        <w:spacing w:before="0" w:beforeAutospacing="0" w:after="0" w:afterAutospacing="0"/>
        <w:ind w:left="709" w:right="709"/>
        <w:jc w:val="both"/>
        <w:rPr>
          <w:rFonts w:ascii="Century Gothic" w:hAnsi="Century Gothic" w:cs="Arial"/>
          <w:sz w:val="20"/>
          <w:szCs w:val="20"/>
        </w:rPr>
      </w:pPr>
      <w:r w:rsidRPr="00874EAA">
        <w:rPr>
          <w:rStyle w:val="Strong"/>
          <w:rFonts w:ascii="Century Gothic" w:hAnsi="Century Gothic" w:cs="Arial"/>
          <w:b w:val="0"/>
          <w:sz w:val="20"/>
          <w:szCs w:val="20"/>
        </w:rPr>
        <w:t>Parágrafo 9.</w:t>
      </w:r>
      <w:r w:rsidRPr="00874EAA">
        <w:rPr>
          <w:rStyle w:val="Strong"/>
          <w:rFonts w:ascii="Century Gothic" w:hAnsi="Century Gothic" w:cs="Arial"/>
          <w:sz w:val="20"/>
          <w:szCs w:val="20"/>
        </w:rPr>
        <w:t> </w:t>
      </w:r>
      <w:r w:rsidRPr="00874EAA">
        <w:rPr>
          <w:rFonts w:ascii="Century Gothic" w:hAnsi="Century Gothic" w:cs="Arial"/>
          <w:sz w:val="20"/>
          <w:szCs w:val="20"/>
        </w:rPr>
        <w:t xml:space="preserve">La Fiscalía General de la Nación, la Contraloría General de la República, las Contralorías Territoriales, la Procuraduría General de la Nación y la Rama judicial, en el marco de sus competencias constitucionales y legales ejercerán el control judicial, disciplinario y fiscal, según corresponda, sobre los recursos públicos que se ejecuten a través de los contratos celebrados con cabildos indígenas, consejos comunitarios de las comunidades negras; organizaciones de base de comunidades negras, afrocolombianas, raizales y palenquera de los que trata el presente Artículo; y los consorcios y uniones temporales y las demás personas naturales y jurídicas con capacidad para contratar, cualquiera sea la modalidad que se aplique a </w:t>
      </w:r>
      <w:proofErr w:type="spellStart"/>
      <w:r w:rsidRPr="00874EAA">
        <w:rPr>
          <w:rFonts w:ascii="Century Gothic" w:hAnsi="Century Gothic" w:cs="Arial"/>
          <w:sz w:val="20"/>
          <w:szCs w:val="20"/>
        </w:rPr>
        <w:t>Ia</w:t>
      </w:r>
      <w:proofErr w:type="spellEnd"/>
      <w:r w:rsidRPr="00874EAA">
        <w:rPr>
          <w:rFonts w:ascii="Century Gothic" w:hAnsi="Century Gothic" w:cs="Arial"/>
          <w:sz w:val="20"/>
          <w:szCs w:val="20"/>
        </w:rPr>
        <w:t xml:space="preserve"> correspondiente contratación.”</w:t>
      </w:r>
    </w:p>
    <w:p w:rsidRPr="00A65B02" w:rsidR="00FD5D77" w:rsidP="00FD5D77" w:rsidRDefault="00FD5D77" w14:paraId="43977E49" w14:textId="77777777">
      <w:pPr>
        <w:pStyle w:val="NormalWeb"/>
        <w:shd w:val="clear" w:color="auto" w:fill="FFFFFF"/>
        <w:spacing w:before="0" w:beforeAutospacing="0" w:after="0" w:afterAutospacing="0"/>
        <w:ind w:right="709"/>
        <w:jc w:val="both"/>
        <w:rPr>
          <w:rFonts w:ascii="Century Gothic" w:hAnsi="Century Gothic" w:cs="Arial"/>
          <w:sz w:val="21"/>
          <w:szCs w:val="21"/>
        </w:rPr>
      </w:pPr>
    </w:p>
    <w:p w:rsidRPr="001A0A60" w:rsidR="003748C2" w:rsidP="00225775" w:rsidRDefault="00FD5D77" w14:paraId="5F5426CF" w14:textId="14558AA0">
      <w:pPr>
        <w:shd w:val="clear" w:color="auto" w:fill="FFFFFF"/>
        <w:spacing w:line="276" w:lineRule="auto"/>
        <w:ind w:firstLine="708"/>
        <w:jc w:val="both"/>
        <w:rPr>
          <w:rFonts w:ascii="Century Gothic" w:hAnsi="Century Gothic" w:cs="Arial"/>
        </w:rPr>
      </w:pPr>
      <w:r w:rsidRPr="00A65B02">
        <w:rPr>
          <w:rFonts w:ascii="Century Gothic" w:hAnsi="Century Gothic" w:cs="Arial"/>
          <w:lang w:val="es-ES"/>
        </w:rPr>
        <w:t xml:space="preserve">Como se desprende </w:t>
      </w:r>
      <w:r w:rsidRPr="001A0A60">
        <w:rPr>
          <w:rFonts w:ascii="Century Gothic" w:hAnsi="Century Gothic" w:cs="Arial"/>
          <w:lang w:val="es-ES"/>
        </w:rPr>
        <w:t>de</w:t>
      </w:r>
      <w:r w:rsidRPr="001A0A60" w:rsidR="00CB46F2">
        <w:rPr>
          <w:rFonts w:ascii="Century Gothic" w:hAnsi="Century Gothic" w:cs="Arial"/>
          <w:lang w:val="es-ES"/>
        </w:rPr>
        <w:t>l texto</w:t>
      </w:r>
      <w:r w:rsidRPr="001A0A60" w:rsidR="002D3FA7">
        <w:rPr>
          <w:rFonts w:ascii="Century Gothic" w:hAnsi="Century Gothic" w:cs="Arial"/>
          <w:lang w:val="es-ES"/>
        </w:rPr>
        <w:t xml:space="preserve"> transcrito, los literales M) y N) del artículo 2, numeral 4 de la Ley 1150 de 2007</w:t>
      </w:r>
      <w:r w:rsidRPr="001A0A60" w:rsidR="00CB46F2">
        <w:rPr>
          <w:rFonts w:ascii="Century Gothic" w:hAnsi="Century Gothic" w:cs="Arial"/>
          <w:lang w:val="es-ES"/>
        </w:rPr>
        <w:t xml:space="preserve"> </w:t>
      </w:r>
      <w:r w:rsidRPr="001A0A60" w:rsidR="002D3FA7">
        <w:rPr>
          <w:rFonts w:ascii="Century Gothic" w:hAnsi="Century Gothic" w:cs="Arial"/>
          <w:lang w:val="es-ES"/>
        </w:rPr>
        <w:t>consagran disposiciones que autoriza</w:t>
      </w:r>
      <w:r w:rsidRPr="001A0A60" w:rsidR="00171664">
        <w:rPr>
          <w:rFonts w:ascii="Century Gothic" w:hAnsi="Century Gothic" w:cs="Arial"/>
          <w:lang w:val="es-ES"/>
        </w:rPr>
        <w:t>n a las Entidades Estatales a contratar de manera direct</w:t>
      </w:r>
      <w:r w:rsidRPr="001A0A60" w:rsidR="00BD2142">
        <w:rPr>
          <w:rFonts w:ascii="Century Gothic" w:hAnsi="Century Gothic" w:cs="Arial"/>
          <w:lang w:val="es-ES"/>
        </w:rPr>
        <w:t xml:space="preserve">a con los </w:t>
      </w:r>
      <w:r w:rsidRPr="001A0A60">
        <w:rPr>
          <w:rFonts w:ascii="Century Gothic" w:hAnsi="Century Gothic" w:cs="Arial"/>
        </w:rPr>
        <w:t xml:space="preserve">consejos comunitarios de las comunidades negras y organizaciones de base de personas pertenecientes a </w:t>
      </w:r>
      <w:r w:rsidR="00143E15">
        <w:rPr>
          <w:rFonts w:ascii="Century Gothic" w:hAnsi="Century Gothic" w:cs="Arial"/>
        </w:rPr>
        <w:t>comunidades</w:t>
      </w:r>
      <w:r w:rsidRPr="001A0A60">
        <w:rPr>
          <w:rFonts w:ascii="Century Gothic" w:hAnsi="Century Gothic" w:cs="Arial"/>
        </w:rPr>
        <w:t xml:space="preserve"> afrocolombianas, raizales y palenqueras o con otras formas y expresiones organizativas. </w:t>
      </w:r>
      <w:r w:rsidRPr="001A0A60" w:rsidR="008A7C62">
        <w:rPr>
          <w:rFonts w:ascii="Century Gothic" w:hAnsi="Century Gothic" w:cs="Arial"/>
        </w:rPr>
        <w:t>En ese sentido, al igual que</w:t>
      </w:r>
      <w:r w:rsidRPr="001A0A60" w:rsidR="00104AF6">
        <w:rPr>
          <w:rFonts w:ascii="Century Gothic" w:hAnsi="Century Gothic" w:cs="Arial"/>
        </w:rPr>
        <w:t xml:space="preserve"> las</w:t>
      </w:r>
      <w:r w:rsidRPr="001A0A60" w:rsidR="008A7C62">
        <w:rPr>
          <w:rFonts w:ascii="Century Gothic" w:hAnsi="Century Gothic" w:cs="Arial"/>
        </w:rPr>
        <w:t xml:space="preserve"> otras causales de contratación directa</w:t>
      </w:r>
      <w:r w:rsidRPr="001A0A60" w:rsidR="00104AF6">
        <w:rPr>
          <w:rFonts w:ascii="Century Gothic" w:hAnsi="Century Gothic" w:cs="Arial"/>
        </w:rPr>
        <w:t xml:space="preserve"> previstas en el numeral 4 del artículo 2 de la Ley 1150 de 2007</w:t>
      </w:r>
      <w:r w:rsidRPr="001A0A60" w:rsidR="008A7C62">
        <w:rPr>
          <w:rFonts w:ascii="Century Gothic" w:hAnsi="Century Gothic" w:cs="Arial"/>
        </w:rPr>
        <w:t>, est</w:t>
      </w:r>
      <w:r w:rsidRPr="001A0A60" w:rsidR="000E3E3A">
        <w:rPr>
          <w:rFonts w:ascii="Century Gothic" w:hAnsi="Century Gothic" w:cs="Arial"/>
        </w:rPr>
        <w:t>as</w:t>
      </w:r>
      <w:r w:rsidRPr="001A0A60" w:rsidR="004E683E">
        <w:rPr>
          <w:rFonts w:ascii="Century Gothic" w:hAnsi="Century Gothic" w:cs="Arial"/>
        </w:rPr>
        <w:t xml:space="preserve"> </w:t>
      </w:r>
      <w:r w:rsidRPr="001A0A60" w:rsidR="00FA5BF7">
        <w:rPr>
          <w:rFonts w:ascii="Century Gothic" w:hAnsi="Century Gothic" w:cs="Arial"/>
        </w:rPr>
        <w:t>suponen una excepció</w:t>
      </w:r>
      <w:r w:rsidRPr="001A0A60" w:rsidR="007C567D">
        <w:rPr>
          <w:rFonts w:ascii="Century Gothic" w:hAnsi="Century Gothic" w:cs="Arial"/>
        </w:rPr>
        <w:t>n a</w:t>
      </w:r>
      <w:r w:rsidRPr="001A0A60" w:rsidR="002576A3">
        <w:rPr>
          <w:rFonts w:ascii="Century Gothic" w:hAnsi="Century Gothic" w:cs="Arial"/>
        </w:rPr>
        <w:t xml:space="preserve"> la regla general que impone la selecci</w:t>
      </w:r>
      <w:r w:rsidRPr="001A0A60" w:rsidR="00104AF6">
        <w:rPr>
          <w:rFonts w:ascii="Century Gothic" w:hAnsi="Century Gothic" w:cs="Arial"/>
        </w:rPr>
        <w:t xml:space="preserve">ón del contratista </w:t>
      </w:r>
      <w:r w:rsidRPr="001A0A60" w:rsidR="00632FB8">
        <w:rPr>
          <w:rFonts w:ascii="Century Gothic" w:hAnsi="Century Gothic" w:cs="Arial"/>
        </w:rPr>
        <w:t>a través del adelantamiento de proceso competitivo</w:t>
      </w:r>
      <w:r w:rsidRPr="001A0A60" w:rsidR="007F1966">
        <w:rPr>
          <w:rFonts w:ascii="Century Gothic" w:hAnsi="Century Gothic" w:cs="Arial"/>
        </w:rPr>
        <w:t xml:space="preserve">, </w:t>
      </w:r>
      <w:r w:rsidRPr="001A0A60" w:rsidR="003D0FE0">
        <w:rPr>
          <w:rFonts w:ascii="Century Gothic" w:hAnsi="Century Gothic" w:cs="Arial"/>
        </w:rPr>
        <w:t>estableciendo unas condiciones e</w:t>
      </w:r>
      <w:r w:rsidRPr="001A0A60" w:rsidR="004A76B4">
        <w:rPr>
          <w:rFonts w:ascii="Century Gothic" w:hAnsi="Century Gothic" w:cs="Arial"/>
        </w:rPr>
        <w:t xml:space="preserve">n atención a las cuales es permitido contratar de manera </w:t>
      </w:r>
      <w:r w:rsidRPr="001A0A60" w:rsidR="004A76B4">
        <w:rPr>
          <w:rFonts w:ascii="Century Gothic" w:hAnsi="Century Gothic" w:cs="Arial"/>
        </w:rPr>
        <w:t>directa.</w:t>
      </w:r>
      <w:r w:rsidRPr="001A0A60" w:rsidR="00F12C82">
        <w:rPr>
          <w:rFonts w:ascii="Century Gothic" w:hAnsi="Century Gothic" w:cs="Arial"/>
        </w:rPr>
        <w:t xml:space="preserve"> Esto implica que, </w:t>
      </w:r>
      <w:r w:rsidRPr="001A0A60" w:rsidR="001E6095">
        <w:rPr>
          <w:rFonts w:ascii="Century Gothic" w:hAnsi="Century Gothic" w:cs="Arial"/>
        </w:rPr>
        <w:t>conforme ha explicado</w:t>
      </w:r>
      <w:r w:rsidRPr="001A0A60" w:rsidR="004A76B4">
        <w:rPr>
          <w:rFonts w:ascii="Century Gothic" w:hAnsi="Century Gothic" w:cs="Arial"/>
        </w:rPr>
        <w:t xml:space="preserve"> la </w:t>
      </w:r>
      <w:r w:rsidRPr="001A0A60" w:rsidR="005570FF">
        <w:rPr>
          <w:rFonts w:ascii="Century Gothic" w:hAnsi="Century Gothic" w:cs="Arial"/>
        </w:rPr>
        <w:t>jurisprudencia</w:t>
      </w:r>
      <w:r w:rsidRPr="001A0A60" w:rsidR="009F780E">
        <w:rPr>
          <w:rStyle w:val="FootnoteReference"/>
          <w:rFonts w:ascii="Century Gothic" w:hAnsi="Century Gothic" w:cs="Arial"/>
        </w:rPr>
        <w:footnoteReference w:id="10"/>
      </w:r>
      <w:r w:rsidRPr="001A0A60" w:rsidR="005570FF">
        <w:rPr>
          <w:rFonts w:ascii="Century Gothic" w:hAnsi="Century Gothic" w:cs="Arial"/>
        </w:rPr>
        <w:t xml:space="preserve"> y la doctrina nacional</w:t>
      </w:r>
      <w:r w:rsidRPr="001A0A60" w:rsidR="00A20279">
        <w:rPr>
          <w:rStyle w:val="FootnoteReference"/>
          <w:rFonts w:ascii="Century Gothic" w:hAnsi="Century Gothic" w:cs="Arial"/>
        </w:rPr>
        <w:footnoteReference w:id="11"/>
      </w:r>
      <w:r w:rsidRPr="001A0A60" w:rsidR="005570FF">
        <w:rPr>
          <w:rFonts w:ascii="Century Gothic" w:hAnsi="Century Gothic" w:cs="Arial"/>
        </w:rPr>
        <w:t xml:space="preserve">, </w:t>
      </w:r>
      <w:r w:rsidRPr="001A0A60" w:rsidR="009F780E">
        <w:rPr>
          <w:rFonts w:ascii="Century Gothic" w:hAnsi="Century Gothic" w:cs="Arial"/>
        </w:rPr>
        <w:t>estas son</w:t>
      </w:r>
      <w:r w:rsidRPr="001A0A60" w:rsidR="001E6095">
        <w:rPr>
          <w:rFonts w:ascii="Century Gothic" w:hAnsi="Century Gothic" w:cs="Arial"/>
        </w:rPr>
        <w:t xml:space="preserve"> disposiciones de aplicación </w:t>
      </w:r>
      <w:r w:rsidRPr="00874EAA" w:rsidR="001E6095">
        <w:rPr>
          <w:rFonts w:ascii="Century Gothic" w:hAnsi="Century Gothic" w:cs="Arial"/>
          <w:i/>
          <w:iCs/>
        </w:rPr>
        <w:t>restrictiva</w:t>
      </w:r>
      <w:r w:rsidRPr="001A0A60" w:rsidR="0004332A">
        <w:rPr>
          <w:rFonts w:ascii="Century Gothic" w:hAnsi="Century Gothic" w:cs="Arial"/>
        </w:rPr>
        <w:t xml:space="preserve"> que </w:t>
      </w:r>
      <w:r w:rsidRPr="001A0A60" w:rsidR="00DC44C1">
        <w:rPr>
          <w:rFonts w:ascii="Century Gothic" w:hAnsi="Century Gothic" w:cs="Arial"/>
        </w:rPr>
        <w:t xml:space="preserve">permiten que la Entidad Estatal desarrolle una relación contractual producto de un proceso no competitivo, con estricta sujeción a las condiciones </w:t>
      </w:r>
      <w:r w:rsidRPr="001A0A60" w:rsidR="004541B7">
        <w:rPr>
          <w:rFonts w:ascii="Century Gothic" w:hAnsi="Century Gothic" w:cs="Arial"/>
        </w:rPr>
        <w:t xml:space="preserve">o requisitos que estipula la causal. </w:t>
      </w:r>
      <w:r w:rsidRPr="001A0A60" w:rsidR="009F780E">
        <w:rPr>
          <w:rFonts w:ascii="Century Gothic" w:hAnsi="Century Gothic" w:cs="Arial"/>
        </w:rPr>
        <w:t xml:space="preserve"> </w:t>
      </w:r>
      <w:r w:rsidRPr="001A0A60" w:rsidR="005570FF">
        <w:rPr>
          <w:rFonts w:ascii="Century Gothic" w:hAnsi="Century Gothic" w:cs="Arial"/>
        </w:rPr>
        <w:t xml:space="preserve"> </w:t>
      </w:r>
      <w:r w:rsidRPr="001A0A60" w:rsidR="004A76B4">
        <w:rPr>
          <w:rFonts w:ascii="Century Gothic" w:hAnsi="Century Gothic" w:cs="Arial"/>
        </w:rPr>
        <w:t xml:space="preserve"> </w:t>
      </w:r>
    </w:p>
    <w:p w:rsidRPr="001A0A60" w:rsidR="004A0525" w:rsidP="00FD5D77" w:rsidRDefault="00005A57" w14:paraId="430E9891" w14:textId="29496D48">
      <w:pPr>
        <w:shd w:val="clear" w:color="auto" w:fill="FFFFFF"/>
        <w:spacing w:line="276" w:lineRule="auto"/>
        <w:ind w:firstLine="708"/>
        <w:jc w:val="both"/>
        <w:rPr>
          <w:rFonts w:ascii="Century Gothic" w:hAnsi="Century Gothic" w:cs="Arial"/>
        </w:rPr>
      </w:pPr>
      <w:r w:rsidRPr="001A0A60">
        <w:rPr>
          <w:rFonts w:ascii="Century Gothic" w:hAnsi="Century Gothic" w:cs="Arial"/>
        </w:rPr>
        <w:t>Revisado el texto de las referidas</w:t>
      </w:r>
      <w:r w:rsidRPr="001A0A60" w:rsidR="00F879D4">
        <w:rPr>
          <w:rFonts w:ascii="Century Gothic" w:hAnsi="Century Gothic" w:cs="Arial"/>
        </w:rPr>
        <w:t xml:space="preserve"> causales se advierte que</w:t>
      </w:r>
      <w:r w:rsidRPr="001A0A60" w:rsidR="00C2277A">
        <w:rPr>
          <w:rFonts w:ascii="Century Gothic" w:hAnsi="Century Gothic" w:cs="Arial"/>
        </w:rPr>
        <w:t xml:space="preserve"> </w:t>
      </w:r>
      <w:r w:rsidRPr="001A0A60" w:rsidR="0047000A">
        <w:rPr>
          <w:rFonts w:ascii="Century Gothic" w:hAnsi="Century Gothic" w:cs="Arial"/>
        </w:rPr>
        <w:t xml:space="preserve">estas no plantean restricciones en cuanto al tipo </w:t>
      </w:r>
      <w:r w:rsidRPr="001A0A60" w:rsidR="00C2277A">
        <w:rPr>
          <w:rFonts w:ascii="Century Gothic" w:hAnsi="Century Gothic" w:cs="Arial"/>
        </w:rPr>
        <w:t>o valor de los</w:t>
      </w:r>
      <w:r w:rsidRPr="001A0A60" w:rsidR="0047000A">
        <w:rPr>
          <w:rFonts w:ascii="Century Gothic" w:hAnsi="Century Gothic" w:cs="Arial"/>
        </w:rPr>
        <w:t xml:space="preserve"> </w:t>
      </w:r>
      <w:r w:rsidRPr="001A0A60" w:rsidR="00C2277A">
        <w:rPr>
          <w:rFonts w:ascii="Century Gothic" w:hAnsi="Century Gothic" w:cs="Arial"/>
        </w:rPr>
        <w:t>contratos</w:t>
      </w:r>
      <w:r w:rsidRPr="001A0A60" w:rsidR="00910B07">
        <w:rPr>
          <w:rFonts w:ascii="Century Gothic" w:hAnsi="Century Gothic" w:cs="Arial"/>
        </w:rPr>
        <w:t xml:space="preserve"> a los que resultan aplicables,</w:t>
      </w:r>
      <w:r w:rsidRPr="001A0A60" w:rsidR="00C2277A">
        <w:rPr>
          <w:rFonts w:ascii="Century Gothic" w:hAnsi="Century Gothic" w:cs="Arial"/>
        </w:rPr>
        <w:t xml:space="preserve"> lo que</w:t>
      </w:r>
      <w:r w:rsidRPr="001A0A60" w:rsidR="00105CEE">
        <w:rPr>
          <w:rFonts w:ascii="Century Gothic" w:hAnsi="Century Gothic" w:cs="Arial"/>
        </w:rPr>
        <w:t>,</w:t>
      </w:r>
      <w:r w:rsidRPr="001A0A60" w:rsidR="00C2277A">
        <w:rPr>
          <w:rFonts w:ascii="Century Gothic" w:hAnsi="Century Gothic" w:cs="Arial"/>
        </w:rPr>
        <w:t xml:space="preserve"> seg</w:t>
      </w:r>
      <w:r w:rsidRPr="001A0A60" w:rsidR="004A0525">
        <w:rPr>
          <w:rFonts w:ascii="Century Gothic" w:hAnsi="Century Gothic" w:cs="Arial"/>
        </w:rPr>
        <w:t xml:space="preserve">ún </w:t>
      </w:r>
      <w:r w:rsidRPr="001A0A60" w:rsidR="005F153D">
        <w:rPr>
          <w:rFonts w:ascii="Century Gothic" w:hAnsi="Century Gothic" w:cs="Arial"/>
        </w:rPr>
        <w:t>el</w:t>
      </w:r>
      <w:r w:rsidRPr="001A0A60" w:rsidR="004A0525">
        <w:rPr>
          <w:rFonts w:ascii="Century Gothic" w:hAnsi="Century Gothic" w:cs="Arial"/>
        </w:rPr>
        <w:t xml:space="preserve"> </w:t>
      </w:r>
      <w:r w:rsidRPr="001A0A60" w:rsidR="005F153D">
        <w:rPr>
          <w:rFonts w:ascii="Century Gothic" w:hAnsi="Century Gothic" w:cs="Arial"/>
        </w:rPr>
        <w:t>principio general del derecho</w:t>
      </w:r>
      <w:r w:rsidRPr="001A0A60" w:rsidR="004A0525">
        <w:rPr>
          <w:rFonts w:ascii="Century Gothic" w:hAnsi="Century Gothic" w:cs="Arial"/>
        </w:rPr>
        <w:t xml:space="preserve"> que </w:t>
      </w:r>
      <w:r w:rsidRPr="001A0A60" w:rsidR="00105CEE">
        <w:rPr>
          <w:rFonts w:ascii="Century Gothic" w:hAnsi="Century Gothic" w:cs="Arial"/>
        </w:rPr>
        <w:t>reza</w:t>
      </w:r>
      <w:r w:rsidRPr="001A0A60" w:rsidR="004A0525">
        <w:rPr>
          <w:rFonts w:ascii="Century Gothic" w:hAnsi="Century Gothic" w:cs="Arial"/>
        </w:rPr>
        <w:t xml:space="preserve"> </w:t>
      </w:r>
      <w:r w:rsidRPr="00874EAA" w:rsidR="004A0525">
        <w:rPr>
          <w:rFonts w:ascii="Century Gothic" w:hAnsi="Century Gothic" w:cs="Arial"/>
          <w:i/>
          <w:iCs/>
        </w:rPr>
        <w:t>“allí donde el legislador no distingue no le corresponde al interprete hacerlo”</w:t>
      </w:r>
      <w:r w:rsidRPr="001A0A60" w:rsidR="004A0525">
        <w:rPr>
          <w:rFonts w:ascii="Century Gothic" w:hAnsi="Century Gothic" w:cs="Arial"/>
        </w:rPr>
        <w:t>,</w:t>
      </w:r>
      <w:r w:rsidRPr="001A0A60" w:rsidR="005F153D">
        <w:rPr>
          <w:rFonts w:ascii="Century Gothic" w:hAnsi="Century Gothic" w:cs="Arial"/>
        </w:rPr>
        <w:t xml:space="preserve"> indica que </w:t>
      </w:r>
      <w:r w:rsidRPr="001A0A60" w:rsidR="00297D5F">
        <w:rPr>
          <w:rFonts w:ascii="Century Gothic" w:hAnsi="Century Gothic" w:cs="Arial"/>
        </w:rPr>
        <w:t>podría</w:t>
      </w:r>
      <w:r w:rsidRPr="001A0A60" w:rsidR="00D9781C">
        <w:rPr>
          <w:rFonts w:ascii="Century Gothic" w:hAnsi="Century Gothic" w:cs="Arial"/>
        </w:rPr>
        <w:t xml:space="preserve"> las causales pueden ser aplicadas a todo tipo de contratos </w:t>
      </w:r>
      <w:r w:rsidRPr="001A0A60" w:rsidR="004F1957">
        <w:rPr>
          <w:rFonts w:ascii="Century Gothic" w:hAnsi="Century Gothic" w:cs="Arial"/>
        </w:rPr>
        <w:t xml:space="preserve">siempre que se cumplan los requisitos para la contratación directa. </w:t>
      </w:r>
      <w:r w:rsidRPr="001A0A60" w:rsidR="004E21D5">
        <w:rPr>
          <w:rFonts w:ascii="Century Gothic" w:hAnsi="Century Gothic" w:cs="Arial"/>
        </w:rPr>
        <w:t>Ambas casuales</w:t>
      </w:r>
      <w:r w:rsidRPr="001A0A60" w:rsidR="00580AA6">
        <w:rPr>
          <w:rFonts w:ascii="Century Gothic" w:hAnsi="Century Gothic" w:cs="Arial"/>
        </w:rPr>
        <w:t xml:space="preserve"> </w:t>
      </w:r>
      <w:r w:rsidRPr="001A0A60" w:rsidR="004E21D5">
        <w:rPr>
          <w:rFonts w:ascii="Century Gothic" w:hAnsi="Century Gothic" w:cs="Arial"/>
        </w:rPr>
        <w:t>plantean d</w:t>
      </w:r>
      <w:r w:rsidRPr="001A0A60" w:rsidR="00974C20">
        <w:rPr>
          <w:rFonts w:ascii="Century Gothic" w:hAnsi="Century Gothic" w:cs="Arial"/>
        </w:rPr>
        <w:t>e manera análoga dos tipos de</w:t>
      </w:r>
      <w:r w:rsidRPr="001A0A60" w:rsidR="004E21D5">
        <w:rPr>
          <w:rFonts w:ascii="Century Gothic" w:hAnsi="Century Gothic" w:cs="Arial"/>
        </w:rPr>
        <w:t xml:space="preserve"> </w:t>
      </w:r>
      <w:r w:rsidRPr="001A0A60" w:rsidR="00580AA6">
        <w:rPr>
          <w:rFonts w:ascii="Century Gothic" w:hAnsi="Century Gothic" w:cs="Arial"/>
        </w:rPr>
        <w:t>requisitos</w:t>
      </w:r>
      <w:r w:rsidRPr="001A0A60" w:rsidR="00974C20">
        <w:rPr>
          <w:rFonts w:ascii="Century Gothic" w:hAnsi="Century Gothic" w:cs="Arial"/>
        </w:rPr>
        <w:t xml:space="preserve">, unos de naturaleza </w:t>
      </w:r>
      <w:r w:rsidRPr="00874EAA" w:rsidR="00974C20">
        <w:rPr>
          <w:rFonts w:ascii="Century Gothic" w:hAnsi="Century Gothic" w:cs="Arial"/>
          <w:i/>
          <w:iCs/>
        </w:rPr>
        <w:t>subjetiva</w:t>
      </w:r>
      <w:r w:rsidRPr="001A0A60" w:rsidR="00974C20">
        <w:rPr>
          <w:rFonts w:ascii="Century Gothic" w:hAnsi="Century Gothic" w:cs="Arial"/>
        </w:rPr>
        <w:t xml:space="preserve"> y otros de naturaleza</w:t>
      </w:r>
      <w:r w:rsidRPr="001A0A60" w:rsidR="003A1333">
        <w:rPr>
          <w:rFonts w:ascii="Century Gothic" w:hAnsi="Century Gothic" w:cs="Arial"/>
        </w:rPr>
        <w:t xml:space="preserve"> </w:t>
      </w:r>
      <w:r w:rsidRPr="00874EAA" w:rsidR="003A1333">
        <w:rPr>
          <w:rFonts w:ascii="Century Gothic" w:hAnsi="Century Gothic" w:cs="Arial"/>
          <w:i/>
          <w:iCs/>
        </w:rPr>
        <w:t>objetiva</w:t>
      </w:r>
      <w:r w:rsidRPr="001A0A60" w:rsidR="003A1333">
        <w:rPr>
          <w:rFonts w:ascii="Century Gothic" w:hAnsi="Century Gothic" w:cs="Arial"/>
        </w:rPr>
        <w:t xml:space="preserve">, </w:t>
      </w:r>
      <w:r w:rsidRPr="001A0A60" w:rsidR="007C5CAB">
        <w:rPr>
          <w:rFonts w:ascii="Century Gothic" w:hAnsi="Century Gothic" w:cs="Arial"/>
        </w:rPr>
        <w:t xml:space="preserve">que vienen </w:t>
      </w:r>
      <w:r w:rsidRPr="001A0A60" w:rsidR="003A1333">
        <w:rPr>
          <w:rFonts w:ascii="Century Gothic" w:hAnsi="Century Gothic" w:cs="Arial"/>
        </w:rPr>
        <w:t>restring</w:t>
      </w:r>
      <w:r w:rsidRPr="001A0A60" w:rsidR="007C5CAB">
        <w:rPr>
          <w:rFonts w:ascii="Century Gothic" w:hAnsi="Century Gothic" w:cs="Arial"/>
        </w:rPr>
        <w:t xml:space="preserve">ir </w:t>
      </w:r>
      <w:r w:rsidRPr="001A0A60" w:rsidR="00D7502D">
        <w:rPr>
          <w:rFonts w:ascii="Century Gothic" w:hAnsi="Century Gothic" w:cs="Arial"/>
        </w:rPr>
        <w:t>la aplicación de estas causales en favor de las finalidades que persiguen y que dieron lugar a su inclusión dentro del EGCAP.</w:t>
      </w:r>
      <w:r w:rsidRPr="001A0A60" w:rsidR="003A1333">
        <w:rPr>
          <w:rFonts w:ascii="Century Gothic" w:hAnsi="Century Gothic" w:cs="Arial"/>
        </w:rPr>
        <w:t xml:space="preserve"> </w:t>
      </w:r>
      <w:r w:rsidRPr="001A0A60" w:rsidR="00580AA6">
        <w:rPr>
          <w:rFonts w:ascii="Century Gothic" w:hAnsi="Century Gothic" w:cs="Arial"/>
        </w:rPr>
        <w:t xml:space="preserve"> </w:t>
      </w:r>
    </w:p>
    <w:p w:rsidRPr="001A0A60" w:rsidR="004A0525" w:rsidP="00FD5D77" w:rsidRDefault="00D7502D" w14:paraId="075416CB" w14:textId="4074E5B7">
      <w:pPr>
        <w:shd w:val="clear" w:color="auto" w:fill="FFFFFF"/>
        <w:spacing w:line="276" w:lineRule="auto"/>
        <w:ind w:firstLine="708"/>
        <w:jc w:val="both"/>
        <w:rPr>
          <w:rFonts w:ascii="Century Gothic" w:hAnsi="Century Gothic" w:cs="Arial"/>
        </w:rPr>
      </w:pPr>
      <w:r w:rsidRPr="001A0A60">
        <w:rPr>
          <w:rFonts w:ascii="Century Gothic" w:hAnsi="Century Gothic" w:cs="Arial"/>
        </w:rPr>
        <w:t>Como requisitos subjetivo</w:t>
      </w:r>
      <w:r w:rsidRPr="001A0A60" w:rsidR="004A4B8E">
        <w:rPr>
          <w:rFonts w:ascii="Century Gothic" w:hAnsi="Century Gothic" w:cs="Arial"/>
        </w:rPr>
        <w:t>s, ambas causales establecen unos sujetos específicos respecto de los que procede su aplicación</w:t>
      </w:r>
      <w:r w:rsidRPr="001A0A60" w:rsidR="00706B8E">
        <w:rPr>
          <w:rFonts w:ascii="Century Gothic" w:hAnsi="Century Gothic" w:cs="Arial"/>
        </w:rPr>
        <w:t xml:space="preserve">, lo que significa que estas causales </w:t>
      </w:r>
      <w:r w:rsidRPr="001A0A60" w:rsidR="00E46664">
        <w:rPr>
          <w:rFonts w:ascii="Century Gothic" w:hAnsi="Century Gothic" w:cs="Arial"/>
        </w:rPr>
        <w:t>solo</w:t>
      </w:r>
      <w:r w:rsidRPr="001A0A60" w:rsidR="00706B8E">
        <w:rPr>
          <w:rFonts w:ascii="Century Gothic" w:hAnsi="Century Gothic" w:cs="Arial"/>
        </w:rPr>
        <w:t xml:space="preserve"> pueden ser aplicadas en relaciones contractuales</w:t>
      </w:r>
      <w:r w:rsidRPr="001A0A60" w:rsidR="00E46664">
        <w:rPr>
          <w:rFonts w:ascii="Century Gothic" w:hAnsi="Century Gothic" w:cs="Arial"/>
        </w:rPr>
        <w:t xml:space="preserve"> que involucren de a los su</w:t>
      </w:r>
      <w:r w:rsidRPr="001A0A60" w:rsidR="00CA02EB">
        <w:rPr>
          <w:rFonts w:ascii="Century Gothic" w:hAnsi="Century Gothic" w:cs="Arial"/>
        </w:rPr>
        <w:t>jetos establecido</w:t>
      </w:r>
      <w:r w:rsidRPr="001A0A60" w:rsidR="00E6608E">
        <w:rPr>
          <w:rFonts w:ascii="Century Gothic" w:hAnsi="Century Gothic" w:cs="Arial"/>
        </w:rPr>
        <w:t>s</w:t>
      </w:r>
      <w:r w:rsidRPr="001A0A60" w:rsidR="00CA02EB">
        <w:rPr>
          <w:rFonts w:ascii="Century Gothic" w:hAnsi="Century Gothic" w:cs="Arial"/>
        </w:rPr>
        <w:t xml:space="preserve"> en la </w:t>
      </w:r>
      <w:r w:rsidRPr="001A0A60" w:rsidR="00E6608E">
        <w:rPr>
          <w:rFonts w:ascii="Century Gothic" w:hAnsi="Century Gothic" w:cs="Arial"/>
        </w:rPr>
        <w:t>causal</w:t>
      </w:r>
      <w:r w:rsidRPr="001A0A60" w:rsidR="004A4B8E">
        <w:rPr>
          <w:rFonts w:ascii="Century Gothic" w:hAnsi="Century Gothic" w:cs="Arial"/>
        </w:rPr>
        <w:t xml:space="preserve">. En el caso del literal </w:t>
      </w:r>
      <w:r w:rsidRPr="001A0A60" w:rsidR="004E12DD">
        <w:rPr>
          <w:rFonts w:ascii="Century Gothic" w:hAnsi="Century Gothic" w:cs="Arial"/>
        </w:rPr>
        <w:t xml:space="preserve">M) </w:t>
      </w:r>
      <w:r w:rsidRPr="001A0A60" w:rsidR="00E6608E">
        <w:rPr>
          <w:rFonts w:ascii="Century Gothic" w:hAnsi="Century Gothic" w:cs="Arial"/>
        </w:rPr>
        <w:t xml:space="preserve">son </w:t>
      </w:r>
      <w:r w:rsidRPr="001A0A60" w:rsidR="00384459">
        <w:rPr>
          <w:rFonts w:ascii="Century Gothic" w:hAnsi="Century Gothic" w:cs="Arial"/>
        </w:rPr>
        <w:t>los Consejos Comunitarios regulados por la Ley 70 de 1993</w:t>
      </w:r>
      <w:r w:rsidRPr="001A0A60" w:rsidR="00E6608E">
        <w:rPr>
          <w:rFonts w:ascii="Century Gothic" w:hAnsi="Century Gothic" w:cs="Arial"/>
        </w:rPr>
        <w:t xml:space="preserve"> lo</w:t>
      </w:r>
      <w:r w:rsidRPr="001A0A60" w:rsidR="004E130C">
        <w:rPr>
          <w:rFonts w:ascii="Century Gothic" w:hAnsi="Century Gothic" w:cs="Arial"/>
        </w:rPr>
        <w:t>s beneficiarios exclusivos de la causal</w:t>
      </w:r>
      <w:r w:rsidRPr="001A0A60" w:rsidR="00050C2B">
        <w:rPr>
          <w:rFonts w:ascii="Century Gothic" w:hAnsi="Century Gothic" w:cs="Arial"/>
        </w:rPr>
        <w:t xml:space="preserve">. </w:t>
      </w:r>
      <w:r w:rsidRPr="001A0A60" w:rsidR="004E12DD">
        <w:rPr>
          <w:rFonts w:ascii="Century Gothic" w:hAnsi="Century Gothic" w:cs="Arial"/>
        </w:rPr>
        <w:t xml:space="preserve"> </w:t>
      </w:r>
      <w:r w:rsidRPr="001A0A60" w:rsidR="005C328D">
        <w:rPr>
          <w:rFonts w:ascii="Century Gothic" w:hAnsi="Century Gothic" w:cs="Arial"/>
        </w:rPr>
        <w:t>Sin perjuicio de la definición incorporada en el numeral 2 del artículo 7 de la Ley 80</w:t>
      </w:r>
      <w:r w:rsidRPr="001A0A60" w:rsidR="00B64254">
        <w:rPr>
          <w:rFonts w:ascii="Century Gothic" w:hAnsi="Century Gothic" w:cs="Arial"/>
        </w:rPr>
        <w:t xml:space="preserve"> de 1993</w:t>
      </w:r>
      <w:r w:rsidRPr="001A0A60" w:rsidR="005C328D">
        <w:rPr>
          <w:rFonts w:ascii="Century Gothic" w:hAnsi="Century Gothic" w:cs="Arial"/>
        </w:rPr>
        <w:t xml:space="preserve">, </w:t>
      </w:r>
      <w:r w:rsidRPr="001A0A60" w:rsidR="00B64254">
        <w:rPr>
          <w:rFonts w:ascii="Century Gothic" w:hAnsi="Century Gothic" w:cs="Arial"/>
        </w:rPr>
        <w:t>para dar aplicación a esta disposición se requiere que</w:t>
      </w:r>
      <w:r w:rsidRPr="001A0A60" w:rsidR="0048096D">
        <w:rPr>
          <w:rFonts w:ascii="Century Gothic" w:hAnsi="Century Gothic" w:cs="Arial"/>
        </w:rPr>
        <w:t xml:space="preserve"> el </w:t>
      </w:r>
      <w:r w:rsidRPr="00874EAA" w:rsidR="00050C2B">
        <w:rPr>
          <w:rFonts w:ascii="Century Gothic" w:hAnsi="Century Gothic" w:eastAsia="Times New Roman" w:cs="Arial"/>
          <w:lang w:eastAsia="es-CO"/>
        </w:rPr>
        <w:t xml:space="preserve">consejo comunitario </w:t>
      </w:r>
      <w:r w:rsidRPr="00874EAA" w:rsidR="0048096D">
        <w:rPr>
          <w:rFonts w:ascii="Century Gothic" w:hAnsi="Century Gothic" w:eastAsia="Times New Roman" w:cs="Arial"/>
          <w:lang w:eastAsia="es-CO"/>
        </w:rPr>
        <w:t xml:space="preserve">con el que se contrata haya sido </w:t>
      </w:r>
      <w:r w:rsidRPr="00874EAA" w:rsidR="00050C2B">
        <w:rPr>
          <w:rFonts w:ascii="Century Gothic" w:hAnsi="Century Gothic" w:eastAsia="Times New Roman" w:cs="Arial"/>
          <w:lang w:eastAsia="es-CO"/>
        </w:rPr>
        <w:t>incorporado por el Ministerio del Interior en el correspondiente Registro Público Único Nacional y que haya cumplido con el deber de actualización de información en el mismo registro</w:t>
      </w:r>
      <w:r w:rsidRPr="001A0A60" w:rsidR="004D67B6">
        <w:rPr>
          <w:rFonts w:ascii="Century Gothic" w:hAnsi="Century Gothic" w:eastAsia="Times New Roman" w:cs="Arial"/>
          <w:lang w:eastAsia="es-CO"/>
        </w:rPr>
        <w:t xml:space="preserve">, de conformidad con lo previsto en el Capítulo 5, </w:t>
      </w:r>
      <w:r w:rsidRPr="001A0A60" w:rsidR="00F3368B">
        <w:rPr>
          <w:rFonts w:ascii="Century Gothic" w:hAnsi="Century Gothic" w:eastAsia="Times New Roman" w:cs="Arial"/>
          <w:lang w:eastAsia="es-CO"/>
        </w:rPr>
        <w:t>del</w:t>
      </w:r>
      <w:r w:rsidRPr="001A0A60" w:rsidR="004D67B6">
        <w:rPr>
          <w:rFonts w:ascii="Century Gothic" w:hAnsi="Century Gothic" w:eastAsia="Times New Roman" w:cs="Arial"/>
          <w:lang w:eastAsia="es-CO"/>
        </w:rPr>
        <w:t xml:space="preserve"> Título 1, de la Parte 5, del Libro 2 del Decreto 1066 de 2015</w:t>
      </w:r>
      <w:r w:rsidRPr="001A0A60" w:rsidR="00F3368B">
        <w:rPr>
          <w:rFonts w:ascii="Century Gothic" w:hAnsi="Century Gothic" w:eastAsia="Times New Roman" w:cs="Arial"/>
          <w:lang w:eastAsia="es-CO"/>
        </w:rPr>
        <w:t>, sustituido y adicionado por el Decreto 1640 de 2020.</w:t>
      </w:r>
      <w:r w:rsidRPr="001A0A60" w:rsidR="004200B6">
        <w:rPr>
          <w:rFonts w:ascii="Century Gothic" w:hAnsi="Century Gothic" w:eastAsia="Times New Roman" w:cs="Arial"/>
          <w:lang w:eastAsia="es-CO"/>
        </w:rPr>
        <w:t xml:space="preserve"> </w:t>
      </w:r>
      <w:r w:rsidRPr="001A0A60" w:rsidR="00C352AA">
        <w:rPr>
          <w:rFonts w:ascii="Century Gothic" w:hAnsi="Century Gothic" w:eastAsia="Times New Roman" w:cs="Arial"/>
          <w:lang w:eastAsia="es-CO"/>
        </w:rPr>
        <w:t xml:space="preserve">En ese sentido, para </w:t>
      </w:r>
      <w:r w:rsidRPr="001A0A60" w:rsidR="007A4C57">
        <w:rPr>
          <w:rFonts w:ascii="Century Gothic" w:hAnsi="Century Gothic" w:eastAsia="Times New Roman" w:cs="Arial"/>
          <w:lang w:eastAsia="es-CO"/>
        </w:rPr>
        <w:t>contratar de manera directa al amparo de esta causal no basta con que el</w:t>
      </w:r>
      <w:r w:rsidRPr="001A0A60" w:rsidR="00C352AA">
        <w:rPr>
          <w:rFonts w:ascii="Century Gothic" w:hAnsi="Century Gothic" w:eastAsia="Times New Roman" w:cs="Arial"/>
          <w:lang w:eastAsia="es-CO"/>
        </w:rPr>
        <w:t xml:space="preserve"> con el Consejo Comunitario haya</w:t>
      </w:r>
      <w:r w:rsidRPr="001A0A60" w:rsidR="007A4C57">
        <w:rPr>
          <w:rFonts w:ascii="Century Gothic" w:hAnsi="Century Gothic" w:eastAsia="Times New Roman" w:cs="Arial"/>
          <w:lang w:eastAsia="es-CO"/>
        </w:rPr>
        <w:t xml:space="preserve"> </w:t>
      </w:r>
      <w:r w:rsidRPr="001A0A60" w:rsidR="008F4C47">
        <w:rPr>
          <w:rFonts w:ascii="Century Gothic" w:hAnsi="Century Gothic" w:eastAsia="Times New Roman" w:cs="Arial"/>
          <w:lang w:eastAsia="es-CO"/>
        </w:rPr>
        <w:t xml:space="preserve">cumplido con el deber de inscripción, </w:t>
      </w:r>
      <w:r w:rsidRPr="001A0A60" w:rsidR="00014F52">
        <w:rPr>
          <w:rFonts w:ascii="Century Gothic" w:hAnsi="Century Gothic" w:eastAsia="Times New Roman" w:cs="Arial"/>
          <w:lang w:eastAsia="es-CO"/>
        </w:rPr>
        <w:t>sino que</w:t>
      </w:r>
      <w:r w:rsidRPr="001A0A60" w:rsidR="004B4E78">
        <w:rPr>
          <w:rFonts w:ascii="Century Gothic" w:hAnsi="Century Gothic" w:eastAsia="Times New Roman" w:cs="Arial"/>
          <w:lang w:eastAsia="es-CO"/>
        </w:rPr>
        <w:t xml:space="preserve"> es necesario constatar que haya cumplido con el deber de actualización de la </w:t>
      </w:r>
      <w:r w:rsidRPr="001A0A60" w:rsidR="004B4E78">
        <w:rPr>
          <w:rFonts w:ascii="Century Gothic" w:hAnsi="Century Gothic" w:eastAsia="Times New Roman" w:cs="Arial"/>
          <w:lang w:eastAsia="es-CO"/>
        </w:rPr>
        <w:t>información contenida en el mencionado registro</w:t>
      </w:r>
      <w:r w:rsidRPr="001A0A60" w:rsidR="00966D3A">
        <w:rPr>
          <w:rFonts w:ascii="Century Gothic" w:hAnsi="Century Gothic" w:eastAsia="Times New Roman" w:cs="Arial"/>
          <w:lang w:eastAsia="es-CO"/>
        </w:rPr>
        <w:t xml:space="preserve"> establecido en el artículo 2.5.1.5.6 del Decreto 1066 de 2015</w:t>
      </w:r>
      <w:r w:rsidRPr="001A0A60" w:rsidR="00CC0A00">
        <w:rPr>
          <w:rStyle w:val="FootnoteReference"/>
          <w:rFonts w:ascii="Century Gothic" w:hAnsi="Century Gothic" w:eastAsia="Times New Roman" w:cs="Arial"/>
          <w:lang w:eastAsia="es-CO"/>
        </w:rPr>
        <w:footnoteReference w:id="12"/>
      </w:r>
      <w:r w:rsidRPr="001A0A60" w:rsidR="00966D3A">
        <w:rPr>
          <w:rFonts w:ascii="Century Gothic" w:hAnsi="Century Gothic" w:eastAsia="Times New Roman" w:cs="Arial"/>
          <w:lang w:eastAsia="es-CO"/>
        </w:rPr>
        <w:t>.</w:t>
      </w:r>
      <w:r w:rsidRPr="001A0A60" w:rsidR="00C352AA">
        <w:rPr>
          <w:rFonts w:ascii="Century Gothic" w:hAnsi="Century Gothic" w:eastAsia="Times New Roman" w:cs="Arial"/>
          <w:lang w:eastAsia="es-CO"/>
        </w:rPr>
        <w:t xml:space="preserve"> </w:t>
      </w:r>
    </w:p>
    <w:p w:rsidRPr="001A0A60" w:rsidR="00BA444F" w:rsidP="00FD5D77" w:rsidRDefault="00B66E5F" w14:paraId="42A750DF" w14:textId="5E3995F7">
      <w:pPr>
        <w:shd w:val="clear" w:color="auto" w:fill="FFFFFF"/>
        <w:spacing w:line="276" w:lineRule="auto"/>
        <w:ind w:firstLine="708"/>
        <w:jc w:val="both"/>
        <w:rPr>
          <w:rFonts w:ascii="Century Gothic" w:hAnsi="Century Gothic" w:cs="Arial"/>
        </w:rPr>
      </w:pPr>
      <w:r w:rsidRPr="001A0A60">
        <w:rPr>
          <w:rFonts w:ascii="Century Gothic" w:hAnsi="Century Gothic" w:cs="Arial"/>
        </w:rPr>
        <w:t>En</w:t>
      </w:r>
      <w:r w:rsidRPr="001A0A60" w:rsidR="00706B8E">
        <w:rPr>
          <w:rFonts w:ascii="Century Gothic" w:hAnsi="Century Gothic" w:cs="Arial"/>
        </w:rPr>
        <w:t xml:space="preserve"> </w:t>
      </w:r>
      <w:r w:rsidRPr="001A0A60" w:rsidR="00CA02EB">
        <w:rPr>
          <w:rFonts w:ascii="Century Gothic" w:hAnsi="Century Gothic" w:cs="Arial"/>
        </w:rPr>
        <w:t xml:space="preserve">el literal N) </w:t>
      </w:r>
      <w:r w:rsidRPr="001A0A60" w:rsidR="00EB5063">
        <w:rPr>
          <w:rFonts w:ascii="Century Gothic" w:hAnsi="Century Gothic" w:cs="Arial"/>
        </w:rPr>
        <w:t>el</w:t>
      </w:r>
      <w:r w:rsidRPr="001A0A60" w:rsidR="006B0FC3">
        <w:rPr>
          <w:rFonts w:ascii="Century Gothic" w:hAnsi="Century Gothic" w:cs="Arial"/>
        </w:rPr>
        <w:t xml:space="preserve"> elemento subjetivo </w:t>
      </w:r>
      <w:r w:rsidRPr="001A0A60" w:rsidR="00EB5063">
        <w:rPr>
          <w:rFonts w:ascii="Century Gothic" w:hAnsi="Century Gothic" w:cs="Arial"/>
        </w:rPr>
        <w:t xml:space="preserve">viene dado por </w:t>
      </w:r>
      <w:r w:rsidRPr="001A0A60" w:rsidR="00D210B1">
        <w:rPr>
          <w:rFonts w:ascii="Century Gothic" w:hAnsi="Century Gothic" w:cs="Arial"/>
        </w:rPr>
        <w:t>el hecho de que la norma contempla su aplicación</w:t>
      </w:r>
      <w:r w:rsidRPr="001A0A60" w:rsidR="00522D64">
        <w:rPr>
          <w:rFonts w:ascii="Century Gothic" w:hAnsi="Century Gothic" w:cs="Arial"/>
        </w:rPr>
        <w:t xml:space="preserve"> </w:t>
      </w:r>
      <w:r w:rsidRPr="001A0A60" w:rsidR="00D210B1">
        <w:rPr>
          <w:rFonts w:ascii="Century Gothic" w:hAnsi="Century Gothic" w:cs="Arial"/>
        </w:rPr>
        <w:t>respecto de</w:t>
      </w:r>
      <w:r w:rsidRPr="001A0A60" w:rsidR="006B0FC3">
        <w:rPr>
          <w:rFonts w:ascii="Century Gothic" w:hAnsi="Century Gothic" w:cs="Arial"/>
        </w:rPr>
        <w:t xml:space="preserve"> las </w:t>
      </w:r>
      <w:r w:rsidRPr="001A0A60" w:rsidR="00A26E6A">
        <w:rPr>
          <w:rFonts w:ascii="Century Gothic" w:hAnsi="Century Gothic" w:cs="Arial"/>
        </w:rPr>
        <w:t xml:space="preserve">organizaciones de base de personas pertenecientes a </w:t>
      </w:r>
      <w:r w:rsidR="00143E15">
        <w:rPr>
          <w:rFonts w:ascii="Century Gothic" w:hAnsi="Century Gothic" w:cs="Arial"/>
        </w:rPr>
        <w:t>comunidades</w:t>
      </w:r>
      <w:r w:rsidRPr="001A0A60" w:rsidR="00A26E6A">
        <w:rPr>
          <w:rFonts w:ascii="Century Gothic" w:hAnsi="Century Gothic" w:cs="Arial"/>
        </w:rPr>
        <w:t xml:space="preserve"> afrocolombianas, raizales y palenqueras</w:t>
      </w:r>
      <w:r w:rsidRPr="001A0A60" w:rsidR="0087625A">
        <w:rPr>
          <w:rFonts w:ascii="Century Gothic" w:hAnsi="Century Gothic" w:cs="Arial"/>
        </w:rPr>
        <w:t xml:space="preserve"> –definidas en el numeral 4 del artículo 7 de la Ley 80 de 1993–</w:t>
      </w:r>
      <w:r w:rsidRPr="001A0A60" w:rsidR="00A26E6A">
        <w:rPr>
          <w:rFonts w:ascii="Century Gothic" w:hAnsi="Century Gothic" w:cs="Arial"/>
        </w:rPr>
        <w:t xml:space="preserve"> o con las demás formas y expresiones organizativas</w:t>
      </w:r>
      <w:r w:rsidRPr="001A0A60" w:rsidR="0087625A">
        <w:rPr>
          <w:rFonts w:ascii="Century Gothic" w:hAnsi="Century Gothic" w:cs="Arial"/>
        </w:rPr>
        <w:t xml:space="preserve"> –según lo dispuesto en numeral </w:t>
      </w:r>
      <w:r w:rsidRPr="001A0A60" w:rsidR="00A3039C">
        <w:rPr>
          <w:rFonts w:ascii="Century Gothic" w:hAnsi="Century Gothic" w:cs="Arial"/>
        </w:rPr>
        <w:t xml:space="preserve">3 del artículo 7 </w:t>
      </w:r>
      <w:proofErr w:type="spellStart"/>
      <w:r w:rsidRPr="00874EAA" w:rsidR="00A3039C">
        <w:rPr>
          <w:rFonts w:ascii="Century Gothic" w:hAnsi="Century Gothic" w:cs="Arial"/>
          <w:i/>
          <w:iCs/>
        </w:rPr>
        <w:t>ibídem</w:t>
      </w:r>
      <w:proofErr w:type="spellEnd"/>
      <w:r w:rsidRPr="001A0A60" w:rsidR="00A3039C">
        <w:rPr>
          <w:rFonts w:ascii="Century Gothic" w:hAnsi="Century Gothic" w:cs="Arial"/>
        </w:rPr>
        <w:t>–</w:t>
      </w:r>
      <w:r w:rsidRPr="001A0A60" w:rsidR="001237FC">
        <w:rPr>
          <w:rFonts w:ascii="Century Gothic" w:hAnsi="Century Gothic" w:cs="Arial"/>
        </w:rPr>
        <w:t xml:space="preserve">. Respecto de estas organizaciones, </w:t>
      </w:r>
      <w:r w:rsidRPr="001A0A60" w:rsidR="00F5052F">
        <w:rPr>
          <w:rFonts w:ascii="Century Gothic" w:hAnsi="Century Gothic" w:cs="Arial"/>
        </w:rPr>
        <w:t xml:space="preserve">de manera similar a lo explicado </w:t>
      </w:r>
      <w:r w:rsidRPr="001A0A60" w:rsidR="002A1258">
        <w:rPr>
          <w:rFonts w:ascii="Century Gothic" w:hAnsi="Century Gothic" w:cs="Arial"/>
        </w:rPr>
        <w:t xml:space="preserve">en el párrafo anterior, también se exige que hayan sido incorporadas </w:t>
      </w:r>
      <w:r w:rsidRPr="001A0A60" w:rsidR="000D1F2B">
        <w:rPr>
          <w:rFonts w:ascii="Century Gothic" w:hAnsi="Century Gothic" w:cs="Arial"/>
        </w:rPr>
        <w:t>en Registro Público Único Nacional y que hayan cumplido con el deber de actualización</w:t>
      </w:r>
      <w:r w:rsidRPr="001A0A60" w:rsidR="007A30D1">
        <w:rPr>
          <w:rFonts w:ascii="Century Gothic" w:hAnsi="Century Gothic" w:cs="Arial"/>
        </w:rPr>
        <w:t>, pero además se exige una antigüedad</w:t>
      </w:r>
      <w:r w:rsidRPr="001A0A60" w:rsidR="00DA3904">
        <w:rPr>
          <w:rFonts w:ascii="Century Gothic" w:hAnsi="Century Gothic" w:cs="Arial"/>
        </w:rPr>
        <w:t xml:space="preserve">. </w:t>
      </w:r>
      <w:r w:rsidRPr="001A0A60" w:rsidR="002F7992">
        <w:rPr>
          <w:rFonts w:ascii="Century Gothic" w:hAnsi="Century Gothic" w:cs="Arial"/>
        </w:rPr>
        <w:t>Esto implica</w:t>
      </w:r>
      <w:r w:rsidRPr="001A0A60" w:rsidR="00DA3904">
        <w:rPr>
          <w:rFonts w:ascii="Century Gothic" w:hAnsi="Century Gothic" w:cs="Arial"/>
        </w:rPr>
        <w:t xml:space="preserve"> que, para la aplicación de la causal</w:t>
      </w:r>
      <w:r w:rsidRPr="001A0A60" w:rsidR="00DB4E52">
        <w:rPr>
          <w:rFonts w:ascii="Century Gothic" w:hAnsi="Century Gothic" w:cs="Arial"/>
        </w:rPr>
        <w:t xml:space="preserve"> no basta con que la organización de base o forma organizativa se haya inscrito y actualizado</w:t>
      </w:r>
      <w:r w:rsidRPr="001A0A60" w:rsidR="002F7992">
        <w:rPr>
          <w:rFonts w:ascii="Century Gothic" w:hAnsi="Century Gothic" w:cs="Arial"/>
        </w:rPr>
        <w:t xml:space="preserve"> el registro, sino que </w:t>
      </w:r>
      <w:r w:rsidRPr="001A0A60" w:rsidR="00A31641">
        <w:rPr>
          <w:rFonts w:ascii="Century Gothic" w:hAnsi="Century Gothic" w:cs="Arial"/>
        </w:rPr>
        <w:t xml:space="preserve">además </w:t>
      </w:r>
      <w:r w:rsidRPr="001A0A60" w:rsidR="002F7992">
        <w:rPr>
          <w:rFonts w:ascii="Century Gothic" w:hAnsi="Century Gothic" w:cs="Arial"/>
        </w:rPr>
        <w:t xml:space="preserve">debe </w:t>
      </w:r>
      <w:r w:rsidRPr="001A0A60" w:rsidR="00065347">
        <w:rPr>
          <w:rFonts w:ascii="Century Gothic" w:hAnsi="Century Gothic" w:cs="Arial"/>
        </w:rPr>
        <w:t>acreditar q</w:t>
      </w:r>
      <w:r w:rsidRPr="001A0A60" w:rsidR="005A275F">
        <w:rPr>
          <w:rFonts w:ascii="Century Gothic" w:hAnsi="Century Gothic" w:cs="Arial"/>
        </w:rPr>
        <w:t>ue se ha registrado hace por lo</w:t>
      </w:r>
      <w:r w:rsidRPr="001A0A60" w:rsidR="002F7992">
        <w:rPr>
          <w:rFonts w:ascii="Century Gothic" w:hAnsi="Century Gothic" w:cs="Arial"/>
        </w:rPr>
        <w:t xml:space="preserve"> menos diez (10) años, </w:t>
      </w:r>
      <w:r w:rsidRPr="001A0A60" w:rsidR="00AD3543">
        <w:rPr>
          <w:rFonts w:ascii="Century Gothic" w:hAnsi="Century Gothic" w:cs="Arial"/>
        </w:rPr>
        <w:t xml:space="preserve">que es el plazo </w:t>
      </w:r>
      <w:r w:rsidRPr="001A0A60" w:rsidR="006D61E4">
        <w:rPr>
          <w:rFonts w:ascii="Century Gothic" w:hAnsi="Century Gothic" w:cs="Arial"/>
        </w:rPr>
        <w:t>estipulado</w:t>
      </w:r>
      <w:r w:rsidRPr="001A0A60" w:rsidR="00AD3543">
        <w:rPr>
          <w:rFonts w:ascii="Century Gothic" w:hAnsi="Century Gothic" w:cs="Arial"/>
        </w:rPr>
        <w:t xml:space="preserve"> en la norma. </w:t>
      </w:r>
    </w:p>
    <w:p w:rsidRPr="001A0A60" w:rsidR="00EA2998" w:rsidP="04CAD13D" w:rsidRDefault="00B66E5F" w14:paraId="1D2DA616" w14:textId="087F2240">
      <w:pPr>
        <w:shd w:val="clear" w:color="auto" w:fill="FFFFFF" w:themeFill="background1"/>
        <w:spacing w:line="276" w:lineRule="auto"/>
        <w:ind w:firstLine="708"/>
        <w:jc w:val="both"/>
        <w:rPr>
          <w:rFonts w:ascii="Century Gothic" w:hAnsi="Century Gothic" w:cs="Arial"/>
          <w:color w:val="000000"/>
        </w:rPr>
      </w:pPr>
      <w:r w:rsidRPr="04CAD13D" w:rsidR="00B66E5F">
        <w:rPr>
          <w:rFonts w:ascii="Century Gothic" w:hAnsi="Century Gothic" w:cs="Arial"/>
        </w:rPr>
        <w:t xml:space="preserve">Por otra parte, en cuanto al elemento </w:t>
      </w:r>
      <w:r w:rsidRPr="04CAD13D" w:rsidR="006E1C96">
        <w:rPr>
          <w:rFonts w:ascii="Century Gothic" w:hAnsi="Century Gothic" w:cs="Arial"/>
        </w:rPr>
        <w:t xml:space="preserve">objetivo, la causal del literal M) exige que el objeto contractual </w:t>
      </w:r>
      <w:r w:rsidRPr="04CAD13D" w:rsidR="009141EF">
        <w:rPr>
          <w:rFonts w:ascii="Century Gothic" w:hAnsi="Century Gothic" w:cs="Arial"/>
          <w:color w:val="000000" w:themeColor="text1" w:themeTint="FF" w:themeShade="FF"/>
        </w:rPr>
        <w:t xml:space="preserve"> esté relacionado con el </w:t>
      </w:r>
      <w:r w:rsidRPr="04CAD13D" w:rsidR="009141EF">
        <w:rPr>
          <w:rFonts w:ascii="Century Gothic" w:hAnsi="Century Gothic" w:cs="Arial"/>
          <w:i w:val="1"/>
          <w:iCs w:val="1"/>
          <w:color w:val="000000" w:themeColor="text1" w:themeTint="FF" w:themeShade="FF"/>
        </w:rPr>
        <w:t>fortalecimiento del gobierno propio</w:t>
      </w:r>
      <w:r w:rsidRPr="04CAD13D" w:rsidR="009141EF">
        <w:rPr>
          <w:rFonts w:ascii="Century Gothic" w:hAnsi="Century Gothic" w:cs="Arial"/>
          <w:color w:val="000000" w:themeColor="text1" w:themeTint="FF" w:themeShade="FF"/>
        </w:rPr>
        <w:t xml:space="preserve">, la </w:t>
      </w:r>
      <w:r w:rsidRPr="04CAD13D" w:rsidR="009141EF">
        <w:rPr>
          <w:rFonts w:ascii="Century Gothic" w:hAnsi="Century Gothic" w:cs="Arial"/>
          <w:i w:val="1"/>
          <w:iCs w:val="1"/>
          <w:color w:val="000000" w:themeColor="text1" w:themeTint="FF" w:themeShade="FF"/>
        </w:rPr>
        <w:t>identidad étnica y cultural</w:t>
      </w:r>
      <w:r w:rsidRPr="04CAD13D" w:rsidR="009141EF">
        <w:rPr>
          <w:rFonts w:ascii="Century Gothic" w:hAnsi="Century Gothic" w:cs="Arial"/>
          <w:color w:val="000000" w:themeColor="text1" w:themeTint="FF" w:themeShade="FF"/>
        </w:rPr>
        <w:t xml:space="preserve">, el ejercicio de la autonomía, y/o la garantía </w:t>
      </w:r>
      <w:r w:rsidRPr="04CAD13D" w:rsidR="009141EF">
        <w:rPr>
          <w:rFonts w:ascii="Century Gothic" w:hAnsi="Century Gothic" w:cs="Arial"/>
          <w:i w:val="1"/>
          <w:iCs w:val="1"/>
          <w:color w:val="000000" w:themeColor="text1" w:themeTint="FF" w:themeShade="FF"/>
        </w:rPr>
        <w:t>de los derechos de los pueblos de las mismas comunidades</w:t>
      </w:r>
      <w:r w:rsidRPr="04CAD13D" w:rsidR="006E1C96">
        <w:rPr>
          <w:rFonts w:ascii="Century Gothic" w:hAnsi="Century Gothic" w:cs="Arial"/>
          <w:color w:val="000000" w:themeColor="text1" w:themeTint="FF" w:themeShade="FF"/>
        </w:rPr>
        <w:t xml:space="preserve">, mientras que el </w:t>
      </w:r>
      <w:r w:rsidRPr="04CAD13D" w:rsidR="00642910">
        <w:rPr>
          <w:rFonts w:ascii="Century Gothic" w:hAnsi="Century Gothic" w:cs="Arial"/>
          <w:color w:val="000000" w:themeColor="text1" w:themeTint="FF" w:themeShade="FF"/>
        </w:rPr>
        <w:t>literal</w:t>
      </w:r>
      <w:r w:rsidRPr="04CAD13D" w:rsidR="006E1C96">
        <w:rPr>
          <w:rFonts w:ascii="Century Gothic" w:hAnsi="Century Gothic" w:cs="Arial"/>
          <w:color w:val="000000" w:themeColor="text1" w:themeTint="FF" w:themeShade="FF"/>
        </w:rPr>
        <w:t xml:space="preserve"> N) requiere que el objeto </w:t>
      </w:r>
      <w:r w:rsidRPr="04CAD13D" w:rsidR="00224533">
        <w:rPr>
          <w:rFonts w:ascii="Century Gothic" w:hAnsi="Century Gothic" w:cs="Arial"/>
          <w:color w:val="000000" w:themeColor="text1" w:themeTint="FF" w:themeShade="FF"/>
        </w:rPr>
        <w:t xml:space="preserve"> </w:t>
      </w:r>
      <w:r w:rsidRPr="04CAD13D" w:rsidR="00642910">
        <w:rPr>
          <w:rFonts w:ascii="Century Gothic" w:hAnsi="Century Gothic" w:cs="Arial"/>
          <w:color w:val="000000" w:themeColor="text1" w:themeTint="FF" w:themeShade="FF"/>
        </w:rPr>
        <w:t>es</w:t>
      </w:r>
      <w:r w:rsidRPr="04CAD13D" w:rsidR="00ED3B18">
        <w:rPr>
          <w:rFonts w:ascii="Century Gothic" w:hAnsi="Century Gothic" w:cs="Arial"/>
          <w:color w:val="000000" w:themeColor="text1" w:themeTint="FF" w:themeShade="FF"/>
        </w:rPr>
        <w:t xml:space="preserve">té asociado al </w:t>
      </w:r>
      <w:r w:rsidRPr="04CAD13D" w:rsidR="00224533">
        <w:rPr>
          <w:rFonts w:ascii="Century Gothic" w:hAnsi="Century Gothic" w:cs="Arial"/>
          <w:i w:val="1"/>
          <w:iCs w:val="1"/>
          <w:color w:val="000000" w:themeColor="text1" w:themeTint="FF" w:themeShade="FF"/>
        </w:rPr>
        <w:t>fortalecimiento de sus organizaciones</w:t>
      </w:r>
      <w:r w:rsidRPr="04CAD13D" w:rsidR="00224533">
        <w:rPr>
          <w:rFonts w:ascii="Century Gothic" w:hAnsi="Century Gothic" w:cs="Arial"/>
          <w:color w:val="000000" w:themeColor="text1" w:themeTint="FF" w:themeShade="FF"/>
        </w:rPr>
        <w:t xml:space="preserve">, la </w:t>
      </w:r>
      <w:r w:rsidRPr="04CAD13D" w:rsidR="00224533">
        <w:rPr>
          <w:rFonts w:ascii="Century Gothic" w:hAnsi="Century Gothic" w:cs="Arial"/>
          <w:i w:val="1"/>
          <w:iCs w:val="1"/>
          <w:color w:val="000000" w:themeColor="text1" w:themeTint="FF" w:themeShade="FF"/>
        </w:rPr>
        <w:t>identidad étnica y cultural</w:t>
      </w:r>
      <w:r w:rsidRPr="04CAD13D" w:rsidR="00224533">
        <w:rPr>
          <w:rFonts w:ascii="Century Gothic" w:hAnsi="Century Gothic" w:cs="Arial"/>
          <w:color w:val="000000" w:themeColor="text1" w:themeTint="FF" w:themeShade="FF"/>
        </w:rPr>
        <w:t xml:space="preserve">, y/o la </w:t>
      </w:r>
      <w:r w:rsidRPr="04CAD13D" w:rsidR="00224533">
        <w:rPr>
          <w:rFonts w:ascii="Century Gothic" w:hAnsi="Century Gothic" w:cs="Arial"/>
          <w:i w:val="1"/>
          <w:iCs w:val="1"/>
          <w:color w:val="000000" w:themeColor="text1" w:themeTint="FF" w:themeShade="FF"/>
        </w:rPr>
        <w:t>garantía de los derechos de las poblaciones de las mismas organizaciones</w:t>
      </w:r>
      <w:r w:rsidRPr="04CAD13D" w:rsidR="00224533">
        <w:rPr>
          <w:rFonts w:ascii="Century Gothic" w:hAnsi="Century Gothic" w:cs="Arial"/>
          <w:color w:val="000000" w:themeColor="text1" w:themeTint="FF" w:themeShade="FF"/>
        </w:rPr>
        <w:t>.</w:t>
      </w:r>
      <w:r w:rsidRPr="04CAD13D" w:rsidR="00F34E15">
        <w:rPr>
          <w:rFonts w:ascii="Century Gothic" w:hAnsi="Century Gothic" w:cs="Arial"/>
          <w:color w:val="000000" w:themeColor="text1" w:themeTint="FF" w:themeShade="FF"/>
        </w:rPr>
        <w:t xml:space="preserve"> En ese sentido, ambas causales </w:t>
      </w:r>
      <w:r w:rsidRPr="04CAD13D" w:rsidR="00C833CF">
        <w:rPr>
          <w:rFonts w:ascii="Century Gothic" w:hAnsi="Century Gothic" w:cs="Arial"/>
          <w:color w:val="000000" w:themeColor="text1" w:themeTint="FF" w:themeShade="FF"/>
        </w:rPr>
        <w:t xml:space="preserve">coinciden en las finalidades que persiguen </w:t>
      </w:r>
      <w:r w:rsidRPr="04CAD13D" w:rsidR="00102874">
        <w:rPr>
          <w:rFonts w:ascii="Century Gothic" w:hAnsi="Century Gothic" w:cs="Arial"/>
          <w:color w:val="000000" w:themeColor="text1" w:themeTint="FF" w:themeShade="FF"/>
        </w:rPr>
        <w:t>en cuanto a</w:t>
      </w:r>
      <w:r w:rsidRPr="04CAD13D" w:rsidR="004037E2">
        <w:rPr>
          <w:rFonts w:ascii="Century Gothic" w:hAnsi="Century Gothic" w:cs="Arial"/>
          <w:color w:val="000000" w:themeColor="text1" w:themeTint="FF" w:themeShade="FF"/>
        </w:rPr>
        <w:t>l fortalecimiento de los entes representat</w:t>
      </w:r>
      <w:r w:rsidRPr="04CAD13D" w:rsidR="00A42387">
        <w:rPr>
          <w:rFonts w:ascii="Century Gothic" w:hAnsi="Century Gothic" w:cs="Arial"/>
          <w:color w:val="000000" w:themeColor="text1" w:themeTint="FF" w:themeShade="FF"/>
        </w:rPr>
        <w:t xml:space="preserve">ivos, la protección de la identidad </w:t>
      </w:r>
      <w:r w:rsidRPr="04CAD13D" w:rsidR="00CB3E53">
        <w:rPr>
          <w:rFonts w:ascii="Century Gothic" w:hAnsi="Century Gothic" w:cs="Arial"/>
          <w:color w:val="000000" w:themeColor="text1" w:themeTint="FF" w:themeShade="FF"/>
        </w:rPr>
        <w:t xml:space="preserve">étnica </w:t>
      </w:r>
      <w:r w:rsidRPr="04CAD13D" w:rsidR="00A42387">
        <w:rPr>
          <w:rFonts w:ascii="Century Gothic" w:hAnsi="Century Gothic" w:cs="Arial"/>
          <w:color w:val="000000" w:themeColor="text1" w:themeTint="FF" w:themeShade="FF"/>
        </w:rPr>
        <w:t>cultural</w:t>
      </w:r>
      <w:r w:rsidRPr="04CAD13D" w:rsidR="00DC3D11">
        <w:rPr>
          <w:rFonts w:ascii="Century Gothic" w:hAnsi="Century Gothic" w:cs="Arial"/>
          <w:color w:val="000000" w:themeColor="text1" w:themeTint="FF" w:themeShade="FF"/>
        </w:rPr>
        <w:t xml:space="preserve"> y la garantía de los derechos de </w:t>
      </w:r>
      <w:r w:rsidRPr="04CAD13D" w:rsidR="08E33CA4">
        <w:rPr>
          <w:rFonts w:ascii="Century Gothic" w:hAnsi="Century Gothic" w:cs="Arial"/>
          <w:color w:val="000000" w:themeColor="text1" w:themeTint="FF" w:themeShade="FF"/>
        </w:rPr>
        <w:t>las personas pertenecientes</w:t>
      </w:r>
      <w:r w:rsidRPr="04CAD13D" w:rsidR="00897ED7">
        <w:rPr>
          <w:rFonts w:ascii="Century Gothic" w:hAnsi="Century Gothic" w:cs="Arial"/>
          <w:color w:val="000000" w:themeColor="text1" w:themeTint="FF" w:themeShade="FF"/>
        </w:rPr>
        <w:t xml:space="preserve"> a comunidades</w:t>
      </w:r>
      <w:r w:rsidRPr="04CAD13D" w:rsidR="00984810">
        <w:rPr>
          <w:rFonts w:ascii="Century Gothic" w:hAnsi="Century Gothic" w:cs="Arial"/>
          <w:color w:val="000000" w:themeColor="text1" w:themeTint="FF" w:themeShade="FF"/>
        </w:rPr>
        <w:t xml:space="preserve"> </w:t>
      </w:r>
      <w:r w:rsidRPr="04CAD13D" w:rsidR="00DD5CE5">
        <w:rPr>
          <w:rFonts w:ascii="Century Gothic" w:hAnsi="Century Gothic" w:cs="Arial"/>
          <w:color w:val="000000" w:themeColor="text1" w:themeTint="FF" w:themeShade="FF"/>
        </w:rPr>
        <w:t>negra</w:t>
      </w:r>
      <w:r w:rsidRPr="04CAD13D" w:rsidR="00897ED7">
        <w:rPr>
          <w:rFonts w:ascii="Century Gothic" w:hAnsi="Century Gothic" w:cs="Arial"/>
          <w:color w:val="000000" w:themeColor="text1" w:themeTint="FF" w:themeShade="FF"/>
        </w:rPr>
        <w:t>s</w:t>
      </w:r>
      <w:r w:rsidRPr="04CAD13D" w:rsidR="00DD5CE5">
        <w:rPr>
          <w:rFonts w:ascii="Century Gothic" w:hAnsi="Century Gothic" w:cs="Arial"/>
          <w:color w:val="000000" w:themeColor="text1" w:themeTint="FF" w:themeShade="FF"/>
        </w:rPr>
        <w:t>, afrodescendientes</w:t>
      </w:r>
      <w:r w:rsidRPr="04CAD13D" w:rsidR="00897ED7">
        <w:rPr>
          <w:rFonts w:ascii="Century Gothic" w:hAnsi="Century Gothic" w:cs="Arial"/>
          <w:color w:val="000000" w:themeColor="text1" w:themeTint="FF" w:themeShade="FF"/>
        </w:rPr>
        <w:t xml:space="preserve">, raizales o palenqueras. </w:t>
      </w:r>
      <w:r w:rsidRPr="04CAD13D" w:rsidR="006020BE">
        <w:rPr>
          <w:rFonts w:ascii="Century Gothic" w:hAnsi="Century Gothic" w:cs="Arial"/>
          <w:color w:val="000000" w:themeColor="text1" w:themeTint="FF" w:themeShade="FF"/>
        </w:rPr>
        <w:t xml:space="preserve">Al incluir estas finalidades en esta disposición normativa, </w:t>
      </w:r>
      <w:r w:rsidRPr="04CAD13D" w:rsidR="00CE68DD">
        <w:rPr>
          <w:rFonts w:ascii="Century Gothic" w:hAnsi="Century Gothic" w:cs="Arial"/>
          <w:color w:val="000000" w:themeColor="text1" w:themeTint="FF" w:themeShade="FF"/>
        </w:rPr>
        <w:t xml:space="preserve">el </w:t>
      </w:r>
      <w:r w:rsidRPr="04CAD13D" w:rsidR="00470BB0">
        <w:rPr>
          <w:rFonts w:ascii="Century Gothic" w:hAnsi="Century Gothic" w:cs="Arial"/>
          <w:color w:val="000000" w:themeColor="text1" w:themeTint="FF" w:themeShade="FF"/>
        </w:rPr>
        <w:t>legislador acotó el ámbito de la</w:t>
      </w:r>
      <w:r w:rsidRPr="04CAD13D" w:rsidR="00162308">
        <w:rPr>
          <w:rFonts w:ascii="Century Gothic" w:hAnsi="Century Gothic" w:cs="Arial"/>
          <w:color w:val="000000" w:themeColor="text1" w:themeTint="FF" w:themeShade="FF"/>
        </w:rPr>
        <w:t>s</w:t>
      </w:r>
      <w:r w:rsidRPr="04CAD13D" w:rsidR="00470BB0">
        <w:rPr>
          <w:rFonts w:ascii="Century Gothic" w:hAnsi="Century Gothic" w:cs="Arial"/>
          <w:color w:val="000000" w:themeColor="text1" w:themeTint="FF" w:themeShade="FF"/>
        </w:rPr>
        <w:t xml:space="preserve"> causal</w:t>
      </w:r>
      <w:r w:rsidRPr="04CAD13D" w:rsidR="00162308">
        <w:rPr>
          <w:rFonts w:ascii="Century Gothic" w:hAnsi="Century Gothic" w:cs="Arial"/>
          <w:color w:val="000000" w:themeColor="text1" w:themeTint="FF" w:themeShade="FF"/>
        </w:rPr>
        <w:t>es</w:t>
      </w:r>
      <w:r w:rsidRPr="04CAD13D" w:rsidR="00470BB0">
        <w:rPr>
          <w:rFonts w:ascii="Century Gothic" w:hAnsi="Century Gothic" w:cs="Arial"/>
          <w:color w:val="000000" w:themeColor="text1" w:themeTint="FF" w:themeShade="FF"/>
        </w:rPr>
        <w:t xml:space="preserve"> </w:t>
      </w:r>
      <w:r w:rsidRPr="04CAD13D" w:rsidR="0001112F">
        <w:rPr>
          <w:rFonts w:ascii="Century Gothic" w:hAnsi="Century Gothic" w:cs="Arial"/>
          <w:color w:val="000000" w:themeColor="text1" w:themeTint="FF" w:themeShade="FF"/>
        </w:rPr>
        <w:t>restringi</w:t>
      </w:r>
      <w:r w:rsidRPr="04CAD13D" w:rsidR="00830741">
        <w:rPr>
          <w:rFonts w:ascii="Century Gothic" w:hAnsi="Century Gothic" w:cs="Arial"/>
          <w:color w:val="000000" w:themeColor="text1" w:themeTint="FF" w:themeShade="FF"/>
        </w:rPr>
        <w:t>endo</w:t>
      </w:r>
      <w:r w:rsidRPr="04CAD13D" w:rsidR="0001112F">
        <w:rPr>
          <w:rFonts w:ascii="Century Gothic" w:hAnsi="Century Gothic" w:cs="Arial"/>
          <w:color w:val="000000" w:themeColor="text1" w:themeTint="FF" w:themeShade="FF"/>
        </w:rPr>
        <w:t xml:space="preserve"> su aplicación </w:t>
      </w:r>
      <w:r w:rsidRPr="04CAD13D" w:rsidR="00830741">
        <w:rPr>
          <w:rFonts w:ascii="Century Gothic" w:hAnsi="Century Gothic" w:cs="Arial"/>
          <w:color w:val="000000" w:themeColor="text1" w:themeTint="FF" w:themeShade="FF"/>
        </w:rPr>
        <w:t xml:space="preserve">a </w:t>
      </w:r>
      <w:r w:rsidRPr="04CAD13D" w:rsidR="0001112F">
        <w:rPr>
          <w:rFonts w:ascii="Century Gothic" w:hAnsi="Century Gothic" w:cs="Arial"/>
          <w:color w:val="000000" w:themeColor="text1" w:themeTint="FF" w:themeShade="FF"/>
        </w:rPr>
        <w:t>aquello</w:t>
      </w:r>
      <w:r w:rsidRPr="04CAD13D" w:rsidR="00830741">
        <w:rPr>
          <w:rFonts w:ascii="Century Gothic" w:hAnsi="Century Gothic" w:cs="Arial"/>
          <w:color w:val="000000" w:themeColor="text1" w:themeTint="FF" w:themeShade="FF"/>
        </w:rPr>
        <w:t>s</w:t>
      </w:r>
      <w:r w:rsidRPr="04CAD13D" w:rsidR="00CE68DD">
        <w:rPr>
          <w:rFonts w:ascii="Century Gothic" w:hAnsi="Century Gothic" w:cs="Arial"/>
          <w:color w:val="000000" w:themeColor="text1" w:themeTint="FF" w:themeShade="FF"/>
        </w:rPr>
        <w:t xml:space="preserve"> </w:t>
      </w:r>
      <w:r w:rsidRPr="04CAD13D" w:rsidR="00830741">
        <w:rPr>
          <w:rFonts w:ascii="Century Gothic" w:hAnsi="Century Gothic" w:cs="Arial"/>
          <w:color w:val="000000" w:themeColor="text1" w:themeTint="FF" w:themeShade="FF"/>
        </w:rPr>
        <w:t xml:space="preserve">que tengan </w:t>
      </w:r>
      <w:r w:rsidRPr="04CAD13D" w:rsidR="00D87CFF">
        <w:rPr>
          <w:rFonts w:ascii="Century Gothic" w:hAnsi="Century Gothic" w:cs="Arial"/>
          <w:color w:val="000000" w:themeColor="text1" w:themeTint="FF" w:themeShade="FF"/>
        </w:rPr>
        <w:t>una relación con determinados elementos culturales</w:t>
      </w:r>
      <w:r w:rsidRPr="04CAD13D" w:rsidR="005816BD">
        <w:rPr>
          <w:rFonts w:ascii="Century Gothic" w:hAnsi="Century Gothic" w:cs="Arial"/>
          <w:color w:val="000000" w:themeColor="text1" w:themeTint="FF" w:themeShade="FF"/>
        </w:rPr>
        <w:t xml:space="preserve"> y prestacionales </w:t>
      </w:r>
      <w:r w:rsidRPr="04CAD13D" w:rsidR="00A47D05">
        <w:rPr>
          <w:rFonts w:ascii="Century Gothic" w:hAnsi="Century Gothic" w:cs="Arial"/>
          <w:color w:val="000000" w:themeColor="text1" w:themeTint="FF" w:themeShade="FF"/>
        </w:rPr>
        <w:t>que encuentran su fundamento</w:t>
      </w:r>
      <w:r w:rsidRPr="04CAD13D" w:rsidR="00EA2998">
        <w:rPr>
          <w:rFonts w:ascii="Century Gothic" w:hAnsi="Century Gothic" w:cs="Arial"/>
          <w:color w:val="000000" w:themeColor="text1" w:themeTint="FF" w:themeShade="FF"/>
        </w:rPr>
        <w:t xml:space="preserve"> dentro de la protección jurídica particular de la que son objeto los pueblos étnicos.  </w:t>
      </w:r>
      <w:r w:rsidRPr="04CAD13D" w:rsidR="005816BD">
        <w:rPr>
          <w:rFonts w:ascii="Century Gothic" w:hAnsi="Century Gothic" w:cs="Arial"/>
          <w:color w:val="000000" w:themeColor="text1" w:themeTint="FF" w:themeShade="FF"/>
        </w:rPr>
        <w:t xml:space="preserve"> </w:t>
      </w:r>
      <w:r w:rsidRPr="04CAD13D" w:rsidR="00166E96">
        <w:rPr>
          <w:rFonts w:ascii="Century Gothic" w:hAnsi="Century Gothic" w:cs="Arial"/>
          <w:color w:val="000000" w:themeColor="text1" w:themeTint="FF" w:themeShade="FF"/>
        </w:rPr>
        <w:t xml:space="preserve">  </w:t>
      </w:r>
    </w:p>
    <w:p w:rsidRPr="001A0A60" w:rsidR="00F15E45" w:rsidP="04CAD13D" w:rsidRDefault="00166E96" w14:paraId="1036E4CD" w14:textId="23988FEF">
      <w:pPr>
        <w:spacing w:after="120" w:line="276" w:lineRule="auto"/>
        <w:ind w:firstLine="708"/>
        <w:jc w:val="both"/>
        <w:rPr>
          <w:rFonts w:ascii="Century Gothic" w:hAnsi="Century Gothic" w:eastAsia="Arial" w:cs="Arial"/>
          <w:lang w:val="es-ES" w:eastAsia="es-ES"/>
        </w:rPr>
      </w:pPr>
      <w:r w:rsidRPr="001A0A60" w:rsidR="00166E96">
        <w:rPr>
          <w:rFonts w:ascii="Century Gothic" w:hAnsi="Century Gothic" w:cs="Arial"/>
          <w:color w:val="000000"/>
        </w:rPr>
        <w:t xml:space="preserve">Para estos </w:t>
      </w:r>
      <w:r w:rsidRPr="001A0A60" w:rsidR="2A2F0784">
        <w:rPr>
          <w:rFonts w:ascii="Century Gothic" w:hAnsi="Century Gothic" w:cs="Arial"/>
          <w:color w:val="000000"/>
        </w:rPr>
        <w:t xml:space="preserve">efectos, la</w:t>
      </w:r>
      <w:r w:rsidRPr="001A0A60" w:rsidR="003104A1">
        <w:rPr>
          <w:rFonts w:ascii="Century Gothic" w:hAnsi="Century Gothic" w:cs="Arial"/>
          <w:color w:val="000000"/>
        </w:rPr>
        <w:t xml:space="preserve"> </w:t>
      </w:r>
      <w:r w:rsidRPr="04CAD13D" w:rsidR="003104A1">
        <w:rPr>
          <w:rFonts w:ascii="Century Gothic" w:hAnsi="Century Gothic" w:cs="Arial"/>
          <w:i w:val="1"/>
          <w:iCs w:val="1"/>
          <w:color w:val="000000"/>
        </w:rPr>
        <w:t>autonomía</w:t>
      </w:r>
      <w:r w:rsidRPr="001A0A60" w:rsidR="003104A1">
        <w:rPr>
          <w:rFonts w:ascii="Century Gothic" w:hAnsi="Century Gothic" w:cs="Arial"/>
          <w:color w:val="000000"/>
        </w:rPr>
        <w:t>, el</w:t>
      </w:r>
      <w:r w:rsidRPr="001A0A60" w:rsidR="00667184">
        <w:rPr>
          <w:rFonts w:ascii="Century Gothic" w:hAnsi="Century Gothic" w:cs="Arial"/>
          <w:color w:val="000000"/>
        </w:rPr>
        <w:t xml:space="preserve"> </w:t>
      </w:r>
      <w:r w:rsidRPr="04CAD13D" w:rsidR="002F2167">
        <w:rPr>
          <w:rFonts w:ascii="Century Gothic" w:hAnsi="Century Gothic" w:cs="Arial"/>
          <w:i w:val="1"/>
          <w:iCs w:val="1"/>
          <w:lang w:val="es-ES"/>
        </w:rPr>
        <w:t>gobierno propio</w:t>
      </w:r>
      <w:r w:rsidRPr="001A0A60" w:rsidR="003104A1">
        <w:rPr>
          <w:rFonts w:ascii="Century Gothic" w:hAnsi="Century Gothic" w:cs="Arial"/>
          <w:lang w:val="es-ES"/>
        </w:rPr>
        <w:t xml:space="preserve">, </w:t>
      </w:r>
      <w:r w:rsidRPr="001A0A60" w:rsidR="00AA2B11">
        <w:rPr>
          <w:rFonts w:ascii="Century Gothic" w:hAnsi="Century Gothic" w:cs="Arial"/>
          <w:lang w:val="es-ES"/>
        </w:rPr>
        <w:t xml:space="preserve">la </w:t>
      </w:r>
      <w:r w:rsidRPr="04CAD13D" w:rsidR="002F2167">
        <w:rPr>
          <w:rFonts w:ascii="Century Gothic" w:hAnsi="Century Gothic" w:cs="Arial"/>
          <w:i w:val="1"/>
          <w:iCs w:val="1"/>
          <w:lang w:val="es-ES"/>
        </w:rPr>
        <w:t>identidad cultural</w:t>
      </w:r>
      <w:r w:rsidRPr="001A0A60" w:rsidR="002F2167">
        <w:rPr>
          <w:rFonts w:ascii="Century Gothic" w:hAnsi="Century Gothic" w:cs="Arial"/>
          <w:lang w:val="es-ES"/>
        </w:rPr>
        <w:t xml:space="preserve">, </w:t>
      </w:r>
      <w:r w:rsidRPr="04CAD13D" w:rsidR="002F2167">
        <w:rPr>
          <w:rFonts w:ascii="Century Gothic" w:hAnsi="Century Gothic" w:cs="Arial"/>
          <w:i w:val="1"/>
          <w:iCs w:val="1"/>
          <w:lang w:val="es-ES"/>
        </w:rPr>
        <w:t>y la garantía de los derechos</w:t>
      </w:r>
      <w:r w:rsidRPr="04CAD13D" w:rsidR="002F2167">
        <w:rPr>
          <w:rFonts w:ascii="Century Gothic" w:hAnsi="Century Gothic" w:cs="Arial"/>
          <w:i w:val="1"/>
          <w:iCs w:val="1"/>
          <w:lang w:val="es-ES"/>
        </w:rPr>
        <w:t xml:space="preserve"> </w:t>
      </w:r>
      <w:r w:rsidRPr="001A0A60" w:rsidR="002F2167">
        <w:rPr>
          <w:rFonts w:ascii="Century Gothic" w:hAnsi="Century Gothic" w:cs="Arial"/>
          <w:lang w:val="es-ES"/>
        </w:rPr>
        <w:t>de las</w:t>
      </w:r>
      <w:r w:rsidRPr="04CAD13D" w:rsidR="002F2167">
        <w:rPr>
          <w:rFonts w:ascii="Century Gothic" w:hAnsi="Century Gothic" w:cs="Arial"/>
          <w:i w:val="1"/>
          <w:iCs w:val="1"/>
          <w:lang w:val="es-ES"/>
        </w:rPr>
        <w:t xml:space="preserve"> comunidades</w:t>
      </w:r>
      <w:r w:rsidRPr="001A0A60" w:rsidR="002F2167">
        <w:rPr>
          <w:rFonts w:ascii="Century Gothic" w:hAnsi="Century Gothic" w:cs="Arial"/>
          <w:color w:val="000000"/>
        </w:rPr>
        <w:t xml:space="preserve">, se ofrecen como un conjunto de </w:t>
      </w:r>
      <w:r w:rsidRPr="04CAD13D" w:rsidR="000A3A4D">
        <w:rPr>
          <w:rFonts w:ascii="Century Gothic" w:hAnsi="Century Gothic" w:eastAsia="Calibri" w:cs="Arial"/>
          <w:lang w:val="es-ES" w:eastAsia="es-ES"/>
        </w:rPr>
        <w:t>concepto</w:t>
      </w:r>
      <w:r w:rsidRPr="04CAD13D" w:rsidR="002F2167">
        <w:rPr>
          <w:rFonts w:ascii="Century Gothic" w:hAnsi="Century Gothic" w:eastAsia="Calibri" w:cs="Arial"/>
          <w:lang w:val="es-ES" w:eastAsia="es-ES"/>
        </w:rPr>
        <w:t>s</w:t>
      </w:r>
      <w:r w:rsidRPr="04CAD13D" w:rsidR="000A3A4D">
        <w:rPr>
          <w:rFonts w:ascii="Century Gothic" w:hAnsi="Century Gothic" w:eastAsia="Calibri" w:cs="Arial"/>
          <w:lang w:val="es-ES" w:eastAsia="es-ES"/>
        </w:rPr>
        <w:t xml:space="preserve"> jurídico</w:t>
      </w:r>
      <w:r w:rsidRPr="04CAD13D" w:rsidR="002F2167">
        <w:rPr>
          <w:rFonts w:ascii="Century Gothic" w:hAnsi="Century Gothic" w:eastAsia="Calibri" w:cs="Arial"/>
          <w:lang w:val="es-ES" w:eastAsia="es-ES"/>
        </w:rPr>
        <w:t>s</w:t>
      </w:r>
      <w:r w:rsidRPr="04CAD13D" w:rsidR="000A3A4D">
        <w:rPr>
          <w:rFonts w:ascii="Century Gothic" w:hAnsi="Century Gothic" w:eastAsia="Calibri" w:cs="Arial"/>
          <w:lang w:val="es-ES" w:eastAsia="es-ES"/>
        </w:rPr>
        <w:t xml:space="preserve"> indeterminado</w:t>
      </w:r>
      <w:r w:rsidRPr="04CAD13D" w:rsidR="002F2167">
        <w:rPr>
          <w:rFonts w:ascii="Century Gothic" w:hAnsi="Century Gothic" w:eastAsia="Calibri" w:cs="Arial"/>
          <w:lang w:val="es-ES" w:eastAsia="es-ES"/>
        </w:rPr>
        <w:t>s</w:t>
      </w:r>
      <w:r w:rsidRPr="04CAD13D" w:rsidR="000A3A4D">
        <w:rPr>
          <w:rFonts w:ascii="Century Gothic" w:hAnsi="Century Gothic" w:eastAsia="Calibri" w:cs="Arial"/>
          <w:vertAlign w:val="superscript"/>
          <w:lang w:eastAsia="es-ES"/>
        </w:rPr>
        <w:footnoteReference w:id="13"/>
      </w:r>
      <w:bookmarkStart w:name="_Hlk101520187" w:id="7"/>
      <w:r w:rsidRPr="001A0A60" w:rsidR="00F82972">
        <w:rPr>
          <w:rFonts w:ascii="Century Gothic" w:hAnsi="Century Gothic" w:cs="Arial"/>
          <w:lang w:val="es-ES"/>
        </w:rPr>
        <w:t xml:space="preserve">. </w:t>
      </w:r>
      <w:r w:rsidRPr="04CAD13D" w:rsidR="00F82972">
        <w:rPr>
          <w:rFonts w:ascii="Century Gothic" w:hAnsi="Century Gothic" w:eastAsia="Arial" w:cs="Arial"/>
          <w:lang w:val="es-ES" w:eastAsia="es-ES"/>
        </w:rPr>
        <w:t>Un concepto adquiere esta denominación en el Derecho cuando se trata de un enunciado que goza de vaguedad y que debe materializarse en cada caso, atendiendo a las técnicas de la interpretación jurídica.</w:t>
      </w:r>
      <w:r w:rsidRPr="04CAD13D" w:rsidR="00C82C07">
        <w:rPr>
          <w:rFonts w:ascii="Century Gothic" w:hAnsi="Century Gothic" w:eastAsia="Arial" w:cs="Arial"/>
          <w:lang w:val="es-ES" w:eastAsia="es-ES"/>
        </w:rPr>
        <w:t xml:space="preserve"> </w:t>
      </w:r>
      <w:r w:rsidRPr="04CAD13D" w:rsidR="00F82972">
        <w:rPr>
          <w:rFonts w:ascii="Century Gothic" w:hAnsi="Century Gothic" w:eastAsia="Arial" w:cs="Arial"/>
          <w:lang w:val="es-ES" w:eastAsia="es-ES"/>
        </w:rPr>
        <w:t>La Corte Constitucional</w:t>
      </w:r>
      <w:r w:rsidRPr="04CAD13D" w:rsidR="00F82972">
        <w:rPr>
          <w:rFonts w:ascii="Century Gothic" w:hAnsi="Century Gothic" w:eastAsia="Arial" w:cs="Arial"/>
          <w:vertAlign w:val="superscript"/>
          <w:lang w:eastAsia="es-ES"/>
        </w:rPr>
        <w:footnoteReference w:id="14"/>
      </w:r>
      <w:r w:rsidRPr="04CAD13D" w:rsidR="00F82972">
        <w:rPr>
          <w:rFonts w:ascii="Century Gothic" w:hAnsi="Century Gothic" w:eastAsia="Arial" w:cs="Arial"/>
          <w:lang w:val="es-ES" w:eastAsia="es-ES"/>
        </w:rPr>
        <w:t xml:space="preserve">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4CAD13D" w:rsidR="00F82972">
        <w:rPr>
          <w:rFonts w:ascii="Arial" w:hAnsi="Arial" w:eastAsia="Arial" w:cs="Arial"/>
          <w:lang w:val="es-ES" w:eastAsia="es-ES"/>
        </w:rPr>
        <w:t>.</w:t>
      </w:r>
      <w:r w:rsidRPr="04CAD13D" w:rsidR="00EE375A">
        <w:rPr>
          <w:rFonts w:ascii="Arial" w:hAnsi="Arial" w:eastAsia="Arial" w:cs="Arial"/>
          <w:lang w:val="es-ES" w:eastAsia="es-ES"/>
        </w:rPr>
        <w:t xml:space="preserve"> </w:t>
      </w:r>
      <w:r w:rsidRPr="04CAD13D" w:rsidR="00D9273F">
        <w:rPr>
          <w:rFonts w:ascii="Century Gothic" w:hAnsi="Century Gothic" w:eastAsia="Arial" w:cs="Arial"/>
          <w:lang w:val="es-ES" w:eastAsia="es-ES"/>
        </w:rPr>
        <w:t>Sin embargo</w:t>
      </w:r>
      <w:r w:rsidRPr="04CAD13D" w:rsidR="00EE375A">
        <w:rPr>
          <w:rFonts w:ascii="Century Gothic" w:hAnsi="Century Gothic" w:eastAsia="Arial" w:cs="Arial"/>
          <w:lang w:val="es-ES" w:eastAsia="es-ES"/>
        </w:rPr>
        <w:t>,</w:t>
      </w:r>
      <w:r w:rsidRPr="04CAD13D" w:rsidR="00D9273F">
        <w:rPr>
          <w:rFonts w:ascii="Century Gothic" w:hAnsi="Century Gothic" w:eastAsia="Arial" w:cs="Arial"/>
          <w:lang w:val="es-ES" w:eastAsia="es-ES"/>
        </w:rPr>
        <w:t xml:space="preserve"> si bien</w:t>
      </w:r>
      <w:r w:rsidRPr="04CAD13D" w:rsidR="00EE375A">
        <w:rPr>
          <w:rFonts w:ascii="Century Gothic" w:hAnsi="Century Gothic" w:eastAsia="Arial" w:cs="Arial"/>
          <w:lang w:val="es-ES" w:eastAsia="es-ES"/>
        </w:rPr>
        <w:t xml:space="preserve"> se trata de concepto</w:t>
      </w:r>
      <w:r w:rsidRPr="04CAD13D" w:rsidR="00D9273F">
        <w:rPr>
          <w:rFonts w:ascii="Century Gothic" w:hAnsi="Century Gothic" w:eastAsia="Arial" w:cs="Arial"/>
          <w:lang w:val="es-ES" w:eastAsia="es-ES"/>
        </w:rPr>
        <w:t>s</w:t>
      </w:r>
      <w:r w:rsidRPr="04CAD13D" w:rsidR="00EE375A">
        <w:rPr>
          <w:rFonts w:ascii="Century Gothic" w:hAnsi="Century Gothic" w:eastAsia="Arial" w:cs="Arial"/>
          <w:lang w:val="es-ES" w:eastAsia="es-ES"/>
        </w:rPr>
        <w:t xml:space="preserve"> para cuya concreción las </w:t>
      </w:r>
      <w:r w:rsidRPr="04CAD13D" w:rsidR="00D9273F">
        <w:rPr>
          <w:rFonts w:ascii="Century Gothic" w:hAnsi="Century Gothic" w:eastAsia="Arial" w:cs="Arial"/>
          <w:lang w:val="es-ES" w:eastAsia="es-ES"/>
        </w:rPr>
        <w:t>E</w:t>
      </w:r>
      <w:r w:rsidRPr="04CAD13D" w:rsidR="00EE375A">
        <w:rPr>
          <w:rFonts w:ascii="Century Gothic" w:hAnsi="Century Gothic" w:eastAsia="Arial" w:cs="Arial"/>
          <w:lang w:val="es-ES" w:eastAsia="es-ES"/>
        </w:rPr>
        <w:t xml:space="preserve">ntidades </w:t>
      </w:r>
      <w:r w:rsidRPr="04CAD13D" w:rsidR="00D9273F">
        <w:rPr>
          <w:rFonts w:ascii="Century Gothic" w:hAnsi="Century Gothic" w:eastAsia="Arial" w:cs="Arial"/>
          <w:lang w:val="es-ES" w:eastAsia="es-ES"/>
        </w:rPr>
        <w:t>E</w:t>
      </w:r>
      <w:r w:rsidRPr="04CAD13D" w:rsidR="00EE375A">
        <w:rPr>
          <w:rFonts w:ascii="Century Gothic" w:hAnsi="Century Gothic" w:eastAsia="Arial" w:cs="Arial"/>
          <w:lang w:val="es-ES" w:eastAsia="es-ES"/>
        </w:rPr>
        <w:t xml:space="preserve">statales gozan de cierto margen de apreciación, </w:t>
      </w:r>
      <w:r w:rsidRPr="04CAD13D" w:rsidR="00872824">
        <w:rPr>
          <w:rFonts w:ascii="Century Gothic" w:hAnsi="Century Gothic" w:eastAsia="Arial" w:cs="Arial"/>
          <w:lang w:val="es-ES" w:eastAsia="es-ES"/>
        </w:rPr>
        <w:t>estas</w:t>
      </w:r>
      <w:r w:rsidRPr="04CAD13D" w:rsidR="00EE375A">
        <w:rPr>
          <w:rFonts w:ascii="Century Gothic" w:hAnsi="Century Gothic" w:eastAsia="Arial" w:cs="Arial"/>
          <w:lang w:val="es-ES" w:eastAsia="es-ES"/>
        </w:rPr>
        <w:t xml:space="preserve"> deben respetar los límites previstos en las normas de orden público</w:t>
      </w:r>
      <w:r w:rsidRPr="04CAD13D" w:rsidR="009C30BD">
        <w:rPr>
          <w:rFonts w:ascii="Century Gothic" w:hAnsi="Century Gothic" w:eastAsia="Arial" w:cs="Arial"/>
          <w:lang w:val="es-ES" w:eastAsia="es-ES"/>
        </w:rPr>
        <w:t xml:space="preserve"> y aplicar</w:t>
      </w:r>
      <w:r w:rsidRPr="04CAD13D" w:rsidR="00AC4EC7">
        <w:rPr>
          <w:rFonts w:ascii="Century Gothic" w:hAnsi="Century Gothic" w:eastAsia="Arial" w:cs="Arial"/>
          <w:lang w:val="es-ES" w:eastAsia="es-ES"/>
        </w:rPr>
        <w:t xml:space="preserve"> las disposiciones normativas</w:t>
      </w:r>
      <w:r w:rsidRPr="04CAD13D" w:rsidR="009C30BD">
        <w:rPr>
          <w:rFonts w:ascii="Century Gothic" w:hAnsi="Century Gothic" w:eastAsia="Arial" w:cs="Arial"/>
          <w:lang w:val="es-ES" w:eastAsia="es-ES"/>
        </w:rPr>
        <w:t xml:space="preserve"> </w:t>
      </w:r>
      <w:r w:rsidRPr="04CAD13D" w:rsidR="00FD37B4">
        <w:rPr>
          <w:rFonts w:ascii="Century Gothic" w:hAnsi="Century Gothic" w:eastAsia="Arial" w:cs="Arial"/>
          <w:lang w:val="es-ES" w:eastAsia="es-ES"/>
        </w:rPr>
        <w:t>que contienen conceptos jurídicos indeterminado</w:t>
      </w:r>
      <w:r w:rsidRPr="04CAD13D" w:rsidR="00F15E45">
        <w:rPr>
          <w:rFonts w:ascii="Century Gothic" w:hAnsi="Century Gothic" w:eastAsia="Arial" w:cs="Arial"/>
          <w:lang w:val="es-ES" w:eastAsia="es-ES"/>
        </w:rPr>
        <w:t>s</w:t>
      </w:r>
      <w:r w:rsidRPr="04CAD13D" w:rsidR="00FD37B4">
        <w:rPr>
          <w:rFonts w:ascii="Century Gothic" w:hAnsi="Century Gothic" w:eastAsia="Arial" w:cs="Arial"/>
          <w:lang w:val="es-ES" w:eastAsia="es-ES"/>
        </w:rPr>
        <w:t xml:space="preserve"> </w:t>
      </w:r>
      <w:r w:rsidRPr="04CAD13D" w:rsidR="00F15E45">
        <w:rPr>
          <w:rFonts w:ascii="Century Gothic" w:hAnsi="Century Gothic" w:eastAsia="Arial" w:cs="Arial"/>
          <w:lang w:val="es-ES" w:eastAsia="es-ES"/>
        </w:rPr>
        <w:t xml:space="preserve">de acuerdo con </w:t>
      </w:r>
      <w:r w:rsidRPr="04CAD13D" w:rsidR="00A13675">
        <w:rPr>
          <w:rFonts w:ascii="Century Gothic" w:hAnsi="Century Gothic" w:eastAsia="Arial" w:cs="Arial"/>
          <w:lang w:val="es-ES" w:eastAsia="es-ES"/>
        </w:rPr>
        <w:t>el marco constitucional</w:t>
      </w:r>
      <w:r w:rsidRPr="04CAD13D" w:rsidR="001E4F19">
        <w:rPr>
          <w:rFonts w:ascii="Century Gothic" w:hAnsi="Century Gothic" w:eastAsia="Arial" w:cs="Arial"/>
          <w:lang w:val="es-ES" w:eastAsia="es-ES"/>
        </w:rPr>
        <w:t xml:space="preserve"> </w:t>
      </w:r>
      <w:r w:rsidRPr="04CAD13D" w:rsidR="00AC4EC7">
        <w:rPr>
          <w:rFonts w:ascii="Century Gothic" w:hAnsi="Century Gothic" w:eastAsia="Arial" w:cs="Arial"/>
          <w:lang w:val="es-ES" w:eastAsia="es-ES"/>
        </w:rPr>
        <w:t>en el que se fundamentan</w:t>
      </w:r>
      <w:r w:rsidRPr="04CAD13D" w:rsidR="001E4F19">
        <w:rPr>
          <w:rFonts w:ascii="Century Gothic" w:hAnsi="Century Gothic" w:eastAsia="Arial" w:cs="Arial"/>
          <w:lang w:val="es-ES" w:eastAsia="es-ES"/>
        </w:rPr>
        <w:t xml:space="preserve">. </w:t>
      </w:r>
    </w:p>
    <w:p w:rsidRPr="001A0A60" w:rsidR="00BA2884" w:rsidP="00F15E45" w:rsidRDefault="00A05C36" w14:paraId="11EBF491" w14:textId="6C911C7A">
      <w:pPr>
        <w:spacing w:after="0" w:line="276" w:lineRule="auto"/>
        <w:ind w:firstLine="708"/>
        <w:jc w:val="both"/>
        <w:rPr>
          <w:rFonts w:ascii="Century Gothic" w:hAnsi="Century Gothic" w:eastAsia="Calibri" w:cs="Arial"/>
          <w:lang w:val="es-ES"/>
        </w:rPr>
      </w:pPr>
      <w:r w:rsidRPr="001A0A60">
        <w:rPr>
          <w:rFonts w:ascii="Century Gothic" w:hAnsi="Century Gothic" w:eastAsia="Arial" w:cs="Arial"/>
          <w:lang w:val="es-ES_tradnl" w:eastAsia="es-ES_tradnl"/>
        </w:rPr>
        <w:t xml:space="preserve">Respecto del tema objeto de estudio, es indispensable denotar que, </w:t>
      </w:r>
      <w:r w:rsidRPr="001A0A60" w:rsidR="00052E9A">
        <w:rPr>
          <w:rFonts w:ascii="Century Gothic" w:hAnsi="Century Gothic" w:eastAsia="Arial" w:cs="Arial"/>
          <w:lang w:val="es-ES_tradnl" w:eastAsia="es-ES_tradnl"/>
        </w:rPr>
        <w:t xml:space="preserve">dentro de </w:t>
      </w:r>
      <w:r w:rsidRPr="001A0A60" w:rsidR="00AE39E7">
        <w:rPr>
          <w:rFonts w:ascii="Century Gothic" w:hAnsi="Century Gothic" w:eastAsia="Arial" w:cs="Arial"/>
          <w:lang w:val="es-ES_tradnl" w:eastAsia="es-ES_tradnl"/>
        </w:rPr>
        <w:t>dicho</w:t>
      </w:r>
      <w:r w:rsidRPr="001A0A60" w:rsidR="00052E9A">
        <w:rPr>
          <w:rFonts w:ascii="Century Gothic" w:hAnsi="Century Gothic" w:eastAsia="Arial" w:cs="Arial"/>
          <w:lang w:val="es-ES_tradnl" w:eastAsia="es-ES_tradnl"/>
        </w:rPr>
        <w:t xml:space="preserve"> marco se encuentra la jurisprudencia de</w:t>
      </w:r>
      <w:r w:rsidRPr="00A65B02" w:rsidR="00FD5D77">
        <w:rPr>
          <w:rFonts w:ascii="Century Gothic" w:hAnsi="Century Gothic" w:eastAsia="Calibri" w:cs="Arial"/>
          <w:lang w:val="es-ES"/>
        </w:rPr>
        <w:t xml:space="preserve"> </w:t>
      </w:r>
      <w:r w:rsidRPr="001A0A60" w:rsidR="00B258D3">
        <w:rPr>
          <w:rFonts w:ascii="Century Gothic" w:hAnsi="Century Gothic" w:eastAsia="Calibri" w:cs="Arial"/>
          <w:lang w:val="es-ES"/>
        </w:rPr>
        <w:t>la</w:t>
      </w:r>
      <w:r w:rsidRPr="001A0A60" w:rsidR="00FD5D77">
        <w:rPr>
          <w:rFonts w:ascii="Century Gothic" w:hAnsi="Century Gothic" w:eastAsia="Calibri" w:cs="Arial"/>
          <w:lang w:val="es-ES"/>
        </w:rPr>
        <w:t xml:space="preserve"> </w:t>
      </w:r>
      <w:r w:rsidRPr="00A65B02" w:rsidR="00FD5D77">
        <w:rPr>
          <w:rFonts w:ascii="Century Gothic" w:hAnsi="Century Gothic" w:eastAsia="Calibri" w:cs="Arial"/>
          <w:lang w:val="es-ES"/>
        </w:rPr>
        <w:t xml:space="preserve">Corte Constitucional, </w:t>
      </w:r>
      <w:r w:rsidRPr="001A0A60" w:rsidR="002A3628">
        <w:rPr>
          <w:rFonts w:ascii="Century Gothic" w:hAnsi="Century Gothic" w:eastAsia="Calibri" w:cs="Arial"/>
          <w:lang w:val="es-ES"/>
        </w:rPr>
        <w:t>quien</w:t>
      </w:r>
      <w:r w:rsidRPr="001A0A60" w:rsidR="00363F8F">
        <w:rPr>
          <w:rFonts w:ascii="Century Gothic" w:hAnsi="Century Gothic" w:eastAsia="Calibri" w:cs="Arial"/>
          <w:lang w:val="es-ES"/>
        </w:rPr>
        <w:t xml:space="preserve"> </w:t>
      </w:r>
      <w:r w:rsidRPr="001A0A60" w:rsidR="00C971E9">
        <w:rPr>
          <w:rFonts w:ascii="Century Gothic" w:hAnsi="Century Gothic" w:eastAsia="Calibri" w:cs="Arial"/>
          <w:lang w:val="es-ES"/>
        </w:rPr>
        <w:t xml:space="preserve">se ha referido en múltiples ocasiones a </w:t>
      </w:r>
      <w:r w:rsidRPr="001A0A60" w:rsidR="00161870">
        <w:rPr>
          <w:rFonts w:ascii="Century Gothic" w:hAnsi="Century Gothic" w:eastAsia="Calibri" w:cs="Arial"/>
          <w:lang w:val="es-ES"/>
        </w:rPr>
        <w:t xml:space="preserve">los </w:t>
      </w:r>
      <w:r w:rsidRPr="001A0A60" w:rsidR="002A3628">
        <w:rPr>
          <w:rFonts w:ascii="Century Gothic" w:hAnsi="Century Gothic" w:eastAsia="Calibri" w:cs="Arial"/>
          <w:lang w:val="es-ES"/>
        </w:rPr>
        <w:t>mencionados</w:t>
      </w:r>
      <w:r w:rsidRPr="001A0A60" w:rsidR="00161870">
        <w:rPr>
          <w:rFonts w:ascii="Century Gothic" w:hAnsi="Century Gothic" w:eastAsia="Calibri" w:cs="Arial"/>
          <w:lang w:val="es-ES"/>
        </w:rPr>
        <w:t xml:space="preserve"> conceptos, al estudiar </w:t>
      </w:r>
      <w:r w:rsidRPr="001A0A60" w:rsidR="002A3628">
        <w:rPr>
          <w:rFonts w:ascii="Century Gothic" w:hAnsi="Century Gothic" w:eastAsia="Calibri" w:cs="Arial"/>
          <w:lang w:val="es-ES"/>
        </w:rPr>
        <w:t>diferentes</w:t>
      </w:r>
      <w:r w:rsidRPr="001A0A60" w:rsidR="00161870">
        <w:rPr>
          <w:rFonts w:ascii="Century Gothic" w:hAnsi="Century Gothic" w:eastAsia="Calibri" w:cs="Arial"/>
          <w:lang w:val="es-ES"/>
        </w:rPr>
        <w:t xml:space="preserve"> </w:t>
      </w:r>
      <w:r w:rsidRPr="001A0A60" w:rsidR="002A3628">
        <w:rPr>
          <w:rFonts w:ascii="Century Gothic" w:hAnsi="Century Gothic" w:eastAsia="Calibri" w:cs="Arial"/>
          <w:lang w:val="es-ES"/>
        </w:rPr>
        <w:t xml:space="preserve">asuntos relacionados con </w:t>
      </w:r>
      <w:r w:rsidRPr="001A0A60" w:rsidR="006376D3">
        <w:rPr>
          <w:rFonts w:ascii="Century Gothic" w:hAnsi="Century Gothic" w:eastAsia="Calibri" w:cs="Arial"/>
          <w:lang w:val="es-ES"/>
        </w:rPr>
        <w:t>los derechos de los pueblos negros, afrodescendientes, raizales y palenqueros</w:t>
      </w:r>
      <w:r w:rsidRPr="001A0A60" w:rsidR="00D37620">
        <w:rPr>
          <w:rFonts w:ascii="Century Gothic" w:hAnsi="Century Gothic" w:eastAsia="Calibri" w:cs="Arial"/>
          <w:lang w:val="es-ES"/>
        </w:rPr>
        <w:t xml:space="preserve">, </w:t>
      </w:r>
      <w:r w:rsidRPr="001A0A60" w:rsidR="00363F8F">
        <w:rPr>
          <w:rFonts w:ascii="Century Gothic" w:hAnsi="Century Gothic" w:eastAsia="Calibri" w:cs="Arial"/>
          <w:lang w:val="es-ES"/>
        </w:rPr>
        <w:t xml:space="preserve">dando a los </w:t>
      </w:r>
      <w:r w:rsidRPr="001A0A60" w:rsidR="00526D65">
        <w:rPr>
          <w:rFonts w:ascii="Century Gothic" w:hAnsi="Century Gothic" w:eastAsia="Calibri" w:cs="Arial"/>
          <w:lang w:val="es-ES"/>
        </w:rPr>
        <w:t xml:space="preserve">operadores de </w:t>
      </w:r>
      <w:r w:rsidRPr="001A0A60" w:rsidR="009A523E">
        <w:rPr>
          <w:rFonts w:ascii="Century Gothic" w:hAnsi="Century Gothic" w:eastAsia="Calibri" w:cs="Arial"/>
          <w:lang w:val="es-ES"/>
        </w:rPr>
        <w:t>las normas contractuales</w:t>
      </w:r>
      <w:r w:rsidRPr="001A0A60" w:rsidR="00526D65">
        <w:rPr>
          <w:rFonts w:ascii="Century Gothic" w:hAnsi="Century Gothic" w:eastAsia="Calibri" w:cs="Arial"/>
          <w:lang w:val="es-ES"/>
        </w:rPr>
        <w:t xml:space="preserve"> en comento</w:t>
      </w:r>
      <w:r w:rsidRPr="001A0A60" w:rsidR="00363F8F">
        <w:rPr>
          <w:rFonts w:ascii="Century Gothic" w:hAnsi="Century Gothic" w:eastAsia="Calibri" w:cs="Arial"/>
          <w:lang w:val="es-ES"/>
        </w:rPr>
        <w:t xml:space="preserve"> </w:t>
      </w:r>
      <w:r w:rsidRPr="001A0A60" w:rsidR="00526D65">
        <w:rPr>
          <w:rFonts w:ascii="Century Gothic" w:hAnsi="Century Gothic" w:eastAsia="Calibri" w:cs="Arial"/>
          <w:lang w:val="es-ES"/>
        </w:rPr>
        <w:t xml:space="preserve">unos </w:t>
      </w:r>
      <w:r w:rsidRPr="001A0A60" w:rsidR="00837951">
        <w:rPr>
          <w:rFonts w:ascii="Century Gothic" w:hAnsi="Century Gothic" w:eastAsia="Calibri" w:cs="Arial"/>
          <w:lang w:val="es-ES"/>
        </w:rPr>
        <w:t>elementos</w:t>
      </w:r>
      <w:r w:rsidRPr="001A0A60" w:rsidR="00B258D3">
        <w:rPr>
          <w:rFonts w:ascii="Century Gothic" w:hAnsi="Century Gothic" w:eastAsia="Calibri" w:cs="Arial"/>
          <w:lang w:val="es-ES"/>
        </w:rPr>
        <w:t xml:space="preserve"> materiales que necesariamente deben tener en cuenta </w:t>
      </w:r>
      <w:r w:rsidRPr="001A0A60" w:rsidR="00914281">
        <w:rPr>
          <w:rFonts w:ascii="Century Gothic" w:hAnsi="Century Gothic" w:eastAsia="Calibri" w:cs="Arial"/>
          <w:lang w:val="es-ES"/>
        </w:rPr>
        <w:t xml:space="preserve">en su aplicación. </w:t>
      </w:r>
      <w:r w:rsidRPr="001A0A60" w:rsidR="00F95B8D">
        <w:rPr>
          <w:rFonts w:ascii="Century Gothic" w:hAnsi="Century Gothic" w:eastAsia="Calibri" w:cs="Arial"/>
          <w:lang w:val="es-ES"/>
        </w:rPr>
        <w:t xml:space="preserve">En </w:t>
      </w:r>
      <w:r w:rsidRPr="001A0A60" w:rsidR="00ED17A1">
        <w:rPr>
          <w:rFonts w:ascii="Century Gothic" w:hAnsi="Century Gothic" w:eastAsia="Calibri" w:cs="Arial"/>
          <w:lang w:val="es-ES"/>
        </w:rPr>
        <w:t xml:space="preserve">cuanto a la </w:t>
      </w:r>
      <w:r w:rsidRPr="00874EAA" w:rsidR="00ED17A1">
        <w:rPr>
          <w:rFonts w:ascii="Century Gothic" w:hAnsi="Century Gothic" w:eastAsia="Calibri" w:cs="Arial"/>
          <w:i/>
          <w:iCs/>
          <w:lang w:val="es-ES"/>
        </w:rPr>
        <w:t>autonomí</w:t>
      </w:r>
      <w:r w:rsidRPr="001A0A60" w:rsidR="00DB1F8E">
        <w:rPr>
          <w:rFonts w:ascii="Century Gothic" w:hAnsi="Century Gothic" w:eastAsia="Calibri" w:cs="Arial"/>
          <w:i/>
          <w:iCs/>
          <w:lang w:val="es-ES"/>
        </w:rPr>
        <w:t>a o libre determinación</w:t>
      </w:r>
      <w:r w:rsidRPr="001A0A60" w:rsidR="00E95401">
        <w:rPr>
          <w:rFonts w:ascii="Century Gothic" w:hAnsi="Century Gothic" w:eastAsia="Calibri" w:cs="Arial"/>
          <w:i/>
          <w:iCs/>
          <w:lang w:val="es-ES"/>
        </w:rPr>
        <w:t xml:space="preserve"> de los pueblos étnicos</w:t>
      </w:r>
      <w:r w:rsidRPr="001A0A60" w:rsidR="00446480">
        <w:rPr>
          <w:rFonts w:ascii="Century Gothic" w:hAnsi="Century Gothic" w:eastAsia="Calibri" w:cs="Arial"/>
          <w:i/>
          <w:iCs/>
          <w:lang w:val="es-ES"/>
        </w:rPr>
        <w:t xml:space="preserve">, </w:t>
      </w:r>
      <w:r w:rsidRPr="001A0A60" w:rsidR="00606370">
        <w:rPr>
          <w:rFonts w:ascii="Century Gothic" w:hAnsi="Century Gothic" w:eastAsia="Calibri" w:cs="Arial"/>
          <w:lang w:val="es-ES"/>
        </w:rPr>
        <w:t>la Corte ha precisad</w:t>
      </w:r>
      <w:r w:rsidRPr="001A0A60" w:rsidR="002E42F2">
        <w:rPr>
          <w:rFonts w:ascii="Century Gothic" w:hAnsi="Century Gothic" w:eastAsia="Calibri" w:cs="Arial"/>
          <w:lang w:val="es-ES"/>
        </w:rPr>
        <w:t>o</w:t>
      </w:r>
      <w:r w:rsidRPr="001A0A60" w:rsidR="00446480">
        <w:rPr>
          <w:rFonts w:ascii="Century Gothic" w:hAnsi="Century Gothic" w:eastAsia="Calibri" w:cs="Arial"/>
          <w:lang w:val="es-ES"/>
        </w:rPr>
        <w:t xml:space="preserve"> que </w:t>
      </w:r>
      <w:r w:rsidRPr="001A0A60" w:rsidR="002E42F2">
        <w:rPr>
          <w:rFonts w:ascii="Century Gothic" w:hAnsi="Century Gothic" w:eastAsia="Calibri" w:cs="Arial"/>
          <w:lang w:val="es-ES"/>
        </w:rPr>
        <w:t>esta es un derecho</w:t>
      </w:r>
      <w:r w:rsidRPr="001A0A60" w:rsidR="00622074">
        <w:rPr>
          <w:rFonts w:ascii="Century Gothic" w:hAnsi="Century Gothic" w:eastAsia="Calibri" w:cs="Arial"/>
          <w:lang w:val="es-ES"/>
        </w:rPr>
        <w:t xml:space="preserve"> </w:t>
      </w:r>
      <w:r w:rsidRPr="001A0A60" w:rsidR="006506C5">
        <w:rPr>
          <w:rFonts w:ascii="Century Gothic" w:hAnsi="Century Gothic" w:eastAsia="Calibri" w:cs="Arial"/>
          <w:lang w:val="es-ES"/>
        </w:rPr>
        <w:t xml:space="preserve">en virtud del cual </w:t>
      </w:r>
      <w:r w:rsidRPr="001A0A60" w:rsidR="007C77CB">
        <w:rPr>
          <w:rFonts w:ascii="Century Gothic" w:hAnsi="Century Gothic" w:eastAsia="Calibri" w:cs="Arial"/>
          <w:lang w:val="es-ES"/>
        </w:rPr>
        <w:t xml:space="preserve">los pueblos </w:t>
      </w:r>
      <w:r w:rsidRPr="001A0A60" w:rsidR="00606370">
        <w:rPr>
          <w:rFonts w:ascii="Century Gothic" w:hAnsi="Century Gothic" w:eastAsia="Calibri" w:cs="Arial"/>
          <w:lang w:val="es-ES"/>
        </w:rPr>
        <w:t>tribales</w:t>
      </w:r>
      <w:r w:rsidRPr="001A0A60" w:rsidR="006506C5">
        <w:rPr>
          <w:rFonts w:ascii="Century Gothic" w:hAnsi="Century Gothic" w:eastAsia="Calibri" w:cs="Arial"/>
          <w:lang w:val="es-ES"/>
        </w:rPr>
        <w:t xml:space="preserve"> tienen </w:t>
      </w:r>
      <w:r w:rsidRPr="001A0A60" w:rsidR="00622074">
        <w:rPr>
          <w:rFonts w:ascii="Century Gothic" w:hAnsi="Century Gothic" w:eastAsia="Calibri" w:cs="Arial"/>
          <w:lang w:val="es-ES"/>
        </w:rPr>
        <w:t>la facultad</w:t>
      </w:r>
      <w:r w:rsidRPr="001A0A60" w:rsidR="00606370">
        <w:rPr>
          <w:rFonts w:ascii="Century Gothic" w:hAnsi="Century Gothic" w:eastAsia="Calibri" w:cs="Arial"/>
          <w:lang w:val="es-ES"/>
        </w:rPr>
        <w:t xml:space="preserve"> </w:t>
      </w:r>
      <w:r w:rsidRPr="001A0A60" w:rsidR="00622074">
        <w:rPr>
          <w:rFonts w:ascii="Century Gothic" w:hAnsi="Century Gothic" w:eastAsia="Calibri" w:cs="Arial"/>
          <w:lang w:val="es-ES"/>
        </w:rPr>
        <w:t>para</w:t>
      </w:r>
      <w:r w:rsidRPr="001A0A60" w:rsidR="004B172B">
        <w:rPr>
          <w:rFonts w:ascii="Century Gothic" w:hAnsi="Century Gothic" w:eastAsia="Calibri" w:cs="Arial"/>
          <w:lang w:val="es-ES"/>
        </w:rPr>
        <w:t xml:space="preserve"> tomar decisiones</w:t>
      </w:r>
      <w:r w:rsidRPr="001A0A60" w:rsidR="005F033E">
        <w:rPr>
          <w:rFonts w:ascii="Century Gothic" w:hAnsi="Century Gothic" w:eastAsia="Calibri" w:cs="Arial"/>
          <w:lang w:val="es-ES"/>
        </w:rPr>
        <w:t xml:space="preserve"> </w:t>
      </w:r>
      <w:r w:rsidRPr="001A0A60" w:rsidR="004B172B">
        <w:rPr>
          <w:rFonts w:ascii="Century Gothic" w:hAnsi="Century Gothic" w:eastAsia="Calibri" w:cs="Arial"/>
          <w:lang w:val="es-ES"/>
        </w:rPr>
        <w:t xml:space="preserve">sobre </w:t>
      </w:r>
      <w:r w:rsidRPr="001A0A60" w:rsidR="005F033E">
        <w:rPr>
          <w:rFonts w:ascii="Century Gothic" w:hAnsi="Century Gothic" w:eastAsia="Calibri" w:cs="Arial"/>
          <w:lang w:val="es-ES"/>
        </w:rPr>
        <w:t>los asuntos de relevancia</w:t>
      </w:r>
      <w:r w:rsidRPr="001A0A60" w:rsidR="004B172B">
        <w:rPr>
          <w:rFonts w:ascii="Century Gothic" w:hAnsi="Century Gothic" w:eastAsia="Calibri" w:cs="Arial"/>
          <w:lang w:val="es-ES"/>
        </w:rPr>
        <w:t xml:space="preserve"> que los afectan</w:t>
      </w:r>
      <w:r w:rsidRPr="001A0A60" w:rsidR="005F033E">
        <w:rPr>
          <w:rFonts w:ascii="Century Gothic" w:hAnsi="Century Gothic" w:eastAsia="Calibri" w:cs="Arial"/>
          <w:lang w:val="es-ES"/>
        </w:rPr>
        <w:t>, lo que supone</w:t>
      </w:r>
      <w:r w:rsidRPr="001A0A60" w:rsidR="001429F7">
        <w:rPr>
          <w:rFonts w:ascii="Century Gothic" w:hAnsi="Century Gothic" w:eastAsia="Calibri" w:cs="Arial"/>
          <w:lang w:val="es-ES"/>
        </w:rPr>
        <w:t xml:space="preserve"> una protección</w:t>
      </w:r>
      <w:r w:rsidRPr="001A0A60" w:rsidR="00446480">
        <w:rPr>
          <w:rFonts w:ascii="Century Gothic" w:hAnsi="Century Gothic" w:eastAsia="Calibri" w:cs="Arial"/>
          <w:lang w:val="es-ES"/>
        </w:rPr>
        <w:t xml:space="preserve"> múltiples ámbitos de protección</w:t>
      </w:r>
      <w:r w:rsidRPr="001A0A60" w:rsidR="001429F7">
        <w:rPr>
          <w:rFonts w:ascii="Century Gothic" w:hAnsi="Century Gothic" w:eastAsia="Calibri" w:cs="Arial"/>
          <w:lang w:val="es-ES"/>
        </w:rPr>
        <w:t xml:space="preserve"> </w:t>
      </w:r>
      <w:r w:rsidRPr="001A0A60" w:rsidR="00446480">
        <w:rPr>
          <w:rFonts w:ascii="Century Gothic" w:hAnsi="Century Gothic" w:eastAsia="Calibri" w:cs="Arial"/>
          <w:lang w:val="es-ES"/>
        </w:rPr>
        <w:t xml:space="preserve">por parte del estado, </w:t>
      </w:r>
      <w:r w:rsidRPr="001A0A60" w:rsidR="00612F4F">
        <w:rPr>
          <w:rFonts w:ascii="Century Gothic" w:hAnsi="Century Gothic" w:eastAsia="Calibri" w:cs="Arial"/>
          <w:lang w:val="es-ES"/>
        </w:rPr>
        <w:t>dentro del que se encuentra el respeto de las formas de</w:t>
      </w:r>
      <w:r w:rsidRPr="001A0A60" w:rsidR="00111A0B">
        <w:rPr>
          <w:rFonts w:ascii="Century Gothic" w:hAnsi="Century Gothic" w:eastAsia="Calibri" w:cs="Arial"/>
          <w:lang w:val="es-ES"/>
        </w:rPr>
        <w:t xml:space="preserve"> </w:t>
      </w:r>
      <w:r w:rsidRPr="00874EAA" w:rsidR="00A45943">
        <w:rPr>
          <w:rFonts w:ascii="Century Gothic" w:hAnsi="Century Gothic" w:eastAsia="Calibri" w:cs="Arial"/>
          <w:i/>
          <w:iCs/>
          <w:lang w:val="es-ES"/>
        </w:rPr>
        <w:t>autogobierno o</w:t>
      </w:r>
      <w:r w:rsidRPr="001A0A60" w:rsidR="00A45943">
        <w:rPr>
          <w:rFonts w:ascii="Century Gothic" w:hAnsi="Century Gothic" w:eastAsia="Calibri" w:cs="Arial"/>
          <w:lang w:val="es-ES"/>
        </w:rPr>
        <w:t xml:space="preserve"> </w:t>
      </w:r>
      <w:r w:rsidRPr="00874EAA" w:rsidR="00111A0B">
        <w:rPr>
          <w:rFonts w:ascii="Century Gothic" w:hAnsi="Century Gothic" w:eastAsia="Calibri" w:cs="Arial"/>
          <w:i/>
          <w:iCs/>
          <w:lang w:val="es-ES"/>
        </w:rPr>
        <w:t>gobierno propio</w:t>
      </w:r>
      <w:r w:rsidRPr="001A0A60" w:rsidR="00111A0B">
        <w:rPr>
          <w:rFonts w:ascii="Century Gothic" w:hAnsi="Century Gothic" w:eastAsia="Calibri" w:cs="Arial"/>
          <w:lang w:val="es-ES"/>
        </w:rPr>
        <w:t xml:space="preserve"> de estos pueblos</w:t>
      </w:r>
      <w:r w:rsidRPr="001A0A60" w:rsidR="00377326">
        <w:rPr>
          <w:rFonts w:ascii="Century Gothic" w:hAnsi="Century Gothic" w:eastAsia="Calibri" w:cs="Arial"/>
          <w:lang w:val="es-ES"/>
        </w:rPr>
        <w:t>, como una prerrogativa asociada a l</w:t>
      </w:r>
      <w:r w:rsidRPr="001A0A60" w:rsidR="0076552D">
        <w:rPr>
          <w:rFonts w:ascii="Century Gothic" w:hAnsi="Century Gothic" w:eastAsia="Calibri" w:cs="Arial"/>
          <w:lang w:val="es-ES"/>
        </w:rPr>
        <w:t>as instituciones propias de los pueblos tribales</w:t>
      </w:r>
      <w:r w:rsidRPr="001A0A60" w:rsidR="00377326">
        <w:rPr>
          <w:rFonts w:ascii="Century Gothic" w:hAnsi="Century Gothic" w:eastAsia="Calibri" w:cs="Arial"/>
          <w:lang w:val="es-ES"/>
        </w:rPr>
        <w:t xml:space="preserve"> </w:t>
      </w:r>
      <w:r w:rsidRPr="001A0A60" w:rsidR="00A5161E">
        <w:rPr>
          <w:rFonts w:ascii="Century Gothic" w:hAnsi="Century Gothic" w:eastAsia="Calibri" w:cs="Arial"/>
          <w:lang w:val="es-ES"/>
        </w:rPr>
        <w:t xml:space="preserve">que deviene de lo dispuesto en </w:t>
      </w:r>
      <w:r w:rsidRPr="001A0A60" w:rsidR="0076552D">
        <w:rPr>
          <w:rFonts w:ascii="Century Gothic" w:hAnsi="Century Gothic" w:eastAsia="Calibri" w:cs="Arial"/>
          <w:lang w:val="es-ES"/>
        </w:rPr>
        <w:t>el</w:t>
      </w:r>
      <w:r w:rsidRPr="001A0A60" w:rsidR="00377326">
        <w:rPr>
          <w:rFonts w:ascii="Century Gothic" w:hAnsi="Century Gothic" w:eastAsia="Calibri" w:cs="Arial"/>
          <w:lang w:val="es-ES"/>
        </w:rPr>
        <w:t xml:space="preserve"> literal </w:t>
      </w:r>
      <w:r w:rsidRPr="001A0A60" w:rsidR="00696D65">
        <w:rPr>
          <w:rFonts w:ascii="Century Gothic" w:hAnsi="Century Gothic" w:eastAsia="Calibri" w:cs="Arial"/>
          <w:lang w:val="es-ES"/>
        </w:rPr>
        <w:t>c) del artículo 6</w:t>
      </w:r>
      <w:r w:rsidRPr="001A0A60" w:rsidR="00BA30CB">
        <w:rPr>
          <w:rFonts w:ascii="Century Gothic" w:hAnsi="Century Gothic" w:eastAsia="Calibri" w:cs="Arial"/>
          <w:lang w:val="es-ES"/>
        </w:rPr>
        <w:t>, numeral 1</w:t>
      </w:r>
      <w:r w:rsidRPr="001A0A60" w:rsidR="00696D65">
        <w:rPr>
          <w:rFonts w:ascii="Century Gothic" w:hAnsi="Century Gothic" w:eastAsia="Calibri" w:cs="Arial"/>
          <w:lang w:val="es-ES"/>
        </w:rPr>
        <w:t xml:space="preserve"> del Convenio 169 de la OIT</w:t>
      </w:r>
      <w:r w:rsidRPr="001A0A60" w:rsidR="00354D82">
        <w:rPr>
          <w:rStyle w:val="FootnoteReference"/>
          <w:rFonts w:ascii="Century Gothic" w:hAnsi="Century Gothic" w:eastAsia="Calibri" w:cs="Arial"/>
          <w:lang w:val="es-ES"/>
        </w:rPr>
        <w:footnoteReference w:id="15"/>
      </w:r>
      <w:r w:rsidRPr="001A0A60" w:rsidR="00C877DE">
        <w:rPr>
          <w:rFonts w:ascii="Century Gothic" w:hAnsi="Century Gothic" w:eastAsia="Calibri" w:cs="Arial"/>
          <w:lang w:val="es-ES"/>
        </w:rPr>
        <w:t xml:space="preserve">. Al respecto </w:t>
      </w:r>
      <w:r w:rsidRPr="001A0A60" w:rsidR="00BA2884">
        <w:rPr>
          <w:rFonts w:ascii="Century Gothic" w:hAnsi="Century Gothic" w:eastAsia="Calibri" w:cs="Arial"/>
          <w:lang w:val="es-ES"/>
        </w:rPr>
        <w:t xml:space="preserve">se </w:t>
      </w:r>
      <w:r w:rsidRPr="001A0A60" w:rsidR="00C877DE">
        <w:rPr>
          <w:rFonts w:ascii="Century Gothic" w:hAnsi="Century Gothic" w:eastAsia="Calibri" w:cs="Arial"/>
          <w:lang w:val="es-ES"/>
        </w:rPr>
        <w:t>ha explicado que</w:t>
      </w:r>
      <w:r w:rsidRPr="001A0A60" w:rsidR="00BA2884">
        <w:rPr>
          <w:rFonts w:ascii="Century Gothic" w:hAnsi="Century Gothic" w:eastAsia="Calibri" w:cs="Arial"/>
          <w:lang w:val="es-ES"/>
        </w:rPr>
        <w:t>:</w:t>
      </w:r>
    </w:p>
    <w:p w:rsidRPr="001A0A60" w:rsidR="00F15E45" w:rsidP="00874EAA" w:rsidRDefault="00F15E45" w14:paraId="17CC44A9" w14:textId="77777777">
      <w:pPr>
        <w:spacing w:after="0" w:line="276" w:lineRule="auto"/>
        <w:ind w:firstLine="708"/>
        <w:jc w:val="both"/>
        <w:rPr>
          <w:rFonts w:ascii="Century Gothic" w:hAnsi="Century Gothic" w:eastAsia="Calibri" w:cs="Arial"/>
          <w:lang w:val="es-ES"/>
        </w:rPr>
      </w:pPr>
    </w:p>
    <w:p w:rsidRPr="001A0A60" w:rsidR="00BA2884" w:rsidP="000B29AC" w:rsidRDefault="00BA2884" w14:paraId="50ACB622" w14:textId="3006593C">
      <w:pPr>
        <w:spacing w:after="0" w:line="240" w:lineRule="auto"/>
        <w:ind w:left="709" w:right="709"/>
        <w:jc w:val="both"/>
        <w:rPr>
          <w:rFonts w:ascii="Century Gothic" w:hAnsi="Century Gothic" w:eastAsia="Calibri" w:cs="Arial"/>
          <w:sz w:val="20"/>
          <w:szCs w:val="20"/>
          <w:lang w:val="es-ES"/>
        </w:rPr>
      </w:pPr>
      <w:r w:rsidRPr="00874EAA">
        <w:rPr>
          <w:rFonts w:ascii="Century Gothic" w:hAnsi="Century Gothic" w:eastAsia="Calibri" w:cs="Arial"/>
          <w:sz w:val="20"/>
          <w:szCs w:val="20"/>
          <w:lang w:val="es-ES"/>
        </w:rPr>
        <w:t>“</w:t>
      </w:r>
      <w:r w:rsidRPr="00874EAA">
        <w:rPr>
          <w:rFonts w:ascii="Century Gothic" w:hAnsi="Century Gothic" w:eastAsia="Calibri" w:cs="Arial"/>
          <w:i/>
          <w:iCs/>
          <w:sz w:val="20"/>
          <w:szCs w:val="20"/>
          <w:lang w:val="es-ES"/>
        </w:rPr>
        <w:t xml:space="preserve">41. Por su parte, el derecho a la </w:t>
      </w:r>
      <w:r w:rsidRPr="00874EAA">
        <w:rPr>
          <w:rFonts w:ascii="Century Gothic" w:hAnsi="Century Gothic" w:eastAsia="Calibri" w:cs="Arial"/>
          <w:b/>
          <w:bCs/>
          <w:i/>
          <w:iCs/>
          <w:sz w:val="20"/>
          <w:szCs w:val="20"/>
          <w:lang w:val="es-ES"/>
        </w:rPr>
        <w:t>autonomía</w:t>
      </w:r>
      <w:r w:rsidRPr="00874EAA">
        <w:rPr>
          <w:rFonts w:ascii="Century Gothic" w:hAnsi="Century Gothic" w:eastAsia="Calibri" w:cs="Arial"/>
          <w:i/>
          <w:iCs/>
          <w:sz w:val="20"/>
          <w:szCs w:val="20"/>
          <w:lang w:val="es-ES"/>
        </w:rPr>
        <w:t xml:space="preserve"> refiere a la capacidad de los pueblos tribales para decidir sus asuntos culturales, espirituales, políticos y jurídicos, en consonancia con su cosmovisión. Esta garantía permite que la colectividad y sus miembros preserven su derecho a la identidad étnica, en el marco de la Constitución.</w:t>
      </w:r>
      <w:r w:rsidRPr="00874EAA">
        <w:rPr>
          <w:rFonts w:ascii="Century Gothic" w:hAnsi="Century Gothic" w:eastAsia="Calibri" w:cs="Arial"/>
          <w:sz w:val="20"/>
          <w:szCs w:val="20"/>
          <w:lang w:val="es-ES"/>
        </w:rPr>
        <w:t xml:space="preserve"> Además, su ejercicio asegura la pluralidad porque permite salvaguardar las diferencias y la gestión multicultural de la diversidad.</w:t>
      </w:r>
    </w:p>
    <w:p w:rsidRPr="00874EAA" w:rsidR="00F15E45" w:rsidP="00874EAA" w:rsidRDefault="00F15E45" w14:paraId="2482688C" w14:textId="77777777">
      <w:pPr>
        <w:spacing w:after="0" w:line="240" w:lineRule="auto"/>
        <w:ind w:left="709" w:right="709"/>
        <w:jc w:val="both"/>
        <w:rPr>
          <w:rFonts w:ascii="Century Gothic" w:hAnsi="Century Gothic" w:eastAsia="Calibri" w:cs="Arial"/>
          <w:sz w:val="20"/>
          <w:szCs w:val="20"/>
          <w:lang w:val="es-ES"/>
        </w:rPr>
      </w:pPr>
    </w:p>
    <w:p w:rsidRPr="00874EAA" w:rsidR="0097034A" w:rsidP="00874EAA" w:rsidRDefault="00BA2884" w14:paraId="39AFE5F5" w14:textId="5914DB35">
      <w:pPr>
        <w:spacing w:after="0" w:line="240" w:lineRule="auto"/>
        <w:ind w:left="709" w:right="709"/>
        <w:jc w:val="both"/>
        <w:rPr>
          <w:rFonts w:ascii="Century Gothic" w:hAnsi="Century Gothic" w:eastAsia="Calibri" w:cs="Arial"/>
          <w:sz w:val="20"/>
          <w:szCs w:val="20"/>
          <w:lang w:val="es-ES"/>
        </w:rPr>
      </w:pPr>
      <w:r w:rsidRPr="00874EAA">
        <w:rPr>
          <w:rFonts w:ascii="Century Gothic" w:hAnsi="Century Gothic" w:eastAsia="Calibri" w:cs="Arial"/>
          <w:sz w:val="20"/>
          <w:szCs w:val="20"/>
          <w:lang w:val="es-ES"/>
        </w:rPr>
        <w:t>42. Este derecho tiene tres ámbitos de protección: (i) el externo, que involucra el derecho de los colectivos étnicos a participar de las decisiones que los afectan; (</w:t>
      </w:r>
      <w:proofErr w:type="spellStart"/>
      <w:r w:rsidRPr="00874EAA">
        <w:rPr>
          <w:rFonts w:ascii="Century Gothic" w:hAnsi="Century Gothic" w:eastAsia="Calibri" w:cs="Arial"/>
          <w:sz w:val="20"/>
          <w:szCs w:val="20"/>
          <w:lang w:val="es-ES"/>
        </w:rPr>
        <w:t>ii</w:t>
      </w:r>
      <w:proofErr w:type="spellEnd"/>
      <w:r w:rsidRPr="00874EAA">
        <w:rPr>
          <w:rFonts w:ascii="Century Gothic" w:hAnsi="Century Gothic" w:eastAsia="Calibri" w:cs="Arial"/>
          <w:sz w:val="20"/>
          <w:szCs w:val="20"/>
          <w:lang w:val="es-ES"/>
        </w:rPr>
        <w:t>) la participación política de las comunidades en el Congreso; y, (</w:t>
      </w:r>
      <w:proofErr w:type="spellStart"/>
      <w:r w:rsidRPr="00874EAA">
        <w:rPr>
          <w:rFonts w:ascii="Century Gothic" w:hAnsi="Century Gothic" w:eastAsia="Calibri" w:cs="Arial"/>
          <w:sz w:val="20"/>
          <w:szCs w:val="20"/>
          <w:lang w:val="es-ES"/>
        </w:rPr>
        <w:t>iii</w:t>
      </w:r>
      <w:proofErr w:type="spellEnd"/>
      <w:r w:rsidRPr="00874EAA">
        <w:rPr>
          <w:rFonts w:ascii="Century Gothic" w:hAnsi="Century Gothic" w:eastAsia="Calibri" w:cs="Arial"/>
          <w:sz w:val="20"/>
          <w:szCs w:val="20"/>
          <w:lang w:val="es-ES"/>
        </w:rPr>
        <w:t xml:space="preserve">) </w:t>
      </w:r>
      <w:r w:rsidRPr="00874EAA">
        <w:rPr>
          <w:rFonts w:ascii="Century Gothic" w:hAnsi="Century Gothic" w:eastAsia="Calibri" w:cs="Arial"/>
          <w:i/>
          <w:iCs/>
          <w:sz w:val="20"/>
          <w:szCs w:val="20"/>
          <w:lang w:val="es-ES"/>
        </w:rPr>
        <w:t xml:space="preserve">el interno, que salvaguarda la posibilidad de que el grupo étnico conserve o modifique </w:t>
      </w:r>
      <w:r w:rsidRPr="00874EAA">
        <w:rPr>
          <w:rFonts w:ascii="Century Gothic" w:hAnsi="Century Gothic" w:eastAsia="Calibri" w:cs="Arial"/>
          <w:b/>
          <w:bCs/>
          <w:i/>
          <w:iCs/>
          <w:sz w:val="20"/>
          <w:szCs w:val="20"/>
          <w:lang w:val="es-ES"/>
        </w:rPr>
        <w:t>sus formas de gobierno</w:t>
      </w:r>
      <w:r w:rsidRPr="00874EAA">
        <w:rPr>
          <w:rFonts w:ascii="Century Gothic" w:hAnsi="Century Gothic" w:eastAsia="Calibri" w:cs="Arial"/>
          <w:i/>
          <w:iCs/>
          <w:sz w:val="20"/>
          <w:szCs w:val="20"/>
          <w:lang w:val="es-ES"/>
        </w:rPr>
        <w:t xml:space="preserve"> y </w:t>
      </w:r>
      <w:r w:rsidRPr="00874EAA">
        <w:rPr>
          <w:rFonts w:ascii="Century Gothic" w:hAnsi="Century Gothic" w:eastAsia="Calibri" w:cs="Arial"/>
          <w:b/>
          <w:bCs/>
          <w:i/>
          <w:iCs/>
          <w:sz w:val="20"/>
          <w:szCs w:val="20"/>
          <w:lang w:val="es-ES"/>
        </w:rPr>
        <w:t>autodetermine sus dinámicas sociales</w:t>
      </w:r>
      <w:r w:rsidRPr="00874EAA">
        <w:rPr>
          <w:rFonts w:ascii="Century Gothic" w:hAnsi="Century Gothic" w:eastAsia="Calibri" w:cs="Arial"/>
          <w:i/>
          <w:iCs/>
          <w:sz w:val="20"/>
          <w:szCs w:val="20"/>
          <w:lang w:val="es-ES"/>
        </w:rPr>
        <w:t>. Este último sugiere que, en principio, el Estado no puede intervenir en las decisiones de los grupos étnicos. De lo contrario, desconocería su autonomía, su identidad cultural y el carácter plural y multicultural del Estado. Sin embargo, esas facultades no son absolutas. En caso de conflicto con los derechos de otras personas, deben ponderarse y pueden ceder en relación con otras normas superiores</w:t>
      </w:r>
      <w:r w:rsidRPr="00874EAA">
        <w:rPr>
          <w:rFonts w:ascii="Century Gothic" w:hAnsi="Century Gothic" w:eastAsia="Calibri" w:cs="Arial"/>
          <w:sz w:val="20"/>
          <w:szCs w:val="20"/>
          <w:lang w:val="es-ES"/>
        </w:rPr>
        <w:t>”</w:t>
      </w:r>
      <w:r w:rsidRPr="001A0A60" w:rsidR="00F15E45">
        <w:rPr>
          <w:rFonts w:ascii="Century Gothic" w:hAnsi="Century Gothic" w:eastAsia="Calibri" w:cs="Arial"/>
          <w:sz w:val="20"/>
          <w:szCs w:val="20"/>
          <w:lang w:val="es-ES"/>
        </w:rPr>
        <w:t xml:space="preserve"> [Énfasis fuera de texto]</w:t>
      </w:r>
      <w:r w:rsidRPr="001A0A60" w:rsidR="000B29AC">
        <w:rPr>
          <w:rStyle w:val="FootnoteReference"/>
          <w:rFonts w:ascii="Century Gothic" w:hAnsi="Century Gothic" w:eastAsia="Calibri" w:cs="Arial"/>
          <w:sz w:val="20"/>
          <w:szCs w:val="20"/>
          <w:lang w:val="es-ES"/>
        </w:rPr>
        <w:footnoteReference w:id="16"/>
      </w:r>
      <w:r w:rsidRPr="00874EAA">
        <w:rPr>
          <w:rFonts w:ascii="Century Gothic" w:hAnsi="Century Gothic" w:eastAsia="Calibri" w:cs="Arial"/>
          <w:sz w:val="20"/>
          <w:szCs w:val="20"/>
          <w:lang w:val="es-ES"/>
        </w:rPr>
        <w:t>.</w:t>
      </w:r>
      <w:r w:rsidRPr="00874EAA" w:rsidR="00F95B8D">
        <w:rPr>
          <w:rFonts w:ascii="Century Gothic" w:hAnsi="Century Gothic" w:eastAsia="Calibri" w:cs="Arial"/>
          <w:sz w:val="20"/>
          <w:szCs w:val="20"/>
          <w:lang w:val="es-ES"/>
        </w:rPr>
        <w:t xml:space="preserve"> </w:t>
      </w:r>
    </w:p>
    <w:p w:rsidRPr="001A0A60" w:rsidR="00200BE0" w:rsidP="006009E5" w:rsidRDefault="0094743D" w14:paraId="6E9295A1" w14:textId="4B911D4B">
      <w:pPr>
        <w:spacing w:after="120" w:line="276" w:lineRule="auto"/>
        <w:ind w:firstLine="708"/>
        <w:jc w:val="both"/>
        <w:rPr>
          <w:rFonts w:ascii="Century Gothic" w:hAnsi="Century Gothic" w:eastAsia="Calibri" w:cs="Arial"/>
          <w:lang w:val="es-ES"/>
        </w:rPr>
      </w:pPr>
      <w:r w:rsidRPr="001A0A60">
        <w:rPr>
          <w:rFonts w:ascii="Century Gothic" w:hAnsi="Century Gothic" w:eastAsia="Calibri" w:cs="Arial"/>
        </w:rPr>
        <w:t xml:space="preserve">En relación a la cultura ha de tenerse en cuenta que es un concepto que encierra varias dimensiones y funciones sociales y que generan: i) un modo de vivir; </w:t>
      </w:r>
      <w:proofErr w:type="spellStart"/>
      <w:r w:rsidRPr="001A0A60">
        <w:rPr>
          <w:rFonts w:ascii="Century Gothic" w:hAnsi="Century Gothic" w:eastAsia="Calibri" w:cs="Arial"/>
        </w:rPr>
        <w:t>ii</w:t>
      </w:r>
      <w:proofErr w:type="spellEnd"/>
      <w:r w:rsidRPr="001A0A60">
        <w:rPr>
          <w:rFonts w:ascii="Century Gothic" w:hAnsi="Century Gothic" w:eastAsia="Calibri" w:cs="Arial"/>
        </w:rPr>
        <w:t xml:space="preserve">) cohesión social; </w:t>
      </w:r>
      <w:proofErr w:type="spellStart"/>
      <w:r w:rsidRPr="001A0A60">
        <w:rPr>
          <w:rFonts w:ascii="Century Gothic" w:hAnsi="Century Gothic" w:eastAsia="Calibri" w:cs="Arial"/>
        </w:rPr>
        <w:t>iii</w:t>
      </w:r>
      <w:proofErr w:type="spellEnd"/>
      <w:r w:rsidRPr="001A0A60">
        <w:rPr>
          <w:rFonts w:ascii="Century Gothic" w:hAnsi="Century Gothic" w:eastAsia="Calibri" w:cs="Arial"/>
        </w:rPr>
        <w:t xml:space="preserve">) creación de riqueza y empleo; y </w:t>
      </w:r>
      <w:proofErr w:type="spellStart"/>
      <w:r w:rsidRPr="001A0A60">
        <w:rPr>
          <w:rFonts w:ascii="Century Gothic" w:hAnsi="Century Gothic" w:eastAsia="Calibri" w:cs="Arial"/>
        </w:rPr>
        <w:t>iv</w:t>
      </w:r>
      <w:proofErr w:type="spellEnd"/>
      <w:r w:rsidRPr="001A0A60">
        <w:rPr>
          <w:rFonts w:ascii="Century Gothic" w:hAnsi="Century Gothic" w:eastAsia="Calibri" w:cs="Arial"/>
        </w:rPr>
        <w:t>) equilibrio territorial.</w:t>
      </w:r>
      <w:r w:rsidRPr="001A0A60">
        <w:rPr>
          <w:rStyle w:val="FootnoteReference"/>
          <w:rFonts w:ascii="Century Gothic" w:hAnsi="Century Gothic" w:eastAsia="Calibri" w:cs="Arial"/>
        </w:rPr>
        <w:footnoteReference w:id="17"/>
      </w:r>
      <w:r w:rsidRPr="001A0A60" w:rsidR="00895828">
        <w:rPr>
          <w:rFonts w:ascii="Century Gothic" w:hAnsi="Century Gothic" w:eastAsia="Calibri" w:cs="Arial"/>
          <w:lang w:val="es-ES"/>
        </w:rPr>
        <w:t>Por otro lado,</w:t>
      </w:r>
      <w:r w:rsidRPr="001A0A60" w:rsidR="003D6539">
        <w:rPr>
          <w:rFonts w:ascii="Century Gothic" w:hAnsi="Century Gothic" w:eastAsia="Calibri" w:cs="Arial"/>
          <w:lang w:val="es-ES"/>
        </w:rPr>
        <w:t xml:space="preserve"> </w:t>
      </w:r>
      <w:r w:rsidRPr="001A0A60" w:rsidR="00A76A92">
        <w:rPr>
          <w:rFonts w:ascii="Century Gothic" w:hAnsi="Century Gothic" w:eastAsia="Calibri" w:cs="Arial"/>
          <w:lang w:val="es-ES"/>
        </w:rPr>
        <w:t xml:space="preserve">la </w:t>
      </w:r>
      <w:r w:rsidRPr="00874EAA" w:rsidR="00A76A92">
        <w:rPr>
          <w:rFonts w:ascii="Century Gothic" w:hAnsi="Century Gothic" w:eastAsia="Calibri" w:cs="Arial"/>
          <w:i/>
          <w:iCs/>
          <w:lang w:val="es-ES"/>
        </w:rPr>
        <w:t xml:space="preserve">identidad </w:t>
      </w:r>
      <w:r w:rsidRPr="00874EAA" w:rsidR="003B1E36">
        <w:rPr>
          <w:rFonts w:ascii="Century Gothic" w:hAnsi="Century Gothic" w:eastAsia="Calibri" w:cs="Arial"/>
          <w:i/>
          <w:iCs/>
          <w:lang w:val="es-ES"/>
        </w:rPr>
        <w:t>cultural</w:t>
      </w:r>
      <w:r w:rsidRPr="001A0A60" w:rsidR="003B1E36">
        <w:rPr>
          <w:rFonts w:ascii="Century Gothic" w:hAnsi="Century Gothic" w:eastAsia="Calibri" w:cs="Arial"/>
          <w:lang w:val="es-ES"/>
        </w:rPr>
        <w:t xml:space="preserve"> de los pueblos étnicos</w:t>
      </w:r>
      <w:r w:rsidRPr="001A0A60" w:rsidR="007511C6">
        <w:rPr>
          <w:rFonts w:ascii="Century Gothic" w:hAnsi="Century Gothic" w:eastAsia="Calibri" w:cs="Arial"/>
          <w:lang w:val="es-ES"/>
        </w:rPr>
        <w:t xml:space="preserve"> </w:t>
      </w:r>
      <w:r w:rsidRPr="001A0A60" w:rsidR="00AB15CD">
        <w:rPr>
          <w:rFonts w:ascii="Century Gothic" w:hAnsi="Century Gothic" w:eastAsia="Calibri" w:cs="Arial"/>
          <w:lang w:val="es-ES"/>
        </w:rPr>
        <w:t xml:space="preserve">es </w:t>
      </w:r>
      <w:r w:rsidRPr="001A0A60" w:rsidR="00CB68B3">
        <w:rPr>
          <w:rFonts w:ascii="Century Gothic" w:hAnsi="Century Gothic" w:eastAsia="Calibri" w:cs="Arial"/>
          <w:lang w:val="es-ES"/>
        </w:rPr>
        <w:t xml:space="preserve">un postulado </w:t>
      </w:r>
      <w:r w:rsidRPr="001A0A60" w:rsidR="00AB15CD">
        <w:rPr>
          <w:rFonts w:ascii="Century Gothic" w:hAnsi="Century Gothic" w:eastAsia="Calibri" w:cs="Arial"/>
          <w:lang w:val="es-ES"/>
        </w:rPr>
        <w:t>que se sustenta</w:t>
      </w:r>
      <w:r w:rsidRPr="001A0A60" w:rsidR="00CB68B3">
        <w:rPr>
          <w:rFonts w:ascii="Century Gothic" w:hAnsi="Century Gothic" w:eastAsia="Calibri" w:cs="Arial"/>
          <w:lang w:val="es-ES"/>
        </w:rPr>
        <w:t xml:space="preserve"> en </w:t>
      </w:r>
      <w:r w:rsidRPr="001A0A60" w:rsidR="00F11B5A">
        <w:rPr>
          <w:rFonts w:ascii="Century Gothic" w:hAnsi="Century Gothic" w:eastAsia="Calibri" w:cs="Arial"/>
          <w:lang w:val="es-ES"/>
        </w:rPr>
        <w:t xml:space="preserve">normas </w:t>
      </w:r>
      <w:r w:rsidRPr="001A0A60" w:rsidR="00CB68B3">
        <w:rPr>
          <w:rFonts w:ascii="Century Gothic" w:hAnsi="Century Gothic" w:eastAsia="Calibri" w:cs="Arial"/>
          <w:lang w:val="es-ES"/>
        </w:rPr>
        <w:t>como los artículo</w:t>
      </w:r>
      <w:r w:rsidRPr="001A0A60" w:rsidR="00F42C69">
        <w:rPr>
          <w:rFonts w:ascii="Century Gothic" w:hAnsi="Century Gothic" w:eastAsia="Calibri" w:cs="Arial"/>
          <w:lang w:val="es-ES"/>
        </w:rPr>
        <w:t>s</w:t>
      </w:r>
      <w:r w:rsidRPr="001A0A60" w:rsidR="00CB68B3">
        <w:rPr>
          <w:rFonts w:ascii="Century Gothic" w:hAnsi="Century Gothic" w:eastAsia="Calibri" w:cs="Arial"/>
          <w:lang w:val="es-ES"/>
        </w:rPr>
        <w:t xml:space="preserve"> </w:t>
      </w:r>
      <w:r w:rsidRPr="001A0A60" w:rsidR="004308A6">
        <w:rPr>
          <w:rFonts w:ascii="Century Gothic" w:hAnsi="Century Gothic" w:eastAsia="Calibri" w:cs="Arial"/>
          <w:lang w:val="es-ES"/>
        </w:rPr>
        <w:t xml:space="preserve">7, </w:t>
      </w:r>
      <w:r w:rsidRPr="001A0A60" w:rsidR="001E221E">
        <w:rPr>
          <w:rFonts w:ascii="Century Gothic" w:hAnsi="Century Gothic" w:eastAsia="Calibri" w:cs="Arial"/>
          <w:lang w:val="es-ES"/>
        </w:rPr>
        <w:t xml:space="preserve">8, </w:t>
      </w:r>
      <w:r w:rsidRPr="001A0A60" w:rsidR="003B2D3B">
        <w:rPr>
          <w:rFonts w:ascii="Century Gothic" w:hAnsi="Century Gothic" w:eastAsia="Calibri" w:cs="Arial"/>
          <w:lang w:val="es-ES"/>
        </w:rPr>
        <w:t>10, 68 y 72</w:t>
      </w:r>
      <w:r w:rsidRPr="001A0A60" w:rsidR="00F42C69">
        <w:rPr>
          <w:rFonts w:ascii="Century Gothic" w:hAnsi="Century Gothic" w:eastAsia="Calibri" w:cs="Arial"/>
          <w:lang w:val="es-ES"/>
        </w:rPr>
        <w:t xml:space="preserve"> de la Constitución </w:t>
      </w:r>
      <w:r w:rsidRPr="001A0A60" w:rsidR="005713D6">
        <w:rPr>
          <w:rFonts w:ascii="Century Gothic" w:hAnsi="Century Gothic" w:eastAsia="Calibri" w:cs="Arial"/>
          <w:lang w:val="es-ES"/>
        </w:rPr>
        <w:t>P</w:t>
      </w:r>
      <w:r w:rsidRPr="001A0A60" w:rsidR="00F42C69">
        <w:rPr>
          <w:rFonts w:ascii="Century Gothic" w:hAnsi="Century Gothic" w:eastAsia="Calibri" w:cs="Arial"/>
          <w:lang w:val="es-ES"/>
        </w:rPr>
        <w:t>olítica</w:t>
      </w:r>
      <w:r w:rsidRPr="001A0A60" w:rsidR="00A9628F">
        <w:rPr>
          <w:rFonts w:ascii="Century Gothic" w:hAnsi="Century Gothic" w:eastAsia="Calibri" w:cs="Arial"/>
          <w:lang w:val="es-ES"/>
        </w:rPr>
        <w:t xml:space="preserve"> </w:t>
      </w:r>
      <w:r w:rsidRPr="001A0A60" w:rsidR="00AB15CD">
        <w:rPr>
          <w:rFonts w:ascii="Century Gothic" w:hAnsi="Century Gothic" w:eastAsia="Calibri" w:cs="Arial"/>
          <w:lang w:val="es-ES"/>
        </w:rPr>
        <w:t xml:space="preserve">y </w:t>
      </w:r>
      <w:r w:rsidRPr="001A0A60" w:rsidR="00F50E0A">
        <w:rPr>
          <w:rFonts w:ascii="Century Gothic" w:hAnsi="Century Gothic" w:eastAsia="Calibri" w:cs="Arial"/>
          <w:lang w:val="es-ES"/>
        </w:rPr>
        <w:t xml:space="preserve">1, </w:t>
      </w:r>
      <w:r w:rsidRPr="001A0A60" w:rsidR="00A9628F">
        <w:rPr>
          <w:rFonts w:ascii="Century Gothic" w:hAnsi="Century Gothic" w:eastAsia="Calibri" w:cs="Arial"/>
          <w:lang w:val="es-ES"/>
        </w:rPr>
        <w:t>2, 4, 5</w:t>
      </w:r>
      <w:r w:rsidRPr="001A0A60" w:rsidR="00792F2A">
        <w:rPr>
          <w:rFonts w:ascii="Century Gothic" w:hAnsi="Century Gothic" w:eastAsia="Calibri" w:cs="Arial"/>
          <w:lang w:val="es-ES"/>
        </w:rPr>
        <w:t xml:space="preserve">, </w:t>
      </w:r>
      <w:r w:rsidRPr="001A0A60" w:rsidR="00391A3E">
        <w:rPr>
          <w:rFonts w:ascii="Century Gothic" w:hAnsi="Century Gothic" w:eastAsia="Calibri" w:cs="Arial"/>
          <w:lang w:val="es-ES"/>
        </w:rPr>
        <w:t>6</w:t>
      </w:r>
      <w:r w:rsidRPr="001A0A60" w:rsidR="00A9628F">
        <w:rPr>
          <w:rFonts w:ascii="Century Gothic" w:hAnsi="Century Gothic" w:eastAsia="Calibri" w:cs="Arial"/>
          <w:lang w:val="es-ES"/>
        </w:rPr>
        <w:t xml:space="preserve"> y 7</w:t>
      </w:r>
      <w:r w:rsidRPr="001A0A60" w:rsidR="008337B1">
        <w:rPr>
          <w:rFonts w:ascii="Century Gothic" w:hAnsi="Century Gothic" w:eastAsia="Calibri" w:cs="Arial"/>
          <w:lang w:val="es-ES"/>
        </w:rPr>
        <w:t xml:space="preserve"> </w:t>
      </w:r>
      <w:r w:rsidRPr="001A0A60" w:rsidR="00F11B5A">
        <w:rPr>
          <w:rFonts w:ascii="Century Gothic" w:hAnsi="Century Gothic" w:eastAsia="Calibri" w:cs="Arial"/>
          <w:lang w:val="es-ES"/>
        </w:rPr>
        <w:t>del Convenio 169 de la OIT, disp</w:t>
      </w:r>
      <w:r w:rsidRPr="001A0A60" w:rsidR="005713D6">
        <w:rPr>
          <w:rFonts w:ascii="Century Gothic" w:hAnsi="Century Gothic" w:eastAsia="Calibri" w:cs="Arial"/>
          <w:lang w:val="es-ES"/>
        </w:rPr>
        <w:t xml:space="preserve">osiciones </w:t>
      </w:r>
      <w:r w:rsidRPr="001A0A60" w:rsidR="004E2320">
        <w:rPr>
          <w:rFonts w:ascii="Century Gothic" w:hAnsi="Century Gothic" w:eastAsia="Calibri" w:cs="Arial"/>
          <w:lang w:val="es-ES"/>
        </w:rPr>
        <w:t xml:space="preserve">en virtud de las cuales </w:t>
      </w:r>
      <w:r w:rsidRPr="001A0A60" w:rsidR="002E32B4">
        <w:rPr>
          <w:rFonts w:ascii="Century Gothic" w:hAnsi="Century Gothic" w:eastAsia="Calibri" w:cs="Arial"/>
          <w:lang w:val="es-ES"/>
        </w:rPr>
        <w:t>se establece la protecci</w:t>
      </w:r>
      <w:r w:rsidRPr="001A0A60" w:rsidR="002D5546">
        <w:rPr>
          <w:rFonts w:ascii="Century Gothic" w:hAnsi="Century Gothic" w:eastAsia="Calibri" w:cs="Arial"/>
          <w:lang w:val="es-ES"/>
        </w:rPr>
        <w:t>ón de</w:t>
      </w:r>
      <w:r w:rsidRPr="001A0A60" w:rsidR="002E32B4">
        <w:rPr>
          <w:rFonts w:ascii="Century Gothic" w:hAnsi="Century Gothic" w:eastAsia="Calibri" w:cs="Arial"/>
          <w:lang w:val="es-ES"/>
        </w:rPr>
        <w:t xml:space="preserve"> </w:t>
      </w:r>
      <w:r w:rsidRPr="001A0A60" w:rsidR="002D5546">
        <w:rPr>
          <w:rFonts w:ascii="Century Gothic" w:hAnsi="Century Gothic" w:eastAsia="Calibri" w:cs="Arial"/>
          <w:lang w:val="es-ES"/>
        </w:rPr>
        <w:t xml:space="preserve">la </w:t>
      </w:r>
      <w:r w:rsidRPr="001A0A60" w:rsidR="002E32B4">
        <w:rPr>
          <w:rFonts w:ascii="Century Gothic" w:hAnsi="Century Gothic" w:eastAsia="Calibri" w:cs="Arial"/>
          <w:lang w:val="es-ES"/>
        </w:rPr>
        <w:t>diversidad</w:t>
      </w:r>
      <w:r w:rsidRPr="001A0A60" w:rsidR="002D5546">
        <w:rPr>
          <w:rFonts w:ascii="Century Gothic" w:hAnsi="Century Gothic" w:eastAsia="Calibri" w:cs="Arial"/>
          <w:lang w:val="es-ES"/>
        </w:rPr>
        <w:t xml:space="preserve"> cultural y </w:t>
      </w:r>
      <w:r w:rsidRPr="001A0A60" w:rsidR="008337B1">
        <w:rPr>
          <w:rFonts w:ascii="Century Gothic" w:hAnsi="Century Gothic" w:eastAsia="Calibri" w:cs="Arial"/>
          <w:lang w:val="es-ES"/>
        </w:rPr>
        <w:t xml:space="preserve">de </w:t>
      </w:r>
      <w:r w:rsidRPr="001A0A60" w:rsidR="002D5546">
        <w:rPr>
          <w:rFonts w:ascii="Century Gothic" w:hAnsi="Century Gothic" w:eastAsia="Calibri" w:cs="Arial"/>
          <w:lang w:val="es-ES"/>
        </w:rPr>
        <w:t>la</w:t>
      </w:r>
      <w:r w:rsidRPr="001A0A60" w:rsidR="008337B1">
        <w:rPr>
          <w:rFonts w:ascii="Century Gothic" w:hAnsi="Century Gothic" w:eastAsia="Calibri" w:cs="Arial"/>
          <w:lang w:val="es-ES"/>
        </w:rPr>
        <w:t>s</w:t>
      </w:r>
      <w:r w:rsidRPr="001A0A60" w:rsidR="002E32B4">
        <w:rPr>
          <w:rFonts w:ascii="Century Gothic" w:hAnsi="Century Gothic" w:eastAsia="Calibri" w:cs="Arial"/>
          <w:lang w:val="es-ES"/>
        </w:rPr>
        <w:t xml:space="preserve"> </w:t>
      </w:r>
      <w:r w:rsidRPr="001A0A60" w:rsidR="00CB4EF2">
        <w:rPr>
          <w:rFonts w:ascii="Century Gothic" w:hAnsi="Century Gothic" w:eastAsia="Calibri" w:cs="Arial"/>
          <w:lang w:val="es-ES"/>
        </w:rPr>
        <w:t>instituciones, prácticas y tradiciones propias</w:t>
      </w:r>
      <w:r w:rsidRPr="001A0A60" w:rsidR="00AD04F8">
        <w:rPr>
          <w:rFonts w:ascii="Century Gothic" w:hAnsi="Century Gothic" w:eastAsia="Calibri" w:cs="Arial"/>
          <w:lang w:val="es-ES"/>
        </w:rPr>
        <w:t xml:space="preserve"> </w:t>
      </w:r>
      <w:r w:rsidRPr="001A0A60" w:rsidR="00CB4EF2">
        <w:rPr>
          <w:rFonts w:ascii="Century Gothic" w:hAnsi="Century Gothic" w:eastAsia="Calibri" w:cs="Arial"/>
          <w:lang w:val="es-ES"/>
        </w:rPr>
        <w:t xml:space="preserve">de </w:t>
      </w:r>
      <w:r w:rsidRPr="001A0A60" w:rsidR="00AD04F8">
        <w:rPr>
          <w:rFonts w:ascii="Century Gothic" w:hAnsi="Century Gothic" w:eastAsia="Calibri" w:cs="Arial"/>
          <w:lang w:val="es-ES"/>
        </w:rPr>
        <w:t>la</w:t>
      </w:r>
      <w:r w:rsidRPr="001A0A60" w:rsidR="002D5546">
        <w:rPr>
          <w:rFonts w:ascii="Century Gothic" w:hAnsi="Century Gothic" w:eastAsia="Calibri" w:cs="Arial"/>
          <w:lang w:val="es-ES"/>
        </w:rPr>
        <w:t>s</w:t>
      </w:r>
      <w:r w:rsidRPr="001A0A60" w:rsidR="00AD04F8">
        <w:rPr>
          <w:rFonts w:ascii="Century Gothic" w:hAnsi="Century Gothic" w:eastAsia="Calibri" w:cs="Arial"/>
          <w:lang w:val="es-ES"/>
        </w:rPr>
        <w:t xml:space="preserve"> cultura</w:t>
      </w:r>
      <w:r w:rsidRPr="001A0A60" w:rsidR="002D5546">
        <w:rPr>
          <w:rFonts w:ascii="Century Gothic" w:hAnsi="Century Gothic" w:eastAsia="Calibri" w:cs="Arial"/>
          <w:lang w:val="es-ES"/>
        </w:rPr>
        <w:t>s</w:t>
      </w:r>
      <w:r w:rsidRPr="001A0A60" w:rsidR="00AD04F8">
        <w:rPr>
          <w:rFonts w:ascii="Century Gothic" w:hAnsi="Century Gothic" w:eastAsia="Calibri" w:cs="Arial"/>
          <w:lang w:val="es-ES"/>
        </w:rPr>
        <w:t xml:space="preserve"> de los pueblos tribale</w:t>
      </w:r>
      <w:r w:rsidRPr="001A0A60" w:rsidR="00DF650F">
        <w:rPr>
          <w:rFonts w:ascii="Century Gothic" w:hAnsi="Century Gothic" w:eastAsia="Calibri" w:cs="Arial"/>
          <w:lang w:val="es-ES"/>
        </w:rPr>
        <w:t xml:space="preserve">s. </w:t>
      </w:r>
      <w:r w:rsidRPr="001A0A60" w:rsidR="00EC3E81">
        <w:rPr>
          <w:rFonts w:ascii="Century Gothic" w:hAnsi="Century Gothic" w:eastAsia="Calibri" w:cs="Arial"/>
          <w:lang w:val="es-ES"/>
        </w:rPr>
        <w:t>E</w:t>
      </w:r>
      <w:r w:rsidRPr="001A0A60" w:rsidR="00391A3E">
        <w:rPr>
          <w:rFonts w:ascii="Century Gothic" w:hAnsi="Century Gothic" w:eastAsia="Calibri" w:cs="Arial"/>
          <w:lang w:val="es-ES"/>
        </w:rPr>
        <w:t>n referencia</w:t>
      </w:r>
      <w:r w:rsidRPr="001A0A60" w:rsidR="00EC3E81">
        <w:rPr>
          <w:rFonts w:ascii="Century Gothic" w:hAnsi="Century Gothic" w:eastAsia="Calibri" w:cs="Arial"/>
          <w:lang w:val="es-ES"/>
        </w:rPr>
        <w:t xml:space="preserve"> por esto que la Corte Constitucional</w:t>
      </w:r>
      <w:r w:rsidRPr="001A0A60" w:rsidR="003A4C8D">
        <w:rPr>
          <w:rFonts w:ascii="Century Gothic" w:hAnsi="Century Gothic" w:eastAsia="Calibri" w:cs="Arial"/>
          <w:lang w:val="es-ES"/>
        </w:rPr>
        <w:t xml:space="preserve"> se ha referido en su </w:t>
      </w:r>
      <w:r w:rsidRPr="001A0A60" w:rsidR="004853EA">
        <w:rPr>
          <w:rFonts w:ascii="Century Gothic" w:hAnsi="Century Gothic" w:eastAsia="Calibri" w:cs="Arial"/>
          <w:lang w:val="es-ES"/>
        </w:rPr>
        <w:t>jurisprudencia explicando</w:t>
      </w:r>
      <w:r w:rsidRPr="001A0A60" w:rsidR="006009E5">
        <w:rPr>
          <w:rFonts w:ascii="Century Gothic" w:hAnsi="Century Gothic" w:eastAsia="Calibri" w:cs="Arial"/>
          <w:lang w:val="es-ES"/>
        </w:rPr>
        <w:t xml:space="preserve"> la </w:t>
      </w:r>
      <w:r w:rsidRPr="00874EAA" w:rsidR="00E560E5">
        <w:rPr>
          <w:rFonts w:ascii="Century Gothic" w:hAnsi="Century Gothic" w:eastAsia="Calibri" w:cs="Arial"/>
          <w:i/>
          <w:iCs/>
          <w:lang w:val="es-ES"/>
        </w:rPr>
        <w:t>identidad cultural</w:t>
      </w:r>
      <w:r w:rsidRPr="001A0A60" w:rsidR="00E560E5">
        <w:rPr>
          <w:rFonts w:ascii="Century Gothic" w:hAnsi="Century Gothic" w:eastAsia="Calibri" w:cs="Arial"/>
          <w:lang w:val="es-ES"/>
        </w:rPr>
        <w:t xml:space="preserve"> </w:t>
      </w:r>
      <w:r w:rsidRPr="001A0A60" w:rsidR="006009E5">
        <w:rPr>
          <w:rFonts w:ascii="Century Gothic" w:hAnsi="Century Gothic" w:eastAsia="Calibri" w:cs="Arial"/>
          <w:lang w:val="es-ES"/>
        </w:rPr>
        <w:t xml:space="preserve">como un derecho </w:t>
      </w:r>
      <w:r w:rsidRPr="001A0A60" w:rsidR="00E560E5">
        <w:rPr>
          <w:rFonts w:ascii="Century Gothic" w:hAnsi="Century Gothic" w:eastAsia="Calibri" w:cs="Arial"/>
          <w:lang w:val="es-ES"/>
        </w:rPr>
        <w:t>de los pueblos étnicos</w:t>
      </w:r>
      <w:r w:rsidRPr="001A0A60" w:rsidR="006009E5">
        <w:rPr>
          <w:rFonts w:ascii="Century Gothic" w:hAnsi="Century Gothic" w:eastAsia="Calibri" w:cs="Arial"/>
          <w:lang w:val="es-ES"/>
        </w:rPr>
        <w:t>, al siguiente tenor</w:t>
      </w:r>
      <w:r w:rsidRPr="001A0A60" w:rsidR="00E560E5">
        <w:rPr>
          <w:rFonts w:ascii="Century Gothic" w:hAnsi="Century Gothic" w:eastAsia="Calibri" w:cs="Arial"/>
          <w:lang w:val="es-ES"/>
        </w:rPr>
        <w:t>:</w:t>
      </w:r>
    </w:p>
    <w:p w:rsidRPr="00874EAA" w:rsidR="00200BE0" w:rsidP="00874EAA" w:rsidRDefault="00200BE0" w14:paraId="502D4354" w14:textId="5EB13691">
      <w:pPr>
        <w:spacing w:after="120" w:line="240" w:lineRule="auto"/>
        <w:ind w:left="709" w:right="709"/>
        <w:jc w:val="both"/>
        <w:rPr>
          <w:rFonts w:ascii="Century Gothic" w:hAnsi="Century Gothic" w:eastAsia="Calibri" w:cs="Arial"/>
          <w:sz w:val="20"/>
          <w:szCs w:val="20"/>
        </w:rPr>
      </w:pPr>
      <w:r w:rsidRPr="00874EAA">
        <w:rPr>
          <w:rFonts w:ascii="Century Gothic" w:hAnsi="Century Gothic" w:eastAsia="Calibri" w:cs="Arial"/>
          <w:sz w:val="20"/>
          <w:szCs w:val="20"/>
        </w:rPr>
        <w:t>“De manera general el reconocimiento al derecho a la identidad cultural está en diversos artículos de la Constitución y en tratados internacionales incorporados al ordenamiento.  La definición de cultura ha sido objeto de pronunciamientos jurisprudenciales, y legalmente es entendida como “el conjunto de rasgos distintivos espirituales y materiales, intelectuales y afectivos que caracterizan a una sociedad o a un grupo social y que abarca, además de las artes y letras, los modos de vida, las maneras de vivir juntos, los sistemas de valores, las tradiciones y las creencias”.</w:t>
      </w:r>
    </w:p>
    <w:p w:rsidRPr="00874EAA" w:rsidR="00200BE0" w:rsidP="00874EAA" w:rsidRDefault="00200BE0" w14:paraId="5D3D3284" w14:textId="2CBED991">
      <w:pPr>
        <w:spacing w:after="120" w:line="240" w:lineRule="auto"/>
        <w:ind w:left="709" w:right="709"/>
        <w:jc w:val="both"/>
        <w:rPr>
          <w:rFonts w:ascii="Century Gothic" w:hAnsi="Century Gothic" w:eastAsia="Calibri" w:cs="Arial"/>
          <w:sz w:val="20"/>
          <w:szCs w:val="20"/>
        </w:rPr>
      </w:pPr>
      <w:r w:rsidRPr="00874EAA">
        <w:rPr>
          <w:rFonts w:ascii="Century Gothic" w:hAnsi="Century Gothic" w:eastAsia="Calibri" w:cs="Arial"/>
          <w:sz w:val="20"/>
          <w:szCs w:val="20"/>
        </w:rPr>
        <w:t xml:space="preserve">La cultura, según se menciona en la ley referida, tiene manifestaciones materiales e inmateriales. El patrimonio cultural inmaterial “está constituido, </w:t>
      </w:r>
      <w:r w:rsidRPr="00874EAA">
        <w:rPr>
          <w:rFonts w:ascii="Century Gothic" w:hAnsi="Century Gothic" w:eastAsia="Calibri" w:cs="Arial"/>
          <w:sz w:val="20"/>
          <w:szCs w:val="20"/>
        </w:rPr>
        <w:t>entre otros, por las manifestaciones, prácticas, usos, representaciones, expresiones, conocimientos, técnicas y espacios culturales, que las comunidades y los grupos reconocen como parte integrante de su patrimonio cultural. Este patrimonio genera sentimientos de identidad y establece vínculos con la memoria colectiva. Es transmitido y recreado a lo largo del tiempo en función de su entorno, su interacción con la naturaleza y su historia y contribuye a promover el respeto de la diversidad cultural y la creatividad humana”.</w:t>
      </w:r>
    </w:p>
    <w:p w:rsidRPr="001A0A60" w:rsidR="00200BE0" w:rsidP="00874EAA" w:rsidRDefault="00200BE0" w14:paraId="17A0AC9D" w14:textId="01F6286C">
      <w:pPr>
        <w:spacing w:after="0" w:line="240" w:lineRule="auto"/>
        <w:ind w:left="709" w:right="709"/>
        <w:jc w:val="both"/>
        <w:rPr>
          <w:rFonts w:ascii="Century Gothic" w:hAnsi="Century Gothic" w:eastAsia="Calibri" w:cs="Arial"/>
          <w:sz w:val="20"/>
          <w:szCs w:val="20"/>
        </w:rPr>
      </w:pPr>
      <w:r w:rsidRPr="00874EAA">
        <w:rPr>
          <w:rFonts w:ascii="Century Gothic" w:hAnsi="Century Gothic" w:eastAsia="Calibri" w:cs="Arial"/>
          <w:sz w:val="20"/>
          <w:szCs w:val="20"/>
        </w:rPr>
        <w:t xml:space="preserve">De este </w:t>
      </w:r>
      <w:r w:rsidRPr="00874EAA">
        <w:rPr>
          <w:rFonts w:ascii="Century Gothic" w:hAnsi="Century Gothic" w:eastAsia="Calibri" w:cs="Arial"/>
          <w:i/>
          <w:iCs/>
          <w:sz w:val="20"/>
          <w:szCs w:val="20"/>
        </w:rPr>
        <w:t>modo la identidad cultural es un conjunto de rasgos característicos (noción de identidad) de una sociedad o de un grupo social relacionados con su forma de vida, sus tradiciones y creencias en el ámbito espiritual, material, intelectual y afectivo que genera en sus integrantes un sentido de pertenencia a dicho colectivo social y que es producto de su interacción en un espacio social determinado (noción de cultural). La identidad cultural constituye un derecho no sólo porque el ordenamiento jurídico lo reconoce como tal (artículo 7 y 8 de la C.P), sino porque está íntimamente ligado con los postulados constitucionales dentro del Estado Social de Derecho de pluralismo, libertad y vida digna que implican el reconocimiento y el respeto a la diferencia, el ejercicio libre de la misma y el enriquecimiento de la vida en sociedad, sin olvidar que el límite lo constituyen los derechos del otro. Es así, un derecho fundamental del colectivo social y de cada una de las personas que pertenecen a él</w:t>
      </w:r>
      <w:r w:rsidRPr="00874EAA" w:rsidR="00A94A04">
        <w:rPr>
          <w:rFonts w:ascii="Century Gothic" w:hAnsi="Century Gothic" w:eastAsia="Calibri" w:cs="Arial"/>
          <w:i/>
          <w:iCs/>
          <w:sz w:val="20"/>
          <w:szCs w:val="20"/>
        </w:rPr>
        <w:t>”</w:t>
      </w:r>
      <w:r w:rsidRPr="001A0A60" w:rsidR="0001507F">
        <w:rPr>
          <w:rStyle w:val="FootnoteReference"/>
          <w:rFonts w:ascii="Century Gothic" w:hAnsi="Century Gothic" w:eastAsia="Calibri" w:cs="Arial"/>
          <w:i/>
          <w:iCs/>
        </w:rPr>
        <w:t xml:space="preserve"> </w:t>
      </w:r>
      <w:r w:rsidRPr="00874EAA" w:rsidR="007A352E">
        <w:rPr>
          <w:rFonts w:ascii="Century Gothic" w:hAnsi="Century Gothic" w:eastAsia="Calibri" w:cs="Arial"/>
        </w:rPr>
        <w:t>[Énfasis fuera de texto]</w:t>
      </w:r>
      <w:r w:rsidRPr="001A0A60" w:rsidR="0001507F">
        <w:rPr>
          <w:rStyle w:val="FootnoteReference"/>
          <w:rFonts w:ascii="Century Gothic" w:hAnsi="Century Gothic" w:eastAsia="Calibri" w:cs="Arial"/>
          <w:i/>
          <w:iCs/>
        </w:rPr>
        <w:footnoteReference w:id="18"/>
      </w:r>
      <w:r w:rsidRPr="00874EAA">
        <w:rPr>
          <w:rFonts w:ascii="Century Gothic" w:hAnsi="Century Gothic" w:eastAsia="Calibri" w:cs="Arial"/>
          <w:sz w:val="20"/>
          <w:szCs w:val="20"/>
        </w:rPr>
        <w:t>.</w:t>
      </w:r>
    </w:p>
    <w:p w:rsidRPr="001A0A60" w:rsidR="001539B5" w:rsidP="00874EAA" w:rsidRDefault="001539B5" w14:paraId="66994B77" w14:textId="77777777">
      <w:pPr>
        <w:spacing w:after="0" w:line="276" w:lineRule="auto"/>
        <w:ind w:right="49"/>
        <w:jc w:val="both"/>
        <w:rPr>
          <w:rFonts w:ascii="Century Gothic" w:hAnsi="Century Gothic" w:eastAsia="Calibri" w:cs="Arial"/>
          <w:sz w:val="20"/>
          <w:szCs w:val="20"/>
        </w:rPr>
      </w:pPr>
    </w:p>
    <w:p w:rsidRPr="001A0A60" w:rsidR="00F34E86" w:rsidP="00674808" w:rsidRDefault="00BC5E2E" w14:paraId="6B55C56C" w14:textId="27397B1B">
      <w:pPr>
        <w:spacing w:after="120" w:line="276" w:lineRule="auto"/>
        <w:ind w:right="49"/>
        <w:jc w:val="both"/>
        <w:rPr>
          <w:rFonts w:ascii="Century Gothic" w:hAnsi="Century Gothic" w:eastAsia="Calibri" w:cs="Arial"/>
        </w:rPr>
      </w:pPr>
      <w:r w:rsidRPr="001A0A60">
        <w:rPr>
          <w:rFonts w:ascii="Century Gothic" w:hAnsi="Century Gothic" w:eastAsia="Calibri" w:cs="Arial"/>
          <w:sz w:val="20"/>
          <w:szCs w:val="20"/>
        </w:rPr>
        <w:tab/>
      </w:r>
      <w:r w:rsidRPr="00874EAA">
        <w:rPr>
          <w:rFonts w:ascii="Century Gothic" w:hAnsi="Century Gothic" w:eastAsia="Calibri" w:cs="Arial"/>
        </w:rPr>
        <w:t xml:space="preserve">De acuerdo con lo </w:t>
      </w:r>
      <w:r w:rsidRPr="00874EAA" w:rsidR="009F6E0F">
        <w:rPr>
          <w:rFonts w:ascii="Century Gothic" w:hAnsi="Century Gothic" w:eastAsia="Calibri" w:cs="Arial"/>
        </w:rPr>
        <w:t xml:space="preserve">hasta aquí </w:t>
      </w:r>
      <w:r w:rsidRPr="001A0A60" w:rsidR="00F34E86">
        <w:rPr>
          <w:rFonts w:ascii="Century Gothic" w:hAnsi="Century Gothic" w:eastAsia="Calibri" w:cs="Arial"/>
        </w:rPr>
        <w:t>expuesto</w:t>
      </w:r>
      <w:r w:rsidRPr="001A0A60" w:rsidR="009F6E0F">
        <w:rPr>
          <w:rFonts w:ascii="Century Gothic" w:hAnsi="Century Gothic" w:eastAsia="Calibri" w:cs="Arial"/>
        </w:rPr>
        <w:t xml:space="preserve">, la </w:t>
      </w:r>
      <w:r w:rsidRPr="00874EAA" w:rsidR="009F6E0F">
        <w:rPr>
          <w:rFonts w:ascii="Century Gothic" w:hAnsi="Century Gothic" w:eastAsia="Calibri" w:cs="Arial"/>
          <w:i/>
          <w:iCs/>
        </w:rPr>
        <w:t>autonomía</w:t>
      </w:r>
      <w:r w:rsidRPr="001A0A60" w:rsidR="009F6E0F">
        <w:rPr>
          <w:rFonts w:ascii="Century Gothic" w:hAnsi="Century Gothic" w:eastAsia="Calibri" w:cs="Arial"/>
        </w:rPr>
        <w:t xml:space="preserve">, el </w:t>
      </w:r>
      <w:r w:rsidRPr="00874EAA" w:rsidR="009F6E0F">
        <w:rPr>
          <w:rFonts w:ascii="Century Gothic" w:hAnsi="Century Gothic" w:eastAsia="Calibri" w:cs="Arial"/>
          <w:i/>
          <w:iCs/>
        </w:rPr>
        <w:t>gobierno propio</w:t>
      </w:r>
      <w:r w:rsidRPr="001A0A60" w:rsidR="00135D55">
        <w:rPr>
          <w:rFonts w:ascii="Century Gothic" w:hAnsi="Century Gothic" w:eastAsia="Calibri" w:cs="Arial"/>
        </w:rPr>
        <w:t xml:space="preserve"> y la </w:t>
      </w:r>
      <w:r w:rsidRPr="00874EAA" w:rsidR="00135D55">
        <w:rPr>
          <w:rFonts w:ascii="Century Gothic" w:hAnsi="Century Gothic" w:eastAsia="Calibri" w:cs="Arial"/>
          <w:i/>
          <w:iCs/>
        </w:rPr>
        <w:t>identidad cultural</w:t>
      </w:r>
      <w:r w:rsidRPr="001A0A60" w:rsidR="001539B5">
        <w:rPr>
          <w:rFonts w:ascii="Century Gothic" w:hAnsi="Century Gothic" w:eastAsia="Calibri" w:cs="Arial"/>
          <w:i/>
          <w:iCs/>
        </w:rPr>
        <w:t xml:space="preserve"> </w:t>
      </w:r>
      <w:r w:rsidRPr="001A0A60" w:rsidR="00B212D9">
        <w:rPr>
          <w:rFonts w:ascii="Century Gothic" w:hAnsi="Century Gothic" w:eastAsia="Calibri" w:cs="Arial"/>
        </w:rPr>
        <w:t>han sido explicados por la Corte Constitucional</w:t>
      </w:r>
      <w:r w:rsidRPr="001A0A60" w:rsidR="00587772">
        <w:rPr>
          <w:rFonts w:ascii="Century Gothic" w:hAnsi="Century Gothic" w:eastAsia="Calibri" w:cs="Arial"/>
        </w:rPr>
        <w:t xml:space="preserve"> como </w:t>
      </w:r>
      <w:r w:rsidRPr="001A0A60" w:rsidR="002C672D">
        <w:rPr>
          <w:rFonts w:ascii="Century Gothic" w:hAnsi="Century Gothic" w:eastAsia="Calibri" w:cs="Arial"/>
        </w:rPr>
        <w:t>prestaciones</w:t>
      </w:r>
      <w:r w:rsidRPr="001A0A60" w:rsidR="00674808">
        <w:rPr>
          <w:rFonts w:ascii="Century Gothic" w:hAnsi="Century Gothic" w:eastAsia="Calibri" w:cs="Arial"/>
        </w:rPr>
        <w:t xml:space="preserve"> de l</w:t>
      </w:r>
      <w:r w:rsidRPr="001A0A60" w:rsidR="002C672D">
        <w:rPr>
          <w:rFonts w:ascii="Century Gothic" w:hAnsi="Century Gothic" w:eastAsia="Calibri" w:cs="Arial"/>
        </w:rPr>
        <w:t>as</w:t>
      </w:r>
      <w:r w:rsidRPr="001A0A60" w:rsidR="007B0B3A">
        <w:rPr>
          <w:rFonts w:ascii="Century Gothic" w:hAnsi="Century Gothic" w:eastAsia="Calibri" w:cs="Arial"/>
        </w:rPr>
        <w:t xml:space="preserve"> que son titulares</w:t>
      </w:r>
      <w:r w:rsidRPr="001A0A60" w:rsidR="00674808">
        <w:rPr>
          <w:rFonts w:ascii="Century Gothic" w:hAnsi="Century Gothic" w:eastAsia="Calibri" w:cs="Arial"/>
        </w:rPr>
        <w:t xml:space="preserve"> </w:t>
      </w:r>
      <w:r w:rsidRPr="001A0A60" w:rsidR="007B0B3A">
        <w:rPr>
          <w:rFonts w:ascii="Century Gothic" w:hAnsi="Century Gothic" w:eastAsia="Calibri" w:cs="Arial"/>
        </w:rPr>
        <w:t xml:space="preserve">los </w:t>
      </w:r>
      <w:r w:rsidRPr="001A0A60" w:rsidR="00674808">
        <w:rPr>
          <w:rFonts w:ascii="Century Gothic" w:hAnsi="Century Gothic" w:eastAsia="Calibri" w:cs="Arial"/>
        </w:rPr>
        <w:t>pueblos tribales</w:t>
      </w:r>
      <w:r w:rsidRPr="001A0A60" w:rsidR="007B0B3A">
        <w:rPr>
          <w:rFonts w:ascii="Century Gothic" w:hAnsi="Century Gothic" w:eastAsia="Calibri" w:cs="Arial"/>
        </w:rPr>
        <w:t xml:space="preserve"> en virtud de la protección especial </w:t>
      </w:r>
      <w:r w:rsidRPr="001A0A60" w:rsidR="00C70447">
        <w:rPr>
          <w:rFonts w:ascii="Century Gothic" w:hAnsi="Century Gothic" w:eastAsia="Calibri" w:cs="Arial"/>
        </w:rPr>
        <w:t>de la que son objeto por cuenta de las</w:t>
      </w:r>
      <w:r w:rsidRPr="001A0A60" w:rsidR="006504C9">
        <w:rPr>
          <w:rFonts w:ascii="Century Gothic" w:hAnsi="Century Gothic" w:eastAsia="Calibri" w:cs="Arial"/>
        </w:rPr>
        <w:t xml:space="preserve"> referidas</w:t>
      </w:r>
      <w:r w:rsidRPr="001A0A60" w:rsidR="00C70447">
        <w:rPr>
          <w:rFonts w:ascii="Century Gothic" w:hAnsi="Century Gothic" w:eastAsia="Calibri" w:cs="Arial"/>
        </w:rPr>
        <w:t xml:space="preserve"> </w:t>
      </w:r>
      <w:r w:rsidRPr="001A0A60" w:rsidR="006504C9">
        <w:rPr>
          <w:rFonts w:ascii="Century Gothic" w:hAnsi="Century Gothic" w:eastAsia="Calibri" w:cs="Arial"/>
        </w:rPr>
        <w:t>disposiciones de la carta política y el bloque de constitucionalidad</w:t>
      </w:r>
      <w:r w:rsidRPr="001A0A60" w:rsidR="005C29C3">
        <w:rPr>
          <w:rFonts w:ascii="Century Gothic" w:hAnsi="Century Gothic" w:eastAsia="Calibri" w:cs="Arial"/>
        </w:rPr>
        <w:t xml:space="preserve">. </w:t>
      </w:r>
      <w:bookmarkStart w:name="_Hlk159335245" w:id="8"/>
      <w:r w:rsidRPr="001A0A60" w:rsidR="005C29C3">
        <w:rPr>
          <w:rFonts w:ascii="Century Gothic" w:hAnsi="Century Gothic" w:eastAsia="Calibri" w:cs="Arial"/>
        </w:rPr>
        <w:t xml:space="preserve">Es por esto por lo que, la jurisprudencia </w:t>
      </w:r>
      <w:r w:rsidRPr="001A0A60" w:rsidR="00D50F9F">
        <w:rPr>
          <w:rFonts w:ascii="Century Gothic" w:hAnsi="Century Gothic" w:eastAsia="Calibri" w:cs="Arial"/>
        </w:rPr>
        <w:t xml:space="preserve">de la Corte Constitucional constituye un </w:t>
      </w:r>
      <w:r w:rsidRPr="001A0A60" w:rsidR="005B359A">
        <w:rPr>
          <w:rFonts w:ascii="Century Gothic" w:hAnsi="Century Gothic" w:eastAsia="Calibri" w:cs="Arial"/>
        </w:rPr>
        <w:t>obligado referente interpretativo para los operadores del sistema de compra pública, al momento de</w:t>
      </w:r>
      <w:r w:rsidRPr="001A0A60" w:rsidR="005C4BF1">
        <w:rPr>
          <w:rFonts w:ascii="Century Gothic" w:hAnsi="Century Gothic" w:eastAsia="Calibri" w:cs="Arial"/>
        </w:rPr>
        <w:t xml:space="preserve"> aplicar los literales M) y N), en la medida que</w:t>
      </w:r>
      <w:r w:rsidRPr="001A0A60" w:rsidR="00337B93">
        <w:rPr>
          <w:rFonts w:ascii="Century Gothic" w:hAnsi="Century Gothic" w:eastAsia="Calibri" w:cs="Arial"/>
        </w:rPr>
        <w:t xml:space="preserve"> establece el contexto </w:t>
      </w:r>
      <w:r w:rsidRPr="001A0A60" w:rsidR="00A5709F">
        <w:rPr>
          <w:rFonts w:ascii="Century Gothic" w:hAnsi="Century Gothic" w:eastAsia="Calibri" w:cs="Arial"/>
        </w:rPr>
        <w:t xml:space="preserve">normativo y los elementos que definen la </w:t>
      </w:r>
      <w:r w:rsidRPr="001A0A60" w:rsidR="002C672D">
        <w:rPr>
          <w:rFonts w:ascii="Century Gothic" w:hAnsi="Century Gothic" w:eastAsia="Calibri" w:cs="Arial"/>
          <w:i/>
          <w:iCs/>
        </w:rPr>
        <w:t>autonomía</w:t>
      </w:r>
      <w:r w:rsidRPr="001A0A60" w:rsidR="002C672D">
        <w:rPr>
          <w:rFonts w:ascii="Century Gothic" w:hAnsi="Century Gothic" w:eastAsia="Calibri" w:cs="Arial"/>
        </w:rPr>
        <w:t xml:space="preserve">, el </w:t>
      </w:r>
      <w:r w:rsidRPr="001A0A60" w:rsidR="002C672D">
        <w:rPr>
          <w:rFonts w:ascii="Century Gothic" w:hAnsi="Century Gothic" w:eastAsia="Calibri" w:cs="Arial"/>
          <w:i/>
          <w:iCs/>
        </w:rPr>
        <w:t>gobierno propio</w:t>
      </w:r>
      <w:r w:rsidRPr="001A0A60" w:rsidR="002C672D">
        <w:rPr>
          <w:rFonts w:ascii="Century Gothic" w:hAnsi="Century Gothic" w:eastAsia="Calibri" w:cs="Arial"/>
        </w:rPr>
        <w:t xml:space="preserve"> y la </w:t>
      </w:r>
      <w:r w:rsidRPr="001A0A60" w:rsidR="002C672D">
        <w:rPr>
          <w:rFonts w:ascii="Century Gothic" w:hAnsi="Century Gothic" w:eastAsia="Calibri" w:cs="Arial"/>
          <w:i/>
          <w:iCs/>
        </w:rPr>
        <w:t xml:space="preserve">identidad cultural </w:t>
      </w:r>
      <w:r w:rsidRPr="001A0A60" w:rsidR="002C672D">
        <w:rPr>
          <w:rFonts w:ascii="Century Gothic" w:hAnsi="Century Gothic" w:eastAsia="Calibri" w:cs="Arial"/>
        </w:rPr>
        <w:t xml:space="preserve">como derechos de las comunidades negras, afrodescendientes, raizales y palenqueras. </w:t>
      </w:r>
      <w:bookmarkEnd w:id="8"/>
    </w:p>
    <w:p w:rsidRPr="001A0A60" w:rsidR="003F0B5A" w:rsidP="00874EAA" w:rsidRDefault="001C3A19" w14:paraId="004C9616" w14:textId="25A92F0A">
      <w:pPr>
        <w:spacing w:after="120" w:line="276" w:lineRule="auto"/>
        <w:ind w:firstLine="708"/>
        <w:jc w:val="both"/>
        <w:rPr>
          <w:rFonts w:ascii="Century Gothic" w:hAnsi="Century Gothic" w:eastAsia="Calibri" w:cs="Arial"/>
        </w:rPr>
      </w:pPr>
      <w:r w:rsidRPr="001A0A60">
        <w:rPr>
          <w:rFonts w:ascii="Century Gothic" w:hAnsi="Century Gothic" w:eastAsia="Calibri" w:cs="Arial"/>
          <w:lang w:val="es-ES"/>
        </w:rPr>
        <w:t>En relación con la</w:t>
      </w:r>
      <w:r w:rsidRPr="001A0A60" w:rsidR="003B610A">
        <w:rPr>
          <w:rFonts w:ascii="Century Gothic" w:hAnsi="Century Gothic" w:eastAsia="Calibri" w:cs="Arial"/>
          <w:lang w:val="es-ES"/>
        </w:rPr>
        <w:t xml:space="preserve"> expresión</w:t>
      </w:r>
      <w:r w:rsidRPr="001A0A60">
        <w:rPr>
          <w:rFonts w:ascii="Century Gothic" w:hAnsi="Century Gothic" w:eastAsia="Calibri" w:cs="Arial"/>
          <w:lang w:val="es-ES"/>
        </w:rPr>
        <w:t xml:space="preserve"> </w:t>
      </w:r>
      <w:r w:rsidRPr="001A0A60">
        <w:rPr>
          <w:rFonts w:ascii="Century Gothic" w:hAnsi="Century Gothic" w:eastAsia="Calibri" w:cs="Arial"/>
          <w:i/>
          <w:iCs/>
          <w:lang w:val="es-ES"/>
        </w:rPr>
        <w:t>garantía de derechos,</w:t>
      </w:r>
      <w:r w:rsidRPr="001A0A60">
        <w:rPr>
          <w:rFonts w:ascii="Century Gothic" w:hAnsi="Century Gothic" w:eastAsia="Calibri" w:cs="Arial"/>
          <w:lang w:val="es-ES"/>
        </w:rPr>
        <w:t xml:space="preserve"> es necesario indicar que el artículo 2 de la Carta Política Colombiana</w:t>
      </w:r>
      <w:r w:rsidRPr="001A0A60">
        <w:rPr>
          <w:rStyle w:val="FootnoteReference"/>
          <w:rFonts w:ascii="Century Gothic" w:hAnsi="Century Gothic" w:eastAsia="Calibri" w:cs="Arial"/>
          <w:lang w:val="es-ES"/>
        </w:rPr>
        <w:footnoteReference w:id="19"/>
      </w:r>
      <w:r w:rsidRPr="001A0A60">
        <w:rPr>
          <w:rFonts w:ascii="Century Gothic" w:hAnsi="Century Gothic" w:eastAsia="Calibri" w:cs="Arial"/>
          <w:lang w:val="es-ES"/>
        </w:rPr>
        <w:t xml:space="preserve">, establece que uno de los fines </w:t>
      </w:r>
      <w:r w:rsidRPr="001A0A60">
        <w:rPr>
          <w:rFonts w:ascii="Century Gothic" w:hAnsi="Century Gothic" w:eastAsia="Calibri" w:cs="Arial"/>
          <w:lang w:val="es-ES"/>
        </w:rPr>
        <w:t xml:space="preserve">esenciales del Estado, es garantizar la efectividad de los principios y derechos en ella consagrados, esto quiere decir, que es deber del Estado, propender por su goce efectivo y que para el caso de las comunidades étnicas se traduce en la materialización de las disposiciones sobre las cuales se estructura su especial protección. </w:t>
      </w:r>
      <w:r w:rsidRPr="001A0A60" w:rsidR="001B000A">
        <w:rPr>
          <w:rFonts w:ascii="Century Gothic" w:hAnsi="Century Gothic" w:eastAsia="Calibri" w:cs="Arial"/>
        </w:rPr>
        <w:t>Est</w:t>
      </w:r>
      <w:r w:rsidRPr="001A0A60" w:rsidR="003B610A">
        <w:rPr>
          <w:rFonts w:ascii="Century Gothic" w:hAnsi="Century Gothic" w:eastAsia="Calibri" w:cs="Arial"/>
        </w:rPr>
        <w:t>as</w:t>
      </w:r>
      <w:r w:rsidRPr="001A0A60" w:rsidR="001B000A">
        <w:rPr>
          <w:rFonts w:ascii="Century Gothic" w:hAnsi="Century Gothic" w:eastAsia="Calibri" w:cs="Arial"/>
        </w:rPr>
        <w:t xml:space="preserve"> última</w:t>
      </w:r>
      <w:r w:rsidRPr="001A0A60" w:rsidR="003B610A">
        <w:rPr>
          <w:rFonts w:ascii="Century Gothic" w:hAnsi="Century Gothic" w:eastAsia="Calibri" w:cs="Arial"/>
        </w:rPr>
        <w:t>s</w:t>
      </w:r>
      <w:r w:rsidRPr="001A0A60" w:rsidR="001B000A">
        <w:rPr>
          <w:rFonts w:ascii="Century Gothic" w:hAnsi="Century Gothic" w:eastAsia="Calibri" w:cs="Arial"/>
        </w:rPr>
        <w:t xml:space="preserve"> precisi</w:t>
      </w:r>
      <w:r w:rsidRPr="001A0A60" w:rsidR="003B610A">
        <w:rPr>
          <w:rFonts w:ascii="Century Gothic" w:hAnsi="Century Gothic" w:eastAsia="Calibri" w:cs="Arial"/>
        </w:rPr>
        <w:t>ones</w:t>
      </w:r>
      <w:r w:rsidRPr="001A0A60" w:rsidR="001B000A">
        <w:rPr>
          <w:rFonts w:ascii="Century Gothic" w:hAnsi="Century Gothic" w:eastAsia="Calibri" w:cs="Arial"/>
        </w:rPr>
        <w:t xml:space="preserve"> </w:t>
      </w:r>
      <w:r w:rsidRPr="001A0A60" w:rsidR="006D45FD">
        <w:rPr>
          <w:rFonts w:ascii="Century Gothic" w:hAnsi="Century Gothic" w:eastAsia="Calibri" w:cs="Arial"/>
        </w:rPr>
        <w:t>resulta</w:t>
      </w:r>
      <w:r w:rsidRPr="001A0A60" w:rsidR="003B610A">
        <w:rPr>
          <w:rFonts w:ascii="Century Gothic" w:hAnsi="Century Gothic" w:eastAsia="Calibri" w:cs="Arial"/>
        </w:rPr>
        <w:t>n particularmente</w:t>
      </w:r>
      <w:r w:rsidRPr="001A0A60" w:rsidR="006D45FD">
        <w:rPr>
          <w:rFonts w:ascii="Century Gothic" w:hAnsi="Century Gothic" w:eastAsia="Calibri" w:cs="Arial"/>
        </w:rPr>
        <w:t xml:space="preserve"> relevante</w:t>
      </w:r>
      <w:r w:rsidRPr="001A0A60" w:rsidR="003B610A">
        <w:rPr>
          <w:rFonts w:ascii="Century Gothic" w:hAnsi="Century Gothic" w:eastAsia="Calibri" w:cs="Arial"/>
        </w:rPr>
        <w:t>s</w:t>
      </w:r>
      <w:r w:rsidRPr="001A0A60" w:rsidR="006D45FD">
        <w:rPr>
          <w:rFonts w:ascii="Century Gothic" w:hAnsi="Century Gothic" w:eastAsia="Calibri" w:cs="Arial"/>
        </w:rPr>
        <w:t xml:space="preserve"> para comprender </w:t>
      </w:r>
      <w:r w:rsidRPr="001A0A60" w:rsidR="000C2524">
        <w:rPr>
          <w:rFonts w:ascii="Century Gothic" w:hAnsi="Century Gothic" w:eastAsia="Calibri" w:cs="Arial"/>
        </w:rPr>
        <w:t>a que se refiere</w:t>
      </w:r>
      <w:r w:rsidRPr="001A0A60" w:rsidR="003D1AFF">
        <w:rPr>
          <w:rFonts w:ascii="Century Gothic" w:hAnsi="Century Gothic" w:eastAsia="Calibri" w:cs="Arial"/>
        </w:rPr>
        <w:t>n los mencionado</w:t>
      </w:r>
      <w:r w:rsidRPr="001A0A60" w:rsidR="00D073E0">
        <w:rPr>
          <w:rFonts w:ascii="Century Gothic" w:hAnsi="Century Gothic" w:eastAsia="Calibri" w:cs="Arial"/>
        </w:rPr>
        <w:t>s</w:t>
      </w:r>
      <w:r w:rsidRPr="001A0A60" w:rsidR="003D1AFF">
        <w:rPr>
          <w:rFonts w:ascii="Century Gothic" w:hAnsi="Century Gothic" w:eastAsia="Calibri" w:cs="Arial"/>
        </w:rPr>
        <w:t xml:space="preserve"> literales con la expresión </w:t>
      </w:r>
      <w:r w:rsidRPr="00874EAA" w:rsidR="003D1AFF">
        <w:rPr>
          <w:rFonts w:ascii="Century Gothic" w:hAnsi="Century Gothic" w:eastAsia="Calibri" w:cs="Arial"/>
          <w:i/>
          <w:iCs/>
        </w:rPr>
        <w:t>garantía de derechos</w:t>
      </w:r>
      <w:r w:rsidRPr="001A0A60" w:rsidR="003D1AFF">
        <w:rPr>
          <w:rFonts w:ascii="Century Gothic" w:hAnsi="Century Gothic" w:eastAsia="Calibri" w:cs="Arial"/>
        </w:rPr>
        <w:t xml:space="preserve">, en la medida </w:t>
      </w:r>
      <w:r w:rsidRPr="001A0A60" w:rsidR="00BD767C">
        <w:rPr>
          <w:rFonts w:ascii="Century Gothic" w:hAnsi="Century Gothic" w:eastAsia="Calibri" w:cs="Arial"/>
        </w:rPr>
        <w:t xml:space="preserve">en que, siendo la </w:t>
      </w:r>
      <w:r w:rsidRPr="00874EAA" w:rsidR="00BD767C">
        <w:rPr>
          <w:rFonts w:ascii="Century Gothic" w:hAnsi="Century Gothic" w:eastAsia="Calibri" w:cs="Arial"/>
          <w:i/>
          <w:iCs/>
        </w:rPr>
        <w:t>autonomía</w:t>
      </w:r>
      <w:r w:rsidRPr="001A0A60" w:rsidR="00BD767C">
        <w:rPr>
          <w:rFonts w:ascii="Century Gothic" w:hAnsi="Century Gothic" w:eastAsia="Calibri" w:cs="Arial"/>
        </w:rPr>
        <w:t xml:space="preserve">, el </w:t>
      </w:r>
      <w:r w:rsidRPr="00874EAA" w:rsidR="00BD767C">
        <w:rPr>
          <w:rFonts w:ascii="Century Gothic" w:hAnsi="Century Gothic" w:eastAsia="Calibri" w:cs="Arial"/>
          <w:i/>
          <w:iCs/>
        </w:rPr>
        <w:t>gobierno propio</w:t>
      </w:r>
      <w:r w:rsidRPr="001A0A60" w:rsidR="00BD767C">
        <w:rPr>
          <w:rFonts w:ascii="Century Gothic" w:hAnsi="Century Gothic" w:eastAsia="Calibri" w:cs="Arial"/>
          <w:i/>
          <w:iCs/>
        </w:rPr>
        <w:t xml:space="preserve"> y la </w:t>
      </w:r>
      <w:r w:rsidRPr="00874EAA" w:rsidR="00BD767C">
        <w:rPr>
          <w:rFonts w:ascii="Century Gothic" w:hAnsi="Century Gothic" w:eastAsia="Calibri" w:cs="Arial"/>
          <w:i/>
          <w:iCs/>
        </w:rPr>
        <w:t>identidad cultura</w:t>
      </w:r>
      <w:r w:rsidRPr="001A0A60" w:rsidR="00FA259D">
        <w:rPr>
          <w:rFonts w:ascii="Century Gothic" w:hAnsi="Century Gothic" w:eastAsia="Calibri" w:cs="Arial"/>
          <w:i/>
          <w:iCs/>
        </w:rPr>
        <w:t>l</w:t>
      </w:r>
      <w:r w:rsidRPr="001A0A60" w:rsidR="00337BE0">
        <w:rPr>
          <w:rFonts w:ascii="Century Gothic" w:hAnsi="Century Gothic" w:eastAsia="Calibri" w:cs="Arial"/>
          <w:i/>
          <w:iCs/>
        </w:rPr>
        <w:t>,</w:t>
      </w:r>
      <w:r w:rsidRPr="001A0A60" w:rsidR="00D073E0">
        <w:rPr>
          <w:rFonts w:ascii="Century Gothic" w:hAnsi="Century Gothic" w:eastAsia="Calibri" w:cs="Arial"/>
          <w:i/>
          <w:iCs/>
        </w:rPr>
        <w:t xml:space="preserve"> </w:t>
      </w:r>
      <w:r w:rsidRPr="001A0A60" w:rsidR="00DF3EE5">
        <w:rPr>
          <w:rFonts w:ascii="Century Gothic" w:hAnsi="Century Gothic" w:eastAsia="Calibri" w:cs="Arial"/>
        </w:rPr>
        <w:t xml:space="preserve">la referida expresión </w:t>
      </w:r>
      <w:r w:rsidRPr="001A0A60" w:rsidR="00F60878">
        <w:rPr>
          <w:rFonts w:ascii="Century Gothic" w:hAnsi="Century Gothic" w:eastAsia="Calibri" w:cs="Arial"/>
        </w:rPr>
        <w:t xml:space="preserve">cumple la función de </w:t>
      </w:r>
      <w:r w:rsidRPr="001A0A60" w:rsidR="0093689B">
        <w:rPr>
          <w:rFonts w:ascii="Century Gothic" w:hAnsi="Century Gothic" w:eastAsia="Calibri" w:cs="Arial"/>
        </w:rPr>
        <w:t xml:space="preserve">una cláusula de </w:t>
      </w:r>
      <w:r w:rsidRPr="00874EAA" w:rsidR="0093689B">
        <w:rPr>
          <w:rFonts w:ascii="Century Gothic" w:hAnsi="Century Gothic" w:eastAsia="Calibri" w:cs="Arial"/>
          <w:i/>
          <w:iCs/>
        </w:rPr>
        <w:t xml:space="preserve">numerus </w:t>
      </w:r>
      <w:proofErr w:type="spellStart"/>
      <w:r w:rsidRPr="00874EAA" w:rsidR="0093689B">
        <w:rPr>
          <w:rFonts w:ascii="Century Gothic" w:hAnsi="Century Gothic" w:eastAsia="Calibri" w:cs="Arial"/>
          <w:i/>
          <w:iCs/>
        </w:rPr>
        <w:t>apertus</w:t>
      </w:r>
      <w:proofErr w:type="spellEnd"/>
      <w:r w:rsidRPr="001A0A60" w:rsidR="0093689B">
        <w:rPr>
          <w:rFonts w:ascii="Century Gothic" w:hAnsi="Century Gothic" w:eastAsia="Calibri" w:cs="Arial"/>
          <w:i/>
          <w:iCs/>
        </w:rPr>
        <w:t xml:space="preserve">, </w:t>
      </w:r>
      <w:r w:rsidRPr="001A0A60" w:rsidR="003C2552">
        <w:rPr>
          <w:rFonts w:ascii="Century Gothic" w:hAnsi="Century Gothic" w:eastAsia="Calibri" w:cs="Arial"/>
        </w:rPr>
        <w:t xml:space="preserve">que tiene el efecto de </w:t>
      </w:r>
      <w:r w:rsidRPr="001A0A60" w:rsidR="00256D04">
        <w:rPr>
          <w:rFonts w:ascii="Century Gothic" w:hAnsi="Century Gothic" w:eastAsia="Calibri" w:cs="Arial"/>
        </w:rPr>
        <w:t>incluir</w:t>
      </w:r>
      <w:r w:rsidRPr="001A0A60" w:rsidR="003C2552">
        <w:rPr>
          <w:rFonts w:ascii="Century Gothic" w:hAnsi="Century Gothic" w:eastAsia="Calibri" w:cs="Arial"/>
        </w:rPr>
        <w:t xml:space="preserve"> </w:t>
      </w:r>
      <w:r w:rsidRPr="001A0A60" w:rsidR="00830BB9">
        <w:rPr>
          <w:rFonts w:ascii="Century Gothic" w:hAnsi="Century Gothic" w:eastAsia="Calibri" w:cs="Arial"/>
        </w:rPr>
        <w:t>dentro del ámbito de aplicación</w:t>
      </w:r>
      <w:r w:rsidRPr="001A0A60" w:rsidR="003C2552">
        <w:rPr>
          <w:rFonts w:ascii="Century Gothic" w:hAnsi="Century Gothic" w:eastAsia="Calibri" w:cs="Arial"/>
        </w:rPr>
        <w:t xml:space="preserve"> </w:t>
      </w:r>
      <w:r w:rsidRPr="001A0A60" w:rsidR="00830BB9">
        <w:rPr>
          <w:rFonts w:ascii="Century Gothic" w:hAnsi="Century Gothic" w:eastAsia="Calibri" w:cs="Arial"/>
        </w:rPr>
        <w:t>de</w:t>
      </w:r>
      <w:r w:rsidRPr="001A0A60" w:rsidR="003C2552">
        <w:rPr>
          <w:rFonts w:ascii="Century Gothic" w:hAnsi="Century Gothic" w:eastAsia="Calibri" w:cs="Arial"/>
        </w:rPr>
        <w:t xml:space="preserve"> las</w:t>
      </w:r>
      <w:r w:rsidRPr="001A0A60" w:rsidR="00830BB9">
        <w:rPr>
          <w:rFonts w:ascii="Century Gothic" w:hAnsi="Century Gothic" w:eastAsia="Calibri" w:cs="Arial"/>
        </w:rPr>
        <w:t xml:space="preserve"> causales bajo estudio </w:t>
      </w:r>
      <w:r w:rsidRPr="001A0A60" w:rsidR="00D12A94">
        <w:rPr>
          <w:rFonts w:ascii="Century Gothic" w:hAnsi="Century Gothic" w:eastAsia="Calibri" w:cs="Arial"/>
        </w:rPr>
        <w:t xml:space="preserve">los objetos contractuales dirigidos a proteger cualquier otro derecho de las comunidades o pueblos negros, afrodescendientes, raizales y la palenqueros. Esto significa que, </w:t>
      </w:r>
      <w:r w:rsidRPr="001A0A60" w:rsidR="00AC6A4E">
        <w:rPr>
          <w:rFonts w:ascii="Century Gothic" w:hAnsi="Century Gothic" w:eastAsia="Calibri" w:cs="Arial"/>
        </w:rPr>
        <w:t xml:space="preserve">el requisito objetivo que plantean </w:t>
      </w:r>
      <w:r w:rsidRPr="001A0A60" w:rsidR="00494D86">
        <w:rPr>
          <w:rFonts w:ascii="Century Gothic" w:hAnsi="Century Gothic" w:eastAsia="Calibri" w:cs="Arial"/>
        </w:rPr>
        <w:t xml:space="preserve">literales M) y N) del </w:t>
      </w:r>
      <w:r w:rsidRPr="001A0A60" w:rsidR="00FF18E0">
        <w:rPr>
          <w:rFonts w:ascii="Century Gothic" w:hAnsi="Century Gothic" w:eastAsia="Calibri" w:cs="Arial"/>
        </w:rPr>
        <w:t xml:space="preserve">artículo 2, numeral 4 de la Ley 1150 de 2007, </w:t>
      </w:r>
      <w:r w:rsidRPr="001A0A60" w:rsidR="00FA259D">
        <w:rPr>
          <w:rFonts w:ascii="Century Gothic" w:hAnsi="Century Gothic" w:eastAsia="Calibri" w:cs="Arial"/>
        </w:rPr>
        <w:t>no solo</w:t>
      </w:r>
      <w:r w:rsidRPr="001A0A60" w:rsidR="00AC6A4E">
        <w:rPr>
          <w:rFonts w:ascii="Century Gothic" w:hAnsi="Century Gothic" w:eastAsia="Calibri" w:cs="Arial"/>
        </w:rPr>
        <w:t xml:space="preserve"> </w:t>
      </w:r>
      <w:r w:rsidRPr="001A0A60" w:rsidR="00FF18E0">
        <w:rPr>
          <w:rFonts w:ascii="Century Gothic" w:hAnsi="Century Gothic" w:eastAsia="Calibri" w:cs="Arial"/>
        </w:rPr>
        <w:t>podría verse satisfe</w:t>
      </w:r>
      <w:r w:rsidRPr="001A0A60" w:rsidR="00FA259D">
        <w:rPr>
          <w:rFonts w:ascii="Century Gothic" w:hAnsi="Century Gothic" w:eastAsia="Calibri" w:cs="Arial"/>
        </w:rPr>
        <w:t xml:space="preserve">cho por objetos contractuales encaminados a proteger la </w:t>
      </w:r>
      <w:r w:rsidRPr="001A0A60" w:rsidR="00FA259D">
        <w:rPr>
          <w:rFonts w:ascii="Century Gothic" w:hAnsi="Century Gothic" w:eastAsia="Calibri" w:cs="Arial"/>
          <w:i/>
          <w:iCs/>
        </w:rPr>
        <w:t>autonomía</w:t>
      </w:r>
      <w:r w:rsidRPr="001A0A60" w:rsidR="00FA259D">
        <w:rPr>
          <w:rFonts w:ascii="Century Gothic" w:hAnsi="Century Gothic" w:eastAsia="Calibri" w:cs="Arial"/>
        </w:rPr>
        <w:t xml:space="preserve">, el </w:t>
      </w:r>
      <w:r w:rsidRPr="001A0A60" w:rsidR="00FA259D">
        <w:rPr>
          <w:rFonts w:ascii="Century Gothic" w:hAnsi="Century Gothic" w:eastAsia="Calibri" w:cs="Arial"/>
          <w:i/>
          <w:iCs/>
        </w:rPr>
        <w:t xml:space="preserve">gobierno propio y la identidad cultural, </w:t>
      </w:r>
      <w:r w:rsidRPr="001A0A60" w:rsidR="00FA259D">
        <w:rPr>
          <w:rFonts w:ascii="Century Gothic" w:hAnsi="Century Gothic" w:eastAsia="Calibri" w:cs="Arial"/>
        </w:rPr>
        <w:t xml:space="preserve">sino también por aquellos dirigidos a proteger los demás derechos de los que son titulares las personas </w:t>
      </w:r>
      <w:r w:rsidRPr="001A0A60" w:rsidR="00EF79B4">
        <w:rPr>
          <w:rFonts w:ascii="Century Gothic" w:hAnsi="Century Gothic" w:eastAsia="Calibri" w:cs="Arial"/>
        </w:rPr>
        <w:t>pertenecientes a comunidades negras, afrodescendientes, raizales y palenqueras, lo cual incluye no solo aquellos</w:t>
      </w:r>
      <w:r w:rsidRPr="001A0A60" w:rsidR="007C588B">
        <w:rPr>
          <w:rFonts w:ascii="Century Gothic" w:hAnsi="Century Gothic" w:eastAsia="Calibri" w:cs="Arial"/>
        </w:rPr>
        <w:t xml:space="preserve"> derechos que emanan de la protección especial a los pueblos étnicos</w:t>
      </w:r>
      <w:r w:rsidRPr="001A0A60" w:rsidR="00A8271C">
        <w:rPr>
          <w:rFonts w:ascii="Century Gothic" w:hAnsi="Century Gothic" w:eastAsia="Calibri" w:cs="Arial"/>
        </w:rPr>
        <w:t xml:space="preserve">– </w:t>
      </w:r>
      <w:r w:rsidRPr="001A0A60" w:rsidR="00E0498D">
        <w:rPr>
          <w:rFonts w:ascii="Century Gothic" w:hAnsi="Century Gothic" w:eastAsia="Calibri" w:cs="Arial"/>
        </w:rPr>
        <w:t>incluyendo el Convenio 169 de la OIT–</w:t>
      </w:r>
      <w:r w:rsidRPr="001A0A60" w:rsidR="00996980">
        <w:rPr>
          <w:rFonts w:ascii="Century Gothic" w:hAnsi="Century Gothic" w:eastAsia="Calibri" w:cs="Arial"/>
        </w:rPr>
        <w:t xml:space="preserve">, sino todo el catálogo de derechos </w:t>
      </w:r>
      <w:r w:rsidRPr="001A0A60" w:rsidR="00961036">
        <w:rPr>
          <w:rFonts w:ascii="Century Gothic" w:hAnsi="Century Gothic" w:eastAsia="Calibri" w:cs="Arial"/>
        </w:rPr>
        <w:t>que la Constitución</w:t>
      </w:r>
      <w:r w:rsidRPr="001A0A60" w:rsidR="0056158B">
        <w:rPr>
          <w:rFonts w:ascii="Century Gothic" w:hAnsi="Century Gothic" w:eastAsia="Calibri" w:cs="Arial"/>
        </w:rPr>
        <w:t xml:space="preserve"> Política consagra para </w:t>
      </w:r>
      <w:r w:rsidRPr="001A0A60" w:rsidR="00BB5A43">
        <w:rPr>
          <w:rFonts w:ascii="Century Gothic" w:hAnsi="Century Gothic" w:eastAsia="Calibri" w:cs="Arial"/>
        </w:rPr>
        <w:t>todas las personas</w:t>
      </w:r>
      <w:r w:rsidRPr="001A0A60" w:rsidR="003F0B5A">
        <w:rPr>
          <w:rFonts w:ascii="Century Gothic" w:hAnsi="Century Gothic" w:eastAsia="Calibri" w:cs="Arial"/>
        </w:rPr>
        <w:t xml:space="preserve"> tales como  </w:t>
      </w:r>
      <w:r w:rsidRPr="001A0A60" w:rsidR="00E54522">
        <w:rPr>
          <w:rFonts w:ascii="Century Gothic" w:hAnsi="Century Gothic" w:eastAsia="Calibri" w:cs="Arial"/>
        </w:rPr>
        <w:t>la igualdad material</w:t>
      </w:r>
      <w:r w:rsidRPr="001A0A60" w:rsidR="00A05B94">
        <w:rPr>
          <w:rFonts w:ascii="Century Gothic" w:hAnsi="Century Gothic" w:eastAsia="Calibri" w:cs="Arial"/>
        </w:rPr>
        <w:t>–art. 13</w:t>
      </w:r>
      <w:r w:rsidRPr="001A0A60" w:rsidR="00E54522">
        <w:rPr>
          <w:rFonts w:ascii="Century Gothic" w:hAnsi="Century Gothic" w:eastAsia="Calibri" w:cs="Arial"/>
        </w:rPr>
        <w:t xml:space="preserve">, </w:t>
      </w:r>
      <w:r w:rsidRPr="001A0A60" w:rsidR="00A05B94">
        <w:rPr>
          <w:rFonts w:ascii="Century Gothic" w:hAnsi="Century Gothic" w:eastAsia="Calibri" w:cs="Arial"/>
        </w:rPr>
        <w:t>libre locomoción –art. 24–</w:t>
      </w:r>
      <w:r w:rsidRPr="001A0A60" w:rsidR="00A8271C">
        <w:rPr>
          <w:rFonts w:ascii="Century Gothic" w:hAnsi="Century Gothic" w:eastAsia="Calibri" w:cs="Arial"/>
        </w:rPr>
        <w:t>, salud–art</w:t>
      </w:r>
      <w:r w:rsidRPr="001A0A60" w:rsidR="00A50D4B">
        <w:rPr>
          <w:rFonts w:ascii="Century Gothic" w:hAnsi="Century Gothic" w:eastAsia="Calibri" w:cs="Arial"/>
        </w:rPr>
        <w:t>s</w:t>
      </w:r>
      <w:r w:rsidRPr="001A0A60" w:rsidR="00A8271C">
        <w:rPr>
          <w:rFonts w:ascii="Century Gothic" w:hAnsi="Century Gothic" w:eastAsia="Calibri" w:cs="Arial"/>
        </w:rPr>
        <w:t xml:space="preserve">. </w:t>
      </w:r>
      <w:r w:rsidRPr="001A0A60" w:rsidR="00F31A90">
        <w:rPr>
          <w:rFonts w:ascii="Century Gothic" w:hAnsi="Century Gothic" w:eastAsia="Calibri" w:cs="Arial"/>
        </w:rPr>
        <w:t xml:space="preserve">48 y </w:t>
      </w:r>
      <w:r w:rsidRPr="001A0A60" w:rsidR="00A8271C">
        <w:rPr>
          <w:rFonts w:ascii="Century Gothic" w:hAnsi="Century Gothic" w:eastAsia="Calibri" w:cs="Arial"/>
        </w:rPr>
        <w:t>49–,</w:t>
      </w:r>
      <w:r w:rsidRPr="001A0A60" w:rsidR="007713DB">
        <w:rPr>
          <w:rFonts w:ascii="Century Gothic" w:hAnsi="Century Gothic" w:eastAsia="Calibri" w:cs="Arial"/>
        </w:rPr>
        <w:t>recreación, deporte y aprovechamiento del tiempo libre</w:t>
      </w:r>
      <w:r w:rsidRPr="001A0A60" w:rsidR="00F31A90">
        <w:rPr>
          <w:rFonts w:ascii="Century Gothic" w:hAnsi="Century Gothic" w:eastAsia="Calibri" w:cs="Arial"/>
        </w:rPr>
        <w:t xml:space="preserve"> –art</w:t>
      </w:r>
      <w:r w:rsidRPr="001A0A60" w:rsidR="007713DB">
        <w:rPr>
          <w:rFonts w:ascii="Century Gothic" w:hAnsi="Century Gothic" w:eastAsia="Calibri" w:cs="Arial"/>
        </w:rPr>
        <w:t>. 52–, educación –art. 67–</w:t>
      </w:r>
      <w:r w:rsidRPr="001A0A60" w:rsidR="00266BF8">
        <w:rPr>
          <w:rFonts w:ascii="Century Gothic" w:hAnsi="Century Gothic" w:eastAsia="Calibri" w:cs="Arial"/>
        </w:rPr>
        <w:t>, medio ambiente sano–art. 79–,  entre otros.</w:t>
      </w:r>
    </w:p>
    <w:p w:rsidRPr="00874EAA" w:rsidR="00200BE0" w:rsidP="00874EAA" w:rsidRDefault="00562889" w14:paraId="60CC1303" w14:textId="3231CB4E">
      <w:pPr>
        <w:spacing w:after="120" w:line="276" w:lineRule="auto"/>
        <w:ind w:right="49"/>
        <w:jc w:val="both"/>
        <w:rPr>
          <w:rFonts w:ascii="Century Gothic" w:hAnsi="Century Gothic" w:eastAsia="Calibri" w:cs="Arial"/>
        </w:rPr>
      </w:pPr>
      <w:r w:rsidRPr="00874EAA">
        <w:rPr>
          <w:rFonts w:ascii="Century Gothic" w:hAnsi="Century Gothic" w:eastAsia="Calibri" w:cs="Arial"/>
        </w:rPr>
        <w:tab/>
      </w:r>
      <w:r w:rsidRPr="00874EAA" w:rsidR="00D32668">
        <w:rPr>
          <w:rFonts w:ascii="Century Gothic" w:hAnsi="Century Gothic" w:eastAsia="Calibri" w:cs="Arial"/>
        </w:rPr>
        <w:t xml:space="preserve">Conforme a lo anterior, </w:t>
      </w:r>
      <w:r w:rsidRPr="001A0A60" w:rsidR="00266F95">
        <w:rPr>
          <w:rFonts w:ascii="Century Gothic" w:hAnsi="Century Gothic" w:eastAsia="Calibri" w:cs="Arial"/>
        </w:rPr>
        <w:t xml:space="preserve">la implementación de </w:t>
      </w:r>
      <w:r w:rsidRPr="00874EAA" w:rsidR="00D32668">
        <w:rPr>
          <w:rFonts w:ascii="Century Gothic" w:hAnsi="Century Gothic" w:eastAsia="Calibri" w:cs="Arial"/>
        </w:rPr>
        <w:t>las causales M) y N)</w:t>
      </w:r>
      <w:r w:rsidRPr="001A0A60" w:rsidR="00453C2D">
        <w:rPr>
          <w:rFonts w:ascii="Century Gothic" w:hAnsi="Century Gothic" w:eastAsia="Calibri" w:cs="Arial"/>
        </w:rPr>
        <w:t xml:space="preserve"> del artículo 2, numeral 4 de la Ley 1150 de 2007</w:t>
      </w:r>
      <w:r w:rsidRPr="001A0A60" w:rsidR="00C46A9A">
        <w:rPr>
          <w:rFonts w:ascii="Century Gothic" w:hAnsi="Century Gothic" w:eastAsia="Calibri" w:cs="Arial"/>
        </w:rPr>
        <w:t xml:space="preserve"> </w:t>
      </w:r>
      <w:r w:rsidRPr="00874EAA" w:rsidR="00453C2D">
        <w:rPr>
          <w:rFonts w:ascii="Century Gothic" w:hAnsi="Century Gothic" w:eastAsia="Calibri" w:cs="Arial"/>
        </w:rPr>
        <w:t>está determinada por l</w:t>
      </w:r>
      <w:r w:rsidRPr="001A0A60" w:rsidR="00C46A9A">
        <w:rPr>
          <w:rFonts w:ascii="Century Gothic" w:hAnsi="Century Gothic" w:eastAsia="Calibri" w:cs="Arial"/>
        </w:rPr>
        <w:t xml:space="preserve">os requisitos </w:t>
      </w:r>
      <w:r w:rsidRPr="001A0A60" w:rsidR="000124A3">
        <w:rPr>
          <w:rFonts w:ascii="Century Gothic" w:hAnsi="Century Gothic" w:eastAsia="Calibri" w:cs="Arial"/>
        </w:rPr>
        <w:t xml:space="preserve">que aquí se han precisado. </w:t>
      </w:r>
      <w:bookmarkStart w:name="_Hlk159334155" w:id="9"/>
      <w:r w:rsidRPr="001A0A60" w:rsidR="000124A3">
        <w:rPr>
          <w:rFonts w:ascii="Century Gothic" w:hAnsi="Century Gothic" w:eastAsia="Calibri" w:cs="Arial"/>
        </w:rPr>
        <w:t xml:space="preserve">De esta manera, </w:t>
      </w:r>
      <w:r w:rsidRPr="001A0A60" w:rsidR="001E44C2">
        <w:rPr>
          <w:rFonts w:ascii="Century Gothic" w:hAnsi="Century Gothic" w:eastAsia="Calibri" w:cs="Arial"/>
        </w:rPr>
        <w:t>la aplicación adecuada de la primera causal exige que el eve</w:t>
      </w:r>
      <w:r w:rsidRPr="001A0A60" w:rsidR="00881230">
        <w:rPr>
          <w:rFonts w:ascii="Century Gothic" w:hAnsi="Century Gothic" w:eastAsia="Calibri" w:cs="Arial"/>
        </w:rPr>
        <w:t>ntual contratista acredite la calidad de Consejo Comunitario</w:t>
      </w:r>
      <w:r w:rsidRPr="001A0A60" w:rsidR="00A25C28">
        <w:rPr>
          <w:rFonts w:ascii="Century Gothic" w:hAnsi="Century Gothic" w:eastAsia="Calibri" w:cs="Arial"/>
        </w:rPr>
        <w:t>, así como las actuaciones tendientes a su inscripción y actualización en</w:t>
      </w:r>
      <w:r w:rsidRPr="001A0A60" w:rsidR="00881230">
        <w:rPr>
          <w:rFonts w:ascii="Century Gothic" w:hAnsi="Century Gothic" w:eastAsia="Calibri" w:cs="Arial"/>
        </w:rPr>
        <w:t xml:space="preserve"> el </w:t>
      </w:r>
      <w:r w:rsidRPr="001A0A60" w:rsidR="00C3655F">
        <w:rPr>
          <w:rFonts w:ascii="Century Gothic" w:hAnsi="Century Gothic" w:eastAsia="Calibri" w:cs="Arial"/>
        </w:rPr>
        <w:t>Registro Único de la Dirección de Asuntos para Comunidades Negras, Afrocolombianas, Raizales y Palenqueras del Ministerio del Interior</w:t>
      </w:r>
      <w:r w:rsidRPr="001A0A60" w:rsidR="007946AB">
        <w:rPr>
          <w:rFonts w:ascii="Century Gothic" w:hAnsi="Century Gothic" w:eastAsia="Calibri" w:cs="Arial"/>
        </w:rPr>
        <w:t xml:space="preserve">. </w:t>
      </w:r>
      <w:r w:rsidRPr="001A0A60" w:rsidR="00C3655F">
        <w:rPr>
          <w:rFonts w:ascii="Century Gothic" w:hAnsi="Century Gothic" w:eastAsia="Calibri" w:cs="Arial"/>
        </w:rPr>
        <w:t xml:space="preserve"> </w:t>
      </w:r>
      <w:r w:rsidRPr="001A0A60" w:rsidR="007946AB">
        <w:rPr>
          <w:rFonts w:ascii="Century Gothic" w:hAnsi="Century Gothic" w:eastAsia="Calibri" w:cs="Arial"/>
        </w:rPr>
        <w:t xml:space="preserve">Del mismo modo, para acreditar </w:t>
      </w:r>
      <w:r w:rsidRPr="001A0A60" w:rsidR="00C3655F">
        <w:rPr>
          <w:rFonts w:ascii="Century Gothic" w:hAnsi="Century Gothic" w:eastAsia="Calibri" w:cs="Arial"/>
        </w:rPr>
        <w:t>que el requisito subjetivo de la otra causa</w:t>
      </w:r>
      <w:r w:rsidRPr="001A0A60" w:rsidR="009B3FE0">
        <w:rPr>
          <w:rFonts w:ascii="Century Gothic" w:hAnsi="Century Gothic" w:eastAsia="Calibri" w:cs="Arial"/>
        </w:rPr>
        <w:t xml:space="preserve">l se requiere que la Organización de Base o Forma </w:t>
      </w:r>
      <w:r w:rsidRPr="001A0A60" w:rsidR="00D1604F">
        <w:rPr>
          <w:rFonts w:ascii="Century Gothic" w:hAnsi="Century Gothic" w:eastAsia="Calibri" w:cs="Arial"/>
        </w:rPr>
        <w:t>Organizativa, demuestre haberse inscrito</w:t>
      </w:r>
      <w:r w:rsidRPr="001A0A60" w:rsidR="007C556E">
        <w:rPr>
          <w:rFonts w:ascii="Century Gothic" w:hAnsi="Century Gothic" w:eastAsia="Calibri" w:cs="Arial"/>
        </w:rPr>
        <w:t xml:space="preserve"> hace por lo menos diez (10) años en aludido registro, habiendo cumplido con el deber de actualización. Cumplidos estos requisitos, </w:t>
      </w:r>
      <w:r w:rsidRPr="001A0A60" w:rsidR="006F2D47">
        <w:rPr>
          <w:rFonts w:ascii="Century Gothic" w:hAnsi="Century Gothic" w:eastAsia="Calibri" w:cs="Arial"/>
        </w:rPr>
        <w:t xml:space="preserve">para validar la correcta aplicación de las causales las </w:t>
      </w:r>
      <w:r w:rsidRPr="001A0A60" w:rsidR="002E6931">
        <w:rPr>
          <w:rFonts w:ascii="Century Gothic" w:hAnsi="Century Gothic" w:eastAsia="Calibri" w:cs="Arial"/>
        </w:rPr>
        <w:t xml:space="preserve">Entidades Estatales deberán cerciorarse </w:t>
      </w:r>
      <w:r w:rsidRPr="001A0A60" w:rsidR="00D731B6">
        <w:rPr>
          <w:rFonts w:ascii="Century Gothic" w:hAnsi="Century Gothic" w:eastAsia="Calibri" w:cs="Arial"/>
        </w:rPr>
        <w:t>de que,</w:t>
      </w:r>
      <w:r w:rsidRPr="001A0A60" w:rsidR="002E6931">
        <w:rPr>
          <w:rFonts w:ascii="Century Gothic" w:hAnsi="Century Gothic" w:eastAsia="Calibri" w:cs="Arial"/>
        </w:rPr>
        <w:t xml:space="preserve"> el objeto contractual </w:t>
      </w:r>
      <w:r w:rsidRPr="001A0A60" w:rsidR="00E36214">
        <w:rPr>
          <w:rFonts w:ascii="Century Gothic" w:hAnsi="Century Gothic" w:eastAsia="Calibri" w:cs="Arial"/>
        </w:rPr>
        <w:t>está</w:t>
      </w:r>
      <w:r w:rsidRPr="001A0A60" w:rsidR="00846C12">
        <w:rPr>
          <w:rFonts w:ascii="Century Gothic" w:hAnsi="Century Gothic" w:eastAsia="Calibri" w:cs="Arial"/>
        </w:rPr>
        <w:t xml:space="preserve"> relacionado con el fortalecimiento</w:t>
      </w:r>
      <w:r w:rsidRPr="001A0A60" w:rsidR="003B610A">
        <w:rPr>
          <w:rFonts w:ascii="Century Gothic" w:hAnsi="Century Gothic" w:eastAsia="Calibri" w:cs="Arial"/>
        </w:rPr>
        <w:t xml:space="preserve"> </w:t>
      </w:r>
      <w:r w:rsidRPr="001A0A60" w:rsidR="00170126">
        <w:rPr>
          <w:rFonts w:ascii="Century Gothic" w:hAnsi="Century Gothic" w:eastAsia="Calibri" w:cs="Arial"/>
        </w:rPr>
        <w:t>del gobierno propio–u organizativo–, la</w:t>
      </w:r>
      <w:r w:rsidRPr="001A0A60" w:rsidR="00846C12">
        <w:rPr>
          <w:rFonts w:ascii="Century Gothic" w:hAnsi="Century Gothic" w:eastAsia="Calibri" w:cs="Arial"/>
        </w:rPr>
        <w:t xml:space="preserve"> identidad </w:t>
      </w:r>
      <w:r w:rsidRPr="001A0A60" w:rsidR="00E36214">
        <w:rPr>
          <w:rFonts w:ascii="Century Gothic" w:hAnsi="Century Gothic" w:eastAsia="Calibri" w:cs="Arial"/>
        </w:rPr>
        <w:t xml:space="preserve">étnica y </w:t>
      </w:r>
      <w:r w:rsidRPr="001A0A60" w:rsidR="00846C12">
        <w:rPr>
          <w:rFonts w:ascii="Century Gothic" w:hAnsi="Century Gothic" w:eastAsia="Calibri" w:cs="Arial"/>
        </w:rPr>
        <w:t>cultural</w:t>
      </w:r>
      <w:r w:rsidRPr="001A0A60" w:rsidR="00170126">
        <w:rPr>
          <w:rFonts w:ascii="Century Gothic" w:hAnsi="Century Gothic" w:eastAsia="Calibri" w:cs="Arial"/>
        </w:rPr>
        <w:t xml:space="preserve">, </w:t>
      </w:r>
      <w:r w:rsidRPr="001A0A60" w:rsidR="00846C12">
        <w:rPr>
          <w:rFonts w:ascii="Century Gothic" w:hAnsi="Century Gothic" w:eastAsia="Calibri" w:cs="Arial"/>
        </w:rPr>
        <w:t>la autonomía</w:t>
      </w:r>
      <w:r w:rsidRPr="001A0A60" w:rsidR="00D731B6">
        <w:rPr>
          <w:rFonts w:ascii="Century Gothic" w:hAnsi="Century Gothic" w:eastAsia="Calibri" w:cs="Arial"/>
        </w:rPr>
        <w:t xml:space="preserve"> o </w:t>
      </w:r>
      <w:r w:rsidRPr="001A0A60" w:rsidR="001C3A19">
        <w:rPr>
          <w:rFonts w:ascii="Century Gothic" w:hAnsi="Century Gothic" w:eastAsia="Calibri" w:cs="Arial"/>
        </w:rPr>
        <w:t>los derechos de l</w:t>
      </w:r>
      <w:r w:rsidRPr="001A0A60" w:rsidR="00CA14F7">
        <w:rPr>
          <w:rFonts w:ascii="Century Gothic" w:hAnsi="Century Gothic" w:eastAsia="Calibri" w:cs="Arial"/>
        </w:rPr>
        <w:t xml:space="preserve">as personas </w:t>
      </w:r>
      <w:r w:rsidRPr="001A0A60" w:rsidR="00CA14F7">
        <w:rPr>
          <w:rFonts w:ascii="Century Gothic" w:hAnsi="Century Gothic" w:eastAsia="Calibri" w:cs="Arial"/>
        </w:rPr>
        <w:t xml:space="preserve">pertenecientes a </w:t>
      </w:r>
      <w:r w:rsidRPr="001A0A60" w:rsidR="00C15F7C">
        <w:rPr>
          <w:rFonts w:ascii="Century Gothic" w:hAnsi="Century Gothic" w:eastAsia="Calibri" w:cs="Arial"/>
        </w:rPr>
        <w:t xml:space="preserve">las </w:t>
      </w:r>
      <w:r w:rsidRPr="001A0A60" w:rsidR="00CA14F7">
        <w:rPr>
          <w:rFonts w:ascii="Century Gothic" w:hAnsi="Century Gothic" w:eastAsia="Calibri" w:cs="Arial"/>
        </w:rPr>
        <w:t>comunidades y/</w:t>
      </w:r>
      <w:r w:rsidRPr="001A0A60" w:rsidR="00E509F2">
        <w:rPr>
          <w:rFonts w:ascii="Century Gothic" w:hAnsi="Century Gothic" w:eastAsia="Calibri" w:cs="Arial"/>
        </w:rPr>
        <w:t>o</w:t>
      </w:r>
      <w:r w:rsidRPr="001A0A60" w:rsidR="00CA14F7">
        <w:rPr>
          <w:rFonts w:ascii="Century Gothic" w:hAnsi="Century Gothic" w:eastAsia="Calibri" w:cs="Arial"/>
        </w:rPr>
        <w:t xml:space="preserve"> organizaciones de</w:t>
      </w:r>
      <w:r w:rsidRPr="001A0A60" w:rsidR="00C15F7C">
        <w:rPr>
          <w:rFonts w:ascii="Century Gothic" w:hAnsi="Century Gothic" w:eastAsia="Calibri" w:cs="Arial"/>
        </w:rPr>
        <w:t xml:space="preserve"> la </w:t>
      </w:r>
      <w:r w:rsidR="006F2CC7">
        <w:rPr>
          <w:rFonts w:ascii="Century Gothic" w:hAnsi="Century Gothic" w:eastAsia="Calibri" w:cs="Arial"/>
        </w:rPr>
        <w:t>comunidad</w:t>
      </w:r>
      <w:r w:rsidRPr="001A0A60" w:rsidR="00C15F7C">
        <w:rPr>
          <w:rFonts w:ascii="Century Gothic" w:hAnsi="Century Gothic" w:eastAsia="Calibri" w:cs="Arial"/>
        </w:rPr>
        <w:t xml:space="preserve"> negra, </w:t>
      </w:r>
      <w:r w:rsidRPr="001A0A60" w:rsidR="00E509F2">
        <w:rPr>
          <w:rFonts w:ascii="Century Gothic" w:hAnsi="Century Gothic" w:eastAsia="Calibri" w:cs="Arial"/>
        </w:rPr>
        <w:t>afrodescendiente</w:t>
      </w:r>
      <w:r w:rsidRPr="001A0A60" w:rsidR="00C15F7C">
        <w:rPr>
          <w:rFonts w:ascii="Century Gothic" w:hAnsi="Century Gothic" w:eastAsia="Calibri" w:cs="Arial"/>
        </w:rPr>
        <w:t xml:space="preserve">, raizal </w:t>
      </w:r>
      <w:r w:rsidRPr="001A0A60" w:rsidR="00E509F2">
        <w:rPr>
          <w:rFonts w:ascii="Century Gothic" w:hAnsi="Century Gothic" w:eastAsia="Calibri" w:cs="Arial"/>
        </w:rPr>
        <w:t xml:space="preserve">y/o palenquera. </w:t>
      </w:r>
      <w:r w:rsidRPr="001A0A60" w:rsidR="00CA14F7">
        <w:rPr>
          <w:rFonts w:ascii="Century Gothic" w:hAnsi="Century Gothic" w:eastAsia="Calibri" w:cs="Arial"/>
        </w:rPr>
        <w:t xml:space="preserve"> </w:t>
      </w:r>
      <w:r w:rsidRPr="001A0A60" w:rsidR="001C3A19">
        <w:rPr>
          <w:rFonts w:ascii="Century Gothic" w:hAnsi="Century Gothic" w:eastAsia="Calibri" w:cs="Arial"/>
        </w:rPr>
        <w:t xml:space="preserve"> </w:t>
      </w:r>
      <w:r w:rsidRPr="001A0A60" w:rsidR="002E6931">
        <w:rPr>
          <w:rFonts w:ascii="Century Gothic" w:hAnsi="Century Gothic" w:eastAsia="Calibri" w:cs="Arial"/>
        </w:rPr>
        <w:t xml:space="preserve"> </w:t>
      </w:r>
    </w:p>
    <w:bookmarkEnd w:id="9"/>
    <w:p w:rsidRPr="00A65B02" w:rsidR="00FD5D77" w:rsidP="00FD5D77" w:rsidRDefault="00FD5D77" w14:paraId="558DDECA" w14:textId="77777777">
      <w:pPr>
        <w:spacing w:after="120" w:line="276" w:lineRule="auto"/>
        <w:ind w:firstLine="708"/>
        <w:jc w:val="both"/>
        <w:rPr>
          <w:rFonts w:ascii="Century Gothic" w:hAnsi="Century Gothic"/>
          <w:color w:val="2D2D2D"/>
          <w:shd w:val="clear" w:color="auto" w:fill="FFFFFF"/>
        </w:rPr>
      </w:pPr>
      <w:r w:rsidRPr="00A65B02">
        <w:rPr>
          <w:rFonts w:ascii="Century Gothic" w:hAnsi="Century Gothic" w:eastAsia="Calibri" w:cs="Arial"/>
          <w:lang w:val="es-ES"/>
        </w:rPr>
        <w:t xml:space="preserve">Sin perjuicio del alcance de las nociones previamente expuestas, ha de tenerse en cuenta que los derechos que se derivan de la diversidad étnica y cultural no tienen un alcance absoluto. Las limitaciones a las que </w:t>
      </w:r>
      <w:r w:rsidRPr="00A65B02">
        <w:rPr>
          <w:rFonts w:ascii="Century Gothic" w:hAnsi="Century Gothic"/>
          <w:color w:val="2D2D2D"/>
          <w:shd w:val="clear" w:color="auto" w:fill="FFFFFF"/>
        </w:rPr>
        <w:t>se encuentra sometida la autonomía de las comunidades  en efecto, surge en primer lugar del propio texto constitucional, que establece unas condiciones para su ejercicio, al resaltar </w:t>
      </w:r>
      <w:r w:rsidRPr="00A65B02">
        <w:rPr>
          <w:rFonts w:ascii="Century Gothic" w:hAnsi="Century Gothic"/>
          <w:i/>
          <w:iCs/>
          <w:color w:val="2D2D2D"/>
          <w:shd w:val="clear" w:color="auto" w:fill="FFFFFF"/>
        </w:rPr>
        <w:t>prima facie</w:t>
      </w:r>
      <w:r w:rsidRPr="00A65B02">
        <w:rPr>
          <w:rFonts w:ascii="Century Gothic" w:hAnsi="Century Gothic"/>
          <w:color w:val="2D2D2D"/>
          <w:shd w:val="clear" w:color="auto" w:fill="FFFFFF"/>
        </w:rPr>
        <w:t> </w:t>
      </w:r>
      <w:r w:rsidRPr="00A65B02">
        <w:rPr>
          <w:rFonts w:ascii="Century Gothic" w:hAnsi="Century Gothic"/>
          <w:i/>
          <w:iCs/>
          <w:color w:val="2D2D2D"/>
          <w:shd w:val="clear" w:color="auto" w:fill="FFFFFF"/>
        </w:rPr>
        <w:t>(i)</w:t>
      </w:r>
      <w:r w:rsidRPr="00A65B02">
        <w:rPr>
          <w:rFonts w:ascii="Century Gothic" w:hAnsi="Century Gothic"/>
          <w:color w:val="2D2D2D"/>
          <w:shd w:val="clear" w:color="auto" w:fill="FFFFFF"/>
        </w:rPr>
        <w:t> que nuestro país es un Estado </w:t>
      </w:r>
      <w:r w:rsidRPr="00A65B02">
        <w:rPr>
          <w:rFonts w:ascii="Century Gothic" w:hAnsi="Century Gothic"/>
          <w:i/>
          <w:iCs/>
          <w:color w:val="2D2D2D"/>
          <w:shd w:val="clear" w:color="auto" w:fill="FFFFFF"/>
        </w:rPr>
        <w:t>unitario</w:t>
      </w:r>
      <w:r w:rsidRPr="00A65B02">
        <w:rPr>
          <w:rFonts w:ascii="Century Gothic" w:hAnsi="Century Gothic"/>
          <w:color w:val="2D2D2D"/>
          <w:shd w:val="clear" w:color="auto" w:fill="FFFFFF"/>
        </w:rPr>
        <w:t>, con autonomía de sus entidades territoriales y </w:t>
      </w:r>
      <w:r w:rsidRPr="00A65B02">
        <w:rPr>
          <w:rFonts w:ascii="Century Gothic" w:hAnsi="Century Gothic"/>
          <w:i/>
          <w:iCs/>
          <w:color w:val="2D2D2D"/>
          <w:shd w:val="clear" w:color="auto" w:fill="FFFFFF"/>
        </w:rPr>
        <w:t>(</w:t>
      </w:r>
      <w:proofErr w:type="spellStart"/>
      <w:r w:rsidRPr="00A65B02">
        <w:rPr>
          <w:rFonts w:ascii="Century Gothic" w:hAnsi="Century Gothic"/>
          <w:i/>
          <w:iCs/>
          <w:color w:val="2D2D2D"/>
          <w:shd w:val="clear" w:color="auto" w:fill="FFFFFF"/>
        </w:rPr>
        <w:t>ii</w:t>
      </w:r>
      <w:proofErr w:type="spellEnd"/>
      <w:r w:rsidRPr="00A65B02">
        <w:rPr>
          <w:rFonts w:ascii="Century Gothic" w:hAnsi="Century Gothic"/>
          <w:i/>
          <w:iCs/>
          <w:color w:val="2D2D2D"/>
          <w:shd w:val="clear" w:color="auto" w:fill="FFFFFF"/>
        </w:rPr>
        <w:t>)</w:t>
      </w:r>
      <w:r w:rsidRPr="00A65B02">
        <w:rPr>
          <w:rFonts w:ascii="Century Gothic" w:hAnsi="Century Gothic"/>
          <w:color w:val="2D2D2D"/>
          <w:shd w:val="clear" w:color="auto" w:fill="FFFFFF"/>
        </w:rPr>
        <w:t> que la autonomía política y jurídica de las comunidades, puede ejercerse –como se indicó–, </w:t>
      </w:r>
      <w:r w:rsidRPr="00A65B02">
        <w:rPr>
          <w:rFonts w:ascii="Century Gothic" w:hAnsi="Century Gothic"/>
          <w:i/>
          <w:iCs/>
          <w:color w:val="2D2D2D"/>
          <w:shd w:val="clear" w:color="auto" w:fill="FFFFFF"/>
        </w:rPr>
        <w:t>conforme a sus usos y costumbres</w:t>
      </w:r>
      <w:r w:rsidRPr="00A65B02">
        <w:rPr>
          <w:rFonts w:ascii="Century Gothic" w:hAnsi="Century Gothic"/>
          <w:color w:val="2D2D2D"/>
          <w:shd w:val="clear" w:color="auto" w:fill="FFFFFF"/>
        </w:rPr>
        <w:t>, siempre y cuando éstos no sean contrarios a la Constitución y a la ley.</w:t>
      </w:r>
      <w:r w:rsidRPr="00A65B02">
        <w:rPr>
          <w:rStyle w:val="FootnoteReference"/>
          <w:rFonts w:ascii="Century Gothic" w:hAnsi="Century Gothic"/>
          <w:color w:val="2D2D2D"/>
          <w:shd w:val="clear" w:color="auto" w:fill="FFFFFF"/>
        </w:rPr>
        <w:footnoteReference w:id="20"/>
      </w:r>
    </w:p>
    <w:p w:rsidRPr="001A0A60" w:rsidR="00FA28AD" w:rsidP="00FD5D77" w:rsidRDefault="000C65FC" w14:paraId="27BE9C42" w14:textId="77777777">
      <w:pPr>
        <w:spacing w:after="120" w:line="276" w:lineRule="auto"/>
        <w:ind w:firstLine="708"/>
        <w:jc w:val="both"/>
        <w:rPr>
          <w:rFonts w:ascii="Century Gothic" w:hAnsi="Century Gothic"/>
          <w:color w:val="2D2D2D"/>
          <w:shd w:val="clear" w:color="auto" w:fill="FFFFFF"/>
        </w:rPr>
      </w:pPr>
      <w:r w:rsidRPr="001A0A60">
        <w:rPr>
          <w:rFonts w:ascii="Century Gothic" w:hAnsi="Century Gothic"/>
          <w:color w:val="2D2D2D"/>
          <w:shd w:val="clear" w:color="auto" w:fill="FFFFFF"/>
        </w:rPr>
        <w:t xml:space="preserve">Dicho lo anterior, </w:t>
      </w:r>
      <w:r w:rsidRPr="001A0A60" w:rsidR="00690B87">
        <w:rPr>
          <w:rFonts w:ascii="Century Gothic" w:hAnsi="Century Gothic"/>
          <w:color w:val="2D2D2D"/>
          <w:shd w:val="clear" w:color="auto" w:fill="FFFFFF"/>
        </w:rPr>
        <w:t>es importante aclarar que,</w:t>
      </w:r>
      <w:r w:rsidRPr="001A0A60" w:rsidR="00470C5E">
        <w:rPr>
          <w:rFonts w:ascii="Century Gothic" w:hAnsi="Century Gothic"/>
          <w:color w:val="2D2D2D"/>
          <w:shd w:val="clear" w:color="auto" w:fill="FFFFFF"/>
        </w:rPr>
        <w:t xml:space="preserve"> los </w:t>
      </w:r>
      <w:r w:rsidRPr="001A0A60" w:rsidR="008A4E9B">
        <w:rPr>
          <w:rFonts w:ascii="Century Gothic" w:hAnsi="Century Gothic"/>
          <w:color w:val="2D2D2D"/>
          <w:shd w:val="clear" w:color="auto" w:fill="FFFFFF"/>
        </w:rPr>
        <w:t>acuerdo</w:t>
      </w:r>
      <w:r w:rsidRPr="001A0A60" w:rsidR="00470C5E">
        <w:rPr>
          <w:rFonts w:ascii="Century Gothic" w:hAnsi="Century Gothic"/>
          <w:color w:val="2D2D2D"/>
          <w:shd w:val="clear" w:color="auto" w:fill="FFFFFF"/>
        </w:rPr>
        <w:t xml:space="preserve"> </w:t>
      </w:r>
      <w:r w:rsidRPr="001A0A60" w:rsidR="004512B6">
        <w:rPr>
          <w:rFonts w:ascii="Century Gothic" w:hAnsi="Century Gothic"/>
          <w:color w:val="2D2D2D"/>
          <w:shd w:val="clear" w:color="auto" w:fill="FFFFFF"/>
        </w:rPr>
        <w:t xml:space="preserve">que celebren </w:t>
      </w:r>
      <w:r w:rsidRPr="001A0A60" w:rsidR="00470C5E">
        <w:rPr>
          <w:rFonts w:ascii="Century Gothic" w:hAnsi="Century Gothic"/>
          <w:color w:val="2D2D2D"/>
          <w:shd w:val="clear" w:color="auto" w:fill="FFFFFF"/>
        </w:rPr>
        <w:t>la</w:t>
      </w:r>
      <w:r w:rsidRPr="001A0A60" w:rsidR="004512B6">
        <w:rPr>
          <w:rFonts w:ascii="Century Gothic" w:hAnsi="Century Gothic"/>
          <w:color w:val="2D2D2D"/>
          <w:shd w:val="clear" w:color="auto" w:fill="FFFFFF"/>
        </w:rPr>
        <w:t>s</w:t>
      </w:r>
      <w:r w:rsidRPr="001A0A60" w:rsidR="00470C5E">
        <w:rPr>
          <w:rFonts w:ascii="Century Gothic" w:hAnsi="Century Gothic"/>
          <w:color w:val="2D2D2D"/>
          <w:shd w:val="clear" w:color="auto" w:fill="FFFFFF"/>
        </w:rPr>
        <w:t xml:space="preserve"> Entidades Estatales</w:t>
      </w:r>
      <w:r w:rsidRPr="001A0A60" w:rsidR="00506D42">
        <w:rPr>
          <w:rFonts w:ascii="Century Gothic" w:hAnsi="Century Gothic"/>
          <w:color w:val="2D2D2D"/>
          <w:shd w:val="clear" w:color="auto" w:fill="FFFFFF"/>
        </w:rPr>
        <w:t xml:space="preserve"> a las que se refiere la Ley 80 de 1993</w:t>
      </w:r>
      <w:r w:rsidRPr="001A0A60" w:rsidR="004512B6">
        <w:rPr>
          <w:rFonts w:ascii="Century Gothic" w:hAnsi="Century Gothic"/>
          <w:color w:val="2D2D2D"/>
          <w:shd w:val="clear" w:color="auto" w:fill="FFFFFF"/>
        </w:rPr>
        <w:t xml:space="preserve"> en aplicación de </w:t>
      </w:r>
      <w:r w:rsidRPr="001A0A60" w:rsidR="00506D42">
        <w:rPr>
          <w:rFonts w:ascii="Century Gothic" w:hAnsi="Century Gothic"/>
          <w:color w:val="2D2D2D"/>
          <w:shd w:val="clear" w:color="auto" w:fill="FFFFFF"/>
        </w:rPr>
        <w:t xml:space="preserve">las </w:t>
      </w:r>
      <w:r w:rsidRPr="001A0A60" w:rsidR="004512B6">
        <w:rPr>
          <w:rFonts w:ascii="Century Gothic" w:hAnsi="Century Gothic"/>
          <w:color w:val="2D2D2D"/>
          <w:shd w:val="clear" w:color="auto" w:fill="FFFFFF"/>
        </w:rPr>
        <w:t>causales</w:t>
      </w:r>
      <w:r w:rsidRPr="001A0A60" w:rsidR="00506D42">
        <w:rPr>
          <w:rFonts w:ascii="Century Gothic" w:hAnsi="Century Gothic"/>
          <w:color w:val="2D2D2D"/>
          <w:shd w:val="clear" w:color="auto" w:fill="FFFFFF"/>
        </w:rPr>
        <w:t xml:space="preserve"> bajo estudio</w:t>
      </w:r>
      <w:r w:rsidRPr="001A0A60" w:rsidR="00E23F64">
        <w:rPr>
          <w:rFonts w:ascii="Century Gothic" w:hAnsi="Century Gothic"/>
          <w:color w:val="2D2D2D"/>
          <w:shd w:val="clear" w:color="auto" w:fill="FFFFFF"/>
        </w:rPr>
        <w:t>,</w:t>
      </w:r>
      <w:r w:rsidRPr="001A0A60" w:rsidR="00506D42">
        <w:rPr>
          <w:rFonts w:ascii="Century Gothic" w:hAnsi="Century Gothic"/>
          <w:color w:val="2D2D2D"/>
          <w:shd w:val="clear" w:color="auto" w:fill="FFFFFF"/>
        </w:rPr>
        <w:t xml:space="preserve"> </w:t>
      </w:r>
      <w:r w:rsidRPr="001A0A60" w:rsidR="008A4E9B">
        <w:rPr>
          <w:rFonts w:ascii="Century Gothic" w:hAnsi="Century Gothic"/>
          <w:color w:val="2D2D2D"/>
          <w:shd w:val="clear" w:color="auto" w:fill="FFFFFF"/>
        </w:rPr>
        <w:t>tienen la naturaleza de contratos estatales sometidos al Estatuto General de Contratación de la Administración Pública</w:t>
      </w:r>
      <w:r w:rsidRPr="001A0A60" w:rsidR="00D05198">
        <w:rPr>
          <w:rFonts w:ascii="Century Gothic" w:hAnsi="Century Gothic"/>
          <w:color w:val="2D2D2D"/>
          <w:shd w:val="clear" w:color="auto" w:fill="FFFFFF"/>
        </w:rPr>
        <w:t xml:space="preserve">. Esto </w:t>
      </w:r>
      <w:r w:rsidRPr="001A0A60" w:rsidR="008771BD">
        <w:rPr>
          <w:rFonts w:ascii="Century Gothic" w:hAnsi="Century Gothic"/>
          <w:color w:val="2D2D2D"/>
          <w:shd w:val="clear" w:color="auto" w:fill="FFFFFF"/>
        </w:rPr>
        <w:t xml:space="preserve">no solo implica la aplicación de las disposiciones legales </w:t>
      </w:r>
      <w:r w:rsidRPr="001A0A60" w:rsidR="00BC7589">
        <w:rPr>
          <w:rFonts w:ascii="Century Gothic" w:hAnsi="Century Gothic"/>
          <w:color w:val="2D2D2D"/>
          <w:shd w:val="clear" w:color="auto" w:fill="FFFFFF"/>
        </w:rPr>
        <w:t xml:space="preserve">de normas como la Leyes 80 de 1993, 1150 de 2007 y 1474 de 2011, sino también de las disposiciones reglamentarias de esta normativa, especialmente las referidas a la contratación </w:t>
      </w:r>
      <w:r w:rsidRPr="001A0A60" w:rsidR="00FA28AD">
        <w:rPr>
          <w:rFonts w:ascii="Century Gothic" w:hAnsi="Century Gothic"/>
          <w:color w:val="2D2D2D"/>
          <w:shd w:val="clear" w:color="auto" w:fill="FFFFFF"/>
        </w:rPr>
        <w:t>directa.</w:t>
      </w:r>
      <w:r w:rsidRPr="001A0A60" w:rsidR="00BC7589">
        <w:rPr>
          <w:rFonts w:ascii="Century Gothic" w:hAnsi="Century Gothic"/>
          <w:color w:val="2D2D2D"/>
          <w:shd w:val="clear" w:color="auto" w:fill="FFFFFF"/>
        </w:rPr>
        <w:t xml:space="preserve"> </w:t>
      </w:r>
    </w:p>
    <w:p w:rsidRPr="001A0A60" w:rsidR="00FD5D77" w:rsidP="00874EAA" w:rsidRDefault="00FA28AD" w14:paraId="3EA8C61F" w14:textId="03723772">
      <w:pPr>
        <w:spacing w:after="0" w:line="276" w:lineRule="auto"/>
        <w:ind w:firstLine="708"/>
        <w:jc w:val="both"/>
        <w:rPr>
          <w:rFonts w:ascii="Century Gothic" w:hAnsi="Century Gothic" w:cs="Arial"/>
          <w:lang w:val="es-ES"/>
        </w:rPr>
      </w:pPr>
      <w:r w:rsidRPr="001A0A60">
        <w:rPr>
          <w:rFonts w:ascii="Century Gothic" w:hAnsi="Century Gothic"/>
          <w:color w:val="2D2D2D"/>
          <w:shd w:val="clear" w:color="auto" w:fill="FFFFFF"/>
        </w:rPr>
        <w:t xml:space="preserve">En ese orden, el cumplimiento de los requisitos </w:t>
      </w:r>
      <w:r w:rsidRPr="001A0A60" w:rsidR="004A78A7">
        <w:rPr>
          <w:rFonts w:ascii="Century Gothic" w:hAnsi="Century Gothic"/>
          <w:color w:val="2D2D2D"/>
          <w:shd w:val="clear" w:color="auto" w:fill="FFFFFF"/>
        </w:rPr>
        <w:t xml:space="preserve">estudiados en el presente acápite, deber ser validado a través del procedimiento </w:t>
      </w:r>
      <w:r w:rsidRPr="001A0A60" w:rsidR="00CF6598">
        <w:rPr>
          <w:rFonts w:ascii="Century Gothic" w:hAnsi="Century Gothic"/>
          <w:color w:val="2D2D2D"/>
          <w:shd w:val="clear" w:color="auto" w:fill="FFFFFF"/>
        </w:rPr>
        <w:t>e instrumentos reglados por el Decreto 1082 de 2015. Es por esto</w:t>
      </w:r>
      <w:r w:rsidRPr="001A0A60" w:rsidR="002372F0">
        <w:rPr>
          <w:rFonts w:ascii="Century Gothic" w:hAnsi="Century Gothic"/>
          <w:color w:val="2D2D2D"/>
          <w:shd w:val="clear" w:color="auto" w:fill="FFFFFF"/>
        </w:rPr>
        <w:t xml:space="preserve"> por lo que, el contenido de </w:t>
      </w:r>
      <w:r w:rsidRPr="001A0A60" w:rsidR="00A97CA7">
        <w:rPr>
          <w:rFonts w:ascii="Century Gothic" w:hAnsi="Century Gothic"/>
          <w:color w:val="2D2D2D"/>
          <w:shd w:val="clear" w:color="auto" w:fill="FFFFFF"/>
        </w:rPr>
        <w:t xml:space="preserve">instrumentos </w:t>
      </w:r>
      <w:r w:rsidRPr="001A0A60" w:rsidR="002372F0">
        <w:rPr>
          <w:rFonts w:ascii="Century Gothic" w:hAnsi="Century Gothic"/>
          <w:color w:val="2D2D2D"/>
          <w:shd w:val="clear" w:color="auto" w:fill="FFFFFF"/>
        </w:rPr>
        <w:t>como el acto administrativo de</w:t>
      </w:r>
      <w:r w:rsidRPr="001A0A60" w:rsidR="00A63268">
        <w:rPr>
          <w:rFonts w:ascii="Century Gothic" w:hAnsi="Century Gothic"/>
          <w:color w:val="2D2D2D"/>
          <w:shd w:val="clear" w:color="auto" w:fill="FFFFFF"/>
        </w:rPr>
        <w:t xml:space="preserve"> justificación </w:t>
      </w:r>
      <w:r w:rsidRPr="001A0A60" w:rsidR="002372F0">
        <w:rPr>
          <w:rFonts w:ascii="Century Gothic" w:hAnsi="Century Gothic"/>
          <w:color w:val="2D2D2D"/>
          <w:shd w:val="clear" w:color="auto" w:fill="FFFFFF"/>
        </w:rPr>
        <w:t>la contratación directa</w:t>
      </w:r>
      <w:r w:rsidRPr="001A0A60" w:rsidR="00581186">
        <w:rPr>
          <w:rStyle w:val="FootnoteReference"/>
          <w:rFonts w:ascii="Century Gothic" w:hAnsi="Century Gothic"/>
          <w:color w:val="2D2D2D"/>
          <w:shd w:val="clear" w:color="auto" w:fill="FFFFFF"/>
        </w:rPr>
        <w:footnoteReference w:id="21"/>
      </w:r>
      <w:r w:rsidRPr="001A0A60" w:rsidR="002372F0">
        <w:rPr>
          <w:rFonts w:ascii="Century Gothic" w:hAnsi="Century Gothic"/>
          <w:color w:val="2D2D2D"/>
          <w:shd w:val="clear" w:color="auto" w:fill="FFFFFF"/>
        </w:rPr>
        <w:t>,</w:t>
      </w:r>
      <w:r w:rsidRPr="001A0A60" w:rsidR="00962992">
        <w:rPr>
          <w:rFonts w:ascii="Century Gothic" w:hAnsi="Century Gothic"/>
          <w:color w:val="2D2D2D"/>
          <w:shd w:val="clear" w:color="auto" w:fill="FFFFFF"/>
        </w:rPr>
        <w:t xml:space="preserve"> el análisis del sector</w:t>
      </w:r>
      <w:r w:rsidRPr="001A0A60" w:rsidR="00962992">
        <w:rPr>
          <w:rStyle w:val="FootnoteReference"/>
          <w:rFonts w:ascii="Century Gothic" w:hAnsi="Century Gothic"/>
          <w:color w:val="2D2D2D"/>
          <w:shd w:val="clear" w:color="auto" w:fill="FFFFFF"/>
        </w:rPr>
        <w:footnoteReference w:id="22"/>
      </w:r>
      <w:r w:rsidRPr="001A0A60" w:rsidR="00962992">
        <w:rPr>
          <w:rFonts w:ascii="Century Gothic" w:hAnsi="Century Gothic"/>
          <w:color w:val="2D2D2D"/>
          <w:shd w:val="clear" w:color="auto" w:fill="FFFFFF"/>
        </w:rPr>
        <w:t xml:space="preserve">, </w:t>
      </w:r>
      <w:r w:rsidRPr="001A0A60" w:rsidR="002372F0">
        <w:rPr>
          <w:rFonts w:ascii="Century Gothic" w:hAnsi="Century Gothic"/>
          <w:color w:val="2D2D2D"/>
          <w:shd w:val="clear" w:color="auto" w:fill="FFFFFF"/>
        </w:rPr>
        <w:t xml:space="preserve">los estudios </w:t>
      </w:r>
      <w:r w:rsidRPr="001A0A60" w:rsidR="00A97CA7">
        <w:rPr>
          <w:rFonts w:ascii="Century Gothic" w:hAnsi="Century Gothic"/>
          <w:color w:val="2D2D2D"/>
          <w:shd w:val="clear" w:color="auto" w:fill="FFFFFF"/>
        </w:rPr>
        <w:t>y</w:t>
      </w:r>
      <w:r w:rsidRPr="001A0A60" w:rsidR="00962992">
        <w:rPr>
          <w:rFonts w:ascii="Century Gothic" w:hAnsi="Century Gothic"/>
          <w:color w:val="2D2D2D"/>
          <w:shd w:val="clear" w:color="auto" w:fill="FFFFFF"/>
        </w:rPr>
        <w:t xml:space="preserve"> documentos previos</w:t>
      </w:r>
      <w:r w:rsidRPr="001A0A60" w:rsidR="009D1859">
        <w:rPr>
          <w:rStyle w:val="FootnoteReference"/>
          <w:rFonts w:ascii="Century Gothic" w:hAnsi="Century Gothic"/>
          <w:color w:val="2D2D2D"/>
          <w:shd w:val="clear" w:color="auto" w:fill="FFFFFF"/>
        </w:rPr>
        <w:footnoteReference w:id="23"/>
      </w:r>
      <w:r w:rsidRPr="001A0A60" w:rsidR="00962992">
        <w:rPr>
          <w:rFonts w:ascii="Century Gothic" w:hAnsi="Century Gothic"/>
          <w:color w:val="2D2D2D"/>
          <w:shd w:val="clear" w:color="auto" w:fill="FFFFFF"/>
        </w:rPr>
        <w:t>,</w:t>
      </w:r>
      <w:r w:rsidRPr="001A0A60" w:rsidR="00A97CA7">
        <w:rPr>
          <w:rFonts w:ascii="Century Gothic" w:hAnsi="Century Gothic"/>
          <w:color w:val="2D2D2D"/>
          <w:shd w:val="clear" w:color="auto" w:fill="FFFFFF"/>
        </w:rPr>
        <w:t xml:space="preserve"> deben contener información </w:t>
      </w:r>
      <w:r w:rsidRPr="001A0A60" w:rsidR="00A97CA7">
        <w:rPr>
          <w:rFonts w:ascii="Century Gothic" w:hAnsi="Century Gothic"/>
          <w:color w:val="2D2D2D"/>
          <w:shd w:val="clear" w:color="auto" w:fill="FFFFFF"/>
        </w:rPr>
        <w:t>inequívoca sobre el cumplimiento de los</w:t>
      </w:r>
      <w:r w:rsidRPr="001A0A60" w:rsidR="00B14700">
        <w:rPr>
          <w:rFonts w:ascii="Century Gothic" w:hAnsi="Century Gothic"/>
          <w:color w:val="2D2D2D"/>
          <w:shd w:val="clear" w:color="auto" w:fill="FFFFFF"/>
        </w:rPr>
        <w:t xml:space="preserve"> requisitos</w:t>
      </w:r>
      <w:r w:rsidRPr="001A0A60" w:rsidR="00A97CA7">
        <w:rPr>
          <w:rFonts w:ascii="Century Gothic" w:hAnsi="Century Gothic"/>
          <w:color w:val="2D2D2D"/>
          <w:shd w:val="clear" w:color="auto" w:fill="FFFFFF"/>
        </w:rPr>
        <w:t xml:space="preserve"> </w:t>
      </w:r>
      <w:r w:rsidRPr="001A0A60" w:rsidR="00C044D9">
        <w:rPr>
          <w:rFonts w:ascii="Century Gothic" w:hAnsi="Century Gothic"/>
          <w:color w:val="2D2D2D"/>
          <w:shd w:val="clear" w:color="auto" w:fill="FFFFFF"/>
        </w:rPr>
        <w:t>establecidos por l</w:t>
      </w:r>
      <w:r w:rsidRPr="001A0A60" w:rsidR="00634042">
        <w:rPr>
          <w:rFonts w:ascii="Century Gothic" w:hAnsi="Century Gothic"/>
          <w:color w:val="2D2D2D"/>
          <w:shd w:val="clear" w:color="auto" w:fill="FFFFFF"/>
        </w:rPr>
        <w:t>o</w:t>
      </w:r>
      <w:r w:rsidRPr="001A0A60" w:rsidR="00C044D9">
        <w:rPr>
          <w:rFonts w:ascii="Century Gothic" w:hAnsi="Century Gothic"/>
          <w:color w:val="2D2D2D"/>
          <w:shd w:val="clear" w:color="auto" w:fill="FFFFFF"/>
        </w:rPr>
        <w:t xml:space="preserve">s </w:t>
      </w:r>
      <w:r w:rsidRPr="001A0A60" w:rsidR="00634042">
        <w:rPr>
          <w:rFonts w:ascii="Century Gothic" w:hAnsi="Century Gothic" w:eastAsia="Calibri" w:cs="Arial"/>
        </w:rPr>
        <w:t>literales</w:t>
      </w:r>
      <w:r w:rsidRPr="001A0A60" w:rsidR="00B14700">
        <w:rPr>
          <w:rFonts w:ascii="Century Gothic" w:hAnsi="Century Gothic" w:eastAsia="Calibri" w:cs="Arial"/>
        </w:rPr>
        <w:t xml:space="preserve"> M) y N) del artículo 2, numeral 4 de la Ley 1150 de 2007</w:t>
      </w:r>
      <w:r w:rsidRPr="001A0A60" w:rsidR="00C044D9">
        <w:rPr>
          <w:rFonts w:ascii="Century Gothic" w:hAnsi="Century Gothic" w:eastAsia="Calibri" w:cs="Arial"/>
        </w:rPr>
        <w:t xml:space="preserve">, teniendo en cuenta que su aplicación restrictiva. Esto significa que </w:t>
      </w:r>
      <w:r w:rsidRPr="001A0A60" w:rsidR="0005727A">
        <w:rPr>
          <w:rFonts w:ascii="Century Gothic" w:hAnsi="Century Gothic" w:eastAsia="Calibri" w:cs="Arial"/>
        </w:rPr>
        <w:t>tales documentos deben abordar y explicar de manera clara</w:t>
      </w:r>
      <w:r w:rsidRPr="001A0A60" w:rsidR="00AD3A6A">
        <w:rPr>
          <w:rFonts w:ascii="Century Gothic" w:hAnsi="Century Gothic" w:eastAsia="Calibri" w:cs="Arial"/>
        </w:rPr>
        <w:t xml:space="preserve"> como el objeto del contrato se relaciona</w:t>
      </w:r>
      <w:r w:rsidRPr="001A0A60" w:rsidR="00C36A30">
        <w:rPr>
          <w:rFonts w:ascii="Century Gothic" w:hAnsi="Century Gothic" w:eastAsia="Calibri" w:cs="Arial"/>
        </w:rPr>
        <w:t xml:space="preserve"> </w:t>
      </w:r>
      <w:r w:rsidRPr="001A0A60" w:rsidR="00D43955">
        <w:rPr>
          <w:rFonts w:ascii="Century Gothic" w:hAnsi="Century Gothic" w:eastAsia="Calibri" w:cs="Arial"/>
        </w:rPr>
        <w:t xml:space="preserve">con </w:t>
      </w:r>
      <w:r w:rsidRPr="00A65B02" w:rsidR="00FD5D77">
        <w:rPr>
          <w:rFonts w:ascii="Century Gothic" w:hAnsi="Century Gothic" w:cs="Arial"/>
          <w:lang w:val="es-ES"/>
        </w:rPr>
        <w:t>el fortalecimiento del gobierno propio, la identidad cultural, el ejercicio de la autonomía, y/o la garantía de los derechos de las comunidades</w:t>
      </w:r>
      <w:r w:rsidRPr="001A0A60" w:rsidR="00C36A30">
        <w:rPr>
          <w:rFonts w:ascii="Century Gothic" w:hAnsi="Century Gothic" w:cs="Arial"/>
          <w:lang w:val="es-ES"/>
        </w:rPr>
        <w:t>, lo cual suponen una especial car</w:t>
      </w:r>
      <w:r w:rsidRPr="001A0A60" w:rsidR="00073897">
        <w:rPr>
          <w:rFonts w:ascii="Century Gothic" w:hAnsi="Century Gothic" w:cs="Arial"/>
          <w:lang w:val="es-ES"/>
        </w:rPr>
        <w:t xml:space="preserve">ga justificativa que debe asumir la Entidad Estatal contratante, comoquiera que tales </w:t>
      </w:r>
      <w:r w:rsidRPr="001A0A60" w:rsidR="00A15F6B">
        <w:rPr>
          <w:rFonts w:ascii="Century Gothic" w:hAnsi="Century Gothic" w:cs="Arial"/>
          <w:lang w:val="es-ES"/>
        </w:rPr>
        <w:t>finalidades</w:t>
      </w:r>
      <w:r w:rsidRPr="001A0A60" w:rsidR="005C453A">
        <w:rPr>
          <w:rFonts w:ascii="Century Gothic" w:hAnsi="Century Gothic" w:cs="Arial"/>
          <w:lang w:val="es-ES"/>
        </w:rPr>
        <w:t xml:space="preserve"> deben ser entendidas a partir d</w:t>
      </w:r>
      <w:r w:rsidRPr="001A0A60" w:rsidR="00A15F6B">
        <w:rPr>
          <w:rFonts w:ascii="Century Gothic" w:hAnsi="Century Gothic" w:cs="Arial"/>
          <w:lang w:val="es-ES"/>
        </w:rPr>
        <w:t xml:space="preserve">el alcance que les da el </w:t>
      </w:r>
      <w:r w:rsidRPr="001A0A60" w:rsidR="005C453A">
        <w:rPr>
          <w:rFonts w:ascii="Century Gothic" w:hAnsi="Century Gothic" w:cs="Arial"/>
          <w:lang w:val="es-ES"/>
        </w:rPr>
        <w:t xml:space="preserve">marco constitucional aquí </w:t>
      </w:r>
      <w:r w:rsidRPr="001A0A60" w:rsidR="00A15F6B">
        <w:rPr>
          <w:rFonts w:ascii="Century Gothic" w:hAnsi="Century Gothic" w:cs="Arial"/>
          <w:lang w:val="es-ES"/>
        </w:rPr>
        <w:t>explicado</w:t>
      </w:r>
      <w:r w:rsidRPr="001A0A60" w:rsidR="008F7D73">
        <w:rPr>
          <w:rFonts w:ascii="Century Gothic" w:hAnsi="Century Gothic" w:cs="Arial"/>
          <w:lang w:val="es-ES"/>
        </w:rPr>
        <w:t xml:space="preserve">. </w:t>
      </w:r>
    </w:p>
    <w:p w:rsidRPr="001A0A60" w:rsidR="00E15C57" w:rsidP="00E15C57" w:rsidRDefault="00E15C57" w14:paraId="2DCAA8A3" w14:textId="77777777">
      <w:pPr>
        <w:spacing w:after="0"/>
        <w:rPr>
          <w:rFonts w:ascii="Century Gothic" w:hAnsi="Century Gothic" w:cs="Arial"/>
          <w:lang w:val="es-ES"/>
        </w:rPr>
      </w:pPr>
    </w:p>
    <w:p w:rsidRPr="001A0A60" w:rsidR="00E15C57" w:rsidP="00E15C57" w:rsidRDefault="00E15C57" w14:paraId="477A1373" w14:textId="4444B2A6">
      <w:pPr>
        <w:spacing w:after="0"/>
        <w:rPr>
          <w:rFonts w:ascii="Century Gothic" w:hAnsi="Century Gothic" w:cs="Arial"/>
          <w:b/>
          <w:bCs/>
          <w:color w:val="000000" w:themeColor="text1"/>
          <w:lang w:val="es-ES" w:eastAsia="es-MX"/>
        </w:rPr>
      </w:pPr>
      <w:r w:rsidRPr="00874EAA">
        <w:rPr>
          <w:rFonts w:ascii="Century Gothic" w:hAnsi="Century Gothic" w:cs="Arial"/>
          <w:b/>
          <w:bCs/>
          <w:color w:val="000000" w:themeColor="text1"/>
          <w:lang w:val="es-ES" w:eastAsia="es-MX"/>
        </w:rPr>
        <w:t xml:space="preserve">2.3. </w:t>
      </w:r>
      <w:bookmarkStart w:name="_Hlk159335832" w:id="10"/>
      <w:r w:rsidRPr="00874EAA" w:rsidR="00F36DED">
        <w:rPr>
          <w:rFonts w:ascii="Century Gothic" w:hAnsi="Century Gothic" w:cs="Arial"/>
          <w:b/>
          <w:bCs/>
          <w:color w:val="000000" w:themeColor="text1"/>
          <w:lang w:val="es-ES" w:eastAsia="es-MX"/>
        </w:rPr>
        <w:t xml:space="preserve">La </w:t>
      </w:r>
      <w:r w:rsidRPr="00874EAA" w:rsidR="00F23EB3">
        <w:rPr>
          <w:rFonts w:ascii="Century Gothic" w:hAnsi="Century Gothic" w:cs="Arial"/>
          <w:b/>
          <w:bCs/>
          <w:color w:val="000000" w:themeColor="text1"/>
          <w:lang w:val="es-ES" w:eastAsia="es-MX"/>
        </w:rPr>
        <w:t>contratación</w:t>
      </w:r>
      <w:r w:rsidRPr="00874EAA" w:rsidR="00F36DED">
        <w:rPr>
          <w:rFonts w:ascii="Century Gothic" w:hAnsi="Century Gothic" w:cs="Arial"/>
          <w:b/>
          <w:bCs/>
          <w:color w:val="000000" w:themeColor="text1"/>
          <w:lang w:val="es-ES" w:eastAsia="es-MX"/>
        </w:rPr>
        <w:t xml:space="preserve"> </w:t>
      </w:r>
      <w:r w:rsidRPr="00874EAA" w:rsidR="00F23EB3">
        <w:rPr>
          <w:rFonts w:ascii="Century Gothic" w:hAnsi="Century Gothic" w:cs="Arial"/>
          <w:b/>
          <w:bCs/>
          <w:color w:val="000000" w:themeColor="text1"/>
          <w:lang w:val="es-ES" w:eastAsia="es-MX"/>
        </w:rPr>
        <w:t xml:space="preserve">directa </w:t>
      </w:r>
      <w:r w:rsidRPr="00874EAA" w:rsidR="00F36DED">
        <w:rPr>
          <w:rFonts w:ascii="Century Gothic" w:hAnsi="Century Gothic" w:cs="Arial"/>
          <w:b/>
          <w:bCs/>
          <w:color w:val="000000" w:themeColor="text1"/>
          <w:lang w:val="es-ES" w:eastAsia="es-MX"/>
        </w:rPr>
        <w:t>de obras pública</w:t>
      </w:r>
      <w:r w:rsidRPr="00874EAA" w:rsidR="00F23EB3">
        <w:rPr>
          <w:rFonts w:ascii="Century Gothic" w:hAnsi="Century Gothic" w:cs="Arial"/>
          <w:b/>
          <w:bCs/>
          <w:color w:val="000000" w:themeColor="text1"/>
          <w:lang w:val="es-ES" w:eastAsia="es-MX"/>
        </w:rPr>
        <w:t>s</w:t>
      </w:r>
      <w:r w:rsidRPr="00874EAA" w:rsidR="00F36DED">
        <w:rPr>
          <w:rFonts w:ascii="Century Gothic" w:hAnsi="Century Gothic" w:cs="Arial"/>
          <w:b/>
          <w:bCs/>
          <w:color w:val="000000" w:themeColor="text1"/>
          <w:lang w:val="es-ES" w:eastAsia="es-MX"/>
        </w:rPr>
        <w:t xml:space="preserve"> de infraestructura de transporte</w:t>
      </w:r>
      <w:r w:rsidRPr="00874EAA" w:rsidR="00F23EB3">
        <w:rPr>
          <w:rFonts w:ascii="Century Gothic" w:hAnsi="Century Gothic" w:cs="Arial"/>
          <w:b/>
          <w:bCs/>
          <w:color w:val="000000" w:themeColor="text1"/>
          <w:lang w:val="es-ES" w:eastAsia="es-MX"/>
        </w:rPr>
        <w:t xml:space="preserve"> con comunidades, negras, afrodescendientes, raizales y palenqueras </w:t>
      </w:r>
      <w:bookmarkEnd w:id="10"/>
    </w:p>
    <w:p w:rsidRPr="001A0A60" w:rsidR="00F23EB3" w:rsidP="00E15C57" w:rsidRDefault="00F23EB3" w14:paraId="7D016E28" w14:textId="3B86A664">
      <w:pPr>
        <w:spacing w:after="0"/>
        <w:rPr>
          <w:rFonts w:ascii="Century Gothic" w:hAnsi="Century Gothic" w:cs="Arial"/>
          <w:b/>
          <w:bCs/>
          <w:color w:val="000000" w:themeColor="text1"/>
          <w:lang w:val="es-ES" w:eastAsia="es-MX"/>
        </w:rPr>
      </w:pPr>
    </w:p>
    <w:p w:rsidRPr="001A0A60" w:rsidR="008E4433" w:rsidP="00945A1A" w:rsidRDefault="00B900FB" w14:paraId="1B386276" w14:textId="2861190F">
      <w:pPr>
        <w:spacing w:after="120" w:line="276" w:lineRule="auto"/>
        <w:jc w:val="both"/>
        <w:rPr>
          <w:rFonts w:ascii="Century Gothic" w:hAnsi="Century Gothic" w:cs="Arial"/>
          <w:lang w:val="es-ES"/>
        </w:rPr>
      </w:pPr>
      <w:r w:rsidRPr="001A0A60">
        <w:rPr>
          <w:rFonts w:ascii="Century Gothic" w:hAnsi="Century Gothic" w:cs="Arial"/>
          <w:color w:val="000000" w:themeColor="text1"/>
          <w:lang w:val="es-ES" w:eastAsia="es-MX"/>
        </w:rPr>
        <w:t xml:space="preserve">Explicada la capacidad contractual de </w:t>
      </w:r>
      <w:r w:rsidRPr="001A0A60" w:rsidR="005D3E44">
        <w:rPr>
          <w:rFonts w:ascii="Century Gothic" w:hAnsi="Century Gothic" w:cs="Arial"/>
          <w:color w:val="000000" w:themeColor="text1"/>
          <w:lang w:val="es-ES" w:eastAsia="es-MX"/>
        </w:rPr>
        <w:t>los entes representativos</w:t>
      </w:r>
      <w:r w:rsidRPr="001A0A60" w:rsidR="00634042">
        <w:rPr>
          <w:rFonts w:ascii="Century Gothic" w:hAnsi="Century Gothic" w:cs="Arial"/>
          <w:color w:val="000000" w:themeColor="text1"/>
          <w:lang w:val="es-ES" w:eastAsia="es-MX"/>
        </w:rPr>
        <w:t xml:space="preserve"> de </w:t>
      </w:r>
      <w:r w:rsidRPr="001A0A60" w:rsidR="005438B7">
        <w:rPr>
          <w:rFonts w:ascii="Century Gothic" w:hAnsi="Century Gothic" w:cs="Arial"/>
          <w:color w:val="000000" w:themeColor="text1"/>
          <w:lang w:val="es-ES" w:eastAsia="es-MX"/>
        </w:rPr>
        <w:t xml:space="preserve">la </w:t>
      </w:r>
      <w:r w:rsidR="006F2CC7">
        <w:rPr>
          <w:rFonts w:ascii="Century Gothic" w:hAnsi="Century Gothic" w:cs="Arial"/>
          <w:color w:val="000000" w:themeColor="text1"/>
          <w:lang w:val="es-ES" w:eastAsia="es-MX"/>
        </w:rPr>
        <w:t>comunidad</w:t>
      </w:r>
      <w:r w:rsidRPr="001A0A60" w:rsidR="005438B7">
        <w:rPr>
          <w:rFonts w:ascii="Century Gothic" w:hAnsi="Century Gothic" w:cs="Arial"/>
          <w:color w:val="000000" w:themeColor="text1"/>
          <w:lang w:val="es-ES" w:eastAsia="es-MX"/>
        </w:rPr>
        <w:t xml:space="preserve"> negra, afrodescendiente, raizal y palenquera, así </w:t>
      </w:r>
      <w:r w:rsidRPr="001A0A60" w:rsidR="00634042">
        <w:rPr>
          <w:rFonts w:ascii="Century Gothic" w:hAnsi="Century Gothic" w:cs="Arial"/>
          <w:color w:val="000000" w:themeColor="text1"/>
          <w:lang w:val="es-ES" w:eastAsia="es-MX"/>
        </w:rPr>
        <w:t xml:space="preserve">como </w:t>
      </w:r>
      <w:r w:rsidRPr="001A0A60" w:rsidR="005438B7">
        <w:rPr>
          <w:rFonts w:ascii="Century Gothic" w:hAnsi="Century Gothic" w:cs="Arial"/>
          <w:color w:val="000000" w:themeColor="text1"/>
          <w:lang w:val="es-ES" w:eastAsia="es-MX"/>
        </w:rPr>
        <w:t>el ámbito de aplicación</w:t>
      </w:r>
      <w:r w:rsidRPr="001A0A60" w:rsidR="00634042">
        <w:rPr>
          <w:rFonts w:ascii="Century Gothic" w:hAnsi="Century Gothic" w:cs="Arial"/>
          <w:color w:val="000000" w:themeColor="text1"/>
          <w:lang w:val="es-ES" w:eastAsia="es-MX"/>
        </w:rPr>
        <w:t xml:space="preserve"> </w:t>
      </w:r>
      <w:r w:rsidRPr="001A0A60" w:rsidR="008C7AC6">
        <w:rPr>
          <w:rFonts w:ascii="Century Gothic" w:hAnsi="Century Gothic" w:cs="Arial"/>
          <w:color w:val="000000" w:themeColor="text1"/>
          <w:lang w:val="es-ES" w:eastAsia="es-MX"/>
        </w:rPr>
        <w:t>de los</w:t>
      </w:r>
      <w:r w:rsidRPr="001A0A60" w:rsidR="00634042">
        <w:rPr>
          <w:rFonts w:ascii="Century Gothic" w:hAnsi="Century Gothic" w:cs="Arial"/>
          <w:color w:val="000000" w:themeColor="text1"/>
          <w:lang w:val="es-ES" w:eastAsia="es-MX"/>
        </w:rPr>
        <w:t xml:space="preserve"> literales M) y N) del artículo 2, numeral 4 de la Ley 1150 de 2007</w:t>
      </w:r>
      <w:r w:rsidRPr="001A0A60" w:rsidR="00BD53FC">
        <w:rPr>
          <w:rFonts w:ascii="Century Gothic" w:hAnsi="Century Gothic" w:cs="Arial"/>
          <w:color w:val="000000" w:themeColor="text1"/>
          <w:lang w:val="es-ES" w:eastAsia="es-MX"/>
        </w:rPr>
        <w:t xml:space="preserve">, para responder su consulta, resta por analizar </w:t>
      </w:r>
      <w:r w:rsidRPr="001A0A60" w:rsidR="00FD55B7">
        <w:rPr>
          <w:rFonts w:ascii="Century Gothic" w:hAnsi="Century Gothic" w:cs="Arial"/>
          <w:color w:val="000000" w:themeColor="text1"/>
          <w:lang w:val="es-ES" w:eastAsia="es-MX"/>
        </w:rPr>
        <w:t>si tales causales</w:t>
      </w:r>
      <w:r w:rsidRPr="001A0A60" w:rsidR="00BD53FC">
        <w:rPr>
          <w:rFonts w:ascii="Century Gothic" w:hAnsi="Century Gothic" w:cs="Arial"/>
          <w:color w:val="000000" w:themeColor="text1"/>
          <w:lang w:val="es-ES" w:eastAsia="es-MX"/>
        </w:rPr>
        <w:t xml:space="preserve"> </w:t>
      </w:r>
      <w:r w:rsidRPr="001A0A60" w:rsidR="003344C5">
        <w:rPr>
          <w:rFonts w:ascii="Century Gothic" w:hAnsi="Century Gothic" w:cs="Arial"/>
          <w:color w:val="000000" w:themeColor="text1"/>
          <w:lang w:val="es-ES" w:eastAsia="es-MX"/>
        </w:rPr>
        <w:t>contra</w:t>
      </w:r>
      <w:r w:rsidRPr="001A0A60" w:rsidR="00BD53FC">
        <w:rPr>
          <w:rFonts w:ascii="Century Gothic" w:hAnsi="Century Gothic" w:cs="Arial"/>
          <w:color w:val="000000" w:themeColor="text1"/>
          <w:lang w:val="es-ES" w:eastAsia="es-MX"/>
        </w:rPr>
        <w:t xml:space="preserve">tación </w:t>
      </w:r>
      <w:r w:rsidRPr="001A0A60" w:rsidR="003344C5">
        <w:rPr>
          <w:rFonts w:ascii="Century Gothic" w:hAnsi="Century Gothic" w:cs="Arial"/>
          <w:color w:val="000000" w:themeColor="text1"/>
          <w:lang w:val="es-ES" w:eastAsia="es-MX"/>
        </w:rPr>
        <w:t xml:space="preserve">directa admiten su aplicación para la celebración de contratos de obra </w:t>
      </w:r>
      <w:r w:rsidRPr="001A0A60" w:rsidR="008C7AC6">
        <w:rPr>
          <w:rFonts w:ascii="Century Gothic" w:hAnsi="Century Gothic" w:cs="Arial"/>
          <w:color w:val="000000" w:themeColor="text1"/>
          <w:lang w:val="es-ES" w:eastAsia="es-MX"/>
        </w:rPr>
        <w:t xml:space="preserve">pública de infraestructura de transporte. En consonancia con lo explicado en el numeral 2.2 del presente concepto, es importante precisar que </w:t>
      </w:r>
      <w:r w:rsidRPr="001A0A60" w:rsidR="004B6236">
        <w:rPr>
          <w:rFonts w:ascii="Century Gothic" w:hAnsi="Century Gothic" w:cs="Arial"/>
          <w:color w:val="000000" w:themeColor="text1"/>
          <w:lang w:val="es-ES" w:eastAsia="es-MX"/>
        </w:rPr>
        <w:t xml:space="preserve">tales causales no restringen su aplicación a unas tipologías contractuales </w:t>
      </w:r>
      <w:r w:rsidRPr="001A0A60" w:rsidR="003579C5">
        <w:rPr>
          <w:rFonts w:ascii="Century Gothic" w:hAnsi="Century Gothic" w:cs="Arial"/>
          <w:color w:val="000000" w:themeColor="text1"/>
          <w:lang w:val="es-ES" w:eastAsia="es-MX"/>
        </w:rPr>
        <w:t xml:space="preserve">en concreto, ni tampoco a negocios jurídicos con una cuantía determinada, </w:t>
      </w:r>
      <w:r w:rsidRPr="001A0A60" w:rsidR="00BF0644">
        <w:rPr>
          <w:rFonts w:ascii="Century Gothic" w:hAnsi="Century Gothic" w:cs="Arial"/>
          <w:color w:val="000000" w:themeColor="text1"/>
          <w:lang w:val="es-ES" w:eastAsia="es-MX"/>
        </w:rPr>
        <w:t>sino que, únicamente exigen el cumplimiento de</w:t>
      </w:r>
      <w:r w:rsidRPr="001A0A60" w:rsidR="008E4433">
        <w:rPr>
          <w:rFonts w:ascii="Century Gothic" w:hAnsi="Century Gothic" w:cs="Arial"/>
          <w:color w:val="000000" w:themeColor="text1"/>
          <w:lang w:val="es-ES" w:eastAsia="es-MX"/>
        </w:rPr>
        <w:t xml:space="preserve"> los requisitos antes estudiados. </w:t>
      </w:r>
      <w:r w:rsidRPr="001A0A60" w:rsidR="00B17BF9">
        <w:rPr>
          <w:rFonts w:ascii="Century Gothic" w:hAnsi="Century Gothic" w:cs="Arial"/>
          <w:color w:val="000000" w:themeColor="text1"/>
          <w:lang w:val="es-ES" w:eastAsia="es-MX"/>
        </w:rPr>
        <w:t xml:space="preserve">En ese sentido, la posibilidad de celebrar un contrato </w:t>
      </w:r>
      <w:r w:rsidRPr="001A0A60" w:rsidR="00503E71">
        <w:rPr>
          <w:rFonts w:ascii="Century Gothic" w:hAnsi="Century Gothic" w:cs="Arial"/>
          <w:color w:val="000000" w:themeColor="text1"/>
          <w:lang w:val="es-ES" w:eastAsia="es-MX"/>
        </w:rPr>
        <w:t xml:space="preserve">de obra </w:t>
      </w:r>
      <w:r w:rsidRPr="001A0A60" w:rsidR="00CB5FB2">
        <w:rPr>
          <w:rFonts w:ascii="Century Gothic" w:hAnsi="Century Gothic" w:cs="Arial"/>
          <w:color w:val="000000" w:themeColor="text1"/>
          <w:lang w:val="es-ES" w:eastAsia="es-MX"/>
        </w:rPr>
        <w:t xml:space="preserve">en aplicación de los dispositivos normativos aquí </w:t>
      </w:r>
      <w:r w:rsidRPr="001A0A60" w:rsidR="00D758F7">
        <w:rPr>
          <w:rFonts w:ascii="Century Gothic" w:hAnsi="Century Gothic" w:cs="Arial"/>
          <w:color w:val="000000" w:themeColor="text1"/>
          <w:lang w:val="es-ES" w:eastAsia="es-MX"/>
        </w:rPr>
        <w:t>explicados</w:t>
      </w:r>
      <w:r w:rsidRPr="001A0A60" w:rsidR="00FF0A12">
        <w:rPr>
          <w:rFonts w:ascii="Century Gothic" w:hAnsi="Century Gothic" w:cs="Arial"/>
          <w:color w:val="000000" w:themeColor="text1"/>
          <w:lang w:val="es-ES" w:eastAsia="es-MX"/>
        </w:rPr>
        <w:t xml:space="preserve"> depende de </w:t>
      </w:r>
      <w:r w:rsidRPr="001A0A60" w:rsidR="00D758F7">
        <w:rPr>
          <w:rFonts w:ascii="Century Gothic" w:hAnsi="Century Gothic" w:cs="Arial"/>
          <w:color w:val="000000" w:themeColor="text1"/>
          <w:lang w:val="es-ES" w:eastAsia="es-MX"/>
        </w:rPr>
        <w:t xml:space="preserve">su relación con </w:t>
      </w:r>
      <w:r w:rsidRPr="001A0A60" w:rsidR="00D758F7">
        <w:rPr>
          <w:rFonts w:ascii="Century Gothic" w:hAnsi="Century Gothic" w:cs="Arial"/>
          <w:lang w:val="es-ES"/>
        </w:rPr>
        <w:t xml:space="preserve">el fortalecimiento del gobierno propio, la identidad cultural, el ejercicio de la autonomía y/o la garantía de los derechos de las comunidades. </w:t>
      </w:r>
    </w:p>
    <w:p w:rsidRPr="00874EAA" w:rsidR="00E15C57" w:rsidP="00874EAA" w:rsidRDefault="00D758F7" w14:paraId="64BFF27A" w14:textId="0958FF5E">
      <w:pPr>
        <w:spacing w:after="120" w:line="276" w:lineRule="auto"/>
        <w:jc w:val="both"/>
        <w:rPr>
          <w:rFonts w:ascii="Century Gothic" w:hAnsi="Century Gothic" w:eastAsia="Calibri"/>
          <w:color w:val="000000" w:themeColor="text1"/>
          <w:lang w:val="es-ES_tradnl"/>
        </w:rPr>
      </w:pPr>
      <w:r w:rsidRPr="001A0A60">
        <w:rPr>
          <w:rFonts w:ascii="Century Gothic" w:hAnsi="Century Gothic" w:cs="Arial"/>
          <w:lang w:val="es-ES"/>
        </w:rPr>
        <w:tab/>
      </w:r>
      <w:r w:rsidRPr="00874EAA" w:rsidR="00E15C57">
        <w:rPr>
          <w:rFonts w:ascii="Century Gothic" w:hAnsi="Century Gothic" w:eastAsia="Calibri"/>
          <w:color w:val="000000" w:themeColor="text1"/>
          <w:lang w:val="es-ES_tradnl"/>
        </w:rPr>
        <w:t>En este contexto,</w:t>
      </w:r>
      <w:r w:rsidRPr="00874EAA">
        <w:rPr>
          <w:rFonts w:ascii="Century Gothic" w:hAnsi="Century Gothic" w:eastAsia="Calibri"/>
          <w:color w:val="000000" w:themeColor="text1"/>
          <w:lang w:val="es-ES_tradnl"/>
        </w:rPr>
        <w:t xml:space="preserve"> es conveniente explicar que,</w:t>
      </w:r>
      <w:r w:rsidRPr="00874EAA" w:rsidR="00E15C57">
        <w:rPr>
          <w:rFonts w:ascii="Century Gothic" w:hAnsi="Century Gothic" w:eastAsia="Calibri"/>
          <w:color w:val="000000" w:themeColor="text1"/>
          <w:lang w:val="es-ES_tradnl"/>
        </w:rPr>
        <w:t xml:space="preserve"> </w:t>
      </w:r>
      <w:bookmarkStart w:name="_Hlk100322451" w:id="11"/>
      <w:r w:rsidRPr="00874EAA" w:rsidR="00E15C57">
        <w:rPr>
          <w:rFonts w:ascii="Century Gothic" w:hAnsi="Century Gothic" w:eastAsia="Calibri"/>
          <w:color w:val="000000" w:themeColor="text1"/>
          <w:lang w:val="es-ES_tradnl"/>
        </w:rPr>
        <w:t>la obra es una tipología de los contratos estatales, entendidos estos últimos como los actos jurídicos generadores de obligaciones que han sido celebrados por alguna de las entidades estatales enlistadas en el artículo 2 del EGCAP.  Lo anterior resulta de especial relevancia, en la medida en que dicho tipo contractual se diferencia de la definición y regulación prevista en el derecho privado para el contrato de confección de obra material regulado en el Código Civil.</w:t>
      </w:r>
      <w:bookmarkEnd w:id="11"/>
      <w:r w:rsidRPr="00874EAA" w:rsidR="00E15C57">
        <w:rPr>
          <w:rFonts w:ascii="Century Gothic" w:hAnsi="Century Gothic" w:eastAsia="Calibri"/>
          <w:color w:val="000000" w:themeColor="text1"/>
          <w:lang w:val="es-ES_tradnl"/>
        </w:rPr>
        <w:t xml:space="preserve">   </w:t>
      </w:r>
    </w:p>
    <w:p w:rsidRPr="001A0A60" w:rsidR="00E15C57" w:rsidP="00874EAA" w:rsidRDefault="00E15C57" w14:paraId="548162B3" w14:textId="088CAC32">
      <w:pPr>
        <w:spacing w:after="0" w:line="276" w:lineRule="auto"/>
        <w:ind w:firstLine="708"/>
        <w:jc w:val="both"/>
        <w:rPr>
          <w:rFonts w:eastAsia="Calibri" w:asciiTheme="minorBidi" w:hAnsiTheme="minorBidi"/>
          <w:color w:val="000000" w:themeColor="text1"/>
          <w:lang w:val="es-ES_tradnl"/>
        </w:rPr>
      </w:pPr>
      <w:r w:rsidRPr="00874EAA">
        <w:rPr>
          <w:rFonts w:ascii="Century Gothic" w:hAnsi="Century Gothic" w:eastAsia="Calibri"/>
          <w:color w:val="000000" w:themeColor="text1"/>
          <w:lang w:val="es-ES_tradnl"/>
        </w:rPr>
        <w:t xml:space="preserve">En efecto, </w:t>
      </w:r>
      <w:bookmarkStart w:name="_Hlk81432298" w:id="12"/>
      <w:r w:rsidRPr="00874EAA">
        <w:rPr>
          <w:rFonts w:ascii="Century Gothic" w:hAnsi="Century Gothic" w:eastAsia="Calibri"/>
          <w:color w:val="000000" w:themeColor="text1"/>
          <w:lang w:val="es-ES_tradnl"/>
        </w:rPr>
        <w:t xml:space="preserve">en el derecho privado brilla por la ausencia una definición del contrato de obra. El artículo 2053 del Código Civil lo tipifica como una de las clases de arrendamiento, y establece reglas para diferenciarlo de la compraventa, para lo cual dispone que </w:t>
      </w:r>
      <w:r w:rsidRPr="001A0A60" w:rsidR="00487A71">
        <w:rPr>
          <w:rFonts w:ascii="Century Gothic" w:hAnsi="Century Gothic" w:eastAsia="Calibri"/>
          <w:color w:val="000000" w:themeColor="text1"/>
          <w:lang w:val="es-ES_tradnl"/>
        </w:rPr>
        <w:t>“S</w:t>
      </w:r>
      <w:r w:rsidRPr="00874EAA">
        <w:rPr>
          <w:rFonts w:ascii="Century Gothic" w:hAnsi="Century Gothic" w:eastAsia="Calibri"/>
          <w:color w:val="000000" w:themeColor="text1"/>
          <w:lang w:val="es-ES_tradnl"/>
        </w:rPr>
        <w:t>i al artífice suministra la materia para la confección de una obra material, el contrato es de venta; pero no se perfecciona sino por la aprobación del que ordenó la obra</w:t>
      </w:r>
      <w:r w:rsidRPr="001A0A60" w:rsidR="00487A71">
        <w:rPr>
          <w:rFonts w:ascii="Century Gothic" w:hAnsi="Century Gothic" w:eastAsia="Calibri"/>
          <w:color w:val="000000" w:themeColor="text1"/>
          <w:lang w:val="es-ES_tradnl"/>
        </w:rPr>
        <w:t>”</w:t>
      </w:r>
      <w:r w:rsidRPr="00874EAA">
        <w:rPr>
          <w:rFonts w:ascii="Century Gothic" w:hAnsi="Century Gothic" w:eastAsia="Calibri"/>
          <w:color w:val="000000" w:themeColor="text1"/>
          <w:lang w:val="es-ES_tradnl"/>
        </w:rPr>
        <w:t xml:space="preserve">. Por el contrario, </w:t>
      </w:r>
      <w:r w:rsidRPr="001A0A60" w:rsidR="00487A71">
        <w:rPr>
          <w:rFonts w:ascii="Century Gothic" w:hAnsi="Century Gothic" w:eastAsia="Calibri"/>
          <w:color w:val="000000" w:themeColor="text1"/>
          <w:lang w:val="es-ES_tradnl"/>
        </w:rPr>
        <w:t>“</w:t>
      </w:r>
      <w:r w:rsidRPr="00874EAA">
        <w:rPr>
          <w:rFonts w:ascii="Century Gothic" w:hAnsi="Century Gothic" w:eastAsia="Calibri"/>
          <w:color w:val="000000" w:themeColor="text1"/>
          <w:lang w:val="es-ES_tradnl"/>
        </w:rPr>
        <w:t>Si la materia es suministrada por la persona que encargó la obra, el contrato es de arrendamiento</w:t>
      </w:r>
      <w:r w:rsidRPr="001A0A60" w:rsidR="00487A71">
        <w:rPr>
          <w:rFonts w:ascii="Century Gothic" w:hAnsi="Century Gothic" w:eastAsia="Calibri"/>
          <w:color w:val="000000" w:themeColor="text1"/>
          <w:lang w:val="es-ES_tradnl"/>
        </w:rPr>
        <w:t>”</w:t>
      </w:r>
      <w:r w:rsidRPr="00874EAA">
        <w:rPr>
          <w:rFonts w:ascii="Century Gothic" w:hAnsi="Century Gothic" w:eastAsia="Calibri"/>
          <w:color w:val="000000" w:themeColor="text1"/>
          <w:lang w:val="es-ES_tradnl"/>
        </w:rPr>
        <w:t xml:space="preserve">; pero </w:t>
      </w:r>
      <w:r w:rsidRPr="001A0A60" w:rsidR="00487A71">
        <w:rPr>
          <w:rFonts w:ascii="Century Gothic" w:hAnsi="Century Gothic" w:eastAsia="Calibri"/>
          <w:color w:val="000000" w:themeColor="text1"/>
          <w:lang w:val="es-ES_tradnl"/>
        </w:rPr>
        <w:t>“</w:t>
      </w:r>
      <w:r w:rsidRPr="00874EAA">
        <w:rPr>
          <w:rFonts w:ascii="Century Gothic" w:hAnsi="Century Gothic" w:eastAsia="Calibri"/>
          <w:color w:val="000000" w:themeColor="text1"/>
          <w:lang w:val="es-ES_tradnl"/>
        </w:rPr>
        <w:t>Si la materia principal es suministrada por el que ha ordenado la obra, poniendo el artífice lo demás, el contrato es de arrendamiento; en el caso contrario, de venta</w:t>
      </w:r>
      <w:r w:rsidRPr="001A0A60" w:rsidR="00487A71">
        <w:rPr>
          <w:rFonts w:ascii="Century Gothic" w:hAnsi="Century Gothic" w:eastAsia="Calibri"/>
          <w:color w:val="000000" w:themeColor="text1"/>
          <w:lang w:val="es-ES_tradnl"/>
        </w:rPr>
        <w:t>”</w:t>
      </w:r>
      <w:r w:rsidRPr="00874EAA">
        <w:rPr>
          <w:rFonts w:ascii="Century Gothic" w:hAnsi="Century Gothic" w:eastAsia="Calibri"/>
          <w:color w:val="000000" w:themeColor="text1"/>
          <w:lang w:val="es-ES_tradnl"/>
        </w:rPr>
        <w:t>. En todo caso, en la medida en que los artículos 2060 y 2061 del Código disponen reglas especiales para los contratos de construcción y de arquitectura, es claro que la realización de trabajos materiales recae tanto sobre bienes muebles como inmuebles.</w:t>
      </w:r>
      <w:bookmarkEnd w:id="12"/>
      <w:r w:rsidRPr="001A0A60">
        <w:rPr>
          <w:rStyle w:val="FootnoteReference"/>
          <w:rFonts w:ascii="Arial" w:hAnsi="Arial" w:eastAsia="Calibri" w:cs="Arial"/>
          <w:color w:val="000000" w:themeColor="text1"/>
          <w:sz w:val="21"/>
          <w:szCs w:val="21"/>
          <w:lang w:val="es-ES_tradnl"/>
        </w:rPr>
        <w:footnoteReference w:id="24"/>
      </w:r>
      <w:r w:rsidRPr="001A0A60">
        <w:rPr>
          <w:rFonts w:ascii="Arial" w:hAnsi="Arial" w:eastAsia="Calibri" w:cs="Arial"/>
          <w:color w:val="000000" w:themeColor="text1"/>
          <w:sz w:val="21"/>
          <w:szCs w:val="21"/>
          <w:lang w:val="es-ES_tradnl"/>
        </w:rPr>
        <w:t xml:space="preserve">.  </w:t>
      </w:r>
      <w:r w:rsidRPr="001A0A60">
        <w:rPr>
          <w:rFonts w:eastAsia="Calibri" w:asciiTheme="minorBidi" w:hAnsiTheme="minorBidi"/>
          <w:color w:val="000000" w:themeColor="text1"/>
          <w:lang w:val="es-ES_tradnl"/>
        </w:rPr>
        <w:t xml:space="preserve">   </w:t>
      </w:r>
    </w:p>
    <w:p w:rsidR="00206B9B" w:rsidP="00206B9B" w:rsidRDefault="00E15C57" w14:paraId="052E51D5" w14:textId="77777777">
      <w:pPr>
        <w:spacing w:after="158" w:line="276" w:lineRule="auto"/>
        <w:ind w:firstLine="708"/>
        <w:jc w:val="both"/>
        <w:rPr>
          <w:rFonts w:ascii="Arial" w:hAnsi="Arial" w:eastAsia="Calibri" w:cs="Arial"/>
          <w:color w:val="000000" w:themeColor="text1"/>
          <w:sz w:val="21"/>
          <w:szCs w:val="21"/>
          <w:lang w:val="es-ES_tradnl"/>
        </w:rPr>
      </w:pPr>
      <w:bookmarkStart w:name="_Hlk35420344" w:id="13"/>
      <w:r w:rsidRPr="00874EAA">
        <w:rPr>
          <w:rFonts w:ascii="Century Gothic" w:hAnsi="Century Gothic" w:eastAsia="Calibri"/>
          <w:color w:val="000000" w:themeColor="text1"/>
          <w:lang w:val="es-ES_tradnl"/>
        </w:rPr>
        <w:t xml:space="preserve">En </w:t>
      </w:r>
      <w:r w:rsidRPr="00874EAA">
        <w:rPr>
          <w:rFonts w:ascii="Century Gothic" w:hAnsi="Century Gothic" w:eastAsia="Calibri"/>
          <w:i/>
          <w:iCs/>
          <w:color w:val="000000" w:themeColor="text1"/>
          <w:lang w:val="es-ES_tradnl"/>
        </w:rPr>
        <w:t>sentido amplio</w:t>
      </w:r>
      <w:r w:rsidRPr="00874EAA">
        <w:rPr>
          <w:rFonts w:ascii="Century Gothic" w:hAnsi="Century Gothic" w:eastAsia="Calibri"/>
          <w:color w:val="000000" w:themeColor="text1"/>
          <w:lang w:val="es-ES_tradnl"/>
        </w:rPr>
        <w:t xml:space="preserve">, la </w:t>
      </w:r>
      <w:r w:rsidRPr="00874EAA" w:rsidR="00487A71">
        <w:rPr>
          <w:rFonts w:ascii="Century Gothic" w:hAnsi="Century Gothic" w:eastAsia="Calibri"/>
          <w:color w:val="000000" w:themeColor="text1"/>
          <w:lang w:val="es-ES_tradnl"/>
        </w:rPr>
        <w:t>“</w:t>
      </w:r>
      <w:r w:rsidRPr="00874EAA">
        <w:rPr>
          <w:rFonts w:ascii="Century Gothic" w:hAnsi="Century Gothic" w:eastAsia="Calibri"/>
          <w:color w:val="000000" w:themeColor="text1"/>
          <w:lang w:val="es-ES_tradnl"/>
        </w:rPr>
        <w:t>obra</w:t>
      </w:r>
      <w:r w:rsidRPr="00874EAA" w:rsidR="00487A71">
        <w:rPr>
          <w:rFonts w:ascii="Century Gothic" w:hAnsi="Century Gothic" w:eastAsia="Calibri"/>
          <w:color w:val="000000" w:themeColor="text1"/>
          <w:lang w:val="es-ES_tradnl"/>
        </w:rPr>
        <w:t>”</w:t>
      </w:r>
      <w:r w:rsidRPr="00874EAA">
        <w:rPr>
          <w:rFonts w:ascii="Century Gothic" w:hAnsi="Century Gothic" w:eastAsia="Calibri"/>
          <w:color w:val="000000" w:themeColor="text1"/>
          <w:lang w:val="es-ES_tradnl"/>
        </w:rPr>
        <w:t xml:space="preserve"> es un bien que crea la actividad humana por lo que corresponde a todo trabajo material en cuya creación o realización interviene el Estado. No obstante, </w:t>
      </w:r>
      <w:bookmarkStart w:name="_Hlk81428563" w:id="14"/>
      <w:r w:rsidRPr="00874EAA">
        <w:rPr>
          <w:rFonts w:ascii="Century Gothic" w:hAnsi="Century Gothic" w:eastAsia="Calibri"/>
          <w:color w:val="000000" w:themeColor="text1"/>
          <w:lang w:val="es-ES_tradnl"/>
        </w:rPr>
        <w:t>el artículo 32</w:t>
      </w:r>
      <w:r w:rsidRPr="00874EAA" w:rsidR="00487A71">
        <w:rPr>
          <w:rFonts w:ascii="Century Gothic" w:hAnsi="Century Gothic" w:eastAsia="Calibri"/>
          <w:color w:val="000000" w:themeColor="text1"/>
          <w:lang w:val="es-ES_tradnl"/>
        </w:rPr>
        <w:t xml:space="preserve">, numeral </w:t>
      </w:r>
      <w:r w:rsidRPr="00874EAA">
        <w:rPr>
          <w:rFonts w:ascii="Century Gothic" w:hAnsi="Century Gothic" w:eastAsia="Calibri"/>
          <w:color w:val="000000" w:themeColor="text1"/>
          <w:lang w:val="es-ES_tradnl"/>
        </w:rPr>
        <w:t xml:space="preserve">1 de la Ley 80 de 1993 opta por un </w:t>
      </w:r>
      <w:r w:rsidRPr="00874EAA">
        <w:rPr>
          <w:rFonts w:ascii="Century Gothic" w:hAnsi="Century Gothic" w:eastAsia="Calibri"/>
          <w:i/>
          <w:iCs/>
          <w:color w:val="000000" w:themeColor="text1"/>
          <w:lang w:val="es-ES_tradnl"/>
        </w:rPr>
        <w:t>sentido restringido</w:t>
      </w:r>
      <w:r w:rsidRPr="00874EAA">
        <w:rPr>
          <w:rFonts w:ascii="Century Gothic" w:hAnsi="Century Gothic" w:eastAsia="Calibri"/>
          <w:color w:val="000000" w:themeColor="text1"/>
          <w:lang w:val="es-ES_tradnl"/>
        </w:rPr>
        <w:t xml:space="preserve">, al disponer que </w:t>
      </w:r>
      <w:r w:rsidRPr="00874EAA" w:rsidR="00487A71">
        <w:rPr>
          <w:rFonts w:ascii="Century Gothic" w:hAnsi="Century Gothic" w:eastAsia="Calibri"/>
          <w:i/>
          <w:iCs/>
          <w:color w:val="000000" w:themeColor="text1"/>
          <w:lang w:val="es-ES_tradnl"/>
        </w:rPr>
        <w:t>“</w:t>
      </w:r>
      <w:r w:rsidRPr="00874EAA">
        <w:rPr>
          <w:rFonts w:ascii="Century Gothic" w:hAnsi="Century Gothic" w:eastAsia="Calibri"/>
          <w:i/>
          <w:iCs/>
          <w:color w:val="000000" w:themeColor="text1"/>
          <w:lang w:val="es-ES_tradnl"/>
        </w:rPr>
        <w:t>Son contratos de obra los que celebren las entidades estatales para la construcción, mantenimiento, instalación y, en general, para la realización de cualquier otro trabajo material sobre bienes inmuebles, cualquiera que sea la modalidad de ejecución y pago</w:t>
      </w:r>
      <w:r w:rsidRPr="00874EAA" w:rsidR="00487A71">
        <w:rPr>
          <w:rFonts w:ascii="Century Gothic" w:hAnsi="Century Gothic" w:eastAsia="Calibri"/>
          <w:i/>
          <w:iCs/>
          <w:color w:val="000000" w:themeColor="text1"/>
          <w:lang w:val="es-ES_tradnl"/>
        </w:rPr>
        <w:t>”</w:t>
      </w:r>
      <w:r w:rsidRPr="00874EAA">
        <w:rPr>
          <w:rFonts w:ascii="Century Gothic" w:hAnsi="Century Gothic" w:eastAsia="Calibri"/>
          <w:i/>
          <w:iCs/>
          <w:color w:val="000000" w:themeColor="text1"/>
          <w:lang w:val="es-ES_tradnl"/>
        </w:rPr>
        <w:t>,</w:t>
      </w:r>
      <w:r w:rsidRPr="00874EAA">
        <w:rPr>
          <w:rFonts w:ascii="Century Gothic" w:hAnsi="Century Gothic" w:eastAsia="Calibri"/>
          <w:color w:val="000000" w:themeColor="text1"/>
          <w:lang w:val="es-ES_tradnl"/>
        </w:rPr>
        <w:t xml:space="preserve"> de manera que este tipo de contrato no aplica a los trabajos materiales realizados sobre bienes muebles. </w:t>
      </w:r>
      <w:bookmarkEnd w:id="13"/>
      <w:bookmarkEnd w:id="14"/>
      <w:r w:rsidRPr="00874EAA">
        <w:rPr>
          <w:rFonts w:ascii="Century Gothic" w:hAnsi="Century Gothic" w:eastAsia="Calibri"/>
          <w:color w:val="000000" w:themeColor="text1"/>
          <w:lang w:val="es-ES_tradnl"/>
        </w:rPr>
        <w:t>Por lo anterior, el criterio de la tipificación del contrato de obra corresponde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r w:rsidRPr="00874EAA">
        <w:rPr>
          <w:rStyle w:val="FootnoteReference"/>
          <w:rFonts w:ascii="Century Gothic" w:hAnsi="Century Gothic" w:eastAsia="Calibri"/>
          <w:color w:val="000000" w:themeColor="text1"/>
          <w:lang w:val="es-ES_tradnl"/>
        </w:rPr>
        <w:footnoteReference w:id="25"/>
      </w:r>
      <w:r w:rsidRPr="00874EAA">
        <w:rPr>
          <w:rFonts w:ascii="Century Gothic" w:hAnsi="Century Gothic" w:eastAsia="Calibri"/>
          <w:color w:val="000000" w:themeColor="text1"/>
          <w:lang w:val="es-ES_tradnl"/>
        </w:rPr>
        <w:t xml:space="preserve">. </w:t>
      </w:r>
    </w:p>
    <w:p w:rsidRPr="00206B9B" w:rsidR="00E15C57" w:rsidP="00206B9B" w:rsidRDefault="00206B9B" w14:paraId="2E5688DF" w14:textId="70804D9C">
      <w:pPr>
        <w:spacing w:after="158" w:line="276" w:lineRule="auto"/>
        <w:ind w:firstLine="708"/>
        <w:jc w:val="both"/>
        <w:rPr>
          <w:rFonts w:ascii="Arial" w:hAnsi="Arial" w:eastAsia="Calibri" w:cs="Arial"/>
          <w:color w:val="000000" w:themeColor="text1"/>
          <w:sz w:val="21"/>
          <w:szCs w:val="21"/>
          <w:lang w:val="es-ES_tradnl"/>
        </w:rPr>
      </w:pPr>
      <w:r>
        <w:rPr>
          <w:rFonts w:ascii="Century Gothic" w:hAnsi="Century Gothic" w:eastAsia="Calibri"/>
          <w:color w:val="000000" w:themeColor="text1"/>
          <w:lang w:val="es-ES_tradnl"/>
        </w:rPr>
        <w:t>Así</w:t>
      </w:r>
      <w:r w:rsidRPr="00874EAA" w:rsidR="00E15C57">
        <w:rPr>
          <w:rFonts w:ascii="Century Gothic" w:hAnsi="Century Gothic" w:eastAsia="Calibri"/>
          <w:color w:val="000000" w:themeColor="text1"/>
          <w:lang w:val="es-ES_tradnl"/>
        </w:rPr>
        <w:t xml:space="preserve">, el contrato de obra no se limita a la construcción de inmuebles, pues la definición se extiende a las actividades de mantenimiento e instalación, lo cual supone un bien preexistente. Para la Real Academia Española </w:t>
      </w:r>
      <w:r w:rsidRPr="00874EAA" w:rsidR="00487A71">
        <w:rPr>
          <w:rFonts w:ascii="Century Gothic" w:hAnsi="Century Gothic" w:eastAsia="Calibri"/>
          <w:color w:val="000000" w:themeColor="text1"/>
          <w:lang w:val="es-ES_tradnl"/>
        </w:rPr>
        <w:t>“</w:t>
      </w:r>
      <w:r w:rsidRPr="00874EAA" w:rsidR="00E15C57">
        <w:rPr>
          <w:rFonts w:ascii="Century Gothic" w:hAnsi="Century Gothic" w:eastAsia="Calibri"/>
          <w:color w:val="000000" w:themeColor="text1"/>
          <w:lang w:val="es-ES_tradnl"/>
        </w:rPr>
        <w:t>construir</w:t>
      </w:r>
      <w:r w:rsidRPr="00874EAA" w:rsidR="00487A71">
        <w:rPr>
          <w:rFonts w:ascii="Century Gothic" w:hAnsi="Century Gothic" w:eastAsia="Calibri"/>
          <w:color w:val="000000" w:themeColor="text1"/>
          <w:lang w:val="es-ES_tradnl"/>
        </w:rPr>
        <w:t>”</w:t>
      </w:r>
      <w:r w:rsidRPr="00874EAA" w:rsidR="00E15C57">
        <w:rPr>
          <w:rFonts w:ascii="Century Gothic" w:hAnsi="Century Gothic" w:eastAsia="Calibri"/>
          <w:color w:val="000000" w:themeColor="text1"/>
          <w:lang w:val="es-ES_tradnl"/>
        </w:rPr>
        <w:t xml:space="preserve"> significa fabricar, erigir, edificar y hacer de nueva planta una cosa; en tanto que </w:t>
      </w:r>
      <w:r w:rsidRPr="00874EAA" w:rsidR="00487A71">
        <w:rPr>
          <w:rFonts w:ascii="Century Gothic" w:hAnsi="Century Gothic" w:eastAsia="Calibri"/>
          <w:color w:val="000000" w:themeColor="text1"/>
          <w:lang w:val="es-ES_tradnl"/>
        </w:rPr>
        <w:t>“</w:t>
      </w:r>
      <w:r w:rsidRPr="00874EAA" w:rsidR="00E15C57">
        <w:rPr>
          <w:rFonts w:ascii="Century Gothic" w:hAnsi="Century Gothic" w:eastAsia="Calibri"/>
          <w:color w:val="000000" w:themeColor="text1"/>
          <w:lang w:val="es-ES_tradnl"/>
        </w:rPr>
        <w:t>mantener</w:t>
      </w:r>
      <w:r w:rsidRPr="00874EAA" w:rsidR="00487A71">
        <w:rPr>
          <w:rFonts w:ascii="Century Gothic" w:hAnsi="Century Gothic" w:eastAsia="Calibri"/>
          <w:color w:val="000000" w:themeColor="text1"/>
          <w:lang w:val="es-ES_tradnl"/>
        </w:rPr>
        <w:t>”</w:t>
      </w:r>
      <w:r w:rsidRPr="00874EAA" w:rsidR="00E15C57">
        <w:rPr>
          <w:rFonts w:ascii="Century Gothic" w:hAnsi="Century Gothic" w:eastAsia="Calibri"/>
          <w:color w:val="000000" w:themeColor="text1"/>
          <w:lang w:val="es-ES_tradnl"/>
        </w:rPr>
        <w:t xml:space="preserve"> significa conservar una cosa en su ser, darle vigor y permanencia; y, </w:t>
      </w:r>
      <w:r w:rsidRPr="00874EAA" w:rsidR="00E15C57">
        <w:rPr>
          <w:rFonts w:ascii="Century Gothic" w:hAnsi="Century Gothic" w:eastAsia="Calibri"/>
          <w:color w:val="000000" w:themeColor="text1"/>
          <w:lang w:val="es-ES_tradnl"/>
        </w:rPr>
        <w:t xml:space="preserve">finalmente, </w:t>
      </w:r>
      <w:r w:rsidRPr="001A0A60" w:rsidR="007A07C2">
        <w:rPr>
          <w:rFonts w:ascii="Century Gothic" w:hAnsi="Century Gothic" w:eastAsia="Calibri"/>
          <w:color w:val="000000" w:themeColor="text1"/>
          <w:lang w:val="es-ES_tradnl"/>
        </w:rPr>
        <w:t>“</w:t>
      </w:r>
      <w:r w:rsidRPr="00874EAA" w:rsidR="00E15C57">
        <w:rPr>
          <w:rFonts w:ascii="Century Gothic" w:hAnsi="Century Gothic" w:eastAsia="Calibri"/>
          <w:color w:val="000000" w:themeColor="text1"/>
          <w:lang w:val="es-ES_tradnl"/>
        </w:rPr>
        <w:t>instalar</w:t>
      </w:r>
      <w:r w:rsidRPr="001A0A60" w:rsidR="007A07C2">
        <w:rPr>
          <w:rFonts w:ascii="Century Gothic" w:hAnsi="Century Gothic" w:eastAsia="Calibri"/>
          <w:color w:val="000000" w:themeColor="text1"/>
          <w:lang w:val="es-ES_tradnl"/>
        </w:rPr>
        <w:t>”</w:t>
      </w:r>
      <w:r w:rsidRPr="00874EAA" w:rsidR="00E15C57">
        <w:rPr>
          <w:rFonts w:ascii="Century Gothic" w:hAnsi="Century Gothic" w:eastAsia="Calibri"/>
          <w:color w:val="000000" w:themeColor="text1"/>
          <w:lang w:val="es-ES_tradnl"/>
        </w:rPr>
        <w:t xml:space="preserve"> es poner o colocar algo en su lugar debido. Igualmente, el concepto se extiende a cualquier trabajo material realizado sobre bienes inmuebles, tales como la reforma y la demolición.</w:t>
      </w:r>
    </w:p>
    <w:p w:rsidRPr="00874EAA" w:rsidR="00E15C57" w:rsidP="00206B9B" w:rsidRDefault="00E15C57" w14:paraId="3E9619B6" w14:textId="23D7F5A4">
      <w:pPr>
        <w:spacing w:after="158" w:line="276" w:lineRule="auto"/>
        <w:ind w:firstLine="708"/>
        <w:jc w:val="both"/>
        <w:rPr>
          <w:rFonts w:ascii="Century Gothic" w:hAnsi="Century Gothic" w:eastAsia="Calibri"/>
          <w:color w:val="000000" w:themeColor="text1"/>
          <w:lang w:val="es-ES_tradnl"/>
        </w:rPr>
      </w:pPr>
      <w:r w:rsidRPr="00874EAA">
        <w:rPr>
          <w:rFonts w:ascii="Century Gothic" w:hAnsi="Century Gothic" w:eastAsia="Calibri"/>
          <w:color w:val="000000" w:themeColor="text1"/>
          <w:lang w:val="es-ES_tradnl"/>
        </w:rPr>
        <w:t>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w:t>
      </w:r>
      <w:r w:rsidRPr="001A0A60" w:rsidR="002B283F">
        <w:rPr>
          <w:rStyle w:val="FootnoteReference"/>
          <w:rFonts w:ascii="Century Gothic" w:hAnsi="Century Gothic" w:eastAsia="Calibri"/>
          <w:color w:val="000000" w:themeColor="text1"/>
          <w:lang w:val="es-ES_tradnl"/>
        </w:rPr>
        <w:footnoteReference w:id="26"/>
      </w:r>
      <w:r w:rsidRPr="00874EAA">
        <w:rPr>
          <w:rFonts w:ascii="Century Gothic" w:hAnsi="Century Gothic" w:eastAsia="Calibri"/>
          <w:color w:val="000000" w:themeColor="text1"/>
          <w:lang w:val="es-ES_tradnl"/>
        </w:rPr>
        <w:t xml:space="preserve">. Las diferencias entre ambos tipos de bienes se derivan de que: i) mientras la incorporación de los </w:t>
      </w:r>
      <w:r w:rsidRPr="00874EAA">
        <w:rPr>
          <w:rFonts w:ascii="Century Gothic" w:hAnsi="Century Gothic" w:eastAsia="Calibri"/>
          <w:i/>
          <w:iCs/>
          <w:color w:val="000000" w:themeColor="text1"/>
          <w:lang w:val="es-ES_tradnl"/>
        </w:rPr>
        <w:t>inmuebles por adhesión</w:t>
      </w:r>
      <w:r w:rsidRPr="00874EAA">
        <w:rPr>
          <w:rFonts w:ascii="Century Gothic" w:hAnsi="Century Gothic" w:eastAsia="Calibri"/>
          <w:color w:val="000000" w:themeColor="text1"/>
          <w:lang w:val="es-ES_tradnl"/>
        </w:rPr>
        <w:t xml:space="preserve"> es material, la de los </w:t>
      </w:r>
      <w:r w:rsidRPr="00874EAA">
        <w:rPr>
          <w:rFonts w:ascii="Century Gothic" w:hAnsi="Century Gothic" w:eastAsia="Calibri"/>
          <w:i/>
          <w:iCs/>
          <w:color w:val="000000" w:themeColor="text1"/>
          <w:lang w:val="es-ES_tradnl"/>
        </w:rPr>
        <w:t xml:space="preserve">inmuebles por destinación </w:t>
      </w:r>
      <w:r w:rsidRPr="00874EAA">
        <w:rPr>
          <w:rFonts w:ascii="Century Gothic" w:hAnsi="Century Gothic" w:eastAsia="Calibri"/>
          <w:color w:val="000000" w:themeColor="text1"/>
          <w:lang w:val="es-ES_tradnl"/>
        </w:rPr>
        <w:t xml:space="preserve">es intelectual; </w:t>
      </w:r>
      <w:proofErr w:type="spellStart"/>
      <w:r w:rsidRPr="00874EAA">
        <w:rPr>
          <w:rFonts w:ascii="Century Gothic" w:hAnsi="Century Gothic" w:eastAsia="Calibri"/>
          <w:color w:val="000000" w:themeColor="text1"/>
          <w:lang w:val="es-ES_tradnl"/>
        </w:rPr>
        <w:t>ii</w:t>
      </w:r>
      <w:proofErr w:type="spellEnd"/>
      <w:r w:rsidRPr="00874EAA">
        <w:rPr>
          <w:rFonts w:ascii="Century Gothic" w:hAnsi="Century Gothic" w:eastAsia="Calibri"/>
          <w:color w:val="000000" w:themeColor="text1"/>
          <w:lang w:val="es-ES_tradnl"/>
        </w:rPr>
        <w:t xml:space="preserve">) mientras los primeros son incorporados por el dueño o por terceras personas, en los segundos es necesaria la identidad del propietario; finalmente, </w:t>
      </w:r>
      <w:proofErr w:type="spellStart"/>
      <w:r w:rsidRPr="00874EAA">
        <w:rPr>
          <w:rFonts w:ascii="Century Gothic" w:hAnsi="Century Gothic" w:eastAsia="Calibri"/>
          <w:color w:val="000000" w:themeColor="text1"/>
          <w:lang w:val="es-ES_tradnl"/>
        </w:rPr>
        <w:t>iii</w:t>
      </w:r>
      <w:proofErr w:type="spellEnd"/>
      <w:r w:rsidRPr="00874EAA">
        <w:rPr>
          <w:rFonts w:ascii="Century Gothic" w:hAnsi="Century Gothic" w:eastAsia="Calibri"/>
          <w:color w:val="000000" w:themeColor="text1"/>
          <w:lang w:val="es-ES_tradnl"/>
        </w:rPr>
        <w:t xml:space="preserve">) mientras que aquellos pierden individualidad por la incorporación al inmueble, no sucede lo mismo con los segundos, los cuales conservan su autonomía pese a estar destinados al cultivo de aquel. De esta manera, la distinción del Código Civil entre bienes muebles e inmuebles influye en la identificación de una actividad material como parte de un contrato de obra pública en los </w:t>
      </w:r>
      <w:bookmarkStart w:name="_Hlk81429290" w:id="15"/>
      <w:r w:rsidRPr="00874EAA">
        <w:rPr>
          <w:rFonts w:ascii="Century Gothic" w:hAnsi="Century Gothic" w:eastAsia="Calibri"/>
          <w:color w:val="000000" w:themeColor="text1"/>
          <w:lang w:val="es-ES_tradnl"/>
        </w:rPr>
        <w:t xml:space="preserve">términos del Estatuto General de Contratación de la Administración Pública. </w:t>
      </w:r>
    </w:p>
    <w:p w:rsidRPr="001A0A60" w:rsidR="00E15C57" w:rsidP="00874EAA" w:rsidRDefault="00E15C57" w14:paraId="1F6524D9" w14:textId="516FA36D">
      <w:pPr>
        <w:tabs>
          <w:tab w:val="left" w:pos="426"/>
        </w:tabs>
        <w:spacing w:after="0" w:line="276" w:lineRule="auto"/>
        <w:jc w:val="both"/>
        <w:rPr>
          <w:rFonts w:ascii="Century Gothic" w:hAnsi="Century Gothic" w:eastAsia="Calibri"/>
          <w:color w:val="000000" w:themeColor="text1"/>
          <w:lang w:val="es-ES_tradnl"/>
        </w:rPr>
      </w:pPr>
      <w:r w:rsidRPr="00874EAA">
        <w:rPr>
          <w:rFonts w:ascii="Century Gothic" w:hAnsi="Century Gothic" w:eastAsia="Calibri"/>
          <w:color w:val="000000" w:themeColor="text1"/>
          <w:lang w:val="es-ES_tradnl"/>
        </w:rPr>
        <w:tab/>
      </w:r>
      <w:r w:rsidRPr="00874EAA">
        <w:rPr>
          <w:rFonts w:ascii="Century Gothic" w:hAnsi="Century Gothic" w:eastAsia="Calibri"/>
          <w:color w:val="000000" w:themeColor="text1"/>
          <w:lang w:val="es-ES_tradnl"/>
        </w:rPr>
        <w:tab/>
      </w:r>
      <w:bookmarkEnd w:id="15"/>
      <w:r w:rsidRPr="00874EAA" w:rsidR="00816BD9">
        <w:rPr>
          <w:rFonts w:ascii="Century Gothic" w:hAnsi="Century Gothic" w:eastAsia="Calibri"/>
          <w:color w:val="000000" w:themeColor="text1"/>
          <w:lang w:val="es-ES_tradnl"/>
        </w:rPr>
        <w:t xml:space="preserve">Ahora bien, la </w:t>
      </w:r>
      <w:r w:rsidRPr="00874EAA" w:rsidR="00A22B6D">
        <w:rPr>
          <w:rFonts w:ascii="Century Gothic" w:hAnsi="Century Gothic" w:eastAsia="Calibri"/>
          <w:color w:val="000000" w:themeColor="text1"/>
          <w:lang w:val="es-ES_tradnl"/>
        </w:rPr>
        <w:t>infraestructura</w:t>
      </w:r>
      <w:r w:rsidRPr="00874EAA" w:rsidR="00816BD9">
        <w:rPr>
          <w:rFonts w:ascii="Century Gothic" w:hAnsi="Century Gothic" w:eastAsia="Calibri"/>
          <w:color w:val="000000" w:themeColor="text1"/>
          <w:lang w:val="es-ES_tradnl"/>
        </w:rPr>
        <w:t xml:space="preserve"> de transporte es definida </w:t>
      </w:r>
      <w:r w:rsidRPr="00874EAA" w:rsidR="00A22B6D">
        <w:rPr>
          <w:rFonts w:ascii="Century Gothic" w:hAnsi="Century Gothic" w:eastAsia="Calibri"/>
          <w:color w:val="000000" w:themeColor="text1"/>
          <w:lang w:val="es-ES_tradnl"/>
        </w:rPr>
        <w:t xml:space="preserve">por el artículo 2 de la Ley 1682 de 2013 como un </w:t>
      </w:r>
      <w:r w:rsidRPr="00874EAA" w:rsidR="00A22B6D">
        <w:rPr>
          <w:rFonts w:ascii="Century Gothic" w:hAnsi="Century Gothic" w:eastAsia="Calibri"/>
          <w:i/>
          <w:iCs/>
          <w:color w:val="000000" w:themeColor="text1"/>
          <w:lang w:val="es-ES_tradnl"/>
        </w:rPr>
        <w:t xml:space="preserve">“[…] </w:t>
      </w:r>
      <w:r w:rsidRPr="00874EAA" w:rsidR="00A22B6D">
        <w:rPr>
          <w:rFonts w:ascii="Century Gothic" w:hAnsi="Century Gothic" w:eastAsia="Calibri"/>
          <w:color w:val="000000" w:themeColor="text1"/>
          <w:lang w:val="es-ES_tradnl"/>
        </w:rPr>
        <w:t xml:space="preserve">un sistema de movilidad integrado por un </w:t>
      </w:r>
      <w:r w:rsidRPr="00874EAA" w:rsidR="00A22B6D">
        <w:rPr>
          <w:rFonts w:ascii="Century Gothic" w:hAnsi="Century Gothic" w:eastAsia="Calibri"/>
          <w:i/>
          <w:iCs/>
          <w:color w:val="000000" w:themeColor="text1"/>
          <w:lang w:val="es-ES_tradnl"/>
        </w:rPr>
        <w:t>conjunto de bienes tangibles, intangibles y aquellos que se encuentren relacionados con este</w:t>
      </w:r>
      <w:r w:rsidRPr="00874EAA" w:rsidR="00A22B6D">
        <w:rPr>
          <w:rFonts w:ascii="Century Gothic" w:hAnsi="Century Gothic" w:eastAsia="Calibri"/>
          <w:color w:val="000000" w:themeColor="text1"/>
          <w:lang w:val="es-ES_tradnl"/>
        </w:rPr>
        <w:t xml:space="preserve">, el cual está bajo la vigilancia y control del Estado, y se organiza de manera estable para permitir el traslado de las personas, los bienes y los servicios, el acceso y la integración de las diferentes zonas del país y que propende por el crecimiento, </w:t>
      </w:r>
      <w:r w:rsidRPr="00874EAA" w:rsidR="00A22B6D">
        <w:rPr>
          <w:rFonts w:ascii="Century Gothic" w:hAnsi="Century Gothic" w:eastAsia="Calibri"/>
          <w:color w:val="000000" w:themeColor="text1"/>
          <w:lang w:val="es-ES_tradnl"/>
        </w:rPr>
        <w:t xml:space="preserve">competitividad y mejora de la calidad de la vida de los ciudadanos”.  </w:t>
      </w:r>
      <w:r w:rsidRPr="001A0A60" w:rsidR="00C81A0B">
        <w:rPr>
          <w:rFonts w:ascii="Century Gothic" w:hAnsi="Century Gothic" w:eastAsia="Calibri"/>
          <w:color w:val="000000" w:themeColor="text1"/>
          <w:lang w:val="es-ES_tradnl"/>
        </w:rPr>
        <w:t>En concordancia con dicha definición el artículo 4 de dicha ley estable como está conformada la infraestructura de transporte indicando</w:t>
      </w:r>
      <w:r w:rsidRPr="001A0A60" w:rsidR="00A124AB">
        <w:rPr>
          <w:rFonts w:ascii="Century Gothic" w:hAnsi="Century Gothic" w:eastAsia="Calibri"/>
          <w:color w:val="000000" w:themeColor="text1"/>
          <w:lang w:val="es-ES_tradnl"/>
        </w:rPr>
        <w:t xml:space="preserve"> lo siguiente: </w:t>
      </w:r>
    </w:p>
    <w:p w:rsidRPr="001A0A60" w:rsidR="00A124AB" w:rsidP="00A22B6D" w:rsidRDefault="00A124AB" w14:paraId="577060B2" w14:textId="77777777">
      <w:pPr>
        <w:tabs>
          <w:tab w:val="left" w:pos="426"/>
        </w:tabs>
        <w:spacing w:after="0"/>
        <w:jc w:val="both"/>
        <w:rPr>
          <w:rFonts w:ascii="Century Gothic" w:hAnsi="Century Gothic" w:eastAsia="Calibri"/>
          <w:color w:val="000000" w:themeColor="text1"/>
          <w:lang w:val="es-ES_tradnl"/>
        </w:rPr>
      </w:pPr>
    </w:p>
    <w:p w:rsidRPr="00874EAA" w:rsidR="00A124AB" w:rsidP="00874EAA" w:rsidRDefault="00A124AB" w14:paraId="31322F68" w14:textId="3C5091CA">
      <w:pPr>
        <w:pStyle w:val="NormalWeb"/>
        <w:spacing w:before="0" w:beforeAutospacing="0" w:after="0" w:afterAutospacing="0"/>
        <w:ind w:left="709" w:right="709"/>
        <w:jc w:val="both"/>
        <w:rPr>
          <w:rFonts w:ascii="Century Gothic" w:hAnsi="Century Gothic" w:cs="Arial"/>
          <w:color w:val="000000"/>
          <w:sz w:val="20"/>
          <w:szCs w:val="20"/>
        </w:rPr>
      </w:pPr>
      <w:r w:rsidRPr="00874EAA">
        <w:rPr>
          <w:rStyle w:val="Strong"/>
          <w:rFonts w:ascii="Century Gothic" w:hAnsi="Century Gothic" w:cs="Arial"/>
          <w:color w:val="000000"/>
          <w:sz w:val="20"/>
          <w:szCs w:val="20"/>
        </w:rPr>
        <w:t>“Artículo 4°.</w:t>
      </w:r>
      <w:r w:rsidRPr="00874EAA">
        <w:rPr>
          <w:rStyle w:val="Emphasis"/>
          <w:rFonts w:ascii="Century Gothic" w:hAnsi="Century Gothic" w:cs="Arial"/>
          <w:color w:val="000000"/>
          <w:sz w:val="20"/>
          <w:szCs w:val="20"/>
        </w:rPr>
        <w:t> Integración de la infraestructura de transporte.</w:t>
      </w:r>
      <w:r w:rsidRPr="00874EAA">
        <w:rPr>
          <w:rFonts w:ascii="Century Gothic" w:hAnsi="Century Gothic" w:cs="Arial"/>
          <w:color w:val="000000"/>
          <w:sz w:val="20"/>
          <w:szCs w:val="20"/>
        </w:rPr>
        <w:t> La infraestructura de transporte está integrada, entre otros por: </w:t>
      </w:r>
    </w:p>
    <w:p w:rsidRPr="00874EAA" w:rsidR="00A124AB" w:rsidP="00874EAA" w:rsidRDefault="00A124AB" w14:paraId="6D516625"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874EAA" w:rsidR="00A124AB" w:rsidP="00874EAA" w:rsidRDefault="00A124AB" w14:paraId="66C89093"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1. La red vial de transporte terrestre automotor con sus zonas de exclusión o fajas de retiro obligatorio, instalaciones operativas como estaciones de pesaje, centros de control de operaciones, estaciones de peaje, áreas de servicio y atención, facilidades y su señalización, entre otras. </w:t>
      </w:r>
    </w:p>
    <w:p w:rsidRPr="00874EAA" w:rsidR="00A124AB" w:rsidP="00874EAA" w:rsidRDefault="00A124AB" w14:paraId="375F506A"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874EAA" w:rsidR="00A124AB" w:rsidP="00874EAA" w:rsidRDefault="00A124AB" w14:paraId="5E9CB365"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2. Los puentes construidos sobre los accesos viales en Zonas de Frontera. </w:t>
      </w:r>
    </w:p>
    <w:p w:rsidRPr="00874EAA" w:rsidR="00A124AB" w:rsidP="00874EAA" w:rsidRDefault="00A124AB" w14:paraId="3C9B0F12"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874EAA" w:rsidR="00A124AB" w:rsidP="00874EAA" w:rsidRDefault="00A124AB" w14:paraId="239DF62A"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3. Los viaductos, túneles, puentes y accesos de las vías terrestres y a terminales portuarios y aeroportuarios. </w:t>
      </w:r>
    </w:p>
    <w:p w:rsidRPr="00874EAA" w:rsidR="00A124AB" w:rsidP="00874EAA" w:rsidRDefault="00A124AB" w14:paraId="7DF96DD0"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874EAA" w:rsidR="00A124AB" w:rsidP="00874EAA" w:rsidRDefault="00A124AB" w14:paraId="64F6CC7B"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4. Los ríos, mares, canales de aguas navegables y los demás bienes de uso público asociados a estos, así como los elementos de señalización como faros, boyas y otros elementos para la facilitación y seguridad del transporte marítimo y fluvial y sistemas de apoyo y control de tráfico, sin perjuicio de su connotación como elementos de la soberanía y seguridad del Estado. </w:t>
      </w:r>
    </w:p>
    <w:p w:rsidRPr="00874EAA" w:rsidR="00A124AB" w:rsidP="00874EAA" w:rsidRDefault="00A124AB" w14:paraId="6B0F77B4"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874EAA" w:rsidR="00A124AB" w:rsidP="00874EAA" w:rsidRDefault="00A124AB" w14:paraId="4B70193E"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5. Los puertos marítimos y fluviales y sus vías y canales de acceso. La infraestructura portuaria, marítima y fluvial comprende las radas, fondeaderos, canales de acceso, zonas de maniobra, zonas de protección ambiental y/o explotación comercial, los muelles, espigones diques direccionales, diques de contracción y otras obras que permitan el mantenimiento de un canal de navegación, estructuras de protección de orillas y las tierras en las que se encuentran construidas dichas obras. </w:t>
      </w:r>
    </w:p>
    <w:p w:rsidRPr="00874EAA" w:rsidR="00A124AB" w:rsidP="00874EAA" w:rsidRDefault="00A124AB" w14:paraId="26854C3F"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874EAA" w:rsidR="00A124AB" w:rsidP="00874EAA" w:rsidRDefault="00A124AB" w14:paraId="62CAD5DD"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6. Las líneas férreas y la infraestructura para el control del tránsito, las estaciones férreas, la señalización y sus zonas de exclusión o fajas de retiro obligatorio. </w:t>
      </w:r>
    </w:p>
    <w:p w:rsidRPr="00874EAA" w:rsidR="00A124AB" w:rsidP="00874EAA" w:rsidRDefault="00A124AB" w14:paraId="1A7B7C58"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874EAA" w:rsidR="00A124AB" w:rsidP="00874EAA" w:rsidRDefault="00A124AB" w14:paraId="0E5DF584"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7. La infraestructura logística especializada que contempla los nodos de abastecimiento mayorista, centros de transporte terrestre, áreas logísticas de distribución, centros de carga aérea, zonas de actividades logísticas portuarias, puertos secos y zonas logísticas multimodales. </w:t>
      </w:r>
    </w:p>
    <w:p w:rsidRPr="00874EAA" w:rsidR="00A124AB" w:rsidP="00874EAA" w:rsidRDefault="00A124AB" w14:paraId="45A08F9C"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874EAA" w:rsidR="00A124AB" w:rsidP="00874EAA" w:rsidRDefault="00A124AB" w14:paraId="3BB23887"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8. La infraestructura aeronáutica y aeroportuaria destinada a facilitar y hacer posible la navegación aérea. </w:t>
      </w:r>
    </w:p>
    <w:p w:rsidRPr="00874EAA" w:rsidR="00A124AB" w:rsidP="00874EAA" w:rsidRDefault="00A124AB" w14:paraId="3F2F5940"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874EAA" w:rsidR="00A124AB" w:rsidP="00874EAA" w:rsidRDefault="00A124AB" w14:paraId="167FCDA9"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9. Los Sistemas de Transporte por Cable: teleférico, cable aéreo, cable remolcador y funicular, construidos en el espacio público y/o con destinación al transporte de carga o pasajeros. </w:t>
      </w:r>
    </w:p>
    <w:p w:rsidRPr="00874EAA" w:rsidR="00A124AB" w:rsidP="00874EAA" w:rsidRDefault="00A124AB" w14:paraId="400184F7"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874EAA" w:rsidR="00A124AB" w:rsidP="00874EAA" w:rsidRDefault="00A124AB" w14:paraId="1556D6E4"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10. La infraestructura urbana que soporta sistemas de transporte público, sistemas integrados de transporte masivo, sistemas estratégicos de transporte público y sistemas integrados de transporte público; el espacio público que lo conforman andenes, separadores, zonas verdes, áreas de control ambiental, áreas de parqueo ocasional, así como ciclorrutas, paraderos, terminales, estaciones y plataformas tecnológicas. </w:t>
      </w:r>
    </w:p>
    <w:p w:rsidRPr="00874EAA" w:rsidR="00A124AB" w:rsidP="00874EAA" w:rsidRDefault="00A124AB" w14:paraId="3F7EB687"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874EAA" w:rsidR="00A124AB" w:rsidP="00874EAA" w:rsidRDefault="00A124AB" w14:paraId="7B2D40BE"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11. Redes de sistemas inteligentes de transporte. </w:t>
      </w:r>
    </w:p>
    <w:p w:rsidRPr="00874EAA" w:rsidR="00A124AB" w:rsidP="00874EAA" w:rsidRDefault="00A124AB" w14:paraId="1219A1DA"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874EAA" w:rsidR="00A124AB" w:rsidP="00874EAA" w:rsidRDefault="00A124AB" w14:paraId="7C62E02A"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Style w:val="Strong"/>
          <w:rFonts w:ascii="Century Gothic" w:hAnsi="Century Gothic" w:cs="Arial"/>
          <w:color w:val="000000"/>
          <w:sz w:val="20"/>
          <w:szCs w:val="20"/>
        </w:rPr>
        <w:t>Parágrafo 1°.</w:t>
      </w:r>
      <w:r w:rsidRPr="00874EAA">
        <w:rPr>
          <w:rFonts w:ascii="Century Gothic" w:hAnsi="Century Gothic" w:cs="Arial"/>
          <w:color w:val="000000"/>
          <w:sz w:val="20"/>
          <w:szCs w:val="20"/>
        </w:rPr>
        <w:t> La integración a la que se refiere el presente artículo no modifica las competencias, usos, propiedad o destinación adicionales que el legislador haya previsto respecto de los bienes antes descritos. </w:t>
      </w:r>
    </w:p>
    <w:p w:rsidRPr="00874EAA" w:rsidR="00A124AB" w:rsidP="00874EAA" w:rsidRDefault="00A124AB" w14:paraId="783E9F65" w14:textId="77777777">
      <w:pPr>
        <w:pStyle w:val="NormalWeb"/>
        <w:spacing w:before="0" w:beforeAutospacing="0" w:after="0" w:afterAutospacing="0"/>
        <w:ind w:left="709" w:right="709"/>
        <w:jc w:val="both"/>
        <w:rPr>
          <w:rFonts w:ascii="Century Gothic" w:hAnsi="Century Gothic" w:cs="Arial"/>
          <w:color w:val="000000"/>
          <w:sz w:val="20"/>
          <w:szCs w:val="20"/>
        </w:rPr>
      </w:pPr>
      <w:r w:rsidRPr="00874EAA">
        <w:rPr>
          <w:rFonts w:ascii="Century Gothic" w:hAnsi="Century Gothic" w:cs="Arial"/>
          <w:color w:val="000000"/>
          <w:sz w:val="20"/>
          <w:szCs w:val="20"/>
        </w:rPr>
        <w:t>  </w:t>
      </w:r>
    </w:p>
    <w:p w:rsidRPr="001A0A60" w:rsidR="00A124AB" w:rsidP="00874EAA" w:rsidRDefault="00A124AB" w14:paraId="1575D483" w14:textId="30275714">
      <w:pPr>
        <w:pStyle w:val="NormalWeb"/>
        <w:spacing w:before="0" w:beforeAutospacing="0" w:after="0" w:afterAutospacing="0"/>
        <w:ind w:left="709" w:right="709"/>
        <w:jc w:val="both"/>
        <w:rPr>
          <w:rFonts w:ascii="Arial" w:hAnsi="Arial" w:cs="Arial"/>
          <w:color w:val="000000"/>
        </w:rPr>
      </w:pPr>
      <w:r w:rsidRPr="00874EAA">
        <w:rPr>
          <w:rStyle w:val="Strong"/>
          <w:rFonts w:ascii="Century Gothic" w:hAnsi="Century Gothic" w:cs="Arial"/>
          <w:color w:val="000000"/>
          <w:sz w:val="20"/>
          <w:szCs w:val="20"/>
        </w:rPr>
        <w:t>Parágrafo 2°.</w:t>
      </w:r>
      <w:r w:rsidRPr="00874EAA">
        <w:rPr>
          <w:rFonts w:ascii="Century Gothic" w:hAnsi="Century Gothic" w:cs="Arial"/>
          <w:color w:val="000000"/>
          <w:sz w:val="20"/>
          <w:szCs w:val="20"/>
        </w:rPr>
        <w:t> Las zonas de exclusión o fajas de retiro obligatorio deberán ser previamente adquiridas por el responsable del proyecto de infraestructura de transporte, cuando se requiera su utilización”.</w:t>
      </w:r>
      <w:r w:rsidRPr="001A0A60">
        <w:rPr>
          <w:rFonts w:ascii="Arial" w:hAnsi="Arial" w:cs="Arial"/>
          <w:color w:val="000000"/>
        </w:rPr>
        <w:t> </w:t>
      </w:r>
    </w:p>
    <w:p w:rsidRPr="001A0A60" w:rsidR="006E3F7F" w:rsidP="00874EAA" w:rsidRDefault="006E3F7F" w14:paraId="08A7E798" w14:textId="77777777">
      <w:pPr>
        <w:spacing w:after="0" w:line="276" w:lineRule="auto"/>
        <w:ind w:firstLine="708"/>
        <w:jc w:val="both"/>
        <w:rPr>
          <w:rFonts w:ascii="Century Gothic" w:hAnsi="Century Gothic" w:cs="Arial"/>
        </w:rPr>
      </w:pPr>
    </w:p>
    <w:p w:rsidRPr="001A0A60" w:rsidR="00287138" w:rsidP="006E3F7F" w:rsidRDefault="006E3F7F" w14:paraId="184AFFF9" w14:textId="77777777">
      <w:pPr>
        <w:spacing w:after="120" w:line="276" w:lineRule="auto"/>
        <w:ind w:firstLine="708"/>
        <w:jc w:val="both"/>
        <w:rPr>
          <w:rFonts w:ascii="Century Gothic" w:hAnsi="Century Gothic" w:cs="Arial"/>
        </w:rPr>
      </w:pPr>
      <w:r w:rsidRPr="001A0A60">
        <w:rPr>
          <w:rFonts w:ascii="Century Gothic" w:hAnsi="Century Gothic" w:cs="Arial"/>
        </w:rPr>
        <w:t xml:space="preserve">Según estas disposiciones traídas de la Ley 1682 de 2013, es claro que la infraestructura de transporte </w:t>
      </w:r>
      <w:r w:rsidRPr="001A0A60" w:rsidR="00D77BDE">
        <w:rPr>
          <w:rFonts w:ascii="Century Gothic" w:hAnsi="Century Gothic" w:cs="Arial"/>
        </w:rPr>
        <w:t>está integrada</w:t>
      </w:r>
      <w:r w:rsidRPr="001A0A60">
        <w:rPr>
          <w:rFonts w:ascii="Century Gothic" w:hAnsi="Century Gothic" w:cs="Arial"/>
        </w:rPr>
        <w:t xml:space="preserve"> </w:t>
      </w:r>
      <w:r w:rsidRPr="001A0A60" w:rsidR="00D77BDE">
        <w:rPr>
          <w:rFonts w:ascii="Century Gothic" w:hAnsi="Century Gothic" w:cs="Arial"/>
        </w:rPr>
        <w:t xml:space="preserve">por </w:t>
      </w:r>
      <w:r w:rsidRPr="001A0A60" w:rsidR="00860F3B">
        <w:rPr>
          <w:rFonts w:ascii="Century Gothic" w:hAnsi="Century Gothic" w:cs="Arial"/>
        </w:rPr>
        <w:t xml:space="preserve">distintos de </w:t>
      </w:r>
      <w:r w:rsidRPr="001A0A60" w:rsidR="00D77BDE">
        <w:rPr>
          <w:rFonts w:ascii="Century Gothic" w:hAnsi="Century Gothic" w:cs="Arial"/>
        </w:rPr>
        <w:t xml:space="preserve">bienes </w:t>
      </w:r>
      <w:r w:rsidRPr="001A0A60" w:rsidR="004D166B">
        <w:rPr>
          <w:rFonts w:ascii="Century Gothic" w:hAnsi="Century Gothic" w:cs="Arial"/>
        </w:rPr>
        <w:t xml:space="preserve">inmuebles susceptibles de </w:t>
      </w:r>
      <w:r w:rsidRPr="001A0A60" w:rsidR="00860F3B">
        <w:rPr>
          <w:rFonts w:ascii="Century Gothic" w:hAnsi="Century Gothic" w:cs="Arial"/>
        </w:rPr>
        <w:t>ser intervenidos con trabajos materiales contratados en el marco de relaciones contractuales estructuradas bajo la tipología de obra</w:t>
      </w:r>
      <w:r w:rsidRPr="001A0A60" w:rsidR="004D166B">
        <w:rPr>
          <w:rFonts w:ascii="Century Gothic" w:hAnsi="Century Gothic" w:cs="Arial"/>
        </w:rPr>
        <w:t xml:space="preserve"> </w:t>
      </w:r>
      <w:r w:rsidRPr="001A0A60" w:rsidR="00860F3B">
        <w:rPr>
          <w:rFonts w:ascii="Century Gothic" w:hAnsi="Century Gothic" w:cs="Arial"/>
        </w:rPr>
        <w:t>pública</w:t>
      </w:r>
      <w:r w:rsidRPr="001A0A60" w:rsidR="006E47C6">
        <w:rPr>
          <w:rFonts w:ascii="Century Gothic" w:hAnsi="Century Gothic" w:cs="Arial"/>
        </w:rPr>
        <w:t>. Es p</w:t>
      </w:r>
      <w:r w:rsidRPr="001A0A60" w:rsidR="00290320">
        <w:rPr>
          <w:rFonts w:ascii="Century Gothic" w:hAnsi="Century Gothic" w:cs="Arial"/>
        </w:rPr>
        <w:t>or esto</w:t>
      </w:r>
      <w:r w:rsidRPr="001A0A60" w:rsidR="00760E56">
        <w:rPr>
          <w:rFonts w:ascii="Century Gothic" w:hAnsi="Century Gothic" w:cs="Arial"/>
        </w:rPr>
        <w:t xml:space="preserve"> por lo que</w:t>
      </w:r>
      <w:r w:rsidRPr="001A0A60" w:rsidR="005214C8">
        <w:rPr>
          <w:rFonts w:ascii="Century Gothic" w:hAnsi="Century Gothic" w:cs="Arial"/>
        </w:rPr>
        <w:t xml:space="preserve">, en aplicación de </w:t>
      </w:r>
      <w:r w:rsidRPr="001A0A60" w:rsidR="00900AE4">
        <w:rPr>
          <w:rFonts w:ascii="Century Gothic" w:hAnsi="Century Gothic" w:cs="Arial"/>
        </w:rPr>
        <w:t xml:space="preserve">este </w:t>
      </w:r>
      <w:r w:rsidRPr="001A0A60" w:rsidR="005214C8">
        <w:rPr>
          <w:rFonts w:ascii="Century Gothic" w:hAnsi="Century Gothic" w:cs="Arial"/>
        </w:rPr>
        <w:t>tipo contractual</w:t>
      </w:r>
      <w:r w:rsidRPr="001A0A60" w:rsidR="00760E56">
        <w:rPr>
          <w:rFonts w:ascii="Century Gothic" w:hAnsi="Century Gothic" w:cs="Arial"/>
        </w:rPr>
        <w:t xml:space="preserve"> y de distintas modalidades de selección</w:t>
      </w:r>
      <w:r w:rsidRPr="001A0A60" w:rsidR="00900AE4">
        <w:rPr>
          <w:rFonts w:ascii="Century Gothic" w:hAnsi="Century Gothic" w:cs="Arial"/>
        </w:rPr>
        <w:t>,</w:t>
      </w:r>
      <w:r w:rsidRPr="001A0A60" w:rsidR="005214C8">
        <w:rPr>
          <w:rFonts w:ascii="Century Gothic" w:hAnsi="Century Gothic" w:cs="Arial"/>
        </w:rPr>
        <w:t xml:space="preserve"> </w:t>
      </w:r>
      <w:r w:rsidRPr="001A0A60" w:rsidR="0023125F">
        <w:rPr>
          <w:rFonts w:ascii="Century Gothic" w:hAnsi="Century Gothic" w:cs="Arial"/>
        </w:rPr>
        <w:t xml:space="preserve">las Entidades Estatales suelen </w:t>
      </w:r>
      <w:r w:rsidRPr="001A0A60" w:rsidR="00945A1A">
        <w:rPr>
          <w:rFonts w:ascii="Century Gothic" w:hAnsi="Century Gothic" w:cs="Arial"/>
        </w:rPr>
        <w:t>contratar</w:t>
      </w:r>
      <w:r w:rsidRPr="001A0A60" w:rsidR="0023125F">
        <w:rPr>
          <w:rFonts w:ascii="Century Gothic" w:hAnsi="Century Gothic" w:cs="Arial"/>
        </w:rPr>
        <w:t xml:space="preserve"> objetos tendientes a la construcción, mantenimiento, rehabilitación</w:t>
      </w:r>
      <w:r w:rsidRPr="001A0A60" w:rsidR="00641DB8">
        <w:rPr>
          <w:rFonts w:ascii="Century Gothic" w:hAnsi="Century Gothic" w:cs="Arial"/>
        </w:rPr>
        <w:t xml:space="preserve"> y</w:t>
      </w:r>
      <w:r w:rsidRPr="001A0A60" w:rsidR="00945A1A">
        <w:rPr>
          <w:rFonts w:ascii="Century Gothic" w:hAnsi="Century Gothic" w:cs="Arial"/>
        </w:rPr>
        <w:t>/o</w:t>
      </w:r>
      <w:r w:rsidRPr="001A0A60" w:rsidR="0023125F">
        <w:rPr>
          <w:rFonts w:ascii="Century Gothic" w:hAnsi="Century Gothic" w:cs="Arial"/>
        </w:rPr>
        <w:t xml:space="preserve"> </w:t>
      </w:r>
      <w:r w:rsidRPr="001A0A60" w:rsidR="00641DB8">
        <w:rPr>
          <w:rFonts w:ascii="Century Gothic" w:hAnsi="Century Gothic" w:cs="Arial"/>
        </w:rPr>
        <w:t>mejoramiento</w:t>
      </w:r>
      <w:r w:rsidRPr="001A0A60" w:rsidR="0023125F">
        <w:rPr>
          <w:rFonts w:ascii="Century Gothic" w:hAnsi="Century Gothic" w:cs="Arial"/>
        </w:rPr>
        <w:t xml:space="preserve"> </w:t>
      </w:r>
      <w:r w:rsidRPr="001A0A60" w:rsidR="00641DB8">
        <w:rPr>
          <w:rFonts w:ascii="Century Gothic" w:hAnsi="Century Gothic" w:cs="Arial"/>
        </w:rPr>
        <w:t xml:space="preserve">de </w:t>
      </w:r>
      <w:r w:rsidRPr="001A0A60" w:rsidR="00AF4E90">
        <w:rPr>
          <w:rFonts w:ascii="Century Gothic" w:hAnsi="Century Gothic" w:cs="Arial"/>
        </w:rPr>
        <w:t xml:space="preserve">carreteras, puertos, vías </w:t>
      </w:r>
      <w:r w:rsidRPr="001A0A60" w:rsidR="00343EDE">
        <w:rPr>
          <w:rFonts w:ascii="Century Gothic" w:hAnsi="Century Gothic" w:cs="Arial"/>
        </w:rPr>
        <w:t>férreas, puentes, viaductos</w:t>
      </w:r>
      <w:r w:rsidRPr="001A0A60" w:rsidR="00AF4E90">
        <w:rPr>
          <w:rFonts w:ascii="Century Gothic" w:hAnsi="Century Gothic" w:cs="Arial"/>
        </w:rPr>
        <w:t xml:space="preserve"> y otr</w:t>
      </w:r>
      <w:r w:rsidRPr="001A0A60" w:rsidR="00DB033E">
        <w:rPr>
          <w:rFonts w:ascii="Century Gothic" w:hAnsi="Century Gothic" w:cs="Arial"/>
        </w:rPr>
        <w:t>as actividades sobre</w:t>
      </w:r>
      <w:r w:rsidRPr="001A0A60" w:rsidR="00AF4E90">
        <w:rPr>
          <w:rFonts w:ascii="Century Gothic" w:hAnsi="Century Gothic" w:cs="Arial"/>
        </w:rPr>
        <w:t xml:space="preserve"> </w:t>
      </w:r>
      <w:r w:rsidRPr="001A0A60" w:rsidR="0055389A">
        <w:rPr>
          <w:rFonts w:ascii="Century Gothic" w:hAnsi="Century Gothic" w:cs="Arial"/>
        </w:rPr>
        <w:t xml:space="preserve">los </w:t>
      </w:r>
      <w:r w:rsidRPr="001A0A60" w:rsidR="00AF4E90">
        <w:rPr>
          <w:rFonts w:ascii="Century Gothic" w:hAnsi="Century Gothic" w:cs="Arial"/>
        </w:rPr>
        <w:t>biene</w:t>
      </w:r>
      <w:r w:rsidRPr="001A0A60" w:rsidR="00343EDE">
        <w:rPr>
          <w:rFonts w:ascii="Century Gothic" w:hAnsi="Century Gothic" w:cs="Arial"/>
        </w:rPr>
        <w:t>s inmuebles que integran la infraestructura de transporte</w:t>
      </w:r>
      <w:r w:rsidRPr="001A0A60" w:rsidR="00DB033E">
        <w:rPr>
          <w:rFonts w:ascii="Century Gothic" w:hAnsi="Century Gothic" w:cs="Arial"/>
        </w:rPr>
        <w:t>, con el propósito de</w:t>
      </w:r>
      <w:r w:rsidRPr="001A0A60" w:rsidR="003D5DC8">
        <w:rPr>
          <w:rFonts w:ascii="Century Gothic" w:hAnsi="Century Gothic" w:cs="Arial"/>
        </w:rPr>
        <w:t xml:space="preserve"> </w:t>
      </w:r>
      <w:r w:rsidRPr="001A0A60" w:rsidR="0055389A">
        <w:rPr>
          <w:rFonts w:ascii="Century Gothic" w:hAnsi="Century Gothic" w:cs="Arial"/>
        </w:rPr>
        <w:t>garantizar la prestación efectiva de</w:t>
      </w:r>
      <w:r w:rsidRPr="001A0A60" w:rsidR="00C34916">
        <w:rPr>
          <w:rFonts w:ascii="Century Gothic" w:hAnsi="Century Gothic" w:cs="Arial"/>
        </w:rPr>
        <w:t>l</w:t>
      </w:r>
      <w:r w:rsidRPr="001A0A60" w:rsidR="00E54B61">
        <w:rPr>
          <w:rFonts w:ascii="Century Gothic" w:hAnsi="Century Gothic" w:cs="Arial"/>
        </w:rPr>
        <w:t xml:space="preserve"> </w:t>
      </w:r>
      <w:r w:rsidRPr="001A0A60" w:rsidR="003D5DC8">
        <w:rPr>
          <w:rFonts w:ascii="Century Gothic" w:hAnsi="Century Gothic" w:cs="Arial"/>
        </w:rPr>
        <w:t>servicio público</w:t>
      </w:r>
      <w:r w:rsidRPr="001A0A60" w:rsidR="00C34916">
        <w:rPr>
          <w:rFonts w:ascii="Century Gothic" w:hAnsi="Century Gothic" w:cs="Arial"/>
        </w:rPr>
        <w:t xml:space="preserve"> de transporte</w:t>
      </w:r>
      <w:r w:rsidRPr="001A0A60" w:rsidR="003D5DC8">
        <w:rPr>
          <w:rFonts w:ascii="Century Gothic" w:hAnsi="Century Gothic" w:cs="Arial"/>
        </w:rPr>
        <w:t xml:space="preserve"> y </w:t>
      </w:r>
      <w:r w:rsidRPr="001A0A60" w:rsidR="00077BA6">
        <w:rPr>
          <w:rFonts w:ascii="Century Gothic" w:hAnsi="Century Gothic" w:cs="Arial"/>
        </w:rPr>
        <w:t>mejorar la calidad de vida de las per</w:t>
      </w:r>
      <w:r w:rsidRPr="001A0A60" w:rsidR="00986E79">
        <w:rPr>
          <w:rFonts w:ascii="Century Gothic" w:hAnsi="Century Gothic" w:cs="Arial"/>
        </w:rPr>
        <w:t>s</w:t>
      </w:r>
      <w:r w:rsidRPr="001A0A60" w:rsidR="00077BA6">
        <w:rPr>
          <w:rFonts w:ascii="Century Gothic" w:hAnsi="Century Gothic" w:cs="Arial"/>
        </w:rPr>
        <w:t>onas</w:t>
      </w:r>
      <w:r w:rsidRPr="001A0A60" w:rsidR="00D45D41">
        <w:rPr>
          <w:rFonts w:ascii="Century Gothic" w:hAnsi="Century Gothic" w:cs="Arial"/>
        </w:rPr>
        <w:t>.</w:t>
      </w:r>
      <w:r w:rsidRPr="001A0A60" w:rsidR="00EA4566">
        <w:rPr>
          <w:rFonts w:ascii="Century Gothic" w:hAnsi="Century Gothic" w:cs="Arial"/>
        </w:rPr>
        <w:t xml:space="preserve"> De hecho, conforme evidencian distintos precedentes jurisprudenciales, existen situaciones en la que infraestructura de transporte</w:t>
      </w:r>
      <w:r w:rsidRPr="001A0A60" w:rsidR="00123FD2">
        <w:rPr>
          <w:rFonts w:ascii="Century Gothic" w:hAnsi="Century Gothic" w:cs="Arial"/>
        </w:rPr>
        <w:t xml:space="preserve"> por su relevancia para la prestación del servicio de transporte</w:t>
      </w:r>
      <w:r w:rsidRPr="001A0A60" w:rsidR="00EA4566">
        <w:rPr>
          <w:rFonts w:ascii="Century Gothic" w:hAnsi="Century Gothic" w:cs="Arial"/>
        </w:rPr>
        <w:t xml:space="preserve"> se</w:t>
      </w:r>
      <w:r w:rsidRPr="001A0A60" w:rsidR="0054059D">
        <w:rPr>
          <w:rFonts w:ascii="Century Gothic" w:hAnsi="Century Gothic" w:cs="Arial"/>
        </w:rPr>
        <w:t xml:space="preserve"> erige </w:t>
      </w:r>
      <w:r w:rsidRPr="001A0A60" w:rsidR="0054059D">
        <w:rPr>
          <w:rFonts w:ascii="Century Gothic" w:hAnsi="Century Gothic" w:cs="Arial"/>
        </w:rPr>
        <w:t>en un presupuesto para acceder a otros derechos</w:t>
      </w:r>
      <w:r w:rsidRPr="001A0A60" w:rsidR="00C97202">
        <w:rPr>
          <w:rFonts w:ascii="Century Gothic" w:hAnsi="Century Gothic" w:cs="Arial"/>
        </w:rPr>
        <w:t xml:space="preserve"> como la educación</w:t>
      </w:r>
      <w:r w:rsidRPr="001A0A60" w:rsidR="00B6703E">
        <w:rPr>
          <w:rStyle w:val="FootnoteReference"/>
          <w:color w:val="2D2D2D"/>
          <w:sz w:val="28"/>
          <w:szCs w:val="28"/>
          <w:shd w:val="clear" w:color="auto" w:fill="FFFFFF"/>
        </w:rPr>
        <w:footnoteReference w:id="27"/>
      </w:r>
      <w:r w:rsidRPr="001A0A60" w:rsidR="00015B85">
        <w:rPr>
          <w:rFonts w:ascii="Century Gothic" w:hAnsi="Century Gothic" w:cs="Arial"/>
        </w:rPr>
        <w:t xml:space="preserve"> y libertad</w:t>
      </w:r>
      <w:r w:rsidRPr="001A0A60" w:rsidR="00D01C88">
        <w:rPr>
          <w:rFonts w:ascii="Century Gothic" w:hAnsi="Century Gothic" w:cs="Arial"/>
        </w:rPr>
        <w:t xml:space="preserve"> de locomoción</w:t>
      </w:r>
      <w:r w:rsidRPr="001A0A60" w:rsidR="00123FD2">
        <w:rPr>
          <w:rStyle w:val="FootnoteReference"/>
          <w:rFonts w:ascii="Century Gothic" w:hAnsi="Century Gothic" w:cs="Arial"/>
        </w:rPr>
        <w:footnoteReference w:id="28"/>
      </w:r>
      <w:r w:rsidRPr="001A0A60" w:rsidR="00D01C88">
        <w:rPr>
          <w:rFonts w:ascii="Century Gothic" w:hAnsi="Century Gothic" w:cs="Arial"/>
        </w:rPr>
        <w:t xml:space="preserve">. </w:t>
      </w:r>
    </w:p>
    <w:p w:rsidRPr="001A0A60" w:rsidR="00776AB3" w:rsidP="00A157E2" w:rsidRDefault="00287138" w14:paraId="3B5044B2" w14:textId="59540A1D">
      <w:pPr>
        <w:spacing w:after="120" w:line="276" w:lineRule="auto"/>
        <w:ind w:firstLine="708"/>
        <w:jc w:val="both"/>
        <w:rPr>
          <w:rFonts w:ascii="Century Gothic" w:hAnsi="Century Gothic" w:cs="Arial"/>
        </w:rPr>
      </w:pPr>
      <w:r w:rsidRPr="001A0A60">
        <w:rPr>
          <w:rFonts w:ascii="Century Gothic" w:hAnsi="Century Gothic" w:cs="Arial"/>
        </w:rPr>
        <w:t>En ese sentido,</w:t>
      </w:r>
      <w:r w:rsidRPr="001A0A60" w:rsidR="0006016D">
        <w:rPr>
          <w:rFonts w:ascii="Century Gothic" w:hAnsi="Century Gothic" w:cs="Arial"/>
        </w:rPr>
        <w:t xml:space="preserve"> </w:t>
      </w:r>
      <w:r w:rsidRPr="001A0A60" w:rsidR="004D6429">
        <w:rPr>
          <w:rFonts w:ascii="Century Gothic" w:hAnsi="Century Gothic" w:cs="Arial"/>
        </w:rPr>
        <w:t>teniendo en cuenta</w:t>
      </w:r>
      <w:r w:rsidRPr="001A0A60" w:rsidR="0006016D">
        <w:rPr>
          <w:rFonts w:ascii="Century Gothic" w:hAnsi="Century Gothic" w:cs="Arial"/>
        </w:rPr>
        <w:t xml:space="preserve"> que </w:t>
      </w:r>
      <w:r w:rsidRPr="001A0A60" w:rsidR="00A157E2">
        <w:rPr>
          <w:rFonts w:ascii="Century Gothic" w:hAnsi="Century Gothic" w:cs="Arial"/>
        </w:rPr>
        <w:t xml:space="preserve">los literales M) y N) </w:t>
      </w:r>
      <w:r w:rsidRPr="001A0A60" w:rsidR="003C2FAB">
        <w:rPr>
          <w:rFonts w:ascii="Century Gothic" w:hAnsi="Century Gothic" w:cs="Arial"/>
        </w:rPr>
        <w:t xml:space="preserve">del artículo 2, numeral 4 de la Ley 1150 de 2007, no </w:t>
      </w:r>
      <w:r w:rsidRPr="001A0A60" w:rsidR="006F3D2C">
        <w:rPr>
          <w:rFonts w:ascii="Century Gothic" w:hAnsi="Century Gothic" w:cs="Arial"/>
        </w:rPr>
        <w:t>involucran ninguna restricción sobre la tipología contractual a la que resulta</w:t>
      </w:r>
      <w:r w:rsidRPr="001A0A60" w:rsidR="006A3B25">
        <w:rPr>
          <w:rFonts w:ascii="Century Gothic" w:hAnsi="Century Gothic" w:cs="Arial"/>
        </w:rPr>
        <w:t>n</w:t>
      </w:r>
      <w:r w:rsidRPr="001A0A60" w:rsidR="006F3D2C">
        <w:rPr>
          <w:rFonts w:ascii="Century Gothic" w:hAnsi="Century Gothic" w:cs="Arial"/>
        </w:rPr>
        <w:t xml:space="preserve"> aplicables,</w:t>
      </w:r>
      <w:r w:rsidRPr="001A0A60" w:rsidR="004D6429">
        <w:rPr>
          <w:rFonts w:ascii="Century Gothic" w:hAnsi="Century Gothic" w:cs="Arial"/>
        </w:rPr>
        <w:t xml:space="preserve"> y</w:t>
      </w:r>
      <w:r w:rsidRPr="001A0A60" w:rsidR="006A3B25">
        <w:rPr>
          <w:rFonts w:ascii="Century Gothic" w:hAnsi="Century Gothic" w:cs="Arial"/>
        </w:rPr>
        <w:t xml:space="preserve"> </w:t>
      </w:r>
      <w:r w:rsidRPr="001A0A60" w:rsidR="004D6429">
        <w:rPr>
          <w:rFonts w:ascii="Century Gothic" w:hAnsi="Century Gothic" w:cs="Arial"/>
        </w:rPr>
        <w:t xml:space="preserve">considerando que la realización de obras </w:t>
      </w:r>
      <w:r w:rsidRPr="001A0A60" w:rsidR="00C24263">
        <w:rPr>
          <w:rFonts w:ascii="Century Gothic" w:hAnsi="Century Gothic" w:cs="Arial"/>
        </w:rPr>
        <w:t xml:space="preserve">para intervenir </w:t>
      </w:r>
      <w:r w:rsidRPr="001A0A60" w:rsidR="004D6429">
        <w:rPr>
          <w:rFonts w:ascii="Century Gothic" w:hAnsi="Century Gothic" w:cs="Arial"/>
        </w:rPr>
        <w:t xml:space="preserve">la infraestructura de transporte </w:t>
      </w:r>
      <w:r w:rsidRPr="001A0A60" w:rsidR="00C24263">
        <w:rPr>
          <w:rFonts w:ascii="Century Gothic" w:hAnsi="Century Gothic" w:cs="Arial"/>
        </w:rPr>
        <w:t xml:space="preserve">puede tornarse relevante </w:t>
      </w:r>
      <w:r w:rsidRPr="001A0A60" w:rsidR="00D334A8">
        <w:rPr>
          <w:rFonts w:ascii="Century Gothic" w:hAnsi="Century Gothic" w:cs="Arial"/>
        </w:rPr>
        <w:t xml:space="preserve">para garantizar de derechos de las personas y comunidades, se estima que es válido </w:t>
      </w:r>
      <w:r w:rsidRPr="001A0A60" w:rsidR="006A3B25">
        <w:rPr>
          <w:rFonts w:ascii="Century Gothic" w:hAnsi="Century Gothic" w:cs="Arial"/>
        </w:rPr>
        <w:t xml:space="preserve">aplicar tales causales para celebrar de manera directa </w:t>
      </w:r>
      <w:r w:rsidRPr="001A0A60" w:rsidR="005908AB">
        <w:rPr>
          <w:rFonts w:ascii="Century Gothic" w:hAnsi="Century Gothic" w:cs="Arial"/>
        </w:rPr>
        <w:t xml:space="preserve">contratos de obra con Consejos Comunitarios, Organizaciones de Base y demás formas o expresiones organizativas a </w:t>
      </w:r>
      <w:r w:rsidRPr="001A0A60" w:rsidR="00BD5947">
        <w:rPr>
          <w:rFonts w:ascii="Century Gothic" w:hAnsi="Century Gothic" w:cs="Arial"/>
        </w:rPr>
        <w:t xml:space="preserve">las que se refiere la Ley 2160 de 2021. </w:t>
      </w:r>
      <w:r w:rsidRPr="001A0A60" w:rsidR="00F94D8E">
        <w:rPr>
          <w:rFonts w:ascii="Century Gothic" w:hAnsi="Century Gothic" w:cs="Arial"/>
        </w:rPr>
        <w:t>Sin embargo, para que tales negocios jurídicos se ajuste</w:t>
      </w:r>
      <w:r w:rsidRPr="001A0A60" w:rsidR="00187D3A">
        <w:rPr>
          <w:rFonts w:ascii="Century Gothic" w:hAnsi="Century Gothic" w:cs="Arial"/>
        </w:rPr>
        <w:t>n</w:t>
      </w:r>
      <w:r w:rsidRPr="001A0A60" w:rsidR="00F94D8E">
        <w:rPr>
          <w:rFonts w:ascii="Century Gothic" w:hAnsi="Century Gothic" w:cs="Arial"/>
        </w:rPr>
        <w:t xml:space="preserve"> al marco jurídico </w:t>
      </w:r>
      <w:r w:rsidRPr="001A0A60" w:rsidR="006D4F57">
        <w:rPr>
          <w:rFonts w:ascii="Century Gothic" w:hAnsi="Century Gothic" w:cs="Arial"/>
        </w:rPr>
        <w:t>que habilita su contratación directa</w:t>
      </w:r>
      <w:r w:rsidRPr="001A0A60" w:rsidR="00187D3A">
        <w:rPr>
          <w:rFonts w:ascii="Century Gothic" w:hAnsi="Century Gothic" w:cs="Arial"/>
        </w:rPr>
        <w:t xml:space="preserve"> es necesario que cumplan los requisitos objetivos </w:t>
      </w:r>
      <w:r w:rsidRPr="001A0A60" w:rsidR="00155C53">
        <w:rPr>
          <w:rFonts w:ascii="Century Gothic" w:hAnsi="Century Gothic" w:cs="Arial"/>
        </w:rPr>
        <w:t xml:space="preserve">explicados en el numeral 2.2 del presente concepto. </w:t>
      </w:r>
    </w:p>
    <w:p w:rsidRPr="001A0A60" w:rsidR="00CD1FDC" w:rsidP="00874EAA" w:rsidRDefault="00155C53" w14:paraId="54BAF387" w14:textId="5B691EBF">
      <w:pPr>
        <w:spacing w:after="0" w:line="276" w:lineRule="auto"/>
        <w:ind w:firstLine="709"/>
        <w:jc w:val="both"/>
        <w:rPr>
          <w:rFonts w:ascii="Century Gothic" w:hAnsi="Century Gothic" w:cs="Arial"/>
          <w:lang w:val="es-ES"/>
        </w:rPr>
      </w:pPr>
      <w:r w:rsidRPr="001A0A60">
        <w:rPr>
          <w:rFonts w:ascii="Century Gothic" w:hAnsi="Century Gothic" w:cs="Arial"/>
        </w:rPr>
        <w:t>Lo anterior significa que, para aplicar de manera válida</w:t>
      </w:r>
      <w:r w:rsidRPr="001A0A60" w:rsidR="007C489D">
        <w:rPr>
          <w:rFonts w:ascii="Century Gothic" w:hAnsi="Century Gothic" w:cs="Arial"/>
        </w:rPr>
        <w:t xml:space="preserve"> las causales estudiadas, es necesario </w:t>
      </w:r>
      <w:r w:rsidRPr="001A0A60" w:rsidR="00A87A99">
        <w:rPr>
          <w:rFonts w:ascii="Century Gothic" w:hAnsi="Century Gothic" w:cs="Arial"/>
        </w:rPr>
        <w:t xml:space="preserve">que la justificación de la contratación que se materializa en los documentos del </w:t>
      </w:r>
      <w:r w:rsidRPr="001A0A60" w:rsidR="007D260B">
        <w:rPr>
          <w:rFonts w:ascii="Century Gothic" w:hAnsi="Century Gothic" w:cs="Arial"/>
        </w:rPr>
        <w:t>proceso sea exhaustiva al explicar las razones por las que se considera que la</w:t>
      </w:r>
      <w:r w:rsidRPr="001A0A60" w:rsidR="00841C52">
        <w:rPr>
          <w:rFonts w:ascii="Century Gothic" w:hAnsi="Century Gothic" w:cs="Arial"/>
        </w:rPr>
        <w:t xml:space="preserve"> </w:t>
      </w:r>
      <w:r w:rsidRPr="001A0A60" w:rsidR="00481D5C">
        <w:rPr>
          <w:rFonts w:ascii="Century Gothic" w:hAnsi="Century Gothic" w:cs="Arial"/>
        </w:rPr>
        <w:t xml:space="preserve">obra pública a contratar </w:t>
      </w:r>
      <w:r w:rsidRPr="001A0A60" w:rsidR="00841C52">
        <w:rPr>
          <w:rFonts w:ascii="Century Gothic" w:hAnsi="Century Gothic" w:cs="Arial"/>
        </w:rPr>
        <w:t>contribuye a los derecho</w:t>
      </w:r>
      <w:r w:rsidRPr="001A0A60" w:rsidR="00481D5C">
        <w:rPr>
          <w:rFonts w:ascii="Century Gothic" w:hAnsi="Century Gothic" w:cs="Arial"/>
        </w:rPr>
        <w:t>s</w:t>
      </w:r>
      <w:r w:rsidRPr="001A0A60" w:rsidR="00841C52">
        <w:rPr>
          <w:rFonts w:ascii="Century Gothic" w:hAnsi="Century Gothic" w:cs="Arial"/>
        </w:rPr>
        <w:t xml:space="preserve"> y/o finalidades que condicionan la aplicación de esta</w:t>
      </w:r>
      <w:r w:rsidRPr="001A0A60" w:rsidR="003352D9">
        <w:rPr>
          <w:rFonts w:ascii="Century Gothic" w:hAnsi="Century Gothic" w:cs="Arial"/>
        </w:rPr>
        <w:t xml:space="preserve">s causales de contratación directa. Para estos efectos, corresponde a la Entidad Estatal explicar de manera detallada </w:t>
      </w:r>
      <w:r w:rsidRPr="001A0A60" w:rsidR="00CD1FDC">
        <w:rPr>
          <w:rFonts w:ascii="Century Gothic" w:hAnsi="Century Gothic" w:cs="Arial"/>
        </w:rPr>
        <w:t xml:space="preserve">y pormenorizada </w:t>
      </w:r>
      <w:r w:rsidRPr="001A0A60" w:rsidR="003352D9">
        <w:rPr>
          <w:rFonts w:ascii="Century Gothic" w:hAnsi="Century Gothic" w:cs="Arial"/>
        </w:rPr>
        <w:t xml:space="preserve">como los trabajos materiales </w:t>
      </w:r>
      <w:r w:rsidRPr="001A0A60" w:rsidR="00416193">
        <w:rPr>
          <w:rFonts w:ascii="Century Gothic" w:hAnsi="Century Gothic" w:cs="Arial"/>
        </w:rPr>
        <w:t xml:space="preserve">que se pretenden ejecutar sobre la </w:t>
      </w:r>
      <w:r w:rsidRPr="001A0A60" w:rsidR="00CD1FDC">
        <w:rPr>
          <w:rFonts w:ascii="Century Gothic" w:hAnsi="Century Gothic" w:cs="Arial"/>
        </w:rPr>
        <w:t xml:space="preserve">infraestructura de transporte se relacionan con </w:t>
      </w:r>
      <w:r w:rsidRPr="001A0A60" w:rsidR="007C489D">
        <w:rPr>
          <w:rFonts w:ascii="Century Gothic" w:hAnsi="Century Gothic" w:cs="Arial"/>
          <w:lang w:val="es-ES"/>
        </w:rPr>
        <w:t xml:space="preserve">el fortalecimiento del gobierno </w:t>
      </w:r>
      <w:r w:rsidRPr="001A0A60" w:rsidR="007C489D">
        <w:rPr>
          <w:rFonts w:ascii="Century Gothic" w:hAnsi="Century Gothic" w:cs="Arial"/>
          <w:lang w:val="es-ES"/>
        </w:rPr>
        <w:t>propio, la identidad cultural, el ejercicio de la autonomía y/o la garantía de los derechos de las comunidades</w:t>
      </w:r>
      <w:r w:rsidRPr="001A0A60" w:rsidR="00CD1FDC">
        <w:rPr>
          <w:rFonts w:ascii="Century Gothic" w:hAnsi="Century Gothic" w:cs="Arial"/>
          <w:lang w:val="es-ES"/>
        </w:rPr>
        <w:t xml:space="preserve">. </w:t>
      </w:r>
      <w:r w:rsidRPr="001A0A60" w:rsidR="0085432F">
        <w:rPr>
          <w:rFonts w:ascii="Century Gothic" w:hAnsi="Century Gothic" w:cs="Arial"/>
          <w:lang w:val="es-ES"/>
        </w:rPr>
        <w:t xml:space="preserve"> </w:t>
      </w:r>
    </w:p>
    <w:bookmarkEnd w:id="7"/>
    <w:p w:rsidRPr="00A65B02" w:rsidR="00FD5D77" w:rsidP="00FD5D77" w:rsidRDefault="00FD5D77" w14:paraId="516C437D" w14:textId="77777777">
      <w:pPr>
        <w:spacing w:line="276" w:lineRule="auto"/>
        <w:contextualSpacing/>
        <w:jc w:val="both"/>
        <w:rPr>
          <w:rFonts w:ascii="Century Gothic" w:hAnsi="Century Gothic" w:eastAsia="Calibri" w:cs="Arial"/>
          <w:shd w:val="clear" w:color="auto" w:fill="FFFFFF"/>
        </w:rPr>
      </w:pPr>
    </w:p>
    <w:p w:rsidRPr="00A65B02" w:rsidR="00FD5D77" w:rsidP="00FD5D77" w:rsidRDefault="00FD5D77" w14:paraId="416605CD" w14:textId="77777777">
      <w:pPr>
        <w:spacing w:after="0" w:line="276" w:lineRule="auto"/>
        <w:jc w:val="both"/>
        <w:rPr>
          <w:rFonts w:ascii="Century Gothic" w:hAnsi="Century Gothic" w:eastAsia="Calibri" w:cs="Arial"/>
          <w:b/>
          <w:color w:val="000000" w:themeColor="text1"/>
          <w:lang w:val="es-ES_tradnl"/>
        </w:rPr>
      </w:pPr>
      <w:r w:rsidRPr="00A65B02">
        <w:rPr>
          <w:rFonts w:ascii="Century Gothic" w:hAnsi="Century Gothic" w:eastAsia="Calibri" w:cs="Arial"/>
          <w:b/>
          <w:color w:val="000000" w:themeColor="text1"/>
          <w:lang w:val="es-ES_tradnl"/>
        </w:rPr>
        <w:t>3. Respuesta</w:t>
      </w:r>
    </w:p>
    <w:p w:rsidRPr="00A65B02" w:rsidR="00FD5D77" w:rsidP="00FD5D77" w:rsidRDefault="00FD5D77" w14:paraId="01F958D3" w14:textId="77777777">
      <w:pPr>
        <w:spacing w:after="0" w:line="240" w:lineRule="auto"/>
        <w:jc w:val="both"/>
        <w:rPr>
          <w:rFonts w:ascii="Century Gothic" w:hAnsi="Century Gothic" w:cs="Arial"/>
          <w:color w:val="000000" w:themeColor="text1"/>
          <w:sz w:val="21"/>
          <w:szCs w:val="21"/>
        </w:rPr>
      </w:pPr>
    </w:p>
    <w:p w:rsidRPr="00874EAA" w:rsidR="00FD5D77" w:rsidP="00FD5D77" w:rsidRDefault="00FD5D77" w14:paraId="55D157D7" w14:textId="77777777">
      <w:pPr>
        <w:spacing w:after="0" w:line="240" w:lineRule="auto"/>
        <w:ind w:left="709" w:right="709"/>
        <w:jc w:val="both"/>
        <w:rPr>
          <w:rFonts w:ascii="Century Gothic" w:hAnsi="Century Gothic"/>
          <w:sz w:val="20"/>
          <w:szCs w:val="20"/>
        </w:rPr>
      </w:pPr>
      <w:r w:rsidRPr="00874EAA">
        <w:rPr>
          <w:rFonts w:ascii="Century Gothic" w:hAnsi="Century Gothic"/>
          <w:sz w:val="20"/>
          <w:szCs w:val="20"/>
        </w:rPr>
        <w:t xml:space="preserve">“[…] 1. ¿Cómo debe entender los criterios </w:t>
      </w:r>
      <w:r w:rsidRPr="00874EAA">
        <w:rPr>
          <w:rFonts w:ascii="Century Gothic" w:hAnsi="Century Gothic"/>
          <w:b/>
          <w:sz w:val="20"/>
          <w:szCs w:val="20"/>
        </w:rPr>
        <w:t>(el fortalecimiento del gobierno propio, la identidad étnica y cultural, el ejercicio de la autonomía, y/o la garantía de los derechos de los pueblos de las mismas comunidades.)</w:t>
      </w:r>
      <w:r w:rsidRPr="00874EAA">
        <w:rPr>
          <w:rFonts w:ascii="Century Gothic" w:hAnsi="Century Gothic"/>
          <w:sz w:val="20"/>
          <w:szCs w:val="20"/>
        </w:rPr>
        <w:t xml:space="preserve"> en materia contractual determinados en los literales m) y n) del numeral 4 del artículo 2 de la ley 1150 incorporados por la ley 2160 de 2021, y si dentro de estos conceptos cabe la realización de obras de infraestructura de transporte. </w:t>
      </w:r>
    </w:p>
    <w:p w:rsidRPr="00874EAA" w:rsidR="00FD5D77" w:rsidP="00FD5D77" w:rsidRDefault="00FD5D77" w14:paraId="5B23ADFF" w14:textId="77777777">
      <w:pPr>
        <w:spacing w:after="0" w:line="240" w:lineRule="auto"/>
        <w:ind w:left="709" w:right="709"/>
        <w:jc w:val="both"/>
        <w:rPr>
          <w:rFonts w:ascii="Century Gothic" w:hAnsi="Century Gothic"/>
          <w:sz w:val="20"/>
          <w:szCs w:val="20"/>
        </w:rPr>
      </w:pPr>
    </w:p>
    <w:p w:rsidRPr="00874EAA" w:rsidR="00FD5D77" w:rsidP="00FD5D77" w:rsidRDefault="00FD5D77" w14:paraId="02D6E6C8" w14:textId="77777777">
      <w:pPr>
        <w:spacing w:after="0" w:line="240" w:lineRule="auto"/>
        <w:ind w:left="709" w:right="709"/>
        <w:jc w:val="both"/>
        <w:rPr>
          <w:rFonts w:ascii="Century Gothic" w:hAnsi="Century Gothic"/>
          <w:sz w:val="20"/>
          <w:szCs w:val="20"/>
        </w:rPr>
      </w:pPr>
      <w:r w:rsidRPr="00874EAA">
        <w:rPr>
          <w:rFonts w:ascii="Century Gothic" w:hAnsi="Century Gothic"/>
          <w:sz w:val="20"/>
          <w:szCs w:val="20"/>
        </w:rPr>
        <w:t>2 En el entendido que en el Plan Nacional de Desarrollo 2022-2026, autoriza la contratación de obras de infraestructura con los indígenas de manera directa ¿en virtud del principio de igualdad debe darse la misma interpretación para los NARP? […]”</w:t>
      </w:r>
    </w:p>
    <w:p w:rsidRPr="00A65B02" w:rsidR="00FD5D77" w:rsidP="00FD5D77" w:rsidRDefault="00FD5D77" w14:paraId="096043A7" w14:textId="77777777">
      <w:pPr>
        <w:spacing w:after="0" w:line="240" w:lineRule="auto"/>
        <w:jc w:val="both"/>
        <w:rPr>
          <w:rFonts w:ascii="Century Gothic" w:hAnsi="Century Gothic" w:cs="Arial"/>
          <w:color w:val="000000" w:themeColor="text1"/>
        </w:rPr>
      </w:pPr>
    </w:p>
    <w:p w:rsidRPr="001A0A60" w:rsidR="005B70C6" w:rsidP="00FE5547" w:rsidRDefault="00FD5D77" w14:paraId="188989E7" w14:textId="3B3F07D8">
      <w:pPr>
        <w:spacing w:line="276" w:lineRule="auto"/>
        <w:jc w:val="both"/>
        <w:rPr>
          <w:rFonts w:ascii="Century Gothic" w:hAnsi="Century Gothic" w:cs="Arial"/>
          <w:lang w:val="es-ES"/>
        </w:rPr>
      </w:pPr>
      <w:r w:rsidRPr="00A65B02">
        <w:rPr>
          <w:rStyle w:val="normaltextrun"/>
          <w:rFonts w:ascii="Century Gothic" w:hAnsi="Century Gothic" w:cs="Arial"/>
          <w:color w:val="000000"/>
          <w:shd w:val="clear" w:color="auto" w:fill="FFFFFF"/>
        </w:rPr>
        <w:t xml:space="preserve">Conforme a lo expuesto,  </w:t>
      </w:r>
      <w:r w:rsidRPr="00A65B02">
        <w:rPr>
          <w:rFonts w:ascii="Century Gothic" w:hAnsi="Century Gothic" w:cs="Arial"/>
          <w:lang w:val="es-ES"/>
        </w:rPr>
        <w:t>los literales M) y N) del artículo 2</w:t>
      </w:r>
      <w:r w:rsidRPr="001A0A60" w:rsidR="00610CC5">
        <w:rPr>
          <w:rFonts w:ascii="Century Gothic" w:hAnsi="Century Gothic" w:cs="Arial"/>
          <w:lang w:val="es-ES"/>
        </w:rPr>
        <w:t xml:space="preserve">, numeral </w:t>
      </w:r>
      <w:r w:rsidRPr="00A65B02">
        <w:rPr>
          <w:rFonts w:ascii="Century Gothic" w:hAnsi="Century Gothic" w:cs="Arial"/>
          <w:lang w:val="es-ES"/>
        </w:rPr>
        <w:t xml:space="preserve">4 de la Ley 1150 de 2007, </w:t>
      </w:r>
      <w:r w:rsidRPr="001A0A60" w:rsidR="00610CC5">
        <w:rPr>
          <w:rFonts w:ascii="Century Gothic" w:hAnsi="Century Gothic" w:cs="Arial"/>
          <w:lang w:val="es-ES"/>
        </w:rPr>
        <w:t>adicionados por la Ley 2160 de 2021,</w:t>
      </w:r>
      <w:r w:rsidRPr="001A0A60">
        <w:rPr>
          <w:rFonts w:ascii="Century Gothic" w:hAnsi="Century Gothic" w:cs="Arial"/>
          <w:lang w:val="es-ES"/>
        </w:rPr>
        <w:t xml:space="preserve"> </w:t>
      </w:r>
      <w:r w:rsidRPr="00A65B02">
        <w:rPr>
          <w:rFonts w:ascii="Century Gothic" w:hAnsi="Century Gothic" w:cs="Arial"/>
          <w:lang w:val="es-ES"/>
        </w:rPr>
        <w:t xml:space="preserve">habilitan a las Entidades Estatales para suscribir, sin límite de cuantía, contratos de manera directa con </w:t>
      </w:r>
      <w:r w:rsidRPr="001A0A60" w:rsidR="00610CC5">
        <w:rPr>
          <w:rFonts w:ascii="Century Gothic" w:hAnsi="Century Gothic" w:cs="Arial"/>
        </w:rPr>
        <w:t>C</w:t>
      </w:r>
      <w:r w:rsidRPr="001A0A60">
        <w:rPr>
          <w:rFonts w:ascii="Century Gothic" w:hAnsi="Century Gothic" w:cs="Arial"/>
        </w:rPr>
        <w:t xml:space="preserve">onsejos </w:t>
      </w:r>
      <w:r w:rsidRPr="001A0A60" w:rsidR="00610CC5">
        <w:rPr>
          <w:rFonts w:ascii="Century Gothic" w:hAnsi="Century Gothic" w:cs="Arial"/>
        </w:rPr>
        <w:t>C</w:t>
      </w:r>
      <w:r w:rsidRPr="001A0A60">
        <w:rPr>
          <w:rFonts w:ascii="Century Gothic" w:hAnsi="Century Gothic" w:cs="Arial"/>
        </w:rPr>
        <w:t>omunitarios</w:t>
      </w:r>
      <w:r w:rsidRPr="001A0A60" w:rsidR="00610CC5">
        <w:rPr>
          <w:rFonts w:ascii="Century Gothic" w:hAnsi="Century Gothic" w:cs="Arial"/>
        </w:rPr>
        <w:t xml:space="preserve">, </w:t>
      </w:r>
      <w:r w:rsidRPr="001A0A60">
        <w:rPr>
          <w:rFonts w:ascii="Century Gothic" w:hAnsi="Century Gothic" w:cs="Arial"/>
        </w:rPr>
        <w:t xml:space="preserve"> </w:t>
      </w:r>
      <w:r w:rsidRPr="001A0A60" w:rsidR="00610CC5">
        <w:rPr>
          <w:rFonts w:ascii="Century Gothic" w:hAnsi="Century Gothic" w:cs="Arial"/>
        </w:rPr>
        <w:t>O</w:t>
      </w:r>
      <w:r w:rsidRPr="001A0A60">
        <w:rPr>
          <w:rFonts w:ascii="Century Gothic" w:hAnsi="Century Gothic" w:cs="Arial"/>
        </w:rPr>
        <w:t xml:space="preserve">rganizaciones de </w:t>
      </w:r>
      <w:r w:rsidRPr="001A0A60" w:rsidR="00610CC5">
        <w:rPr>
          <w:rFonts w:ascii="Century Gothic" w:hAnsi="Century Gothic" w:cs="Arial"/>
        </w:rPr>
        <w:t>B</w:t>
      </w:r>
      <w:r w:rsidRPr="001A0A60">
        <w:rPr>
          <w:rFonts w:ascii="Century Gothic" w:hAnsi="Century Gothic" w:cs="Arial"/>
        </w:rPr>
        <w:t>ase</w:t>
      </w:r>
      <w:r w:rsidRPr="001A0A60" w:rsidR="00610CC5">
        <w:rPr>
          <w:rFonts w:ascii="Century Gothic" w:hAnsi="Century Gothic" w:cs="Arial"/>
        </w:rPr>
        <w:t xml:space="preserve"> y demás formas organizativas</w:t>
      </w:r>
      <w:r w:rsidRPr="001A0A60">
        <w:rPr>
          <w:rFonts w:ascii="Century Gothic" w:hAnsi="Century Gothic" w:cs="Arial"/>
        </w:rPr>
        <w:t xml:space="preserve"> </w:t>
      </w:r>
      <w:r w:rsidRPr="001A0A60" w:rsidR="00610CC5">
        <w:rPr>
          <w:rFonts w:ascii="Century Gothic" w:hAnsi="Century Gothic" w:cs="Arial"/>
        </w:rPr>
        <w:t>de la</w:t>
      </w:r>
      <w:r w:rsidRPr="001A0A60">
        <w:rPr>
          <w:rFonts w:ascii="Century Gothic" w:hAnsi="Century Gothic" w:cs="Arial"/>
        </w:rPr>
        <w:t xml:space="preserve"> </w:t>
      </w:r>
      <w:r w:rsidR="006F2CC7">
        <w:rPr>
          <w:rFonts w:ascii="Century Gothic" w:hAnsi="Century Gothic" w:cs="Arial"/>
        </w:rPr>
        <w:t>comunidad</w:t>
      </w:r>
      <w:r w:rsidRPr="001A0A60">
        <w:rPr>
          <w:rFonts w:ascii="Century Gothic" w:hAnsi="Century Gothic" w:cs="Arial"/>
        </w:rPr>
        <w:t xml:space="preserve"> </w:t>
      </w:r>
      <w:r w:rsidRPr="001A0A60" w:rsidR="00610CC5">
        <w:rPr>
          <w:rFonts w:ascii="Century Gothic" w:hAnsi="Century Gothic" w:cs="Arial"/>
        </w:rPr>
        <w:t>negra,</w:t>
      </w:r>
      <w:r w:rsidRPr="001A0A60">
        <w:rPr>
          <w:rFonts w:ascii="Century Gothic" w:hAnsi="Century Gothic" w:cs="Arial"/>
        </w:rPr>
        <w:t xml:space="preserve"> afrocolombiana, raizal y</w:t>
      </w:r>
      <w:r w:rsidRPr="001A0A60" w:rsidR="00610CC5">
        <w:rPr>
          <w:rFonts w:ascii="Century Gothic" w:hAnsi="Century Gothic" w:cs="Arial"/>
        </w:rPr>
        <w:t>/o</w:t>
      </w:r>
      <w:r w:rsidRPr="001A0A60">
        <w:rPr>
          <w:rFonts w:ascii="Century Gothic" w:hAnsi="Century Gothic" w:cs="Arial"/>
        </w:rPr>
        <w:t xml:space="preserve"> palenquera</w:t>
      </w:r>
      <w:r w:rsidRPr="001A0A60" w:rsidR="00C51D17">
        <w:rPr>
          <w:rFonts w:ascii="Century Gothic" w:hAnsi="Century Gothic" w:cs="Arial"/>
        </w:rPr>
        <w:t>, siempre que se cumplan los requisitos subjetivos y objetivos establecidos en las causales</w:t>
      </w:r>
      <w:r w:rsidRPr="001A0A60" w:rsidR="008A646D">
        <w:rPr>
          <w:rFonts w:ascii="Century Gothic" w:hAnsi="Century Gothic" w:cs="Arial"/>
        </w:rPr>
        <w:t xml:space="preserve">, explicados en el numeral 2.2 del presente concepto. </w:t>
      </w:r>
      <w:r w:rsidRPr="001A0A60" w:rsidR="006A6CAC">
        <w:rPr>
          <w:rFonts w:ascii="Century Gothic" w:hAnsi="Century Gothic" w:cs="Arial"/>
        </w:rPr>
        <w:t>Dentro de los requisitos objetivos, se establece la necesidad de que el objeto</w:t>
      </w:r>
      <w:r w:rsidRPr="001A0A60" w:rsidR="00C475CC">
        <w:rPr>
          <w:rFonts w:ascii="Century Gothic" w:hAnsi="Century Gothic" w:cs="Arial"/>
        </w:rPr>
        <w:t xml:space="preserve"> del contrato se relacione con el fortalecimiento organizativo y del gobierno propio, </w:t>
      </w:r>
      <w:r w:rsidRPr="001A0A60" w:rsidR="00D65540">
        <w:rPr>
          <w:rFonts w:ascii="Century Gothic" w:hAnsi="Century Gothic" w:cs="Arial"/>
        </w:rPr>
        <w:t>la autonomía, la identidad étnica y cultural</w:t>
      </w:r>
      <w:r w:rsidRPr="001A0A60" w:rsidR="00FE5547">
        <w:rPr>
          <w:rFonts w:ascii="Century Gothic" w:hAnsi="Century Gothic" w:cs="Arial"/>
        </w:rPr>
        <w:t>,</w:t>
      </w:r>
      <w:r w:rsidRPr="00A65B02">
        <w:rPr>
          <w:rFonts w:ascii="Century Gothic" w:hAnsi="Century Gothic" w:cs="Arial"/>
          <w:lang w:val="es-ES"/>
        </w:rPr>
        <w:t xml:space="preserve"> y/o la garantía de los derechos de las </w:t>
      </w:r>
      <w:r w:rsidRPr="001A0A60" w:rsidR="00FA5678">
        <w:rPr>
          <w:rFonts w:ascii="Century Gothic" w:hAnsi="Century Gothic" w:cs="Arial"/>
          <w:lang w:val="es-ES"/>
        </w:rPr>
        <w:t xml:space="preserve">personas pertenecientes a las comunidades y/o organizaciones. </w:t>
      </w:r>
    </w:p>
    <w:p w:rsidRPr="001A0A60" w:rsidR="001C752A" w:rsidP="00D74FC7" w:rsidRDefault="00250571" w14:paraId="40F6016B" w14:textId="57F5FC24">
      <w:pPr>
        <w:spacing w:line="276" w:lineRule="auto"/>
        <w:jc w:val="both"/>
        <w:rPr>
          <w:rFonts w:ascii="Century Gothic" w:hAnsi="Century Gothic" w:cs="Arial"/>
          <w:lang w:val="es-ES"/>
        </w:rPr>
      </w:pPr>
      <w:r w:rsidRPr="001A0A60">
        <w:rPr>
          <w:rFonts w:ascii="Century Gothic" w:hAnsi="Century Gothic" w:cs="Arial"/>
          <w:lang w:val="es-ES"/>
        </w:rPr>
        <w:tab/>
      </w:r>
      <w:r w:rsidRPr="001A0A60" w:rsidR="00250571">
        <w:rPr>
          <w:rFonts w:ascii="Century Gothic" w:hAnsi="Century Gothic" w:cs="Arial"/>
          <w:lang w:val="es-ES"/>
        </w:rPr>
        <w:t>De acuerdo con lo explicado</w:t>
      </w:r>
      <w:r w:rsidRPr="001A0A60" w:rsidR="00150BB1">
        <w:rPr>
          <w:rFonts w:ascii="Century Gothic" w:hAnsi="Century Gothic" w:cs="Arial"/>
          <w:lang w:val="es-ES"/>
        </w:rPr>
        <w:t xml:space="preserve"> en el numeral 2.2., el</w:t>
      </w:r>
      <w:r w:rsidRPr="001A0A60" w:rsidR="00250571">
        <w:rPr>
          <w:rFonts w:ascii="Century Gothic" w:hAnsi="Century Gothic" w:cs="Arial"/>
          <w:lang w:val="es-ES"/>
        </w:rPr>
        <w:t xml:space="preserve"> </w:t>
      </w:r>
      <w:r w:rsidRPr="04CAD13D" w:rsidR="00250571">
        <w:rPr>
          <w:rFonts w:ascii="Century Gothic" w:hAnsi="Century Gothic" w:cs="Arial"/>
          <w:i w:val="1"/>
          <w:iCs w:val="1"/>
        </w:rPr>
        <w:t>gobierno propio</w:t>
      </w:r>
      <w:r w:rsidRPr="001A0A60" w:rsidR="00250571">
        <w:rPr>
          <w:rFonts w:ascii="Century Gothic" w:hAnsi="Century Gothic" w:cs="Arial"/>
        </w:rPr>
        <w:t xml:space="preserve">, la </w:t>
      </w:r>
      <w:r w:rsidRPr="04CAD13D" w:rsidR="00250571">
        <w:rPr>
          <w:rFonts w:ascii="Century Gothic" w:hAnsi="Century Gothic" w:cs="Arial"/>
          <w:i w:val="1"/>
          <w:iCs w:val="1"/>
        </w:rPr>
        <w:t>autonomía</w:t>
      </w:r>
      <w:r w:rsidRPr="001A0A60" w:rsidR="00250571">
        <w:rPr>
          <w:rFonts w:ascii="Century Gothic" w:hAnsi="Century Gothic" w:cs="Arial"/>
        </w:rPr>
        <w:t xml:space="preserve">, la </w:t>
      </w:r>
      <w:r w:rsidRPr="04CAD13D" w:rsidR="00250571">
        <w:rPr>
          <w:rFonts w:ascii="Century Gothic" w:hAnsi="Century Gothic" w:cs="Arial"/>
          <w:i w:val="1"/>
          <w:iCs w:val="1"/>
        </w:rPr>
        <w:t>identidad étnica</w:t>
      </w:r>
      <w:r w:rsidRPr="001A0A60" w:rsidR="00250571">
        <w:rPr>
          <w:rFonts w:ascii="Century Gothic" w:hAnsi="Century Gothic" w:cs="Arial"/>
        </w:rPr>
        <w:t xml:space="preserve"> y </w:t>
      </w:r>
      <w:r w:rsidRPr="04CAD13D" w:rsidR="00250571">
        <w:rPr>
          <w:rFonts w:ascii="Century Gothic" w:hAnsi="Century Gothic" w:cs="Arial"/>
          <w:i w:val="1"/>
          <w:iCs w:val="1"/>
        </w:rPr>
        <w:t>cultural</w:t>
      </w:r>
      <w:r w:rsidRPr="001A0A60" w:rsidR="00216E36">
        <w:rPr>
          <w:rFonts w:ascii="Century Gothic" w:hAnsi="Century Gothic" w:cs="Arial"/>
        </w:rPr>
        <w:t xml:space="preserve"> son</w:t>
      </w:r>
      <w:r w:rsidRPr="001A0A60" w:rsidR="00D13E5F">
        <w:rPr>
          <w:rFonts w:ascii="Century Gothic" w:hAnsi="Century Gothic" w:cs="Arial"/>
        </w:rPr>
        <w:t xml:space="preserve"> de</w:t>
      </w:r>
      <w:r w:rsidRPr="001A0A60" w:rsidR="00216E36">
        <w:rPr>
          <w:rFonts w:ascii="Century Gothic" w:hAnsi="Century Gothic" w:cs="Arial"/>
        </w:rPr>
        <w:t xml:space="preserve"> derechos </w:t>
      </w:r>
      <w:r w:rsidRPr="001A0A60" w:rsidR="008A79EF">
        <w:rPr>
          <w:rFonts w:ascii="Century Gothic" w:hAnsi="Century Gothic" w:cs="Arial"/>
        </w:rPr>
        <w:t>que ostenta</w:t>
      </w:r>
      <w:r w:rsidRPr="001A0A60" w:rsidR="00044DD1">
        <w:rPr>
          <w:rFonts w:ascii="Century Gothic" w:hAnsi="Century Gothic" w:cs="Arial"/>
        </w:rPr>
        <w:t>n</w:t>
      </w:r>
      <w:r w:rsidRPr="001A0A60" w:rsidR="00343B88">
        <w:rPr>
          <w:rFonts w:ascii="Century Gothic" w:hAnsi="Century Gothic" w:cs="Arial"/>
        </w:rPr>
        <w:t xml:space="preserve"> </w:t>
      </w:r>
      <w:r w:rsidRPr="001A0A60" w:rsidR="008A79EF">
        <w:rPr>
          <w:rFonts w:ascii="Century Gothic" w:hAnsi="Century Gothic" w:cs="Arial"/>
        </w:rPr>
        <w:t xml:space="preserve">la </w:t>
      </w:r>
      <w:r w:rsidR="006F2CC7">
        <w:rPr>
          <w:rFonts w:ascii="Century Gothic" w:hAnsi="Century Gothic" w:cs="Arial"/>
        </w:rPr>
        <w:t>comunidad</w:t>
      </w:r>
      <w:r w:rsidRPr="001A0A60" w:rsidR="00216E36">
        <w:rPr>
          <w:rFonts w:ascii="Century Gothic" w:hAnsi="Century Gothic" w:cs="Arial"/>
        </w:rPr>
        <w:t xml:space="preserve"> </w:t>
      </w:r>
      <w:r w:rsidRPr="001A0A60" w:rsidR="00D41218">
        <w:rPr>
          <w:rFonts w:ascii="Century Gothic" w:hAnsi="Century Gothic" w:cs="Arial"/>
        </w:rPr>
        <w:t>negra, afrodescendiente</w:t>
      </w:r>
      <w:r w:rsidRPr="001A0A60" w:rsidR="008A79EF">
        <w:rPr>
          <w:rFonts w:ascii="Century Gothic" w:hAnsi="Century Gothic" w:cs="Arial"/>
        </w:rPr>
        <w:t>,</w:t>
      </w:r>
      <w:r w:rsidRPr="001A0A60" w:rsidR="00D41218">
        <w:rPr>
          <w:rFonts w:ascii="Century Gothic" w:hAnsi="Century Gothic" w:cs="Arial"/>
        </w:rPr>
        <w:t xml:space="preserve"> raizal y palenquera,</w:t>
      </w:r>
      <w:r w:rsidRPr="001A0A60" w:rsidR="008A79EF">
        <w:rPr>
          <w:rFonts w:ascii="Century Gothic" w:hAnsi="Century Gothic" w:cs="Arial"/>
        </w:rPr>
        <w:t xml:space="preserve"> que encuentran su fundamento en los artículos </w:t>
      </w:r>
      <w:r w:rsidRPr="001A0A60" w:rsidR="001C752A">
        <w:rPr>
          <w:rFonts w:ascii="Century Gothic" w:hAnsi="Century Gothic" w:eastAsia="Calibri" w:cs="Arial"/>
          <w:lang w:val="es-ES"/>
        </w:rPr>
        <w:t xml:space="preserve">7, 8, 10, 68 y 72 de la Constitución Política y </w:t>
      </w:r>
      <w:r w:rsidRPr="001A0A60" w:rsidR="00465920">
        <w:rPr>
          <w:rFonts w:ascii="Century Gothic" w:hAnsi="Century Gothic" w:eastAsia="Calibri" w:cs="Arial"/>
          <w:lang w:val="es-ES"/>
        </w:rPr>
        <w:t xml:space="preserve">el </w:t>
      </w:r>
      <w:r w:rsidRPr="001A0A60" w:rsidR="001C752A">
        <w:rPr>
          <w:rFonts w:ascii="Century Gothic" w:hAnsi="Century Gothic" w:eastAsia="Calibri" w:cs="Arial"/>
          <w:lang w:val="es-ES"/>
        </w:rPr>
        <w:t>Convenio 169 de la OIT</w:t>
      </w:r>
      <w:r w:rsidRPr="001A0A60" w:rsidR="00465920">
        <w:rPr>
          <w:rFonts w:ascii="Century Gothic" w:hAnsi="Century Gothic" w:eastAsia="Calibri" w:cs="Arial"/>
          <w:lang w:val="es-ES"/>
        </w:rPr>
        <w:t xml:space="preserve">, </w:t>
      </w:r>
      <w:r w:rsidRPr="001A0A60" w:rsidR="00D13E5F">
        <w:rPr>
          <w:rFonts w:ascii="Century Gothic" w:hAnsi="Century Gothic" w:eastAsia="Calibri" w:cs="Arial"/>
          <w:lang w:val="es-ES"/>
        </w:rPr>
        <w:t xml:space="preserve">los cuales han sido precisados por la jurisprudencia de la Corte Constitucional. </w:t>
      </w:r>
      <w:r w:rsidRPr="001A0A60" w:rsidR="00D13E5F">
        <w:rPr>
          <w:rFonts w:ascii="Century Gothic" w:hAnsi="Century Gothic" w:eastAsia="Calibri" w:cs="Arial"/>
        </w:rPr>
        <w:t xml:space="preserve">Es por esto por lo que, la jurisprudencia de la Corte Constitucional constituye un obligado referente interpretativo para los operadores del sistema de compra pública, al momento de aplicar los literales M) y N), en la medida que establece el contexto normativo y los elementos que definen la </w:t>
      </w:r>
      <w:r w:rsidRPr="04CAD13D" w:rsidR="00D13E5F">
        <w:rPr>
          <w:rFonts w:ascii="Century Gothic" w:hAnsi="Century Gothic" w:eastAsia="Calibri" w:cs="Arial"/>
          <w:i w:val="1"/>
          <w:iCs w:val="1"/>
        </w:rPr>
        <w:t>autonomía</w:t>
      </w:r>
      <w:r w:rsidRPr="001A0A60" w:rsidR="00D13E5F">
        <w:rPr>
          <w:rFonts w:ascii="Century Gothic" w:hAnsi="Century Gothic" w:eastAsia="Calibri" w:cs="Arial"/>
        </w:rPr>
        <w:t xml:space="preserve">, el </w:t>
      </w:r>
      <w:r w:rsidRPr="04CAD13D" w:rsidR="00D13E5F">
        <w:rPr>
          <w:rFonts w:ascii="Century Gothic" w:hAnsi="Century Gothic" w:eastAsia="Calibri" w:cs="Arial"/>
          <w:i w:val="1"/>
          <w:iCs w:val="1"/>
        </w:rPr>
        <w:t>gobierno propio</w:t>
      </w:r>
      <w:r w:rsidRPr="001A0A60" w:rsidR="00D13E5F">
        <w:rPr>
          <w:rFonts w:ascii="Century Gothic" w:hAnsi="Century Gothic" w:eastAsia="Calibri" w:cs="Arial"/>
        </w:rPr>
        <w:t xml:space="preserve"> y la </w:t>
      </w:r>
      <w:r w:rsidRPr="04CAD13D" w:rsidR="00D13E5F">
        <w:rPr>
          <w:rFonts w:ascii="Century Gothic" w:hAnsi="Century Gothic" w:eastAsia="Calibri" w:cs="Arial"/>
          <w:i w:val="1"/>
          <w:iCs w:val="1"/>
        </w:rPr>
        <w:t xml:space="preserve">identidad cultural </w:t>
      </w:r>
      <w:r w:rsidRPr="001A0A60" w:rsidR="00D13E5F">
        <w:rPr>
          <w:rFonts w:ascii="Century Gothic" w:hAnsi="Century Gothic" w:eastAsia="Calibri" w:cs="Arial"/>
        </w:rPr>
        <w:t xml:space="preserve">como derechos de las comunidades negras, afrodescendientes, raizales y palenqueras, </w:t>
      </w:r>
      <w:r w:rsidRPr="001A0A60" w:rsidR="00D74FC7">
        <w:rPr>
          <w:rFonts w:ascii="Century Gothic" w:hAnsi="Century Gothic" w:eastAsia="Calibri" w:cs="Arial"/>
        </w:rPr>
        <w:t xml:space="preserve">con los que se deben relacionar los </w:t>
      </w:r>
      <w:r w:rsidRPr="001A0A60" w:rsidR="00D74FC7">
        <w:rPr>
          <w:rFonts w:ascii="Century Gothic" w:hAnsi="Century Gothic" w:eastAsia="Calibri" w:cs="Arial"/>
        </w:rPr>
        <w:t>contratos estatales. Por otra parte,</w:t>
      </w:r>
      <w:r w:rsidRPr="04CAD13D" w:rsidR="00D74FC7">
        <w:rPr>
          <w:rFonts w:ascii="Century Gothic" w:hAnsi="Century Gothic" w:eastAsia="Calibri" w:cs="Arial"/>
          <w:i w:val="1"/>
          <w:iCs w:val="1"/>
        </w:rPr>
        <w:t xml:space="preserve"> la garantía de derechos</w:t>
      </w:r>
      <w:r w:rsidRPr="04CAD13D" w:rsidR="00F12F3B">
        <w:rPr>
          <w:rFonts w:ascii="Century Gothic" w:hAnsi="Century Gothic" w:eastAsia="Calibri" w:cs="Arial"/>
          <w:i w:val="1"/>
          <w:iCs w:val="1"/>
        </w:rPr>
        <w:t xml:space="preserve"> </w:t>
      </w:r>
      <w:r w:rsidRPr="001A0A60" w:rsidR="00F12F3B">
        <w:rPr>
          <w:rFonts w:ascii="Century Gothic" w:hAnsi="Century Gothic" w:eastAsia="Calibri" w:cs="Arial"/>
        </w:rPr>
        <w:t xml:space="preserve">a la que hacen referencia ambos literales deben interpretarse como una </w:t>
      </w:r>
      <w:r w:rsidRPr="001A0A60" w:rsidR="00580232">
        <w:rPr>
          <w:rFonts w:ascii="Century Gothic" w:hAnsi="Century Gothic" w:eastAsia="Calibri" w:cs="Arial"/>
        </w:rPr>
        <w:t>cláusula</w:t>
      </w:r>
      <w:r w:rsidRPr="001A0A60" w:rsidR="00F12F3B">
        <w:rPr>
          <w:rFonts w:ascii="Century Gothic" w:hAnsi="Century Gothic" w:eastAsia="Calibri" w:cs="Arial"/>
        </w:rPr>
        <w:t xml:space="preserve"> abierta que permite que </w:t>
      </w:r>
      <w:r w:rsidRPr="001A0A60" w:rsidR="00580232">
        <w:rPr>
          <w:rFonts w:ascii="Century Gothic" w:hAnsi="Century Gothic" w:eastAsia="Calibri" w:cs="Arial"/>
        </w:rPr>
        <w:t xml:space="preserve">la aplicación de estas causales no </w:t>
      </w:r>
      <w:r w:rsidRPr="001A0A60" w:rsidR="00A56235">
        <w:rPr>
          <w:rFonts w:ascii="Century Gothic" w:hAnsi="Century Gothic" w:eastAsia="Calibri" w:cs="Arial"/>
        </w:rPr>
        <w:t>se r</w:t>
      </w:r>
      <w:r w:rsidRPr="001A0A60" w:rsidR="00580232">
        <w:rPr>
          <w:rFonts w:ascii="Century Gothic" w:hAnsi="Century Gothic" w:eastAsia="Calibri" w:cs="Arial"/>
        </w:rPr>
        <w:t>estrinja a</w:t>
      </w:r>
      <w:r w:rsidRPr="001A0A60" w:rsidR="00A56235">
        <w:rPr>
          <w:rFonts w:ascii="Century Gothic" w:hAnsi="Century Gothic" w:eastAsia="Calibri" w:cs="Arial"/>
        </w:rPr>
        <w:t xml:space="preserve"> los contratos relacionados con</w:t>
      </w:r>
      <w:r w:rsidRPr="001A0A60" w:rsidR="00580232">
        <w:rPr>
          <w:rFonts w:ascii="Century Gothic" w:hAnsi="Century Gothic" w:eastAsia="Calibri" w:cs="Arial"/>
        </w:rPr>
        <w:t xml:space="preserve"> los derechos antes enunciados, </w:t>
      </w:r>
      <w:r w:rsidRPr="001A0A60" w:rsidR="00A56235">
        <w:rPr>
          <w:rFonts w:ascii="Century Gothic" w:hAnsi="Century Gothic" w:eastAsia="Calibri" w:cs="Arial"/>
        </w:rPr>
        <w:t xml:space="preserve">sino con todos aquellos de los que son titulares </w:t>
      </w:r>
      <w:r w:rsidRPr="001A0A60" w:rsidR="0937D154">
        <w:rPr>
          <w:rFonts w:ascii="Century Gothic" w:hAnsi="Century Gothic" w:eastAsia="Calibri" w:cs="Arial"/>
        </w:rPr>
        <w:t>las personas pertenecientes</w:t>
      </w:r>
      <w:r w:rsidRPr="001A0A60" w:rsidR="00CF42BA">
        <w:rPr>
          <w:rFonts w:ascii="Century Gothic" w:hAnsi="Century Gothic" w:eastAsia="Calibri" w:cs="Arial"/>
        </w:rPr>
        <w:t xml:space="preserve"> a la </w:t>
      </w:r>
      <w:r w:rsidR="006F2CC7">
        <w:rPr>
          <w:rFonts w:ascii="Century Gothic" w:hAnsi="Century Gothic" w:eastAsia="Calibri" w:cs="Arial"/>
        </w:rPr>
        <w:t>c</w:t>
      </w:r>
      <w:r w:rsidR="00470E3F">
        <w:rPr>
          <w:rFonts w:ascii="Century Gothic" w:hAnsi="Century Gothic" w:eastAsia="Calibri" w:cs="Arial"/>
        </w:rPr>
        <w:t>omunidad</w:t>
      </w:r>
      <w:r w:rsidRPr="001A0A60" w:rsidR="00CF42BA">
        <w:rPr>
          <w:rFonts w:ascii="Century Gothic" w:hAnsi="Century Gothic" w:eastAsia="Calibri" w:cs="Arial"/>
        </w:rPr>
        <w:t xml:space="preserve"> negra, afrodescendiente, raizal y</w:t>
      </w:r>
      <w:r w:rsidRPr="001A0A60" w:rsidR="00104C84">
        <w:rPr>
          <w:rFonts w:ascii="Century Gothic" w:hAnsi="Century Gothic" w:eastAsia="Calibri" w:cs="Arial"/>
        </w:rPr>
        <w:t>/o</w:t>
      </w:r>
      <w:r w:rsidRPr="001A0A60" w:rsidR="00CF42BA">
        <w:rPr>
          <w:rFonts w:ascii="Century Gothic" w:hAnsi="Century Gothic" w:eastAsia="Calibri" w:cs="Arial"/>
        </w:rPr>
        <w:t xml:space="preserve"> palenquera</w:t>
      </w:r>
      <w:r w:rsidRPr="001A0A60" w:rsidR="00104C84">
        <w:rPr>
          <w:rFonts w:ascii="Century Gothic" w:hAnsi="Century Gothic" w:eastAsia="Calibri" w:cs="Arial"/>
        </w:rPr>
        <w:t xml:space="preserve">. </w:t>
      </w:r>
      <w:r w:rsidRPr="001A0A60" w:rsidR="00580232">
        <w:rPr>
          <w:rFonts w:ascii="Century Gothic" w:hAnsi="Century Gothic" w:eastAsia="Calibri" w:cs="Arial"/>
        </w:rPr>
        <w:t xml:space="preserve"> </w:t>
      </w:r>
    </w:p>
    <w:p w:rsidRPr="00A65B02" w:rsidR="00FD5D77" w:rsidP="00FD5D77" w:rsidRDefault="00104C84" w14:paraId="4D100B9A" w14:textId="1CCB27F7">
      <w:pPr>
        <w:spacing w:line="276" w:lineRule="auto"/>
        <w:jc w:val="both"/>
        <w:rPr>
          <w:rFonts w:ascii="Century Gothic" w:hAnsi="Century Gothic" w:cs="Arial"/>
          <w:lang w:val="es-ES"/>
        </w:rPr>
      </w:pPr>
      <w:r w:rsidRPr="001A0A60">
        <w:rPr>
          <w:rFonts w:ascii="Century Gothic" w:hAnsi="Century Gothic" w:cs="Arial"/>
          <w:lang w:val="es-ES"/>
        </w:rPr>
        <w:tab/>
      </w:r>
      <w:r w:rsidRPr="001A0A60" w:rsidR="004D7FD3">
        <w:rPr>
          <w:rFonts w:ascii="Century Gothic" w:hAnsi="Century Gothic" w:cs="Arial"/>
          <w:lang w:val="es-ES"/>
        </w:rPr>
        <w:t>En tales términos</w:t>
      </w:r>
      <w:r w:rsidRPr="001A0A60" w:rsidR="004D7FD3">
        <w:rPr>
          <w:rFonts w:ascii="Century Gothic" w:hAnsi="Century Gothic" w:cs="Arial"/>
        </w:rPr>
        <w:t xml:space="preserve">, teniendo en cuenta que los literales M) y N) del artículo 2, numeral 4 de la Ley 1150 de 2007 </w:t>
      </w:r>
      <w:r w:rsidRPr="001A0A60" w:rsidR="00EC3065">
        <w:rPr>
          <w:rFonts w:ascii="Century Gothic" w:hAnsi="Century Gothic" w:cs="Arial"/>
        </w:rPr>
        <w:t xml:space="preserve">no </w:t>
      </w:r>
      <w:r w:rsidRPr="001A0A60" w:rsidR="004D7FD3">
        <w:rPr>
          <w:rFonts w:ascii="Century Gothic" w:hAnsi="Century Gothic" w:cs="Arial"/>
        </w:rPr>
        <w:t>restringen</w:t>
      </w:r>
      <w:r w:rsidRPr="001A0A60" w:rsidR="00EC3065">
        <w:rPr>
          <w:rFonts w:ascii="Century Gothic" w:hAnsi="Century Gothic" w:cs="Arial"/>
        </w:rPr>
        <w:t xml:space="preserve"> su aplicación a ninguna </w:t>
      </w:r>
      <w:r w:rsidRPr="001A0A60" w:rsidR="004D7FD3">
        <w:rPr>
          <w:rFonts w:ascii="Century Gothic" w:hAnsi="Century Gothic" w:cs="Arial"/>
        </w:rPr>
        <w:t xml:space="preserve">tipología contractual </w:t>
      </w:r>
      <w:r w:rsidRPr="001A0A60" w:rsidR="00EC3065">
        <w:rPr>
          <w:rFonts w:ascii="Century Gothic" w:hAnsi="Century Gothic" w:cs="Arial"/>
        </w:rPr>
        <w:t xml:space="preserve">en específico, </w:t>
      </w:r>
      <w:r w:rsidRPr="001A0A60" w:rsidR="00433FD7">
        <w:rPr>
          <w:rFonts w:ascii="Century Gothic" w:hAnsi="Century Gothic" w:cs="Arial"/>
        </w:rPr>
        <w:t>se estima que, es posible aplicar l</w:t>
      </w:r>
      <w:r w:rsidRPr="001A0A60">
        <w:rPr>
          <w:rFonts w:ascii="Century Gothic" w:hAnsi="Century Gothic" w:cs="Arial"/>
        </w:rPr>
        <w:t>os</w:t>
      </w:r>
      <w:r w:rsidRPr="001A0A60" w:rsidR="00433FD7">
        <w:rPr>
          <w:rFonts w:ascii="Century Gothic" w:hAnsi="Century Gothic" w:cs="Arial"/>
        </w:rPr>
        <w:t xml:space="preserve"> mism</w:t>
      </w:r>
      <w:r w:rsidRPr="001A0A60">
        <w:rPr>
          <w:rFonts w:ascii="Century Gothic" w:hAnsi="Century Gothic" w:cs="Arial"/>
        </w:rPr>
        <w:t>os</w:t>
      </w:r>
      <w:r w:rsidRPr="001A0A60" w:rsidR="00433FD7">
        <w:rPr>
          <w:rFonts w:ascii="Century Gothic" w:hAnsi="Century Gothic" w:cs="Arial"/>
        </w:rPr>
        <w:t xml:space="preserve"> para la celebración de contratos de obra pública </w:t>
      </w:r>
      <w:r w:rsidRPr="001A0A60" w:rsidR="00C22815">
        <w:rPr>
          <w:rFonts w:ascii="Century Gothic" w:hAnsi="Century Gothic" w:cs="Arial"/>
        </w:rPr>
        <w:t xml:space="preserve">de infraestructura de transporte. No obstante, para ello le corresponde a la </w:t>
      </w:r>
      <w:r w:rsidRPr="001A0A60" w:rsidR="00150C5B">
        <w:rPr>
          <w:rFonts w:ascii="Century Gothic" w:hAnsi="Century Gothic" w:cs="Arial"/>
        </w:rPr>
        <w:t xml:space="preserve">Entidad Estatal explicar </w:t>
      </w:r>
      <w:r w:rsidRPr="001A0A60" w:rsidR="00C22815">
        <w:rPr>
          <w:rFonts w:ascii="Century Gothic" w:hAnsi="Century Gothic" w:cs="Arial"/>
        </w:rPr>
        <w:t xml:space="preserve">de manera detallada y </w:t>
      </w:r>
      <w:r w:rsidRPr="001A0A60" w:rsidR="00175908">
        <w:rPr>
          <w:rFonts w:ascii="Century Gothic" w:hAnsi="Century Gothic" w:cs="Arial"/>
        </w:rPr>
        <w:t>pormenorizada en</w:t>
      </w:r>
      <w:r w:rsidRPr="001A0A60" w:rsidR="00150C5B">
        <w:rPr>
          <w:rFonts w:ascii="Century Gothic" w:hAnsi="Century Gothic" w:cs="Arial"/>
        </w:rPr>
        <w:t xml:space="preserve"> los documentos del proceso como </w:t>
      </w:r>
      <w:r w:rsidRPr="001A0A60" w:rsidR="00C22815">
        <w:rPr>
          <w:rFonts w:ascii="Century Gothic" w:hAnsi="Century Gothic" w:cs="Arial"/>
        </w:rPr>
        <w:t xml:space="preserve">los trabajos materiales que se pretenden ejecutar sobre la infraestructura de transporte se relacionan con el fortalecimiento del gobierno propio, la identidad cultural, el ejercicio de la autonomía y/o la garantía de los derechos de las comunidades.  </w:t>
      </w:r>
      <w:r w:rsidRPr="001A0A60" w:rsidR="00EC3065">
        <w:rPr>
          <w:rFonts w:ascii="Century Gothic" w:hAnsi="Century Gothic" w:cs="Arial"/>
        </w:rPr>
        <w:t xml:space="preserve"> </w:t>
      </w:r>
      <w:r w:rsidRPr="001A0A60" w:rsidR="00175908">
        <w:rPr>
          <w:rFonts w:ascii="Century Gothic" w:hAnsi="Century Gothic" w:cs="Arial"/>
        </w:rPr>
        <w:t xml:space="preserve">Esto sin perjuicio del cumplimiento de las demás disposiciones legales y reglamentarias que resulten aplicables al correspondiente contrato. </w:t>
      </w:r>
    </w:p>
    <w:p w:rsidRPr="00A65B02" w:rsidR="00FD5D77" w:rsidP="00FD5D77" w:rsidRDefault="00FD5D77" w14:paraId="40BA2C1D" w14:textId="77777777">
      <w:pPr>
        <w:spacing w:line="276" w:lineRule="auto"/>
        <w:jc w:val="both"/>
        <w:rPr>
          <w:rFonts w:ascii="Century Gothic" w:hAnsi="Century Gothic"/>
          <w:color w:val="2D2D2D"/>
          <w:shd w:val="clear" w:color="auto" w:fill="FFFFFF"/>
        </w:rPr>
      </w:pPr>
      <w:r w:rsidRPr="00A65B02">
        <w:rPr>
          <w:rFonts w:ascii="Century Gothic" w:hAnsi="Century Gothic" w:eastAsia="Calibri" w:cs="Arial"/>
        </w:rPr>
        <w:t>Este concepto tiene el alcance previsto en el artículo 28 del Código de Procedimiento Administrativo y de lo Contencioso Administrativo.</w:t>
      </w:r>
    </w:p>
    <w:p w:rsidRPr="00A65B02" w:rsidR="00FD5D77" w:rsidP="00FD5D77" w:rsidRDefault="00FD5D77" w14:paraId="413B3677" w14:textId="77777777">
      <w:pPr>
        <w:spacing w:after="0" w:line="276" w:lineRule="auto"/>
        <w:jc w:val="both"/>
        <w:rPr>
          <w:rFonts w:ascii="Century Gothic" w:hAnsi="Century Gothic" w:eastAsia="Calibri" w:cs="Arial"/>
        </w:rPr>
      </w:pPr>
    </w:p>
    <w:p w:rsidRPr="00A65B02" w:rsidR="00FD5D77" w:rsidP="00FD5D77" w:rsidRDefault="00FD5D77" w14:paraId="17A55C95" w14:textId="77777777">
      <w:pPr>
        <w:spacing w:after="0" w:line="276" w:lineRule="auto"/>
        <w:contextualSpacing/>
        <w:jc w:val="both"/>
        <w:textAlignment w:val="baseline"/>
        <w:rPr>
          <w:rFonts w:ascii="Century Gothic" w:hAnsi="Century Gothic" w:eastAsia="Times New Roman" w:cs="Arial"/>
          <w:lang w:eastAsia="es-CO"/>
        </w:rPr>
      </w:pPr>
      <w:r w:rsidRPr="00A65B02">
        <w:rPr>
          <w:rFonts w:ascii="Century Gothic" w:hAnsi="Century Gothic" w:cs="Arial"/>
          <w:lang w:val="es-ES"/>
        </w:rPr>
        <w:t>Atentamente</w:t>
      </w:r>
      <w:r w:rsidRPr="00A65B02">
        <w:rPr>
          <w:rFonts w:ascii="Century Gothic" w:hAnsi="Century Gothic" w:eastAsia="Times New Roman" w:cs="Arial"/>
          <w:lang w:val="es-MX" w:eastAsia="es-CO"/>
        </w:rPr>
        <w:t>,</w:t>
      </w:r>
      <w:r w:rsidRPr="00A65B02">
        <w:rPr>
          <w:rFonts w:ascii="Century Gothic" w:hAnsi="Century Gothic" w:eastAsia="Times New Roman" w:cs="Arial"/>
          <w:lang w:eastAsia="es-CO"/>
        </w:rPr>
        <w:t> </w:t>
      </w:r>
    </w:p>
    <w:p w:rsidRPr="00A65B02" w:rsidR="00FD5D77" w:rsidP="00FD5D77" w:rsidRDefault="003F7B5E" w14:paraId="3DDD8271" w14:textId="3C0DB7D7">
      <w:pPr>
        <w:spacing w:after="0" w:line="240" w:lineRule="auto"/>
        <w:ind w:right="709"/>
        <w:jc w:val="center"/>
        <w:rPr>
          <w:rFonts w:ascii="Century Gothic" w:hAnsi="Century Gothic"/>
        </w:rPr>
      </w:pPr>
      <w:r>
        <w:rPr>
          <w:noProof/>
        </w:rPr>
        <w:drawing>
          <wp:inline distT="0" distB="0" distL="0" distR="0" wp14:anchorId="755285D3" wp14:editId="79E4DDDE">
            <wp:extent cx="2964180" cy="1135380"/>
            <wp:effectExtent l="0" t="0" r="7620" b="7620"/>
            <wp:docPr id="20985350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5022"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r w:rsidRPr="00A65B02" w:rsidR="00FD5D77">
        <w:rPr>
          <w:rFonts w:ascii="Century Gothic" w:hAnsi="Century Gothic" w:cs="Arial"/>
          <w:color w:val="000000"/>
          <w:shd w:val="clear" w:color="auto" w:fill="FFFFFF"/>
          <w:lang w:val="es-ES"/>
        </w:rPr>
        <w:br/>
      </w:r>
    </w:p>
    <w:tbl>
      <w:tblPr>
        <w:tblW w:w="694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0"/>
        <w:gridCol w:w="6136"/>
      </w:tblGrid>
      <w:tr w:rsidRPr="00A65B02" w:rsidR="00FD5D77" w:rsidTr="00EE2ACB" w14:paraId="24EC8040" w14:textId="77777777">
        <w:trPr>
          <w:trHeight w:val="315"/>
        </w:trPr>
        <w:tc>
          <w:tcPr>
            <w:tcW w:w="810" w:type="dxa"/>
            <w:tcBorders>
              <w:top w:val="nil"/>
              <w:left w:val="nil"/>
              <w:bottom w:val="nil"/>
              <w:right w:val="nil"/>
            </w:tcBorders>
            <w:vAlign w:val="center"/>
            <w:hideMark/>
          </w:tcPr>
          <w:p w:rsidRPr="00A65B02" w:rsidR="00FD5D77" w:rsidP="00EE2ACB" w:rsidRDefault="00FD5D77" w14:paraId="75E1F95F" w14:textId="77777777">
            <w:pPr>
              <w:spacing w:after="0" w:line="276" w:lineRule="auto"/>
              <w:textAlignment w:val="baseline"/>
              <w:rPr>
                <w:rFonts w:ascii="Century Gothic" w:hAnsi="Century Gothic" w:eastAsia="Times New Roman" w:cs="Arial"/>
                <w:sz w:val="16"/>
                <w:szCs w:val="16"/>
                <w:lang w:eastAsia="es-CO"/>
              </w:rPr>
            </w:pPr>
            <w:r w:rsidRPr="00A65B02">
              <w:rPr>
                <w:rFonts w:ascii="Century Gothic" w:hAnsi="Century Gothic" w:eastAsia="Times New Roman" w:cs="Arial"/>
                <w:sz w:val="16"/>
                <w:szCs w:val="16"/>
                <w:lang w:val="es-MX" w:eastAsia="es-CO"/>
              </w:rPr>
              <w:t>Elaboró:</w:t>
            </w:r>
            <w:r w:rsidRPr="00A65B02">
              <w:rPr>
                <w:rFonts w:ascii="Century Gothic" w:hAnsi="Century Gothic" w:eastAsia="Times New Roman" w:cs="Arial"/>
                <w:sz w:val="16"/>
                <w:szCs w:val="16"/>
                <w:lang w:eastAsia="es-CO"/>
              </w:rPr>
              <w:t> </w:t>
            </w:r>
          </w:p>
        </w:tc>
        <w:tc>
          <w:tcPr>
            <w:tcW w:w="6136" w:type="dxa"/>
            <w:tcBorders>
              <w:top w:val="nil"/>
              <w:left w:val="nil"/>
              <w:bottom w:val="dotted" w:color="7F7F7F" w:themeColor="text1" w:themeTint="80" w:sz="6" w:space="0"/>
              <w:right w:val="nil"/>
            </w:tcBorders>
            <w:vAlign w:val="center"/>
            <w:hideMark/>
          </w:tcPr>
          <w:p w:rsidRPr="00A65B02" w:rsidR="00FD5D77" w:rsidP="00EE2ACB" w:rsidRDefault="00FD5D77" w14:paraId="7928A6EC" w14:textId="77777777">
            <w:pPr>
              <w:spacing w:after="0" w:line="240" w:lineRule="auto"/>
              <w:textAlignment w:val="baseline"/>
              <w:rPr>
                <w:rFonts w:ascii="Century Gothic" w:hAnsi="Century Gothic" w:eastAsia="Times New Roman" w:cs="Arial"/>
                <w:sz w:val="16"/>
                <w:szCs w:val="16"/>
                <w:lang w:val="es-MX" w:eastAsia="es-CO"/>
              </w:rPr>
            </w:pPr>
            <w:r w:rsidRPr="00A65B02">
              <w:rPr>
                <w:rFonts w:ascii="Century Gothic" w:hAnsi="Century Gothic" w:eastAsia="Times New Roman" w:cs="Arial"/>
                <w:sz w:val="16"/>
                <w:szCs w:val="16"/>
                <w:lang w:val="es-MX" w:eastAsia="es-CO"/>
              </w:rPr>
              <w:t>Ana María Ortiz Ballesteros</w:t>
            </w:r>
          </w:p>
          <w:p w:rsidRPr="00A65B02" w:rsidR="00FD5D77" w:rsidP="00EE2ACB" w:rsidRDefault="00FD5D77" w14:paraId="27989DDA" w14:textId="77777777">
            <w:pPr>
              <w:spacing w:after="0" w:line="240" w:lineRule="auto"/>
              <w:textAlignment w:val="baseline"/>
              <w:rPr>
                <w:rFonts w:ascii="Century Gothic" w:hAnsi="Century Gothic" w:eastAsia="Times New Roman" w:cs="Arial"/>
                <w:sz w:val="16"/>
                <w:szCs w:val="16"/>
                <w:lang w:eastAsia="es-CO"/>
              </w:rPr>
            </w:pPr>
            <w:r w:rsidRPr="00A65B02">
              <w:rPr>
                <w:rFonts w:ascii="Century Gothic" w:hAnsi="Century Gothic" w:eastAsia="Times New Roman" w:cs="Arial"/>
                <w:sz w:val="16"/>
                <w:szCs w:val="16"/>
                <w:lang w:val="es-MX" w:eastAsia="es-CO"/>
              </w:rPr>
              <w:t xml:space="preserve">Contratista de la </w:t>
            </w:r>
            <w:r w:rsidRPr="00A65B02">
              <w:rPr>
                <w:rFonts w:ascii="Century Gothic" w:hAnsi="Century Gothic" w:eastAsia="Times New Roman" w:cs="Arial"/>
                <w:sz w:val="16"/>
                <w:szCs w:val="16"/>
                <w:lang w:eastAsia="es-CO"/>
              </w:rPr>
              <w:t>Subdirección de Gestión Contractual</w:t>
            </w:r>
          </w:p>
        </w:tc>
      </w:tr>
      <w:tr w:rsidRPr="00A65B02" w:rsidR="00FD5D77" w:rsidTr="00EE2ACB" w14:paraId="4C9F1726" w14:textId="77777777">
        <w:trPr>
          <w:trHeight w:val="315"/>
        </w:trPr>
        <w:tc>
          <w:tcPr>
            <w:tcW w:w="810" w:type="dxa"/>
            <w:tcBorders>
              <w:top w:val="nil"/>
              <w:left w:val="nil"/>
              <w:bottom w:val="nil"/>
              <w:right w:val="nil"/>
            </w:tcBorders>
            <w:vAlign w:val="center"/>
            <w:hideMark/>
          </w:tcPr>
          <w:p w:rsidRPr="00A65B02" w:rsidR="00FD5D77" w:rsidP="00EE2ACB" w:rsidRDefault="00FD5D77" w14:paraId="2000D8BD" w14:textId="77777777">
            <w:pPr>
              <w:spacing w:after="0" w:line="276" w:lineRule="auto"/>
              <w:textAlignment w:val="baseline"/>
              <w:rPr>
                <w:rFonts w:ascii="Century Gothic" w:hAnsi="Century Gothic" w:eastAsia="Times New Roman" w:cs="Arial"/>
                <w:sz w:val="16"/>
                <w:szCs w:val="16"/>
                <w:lang w:eastAsia="es-CO"/>
              </w:rPr>
            </w:pPr>
            <w:r w:rsidRPr="00A65B02">
              <w:rPr>
                <w:rFonts w:ascii="Century Gothic" w:hAnsi="Century Gothic" w:eastAsia="Times New Roman" w:cs="Arial"/>
                <w:sz w:val="16"/>
                <w:szCs w:val="16"/>
                <w:lang w:val="es-MX" w:eastAsia="es-CO"/>
              </w:rPr>
              <w:t>Revisó:</w:t>
            </w:r>
            <w:r w:rsidRPr="00A65B02">
              <w:rPr>
                <w:rFonts w:ascii="Century Gothic" w:hAnsi="Century Gothic" w:eastAsia="Times New Roman" w:cs="Arial"/>
                <w:sz w:val="16"/>
                <w:szCs w:val="16"/>
                <w:lang w:eastAsia="es-CO"/>
              </w:rPr>
              <w:t> </w:t>
            </w:r>
          </w:p>
        </w:tc>
        <w:tc>
          <w:tcPr>
            <w:tcW w:w="6136" w:type="dxa"/>
            <w:tcBorders>
              <w:top w:val="dotted" w:color="7F7F7F" w:themeColor="text1" w:themeTint="80" w:sz="6" w:space="0"/>
              <w:left w:val="nil"/>
              <w:bottom w:val="dotted" w:color="7F7F7F" w:themeColor="text1" w:themeTint="80" w:sz="6" w:space="0"/>
              <w:right w:val="nil"/>
            </w:tcBorders>
            <w:vAlign w:val="center"/>
            <w:hideMark/>
          </w:tcPr>
          <w:p w:rsidRPr="00A65B02" w:rsidR="00FD5D77" w:rsidP="00EE2ACB" w:rsidRDefault="00FD5D77" w14:paraId="5B879B0F" w14:textId="77777777">
            <w:pPr>
              <w:spacing w:after="0" w:line="240" w:lineRule="auto"/>
              <w:textAlignment w:val="baseline"/>
              <w:rPr>
                <w:rFonts w:ascii="Century Gothic" w:hAnsi="Century Gothic" w:eastAsia="Times New Roman" w:cs="Arial"/>
                <w:sz w:val="16"/>
                <w:szCs w:val="16"/>
                <w:lang w:val="es-ES_tradnl" w:eastAsia="es-CO"/>
              </w:rPr>
            </w:pPr>
            <w:r w:rsidRPr="00A65B02">
              <w:rPr>
                <w:rFonts w:ascii="Century Gothic" w:hAnsi="Century Gothic" w:eastAsia="Times New Roman" w:cs="Arial"/>
                <w:sz w:val="16"/>
                <w:szCs w:val="16"/>
                <w:lang w:val="es-ES_tradnl" w:eastAsia="es-CO"/>
              </w:rPr>
              <w:t>Alejandro Sarmiento Cantillo</w:t>
            </w:r>
          </w:p>
          <w:p w:rsidRPr="00A65B02" w:rsidR="00FD5D77" w:rsidP="00EE2ACB" w:rsidRDefault="00FD5D77" w14:paraId="7C546477" w14:textId="26CE8028">
            <w:pPr>
              <w:spacing w:after="0" w:line="240" w:lineRule="auto"/>
              <w:textAlignment w:val="baseline"/>
              <w:rPr>
                <w:rFonts w:ascii="Century Gothic" w:hAnsi="Century Gothic" w:eastAsia="Times New Roman" w:cs="Arial"/>
                <w:sz w:val="16"/>
                <w:szCs w:val="16"/>
                <w:lang w:val="es-MX" w:eastAsia="es-CO"/>
              </w:rPr>
            </w:pPr>
            <w:r w:rsidRPr="00A65B02">
              <w:rPr>
                <w:rFonts w:ascii="Century Gothic" w:hAnsi="Century Gothic" w:eastAsia="Times New Roman" w:cs="Arial"/>
                <w:sz w:val="16"/>
                <w:szCs w:val="16"/>
                <w:lang w:val="es-MX" w:eastAsia="es-CO"/>
              </w:rPr>
              <w:t xml:space="preserve">Gestor </w:t>
            </w:r>
            <w:r w:rsidR="0076584D">
              <w:rPr>
                <w:rFonts w:ascii="Century Gothic" w:hAnsi="Century Gothic" w:eastAsia="Times New Roman" w:cs="Arial"/>
                <w:sz w:val="16"/>
                <w:szCs w:val="16"/>
                <w:lang w:val="es-MX" w:eastAsia="es-CO"/>
              </w:rPr>
              <w:t>T1-15 de la Subdirección de Gestión Contractual</w:t>
            </w:r>
          </w:p>
        </w:tc>
      </w:tr>
      <w:tr w:rsidRPr="00A65B02" w:rsidR="00FD5D77" w:rsidTr="00EE2ACB" w14:paraId="374FD590" w14:textId="77777777">
        <w:trPr>
          <w:trHeight w:val="300"/>
        </w:trPr>
        <w:tc>
          <w:tcPr>
            <w:tcW w:w="810" w:type="dxa"/>
            <w:tcBorders>
              <w:top w:val="nil"/>
              <w:left w:val="nil"/>
              <w:bottom w:val="nil"/>
              <w:right w:val="nil"/>
            </w:tcBorders>
            <w:vAlign w:val="center"/>
            <w:hideMark/>
          </w:tcPr>
          <w:p w:rsidRPr="00A65B02" w:rsidR="00FD5D77" w:rsidP="00EE2ACB" w:rsidRDefault="00FD5D77" w14:paraId="0E47F8A1" w14:textId="77777777">
            <w:pPr>
              <w:spacing w:after="0" w:line="276" w:lineRule="auto"/>
              <w:textAlignment w:val="baseline"/>
              <w:rPr>
                <w:rFonts w:ascii="Century Gothic" w:hAnsi="Century Gothic" w:eastAsia="Times New Roman" w:cs="Arial"/>
                <w:sz w:val="16"/>
                <w:szCs w:val="16"/>
                <w:lang w:eastAsia="es-CO"/>
              </w:rPr>
            </w:pPr>
            <w:r w:rsidRPr="00A65B02">
              <w:rPr>
                <w:rFonts w:ascii="Century Gothic" w:hAnsi="Century Gothic" w:eastAsia="Times New Roman" w:cs="Arial"/>
                <w:sz w:val="16"/>
                <w:szCs w:val="16"/>
                <w:lang w:val="es-MX" w:eastAsia="es-CO"/>
              </w:rPr>
              <w:t>Aprobó:</w:t>
            </w:r>
            <w:r w:rsidRPr="00A65B02">
              <w:rPr>
                <w:rFonts w:ascii="Century Gothic" w:hAnsi="Century Gothic" w:eastAsia="Times New Roman" w:cs="Arial"/>
                <w:sz w:val="16"/>
                <w:szCs w:val="16"/>
                <w:lang w:eastAsia="es-CO"/>
              </w:rPr>
              <w:t> </w:t>
            </w:r>
          </w:p>
        </w:tc>
        <w:tc>
          <w:tcPr>
            <w:tcW w:w="6136" w:type="dxa"/>
            <w:tcBorders>
              <w:top w:val="dotted" w:color="7F7F7F" w:themeColor="text1" w:themeTint="80" w:sz="6" w:space="0"/>
              <w:left w:val="nil"/>
              <w:bottom w:val="dotted" w:color="7F7F7F" w:themeColor="text1" w:themeTint="80" w:sz="6" w:space="0"/>
              <w:right w:val="nil"/>
            </w:tcBorders>
            <w:vAlign w:val="center"/>
            <w:hideMark/>
          </w:tcPr>
          <w:p w:rsidRPr="00A65B02" w:rsidR="00FD5D77" w:rsidP="00EE2ACB" w:rsidRDefault="00FD5D77" w14:paraId="7A19FA92" w14:textId="77777777">
            <w:pPr>
              <w:spacing w:after="0" w:line="240" w:lineRule="auto"/>
              <w:textAlignment w:val="baseline"/>
              <w:rPr>
                <w:rFonts w:ascii="Century Gothic" w:hAnsi="Century Gothic" w:eastAsia="Times New Roman" w:cs="Arial"/>
                <w:sz w:val="16"/>
                <w:szCs w:val="16"/>
                <w:lang w:val="es-ES_tradnl" w:eastAsia="es-CO"/>
              </w:rPr>
            </w:pPr>
            <w:r w:rsidRPr="00A65B02">
              <w:rPr>
                <w:rFonts w:ascii="Century Gothic" w:hAnsi="Century Gothic" w:eastAsia="Times New Roman" w:cs="Arial"/>
                <w:sz w:val="16"/>
                <w:szCs w:val="16"/>
                <w:lang w:val="es-ES_tradnl" w:eastAsia="es-CO"/>
              </w:rPr>
              <w:t xml:space="preserve">Nohelia del Carmen </w:t>
            </w:r>
            <w:proofErr w:type="spellStart"/>
            <w:r w:rsidRPr="00A65B02">
              <w:rPr>
                <w:rFonts w:ascii="Century Gothic" w:hAnsi="Century Gothic" w:eastAsia="Times New Roman" w:cs="Arial"/>
                <w:sz w:val="16"/>
                <w:szCs w:val="16"/>
                <w:lang w:val="es-ES_tradnl" w:eastAsia="es-CO"/>
              </w:rPr>
              <w:t>Zawady</w:t>
            </w:r>
            <w:proofErr w:type="spellEnd"/>
            <w:r w:rsidRPr="00A65B02">
              <w:rPr>
                <w:rFonts w:ascii="Century Gothic" w:hAnsi="Century Gothic" w:eastAsia="Times New Roman" w:cs="Arial"/>
                <w:sz w:val="16"/>
                <w:szCs w:val="16"/>
                <w:lang w:val="es-ES_tradnl" w:eastAsia="es-CO"/>
              </w:rPr>
              <w:t xml:space="preserve"> Palacio</w:t>
            </w:r>
          </w:p>
          <w:p w:rsidRPr="00A65B02" w:rsidR="00FD5D77" w:rsidP="00EE2ACB" w:rsidRDefault="00FD5D77" w14:paraId="51AEBB2F" w14:textId="77777777">
            <w:pPr>
              <w:spacing w:after="0" w:line="240" w:lineRule="auto"/>
              <w:textAlignment w:val="baseline"/>
              <w:rPr>
                <w:rFonts w:ascii="Century Gothic" w:hAnsi="Century Gothic" w:eastAsia="Times New Roman" w:cs="Arial"/>
                <w:sz w:val="16"/>
                <w:szCs w:val="16"/>
                <w:lang w:eastAsia="es-CO"/>
              </w:rPr>
            </w:pPr>
            <w:r w:rsidRPr="00A65B02">
              <w:rPr>
                <w:rFonts w:ascii="Century Gothic" w:hAnsi="Century Gothic" w:eastAsia="Times New Roman" w:cs="Arial"/>
                <w:sz w:val="16"/>
                <w:szCs w:val="16"/>
                <w:lang w:val="es-ES_tradnl" w:eastAsia="es-CO"/>
              </w:rPr>
              <w:t>Subdirectora de Gestión Contractual ANCP-CCE</w:t>
            </w:r>
          </w:p>
        </w:tc>
      </w:tr>
    </w:tbl>
    <w:p w:rsidRPr="000D62F6" w:rsidR="000D62F6" w:rsidP="000D62F6" w:rsidRDefault="000D62F6" w14:paraId="61F6603D" w14:textId="535F1ED5">
      <w:pPr>
        <w:tabs>
          <w:tab w:val="left" w:pos="1695"/>
        </w:tabs>
        <w:rPr>
          <w:rFonts w:ascii="Century Gothic" w:hAnsi="Century Gothic" w:eastAsia="Times New Roman" w:cs="Segoe UI"/>
          <w:sz w:val="18"/>
          <w:szCs w:val="18"/>
          <w:lang w:eastAsia="es-CO"/>
        </w:rPr>
      </w:pPr>
    </w:p>
    <w:sectPr w:rsidRPr="000D62F6" w:rsidR="000D62F6" w:rsidSect="00A12CEC">
      <w:headerReference w:type="default" r:id="rId13"/>
      <w:footerReference w:type="default" r:id="rId14"/>
      <w:pgSz w:w="12240" w:h="15840" w:orient="portrait"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2CEC" w:rsidP="004A1847" w:rsidRDefault="00A12CEC" w14:paraId="7236510B" w14:textId="77777777">
      <w:pPr>
        <w:spacing w:after="0" w:line="240" w:lineRule="auto"/>
      </w:pPr>
      <w:r>
        <w:separator/>
      </w:r>
    </w:p>
  </w:endnote>
  <w:endnote w:type="continuationSeparator" w:id="0">
    <w:p w:rsidR="00A12CEC" w:rsidP="004A1847" w:rsidRDefault="00A12CEC" w14:paraId="4F409EE9" w14:textId="77777777">
      <w:pPr>
        <w:spacing w:after="0" w:line="240" w:lineRule="auto"/>
      </w:pPr>
      <w:r>
        <w:continuationSeparator/>
      </w:r>
    </w:p>
  </w:endnote>
  <w:endnote w:type="continuationNotice" w:id="1">
    <w:p w:rsidR="00A12CEC" w:rsidRDefault="00A12CEC" w14:paraId="646C37C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Footer"/>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322A85" w:rsidP="00322A85" w:rsidRDefault="003F3941" w14:paraId="171D456F" w14:textId="56C74A82">
          <w:pPr>
            <w:pStyle w:val="Footer"/>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4155018">
          <w:pPr>
            <w:pStyle w:val="Footer"/>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061B2A">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F4E4C24">
          <w:pPr>
            <w:pStyle w:val="Footer"/>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Footer"/>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2CEC" w:rsidP="004A1847" w:rsidRDefault="00A12CEC" w14:paraId="13349732" w14:textId="77777777">
      <w:pPr>
        <w:spacing w:after="0" w:line="240" w:lineRule="auto"/>
      </w:pPr>
      <w:r>
        <w:separator/>
      </w:r>
    </w:p>
  </w:footnote>
  <w:footnote w:type="continuationSeparator" w:id="0">
    <w:p w:rsidR="00A12CEC" w:rsidP="004A1847" w:rsidRDefault="00A12CEC" w14:paraId="00532F18" w14:textId="77777777">
      <w:pPr>
        <w:spacing w:after="0" w:line="240" w:lineRule="auto"/>
      </w:pPr>
      <w:r>
        <w:continuationSeparator/>
      </w:r>
    </w:p>
  </w:footnote>
  <w:footnote w:type="continuationNotice" w:id="1">
    <w:p w:rsidR="00A12CEC" w:rsidRDefault="00A12CEC" w14:paraId="1451151D" w14:textId="77777777">
      <w:pPr>
        <w:spacing w:after="0" w:line="240" w:lineRule="auto"/>
      </w:pPr>
    </w:p>
  </w:footnote>
  <w:footnote w:id="2">
    <w:p w:rsidRPr="00EB5A4F" w:rsidR="00FD5D77" w:rsidP="009B2AA3" w:rsidRDefault="00FD5D77" w14:paraId="32B813A2" w14:textId="77777777">
      <w:pPr>
        <w:pStyle w:val="FootnoteText"/>
        <w:ind w:firstLine="708"/>
        <w:jc w:val="both"/>
        <w:rPr>
          <w:rFonts w:ascii="Century Gothic" w:hAnsi="Century Gothic" w:cs="Arial"/>
          <w:sz w:val="12"/>
          <w:szCs w:val="12"/>
        </w:rPr>
      </w:pPr>
      <w:r w:rsidRPr="00EB5A4F">
        <w:rPr>
          <w:rStyle w:val="FootnoteReference"/>
          <w:rFonts w:ascii="Century Gothic" w:hAnsi="Century Gothic" w:cs="Arial"/>
          <w:sz w:val="12"/>
          <w:szCs w:val="12"/>
        </w:rPr>
        <w:footnoteRef/>
      </w:r>
      <w:r w:rsidRPr="00EB5A4F">
        <w:rPr>
          <w:rFonts w:ascii="Century Gothic" w:hAnsi="Century Gothic" w:cs="Arial"/>
          <w:sz w:val="12"/>
          <w:szCs w:val="12"/>
        </w:rPr>
        <w:t xml:space="preserve"> La Agencia Nacional de Contratación Pública </w:t>
      </w:r>
      <w:r w:rsidRPr="00EB5A4F">
        <w:rPr>
          <w:rFonts w:ascii="Arial" w:hAnsi="Arial" w:cs="Arial"/>
          <w:sz w:val="12"/>
          <w:szCs w:val="12"/>
        </w:rPr>
        <w:t>‒</w:t>
      </w:r>
      <w:r w:rsidRPr="00EB5A4F">
        <w:rPr>
          <w:rFonts w:ascii="Century Gothic" w:hAnsi="Century Gothic" w:cs="Arial"/>
          <w:sz w:val="12"/>
          <w:szCs w:val="12"/>
        </w:rPr>
        <w:t xml:space="preserve"> Colombia Compra Eficiente fue creada por el Decreto Ley 4170 de 2011. Su objetivo es servir como ente rector de la pol</w:t>
      </w:r>
      <w:r w:rsidRPr="00EB5A4F">
        <w:rPr>
          <w:rFonts w:ascii="Century Gothic" w:hAnsi="Century Gothic" w:cs="Century Gothic"/>
          <w:sz w:val="12"/>
          <w:szCs w:val="12"/>
        </w:rPr>
        <w:t>í</w:t>
      </w:r>
      <w:r w:rsidRPr="00EB5A4F">
        <w:rPr>
          <w:rFonts w:ascii="Century Gothic" w:hAnsi="Century Gothic" w:cs="Arial"/>
          <w:sz w:val="12"/>
          <w:szCs w:val="12"/>
        </w:rPr>
        <w:t>tica de compras y contrataci</w:t>
      </w:r>
      <w:r w:rsidRPr="00EB5A4F">
        <w:rPr>
          <w:rFonts w:ascii="Century Gothic" w:hAnsi="Century Gothic" w:cs="Century Gothic"/>
          <w:sz w:val="12"/>
          <w:szCs w:val="12"/>
        </w:rPr>
        <w:t>ó</w:t>
      </w:r>
      <w:r w:rsidRPr="00EB5A4F">
        <w:rPr>
          <w:rFonts w:ascii="Century Gothic" w:hAnsi="Century Gothic" w:cs="Arial"/>
          <w:sz w:val="12"/>
          <w:szCs w:val="12"/>
        </w:rPr>
        <w:t xml:space="preserve">n del Estado. Para tales fines, como </w:t>
      </w:r>
      <w:r w:rsidRPr="00EB5A4F">
        <w:rPr>
          <w:rFonts w:ascii="Century Gothic" w:hAnsi="Century Gothic" w:cs="Century Gothic"/>
          <w:sz w:val="12"/>
          <w:szCs w:val="12"/>
        </w:rPr>
        <w:t>ó</w:t>
      </w:r>
      <w:r w:rsidRPr="00EB5A4F">
        <w:rPr>
          <w:rFonts w:ascii="Century Gothic" w:hAnsi="Century Gothic" w:cs="Arial"/>
          <w:sz w:val="12"/>
          <w:szCs w:val="12"/>
        </w:rPr>
        <w:t>rgano t</w:t>
      </w:r>
      <w:r w:rsidRPr="00EB5A4F">
        <w:rPr>
          <w:rFonts w:ascii="Century Gothic" w:hAnsi="Century Gothic" w:cs="Century Gothic"/>
          <w:sz w:val="12"/>
          <w:szCs w:val="12"/>
        </w:rPr>
        <w:t>é</w:t>
      </w:r>
      <w:r w:rsidRPr="00EB5A4F">
        <w:rPr>
          <w:rFonts w:ascii="Century Gothic" w:hAnsi="Century Gothic" w:cs="Arial"/>
          <w:sz w:val="12"/>
          <w:szCs w:val="12"/>
        </w:rPr>
        <w:t>cnico especializado, le corresponde formular pol</w:t>
      </w:r>
      <w:r w:rsidRPr="00EB5A4F">
        <w:rPr>
          <w:rFonts w:ascii="Century Gothic" w:hAnsi="Century Gothic" w:cs="Century Gothic"/>
          <w:sz w:val="12"/>
          <w:szCs w:val="12"/>
        </w:rPr>
        <w:t>í</w:t>
      </w:r>
      <w:r w:rsidRPr="00EB5A4F">
        <w:rPr>
          <w:rFonts w:ascii="Century Gothic" w:hAnsi="Century Gothic" w:cs="Arial"/>
          <w:sz w:val="12"/>
          <w:szCs w:val="12"/>
        </w:rPr>
        <w:t>ticas p</w:t>
      </w:r>
      <w:r w:rsidRPr="00EB5A4F">
        <w:rPr>
          <w:rFonts w:ascii="Century Gothic" w:hAnsi="Century Gothic" w:cs="Century Gothic"/>
          <w:sz w:val="12"/>
          <w:szCs w:val="12"/>
        </w:rPr>
        <w:t>ú</w:t>
      </w:r>
      <w:r w:rsidRPr="00EB5A4F">
        <w:rPr>
          <w:rFonts w:ascii="Century Gothic" w:hAnsi="Century Gothic" w:cs="Arial"/>
          <w:sz w:val="12"/>
          <w:szCs w:val="12"/>
        </w:rPr>
        <w:t>blicas y normas y unificar los procesos de contrataci</w:t>
      </w:r>
      <w:r w:rsidRPr="00EB5A4F">
        <w:rPr>
          <w:rFonts w:ascii="Century Gothic" w:hAnsi="Century Gothic" w:cs="Century Gothic"/>
          <w:sz w:val="12"/>
          <w:szCs w:val="12"/>
        </w:rPr>
        <w:t>ó</w:t>
      </w:r>
      <w:r w:rsidRPr="00EB5A4F">
        <w:rPr>
          <w:rFonts w:ascii="Century Gothic" w:hAnsi="Century Gothic" w:cs="Arial"/>
          <w:sz w:val="12"/>
          <w:szCs w:val="12"/>
        </w:rPr>
        <w:t>n estatal, con el fin de lograr una mayor eficiencia, transparencia y optimizaci</w:t>
      </w:r>
      <w:r w:rsidRPr="00EB5A4F">
        <w:rPr>
          <w:rFonts w:ascii="Century Gothic" w:hAnsi="Century Gothic" w:cs="Century Gothic"/>
          <w:sz w:val="12"/>
          <w:szCs w:val="12"/>
        </w:rPr>
        <w:t>ó</w:t>
      </w:r>
      <w:r w:rsidRPr="00EB5A4F">
        <w:rPr>
          <w:rFonts w:ascii="Century Gothic" w:hAnsi="Century Gothic" w:cs="Arial"/>
          <w:sz w:val="12"/>
          <w:szCs w:val="12"/>
        </w:rPr>
        <w:t>n de los recursos del Estado. El art</w:t>
      </w:r>
      <w:r w:rsidRPr="00EB5A4F">
        <w:rPr>
          <w:rFonts w:ascii="Century Gothic" w:hAnsi="Century Gothic" w:cs="Century Gothic"/>
          <w:sz w:val="12"/>
          <w:szCs w:val="12"/>
        </w:rPr>
        <w:t>í</w:t>
      </w:r>
      <w:r w:rsidRPr="00EB5A4F">
        <w:rPr>
          <w:rFonts w:ascii="Century Gothic" w:hAnsi="Century Gothic" w:cs="Arial"/>
          <w:sz w:val="12"/>
          <w:szCs w:val="12"/>
        </w:rPr>
        <w:t xml:space="preserve">culo 3 </w:t>
      </w:r>
      <w:r w:rsidRPr="00EB5A4F">
        <w:rPr>
          <w:rFonts w:ascii="Century Gothic" w:hAnsi="Century Gothic" w:cs="Arial"/>
          <w:i/>
          <w:iCs/>
          <w:sz w:val="12"/>
          <w:szCs w:val="12"/>
        </w:rPr>
        <w:t xml:space="preserve">ibidem </w:t>
      </w:r>
      <w:r w:rsidRPr="00EB5A4F">
        <w:rPr>
          <w:rFonts w:ascii="Century Gothic" w:hAnsi="Century Gothic" w:cs="Arial"/>
          <w:sz w:val="12"/>
          <w:szCs w:val="12"/>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rsidRPr="00EB5A4F" w:rsidR="009B2AA3" w:rsidP="009B2AA3" w:rsidRDefault="009B2AA3" w14:paraId="73F45188" w14:textId="77777777">
      <w:pPr>
        <w:pStyle w:val="FootnoteText"/>
        <w:ind w:firstLine="708"/>
        <w:jc w:val="both"/>
        <w:rPr>
          <w:rFonts w:ascii="Century Gothic" w:hAnsi="Century Gothic" w:cs="Arial"/>
          <w:sz w:val="12"/>
          <w:szCs w:val="12"/>
        </w:rPr>
      </w:pPr>
    </w:p>
  </w:footnote>
  <w:footnote w:id="3">
    <w:p w:rsidRPr="00EB5A4F" w:rsidR="00FD5D77" w:rsidP="009B2AA3" w:rsidRDefault="00FD5D77" w14:paraId="5AD5F8DA" w14:textId="77777777">
      <w:pPr>
        <w:pStyle w:val="FootnoteText"/>
        <w:ind w:firstLine="708"/>
        <w:jc w:val="both"/>
        <w:rPr>
          <w:rFonts w:ascii="Century Gothic" w:hAnsi="Century Gothic" w:cs="Arial"/>
          <w:sz w:val="12"/>
          <w:szCs w:val="12"/>
          <w:shd w:val="clear" w:color="auto" w:fill="E6E6E6"/>
        </w:rPr>
      </w:pPr>
      <w:r w:rsidRPr="00EB5A4F">
        <w:rPr>
          <w:rStyle w:val="FootnoteReference"/>
          <w:rFonts w:ascii="Century Gothic" w:hAnsi="Century Gothic" w:cs="Arial"/>
          <w:sz w:val="12"/>
          <w:szCs w:val="12"/>
        </w:rPr>
        <w:footnoteRef/>
      </w:r>
      <w:r w:rsidRPr="00EB5A4F">
        <w:rPr>
          <w:rFonts w:ascii="Century Gothic" w:hAnsi="Century Gothic" w:cs="Arial"/>
          <w:sz w:val="12"/>
          <w:szCs w:val="12"/>
        </w:rPr>
        <w:t xml:space="preserve"> </w:t>
      </w:r>
      <w:r w:rsidRPr="00EB5A4F">
        <w:rPr>
          <w:rFonts w:ascii="Century Gothic" w:hAnsi="Century Gothic" w:cs="Arial"/>
          <w:sz w:val="12"/>
          <w:szCs w:val="12"/>
        </w:rPr>
        <w:t xml:space="preserve">Los conceptos referenciados, así como otros expedidos por la Subdirección se encuentran disponibles para consulta pública en el portal de relatoría de la Agencia, al cual se puede acceder a través del siguiente </w:t>
      </w:r>
      <w:r w:rsidRPr="00EB5A4F">
        <w:rPr>
          <w:rFonts w:ascii="Century Gothic" w:hAnsi="Century Gothic" w:cs="Arial"/>
          <w:sz w:val="12"/>
          <w:szCs w:val="12"/>
        </w:rPr>
        <w:t xml:space="preserve">enlace: </w:t>
      </w:r>
      <w:r w:rsidRPr="00EB5A4F">
        <w:fldChar w:fldCharType="begin"/>
      </w:r>
      <w:r w:rsidRPr="00EB5A4F">
        <w:rPr>
          <w:rFonts w:ascii="Century Gothic" w:hAnsi="Century Gothic"/>
          <w:sz w:val="12"/>
          <w:szCs w:val="12"/>
        </w:rPr>
        <w:instrText>HYPERLINK "https://relatoria.colombiacompra.gov.co/busqueda/conceptos%20"</w:instrText>
      </w:r>
      <w:r w:rsidRPr="00EB5A4F">
        <w:fldChar w:fldCharType="separate"/>
      </w:r>
      <w:r w:rsidRPr="00EB5A4F">
        <w:rPr>
          <w:rStyle w:val="Hyperlink"/>
          <w:rFonts w:ascii="Century Gothic" w:hAnsi="Century Gothic" w:cs="Arial"/>
          <w:color w:val="auto"/>
          <w:sz w:val="12"/>
          <w:szCs w:val="12"/>
        </w:rPr>
        <w:t>https://relatoria.colombiacompra.gov.co/busqueda/conceptos</w:t>
      </w:r>
      <w:r w:rsidRPr="00EB5A4F">
        <w:rPr>
          <w:rStyle w:val="Hyperlink"/>
          <w:rFonts w:ascii="Century Gothic" w:hAnsi="Century Gothic" w:cs="Arial"/>
          <w:color w:val="auto"/>
          <w:sz w:val="12"/>
          <w:szCs w:val="12"/>
        </w:rPr>
        <w:fldChar w:fldCharType="end"/>
      </w:r>
      <w:r w:rsidRPr="00EB5A4F">
        <w:rPr>
          <w:rStyle w:val="Hyperlink"/>
          <w:rFonts w:ascii="Century Gothic" w:hAnsi="Century Gothic" w:cs="Arial"/>
          <w:color w:val="auto"/>
          <w:sz w:val="12"/>
          <w:szCs w:val="12"/>
        </w:rPr>
        <w:t xml:space="preserve">. </w:t>
      </w:r>
      <w:r w:rsidRPr="00EB5A4F">
        <w:rPr>
          <w:rFonts w:ascii="Century Gothic" w:hAnsi="Century Gothic" w:cs="Arial"/>
          <w:sz w:val="12"/>
          <w:szCs w:val="12"/>
          <w:shd w:val="clear" w:color="auto" w:fill="E6E6E6"/>
        </w:rPr>
        <w:t xml:space="preserve">  </w:t>
      </w:r>
    </w:p>
    <w:p w:rsidRPr="00EB5A4F" w:rsidR="00B85BAB" w:rsidP="009B2AA3" w:rsidRDefault="00B85BAB" w14:paraId="169C4B19" w14:textId="77777777">
      <w:pPr>
        <w:pStyle w:val="FootnoteText"/>
        <w:ind w:firstLine="708"/>
        <w:jc w:val="both"/>
        <w:rPr>
          <w:rFonts w:ascii="Century Gothic" w:hAnsi="Century Gothic" w:cs="Arial"/>
          <w:sz w:val="12"/>
          <w:szCs w:val="12"/>
          <w:shd w:val="clear" w:color="auto" w:fill="E6E6E6"/>
        </w:rPr>
      </w:pPr>
    </w:p>
  </w:footnote>
  <w:footnote w:id="4">
    <w:p w:rsidRPr="00EB5A4F" w:rsidR="00FD5D77" w:rsidP="009B2AA3" w:rsidRDefault="00FD5D77" w14:paraId="5DB8BC94" w14:textId="77777777">
      <w:pPr>
        <w:pStyle w:val="FootnoteText"/>
        <w:ind w:firstLine="708"/>
        <w:jc w:val="both"/>
        <w:rPr>
          <w:rFonts w:ascii="Century Gothic" w:hAnsi="Century Gothic" w:eastAsia="Calibri" w:cs="Arial"/>
          <w:sz w:val="12"/>
          <w:szCs w:val="12"/>
        </w:rPr>
      </w:pPr>
      <w:r w:rsidRPr="00EB5A4F">
        <w:rPr>
          <w:rStyle w:val="FootnoteReference"/>
          <w:rFonts w:ascii="Century Gothic" w:hAnsi="Century Gothic" w:cs="Arial"/>
          <w:sz w:val="12"/>
          <w:szCs w:val="12"/>
        </w:rPr>
        <w:footnoteRef/>
      </w:r>
      <w:r w:rsidRPr="00EB5A4F">
        <w:rPr>
          <w:rFonts w:ascii="Century Gothic" w:hAnsi="Century Gothic" w:cs="Arial"/>
          <w:sz w:val="12"/>
          <w:szCs w:val="12"/>
        </w:rPr>
        <w:t xml:space="preserve"> </w:t>
      </w:r>
      <w:r w:rsidRPr="00EB5A4F">
        <w:rPr>
          <w:rFonts w:ascii="Century Gothic" w:hAnsi="Century Gothic" w:eastAsia="Calibri" w:cs="Arial"/>
          <w:sz w:val="12"/>
          <w:szCs w:val="12"/>
        </w:rPr>
        <w:t>Constitución Política: “Artículo 93. Los tratados y convenios internacionales ratificados por el Congreso, que reconocen los derechos humanos y que prohíben su limitación en los estados de excepción, prevalecen en el orden interno.</w:t>
      </w:r>
    </w:p>
    <w:p w:rsidRPr="00EB5A4F" w:rsidR="00FD5D77" w:rsidP="009B2AA3" w:rsidRDefault="00FD5D77" w14:paraId="13275D80" w14:textId="77777777">
      <w:pPr>
        <w:spacing w:after="0" w:line="240" w:lineRule="auto"/>
        <w:ind w:firstLine="708"/>
        <w:jc w:val="both"/>
        <w:rPr>
          <w:rFonts w:ascii="Century Gothic" w:hAnsi="Century Gothic" w:cs="Arial"/>
          <w:sz w:val="12"/>
          <w:szCs w:val="12"/>
        </w:rPr>
      </w:pPr>
      <w:r w:rsidRPr="00EB5A4F">
        <w:rPr>
          <w:rFonts w:ascii="Century Gothic" w:hAnsi="Century Gothic" w:eastAsia="Calibri" w:cs="Arial"/>
          <w:sz w:val="12"/>
          <w:szCs w:val="12"/>
        </w:rPr>
        <w:t>“Los derechos y deberes consagrados en esta Carta, se interpretarán de conformidad con los tratados internacionales sobre derechos humanos ratificados por Colombia [...]”.</w:t>
      </w:r>
    </w:p>
  </w:footnote>
  <w:footnote w:id="5">
    <w:p w:rsidRPr="00EB5A4F" w:rsidR="00D93AD5" w:rsidP="009B2AA3" w:rsidRDefault="00344F41" w14:paraId="127339D1" w14:textId="62B9534B">
      <w:pPr>
        <w:pStyle w:val="FootnoteText"/>
        <w:ind w:firstLine="708"/>
        <w:jc w:val="both"/>
        <w:rPr>
          <w:rFonts w:ascii="Century Gothic" w:hAnsi="Century Gothic" w:eastAsia="Calibri" w:cs="Arial"/>
          <w:sz w:val="12"/>
          <w:szCs w:val="12"/>
          <w:lang w:val="es-ES_tradnl"/>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sidR="0048638D">
        <w:rPr>
          <w:rFonts w:ascii="Century Gothic" w:hAnsi="Century Gothic"/>
          <w:sz w:val="12"/>
          <w:szCs w:val="12"/>
        </w:rPr>
        <w:t>CORTE CONSTITUCIONAL</w:t>
      </w:r>
      <w:r w:rsidRPr="00EB5A4F" w:rsidR="00D93AD5">
        <w:rPr>
          <w:rFonts w:ascii="Century Gothic" w:hAnsi="Century Gothic"/>
          <w:sz w:val="12"/>
          <w:szCs w:val="12"/>
        </w:rPr>
        <w:t xml:space="preserve">, </w:t>
      </w:r>
      <w:r w:rsidRPr="00EB5A4F">
        <w:rPr>
          <w:rFonts w:ascii="Century Gothic" w:hAnsi="Century Gothic" w:eastAsia="Calibri" w:cs="Arial"/>
          <w:sz w:val="12"/>
          <w:szCs w:val="12"/>
          <w:lang w:val="es-ES_tradnl"/>
        </w:rPr>
        <w:t>Sentencia T-823 del 17 de octubre del 2012</w:t>
      </w:r>
      <w:r w:rsidRPr="00EB5A4F" w:rsidR="00D93AD5">
        <w:rPr>
          <w:rFonts w:ascii="Century Gothic" w:hAnsi="Century Gothic" w:eastAsia="Calibri" w:cs="Arial"/>
          <w:sz w:val="12"/>
          <w:szCs w:val="12"/>
          <w:lang w:val="es-ES_tradnl"/>
        </w:rPr>
        <w:t>,</w:t>
      </w:r>
      <w:r w:rsidRPr="00EB5A4F" w:rsidR="0042094B">
        <w:rPr>
          <w:rFonts w:ascii="Century Gothic" w:hAnsi="Century Gothic" w:eastAsia="Calibri" w:cs="Arial"/>
          <w:sz w:val="12"/>
          <w:szCs w:val="12"/>
          <w:lang w:val="es-ES_tradnl"/>
        </w:rPr>
        <w:t xml:space="preserve"> M.P. J</w:t>
      </w:r>
      <w:r w:rsidRPr="00EB5A4F" w:rsidR="00D93AD5">
        <w:rPr>
          <w:rFonts w:ascii="Century Gothic" w:hAnsi="Century Gothic" w:eastAsia="Calibri" w:cs="Arial"/>
          <w:sz w:val="12"/>
          <w:szCs w:val="12"/>
          <w:lang w:val="es-ES_tradnl"/>
        </w:rPr>
        <w:t>orge Ignacio Pretelt Chaljub.</w:t>
      </w:r>
    </w:p>
    <w:p w:rsidRPr="00EB5A4F" w:rsidR="00344F41" w:rsidP="009B2AA3" w:rsidRDefault="00344F41" w14:paraId="7900289F" w14:textId="2272354B">
      <w:pPr>
        <w:pStyle w:val="FootnoteText"/>
        <w:ind w:firstLine="708"/>
        <w:jc w:val="both"/>
        <w:rPr>
          <w:rFonts w:ascii="Century Gothic" w:hAnsi="Century Gothic"/>
          <w:sz w:val="12"/>
          <w:szCs w:val="12"/>
        </w:rPr>
      </w:pPr>
      <w:r w:rsidRPr="00EB5A4F">
        <w:rPr>
          <w:rFonts w:ascii="Century Gothic" w:hAnsi="Century Gothic"/>
          <w:sz w:val="12"/>
          <w:szCs w:val="12"/>
        </w:rPr>
        <w:t xml:space="preserve"> </w:t>
      </w:r>
    </w:p>
  </w:footnote>
  <w:footnote w:id="6">
    <w:p w:rsidRPr="00EB5A4F" w:rsidR="00FD5D77" w:rsidP="009B2AA3" w:rsidRDefault="00FD5D77" w14:paraId="683AA1E8" w14:textId="77777777">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Pr>
          <w:rFonts w:ascii="Century Gothic" w:hAnsi="Century Gothic" w:eastAsia="Calibri" w:cs="Arial"/>
          <w:sz w:val="12"/>
          <w:szCs w:val="12"/>
        </w:rPr>
        <w:t>Constitución Política: “</w:t>
      </w:r>
      <w:r w:rsidRPr="00EB5A4F">
        <w:rPr>
          <w:rFonts w:ascii="Century Gothic" w:hAnsi="Century Gothic"/>
          <w:sz w:val="12"/>
          <w:szCs w:val="12"/>
        </w:rPr>
        <w:t>Artículo transitorio 55. Dentro de los dos años siguientes a la entrada en vigencia de la presente Constitución, el Congreso expedirá, previo estudio por parte de una comisión especial que el Gobierno creará para tal efecto, una ley que les reconozca a las comunidades negras que han venido ocupando tierras baldías en las zonas rurales ribereñas de los ríos de la Cuenca del Pacífico, de acuerdo con sus prácticas tradicionales de producción, el derecho a la propiedad colectiva sobre las áreas que habrá de demarcar la misma ley. En la comisión especial de que trata el inciso anterior tendrán participación en cada caso representantes elegidos por las comunidades involucradas. La propiedad así reconocida sólo será enajenable en los términos que señale la ley. La misma ley establecerá mecanismos para la protección de la identidad cultural y los derechos de estas comunidades, y para el fomento de su desarrollo económico y social.</w:t>
      </w:r>
    </w:p>
    <w:p w:rsidRPr="00EB5A4F" w:rsidR="00FD5D77" w:rsidP="009B2AA3" w:rsidRDefault="00FD5D77" w14:paraId="2C623A24" w14:textId="77777777">
      <w:pPr>
        <w:pStyle w:val="FootnoteText"/>
        <w:ind w:firstLine="708"/>
        <w:jc w:val="both"/>
        <w:rPr>
          <w:rFonts w:ascii="Century Gothic" w:hAnsi="Century Gothic"/>
          <w:sz w:val="12"/>
          <w:szCs w:val="12"/>
        </w:rPr>
      </w:pPr>
    </w:p>
    <w:p w:rsidRPr="00EB5A4F" w:rsidR="00FD5D77" w:rsidP="009B2AA3" w:rsidRDefault="00D86E9D" w14:paraId="4F5D5064" w14:textId="7A17655D">
      <w:pPr>
        <w:pStyle w:val="FootnoteText"/>
        <w:ind w:firstLine="708"/>
        <w:jc w:val="both"/>
        <w:rPr>
          <w:rFonts w:ascii="Century Gothic" w:hAnsi="Century Gothic"/>
          <w:sz w:val="12"/>
          <w:szCs w:val="12"/>
        </w:rPr>
      </w:pPr>
      <w:r w:rsidRPr="00EB5A4F">
        <w:rPr>
          <w:rFonts w:ascii="Century Gothic" w:hAnsi="Century Gothic"/>
          <w:sz w:val="12"/>
          <w:szCs w:val="12"/>
        </w:rPr>
        <w:t xml:space="preserve">Parágrafo </w:t>
      </w:r>
      <w:r w:rsidRPr="00EB5A4F" w:rsidR="00FD5D77">
        <w:rPr>
          <w:rFonts w:ascii="Century Gothic" w:hAnsi="Century Gothic"/>
          <w:sz w:val="12"/>
          <w:szCs w:val="12"/>
        </w:rPr>
        <w:t>1o. Lo dispuesto en el presente artículo podrá aplicarse a otras zonas del país que presenten similares condiciones, por el mismo procedimiento y previos estudio y concepto favorable de la comisión especial aquí prevista.</w:t>
      </w:r>
    </w:p>
    <w:p w:rsidRPr="00EB5A4F" w:rsidR="00FD5D77" w:rsidP="009B2AA3" w:rsidRDefault="00FD5D77" w14:paraId="49E1F9F3" w14:textId="77777777">
      <w:pPr>
        <w:pStyle w:val="FootnoteText"/>
        <w:ind w:firstLine="708"/>
        <w:jc w:val="both"/>
        <w:rPr>
          <w:rFonts w:ascii="Century Gothic" w:hAnsi="Century Gothic"/>
          <w:sz w:val="12"/>
          <w:szCs w:val="12"/>
        </w:rPr>
      </w:pPr>
    </w:p>
    <w:p w:rsidRPr="00EB5A4F" w:rsidR="00FD5D77" w:rsidP="009B2AA3" w:rsidRDefault="00D86E9D" w14:paraId="7D3EAF26" w14:textId="0F69774C">
      <w:pPr>
        <w:pStyle w:val="FootnoteText"/>
        <w:ind w:firstLine="708"/>
        <w:jc w:val="both"/>
        <w:rPr>
          <w:rFonts w:ascii="Century Gothic" w:hAnsi="Century Gothic"/>
          <w:sz w:val="12"/>
          <w:szCs w:val="12"/>
        </w:rPr>
      </w:pPr>
      <w:r w:rsidRPr="00EB5A4F">
        <w:rPr>
          <w:rFonts w:ascii="Century Gothic" w:hAnsi="Century Gothic"/>
          <w:sz w:val="12"/>
          <w:szCs w:val="12"/>
        </w:rPr>
        <w:t xml:space="preserve">Parágrafo </w:t>
      </w:r>
      <w:r w:rsidRPr="00EB5A4F" w:rsidR="00FD5D77">
        <w:rPr>
          <w:rFonts w:ascii="Century Gothic" w:hAnsi="Century Gothic"/>
          <w:sz w:val="12"/>
          <w:szCs w:val="12"/>
        </w:rPr>
        <w:t>2o. Si al vencimiento del término señalado en este artículo el Congreso no hubiere expedido la ley a la que él se refiere, el Gobierno procederá a hacerlo dentro de los seis meses siguientes, mediante norma con fuerza de ley.”</w:t>
      </w:r>
    </w:p>
    <w:p w:rsidRPr="00EB5A4F" w:rsidR="00FD5D77" w:rsidP="009B2AA3" w:rsidRDefault="00FD5D77" w14:paraId="68D236C5" w14:textId="77777777">
      <w:pPr>
        <w:pStyle w:val="FootnoteText"/>
        <w:jc w:val="both"/>
        <w:rPr>
          <w:rFonts w:ascii="Century Gothic" w:hAnsi="Century Gothic"/>
          <w:sz w:val="12"/>
          <w:szCs w:val="12"/>
        </w:rPr>
      </w:pPr>
    </w:p>
  </w:footnote>
  <w:footnote w:id="7">
    <w:p w:rsidRPr="00EB5A4F" w:rsidR="00FD5D77" w:rsidP="009B2AA3" w:rsidRDefault="00FD5D77" w14:paraId="638C080B" w14:textId="4F46286B">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sidR="0048638D">
        <w:rPr>
          <w:rFonts w:ascii="Century Gothic" w:hAnsi="Century Gothic"/>
          <w:sz w:val="12"/>
          <w:szCs w:val="12"/>
        </w:rPr>
        <w:t>CORTE CONSTITUCIONAL.</w:t>
      </w:r>
      <w:r w:rsidRPr="00EB5A4F">
        <w:rPr>
          <w:rFonts w:ascii="Century Gothic" w:hAnsi="Century Gothic"/>
          <w:sz w:val="12"/>
          <w:szCs w:val="12"/>
        </w:rPr>
        <w:t xml:space="preserve"> Sentencia T-189 del 01 de junio del 2022.</w:t>
      </w:r>
      <w:r w:rsidRPr="00EB5A4F" w:rsidR="007C1C63">
        <w:rPr>
          <w:rFonts w:ascii="Century Gothic" w:hAnsi="Century Gothic"/>
          <w:sz w:val="12"/>
          <w:szCs w:val="12"/>
        </w:rPr>
        <w:t xml:space="preserve"> M.P. Cristina Pardo Schlesinger</w:t>
      </w:r>
      <w:r w:rsidRPr="00EB5A4F" w:rsidR="00332133">
        <w:rPr>
          <w:rFonts w:ascii="Century Gothic" w:hAnsi="Century Gothic"/>
          <w:sz w:val="12"/>
          <w:szCs w:val="12"/>
        </w:rPr>
        <w:t>.</w:t>
      </w:r>
    </w:p>
  </w:footnote>
  <w:footnote w:id="8">
    <w:p w:rsidRPr="00EB5A4F" w:rsidR="00FD69B0" w:rsidP="009B2AA3" w:rsidRDefault="00FD69B0" w14:paraId="09653D10" w14:textId="77777777">
      <w:pPr>
        <w:spacing w:after="0" w:line="240" w:lineRule="auto"/>
        <w:ind w:firstLine="709"/>
        <w:jc w:val="both"/>
        <w:rPr>
          <w:rFonts w:ascii="Century Gothic" w:hAnsi="Century Gothic" w:cs="Arial"/>
          <w:sz w:val="12"/>
          <w:szCs w:val="12"/>
        </w:rPr>
      </w:pPr>
      <w:r w:rsidRPr="00EB5A4F">
        <w:rPr>
          <w:rStyle w:val="FootnoteReference"/>
          <w:rFonts w:ascii="Century Gothic" w:hAnsi="Century Gothic" w:cs="Arial"/>
          <w:sz w:val="12"/>
          <w:szCs w:val="12"/>
        </w:rPr>
        <w:footnoteRef/>
      </w:r>
      <w:r w:rsidRPr="00EB5A4F">
        <w:rPr>
          <w:rFonts w:ascii="Century Gothic" w:hAnsi="Century Gothic" w:cs="Arial"/>
          <w:sz w:val="12"/>
          <w:szCs w:val="12"/>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rsidRPr="00EB5A4F" w:rsidR="00FD69B0" w:rsidP="009B2AA3" w:rsidRDefault="00FD69B0" w14:paraId="0BE43CE6" w14:textId="77777777">
      <w:pPr>
        <w:spacing w:after="0" w:line="240" w:lineRule="auto"/>
        <w:ind w:firstLine="709"/>
        <w:jc w:val="both"/>
        <w:rPr>
          <w:rFonts w:ascii="Century Gothic" w:hAnsi="Century Gothic" w:cs="Arial"/>
          <w:sz w:val="12"/>
          <w:szCs w:val="12"/>
        </w:rPr>
      </w:pPr>
    </w:p>
    <w:p w:rsidRPr="00EB5A4F" w:rsidR="00FD69B0" w:rsidP="009B2AA3" w:rsidRDefault="00FD69B0" w14:paraId="4E00EBDE" w14:textId="77777777">
      <w:pPr>
        <w:spacing w:after="0" w:line="240" w:lineRule="auto"/>
        <w:ind w:firstLine="709"/>
        <w:jc w:val="both"/>
        <w:rPr>
          <w:rFonts w:ascii="Century Gothic" w:hAnsi="Century Gothic" w:cs="Arial"/>
          <w:sz w:val="12"/>
          <w:szCs w:val="12"/>
        </w:rPr>
      </w:pPr>
      <w:r w:rsidRPr="00EB5A4F">
        <w:rPr>
          <w:rFonts w:ascii="Century Gothic" w:hAnsi="Century Gothic" w:cs="Arial"/>
          <w:sz w:val="12"/>
          <w:szCs w:val="12"/>
        </w:rPr>
        <w:t>“Aquellas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p>
    <w:p w:rsidRPr="00EB5A4F" w:rsidR="00FD69B0" w:rsidP="009B2AA3" w:rsidRDefault="00FD69B0" w14:paraId="146572DA" w14:textId="77777777">
      <w:pPr>
        <w:spacing w:after="0" w:line="240" w:lineRule="auto"/>
        <w:ind w:firstLine="709"/>
        <w:jc w:val="both"/>
        <w:rPr>
          <w:rFonts w:ascii="Century Gothic" w:hAnsi="Century Gothic" w:cs="Arial"/>
          <w:sz w:val="12"/>
          <w:szCs w:val="12"/>
        </w:rPr>
      </w:pPr>
    </w:p>
    <w:p w:rsidRPr="00EB5A4F" w:rsidR="00FD69B0" w:rsidP="009B2AA3" w:rsidRDefault="00FD69B0" w14:paraId="12F3C873" w14:textId="77777777">
      <w:pPr>
        <w:spacing w:after="0" w:line="240" w:lineRule="auto"/>
        <w:ind w:firstLine="708"/>
        <w:jc w:val="both"/>
        <w:rPr>
          <w:rFonts w:ascii="Century Gothic" w:hAnsi="Century Gothic" w:cs="Arial"/>
          <w:sz w:val="12"/>
          <w:szCs w:val="12"/>
        </w:rPr>
      </w:pPr>
      <w:r w:rsidRPr="00EB5A4F">
        <w:rPr>
          <w:rFonts w:ascii="Century Gothic" w:hAnsi="Century Gothic" w:cs="Arial"/>
          <w:sz w:val="12"/>
          <w:szCs w:val="12"/>
        </w:rPr>
        <w:t>“[R]</w:t>
      </w:r>
      <w:proofErr w:type="spellStart"/>
      <w:r w:rsidRPr="00EB5A4F">
        <w:rPr>
          <w:rFonts w:ascii="Century Gothic" w:hAnsi="Century Gothic" w:cs="Arial"/>
          <w:sz w:val="12"/>
          <w:szCs w:val="12"/>
        </w:rPr>
        <w:t>esulta</w:t>
      </w:r>
      <w:proofErr w:type="spellEnd"/>
      <w:r w:rsidRPr="00EB5A4F">
        <w:rPr>
          <w:rFonts w:ascii="Century Gothic" w:hAnsi="Century Gothic" w:cs="Arial"/>
          <w:sz w:val="12"/>
          <w:szCs w:val="12"/>
        </w:rPr>
        <w:t xml:space="preserve">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 w:id="9">
    <w:p w:rsidRPr="00EB5A4F" w:rsidR="009B2AA3" w:rsidP="009B2AA3" w:rsidRDefault="009B2AA3" w14:paraId="46F13F67" w14:textId="77777777">
      <w:pPr>
        <w:pStyle w:val="FootnoteText"/>
        <w:jc w:val="both"/>
        <w:rPr>
          <w:rFonts w:ascii="Century Gothic" w:hAnsi="Century Gothic"/>
          <w:sz w:val="12"/>
          <w:szCs w:val="12"/>
        </w:rPr>
      </w:pPr>
    </w:p>
    <w:p w:rsidRPr="00EB5A4F" w:rsidR="0010560D" w:rsidP="009B2AA3" w:rsidRDefault="0010560D" w14:paraId="4EF25C9F" w14:textId="2D343565">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sidR="001D7EE9">
        <w:rPr>
          <w:rFonts w:ascii="Century Gothic" w:hAnsi="Century Gothic"/>
          <w:sz w:val="12"/>
          <w:szCs w:val="12"/>
        </w:rPr>
        <w:t>En la exposición de motivos del Pr</w:t>
      </w:r>
      <w:r w:rsidRPr="00EB5A4F" w:rsidR="00880F6E">
        <w:rPr>
          <w:rFonts w:ascii="Century Gothic" w:hAnsi="Century Gothic"/>
          <w:sz w:val="12"/>
          <w:szCs w:val="12"/>
        </w:rPr>
        <w:t xml:space="preserve">oyecto de Ley 418-21 Senado y 485-20 Cámara, que terminó en la expedición de la Ley 2160 de 2021 se explicó que: “las Comunidades, Negras, Afrocolombianas, Raizales y Palenqueras, la Ley 70 de 1993 “por la cual se desarrolla el artículo transitorio 55 de la Constitución Política”, previó en su artículo 5 la existencia de Consejos Comunitarios como formas de administración interna, encargados de delimitar y asignar áreas al interior de las tierras adjudicadas; velar por la conservación y protección de los derechos de la propiedad colectiva, la preservación de la identidad cultural, el aprovechamiento y la conservación de los recursos naturales; escoger al representante legal de la respectiva comunidad en cuanto persona jurídica, y actuar como amigables componedores en los conflictos internos factibles de conciliación. </w:t>
      </w:r>
      <w:r w:rsidRPr="00EB5A4F" w:rsidR="009C51F8">
        <w:rPr>
          <w:rFonts w:ascii="Century Gothic" w:hAnsi="Century Gothic"/>
          <w:sz w:val="12"/>
          <w:szCs w:val="12"/>
        </w:rPr>
        <w:t xml:space="preserve"> </w:t>
      </w:r>
      <w:r w:rsidRPr="00EB5A4F" w:rsidR="00880F6E">
        <w:rPr>
          <w:rFonts w:ascii="Century Gothic" w:hAnsi="Century Gothic"/>
          <w:sz w:val="12"/>
          <w:szCs w:val="12"/>
        </w:rPr>
        <w:t>Asimismo, el artículo 2.5.1.2.12 del Decreto 1066 de 2015 Único Reglamentario del Sector Administrativo del Interior, estableció dentro de las funciones del representante legal del Consejo Comunitario, entre otras las de “1. Representar a la comunidad, en cuanto persona jurídica”, y “5. Previa aprobación de la Junta del Consejo Comunitario, celebrar convenios o contratos y administrar los beneficios derivados de los mismos”. Igualmente,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w:t>
      </w:r>
      <w:r w:rsidRPr="00EB5A4F" w:rsidR="00800C9E">
        <w:rPr>
          <w:rFonts w:ascii="Century Gothic" w:hAnsi="Century Gothic"/>
          <w:sz w:val="12"/>
          <w:szCs w:val="12"/>
        </w:rPr>
        <w:t xml:space="preserve"> </w:t>
      </w:r>
      <w:r w:rsidRPr="00EB5A4F" w:rsidR="00880F6E">
        <w:rPr>
          <w:rFonts w:ascii="Century Gothic" w:hAnsi="Century Gothic"/>
          <w:sz w:val="12"/>
          <w:szCs w:val="12"/>
        </w:rPr>
        <w:t xml:space="preserve">organizaciones”. </w:t>
      </w:r>
      <w:r w:rsidRPr="00EB5A4F" w:rsidR="00800C9E">
        <w:rPr>
          <w:rFonts w:ascii="Century Gothic" w:hAnsi="Century Gothic"/>
          <w:sz w:val="12"/>
          <w:szCs w:val="12"/>
        </w:rPr>
        <w:t>Gaceta del Congreso, Senado y Cámara, Año XXX</w:t>
      </w:r>
      <w:r w:rsidRPr="00EB5A4F" w:rsidR="006B0A14">
        <w:rPr>
          <w:rFonts w:ascii="Century Gothic" w:hAnsi="Century Gothic"/>
          <w:sz w:val="12"/>
          <w:szCs w:val="12"/>
        </w:rPr>
        <w:t>, No. 315 del 22 de abril de 2021</w:t>
      </w:r>
      <w:r w:rsidRPr="00EB5A4F" w:rsidR="005B5BA0">
        <w:rPr>
          <w:rFonts w:ascii="Century Gothic" w:hAnsi="Century Gothic"/>
          <w:sz w:val="12"/>
          <w:szCs w:val="12"/>
        </w:rPr>
        <w:t xml:space="preserve">. </w:t>
      </w:r>
    </w:p>
  </w:footnote>
  <w:footnote w:id="10">
    <w:p w:rsidRPr="00EB5A4F" w:rsidR="009F780E" w:rsidP="009B2AA3" w:rsidRDefault="009F780E" w14:paraId="664BA62E" w14:textId="53D64B93">
      <w:pPr>
        <w:pStyle w:val="FootnoteText"/>
        <w:ind w:firstLine="709"/>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sidR="00501D35">
        <w:rPr>
          <w:rFonts w:ascii="Century Gothic" w:hAnsi="Century Gothic"/>
          <w:sz w:val="12"/>
          <w:szCs w:val="12"/>
        </w:rPr>
        <w:t>Sobre la</w:t>
      </w:r>
      <w:r w:rsidRPr="00EB5A4F" w:rsidR="004541B7">
        <w:rPr>
          <w:rFonts w:ascii="Century Gothic" w:hAnsi="Century Gothic"/>
          <w:sz w:val="12"/>
          <w:szCs w:val="12"/>
        </w:rPr>
        <w:t xml:space="preserve"> contratación directa el Consejo de Estado ha </w:t>
      </w:r>
      <w:r w:rsidRPr="00EB5A4F" w:rsidR="00A20279">
        <w:rPr>
          <w:rFonts w:ascii="Century Gothic" w:hAnsi="Century Gothic"/>
          <w:sz w:val="12"/>
          <w:szCs w:val="12"/>
        </w:rPr>
        <w:t>explicado que</w:t>
      </w:r>
      <w:r w:rsidRPr="00EB5A4F" w:rsidR="00501D35">
        <w:rPr>
          <w:rFonts w:ascii="Century Gothic" w:hAnsi="Century Gothic"/>
          <w:sz w:val="12"/>
          <w:szCs w:val="12"/>
        </w:rPr>
        <w:t xml:space="preserve"> </w:t>
      </w:r>
      <w:r w:rsidRPr="00EB5A4F">
        <w:rPr>
          <w:rFonts w:ascii="Century Gothic" w:hAnsi="Century Gothic"/>
          <w:sz w:val="12"/>
          <w:szCs w:val="12"/>
        </w:rPr>
        <w:t>“</w:t>
      </w:r>
      <w:r w:rsidRPr="00EB5A4F" w:rsidR="00A20279">
        <w:rPr>
          <w:rFonts w:ascii="Century Gothic" w:hAnsi="Century Gothic"/>
          <w:sz w:val="12"/>
          <w:szCs w:val="12"/>
        </w:rPr>
        <w:t xml:space="preserve">[…] </w:t>
      </w:r>
      <w:r w:rsidRPr="00EB5A4F">
        <w:rPr>
          <w:rFonts w:ascii="Century Gothic" w:hAnsi="Century Gothic"/>
          <w:sz w:val="12"/>
          <w:szCs w:val="12"/>
        </w:rPr>
        <w:t xml:space="preserve">es atribución exclusiva del legislador señalar los mecanismos de selección de los contratos que celebren las entidades del Estado, porque el constituyente confirió al legislador la competencia para regular el tema de la contratación estatal, campo en el cual la función del ejecutivo se limita a reglamentar las normas expedidas por aquel en orden a su correcta ejecución”. Sección Tercera, Auto del 16 de marzo de 2006, </w:t>
      </w:r>
      <w:r w:rsidRPr="00EB5A4F" w:rsidR="004541B7">
        <w:rPr>
          <w:rFonts w:ascii="Century Gothic" w:hAnsi="Century Gothic"/>
          <w:sz w:val="12"/>
          <w:szCs w:val="12"/>
        </w:rPr>
        <w:t xml:space="preserve">Exp. No. </w:t>
      </w:r>
      <w:r w:rsidRPr="00EB5A4F">
        <w:rPr>
          <w:rFonts w:ascii="Century Gothic" w:hAnsi="Century Gothic"/>
          <w:sz w:val="12"/>
          <w:szCs w:val="12"/>
        </w:rPr>
        <w:t xml:space="preserve">29.393, C.P. Ruth Stella Correa Palacio. </w:t>
      </w:r>
    </w:p>
  </w:footnote>
  <w:footnote w:id="11">
    <w:p w:rsidRPr="00EB5A4F" w:rsidR="00A20279" w:rsidP="009B2AA3" w:rsidRDefault="00A20279" w14:paraId="7F621881" w14:textId="77777777">
      <w:pPr>
        <w:pStyle w:val="FootnoteText"/>
        <w:ind w:firstLine="708"/>
        <w:jc w:val="both"/>
        <w:rPr>
          <w:rFonts w:ascii="Century Gothic" w:hAnsi="Century Gothic"/>
          <w:sz w:val="12"/>
          <w:szCs w:val="12"/>
        </w:rPr>
      </w:pPr>
    </w:p>
    <w:p w:rsidRPr="00EB5A4F" w:rsidR="00A20279" w:rsidP="009B2AA3" w:rsidRDefault="00A20279" w14:paraId="093441FF" w14:textId="61A125C2">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sidR="00BC4719">
        <w:rPr>
          <w:rFonts w:ascii="Century Gothic" w:hAnsi="Century Gothic"/>
          <w:sz w:val="12"/>
          <w:szCs w:val="12"/>
        </w:rPr>
        <w:t>Al respecto se asevera que</w:t>
      </w:r>
      <w:r w:rsidRPr="00EB5A4F" w:rsidR="008864E5">
        <w:rPr>
          <w:rFonts w:ascii="Century Gothic" w:hAnsi="Century Gothic"/>
          <w:sz w:val="12"/>
          <w:szCs w:val="12"/>
        </w:rPr>
        <w:t>: “La interpretación</w:t>
      </w:r>
      <w:r w:rsidRPr="00EB5A4F" w:rsidR="000535D0">
        <w:rPr>
          <w:rFonts w:ascii="Century Gothic" w:hAnsi="Century Gothic"/>
          <w:sz w:val="12"/>
          <w:szCs w:val="12"/>
        </w:rPr>
        <w:t xml:space="preserve"> de estas</w:t>
      </w:r>
      <w:r w:rsidRPr="00EB5A4F" w:rsidR="00560A40">
        <w:rPr>
          <w:rFonts w:ascii="Century Gothic" w:hAnsi="Century Gothic"/>
          <w:sz w:val="12"/>
          <w:szCs w:val="12"/>
        </w:rPr>
        <w:t xml:space="preserve"> </w:t>
      </w:r>
      <w:r w:rsidRPr="00EB5A4F" w:rsidR="00326EBF">
        <w:rPr>
          <w:rFonts w:ascii="Century Gothic" w:hAnsi="Century Gothic"/>
          <w:sz w:val="12"/>
          <w:szCs w:val="12"/>
        </w:rPr>
        <w:t xml:space="preserve">causales es restrictiva y no admite </w:t>
      </w:r>
      <w:r w:rsidRPr="00EB5A4F" w:rsidR="00864336">
        <w:rPr>
          <w:rFonts w:ascii="Century Gothic" w:hAnsi="Century Gothic"/>
          <w:sz w:val="12"/>
          <w:szCs w:val="12"/>
        </w:rPr>
        <w:t>l</w:t>
      </w:r>
      <w:r w:rsidRPr="00EB5A4F" w:rsidR="007B6307">
        <w:rPr>
          <w:rFonts w:ascii="Century Gothic" w:hAnsi="Century Gothic"/>
          <w:sz w:val="12"/>
          <w:szCs w:val="12"/>
        </w:rPr>
        <w:t>a analogía</w:t>
      </w:r>
      <w:r w:rsidRPr="00EB5A4F" w:rsidR="00987919">
        <w:rPr>
          <w:rFonts w:ascii="Century Gothic" w:hAnsi="Century Gothic"/>
          <w:sz w:val="12"/>
          <w:szCs w:val="12"/>
        </w:rPr>
        <w:t>. Significa lo anterior que cuando una determinada situación no encaja en alguno de los motivos excepcionales</w:t>
      </w:r>
      <w:r w:rsidRPr="00EB5A4F" w:rsidR="005938D3">
        <w:rPr>
          <w:rFonts w:ascii="Century Gothic" w:hAnsi="Century Gothic"/>
          <w:sz w:val="12"/>
          <w:szCs w:val="12"/>
        </w:rPr>
        <w:t xml:space="preserve">, no es dable buscar interpretaciones acomodadas en </w:t>
      </w:r>
      <w:r w:rsidRPr="00EB5A4F" w:rsidR="00DC116C">
        <w:rPr>
          <w:rFonts w:ascii="Century Gothic" w:hAnsi="Century Gothic"/>
          <w:sz w:val="12"/>
          <w:szCs w:val="12"/>
        </w:rPr>
        <w:t>procura</w:t>
      </w:r>
      <w:r w:rsidRPr="00EB5A4F" w:rsidR="005938D3">
        <w:rPr>
          <w:rFonts w:ascii="Century Gothic" w:hAnsi="Century Gothic"/>
          <w:sz w:val="12"/>
          <w:szCs w:val="12"/>
        </w:rPr>
        <w:t xml:space="preserve"> de evitar la licitación</w:t>
      </w:r>
      <w:r w:rsidRPr="00EB5A4F" w:rsidR="00EA3EE4">
        <w:rPr>
          <w:rFonts w:ascii="Century Gothic" w:hAnsi="Century Gothic"/>
          <w:sz w:val="12"/>
          <w:szCs w:val="12"/>
        </w:rPr>
        <w:t>. También se afecta el principio, incluso en frente</w:t>
      </w:r>
      <w:r w:rsidRPr="00EB5A4F" w:rsidR="00DC116C">
        <w:rPr>
          <w:rFonts w:ascii="Century Gothic" w:hAnsi="Century Gothic"/>
          <w:sz w:val="12"/>
          <w:szCs w:val="12"/>
        </w:rPr>
        <w:t xml:space="preserve"> </w:t>
      </w:r>
      <w:r w:rsidRPr="00EB5A4F" w:rsidR="00EA3EE4">
        <w:rPr>
          <w:rFonts w:ascii="Century Gothic" w:hAnsi="Century Gothic"/>
          <w:sz w:val="12"/>
          <w:szCs w:val="12"/>
        </w:rPr>
        <w:t xml:space="preserve"> </w:t>
      </w:r>
      <w:r w:rsidRPr="00EB5A4F" w:rsidR="00C07CAE">
        <w:rPr>
          <w:rFonts w:ascii="Century Gothic" w:hAnsi="Century Gothic"/>
          <w:sz w:val="12"/>
          <w:szCs w:val="12"/>
        </w:rPr>
        <w:t>de causales excepcionales</w:t>
      </w:r>
      <w:r w:rsidRPr="00EB5A4F" w:rsidR="009961C7">
        <w:rPr>
          <w:rFonts w:ascii="Century Gothic" w:hAnsi="Century Gothic"/>
          <w:sz w:val="12"/>
          <w:szCs w:val="12"/>
        </w:rPr>
        <w:t>, cuando se emplea</w:t>
      </w:r>
      <w:r w:rsidRPr="00EB5A4F" w:rsidR="007A7E13">
        <w:rPr>
          <w:rFonts w:ascii="Century Gothic" w:hAnsi="Century Gothic"/>
          <w:sz w:val="12"/>
          <w:szCs w:val="12"/>
        </w:rPr>
        <w:t xml:space="preserve"> el procedimiento errado, en particular</w:t>
      </w:r>
      <w:r w:rsidRPr="00EB5A4F" w:rsidR="009244C7">
        <w:rPr>
          <w:rFonts w:ascii="Century Gothic" w:hAnsi="Century Gothic"/>
          <w:sz w:val="12"/>
          <w:szCs w:val="12"/>
        </w:rPr>
        <w:t>, cuando siendo el aplicable uno que se caracteriza por la pluralidad</w:t>
      </w:r>
      <w:r w:rsidRPr="00EB5A4F" w:rsidR="00F87781">
        <w:rPr>
          <w:rFonts w:ascii="Century Gothic" w:hAnsi="Century Gothic"/>
          <w:sz w:val="12"/>
          <w:szCs w:val="12"/>
        </w:rPr>
        <w:t xml:space="preserve"> de oferentes co</w:t>
      </w:r>
      <w:r w:rsidRPr="00EB5A4F" w:rsidR="00816D24">
        <w:rPr>
          <w:rFonts w:ascii="Century Gothic" w:hAnsi="Century Gothic"/>
          <w:sz w:val="12"/>
          <w:szCs w:val="12"/>
        </w:rPr>
        <w:t>mo la selección abreviada</w:t>
      </w:r>
      <w:r w:rsidRPr="00EB5A4F" w:rsidR="006E149F">
        <w:rPr>
          <w:rFonts w:ascii="Century Gothic" w:hAnsi="Century Gothic"/>
          <w:sz w:val="12"/>
          <w:szCs w:val="12"/>
        </w:rPr>
        <w:t xml:space="preserve"> o el concurso de méritos, se “tuerce el cuello de la ley</w:t>
      </w:r>
      <w:r w:rsidRPr="00EB5A4F" w:rsidR="00DA23C4">
        <w:rPr>
          <w:rFonts w:ascii="Century Gothic" w:hAnsi="Century Gothic"/>
          <w:sz w:val="12"/>
          <w:szCs w:val="12"/>
        </w:rPr>
        <w:t>” para usar la contratación directa”.</w:t>
      </w:r>
      <w:r w:rsidRPr="00EB5A4F" w:rsidR="008864E5">
        <w:rPr>
          <w:rFonts w:ascii="Century Gothic" w:hAnsi="Century Gothic"/>
          <w:sz w:val="12"/>
          <w:szCs w:val="12"/>
        </w:rPr>
        <w:t xml:space="preserve"> </w:t>
      </w:r>
      <w:r w:rsidRPr="00EB5A4F">
        <w:rPr>
          <w:rFonts w:ascii="Century Gothic" w:hAnsi="Century Gothic"/>
          <w:sz w:val="12"/>
          <w:szCs w:val="12"/>
        </w:rPr>
        <w:t>D</w:t>
      </w:r>
      <w:r w:rsidRPr="00EB5A4F" w:rsidR="004C3822">
        <w:rPr>
          <w:rFonts w:ascii="Century Gothic" w:hAnsi="Century Gothic"/>
          <w:sz w:val="12"/>
          <w:szCs w:val="12"/>
        </w:rPr>
        <w:t>Á</w:t>
      </w:r>
      <w:r w:rsidRPr="00EB5A4F">
        <w:rPr>
          <w:rFonts w:ascii="Century Gothic" w:hAnsi="Century Gothic"/>
          <w:sz w:val="12"/>
          <w:szCs w:val="12"/>
        </w:rPr>
        <w:t>VILA VINUEZA</w:t>
      </w:r>
      <w:r w:rsidRPr="00EB5A4F" w:rsidR="004C3822">
        <w:rPr>
          <w:rFonts w:ascii="Century Gothic" w:hAnsi="Century Gothic"/>
          <w:sz w:val="12"/>
          <w:szCs w:val="12"/>
        </w:rPr>
        <w:t xml:space="preserve">, Luis Guillermo, Régimen jurídico de la contratación estatal, </w:t>
      </w:r>
      <w:r w:rsidRPr="00EB5A4F" w:rsidR="00627872">
        <w:rPr>
          <w:rFonts w:ascii="Century Gothic" w:hAnsi="Century Gothic"/>
          <w:sz w:val="12"/>
          <w:szCs w:val="12"/>
        </w:rPr>
        <w:t>tercera edición, Legis, Bogotá</w:t>
      </w:r>
      <w:r w:rsidRPr="00EB5A4F" w:rsidR="00BC4719">
        <w:rPr>
          <w:rFonts w:ascii="Century Gothic" w:hAnsi="Century Gothic"/>
          <w:sz w:val="12"/>
          <w:szCs w:val="12"/>
        </w:rPr>
        <w:t>, 2016, pp. -245</w:t>
      </w:r>
      <w:r w:rsidRPr="00EB5A4F">
        <w:rPr>
          <w:rFonts w:ascii="Century Gothic" w:hAnsi="Century Gothic"/>
          <w:sz w:val="12"/>
          <w:szCs w:val="12"/>
        </w:rPr>
        <w:t xml:space="preserve"> </w:t>
      </w:r>
    </w:p>
  </w:footnote>
  <w:footnote w:id="12">
    <w:p w:rsidRPr="00EB5A4F" w:rsidR="00CC0A00" w:rsidP="009B2AA3" w:rsidRDefault="00CC0A00" w14:paraId="6F8161C7" w14:textId="61062268">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Decreto 1066 de 2015: “Artículo 2.5.1.5.6. Actualización de la información en el Registro Público de Instituciones Representativas. Los Consejos Comunitarios, las formas y expresiones organizativas de las comunidades negras, afrocolombianas, raizales y palenqueras y las organizaciones de base a que se refiere el presente decreto, deberán actualizar la información inscrita en el registro público de instituciones representativas, a más tardar el último día hábil del mes de mayo de cada dos años, todos los años pares, de conformidad con el formulario que determine el Ministerio del Interior. </w:t>
      </w:r>
    </w:p>
    <w:p w:rsidRPr="00EB5A4F" w:rsidR="00CC0A00" w:rsidP="009B2AA3" w:rsidRDefault="00CC0A00" w14:paraId="41EA50E4"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En caso de que no actualice la información en el plazo antes indicado, en la certificación de inscripción se indicará que los datos inscritos no se encuentran actualizados. Así mismo, cuando se allegue la documentación para la actualización con fecha posterior, la Dirección de Asuntos para Comunidades Negras, Afrocolombianas, Raizales y Palenqueras del Ministerio del Interior, procederá a efectuar la respectiva actualización. </w:t>
      </w:r>
    </w:p>
    <w:p w:rsidRPr="00EB5A4F" w:rsidR="00CC0A00" w:rsidP="009B2AA3" w:rsidRDefault="00CC0A00" w14:paraId="5F9D78E4" w14:textId="3088DC1D">
      <w:pPr>
        <w:pStyle w:val="FootnoteText"/>
        <w:ind w:firstLine="708"/>
        <w:jc w:val="both"/>
        <w:rPr>
          <w:rFonts w:ascii="Century Gothic" w:hAnsi="Century Gothic"/>
          <w:sz w:val="12"/>
          <w:szCs w:val="12"/>
        </w:rPr>
      </w:pPr>
      <w:r w:rsidRPr="00EB5A4F">
        <w:rPr>
          <w:rFonts w:ascii="Century Gothic" w:hAnsi="Century Gothic"/>
          <w:sz w:val="12"/>
          <w:szCs w:val="12"/>
        </w:rPr>
        <w:t xml:space="preserve">Contra el acto administrativo de actualización proceden los recursos de reposición ante la Dirección de Asuntos para Comunidades Negras, Afrocolombianas, Raizales y Palenqueras y de apelación ante el Viceministro para la Participación e Igualdad de Derechos”.  </w:t>
      </w:r>
    </w:p>
  </w:footnote>
  <w:footnote w:id="13">
    <w:p w:rsidRPr="00EB5A4F" w:rsidR="000A3A4D" w:rsidP="009B2AA3" w:rsidRDefault="000A3A4D" w14:paraId="47E1ADF2" w14:textId="104CBAC2">
      <w:pPr>
        <w:pStyle w:val="FootnoteText"/>
        <w:ind w:firstLine="709"/>
        <w:contextualSpacing/>
        <w:jc w:val="both"/>
        <w:rPr>
          <w:rFonts w:ascii="Century Gothic" w:hAnsi="Century Gothic" w:cs="Arial"/>
          <w:sz w:val="12"/>
          <w:szCs w:val="12"/>
          <w:lang w:val="es-ES"/>
        </w:rPr>
      </w:pPr>
      <w:r w:rsidRPr="00EB5A4F">
        <w:rPr>
          <w:rStyle w:val="FootnoteReference"/>
          <w:rFonts w:ascii="Century Gothic" w:hAnsi="Century Gothic" w:cs="Arial"/>
          <w:sz w:val="12"/>
          <w:szCs w:val="12"/>
        </w:rPr>
        <w:footnoteRef/>
      </w:r>
      <w:r w:rsidRPr="00EB5A4F">
        <w:rPr>
          <w:rFonts w:ascii="Century Gothic" w:hAnsi="Century Gothic" w:cs="Arial"/>
          <w:sz w:val="12"/>
          <w:szCs w:val="12"/>
        </w:rPr>
        <w:t xml:space="preserve"> </w:t>
      </w:r>
      <w:r w:rsidRPr="00EB5A4F">
        <w:rPr>
          <w:rFonts w:ascii="Century Gothic" w:hAnsi="Century Gothic" w:cs="Arial"/>
          <w:sz w:val="12"/>
          <w:szCs w:val="12"/>
          <w:lang w:val="es-ES"/>
        </w:rPr>
        <w:t xml:space="preserve">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w:t>
      </w:r>
      <w:proofErr w:type="gramStart"/>
      <w:r w:rsidRPr="00EB5A4F">
        <w:rPr>
          <w:rFonts w:ascii="Century Gothic" w:hAnsi="Century Gothic" w:cs="Arial"/>
          <w:sz w:val="12"/>
          <w:szCs w:val="12"/>
          <w:lang w:val="es-ES"/>
        </w:rPr>
        <w:t>los mismos</w:t>
      </w:r>
      <w:proofErr w:type="gramEnd"/>
      <w:r w:rsidRPr="00EB5A4F">
        <w:rPr>
          <w:rFonts w:ascii="Century Gothic" w:hAnsi="Century Gothic" w:cs="Arial"/>
          <w:sz w:val="12"/>
          <w:szCs w:val="12"/>
          <w:lang w:val="es-ES"/>
        </w:rPr>
        <w:t xml:space="preserve">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EB5A4F">
        <w:rPr>
          <w:rFonts w:ascii="Century Gothic" w:hAnsi="Century Gothic" w:cs="Arial"/>
          <w:sz w:val="12"/>
          <w:szCs w:val="12"/>
          <w:lang w:val="es-ES"/>
        </w:rPr>
        <w:t>Civitas</w:t>
      </w:r>
      <w:proofErr w:type="spellEnd"/>
      <w:r w:rsidRPr="00EB5A4F">
        <w:rPr>
          <w:rFonts w:ascii="Century Gothic" w:hAnsi="Century Gothic" w:cs="Arial"/>
          <w:sz w:val="12"/>
          <w:szCs w:val="12"/>
          <w:lang w:val="es-ES"/>
        </w:rPr>
        <w:t>, 1983. pp. 33-34).</w:t>
      </w:r>
    </w:p>
    <w:p w:rsidRPr="00EB5A4F" w:rsidR="000A3A4D" w:rsidP="009B2AA3" w:rsidRDefault="000A3A4D" w14:paraId="37DB02BE" w14:textId="77777777">
      <w:pPr>
        <w:pStyle w:val="FootnoteText"/>
        <w:ind w:firstLine="709"/>
        <w:contextualSpacing/>
        <w:jc w:val="both"/>
        <w:rPr>
          <w:rFonts w:ascii="Century Gothic" w:hAnsi="Century Gothic" w:cs="Arial"/>
          <w:sz w:val="12"/>
          <w:szCs w:val="12"/>
        </w:rPr>
      </w:pPr>
    </w:p>
  </w:footnote>
  <w:footnote w:id="14">
    <w:p w:rsidRPr="00EB5A4F" w:rsidR="00F82972" w:rsidP="009B2AA3" w:rsidRDefault="00F82972" w14:paraId="56E6D4B5" w14:textId="77777777">
      <w:pPr>
        <w:pStyle w:val="FootnoteText"/>
        <w:ind w:firstLine="709"/>
        <w:contextualSpacing/>
        <w:jc w:val="both"/>
        <w:rPr>
          <w:rFonts w:ascii="Century Gothic" w:hAnsi="Century Gothic" w:cs="Arial"/>
          <w:sz w:val="12"/>
          <w:szCs w:val="12"/>
        </w:rPr>
      </w:pPr>
      <w:r w:rsidRPr="00EB5A4F">
        <w:rPr>
          <w:rStyle w:val="FootnoteReference"/>
          <w:rFonts w:ascii="Century Gothic" w:hAnsi="Century Gothic" w:cs="Arial"/>
          <w:sz w:val="12"/>
          <w:szCs w:val="12"/>
        </w:rPr>
        <w:footnoteRef/>
      </w:r>
      <w:r w:rsidRPr="00EB5A4F">
        <w:rPr>
          <w:rFonts w:ascii="Century Gothic" w:hAnsi="Century Gothic" w:cs="Arial"/>
          <w:sz w:val="12"/>
          <w:szCs w:val="12"/>
        </w:rPr>
        <w:t xml:space="preserve"> Sentencia C-382 de 2019, M.P. Alejandro Linares Cantillo.</w:t>
      </w:r>
    </w:p>
    <w:p w:rsidRPr="00EB5A4F" w:rsidR="00F82972" w:rsidP="009B2AA3" w:rsidRDefault="00F82972" w14:paraId="707AFCD7" w14:textId="77777777">
      <w:pPr>
        <w:pStyle w:val="FootnoteText"/>
        <w:ind w:firstLine="709"/>
        <w:contextualSpacing/>
        <w:jc w:val="both"/>
        <w:rPr>
          <w:rFonts w:ascii="Century Gothic" w:hAnsi="Century Gothic" w:cs="Arial"/>
          <w:sz w:val="12"/>
          <w:szCs w:val="12"/>
        </w:rPr>
      </w:pPr>
    </w:p>
  </w:footnote>
  <w:footnote w:id="15">
    <w:p w:rsidRPr="00EB5A4F" w:rsidR="00354D82" w:rsidP="009B2AA3" w:rsidRDefault="00354D82" w14:paraId="0281E912" w14:textId="0E92396C">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Dicha disposición, ratificada en la Ley 21 de </w:t>
      </w:r>
      <w:r w:rsidRPr="00EB5A4F" w:rsidR="00BA30CB">
        <w:rPr>
          <w:rFonts w:ascii="Century Gothic" w:hAnsi="Century Gothic"/>
          <w:sz w:val="12"/>
          <w:szCs w:val="12"/>
        </w:rPr>
        <w:t>1991</w:t>
      </w:r>
      <w:r w:rsidRPr="00EB5A4F" w:rsidR="0076561B">
        <w:rPr>
          <w:rFonts w:ascii="Century Gothic" w:hAnsi="Century Gothic"/>
          <w:sz w:val="12"/>
          <w:szCs w:val="12"/>
        </w:rPr>
        <w:t xml:space="preserve"> </w:t>
      </w:r>
      <w:r w:rsidRPr="00EB5A4F" w:rsidR="00BA30CB">
        <w:rPr>
          <w:rFonts w:ascii="Century Gothic" w:hAnsi="Century Gothic"/>
          <w:sz w:val="12"/>
          <w:szCs w:val="12"/>
        </w:rPr>
        <w:t xml:space="preserve">establece: </w:t>
      </w:r>
      <w:r w:rsidRPr="00EB5A4F" w:rsidR="0076561B">
        <w:rPr>
          <w:rFonts w:ascii="Century Gothic" w:hAnsi="Century Gothic"/>
          <w:i/>
          <w:iCs/>
          <w:sz w:val="12"/>
          <w:szCs w:val="12"/>
        </w:rPr>
        <w:t xml:space="preserve">“Artículo </w:t>
      </w:r>
      <w:r w:rsidRPr="00EB5A4F" w:rsidR="00BA30CB">
        <w:rPr>
          <w:rFonts w:ascii="Century Gothic" w:hAnsi="Century Gothic"/>
          <w:i/>
          <w:iCs/>
          <w:sz w:val="12"/>
          <w:szCs w:val="12"/>
        </w:rPr>
        <w:t>6°.</w:t>
      </w:r>
      <w:r w:rsidRPr="00EB5A4F" w:rsidR="0076561B">
        <w:rPr>
          <w:rFonts w:ascii="Century Gothic" w:hAnsi="Century Gothic"/>
          <w:i/>
          <w:iCs/>
          <w:sz w:val="12"/>
          <w:szCs w:val="12"/>
        </w:rPr>
        <w:t xml:space="preserve"> </w:t>
      </w:r>
      <w:r w:rsidRPr="00EB5A4F" w:rsidR="00BA30CB">
        <w:rPr>
          <w:rFonts w:ascii="Century Gothic" w:hAnsi="Century Gothic"/>
          <w:i/>
          <w:iCs/>
          <w:sz w:val="12"/>
          <w:szCs w:val="12"/>
        </w:rPr>
        <w:t>1. Al aplicar las disposiciones del presente Convenio, los gobiernos deberán:</w:t>
      </w:r>
      <w:r w:rsidRPr="00EB5A4F" w:rsidR="0076561B">
        <w:rPr>
          <w:rFonts w:ascii="Century Gothic" w:hAnsi="Century Gothic"/>
          <w:i/>
          <w:iCs/>
          <w:sz w:val="12"/>
          <w:szCs w:val="12"/>
        </w:rPr>
        <w:t xml:space="preserve"> […] c). Establecer los medios para el pleno desarrollo de las instituciones e iniciativas de esos pueblos y en los casos apropiados proporcionar los recursos necesarios para este fin”.</w:t>
      </w:r>
    </w:p>
    <w:p w:rsidRPr="00EB5A4F" w:rsidR="00BA30CB" w:rsidP="009B2AA3" w:rsidRDefault="00BA30CB" w14:paraId="2D457B71" w14:textId="77777777">
      <w:pPr>
        <w:pStyle w:val="FootnoteText"/>
        <w:ind w:firstLine="708"/>
        <w:jc w:val="both"/>
        <w:rPr>
          <w:rFonts w:ascii="Century Gothic" w:hAnsi="Century Gothic"/>
          <w:sz w:val="12"/>
          <w:szCs w:val="12"/>
        </w:rPr>
      </w:pPr>
    </w:p>
  </w:footnote>
  <w:footnote w:id="16">
    <w:p w:rsidRPr="00EB5A4F" w:rsidR="000B29AC" w:rsidP="009B2AA3" w:rsidRDefault="000B29AC" w14:paraId="3D1BED26" w14:textId="27DC67DC">
      <w:pPr>
        <w:pStyle w:val="FootnoteText"/>
        <w:ind w:firstLine="709"/>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sidR="00B35055">
        <w:rPr>
          <w:rFonts w:ascii="Century Gothic" w:hAnsi="Century Gothic"/>
          <w:sz w:val="12"/>
          <w:szCs w:val="12"/>
        </w:rPr>
        <w:t xml:space="preserve">CORTE CONSTITUCIONAL, Sentencia T-219 de 22 de junio de 2022. M.P. Gloria Stella Ortiz Delgado. Al respecto también </w:t>
      </w:r>
      <w:r w:rsidRPr="00EB5A4F" w:rsidR="009C7E35">
        <w:rPr>
          <w:rFonts w:ascii="Century Gothic" w:hAnsi="Century Gothic"/>
          <w:sz w:val="12"/>
          <w:szCs w:val="12"/>
        </w:rPr>
        <w:t>S</w:t>
      </w:r>
      <w:r w:rsidRPr="00EB5A4F" w:rsidR="001B204E">
        <w:rPr>
          <w:rFonts w:ascii="Century Gothic" w:hAnsi="Century Gothic"/>
          <w:color w:val="2D2D2D"/>
          <w:sz w:val="12"/>
          <w:szCs w:val="12"/>
          <w:shd w:val="clear" w:color="auto" w:fill="FFFFFF"/>
        </w:rPr>
        <w:t>entencias</w:t>
      </w:r>
      <w:r w:rsidRPr="00EB5A4F" w:rsidR="00A72724">
        <w:rPr>
          <w:rFonts w:ascii="Century Gothic" w:hAnsi="Century Gothic"/>
          <w:color w:val="2D2D2D"/>
          <w:sz w:val="12"/>
          <w:szCs w:val="12"/>
          <w:shd w:val="clear" w:color="auto" w:fill="FFFFFF"/>
        </w:rPr>
        <w:t xml:space="preserve"> C</w:t>
      </w:r>
      <w:r w:rsidRPr="00EB5A4F" w:rsidR="00E31EC6">
        <w:rPr>
          <w:rFonts w:ascii="Century Gothic" w:hAnsi="Century Gothic"/>
          <w:color w:val="2D2D2D"/>
          <w:sz w:val="12"/>
          <w:szCs w:val="12"/>
          <w:shd w:val="clear" w:color="auto" w:fill="FFFFFF"/>
        </w:rPr>
        <w:t>-882 del</w:t>
      </w:r>
      <w:r w:rsidRPr="00EB5A4F" w:rsidR="008D5B35">
        <w:rPr>
          <w:rFonts w:ascii="Century Gothic" w:hAnsi="Century Gothic"/>
          <w:color w:val="2D2D2D"/>
          <w:sz w:val="12"/>
          <w:szCs w:val="12"/>
          <w:shd w:val="clear" w:color="auto" w:fill="FFFFFF"/>
        </w:rPr>
        <w:t xml:space="preserve"> 23 de noviembre de 2011, </w:t>
      </w:r>
      <w:r w:rsidRPr="00EB5A4F" w:rsidR="001B204E">
        <w:rPr>
          <w:rFonts w:ascii="Century Gothic" w:hAnsi="Century Gothic"/>
          <w:color w:val="2D2D2D"/>
          <w:sz w:val="12"/>
          <w:szCs w:val="12"/>
          <w:shd w:val="clear" w:color="auto" w:fill="FFFFFF"/>
        </w:rPr>
        <w:t>T-154 de</w:t>
      </w:r>
      <w:r w:rsidRPr="00EB5A4F" w:rsidR="00050DBF">
        <w:rPr>
          <w:rFonts w:ascii="Century Gothic" w:hAnsi="Century Gothic"/>
          <w:color w:val="2D2D2D"/>
          <w:sz w:val="12"/>
          <w:szCs w:val="12"/>
          <w:shd w:val="clear" w:color="auto" w:fill="FFFFFF"/>
        </w:rPr>
        <w:t>l</w:t>
      </w:r>
      <w:r w:rsidRPr="00EB5A4F" w:rsidR="001B204E">
        <w:rPr>
          <w:rFonts w:ascii="Century Gothic" w:hAnsi="Century Gothic"/>
          <w:color w:val="2D2D2D"/>
          <w:sz w:val="12"/>
          <w:szCs w:val="12"/>
          <w:shd w:val="clear" w:color="auto" w:fill="FFFFFF"/>
        </w:rPr>
        <w:t xml:space="preserve"> 24 de mayo de 2021</w:t>
      </w:r>
      <w:r w:rsidRPr="00EB5A4F" w:rsidR="00050DBF">
        <w:rPr>
          <w:rFonts w:ascii="Century Gothic" w:hAnsi="Century Gothic"/>
          <w:color w:val="2D2D2D"/>
          <w:sz w:val="12"/>
          <w:szCs w:val="12"/>
          <w:shd w:val="clear" w:color="auto" w:fill="FFFFFF"/>
        </w:rPr>
        <w:t xml:space="preserve">, </w:t>
      </w:r>
      <w:r w:rsidRPr="00EB5A4F" w:rsidR="001B204E">
        <w:rPr>
          <w:rFonts w:ascii="Century Gothic" w:hAnsi="Century Gothic"/>
          <w:color w:val="2D2D2D"/>
          <w:sz w:val="12"/>
          <w:szCs w:val="12"/>
          <w:shd w:val="clear" w:color="auto" w:fill="FFFFFF"/>
        </w:rPr>
        <w:t>T-281 de</w:t>
      </w:r>
      <w:r w:rsidRPr="00EB5A4F" w:rsidR="00050DBF">
        <w:rPr>
          <w:rFonts w:ascii="Century Gothic" w:hAnsi="Century Gothic"/>
          <w:color w:val="2D2D2D"/>
          <w:sz w:val="12"/>
          <w:szCs w:val="12"/>
          <w:shd w:val="clear" w:color="auto" w:fill="FFFFFF"/>
        </w:rPr>
        <w:t>l</w:t>
      </w:r>
      <w:r w:rsidRPr="00EB5A4F" w:rsidR="009C7E35">
        <w:rPr>
          <w:rFonts w:ascii="Century Gothic" w:hAnsi="Century Gothic"/>
          <w:color w:val="2D2D2D"/>
          <w:sz w:val="12"/>
          <w:szCs w:val="12"/>
          <w:shd w:val="clear" w:color="auto" w:fill="FFFFFF"/>
        </w:rPr>
        <w:t xml:space="preserve"> 20 de junio de</w:t>
      </w:r>
      <w:r w:rsidRPr="00EB5A4F" w:rsidR="001B204E">
        <w:rPr>
          <w:rFonts w:ascii="Century Gothic" w:hAnsi="Century Gothic"/>
          <w:color w:val="2D2D2D"/>
          <w:sz w:val="12"/>
          <w:szCs w:val="12"/>
          <w:shd w:val="clear" w:color="auto" w:fill="FFFFFF"/>
        </w:rPr>
        <w:t xml:space="preserve"> 2019</w:t>
      </w:r>
      <w:r w:rsidRPr="00EB5A4F" w:rsidR="00050DBF">
        <w:rPr>
          <w:rFonts w:ascii="Century Gothic" w:hAnsi="Century Gothic"/>
          <w:color w:val="2D2D2D"/>
          <w:sz w:val="12"/>
          <w:szCs w:val="12"/>
          <w:shd w:val="clear" w:color="auto" w:fill="FFFFFF"/>
        </w:rPr>
        <w:t xml:space="preserve"> y C-189 del 1 de junio de 2022.</w:t>
      </w:r>
    </w:p>
  </w:footnote>
  <w:footnote w:id="17">
    <w:p w:rsidRPr="00EB5A4F" w:rsidR="0094743D" w:rsidP="009B2AA3" w:rsidRDefault="0094743D" w14:paraId="4F60F998" w14:textId="1DDDD03D">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sidR="007A352E">
        <w:rPr>
          <w:rFonts w:ascii="Century Gothic" w:hAnsi="Century Gothic"/>
          <w:sz w:val="12"/>
          <w:szCs w:val="12"/>
        </w:rPr>
        <w:t xml:space="preserve">MOLANO </w:t>
      </w:r>
      <w:r w:rsidRPr="00EB5A4F">
        <w:rPr>
          <w:rFonts w:ascii="Century Gothic" w:hAnsi="Century Gothic"/>
          <w:sz w:val="12"/>
          <w:szCs w:val="12"/>
        </w:rPr>
        <w:t>L., Olga Lucía Identidad cultural un concepto que evoluciona Revista Opera, núm. 7, mayo, 2007, pp. 69-84 Universidad Externado de Colombia Bogotá, Colombia.</w:t>
      </w:r>
    </w:p>
    <w:p w:rsidRPr="00EB5A4F" w:rsidR="0094743D" w:rsidP="009B2AA3" w:rsidRDefault="0094743D" w14:paraId="56541B87" w14:textId="77777777">
      <w:pPr>
        <w:pStyle w:val="FootnoteText"/>
        <w:ind w:firstLine="708"/>
        <w:jc w:val="both"/>
        <w:rPr>
          <w:rFonts w:ascii="Century Gothic" w:hAnsi="Century Gothic"/>
          <w:sz w:val="12"/>
          <w:szCs w:val="12"/>
          <w:lang w:val="es-CO"/>
        </w:rPr>
      </w:pPr>
    </w:p>
  </w:footnote>
  <w:footnote w:id="18">
    <w:p w:rsidRPr="00EB5A4F" w:rsidR="000A3CAA" w:rsidP="009B2AA3" w:rsidRDefault="0001507F" w14:paraId="21D9D4B4" w14:textId="38B612DB">
      <w:pPr>
        <w:pStyle w:val="FootnoteText"/>
        <w:ind w:firstLine="708"/>
        <w:jc w:val="both"/>
        <w:rPr>
          <w:rFonts w:ascii="Century Gothic" w:hAnsi="Century Gothic"/>
          <w:sz w:val="12"/>
          <w:szCs w:val="12"/>
          <w:lang w:val="es-CO"/>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sidR="000D5212">
        <w:rPr>
          <w:rFonts w:ascii="Century Gothic" w:hAnsi="Century Gothic"/>
          <w:sz w:val="12"/>
          <w:szCs w:val="12"/>
          <w:lang w:val="es-CO"/>
        </w:rPr>
        <w:t>CORTE CONSTITUCIONAL,</w:t>
      </w:r>
      <w:r w:rsidRPr="00EB5A4F">
        <w:rPr>
          <w:rFonts w:ascii="Century Gothic" w:hAnsi="Century Gothic"/>
          <w:sz w:val="12"/>
          <w:szCs w:val="12"/>
          <w:lang w:val="es-CO"/>
        </w:rPr>
        <w:t xml:space="preserve"> Sentencia T-477 del 25 de junio de 2012, M.P. Adriana María Guillén Arango.</w:t>
      </w:r>
      <w:r w:rsidRPr="00EB5A4F" w:rsidR="000D5212">
        <w:rPr>
          <w:rFonts w:ascii="Century Gothic" w:hAnsi="Century Gothic"/>
          <w:sz w:val="12"/>
          <w:szCs w:val="12"/>
          <w:lang w:val="es-CO"/>
        </w:rPr>
        <w:t xml:space="preserve"> Sobre las particularidades de la identidad cultural de </w:t>
      </w:r>
      <w:r w:rsidRPr="00EB5A4F" w:rsidR="000A3CAA">
        <w:rPr>
          <w:rFonts w:ascii="Century Gothic" w:hAnsi="Century Gothic"/>
          <w:sz w:val="12"/>
          <w:szCs w:val="12"/>
          <w:lang w:val="es-CO"/>
        </w:rPr>
        <w:t xml:space="preserve">los comunidades negras, afrodescendientes, raizales y palenqueras, </w:t>
      </w:r>
      <w:r w:rsidRPr="00EB5A4F" w:rsidR="00340949">
        <w:rPr>
          <w:rFonts w:ascii="Century Gothic" w:hAnsi="Century Gothic"/>
          <w:sz w:val="12"/>
          <w:szCs w:val="12"/>
          <w:lang w:val="es-CO"/>
        </w:rPr>
        <w:t xml:space="preserve">también se pronunció </w:t>
      </w:r>
      <w:r w:rsidRPr="00EB5A4F" w:rsidR="000D5212">
        <w:rPr>
          <w:rFonts w:ascii="Century Gothic" w:hAnsi="Century Gothic"/>
          <w:sz w:val="12"/>
          <w:szCs w:val="12"/>
          <w:lang w:val="es-CO"/>
        </w:rPr>
        <w:t>el Alto Tribunal</w:t>
      </w:r>
      <w:r w:rsidRPr="00EB5A4F" w:rsidR="000A3CAA">
        <w:rPr>
          <w:rFonts w:ascii="Century Gothic" w:hAnsi="Century Gothic"/>
          <w:sz w:val="12"/>
          <w:szCs w:val="12"/>
          <w:lang w:val="es-CO"/>
        </w:rPr>
        <w:t xml:space="preserve"> en la Sentencia C-480 del 15 de octubre de 2019</w:t>
      </w:r>
      <w:r w:rsidRPr="00EB5A4F" w:rsidR="00EE3D19">
        <w:rPr>
          <w:rFonts w:ascii="Century Gothic" w:hAnsi="Century Gothic"/>
          <w:sz w:val="12"/>
          <w:szCs w:val="12"/>
          <w:lang w:val="es-CO"/>
        </w:rPr>
        <w:t>, M.P. Alberto Rojas Ríos.</w:t>
      </w:r>
    </w:p>
    <w:p w:rsidRPr="00EB5A4F" w:rsidR="0001507F" w:rsidP="009B2AA3" w:rsidRDefault="0001507F" w14:paraId="1B48A473" w14:textId="77777777">
      <w:pPr>
        <w:pStyle w:val="FootnoteText"/>
        <w:ind w:firstLine="708"/>
        <w:jc w:val="both"/>
        <w:rPr>
          <w:rFonts w:ascii="Century Gothic" w:hAnsi="Century Gothic"/>
          <w:sz w:val="12"/>
          <w:szCs w:val="12"/>
          <w:lang w:val="es-CO"/>
        </w:rPr>
      </w:pPr>
    </w:p>
  </w:footnote>
  <w:footnote w:id="19">
    <w:p w:rsidRPr="00EB5A4F" w:rsidR="001C3A19" w:rsidP="009B2AA3" w:rsidRDefault="001C3A19" w14:paraId="29184B06" w14:textId="7C36C6A3">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Constitución </w:t>
      </w:r>
      <w:r w:rsidRPr="00EB5A4F" w:rsidR="00C51D17">
        <w:rPr>
          <w:rFonts w:ascii="Century Gothic" w:hAnsi="Century Gothic"/>
          <w:sz w:val="12"/>
          <w:szCs w:val="12"/>
        </w:rPr>
        <w:t>Política</w:t>
      </w:r>
      <w:r w:rsidRPr="00EB5A4F">
        <w:rPr>
          <w:rFonts w:ascii="Century Gothic" w:hAnsi="Century Gothic"/>
          <w:sz w:val="12"/>
          <w:szCs w:val="12"/>
        </w:rPr>
        <w:t>: Artículo 2. 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 </w:t>
      </w:r>
    </w:p>
    <w:p w:rsidRPr="00EB5A4F" w:rsidR="001C3A19" w:rsidP="009B2AA3" w:rsidRDefault="001C3A19" w14:paraId="2402EEB0" w14:textId="77777777">
      <w:pPr>
        <w:pStyle w:val="FootnoteText"/>
        <w:jc w:val="both"/>
        <w:rPr>
          <w:rFonts w:ascii="Century Gothic" w:hAnsi="Century Gothic"/>
          <w:sz w:val="12"/>
          <w:szCs w:val="12"/>
        </w:rPr>
      </w:pPr>
      <w:r w:rsidRPr="00EB5A4F">
        <w:rPr>
          <w:rFonts w:ascii="Century Gothic" w:hAnsi="Century Gothic"/>
          <w:sz w:val="12"/>
          <w:szCs w:val="12"/>
        </w:rPr>
        <w:t>Las autoridades de la República están instituidas para proteger a todas las personas residentes en Colombia, en su vida, honra, bienes, creencias, y demás derechos y libertades, y para asegurar el cumplimiento de los deberes sociales del Estado y de los particulares. </w:t>
      </w:r>
    </w:p>
    <w:p w:rsidRPr="00EB5A4F" w:rsidR="001C3A19" w:rsidP="009B2AA3" w:rsidRDefault="001C3A19" w14:paraId="1F8B90AF" w14:textId="77777777">
      <w:pPr>
        <w:pStyle w:val="FootnoteText"/>
        <w:jc w:val="both"/>
        <w:rPr>
          <w:rFonts w:ascii="Century Gothic" w:hAnsi="Century Gothic"/>
          <w:sz w:val="12"/>
          <w:szCs w:val="12"/>
        </w:rPr>
      </w:pPr>
    </w:p>
  </w:footnote>
  <w:footnote w:id="20">
    <w:p w:rsidRPr="00EB5A4F" w:rsidR="00FD5D77" w:rsidP="009B2AA3" w:rsidRDefault="00FD5D77" w14:paraId="2BE54670" w14:textId="5B173441">
      <w:pPr>
        <w:pStyle w:val="FootnoteText"/>
        <w:ind w:right="709"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sidR="009D413A">
        <w:rPr>
          <w:rFonts w:ascii="Century Gothic" w:hAnsi="Century Gothic"/>
          <w:sz w:val="12"/>
          <w:szCs w:val="12"/>
        </w:rPr>
        <w:t>CORTE CONSTITUCIONAL,</w:t>
      </w:r>
      <w:r w:rsidRPr="00EB5A4F">
        <w:rPr>
          <w:rFonts w:ascii="Century Gothic" w:hAnsi="Century Gothic"/>
          <w:sz w:val="12"/>
          <w:szCs w:val="12"/>
        </w:rPr>
        <w:t xml:space="preserve"> Sentencia SU-510 de 1998</w:t>
      </w:r>
      <w:r w:rsidRPr="00EB5A4F" w:rsidR="009D413A">
        <w:rPr>
          <w:rFonts w:ascii="Century Gothic" w:hAnsi="Century Gothic"/>
          <w:sz w:val="12"/>
          <w:szCs w:val="12"/>
        </w:rPr>
        <w:t>, M.P. Eduardo Cifuentes Muñoz.</w:t>
      </w:r>
    </w:p>
    <w:p w:rsidRPr="00EB5A4F" w:rsidR="008A361A" w:rsidP="009B2AA3" w:rsidRDefault="008A361A" w14:paraId="70CE1B8C" w14:textId="77777777">
      <w:pPr>
        <w:pStyle w:val="FootnoteText"/>
        <w:ind w:right="709" w:firstLine="708"/>
        <w:jc w:val="both"/>
        <w:rPr>
          <w:rFonts w:ascii="Century Gothic" w:hAnsi="Century Gothic"/>
          <w:sz w:val="12"/>
          <w:szCs w:val="12"/>
        </w:rPr>
      </w:pPr>
    </w:p>
  </w:footnote>
  <w:footnote w:id="21">
    <w:p w:rsidRPr="00EB5A4F" w:rsidR="00581186" w:rsidP="009B2AA3" w:rsidRDefault="00581186" w14:paraId="6FDC0C73" w14:textId="6C61DCFC">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sidR="00DB757B">
        <w:rPr>
          <w:rFonts w:ascii="Century Gothic" w:hAnsi="Century Gothic"/>
          <w:sz w:val="12"/>
          <w:szCs w:val="12"/>
        </w:rPr>
        <w:t xml:space="preserve">Decreto 1082 de 2015: </w:t>
      </w:r>
      <w:r w:rsidRPr="00EB5A4F">
        <w:rPr>
          <w:rFonts w:ascii="Century Gothic" w:hAnsi="Century Gothic"/>
          <w:sz w:val="12"/>
          <w:szCs w:val="12"/>
        </w:rPr>
        <w:t xml:space="preserve">“Artículo 2.2.1.2.1.4.1. Acto administrativo de justificación de la contratación directa. La Entidad Estatal debe señalar en un acto administrativo la justificación para contratar bajo la modalidad de contratación directa, el cual debe contener: </w:t>
      </w:r>
    </w:p>
    <w:p w:rsidRPr="00EB5A4F" w:rsidR="00581186" w:rsidP="009B2AA3" w:rsidRDefault="00581186" w14:paraId="5E6F2092"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1. La causal que invoca para contratar directamente. </w:t>
      </w:r>
    </w:p>
    <w:p w:rsidRPr="00EB5A4F" w:rsidR="00581186" w:rsidP="009B2AA3" w:rsidRDefault="00581186" w14:paraId="1C78FD13"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2. El objeto del contrato. </w:t>
      </w:r>
    </w:p>
    <w:p w:rsidRPr="00EB5A4F" w:rsidR="00581186" w:rsidP="009B2AA3" w:rsidRDefault="00581186" w14:paraId="456FEC8F"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3. El presupuesto para la contratación y las condiciones que exigirá al contratista. </w:t>
      </w:r>
    </w:p>
    <w:p w:rsidRPr="00EB5A4F" w:rsidR="00581186" w:rsidP="009B2AA3" w:rsidRDefault="00581186" w14:paraId="6D2DACA0"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4. El lugar en el cual los interesados pueden consultar los estudios y documentos previos. </w:t>
      </w:r>
    </w:p>
    <w:p w:rsidRPr="00EB5A4F" w:rsidR="00581186" w:rsidP="009B2AA3" w:rsidRDefault="00581186" w14:paraId="338F0726" w14:textId="736A988D">
      <w:pPr>
        <w:pStyle w:val="FootnoteText"/>
        <w:ind w:firstLine="708"/>
        <w:jc w:val="both"/>
        <w:rPr>
          <w:rFonts w:ascii="Century Gothic" w:hAnsi="Century Gothic"/>
          <w:sz w:val="12"/>
          <w:szCs w:val="12"/>
        </w:rPr>
      </w:pPr>
      <w:r w:rsidRPr="00EB5A4F">
        <w:rPr>
          <w:rFonts w:ascii="Century Gothic" w:hAnsi="Century Gothic"/>
          <w:sz w:val="12"/>
          <w:szCs w:val="12"/>
        </w:rPr>
        <w:t xml:space="preserve">Este acto administrativo no es necesario cuando el contrato a celebrar es de prestación de servicios profesionales y de apoyo a la gestión, y para los contratos de que tratan los literales (a) y (b) del artículo 2.2.1.2.1.4.3 del presente decreto”.  </w:t>
      </w:r>
    </w:p>
  </w:footnote>
  <w:footnote w:id="22">
    <w:p w:rsidRPr="00EB5A4F" w:rsidR="00962992" w:rsidP="009B2AA3" w:rsidRDefault="00962992" w14:paraId="5247FAC4" w14:textId="77777777">
      <w:pPr>
        <w:pStyle w:val="FootnoteText"/>
        <w:ind w:firstLine="708"/>
        <w:jc w:val="both"/>
        <w:rPr>
          <w:rFonts w:ascii="Century Gothic" w:hAnsi="Century Gothic"/>
          <w:sz w:val="12"/>
          <w:szCs w:val="12"/>
        </w:rPr>
      </w:pPr>
    </w:p>
    <w:p w:rsidRPr="00EB5A4F" w:rsidR="00962992" w:rsidP="009B2AA3" w:rsidRDefault="00962992" w14:paraId="2E6C09D8" w14:textId="77777777">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  </w:t>
      </w:r>
    </w:p>
  </w:footnote>
  <w:footnote w:id="23">
    <w:p w:rsidRPr="00EB5A4F" w:rsidR="009D1859" w:rsidP="009B2AA3" w:rsidRDefault="009D1859" w14:paraId="7DA921FF"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 </w:t>
      </w:r>
    </w:p>
    <w:p w:rsidRPr="00EB5A4F" w:rsidR="009D1859" w:rsidP="009B2AA3" w:rsidRDefault="009D1859" w14:paraId="22B26220" w14:textId="573FE5F2">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“Artículo 2.2.1.1.2.1.1. Estudios y documentos previos.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rsidRPr="00EB5A4F" w:rsidR="009D1859" w:rsidP="009B2AA3" w:rsidRDefault="009D1859" w14:paraId="1D156DEA"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1. La descripción de la necesidad que la Entidad Estatal pretende satisfacer con el Proceso de Contratación.  </w:t>
      </w:r>
    </w:p>
    <w:p w:rsidRPr="00EB5A4F" w:rsidR="009D1859" w:rsidP="009B2AA3" w:rsidRDefault="009D1859" w14:paraId="0EB1BAA4"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2. El objeto a contratar, con sus especificaciones, las autorizaciones, permisos y licencias requeridos para su ejecución, y cuando el contrato incluye diseño y construcción, los documentos técnicos para el desarrollo del proyecto.  </w:t>
      </w:r>
    </w:p>
    <w:p w:rsidRPr="00EB5A4F" w:rsidR="009D1859" w:rsidP="009B2AA3" w:rsidRDefault="009D1859" w14:paraId="08C10014"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3. La modalidad de selección del contratista y su justificación, incluyendo los fundamentos jurídicos.  </w:t>
      </w:r>
    </w:p>
    <w:p w:rsidRPr="00EB5A4F" w:rsidR="009D1859" w:rsidP="009B2AA3" w:rsidRDefault="009D1859" w14:paraId="1EEC2A8E"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rsidRPr="00EB5A4F" w:rsidR="009D1859" w:rsidP="009B2AA3" w:rsidRDefault="009D1859" w14:paraId="7AED16E9"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5. Los criterios para seleccionar la oferta más favorable.  </w:t>
      </w:r>
    </w:p>
    <w:p w:rsidRPr="00EB5A4F" w:rsidR="009D1859" w:rsidP="009B2AA3" w:rsidRDefault="009D1859" w14:paraId="0FEF1BFF"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6. El análisis de Riesgo y la forma de mitigarlo.  </w:t>
      </w:r>
    </w:p>
    <w:p w:rsidRPr="00EB5A4F" w:rsidR="009D1859" w:rsidP="009B2AA3" w:rsidRDefault="009D1859" w14:paraId="3A19DDA8"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7. Las garantías que la Entidad Estatal contempla exigir en el proceso de contratación.  </w:t>
      </w:r>
    </w:p>
    <w:p w:rsidRPr="00EB5A4F" w:rsidR="009D1859" w:rsidP="009B2AA3" w:rsidRDefault="009D1859" w14:paraId="349F439A" w14:textId="77777777">
      <w:pPr>
        <w:pStyle w:val="FootnoteText"/>
        <w:ind w:firstLine="708"/>
        <w:jc w:val="both"/>
        <w:rPr>
          <w:rFonts w:ascii="Century Gothic" w:hAnsi="Century Gothic"/>
          <w:sz w:val="12"/>
          <w:szCs w:val="12"/>
        </w:rPr>
      </w:pPr>
      <w:r w:rsidRPr="00EB5A4F">
        <w:rPr>
          <w:rFonts w:ascii="Century Gothic" w:hAnsi="Century Gothic"/>
          <w:sz w:val="12"/>
          <w:szCs w:val="12"/>
        </w:rPr>
        <w:t xml:space="preserve">8. La indicación de si el proceso de contratación está cobijado por un acuerdo comercial.  </w:t>
      </w:r>
    </w:p>
    <w:p w:rsidRPr="00EB5A4F" w:rsidR="009D1859" w:rsidP="009B2AA3" w:rsidRDefault="009D1859" w14:paraId="6B582F73" w14:textId="469A2B5C">
      <w:pPr>
        <w:pStyle w:val="FootnoteText"/>
        <w:ind w:firstLine="708"/>
        <w:jc w:val="both"/>
        <w:rPr>
          <w:rFonts w:ascii="Century Gothic" w:hAnsi="Century Gothic"/>
          <w:sz w:val="12"/>
          <w:szCs w:val="12"/>
        </w:rPr>
      </w:pPr>
      <w:r w:rsidRPr="00EB5A4F">
        <w:rPr>
          <w:rFonts w:ascii="Century Gothic" w:hAnsi="Century Gothic"/>
          <w:sz w:val="12"/>
          <w:szCs w:val="12"/>
        </w:rPr>
        <w:t xml:space="preserve">El presente artículo no es aplicable a la contratación por mínima cuantía”.  </w:t>
      </w:r>
    </w:p>
  </w:footnote>
  <w:footnote w:id="24">
    <w:p w:rsidRPr="00EB5A4F" w:rsidR="00E15C57" w:rsidP="009B2AA3" w:rsidRDefault="00E15C57" w14:paraId="0643687C" w14:textId="58C4DA1F">
      <w:pPr>
        <w:spacing w:after="0" w:line="240" w:lineRule="auto"/>
        <w:ind w:firstLine="708"/>
        <w:jc w:val="both"/>
        <w:rPr>
          <w:rFonts w:ascii="Century Gothic" w:hAnsi="Century Gothic" w:cs="Arial"/>
          <w:color w:val="000000" w:themeColor="text1"/>
          <w:sz w:val="12"/>
          <w:szCs w:val="12"/>
        </w:rPr>
      </w:pPr>
      <w:r w:rsidRPr="00EB5A4F">
        <w:rPr>
          <w:rStyle w:val="FootnoteReference"/>
          <w:rFonts w:ascii="Century Gothic" w:hAnsi="Century Gothic" w:cs="Arial"/>
          <w:color w:val="000000" w:themeColor="text1"/>
          <w:sz w:val="12"/>
          <w:szCs w:val="12"/>
        </w:rPr>
        <w:footnoteRef/>
      </w:r>
      <w:r w:rsidRPr="00EB5A4F">
        <w:rPr>
          <w:rFonts w:ascii="Century Gothic" w:hAnsi="Century Gothic" w:cs="Arial"/>
          <w:color w:val="000000" w:themeColor="text1"/>
          <w:sz w:val="12"/>
          <w:szCs w:val="12"/>
        </w:rPr>
        <w:t xml:space="preserve"> </w:t>
      </w:r>
      <w:r w:rsidRPr="00EB5A4F" w:rsidR="00487A71">
        <w:rPr>
          <w:rFonts w:ascii="Century Gothic" w:hAnsi="Century Gothic" w:eastAsia="Calibri"/>
          <w:color w:val="000000" w:themeColor="text1"/>
          <w:sz w:val="12"/>
          <w:szCs w:val="12"/>
          <w:lang w:val="es-ES_tradnl"/>
        </w:rPr>
        <w:t>Así, la doctrina considera que: “</w:t>
      </w:r>
      <w:r w:rsidRPr="00EB5A4F" w:rsidR="00487A71">
        <w:rPr>
          <w:rFonts w:ascii="Century Gothic" w:hAnsi="Century Gothic" w:eastAsia="Calibri" w:cs="Arial"/>
          <w:color w:val="000000" w:themeColor="text1"/>
          <w:sz w:val="12"/>
          <w:szCs w:val="12"/>
          <w:lang w:val="es-ES_tradnl"/>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r w:rsidRPr="00EB5A4F" w:rsidR="007A07C2">
        <w:rPr>
          <w:rFonts w:ascii="Century Gothic" w:hAnsi="Century Gothic" w:eastAsia="Calibri" w:cs="Arial"/>
          <w:color w:val="000000" w:themeColor="text1"/>
          <w:sz w:val="12"/>
          <w:szCs w:val="12"/>
          <w:lang w:val="es-ES_tradnl"/>
        </w:rPr>
        <w:t xml:space="preserve"> </w:t>
      </w:r>
      <w:r w:rsidRPr="00EB5A4F" w:rsidR="00487A71">
        <w:rPr>
          <w:rFonts w:ascii="Century Gothic" w:hAnsi="Century Gothic" w:eastAsia="Calibri" w:cs="Arial"/>
          <w:color w:val="000000" w:themeColor="text1"/>
          <w:sz w:val="12"/>
          <w:szCs w:val="12"/>
          <w:lang w:val="es-ES_tradnl"/>
        </w:rPr>
        <w:t xml:space="preserve">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 </w:t>
      </w:r>
      <w:r w:rsidRPr="00EB5A4F">
        <w:rPr>
          <w:rFonts w:ascii="Century Gothic" w:hAnsi="Century Gothic" w:cs="Arial"/>
          <w:color w:val="000000" w:themeColor="text1"/>
          <w:sz w:val="12"/>
          <w:szCs w:val="12"/>
        </w:rPr>
        <w:t xml:space="preserve">ALESSANDRI RODRÍGUEZ, Arturo. De los contratos. Santiago de Chile: Editorial Jurídica EDIAR-CONOCSUR LTDA, 1988. </w:t>
      </w:r>
      <w:r w:rsidRPr="00EB5A4F" w:rsidR="007A07C2">
        <w:rPr>
          <w:rFonts w:ascii="Century Gothic" w:hAnsi="Century Gothic" w:cs="Arial"/>
          <w:color w:val="000000" w:themeColor="text1"/>
          <w:sz w:val="12"/>
          <w:szCs w:val="12"/>
        </w:rPr>
        <w:t>P</w:t>
      </w:r>
      <w:r w:rsidRPr="00EB5A4F">
        <w:rPr>
          <w:rFonts w:ascii="Century Gothic" w:hAnsi="Century Gothic" w:cs="Arial"/>
          <w:color w:val="000000" w:themeColor="text1"/>
          <w:sz w:val="12"/>
          <w:szCs w:val="12"/>
        </w:rPr>
        <w:t xml:space="preserve">. 182. </w:t>
      </w:r>
    </w:p>
    <w:p w:rsidRPr="00EB5A4F" w:rsidR="00E15C57" w:rsidP="009B2AA3" w:rsidRDefault="00E15C57" w14:paraId="630C13BE" w14:textId="77777777">
      <w:pPr>
        <w:pStyle w:val="FootnoteText"/>
        <w:ind w:firstLine="708"/>
        <w:jc w:val="both"/>
        <w:rPr>
          <w:rFonts w:ascii="Century Gothic" w:hAnsi="Century Gothic" w:cs="Arial"/>
          <w:color w:val="000000" w:themeColor="text1"/>
          <w:sz w:val="12"/>
          <w:szCs w:val="12"/>
        </w:rPr>
      </w:pPr>
    </w:p>
  </w:footnote>
  <w:footnote w:id="25">
    <w:p w:rsidRPr="00EB5A4F" w:rsidR="00E15C57" w:rsidP="009B2AA3" w:rsidRDefault="00E15C57" w14:paraId="615E50CA" w14:textId="392868B3">
      <w:pPr>
        <w:pStyle w:val="FootnoteText"/>
        <w:ind w:firstLine="708"/>
        <w:jc w:val="both"/>
        <w:rPr>
          <w:rFonts w:ascii="Century Gothic" w:hAnsi="Century Gothic" w:cs="Arial"/>
          <w:color w:val="000000" w:themeColor="text1"/>
          <w:sz w:val="12"/>
          <w:szCs w:val="12"/>
        </w:rPr>
      </w:pPr>
      <w:r w:rsidRPr="00EB5A4F">
        <w:rPr>
          <w:rStyle w:val="FootnoteReference"/>
          <w:rFonts w:ascii="Century Gothic" w:hAnsi="Century Gothic" w:cs="Arial"/>
          <w:color w:val="000000" w:themeColor="text1"/>
          <w:sz w:val="12"/>
          <w:szCs w:val="12"/>
        </w:rPr>
        <w:footnoteRef/>
      </w:r>
      <w:r w:rsidRPr="00EB5A4F">
        <w:rPr>
          <w:rFonts w:ascii="Century Gothic" w:hAnsi="Century Gothic" w:cs="Arial"/>
          <w:color w:val="000000" w:themeColor="text1"/>
          <w:sz w:val="12"/>
          <w:szCs w:val="12"/>
        </w:rPr>
        <w:t xml:space="preserve"> OSPINA MENA, Jesús Marino. Régimen de la Contratación Estatal. Un salto a la contratación liquida. Bogotá: Dike, 2020. </w:t>
      </w:r>
      <w:r w:rsidRPr="00EB5A4F" w:rsidR="007A07C2">
        <w:rPr>
          <w:rFonts w:ascii="Century Gothic" w:hAnsi="Century Gothic" w:cs="Arial"/>
          <w:color w:val="000000" w:themeColor="text1"/>
          <w:sz w:val="12"/>
          <w:szCs w:val="12"/>
        </w:rPr>
        <w:t>P</w:t>
      </w:r>
      <w:r w:rsidRPr="00EB5A4F">
        <w:rPr>
          <w:rFonts w:ascii="Century Gothic" w:hAnsi="Century Gothic" w:cs="Arial"/>
          <w:color w:val="000000" w:themeColor="text1"/>
          <w:sz w:val="12"/>
          <w:szCs w:val="12"/>
        </w:rPr>
        <w:t>. 168.</w:t>
      </w:r>
    </w:p>
    <w:p w:rsidRPr="00EB5A4F" w:rsidR="00E15C57" w:rsidP="009B2AA3" w:rsidRDefault="00E15C57" w14:paraId="7A4E3D61" w14:textId="77777777">
      <w:pPr>
        <w:pStyle w:val="FootnoteText"/>
        <w:ind w:firstLine="708"/>
        <w:jc w:val="both"/>
        <w:rPr>
          <w:rFonts w:ascii="Century Gothic" w:hAnsi="Century Gothic" w:cs="Arial"/>
          <w:color w:val="000000" w:themeColor="text1"/>
          <w:sz w:val="12"/>
          <w:szCs w:val="12"/>
        </w:rPr>
      </w:pPr>
    </w:p>
  </w:footnote>
  <w:footnote w:id="26">
    <w:p w:rsidRPr="00EB5A4F" w:rsidR="00727490" w:rsidP="009B2AA3" w:rsidRDefault="002B283F" w14:paraId="64110819" w14:textId="77777777">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sidR="00727490">
        <w:rPr>
          <w:rFonts w:ascii="Century Gothic" w:hAnsi="Century Gothic"/>
          <w:sz w:val="12"/>
          <w:szCs w:val="12"/>
        </w:rPr>
        <w:t xml:space="preserve"> El artículo 656 dispone que “inmuebles o fincas o bienes raíces son las cosas que no pueden transportarse de un lugar a otro; como las tierras y minas, y las que adhieren permanentemente a ellas, como los edificios, los árboles”. En concordancia, el artículo 657 prescribe lo siguiente: “Las plantas son inmuebles, mientras adhieren al suelo por sus raíces, a menos que estén en macetas o cajones que puedan transportarse de un lugar a otro”. Estos bienes se denominan inmuebles por adhesión y la doctrina los caracteriza como “[…] bienes muebles por naturaleza, adheridos permanente y materialmente a un inmueble, incorporados por el propietario o por una persona distinta de él, que por una ficción jurídica del legislador se transforman en bienes inmuebles”.  </w:t>
      </w:r>
    </w:p>
    <w:p w:rsidRPr="00EB5A4F" w:rsidR="002B283F" w:rsidP="009B2AA3" w:rsidRDefault="00727490" w14:paraId="2EF76AE6" w14:textId="42E4F17C">
      <w:pPr>
        <w:pStyle w:val="FootnoteText"/>
        <w:ind w:firstLine="708"/>
        <w:jc w:val="both"/>
        <w:rPr>
          <w:rFonts w:ascii="Century Gothic" w:hAnsi="Century Gothic"/>
          <w:sz w:val="12"/>
          <w:szCs w:val="12"/>
        </w:rPr>
      </w:pPr>
      <w:r w:rsidRPr="00EB5A4F">
        <w:rPr>
          <w:rFonts w:ascii="Century Gothic" w:hAnsi="Century Gothic"/>
          <w:sz w:val="12"/>
          <w:szCs w:val="12"/>
        </w:rPr>
        <w:t xml:space="preserve">Por otra parte, el artículo 658 del Código Civil crea la categoría de inmuebles por destinación, disponiendo que «Se reputan inmuebles, aunque por su naturaleza no lo sean, las cosas que están permanentemente destinadas al uso, cultivo y beneficio de un inmueble, sin embargo, de que puedan separarse sin detrimento». El mismo artículo crea una lista enunciativa de estos bienes, dentro de los cuales se encuentran: i) las losas de un pavimento; ii) los tubos de las cañerías; iii) los utensilios de labranza o minería, y los animales actualmente destinados al cultivo o beneficio de una finca, con tal que hayan sido puestos en ella por el dueño de la finca; iv) los abonos existentes en ella y destinados por el dueño de la finca a mejorarla; v) las prensas, calderas, cubas, alambiques, toneles y máquinas, que forman parte de un establecimiento industrial adherente al suelo y pertenecen al dueño de éste; y vi) los animales que se guardan en conejeras, pajareras, estanques, colmenas y cualesquiera otros vivares, con tal que éstos adhieran al suelo, o sean parte del suelo mismo o de un edificio. Así las cosas, para que clasifiquen dentro de esta categoría se requiere que los muebles sirvan para prestar un servicio útil al inmueble por naturaleza, que el servicio sea permanente, además de que ambos sean del mismo propietario. En esta medida: «Por excepción al criterio extraído de la naturaleza física de las cosas, los redactores del Código Civil han considerado como inmuebles las cosas trasladables: las clasifican entre los inmuebles en razón de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régimen”.  </w:t>
      </w:r>
      <w:r w:rsidRPr="00EB5A4F" w:rsidR="002B283F">
        <w:rPr>
          <w:rFonts w:ascii="Century Gothic" w:hAnsi="Century Gothic"/>
          <w:sz w:val="12"/>
          <w:szCs w:val="12"/>
        </w:rPr>
        <w:t xml:space="preserve">  </w:t>
      </w:r>
    </w:p>
  </w:footnote>
  <w:footnote w:id="27">
    <w:p w:rsidRPr="00EB5A4F" w:rsidR="00357CE5" w:rsidP="009B2AA3" w:rsidRDefault="00B6703E" w14:paraId="65475C10" w14:textId="77777777">
      <w:pPr>
        <w:pStyle w:val="FootnoteText"/>
        <w:ind w:firstLine="708"/>
        <w:jc w:val="both"/>
        <w:rPr>
          <w:rFonts w:ascii="Century Gothic" w:hAnsi="Century Gothic"/>
          <w:sz w:val="12"/>
          <w:szCs w:val="12"/>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sidR="00247791">
        <w:rPr>
          <w:rFonts w:ascii="Century Gothic" w:hAnsi="Century Gothic"/>
          <w:sz w:val="12"/>
          <w:szCs w:val="12"/>
        </w:rPr>
        <w:t xml:space="preserve">Al respecto la </w:t>
      </w:r>
      <w:r w:rsidRPr="00EB5A4F">
        <w:rPr>
          <w:rFonts w:ascii="Century Gothic" w:hAnsi="Century Gothic"/>
          <w:sz w:val="12"/>
          <w:szCs w:val="12"/>
        </w:rPr>
        <w:t>CORTE CONSTITUCIONAL</w:t>
      </w:r>
      <w:r w:rsidRPr="00EB5A4F" w:rsidR="00247791">
        <w:rPr>
          <w:rFonts w:ascii="Century Gothic" w:hAnsi="Century Gothic"/>
          <w:sz w:val="12"/>
          <w:szCs w:val="12"/>
        </w:rPr>
        <w:t xml:space="preserve"> ha explicado: “"[…] a partir del Artículo 24 Superior todo colombiano, con las limitaciones que establezca la ley, tiene derecho a circular libremente por todo el territorio nacional, de forma que con fundamento en el mismo la ley define el servicio público de transporte como “… una industria encaminada a garantizar la movilización de personas o cosas por medio de vehículos apropiados a cada una de las infraestructuras del sector (aéreo, marítimo, fluvial, férreo, masivo y terrestre), en condiciones de libertad de acceso, calidad y seguridad de los usuarios sujeto a una contraprestación económica…”[10]. En consecuencia, el servicio público de transporte lleva implícito el derecho de libre locomoción y por tanto de libre acceso, lo cual  implica: (i) que el usuario pueda transportarse a través del medio y modo que escoja en condiciones de comodidad, calidad y seguridad, (ii) que los usuarios sean informados sobre los medios y modos de transporte que le son ofrecidos y las formas de su utilización, (iii) que las autoridades competentes diseñen y ejecuten políticas dirigidas a fomentar el uso de los medios de transporte, racionalizando los equipos apropiados de acuerdo con la demanda y propendiendo por el uso de medios de transporte masivo, (iv)  que el diseño de la infraestructura de transporte, así como la provisión de los servicios de transporte público de pasajeros, supongan que las autoridades competentes promuevan el establecimiento de las condiciones para su uso por los discapacitados físicos, sensoriales y psíquicos”.</w:t>
      </w:r>
      <w:r w:rsidRPr="00EB5A4F">
        <w:rPr>
          <w:rFonts w:ascii="Century Gothic" w:hAnsi="Century Gothic"/>
          <w:sz w:val="12"/>
          <w:szCs w:val="12"/>
        </w:rPr>
        <w:t xml:space="preserve"> Sentencia </w:t>
      </w:r>
      <w:r w:rsidRPr="00EB5A4F" w:rsidR="00B66565">
        <w:rPr>
          <w:rFonts w:ascii="Century Gothic" w:hAnsi="Century Gothic"/>
          <w:sz w:val="12"/>
          <w:szCs w:val="12"/>
        </w:rPr>
        <w:t xml:space="preserve">C-439 del 25 de mayo de 2011. M.P. Juan Carlos Henao Pérez.  </w:t>
      </w:r>
    </w:p>
    <w:p w:rsidRPr="00EB5A4F" w:rsidR="00B6703E" w:rsidP="009B2AA3" w:rsidRDefault="00ED3486" w14:paraId="43EDE5FD" w14:textId="524A9FE9">
      <w:pPr>
        <w:pStyle w:val="FootnoteText"/>
        <w:ind w:firstLine="708"/>
        <w:jc w:val="both"/>
        <w:rPr>
          <w:rFonts w:ascii="Century Gothic" w:hAnsi="Century Gothic"/>
          <w:sz w:val="12"/>
          <w:szCs w:val="12"/>
        </w:rPr>
      </w:pPr>
      <w:r w:rsidRPr="00EB5A4F">
        <w:rPr>
          <w:rFonts w:ascii="Century Gothic" w:hAnsi="Century Gothic"/>
          <w:sz w:val="12"/>
          <w:szCs w:val="12"/>
        </w:rPr>
        <w:t>Por otra parte, en cuanto a la relación del servicio de transporte</w:t>
      </w:r>
      <w:r w:rsidRPr="00EB5A4F" w:rsidR="00D44BFB">
        <w:rPr>
          <w:rFonts w:ascii="Century Gothic" w:hAnsi="Century Gothic"/>
          <w:sz w:val="12"/>
          <w:szCs w:val="12"/>
        </w:rPr>
        <w:t xml:space="preserve"> con la satisfacción de derechos fundamentales, la CORTE CONSTITUCIONAL ha puesto de presente que:</w:t>
      </w:r>
      <w:r w:rsidRPr="00EB5A4F" w:rsidR="00172798">
        <w:rPr>
          <w:rFonts w:ascii="Century Gothic" w:hAnsi="Century Gothic"/>
          <w:sz w:val="12"/>
          <w:szCs w:val="12"/>
        </w:rPr>
        <w:t xml:space="preserve"> </w:t>
      </w:r>
      <w:r w:rsidRPr="00EB5A4F" w:rsidR="00D44BFB">
        <w:rPr>
          <w:rFonts w:ascii="Century Gothic" w:hAnsi="Century Gothic"/>
          <w:sz w:val="12"/>
          <w:szCs w:val="12"/>
        </w:rPr>
        <w:t>“</w:t>
      </w:r>
      <w:r w:rsidRPr="00EB5A4F" w:rsidR="00357CE5">
        <w:rPr>
          <w:rFonts w:ascii="Century Gothic" w:hAnsi="Century Gothic"/>
          <w:color w:val="2D2D2D"/>
          <w:sz w:val="12"/>
          <w:szCs w:val="12"/>
          <w:shd w:val="clear" w:color="auto" w:fill="FFFFFF"/>
        </w:rPr>
        <w:t>En el caso del transporte, en general, y su modalidad aérea, en particular, concurren diversas razones para concluir que se trata de un servicio público vinculado estrechamente con la satisfacción de los derechos fundamentales.  Las sociedades contemporáneas, signadas por procesos de urbanización y especialización de los factores productivos, obligan a que los individuos deban permanente movilizarse largas distancias, en aras de ejercer sus derechos y competencias, acceder a distintas posiciones jurídicas, cumplir con sus obligaciones contractuales, dirigirse a la infraestructura para la prestación de otros servicios públicos, etc.  La libertad de locomoción, así entendida, no se concentra exclusivamente en la garantía de transitar libremente por el territorio nacional, sino también con la existencia de mecanismos que permitan hacerlo en condiciones razonables y adecuadas.  Esos instrumentos no son otros que los medios de transporte de pasajeros</w:t>
      </w:r>
      <w:r w:rsidRPr="00EB5A4F" w:rsidR="00D44BFB">
        <w:rPr>
          <w:rFonts w:ascii="Century Gothic" w:hAnsi="Century Gothic"/>
          <w:color w:val="2D2D2D"/>
          <w:sz w:val="12"/>
          <w:szCs w:val="12"/>
          <w:shd w:val="clear" w:color="auto" w:fill="FFFFFF"/>
        </w:rPr>
        <w:t>”</w:t>
      </w:r>
      <w:r w:rsidRPr="00EB5A4F" w:rsidR="00357CE5">
        <w:rPr>
          <w:rFonts w:ascii="Century Gothic" w:hAnsi="Century Gothic"/>
          <w:color w:val="2D2D2D"/>
          <w:sz w:val="12"/>
          <w:szCs w:val="12"/>
          <w:shd w:val="clear" w:color="auto" w:fill="FFFFFF"/>
        </w:rPr>
        <w:t>.</w:t>
      </w:r>
      <w:r w:rsidRPr="00EB5A4F" w:rsidR="00D44BFB">
        <w:rPr>
          <w:rFonts w:ascii="Century Gothic" w:hAnsi="Century Gothic"/>
          <w:color w:val="2D2D2D"/>
          <w:sz w:val="12"/>
          <w:szCs w:val="12"/>
          <w:shd w:val="clear" w:color="auto" w:fill="FFFFFF"/>
        </w:rPr>
        <w:t xml:space="preserve"> </w:t>
      </w:r>
      <w:r w:rsidRPr="00EB5A4F" w:rsidR="00172798">
        <w:rPr>
          <w:rFonts w:ascii="Century Gothic" w:hAnsi="Century Gothic"/>
          <w:color w:val="2D2D2D"/>
          <w:sz w:val="12"/>
          <w:szCs w:val="12"/>
          <w:shd w:val="clear" w:color="auto" w:fill="FFFFFF"/>
        </w:rPr>
        <w:t xml:space="preserve">Sentencia T-987 del 23 de noviembre de 2012, M.P. Luis Ernesto Vargas Silva. </w:t>
      </w:r>
    </w:p>
    <w:p w:rsidRPr="00EB5A4F" w:rsidR="00357CE5" w:rsidP="009B2AA3" w:rsidRDefault="00357CE5" w14:paraId="7B673848" w14:textId="77777777">
      <w:pPr>
        <w:pStyle w:val="FootnoteText"/>
        <w:ind w:firstLine="708"/>
        <w:jc w:val="both"/>
        <w:rPr>
          <w:rFonts w:ascii="Century Gothic" w:hAnsi="Century Gothic"/>
          <w:sz w:val="12"/>
          <w:szCs w:val="12"/>
        </w:rPr>
      </w:pPr>
    </w:p>
  </w:footnote>
  <w:footnote w:id="28">
    <w:p w:rsidRPr="00874EAA" w:rsidR="00123FD2" w:rsidP="009B2AA3" w:rsidRDefault="00123FD2" w14:paraId="33F99EA1" w14:textId="706EFAA3">
      <w:pPr>
        <w:pStyle w:val="FootnoteText"/>
        <w:ind w:firstLine="708"/>
        <w:jc w:val="both"/>
        <w:rPr>
          <w:rFonts w:ascii="Century Gothic" w:hAnsi="Century Gothic"/>
          <w:sz w:val="16"/>
          <w:szCs w:val="16"/>
        </w:rPr>
      </w:pPr>
      <w:r w:rsidRPr="00EB5A4F">
        <w:rPr>
          <w:rStyle w:val="FootnoteReference"/>
          <w:rFonts w:ascii="Century Gothic" w:hAnsi="Century Gothic"/>
          <w:sz w:val="12"/>
          <w:szCs w:val="12"/>
        </w:rPr>
        <w:footnoteRef/>
      </w:r>
      <w:r w:rsidRPr="00EB5A4F">
        <w:rPr>
          <w:rFonts w:ascii="Century Gothic" w:hAnsi="Century Gothic"/>
          <w:sz w:val="12"/>
          <w:szCs w:val="12"/>
        </w:rPr>
        <w:t xml:space="preserve"> </w:t>
      </w:r>
      <w:r w:rsidRPr="00EB5A4F" w:rsidR="004C769A">
        <w:rPr>
          <w:rFonts w:ascii="Century Gothic" w:hAnsi="Century Gothic"/>
          <w:sz w:val="12"/>
          <w:szCs w:val="12"/>
        </w:rPr>
        <w:t xml:space="preserve">Sobre la importancia del servicio de transporte </w:t>
      </w:r>
      <w:r w:rsidRPr="00EB5A4F" w:rsidR="00C60CB2">
        <w:rPr>
          <w:rFonts w:ascii="Century Gothic" w:hAnsi="Century Gothic"/>
          <w:sz w:val="12"/>
          <w:szCs w:val="12"/>
        </w:rPr>
        <w:t xml:space="preserve">la libertad de locomoción la </w:t>
      </w:r>
      <w:r w:rsidRPr="00EB5A4F" w:rsidR="00FE2951">
        <w:rPr>
          <w:rFonts w:ascii="Century Gothic" w:hAnsi="Century Gothic"/>
          <w:sz w:val="12"/>
          <w:szCs w:val="12"/>
        </w:rPr>
        <w:t xml:space="preserve">CORTE CONSTITUCIONAL </w:t>
      </w:r>
      <w:r w:rsidRPr="00EB5A4F" w:rsidR="00C60CB2">
        <w:rPr>
          <w:rFonts w:ascii="Century Gothic" w:hAnsi="Century Gothic"/>
          <w:sz w:val="12"/>
          <w:szCs w:val="12"/>
        </w:rPr>
        <w:t>indica: “En el contexto urbano el servicio de transporte público es un medio indispensable para poder ejercer la libertad de locomoción. “El fenómeno de la ciudad —su tamaño y distribución— hace del</w:t>
      </w:r>
      <w:r w:rsidRPr="00EB5A4F" w:rsidR="000E76DB">
        <w:rPr>
          <w:rFonts w:ascii="Century Gothic" w:hAnsi="Century Gothic"/>
          <w:sz w:val="12"/>
          <w:szCs w:val="12"/>
        </w:rPr>
        <w:t xml:space="preserve"> </w:t>
      </w:r>
      <w:r w:rsidRPr="00EB5A4F" w:rsidR="00C60CB2">
        <w:rPr>
          <w:rFonts w:ascii="Century Gothic" w:hAnsi="Century Gothic"/>
          <w:sz w:val="12"/>
          <w:szCs w:val="12"/>
        </w:rPr>
        <w:t>transporte público urbano un medio indispensable para ciertos estratos de la sociedad, en particular aquellos que viven en las zonas marginales y carecen de otra forma de movilización. La necesidad de trascender la distancia entre los sitios de habitación, trabajo, estudio, mercado, etc, en el menor tiempo y costo posibles, coloca al ciudadano carente de medios de transporte propios, a merced del Estado o de los particulares que prestan este servicio”.</w:t>
      </w:r>
      <w:r w:rsidRPr="00EB5A4F">
        <w:rPr>
          <w:rFonts w:ascii="Century Gothic" w:hAnsi="Century Gothic"/>
          <w:sz w:val="12"/>
          <w:szCs w:val="12"/>
        </w:rPr>
        <w:t xml:space="preserve"> </w:t>
      </w:r>
      <w:r w:rsidRPr="00EB5A4F" w:rsidR="000E76DB">
        <w:rPr>
          <w:rFonts w:ascii="Century Gothic" w:hAnsi="Century Gothic"/>
          <w:sz w:val="12"/>
          <w:szCs w:val="12"/>
        </w:rPr>
        <w:t>Sentencia T-595 del 1 de agosto de 2022, M.P. Manuel José Cepeda Espinosa.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Header"/>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Header"/>
    </w:pPr>
  </w:p>
  <w:p w:rsidR="00756841" w:rsidRDefault="00756841" w14:paraId="1BE2B9AE" w14:textId="4B94DB3B">
    <w:pPr>
      <w:pStyle w:val="Header"/>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D6F55FC">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061B2A">
      <w:rPr>
        <w:rFonts w:ascii="Century Gothic" w:hAnsi="Century Gothic" w:eastAsia="Geo" w:cs="Geo"/>
        <w:bCs/>
        <w:color w:val="000000"/>
        <w:sz w:val="16"/>
        <w:szCs w:val="16"/>
        <w:lang w:eastAsia="es-CO"/>
      </w:rPr>
      <w:t>7</w:t>
    </w:r>
  </w:p>
  <w:p w:rsidRPr="004A305D" w:rsidR="004A305D" w:rsidP="004A305D" w:rsidRDefault="004A305D" w14:paraId="5E18350A" w14:textId="39FD735C">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322A85">
      <w:rPr>
        <w:rFonts w:ascii="Century Gothic" w:hAnsi="Century Gothic" w:eastAsia="Geo" w:cs="Geo"/>
        <w:sz w:val="16"/>
        <w:szCs w:val="16"/>
        <w:lang w:eastAsia="es-CO"/>
      </w:rPr>
      <w:t>2</w:t>
    </w:r>
    <w:r w:rsidRPr="004A305D">
      <w:rPr>
        <w:rFonts w:ascii="Century Gothic" w:hAnsi="Century Gothic" w:eastAsia="Geo" w:cs="Geo"/>
        <w:sz w:val="16"/>
        <w:szCs w:val="16"/>
        <w:lang w:eastAsia="es-CO"/>
      </w:rPr>
      <w:t xml:space="preserve"> DEL </w:t>
    </w:r>
    <w:r w:rsidR="002E4FD9">
      <w:rPr>
        <w:rFonts w:ascii="Century Gothic" w:hAnsi="Century Gothic" w:eastAsia="Geo" w:cs="Geo"/>
        <w:sz w:val="16"/>
        <w:szCs w:val="16"/>
        <w:lang w:eastAsia="es-CO"/>
      </w:rPr>
      <w:t>31</w:t>
    </w:r>
    <w:r w:rsidR="00CB6357">
      <w:rPr>
        <w:rFonts w:ascii="Century Gothic" w:hAnsi="Century Gothic" w:eastAsia="Geo" w:cs="Geo"/>
        <w:sz w:val="16"/>
        <w:szCs w:val="16"/>
        <w:lang w:eastAsia="es-CO"/>
      </w:rPr>
      <w:t xml:space="preserve"> </w:t>
    </w:r>
    <w:r w:rsidRPr="004A305D">
      <w:rPr>
        <w:rFonts w:ascii="Century Gothic" w:hAnsi="Century Gothic" w:eastAsia="Geo" w:cs="Geo"/>
        <w:sz w:val="16"/>
        <w:szCs w:val="16"/>
        <w:lang w:eastAsia="es-CO"/>
      </w:rPr>
      <w:t xml:space="preserve">DE </w:t>
    </w:r>
    <w:r w:rsidR="00322A85">
      <w:rPr>
        <w:rFonts w:ascii="Century Gothic" w:hAnsi="Century Gothic" w:eastAsia="Geo" w:cs="Geo"/>
        <w:sz w:val="16"/>
        <w:szCs w:val="16"/>
        <w:lang w:eastAsia="es-CO"/>
      </w:rPr>
      <w:t>AGOSTO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P="00061B2A" w:rsidRDefault="008A446D" w14:paraId="1FD1C243" w14:textId="6D74A3CF">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362" style="width:8.2pt;height:8.2pt" o:bullet="t" type="#_x0000_t75">
        <v:imagedata o:title="mso1B13" r:id="rId1"/>
      </v:shape>
    </w:pict>
  </w:numPicBullet>
  <w:abstractNum w:abstractNumId="0" w15:restartNumberingAfterBreak="0">
    <w:nsid w:val="0075455F"/>
    <w:multiLevelType w:val="multilevel"/>
    <w:tmpl w:val="97C051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4" w15:restartNumberingAfterBreak="0">
    <w:nsid w:val="1587013D"/>
    <w:multiLevelType w:val="multilevel"/>
    <w:tmpl w:val="3E62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00619A"/>
    <w:multiLevelType w:val="multilevel"/>
    <w:tmpl w:val="3F9229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FA0BB9"/>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3" w15:restartNumberingAfterBreak="0">
    <w:nsid w:val="548B1027"/>
    <w:multiLevelType w:val="multilevel"/>
    <w:tmpl w:val="AD88DB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6C03B0"/>
    <w:multiLevelType w:val="hybridMultilevel"/>
    <w:tmpl w:val="87183FAA"/>
    <w:lvl w:ilvl="0" w:tplc="240A0007">
      <w:start w:val="1"/>
      <w:numFmt w:val="bullet"/>
      <w:lvlText w:val=""/>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6779695">
    <w:abstractNumId w:val="8"/>
  </w:num>
  <w:num w:numId="2" w16cid:durableId="998266057">
    <w:abstractNumId w:val="3"/>
  </w:num>
  <w:num w:numId="3" w16cid:durableId="276183889">
    <w:abstractNumId w:val="6"/>
  </w:num>
  <w:num w:numId="4" w16cid:durableId="6413540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7583453">
    <w:abstractNumId w:val="3"/>
  </w:num>
  <w:num w:numId="6" w16cid:durableId="20782434">
    <w:abstractNumId w:val="17"/>
  </w:num>
  <w:num w:numId="7" w16cid:durableId="2101757087">
    <w:abstractNumId w:val="7"/>
  </w:num>
  <w:num w:numId="8" w16cid:durableId="81879177">
    <w:abstractNumId w:val="16"/>
  </w:num>
  <w:num w:numId="9" w16cid:durableId="483667349">
    <w:abstractNumId w:val="9"/>
  </w:num>
  <w:num w:numId="10" w16cid:durableId="1868374777">
    <w:abstractNumId w:val="15"/>
  </w:num>
  <w:num w:numId="11" w16cid:durableId="826484321">
    <w:abstractNumId w:val="10"/>
  </w:num>
  <w:num w:numId="12" w16cid:durableId="1104301616">
    <w:abstractNumId w:val="2"/>
  </w:num>
  <w:num w:numId="13" w16cid:durableId="1499074807">
    <w:abstractNumId w:val="5"/>
  </w:num>
  <w:num w:numId="14" w16cid:durableId="733240033">
    <w:abstractNumId w:val="18"/>
  </w:num>
  <w:num w:numId="15" w16cid:durableId="710572998">
    <w:abstractNumId w:val="14"/>
  </w:num>
  <w:num w:numId="16" w16cid:durableId="377121713">
    <w:abstractNumId w:val="0"/>
  </w:num>
  <w:num w:numId="17" w16cid:durableId="1200699721">
    <w:abstractNumId w:val="1"/>
  </w:num>
  <w:num w:numId="18" w16cid:durableId="1538657713">
    <w:abstractNumId w:val="12"/>
  </w:num>
  <w:num w:numId="19" w16cid:durableId="425075001">
    <w:abstractNumId w:val="4"/>
  </w:num>
  <w:num w:numId="20" w16cid:durableId="868446130">
    <w:abstractNumId w:val="11"/>
  </w:num>
  <w:num w:numId="21" w16cid:durableId="889071227">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EAB"/>
    <w:rsid w:val="00002901"/>
    <w:rsid w:val="00004E30"/>
    <w:rsid w:val="00005A57"/>
    <w:rsid w:val="0001112F"/>
    <w:rsid w:val="000124A3"/>
    <w:rsid w:val="00014F52"/>
    <w:rsid w:val="0001507F"/>
    <w:rsid w:val="00015B85"/>
    <w:rsid w:val="00020957"/>
    <w:rsid w:val="0002799B"/>
    <w:rsid w:val="00041648"/>
    <w:rsid w:val="0004332A"/>
    <w:rsid w:val="00044DD1"/>
    <w:rsid w:val="00050C2B"/>
    <w:rsid w:val="00050DBF"/>
    <w:rsid w:val="00052E9A"/>
    <w:rsid w:val="000535D0"/>
    <w:rsid w:val="0005727A"/>
    <w:rsid w:val="0006016D"/>
    <w:rsid w:val="00061B2A"/>
    <w:rsid w:val="00062CA2"/>
    <w:rsid w:val="00063B8D"/>
    <w:rsid w:val="00065347"/>
    <w:rsid w:val="00073897"/>
    <w:rsid w:val="00077A47"/>
    <w:rsid w:val="00077BA6"/>
    <w:rsid w:val="00082362"/>
    <w:rsid w:val="00086652"/>
    <w:rsid w:val="00096F12"/>
    <w:rsid w:val="000A3013"/>
    <w:rsid w:val="000A3A4D"/>
    <w:rsid w:val="000A3CAA"/>
    <w:rsid w:val="000A683E"/>
    <w:rsid w:val="000B19B9"/>
    <w:rsid w:val="000B29AC"/>
    <w:rsid w:val="000B6FD4"/>
    <w:rsid w:val="000C2524"/>
    <w:rsid w:val="000C25F2"/>
    <w:rsid w:val="000C65FC"/>
    <w:rsid w:val="000D0334"/>
    <w:rsid w:val="000D1F2B"/>
    <w:rsid w:val="000D200B"/>
    <w:rsid w:val="000D5212"/>
    <w:rsid w:val="000D5E36"/>
    <w:rsid w:val="000D62F6"/>
    <w:rsid w:val="000D7B47"/>
    <w:rsid w:val="000E206A"/>
    <w:rsid w:val="000E3E3A"/>
    <w:rsid w:val="000E76DB"/>
    <w:rsid w:val="000F0C2D"/>
    <w:rsid w:val="000F5A89"/>
    <w:rsid w:val="000F6486"/>
    <w:rsid w:val="000F66F0"/>
    <w:rsid w:val="00102874"/>
    <w:rsid w:val="00103D50"/>
    <w:rsid w:val="00104AF6"/>
    <w:rsid w:val="00104C84"/>
    <w:rsid w:val="0010560D"/>
    <w:rsid w:val="00105CEE"/>
    <w:rsid w:val="00111A0B"/>
    <w:rsid w:val="00113B76"/>
    <w:rsid w:val="00117BCD"/>
    <w:rsid w:val="001237FC"/>
    <w:rsid w:val="00123FD2"/>
    <w:rsid w:val="00125105"/>
    <w:rsid w:val="00127233"/>
    <w:rsid w:val="00127CEE"/>
    <w:rsid w:val="00135D55"/>
    <w:rsid w:val="001429F7"/>
    <w:rsid w:val="00143E15"/>
    <w:rsid w:val="00144D70"/>
    <w:rsid w:val="00150BB1"/>
    <w:rsid w:val="00150C5B"/>
    <w:rsid w:val="001539B5"/>
    <w:rsid w:val="00155C53"/>
    <w:rsid w:val="00161870"/>
    <w:rsid w:val="00162308"/>
    <w:rsid w:val="00166E96"/>
    <w:rsid w:val="00170081"/>
    <w:rsid w:val="00170126"/>
    <w:rsid w:val="00171664"/>
    <w:rsid w:val="00172798"/>
    <w:rsid w:val="00173CE3"/>
    <w:rsid w:val="00175908"/>
    <w:rsid w:val="001827C5"/>
    <w:rsid w:val="00187D3A"/>
    <w:rsid w:val="00193038"/>
    <w:rsid w:val="00196344"/>
    <w:rsid w:val="00197CDA"/>
    <w:rsid w:val="001A0A60"/>
    <w:rsid w:val="001A7119"/>
    <w:rsid w:val="001A7407"/>
    <w:rsid w:val="001B000A"/>
    <w:rsid w:val="001B1BB1"/>
    <w:rsid w:val="001B204E"/>
    <w:rsid w:val="001C07E5"/>
    <w:rsid w:val="001C2D97"/>
    <w:rsid w:val="001C3A19"/>
    <w:rsid w:val="001C752A"/>
    <w:rsid w:val="001D7EE9"/>
    <w:rsid w:val="001E221E"/>
    <w:rsid w:val="001E3BFE"/>
    <w:rsid w:val="001E4177"/>
    <w:rsid w:val="001E44C2"/>
    <w:rsid w:val="001E4F19"/>
    <w:rsid w:val="001E6095"/>
    <w:rsid w:val="001E7D98"/>
    <w:rsid w:val="001F0086"/>
    <w:rsid w:val="001F7290"/>
    <w:rsid w:val="001F7815"/>
    <w:rsid w:val="001F7DC6"/>
    <w:rsid w:val="00200BE0"/>
    <w:rsid w:val="00202F30"/>
    <w:rsid w:val="00206B9B"/>
    <w:rsid w:val="00206D4F"/>
    <w:rsid w:val="00213D8C"/>
    <w:rsid w:val="002141FB"/>
    <w:rsid w:val="00214CFB"/>
    <w:rsid w:val="00215C99"/>
    <w:rsid w:val="00216E36"/>
    <w:rsid w:val="002206DF"/>
    <w:rsid w:val="00224533"/>
    <w:rsid w:val="00225775"/>
    <w:rsid w:val="0023125F"/>
    <w:rsid w:val="00231438"/>
    <w:rsid w:val="002372F0"/>
    <w:rsid w:val="00237FF5"/>
    <w:rsid w:val="002421BB"/>
    <w:rsid w:val="00242A4D"/>
    <w:rsid w:val="002471FB"/>
    <w:rsid w:val="00247791"/>
    <w:rsid w:val="00247A27"/>
    <w:rsid w:val="00250571"/>
    <w:rsid w:val="00252A82"/>
    <w:rsid w:val="0025314C"/>
    <w:rsid w:val="0025393D"/>
    <w:rsid w:val="00256D04"/>
    <w:rsid w:val="002576A3"/>
    <w:rsid w:val="00266BF8"/>
    <w:rsid w:val="00266F95"/>
    <w:rsid w:val="00266FBD"/>
    <w:rsid w:val="002707A2"/>
    <w:rsid w:val="00287138"/>
    <w:rsid w:val="00290320"/>
    <w:rsid w:val="002910C2"/>
    <w:rsid w:val="00292F87"/>
    <w:rsid w:val="00293938"/>
    <w:rsid w:val="002951A0"/>
    <w:rsid w:val="002962BC"/>
    <w:rsid w:val="00297D5F"/>
    <w:rsid w:val="002A093D"/>
    <w:rsid w:val="002A0DD0"/>
    <w:rsid w:val="002A1258"/>
    <w:rsid w:val="002A174B"/>
    <w:rsid w:val="002A17F9"/>
    <w:rsid w:val="002A3628"/>
    <w:rsid w:val="002A49AC"/>
    <w:rsid w:val="002A64FD"/>
    <w:rsid w:val="002B26F8"/>
    <w:rsid w:val="002B283F"/>
    <w:rsid w:val="002B30C0"/>
    <w:rsid w:val="002B4217"/>
    <w:rsid w:val="002B4477"/>
    <w:rsid w:val="002B49C0"/>
    <w:rsid w:val="002C1B7F"/>
    <w:rsid w:val="002C367F"/>
    <w:rsid w:val="002C566A"/>
    <w:rsid w:val="002C672D"/>
    <w:rsid w:val="002C7A84"/>
    <w:rsid w:val="002D1431"/>
    <w:rsid w:val="002D3FA7"/>
    <w:rsid w:val="002D4729"/>
    <w:rsid w:val="002D5546"/>
    <w:rsid w:val="002E32B4"/>
    <w:rsid w:val="002E34CE"/>
    <w:rsid w:val="002E383C"/>
    <w:rsid w:val="002E42F2"/>
    <w:rsid w:val="002E4FD9"/>
    <w:rsid w:val="002E6931"/>
    <w:rsid w:val="002F2167"/>
    <w:rsid w:val="002F7992"/>
    <w:rsid w:val="003104A1"/>
    <w:rsid w:val="003108CC"/>
    <w:rsid w:val="00320469"/>
    <w:rsid w:val="00322A85"/>
    <w:rsid w:val="00326EBF"/>
    <w:rsid w:val="00332133"/>
    <w:rsid w:val="003344C5"/>
    <w:rsid w:val="003352D9"/>
    <w:rsid w:val="0033539F"/>
    <w:rsid w:val="00335518"/>
    <w:rsid w:val="00337B93"/>
    <w:rsid w:val="00337BE0"/>
    <w:rsid w:val="00340949"/>
    <w:rsid w:val="00343B88"/>
    <w:rsid w:val="00343EDE"/>
    <w:rsid w:val="003448F4"/>
    <w:rsid w:val="00344F41"/>
    <w:rsid w:val="0035249A"/>
    <w:rsid w:val="00354D82"/>
    <w:rsid w:val="003579C5"/>
    <w:rsid w:val="00357CE5"/>
    <w:rsid w:val="00357D9D"/>
    <w:rsid w:val="00363F8F"/>
    <w:rsid w:val="003660D1"/>
    <w:rsid w:val="003748C2"/>
    <w:rsid w:val="00374F5E"/>
    <w:rsid w:val="00377326"/>
    <w:rsid w:val="00377E3E"/>
    <w:rsid w:val="0038397F"/>
    <w:rsid w:val="00384459"/>
    <w:rsid w:val="003853AA"/>
    <w:rsid w:val="0038773F"/>
    <w:rsid w:val="003904F3"/>
    <w:rsid w:val="00391A3E"/>
    <w:rsid w:val="003A1333"/>
    <w:rsid w:val="003A4C8D"/>
    <w:rsid w:val="003A66CF"/>
    <w:rsid w:val="003A779E"/>
    <w:rsid w:val="003B14FA"/>
    <w:rsid w:val="003B1E36"/>
    <w:rsid w:val="003B2D3B"/>
    <w:rsid w:val="003B33AE"/>
    <w:rsid w:val="003B610A"/>
    <w:rsid w:val="003C2552"/>
    <w:rsid w:val="003C2FAB"/>
    <w:rsid w:val="003D0F4D"/>
    <w:rsid w:val="003D0FE0"/>
    <w:rsid w:val="003D1AFF"/>
    <w:rsid w:val="003D1F4A"/>
    <w:rsid w:val="003D5B0D"/>
    <w:rsid w:val="003D5DC8"/>
    <w:rsid w:val="003D6539"/>
    <w:rsid w:val="003E0499"/>
    <w:rsid w:val="003E1F8D"/>
    <w:rsid w:val="003F0B5A"/>
    <w:rsid w:val="003F3941"/>
    <w:rsid w:val="003F7B5E"/>
    <w:rsid w:val="00402FCE"/>
    <w:rsid w:val="004037E2"/>
    <w:rsid w:val="00406575"/>
    <w:rsid w:val="00416193"/>
    <w:rsid w:val="00417E49"/>
    <w:rsid w:val="004200B6"/>
    <w:rsid w:val="0042094B"/>
    <w:rsid w:val="0042722E"/>
    <w:rsid w:val="004308A6"/>
    <w:rsid w:val="004312E8"/>
    <w:rsid w:val="00431455"/>
    <w:rsid w:val="00433FD7"/>
    <w:rsid w:val="00440BD4"/>
    <w:rsid w:val="00446480"/>
    <w:rsid w:val="00446A5C"/>
    <w:rsid w:val="004512B6"/>
    <w:rsid w:val="00453C2D"/>
    <w:rsid w:val="004541B7"/>
    <w:rsid w:val="00460CD7"/>
    <w:rsid w:val="0046154A"/>
    <w:rsid w:val="00462A36"/>
    <w:rsid w:val="00464554"/>
    <w:rsid w:val="00465920"/>
    <w:rsid w:val="00467D45"/>
    <w:rsid w:val="0047000A"/>
    <w:rsid w:val="00470BB0"/>
    <w:rsid w:val="00470C5E"/>
    <w:rsid w:val="00470C7C"/>
    <w:rsid w:val="00470E3F"/>
    <w:rsid w:val="0047608A"/>
    <w:rsid w:val="00477608"/>
    <w:rsid w:val="0048096D"/>
    <w:rsid w:val="00481D5C"/>
    <w:rsid w:val="004853EA"/>
    <w:rsid w:val="0048638D"/>
    <w:rsid w:val="00487A71"/>
    <w:rsid w:val="00494D86"/>
    <w:rsid w:val="004951D7"/>
    <w:rsid w:val="004A0525"/>
    <w:rsid w:val="004A1847"/>
    <w:rsid w:val="004A305D"/>
    <w:rsid w:val="004A344E"/>
    <w:rsid w:val="004A4B8E"/>
    <w:rsid w:val="004A76B4"/>
    <w:rsid w:val="004A78A7"/>
    <w:rsid w:val="004B0463"/>
    <w:rsid w:val="004B172B"/>
    <w:rsid w:val="004B4E78"/>
    <w:rsid w:val="004B6236"/>
    <w:rsid w:val="004C3822"/>
    <w:rsid w:val="004C769A"/>
    <w:rsid w:val="004D0979"/>
    <w:rsid w:val="004D166B"/>
    <w:rsid w:val="004D38BC"/>
    <w:rsid w:val="004D6429"/>
    <w:rsid w:val="004D67B6"/>
    <w:rsid w:val="004D7FD3"/>
    <w:rsid w:val="004E12DD"/>
    <w:rsid w:val="004E130C"/>
    <w:rsid w:val="004E21D5"/>
    <w:rsid w:val="004E2320"/>
    <w:rsid w:val="004E29F5"/>
    <w:rsid w:val="004E3204"/>
    <w:rsid w:val="004E683E"/>
    <w:rsid w:val="004F1957"/>
    <w:rsid w:val="004F21C4"/>
    <w:rsid w:val="004F3E4F"/>
    <w:rsid w:val="004F685F"/>
    <w:rsid w:val="004F6C0C"/>
    <w:rsid w:val="004F78AD"/>
    <w:rsid w:val="00501D35"/>
    <w:rsid w:val="00502EB8"/>
    <w:rsid w:val="00503E71"/>
    <w:rsid w:val="0050441C"/>
    <w:rsid w:val="00506D42"/>
    <w:rsid w:val="00516A51"/>
    <w:rsid w:val="005214C8"/>
    <w:rsid w:val="0052202F"/>
    <w:rsid w:val="00522D64"/>
    <w:rsid w:val="00526D65"/>
    <w:rsid w:val="00532266"/>
    <w:rsid w:val="0054059D"/>
    <w:rsid w:val="005438B7"/>
    <w:rsid w:val="00543D33"/>
    <w:rsid w:val="0055389A"/>
    <w:rsid w:val="005545FF"/>
    <w:rsid w:val="005566E8"/>
    <w:rsid w:val="005570FF"/>
    <w:rsid w:val="00560A40"/>
    <w:rsid w:val="0056158B"/>
    <w:rsid w:val="00562889"/>
    <w:rsid w:val="00563AA2"/>
    <w:rsid w:val="00565797"/>
    <w:rsid w:val="005713D6"/>
    <w:rsid w:val="00574867"/>
    <w:rsid w:val="00580232"/>
    <w:rsid w:val="00580AA6"/>
    <w:rsid w:val="00581186"/>
    <w:rsid w:val="005816BD"/>
    <w:rsid w:val="00584ECB"/>
    <w:rsid w:val="00587772"/>
    <w:rsid w:val="005908AB"/>
    <w:rsid w:val="005912C6"/>
    <w:rsid w:val="00591460"/>
    <w:rsid w:val="005938D3"/>
    <w:rsid w:val="005959A9"/>
    <w:rsid w:val="005A0494"/>
    <w:rsid w:val="005A2340"/>
    <w:rsid w:val="005A275F"/>
    <w:rsid w:val="005A7A3F"/>
    <w:rsid w:val="005B0116"/>
    <w:rsid w:val="005B1028"/>
    <w:rsid w:val="005B359A"/>
    <w:rsid w:val="005B5BA0"/>
    <w:rsid w:val="005B70C6"/>
    <w:rsid w:val="005C29C3"/>
    <w:rsid w:val="005C328D"/>
    <w:rsid w:val="005C3777"/>
    <w:rsid w:val="005C453A"/>
    <w:rsid w:val="005C4BF1"/>
    <w:rsid w:val="005C5CDC"/>
    <w:rsid w:val="005D3E44"/>
    <w:rsid w:val="005D476C"/>
    <w:rsid w:val="005E590A"/>
    <w:rsid w:val="005F033E"/>
    <w:rsid w:val="005F153D"/>
    <w:rsid w:val="005F1C7D"/>
    <w:rsid w:val="006009E5"/>
    <w:rsid w:val="00600E97"/>
    <w:rsid w:val="006020BE"/>
    <w:rsid w:val="0060321A"/>
    <w:rsid w:val="00603F9A"/>
    <w:rsid w:val="00606370"/>
    <w:rsid w:val="006068AE"/>
    <w:rsid w:val="006071FE"/>
    <w:rsid w:val="00610729"/>
    <w:rsid w:val="00610CC5"/>
    <w:rsid w:val="00611143"/>
    <w:rsid w:val="00612F4F"/>
    <w:rsid w:val="006219F8"/>
    <w:rsid w:val="00621C09"/>
    <w:rsid w:val="00622074"/>
    <w:rsid w:val="00625CD2"/>
    <w:rsid w:val="006264FE"/>
    <w:rsid w:val="00627872"/>
    <w:rsid w:val="006316DD"/>
    <w:rsid w:val="00631FF7"/>
    <w:rsid w:val="00632FB8"/>
    <w:rsid w:val="00634042"/>
    <w:rsid w:val="006376D3"/>
    <w:rsid w:val="00640C90"/>
    <w:rsid w:val="00641DB8"/>
    <w:rsid w:val="00642910"/>
    <w:rsid w:val="006504C9"/>
    <w:rsid w:val="006506C5"/>
    <w:rsid w:val="0065103C"/>
    <w:rsid w:val="00660FB4"/>
    <w:rsid w:val="00665D70"/>
    <w:rsid w:val="0066667D"/>
    <w:rsid w:val="006666B6"/>
    <w:rsid w:val="00667184"/>
    <w:rsid w:val="006718C7"/>
    <w:rsid w:val="00673CBE"/>
    <w:rsid w:val="00674808"/>
    <w:rsid w:val="006771CA"/>
    <w:rsid w:val="00681228"/>
    <w:rsid w:val="00686365"/>
    <w:rsid w:val="006900D9"/>
    <w:rsid w:val="00690B87"/>
    <w:rsid w:val="0069495D"/>
    <w:rsid w:val="00696D65"/>
    <w:rsid w:val="006A0BB9"/>
    <w:rsid w:val="006A3B25"/>
    <w:rsid w:val="006A6CAC"/>
    <w:rsid w:val="006B0A14"/>
    <w:rsid w:val="006B0FC3"/>
    <w:rsid w:val="006B7520"/>
    <w:rsid w:val="006C0DE2"/>
    <w:rsid w:val="006C7D53"/>
    <w:rsid w:val="006D45FD"/>
    <w:rsid w:val="006D4F57"/>
    <w:rsid w:val="006D5281"/>
    <w:rsid w:val="006D61E4"/>
    <w:rsid w:val="006E149F"/>
    <w:rsid w:val="006E1C96"/>
    <w:rsid w:val="006E2B0D"/>
    <w:rsid w:val="006E3F7F"/>
    <w:rsid w:val="006E47C6"/>
    <w:rsid w:val="006F1DB1"/>
    <w:rsid w:val="006F2CC7"/>
    <w:rsid w:val="006F2D47"/>
    <w:rsid w:val="006F3D28"/>
    <w:rsid w:val="006F3D2C"/>
    <w:rsid w:val="006F45EC"/>
    <w:rsid w:val="006F7E48"/>
    <w:rsid w:val="00706B8E"/>
    <w:rsid w:val="00706C16"/>
    <w:rsid w:val="00713DD7"/>
    <w:rsid w:val="00727490"/>
    <w:rsid w:val="007324FF"/>
    <w:rsid w:val="007354F0"/>
    <w:rsid w:val="007511C6"/>
    <w:rsid w:val="00751D45"/>
    <w:rsid w:val="00753D00"/>
    <w:rsid w:val="00754522"/>
    <w:rsid w:val="00756841"/>
    <w:rsid w:val="00760E56"/>
    <w:rsid w:val="007649AB"/>
    <w:rsid w:val="0076552D"/>
    <w:rsid w:val="0076561B"/>
    <w:rsid w:val="0076584D"/>
    <w:rsid w:val="007713DB"/>
    <w:rsid w:val="00771D0C"/>
    <w:rsid w:val="00776AB3"/>
    <w:rsid w:val="007833AC"/>
    <w:rsid w:val="007845D3"/>
    <w:rsid w:val="00784857"/>
    <w:rsid w:val="00785311"/>
    <w:rsid w:val="00792F2A"/>
    <w:rsid w:val="007946AB"/>
    <w:rsid w:val="00797EC1"/>
    <w:rsid w:val="007A07C2"/>
    <w:rsid w:val="007A30D1"/>
    <w:rsid w:val="007A352E"/>
    <w:rsid w:val="007A4268"/>
    <w:rsid w:val="007A4C57"/>
    <w:rsid w:val="007A70F1"/>
    <w:rsid w:val="007A754E"/>
    <w:rsid w:val="007A7E13"/>
    <w:rsid w:val="007B0B3A"/>
    <w:rsid w:val="007B268C"/>
    <w:rsid w:val="007B6307"/>
    <w:rsid w:val="007B7171"/>
    <w:rsid w:val="007C1C63"/>
    <w:rsid w:val="007C3DC2"/>
    <w:rsid w:val="007C489D"/>
    <w:rsid w:val="007C556E"/>
    <w:rsid w:val="007C567D"/>
    <w:rsid w:val="007C588B"/>
    <w:rsid w:val="007C5CAB"/>
    <w:rsid w:val="007C74F4"/>
    <w:rsid w:val="007C77CB"/>
    <w:rsid w:val="007D260B"/>
    <w:rsid w:val="007E5497"/>
    <w:rsid w:val="007E76BB"/>
    <w:rsid w:val="007F1966"/>
    <w:rsid w:val="00800C9E"/>
    <w:rsid w:val="00801357"/>
    <w:rsid w:val="008020D5"/>
    <w:rsid w:val="0080648E"/>
    <w:rsid w:val="00806F5F"/>
    <w:rsid w:val="00816382"/>
    <w:rsid w:val="00816BD9"/>
    <w:rsid w:val="00816D24"/>
    <w:rsid w:val="008200B7"/>
    <w:rsid w:val="00820278"/>
    <w:rsid w:val="00830741"/>
    <w:rsid w:val="00830BB9"/>
    <w:rsid w:val="008337B1"/>
    <w:rsid w:val="0083761E"/>
    <w:rsid w:val="00837951"/>
    <w:rsid w:val="00841C52"/>
    <w:rsid w:val="00846C12"/>
    <w:rsid w:val="00853B2D"/>
    <w:rsid w:val="0085432F"/>
    <w:rsid w:val="00860F3B"/>
    <w:rsid w:val="00861A9D"/>
    <w:rsid w:val="00864336"/>
    <w:rsid w:val="00864C29"/>
    <w:rsid w:val="00871315"/>
    <w:rsid w:val="00872824"/>
    <w:rsid w:val="00874EAA"/>
    <w:rsid w:val="00875124"/>
    <w:rsid w:val="0087565A"/>
    <w:rsid w:val="0087625A"/>
    <w:rsid w:val="008771BD"/>
    <w:rsid w:val="00880F6E"/>
    <w:rsid w:val="00881230"/>
    <w:rsid w:val="008843B6"/>
    <w:rsid w:val="008864E5"/>
    <w:rsid w:val="00891928"/>
    <w:rsid w:val="00895828"/>
    <w:rsid w:val="00896787"/>
    <w:rsid w:val="00897ED7"/>
    <w:rsid w:val="008A0819"/>
    <w:rsid w:val="008A361A"/>
    <w:rsid w:val="008A446D"/>
    <w:rsid w:val="008A4E9B"/>
    <w:rsid w:val="008A56FC"/>
    <w:rsid w:val="008A646D"/>
    <w:rsid w:val="008A79EF"/>
    <w:rsid w:val="008A7C62"/>
    <w:rsid w:val="008B3D29"/>
    <w:rsid w:val="008B447A"/>
    <w:rsid w:val="008C349B"/>
    <w:rsid w:val="008C4036"/>
    <w:rsid w:val="008C7AC6"/>
    <w:rsid w:val="008D180B"/>
    <w:rsid w:val="008D597C"/>
    <w:rsid w:val="008D5B35"/>
    <w:rsid w:val="008E06B0"/>
    <w:rsid w:val="008E4433"/>
    <w:rsid w:val="008F0EA7"/>
    <w:rsid w:val="008F1CBB"/>
    <w:rsid w:val="008F3B23"/>
    <w:rsid w:val="008F493B"/>
    <w:rsid w:val="008F4C47"/>
    <w:rsid w:val="008F7D73"/>
    <w:rsid w:val="00900AE4"/>
    <w:rsid w:val="00910B07"/>
    <w:rsid w:val="00911953"/>
    <w:rsid w:val="0091325B"/>
    <w:rsid w:val="00913299"/>
    <w:rsid w:val="009133D1"/>
    <w:rsid w:val="009141EF"/>
    <w:rsid w:val="00914281"/>
    <w:rsid w:val="009169CC"/>
    <w:rsid w:val="009174B2"/>
    <w:rsid w:val="00923EEF"/>
    <w:rsid w:val="009244C7"/>
    <w:rsid w:val="0093689B"/>
    <w:rsid w:val="009419F9"/>
    <w:rsid w:val="00943C61"/>
    <w:rsid w:val="00945A1A"/>
    <w:rsid w:val="0094743D"/>
    <w:rsid w:val="00954109"/>
    <w:rsid w:val="00961036"/>
    <w:rsid w:val="00961B09"/>
    <w:rsid w:val="009623ED"/>
    <w:rsid w:val="00962992"/>
    <w:rsid w:val="00965334"/>
    <w:rsid w:val="0096602A"/>
    <w:rsid w:val="00966D3A"/>
    <w:rsid w:val="0097034A"/>
    <w:rsid w:val="0097093E"/>
    <w:rsid w:val="00974C20"/>
    <w:rsid w:val="00976D66"/>
    <w:rsid w:val="00984810"/>
    <w:rsid w:val="00984927"/>
    <w:rsid w:val="00985988"/>
    <w:rsid w:val="00986E79"/>
    <w:rsid w:val="00987919"/>
    <w:rsid w:val="009961C7"/>
    <w:rsid w:val="00996980"/>
    <w:rsid w:val="00996EED"/>
    <w:rsid w:val="009A00E6"/>
    <w:rsid w:val="009A523E"/>
    <w:rsid w:val="009A6976"/>
    <w:rsid w:val="009B2AA3"/>
    <w:rsid w:val="009B34CB"/>
    <w:rsid w:val="009B3FE0"/>
    <w:rsid w:val="009B56D4"/>
    <w:rsid w:val="009B591B"/>
    <w:rsid w:val="009C0F0B"/>
    <w:rsid w:val="009C30BD"/>
    <w:rsid w:val="009C51F8"/>
    <w:rsid w:val="009C5954"/>
    <w:rsid w:val="009C71FA"/>
    <w:rsid w:val="009C72E7"/>
    <w:rsid w:val="009C7E35"/>
    <w:rsid w:val="009D1859"/>
    <w:rsid w:val="009D413A"/>
    <w:rsid w:val="009D4607"/>
    <w:rsid w:val="009D5EC1"/>
    <w:rsid w:val="009F1FEB"/>
    <w:rsid w:val="009F3A13"/>
    <w:rsid w:val="009F557E"/>
    <w:rsid w:val="009F6E0F"/>
    <w:rsid w:val="009F780E"/>
    <w:rsid w:val="00A00FAF"/>
    <w:rsid w:val="00A01D58"/>
    <w:rsid w:val="00A05B94"/>
    <w:rsid w:val="00A05C36"/>
    <w:rsid w:val="00A10131"/>
    <w:rsid w:val="00A10A7B"/>
    <w:rsid w:val="00A11E84"/>
    <w:rsid w:val="00A122D3"/>
    <w:rsid w:val="00A124AB"/>
    <w:rsid w:val="00A12CEC"/>
    <w:rsid w:val="00A13675"/>
    <w:rsid w:val="00A157E2"/>
    <w:rsid w:val="00A15C7F"/>
    <w:rsid w:val="00A15F6B"/>
    <w:rsid w:val="00A17F13"/>
    <w:rsid w:val="00A20279"/>
    <w:rsid w:val="00A20739"/>
    <w:rsid w:val="00A22B6D"/>
    <w:rsid w:val="00A25C28"/>
    <w:rsid w:val="00A26E6A"/>
    <w:rsid w:val="00A277DF"/>
    <w:rsid w:val="00A3039C"/>
    <w:rsid w:val="00A31641"/>
    <w:rsid w:val="00A338CA"/>
    <w:rsid w:val="00A33C78"/>
    <w:rsid w:val="00A42387"/>
    <w:rsid w:val="00A43F68"/>
    <w:rsid w:val="00A4504E"/>
    <w:rsid w:val="00A45943"/>
    <w:rsid w:val="00A47D05"/>
    <w:rsid w:val="00A50D4B"/>
    <w:rsid w:val="00A5161E"/>
    <w:rsid w:val="00A5172D"/>
    <w:rsid w:val="00A56235"/>
    <w:rsid w:val="00A5709F"/>
    <w:rsid w:val="00A63268"/>
    <w:rsid w:val="00A636D7"/>
    <w:rsid w:val="00A72724"/>
    <w:rsid w:val="00A729C1"/>
    <w:rsid w:val="00A76A92"/>
    <w:rsid w:val="00A77178"/>
    <w:rsid w:val="00A8271C"/>
    <w:rsid w:val="00A86B65"/>
    <w:rsid w:val="00A87A99"/>
    <w:rsid w:val="00A87AB2"/>
    <w:rsid w:val="00A9453B"/>
    <w:rsid w:val="00A94725"/>
    <w:rsid w:val="00A94A04"/>
    <w:rsid w:val="00A950F2"/>
    <w:rsid w:val="00A9628F"/>
    <w:rsid w:val="00A97CA7"/>
    <w:rsid w:val="00AA2B11"/>
    <w:rsid w:val="00AB02C6"/>
    <w:rsid w:val="00AB0ADB"/>
    <w:rsid w:val="00AB0C94"/>
    <w:rsid w:val="00AB15CD"/>
    <w:rsid w:val="00AB471D"/>
    <w:rsid w:val="00AC2553"/>
    <w:rsid w:val="00AC4EC7"/>
    <w:rsid w:val="00AC6A4E"/>
    <w:rsid w:val="00AD04F8"/>
    <w:rsid w:val="00AD12ED"/>
    <w:rsid w:val="00AD3543"/>
    <w:rsid w:val="00AD3A6A"/>
    <w:rsid w:val="00AD3CD3"/>
    <w:rsid w:val="00AD6A8F"/>
    <w:rsid w:val="00AE12E0"/>
    <w:rsid w:val="00AE39E7"/>
    <w:rsid w:val="00AE4AE5"/>
    <w:rsid w:val="00AE5ECA"/>
    <w:rsid w:val="00AF479B"/>
    <w:rsid w:val="00AF4E90"/>
    <w:rsid w:val="00AF5400"/>
    <w:rsid w:val="00B003E8"/>
    <w:rsid w:val="00B117E8"/>
    <w:rsid w:val="00B1363B"/>
    <w:rsid w:val="00B14700"/>
    <w:rsid w:val="00B17BF9"/>
    <w:rsid w:val="00B17F8C"/>
    <w:rsid w:val="00B20149"/>
    <w:rsid w:val="00B212D9"/>
    <w:rsid w:val="00B24308"/>
    <w:rsid w:val="00B258D3"/>
    <w:rsid w:val="00B259ED"/>
    <w:rsid w:val="00B34802"/>
    <w:rsid w:val="00B35055"/>
    <w:rsid w:val="00B36C18"/>
    <w:rsid w:val="00B64254"/>
    <w:rsid w:val="00B64530"/>
    <w:rsid w:val="00B66565"/>
    <w:rsid w:val="00B66E5F"/>
    <w:rsid w:val="00B6703E"/>
    <w:rsid w:val="00B72CD3"/>
    <w:rsid w:val="00B72FFF"/>
    <w:rsid w:val="00B74BFB"/>
    <w:rsid w:val="00B76D12"/>
    <w:rsid w:val="00B76E46"/>
    <w:rsid w:val="00B81F5E"/>
    <w:rsid w:val="00B838C3"/>
    <w:rsid w:val="00B85BAB"/>
    <w:rsid w:val="00B900FB"/>
    <w:rsid w:val="00B90F62"/>
    <w:rsid w:val="00BA1C30"/>
    <w:rsid w:val="00BA2884"/>
    <w:rsid w:val="00BA30CB"/>
    <w:rsid w:val="00BA444F"/>
    <w:rsid w:val="00BA794B"/>
    <w:rsid w:val="00BB171D"/>
    <w:rsid w:val="00BB5A43"/>
    <w:rsid w:val="00BC3D36"/>
    <w:rsid w:val="00BC4719"/>
    <w:rsid w:val="00BC5E2E"/>
    <w:rsid w:val="00BC7589"/>
    <w:rsid w:val="00BD15B8"/>
    <w:rsid w:val="00BD2142"/>
    <w:rsid w:val="00BD2604"/>
    <w:rsid w:val="00BD40B6"/>
    <w:rsid w:val="00BD53FC"/>
    <w:rsid w:val="00BD5947"/>
    <w:rsid w:val="00BD6C9B"/>
    <w:rsid w:val="00BD767C"/>
    <w:rsid w:val="00BD7F72"/>
    <w:rsid w:val="00BE68DD"/>
    <w:rsid w:val="00BE783C"/>
    <w:rsid w:val="00BF0644"/>
    <w:rsid w:val="00BF0805"/>
    <w:rsid w:val="00C044D9"/>
    <w:rsid w:val="00C04FB3"/>
    <w:rsid w:val="00C07CAE"/>
    <w:rsid w:val="00C138F4"/>
    <w:rsid w:val="00C1498B"/>
    <w:rsid w:val="00C15F7C"/>
    <w:rsid w:val="00C17FAC"/>
    <w:rsid w:val="00C2277A"/>
    <w:rsid w:val="00C22815"/>
    <w:rsid w:val="00C24263"/>
    <w:rsid w:val="00C25AE4"/>
    <w:rsid w:val="00C330EB"/>
    <w:rsid w:val="00C34916"/>
    <w:rsid w:val="00C352AA"/>
    <w:rsid w:val="00C3655F"/>
    <w:rsid w:val="00C36A30"/>
    <w:rsid w:val="00C36E74"/>
    <w:rsid w:val="00C450B1"/>
    <w:rsid w:val="00C46A9A"/>
    <w:rsid w:val="00C475CC"/>
    <w:rsid w:val="00C51D17"/>
    <w:rsid w:val="00C5586E"/>
    <w:rsid w:val="00C57D5F"/>
    <w:rsid w:val="00C60CB2"/>
    <w:rsid w:val="00C633A0"/>
    <w:rsid w:val="00C65AAE"/>
    <w:rsid w:val="00C70447"/>
    <w:rsid w:val="00C754BE"/>
    <w:rsid w:val="00C76B1C"/>
    <w:rsid w:val="00C77357"/>
    <w:rsid w:val="00C81A0B"/>
    <w:rsid w:val="00C82C07"/>
    <w:rsid w:val="00C833CF"/>
    <w:rsid w:val="00C877DE"/>
    <w:rsid w:val="00C90D7E"/>
    <w:rsid w:val="00C971E9"/>
    <w:rsid w:val="00C97202"/>
    <w:rsid w:val="00CA02EB"/>
    <w:rsid w:val="00CA0826"/>
    <w:rsid w:val="00CA14F7"/>
    <w:rsid w:val="00CA514D"/>
    <w:rsid w:val="00CB3E53"/>
    <w:rsid w:val="00CB46F2"/>
    <w:rsid w:val="00CB4EF2"/>
    <w:rsid w:val="00CB5FB2"/>
    <w:rsid w:val="00CB6357"/>
    <w:rsid w:val="00CB68B3"/>
    <w:rsid w:val="00CC0A00"/>
    <w:rsid w:val="00CC1B26"/>
    <w:rsid w:val="00CC2F3F"/>
    <w:rsid w:val="00CC56FF"/>
    <w:rsid w:val="00CD1FDC"/>
    <w:rsid w:val="00CD326B"/>
    <w:rsid w:val="00CD50CE"/>
    <w:rsid w:val="00CD7094"/>
    <w:rsid w:val="00CE68DD"/>
    <w:rsid w:val="00CF0B22"/>
    <w:rsid w:val="00CF1967"/>
    <w:rsid w:val="00CF42BA"/>
    <w:rsid w:val="00CF6598"/>
    <w:rsid w:val="00D01C88"/>
    <w:rsid w:val="00D05198"/>
    <w:rsid w:val="00D073E0"/>
    <w:rsid w:val="00D075D7"/>
    <w:rsid w:val="00D12A94"/>
    <w:rsid w:val="00D13E5F"/>
    <w:rsid w:val="00D1578B"/>
    <w:rsid w:val="00D1604F"/>
    <w:rsid w:val="00D17726"/>
    <w:rsid w:val="00D20979"/>
    <w:rsid w:val="00D210B1"/>
    <w:rsid w:val="00D21C7B"/>
    <w:rsid w:val="00D30A84"/>
    <w:rsid w:val="00D32668"/>
    <w:rsid w:val="00D3348C"/>
    <w:rsid w:val="00D334A8"/>
    <w:rsid w:val="00D3545C"/>
    <w:rsid w:val="00D37620"/>
    <w:rsid w:val="00D41218"/>
    <w:rsid w:val="00D423A2"/>
    <w:rsid w:val="00D43955"/>
    <w:rsid w:val="00D44BFB"/>
    <w:rsid w:val="00D45D41"/>
    <w:rsid w:val="00D47E15"/>
    <w:rsid w:val="00D50F9F"/>
    <w:rsid w:val="00D61C50"/>
    <w:rsid w:val="00D61C67"/>
    <w:rsid w:val="00D63AC2"/>
    <w:rsid w:val="00D65540"/>
    <w:rsid w:val="00D731B6"/>
    <w:rsid w:val="00D7383B"/>
    <w:rsid w:val="00D74FC7"/>
    <w:rsid w:val="00D7502D"/>
    <w:rsid w:val="00D758F7"/>
    <w:rsid w:val="00D77BDE"/>
    <w:rsid w:val="00D86E9D"/>
    <w:rsid w:val="00D87CFF"/>
    <w:rsid w:val="00D9273F"/>
    <w:rsid w:val="00D93AD5"/>
    <w:rsid w:val="00D964B6"/>
    <w:rsid w:val="00D977F3"/>
    <w:rsid w:val="00D9781C"/>
    <w:rsid w:val="00DA231B"/>
    <w:rsid w:val="00DA23C4"/>
    <w:rsid w:val="00DA3904"/>
    <w:rsid w:val="00DB033E"/>
    <w:rsid w:val="00DB1F8E"/>
    <w:rsid w:val="00DB28FF"/>
    <w:rsid w:val="00DB31C9"/>
    <w:rsid w:val="00DB4547"/>
    <w:rsid w:val="00DB4E52"/>
    <w:rsid w:val="00DB757B"/>
    <w:rsid w:val="00DC0327"/>
    <w:rsid w:val="00DC116C"/>
    <w:rsid w:val="00DC1EC5"/>
    <w:rsid w:val="00DC3D11"/>
    <w:rsid w:val="00DC44C1"/>
    <w:rsid w:val="00DD5CE5"/>
    <w:rsid w:val="00DE24A2"/>
    <w:rsid w:val="00DE2BED"/>
    <w:rsid w:val="00DE4B9F"/>
    <w:rsid w:val="00DF24BB"/>
    <w:rsid w:val="00DF2B0F"/>
    <w:rsid w:val="00DF3EE5"/>
    <w:rsid w:val="00DF5254"/>
    <w:rsid w:val="00DF650F"/>
    <w:rsid w:val="00E0498D"/>
    <w:rsid w:val="00E15C57"/>
    <w:rsid w:val="00E16408"/>
    <w:rsid w:val="00E20894"/>
    <w:rsid w:val="00E23F64"/>
    <w:rsid w:val="00E245AB"/>
    <w:rsid w:val="00E26007"/>
    <w:rsid w:val="00E27244"/>
    <w:rsid w:val="00E2764C"/>
    <w:rsid w:val="00E27F2E"/>
    <w:rsid w:val="00E31EC6"/>
    <w:rsid w:val="00E36214"/>
    <w:rsid w:val="00E46664"/>
    <w:rsid w:val="00E509F2"/>
    <w:rsid w:val="00E50AFE"/>
    <w:rsid w:val="00E535E3"/>
    <w:rsid w:val="00E54522"/>
    <w:rsid w:val="00E54B61"/>
    <w:rsid w:val="00E560C7"/>
    <w:rsid w:val="00E560E5"/>
    <w:rsid w:val="00E62680"/>
    <w:rsid w:val="00E646F2"/>
    <w:rsid w:val="00E65F9A"/>
    <w:rsid w:val="00E6608E"/>
    <w:rsid w:val="00E73923"/>
    <w:rsid w:val="00E771DC"/>
    <w:rsid w:val="00E7799E"/>
    <w:rsid w:val="00E822E0"/>
    <w:rsid w:val="00E84ED8"/>
    <w:rsid w:val="00E8772A"/>
    <w:rsid w:val="00E90F6B"/>
    <w:rsid w:val="00E92C27"/>
    <w:rsid w:val="00E95401"/>
    <w:rsid w:val="00E97D30"/>
    <w:rsid w:val="00EA0E3D"/>
    <w:rsid w:val="00EA1C39"/>
    <w:rsid w:val="00EA2998"/>
    <w:rsid w:val="00EA3EE4"/>
    <w:rsid w:val="00EA3F18"/>
    <w:rsid w:val="00EA4566"/>
    <w:rsid w:val="00EA58B0"/>
    <w:rsid w:val="00EA6726"/>
    <w:rsid w:val="00EA7F2B"/>
    <w:rsid w:val="00EB5063"/>
    <w:rsid w:val="00EB5A4F"/>
    <w:rsid w:val="00EB6F89"/>
    <w:rsid w:val="00EC3065"/>
    <w:rsid w:val="00EC3E81"/>
    <w:rsid w:val="00ED17A1"/>
    <w:rsid w:val="00ED3486"/>
    <w:rsid w:val="00ED3B18"/>
    <w:rsid w:val="00ED4E14"/>
    <w:rsid w:val="00EE0FBA"/>
    <w:rsid w:val="00EE1AA8"/>
    <w:rsid w:val="00EE375A"/>
    <w:rsid w:val="00EE3D19"/>
    <w:rsid w:val="00EF50C4"/>
    <w:rsid w:val="00EF79B4"/>
    <w:rsid w:val="00F02521"/>
    <w:rsid w:val="00F11B5A"/>
    <w:rsid w:val="00F12C82"/>
    <w:rsid w:val="00F12F3B"/>
    <w:rsid w:val="00F15E45"/>
    <w:rsid w:val="00F16AEE"/>
    <w:rsid w:val="00F209C9"/>
    <w:rsid w:val="00F23EB3"/>
    <w:rsid w:val="00F31A90"/>
    <w:rsid w:val="00F31D83"/>
    <w:rsid w:val="00F31EDC"/>
    <w:rsid w:val="00F3368B"/>
    <w:rsid w:val="00F34E15"/>
    <w:rsid w:val="00F34E86"/>
    <w:rsid w:val="00F363D6"/>
    <w:rsid w:val="00F36DED"/>
    <w:rsid w:val="00F42C69"/>
    <w:rsid w:val="00F462B3"/>
    <w:rsid w:val="00F47D68"/>
    <w:rsid w:val="00F5052F"/>
    <w:rsid w:val="00F50E0A"/>
    <w:rsid w:val="00F518BD"/>
    <w:rsid w:val="00F52B63"/>
    <w:rsid w:val="00F5664F"/>
    <w:rsid w:val="00F60878"/>
    <w:rsid w:val="00F609F1"/>
    <w:rsid w:val="00F666C4"/>
    <w:rsid w:val="00F70158"/>
    <w:rsid w:val="00F76AFC"/>
    <w:rsid w:val="00F82972"/>
    <w:rsid w:val="00F83912"/>
    <w:rsid w:val="00F83C2F"/>
    <w:rsid w:val="00F85C37"/>
    <w:rsid w:val="00F87781"/>
    <w:rsid w:val="00F879D4"/>
    <w:rsid w:val="00F94D8E"/>
    <w:rsid w:val="00F95B8D"/>
    <w:rsid w:val="00FA259D"/>
    <w:rsid w:val="00FA28AD"/>
    <w:rsid w:val="00FA5678"/>
    <w:rsid w:val="00FA5BF7"/>
    <w:rsid w:val="00FB5007"/>
    <w:rsid w:val="00FB5DD1"/>
    <w:rsid w:val="00FB7BE6"/>
    <w:rsid w:val="00FC2B5D"/>
    <w:rsid w:val="00FC351D"/>
    <w:rsid w:val="00FC4388"/>
    <w:rsid w:val="00FD2771"/>
    <w:rsid w:val="00FD37B4"/>
    <w:rsid w:val="00FD55B7"/>
    <w:rsid w:val="00FD5D77"/>
    <w:rsid w:val="00FD69B0"/>
    <w:rsid w:val="00FE0230"/>
    <w:rsid w:val="00FE2951"/>
    <w:rsid w:val="00FE5547"/>
    <w:rsid w:val="00FF0A12"/>
    <w:rsid w:val="00FF1449"/>
    <w:rsid w:val="00FF18E0"/>
    <w:rsid w:val="04CAD13D"/>
    <w:rsid w:val="08E33CA4"/>
    <w:rsid w:val="0937D154"/>
    <w:rsid w:val="11321688"/>
    <w:rsid w:val="2A2F0784"/>
    <w:rsid w:val="4454F4C3"/>
    <w:rsid w:val="594EC5B1"/>
    <w:rsid w:val="61B4E4DE"/>
    <w:rsid w:val="6F7283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styleId="HeaderChar" w:customStyle="1">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styleId="FooterChar" w:customStyle="1">
    <w:name w:val="Footer Char"/>
    <w:basedOn w:val="DefaultParagraphFont"/>
    <w:link w:val="Footer"/>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FootnoteTextChar" w:customStyle="1">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styleId="TextonotapieCar1" w:customStyle="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styleId="normaltextrun" w:customStyle="1">
    <w:name w:val="normaltextrun"/>
    <w:basedOn w:val="DefaultParagraphFont"/>
    <w:rsid w:val="006219F8"/>
  </w:style>
  <w:style w:type="table" w:styleId="TableGrid">
    <w:name w:val="Table Grid"/>
    <w:basedOn w:val="Table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1"/>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itleChar" w:customStyle="1">
    <w:name w:val="Title Char"/>
    <w:basedOn w:val="DefaultParagraphFont"/>
    <w:link w:val="Title"/>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DefaultParagraphFont"/>
    <w:rsid w:val="00322A85"/>
  </w:style>
  <w:style w:type="character" w:styleId="eop" w:customStyle="1">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styleId="ListParagraphChar" w:customStyle="1">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1"/>
    <w:qFormat/>
    <w:locked/>
    <w:rsid w:val="00FD5D77"/>
    <w:rPr>
      <w:rFonts w:ascii="Geomanist Light" w:hAnsi="Geomanist Light"/>
      <w:lang w:val="es-ES"/>
    </w:rPr>
  </w:style>
  <w:style w:type="paragraph" w:styleId="Appelnotedebasde" w:customStyle="1">
    <w:name w:val="Appel note de bas de..."/>
    <w:basedOn w:val="Normal"/>
    <w:link w:val="FootnoteReference"/>
    <w:uiPriority w:val="99"/>
    <w:rsid w:val="00FD5D77"/>
    <w:pPr>
      <w:spacing w:line="240" w:lineRule="exact"/>
    </w:pPr>
    <w:rPr>
      <w:vertAlign w:val="superscript"/>
    </w:rPr>
  </w:style>
  <w:style w:type="character" w:styleId="wacimagecontainer" w:customStyle="1">
    <w:name w:val="wacimagecontainer"/>
    <w:basedOn w:val="DefaultParagraphFont"/>
    <w:rsid w:val="00FD5D77"/>
  </w:style>
  <w:style w:type="character" w:styleId="Strong">
    <w:name w:val="Strong"/>
    <w:basedOn w:val="DefaultParagraphFont"/>
    <w:uiPriority w:val="22"/>
    <w:qFormat/>
    <w:rsid w:val="00FD5D77"/>
    <w:rPr>
      <w:b/>
      <w:bCs/>
    </w:rPr>
  </w:style>
  <w:style w:type="character" w:styleId="NormalWebChar" w:customStyle="1">
    <w:name w:val="Normal (Web) Char"/>
    <w:link w:val="NormalWeb"/>
    <w:uiPriority w:val="99"/>
    <w:rsid w:val="00FD5D77"/>
    <w:rPr>
      <w:rFonts w:ascii="Times New Roman" w:hAnsi="Times New Roman" w:eastAsia="Times New Roman" w:cs="Times New Roman"/>
      <w:sz w:val="24"/>
      <w:szCs w:val="24"/>
      <w:lang w:eastAsia="es-CO"/>
    </w:rPr>
  </w:style>
  <w:style w:type="paragraph" w:styleId="BodyText">
    <w:name w:val="Body Text"/>
    <w:basedOn w:val="Normal"/>
    <w:link w:val="BodyTextChar"/>
    <w:uiPriority w:val="99"/>
    <w:unhideWhenUsed/>
    <w:rsid w:val="00FD5D77"/>
    <w:pPr>
      <w:spacing w:after="120" w:line="276" w:lineRule="auto"/>
    </w:pPr>
    <w:rPr>
      <w:rFonts w:eastAsiaTheme="minorEastAsia"/>
      <w:lang w:eastAsia="es-CO"/>
    </w:rPr>
  </w:style>
  <w:style w:type="character" w:styleId="BodyTextChar" w:customStyle="1">
    <w:name w:val="Body Text Char"/>
    <w:basedOn w:val="DefaultParagraphFont"/>
    <w:link w:val="BodyText"/>
    <w:uiPriority w:val="99"/>
    <w:rsid w:val="00FD5D77"/>
    <w:rPr>
      <w:rFonts w:eastAsiaTheme="minorEastAsia"/>
      <w:lang w:eastAsia="es-CO"/>
    </w:rPr>
  </w:style>
  <w:style w:type="character" w:styleId="CommentReference">
    <w:name w:val="annotation reference"/>
    <w:basedOn w:val="DefaultParagraphFont"/>
    <w:uiPriority w:val="99"/>
    <w:semiHidden/>
    <w:unhideWhenUsed/>
    <w:rsid w:val="00984927"/>
    <w:rPr>
      <w:sz w:val="16"/>
      <w:szCs w:val="16"/>
    </w:rPr>
  </w:style>
  <w:style w:type="paragraph" w:styleId="CommentText">
    <w:name w:val="annotation text"/>
    <w:basedOn w:val="Normal"/>
    <w:link w:val="CommentTextChar"/>
    <w:uiPriority w:val="99"/>
    <w:unhideWhenUsed/>
    <w:rsid w:val="00984927"/>
    <w:pPr>
      <w:spacing w:line="240" w:lineRule="auto"/>
    </w:pPr>
    <w:rPr>
      <w:sz w:val="20"/>
      <w:szCs w:val="20"/>
    </w:rPr>
  </w:style>
  <w:style w:type="character" w:styleId="CommentTextChar" w:customStyle="1">
    <w:name w:val="Comment Text Char"/>
    <w:basedOn w:val="DefaultParagraphFont"/>
    <w:link w:val="CommentText"/>
    <w:uiPriority w:val="99"/>
    <w:rsid w:val="00984927"/>
    <w:rPr>
      <w:sz w:val="20"/>
      <w:szCs w:val="20"/>
    </w:rPr>
  </w:style>
  <w:style w:type="paragraph" w:styleId="CommentSubject">
    <w:name w:val="annotation subject"/>
    <w:basedOn w:val="CommentText"/>
    <w:next w:val="CommentText"/>
    <w:link w:val="CommentSubjectChar"/>
    <w:uiPriority w:val="99"/>
    <w:semiHidden/>
    <w:unhideWhenUsed/>
    <w:rsid w:val="00984927"/>
    <w:rPr>
      <w:b/>
      <w:bCs/>
    </w:rPr>
  </w:style>
  <w:style w:type="character" w:styleId="CommentSubjectChar" w:customStyle="1">
    <w:name w:val="Comment Subject Char"/>
    <w:basedOn w:val="CommentTextChar"/>
    <w:link w:val="CommentSubject"/>
    <w:uiPriority w:val="99"/>
    <w:semiHidden/>
    <w:rsid w:val="00984927"/>
    <w:rPr>
      <w:b/>
      <w:bCs/>
      <w:sz w:val="20"/>
      <w:szCs w:val="20"/>
    </w:rPr>
  </w:style>
  <w:style w:type="character" w:styleId="Emphasis">
    <w:name w:val="Emphasis"/>
    <w:basedOn w:val="DefaultParagraphFont"/>
    <w:uiPriority w:val="20"/>
    <w:qFormat/>
    <w:rsid w:val="009849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573699">
      <w:bodyDiv w:val="1"/>
      <w:marLeft w:val="0"/>
      <w:marRight w:val="0"/>
      <w:marTop w:val="0"/>
      <w:marBottom w:val="0"/>
      <w:divBdr>
        <w:top w:val="none" w:sz="0" w:space="0" w:color="auto"/>
        <w:left w:val="none" w:sz="0" w:space="0" w:color="auto"/>
        <w:bottom w:val="none" w:sz="0" w:space="0" w:color="auto"/>
        <w:right w:val="none" w:sz="0" w:space="0" w:color="auto"/>
      </w:divBdr>
    </w:div>
    <w:div w:id="619143094">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57155180">
      <w:bodyDiv w:val="1"/>
      <w:marLeft w:val="0"/>
      <w:marRight w:val="0"/>
      <w:marTop w:val="0"/>
      <w:marBottom w:val="0"/>
      <w:divBdr>
        <w:top w:val="none" w:sz="0" w:space="0" w:color="auto"/>
        <w:left w:val="none" w:sz="0" w:space="0" w:color="auto"/>
        <w:bottom w:val="none" w:sz="0" w:space="0" w:color="auto"/>
        <w:right w:val="none" w:sz="0" w:space="0" w:color="auto"/>
      </w:divBdr>
    </w:div>
    <w:div w:id="963272272">
      <w:bodyDiv w:val="1"/>
      <w:marLeft w:val="0"/>
      <w:marRight w:val="0"/>
      <w:marTop w:val="0"/>
      <w:marBottom w:val="0"/>
      <w:divBdr>
        <w:top w:val="none" w:sz="0" w:space="0" w:color="auto"/>
        <w:left w:val="none" w:sz="0" w:space="0" w:color="auto"/>
        <w:bottom w:val="none" w:sz="0" w:space="0" w:color="auto"/>
        <w:right w:val="none" w:sz="0" w:space="0" w:color="auto"/>
      </w:divBdr>
    </w:div>
    <w:div w:id="96484819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011420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852329725">
      <w:bodyDiv w:val="1"/>
      <w:marLeft w:val="0"/>
      <w:marRight w:val="0"/>
      <w:marTop w:val="0"/>
      <w:marBottom w:val="0"/>
      <w:divBdr>
        <w:top w:val="none" w:sz="0" w:space="0" w:color="auto"/>
        <w:left w:val="none" w:sz="0" w:space="0" w:color="auto"/>
        <w:bottom w:val="none" w:sz="0" w:space="0" w:color="auto"/>
        <w:right w:val="none" w:sz="0" w:space="0" w:color="auto"/>
      </w:divBdr>
    </w:div>
    <w:div w:id="205962006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3.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Ana Maria Ortiz Ballesteros</DisplayName>
        <AccountId>645</AccountId>
        <AccountType/>
      </UserInfo>
      <UserInfo>
        <DisplayName>Alejandro Sarmiento</DisplayName>
        <AccountId>119</AccountId>
        <AccountType/>
      </UserInfo>
      <UserInfo>
        <DisplayName>Nohelia Del Carmen Zawady Palacio</DisplayName>
        <AccountId>289</AccountId>
        <AccountType/>
      </UserInfo>
    </SharedWithUsers>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51ffb7fd-4899-4472-8c42-8dade94ea362"/>
  </ds:schemaRefs>
</ds:datastoreItem>
</file>

<file path=customXml/itemProps2.xml><?xml version="1.0" encoding="utf-8"?>
<ds:datastoreItem xmlns:ds="http://schemas.openxmlformats.org/officeDocument/2006/customXml" ds:itemID="{7DEE9A49-F1AD-481E-B21F-B50F68D2A599}"/>
</file>

<file path=customXml/itemProps3.xml><?xml version="1.0" encoding="utf-8"?>
<ds:datastoreItem xmlns:ds="http://schemas.openxmlformats.org/officeDocument/2006/customXml" ds:itemID="{43A8335E-2BC0-BB4A-A5CB-FB16BF5464C6}">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Ana Maria Ortiz Ballesteros</lastModifiedBy>
  <revision>182</revision>
  <lastPrinted>2023-01-10T21:18:00.0000000Z</lastPrinted>
  <dcterms:created xsi:type="dcterms:W3CDTF">2024-02-21T12:43:00.0000000Z</dcterms:created>
  <dcterms:modified xsi:type="dcterms:W3CDTF">2024-02-21T20:46:01.9767119Z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