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C427" w14:textId="77777777" w:rsidR="00011028" w:rsidRPr="00BE151B" w:rsidRDefault="00011028" w:rsidP="00011028">
      <w:pPr>
        <w:spacing w:after="0" w:line="240" w:lineRule="auto"/>
        <w:jc w:val="both"/>
        <w:rPr>
          <w:rFonts w:ascii="Verdana" w:eastAsia="Calibri" w:hAnsi="Verdana" w:cs="Arial"/>
          <w:b/>
          <w:bCs/>
          <w:color w:val="000000"/>
          <w:kern w:val="2"/>
          <w14:ligatures w14:val="standardContextual"/>
        </w:rPr>
      </w:pPr>
      <w:r>
        <w:rPr>
          <w:rFonts w:ascii="Verdana" w:eastAsia="Calibri" w:hAnsi="Verdana" w:cs="Arial"/>
          <w:b/>
          <w:bCs/>
          <w:color w:val="000000"/>
          <w:kern w:val="2"/>
          <w14:ligatures w14:val="standardContextual"/>
        </w:rPr>
        <w:t xml:space="preserve">SOCIEDADES DE ECONOMÍA MIXTA </w:t>
      </w:r>
      <w:r w:rsidRPr="0078487A">
        <w:rPr>
          <w:rFonts w:ascii="Verdana" w:eastAsia="Calibri" w:hAnsi="Verdana" w:cs="Arial"/>
          <w:b/>
          <w:color w:val="000000"/>
          <w:kern w:val="2"/>
          <w14:ligatures w14:val="standardContextual"/>
        </w:rPr>
        <w:t xml:space="preserve">– </w:t>
      </w:r>
      <w:r>
        <w:rPr>
          <w:rFonts w:ascii="Verdana" w:eastAsia="Calibri" w:hAnsi="Verdana" w:cs="Arial"/>
          <w:b/>
          <w:bCs/>
          <w:color w:val="000000"/>
          <w:kern w:val="2"/>
          <w14:ligatures w14:val="standardContextual"/>
        </w:rPr>
        <w:t>E</w:t>
      </w:r>
      <w:r w:rsidRPr="00414E71">
        <w:rPr>
          <w:rFonts w:ascii="Verdana" w:eastAsia="Calibri" w:hAnsi="Verdana" w:cs="Arial"/>
          <w:b/>
          <w:bCs/>
          <w:color w:val="000000"/>
          <w:kern w:val="2"/>
          <w14:ligatures w14:val="standardContextual"/>
        </w:rPr>
        <w:t>ntidades públicas del sector descentralizado por servicios</w:t>
      </w:r>
      <w:r>
        <w:rPr>
          <w:rFonts w:ascii="Verdana" w:eastAsia="Calibri" w:hAnsi="Verdana" w:cs="Arial"/>
          <w:b/>
          <w:bCs/>
          <w:color w:val="000000"/>
          <w:kern w:val="2"/>
          <w14:ligatures w14:val="standardContextual"/>
        </w:rPr>
        <w:t xml:space="preserve">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Personas que prestan sus servicios – Servidores Públicos  </w:t>
      </w:r>
    </w:p>
    <w:p w14:paraId="40B2CA5C" w14:textId="77777777" w:rsidR="00011028" w:rsidRPr="00BE151B" w:rsidRDefault="00011028" w:rsidP="00011028">
      <w:pPr>
        <w:spacing w:after="0" w:line="240" w:lineRule="auto"/>
        <w:jc w:val="both"/>
        <w:rPr>
          <w:rFonts w:ascii="Verdana" w:eastAsia="Calibri" w:hAnsi="Verdana" w:cs="Arial"/>
          <w:b/>
          <w:bCs/>
          <w:color w:val="000000"/>
          <w:kern w:val="2"/>
          <w14:ligatures w14:val="standardContextual"/>
        </w:rPr>
      </w:pPr>
    </w:p>
    <w:p w14:paraId="2609FC20" w14:textId="77777777" w:rsidR="00011028" w:rsidRPr="00BE151B" w:rsidRDefault="00011028" w:rsidP="00011028">
      <w:pPr>
        <w:spacing w:after="0" w:line="240" w:lineRule="auto"/>
        <w:jc w:val="both"/>
        <w:rPr>
          <w:rFonts w:ascii="Verdana" w:eastAsia="Calibri" w:hAnsi="Verdana" w:cs="Arial"/>
          <w:color w:val="000000"/>
          <w:kern w:val="2"/>
          <w:sz w:val="20"/>
          <w:szCs w:val="20"/>
          <w14:ligatures w14:val="standardContextual"/>
        </w:rPr>
      </w:pPr>
      <w:r w:rsidRPr="00A9433E">
        <w:rPr>
          <w:rFonts w:ascii="Verdana" w:eastAsia="Calibri" w:hAnsi="Verdana" w:cs="Arial"/>
          <w:color w:val="000000"/>
          <w:kern w:val="2"/>
          <w:sz w:val="20"/>
          <w:szCs w:val="20"/>
          <w14:ligatures w14:val="standardContextual"/>
        </w:rPr>
        <w:t>En virtud del criterio orgánico del artículo 123 de la Constitución Política de 1991, según el cual, "son servidores públicos los miembros de las corporaciones públicas, los empleados y trabajadores del Estado y de sus entidades descentralizadas territorialmente y por servicios" [resaltado por fuera de texto legal], y en consideración a que, de conformidad con el artículo 38.2 literal f) de la Ley 489 de 1998, en concordancia con el artículo 68 ibidem, las sociedades de economía mixta son entidades descentralizadas por servicios que integran la Rama Ejecutiva del Poder Público en el orden nacional, las personas naturales que prestan sus servicios en dichas sociedades comerciales, vinculados mediante contrato de trabajo, adquieren la condición de servidores públicos de naturaleza especial.</w:t>
      </w:r>
    </w:p>
    <w:p w14:paraId="681A13CA" w14:textId="77777777" w:rsidR="00011028" w:rsidRPr="00BE151B" w:rsidRDefault="00011028" w:rsidP="00011028">
      <w:pPr>
        <w:spacing w:after="0" w:line="240" w:lineRule="auto"/>
        <w:jc w:val="both"/>
        <w:rPr>
          <w:rFonts w:ascii="Verdana" w:eastAsia="Calibri" w:hAnsi="Verdana" w:cs="Arial"/>
          <w:color w:val="000000"/>
          <w:kern w:val="2"/>
          <w:sz w:val="20"/>
          <w:szCs w:val="20"/>
          <w14:ligatures w14:val="standardContextual"/>
        </w:rPr>
      </w:pPr>
    </w:p>
    <w:p w14:paraId="4B76271D" w14:textId="77777777" w:rsidR="00011028" w:rsidRDefault="00011028" w:rsidP="00011028">
      <w:pPr>
        <w:spacing w:after="0" w:line="240" w:lineRule="auto"/>
        <w:jc w:val="both"/>
        <w:rPr>
          <w:rFonts w:ascii="Verdana" w:eastAsia="Calibri" w:hAnsi="Verdana" w:cs="Arial"/>
          <w:b/>
          <w:color w:val="000000"/>
          <w:kern w:val="2"/>
          <w14:ligatures w14:val="standardContextual"/>
        </w:rPr>
      </w:pPr>
      <w:r w:rsidRPr="0078487A">
        <w:rPr>
          <w:rFonts w:ascii="Verdana" w:eastAsia="Calibri" w:hAnsi="Verdana" w:cs="Arial"/>
          <w:b/>
          <w:color w:val="000000"/>
          <w:kern w:val="2"/>
          <w14:ligatures w14:val="standardContextual"/>
        </w:rPr>
        <w:t xml:space="preserve">INHABILIDADES E INCOMPATIBILIDADES – Ley 80 de 1993 – Numeral </w:t>
      </w:r>
      <w:r>
        <w:rPr>
          <w:rFonts w:ascii="Verdana" w:eastAsia="Calibri" w:hAnsi="Verdana" w:cs="Arial"/>
          <w:b/>
          <w:color w:val="000000"/>
          <w:kern w:val="2"/>
          <w14:ligatures w14:val="standardContextual"/>
        </w:rPr>
        <w:t>1</w:t>
      </w:r>
      <w:r w:rsidRPr="0078487A">
        <w:rPr>
          <w:rFonts w:ascii="Verdana" w:eastAsia="Calibri" w:hAnsi="Verdana" w:cs="Arial"/>
          <w:b/>
          <w:color w:val="000000"/>
          <w:kern w:val="2"/>
          <w14:ligatures w14:val="standardContextual"/>
        </w:rPr>
        <w:t xml:space="preserve">, literal </w:t>
      </w:r>
      <w:r>
        <w:rPr>
          <w:rFonts w:ascii="Verdana" w:eastAsia="Calibri" w:hAnsi="Verdana" w:cs="Arial"/>
          <w:b/>
          <w:color w:val="000000"/>
          <w:kern w:val="2"/>
          <w14:ligatures w14:val="standardContextual"/>
        </w:rPr>
        <w:t>f</w:t>
      </w:r>
      <w:r w:rsidRPr="0078487A">
        <w:rPr>
          <w:rFonts w:ascii="Verdana" w:eastAsia="Calibri" w:hAnsi="Verdana" w:cs="Arial"/>
          <w:b/>
          <w:color w:val="000000"/>
          <w:kern w:val="2"/>
          <w14:ligatures w14:val="standardContextual"/>
        </w:rPr>
        <w:t xml:space="preserve">) – </w:t>
      </w:r>
      <w:r>
        <w:rPr>
          <w:rFonts w:ascii="Verdana" w:eastAsia="Calibri" w:hAnsi="Verdana" w:cs="Arial"/>
          <w:b/>
          <w:color w:val="000000"/>
          <w:kern w:val="2"/>
          <w14:ligatures w14:val="standardContextual"/>
        </w:rPr>
        <w:t>Restricción para contratar para S</w:t>
      </w:r>
      <w:r w:rsidRPr="0078487A">
        <w:rPr>
          <w:rFonts w:ascii="Verdana" w:eastAsia="Calibri" w:hAnsi="Verdana" w:cs="Arial"/>
          <w:b/>
          <w:color w:val="000000"/>
          <w:kern w:val="2"/>
          <w14:ligatures w14:val="standardContextual"/>
        </w:rPr>
        <w:t xml:space="preserve">ervidor público – </w:t>
      </w:r>
      <w:r>
        <w:rPr>
          <w:rFonts w:ascii="Verdana" w:eastAsia="Calibri" w:hAnsi="Verdana" w:cs="Arial"/>
          <w:b/>
          <w:color w:val="000000"/>
          <w:kern w:val="2"/>
          <w14:ligatures w14:val="standardContextual"/>
        </w:rPr>
        <w:t xml:space="preserve">Fundamento artículo 127 superior </w:t>
      </w:r>
      <w:r w:rsidRPr="0078487A">
        <w:rPr>
          <w:rFonts w:ascii="Verdana" w:eastAsia="Calibri" w:hAnsi="Verdana" w:cs="Arial"/>
          <w:b/>
          <w:color w:val="000000"/>
          <w:kern w:val="2"/>
          <w14:ligatures w14:val="standardContextual"/>
        </w:rPr>
        <w:t>–</w:t>
      </w:r>
      <w:r>
        <w:rPr>
          <w:rFonts w:ascii="Verdana" w:eastAsia="Calibri" w:hAnsi="Verdana" w:cs="Arial"/>
          <w:b/>
          <w:color w:val="000000"/>
          <w:kern w:val="2"/>
          <w14:ligatures w14:val="standardContextual"/>
        </w:rPr>
        <w:t xml:space="preserve"> Excepciones </w:t>
      </w:r>
    </w:p>
    <w:p w14:paraId="0EC7719C" w14:textId="77777777" w:rsidR="00011028" w:rsidRPr="00BE151B" w:rsidRDefault="00011028" w:rsidP="00011028">
      <w:pPr>
        <w:spacing w:after="0" w:line="240" w:lineRule="auto"/>
        <w:jc w:val="both"/>
        <w:rPr>
          <w:rFonts w:ascii="Verdana" w:eastAsia="Calibri" w:hAnsi="Verdana" w:cs="Arial"/>
          <w:b/>
          <w:color w:val="000000"/>
          <w:kern w:val="2"/>
          <w14:ligatures w14:val="standardContextual"/>
        </w:rPr>
      </w:pPr>
    </w:p>
    <w:p w14:paraId="145E1AA2" w14:textId="77777777" w:rsidR="00011028" w:rsidRDefault="00011028" w:rsidP="00011028">
      <w:pPr>
        <w:spacing w:after="0" w:line="240" w:lineRule="auto"/>
        <w:jc w:val="both"/>
        <w:rPr>
          <w:rFonts w:ascii="Verdana" w:eastAsia="Calibri" w:hAnsi="Verdana" w:cs="Arial"/>
          <w:color w:val="000000"/>
          <w:kern w:val="2"/>
          <w:sz w:val="20"/>
          <w:szCs w:val="20"/>
          <w14:ligatures w14:val="standardContextual"/>
        </w:rPr>
      </w:pPr>
      <w:r w:rsidRPr="002D0EEB">
        <w:rPr>
          <w:rFonts w:ascii="Verdana" w:eastAsia="Calibri" w:hAnsi="Verdana" w:cs="Arial"/>
          <w:color w:val="000000"/>
          <w:kern w:val="2"/>
          <w:sz w:val="20"/>
          <w:szCs w:val="20"/>
          <w14:ligatures w14:val="standardContextual"/>
        </w:rPr>
        <w:t>En atención a lo dicho, en virtud de lo dispuesto en el literal f) del numeral 1 del artículo 8 de la Ley 80 de 1993 son inhábiles para celebrar contratos con las entidades estatales los servidores públicos, dentro de los que se ubican los trabajadores oficiales de las Sociedades de Economía Mixta con participación mayoritaria pública, vinculados mediante contrato de trabajo.</w:t>
      </w:r>
    </w:p>
    <w:p w14:paraId="79306BBA" w14:textId="77777777" w:rsidR="00011028" w:rsidRPr="002D0EEB" w:rsidRDefault="00011028" w:rsidP="00011028">
      <w:pPr>
        <w:spacing w:after="0" w:line="240" w:lineRule="auto"/>
        <w:jc w:val="both"/>
        <w:rPr>
          <w:rFonts w:ascii="Verdana" w:eastAsia="Calibri" w:hAnsi="Verdana" w:cs="Arial"/>
          <w:color w:val="000000"/>
          <w:kern w:val="2"/>
          <w:sz w:val="20"/>
          <w:szCs w:val="20"/>
          <w14:ligatures w14:val="standardContextual"/>
        </w:rPr>
      </w:pPr>
    </w:p>
    <w:p w14:paraId="51A1A539" w14:textId="77777777" w:rsidR="00011028" w:rsidRDefault="00011028" w:rsidP="00011028">
      <w:pPr>
        <w:spacing w:after="0" w:line="240" w:lineRule="auto"/>
        <w:jc w:val="both"/>
        <w:rPr>
          <w:rFonts w:ascii="Verdana" w:eastAsia="Calibri" w:hAnsi="Verdana" w:cs="Arial"/>
          <w:color w:val="000000"/>
          <w:kern w:val="2"/>
          <w:sz w:val="20"/>
          <w:szCs w:val="20"/>
          <w14:ligatures w14:val="standardContextual"/>
        </w:rPr>
      </w:pPr>
      <w:r w:rsidRPr="002D0EEB">
        <w:rPr>
          <w:rFonts w:ascii="Verdana" w:eastAsia="Calibri" w:hAnsi="Verdana" w:cs="Arial"/>
          <w:color w:val="000000"/>
          <w:kern w:val="2"/>
          <w:sz w:val="20"/>
          <w:szCs w:val="20"/>
          <w14:ligatures w14:val="standardContextual"/>
        </w:rPr>
        <w:t>La restricción a la capacidad contractual que deviene de esta causal encuentra fundamento en la prohibición de orden constitucional consagrada en el artículo 127 superior, que establece que “los servidores públicos no podrán celebrar, por sí o por interpuesta persona, o en representación de otro, contrato alguno con entidades públicas o con personas privadas que manejen o administren recursos públicos, salvo las excepciones legales”.</w:t>
      </w:r>
    </w:p>
    <w:p w14:paraId="414C4FDA" w14:textId="77777777" w:rsidR="00011028" w:rsidRPr="002D0EEB" w:rsidRDefault="00011028" w:rsidP="00011028">
      <w:pPr>
        <w:spacing w:after="0" w:line="240" w:lineRule="auto"/>
        <w:jc w:val="both"/>
        <w:rPr>
          <w:rFonts w:ascii="Verdana" w:eastAsia="Calibri" w:hAnsi="Verdana" w:cs="Arial"/>
          <w:color w:val="000000"/>
          <w:kern w:val="2"/>
          <w:sz w:val="20"/>
          <w:szCs w:val="20"/>
          <w14:ligatures w14:val="standardContextual"/>
        </w:rPr>
      </w:pPr>
    </w:p>
    <w:p w14:paraId="27A0375D" w14:textId="77777777" w:rsidR="00011028" w:rsidRPr="002D0EEB" w:rsidRDefault="00011028" w:rsidP="00011028">
      <w:pPr>
        <w:spacing w:after="0" w:line="240" w:lineRule="auto"/>
        <w:jc w:val="both"/>
        <w:rPr>
          <w:rFonts w:ascii="Verdana" w:eastAsia="Calibri" w:hAnsi="Verdana" w:cs="Arial"/>
          <w:color w:val="000000"/>
          <w:kern w:val="2"/>
          <w:sz w:val="20"/>
          <w:szCs w:val="20"/>
          <w14:ligatures w14:val="standardContextual"/>
        </w:rPr>
      </w:pPr>
      <w:r w:rsidRPr="002D0EEB">
        <w:rPr>
          <w:rFonts w:ascii="Verdana" w:eastAsia="Calibri" w:hAnsi="Verdana" w:cs="Arial"/>
          <w:color w:val="000000"/>
          <w:kern w:val="2"/>
          <w:sz w:val="20"/>
          <w:szCs w:val="20"/>
          <w14:ligatures w14:val="standardContextual"/>
        </w:rPr>
        <w:t>No obstante, aun cuando los servidores públicos, por regla general, no pueden celebrar contratos con las entidades públicas, ni con entidades privadas que administren recursos públicos, existen excepciones que consagra el artículo 10 de la Ley 80 de 1993, bajo los siguiente supuestos: i) cuando lo hagan por obligación legal, o ii) para usar bienes o servicios que las entidades ofrezcan al público en condiciones comunes a quienes lo soliciten, o iii) para adquirir la propiedad accionaria del Estado</w:t>
      </w:r>
      <w:r>
        <w:rPr>
          <w:rFonts w:ascii="Verdana" w:eastAsia="Calibri" w:hAnsi="Verdana" w:cs="Arial"/>
          <w:color w:val="000000"/>
          <w:kern w:val="2"/>
          <w:sz w:val="20"/>
          <w:szCs w:val="20"/>
          <w14:ligatures w14:val="standardContextual"/>
        </w:rPr>
        <w:t>.</w:t>
      </w:r>
    </w:p>
    <w:p w14:paraId="4878A41B" w14:textId="77777777" w:rsidR="00011028" w:rsidRPr="002D0EEB" w:rsidRDefault="00011028" w:rsidP="00011028">
      <w:pPr>
        <w:spacing w:after="0" w:line="240" w:lineRule="auto"/>
        <w:jc w:val="both"/>
        <w:rPr>
          <w:rFonts w:ascii="Verdana" w:eastAsia="Calibri" w:hAnsi="Verdana" w:cs="Arial"/>
          <w:color w:val="000000"/>
          <w:kern w:val="2"/>
          <w:sz w:val="20"/>
          <w:szCs w:val="20"/>
          <w14:ligatures w14:val="standardContextual"/>
        </w:rPr>
      </w:pPr>
    </w:p>
    <w:p w14:paraId="573C77EC" w14:textId="77777777" w:rsidR="00011028" w:rsidRDefault="00011028" w:rsidP="00011028">
      <w:pPr>
        <w:spacing w:after="0" w:line="240" w:lineRule="auto"/>
        <w:jc w:val="both"/>
        <w:rPr>
          <w:rFonts w:ascii="Verdana" w:hAnsi="Verdana" w:cs="Arial"/>
          <w:sz w:val="20"/>
          <w:szCs w:val="20"/>
          <w:lang w:eastAsia="es-ES"/>
        </w:rPr>
      </w:pPr>
    </w:p>
    <w:p w14:paraId="45D189F3" w14:textId="77777777" w:rsidR="00011028" w:rsidRDefault="00011028" w:rsidP="00011028">
      <w:pPr>
        <w:spacing w:after="0" w:line="240" w:lineRule="auto"/>
        <w:rPr>
          <w:rFonts w:ascii="Verdana" w:eastAsia="Times New Roman" w:hAnsi="Verdana" w:cs="Arial"/>
          <w:lang w:eastAsia="es-ES_tradnl"/>
        </w:rPr>
      </w:pPr>
    </w:p>
    <w:p w14:paraId="12A61ABA" w14:textId="77777777" w:rsidR="00011028" w:rsidRDefault="00011028" w:rsidP="00011028">
      <w:pPr>
        <w:spacing w:after="0" w:line="240" w:lineRule="auto"/>
        <w:rPr>
          <w:rFonts w:ascii="Verdana" w:eastAsia="Times New Roman" w:hAnsi="Verdana" w:cs="Arial"/>
          <w:lang w:eastAsia="es-ES_tradnl"/>
        </w:rPr>
      </w:pPr>
    </w:p>
    <w:p w14:paraId="095C172F" w14:textId="77777777" w:rsidR="00011028" w:rsidRDefault="00011028" w:rsidP="00011028">
      <w:pPr>
        <w:spacing w:after="0" w:line="240" w:lineRule="auto"/>
        <w:rPr>
          <w:rFonts w:ascii="Verdana" w:eastAsia="Times New Roman" w:hAnsi="Verdana" w:cs="Arial"/>
          <w:lang w:eastAsia="es-ES_tradnl"/>
        </w:rPr>
      </w:pPr>
    </w:p>
    <w:p w14:paraId="2CF20FBC" w14:textId="77777777" w:rsidR="00011028" w:rsidRDefault="00011028" w:rsidP="00011028">
      <w:pPr>
        <w:spacing w:after="0" w:line="240" w:lineRule="auto"/>
        <w:rPr>
          <w:rFonts w:ascii="Verdana" w:eastAsia="Times New Roman" w:hAnsi="Verdana" w:cs="Arial"/>
          <w:lang w:eastAsia="es-ES_tradnl"/>
        </w:rPr>
      </w:pPr>
    </w:p>
    <w:p w14:paraId="5D5278D6" w14:textId="77777777" w:rsidR="00011028" w:rsidRDefault="00011028" w:rsidP="00011028">
      <w:pPr>
        <w:spacing w:after="0" w:line="240" w:lineRule="auto"/>
        <w:rPr>
          <w:rFonts w:ascii="Verdana" w:eastAsia="Times New Roman" w:hAnsi="Verdana" w:cs="Arial"/>
          <w:lang w:eastAsia="es-ES_tradnl"/>
        </w:rPr>
      </w:pPr>
    </w:p>
    <w:p w14:paraId="3FF285E8" w14:textId="77777777" w:rsidR="00011028" w:rsidRDefault="00011028" w:rsidP="00011028">
      <w:pPr>
        <w:spacing w:after="0" w:line="240" w:lineRule="auto"/>
        <w:rPr>
          <w:rFonts w:ascii="Verdana" w:eastAsia="Times New Roman" w:hAnsi="Verdana" w:cs="Arial"/>
          <w:lang w:eastAsia="es-ES_tradnl"/>
        </w:rPr>
      </w:pPr>
    </w:p>
    <w:p w14:paraId="5607D8CA" w14:textId="77777777" w:rsidR="00011028" w:rsidRDefault="00011028" w:rsidP="00011028">
      <w:pPr>
        <w:spacing w:after="0" w:line="240" w:lineRule="auto"/>
        <w:rPr>
          <w:rFonts w:ascii="Verdana" w:eastAsia="Times New Roman" w:hAnsi="Verdana" w:cs="Arial"/>
          <w:lang w:eastAsia="es-ES_tradnl"/>
        </w:rPr>
      </w:pPr>
    </w:p>
    <w:p w14:paraId="0614B07A" w14:textId="77777777" w:rsidR="00011028" w:rsidRDefault="00011028" w:rsidP="00011028">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52332C62" w14:textId="77777777" w:rsidR="001E48A9" w:rsidRPr="00BE151B" w:rsidRDefault="001E48A9" w:rsidP="00011028">
      <w:pPr>
        <w:spacing w:after="0" w:line="240" w:lineRule="auto"/>
        <w:rPr>
          <w:rFonts w:ascii="Verdana" w:eastAsia="Times New Roman" w:hAnsi="Verdana" w:cs="Arial"/>
          <w:lang w:eastAsia="es-ES_tradnl"/>
        </w:rPr>
      </w:pPr>
    </w:p>
    <w:p w14:paraId="62C2EBCB" w14:textId="1CE214FD" w:rsidR="00011028" w:rsidRPr="00BE151B" w:rsidRDefault="001E48A9" w:rsidP="001E48A9">
      <w:pPr>
        <w:spacing w:after="0" w:line="240" w:lineRule="auto"/>
        <w:jc w:val="right"/>
        <w:rPr>
          <w:rFonts w:ascii="Verdana" w:eastAsia="Times New Roman" w:hAnsi="Verdana" w:cs="Arial"/>
          <w:lang w:eastAsia="es-ES_tradnl"/>
        </w:rPr>
      </w:pPr>
      <w:r w:rsidRPr="001E48A9">
        <w:rPr>
          <w:rFonts w:ascii="Verdana" w:eastAsia="Times New Roman" w:hAnsi="Verdana" w:cs="Arial"/>
          <w:lang w:eastAsia="es-ES_tradnl"/>
        </w:rPr>
        <w:drawing>
          <wp:inline distT="0" distB="0" distL="0" distR="0" wp14:anchorId="284BFAF0" wp14:editId="47CD8254">
            <wp:extent cx="3059761" cy="886631"/>
            <wp:effectExtent l="0" t="0" r="7620" b="8890"/>
            <wp:docPr id="175701293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12931" name="Imagen 1" descr="Texto&#10;&#10;El contenido generado por IA puede ser incorrecto."/>
                    <pic:cNvPicPr/>
                  </pic:nvPicPr>
                  <pic:blipFill>
                    <a:blip r:embed="rId7"/>
                    <a:stretch>
                      <a:fillRect/>
                    </a:stretch>
                  </pic:blipFill>
                  <pic:spPr>
                    <a:xfrm>
                      <a:off x="0" y="0"/>
                      <a:ext cx="3070437" cy="889725"/>
                    </a:xfrm>
                    <a:prstGeom prst="rect">
                      <a:avLst/>
                    </a:prstGeom>
                  </pic:spPr>
                </pic:pic>
              </a:graphicData>
            </a:graphic>
          </wp:inline>
        </w:drawing>
      </w:r>
    </w:p>
    <w:p w14:paraId="32294C0C" w14:textId="77777777" w:rsidR="00011028" w:rsidRPr="00BE151B" w:rsidRDefault="00011028" w:rsidP="00011028">
      <w:pPr>
        <w:spacing w:after="0" w:line="240" w:lineRule="auto"/>
        <w:rPr>
          <w:rFonts w:ascii="Verdana" w:eastAsia="Times New Roman" w:hAnsi="Verdana" w:cs="Arial"/>
          <w:lang w:eastAsia="es-ES_tradnl"/>
        </w:rPr>
      </w:pPr>
    </w:p>
    <w:p w14:paraId="755736A8" w14:textId="77777777" w:rsidR="00011028" w:rsidRPr="00BE151B" w:rsidRDefault="00011028" w:rsidP="00011028">
      <w:pPr>
        <w:spacing w:after="0" w:line="240" w:lineRule="auto"/>
        <w:jc w:val="both"/>
        <w:rPr>
          <w:rFonts w:ascii="Verdana" w:eastAsia="Calibri" w:hAnsi="Verdana" w:cs="Arial"/>
          <w:lang w:eastAsia="es-ES_tradnl"/>
        </w:rPr>
      </w:pPr>
      <w:r>
        <w:rPr>
          <w:rFonts w:ascii="Verdana" w:eastAsia="Calibri" w:hAnsi="Verdana" w:cs="Arial"/>
          <w:lang w:eastAsia="es-ES_tradnl"/>
        </w:rPr>
        <w:t>Señor</w:t>
      </w:r>
    </w:p>
    <w:p w14:paraId="2DD8C41E" w14:textId="77777777" w:rsidR="00011028" w:rsidRPr="001E48A9" w:rsidRDefault="00011028" w:rsidP="00011028">
      <w:pPr>
        <w:spacing w:after="0" w:line="240" w:lineRule="auto"/>
        <w:rPr>
          <w:rFonts w:ascii="Verdana" w:eastAsia="Calibri" w:hAnsi="Verdana" w:cs="Arial"/>
          <w:b/>
          <w:bCs/>
          <w:lang w:eastAsia="es-ES_tradnl"/>
        </w:rPr>
      </w:pPr>
      <w:r w:rsidRPr="001E48A9">
        <w:rPr>
          <w:rFonts w:ascii="Verdana" w:eastAsia="Calibri" w:hAnsi="Verdana" w:cs="Arial"/>
          <w:b/>
          <w:bCs/>
          <w:lang w:eastAsia="es-ES_tradnl"/>
        </w:rPr>
        <w:t>Alejandro Bedoya</w:t>
      </w:r>
    </w:p>
    <w:p w14:paraId="6FE87AC1" w14:textId="77777777" w:rsidR="00011028" w:rsidRPr="001E48A9" w:rsidRDefault="00011028" w:rsidP="00011028">
      <w:pPr>
        <w:spacing w:after="0" w:line="240" w:lineRule="auto"/>
        <w:rPr>
          <w:rFonts w:ascii="Verdana" w:eastAsia="Calibri" w:hAnsi="Verdana" w:cs="Arial"/>
          <w:lang w:eastAsia="es-ES_tradnl"/>
        </w:rPr>
      </w:pPr>
      <w:hyperlink r:id="rId8" w:history="1">
        <w:r w:rsidRPr="001E48A9">
          <w:rPr>
            <w:rStyle w:val="Hipervnculo"/>
            <w:rFonts w:ascii="Verdana" w:eastAsia="Calibri" w:hAnsi="Verdana" w:cs="Arial"/>
            <w:lang w:eastAsia="es-ES_tradnl"/>
          </w:rPr>
          <w:t>alejandro.bedoya.es@gmail.com</w:t>
        </w:r>
      </w:hyperlink>
      <w:r w:rsidRPr="001E48A9">
        <w:rPr>
          <w:rFonts w:ascii="Verdana" w:eastAsia="Calibri" w:hAnsi="Verdana" w:cs="Arial"/>
          <w:lang w:eastAsia="es-ES_tradnl"/>
        </w:rPr>
        <w:t xml:space="preserve"> </w:t>
      </w:r>
    </w:p>
    <w:p w14:paraId="44BA1F5F" w14:textId="77777777" w:rsidR="00011028" w:rsidRPr="00F5597F" w:rsidRDefault="00011028" w:rsidP="00011028">
      <w:pPr>
        <w:spacing w:after="0" w:line="240" w:lineRule="auto"/>
        <w:rPr>
          <w:rFonts w:ascii="Verdana" w:eastAsia="Calibri" w:hAnsi="Verdana" w:cs="Arial"/>
          <w:lang w:val="pt-BR" w:eastAsia="es-ES_tradnl"/>
        </w:rPr>
      </w:pPr>
      <w:r>
        <w:rPr>
          <w:rFonts w:ascii="Verdana" w:eastAsia="Calibri" w:hAnsi="Verdana" w:cs="Arial"/>
          <w:bCs/>
          <w:lang w:val="pt-BR" w:eastAsia="es-ES_tradnl"/>
        </w:rPr>
        <w:t>Bogotá, D.C.</w:t>
      </w:r>
    </w:p>
    <w:p w14:paraId="335250A9" w14:textId="77777777" w:rsidR="00011028" w:rsidRPr="00F5597F" w:rsidRDefault="00011028" w:rsidP="00011028">
      <w:pPr>
        <w:spacing w:after="0" w:line="240" w:lineRule="auto"/>
        <w:rPr>
          <w:rFonts w:ascii="Verdana" w:eastAsia="Calibri" w:hAnsi="Verdana" w:cs="Arial"/>
          <w:lang w:val="pt-BR" w:eastAsia="es-ES_tradnl"/>
        </w:rPr>
      </w:pPr>
    </w:p>
    <w:p w14:paraId="77ED325E" w14:textId="77777777" w:rsidR="00011028" w:rsidRPr="00F5597F" w:rsidRDefault="00011028" w:rsidP="00011028">
      <w:pPr>
        <w:spacing w:after="0" w:line="240" w:lineRule="auto"/>
        <w:rPr>
          <w:rFonts w:ascii="Verdana" w:eastAsia="Calibri" w:hAnsi="Verdana" w:cs="Arial"/>
          <w:lang w:val="pt-BR" w:eastAsia="es-ES_tradnl"/>
        </w:rPr>
      </w:pPr>
    </w:p>
    <w:p w14:paraId="61B22B38" w14:textId="77777777" w:rsidR="00011028" w:rsidRPr="00BE151B" w:rsidRDefault="00011028" w:rsidP="00011028">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026</w:t>
      </w:r>
      <w:r w:rsidRPr="00BE151B">
        <w:rPr>
          <w:rFonts w:ascii="Verdana" w:eastAsia="Calibri" w:hAnsi="Verdana" w:cs="Arial"/>
          <w:b/>
          <w:bCs/>
          <w:lang w:eastAsia="es-ES_tradnl"/>
        </w:rPr>
        <w:t xml:space="preserve"> de 202</w:t>
      </w:r>
      <w:r>
        <w:rPr>
          <w:rFonts w:ascii="Verdana" w:eastAsia="Calibri" w:hAnsi="Verdana" w:cs="Arial"/>
          <w:b/>
          <w:bCs/>
          <w:lang w:eastAsia="es-ES_tradnl"/>
        </w:rPr>
        <w:t>5</w:t>
      </w:r>
    </w:p>
    <w:p w14:paraId="0B30F2EA" w14:textId="77777777" w:rsidR="00011028" w:rsidRPr="00BE151B" w:rsidRDefault="00011028" w:rsidP="00011028">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011028" w:rsidRPr="00BE151B" w14:paraId="791E2064" w14:textId="77777777" w:rsidTr="009B7D49">
        <w:trPr>
          <w:trHeight w:val="1689"/>
          <w:jc w:val="right"/>
        </w:trPr>
        <w:tc>
          <w:tcPr>
            <w:tcW w:w="1838" w:type="dxa"/>
          </w:tcPr>
          <w:p w14:paraId="6FE3C03D" w14:textId="77777777" w:rsidR="00011028" w:rsidRPr="00BE151B" w:rsidRDefault="00011028" w:rsidP="009B7D49">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0F52DE12" w14:textId="1A387660" w:rsidR="00011028" w:rsidRPr="00BE151B" w:rsidRDefault="00011028" w:rsidP="009B7D49">
            <w:pPr>
              <w:spacing w:line="259" w:lineRule="auto"/>
              <w:jc w:val="both"/>
              <w:rPr>
                <w:rFonts w:ascii="Verdana" w:eastAsia="Times New Roman" w:hAnsi="Verdana" w:cs="Arial"/>
                <w:lang w:eastAsia="es-ES_tradnl"/>
              </w:rPr>
            </w:pPr>
            <w:r w:rsidRPr="00FD535B">
              <w:rPr>
                <w:rFonts w:ascii="Verdana" w:eastAsia="Times New Roman" w:hAnsi="Verdana" w:cs="Arial"/>
                <w:lang w:eastAsia="es-ES_tradnl"/>
              </w:rPr>
              <w:t xml:space="preserve">SOCIEDADES DE ECONOMÍA MIXTA – Entidades públicas del sector descentralizado por servicios </w:t>
            </w:r>
            <w:r w:rsidRPr="00750DC0">
              <w:rPr>
                <w:rFonts w:ascii="Verdana" w:eastAsia="Times New Roman" w:hAnsi="Verdana" w:cs="Arial"/>
                <w:lang w:eastAsia="es-ES_tradnl"/>
              </w:rPr>
              <w:t xml:space="preserve">Personas que prestan sus servicios – Servidores </w:t>
            </w:r>
            <w:r w:rsidR="00A7487B" w:rsidRPr="00750DC0">
              <w:rPr>
                <w:rFonts w:ascii="Verdana" w:eastAsia="Times New Roman" w:hAnsi="Verdana" w:cs="Arial"/>
                <w:lang w:eastAsia="es-ES_tradnl"/>
              </w:rPr>
              <w:t>Públicos /</w:t>
            </w:r>
            <w:r>
              <w:t xml:space="preserve"> </w:t>
            </w:r>
            <w:r w:rsidRPr="00FD535B">
              <w:rPr>
                <w:rFonts w:ascii="Verdana" w:eastAsia="Times New Roman" w:hAnsi="Verdana" w:cs="Arial"/>
                <w:lang w:eastAsia="es-ES_tradnl"/>
              </w:rPr>
              <w:t>INHABILIDADES E INCOMPATIBILIDADES – Ley 80 de 1993 – Numeral 1, literal f) – Restricción para contratar para Servidor público – Fundamento artículo 127 superio</w:t>
            </w:r>
            <w:r>
              <w:rPr>
                <w:rFonts w:ascii="Verdana" w:eastAsia="Times New Roman" w:hAnsi="Verdana" w:cs="Arial"/>
                <w:lang w:eastAsia="es-ES_tradnl"/>
              </w:rPr>
              <w:t xml:space="preserve">r </w:t>
            </w:r>
            <w:r w:rsidRPr="00FD535B">
              <w:rPr>
                <w:rFonts w:ascii="Verdana" w:eastAsia="Times New Roman" w:hAnsi="Verdana" w:cs="Arial"/>
                <w:lang w:eastAsia="es-ES_tradnl"/>
              </w:rPr>
              <w:t xml:space="preserve">– </w:t>
            </w:r>
            <w:r w:rsidRPr="00750DC0">
              <w:rPr>
                <w:rFonts w:ascii="Verdana" w:eastAsia="Times New Roman" w:hAnsi="Verdana" w:cs="Arial"/>
                <w:lang w:eastAsia="es-ES_tradnl"/>
              </w:rPr>
              <w:t>Excepciones</w:t>
            </w:r>
          </w:p>
        </w:tc>
      </w:tr>
      <w:tr w:rsidR="00011028" w:rsidRPr="00BE151B" w14:paraId="458D8E92" w14:textId="77777777" w:rsidTr="009B7D49">
        <w:trPr>
          <w:jc w:val="right"/>
        </w:trPr>
        <w:tc>
          <w:tcPr>
            <w:tcW w:w="1838" w:type="dxa"/>
          </w:tcPr>
          <w:p w14:paraId="13CDA3F4" w14:textId="77777777" w:rsidR="00011028" w:rsidRPr="00BE151B" w:rsidRDefault="00011028" w:rsidP="009B7D49">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5317726D" w14:textId="77777777" w:rsidR="00011028" w:rsidRPr="00BE151B" w:rsidRDefault="00011028" w:rsidP="009B7D49">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937986">
              <w:rPr>
                <w:rFonts w:ascii="Verdana" w:eastAsia="Times New Roman" w:hAnsi="Verdana" w:cs="Arial"/>
                <w:lang w:eastAsia="es-ES_tradnl"/>
              </w:rPr>
              <w:t>P20250113000235</w:t>
            </w:r>
          </w:p>
        </w:tc>
      </w:tr>
    </w:tbl>
    <w:p w14:paraId="62A3621C" w14:textId="77777777" w:rsidR="00011028" w:rsidRPr="00BE151B" w:rsidRDefault="00011028" w:rsidP="00011028">
      <w:pPr>
        <w:spacing w:after="0" w:line="240" w:lineRule="auto"/>
        <w:jc w:val="both"/>
        <w:rPr>
          <w:rFonts w:ascii="Verdana" w:eastAsia="Calibri" w:hAnsi="Verdana" w:cs="Arial"/>
          <w:lang w:eastAsia="es-ES_tradnl"/>
        </w:rPr>
      </w:pPr>
    </w:p>
    <w:p w14:paraId="30F7BBAB" w14:textId="77777777" w:rsidR="00011028" w:rsidRPr="00BE151B" w:rsidRDefault="00011028" w:rsidP="00011028">
      <w:pPr>
        <w:spacing w:after="0" w:line="240" w:lineRule="auto"/>
        <w:jc w:val="both"/>
        <w:rPr>
          <w:rFonts w:ascii="Verdana" w:eastAsia="Calibri" w:hAnsi="Verdana" w:cs="Arial"/>
          <w:lang w:eastAsia="es-ES_tradnl"/>
        </w:rPr>
      </w:pPr>
    </w:p>
    <w:p w14:paraId="2AE74D63" w14:textId="77777777" w:rsidR="00011028" w:rsidRPr="00BE151B" w:rsidRDefault="00011028" w:rsidP="00011028">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w:t>
      </w:r>
      <w:r w:rsidRPr="00BE151B">
        <w:rPr>
          <w:rFonts w:ascii="Verdana" w:eastAsia="Calibri" w:hAnsi="Verdana" w:cs="Arial"/>
          <w:lang w:eastAsia="es-ES_tradnl"/>
        </w:rPr>
        <w:t xml:space="preserve"> </w:t>
      </w:r>
      <w:r>
        <w:rPr>
          <w:rFonts w:ascii="Verdana" w:eastAsia="Calibri" w:hAnsi="Verdana" w:cs="Arial"/>
          <w:lang w:eastAsia="es-ES_tradnl"/>
        </w:rPr>
        <w:t>señor Bedoya</w:t>
      </w:r>
      <w:r w:rsidRPr="00BE151B">
        <w:rPr>
          <w:rFonts w:ascii="Verdana" w:eastAsia="Calibri" w:hAnsi="Verdana" w:cs="Arial"/>
          <w:bCs/>
          <w:lang w:eastAsia="es-ES_tradnl"/>
        </w:rPr>
        <w:t>:</w:t>
      </w:r>
    </w:p>
    <w:p w14:paraId="0690A6A3" w14:textId="77777777" w:rsidR="00011028" w:rsidRPr="00BE151B" w:rsidRDefault="00011028" w:rsidP="00011028">
      <w:pPr>
        <w:spacing w:after="0" w:line="276" w:lineRule="auto"/>
        <w:contextualSpacing/>
        <w:jc w:val="both"/>
        <w:rPr>
          <w:rFonts w:ascii="Verdana" w:eastAsia="Calibri" w:hAnsi="Verdana" w:cs="Arial"/>
          <w:lang w:eastAsia="es-ES_tradnl"/>
        </w:rPr>
      </w:pPr>
    </w:p>
    <w:p w14:paraId="76555C41" w14:textId="77777777" w:rsidR="00011028" w:rsidRDefault="00011028" w:rsidP="00011028">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13</w:t>
      </w:r>
      <w:r w:rsidRPr="00BE151B">
        <w:rPr>
          <w:rFonts w:ascii="Verdana" w:eastAsia="Calibri" w:hAnsi="Verdana" w:cs="Arial"/>
          <w:lang w:eastAsia="es-ES_tradnl"/>
        </w:rPr>
        <w:t xml:space="preserve"> de </w:t>
      </w:r>
      <w:r>
        <w:rPr>
          <w:rFonts w:ascii="Verdana" w:eastAsia="Calibri" w:hAnsi="Verdana" w:cs="Arial"/>
          <w:lang w:eastAsia="es-ES_tradnl"/>
        </w:rPr>
        <w:t>enero</w:t>
      </w:r>
      <w:r w:rsidRPr="00BE151B">
        <w:rPr>
          <w:rFonts w:ascii="Verdana" w:eastAsia="Calibri" w:hAnsi="Verdana" w:cs="Arial"/>
          <w:lang w:eastAsia="es-ES_tradnl"/>
        </w:rPr>
        <w:t xml:space="preserve"> de 20</w:t>
      </w:r>
      <w:r>
        <w:rPr>
          <w:rFonts w:ascii="Verdana" w:eastAsia="Calibri" w:hAnsi="Verdana" w:cs="Arial"/>
          <w:lang w:eastAsia="es-ES_tradnl"/>
        </w:rPr>
        <w:t>25</w:t>
      </w:r>
      <w:r w:rsidRPr="00BE151B">
        <w:rPr>
          <w:rFonts w:ascii="Verdana" w:eastAsia="Calibri" w:hAnsi="Verdana" w:cs="Arial"/>
          <w:lang w:eastAsia="es-ES_tradnl"/>
        </w:rPr>
        <w:t xml:space="preserve">,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43C12DC9" w14:textId="77777777" w:rsidR="00011028" w:rsidRPr="00BE151B" w:rsidRDefault="00011028" w:rsidP="00011028">
      <w:pPr>
        <w:spacing w:after="120" w:line="276" w:lineRule="auto"/>
        <w:jc w:val="both"/>
        <w:rPr>
          <w:rFonts w:ascii="Verdana" w:eastAsia="Calibri" w:hAnsi="Verdana" w:cs="Arial"/>
          <w:lang w:eastAsia="es-ES_tradnl"/>
        </w:rPr>
      </w:pPr>
    </w:p>
    <w:p w14:paraId="650661BE" w14:textId="77777777" w:rsidR="00011028" w:rsidRPr="00472C94" w:rsidRDefault="00011028" w:rsidP="00011028">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Pr="003C251E">
        <w:rPr>
          <w:rFonts w:ascii="Verdana" w:eastAsia="Times New Roman" w:hAnsi="Verdana" w:cs="Arial"/>
          <w:i/>
          <w:sz w:val="20"/>
          <w:szCs w:val="20"/>
          <w:lang w:eastAsia="es-ES_tradnl"/>
        </w:rPr>
        <w:t>Una persona natural que se encuentre vinculada mediante contrato de trabajo a una sociedad de naturaleza mixta con 73% de capital público y 27% de capital privado, puede contratar mediante contrato de prestación de servicios con otra Entidad Estatal? ¿verbi gracia con una alcaldía?</w:t>
      </w:r>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40E09B2D" w14:textId="77777777" w:rsidR="00011028" w:rsidRPr="00BE151B" w:rsidRDefault="00011028" w:rsidP="00011028">
      <w:pPr>
        <w:spacing w:after="120" w:line="240" w:lineRule="auto"/>
        <w:ind w:left="709" w:right="709"/>
        <w:jc w:val="both"/>
        <w:rPr>
          <w:rFonts w:ascii="Verdana" w:eastAsia="Times New Roman" w:hAnsi="Verdana" w:cs="Arial"/>
          <w:i/>
          <w:lang w:eastAsia="es-ES_tradnl"/>
        </w:rPr>
      </w:pPr>
    </w:p>
    <w:p w14:paraId="03ADEF6F" w14:textId="77777777" w:rsidR="00011028" w:rsidRPr="00BE151B" w:rsidRDefault="00011028" w:rsidP="00011028">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42C71FE2" w14:textId="77777777" w:rsidR="00011028" w:rsidRPr="00BE151B" w:rsidRDefault="00011028" w:rsidP="00011028">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C1F0188" w14:textId="77777777" w:rsidR="00011028" w:rsidRPr="00BE151B" w:rsidRDefault="00011028" w:rsidP="00011028">
      <w:pPr>
        <w:spacing w:after="0" w:line="276" w:lineRule="auto"/>
        <w:contextualSpacing/>
        <w:jc w:val="both"/>
        <w:rPr>
          <w:rFonts w:ascii="Verdana" w:eastAsia="Times New Roman" w:hAnsi="Verdana" w:cs="Arial"/>
          <w:szCs w:val="24"/>
          <w:lang w:eastAsia="es-ES_tradnl"/>
        </w:rPr>
      </w:pPr>
    </w:p>
    <w:p w14:paraId="7C8AB5D7" w14:textId="77777777" w:rsidR="00011028" w:rsidRPr="00BE151B" w:rsidRDefault="00011028" w:rsidP="00011028">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706EE79F" w14:textId="77777777" w:rsidR="00011028" w:rsidRPr="00BE151B" w:rsidRDefault="00011028" w:rsidP="00011028">
      <w:pPr>
        <w:tabs>
          <w:tab w:val="left" w:pos="0"/>
          <w:tab w:val="left" w:pos="284"/>
        </w:tabs>
        <w:spacing w:after="0" w:line="276" w:lineRule="auto"/>
        <w:contextualSpacing/>
        <w:jc w:val="both"/>
        <w:rPr>
          <w:rFonts w:ascii="Verdana" w:eastAsia="Calibri" w:hAnsi="Verdana" w:cs="Arial"/>
          <w:b/>
        </w:rPr>
      </w:pPr>
    </w:p>
    <w:p w14:paraId="69B8BBF7" w14:textId="21892D53" w:rsidR="00011028" w:rsidRDefault="00011028" w:rsidP="00011028">
      <w:pPr>
        <w:spacing w:after="0" w:line="276" w:lineRule="auto"/>
        <w:jc w:val="both"/>
        <w:rPr>
          <w:rFonts w:ascii="Verdana" w:eastAsia="Century Gothic" w:hAnsi="Verdana" w:cs="Century Gothic"/>
        </w:rPr>
      </w:pPr>
      <w:r w:rsidRPr="00BE151B">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 xml:space="preserve">Una persona natural vinculada mediante contrato </w:t>
      </w:r>
      <w:r w:rsidR="00B642FC">
        <w:rPr>
          <w:rFonts w:ascii="Verdana" w:eastAsia="Century Gothic" w:hAnsi="Verdana" w:cs="Century Gothic"/>
        </w:rPr>
        <w:t>de trabajo</w:t>
      </w:r>
      <w:r>
        <w:rPr>
          <w:rFonts w:ascii="Verdana" w:eastAsia="Century Gothic" w:hAnsi="Verdana" w:cs="Century Gothic"/>
        </w:rPr>
        <w:t xml:space="preserve"> en una Sociedad de Economía Mixta con </w:t>
      </w:r>
      <w:r w:rsidRPr="00601026">
        <w:rPr>
          <w:rFonts w:ascii="Verdana" w:eastAsia="Century Gothic" w:hAnsi="Verdana" w:cs="Century Gothic"/>
        </w:rPr>
        <w:t xml:space="preserve">participación </w:t>
      </w:r>
      <w:r>
        <w:rPr>
          <w:rFonts w:ascii="Verdana" w:eastAsia="Century Gothic" w:hAnsi="Verdana" w:cs="Century Gothic"/>
        </w:rPr>
        <w:t xml:space="preserve">del Estado </w:t>
      </w:r>
      <w:r w:rsidRPr="00601026">
        <w:rPr>
          <w:rFonts w:ascii="Verdana" w:eastAsia="Century Gothic" w:hAnsi="Verdana" w:cs="Century Gothic"/>
        </w:rPr>
        <w:t xml:space="preserve">en el capital social de la empresa </w:t>
      </w:r>
      <w:r>
        <w:rPr>
          <w:rFonts w:ascii="Verdana" w:eastAsia="Century Gothic" w:hAnsi="Verdana" w:cs="Century Gothic"/>
        </w:rPr>
        <w:t>inferior</w:t>
      </w:r>
      <w:r w:rsidRPr="00601026">
        <w:rPr>
          <w:rFonts w:ascii="Verdana" w:eastAsia="Century Gothic" w:hAnsi="Verdana" w:cs="Century Gothic"/>
        </w:rPr>
        <w:t xml:space="preserve"> al 90%</w:t>
      </w:r>
      <w:r>
        <w:rPr>
          <w:rFonts w:ascii="Verdana" w:eastAsia="Century Gothic" w:hAnsi="Verdana" w:cs="Century Gothic"/>
        </w:rPr>
        <w:t xml:space="preserve">, puede celebrar contrato estatal con una alcaldía o le aplica alguna de las causales de inhabilidad consagradas en el EGCAP que limite </w:t>
      </w:r>
      <w:r w:rsidR="00B9099B">
        <w:rPr>
          <w:rFonts w:ascii="Verdana" w:eastAsia="Century Gothic" w:hAnsi="Verdana" w:cs="Century Gothic"/>
        </w:rPr>
        <w:t>dicha capacidad</w:t>
      </w:r>
      <w:r>
        <w:rPr>
          <w:rFonts w:ascii="Verdana" w:eastAsia="Century Gothic" w:hAnsi="Verdana" w:cs="Century Gothic"/>
        </w:rPr>
        <w:t xml:space="preserve"> para contratar</w:t>
      </w:r>
      <w:r w:rsidRPr="00BE151B">
        <w:rPr>
          <w:rFonts w:ascii="Verdana" w:eastAsia="Century Gothic" w:hAnsi="Verdana" w:cs="Century Gothic"/>
        </w:rPr>
        <w:t>?</w:t>
      </w:r>
    </w:p>
    <w:p w14:paraId="6F0FE0A6" w14:textId="77777777" w:rsidR="00011028" w:rsidRPr="00BE151B" w:rsidRDefault="00011028" w:rsidP="00011028">
      <w:pPr>
        <w:spacing w:after="0" w:line="276" w:lineRule="auto"/>
        <w:jc w:val="both"/>
        <w:rPr>
          <w:rFonts w:ascii="Verdana" w:eastAsia="Calibri" w:hAnsi="Verdana" w:cs="Arial"/>
          <w:lang w:eastAsia="es-ES_tradnl"/>
        </w:rPr>
      </w:pPr>
    </w:p>
    <w:p w14:paraId="4F2A2C0D" w14:textId="77777777" w:rsidR="00011028" w:rsidRPr="00BE151B" w:rsidRDefault="00011028" w:rsidP="00011028">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1FE8D05B" w14:textId="77777777" w:rsidR="00011028" w:rsidRPr="00BE151B" w:rsidRDefault="00011028" w:rsidP="0001102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11028" w:rsidRPr="00BE151B" w14:paraId="5FC1AE5F" w14:textId="77777777" w:rsidTr="009B7D49">
        <w:tc>
          <w:tcPr>
            <w:tcW w:w="8828" w:type="dxa"/>
            <w:shd w:val="clear" w:color="auto" w:fill="auto"/>
          </w:tcPr>
          <w:p w14:paraId="418E0089" w14:textId="77777777" w:rsidR="00011028" w:rsidRDefault="00011028" w:rsidP="009B7D49">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En virtud del criterio orgánico del artículo 123 de la Constitución Política de 1991, según el cual, </w:t>
            </w:r>
            <w:r w:rsidRPr="000F1484">
              <w:rPr>
                <w:rFonts w:ascii="Verdana" w:eastAsia="Arial MT" w:hAnsi="Verdana" w:cs="Arial"/>
                <w:lang w:eastAsia="es-ES" w:bidi="es-ES"/>
              </w:rPr>
              <w:t>"</w:t>
            </w:r>
            <w:r w:rsidRPr="00623DFC">
              <w:rPr>
                <w:rFonts w:ascii="Verdana" w:eastAsia="Arial MT" w:hAnsi="Verdana" w:cs="Arial"/>
                <w:i/>
                <w:iCs/>
                <w:u w:val="single"/>
                <w:lang w:eastAsia="es-ES" w:bidi="es-ES"/>
              </w:rPr>
              <w:t>son servidores públicos</w:t>
            </w:r>
            <w:r w:rsidRPr="000F1484">
              <w:rPr>
                <w:rFonts w:ascii="Verdana" w:eastAsia="Arial MT" w:hAnsi="Verdana" w:cs="Arial"/>
                <w:i/>
                <w:iCs/>
                <w:lang w:eastAsia="es-ES" w:bidi="es-ES"/>
              </w:rPr>
              <w:t xml:space="preserve"> los miembros de las corporaciones públicas, los empleados y trabajadores del Estado y de sus </w:t>
            </w:r>
            <w:r w:rsidRPr="000F1484">
              <w:rPr>
                <w:rFonts w:ascii="Verdana" w:eastAsia="Arial MT" w:hAnsi="Verdana" w:cs="Arial"/>
                <w:i/>
                <w:iCs/>
                <w:u w:val="single"/>
                <w:lang w:eastAsia="es-ES" w:bidi="es-ES"/>
              </w:rPr>
              <w:t>entidades descentralizadas territorialmente y por servicios</w:t>
            </w:r>
            <w:r w:rsidRPr="000F1484">
              <w:rPr>
                <w:rFonts w:ascii="Verdana" w:eastAsia="Arial MT" w:hAnsi="Verdana" w:cs="Arial"/>
                <w:lang w:eastAsia="es-ES" w:bidi="es-ES"/>
              </w:rPr>
              <w:t>"</w:t>
            </w:r>
            <w:r>
              <w:rPr>
                <w:rFonts w:ascii="Verdana" w:eastAsia="Arial MT" w:hAnsi="Verdana" w:cs="Arial"/>
                <w:lang w:eastAsia="es-ES" w:bidi="es-ES"/>
              </w:rPr>
              <w:t xml:space="preserve"> [resaltado por fuera de texto legal], y en consideración a que, de conformidad con el artículo 38.2 literal f) de la Ley 489 de 1998, en concordancia con el artículo 68 </w:t>
            </w:r>
            <w:r w:rsidRPr="008B0A97">
              <w:rPr>
                <w:rFonts w:ascii="Verdana" w:eastAsia="Arial MT" w:hAnsi="Verdana" w:cs="Arial"/>
                <w:i/>
                <w:iCs/>
                <w:lang w:eastAsia="es-ES" w:bidi="es-ES"/>
              </w:rPr>
              <w:t>ibidem</w:t>
            </w:r>
            <w:r>
              <w:rPr>
                <w:rFonts w:ascii="Verdana" w:eastAsia="Arial MT" w:hAnsi="Verdana" w:cs="Arial"/>
                <w:lang w:eastAsia="es-ES" w:bidi="es-ES"/>
              </w:rPr>
              <w:t xml:space="preserve">, las sociedades de economía mixta son entidades descentralizadas por servicios que integran la Rama Ejecutiva </w:t>
            </w:r>
            <w:r w:rsidRPr="00A44565">
              <w:rPr>
                <w:rFonts w:ascii="Verdana" w:eastAsia="Arial MT" w:hAnsi="Verdana" w:cs="Arial"/>
                <w:lang w:eastAsia="es-ES" w:bidi="es-ES"/>
              </w:rPr>
              <w:t>del Poder Público en el orden nacional</w:t>
            </w:r>
            <w:r>
              <w:rPr>
                <w:rFonts w:ascii="Verdana" w:eastAsia="Arial MT" w:hAnsi="Verdana" w:cs="Arial"/>
                <w:lang w:eastAsia="es-ES" w:bidi="es-ES"/>
              </w:rPr>
              <w:t xml:space="preserve">, las </w:t>
            </w:r>
            <w:r>
              <w:rPr>
                <w:rFonts w:ascii="Verdana" w:eastAsia="Arial MT" w:hAnsi="Verdana" w:cs="Arial"/>
                <w:lang w:eastAsia="es-ES" w:bidi="es-ES"/>
              </w:rPr>
              <w:lastRenderedPageBreak/>
              <w:t>personas naturales que prestan sus servicios en dichas sociedades comerciales, vinculados mediante contrato de trabajo, adquieren la condición de servidores públicos de naturaleza especial.</w:t>
            </w:r>
          </w:p>
          <w:p w14:paraId="7FB75A90" w14:textId="77777777" w:rsidR="00011028" w:rsidRDefault="00011028" w:rsidP="009B7D49">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En ese sentido, la persona natural vinculada mediante contrato de trabajo en la sociedad de economía mixta </w:t>
            </w:r>
            <w:r>
              <w:rPr>
                <w:rFonts w:ascii="Verdana" w:eastAsia="Century Gothic" w:hAnsi="Verdana" w:cs="Century Gothic"/>
              </w:rPr>
              <w:t xml:space="preserve">con </w:t>
            </w:r>
            <w:r w:rsidRPr="00601026">
              <w:rPr>
                <w:rFonts w:ascii="Verdana" w:eastAsia="Century Gothic" w:hAnsi="Verdana" w:cs="Century Gothic"/>
              </w:rPr>
              <w:t xml:space="preserve">participación </w:t>
            </w:r>
            <w:r>
              <w:rPr>
                <w:rFonts w:ascii="Verdana" w:eastAsia="Century Gothic" w:hAnsi="Verdana" w:cs="Century Gothic"/>
              </w:rPr>
              <w:t xml:space="preserve">del Estado </w:t>
            </w:r>
            <w:r w:rsidRPr="00601026">
              <w:rPr>
                <w:rFonts w:ascii="Verdana" w:eastAsia="Century Gothic" w:hAnsi="Verdana" w:cs="Century Gothic"/>
              </w:rPr>
              <w:t xml:space="preserve">en el capital social de la empresa </w:t>
            </w:r>
            <w:r>
              <w:rPr>
                <w:rFonts w:ascii="Verdana" w:eastAsia="Century Gothic" w:hAnsi="Verdana" w:cs="Century Gothic"/>
              </w:rPr>
              <w:t>inferior</w:t>
            </w:r>
            <w:r w:rsidRPr="00601026">
              <w:rPr>
                <w:rFonts w:ascii="Verdana" w:eastAsia="Century Gothic" w:hAnsi="Verdana" w:cs="Century Gothic"/>
              </w:rPr>
              <w:t xml:space="preserve"> al 90%</w:t>
            </w:r>
            <w:r>
              <w:rPr>
                <w:rFonts w:ascii="Verdana" w:eastAsia="Century Gothic" w:hAnsi="Verdana" w:cs="Century Gothic"/>
              </w:rPr>
              <w:t xml:space="preserve"> en su condición de servidor público, </w:t>
            </w:r>
            <w:r>
              <w:rPr>
                <w:rFonts w:ascii="Verdana" w:eastAsia="Arial MT" w:hAnsi="Verdana" w:cs="Arial"/>
                <w:lang w:eastAsia="es-ES" w:bidi="es-ES"/>
              </w:rPr>
              <w:t>se encuentra inhabilitado para contratar con entidades estatales, por configurarse la causal consagrada en el literal f) del numeral 1 del artículo 8 de la Ley 80 de 1993.</w:t>
            </w:r>
          </w:p>
          <w:p w14:paraId="381A3B80" w14:textId="77777777" w:rsidR="00011028" w:rsidRDefault="00011028" w:rsidP="009B7D49">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La restricción a la capacidad contractual que deviene de esta causal encuentra fundamento en la prohibición de orden constitucional consagrada en el artículo 127 superior, que establece que “</w:t>
            </w:r>
            <w:r w:rsidRPr="00C63B1C">
              <w:rPr>
                <w:rFonts w:ascii="Verdana" w:eastAsia="Arial MT" w:hAnsi="Verdana" w:cs="Arial"/>
                <w:i/>
                <w:iCs/>
                <w:lang w:eastAsia="es-ES" w:bidi="es-ES"/>
              </w:rPr>
              <w:t>los servidores públicos no podrán celebrar, por sí o por interpuesta persona, o en representación de otro, contrato alguno con entidades públicas o con personas privadas que manejen o administren recursos públicos, salvo las excepciones legales</w:t>
            </w:r>
            <w:r w:rsidRPr="00C63B1C">
              <w:rPr>
                <w:rFonts w:ascii="Verdana" w:eastAsia="Arial MT" w:hAnsi="Verdana" w:cs="Arial"/>
                <w:lang w:eastAsia="es-ES" w:bidi="es-ES"/>
              </w:rPr>
              <w:t>”.</w:t>
            </w:r>
          </w:p>
          <w:p w14:paraId="61697AA2" w14:textId="77777777" w:rsidR="00011028" w:rsidRDefault="00011028" w:rsidP="009B7D49">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No obstante, aun cuando los</w:t>
            </w:r>
            <w:r w:rsidRPr="00034D8F">
              <w:rPr>
                <w:rFonts w:ascii="Verdana" w:eastAsia="Arial MT" w:hAnsi="Verdana" w:cs="Arial"/>
                <w:lang w:eastAsia="es-ES" w:bidi="es-ES"/>
              </w:rPr>
              <w:t xml:space="preserve"> servidores públicos, por regla general, no pueden celebrar contratos con las entidades públicas, ni con entidades privadas que administren recursos públicos, </w:t>
            </w:r>
            <w:r>
              <w:rPr>
                <w:rFonts w:ascii="Verdana" w:eastAsia="Arial MT" w:hAnsi="Verdana" w:cs="Arial"/>
                <w:lang w:eastAsia="es-ES" w:bidi="es-ES"/>
              </w:rPr>
              <w:t>existen excepciones que consagra el artículo 10 de la Ley 80 de 1993, bajo los siguiente supuestos: i)</w:t>
            </w:r>
            <w:r w:rsidRPr="00034D8F">
              <w:rPr>
                <w:rFonts w:ascii="Verdana" w:eastAsia="Arial MT" w:hAnsi="Verdana" w:cs="Arial"/>
                <w:lang w:eastAsia="es-ES" w:bidi="es-ES"/>
              </w:rPr>
              <w:t xml:space="preserve"> cuando lo hagan por obligación legal, o </w:t>
            </w:r>
            <w:r>
              <w:rPr>
                <w:rFonts w:ascii="Verdana" w:eastAsia="Arial MT" w:hAnsi="Verdana" w:cs="Arial"/>
                <w:lang w:eastAsia="es-ES" w:bidi="es-ES"/>
              </w:rPr>
              <w:t xml:space="preserve">ii) </w:t>
            </w:r>
            <w:r w:rsidRPr="00034D8F">
              <w:rPr>
                <w:rFonts w:ascii="Verdana" w:eastAsia="Arial MT" w:hAnsi="Verdana" w:cs="Arial"/>
                <w:lang w:eastAsia="es-ES" w:bidi="es-ES"/>
              </w:rPr>
              <w:t xml:space="preserve">para usar bienes o servicios que las entidades ofrezcan al público en condiciones comunes a quienes lo soliciten, o </w:t>
            </w:r>
            <w:r>
              <w:rPr>
                <w:rFonts w:ascii="Verdana" w:eastAsia="Arial MT" w:hAnsi="Verdana" w:cs="Arial"/>
                <w:lang w:eastAsia="es-ES" w:bidi="es-ES"/>
              </w:rPr>
              <w:t xml:space="preserve">iii) </w:t>
            </w:r>
            <w:r w:rsidRPr="00034D8F">
              <w:rPr>
                <w:rFonts w:ascii="Verdana" w:eastAsia="Arial MT" w:hAnsi="Verdana" w:cs="Arial"/>
                <w:lang w:eastAsia="es-ES" w:bidi="es-ES"/>
              </w:rPr>
              <w:t>para adquirir la propiedad accionaria del Estado</w:t>
            </w:r>
            <w:r>
              <w:rPr>
                <w:rFonts w:ascii="Verdana" w:eastAsia="Arial MT" w:hAnsi="Verdana" w:cs="Arial"/>
                <w:lang w:eastAsia="es-ES" w:bidi="es-ES"/>
              </w:rPr>
              <w:t>.</w:t>
            </w:r>
          </w:p>
          <w:p w14:paraId="26929097" w14:textId="77777777" w:rsidR="00011028" w:rsidRPr="00BE151B" w:rsidRDefault="00011028" w:rsidP="009B7D49">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En todo caso, corresponde a la entidad estatal contratante determinar en cada caso concreto si se cumplen o no los supuestos de hecho y condiciones que dan lugar a la configuración de las referidas incompatibilidades. </w:t>
            </w:r>
          </w:p>
        </w:tc>
      </w:tr>
    </w:tbl>
    <w:p w14:paraId="244B5139" w14:textId="77777777" w:rsidR="00011028" w:rsidRPr="00BE151B" w:rsidRDefault="00011028" w:rsidP="00011028">
      <w:pPr>
        <w:spacing w:after="0" w:line="276" w:lineRule="auto"/>
        <w:contextualSpacing/>
        <w:jc w:val="both"/>
        <w:rPr>
          <w:rFonts w:ascii="Verdana" w:eastAsia="Times New Roman" w:hAnsi="Verdana" w:cs="Arial"/>
          <w:lang w:eastAsia="es-ES_tradnl"/>
        </w:rPr>
      </w:pPr>
    </w:p>
    <w:p w14:paraId="7877C1F5" w14:textId="77777777" w:rsidR="00011028" w:rsidRPr="00BE151B" w:rsidRDefault="00011028" w:rsidP="000110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2558D46F" w14:textId="77777777" w:rsidR="00011028" w:rsidRPr="00BE151B" w:rsidRDefault="00011028" w:rsidP="00011028">
      <w:pPr>
        <w:spacing w:after="0" w:line="276" w:lineRule="auto"/>
        <w:jc w:val="both"/>
        <w:rPr>
          <w:rFonts w:ascii="Verdana" w:eastAsia="Calibri" w:hAnsi="Verdana" w:cs="Arial"/>
          <w:color w:val="7030A0"/>
        </w:rPr>
      </w:pPr>
    </w:p>
    <w:p w14:paraId="5BDA66B0" w14:textId="77777777" w:rsidR="00011028" w:rsidRDefault="00011028" w:rsidP="00011028">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64A248E6" w14:textId="77777777" w:rsidR="00011028" w:rsidRPr="00BE151B" w:rsidRDefault="00011028" w:rsidP="00011028">
      <w:pPr>
        <w:spacing w:after="0" w:line="276" w:lineRule="auto"/>
        <w:jc w:val="both"/>
        <w:rPr>
          <w:rFonts w:ascii="Verdana" w:eastAsia="Calibri" w:hAnsi="Verdana" w:cs="Arial"/>
        </w:rPr>
      </w:pPr>
    </w:p>
    <w:p w14:paraId="40D38D06" w14:textId="77777777" w:rsidR="00011028" w:rsidRDefault="00011028" w:rsidP="00011028">
      <w:pPr>
        <w:widowControl w:val="0"/>
        <w:autoSpaceDE w:val="0"/>
        <w:autoSpaceDN w:val="0"/>
        <w:spacing w:after="0" w:line="276" w:lineRule="auto"/>
        <w:jc w:val="both"/>
        <w:rPr>
          <w:rFonts w:ascii="Verdana" w:eastAsia="Times New Roman" w:hAnsi="Verdana" w:cs="Arial"/>
          <w:color w:val="000000" w:themeColor="text1"/>
          <w:lang w:val="es-ES" w:eastAsia="es-ES"/>
        </w:rPr>
      </w:pPr>
      <w:r>
        <w:rPr>
          <w:rFonts w:ascii="Verdana" w:eastAsia="Times New Roman" w:hAnsi="Verdana" w:cs="Arial"/>
          <w:color w:val="000000" w:themeColor="text1"/>
          <w:lang w:val="es-ES" w:eastAsia="es-ES"/>
        </w:rPr>
        <w:t xml:space="preserve">La Constitución Política de 1991 estableció en el artículo 150.7 la obligación en cabeza del Congreso de la República de expedir las leyes que crean y autorizan la constitución de </w:t>
      </w:r>
      <w:r w:rsidRPr="00756422">
        <w:rPr>
          <w:rFonts w:ascii="Verdana" w:eastAsia="Times New Roman" w:hAnsi="Verdana" w:cs="Arial"/>
          <w:color w:val="000000" w:themeColor="text1"/>
          <w:lang w:val="es-ES" w:eastAsia="es-ES"/>
        </w:rPr>
        <w:t>empresas industriales y comerciales del estado y sociedades de economía mixta</w:t>
      </w:r>
      <w:r>
        <w:rPr>
          <w:rStyle w:val="Refdenotaalpie"/>
          <w:rFonts w:ascii="Verdana" w:eastAsia="Times New Roman" w:hAnsi="Verdana" w:cs="Arial"/>
          <w:color w:val="000000" w:themeColor="text1"/>
          <w:lang w:val="es-ES" w:eastAsia="es-ES"/>
        </w:rPr>
        <w:footnoteReference w:id="1"/>
      </w:r>
      <w:r w:rsidRPr="00756422">
        <w:rPr>
          <w:rFonts w:ascii="Verdana" w:eastAsia="Times New Roman" w:hAnsi="Verdana" w:cs="Arial"/>
          <w:color w:val="000000" w:themeColor="text1"/>
          <w:lang w:val="es-ES" w:eastAsia="es-ES"/>
        </w:rPr>
        <w:t>.</w:t>
      </w:r>
      <w:r>
        <w:rPr>
          <w:rFonts w:ascii="Verdana" w:eastAsia="Times New Roman" w:hAnsi="Verdana" w:cs="Arial"/>
          <w:color w:val="000000" w:themeColor="text1"/>
          <w:lang w:val="es-ES" w:eastAsia="es-ES"/>
        </w:rPr>
        <w:tab/>
        <w:t xml:space="preserve"> </w:t>
      </w:r>
    </w:p>
    <w:p w14:paraId="0ED6077C" w14:textId="77777777" w:rsidR="00011028" w:rsidRDefault="00011028" w:rsidP="00011028">
      <w:pPr>
        <w:widowControl w:val="0"/>
        <w:autoSpaceDE w:val="0"/>
        <w:autoSpaceDN w:val="0"/>
        <w:spacing w:before="120" w:after="0" w:line="276" w:lineRule="auto"/>
        <w:ind w:firstLine="708"/>
        <w:jc w:val="both"/>
        <w:rPr>
          <w:rFonts w:ascii="Verdana" w:eastAsia="Times New Roman" w:hAnsi="Verdana" w:cs="Arial"/>
          <w:lang w:val="es-ES" w:eastAsia="es-MX"/>
        </w:rPr>
      </w:pPr>
      <w:r>
        <w:rPr>
          <w:rFonts w:ascii="Verdana" w:eastAsia="Times New Roman" w:hAnsi="Verdana" w:cs="Arial"/>
          <w:color w:val="000000" w:themeColor="text1"/>
          <w:lang w:val="es-ES" w:eastAsia="es-ES"/>
        </w:rPr>
        <w:lastRenderedPageBreak/>
        <w:t xml:space="preserve">En virtud del mandamiento superior, el legislador expide la Ley 489 de 1998 que consagra las normas relativas a la organización y funcionamiento de las entidades del orden nacional, regula el ejercicio de la función administrativa, determina la estructura, reglas básicas y principios de la organización y funcionamiento de la Administración Pública.  El </w:t>
      </w:r>
      <w:r w:rsidRPr="00DC7CA9">
        <w:rPr>
          <w:rFonts w:ascii="Verdana" w:eastAsia="Times New Roman" w:hAnsi="Verdana" w:cs="Arial"/>
          <w:lang w:val="es-ES" w:eastAsia="es-MX"/>
        </w:rPr>
        <w:t>artículo 38</w:t>
      </w:r>
      <w:r>
        <w:rPr>
          <w:rFonts w:ascii="Verdana" w:eastAsia="Times New Roman" w:hAnsi="Verdana" w:cs="Arial"/>
          <w:lang w:val="es-ES" w:eastAsia="es-MX"/>
        </w:rPr>
        <w:t xml:space="preserve"> dispone la integración de la </w:t>
      </w:r>
      <w:r w:rsidRPr="000A089A">
        <w:rPr>
          <w:rFonts w:ascii="Verdana" w:eastAsia="Times New Roman" w:hAnsi="Verdana" w:cs="Arial"/>
          <w:lang w:val="es-ES" w:eastAsia="es-MX"/>
        </w:rPr>
        <w:t>Rama Ejecutiva del Poder Público en el orden nacional</w:t>
      </w:r>
      <w:r>
        <w:rPr>
          <w:rFonts w:ascii="Verdana" w:eastAsia="Times New Roman" w:hAnsi="Verdana" w:cs="Arial"/>
          <w:lang w:val="es-ES" w:eastAsia="es-MX"/>
        </w:rPr>
        <w:t xml:space="preserve"> y ubica en el sector descentralizado por servicios, entre otras entidades, a las sociedades de economía mixta. Adicionalmente, el parágrafo de la misma disposición establece que las </w:t>
      </w:r>
      <w:r w:rsidRPr="00356455">
        <w:rPr>
          <w:rFonts w:ascii="Verdana" w:eastAsia="Times New Roman" w:hAnsi="Verdana" w:cs="Arial"/>
          <w:lang w:val="es-ES" w:eastAsia="es-MX"/>
        </w:rPr>
        <w:t xml:space="preserve">sociedades de economía mixta en las que el Estado </w:t>
      </w:r>
      <w:r>
        <w:rPr>
          <w:rFonts w:ascii="Verdana" w:eastAsia="Times New Roman" w:hAnsi="Verdana" w:cs="Arial"/>
          <w:lang w:val="es-ES" w:eastAsia="es-MX"/>
        </w:rPr>
        <w:t>tiene</w:t>
      </w:r>
      <w:r w:rsidRPr="00356455">
        <w:rPr>
          <w:rFonts w:ascii="Verdana" w:eastAsia="Times New Roman" w:hAnsi="Verdana" w:cs="Arial"/>
          <w:lang w:val="es-ES" w:eastAsia="es-MX"/>
        </w:rPr>
        <w:t xml:space="preserve"> el noventa por ciento (90%) o más de su capital social, se </w:t>
      </w:r>
      <w:r>
        <w:rPr>
          <w:rFonts w:ascii="Verdana" w:eastAsia="Times New Roman" w:hAnsi="Verdana" w:cs="Arial"/>
          <w:lang w:val="es-ES" w:eastAsia="es-MX"/>
        </w:rPr>
        <w:t>someterá</w:t>
      </w:r>
      <w:r w:rsidRPr="00356455">
        <w:rPr>
          <w:rFonts w:ascii="Verdana" w:eastAsia="Times New Roman" w:hAnsi="Verdana" w:cs="Arial"/>
          <w:lang w:val="es-ES" w:eastAsia="es-MX"/>
        </w:rPr>
        <w:t xml:space="preserve"> al régimen previsto para las empresas industriales y comerciales del Estado</w:t>
      </w:r>
      <w:r>
        <w:rPr>
          <w:rStyle w:val="Refdenotaalpie"/>
          <w:rFonts w:ascii="Verdana" w:eastAsia="Times New Roman" w:hAnsi="Verdana" w:cs="Arial"/>
          <w:lang w:val="es-ES" w:eastAsia="es-MX"/>
        </w:rPr>
        <w:footnoteReference w:id="2"/>
      </w:r>
      <w:r>
        <w:rPr>
          <w:rFonts w:ascii="Verdana" w:eastAsia="Times New Roman" w:hAnsi="Verdana" w:cs="Arial"/>
          <w:lang w:val="es-ES" w:eastAsia="es-MX"/>
        </w:rPr>
        <w:t>, en concordancia con el parágrafo del artículo 97 del mismo cuerpo normativo</w:t>
      </w:r>
      <w:r>
        <w:rPr>
          <w:rStyle w:val="Refdenotaalpie"/>
          <w:rFonts w:ascii="Verdana" w:eastAsia="Times New Roman" w:hAnsi="Verdana" w:cs="Arial"/>
          <w:lang w:val="es-ES" w:eastAsia="es-MX"/>
        </w:rPr>
        <w:footnoteReference w:id="3"/>
      </w:r>
      <w:r>
        <w:rPr>
          <w:rFonts w:ascii="Verdana" w:eastAsia="Times New Roman" w:hAnsi="Verdana" w:cs="Arial"/>
          <w:lang w:val="es-ES" w:eastAsia="es-MX"/>
        </w:rPr>
        <w:t>, lo que significa que, si la sociedad de economía mixta cuenta con una participación estatal como la exigida (90%) o superior, las personas que presten sus servicios en dicha empresa serán considerados trabajadores oficiales y, excepcionalmente, empleados públicos, sin que se afecte la condición de servidor público. De otro lado, el artículo 68 de la misma ley reitera la naturaleza de las sociedades de economía mixta, como entidades descentralizadas</w:t>
      </w:r>
      <w:r>
        <w:rPr>
          <w:rStyle w:val="Refdenotaalpie"/>
          <w:rFonts w:ascii="Verdana" w:eastAsia="Times New Roman" w:hAnsi="Verdana" w:cs="Arial"/>
          <w:lang w:val="es-ES" w:eastAsia="es-MX"/>
        </w:rPr>
        <w:footnoteReference w:id="4"/>
      </w:r>
      <w:r>
        <w:rPr>
          <w:rFonts w:ascii="Verdana" w:eastAsia="Times New Roman" w:hAnsi="Verdana" w:cs="Arial"/>
          <w:lang w:val="es-ES" w:eastAsia="es-MX"/>
        </w:rPr>
        <w:t>.</w:t>
      </w:r>
    </w:p>
    <w:p w14:paraId="43E9CD87" w14:textId="77777777" w:rsidR="00011028" w:rsidRDefault="00011028" w:rsidP="00011028">
      <w:pPr>
        <w:widowControl w:val="0"/>
        <w:autoSpaceDE w:val="0"/>
        <w:autoSpaceDN w:val="0"/>
        <w:spacing w:before="120" w:after="0" w:line="276" w:lineRule="auto"/>
        <w:ind w:firstLine="708"/>
        <w:jc w:val="both"/>
        <w:rPr>
          <w:rFonts w:ascii="Verdana" w:eastAsia="Times New Roman" w:hAnsi="Verdana" w:cs="Arial"/>
          <w:lang w:val="es-ES" w:eastAsia="es-ES"/>
        </w:rPr>
      </w:pPr>
      <w:r>
        <w:rPr>
          <w:rFonts w:ascii="Verdana" w:eastAsia="Times New Roman" w:hAnsi="Verdana" w:cs="Arial"/>
          <w:lang w:val="es-ES" w:eastAsia="es-ES"/>
        </w:rPr>
        <w:t>En las</w:t>
      </w:r>
      <w:r w:rsidRPr="002768D5">
        <w:rPr>
          <w:rFonts w:ascii="Verdana" w:eastAsia="Times New Roman" w:hAnsi="Verdana" w:cs="Arial"/>
          <w:lang w:val="es-ES" w:eastAsia="es-ES"/>
        </w:rPr>
        <w:t xml:space="preserve"> demás sociedades de economía mixta, esto es, aquellas que tienen una participación del Estado del 89.99%</w:t>
      </w:r>
      <w:r>
        <w:rPr>
          <w:rFonts w:ascii="Verdana" w:eastAsia="Times New Roman" w:hAnsi="Verdana" w:cs="Arial"/>
          <w:lang w:val="es-ES" w:eastAsia="es-ES"/>
        </w:rPr>
        <w:t xml:space="preserve"> </w:t>
      </w:r>
      <w:r w:rsidRPr="002768D5">
        <w:rPr>
          <w:rFonts w:ascii="Verdana" w:eastAsia="Times New Roman" w:hAnsi="Verdana" w:cs="Arial"/>
          <w:lang w:val="es-ES" w:eastAsia="es-ES"/>
        </w:rPr>
        <w:t>en el capital o un porcentaje inferior a este</w:t>
      </w:r>
      <w:r>
        <w:rPr>
          <w:rFonts w:ascii="Verdana" w:eastAsia="Times New Roman" w:hAnsi="Verdana" w:cs="Arial"/>
          <w:lang w:val="es-ES" w:eastAsia="es-ES"/>
        </w:rPr>
        <w:t>, como en el supuesto expuesto en la presente solicitud, se</w:t>
      </w:r>
      <w:r w:rsidRPr="00B21595">
        <w:rPr>
          <w:rFonts w:ascii="Verdana" w:eastAsia="Times New Roman" w:hAnsi="Verdana" w:cs="Arial"/>
          <w:lang w:val="es-ES" w:eastAsia="es-ES"/>
        </w:rPr>
        <w:t xml:space="preserve"> rigen en su actividad comercial y en sus vinculaciones laborales por las disposiciones del </w:t>
      </w:r>
      <w:r w:rsidRPr="00B21595">
        <w:rPr>
          <w:rFonts w:ascii="Verdana" w:eastAsia="Times New Roman" w:hAnsi="Verdana" w:cs="Arial"/>
          <w:lang w:val="es-ES" w:eastAsia="es-ES"/>
        </w:rPr>
        <w:lastRenderedPageBreak/>
        <w:t xml:space="preserve">derecho privado, </w:t>
      </w:r>
      <w:r>
        <w:rPr>
          <w:rFonts w:ascii="Verdana" w:eastAsia="Times New Roman" w:hAnsi="Verdana" w:cs="Arial"/>
          <w:lang w:val="es-ES" w:eastAsia="es-ES"/>
        </w:rPr>
        <w:t>es decir, a sus</w:t>
      </w:r>
      <w:r w:rsidRPr="00B21595">
        <w:rPr>
          <w:rFonts w:ascii="Verdana" w:eastAsia="Times New Roman" w:hAnsi="Verdana" w:cs="Arial"/>
          <w:lang w:val="es-ES" w:eastAsia="es-ES"/>
        </w:rPr>
        <w:t xml:space="preserve"> trabajadores </w:t>
      </w:r>
      <w:r>
        <w:rPr>
          <w:rFonts w:ascii="Verdana" w:eastAsia="Times New Roman" w:hAnsi="Verdana" w:cs="Arial"/>
          <w:lang w:val="es-ES" w:eastAsia="es-ES"/>
        </w:rPr>
        <w:t>les aplican</w:t>
      </w:r>
      <w:r w:rsidRPr="00B21595">
        <w:rPr>
          <w:rFonts w:ascii="Verdana" w:eastAsia="Times New Roman" w:hAnsi="Verdana" w:cs="Arial"/>
          <w:lang w:val="es-ES" w:eastAsia="es-ES"/>
        </w:rPr>
        <w:t xml:space="preserve"> las disposiciones del Código Sustantivo de Trabajo</w:t>
      </w:r>
      <w:r>
        <w:rPr>
          <w:rFonts w:ascii="Verdana" w:eastAsia="Times New Roman" w:hAnsi="Verdana" w:cs="Arial"/>
          <w:lang w:val="es-ES" w:eastAsia="es-ES"/>
        </w:rPr>
        <w:t xml:space="preserve">, manteniendo igualmente la connotación de </w:t>
      </w:r>
      <w:r w:rsidRPr="00A8208F">
        <w:rPr>
          <w:rFonts w:ascii="Verdana" w:eastAsia="Times New Roman" w:hAnsi="Verdana" w:cs="Arial"/>
          <w:i/>
          <w:iCs/>
          <w:lang w:val="es-ES" w:eastAsia="es-ES"/>
        </w:rPr>
        <w:t>servidores públicos de naturaleza especial</w:t>
      </w:r>
      <w:r>
        <w:rPr>
          <w:rFonts w:ascii="Verdana" w:eastAsia="Times New Roman" w:hAnsi="Verdana" w:cs="Arial"/>
          <w:lang w:val="es-ES" w:eastAsia="es-ES"/>
        </w:rPr>
        <w:t>.</w:t>
      </w:r>
    </w:p>
    <w:p w14:paraId="7B7E97B2" w14:textId="77777777" w:rsidR="00011028" w:rsidRDefault="00011028" w:rsidP="00011028">
      <w:pPr>
        <w:widowControl w:val="0"/>
        <w:autoSpaceDE w:val="0"/>
        <w:autoSpaceDN w:val="0"/>
        <w:spacing w:before="120" w:after="0" w:line="276" w:lineRule="auto"/>
        <w:ind w:firstLine="708"/>
        <w:jc w:val="both"/>
        <w:rPr>
          <w:rFonts w:ascii="Verdana" w:eastAsia="Times New Roman" w:hAnsi="Verdana" w:cs="Arial"/>
          <w:lang w:val="es-ES" w:eastAsia="es-ES"/>
        </w:rPr>
      </w:pPr>
      <w:r>
        <w:rPr>
          <w:rFonts w:ascii="Verdana" w:eastAsia="Times New Roman" w:hAnsi="Verdana" w:cs="Arial"/>
          <w:lang w:val="es-ES" w:eastAsia="es-ES"/>
        </w:rPr>
        <w:t xml:space="preserve">En otras palabras, todas las personas naturales que prestan sus servicios en las sociedades de economía mixta, sin importar el porcentaje de participación del Estado en el capital social de la empresa, son servidores públicos, sean trabajadores oficiales o empleados públicos, de conformidad con el criterio orgánico que adopta el artículo 123 de la Constitución Política de 1991, según el cual </w:t>
      </w:r>
      <w:r w:rsidRPr="00D94D91">
        <w:rPr>
          <w:rFonts w:ascii="Verdana" w:eastAsia="Times New Roman" w:hAnsi="Verdana" w:cs="Arial"/>
          <w:lang w:val="es-ES" w:eastAsia="es-ES"/>
        </w:rPr>
        <w:t>“</w:t>
      </w:r>
      <w:r w:rsidRPr="005C4833">
        <w:rPr>
          <w:rFonts w:ascii="Verdana" w:eastAsia="Times New Roman" w:hAnsi="Verdana" w:cs="Arial"/>
          <w:i/>
          <w:iCs/>
          <w:lang w:val="es-ES" w:eastAsia="es-ES"/>
        </w:rPr>
        <w:t>Son servidores públicos los miembros de las corporaciones públicas, los empleados y trabajadores del Estado y de sus entidades descentralizadas territorialmente y por servicios</w:t>
      </w:r>
      <w:r w:rsidRPr="00D94D91">
        <w:rPr>
          <w:rFonts w:ascii="Verdana" w:eastAsia="Times New Roman" w:hAnsi="Verdana" w:cs="Arial"/>
          <w:lang w:val="es-ES" w:eastAsia="es-ES"/>
        </w:rPr>
        <w:t>”</w:t>
      </w:r>
      <w:r>
        <w:rPr>
          <w:rFonts w:ascii="Verdana" w:eastAsia="Times New Roman" w:hAnsi="Verdana" w:cs="Arial"/>
          <w:lang w:val="es-ES" w:eastAsia="es-ES"/>
        </w:rPr>
        <w:t xml:space="preserve">. </w:t>
      </w:r>
    </w:p>
    <w:p w14:paraId="428E77D5" w14:textId="77777777" w:rsidR="00011028" w:rsidRDefault="00011028" w:rsidP="00011028">
      <w:pPr>
        <w:widowControl w:val="0"/>
        <w:autoSpaceDE w:val="0"/>
        <w:autoSpaceDN w:val="0"/>
        <w:spacing w:before="120" w:after="0" w:line="276" w:lineRule="auto"/>
        <w:jc w:val="both"/>
        <w:rPr>
          <w:rFonts w:ascii="Verdana" w:eastAsia="Times New Roman" w:hAnsi="Verdana" w:cs="Arial"/>
          <w:lang w:val="es-ES" w:eastAsia="es-ES"/>
        </w:rPr>
      </w:pPr>
      <w:r>
        <w:rPr>
          <w:rFonts w:ascii="Verdana" w:eastAsia="Times New Roman" w:hAnsi="Verdana" w:cs="Arial"/>
          <w:lang w:val="es-ES" w:eastAsia="es-ES"/>
        </w:rPr>
        <w:tab/>
        <w:t xml:space="preserve">La anterior conclusión se apoya en lo expuesto por la Corte Constitucional cuando su Sala Plena estudió la constitucionalidad de un conjunto de normas dentro de las que se encontraban </w:t>
      </w:r>
      <w:r w:rsidRPr="00327997">
        <w:rPr>
          <w:rFonts w:ascii="Verdana" w:eastAsia="Times New Roman" w:hAnsi="Verdana" w:cs="Arial"/>
          <w:lang w:val="es-ES" w:eastAsia="es-ES"/>
        </w:rPr>
        <w:t>los artículos 38 numeral 2° literal d) (parcial), 68 (parcial) y 102 (parcial) de la Ley 489 de 1998</w:t>
      </w:r>
      <w:r>
        <w:rPr>
          <w:rFonts w:ascii="Verdana" w:eastAsia="Times New Roman" w:hAnsi="Verdana" w:cs="Arial"/>
          <w:lang w:val="es-ES" w:eastAsia="es-ES"/>
        </w:rPr>
        <w:t>, donde se señaló:</w:t>
      </w:r>
    </w:p>
    <w:p w14:paraId="6E97FD12" w14:textId="77777777" w:rsidR="00011028" w:rsidRDefault="00011028" w:rsidP="00011028">
      <w:pPr>
        <w:widowControl w:val="0"/>
        <w:autoSpaceDE w:val="0"/>
        <w:autoSpaceDN w:val="0"/>
        <w:spacing w:after="0" w:line="276" w:lineRule="auto"/>
        <w:jc w:val="both"/>
        <w:rPr>
          <w:rFonts w:ascii="Verdana" w:eastAsia="Times New Roman" w:hAnsi="Verdana" w:cs="Arial"/>
          <w:lang w:val="es-ES" w:eastAsia="es-ES"/>
        </w:rPr>
      </w:pPr>
    </w:p>
    <w:p w14:paraId="57D47B72" w14:textId="77777777" w:rsidR="00011028" w:rsidRDefault="00011028" w:rsidP="00011028">
      <w:pPr>
        <w:widowControl w:val="0"/>
        <w:autoSpaceDE w:val="0"/>
        <w:autoSpaceDN w:val="0"/>
        <w:spacing w:after="0" w:line="240" w:lineRule="auto"/>
        <w:ind w:left="709" w:right="709"/>
        <w:jc w:val="both"/>
        <w:rPr>
          <w:rFonts w:ascii="Verdana" w:hAnsi="Verdana"/>
          <w:color w:val="333333"/>
          <w:sz w:val="21"/>
          <w:szCs w:val="21"/>
          <w:u w:val="single"/>
          <w:shd w:val="clear" w:color="auto" w:fill="FFFFFF"/>
        </w:rPr>
      </w:pPr>
      <w:r>
        <w:rPr>
          <w:rFonts w:ascii="Verdana" w:hAnsi="Verdana"/>
          <w:color w:val="333333"/>
          <w:sz w:val="21"/>
          <w:szCs w:val="21"/>
          <w:shd w:val="clear" w:color="auto" w:fill="FFFFFF"/>
        </w:rPr>
        <w:t>“</w:t>
      </w:r>
      <w:r w:rsidRPr="00E03606">
        <w:rPr>
          <w:rFonts w:ascii="Verdana" w:hAnsi="Verdana"/>
          <w:color w:val="333333"/>
          <w:sz w:val="21"/>
          <w:szCs w:val="21"/>
          <w:shd w:val="clear" w:color="auto" w:fill="FFFFFF"/>
        </w:rPr>
        <w:t xml:space="preserve">6.2.2. Ahora bien, utilizando un criterio orgánico, el artículo 123 de la Carta señala que "son servidores públicos los miembros de las corporaciones públicas, los empleados y trabajadores del Estado y de sus entidades descentralizadas territorialmente y por servicios". (Subraya la Corte) A su turno, el artículo 125 </w:t>
      </w:r>
      <w:r w:rsidRPr="00E03606">
        <w:rPr>
          <w:rFonts w:ascii="Verdana" w:hAnsi="Verdana"/>
          <w:i/>
          <w:iCs/>
          <w:color w:val="333333"/>
          <w:sz w:val="21"/>
          <w:szCs w:val="21"/>
          <w:shd w:val="clear" w:color="auto" w:fill="FFFFFF"/>
        </w:rPr>
        <w:t>ibídem</w:t>
      </w:r>
      <w:r w:rsidRPr="00E03606">
        <w:rPr>
          <w:rFonts w:ascii="Verdana" w:hAnsi="Verdana"/>
          <w:color w:val="333333"/>
          <w:sz w:val="21"/>
          <w:szCs w:val="21"/>
          <w:shd w:val="clear" w:color="auto" w:fill="FFFFFF"/>
        </w:rPr>
        <w:t xml:space="preserve"> establece que "(l)os empleos en los órganos y entidades del Estado son de carrera. Se exceptúan los de elección popular, los de libre nombramiento y remoción, los de trabajadores oficiales y los demás que determine la ley". Con base en estas dos normas</w:t>
      </w:r>
      <w:r w:rsidRPr="00E03606">
        <w:rPr>
          <w:rFonts w:ascii="Verdana" w:hAnsi="Verdana"/>
          <w:color w:val="333333"/>
          <w:sz w:val="21"/>
          <w:szCs w:val="21"/>
          <w:u w:val="single"/>
          <w:shd w:val="clear" w:color="auto" w:fill="FFFFFF"/>
        </w:rPr>
        <w:t>, la Corte ha hecho ver que la noción de “servidor público” es un género que comprende diferentes especies, cuales son los miembros de las corporaciones públicas, los empleados públicos y los trabajadores oficiales.</w:t>
      </w:r>
      <w:r w:rsidRPr="00E03606">
        <w:rPr>
          <w:rFonts w:ascii="Verdana" w:hAnsi="Verdana"/>
          <w:color w:val="333333"/>
          <w:sz w:val="21"/>
          <w:szCs w:val="21"/>
          <w:shd w:val="clear" w:color="auto" w:fill="FFFFFF"/>
        </w:rPr>
        <w:t> Estos últimos, como es sabido, no se vinculan a la Administración mediante situación legal y reglamentaria, sino mediante contrato de trabajo, al contrario de lo que sucede con los empleados públicos. </w:t>
      </w:r>
      <w:r w:rsidRPr="00E03606">
        <w:rPr>
          <w:rFonts w:ascii="Verdana" w:hAnsi="Verdana"/>
          <w:color w:val="333333"/>
          <w:sz w:val="21"/>
          <w:szCs w:val="21"/>
          <w:u w:val="single"/>
          <w:shd w:val="clear" w:color="auto" w:fill="FFFFFF"/>
        </w:rPr>
        <w:t xml:space="preserve">La jurisprudencia también ha hecho ver que la anterior clasificación emana de la Carta misma, pero que ello no obsta para que el legislador pueda establecer nuevas denominaciones, clases o grupos de servidores públicos diferentes de las mencionadas, para lo cual está revestido de facultades expresas en virtud de lo dispuesto por el numeral 23 del artículo 150 de la Constitución Política Así pues, en virtud de lo dispuesto por el artículo 123 superior, debe concluirse que los empleados y trabajadores de las entidades descentralizadas, entre ellos los de las sociedades de economía mixta y los las empresas de servicios públicos, son servidores públicos, categoría dentro de la cual el legislador puede </w:t>
      </w:r>
      <w:r w:rsidRPr="00E03606">
        <w:rPr>
          <w:rFonts w:ascii="Verdana" w:hAnsi="Verdana"/>
          <w:color w:val="333333"/>
          <w:sz w:val="21"/>
          <w:szCs w:val="21"/>
          <w:u w:val="single"/>
          <w:shd w:val="clear" w:color="auto" w:fill="FFFFFF"/>
        </w:rPr>
        <w:lastRenderedPageBreak/>
        <w:t>señalar distintas categorías jurídicas</w:t>
      </w:r>
      <w:r>
        <w:rPr>
          <w:rStyle w:val="Refdenotaalpie"/>
          <w:rFonts w:ascii="Verdana" w:hAnsi="Verdana"/>
          <w:color w:val="333333"/>
          <w:sz w:val="21"/>
          <w:szCs w:val="21"/>
          <w:u w:val="single"/>
          <w:shd w:val="clear" w:color="auto" w:fill="FFFFFF"/>
        </w:rPr>
        <w:footnoteReference w:id="5"/>
      </w:r>
      <w:r>
        <w:rPr>
          <w:rFonts w:ascii="Verdana" w:hAnsi="Verdana"/>
          <w:color w:val="333333"/>
          <w:sz w:val="21"/>
          <w:szCs w:val="21"/>
          <w:u w:val="single"/>
          <w:shd w:val="clear" w:color="auto" w:fill="FFFFFF"/>
        </w:rPr>
        <w:t xml:space="preserve">”. </w:t>
      </w:r>
    </w:p>
    <w:p w14:paraId="0D90B170" w14:textId="77777777" w:rsidR="00011028" w:rsidRPr="00E03606" w:rsidRDefault="00011028" w:rsidP="00011028">
      <w:pPr>
        <w:widowControl w:val="0"/>
        <w:autoSpaceDE w:val="0"/>
        <w:autoSpaceDN w:val="0"/>
        <w:spacing w:after="0" w:line="240" w:lineRule="auto"/>
        <w:ind w:left="709" w:right="709"/>
        <w:jc w:val="both"/>
        <w:rPr>
          <w:rFonts w:ascii="Verdana" w:eastAsia="Times New Roman" w:hAnsi="Verdana" w:cs="Arial"/>
          <w:sz w:val="21"/>
          <w:szCs w:val="21"/>
          <w:lang w:val="es-ES" w:eastAsia="es-ES"/>
        </w:rPr>
      </w:pPr>
      <w:r>
        <w:rPr>
          <w:rFonts w:ascii="Verdana" w:hAnsi="Verdana"/>
          <w:color w:val="333333"/>
          <w:sz w:val="21"/>
          <w:szCs w:val="21"/>
          <w:shd w:val="clear" w:color="auto" w:fill="FFFFFF"/>
        </w:rPr>
        <w:t>[Resaltado por fuera de texto legal]</w:t>
      </w:r>
    </w:p>
    <w:p w14:paraId="02F3D42F" w14:textId="77777777" w:rsidR="00011028" w:rsidRDefault="00011028" w:rsidP="00011028">
      <w:pPr>
        <w:widowControl w:val="0"/>
        <w:autoSpaceDE w:val="0"/>
        <w:autoSpaceDN w:val="0"/>
        <w:spacing w:after="0" w:line="276" w:lineRule="auto"/>
        <w:ind w:firstLine="708"/>
        <w:jc w:val="both"/>
        <w:rPr>
          <w:rFonts w:ascii="Verdana" w:eastAsia="Times New Roman" w:hAnsi="Verdana" w:cs="Arial"/>
          <w:lang w:val="es-ES" w:eastAsia="es-ES"/>
        </w:rPr>
      </w:pPr>
    </w:p>
    <w:p w14:paraId="5F1FAEEB" w14:textId="77777777" w:rsidR="00011028" w:rsidRDefault="00011028" w:rsidP="00011028">
      <w:pPr>
        <w:widowControl w:val="0"/>
        <w:autoSpaceDE w:val="0"/>
        <w:autoSpaceDN w:val="0"/>
        <w:spacing w:after="0" w:line="276" w:lineRule="auto"/>
        <w:ind w:firstLine="708"/>
        <w:jc w:val="both"/>
        <w:rPr>
          <w:rFonts w:ascii="Verdana" w:eastAsia="Times New Roman" w:hAnsi="Verdana" w:cs="Arial"/>
          <w:lang w:val="es-ES" w:eastAsia="es-ES"/>
        </w:rPr>
      </w:pPr>
      <w:r>
        <w:rPr>
          <w:rFonts w:ascii="Verdana" w:eastAsia="Times New Roman" w:hAnsi="Verdana" w:cs="Arial"/>
          <w:lang w:val="es-ES" w:eastAsia="es-ES"/>
        </w:rPr>
        <w:t>Así mismo, el Departamento Administrativo de la Función Pública – DAFP en Concepto del 4 de marzo de 2020, al resolver la inquietud sobre la clasificación de aquellas personas que prestaban sus servicios en</w:t>
      </w:r>
      <w:r w:rsidRPr="003A2727">
        <w:rPr>
          <w:rFonts w:ascii="Verdana" w:eastAsia="Times New Roman" w:hAnsi="Verdana" w:cs="Arial"/>
          <w:lang w:val="es-ES" w:eastAsia="es-ES"/>
        </w:rPr>
        <w:t xml:space="preserve"> una empresa de economía mixta con capital social público superior al 50%, pero inferior del 90%</w:t>
      </w:r>
      <w:r>
        <w:rPr>
          <w:rFonts w:ascii="Verdana" w:eastAsia="Times New Roman" w:hAnsi="Verdana" w:cs="Arial"/>
          <w:lang w:val="es-ES" w:eastAsia="es-ES"/>
        </w:rPr>
        <w:t>, indicó que:</w:t>
      </w:r>
    </w:p>
    <w:p w14:paraId="5D864EC7" w14:textId="77777777" w:rsidR="00011028" w:rsidRDefault="00011028" w:rsidP="00011028">
      <w:pPr>
        <w:widowControl w:val="0"/>
        <w:autoSpaceDE w:val="0"/>
        <w:autoSpaceDN w:val="0"/>
        <w:spacing w:after="0" w:line="276" w:lineRule="auto"/>
        <w:ind w:firstLine="708"/>
        <w:jc w:val="both"/>
        <w:rPr>
          <w:rFonts w:ascii="Verdana" w:eastAsia="Times New Roman" w:hAnsi="Verdana" w:cs="Arial"/>
          <w:lang w:val="es-ES" w:eastAsia="es-ES"/>
        </w:rPr>
      </w:pPr>
    </w:p>
    <w:p w14:paraId="04891E3C" w14:textId="77777777" w:rsidR="00011028" w:rsidRDefault="00011028" w:rsidP="00011028">
      <w:pPr>
        <w:widowControl w:val="0"/>
        <w:autoSpaceDE w:val="0"/>
        <w:autoSpaceDN w:val="0"/>
        <w:spacing w:after="0" w:line="276" w:lineRule="auto"/>
        <w:ind w:left="709" w:right="709"/>
        <w:jc w:val="both"/>
        <w:rPr>
          <w:rFonts w:ascii="Verdana" w:eastAsia="Times New Roman" w:hAnsi="Verdana" w:cs="Arial"/>
          <w:sz w:val="21"/>
          <w:szCs w:val="21"/>
          <w:lang w:val="es-ES" w:eastAsia="es-ES"/>
        </w:rPr>
      </w:pPr>
      <w:r w:rsidRPr="00A33639">
        <w:rPr>
          <w:rFonts w:ascii="Verdana" w:eastAsia="Times New Roman" w:hAnsi="Verdana" w:cs="Arial"/>
          <w:sz w:val="21"/>
          <w:szCs w:val="21"/>
          <w:lang w:val="es-ES" w:eastAsia="es-ES"/>
        </w:rPr>
        <w:t xml:space="preserve">“A su primer interrogante, referente a establecer si </w:t>
      </w:r>
      <w:r w:rsidRPr="007D6C22">
        <w:rPr>
          <w:rFonts w:ascii="Verdana" w:eastAsia="Times New Roman" w:hAnsi="Verdana" w:cs="Arial"/>
          <w:sz w:val="21"/>
          <w:szCs w:val="21"/>
          <w:u w:val="single"/>
          <w:lang w:val="es-ES" w:eastAsia="es-ES"/>
        </w:rPr>
        <w:t>¿Los trabajadores de sociedades de economía mixta que desarrolla actividades comerciales y está en competencia con el sector privado cuya participación accionaria es superior al 50% e inferior al 90% qué régimen laboral ostentan?</w:t>
      </w:r>
      <w:r w:rsidRPr="00A33639">
        <w:rPr>
          <w:rFonts w:ascii="Verdana" w:eastAsia="Times New Roman" w:hAnsi="Verdana" w:cs="Arial"/>
          <w:sz w:val="21"/>
          <w:szCs w:val="21"/>
          <w:lang w:val="es-ES" w:eastAsia="es-ES"/>
        </w:rPr>
        <w:t xml:space="preserve">, le indico que, de conformidad con lo previsto en las normas que rigen la materia y que han sido desarrollados en el presente oficio, se tiene que </w:t>
      </w:r>
      <w:r w:rsidRPr="007D6C22">
        <w:rPr>
          <w:rFonts w:ascii="Verdana" w:eastAsia="Times New Roman" w:hAnsi="Verdana" w:cs="Arial"/>
          <w:sz w:val="21"/>
          <w:szCs w:val="21"/>
          <w:u w:val="single"/>
          <w:lang w:val="es-ES" w:eastAsia="es-ES"/>
        </w:rPr>
        <w:t xml:space="preserve">en el caso que la participación accionaria del Estado en la sociedad de economía mixta sea inferior al 90%, sus trabajadores son considerados </w:t>
      </w:r>
      <w:r w:rsidRPr="007D6C22">
        <w:rPr>
          <w:rFonts w:ascii="Verdana" w:eastAsia="Times New Roman" w:hAnsi="Verdana" w:cs="Arial"/>
          <w:b/>
          <w:bCs/>
          <w:sz w:val="21"/>
          <w:szCs w:val="21"/>
          <w:u w:val="single"/>
          <w:lang w:val="es-ES" w:eastAsia="es-ES"/>
        </w:rPr>
        <w:t>servidores públicos</w:t>
      </w:r>
      <w:r w:rsidRPr="007D6C22">
        <w:rPr>
          <w:rFonts w:ascii="Verdana" w:eastAsia="Times New Roman" w:hAnsi="Verdana" w:cs="Arial"/>
          <w:sz w:val="21"/>
          <w:szCs w:val="21"/>
          <w:u w:val="single"/>
          <w:lang w:val="es-ES" w:eastAsia="es-ES"/>
        </w:rPr>
        <w:t xml:space="preserve"> que se rigen por las disposiciones del derecho privado; es decir, por el Código Sustantivo del Trabajo</w:t>
      </w:r>
      <w:r w:rsidRPr="00A33639">
        <w:rPr>
          <w:rFonts w:ascii="Verdana" w:eastAsia="Times New Roman" w:hAnsi="Verdana" w:cs="Arial"/>
          <w:sz w:val="21"/>
          <w:szCs w:val="21"/>
          <w:lang w:val="es-ES" w:eastAsia="es-ES"/>
        </w:rPr>
        <w:t>”</w:t>
      </w:r>
      <w:r>
        <w:rPr>
          <w:rStyle w:val="Refdenotaalpie"/>
          <w:rFonts w:ascii="Verdana" w:eastAsia="Times New Roman" w:hAnsi="Verdana" w:cs="Arial"/>
          <w:sz w:val="21"/>
          <w:szCs w:val="21"/>
          <w:lang w:val="es-ES" w:eastAsia="es-ES"/>
        </w:rPr>
        <w:footnoteReference w:id="6"/>
      </w:r>
      <w:r w:rsidRPr="00A33639">
        <w:rPr>
          <w:rFonts w:ascii="Verdana" w:eastAsia="Times New Roman" w:hAnsi="Verdana" w:cs="Arial"/>
          <w:sz w:val="21"/>
          <w:szCs w:val="21"/>
          <w:lang w:val="es-ES" w:eastAsia="es-ES"/>
        </w:rPr>
        <w:t>.</w:t>
      </w:r>
    </w:p>
    <w:p w14:paraId="1B599387" w14:textId="77777777" w:rsidR="00011028" w:rsidRPr="00E03606" w:rsidRDefault="00011028" w:rsidP="00011028">
      <w:pPr>
        <w:widowControl w:val="0"/>
        <w:autoSpaceDE w:val="0"/>
        <w:autoSpaceDN w:val="0"/>
        <w:spacing w:after="0" w:line="240" w:lineRule="auto"/>
        <w:ind w:left="709" w:right="709"/>
        <w:jc w:val="both"/>
        <w:rPr>
          <w:rFonts w:ascii="Verdana" w:eastAsia="Times New Roman" w:hAnsi="Verdana" w:cs="Arial"/>
          <w:sz w:val="21"/>
          <w:szCs w:val="21"/>
          <w:lang w:val="es-ES" w:eastAsia="es-ES"/>
        </w:rPr>
      </w:pPr>
      <w:r>
        <w:rPr>
          <w:rFonts w:ascii="Verdana" w:hAnsi="Verdana"/>
          <w:color w:val="333333"/>
          <w:sz w:val="21"/>
          <w:szCs w:val="21"/>
          <w:shd w:val="clear" w:color="auto" w:fill="FFFFFF"/>
        </w:rPr>
        <w:t>[Resaltado y negrilla por fuera de texto legal]</w:t>
      </w:r>
    </w:p>
    <w:p w14:paraId="567D7091" w14:textId="77777777" w:rsidR="00011028" w:rsidRDefault="00011028" w:rsidP="00011028">
      <w:pPr>
        <w:shd w:val="clear" w:color="auto" w:fill="FFFFFF"/>
        <w:spacing w:after="0" w:line="276" w:lineRule="auto"/>
        <w:ind w:left="709" w:right="709"/>
        <w:jc w:val="both"/>
        <w:rPr>
          <w:rFonts w:ascii="Verdana" w:hAnsi="Verdana" w:cs="Arial"/>
          <w:bCs/>
          <w:lang w:eastAsia="es-CO"/>
        </w:rPr>
      </w:pPr>
    </w:p>
    <w:p w14:paraId="2554524E" w14:textId="77777777" w:rsidR="00011028" w:rsidRPr="00BE151B" w:rsidRDefault="00011028" w:rsidP="00011028">
      <w:pPr>
        <w:widowControl w:val="0"/>
        <w:autoSpaceDE w:val="0"/>
        <w:autoSpaceDN w:val="0"/>
        <w:spacing w:after="0" w:line="276" w:lineRule="auto"/>
        <w:ind w:firstLine="708"/>
        <w:jc w:val="both"/>
        <w:rPr>
          <w:rFonts w:ascii="Verdana" w:eastAsia="Arial MT" w:hAnsi="Verdana" w:cs="Arial"/>
          <w:u w:val="single"/>
        </w:rPr>
      </w:pPr>
      <w:r>
        <w:rPr>
          <w:rFonts w:ascii="Verdana" w:eastAsia="Times New Roman" w:hAnsi="Verdana" w:cs="Arial"/>
          <w:lang w:val="es-ES" w:eastAsia="es-ES"/>
        </w:rPr>
        <w:t>Dicho esto, con el propósito de resolver su interrogante, cabe señalar que e</w:t>
      </w:r>
      <w:r w:rsidRPr="00BE151B">
        <w:rPr>
          <w:rFonts w:ascii="Verdana" w:eastAsia="Arial MT" w:hAnsi="Verdana" w:cs="Arial"/>
        </w:rPr>
        <w:t>l régimen de inhabilidades e incompatibilidades en la contratación pública</w:t>
      </w:r>
      <w:r w:rsidRPr="00BE151B">
        <w:rPr>
          <w:rFonts w:ascii="Verdana" w:eastAsia="Arial MT" w:hAnsi="Verdana" w:cs="Arial"/>
          <w:spacing w:val="1"/>
        </w:rPr>
        <w:t xml:space="preserve"> </w:t>
      </w:r>
      <w:r w:rsidRPr="00BE151B">
        <w:rPr>
          <w:rFonts w:ascii="Verdana" w:eastAsia="Arial MT" w:hAnsi="Verdana" w:cs="Arial"/>
        </w:rPr>
        <w:t xml:space="preserve">responde al propósito de asegurar que la actividad de adquisición y provisión de </w:t>
      </w:r>
      <w:r w:rsidRPr="00BE151B">
        <w:rPr>
          <w:rFonts w:ascii="Verdana" w:eastAsia="Arial MT" w:hAnsi="Verdana" w:cs="Arial"/>
          <w:spacing w:val="1"/>
        </w:rPr>
        <w:t>bienes</w:t>
      </w:r>
      <w:r w:rsidRPr="00BE151B">
        <w:rPr>
          <w:rFonts w:ascii="Verdana" w:eastAsia="Arial MT" w:hAnsi="Verdana" w:cs="Arial"/>
        </w:rPr>
        <w:t xml:space="preserve"> y servicios por parte de las entidades estatales se efectúe cumpliendo con los</w:t>
      </w:r>
      <w:r w:rsidRPr="00BE151B">
        <w:rPr>
          <w:rFonts w:ascii="Verdana" w:eastAsia="Arial MT" w:hAnsi="Verdana" w:cs="Arial"/>
          <w:spacing w:val="1"/>
        </w:rPr>
        <w:t xml:space="preserve"> </w:t>
      </w:r>
      <w:r w:rsidRPr="00BE151B">
        <w:rPr>
          <w:rFonts w:ascii="Verdana" w:eastAsia="Arial MT" w:hAnsi="Verdana" w:cs="Arial"/>
        </w:rPr>
        <w:t>principios</w:t>
      </w:r>
      <w:r w:rsidRPr="00BE151B">
        <w:rPr>
          <w:rFonts w:ascii="Verdana" w:eastAsia="Arial MT" w:hAnsi="Verdana" w:cs="Arial"/>
          <w:spacing w:val="-11"/>
        </w:rPr>
        <w:t xml:space="preserve"> </w:t>
      </w:r>
      <w:r w:rsidRPr="00BE151B">
        <w:rPr>
          <w:rFonts w:ascii="Verdana" w:eastAsia="Arial MT" w:hAnsi="Verdana" w:cs="Arial"/>
        </w:rPr>
        <w:t>de</w:t>
      </w:r>
      <w:r w:rsidRPr="00BE151B">
        <w:rPr>
          <w:rFonts w:ascii="Verdana" w:eastAsia="Arial MT" w:hAnsi="Verdana" w:cs="Arial"/>
          <w:spacing w:val="-11"/>
        </w:rPr>
        <w:t xml:space="preserve"> </w:t>
      </w:r>
      <w:r w:rsidRPr="00BE151B">
        <w:rPr>
          <w:rFonts w:ascii="Verdana" w:eastAsia="Arial MT" w:hAnsi="Verdana" w:cs="Arial"/>
        </w:rPr>
        <w:t>la</w:t>
      </w:r>
      <w:r w:rsidRPr="00BE151B">
        <w:rPr>
          <w:rFonts w:ascii="Verdana" w:eastAsia="Arial MT" w:hAnsi="Verdana" w:cs="Arial"/>
          <w:spacing w:val="-11"/>
        </w:rPr>
        <w:t xml:space="preserve"> </w:t>
      </w:r>
      <w:r w:rsidRPr="00BE151B">
        <w:rPr>
          <w:rFonts w:ascii="Verdana" w:eastAsia="Arial MT" w:hAnsi="Verdana" w:cs="Arial"/>
        </w:rPr>
        <w:t>función</w:t>
      </w:r>
      <w:r w:rsidRPr="00BE151B">
        <w:rPr>
          <w:rFonts w:ascii="Verdana" w:eastAsia="Arial MT" w:hAnsi="Verdana" w:cs="Arial"/>
          <w:spacing w:val="-10"/>
        </w:rPr>
        <w:t xml:space="preserve"> </w:t>
      </w:r>
      <w:r w:rsidRPr="00BE151B">
        <w:rPr>
          <w:rFonts w:ascii="Verdana" w:eastAsia="Arial MT" w:hAnsi="Verdana" w:cs="Arial"/>
        </w:rPr>
        <w:t>administrativa</w:t>
      </w:r>
      <w:r w:rsidRPr="00BE151B">
        <w:rPr>
          <w:rFonts w:ascii="Verdana" w:eastAsia="Arial MT" w:hAnsi="Verdana" w:cs="Arial"/>
          <w:spacing w:val="-11"/>
        </w:rPr>
        <w:t xml:space="preserve"> </w:t>
      </w:r>
      <w:r w:rsidRPr="00BE151B">
        <w:rPr>
          <w:rFonts w:ascii="Verdana" w:eastAsia="Arial MT" w:hAnsi="Verdana" w:cs="Arial"/>
        </w:rPr>
        <w:t>y</w:t>
      </w:r>
      <w:r w:rsidRPr="00BE151B">
        <w:rPr>
          <w:rFonts w:ascii="Verdana" w:eastAsia="Arial MT" w:hAnsi="Verdana" w:cs="Arial"/>
          <w:spacing w:val="-10"/>
        </w:rPr>
        <w:t xml:space="preserve"> </w:t>
      </w:r>
      <w:r w:rsidRPr="00BE151B">
        <w:rPr>
          <w:rFonts w:ascii="Verdana" w:eastAsia="Arial MT" w:hAnsi="Verdana" w:cs="Arial"/>
        </w:rPr>
        <w:t>de</w:t>
      </w:r>
      <w:r w:rsidRPr="00BE151B">
        <w:rPr>
          <w:rFonts w:ascii="Verdana" w:eastAsia="Arial MT" w:hAnsi="Verdana" w:cs="Arial"/>
          <w:spacing w:val="-11"/>
        </w:rPr>
        <w:t xml:space="preserve"> </w:t>
      </w:r>
      <w:r w:rsidRPr="00BE151B">
        <w:rPr>
          <w:rFonts w:ascii="Verdana" w:eastAsia="Arial MT" w:hAnsi="Verdana" w:cs="Arial"/>
        </w:rPr>
        <w:t>la</w:t>
      </w:r>
      <w:r w:rsidRPr="00BE151B">
        <w:rPr>
          <w:rFonts w:ascii="Verdana" w:eastAsia="Arial MT" w:hAnsi="Verdana" w:cs="Arial"/>
          <w:spacing w:val="-11"/>
        </w:rPr>
        <w:t xml:space="preserve"> </w:t>
      </w:r>
      <w:r w:rsidRPr="00BE151B">
        <w:rPr>
          <w:rFonts w:ascii="Verdana" w:eastAsia="Arial MT" w:hAnsi="Verdana" w:cs="Arial"/>
        </w:rPr>
        <w:t>gestión</w:t>
      </w:r>
      <w:r w:rsidRPr="00BE151B">
        <w:rPr>
          <w:rFonts w:ascii="Verdana" w:eastAsia="Arial MT" w:hAnsi="Verdana" w:cs="Arial"/>
          <w:spacing w:val="-11"/>
        </w:rPr>
        <w:t xml:space="preserve"> </w:t>
      </w:r>
      <w:r w:rsidRPr="00BE151B">
        <w:rPr>
          <w:rFonts w:ascii="Verdana" w:eastAsia="Arial MT" w:hAnsi="Verdana" w:cs="Arial"/>
        </w:rPr>
        <w:t>fiscal,</w:t>
      </w:r>
      <w:r w:rsidRPr="00BE151B">
        <w:rPr>
          <w:rFonts w:ascii="Verdana" w:eastAsia="Arial MT" w:hAnsi="Verdana" w:cs="Arial"/>
          <w:spacing w:val="-10"/>
        </w:rPr>
        <w:t xml:space="preserve"> </w:t>
      </w:r>
      <w:r w:rsidRPr="00BE151B">
        <w:rPr>
          <w:rFonts w:ascii="Verdana" w:eastAsia="Arial MT" w:hAnsi="Verdana" w:cs="Arial"/>
        </w:rPr>
        <w:t>especialmente</w:t>
      </w:r>
      <w:r w:rsidRPr="00BE151B">
        <w:rPr>
          <w:rFonts w:ascii="Verdana" w:eastAsia="Arial MT" w:hAnsi="Verdana" w:cs="Arial"/>
          <w:spacing w:val="-11"/>
        </w:rPr>
        <w:t xml:space="preserve"> </w:t>
      </w:r>
      <w:r w:rsidRPr="00BE151B">
        <w:rPr>
          <w:rFonts w:ascii="Verdana" w:eastAsia="Arial MT" w:hAnsi="Verdana" w:cs="Arial"/>
        </w:rPr>
        <w:t>con</w:t>
      </w:r>
      <w:r w:rsidRPr="00BE151B">
        <w:rPr>
          <w:rFonts w:ascii="Verdana" w:eastAsia="Arial MT" w:hAnsi="Verdana" w:cs="Arial"/>
          <w:spacing w:val="-11"/>
        </w:rPr>
        <w:t xml:space="preserve"> </w:t>
      </w:r>
      <w:r w:rsidRPr="00BE151B">
        <w:rPr>
          <w:rFonts w:ascii="Verdana" w:eastAsia="Arial MT" w:hAnsi="Verdana" w:cs="Arial"/>
        </w:rPr>
        <w:t>probidad</w:t>
      </w:r>
      <w:r w:rsidRPr="00BE151B">
        <w:rPr>
          <w:rFonts w:ascii="Verdana" w:eastAsia="Arial MT" w:hAnsi="Verdana" w:cs="Arial"/>
          <w:spacing w:val="1"/>
        </w:rPr>
        <w:t xml:space="preserve"> </w:t>
      </w:r>
      <w:r w:rsidRPr="00BE151B">
        <w:rPr>
          <w:rFonts w:ascii="Verdana" w:eastAsia="Arial MT" w:hAnsi="Verdana" w:cs="Arial"/>
        </w:rPr>
        <w:t>y</w:t>
      </w:r>
      <w:r w:rsidRPr="00BE151B">
        <w:rPr>
          <w:rFonts w:ascii="Verdana" w:eastAsia="Arial MT" w:hAnsi="Verdana" w:cs="Arial"/>
          <w:spacing w:val="1"/>
        </w:rPr>
        <w:t xml:space="preserve"> </w:t>
      </w:r>
      <w:r w:rsidRPr="00BE151B">
        <w:rPr>
          <w:rFonts w:ascii="Verdana" w:eastAsia="Arial MT" w:hAnsi="Verdana" w:cs="Arial"/>
        </w:rPr>
        <w:t>transparencia.</w:t>
      </w:r>
      <w:r w:rsidRPr="00BE151B">
        <w:rPr>
          <w:rFonts w:ascii="Verdana" w:eastAsia="Arial MT" w:hAnsi="Verdana" w:cs="Arial"/>
          <w:spacing w:val="1"/>
        </w:rPr>
        <w:t xml:space="preserve"> </w:t>
      </w:r>
      <w:r w:rsidRPr="00BE151B">
        <w:rPr>
          <w:rFonts w:ascii="Verdana" w:eastAsia="Arial MT" w:hAnsi="Verdana" w:cs="Arial"/>
        </w:rPr>
        <w:t>Por</w:t>
      </w:r>
      <w:r w:rsidRPr="00BE151B">
        <w:rPr>
          <w:rFonts w:ascii="Verdana" w:eastAsia="Arial MT" w:hAnsi="Verdana" w:cs="Arial"/>
          <w:spacing w:val="1"/>
        </w:rPr>
        <w:t xml:space="preserve"> </w:t>
      </w:r>
      <w:r w:rsidRPr="00BE151B">
        <w:rPr>
          <w:rFonts w:ascii="Verdana" w:eastAsia="Arial MT" w:hAnsi="Verdana" w:cs="Arial"/>
        </w:rPr>
        <w:t>ello,</w:t>
      </w:r>
      <w:r w:rsidRPr="00BE151B">
        <w:rPr>
          <w:rFonts w:ascii="Verdana" w:eastAsia="Arial MT" w:hAnsi="Verdana" w:cs="Arial"/>
          <w:spacing w:val="1"/>
        </w:rPr>
        <w:t xml:space="preserve"> </w:t>
      </w:r>
      <w:r w:rsidRPr="00BE151B">
        <w:rPr>
          <w:rFonts w:ascii="Verdana" w:eastAsia="Arial MT" w:hAnsi="Verdana" w:cs="Arial"/>
        </w:rPr>
        <w:t>como</w:t>
      </w:r>
      <w:r w:rsidRPr="00BE151B">
        <w:rPr>
          <w:rFonts w:ascii="Verdana" w:eastAsia="Arial MT" w:hAnsi="Verdana" w:cs="Arial"/>
          <w:spacing w:val="1"/>
        </w:rPr>
        <w:t xml:space="preserve"> </w:t>
      </w:r>
      <w:r w:rsidRPr="00BE151B">
        <w:rPr>
          <w:rFonts w:ascii="Verdana" w:eastAsia="Arial MT" w:hAnsi="Verdana" w:cs="Arial"/>
        </w:rPr>
        <w:t>lo</w:t>
      </w:r>
      <w:r w:rsidRPr="00BE151B">
        <w:rPr>
          <w:rFonts w:ascii="Verdana" w:eastAsia="Arial MT" w:hAnsi="Verdana" w:cs="Arial"/>
          <w:spacing w:val="1"/>
        </w:rPr>
        <w:t xml:space="preserve"> </w:t>
      </w:r>
      <w:r w:rsidRPr="00BE151B">
        <w:rPr>
          <w:rFonts w:ascii="Verdana" w:eastAsia="Arial MT" w:hAnsi="Verdana" w:cs="Arial"/>
        </w:rPr>
        <w:t>ha</w:t>
      </w:r>
      <w:r w:rsidRPr="00BE151B">
        <w:rPr>
          <w:rFonts w:ascii="Verdana" w:eastAsia="Arial MT" w:hAnsi="Verdana" w:cs="Arial"/>
          <w:spacing w:val="1"/>
        </w:rPr>
        <w:t xml:space="preserve"> </w:t>
      </w:r>
      <w:r w:rsidRPr="00BE151B">
        <w:rPr>
          <w:rFonts w:ascii="Verdana" w:eastAsia="Arial MT" w:hAnsi="Verdana" w:cs="Arial"/>
        </w:rPr>
        <w:t>destacado</w:t>
      </w:r>
      <w:r w:rsidRPr="00BE151B">
        <w:rPr>
          <w:rFonts w:ascii="Verdana" w:eastAsia="Arial MT" w:hAnsi="Verdana" w:cs="Arial"/>
          <w:spacing w:val="1"/>
        </w:rPr>
        <w:t xml:space="preserve"> </w:t>
      </w:r>
      <w:r w:rsidRPr="00BE151B">
        <w:rPr>
          <w:rFonts w:ascii="Verdana" w:eastAsia="Arial MT" w:hAnsi="Verdana" w:cs="Arial"/>
        </w:rPr>
        <w:t>la</w:t>
      </w:r>
      <w:r w:rsidRPr="00BE151B">
        <w:rPr>
          <w:rFonts w:ascii="Verdana" w:eastAsia="Arial MT" w:hAnsi="Verdana" w:cs="Arial"/>
          <w:spacing w:val="1"/>
        </w:rPr>
        <w:t xml:space="preserve"> </w:t>
      </w:r>
      <w:r w:rsidRPr="00BE151B">
        <w:rPr>
          <w:rFonts w:ascii="Verdana" w:eastAsia="Arial MT" w:hAnsi="Verdana" w:cs="Arial"/>
        </w:rPr>
        <w:t>doctrina,</w:t>
      </w:r>
      <w:r w:rsidRPr="00BE151B">
        <w:rPr>
          <w:rFonts w:ascii="Verdana" w:eastAsia="Arial MT" w:hAnsi="Verdana" w:cs="Arial"/>
          <w:spacing w:val="1"/>
        </w:rPr>
        <w:t xml:space="preserve"> </w:t>
      </w:r>
      <w:r w:rsidRPr="00BE151B">
        <w:rPr>
          <w:rFonts w:ascii="Verdana" w:eastAsia="Arial MT" w:hAnsi="Verdana" w:cs="Arial"/>
        </w:rPr>
        <w:t>las</w:t>
      </w:r>
      <w:r w:rsidRPr="00BE151B">
        <w:rPr>
          <w:rFonts w:ascii="Verdana" w:eastAsia="Arial MT" w:hAnsi="Verdana" w:cs="Arial"/>
          <w:spacing w:val="1"/>
        </w:rPr>
        <w:t xml:space="preserve"> </w:t>
      </w:r>
      <w:r w:rsidRPr="00BE151B">
        <w:rPr>
          <w:rFonts w:ascii="Verdana" w:eastAsia="Arial MT" w:hAnsi="Verdana" w:cs="Arial"/>
        </w:rPr>
        <w:t>inhabilidades</w:t>
      </w:r>
      <w:r w:rsidRPr="00BE151B">
        <w:rPr>
          <w:rFonts w:ascii="Verdana" w:eastAsia="Arial MT" w:hAnsi="Verdana" w:cs="Arial"/>
          <w:spacing w:val="1"/>
        </w:rPr>
        <w:t xml:space="preserve"> </w:t>
      </w:r>
      <w:r w:rsidRPr="00BE151B">
        <w:rPr>
          <w:rFonts w:ascii="Verdana" w:eastAsia="Arial MT" w:hAnsi="Verdana" w:cs="Arial"/>
        </w:rPr>
        <w:t>e</w:t>
      </w:r>
      <w:r w:rsidRPr="00BE151B">
        <w:rPr>
          <w:rFonts w:ascii="Verdana" w:eastAsia="Arial MT" w:hAnsi="Verdana" w:cs="Arial"/>
          <w:spacing w:val="1"/>
        </w:rPr>
        <w:t xml:space="preserve"> </w:t>
      </w:r>
      <w:r w:rsidRPr="00BE151B">
        <w:rPr>
          <w:rFonts w:ascii="Verdana" w:eastAsia="Arial MT" w:hAnsi="Verdana" w:cs="Arial"/>
        </w:rPr>
        <w:t>incompatibilidades se han convertido en herramientas en la lucha contra la corrupción,</w:t>
      </w:r>
      <w:r w:rsidRPr="00BE151B">
        <w:rPr>
          <w:rFonts w:ascii="Verdana" w:eastAsia="Arial MT" w:hAnsi="Verdana" w:cs="Arial"/>
          <w:spacing w:val="1"/>
        </w:rPr>
        <w:t xml:space="preserve"> </w:t>
      </w:r>
      <w:r w:rsidRPr="00BE151B">
        <w:rPr>
          <w:rFonts w:ascii="Verdana" w:eastAsia="Arial MT" w:hAnsi="Verdana" w:cs="Arial"/>
        </w:rPr>
        <w:t>adoptando</w:t>
      </w:r>
      <w:r w:rsidRPr="00BE151B">
        <w:rPr>
          <w:rFonts w:ascii="Verdana" w:eastAsia="Arial MT" w:hAnsi="Verdana" w:cs="Arial"/>
          <w:spacing w:val="-14"/>
        </w:rPr>
        <w:t xml:space="preserve"> </w:t>
      </w:r>
      <w:r w:rsidRPr="00BE151B">
        <w:rPr>
          <w:rFonts w:ascii="Verdana" w:eastAsia="Arial MT" w:hAnsi="Verdana" w:cs="Arial"/>
        </w:rPr>
        <w:t>paulatinamente</w:t>
      </w:r>
      <w:r w:rsidRPr="00BE151B">
        <w:rPr>
          <w:rFonts w:ascii="Verdana" w:eastAsia="Arial MT" w:hAnsi="Verdana" w:cs="Arial"/>
          <w:spacing w:val="-14"/>
        </w:rPr>
        <w:t xml:space="preserve"> </w:t>
      </w:r>
      <w:r w:rsidRPr="00BE151B">
        <w:rPr>
          <w:rFonts w:ascii="Verdana" w:eastAsia="Arial MT" w:hAnsi="Verdana" w:cs="Arial"/>
        </w:rPr>
        <w:t>un</w:t>
      </w:r>
      <w:r w:rsidRPr="00BE151B">
        <w:rPr>
          <w:rFonts w:ascii="Verdana" w:eastAsia="Arial MT" w:hAnsi="Verdana" w:cs="Arial"/>
          <w:spacing w:val="-14"/>
        </w:rPr>
        <w:t xml:space="preserve"> </w:t>
      </w:r>
      <w:r w:rsidRPr="00BE151B">
        <w:rPr>
          <w:rFonts w:ascii="Verdana" w:eastAsia="Arial MT" w:hAnsi="Verdana" w:cs="Arial"/>
        </w:rPr>
        <w:t>carácter</w:t>
      </w:r>
      <w:r w:rsidRPr="00BE151B">
        <w:rPr>
          <w:rFonts w:ascii="Verdana" w:eastAsia="Arial MT" w:hAnsi="Verdana" w:cs="Arial"/>
          <w:spacing w:val="-15"/>
        </w:rPr>
        <w:t xml:space="preserve"> </w:t>
      </w:r>
      <w:r w:rsidRPr="00BE151B">
        <w:rPr>
          <w:rFonts w:ascii="Verdana" w:eastAsia="Arial MT" w:hAnsi="Verdana" w:cs="Arial"/>
        </w:rPr>
        <w:t>sancionatorio</w:t>
      </w:r>
      <w:r w:rsidRPr="00BE151B">
        <w:rPr>
          <w:rFonts w:ascii="Verdana" w:eastAsia="Arial MT" w:hAnsi="Verdana" w:cs="Arial"/>
          <w:spacing w:val="-14"/>
        </w:rPr>
        <w:t xml:space="preserve"> </w:t>
      </w:r>
      <w:r w:rsidRPr="00BE151B">
        <w:rPr>
          <w:rFonts w:ascii="Verdana" w:eastAsia="Arial MT" w:hAnsi="Verdana" w:cs="Arial"/>
        </w:rPr>
        <w:t>o</w:t>
      </w:r>
      <w:r w:rsidRPr="00BE151B">
        <w:rPr>
          <w:rFonts w:ascii="Verdana" w:eastAsia="Arial MT" w:hAnsi="Verdana" w:cs="Arial"/>
          <w:spacing w:val="-15"/>
        </w:rPr>
        <w:t xml:space="preserve"> </w:t>
      </w:r>
      <w:r w:rsidRPr="00BE151B">
        <w:rPr>
          <w:rFonts w:ascii="Verdana" w:eastAsia="Arial MT" w:hAnsi="Verdana" w:cs="Arial"/>
        </w:rPr>
        <w:t>“neopunitivo”</w:t>
      </w:r>
      <w:r w:rsidRPr="00BE151B">
        <w:rPr>
          <w:rFonts w:ascii="Verdana" w:hAnsi="Verdana"/>
          <w:vertAlign w:val="superscript"/>
        </w:rPr>
        <w:footnoteReference w:id="7"/>
      </w:r>
      <w:r w:rsidRPr="00BE151B">
        <w:rPr>
          <w:rFonts w:ascii="Verdana" w:eastAsia="Arial MT" w:hAnsi="Verdana" w:cs="Arial"/>
        </w:rPr>
        <w:t>.</w:t>
      </w:r>
      <w:r w:rsidRPr="00BE151B">
        <w:rPr>
          <w:rFonts w:ascii="Verdana" w:eastAsia="Arial MT" w:hAnsi="Verdana" w:cs="Arial"/>
          <w:spacing w:val="-14"/>
        </w:rPr>
        <w:t xml:space="preserve"> </w:t>
      </w:r>
      <w:r w:rsidRPr="00BE151B">
        <w:rPr>
          <w:rFonts w:ascii="Verdana" w:eastAsia="Arial MT" w:hAnsi="Verdana" w:cs="Arial"/>
        </w:rPr>
        <w:t>Si</w:t>
      </w:r>
      <w:r w:rsidRPr="00BE151B">
        <w:rPr>
          <w:rFonts w:ascii="Verdana" w:eastAsia="Arial MT" w:hAnsi="Verdana" w:cs="Arial"/>
          <w:spacing w:val="-14"/>
        </w:rPr>
        <w:t xml:space="preserve"> </w:t>
      </w:r>
      <w:r w:rsidRPr="00BE151B">
        <w:rPr>
          <w:rFonts w:ascii="Verdana" w:eastAsia="Arial MT" w:hAnsi="Verdana" w:cs="Arial"/>
        </w:rPr>
        <w:t>bien</w:t>
      </w:r>
      <w:r w:rsidRPr="00BE151B">
        <w:rPr>
          <w:rFonts w:ascii="Verdana" w:eastAsia="Arial MT" w:hAnsi="Verdana" w:cs="Arial"/>
          <w:spacing w:val="-14"/>
        </w:rPr>
        <w:t xml:space="preserve"> </w:t>
      </w:r>
      <w:r w:rsidRPr="00BE151B">
        <w:rPr>
          <w:rFonts w:ascii="Verdana" w:eastAsia="Arial MT" w:hAnsi="Verdana" w:cs="Arial"/>
        </w:rPr>
        <w:t>no</w:t>
      </w:r>
      <w:r w:rsidRPr="00BE151B">
        <w:rPr>
          <w:rFonts w:ascii="Verdana" w:eastAsia="Arial MT" w:hAnsi="Verdana" w:cs="Arial"/>
          <w:spacing w:val="-14"/>
        </w:rPr>
        <w:t xml:space="preserve"> </w:t>
      </w:r>
      <w:r w:rsidRPr="00BE151B">
        <w:rPr>
          <w:rFonts w:ascii="Verdana" w:eastAsia="Arial MT" w:hAnsi="Verdana" w:cs="Arial"/>
        </w:rPr>
        <w:t>todas las causales de inhabilidad y de incompatibilidad son consecuencia de una medida de</w:t>
      </w:r>
      <w:r w:rsidRPr="00BE151B">
        <w:rPr>
          <w:rFonts w:ascii="Verdana" w:eastAsia="Arial MT" w:hAnsi="Verdana" w:cs="Arial"/>
          <w:spacing w:val="1"/>
        </w:rPr>
        <w:t xml:space="preserve"> </w:t>
      </w:r>
      <w:r w:rsidRPr="00BE151B">
        <w:rPr>
          <w:rFonts w:ascii="Verdana" w:eastAsia="Arial MT" w:hAnsi="Verdana" w:cs="Arial"/>
        </w:rPr>
        <w:t>reproche,</w:t>
      </w:r>
      <w:r w:rsidRPr="00BE151B">
        <w:rPr>
          <w:rFonts w:ascii="Verdana" w:eastAsia="Arial MT" w:hAnsi="Verdana" w:cs="Arial"/>
          <w:spacing w:val="2"/>
        </w:rPr>
        <w:t xml:space="preserve"> </w:t>
      </w:r>
      <w:r w:rsidRPr="00BE151B">
        <w:rPr>
          <w:rFonts w:ascii="Verdana" w:eastAsia="Arial MT" w:hAnsi="Verdana" w:cs="Arial"/>
        </w:rPr>
        <w:t>ni</w:t>
      </w:r>
      <w:r w:rsidRPr="00BE151B">
        <w:rPr>
          <w:rFonts w:ascii="Verdana" w:eastAsia="Arial MT" w:hAnsi="Verdana" w:cs="Arial"/>
          <w:spacing w:val="3"/>
        </w:rPr>
        <w:t xml:space="preserve"> </w:t>
      </w:r>
      <w:r w:rsidRPr="00BE151B">
        <w:rPr>
          <w:rFonts w:ascii="Verdana" w:eastAsia="Arial MT" w:hAnsi="Verdana" w:cs="Arial"/>
        </w:rPr>
        <w:t>de</w:t>
      </w:r>
      <w:r w:rsidRPr="00BE151B">
        <w:rPr>
          <w:rFonts w:ascii="Verdana" w:eastAsia="Arial MT" w:hAnsi="Verdana" w:cs="Arial"/>
          <w:spacing w:val="2"/>
        </w:rPr>
        <w:t xml:space="preserve"> </w:t>
      </w:r>
      <w:r w:rsidRPr="00BE151B">
        <w:rPr>
          <w:rFonts w:ascii="Verdana" w:eastAsia="Arial MT" w:hAnsi="Verdana" w:cs="Arial"/>
        </w:rPr>
        <w:t>una</w:t>
      </w:r>
      <w:r w:rsidRPr="00BE151B">
        <w:rPr>
          <w:rFonts w:ascii="Verdana" w:eastAsia="Arial MT" w:hAnsi="Verdana" w:cs="Arial"/>
          <w:spacing w:val="3"/>
        </w:rPr>
        <w:t xml:space="preserve"> </w:t>
      </w:r>
      <w:r w:rsidRPr="00BE151B">
        <w:rPr>
          <w:rFonts w:ascii="Verdana" w:eastAsia="Arial MT" w:hAnsi="Verdana" w:cs="Arial"/>
        </w:rPr>
        <w:t>sanción</w:t>
      </w:r>
      <w:r w:rsidRPr="00BE151B">
        <w:rPr>
          <w:rFonts w:ascii="Verdana" w:eastAsia="Arial MT" w:hAnsi="Verdana" w:cs="Arial"/>
          <w:spacing w:val="2"/>
        </w:rPr>
        <w:t xml:space="preserve"> </w:t>
      </w:r>
      <w:r w:rsidRPr="00BE151B">
        <w:rPr>
          <w:rFonts w:ascii="Verdana" w:eastAsia="Arial MT" w:hAnsi="Verdana" w:cs="Arial"/>
        </w:rPr>
        <w:t>previa,</w:t>
      </w:r>
      <w:r w:rsidRPr="00BE151B">
        <w:rPr>
          <w:rFonts w:ascii="Verdana" w:eastAsia="Arial MT" w:hAnsi="Verdana" w:cs="Arial"/>
          <w:spacing w:val="3"/>
        </w:rPr>
        <w:t xml:space="preserve"> </w:t>
      </w:r>
      <w:r w:rsidRPr="00BE151B">
        <w:rPr>
          <w:rFonts w:ascii="Verdana" w:eastAsia="Arial MT" w:hAnsi="Verdana" w:cs="Arial"/>
        </w:rPr>
        <w:t>es</w:t>
      </w:r>
      <w:r w:rsidRPr="00BE151B">
        <w:rPr>
          <w:rFonts w:ascii="Verdana" w:eastAsia="Arial MT" w:hAnsi="Verdana" w:cs="Arial"/>
          <w:spacing w:val="3"/>
        </w:rPr>
        <w:t xml:space="preserve"> </w:t>
      </w:r>
      <w:r w:rsidRPr="00BE151B">
        <w:rPr>
          <w:rFonts w:ascii="Verdana" w:eastAsia="Arial MT" w:hAnsi="Verdana" w:cs="Arial"/>
        </w:rPr>
        <w:t>indiscutible</w:t>
      </w:r>
      <w:r w:rsidRPr="00BE151B">
        <w:rPr>
          <w:rFonts w:ascii="Verdana" w:eastAsia="Arial MT" w:hAnsi="Verdana" w:cs="Arial"/>
          <w:spacing w:val="2"/>
        </w:rPr>
        <w:t xml:space="preserve"> </w:t>
      </w:r>
      <w:r w:rsidRPr="00BE151B">
        <w:rPr>
          <w:rFonts w:ascii="Verdana" w:eastAsia="Arial MT" w:hAnsi="Verdana" w:cs="Arial"/>
        </w:rPr>
        <w:t>que</w:t>
      </w:r>
      <w:r w:rsidRPr="00BE151B">
        <w:rPr>
          <w:rFonts w:ascii="Verdana" w:eastAsia="Arial MT" w:hAnsi="Verdana" w:cs="Arial"/>
          <w:spacing w:val="3"/>
        </w:rPr>
        <w:t xml:space="preserve"> </w:t>
      </w:r>
      <w:r w:rsidRPr="00BE151B">
        <w:rPr>
          <w:rFonts w:ascii="Verdana" w:eastAsia="Arial MT" w:hAnsi="Verdana" w:cs="Arial"/>
        </w:rPr>
        <w:t>en</w:t>
      </w:r>
      <w:r w:rsidRPr="00BE151B">
        <w:rPr>
          <w:rFonts w:ascii="Verdana" w:eastAsia="Arial MT" w:hAnsi="Verdana" w:cs="Arial"/>
          <w:spacing w:val="3"/>
        </w:rPr>
        <w:t xml:space="preserve"> </w:t>
      </w:r>
      <w:r w:rsidRPr="00BE151B">
        <w:rPr>
          <w:rFonts w:ascii="Verdana" w:eastAsia="Arial MT" w:hAnsi="Verdana" w:cs="Arial"/>
        </w:rPr>
        <w:t>los</w:t>
      </w:r>
      <w:r w:rsidRPr="00BE151B">
        <w:rPr>
          <w:rFonts w:ascii="Verdana" w:eastAsia="Arial MT" w:hAnsi="Verdana" w:cs="Arial"/>
          <w:spacing w:val="2"/>
        </w:rPr>
        <w:t xml:space="preserve"> </w:t>
      </w:r>
      <w:r w:rsidRPr="00BE151B">
        <w:rPr>
          <w:rFonts w:ascii="Verdana" w:eastAsia="Arial MT" w:hAnsi="Verdana" w:cs="Arial"/>
        </w:rPr>
        <w:t xml:space="preserve">años más recientes los lamentables hechos de corrupción </w:t>
      </w:r>
      <w:r w:rsidRPr="00BE151B">
        <w:rPr>
          <w:rFonts w:ascii="Verdana" w:eastAsia="Arial MT" w:hAnsi="Verdana" w:cs="Arial"/>
        </w:rPr>
        <w:lastRenderedPageBreak/>
        <w:t>han generado como respuesta</w:t>
      </w:r>
      <w:r w:rsidRPr="00BE151B">
        <w:rPr>
          <w:rFonts w:ascii="Verdana" w:eastAsia="Arial MT" w:hAnsi="Verdana" w:cs="Arial"/>
          <w:spacing w:val="1"/>
        </w:rPr>
        <w:t xml:space="preserve"> </w:t>
      </w:r>
      <w:r w:rsidRPr="00BE151B">
        <w:rPr>
          <w:rFonts w:ascii="Verdana" w:eastAsia="Arial MT" w:hAnsi="Verdana" w:cs="Arial"/>
        </w:rPr>
        <w:t>del legislador, un incremento de las restricciones a la capacidad contractual, dirigidas a</w:t>
      </w:r>
      <w:r w:rsidRPr="00BE151B">
        <w:rPr>
          <w:rFonts w:ascii="Verdana" w:eastAsia="Arial MT" w:hAnsi="Verdana" w:cs="Arial"/>
          <w:spacing w:val="-59"/>
        </w:rPr>
        <w:t xml:space="preserve"> </w:t>
      </w:r>
      <w:r w:rsidRPr="00BE151B">
        <w:rPr>
          <w:rFonts w:ascii="Verdana" w:eastAsia="Arial MT" w:hAnsi="Verdana" w:cs="Arial"/>
        </w:rPr>
        <w:t>prevenir</w:t>
      </w:r>
      <w:r w:rsidRPr="00BE151B">
        <w:rPr>
          <w:rFonts w:ascii="Verdana" w:eastAsia="Arial MT" w:hAnsi="Verdana" w:cs="Arial"/>
          <w:spacing w:val="-2"/>
        </w:rPr>
        <w:t xml:space="preserve"> </w:t>
      </w:r>
      <w:r w:rsidRPr="00BE151B">
        <w:rPr>
          <w:rFonts w:ascii="Verdana" w:eastAsia="Arial MT" w:hAnsi="Verdana" w:cs="Arial"/>
        </w:rPr>
        <w:t>este</w:t>
      </w:r>
      <w:r w:rsidRPr="00BE151B">
        <w:rPr>
          <w:rFonts w:ascii="Verdana" w:eastAsia="Arial MT" w:hAnsi="Verdana" w:cs="Arial"/>
          <w:spacing w:val="-1"/>
        </w:rPr>
        <w:t xml:space="preserve"> </w:t>
      </w:r>
      <w:r w:rsidRPr="00BE151B">
        <w:rPr>
          <w:rFonts w:ascii="Verdana" w:eastAsia="Arial MT" w:hAnsi="Verdana" w:cs="Arial"/>
        </w:rPr>
        <w:t>tipo</w:t>
      </w:r>
      <w:r w:rsidRPr="00BE151B">
        <w:rPr>
          <w:rFonts w:ascii="Verdana" w:eastAsia="Arial MT" w:hAnsi="Verdana" w:cs="Arial"/>
          <w:spacing w:val="-2"/>
        </w:rPr>
        <w:t xml:space="preserve"> </w:t>
      </w:r>
      <w:r w:rsidRPr="00BE151B">
        <w:rPr>
          <w:rFonts w:ascii="Verdana" w:eastAsia="Arial MT" w:hAnsi="Verdana" w:cs="Arial"/>
        </w:rPr>
        <w:t>de</w:t>
      </w:r>
      <w:r w:rsidRPr="00BE151B">
        <w:rPr>
          <w:rFonts w:ascii="Verdana" w:eastAsia="Arial MT" w:hAnsi="Verdana" w:cs="Arial"/>
          <w:spacing w:val="-1"/>
        </w:rPr>
        <w:t xml:space="preserve"> </w:t>
      </w:r>
      <w:r w:rsidRPr="00BE151B">
        <w:rPr>
          <w:rFonts w:ascii="Verdana" w:eastAsia="Arial MT" w:hAnsi="Verdana" w:cs="Arial"/>
        </w:rPr>
        <w:t>situaciones</w:t>
      </w:r>
      <w:r w:rsidRPr="00BE151B">
        <w:rPr>
          <w:rFonts w:ascii="Verdana" w:eastAsia="Arial MT" w:hAnsi="Verdana" w:cs="Arial"/>
          <w:spacing w:val="-1"/>
        </w:rPr>
        <w:t xml:space="preserve"> </w:t>
      </w:r>
      <w:r w:rsidRPr="00BE151B">
        <w:rPr>
          <w:rFonts w:ascii="Verdana" w:eastAsia="Arial MT" w:hAnsi="Verdana" w:cs="Arial"/>
        </w:rPr>
        <w:t>o</w:t>
      </w:r>
      <w:r w:rsidRPr="00BE151B">
        <w:rPr>
          <w:rFonts w:ascii="Verdana" w:eastAsia="Arial MT" w:hAnsi="Verdana" w:cs="Arial"/>
          <w:spacing w:val="-2"/>
        </w:rPr>
        <w:t xml:space="preserve"> </w:t>
      </w:r>
      <w:r w:rsidRPr="00BE151B">
        <w:rPr>
          <w:rFonts w:ascii="Verdana" w:eastAsia="Arial MT" w:hAnsi="Verdana" w:cs="Arial"/>
        </w:rPr>
        <w:t>a</w:t>
      </w:r>
      <w:r w:rsidRPr="00BE151B">
        <w:rPr>
          <w:rFonts w:ascii="Verdana" w:eastAsia="Arial MT" w:hAnsi="Verdana" w:cs="Arial"/>
          <w:spacing w:val="-1"/>
        </w:rPr>
        <w:t xml:space="preserve"> </w:t>
      </w:r>
      <w:r w:rsidRPr="00BE151B">
        <w:rPr>
          <w:rFonts w:ascii="Verdana" w:eastAsia="Arial MT" w:hAnsi="Verdana" w:cs="Arial"/>
        </w:rPr>
        <w:t>sancionar</w:t>
      </w:r>
      <w:r w:rsidRPr="00BE151B">
        <w:rPr>
          <w:rFonts w:ascii="Verdana" w:eastAsia="Arial MT" w:hAnsi="Verdana" w:cs="Arial"/>
          <w:spacing w:val="-1"/>
        </w:rPr>
        <w:t xml:space="preserve"> </w:t>
      </w:r>
      <w:r w:rsidRPr="00BE151B">
        <w:rPr>
          <w:rFonts w:ascii="Verdana" w:eastAsia="Arial MT" w:hAnsi="Verdana" w:cs="Arial"/>
        </w:rPr>
        <w:t>tales</w:t>
      </w:r>
      <w:r w:rsidRPr="00BE151B">
        <w:rPr>
          <w:rFonts w:ascii="Verdana" w:eastAsia="Arial MT" w:hAnsi="Verdana" w:cs="Arial"/>
          <w:spacing w:val="-2"/>
        </w:rPr>
        <w:t xml:space="preserve"> </w:t>
      </w:r>
      <w:r w:rsidRPr="00BE151B">
        <w:rPr>
          <w:rFonts w:ascii="Verdana" w:eastAsia="Arial MT" w:hAnsi="Verdana" w:cs="Arial"/>
        </w:rPr>
        <w:t>conductas.</w:t>
      </w:r>
    </w:p>
    <w:p w14:paraId="2EE635D5" w14:textId="77777777" w:rsidR="00011028" w:rsidRPr="00BE151B" w:rsidRDefault="00011028" w:rsidP="00011028">
      <w:pPr>
        <w:widowControl w:val="0"/>
        <w:autoSpaceDE w:val="0"/>
        <w:autoSpaceDN w:val="0"/>
        <w:spacing w:before="120" w:after="0" w:line="276" w:lineRule="auto"/>
        <w:ind w:firstLine="708"/>
        <w:jc w:val="both"/>
        <w:rPr>
          <w:rFonts w:ascii="Verdana" w:eastAsia="Arial MT" w:hAnsi="Verdana" w:cs="Arial"/>
        </w:rPr>
      </w:pPr>
      <w:r w:rsidRPr="00BE151B">
        <w:rPr>
          <w:rFonts w:ascii="Verdana" w:eastAsia="Arial MT" w:hAnsi="Verdana" w:cs="Arial"/>
        </w:rPr>
        <w:t>Ahora bien, las inhabilidades e incompatibilidades, al ser</w:t>
      </w:r>
      <w:r w:rsidRPr="00BE151B">
        <w:rPr>
          <w:rFonts w:ascii="Verdana" w:eastAsia="Arial MT" w:hAnsi="Verdana" w:cs="Arial"/>
          <w:spacing w:val="1"/>
        </w:rPr>
        <w:t xml:space="preserve"> </w:t>
      </w:r>
      <w:r w:rsidRPr="00BE151B">
        <w:rPr>
          <w:rFonts w:ascii="Verdana" w:eastAsia="Arial MT" w:hAnsi="Verdana" w:cs="Arial"/>
        </w:rPr>
        <w:t>restricciones o límites especiales a la capacidad para presentar ofertas y celebrar</w:t>
      </w:r>
      <w:r w:rsidRPr="00BE151B">
        <w:rPr>
          <w:rFonts w:ascii="Verdana" w:eastAsia="Arial MT" w:hAnsi="Verdana" w:cs="Arial"/>
          <w:spacing w:val="1"/>
        </w:rPr>
        <w:t xml:space="preserve"> </w:t>
      </w:r>
      <w:r w:rsidRPr="00BE151B">
        <w:rPr>
          <w:rFonts w:ascii="Verdana" w:eastAsia="Arial MT" w:hAnsi="Verdana" w:cs="Arial"/>
        </w:rPr>
        <w:t>contratos</w:t>
      </w:r>
      <w:r w:rsidRPr="00BE151B">
        <w:rPr>
          <w:rFonts w:ascii="Verdana" w:eastAsia="Arial MT" w:hAnsi="Verdana" w:cs="Arial"/>
          <w:spacing w:val="-12"/>
        </w:rPr>
        <w:t xml:space="preserve"> </w:t>
      </w:r>
      <w:r w:rsidRPr="00BE151B">
        <w:rPr>
          <w:rFonts w:ascii="Verdana" w:eastAsia="Arial MT" w:hAnsi="Verdana" w:cs="Arial"/>
        </w:rPr>
        <w:t>estatales,</w:t>
      </w:r>
      <w:r w:rsidRPr="00BE151B">
        <w:rPr>
          <w:rFonts w:ascii="Verdana" w:eastAsia="Arial MT" w:hAnsi="Verdana" w:cs="Arial"/>
          <w:spacing w:val="-12"/>
        </w:rPr>
        <w:t xml:space="preserve"> </w:t>
      </w:r>
      <w:r w:rsidRPr="00BE151B">
        <w:rPr>
          <w:rFonts w:ascii="Verdana" w:eastAsia="Arial MT" w:hAnsi="Verdana" w:cs="Arial"/>
        </w:rPr>
        <w:t>solo</w:t>
      </w:r>
      <w:r w:rsidRPr="00BE151B">
        <w:rPr>
          <w:rFonts w:ascii="Verdana" w:eastAsia="Arial MT" w:hAnsi="Verdana" w:cs="Arial"/>
          <w:spacing w:val="-12"/>
        </w:rPr>
        <w:t xml:space="preserve"> </w:t>
      </w:r>
      <w:r w:rsidRPr="00BE151B">
        <w:rPr>
          <w:rFonts w:ascii="Verdana" w:eastAsia="Arial MT" w:hAnsi="Verdana" w:cs="Arial"/>
        </w:rPr>
        <w:t>pueden</w:t>
      </w:r>
      <w:r w:rsidRPr="00BE151B">
        <w:rPr>
          <w:rFonts w:ascii="Verdana" w:eastAsia="Arial MT" w:hAnsi="Verdana" w:cs="Arial"/>
          <w:spacing w:val="-11"/>
        </w:rPr>
        <w:t xml:space="preserve"> </w:t>
      </w:r>
      <w:r w:rsidRPr="00BE151B">
        <w:rPr>
          <w:rFonts w:ascii="Verdana" w:eastAsia="Arial MT" w:hAnsi="Verdana" w:cs="Arial"/>
        </w:rPr>
        <w:t>tipificarse</w:t>
      </w:r>
      <w:r w:rsidRPr="00BE151B">
        <w:rPr>
          <w:rFonts w:ascii="Verdana" w:eastAsia="Arial MT" w:hAnsi="Verdana" w:cs="Arial"/>
          <w:spacing w:val="-10"/>
        </w:rPr>
        <w:t xml:space="preserve"> </w:t>
      </w:r>
      <w:r w:rsidRPr="00BE151B">
        <w:rPr>
          <w:rFonts w:ascii="Verdana" w:eastAsia="Arial MT" w:hAnsi="Verdana" w:cs="Arial"/>
        </w:rPr>
        <w:t>en</w:t>
      </w:r>
      <w:r w:rsidRPr="00BE151B">
        <w:rPr>
          <w:rFonts w:ascii="Verdana" w:eastAsia="Arial MT" w:hAnsi="Verdana" w:cs="Arial"/>
          <w:spacing w:val="-12"/>
        </w:rPr>
        <w:t xml:space="preserve"> </w:t>
      </w:r>
      <w:r w:rsidRPr="00BE151B">
        <w:rPr>
          <w:rFonts w:ascii="Verdana" w:eastAsia="Arial MT" w:hAnsi="Verdana" w:cs="Arial"/>
        </w:rPr>
        <w:t>la</w:t>
      </w:r>
      <w:r w:rsidRPr="00BE151B">
        <w:rPr>
          <w:rFonts w:ascii="Verdana" w:eastAsia="Arial MT" w:hAnsi="Verdana" w:cs="Arial"/>
          <w:spacing w:val="-12"/>
        </w:rPr>
        <w:t xml:space="preserve"> </w:t>
      </w:r>
      <w:r w:rsidRPr="00BE151B">
        <w:rPr>
          <w:rFonts w:ascii="Verdana" w:eastAsia="Arial MT" w:hAnsi="Verdana" w:cs="Arial"/>
        </w:rPr>
        <w:t>ley</w:t>
      </w:r>
      <w:r w:rsidRPr="00BE151B">
        <w:rPr>
          <w:rFonts w:ascii="Verdana" w:eastAsia="Arial MT" w:hAnsi="Verdana" w:cs="Arial"/>
          <w:spacing w:val="-12"/>
        </w:rPr>
        <w:t xml:space="preserve"> </w:t>
      </w:r>
      <w:r w:rsidRPr="00BE151B">
        <w:rPr>
          <w:rFonts w:ascii="Verdana" w:eastAsia="Arial MT" w:hAnsi="Verdana" w:cs="Arial"/>
        </w:rPr>
        <w:t xml:space="preserve">y su interpretación debe ser </w:t>
      </w:r>
      <w:r w:rsidRPr="00BE151B">
        <w:rPr>
          <w:rFonts w:ascii="Verdana" w:eastAsia="Arial MT" w:hAnsi="Verdana" w:cs="Arial"/>
          <w:i/>
        </w:rPr>
        <w:t>restrictiva</w:t>
      </w:r>
      <w:r w:rsidRPr="00BE151B">
        <w:rPr>
          <w:i/>
          <w:vertAlign w:val="superscript"/>
        </w:rPr>
        <w:footnoteReference w:id="8"/>
      </w:r>
      <w:r w:rsidRPr="00BE151B">
        <w:rPr>
          <w:rFonts w:ascii="Verdana" w:eastAsia="Arial MT" w:hAnsi="Verdana" w:cs="Arial"/>
        </w:rPr>
        <w:t>. De admitirse una interpretación</w:t>
      </w:r>
      <w:r w:rsidRPr="00BE151B">
        <w:rPr>
          <w:rFonts w:ascii="Verdana" w:eastAsia="Arial MT" w:hAnsi="Verdana" w:cs="Arial"/>
          <w:spacing w:val="1"/>
        </w:rPr>
        <w:t xml:space="preserve"> </w:t>
      </w:r>
      <w:r w:rsidRPr="00BE151B">
        <w:rPr>
          <w:rFonts w:ascii="Verdana" w:eastAsia="Arial MT" w:hAnsi="Verdana" w:cs="Arial"/>
        </w:rPr>
        <w:t>extensiva,</w:t>
      </w:r>
      <w:r w:rsidRPr="00BE151B">
        <w:rPr>
          <w:rFonts w:ascii="Verdana" w:eastAsia="Arial MT" w:hAnsi="Verdana" w:cs="Arial"/>
          <w:spacing w:val="1"/>
        </w:rPr>
        <w:t xml:space="preserve"> </w:t>
      </w:r>
      <w:r w:rsidRPr="00BE151B">
        <w:rPr>
          <w:rFonts w:ascii="Verdana" w:eastAsia="Arial MT" w:hAnsi="Verdana" w:cs="Arial"/>
        </w:rPr>
        <w:t>tales</w:t>
      </w:r>
      <w:r w:rsidRPr="00BE151B">
        <w:rPr>
          <w:rFonts w:ascii="Verdana" w:eastAsia="Arial MT" w:hAnsi="Verdana" w:cs="Arial"/>
          <w:spacing w:val="1"/>
        </w:rPr>
        <w:t xml:space="preserve"> </w:t>
      </w:r>
      <w:r w:rsidRPr="00BE151B">
        <w:rPr>
          <w:rFonts w:ascii="Verdana" w:eastAsia="Arial MT" w:hAnsi="Verdana" w:cs="Arial"/>
        </w:rPr>
        <w:t>enunciados</w:t>
      </w:r>
      <w:r w:rsidRPr="00BE151B">
        <w:rPr>
          <w:rFonts w:ascii="Verdana" w:eastAsia="Arial MT" w:hAnsi="Verdana" w:cs="Arial"/>
          <w:spacing w:val="1"/>
        </w:rPr>
        <w:t xml:space="preserve"> </w:t>
      </w:r>
      <w:r w:rsidRPr="00BE151B">
        <w:rPr>
          <w:rFonts w:ascii="Verdana" w:eastAsia="Arial MT" w:hAnsi="Verdana" w:cs="Arial"/>
        </w:rPr>
        <w:t>normativos</w:t>
      </w:r>
      <w:r w:rsidRPr="00BE151B">
        <w:rPr>
          <w:rFonts w:ascii="Verdana" w:eastAsia="Arial MT" w:hAnsi="Verdana" w:cs="Arial"/>
          <w:spacing w:val="1"/>
        </w:rPr>
        <w:t xml:space="preserve"> </w:t>
      </w:r>
      <w:r w:rsidRPr="00BE151B">
        <w:rPr>
          <w:rFonts w:ascii="Verdana" w:eastAsia="Arial MT" w:hAnsi="Verdana" w:cs="Arial"/>
        </w:rPr>
        <w:t>podrían</w:t>
      </w:r>
      <w:r w:rsidRPr="00BE151B">
        <w:rPr>
          <w:rFonts w:ascii="Verdana" w:eastAsia="Arial MT" w:hAnsi="Verdana" w:cs="Arial"/>
          <w:spacing w:val="1"/>
        </w:rPr>
        <w:t xml:space="preserve"> </w:t>
      </w:r>
      <w:r w:rsidRPr="00BE151B">
        <w:rPr>
          <w:rFonts w:ascii="Verdana" w:eastAsia="Arial MT" w:hAnsi="Verdana" w:cs="Arial"/>
        </w:rPr>
        <w:t>contemplar</w:t>
      </w:r>
      <w:r w:rsidRPr="00BE151B">
        <w:rPr>
          <w:rFonts w:ascii="Verdana" w:eastAsia="Arial MT" w:hAnsi="Verdana" w:cs="Arial"/>
          <w:spacing w:val="1"/>
        </w:rPr>
        <w:t xml:space="preserve"> </w:t>
      </w:r>
      <w:r w:rsidRPr="00BE151B">
        <w:rPr>
          <w:rFonts w:ascii="Verdana" w:eastAsia="Arial MT" w:hAnsi="Verdana" w:cs="Arial"/>
        </w:rPr>
        <w:t>múltiples</w:t>
      </w:r>
      <w:r w:rsidRPr="00BE151B">
        <w:rPr>
          <w:rFonts w:ascii="Verdana" w:eastAsia="Arial MT" w:hAnsi="Verdana" w:cs="Arial"/>
          <w:spacing w:val="1"/>
        </w:rPr>
        <w:t xml:space="preserve"> </w:t>
      </w:r>
      <w:r w:rsidRPr="00BE151B">
        <w:rPr>
          <w:rFonts w:ascii="Verdana" w:eastAsia="Arial MT" w:hAnsi="Verdana" w:cs="Arial"/>
        </w:rPr>
        <w:t>supuestos</w:t>
      </w:r>
      <w:r w:rsidRPr="00BE151B">
        <w:rPr>
          <w:rFonts w:ascii="Verdana" w:eastAsia="Arial MT" w:hAnsi="Verdana" w:cs="Arial"/>
          <w:spacing w:val="1"/>
        </w:rPr>
        <w:t xml:space="preserve"> </w:t>
      </w:r>
      <w:r w:rsidRPr="00BE151B">
        <w:rPr>
          <w:rFonts w:ascii="Verdana" w:eastAsia="Arial MT" w:hAnsi="Verdana" w:cs="Arial"/>
        </w:rPr>
        <w:t>indeterminados,</w:t>
      </w:r>
      <w:r w:rsidRPr="00BE151B">
        <w:rPr>
          <w:rFonts w:ascii="Verdana" w:eastAsia="Arial MT" w:hAnsi="Verdana" w:cs="Arial"/>
          <w:spacing w:val="-4"/>
        </w:rPr>
        <w:t xml:space="preserve"> </w:t>
      </w:r>
      <w:r w:rsidRPr="00BE151B">
        <w:rPr>
          <w:rFonts w:ascii="Verdana" w:eastAsia="Arial MT" w:hAnsi="Verdana" w:cs="Arial"/>
        </w:rPr>
        <w:t>adquiriendo</w:t>
      </w:r>
      <w:r w:rsidRPr="00BE151B">
        <w:rPr>
          <w:rFonts w:ascii="Verdana" w:eastAsia="Arial MT" w:hAnsi="Verdana" w:cs="Arial"/>
          <w:spacing w:val="-4"/>
        </w:rPr>
        <w:t xml:space="preserve"> </w:t>
      </w:r>
      <w:r w:rsidRPr="00BE151B">
        <w:rPr>
          <w:rFonts w:ascii="Verdana" w:eastAsia="Arial MT" w:hAnsi="Verdana" w:cs="Arial"/>
        </w:rPr>
        <w:t>un</w:t>
      </w:r>
      <w:r w:rsidRPr="00BE151B">
        <w:rPr>
          <w:rFonts w:ascii="Verdana" w:eastAsia="Arial MT" w:hAnsi="Verdana" w:cs="Arial"/>
          <w:spacing w:val="-4"/>
        </w:rPr>
        <w:t xml:space="preserve"> </w:t>
      </w:r>
      <w:r w:rsidRPr="00BE151B">
        <w:rPr>
          <w:rFonts w:ascii="Verdana" w:eastAsia="Arial MT" w:hAnsi="Verdana" w:cs="Arial"/>
        </w:rPr>
        <w:t>cariz</w:t>
      </w:r>
      <w:r w:rsidRPr="00BE151B">
        <w:rPr>
          <w:rFonts w:ascii="Verdana" w:eastAsia="Arial MT" w:hAnsi="Verdana" w:cs="Arial"/>
          <w:spacing w:val="-4"/>
        </w:rPr>
        <w:t xml:space="preserve"> </w:t>
      </w:r>
      <w:r w:rsidRPr="00BE151B">
        <w:rPr>
          <w:rFonts w:ascii="Verdana" w:eastAsia="Arial MT" w:hAnsi="Verdana" w:cs="Arial"/>
        </w:rPr>
        <w:t>subjetivo,</w:t>
      </w:r>
      <w:r w:rsidRPr="00BE151B">
        <w:rPr>
          <w:rFonts w:ascii="Verdana" w:eastAsia="Arial MT" w:hAnsi="Verdana" w:cs="Arial"/>
          <w:spacing w:val="-3"/>
        </w:rPr>
        <w:t xml:space="preserve"> </w:t>
      </w:r>
      <w:r w:rsidRPr="00BE151B">
        <w:rPr>
          <w:rFonts w:ascii="Verdana" w:eastAsia="Arial MT" w:hAnsi="Verdana" w:cs="Arial"/>
        </w:rPr>
        <w:t>según</w:t>
      </w:r>
      <w:r w:rsidRPr="00BE151B">
        <w:rPr>
          <w:rFonts w:ascii="Verdana" w:eastAsia="Arial MT" w:hAnsi="Verdana" w:cs="Arial"/>
          <w:spacing w:val="-4"/>
        </w:rPr>
        <w:t xml:space="preserve"> </w:t>
      </w:r>
      <w:r w:rsidRPr="00BE151B">
        <w:rPr>
          <w:rFonts w:ascii="Verdana" w:eastAsia="Arial MT" w:hAnsi="Verdana" w:cs="Arial"/>
        </w:rPr>
        <w:t>el</w:t>
      </w:r>
      <w:r w:rsidRPr="00BE151B">
        <w:rPr>
          <w:rFonts w:ascii="Verdana" w:eastAsia="Arial MT" w:hAnsi="Verdana" w:cs="Arial"/>
          <w:spacing w:val="-4"/>
        </w:rPr>
        <w:t xml:space="preserve"> </w:t>
      </w:r>
      <w:r w:rsidRPr="00BE151B">
        <w:rPr>
          <w:rFonts w:ascii="Verdana" w:eastAsia="Arial MT" w:hAnsi="Verdana" w:cs="Arial"/>
        </w:rPr>
        <w:t>parecer</w:t>
      </w:r>
      <w:r w:rsidRPr="00BE151B">
        <w:rPr>
          <w:rFonts w:ascii="Verdana" w:eastAsia="Arial MT" w:hAnsi="Verdana" w:cs="Arial"/>
          <w:spacing w:val="-4"/>
        </w:rPr>
        <w:t xml:space="preserve"> </w:t>
      </w:r>
      <w:r w:rsidRPr="00BE151B">
        <w:rPr>
          <w:rFonts w:ascii="Verdana" w:eastAsia="Arial MT" w:hAnsi="Verdana" w:cs="Arial"/>
        </w:rPr>
        <w:t>o</w:t>
      </w:r>
      <w:r w:rsidRPr="00BE151B">
        <w:rPr>
          <w:rFonts w:ascii="Verdana" w:eastAsia="Arial MT" w:hAnsi="Verdana" w:cs="Arial"/>
          <w:spacing w:val="-3"/>
        </w:rPr>
        <w:t xml:space="preserve"> </w:t>
      </w:r>
      <w:r w:rsidRPr="00BE151B">
        <w:rPr>
          <w:rFonts w:ascii="Verdana" w:eastAsia="Arial MT" w:hAnsi="Verdana" w:cs="Arial"/>
        </w:rPr>
        <w:t>el</w:t>
      </w:r>
      <w:r w:rsidRPr="00BE151B">
        <w:rPr>
          <w:rFonts w:ascii="Verdana" w:eastAsia="Arial MT" w:hAnsi="Verdana" w:cs="Arial"/>
          <w:spacing w:val="-4"/>
        </w:rPr>
        <w:t xml:space="preserve"> </w:t>
      </w:r>
      <w:r w:rsidRPr="00BE151B">
        <w:rPr>
          <w:rFonts w:ascii="Verdana" w:eastAsia="Arial MT" w:hAnsi="Verdana" w:cs="Arial"/>
        </w:rPr>
        <w:t>sentido</w:t>
      </w:r>
      <w:r w:rsidRPr="00BE151B">
        <w:rPr>
          <w:rFonts w:ascii="Verdana" w:eastAsia="Arial MT" w:hAnsi="Verdana" w:cs="Arial"/>
          <w:spacing w:val="-4"/>
        </w:rPr>
        <w:t xml:space="preserve"> </w:t>
      </w:r>
      <w:r w:rsidRPr="00BE151B">
        <w:rPr>
          <w:rFonts w:ascii="Verdana" w:eastAsia="Arial MT" w:hAnsi="Verdana" w:cs="Arial"/>
        </w:rPr>
        <w:t>común</w:t>
      </w:r>
      <w:r w:rsidRPr="00BE151B">
        <w:rPr>
          <w:rFonts w:ascii="Verdana" w:eastAsia="Arial MT" w:hAnsi="Verdana" w:cs="Arial"/>
          <w:spacing w:val="-4"/>
        </w:rPr>
        <w:t xml:space="preserve"> </w:t>
      </w:r>
      <w:r w:rsidRPr="00BE151B">
        <w:rPr>
          <w:rFonts w:ascii="Verdana" w:eastAsia="Arial MT" w:hAnsi="Verdana" w:cs="Arial"/>
        </w:rPr>
        <w:t>de los operadores jurídicos, poniendo en riesgo principios como la igualdad, el debido</w:t>
      </w:r>
      <w:r w:rsidRPr="00BE151B">
        <w:rPr>
          <w:rFonts w:ascii="Verdana" w:eastAsia="Arial MT" w:hAnsi="Verdana" w:cs="Arial"/>
          <w:spacing w:val="1"/>
        </w:rPr>
        <w:t xml:space="preserve"> </w:t>
      </w:r>
      <w:r w:rsidRPr="00BE151B">
        <w:rPr>
          <w:rFonts w:ascii="Verdana" w:eastAsia="Arial MT" w:hAnsi="Verdana" w:cs="Arial"/>
        </w:rPr>
        <w:t>proceso, la libre concurrencia y el ejercicio de la profesión u oficio. Tal ha sido la postura al interior de la jurisprudencia, tanto de la Corte Constitucional como de la Sección</w:t>
      </w:r>
      <w:r w:rsidRPr="00BE151B">
        <w:rPr>
          <w:rFonts w:ascii="Verdana" w:eastAsia="Arial MT" w:hAnsi="Verdana" w:cs="Arial"/>
          <w:spacing w:val="1"/>
        </w:rPr>
        <w:t xml:space="preserve"> </w:t>
      </w:r>
      <w:r w:rsidRPr="00BE151B">
        <w:rPr>
          <w:rFonts w:ascii="Verdana" w:eastAsia="Arial MT" w:hAnsi="Verdana" w:cs="Arial"/>
        </w:rPr>
        <w:t>Tercera</w:t>
      </w:r>
      <w:r w:rsidRPr="00BE151B">
        <w:rPr>
          <w:rFonts w:ascii="Verdana" w:eastAsia="Arial MT" w:hAnsi="Verdana" w:cs="Arial"/>
          <w:spacing w:val="-2"/>
        </w:rPr>
        <w:t xml:space="preserve"> </w:t>
      </w:r>
      <w:r w:rsidRPr="00BE151B">
        <w:rPr>
          <w:rFonts w:ascii="Verdana" w:eastAsia="Arial MT" w:hAnsi="Verdana" w:cs="Arial"/>
        </w:rPr>
        <w:t>del</w:t>
      </w:r>
      <w:r w:rsidRPr="00BE151B">
        <w:rPr>
          <w:rFonts w:ascii="Verdana" w:eastAsia="Arial MT" w:hAnsi="Verdana" w:cs="Arial"/>
          <w:spacing w:val="-1"/>
        </w:rPr>
        <w:t xml:space="preserve"> </w:t>
      </w:r>
      <w:r w:rsidRPr="00BE151B">
        <w:rPr>
          <w:rFonts w:ascii="Verdana" w:eastAsia="Arial MT" w:hAnsi="Verdana" w:cs="Arial"/>
        </w:rPr>
        <w:t>Consejo</w:t>
      </w:r>
      <w:r w:rsidRPr="00BE151B">
        <w:rPr>
          <w:rFonts w:ascii="Verdana" w:eastAsia="Arial MT" w:hAnsi="Verdana" w:cs="Arial"/>
          <w:spacing w:val="-1"/>
        </w:rPr>
        <w:t xml:space="preserve"> </w:t>
      </w:r>
      <w:r w:rsidRPr="00BE151B">
        <w:rPr>
          <w:rFonts w:ascii="Verdana" w:eastAsia="Arial MT" w:hAnsi="Verdana" w:cs="Arial"/>
        </w:rPr>
        <w:t>de</w:t>
      </w:r>
      <w:r w:rsidRPr="00BE151B">
        <w:rPr>
          <w:rFonts w:ascii="Verdana" w:eastAsia="Arial MT" w:hAnsi="Verdana" w:cs="Arial"/>
          <w:spacing w:val="-1"/>
        </w:rPr>
        <w:t xml:space="preserve"> </w:t>
      </w:r>
      <w:r w:rsidRPr="00BE151B">
        <w:rPr>
          <w:rFonts w:ascii="Verdana" w:eastAsia="Arial MT" w:hAnsi="Verdana" w:cs="Arial"/>
        </w:rPr>
        <w:t>Estado.</w:t>
      </w:r>
    </w:p>
    <w:p w14:paraId="50ABE865" w14:textId="77777777" w:rsidR="00011028" w:rsidRPr="00BE151B" w:rsidRDefault="00011028" w:rsidP="00011028">
      <w:pPr>
        <w:widowControl w:val="0"/>
        <w:autoSpaceDE w:val="0"/>
        <w:autoSpaceDN w:val="0"/>
        <w:spacing w:before="120" w:after="0" w:line="276" w:lineRule="auto"/>
        <w:ind w:firstLine="708"/>
        <w:jc w:val="both"/>
        <w:rPr>
          <w:rFonts w:ascii="Verdana" w:eastAsia="Arial MT" w:hAnsi="Verdana" w:cs="Arial"/>
        </w:rPr>
      </w:pPr>
      <w:r w:rsidRPr="00BE151B">
        <w:rPr>
          <w:rFonts w:ascii="Verdana" w:eastAsia="Arial MT" w:hAnsi="Verdana" w:cs="Arial"/>
        </w:rPr>
        <w:t>En</w:t>
      </w:r>
      <w:r w:rsidRPr="00BE151B">
        <w:rPr>
          <w:rFonts w:ascii="Verdana" w:eastAsia="Arial MT" w:hAnsi="Verdana" w:cs="Arial"/>
          <w:spacing w:val="-11"/>
        </w:rPr>
        <w:t xml:space="preserve"> </w:t>
      </w:r>
      <w:r w:rsidRPr="00BE151B">
        <w:rPr>
          <w:rFonts w:ascii="Verdana" w:eastAsia="Arial MT" w:hAnsi="Verdana" w:cs="Arial"/>
        </w:rPr>
        <w:t>efecto,</w:t>
      </w:r>
      <w:r w:rsidRPr="00BE151B">
        <w:rPr>
          <w:rFonts w:ascii="Verdana" w:eastAsia="Arial MT" w:hAnsi="Verdana" w:cs="Arial"/>
          <w:spacing w:val="-10"/>
        </w:rPr>
        <w:t xml:space="preserve"> </w:t>
      </w:r>
      <w:r w:rsidRPr="00BE151B">
        <w:rPr>
          <w:rFonts w:ascii="Verdana" w:eastAsia="Arial MT" w:hAnsi="Verdana" w:cs="Arial"/>
        </w:rPr>
        <w:t>el</w:t>
      </w:r>
      <w:r w:rsidRPr="00BE151B">
        <w:rPr>
          <w:rFonts w:ascii="Verdana" w:eastAsia="Arial MT" w:hAnsi="Verdana" w:cs="Arial"/>
          <w:spacing w:val="-10"/>
        </w:rPr>
        <w:t xml:space="preserve"> </w:t>
      </w:r>
      <w:r w:rsidRPr="00BE151B">
        <w:rPr>
          <w:rFonts w:ascii="Verdana" w:eastAsia="Arial MT" w:hAnsi="Verdana" w:cs="Arial"/>
        </w:rPr>
        <w:t>máximo</w:t>
      </w:r>
      <w:r w:rsidRPr="00BE151B">
        <w:rPr>
          <w:rFonts w:ascii="Verdana" w:eastAsia="Arial MT" w:hAnsi="Verdana" w:cs="Arial"/>
          <w:spacing w:val="-10"/>
        </w:rPr>
        <w:t xml:space="preserve"> </w:t>
      </w:r>
      <w:r w:rsidRPr="00BE151B">
        <w:rPr>
          <w:rFonts w:ascii="Verdana" w:eastAsia="Arial MT" w:hAnsi="Verdana" w:cs="Arial"/>
        </w:rPr>
        <w:t>tribunal</w:t>
      </w:r>
      <w:r w:rsidRPr="00BE151B">
        <w:rPr>
          <w:rFonts w:ascii="Verdana" w:eastAsia="Arial MT" w:hAnsi="Verdana" w:cs="Arial"/>
          <w:spacing w:val="-9"/>
        </w:rPr>
        <w:t xml:space="preserve"> </w:t>
      </w:r>
      <w:r w:rsidRPr="00BE151B">
        <w:rPr>
          <w:rFonts w:ascii="Verdana" w:eastAsia="Arial MT" w:hAnsi="Verdana" w:cs="Arial"/>
        </w:rPr>
        <w:t>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BE151B">
        <w:rPr>
          <w:rFonts w:ascii="Verdana" w:eastAsia="Arial MT" w:hAnsi="Verdana" w:cs="Arial"/>
          <w:vertAlign w:val="superscript"/>
        </w:rPr>
        <w:footnoteReference w:id="9"/>
      </w:r>
      <w:r w:rsidRPr="00BE151B">
        <w:rPr>
          <w:rFonts w:ascii="Verdana" w:eastAsia="Arial MT" w:hAnsi="Verdana" w:cs="Arial"/>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BE151B">
        <w:rPr>
          <w:rFonts w:ascii="Verdana" w:eastAsia="Arial MT" w:hAnsi="Verdana" w:cs="Arial"/>
          <w:vertAlign w:val="superscript"/>
        </w:rPr>
        <w:footnoteReference w:id="10"/>
      </w:r>
      <w:r w:rsidRPr="00BE151B">
        <w:rPr>
          <w:rFonts w:ascii="Verdana" w:eastAsia="Arial MT" w:hAnsi="Verdana" w:cs="Arial"/>
        </w:rPr>
        <w:t>. En tal sentido, la Sección Tercera ha señalado que:</w:t>
      </w:r>
    </w:p>
    <w:p w14:paraId="6DFF577C" w14:textId="77777777" w:rsidR="00011028" w:rsidRPr="00BE151B" w:rsidRDefault="00011028" w:rsidP="00011028">
      <w:pPr>
        <w:widowControl w:val="0"/>
        <w:autoSpaceDE w:val="0"/>
        <w:autoSpaceDN w:val="0"/>
        <w:spacing w:after="0" w:line="276" w:lineRule="auto"/>
        <w:ind w:firstLine="708"/>
        <w:jc w:val="both"/>
        <w:rPr>
          <w:rFonts w:ascii="Verdana" w:eastAsia="Arial MT" w:hAnsi="Verdana" w:cs="Arial"/>
          <w:sz w:val="25"/>
        </w:rPr>
      </w:pPr>
    </w:p>
    <w:p w14:paraId="77CC265B" w14:textId="77777777" w:rsidR="00011028" w:rsidRPr="00BE151B" w:rsidRDefault="00011028" w:rsidP="00011028">
      <w:pPr>
        <w:widowControl w:val="0"/>
        <w:autoSpaceDE w:val="0"/>
        <w:autoSpaceDN w:val="0"/>
        <w:spacing w:after="0" w:line="240" w:lineRule="auto"/>
        <w:ind w:left="709" w:right="709"/>
        <w:jc w:val="both"/>
        <w:rPr>
          <w:rFonts w:ascii="Verdana" w:eastAsia="Calibri" w:hAnsi="Verdana" w:cs="Arial"/>
          <w:sz w:val="20"/>
          <w:szCs w:val="20"/>
        </w:rPr>
      </w:pPr>
      <w:r w:rsidRPr="00BE151B">
        <w:rPr>
          <w:rFonts w:ascii="Verdana" w:eastAsia="Arial MT" w:hAnsi="Verdana" w:cs="Arial"/>
          <w:sz w:val="20"/>
          <w:szCs w:val="20"/>
        </w:rPr>
        <w:t>“[…]</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conformidad</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con</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la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jurisprudencia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uniforme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y</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reiterada</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esta</w:t>
      </w:r>
      <w:r w:rsidRPr="00BE151B">
        <w:rPr>
          <w:rFonts w:ascii="Verdana" w:eastAsia="Arial MT" w:hAnsi="Verdana" w:cs="Arial"/>
          <w:spacing w:val="-56"/>
          <w:sz w:val="20"/>
          <w:szCs w:val="20"/>
        </w:rPr>
        <w:t xml:space="preserve"> </w:t>
      </w:r>
      <w:r w:rsidRPr="00BE151B">
        <w:rPr>
          <w:rFonts w:ascii="Verdana" w:eastAsia="Arial MT" w:hAnsi="Verdana" w:cs="Arial"/>
          <w:sz w:val="20"/>
          <w:szCs w:val="20"/>
        </w:rPr>
        <w:t>Corporación, la aplicación de las normas que contemplan inhabilidades 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incompatibilidades,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como</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en</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general</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de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todas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aquellas</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que</w:t>
      </w:r>
      <w:r w:rsidRPr="00BE151B">
        <w:rPr>
          <w:rFonts w:ascii="Verdana" w:eastAsia="Arial MT" w:hAnsi="Verdana" w:cs="Arial"/>
          <w:spacing w:val="1"/>
          <w:sz w:val="20"/>
          <w:szCs w:val="20"/>
        </w:rPr>
        <w:t xml:space="preserve"> </w:t>
      </w:r>
      <w:r w:rsidRPr="00BE151B">
        <w:rPr>
          <w:rFonts w:ascii="Verdana" w:eastAsia="Arial MT" w:hAnsi="Verdana" w:cs="Arial"/>
          <w:sz w:val="20"/>
          <w:szCs w:val="20"/>
        </w:rPr>
        <w:t>comportan</w:t>
      </w:r>
      <w:r w:rsidRPr="00BE151B">
        <w:rPr>
          <w:rFonts w:ascii="Verdana" w:eastAsia="Arial MT" w:hAnsi="Verdana" w:cs="Arial"/>
          <w:spacing w:val="-56"/>
          <w:sz w:val="20"/>
          <w:szCs w:val="20"/>
        </w:rPr>
        <w:t xml:space="preserve"> </w:t>
      </w:r>
      <w:r w:rsidRPr="00BE151B">
        <w:rPr>
          <w:rFonts w:ascii="Verdana" w:eastAsia="Arial MT" w:hAnsi="Verdana" w:cs="Arial"/>
          <w:sz w:val="20"/>
          <w:szCs w:val="20"/>
        </w:rPr>
        <w:t>prohibiciones</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o</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limitaciones,</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deben</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responder</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a</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una</w:t>
      </w:r>
      <w:r w:rsidRPr="00BE151B">
        <w:rPr>
          <w:rFonts w:ascii="Verdana" w:eastAsia="Arial MT" w:hAnsi="Verdana" w:cs="Arial"/>
          <w:spacing w:val="-13"/>
          <w:sz w:val="20"/>
          <w:szCs w:val="20"/>
        </w:rPr>
        <w:t xml:space="preserve"> </w:t>
      </w:r>
      <w:r w:rsidRPr="00BE151B">
        <w:rPr>
          <w:rFonts w:ascii="Verdana" w:eastAsia="Arial MT" w:hAnsi="Verdana" w:cs="Arial"/>
          <w:sz w:val="20"/>
          <w:szCs w:val="20"/>
        </w:rPr>
        <w:t>interpretación</w:t>
      </w:r>
      <w:r w:rsidRPr="00BE151B">
        <w:rPr>
          <w:rFonts w:ascii="Verdana" w:eastAsia="Arial MT" w:hAnsi="Verdana" w:cs="Arial"/>
          <w:spacing w:val="-12"/>
          <w:sz w:val="20"/>
          <w:szCs w:val="20"/>
        </w:rPr>
        <w:t xml:space="preserve"> </w:t>
      </w:r>
      <w:r w:rsidRPr="00BE151B">
        <w:rPr>
          <w:rFonts w:ascii="Verdana" w:eastAsia="Arial MT" w:hAnsi="Verdana" w:cs="Arial"/>
          <w:sz w:val="20"/>
          <w:szCs w:val="20"/>
        </w:rPr>
        <w:t xml:space="preserve">restrictiva </w:t>
      </w:r>
      <w:r w:rsidRPr="00BE151B">
        <w:rPr>
          <w:rFonts w:ascii="Verdana" w:eastAsia="Calibri" w:hAnsi="Verdana" w:cs="Arial"/>
          <w:sz w:val="20"/>
          <w:szCs w:val="20"/>
        </w:rPr>
        <w:t>que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no</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permite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su</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extensión,</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por</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vía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de</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la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figura</w:t>
      </w:r>
      <w:r w:rsidRPr="00BE151B">
        <w:rPr>
          <w:rFonts w:ascii="Verdana" w:eastAsia="Calibri" w:hAnsi="Verdana" w:cs="Arial"/>
          <w:spacing w:val="-4"/>
          <w:sz w:val="20"/>
          <w:szCs w:val="20"/>
        </w:rPr>
        <w:t xml:space="preserve"> </w:t>
      </w:r>
      <w:r w:rsidRPr="00BE151B">
        <w:rPr>
          <w:rFonts w:ascii="Verdana" w:eastAsia="Calibri" w:hAnsi="Verdana" w:cs="Arial"/>
          <w:sz w:val="20"/>
          <w:szCs w:val="20"/>
        </w:rPr>
        <w:t>de</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t>la</w:t>
      </w:r>
      <w:r w:rsidRPr="00BE151B">
        <w:rPr>
          <w:rFonts w:ascii="Verdana" w:eastAsia="Calibri" w:hAnsi="Verdana" w:cs="Arial"/>
          <w:spacing w:val="-5"/>
          <w:sz w:val="20"/>
          <w:szCs w:val="20"/>
        </w:rPr>
        <w:t xml:space="preserve"> </w:t>
      </w:r>
      <w:r w:rsidRPr="00BE151B">
        <w:rPr>
          <w:rFonts w:ascii="Verdana" w:eastAsia="Calibri" w:hAnsi="Verdana" w:cs="Arial"/>
          <w:sz w:val="20"/>
          <w:szCs w:val="20"/>
        </w:rPr>
        <w:t>analogía,</w:t>
      </w:r>
      <w:r w:rsidRPr="00BE151B">
        <w:rPr>
          <w:rFonts w:ascii="Verdana" w:eastAsia="Calibri" w:hAnsi="Verdana" w:cs="Arial"/>
          <w:spacing w:val="-6"/>
          <w:sz w:val="20"/>
          <w:szCs w:val="20"/>
        </w:rPr>
        <w:t xml:space="preserve"> </w:t>
      </w:r>
      <w:r w:rsidRPr="00BE151B">
        <w:rPr>
          <w:rFonts w:ascii="Verdana" w:eastAsia="Calibri" w:hAnsi="Verdana" w:cs="Arial"/>
          <w:sz w:val="20"/>
          <w:szCs w:val="20"/>
        </w:rPr>
        <w:lastRenderedPageBreak/>
        <w:t>a</w:t>
      </w:r>
      <w:r w:rsidRPr="00BE151B">
        <w:rPr>
          <w:rFonts w:ascii="Verdana" w:eastAsia="Calibri" w:hAnsi="Verdana" w:cs="Arial"/>
          <w:spacing w:val="-5"/>
          <w:sz w:val="20"/>
          <w:szCs w:val="20"/>
        </w:rPr>
        <w:t xml:space="preserve"> </w:t>
      </w:r>
      <w:r w:rsidRPr="00BE151B">
        <w:rPr>
          <w:rFonts w:ascii="Verdana" w:eastAsia="Arial MT" w:hAnsi="Verdana" w:cs="Arial"/>
          <w:sz w:val="20"/>
          <w:szCs w:val="20"/>
        </w:rPr>
        <w:t>supuestos no contemplados</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por</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el</w:t>
      </w:r>
      <w:r w:rsidRPr="00BE151B">
        <w:rPr>
          <w:rFonts w:ascii="Verdana" w:eastAsia="Calibri" w:hAnsi="Verdana" w:cs="Arial"/>
          <w:spacing w:val="-1"/>
          <w:sz w:val="20"/>
          <w:szCs w:val="20"/>
        </w:rPr>
        <w:t xml:space="preserve"> </w:t>
      </w:r>
      <w:r w:rsidRPr="00BE151B">
        <w:rPr>
          <w:rFonts w:ascii="Verdana" w:eastAsia="Calibri" w:hAnsi="Verdana" w:cs="Arial"/>
          <w:sz w:val="20"/>
          <w:szCs w:val="20"/>
        </w:rPr>
        <w:t>ordenamiento”</w:t>
      </w:r>
      <w:r w:rsidRPr="00BE151B">
        <w:rPr>
          <w:rFonts w:ascii="Verdana" w:eastAsia="Calibri" w:hAnsi="Verdana" w:cs="Arial"/>
          <w:sz w:val="20"/>
          <w:szCs w:val="20"/>
          <w:vertAlign w:val="superscript"/>
        </w:rPr>
        <w:footnoteReference w:id="11"/>
      </w:r>
      <w:r w:rsidRPr="00BE151B">
        <w:rPr>
          <w:rFonts w:ascii="Verdana" w:eastAsia="Calibri" w:hAnsi="Verdana" w:cs="Arial"/>
          <w:sz w:val="20"/>
          <w:szCs w:val="20"/>
        </w:rPr>
        <w:t>.</w:t>
      </w:r>
    </w:p>
    <w:p w14:paraId="6DE86A11" w14:textId="77777777" w:rsidR="00011028" w:rsidRPr="00BE151B" w:rsidRDefault="00011028" w:rsidP="00011028">
      <w:pPr>
        <w:widowControl w:val="0"/>
        <w:autoSpaceDE w:val="0"/>
        <w:autoSpaceDN w:val="0"/>
        <w:spacing w:after="0" w:line="240" w:lineRule="auto"/>
        <w:ind w:left="709" w:right="709"/>
        <w:jc w:val="both"/>
        <w:rPr>
          <w:rFonts w:ascii="Verdana" w:eastAsia="Arial MT" w:hAnsi="Verdana" w:cs="Arial"/>
          <w:sz w:val="21"/>
        </w:rPr>
      </w:pPr>
    </w:p>
    <w:p w14:paraId="0839F581" w14:textId="77777777" w:rsidR="00011028" w:rsidRPr="00BE151B" w:rsidRDefault="00011028" w:rsidP="00011028">
      <w:pPr>
        <w:widowControl w:val="0"/>
        <w:autoSpaceDE w:val="0"/>
        <w:autoSpaceDN w:val="0"/>
        <w:spacing w:after="0" w:line="240" w:lineRule="auto"/>
        <w:ind w:right="709" w:firstLine="708"/>
        <w:jc w:val="both"/>
        <w:rPr>
          <w:rFonts w:ascii="Verdana" w:eastAsia="Arial MT" w:hAnsi="Verdana" w:cs="Arial"/>
        </w:rPr>
      </w:pPr>
      <w:r w:rsidRPr="00BE151B">
        <w:rPr>
          <w:rFonts w:ascii="Verdana" w:eastAsia="Arial MT" w:hAnsi="Verdana" w:cs="Arial"/>
        </w:rPr>
        <w:t>En el mismo sentido ha expuesto que:</w:t>
      </w:r>
    </w:p>
    <w:p w14:paraId="328C1BEC" w14:textId="77777777" w:rsidR="00011028" w:rsidRPr="00BE151B" w:rsidRDefault="00011028" w:rsidP="00011028">
      <w:pPr>
        <w:widowControl w:val="0"/>
        <w:autoSpaceDE w:val="0"/>
        <w:autoSpaceDN w:val="0"/>
        <w:spacing w:after="0" w:line="240" w:lineRule="auto"/>
        <w:ind w:right="709"/>
        <w:jc w:val="both"/>
        <w:rPr>
          <w:rFonts w:ascii="Verdana" w:eastAsia="Arial MT" w:hAnsi="Verdana" w:cs="Arial"/>
        </w:rPr>
      </w:pPr>
    </w:p>
    <w:p w14:paraId="44180034" w14:textId="77777777" w:rsidR="00011028" w:rsidRPr="00BE151B" w:rsidRDefault="00011028" w:rsidP="00011028">
      <w:pPr>
        <w:widowControl w:val="0"/>
        <w:autoSpaceDE w:val="0"/>
        <w:autoSpaceDN w:val="0"/>
        <w:spacing w:after="0" w:line="240" w:lineRule="auto"/>
        <w:ind w:left="709" w:right="709"/>
        <w:jc w:val="both"/>
        <w:rPr>
          <w:rFonts w:ascii="Verdana" w:eastAsia="Arial MT" w:hAnsi="Verdana" w:cs="Arial"/>
          <w:sz w:val="20"/>
          <w:szCs w:val="20"/>
        </w:rPr>
      </w:pPr>
      <w:r w:rsidRPr="00BE151B">
        <w:rPr>
          <w:rFonts w:ascii="Verdana" w:eastAsia="Arial MT" w:hAnsi="Verdana" w:cs="Arial"/>
          <w:sz w:val="20"/>
          <w:szCs w:val="20"/>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BE151B">
        <w:rPr>
          <w:rFonts w:ascii="Verdana" w:eastAsia="Arial MT" w:hAnsi="Verdana" w:cs="Arial"/>
          <w:sz w:val="20"/>
          <w:szCs w:val="20"/>
          <w:vertAlign w:val="superscript"/>
        </w:rPr>
        <w:footnoteReference w:id="12"/>
      </w:r>
      <w:r w:rsidRPr="00BE151B">
        <w:rPr>
          <w:rFonts w:ascii="Verdana" w:eastAsia="Arial MT" w:hAnsi="Verdana" w:cs="Arial"/>
          <w:sz w:val="20"/>
          <w:szCs w:val="20"/>
        </w:rPr>
        <w:t>.</w:t>
      </w:r>
    </w:p>
    <w:p w14:paraId="67CCB211" w14:textId="77777777" w:rsidR="00011028" w:rsidRPr="00BE151B" w:rsidRDefault="00011028" w:rsidP="00011028">
      <w:pPr>
        <w:widowControl w:val="0"/>
        <w:autoSpaceDE w:val="0"/>
        <w:autoSpaceDN w:val="0"/>
        <w:spacing w:after="0" w:line="240" w:lineRule="auto"/>
        <w:ind w:left="810" w:right="1243"/>
        <w:jc w:val="both"/>
        <w:rPr>
          <w:rFonts w:ascii="Verdana" w:eastAsia="Arial MT" w:hAnsi="Verdana" w:cs="Arial"/>
          <w:sz w:val="20"/>
        </w:rPr>
      </w:pPr>
    </w:p>
    <w:p w14:paraId="32D81496" w14:textId="77777777" w:rsidR="00011028" w:rsidRPr="00BE151B" w:rsidRDefault="00011028" w:rsidP="00011028">
      <w:pPr>
        <w:widowControl w:val="0"/>
        <w:autoSpaceDE w:val="0"/>
        <w:autoSpaceDN w:val="0"/>
        <w:spacing w:after="120" w:line="276" w:lineRule="auto"/>
        <w:ind w:firstLine="708"/>
        <w:jc w:val="both"/>
        <w:rPr>
          <w:rFonts w:ascii="Verdana" w:eastAsia="Arial" w:hAnsi="Verdana" w:cs="Arial"/>
          <w:color w:val="333333"/>
          <w:shd w:val="clear" w:color="auto" w:fill="FFFFFF"/>
          <w:lang w:eastAsia="es-ES" w:bidi="es-ES"/>
        </w:rPr>
      </w:pPr>
      <w:r w:rsidRPr="00BE151B">
        <w:rPr>
          <w:rFonts w:ascii="Verdana" w:eastAsia="Arial MT" w:hAnsi="Verdana" w:cs="Arial"/>
          <w:lang w:eastAsia="es-ES" w:bidi="es-ES"/>
        </w:rPr>
        <w:t xml:space="preserve">De igual forma, </w:t>
      </w:r>
      <w:r w:rsidRPr="00BE151B">
        <w:rPr>
          <w:rFonts w:ascii="Verdana" w:eastAsia="Arial" w:hAnsi="Verdana" w:cs="Arial"/>
          <w:lang w:eastAsia="es-ES" w:bidi="es-ES"/>
        </w:rPr>
        <w:t>la Corte Constitucional en jurisprudencia</w:t>
      </w:r>
      <w:r w:rsidRPr="00BE151B">
        <w:rPr>
          <w:vertAlign w:val="superscript"/>
          <w:lang w:eastAsia="es-ES" w:bidi="es-ES"/>
        </w:rPr>
        <w:footnoteReference w:id="13"/>
      </w:r>
      <w:r w:rsidRPr="00BE151B">
        <w:rPr>
          <w:rFonts w:ascii="Verdana" w:eastAsia="Arial" w:hAnsi="Verdana" w:cs="Arial"/>
          <w:lang w:eastAsia="es-ES" w:bidi="es-ES"/>
        </w:rPr>
        <w:t xml:space="preserve"> citada a su vez por el Consejo de Estado</w:t>
      </w:r>
      <w:r w:rsidRPr="00BE151B">
        <w:rPr>
          <w:vertAlign w:val="superscript"/>
          <w:lang w:eastAsia="es-ES" w:bidi="es-ES"/>
        </w:rPr>
        <w:footnoteReference w:id="14"/>
      </w:r>
      <w:r w:rsidRPr="00BE151B">
        <w:rPr>
          <w:rFonts w:ascii="Verdana" w:eastAsia="Arial" w:hAnsi="Verdana" w:cs="Arial"/>
          <w:lang w:eastAsia="es-ES" w:bidi="es-ES"/>
        </w:rPr>
        <w:t>,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w:t>
      </w:r>
      <w:r w:rsidRPr="00BE151B">
        <w:rPr>
          <w:rFonts w:ascii="Verdana" w:eastAsia="Arial" w:hAnsi="Verdana" w:cs="Arial"/>
          <w:i/>
          <w:lang w:eastAsia="es-ES" w:bidi="es-ES"/>
        </w:rPr>
        <w:t xml:space="preserve">, </w:t>
      </w:r>
      <w:r w:rsidRPr="00BE151B">
        <w:rPr>
          <w:rFonts w:ascii="Verdana" w:eastAsia="Arial MT" w:hAnsi="Verdana" w:cs="Arial"/>
          <w:i/>
          <w:lang w:eastAsia="es-ES" w:bidi="es-ES"/>
        </w:rPr>
        <w:t>“[…] l</w:t>
      </w:r>
      <w:r w:rsidRPr="00BE151B">
        <w:rPr>
          <w:rFonts w:ascii="Verdana" w:eastAsia="Arial" w:hAnsi="Verdana" w:cs="Arial"/>
          <w:i/>
          <w:color w:val="333333"/>
          <w:shd w:val="clear" w:color="auto" w:fill="FFFFFF"/>
          <w:lang w:eastAsia="es-ES" w:bidi="es-ES"/>
        </w:rPr>
        <w:t>a inhabilidad no es una pena sino una garantía de que el comportamiento anterior no afectará el desempeño de la función o cargo, de protección del interés general y de la idoneidad, probidad y moralidad del aspirante</w:t>
      </w:r>
      <w:r w:rsidRPr="00BE151B">
        <w:rPr>
          <w:rFonts w:ascii="Verdana" w:eastAsia="Arial MT" w:hAnsi="Verdana" w:cs="Arial"/>
          <w:i/>
          <w:lang w:eastAsia="es-ES" w:bidi="es-ES"/>
        </w:rPr>
        <w:t>”</w:t>
      </w:r>
      <w:r w:rsidRPr="00BE151B">
        <w:rPr>
          <w:rFonts w:ascii="Verdana" w:eastAsia="Arial" w:hAnsi="Verdana" w:cs="Arial"/>
          <w:color w:val="333333"/>
          <w:shd w:val="clear" w:color="auto" w:fill="FFFFFF"/>
          <w:vertAlign w:val="superscript"/>
          <w:lang w:eastAsia="es-ES" w:bidi="es-ES"/>
        </w:rPr>
        <w:t>12</w:t>
      </w:r>
      <w:r w:rsidRPr="00BE151B">
        <w:rPr>
          <w:rFonts w:ascii="Verdana" w:eastAsia="Arial" w:hAnsi="Verdana" w:cs="Arial"/>
          <w:color w:val="333333"/>
          <w:shd w:val="clear" w:color="auto" w:fill="FFFFFF"/>
          <w:lang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269A933D" w14:textId="77777777" w:rsidR="00011028" w:rsidRPr="00BE151B" w:rsidRDefault="00011028" w:rsidP="00011028">
      <w:pPr>
        <w:spacing w:after="0" w:line="276" w:lineRule="auto"/>
        <w:ind w:firstLine="708"/>
        <w:jc w:val="both"/>
        <w:rPr>
          <w:rFonts w:ascii="Verdana" w:eastAsia="Calibri" w:hAnsi="Verdana" w:cs="Arial"/>
          <w:color w:val="000000"/>
          <w:szCs w:val="24"/>
        </w:rPr>
      </w:pPr>
      <w:r w:rsidRPr="00BE151B">
        <w:rPr>
          <w:rFonts w:ascii="Verdana" w:eastAsia="Arial" w:hAnsi="Verdana" w:cs="Arial"/>
          <w:color w:val="000000"/>
        </w:rPr>
        <w:t xml:space="preserve">Como se aprecia, el principio </w:t>
      </w:r>
      <w:r w:rsidRPr="00BE151B">
        <w:rPr>
          <w:rFonts w:ascii="Verdana" w:eastAsia="Arial" w:hAnsi="Verdana" w:cs="Arial"/>
          <w:i/>
          <w:color w:val="000000"/>
        </w:rPr>
        <w:t>pro libertate</w:t>
      </w:r>
      <w:r w:rsidRPr="00BE151B">
        <w:rPr>
          <w:rFonts w:ascii="Verdana" w:eastAsia="Arial" w:hAnsi="Verdana" w:cs="Arial"/>
          <w:color w:val="000000"/>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BE151B">
        <w:rPr>
          <w:rFonts w:ascii="Verdana" w:eastAsia="Calibri" w:hAnsi="Verdana" w:cs="Arial"/>
          <w:color w:val="000000"/>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w:t>
      </w:r>
      <w:r w:rsidRPr="00BE151B">
        <w:rPr>
          <w:rFonts w:ascii="Verdana" w:eastAsia="Calibri" w:hAnsi="Verdana" w:cs="Arial"/>
          <w:color w:val="000000"/>
        </w:rPr>
        <w:lastRenderedPageBreak/>
        <w:t>Administración Pública, cuya expedición compete al Congreso de la República, conforme al artículo 150 de la Constitución Política, y que en esta materia rige el principio de legalidad:</w:t>
      </w:r>
    </w:p>
    <w:p w14:paraId="130F4F59" w14:textId="77777777" w:rsidR="00011028" w:rsidRPr="00BE151B" w:rsidRDefault="00011028" w:rsidP="00011028">
      <w:pPr>
        <w:tabs>
          <w:tab w:val="left" w:pos="1532"/>
        </w:tabs>
        <w:spacing w:after="0" w:line="276" w:lineRule="auto"/>
        <w:jc w:val="both"/>
        <w:rPr>
          <w:rFonts w:ascii="Verdana" w:eastAsia="Calibri" w:hAnsi="Verdana" w:cs="Arial"/>
          <w:color w:val="000000"/>
        </w:rPr>
      </w:pPr>
      <w:r w:rsidRPr="00BE151B">
        <w:rPr>
          <w:rFonts w:ascii="Verdana" w:eastAsia="Calibri" w:hAnsi="Verdana" w:cs="Arial"/>
          <w:color w:val="000000"/>
          <w:sz w:val="24"/>
        </w:rPr>
        <w:tab/>
      </w:r>
    </w:p>
    <w:p w14:paraId="4D63C80C" w14:textId="77777777" w:rsidR="00011028" w:rsidRPr="00472C94" w:rsidRDefault="00011028" w:rsidP="00011028">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 xml:space="preserve">“[…] 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07FE4F7A" w14:textId="77777777" w:rsidR="00011028" w:rsidRPr="00472C94" w:rsidRDefault="00011028" w:rsidP="00011028">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w:t>
      </w:r>
    </w:p>
    <w:p w14:paraId="423BAA00" w14:textId="77777777" w:rsidR="00011028" w:rsidRPr="00BE151B" w:rsidRDefault="00011028" w:rsidP="00011028">
      <w:pPr>
        <w:spacing w:after="0" w:line="240" w:lineRule="auto"/>
        <w:ind w:left="709" w:right="709"/>
        <w:jc w:val="both"/>
        <w:rPr>
          <w:rFonts w:ascii="Verdana" w:eastAsia="Calibri" w:hAnsi="Verdana" w:cs="Arial"/>
          <w:color w:val="000000"/>
          <w:sz w:val="20"/>
          <w:szCs w:val="20"/>
        </w:rPr>
      </w:pPr>
      <w:r w:rsidRPr="00472C94">
        <w:rPr>
          <w:rFonts w:ascii="Verdana" w:eastAsia="Calibri" w:hAnsi="Verdana" w:cs="Arial"/>
          <w:color w:val="000000"/>
          <w:sz w:val="20"/>
          <w:szCs w:val="20"/>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BE151B">
        <w:rPr>
          <w:rFonts w:ascii="Verdana" w:eastAsia="Calibri" w:hAnsi="Verdana" w:cs="Arial"/>
          <w:color w:val="000000"/>
          <w:sz w:val="20"/>
          <w:szCs w:val="20"/>
        </w:rPr>
        <w:t>)”</w:t>
      </w:r>
      <w:r w:rsidRPr="00BE151B">
        <w:rPr>
          <w:rFonts w:ascii="Verdana" w:eastAsia="Calibri" w:hAnsi="Verdana" w:cs="Arial"/>
          <w:color w:val="000000"/>
          <w:sz w:val="20"/>
          <w:szCs w:val="20"/>
          <w:vertAlign w:val="superscript"/>
        </w:rPr>
        <w:footnoteReference w:id="15"/>
      </w:r>
      <w:r w:rsidRPr="00BE151B">
        <w:rPr>
          <w:rFonts w:ascii="Verdana" w:eastAsia="Calibri" w:hAnsi="Verdana" w:cs="Arial"/>
          <w:color w:val="000000"/>
          <w:sz w:val="20"/>
          <w:szCs w:val="20"/>
        </w:rPr>
        <w:t>.</w:t>
      </w:r>
    </w:p>
    <w:p w14:paraId="05F5A210" w14:textId="77777777" w:rsidR="00011028" w:rsidRPr="00BE151B" w:rsidRDefault="00011028" w:rsidP="00011028">
      <w:pPr>
        <w:widowControl w:val="0"/>
        <w:autoSpaceDE w:val="0"/>
        <w:autoSpaceDN w:val="0"/>
        <w:spacing w:after="0" w:line="240" w:lineRule="auto"/>
        <w:ind w:left="1049" w:rightChars="709" w:right="1560" w:firstLine="709"/>
        <w:jc w:val="both"/>
        <w:rPr>
          <w:rFonts w:ascii="Verdana" w:eastAsia="Arial" w:hAnsi="Verdana" w:cs="Arial"/>
          <w:color w:val="333333"/>
          <w:shd w:val="clear" w:color="auto" w:fill="FFFFFF"/>
          <w:lang w:eastAsia="es-ES" w:bidi="es-ES"/>
        </w:rPr>
      </w:pPr>
    </w:p>
    <w:p w14:paraId="3B56EE0B" w14:textId="77777777" w:rsidR="00011028" w:rsidRPr="00BE151B" w:rsidRDefault="00011028" w:rsidP="00011028">
      <w:pPr>
        <w:widowControl w:val="0"/>
        <w:autoSpaceDE w:val="0"/>
        <w:autoSpaceDN w:val="0"/>
        <w:spacing w:after="120" w:line="276" w:lineRule="auto"/>
        <w:ind w:firstLine="709"/>
        <w:jc w:val="both"/>
        <w:rPr>
          <w:rFonts w:ascii="Verdana" w:eastAsia="Arial MT" w:hAnsi="Verdana" w:cs="Arial"/>
          <w:lang w:eastAsia="es-ES" w:bidi="es-ES"/>
        </w:rPr>
      </w:pPr>
      <w:r w:rsidRPr="00BE151B">
        <w:rPr>
          <w:rFonts w:ascii="Verdana" w:eastAsia="Arial MT" w:hAnsi="Verdana" w:cs="Arial"/>
          <w:lang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de funciones públicas y para participar en procesos de contratación pública adelantados por las entidades estatales, según sea el caso.</w:t>
      </w:r>
    </w:p>
    <w:p w14:paraId="10F6F89C" w14:textId="77777777" w:rsidR="00011028" w:rsidRDefault="00011028" w:rsidP="00011028">
      <w:pPr>
        <w:widowControl w:val="0"/>
        <w:autoSpaceDE w:val="0"/>
        <w:autoSpaceDN w:val="0"/>
        <w:spacing w:after="120" w:line="276" w:lineRule="auto"/>
        <w:ind w:firstLine="709"/>
        <w:jc w:val="both"/>
        <w:rPr>
          <w:rFonts w:ascii="Verdana" w:eastAsia="Arial MT" w:hAnsi="Verdana" w:cs="Arial"/>
          <w:lang w:eastAsia="es-ES" w:bidi="es-ES"/>
        </w:rPr>
      </w:pPr>
      <w:r w:rsidRPr="00BE151B">
        <w:rPr>
          <w:rFonts w:ascii="Verdana" w:eastAsia="Arial MT" w:hAnsi="Verdana" w:cs="Arial"/>
          <w:lang w:eastAsia="es-ES" w:bidi="es-ES"/>
        </w:rPr>
        <w:t>Con relación al objeto de la consulta</w:t>
      </w:r>
      <w:r>
        <w:rPr>
          <w:rFonts w:ascii="Verdana" w:eastAsia="Arial MT" w:hAnsi="Verdana" w:cs="Arial"/>
          <w:lang w:eastAsia="es-ES" w:bidi="es-ES"/>
        </w:rPr>
        <w:t xml:space="preserve">, el </w:t>
      </w:r>
      <w:r w:rsidRPr="00121DBA">
        <w:rPr>
          <w:rFonts w:ascii="Verdana" w:eastAsia="Calibri" w:hAnsi="Verdana" w:cs="Arial"/>
          <w:color w:val="000000"/>
        </w:rPr>
        <w:t>Estatuto General</w:t>
      </w:r>
      <w:r>
        <w:rPr>
          <w:rFonts w:ascii="Verdana" w:eastAsia="Calibri" w:hAnsi="Verdana" w:cs="Arial"/>
          <w:color w:val="000000"/>
        </w:rPr>
        <w:t xml:space="preserve"> de Contratación</w:t>
      </w:r>
      <w:r w:rsidRPr="00121DBA">
        <w:rPr>
          <w:rFonts w:ascii="Verdana" w:eastAsia="Calibri" w:hAnsi="Verdana" w:cs="Arial"/>
          <w:color w:val="000000"/>
        </w:rPr>
        <w:t xml:space="preserve"> de l</w:t>
      </w:r>
      <w:r>
        <w:rPr>
          <w:rFonts w:ascii="Verdana" w:eastAsia="Calibri" w:hAnsi="Verdana" w:cs="Arial"/>
          <w:color w:val="000000"/>
        </w:rPr>
        <w:t>a Administración Pública – EGCAP establece en el numeral 1 del artículo 8 las causales de inhabilidades, dentro de la que se encuentra la contenida en el literal f) que prohíbe que servidores públicos</w:t>
      </w:r>
      <w:r>
        <w:rPr>
          <w:rStyle w:val="Refdenotaalpie"/>
          <w:rFonts w:ascii="Verdana" w:eastAsia="Calibri" w:hAnsi="Verdana" w:cs="Arial"/>
          <w:color w:val="000000"/>
        </w:rPr>
        <w:footnoteReference w:id="16"/>
      </w:r>
      <w:r>
        <w:rPr>
          <w:rFonts w:ascii="Verdana" w:eastAsia="Calibri" w:hAnsi="Verdana" w:cs="Arial"/>
          <w:color w:val="000000"/>
        </w:rPr>
        <w:t xml:space="preserve">, incluidos los trabajadores oficiales de las sociedades de economía mixta, contraten con el Estado. </w:t>
      </w:r>
      <w:r>
        <w:rPr>
          <w:rFonts w:ascii="Verdana" w:eastAsia="Arial MT" w:hAnsi="Verdana" w:cs="Arial"/>
          <w:lang w:eastAsia="es-ES" w:bidi="es-ES"/>
        </w:rPr>
        <w:t>La restricción a la capacidad contractual que deviene de esta causal encuentra fundamento en la prohibición de orden constitucional consagrada en el artículo 127 superior, que establece que “</w:t>
      </w:r>
      <w:r w:rsidRPr="00C63B1C">
        <w:rPr>
          <w:rFonts w:ascii="Verdana" w:eastAsia="Arial MT" w:hAnsi="Verdana" w:cs="Arial"/>
          <w:i/>
          <w:iCs/>
          <w:lang w:eastAsia="es-ES" w:bidi="es-ES"/>
        </w:rPr>
        <w:t xml:space="preserve">los servidores públicos no podrán celebrar, por sí o por interpuesta persona, o en representación de otro, contrato alguno con entidades públicas o con personas privadas que manejen o administren recursos </w:t>
      </w:r>
      <w:r w:rsidRPr="00C63B1C">
        <w:rPr>
          <w:rFonts w:ascii="Verdana" w:eastAsia="Arial MT" w:hAnsi="Verdana" w:cs="Arial"/>
          <w:i/>
          <w:iCs/>
          <w:lang w:eastAsia="es-ES" w:bidi="es-ES"/>
        </w:rPr>
        <w:lastRenderedPageBreak/>
        <w:t>públicos, salvo las excepciones legales</w:t>
      </w:r>
      <w:r w:rsidRPr="00C63B1C">
        <w:rPr>
          <w:rFonts w:ascii="Verdana" w:eastAsia="Arial MT" w:hAnsi="Verdana" w:cs="Arial"/>
          <w:lang w:eastAsia="es-ES" w:bidi="es-ES"/>
        </w:rPr>
        <w:t>”.</w:t>
      </w:r>
    </w:p>
    <w:p w14:paraId="6DAC3FA0" w14:textId="77777777" w:rsidR="00011028" w:rsidRDefault="00011028" w:rsidP="00011028">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No obstante, aun cuando los</w:t>
      </w:r>
      <w:r w:rsidRPr="00034D8F">
        <w:rPr>
          <w:rFonts w:ascii="Verdana" w:eastAsia="Arial MT" w:hAnsi="Verdana" w:cs="Arial"/>
          <w:lang w:eastAsia="es-ES" w:bidi="es-ES"/>
        </w:rPr>
        <w:t xml:space="preserve"> servidores públicos, por regla general, no pueden celebrar contratos con las entidades públicas, ni con entidades privadas que administren recursos públicos, </w:t>
      </w:r>
      <w:r>
        <w:rPr>
          <w:rFonts w:ascii="Verdana" w:eastAsia="Arial MT" w:hAnsi="Verdana" w:cs="Arial"/>
          <w:lang w:eastAsia="es-ES" w:bidi="es-ES"/>
        </w:rPr>
        <w:t>existen excepciones que consagra el artículo 10 de la Ley 80 de 1993, bajo los siguiente supuestos: i)</w:t>
      </w:r>
      <w:r w:rsidRPr="00034D8F">
        <w:rPr>
          <w:rFonts w:ascii="Verdana" w:eastAsia="Arial MT" w:hAnsi="Verdana" w:cs="Arial"/>
          <w:lang w:eastAsia="es-ES" w:bidi="es-ES"/>
        </w:rPr>
        <w:t xml:space="preserve"> cuando lo hagan por obligación legal, o </w:t>
      </w:r>
      <w:r>
        <w:rPr>
          <w:rFonts w:ascii="Verdana" w:eastAsia="Arial MT" w:hAnsi="Verdana" w:cs="Arial"/>
          <w:lang w:eastAsia="es-ES" w:bidi="es-ES"/>
        </w:rPr>
        <w:t xml:space="preserve">ii) </w:t>
      </w:r>
      <w:r w:rsidRPr="00034D8F">
        <w:rPr>
          <w:rFonts w:ascii="Verdana" w:eastAsia="Arial MT" w:hAnsi="Verdana" w:cs="Arial"/>
          <w:lang w:eastAsia="es-ES" w:bidi="es-ES"/>
        </w:rPr>
        <w:t xml:space="preserve">para usar bienes o servicios que las entidades ofrezcan al público en condiciones comunes a quienes lo soliciten, o </w:t>
      </w:r>
      <w:r>
        <w:rPr>
          <w:rFonts w:ascii="Verdana" w:eastAsia="Arial MT" w:hAnsi="Verdana" w:cs="Arial"/>
          <w:lang w:eastAsia="es-ES" w:bidi="es-ES"/>
        </w:rPr>
        <w:t xml:space="preserve">iii) </w:t>
      </w:r>
      <w:r w:rsidRPr="00034D8F">
        <w:rPr>
          <w:rFonts w:ascii="Verdana" w:eastAsia="Arial MT" w:hAnsi="Verdana" w:cs="Arial"/>
          <w:lang w:eastAsia="es-ES" w:bidi="es-ES"/>
        </w:rPr>
        <w:t>para adquirir la propiedad accionaria del Estado</w:t>
      </w:r>
      <w:r>
        <w:rPr>
          <w:rStyle w:val="Refdenotaalpie"/>
          <w:rFonts w:ascii="Verdana" w:eastAsia="Arial MT" w:hAnsi="Verdana" w:cs="Arial"/>
          <w:lang w:eastAsia="es-ES" w:bidi="es-ES"/>
        </w:rPr>
        <w:footnoteReference w:id="17"/>
      </w:r>
      <w:r>
        <w:rPr>
          <w:rFonts w:ascii="Verdana" w:eastAsia="Arial MT" w:hAnsi="Verdana" w:cs="Arial"/>
          <w:lang w:eastAsia="es-ES" w:bidi="es-ES"/>
        </w:rPr>
        <w:t>.</w:t>
      </w:r>
    </w:p>
    <w:p w14:paraId="0411DDDB" w14:textId="77777777" w:rsidR="00011028" w:rsidRPr="00701715" w:rsidRDefault="00011028" w:rsidP="00011028">
      <w:pPr>
        <w:spacing w:after="120" w:line="276" w:lineRule="auto"/>
        <w:ind w:firstLine="709"/>
        <w:jc w:val="both"/>
        <w:rPr>
          <w:sz w:val="24"/>
        </w:rPr>
      </w:pPr>
      <w:r>
        <w:rPr>
          <w:rFonts w:ascii="Verdana" w:eastAsia="Arial MT" w:hAnsi="Verdana" w:cs="Arial"/>
          <w:lang w:eastAsia="es-ES" w:bidi="es-ES"/>
        </w:rPr>
        <w:t xml:space="preserve">Sobre la </w:t>
      </w:r>
      <w:r w:rsidRPr="00E934D4">
        <w:rPr>
          <w:rFonts w:ascii="Verdana" w:eastAsia="Arial MT" w:hAnsi="Verdana" w:cs="Arial"/>
          <w:lang w:eastAsia="es-ES" w:bidi="es-ES"/>
        </w:rPr>
        <w:t>obligación legal</w:t>
      </w:r>
      <w:r>
        <w:rPr>
          <w:rFonts w:ascii="Verdana" w:eastAsia="Arial MT" w:hAnsi="Verdana" w:cs="Arial"/>
          <w:lang w:eastAsia="es-ES" w:bidi="es-ES"/>
        </w:rPr>
        <w:t xml:space="preserve"> como excepción, esta</w:t>
      </w:r>
      <w:r w:rsidRPr="00E934D4">
        <w:rPr>
          <w:rFonts w:ascii="Verdana" w:eastAsia="Arial MT" w:hAnsi="Verdana" w:cs="Arial"/>
          <w:lang w:eastAsia="es-ES" w:bidi="es-ES"/>
        </w:rPr>
        <w:t xml:space="preserve"> es una manifestación de voluntad soberana del Estado dirigida a ordenar, permitir o prohibir acciones de sus gobernados</w:t>
      </w:r>
      <w:r w:rsidRPr="00344E65">
        <w:rPr>
          <w:rFonts w:ascii="Verdana" w:eastAsia="Arial MT" w:hAnsi="Verdana" w:cs="Arial"/>
          <w:vertAlign w:val="superscript"/>
          <w:lang w:eastAsia="es-ES" w:bidi="es-ES"/>
        </w:rPr>
        <w:footnoteReference w:id="18"/>
      </w:r>
      <w:r w:rsidRPr="00E934D4">
        <w:rPr>
          <w:rFonts w:ascii="Verdana" w:eastAsia="Arial MT" w:hAnsi="Verdana" w:cs="Arial"/>
          <w:lang w:eastAsia="es-ES" w:bidi="es-ES"/>
        </w:rPr>
        <w:t>, razón por la que su cumplimiento no se puede condicionar a que una persona -natural o jurídica- se encuentre inhabilitada para celebrar contratos. Un ejemplo se presenta en aquellos eventos en los que un propietario debe enajenar al Estado un inmueble, so pena de ser expropiado en los casos previstos en los artículos 10 y 11 de la Ley 9ª de 1989.</w:t>
      </w:r>
    </w:p>
    <w:p w14:paraId="3C78D06F" w14:textId="77777777" w:rsidR="00011028" w:rsidRDefault="00011028" w:rsidP="00011028">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En relación con l</w:t>
      </w:r>
      <w:r w:rsidRPr="00E934D4">
        <w:rPr>
          <w:rFonts w:ascii="Verdana" w:eastAsia="Arial MT" w:hAnsi="Verdana" w:cs="Arial"/>
          <w:lang w:eastAsia="es-ES" w:bidi="es-ES"/>
        </w:rPr>
        <w:t>a excepción de celebrar contratos para usar bienes o servicios que las entidades ofrezcan al público en condiciones comunes a quienes lo soliciten, significa que los bienes y servicios que se ofrezcan en condiciones de igualdad, como por ejemplo los servicios públicos domiciliarios, los servicios hospitalarios, pueden ser adquiridos por personas que se encuentran inhabilitados en relación con otros contratos. La Sala de Consulta y Servicio Civil, del Consejo de Estado, el concepto No. 11001-03-06-000-2012-00060-00(2.113) del 25 de octubre de 2012, con ponencia del Consejero William Zambrano Cetina, expreso que la aplicación de esta excepción exige que se reúnan dos elementos: La uniformidad en las condiciones contractuales y la posibilidad de acceso al contrato a todo el que lo solicite</w:t>
      </w:r>
      <w:r w:rsidRPr="00E934D4">
        <w:rPr>
          <w:rFonts w:ascii="Verdana" w:eastAsia="Arial MT" w:hAnsi="Verdana" w:cs="Arial"/>
          <w:vertAlign w:val="superscript"/>
          <w:lang w:eastAsia="es-ES" w:bidi="es-ES"/>
        </w:rPr>
        <w:footnoteReference w:id="19"/>
      </w:r>
      <w:r w:rsidRPr="00E934D4">
        <w:rPr>
          <w:rFonts w:ascii="Verdana" w:eastAsia="Arial MT" w:hAnsi="Verdana" w:cs="Arial"/>
          <w:lang w:eastAsia="es-ES" w:bidi="es-ES"/>
        </w:rPr>
        <w:t>.</w:t>
      </w:r>
    </w:p>
    <w:p w14:paraId="01E0FCCF" w14:textId="77777777" w:rsidR="00011028" w:rsidRDefault="00011028" w:rsidP="00011028">
      <w:pPr>
        <w:widowControl w:val="0"/>
        <w:autoSpaceDE w:val="0"/>
        <w:autoSpaceDN w:val="0"/>
        <w:spacing w:before="120" w:after="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todo caso, corresponde a la entidad estatal contratante determinar en </w:t>
      </w:r>
      <w:r>
        <w:rPr>
          <w:rFonts w:ascii="Verdana" w:eastAsia="Arial MT" w:hAnsi="Verdana" w:cs="Arial"/>
          <w:lang w:eastAsia="es-ES" w:bidi="es-ES"/>
        </w:rPr>
        <w:lastRenderedPageBreak/>
        <w:t>cada caso concreto si se cumplen o no los supuestos de hecho y condiciones que dan lugar a la configuración de las referidas incompatibilidades.</w:t>
      </w:r>
    </w:p>
    <w:p w14:paraId="2F4F3371" w14:textId="77777777" w:rsidR="00011028" w:rsidRPr="00BE151B" w:rsidRDefault="00011028" w:rsidP="00011028">
      <w:pPr>
        <w:spacing w:after="0" w:line="240" w:lineRule="auto"/>
        <w:ind w:left="709" w:right="709"/>
        <w:jc w:val="both"/>
        <w:rPr>
          <w:rFonts w:ascii="Verdana" w:eastAsia="Calibri" w:hAnsi="Verdana" w:cs="Arial"/>
          <w:sz w:val="21"/>
          <w:szCs w:val="21"/>
        </w:rPr>
      </w:pPr>
    </w:p>
    <w:p w14:paraId="0C755045" w14:textId="77777777" w:rsidR="00011028" w:rsidRPr="00BE151B" w:rsidRDefault="00011028" w:rsidP="00011028">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0B9525DC" w14:textId="77777777" w:rsidR="00011028" w:rsidRPr="00BE151B" w:rsidRDefault="00011028" w:rsidP="0001102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11028" w:rsidRPr="00BE151B" w14:paraId="60F18C43" w14:textId="77777777" w:rsidTr="009B7D49">
        <w:trPr>
          <w:trHeight w:val="870"/>
        </w:trPr>
        <w:tc>
          <w:tcPr>
            <w:tcW w:w="8647" w:type="dxa"/>
          </w:tcPr>
          <w:p w14:paraId="73DA24A3" w14:textId="77777777" w:rsidR="00011028" w:rsidRPr="00934EBA" w:rsidRDefault="00011028" w:rsidP="00011028">
            <w:pPr>
              <w:pStyle w:val="Prrafodelista"/>
              <w:widowControl w:val="0"/>
              <w:numPr>
                <w:ilvl w:val="0"/>
                <w:numId w:val="1"/>
              </w:numPr>
              <w:autoSpaceDE w:val="0"/>
              <w:autoSpaceDN w:val="0"/>
              <w:spacing w:line="276" w:lineRule="auto"/>
              <w:jc w:val="both"/>
              <w:rPr>
                <w:rFonts w:ascii="Verdana" w:hAnsi="Verdana" w:cs="Arial"/>
                <w:sz w:val="21"/>
                <w:szCs w:val="21"/>
              </w:rPr>
            </w:pPr>
            <w:r w:rsidRPr="00934EBA">
              <w:rPr>
                <w:rFonts w:ascii="Verdana" w:hAnsi="Verdana" w:cs="Arial"/>
                <w:sz w:val="21"/>
                <w:szCs w:val="21"/>
              </w:rPr>
              <w:t>Constitución Política de 1991, artículos 150.7 artículo 123 y 127</w:t>
            </w:r>
          </w:p>
          <w:p w14:paraId="12BC7881" w14:textId="77777777" w:rsidR="00011028" w:rsidRPr="00934EBA" w:rsidRDefault="00011028" w:rsidP="00011028">
            <w:pPr>
              <w:pStyle w:val="Prrafodelista"/>
              <w:widowControl w:val="0"/>
              <w:numPr>
                <w:ilvl w:val="0"/>
                <w:numId w:val="1"/>
              </w:numPr>
              <w:autoSpaceDE w:val="0"/>
              <w:autoSpaceDN w:val="0"/>
              <w:spacing w:line="276" w:lineRule="auto"/>
              <w:jc w:val="both"/>
              <w:rPr>
                <w:rFonts w:ascii="Verdana" w:hAnsi="Verdana" w:cs="Arial"/>
                <w:sz w:val="21"/>
                <w:szCs w:val="21"/>
              </w:rPr>
            </w:pPr>
            <w:r w:rsidRPr="00934EBA">
              <w:rPr>
                <w:rFonts w:ascii="Verdana" w:hAnsi="Verdana" w:cs="Arial"/>
                <w:sz w:val="21"/>
                <w:szCs w:val="21"/>
              </w:rPr>
              <w:t>Ley 80 de 1993, artículo 8, numeral 1, literal f).</w:t>
            </w:r>
          </w:p>
          <w:p w14:paraId="6367A6EE" w14:textId="77777777" w:rsidR="00011028" w:rsidRPr="00934EBA" w:rsidRDefault="00011028" w:rsidP="00011028">
            <w:pPr>
              <w:pStyle w:val="Prrafodelista"/>
              <w:widowControl w:val="0"/>
              <w:numPr>
                <w:ilvl w:val="0"/>
                <w:numId w:val="1"/>
              </w:numPr>
              <w:autoSpaceDE w:val="0"/>
              <w:autoSpaceDN w:val="0"/>
              <w:spacing w:line="276" w:lineRule="auto"/>
              <w:jc w:val="both"/>
              <w:rPr>
                <w:rFonts w:ascii="Verdana" w:hAnsi="Verdana" w:cs="Arial"/>
                <w:sz w:val="21"/>
                <w:szCs w:val="21"/>
              </w:rPr>
            </w:pPr>
            <w:r w:rsidRPr="00934EBA">
              <w:rPr>
                <w:rFonts w:ascii="Verdana" w:hAnsi="Verdana" w:cs="Arial"/>
                <w:sz w:val="21"/>
                <w:szCs w:val="21"/>
              </w:rPr>
              <w:t>Ley 489 de 1998, artículo 38, 68 y 97</w:t>
            </w:r>
          </w:p>
          <w:p w14:paraId="1A7BEFE6"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1E48A9">
              <w:rPr>
                <w:rFonts w:ascii="Verdana" w:hAnsi="Verdana" w:cs="Arial"/>
                <w:sz w:val="21"/>
                <w:szCs w:val="21"/>
                <w:lang w:val="es-CO"/>
              </w:rPr>
              <w:t xml:space="preserve">Corte Constitucional. Sentencia C-736 del 19 de septiembre de 2007. </w:t>
            </w:r>
            <w:r w:rsidRPr="00934EBA">
              <w:rPr>
                <w:rFonts w:ascii="Verdana" w:hAnsi="Verdana" w:cs="Arial"/>
                <w:sz w:val="21"/>
                <w:szCs w:val="21"/>
                <w:lang w:val="pt-BR"/>
              </w:rPr>
              <w:t>Magistrado Ponente: Dr. Marco Gerardo Monroy Cabra Referencia: expedientes D-6675 y D-6688 acumulados.</w:t>
            </w:r>
          </w:p>
          <w:p w14:paraId="1FAF1290"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1A67E725"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Consejo de Estado. Sala de Consulta y Servicio Civil. Concepto del 30 de abril de 2015. Expediente: 2251. Consejero Ponente: Álvaro Namén Vargas.</w:t>
            </w:r>
          </w:p>
          <w:p w14:paraId="1F1B3F33"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Consejo de Estado. Sección Tercera. Subsección A. Sentencia del 24 de junio de 2015. Exp. 40.635. Consejero Ponente: Hernán Andrade Rincón (E).</w:t>
            </w:r>
          </w:p>
          <w:p w14:paraId="73544950"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Consejo de Estado. Sección Tercera. Subsección C. Sentencia del 22 de mayo de 2013. Exp. 24.057. C.P. Olga Melida Valle De La Hoz.</w:t>
            </w:r>
          </w:p>
          <w:p w14:paraId="038D6E57"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Corte Constitucional, Sentencia C- 373 de 2002, M.P. Jaime Córdoba Triviño; sentencia C-325 de 2009, M.P. Gabriel Eduardo Mendoza Martelo.</w:t>
            </w:r>
          </w:p>
          <w:p w14:paraId="63CE9ED9"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Consejo de Estado, Sección Quinta, Sentencia del 13 de junio de 2019, Exp. No. 00111 C.P. Rocío Araújo Oñate.</w:t>
            </w:r>
          </w:p>
          <w:p w14:paraId="08B0E139" w14:textId="77777777" w:rsidR="00011028" w:rsidRPr="00934EBA"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sz w:val="21"/>
                <w:szCs w:val="21"/>
              </w:rPr>
            </w:pPr>
            <w:r w:rsidRPr="00934EBA">
              <w:rPr>
                <w:rFonts w:ascii="Verdana" w:hAnsi="Verdana" w:cs="Arial"/>
                <w:sz w:val="21"/>
                <w:szCs w:val="21"/>
              </w:rPr>
              <w:t xml:space="preserve">Departamento Administrativo de la Función Pública – DAFP. Concepto con RAD.: 20209000065272 del 4 de marzo de 2020: </w:t>
            </w:r>
            <w:hyperlink r:id="rId9" w:history="1">
              <w:r w:rsidRPr="00934EBA">
                <w:rPr>
                  <w:rStyle w:val="Hipervnculo"/>
                  <w:rFonts w:ascii="Verdana" w:hAnsi="Verdana" w:cs="Arial"/>
                  <w:sz w:val="21"/>
                  <w:szCs w:val="21"/>
                </w:rPr>
                <w:t>https://www.funcionpublica.gov.co/eva/gestornormativo/norma.php?i=125080</w:t>
              </w:r>
            </w:hyperlink>
            <w:r w:rsidRPr="00934EBA">
              <w:rPr>
                <w:rFonts w:ascii="Verdana" w:hAnsi="Verdana" w:cs="Arial"/>
                <w:sz w:val="21"/>
                <w:szCs w:val="21"/>
              </w:rPr>
              <w:t xml:space="preserve">   </w:t>
            </w:r>
          </w:p>
          <w:p w14:paraId="04BCFAE3" w14:textId="77777777" w:rsidR="00011028" w:rsidRPr="00BE151B" w:rsidRDefault="00011028" w:rsidP="00011028">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934EBA">
              <w:rPr>
                <w:rFonts w:ascii="Verdana" w:hAnsi="Verdana" w:cs="Arial"/>
                <w:sz w:val="21"/>
                <w:szCs w:val="21"/>
              </w:rPr>
              <w:t>BARRETO MORENO, Antonio Alejandro. Inhabilidades de la contratación estatal, efectos y neopunitivismo en el Estatuto Anticorrupción. En: ALVIAR GARCÍA, Helena (Coordinadora). Nuevas tendencias del Derecho administrativo. Bogotá: Universidad de los Andes; Temis, 2016. pp. 63-99.</w:t>
            </w:r>
          </w:p>
        </w:tc>
      </w:tr>
    </w:tbl>
    <w:p w14:paraId="2D9ED037" w14:textId="77777777" w:rsidR="00011028" w:rsidRPr="00BE151B" w:rsidRDefault="00011028" w:rsidP="000110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0A69AB5" w14:textId="77777777" w:rsidR="00011028" w:rsidRPr="00BE151B" w:rsidRDefault="00011028" w:rsidP="0001102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5289EB98" w14:textId="77777777" w:rsidR="00011028" w:rsidRPr="00BE151B" w:rsidRDefault="00011028" w:rsidP="00011028">
      <w:pPr>
        <w:spacing w:after="0" w:line="276" w:lineRule="auto"/>
        <w:ind w:firstLine="709"/>
        <w:jc w:val="both"/>
        <w:rPr>
          <w:rFonts w:ascii="Verdana" w:eastAsia="Times New Roman" w:hAnsi="Verdana" w:cs="Arial"/>
          <w:szCs w:val="24"/>
          <w:lang w:eastAsia="es-ES_tradnl"/>
        </w:rPr>
      </w:pPr>
    </w:p>
    <w:p w14:paraId="101FF7E5" w14:textId="77777777" w:rsidR="00011028" w:rsidRDefault="00011028" w:rsidP="00011028">
      <w:pPr>
        <w:widowControl w:val="0"/>
        <w:autoSpaceDE w:val="0"/>
        <w:autoSpaceDN w:val="0"/>
        <w:spacing w:after="0" w:line="276" w:lineRule="auto"/>
        <w:jc w:val="both"/>
        <w:rPr>
          <w:rFonts w:ascii="Verdana" w:eastAsia="Calibri" w:hAnsi="Verdana" w:cs="Arial"/>
          <w:lang w:eastAsia="es-ES_tradnl"/>
        </w:rPr>
      </w:pPr>
      <w:r w:rsidRPr="00BE151B">
        <w:rPr>
          <w:rFonts w:ascii="Verdana" w:eastAsia="Calibri" w:hAnsi="Verdana" w:cs="Arial"/>
          <w:lang w:eastAsia="es-ES_tradnl"/>
        </w:rPr>
        <w:lastRenderedPageBreak/>
        <w:t xml:space="preserve">Sobre el régimen de inhabilidades e incompatibilidades se pronunció esta Subdirección en los conceptos </w:t>
      </w:r>
      <w:r w:rsidRPr="00BE151B">
        <w:rPr>
          <w:rFonts w:ascii="Verdana" w:eastAsia="Calibri" w:hAnsi="Verdana" w:cs="Arial"/>
        </w:rPr>
        <w:t>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2021, C−275 del 11 de junio de 2021, C−293 del 28 de junio de 2021, C−321 del 2 de julio de 2021,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y C-039 del 23 de abril de 2024</w:t>
      </w:r>
      <w:r w:rsidRPr="00BE151B">
        <w:rPr>
          <w:rFonts w:ascii="Verdana" w:hAnsi="Verdana" w:cs="Arial"/>
        </w:rPr>
        <w:t>. También se ha pronunciado sobre el conflicto de interés en los conceptos C-229 del 16 de abril de 2020, C-815 del 18 de febrero de 2021, C-449 del 31 de agosto de 2021 y C-288 del 14 de julio de 2023</w:t>
      </w:r>
      <w:r w:rsidRPr="00BE151B">
        <w:rPr>
          <w:rFonts w:ascii="Verdana" w:eastAsia="Calibri" w:hAnsi="Verdana" w:cs="Arial"/>
          <w:lang w:eastAsia="es-ES_tradnl"/>
        </w:rPr>
        <w:t xml:space="preserve">. </w:t>
      </w:r>
      <w:r w:rsidRPr="00321438">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0"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 Te invitamos también a revisar la tercera edición del Boletín de Relatoría de 2024 en el cual podrás consultar en detalle el marco normativo de documentos tipo:</w:t>
      </w:r>
    </w:p>
    <w:p w14:paraId="3575BF38" w14:textId="77777777" w:rsidR="00011028" w:rsidRDefault="00011028" w:rsidP="00011028">
      <w:pPr>
        <w:widowControl w:val="0"/>
        <w:autoSpaceDE w:val="0"/>
        <w:autoSpaceDN w:val="0"/>
        <w:spacing w:after="0" w:line="276" w:lineRule="auto"/>
        <w:jc w:val="both"/>
        <w:rPr>
          <w:rFonts w:ascii="Verdana" w:eastAsia="Calibri" w:hAnsi="Verdana" w:cs="Arial"/>
          <w:lang w:eastAsia="es-ES_tradnl"/>
        </w:rPr>
      </w:pPr>
      <w:r w:rsidRPr="00321438">
        <w:rPr>
          <w:rFonts w:ascii="Verdana" w:eastAsia="Calibri" w:hAnsi="Verdana" w:cs="Arial"/>
          <w:lang w:eastAsia="es-ES_tradnl"/>
        </w:rPr>
        <w:t xml:space="preserve"> </w:t>
      </w:r>
      <w:hyperlink r:id="rId11" w:tooltip="Dirección URL original: https://www.colombiacompra.gov.co/sites/cce_public/files/files_2020/boletin_de_realtoria_iii.pdf. Haga clic o pulse si confía en este vínculo." w:history="1">
        <w:r w:rsidRPr="00321438">
          <w:rPr>
            <w:rStyle w:val="Hipervnculo"/>
            <w:rFonts w:ascii="Verdana" w:eastAsia="Calibri" w:hAnsi="Verdana" w:cs="Arial"/>
            <w:lang w:eastAsia="es-ES_tradnl"/>
          </w:rPr>
          <w:t>https://www.colombiacompra.gov.co/sites/cce_public/files/files_2020/boletin_de_realtoria_iii.pdf</w:t>
        </w:r>
      </w:hyperlink>
    </w:p>
    <w:p w14:paraId="01359593" w14:textId="77777777" w:rsidR="00011028" w:rsidRDefault="00011028" w:rsidP="00011028">
      <w:pPr>
        <w:widowControl w:val="0"/>
        <w:autoSpaceDE w:val="0"/>
        <w:autoSpaceDN w:val="0"/>
        <w:spacing w:after="0" w:line="276" w:lineRule="auto"/>
        <w:jc w:val="both"/>
        <w:rPr>
          <w:rFonts w:ascii="Verdana" w:eastAsia="Calibri" w:hAnsi="Verdana" w:cs="Arial"/>
          <w:lang w:eastAsia="es-ES_tradnl"/>
        </w:rPr>
      </w:pPr>
    </w:p>
    <w:p w14:paraId="7FB7CDCA" w14:textId="77777777" w:rsidR="00011028" w:rsidRDefault="00011028" w:rsidP="00011028">
      <w:pPr>
        <w:widowControl w:val="0"/>
        <w:autoSpaceDE w:val="0"/>
        <w:autoSpaceDN w:val="0"/>
        <w:spacing w:after="0" w:line="276" w:lineRule="auto"/>
        <w:jc w:val="both"/>
        <w:rPr>
          <w:rFonts w:ascii="Verdana" w:hAnsi="Verdana" w:cs="Arial"/>
          <w:color w:val="000000" w:themeColor="text1"/>
          <w:shd w:val="clear" w:color="auto" w:fill="FFFFFF"/>
        </w:rPr>
      </w:pPr>
      <w:r w:rsidRPr="00321438">
        <w:rPr>
          <w:rFonts w:ascii="Verdana" w:hAnsi="Verdana" w:cs="Arial"/>
          <w:color w:val="000000" w:themeColor="text1"/>
          <w:shd w:val="clear" w:color="auto" w:fill="FFFFFF"/>
        </w:rPr>
        <w:lastRenderedPageBreak/>
        <w:t xml:space="preserve">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p>
    <w:p w14:paraId="495EB0B9" w14:textId="77777777" w:rsidR="00011028" w:rsidRDefault="00011028" w:rsidP="00011028">
      <w:pPr>
        <w:widowControl w:val="0"/>
        <w:autoSpaceDE w:val="0"/>
        <w:autoSpaceDN w:val="0"/>
        <w:spacing w:after="0" w:line="276" w:lineRule="auto"/>
        <w:jc w:val="both"/>
        <w:rPr>
          <w:rFonts w:ascii="Verdana" w:hAnsi="Verdana" w:cs="Arial"/>
          <w:color w:val="000000" w:themeColor="text1"/>
          <w:shd w:val="clear" w:color="auto" w:fill="FFFFFF"/>
        </w:rPr>
      </w:pPr>
    </w:p>
    <w:p w14:paraId="50AE95A1" w14:textId="77777777" w:rsidR="00011028" w:rsidRPr="00BE151B" w:rsidRDefault="00011028" w:rsidP="00011028">
      <w:pPr>
        <w:widowControl w:val="0"/>
        <w:autoSpaceDE w:val="0"/>
        <w:autoSpaceDN w:val="0"/>
        <w:spacing w:after="0" w:line="276" w:lineRule="auto"/>
        <w:jc w:val="both"/>
        <w:rPr>
          <w:rStyle w:val="normaltextrun"/>
          <w:rFonts w:ascii="Verdana" w:hAnsi="Verdana" w:cs="Arial"/>
          <w:color w:val="000000" w:themeColor="text1"/>
          <w:shd w:val="clear" w:color="auto" w:fill="FFFFFF"/>
        </w:rPr>
      </w:pPr>
      <w:hyperlink r:id="rId12" w:history="1">
        <w:r w:rsidRPr="00AE4CC6">
          <w:rPr>
            <w:rStyle w:val="Hipervnculo"/>
            <w:rFonts w:ascii="Verdana" w:hAnsi="Verdana" w:cs="Arial"/>
            <w:shd w:val="clear" w:color="auto" w:fill="FFFFFF"/>
          </w:rPr>
          <w:t>https://www.sucop.gov.co/entidades/colombiacompra/Normativa?IDNorma=17363</w:t>
        </w:r>
      </w:hyperlink>
      <w:r w:rsidRPr="00321438">
        <w:rPr>
          <w:rFonts w:ascii="Verdana" w:hAnsi="Verdana" w:cs="Arial"/>
          <w:color w:val="000000" w:themeColor="text1"/>
          <w:shd w:val="clear" w:color="auto" w:fill="FFFFFF"/>
        </w:rPr>
        <w:t xml:space="preserve"> y </w:t>
      </w:r>
      <w:hyperlink r:id="rId13" w:tooltip="Dirección URL original: https://www.colombiacompra.gov.co/content/convocatorias. Haga clic o pulse si confía en este vínculo." w:history="1">
        <w:r w:rsidRPr="00321438">
          <w:rPr>
            <w:rStyle w:val="Hipervnculo"/>
            <w:rFonts w:ascii="Verdana" w:hAnsi="Verdana" w:cs="Arial"/>
            <w:shd w:val="clear" w:color="auto" w:fill="FFFFFF"/>
          </w:rPr>
          <w:t>https://www.colombiacompra.gov.co/content/convocatorias</w:t>
        </w:r>
      </w:hyperlink>
      <w:r w:rsidRPr="00321438">
        <w:rPr>
          <w:rFonts w:ascii="Verdana" w:hAnsi="Verdana" w:cs="Arial"/>
          <w:color w:val="000000" w:themeColor="text1"/>
          <w:shd w:val="clear" w:color="auto" w:fill="FFFFFF"/>
        </w:rPr>
        <w:t> </w:t>
      </w:r>
    </w:p>
    <w:p w14:paraId="54AF14F5" w14:textId="77777777" w:rsidR="00011028" w:rsidRPr="00BE151B" w:rsidRDefault="00011028" w:rsidP="00011028">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5BC3E22E" w14:textId="77777777" w:rsidR="00011028" w:rsidRPr="00BE151B" w:rsidRDefault="00011028" w:rsidP="00011028">
      <w:pPr>
        <w:widowControl w:val="0"/>
        <w:autoSpaceDE w:val="0"/>
        <w:autoSpaceDN w:val="0"/>
        <w:spacing w:after="0" w:line="276" w:lineRule="auto"/>
        <w:jc w:val="both"/>
        <w:rPr>
          <w:rStyle w:val="normaltextrun"/>
          <w:rFonts w:ascii="Verdana" w:hAnsi="Verdana" w:cs="Arial"/>
          <w:color w:val="FF0000"/>
          <w:shd w:val="clear" w:color="auto" w:fill="FFFFFF"/>
        </w:rPr>
      </w:pPr>
      <w:r w:rsidRPr="00BE151B">
        <w:rPr>
          <w:rStyle w:val="normaltextrun"/>
          <w:rFonts w:ascii="Verdana" w:hAnsi="Verdana" w:cs="Arial"/>
          <w:color w:val="000000" w:themeColor="text1"/>
          <w:shd w:val="clear" w:color="auto" w:fill="FFFFFF"/>
        </w:rPr>
        <w:t>También le invitamos a consultar las versiones I y II de 2024 del Boletín de Relatoría de la Subdirección de Gestión Contractual, las cuales puede descargar en la página web de la Agencia:</w:t>
      </w:r>
      <w:r w:rsidRPr="00BE151B">
        <w:rPr>
          <w:rStyle w:val="normaltextrun"/>
          <w:rFonts w:ascii="Verdana" w:hAnsi="Verdana" w:cs="Arial"/>
          <w:color w:val="FF0000"/>
          <w:shd w:val="clear" w:color="auto" w:fill="FFFFFF"/>
        </w:rPr>
        <w:t xml:space="preserve"> </w:t>
      </w:r>
      <w:hyperlink r:id="rId14" w:history="1">
        <w:r w:rsidRPr="00BE151B">
          <w:rPr>
            <w:rStyle w:val="Hipervnculo"/>
            <w:rFonts w:ascii="Verdana" w:hAnsi="Verdana" w:cs="Arial"/>
            <w:shd w:val="clear" w:color="auto" w:fill="FFFFFF"/>
          </w:rPr>
          <w:t>https://www.colombiacompra.gov.co/sala-de-prensa/boletin-digital</w:t>
        </w:r>
      </w:hyperlink>
      <w:r w:rsidRPr="00BE151B">
        <w:rPr>
          <w:rStyle w:val="normaltextrun"/>
          <w:rFonts w:ascii="Verdana" w:hAnsi="Verdana" w:cs="Arial"/>
          <w:color w:val="FF0000"/>
          <w:shd w:val="clear" w:color="auto" w:fill="FFFFFF"/>
        </w:rPr>
        <w:t xml:space="preserve">      </w:t>
      </w:r>
    </w:p>
    <w:p w14:paraId="04C8DD20" w14:textId="77777777" w:rsidR="00011028" w:rsidRPr="00BE151B" w:rsidRDefault="00011028" w:rsidP="00011028">
      <w:pPr>
        <w:spacing w:after="0" w:line="240" w:lineRule="auto"/>
        <w:jc w:val="both"/>
        <w:rPr>
          <w:rFonts w:ascii="Verdana" w:hAnsi="Verdana"/>
        </w:rPr>
      </w:pPr>
    </w:p>
    <w:p w14:paraId="28D7C302" w14:textId="77777777" w:rsidR="00011028" w:rsidRPr="00BE151B" w:rsidRDefault="00011028" w:rsidP="00011028">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7860E7E8" w14:textId="77777777" w:rsidR="00011028" w:rsidRPr="00BE151B" w:rsidRDefault="00011028" w:rsidP="00011028">
      <w:pPr>
        <w:spacing w:after="0" w:line="240" w:lineRule="auto"/>
        <w:jc w:val="both"/>
        <w:rPr>
          <w:rFonts w:ascii="Verdana" w:hAnsi="Verdana"/>
        </w:rPr>
      </w:pPr>
    </w:p>
    <w:p w14:paraId="38ADBAB9" w14:textId="77777777" w:rsidR="00011028" w:rsidRPr="00BE151B" w:rsidRDefault="00011028" w:rsidP="00011028">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7BE12664" w14:textId="77777777" w:rsidR="00011028" w:rsidRPr="00BE151B" w:rsidRDefault="00011028" w:rsidP="00011028">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078ACCB5" w14:textId="77777777" w:rsidR="00011028" w:rsidRPr="00BE151B" w:rsidRDefault="00011028" w:rsidP="00011028">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72DBF153" w14:textId="77777777" w:rsidR="00011028" w:rsidRPr="00BE151B" w:rsidRDefault="00011028" w:rsidP="00011028">
      <w:pPr>
        <w:widowControl w:val="0"/>
        <w:autoSpaceDE w:val="0"/>
        <w:autoSpaceDN w:val="0"/>
        <w:spacing w:after="0" w:line="276" w:lineRule="auto"/>
        <w:jc w:val="both"/>
        <w:rPr>
          <w:rFonts w:ascii="Verdana" w:hAnsi="Verdana"/>
        </w:rPr>
      </w:pPr>
    </w:p>
    <w:p w14:paraId="7AC5F87B" w14:textId="77777777" w:rsidR="00011028" w:rsidRPr="00BE151B" w:rsidRDefault="00011028" w:rsidP="00011028">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7DA864A" w14:textId="77777777" w:rsidR="00011028" w:rsidRPr="00BE151B" w:rsidRDefault="00011028" w:rsidP="00011028">
      <w:pPr>
        <w:spacing w:after="0" w:line="276" w:lineRule="auto"/>
        <w:ind w:firstLine="709"/>
        <w:jc w:val="both"/>
        <w:rPr>
          <w:rFonts w:ascii="Verdana" w:eastAsia="Times New Roman" w:hAnsi="Verdana" w:cs="Arial"/>
          <w:szCs w:val="24"/>
          <w:lang w:eastAsia="es-ES_tradnl"/>
        </w:rPr>
      </w:pPr>
    </w:p>
    <w:p w14:paraId="355E853F" w14:textId="77777777" w:rsidR="00011028" w:rsidRPr="00BE151B" w:rsidRDefault="00011028" w:rsidP="00011028">
      <w:pPr>
        <w:spacing w:after="0" w:line="276" w:lineRule="auto"/>
        <w:jc w:val="both"/>
        <w:rPr>
          <w:rFonts w:ascii="Verdana" w:eastAsia="Times New Roman" w:hAnsi="Verdana" w:cs="Arial"/>
          <w:lang w:eastAsia="es-CO"/>
        </w:rPr>
      </w:pPr>
      <w:bookmarkStart w:id="1" w:name="_Hlk117695077"/>
      <w:r w:rsidRPr="00BE151B">
        <w:rPr>
          <w:rFonts w:ascii="Verdana" w:eastAsia="Times New Roman" w:hAnsi="Verdana" w:cs="Arial"/>
          <w:lang w:eastAsia="es-CO"/>
        </w:rPr>
        <w:t>Atentamente,</w:t>
      </w:r>
    </w:p>
    <w:bookmarkEnd w:id="1"/>
    <w:p w14:paraId="062A9CDB" w14:textId="45A4A853" w:rsidR="00011028" w:rsidRPr="00BE151B" w:rsidRDefault="00E24F1F" w:rsidP="00011028">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8DA5BBB" wp14:editId="4BFDFE2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011028" w:rsidRPr="00BE151B" w14:paraId="7571E615" w14:textId="77777777" w:rsidTr="009B7D49">
        <w:trPr>
          <w:trHeight w:val="286"/>
        </w:trPr>
        <w:tc>
          <w:tcPr>
            <w:tcW w:w="893" w:type="dxa"/>
            <w:vAlign w:val="center"/>
            <w:hideMark/>
          </w:tcPr>
          <w:p w14:paraId="2BD01E4E" w14:textId="77777777" w:rsidR="00011028" w:rsidRPr="00BE151B" w:rsidRDefault="00011028" w:rsidP="009B7D49">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6A275845" w14:textId="77777777" w:rsidR="00011028" w:rsidRPr="00BE151B" w:rsidRDefault="00011028" w:rsidP="009B7D49">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02724947" w14:textId="77777777" w:rsidR="00011028" w:rsidRPr="00BE151B" w:rsidRDefault="00011028" w:rsidP="009B7D49">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lastRenderedPageBreak/>
              <w:t>Analista T1-1 de la Subdirección de Gestión Contractual</w:t>
            </w:r>
          </w:p>
        </w:tc>
      </w:tr>
      <w:tr w:rsidR="00011028" w:rsidRPr="00BE151B" w14:paraId="17C817CE" w14:textId="77777777" w:rsidTr="009B7D49">
        <w:trPr>
          <w:trHeight w:val="299"/>
        </w:trPr>
        <w:tc>
          <w:tcPr>
            <w:tcW w:w="893" w:type="dxa"/>
            <w:vAlign w:val="center"/>
            <w:hideMark/>
          </w:tcPr>
          <w:p w14:paraId="2D94A3CD" w14:textId="77777777" w:rsidR="00011028" w:rsidRPr="00BE151B" w:rsidRDefault="00011028" w:rsidP="009B7D49">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lastRenderedPageBreak/>
              <w:t>Revisó:</w:t>
            </w:r>
          </w:p>
        </w:tc>
        <w:tc>
          <w:tcPr>
            <w:tcW w:w="4636" w:type="dxa"/>
            <w:tcBorders>
              <w:top w:val="dotted" w:sz="4" w:space="0" w:color="7F7F7F"/>
              <w:left w:val="nil"/>
              <w:bottom w:val="dotted" w:sz="4" w:space="0" w:color="7F7F7F"/>
              <w:right w:val="nil"/>
            </w:tcBorders>
            <w:vAlign w:val="center"/>
            <w:hideMark/>
          </w:tcPr>
          <w:p w14:paraId="3A5CB6BB" w14:textId="77777777" w:rsidR="00011028" w:rsidRPr="00BE151B" w:rsidRDefault="00011028" w:rsidP="009B7D49">
            <w:pPr>
              <w:rPr>
                <w:rFonts w:ascii="Verdana" w:eastAsia="Times New Roman" w:hAnsi="Verdana" w:cs="Arial"/>
                <w:sz w:val="16"/>
                <w:szCs w:val="16"/>
                <w:lang w:eastAsia="es-ES"/>
              </w:rPr>
            </w:pPr>
            <w:r>
              <w:rPr>
                <w:rFonts w:ascii="Verdana" w:eastAsia="Times New Roman" w:hAnsi="Verdana" w:cs="Arial"/>
                <w:sz w:val="16"/>
                <w:szCs w:val="16"/>
                <w:lang w:eastAsia="es-ES"/>
              </w:rPr>
              <w:t>Ximena Ríos López</w:t>
            </w:r>
          </w:p>
          <w:p w14:paraId="11DAF3CF" w14:textId="77777777" w:rsidR="00011028" w:rsidRPr="00BE151B" w:rsidRDefault="00011028" w:rsidP="009B7D49">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Gestor T1-1</w:t>
            </w:r>
            <w:r>
              <w:rPr>
                <w:rFonts w:ascii="Verdana" w:eastAsia="Times New Roman" w:hAnsi="Verdana" w:cs="Arial"/>
                <w:sz w:val="16"/>
                <w:szCs w:val="16"/>
                <w:lang w:eastAsia="es-ES"/>
              </w:rPr>
              <w:t>1</w:t>
            </w:r>
            <w:r w:rsidRPr="00BE151B">
              <w:rPr>
                <w:rFonts w:ascii="Verdana" w:eastAsia="Times New Roman" w:hAnsi="Verdana" w:cs="Arial"/>
                <w:sz w:val="16"/>
                <w:szCs w:val="16"/>
                <w:lang w:eastAsia="es-ES"/>
              </w:rPr>
              <w:t xml:space="preserve"> de la Subdirección de Gestión Contractual</w:t>
            </w:r>
          </w:p>
        </w:tc>
      </w:tr>
      <w:tr w:rsidR="00011028" w:rsidRPr="00BE151B" w14:paraId="5CEC6AA0" w14:textId="77777777" w:rsidTr="009B7D49">
        <w:trPr>
          <w:trHeight w:val="272"/>
        </w:trPr>
        <w:tc>
          <w:tcPr>
            <w:tcW w:w="893" w:type="dxa"/>
            <w:vAlign w:val="center"/>
            <w:hideMark/>
          </w:tcPr>
          <w:p w14:paraId="7245F7E0" w14:textId="77777777" w:rsidR="00011028" w:rsidRPr="00BE151B" w:rsidRDefault="00011028" w:rsidP="009B7D49">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01433581" w14:textId="77777777" w:rsidR="00011028" w:rsidRPr="00BE151B" w:rsidRDefault="00011028" w:rsidP="009B7D49">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0A684359" w14:textId="77777777" w:rsidR="00011028" w:rsidRPr="00BE151B" w:rsidRDefault="00011028" w:rsidP="009B7D49">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74C3516E" w14:textId="77777777" w:rsidR="00011028" w:rsidRPr="00BE151B" w:rsidRDefault="00011028" w:rsidP="00011028">
      <w:pPr>
        <w:spacing w:after="0" w:line="276" w:lineRule="auto"/>
        <w:jc w:val="both"/>
        <w:rPr>
          <w:rFonts w:ascii="Verdana" w:eastAsia="Times New Roman" w:hAnsi="Verdana" w:cs="Arial"/>
        </w:rPr>
      </w:pPr>
    </w:p>
    <w:p w14:paraId="0417CE45" w14:textId="77777777" w:rsidR="00011028" w:rsidRPr="00BE151B" w:rsidRDefault="00011028" w:rsidP="00011028">
      <w:pPr>
        <w:spacing w:after="0" w:line="240" w:lineRule="auto"/>
        <w:rPr>
          <w:rFonts w:ascii="Verdana" w:eastAsia="Times New Roman" w:hAnsi="Verdana" w:cs="Arial"/>
          <w:sz w:val="24"/>
          <w:szCs w:val="24"/>
          <w:lang w:eastAsia="es-ES_tradnl"/>
        </w:rPr>
      </w:pPr>
    </w:p>
    <w:p w14:paraId="2050D05C" w14:textId="77777777" w:rsidR="00011028" w:rsidRPr="00BE151B" w:rsidRDefault="00011028" w:rsidP="00011028">
      <w:pPr>
        <w:rPr>
          <w:rFonts w:ascii="Verdana" w:hAnsi="Verdana"/>
        </w:rPr>
      </w:pPr>
    </w:p>
    <w:p w14:paraId="5756221A" w14:textId="77777777" w:rsidR="00011028" w:rsidRPr="00BE151B" w:rsidRDefault="00011028" w:rsidP="00011028"/>
    <w:p w14:paraId="1E6720A1" w14:textId="77777777" w:rsidR="00011028" w:rsidRPr="00BE151B" w:rsidRDefault="00011028" w:rsidP="00011028"/>
    <w:p w14:paraId="755B8A84" w14:textId="77777777" w:rsidR="00011028" w:rsidRPr="00F9618C" w:rsidRDefault="00011028" w:rsidP="00011028"/>
    <w:p w14:paraId="53DDD579" w14:textId="77777777" w:rsidR="00011028" w:rsidRDefault="00011028" w:rsidP="00011028"/>
    <w:p w14:paraId="005375FA" w14:textId="77777777" w:rsidR="00011028" w:rsidRPr="007B7885" w:rsidRDefault="00011028" w:rsidP="00011028"/>
    <w:p w14:paraId="766363EF" w14:textId="77777777" w:rsidR="00274079" w:rsidRDefault="00274079"/>
    <w:sectPr w:rsidR="00274079" w:rsidSect="00011028">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381A4" w14:textId="77777777" w:rsidR="00011028" w:rsidRDefault="00011028" w:rsidP="00011028">
      <w:pPr>
        <w:spacing w:after="0" w:line="240" w:lineRule="auto"/>
      </w:pPr>
      <w:r>
        <w:separator/>
      </w:r>
    </w:p>
  </w:endnote>
  <w:endnote w:type="continuationSeparator" w:id="0">
    <w:p w14:paraId="7CE653B7" w14:textId="77777777" w:rsidR="00011028" w:rsidRDefault="00011028" w:rsidP="00011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0DC9" w14:textId="77777777" w:rsidR="00B9099B" w:rsidRDefault="00B9099B">
    <w:pPr>
      <w:pStyle w:val="Piedepgina"/>
    </w:pPr>
  </w:p>
  <w:p w14:paraId="712FC317" w14:textId="77777777" w:rsidR="00B9099B" w:rsidRPr="00174B77" w:rsidRDefault="00B9099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05C38EC" w14:textId="77777777" w:rsidR="00B9099B" w:rsidRDefault="00B9099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D00A167" w14:textId="77777777" w:rsidR="00B9099B" w:rsidRPr="00E41027" w:rsidRDefault="00B9099B" w:rsidP="00D520D8">
    <w:pPr>
      <w:spacing w:after="0"/>
      <w:jc w:val="both"/>
      <w:rPr>
        <w:rFonts w:ascii="Verdana" w:hAnsi="Verdana"/>
        <w:sz w:val="18"/>
        <w:szCs w:val="18"/>
      </w:rPr>
    </w:pPr>
    <w:r w:rsidRPr="00E41027">
      <w:rPr>
        <w:rFonts w:ascii="Verdana" w:hAnsi="Verdana"/>
        <w:sz w:val="18"/>
        <w:szCs w:val="18"/>
      </w:rPr>
      <w:t>Mesa de servicio: (+57) 601 7456788</w:t>
    </w:r>
  </w:p>
  <w:p w14:paraId="1C3CED4C" w14:textId="77777777" w:rsidR="00B9099B" w:rsidRDefault="00B9099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835D2" w14:textId="77777777" w:rsidR="00011028" w:rsidRDefault="00011028" w:rsidP="00011028">
      <w:pPr>
        <w:spacing w:after="0" w:line="240" w:lineRule="auto"/>
      </w:pPr>
      <w:r>
        <w:separator/>
      </w:r>
    </w:p>
  </w:footnote>
  <w:footnote w:type="continuationSeparator" w:id="0">
    <w:p w14:paraId="34E94941" w14:textId="77777777" w:rsidR="00011028" w:rsidRDefault="00011028" w:rsidP="00011028">
      <w:pPr>
        <w:spacing w:after="0" w:line="240" w:lineRule="auto"/>
      </w:pPr>
      <w:r>
        <w:continuationSeparator/>
      </w:r>
    </w:p>
  </w:footnote>
  <w:footnote w:id="1">
    <w:p w14:paraId="589ABE19" w14:textId="77777777" w:rsidR="00011028" w:rsidRPr="00A1722D" w:rsidRDefault="00011028" w:rsidP="00011028">
      <w:pPr>
        <w:pStyle w:val="Textonotapie"/>
        <w:ind w:firstLine="709"/>
        <w:jc w:val="both"/>
        <w:rPr>
          <w:rFonts w:ascii="Verdana" w:hAnsi="Verdana" w:cs="Arial"/>
          <w:color w:val="000000"/>
          <w:sz w:val="12"/>
          <w:szCs w:val="12"/>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sz w:val="12"/>
          <w:szCs w:val="12"/>
          <w:lang w:val="es-CO"/>
        </w:rPr>
        <w:t>Constitución Política de Colombia de 1991. “Artículo 150. Corresponde al Congreso hacer las leyes. Por medio de ellas ejerce las siguientes funciones:</w:t>
      </w:r>
      <w:r w:rsidRPr="00A1722D">
        <w:rPr>
          <w:rFonts w:ascii="Verdana" w:hAnsi="Verdana" w:cs="Arial"/>
          <w:color w:val="000000"/>
          <w:sz w:val="12"/>
          <w:szCs w:val="12"/>
        </w:rPr>
        <w:t xml:space="preserve"> </w:t>
      </w:r>
    </w:p>
    <w:p w14:paraId="437BB866" w14:textId="77777777" w:rsidR="00011028" w:rsidRPr="00A1722D" w:rsidRDefault="00011028" w:rsidP="00011028">
      <w:pPr>
        <w:pStyle w:val="Textonotapie"/>
        <w:ind w:firstLine="709"/>
        <w:jc w:val="both"/>
        <w:rPr>
          <w:rFonts w:ascii="Verdana" w:hAnsi="Verdana" w:cs="Arial"/>
          <w:color w:val="000000"/>
          <w:sz w:val="12"/>
          <w:szCs w:val="12"/>
        </w:rPr>
      </w:pPr>
      <w:r w:rsidRPr="00A1722D">
        <w:rPr>
          <w:rFonts w:ascii="Verdana" w:hAnsi="Verdana" w:cs="Arial"/>
          <w:color w:val="000000"/>
          <w:sz w:val="12"/>
          <w:szCs w:val="12"/>
        </w:rPr>
        <w:t>[…]</w:t>
      </w:r>
    </w:p>
    <w:p w14:paraId="7C5DE96F" w14:textId="77777777" w:rsidR="00011028" w:rsidRPr="00A1722D" w:rsidRDefault="00011028" w:rsidP="00011028">
      <w:pPr>
        <w:pStyle w:val="Textonotapie"/>
        <w:ind w:firstLine="709"/>
        <w:jc w:val="both"/>
        <w:rPr>
          <w:rFonts w:ascii="Verdana" w:hAnsi="Verdana"/>
          <w:sz w:val="12"/>
          <w:szCs w:val="12"/>
          <w:lang w:val="es-CO"/>
        </w:rPr>
      </w:pPr>
      <w:r w:rsidRPr="00A1722D">
        <w:rPr>
          <w:rFonts w:ascii="Verdana" w:hAnsi="Verdana" w:cs="Arial"/>
          <w:color w:val="000000"/>
          <w:sz w:val="12"/>
          <w:szCs w:val="12"/>
        </w:rPr>
        <w:t>7. Determinar la estructura de la administración nacional y crear, suprimir o fusionar ministerios, departamentos administrativos, superintendencias, establecimientos públicos y otras entidades del orden nacional, señalando sus objetivos y estructura orgánica; reglamentar la creación y funcionamiento de las Corporaciones Autónomas Regionales dentro de un régimen de autonomía; así mismo, crear o autorizar la constitución de empresas industriales y comerciales del estado y sociedades de economía mixta”. </w:t>
      </w:r>
    </w:p>
  </w:footnote>
  <w:footnote w:id="2">
    <w:p w14:paraId="39D132FF" w14:textId="77777777" w:rsidR="00011028" w:rsidRPr="00A1722D" w:rsidRDefault="00011028" w:rsidP="00011028">
      <w:pPr>
        <w:pStyle w:val="Textonotapie"/>
        <w:ind w:firstLine="709"/>
        <w:jc w:val="both"/>
        <w:rPr>
          <w:rFonts w:ascii="Verdana" w:hAnsi="Verdana" w:cs="Arial"/>
          <w:color w:val="000000" w:themeColor="text1"/>
          <w:sz w:val="12"/>
          <w:szCs w:val="12"/>
          <w:lang w:val="es-ES"/>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cs="Arial"/>
          <w:color w:val="000000" w:themeColor="text1"/>
          <w:sz w:val="12"/>
          <w:szCs w:val="12"/>
          <w:lang w:val="es-ES"/>
        </w:rPr>
        <w:t>Ley 489 de 1998, Artículo 38 “</w:t>
      </w:r>
      <w:r w:rsidRPr="00A1722D">
        <w:rPr>
          <w:rFonts w:ascii="Verdana" w:hAnsi="Verdana" w:cs="Arial"/>
          <w:i/>
          <w:iCs/>
          <w:color w:val="000000" w:themeColor="text1"/>
          <w:sz w:val="12"/>
          <w:szCs w:val="12"/>
          <w:lang w:val="es-ES"/>
        </w:rPr>
        <w:t>Integración de la Rama Ejecutiva del Poder Público en el orden nacional. La Rama Ejecutiva del Poder Público en el orden nacional, esta integrada por los siguientes organismos y entidades</w:t>
      </w:r>
      <w:r w:rsidRPr="00A1722D">
        <w:rPr>
          <w:rFonts w:ascii="Verdana" w:hAnsi="Verdana" w:cs="Arial"/>
          <w:color w:val="000000" w:themeColor="text1"/>
          <w:sz w:val="12"/>
          <w:szCs w:val="12"/>
          <w:lang w:val="es-ES"/>
        </w:rPr>
        <w:t>:</w:t>
      </w:r>
    </w:p>
    <w:p w14:paraId="299E3B3A" w14:textId="77777777" w:rsidR="00011028" w:rsidRPr="00A1722D" w:rsidRDefault="00011028" w:rsidP="00011028">
      <w:pPr>
        <w:pStyle w:val="Textonotapie"/>
        <w:ind w:firstLine="709"/>
        <w:jc w:val="both"/>
        <w:rPr>
          <w:rFonts w:ascii="Verdana" w:hAnsi="Verdana"/>
          <w:sz w:val="12"/>
          <w:szCs w:val="12"/>
          <w:lang w:val="es-CO"/>
        </w:rPr>
      </w:pPr>
      <w:r w:rsidRPr="00A1722D">
        <w:rPr>
          <w:rFonts w:ascii="Verdana" w:hAnsi="Verdana"/>
          <w:sz w:val="12"/>
          <w:szCs w:val="12"/>
          <w:lang w:val="es-CO"/>
        </w:rPr>
        <w:t>2. Del Sector descentralizado por servicios:</w:t>
      </w:r>
    </w:p>
    <w:p w14:paraId="3652EAB3" w14:textId="77777777" w:rsidR="00011028" w:rsidRPr="00A1722D" w:rsidRDefault="00011028" w:rsidP="00011028">
      <w:pPr>
        <w:pStyle w:val="Textonotapie"/>
        <w:ind w:firstLine="709"/>
        <w:jc w:val="both"/>
        <w:rPr>
          <w:rFonts w:ascii="Verdana" w:hAnsi="Verdana"/>
          <w:sz w:val="12"/>
          <w:szCs w:val="12"/>
          <w:u w:val="single"/>
          <w:lang w:val="es-CO"/>
        </w:rPr>
      </w:pPr>
      <w:r w:rsidRPr="00A1722D">
        <w:rPr>
          <w:rFonts w:ascii="Verdana" w:hAnsi="Verdana"/>
          <w:sz w:val="12"/>
          <w:szCs w:val="12"/>
          <w:lang w:val="es-CO"/>
        </w:rPr>
        <w:t xml:space="preserve">f. Las sociedades públicas y </w:t>
      </w:r>
      <w:r w:rsidRPr="00A1722D">
        <w:rPr>
          <w:rFonts w:ascii="Verdana" w:hAnsi="Verdana"/>
          <w:sz w:val="12"/>
          <w:szCs w:val="12"/>
          <w:u w:val="single"/>
          <w:lang w:val="es-CO"/>
        </w:rPr>
        <w:t>las sociedades de economía mixta</w:t>
      </w:r>
    </w:p>
    <w:p w14:paraId="2602AB92" w14:textId="77777777" w:rsidR="00011028" w:rsidRPr="00A1722D" w:rsidRDefault="00011028" w:rsidP="00011028">
      <w:pPr>
        <w:pStyle w:val="Textonotapie"/>
        <w:ind w:firstLine="709"/>
        <w:jc w:val="both"/>
        <w:rPr>
          <w:rFonts w:ascii="Verdana" w:hAnsi="Verdana"/>
          <w:sz w:val="12"/>
          <w:szCs w:val="12"/>
          <w:u w:val="single"/>
          <w:lang w:val="es-CO"/>
        </w:rPr>
      </w:pPr>
      <w:r w:rsidRPr="00A1722D">
        <w:rPr>
          <w:rFonts w:ascii="Verdana" w:hAnsi="Verdana"/>
          <w:sz w:val="12"/>
          <w:szCs w:val="12"/>
          <w:u w:val="single"/>
          <w:lang w:val="es-CO"/>
        </w:rPr>
        <w:t>[…]</w:t>
      </w:r>
    </w:p>
    <w:p w14:paraId="4F7CD203" w14:textId="77777777" w:rsidR="00011028" w:rsidRPr="00A1722D" w:rsidRDefault="00011028" w:rsidP="00011028">
      <w:pPr>
        <w:pStyle w:val="Textonotapie"/>
        <w:ind w:firstLine="709"/>
        <w:jc w:val="both"/>
        <w:rPr>
          <w:rFonts w:ascii="Verdana" w:hAnsi="Verdana"/>
          <w:sz w:val="12"/>
          <w:szCs w:val="12"/>
          <w:lang w:val="es-CO"/>
        </w:rPr>
      </w:pPr>
      <w:r w:rsidRPr="00A1722D">
        <w:rPr>
          <w:rFonts w:ascii="Verdana" w:hAnsi="Verdana"/>
          <w:sz w:val="12"/>
          <w:szCs w:val="12"/>
          <w:lang w:val="es-CO"/>
        </w:rPr>
        <w:t>Parágrafo 1.- Las sociedades públicas y las sociedades de economía mixta en las que el Estado posea el noventa por ciento (90%) o más de su capital social, se someten al régimen previsto para las empresas industriales y comerciales del Estado.”</w:t>
      </w:r>
    </w:p>
    <w:p w14:paraId="02918BFE" w14:textId="77777777" w:rsidR="00011028" w:rsidRPr="00A1722D" w:rsidRDefault="00011028" w:rsidP="00011028">
      <w:pPr>
        <w:pStyle w:val="Textonotapie"/>
        <w:ind w:firstLine="709"/>
        <w:jc w:val="both"/>
        <w:rPr>
          <w:rFonts w:ascii="Verdana" w:hAnsi="Verdana"/>
          <w:sz w:val="12"/>
          <w:szCs w:val="12"/>
          <w:lang w:val="es-CO"/>
        </w:rPr>
      </w:pPr>
    </w:p>
  </w:footnote>
  <w:footnote w:id="3">
    <w:p w14:paraId="24B44D04" w14:textId="77777777" w:rsidR="00011028" w:rsidRPr="00A1722D" w:rsidRDefault="00011028" w:rsidP="00011028">
      <w:pPr>
        <w:shd w:val="clear" w:color="auto" w:fill="FFFFFF"/>
        <w:spacing w:after="0" w:line="240" w:lineRule="auto"/>
        <w:ind w:firstLine="709"/>
        <w:jc w:val="both"/>
        <w:rPr>
          <w:rFonts w:ascii="Verdana" w:hAnsi="Verdana"/>
          <w:sz w:val="12"/>
          <w:szCs w:val="12"/>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cs="Arial"/>
          <w:color w:val="000000" w:themeColor="text1"/>
          <w:sz w:val="12"/>
          <w:szCs w:val="12"/>
          <w:lang w:val="es-ES"/>
        </w:rPr>
        <w:t xml:space="preserve">Ley 489 de 1998, </w:t>
      </w:r>
      <w:r w:rsidRPr="00A1722D">
        <w:rPr>
          <w:rFonts w:ascii="Verdana" w:hAnsi="Verdana"/>
          <w:sz w:val="12"/>
          <w:szCs w:val="12"/>
        </w:rPr>
        <w:t>Artículo 97.-</w:t>
      </w:r>
      <w:r w:rsidRPr="00A1722D">
        <w:rPr>
          <w:rFonts w:ascii="Verdana" w:hAnsi="Verdana"/>
          <w:i/>
          <w:iCs/>
          <w:sz w:val="12"/>
          <w:szCs w:val="12"/>
        </w:rPr>
        <w:t> </w:t>
      </w:r>
      <w:r w:rsidRPr="00A1722D">
        <w:rPr>
          <w:rFonts w:ascii="Verdana" w:hAnsi="Verdana"/>
          <w:sz w:val="12"/>
          <w:szCs w:val="12"/>
        </w:rPr>
        <w:t>“</w:t>
      </w:r>
      <w:r w:rsidRPr="00A1722D">
        <w:rPr>
          <w:rFonts w:ascii="Verdana" w:hAnsi="Verdana"/>
          <w:i/>
          <w:iCs/>
          <w:sz w:val="12"/>
          <w:szCs w:val="12"/>
        </w:rPr>
        <w:t>Sociedades de economía mixta.</w:t>
      </w:r>
      <w:r w:rsidRPr="00A1722D">
        <w:rPr>
          <w:rFonts w:ascii="Verdana" w:hAnsi="Verdana"/>
          <w:sz w:val="12"/>
          <w:szCs w:val="12"/>
        </w:rPr>
        <w:t>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w:t>
      </w:r>
    </w:p>
    <w:p w14:paraId="33FB5FB5" w14:textId="77777777" w:rsidR="00011028" w:rsidRPr="00A1722D" w:rsidRDefault="00011028" w:rsidP="00011028">
      <w:pPr>
        <w:shd w:val="clear" w:color="auto" w:fill="FFFFFF"/>
        <w:spacing w:after="0" w:line="240" w:lineRule="auto"/>
        <w:ind w:firstLine="709"/>
        <w:jc w:val="both"/>
        <w:rPr>
          <w:rFonts w:ascii="Verdana" w:hAnsi="Verdana"/>
          <w:color w:val="333333"/>
          <w:sz w:val="12"/>
          <w:szCs w:val="12"/>
        </w:rPr>
      </w:pPr>
      <w:r w:rsidRPr="00A1722D">
        <w:rPr>
          <w:rFonts w:ascii="Verdana" w:hAnsi="Verdana"/>
          <w:color w:val="333333"/>
          <w:sz w:val="12"/>
          <w:szCs w:val="12"/>
        </w:rPr>
        <w:t>Las inversiones temporales de carácter financiero no afectan su naturaleza jurídica ni su régimen.</w:t>
      </w:r>
    </w:p>
    <w:p w14:paraId="4D9377A6" w14:textId="77777777" w:rsidR="00011028" w:rsidRPr="00A1722D" w:rsidRDefault="00011028" w:rsidP="00011028">
      <w:pPr>
        <w:shd w:val="clear" w:color="auto" w:fill="FFFFFF"/>
        <w:spacing w:after="0" w:line="240" w:lineRule="auto"/>
        <w:ind w:firstLine="709"/>
        <w:jc w:val="both"/>
        <w:rPr>
          <w:rFonts w:ascii="Verdana" w:hAnsi="Verdana"/>
          <w:color w:val="333333"/>
          <w:sz w:val="12"/>
          <w:szCs w:val="12"/>
        </w:rPr>
      </w:pPr>
      <w:r w:rsidRPr="00A1722D">
        <w:rPr>
          <w:rFonts w:ascii="Verdana" w:hAnsi="Verdana"/>
          <w:color w:val="333333"/>
          <w:sz w:val="12"/>
          <w:szCs w:val="12"/>
        </w:rPr>
        <w:t> </w:t>
      </w:r>
      <w:bookmarkStart w:id="0" w:name="97.p."/>
      <w:bookmarkEnd w:id="0"/>
      <w:r w:rsidRPr="00A1722D">
        <w:rPr>
          <w:rFonts w:ascii="Verdana" w:hAnsi="Verdana"/>
          <w:color w:val="333333"/>
          <w:sz w:val="12"/>
          <w:szCs w:val="12"/>
        </w:rPr>
        <w:tab/>
      </w:r>
      <w:r w:rsidRPr="00A1722D">
        <w:rPr>
          <w:rStyle w:val="Textoennegrita"/>
          <w:rFonts w:ascii="Verdana" w:hAnsi="Verdana"/>
          <w:b w:val="0"/>
          <w:bCs w:val="0"/>
          <w:color w:val="333333"/>
          <w:sz w:val="12"/>
          <w:szCs w:val="12"/>
        </w:rPr>
        <w:t>Parágrafo. - </w:t>
      </w:r>
      <w:r w:rsidRPr="00A1722D">
        <w:rPr>
          <w:rFonts w:ascii="Verdana" w:hAnsi="Verdana"/>
          <w:color w:val="333333"/>
          <w:sz w:val="12"/>
          <w:szCs w:val="12"/>
        </w:rPr>
        <w:t>Los regímenes de las actividades y de los servidores de las sociedades de economía mixta en las cuáles el aporte de la Nación, de entidades territoriales y de entidades descentralizadas, sea igual o superior al noventa (90%) del capital social es el de las empresas industriales y comerciales del Estado”.</w:t>
      </w:r>
    </w:p>
    <w:p w14:paraId="2D61ED6D" w14:textId="77777777" w:rsidR="00011028" w:rsidRPr="00A1722D" w:rsidRDefault="00011028" w:rsidP="00011028">
      <w:pPr>
        <w:pStyle w:val="Textonotapie"/>
        <w:ind w:firstLine="709"/>
        <w:jc w:val="both"/>
        <w:rPr>
          <w:rFonts w:ascii="Verdana" w:hAnsi="Verdana"/>
          <w:sz w:val="12"/>
          <w:szCs w:val="12"/>
          <w:lang w:val="es-CO"/>
        </w:rPr>
      </w:pPr>
    </w:p>
  </w:footnote>
  <w:footnote w:id="4">
    <w:p w14:paraId="20DE4B70" w14:textId="77777777" w:rsidR="00011028" w:rsidRPr="00A1722D" w:rsidRDefault="00011028" w:rsidP="00011028">
      <w:pPr>
        <w:pStyle w:val="Textonotapie"/>
        <w:ind w:firstLine="709"/>
        <w:jc w:val="both"/>
        <w:rPr>
          <w:rFonts w:ascii="Verdana" w:hAnsi="Verdana" w:cs="Arial"/>
          <w:color w:val="000000" w:themeColor="text1"/>
          <w:sz w:val="12"/>
          <w:szCs w:val="12"/>
          <w:lang w:val="es-ES"/>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cs="Arial"/>
          <w:color w:val="000000" w:themeColor="text1"/>
          <w:sz w:val="12"/>
          <w:szCs w:val="12"/>
          <w:lang w:val="es-ES"/>
        </w:rPr>
        <w:t xml:space="preserve">Ley 489 de 1998, artículo 68, numeral 2: “Son entidades descentralizadas del orden nacional, los establecimientos públicos, las empresas industriales y comerciales del Estado, las sociedades públicas y </w:t>
      </w:r>
      <w:r w:rsidRPr="00A1722D">
        <w:rPr>
          <w:rFonts w:ascii="Verdana" w:hAnsi="Verdana" w:cs="Arial"/>
          <w:color w:val="000000" w:themeColor="text1"/>
          <w:sz w:val="12"/>
          <w:szCs w:val="12"/>
          <w:u w:val="single"/>
          <w:lang w:val="es-ES"/>
        </w:rPr>
        <w:t>las sociedades de economía mixta</w:t>
      </w:r>
      <w:r w:rsidRPr="00A1722D">
        <w:rPr>
          <w:rFonts w:ascii="Verdana" w:hAnsi="Verdana" w:cs="Arial"/>
          <w:color w:val="000000" w:themeColor="text1"/>
          <w:sz w:val="12"/>
          <w:szCs w:val="12"/>
          <w:lang w:val="es-ES"/>
        </w:rPr>
        <w:t>,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0B00BD31" w14:textId="77777777" w:rsidR="00011028" w:rsidRPr="00A1722D" w:rsidRDefault="00011028" w:rsidP="00011028">
      <w:pPr>
        <w:pStyle w:val="Textonotapie"/>
        <w:ind w:firstLine="709"/>
        <w:jc w:val="both"/>
        <w:rPr>
          <w:rFonts w:ascii="Verdana" w:hAnsi="Verdana" w:cs="Arial"/>
          <w:color w:val="000000" w:themeColor="text1"/>
          <w:sz w:val="12"/>
          <w:szCs w:val="12"/>
          <w:lang w:val="es-ES"/>
        </w:rPr>
      </w:pPr>
      <w:r w:rsidRPr="00A1722D">
        <w:rPr>
          <w:rFonts w:ascii="Verdana" w:hAnsi="Verdana" w:cs="Arial"/>
          <w:color w:val="000000" w:themeColor="text1"/>
          <w:sz w:val="12"/>
          <w:szCs w:val="12"/>
          <w:lang w:val="es-ES"/>
        </w:rPr>
        <w:t>Las entidades descentralizadas se sujetan a las reglas señaladas en la Constitución Política, en la presente Ley, en las leyes que las creen y determinen su estructura orgánica y a sus estatutos internos.</w:t>
      </w:r>
    </w:p>
    <w:p w14:paraId="3666A870" w14:textId="77777777" w:rsidR="00011028" w:rsidRPr="00A1722D" w:rsidRDefault="00011028" w:rsidP="00011028">
      <w:pPr>
        <w:pStyle w:val="Textonotapie"/>
        <w:ind w:firstLine="709"/>
        <w:jc w:val="both"/>
        <w:rPr>
          <w:rFonts w:ascii="Verdana" w:hAnsi="Verdana" w:cs="Arial"/>
          <w:color w:val="000000" w:themeColor="text1"/>
          <w:sz w:val="12"/>
          <w:szCs w:val="12"/>
          <w:lang w:val="es-ES"/>
        </w:rPr>
      </w:pPr>
      <w:r w:rsidRPr="00A1722D">
        <w:rPr>
          <w:rFonts w:ascii="Verdana" w:hAnsi="Verdana" w:cs="Arial"/>
          <w:color w:val="000000" w:themeColor="text1"/>
          <w:sz w:val="12"/>
          <w:szCs w:val="12"/>
          <w:lang w:val="es-ES"/>
        </w:rPr>
        <w:t>Los organismos y entidades descentralizados, sujetos a regímenes especiales por mandato de la Constitución Política, se someterán a las disposiciones que para ellos establezca la respectiva ley.</w:t>
      </w:r>
    </w:p>
    <w:p w14:paraId="1B58ADE7" w14:textId="77777777" w:rsidR="00011028" w:rsidRPr="00A1722D" w:rsidRDefault="00011028" w:rsidP="00011028">
      <w:pPr>
        <w:pStyle w:val="Textonotapie"/>
        <w:ind w:firstLine="709"/>
        <w:jc w:val="both"/>
        <w:rPr>
          <w:rFonts w:ascii="Verdana" w:hAnsi="Verdana"/>
          <w:sz w:val="12"/>
          <w:szCs w:val="12"/>
          <w:lang w:val="es-CO"/>
        </w:rPr>
      </w:pPr>
      <w:r w:rsidRPr="00A1722D">
        <w:rPr>
          <w:rFonts w:ascii="Verdana" w:hAnsi="Verdana" w:cs="Arial"/>
          <w:color w:val="000000" w:themeColor="text1"/>
          <w:sz w:val="12"/>
          <w:szCs w:val="12"/>
          <w:lang w:val="es-ES"/>
        </w:rPr>
        <w:t>[…]”.</w:t>
      </w:r>
    </w:p>
  </w:footnote>
  <w:footnote w:id="5">
    <w:p w14:paraId="341428E5" w14:textId="77777777" w:rsidR="00011028" w:rsidRPr="00A1722D" w:rsidRDefault="00011028" w:rsidP="00011028">
      <w:pPr>
        <w:pStyle w:val="Textonotapie"/>
        <w:ind w:firstLine="708"/>
        <w:jc w:val="both"/>
        <w:rPr>
          <w:rFonts w:ascii="Verdana" w:hAnsi="Verdana"/>
          <w:color w:val="333333"/>
          <w:sz w:val="12"/>
          <w:szCs w:val="12"/>
          <w:shd w:val="clear" w:color="auto" w:fill="FFFFFF"/>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sz w:val="12"/>
          <w:szCs w:val="12"/>
          <w:lang w:val="es-CO"/>
        </w:rPr>
        <w:t>Corte Constitucional. Sentencia C-736 del 19 de septiembre de 2007. Magistrado Ponente: Dr. Marco Gerardo Monroy Cabra</w:t>
      </w:r>
      <w:r w:rsidRPr="00A1722D">
        <w:rPr>
          <w:rFonts w:ascii="Verdana" w:hAnsi="Verdana"/>
          <w:color w:val="333333"/>
          <w:sz w:val="12"/>
          <w:szCs w:val="12"/>
          <w:shd w:val="clear" w:color="auto" w:fill="FFFFFF"/>
        </w:rPr>
        <w:t xml:space="preserve"> Referencia: expedientes D-6675 y D-6688 acumulados.</w:t>
      </w:r>
    </w:p>
    <w:p w14:paraId="0471B8F4" w14:textId="77777777" w:rsidR="00011028" w:rsidRPr="00A1722D" w:rsidRDefault="00011028" w:rsidP="00011028">
      <w:pPr>
        <w:pStyle w:val="Textonotapie"/>
        <w:ind w:firstLine="708"/>
        <w:jc w:val="both"/>
        <w:rPr>
          <w:rFonts w:ascii="Verdana" w:hAnsi="Verdana"/>
          <w:sz w:val="12"/>
          <w:szCs w:val="12"/>
          <w:lang w:val="es-CO"/>
        </w:rPr>
      </w:pPr>
    </w:p>
  </w:footnote>
  <w:footnote w:id="6">
    <w:p w14:paraId="19D1215D" w14:textId="77777777" w:rsidR="00011028" w:rsidRPr="00A1722D" w:rsidRDefault="00011028" w:rsidP="00011028">
      <w:pPr>
        <w:pStyle w:val="Textonotapie"/>
        <w:ind w:firstLine="709"/>
        <w:jc w:val="both"/>
        <w:rPr>
          <w:rFonts w:ascii="Verdana" w:hAnsi="Verdana"/>
          <w:sz w:val="12"/>
          <w:szCs w:val="12"/>
          <w:lang w:val="es-CO"/>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sz w:val="12"/>
          <w:szCs w:val="12"/>
          <w:lang w:val="es-CO"/>
        </w:rPr>
        <w:t xml:space="preserve">Departamento Administrativo de la Función Pública – DAFP. Concepto con RAD.: 20209000065272 del 4 de marzo de 2020: </w:t>
      </w:r>
      <w:hyperlink r:id="rId1" w:history="1">
        <w:r w:rsidRPr="00A1722D">
          <w:rPr>
            <w:rStyle w:val="Hipervnculo"/>
            <w:rFonts w:ascii="Verdana" w:hAnsi="Verdana"/>
            <w:sz w:val="12"/>
            <w:szCs w:val="12"/>
            <w:lang w:val="es-CO"/>
          </w:rPr>
          <w:t>https://www.funcionpublica.gov.co/eva/gestornormativo/norma.php?i=125080</w:t>
        </w:r>
      </w:hyperlink>
      <w:r w:rsidRPr="00A1722D">
        <w:rPr>
          <w:rFonts w:ascii="Verdana" w:hAnsi="Verdana"/>
          <w:sz w:val="12"/>
          <w:szCs w:val="12"/>
          <w:lang w:val="es-CO"/>
        </w:rPr>
        <w:t xml:space="preserve">  </w:t>
      </w:r>
    </w:p>
    <w:p w14:paraId="06F9B385" w14:textId="77777777" w:rsidR="00011028" w:rsidRPr="00A1722D" w:rsidRDefault="00011028" w:rsidP="00011028">
      <w:pPr>
        <w:pStyle w:val="Textonotapie"/>
        <w:ind w:firstLine="709"/>
        <w:jc w:val="both"/>
        <w:rPr>
          <w:rFonts w:ascii="Verdana" w:hAnsi="Verdana"/>
          <w:sz w:val="12"/>
          <w:szCs w:val="12"/>
          <w:lang w:val="es-CO"/>
        </w:rPr>
      </w:pPr>
    </w:p>
  </w:footnote>
  <w:footnote w:id="7">
    <w:p w14:paraId="3468BAC7" w14:textId="77777777" w:rsidR="00011028" w:rsidRPr="00A1722D" w:rsidRDefault="00011028" w:rsidP="00011028">
      <w:pPr>
        <w:spacing w:after="0" w:line="240" w:lineRule="auto"/>
        <w:ind w:firstLine="709"/>
        <w:jc w:val="both"/>
        <w:rPr>
          <w:rFonts w:ascii="Verdana" w:hAnsi="Verdana" w:cs="Arial"/>
          <w:color w:val="000000"/>
          <w:sz w:val="12"/>
          <w:szCs w:val="12"/>
        </w:rPr>
      </w:pPr>
      <w:r w:rsidRPr="00A1722D">
        <w:rPr>
          <w:rStyle w:val="Refdenotaalpie"/>
          <w:rFonts w:ascii="Verdana" w:hAnsi="Verdana" w:cs="Arial"/>
          <w:color w:val="000000"/>
          <w:sz w:val="12"/>
          <w:szCs w:val="12"/>
        </w:rPr>
        <w:footnoteRef/>
      </w:r>
      <w:r w:rsidRPr="00A1722D">
        <w:rPr>
          <w:rFonts w:ascii="Verdana" w:hAnsi="Verdana" w:cs="Arial"/>
          <w:color w:val="000000"/>
          <w:sz w:val="12"/>
          <w:szCs w:val="12"/>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30D22662" w14:textId="77777777" w:rsidR="00011028" w:rsidRPr="00A1722D" w:rsidRDefault="00011028" w:rsidP="00011028">
      <w:pPr>
        <w:spacing w:after="0" w:line="240" w:lineRule="auto"/>
        <w:ind w:firstLine="709"/>
        <w:jc w:val="both"/>
        <w:rPr>
          <w:rFonts w:ascii="Verdana" w:hAnsi="Verdana" w:cs="Arial"/>
          <w:color w:val="000000"/>
          <w:sz w:val="12"/>
          <w:szCs w:val="12"/>
        </w:rPr>
      </w:pPr>
    </w:p>
  </w:footnote>
  <w:footnote w:id="8">
    <w:p w14:paraId="09173906"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Ibíd., p. 69</w:t>
      </w:r>
    </w:p>
    <w:p w14:paraId="5AF3503A" w14:textId="77777777" w:rsidR="00011028" w:rsidRPr="00A1722D" w:rsidRDefault="00011028" w:rsidP="00011028">
      <w:pPr>
        <w:pStyle w:val="Textonotapie"/>
        <w:ind w:firstLine="709"/>
        <w:jc w:val="both"/>
        <w:rPr>
          <w:rFonts w:ascii="Verdana" w:hAnsi="Verdana" w:cs="Arial"/>
          <w:color w:val="000000"/>
          <w:sz w:val="12"/>
          <w:szCs w:val="12"/>
          <w:lang w:val="es-CO"/>
        </w:rPr>
      </w:pPr>
    </w:p>
  </w:footnote>
  <w:footnote w:id="9">
    <w:p w14:paraId="4359B1FD"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630E067B" w14:textId="77777777" w:rsidR="00011028" w:rsidRPr="00A1722D" w:rsidRDefault="00011028" w:rsidP="00011028">
      <w:pPr>
        <w:pStyle w:val="Textonotapie"/>
        <w:ind w:firstLine="709"/>
        <w:jc w:val="both"/>
        <w:rPr>
          <w:rFonts w:ascii="Verdana" w:hAnsi="Verdana" w:cs="Arial"/>
          <w:color w:val="000000"/>
          <w:sz w:val="12"/>
          <w:szCs w:val="12"/>
          <w:lang w:val="es-CO"/>
        </w:rPr>
      </w:pPr>
    </w:p>
  </w:footnote>
  <w:footnote w:id="10">
    <w:p w14:paraId="2C1B9924"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Consejo de Estado. Sala de Consulta y Servicio Civil. Concepto del 30 de abril de 2015. Expediente: 2251. Consejero Ponente: Álvaro Namén Vargas.</w:t>
      </w:r>
    </w:p>
    <w:p w14:paraId="39CEC89B" w14:textId="77777777" w:rsidR="00011028" w:rsidRPr="00A1722D" w:rsidRDefault="00011028" w:rsidP="00011028">
      <w:pPr>
        <w:pStyle w:val="Textonotapie"/>
        <w:ind w:firstLine="709"/>
        <w:jc w:val="both"/>
        <w:rPr>
          <w:rFonts w:ascii="Verdana" w:hAnsi="Verdana" w:cs="Arial"/>
          <w:color w:val="000000"/>
          <w:sz w:val="12"/>
          <w:szCs w:val="12"/>
          <w:lang w:val="es-CO"/>
        </w:rPr>
      </w:pPr>
    </w:p>
  </w:footnote>
  <w:footnote w:id="11">
    <w:p w14:paraId="4CF2A392" w14:textId="77777777" w:rsidR="00011028" w:rsidRPr="00A1722D" w:rsidRDefault="00011028" w:rsidP="00011028">
      <w:pPr>
        <w:spacing w:after="0" w:line="240" w:lineRule="auto"/>
        <w:ind w:firstLine="709"/>
        <w:jc w:val="both"/>
        <w:rPr>
          <w:rFonts w:ascii="Verdana" w:hAnsi="Verdana" w:cs="Arial"/>
          <w:color w:val="000000"/>
          <w:sz w:val="12"/>
          <w:szCs w:val="12"/>
        </w:rPr>
      </w:pPr>
      <w:r w:rsidRPr="00A1722D">
        <w:rPr>
          <w:rStyle w:val="Refdenotaalpie"/>
          <w:rFonts w:ascii="Verdana" w:hAnsi="Verdana" w:cs="Arial"/>
          <w:color w:val="000000"/>
          <w:sz w:val="12"/>
          <w:szCs w:val="12"/>
        </w:rPr>
        <w:footnoteRef/>
      </w:r>
      <w:r w:rsidRPr="00A1722D">
        <w:rPr>
          <w:rFonts w:ascii="Verdana" w:hAnsi="Verdana" w:cs="Arial"/>
          <w:color w:val="000000"/>
          <w:sz w:val="12"/>
          <w:szCs w:val="12"/>
        </w:rPr>
        <w:t xml:space="preserve"> Consejo</w:t>
      </w:r>
      <w:r w:rsidRPr="00A1722D">
        <w:rPr>
          <w:rFonts w:ascii="Verdana" w:hAnsi="Verdana" w:cs="Arial"/>
          <w:color w:val="000000"/>
          <w:spacing w:val="12"/>
          <w:sz w:val="12"/>
          <w:szCs w:val="12"/>
        </w:rPr>
        <w:t xml:space="preserve"> </w:t>
      </w:r>
      <w:r w:rsidRPr="00A1722D">
        <w:rPr>
          <w:rFonts w:ascii="Verdana" w:hAnsi="Verdana" w:cs="Arial"/>
          <w:color w:val="000000"/>
          <w:sz w:val="12"/>
          <w:szCs w:val="12"/>
        </w:rPr>
        <w:t>de</w:t>
      </w:r>
      <w:r w:rsidRPr="00A1722D">
        <w:rPr>
          <w:rFonts w:ascii="Verdana" w:hAnsi="Verdana" w:cs="Arial"/>
          <w:color w:val="000000"/>
          <w:spacing w:val="11"/>
          <w:sz w:val="12"/>
          <w:szCs w:val="12"/>
        </w:rPr>
        <w:t xml:space="preserve"> </w:t>
      </w:r>
      <w:r w:rsidRPr="00A1722D">
        <w:rPr>
          <w:rFonts w:ascii="Verdana" w:hAnsi="Verdana" w:cs="Arial"/>
          <w:color w:val="000000"/>
          <w:sz w:val="12"/>
          <w:szCs w:val="12"/>
        </w:rPr>
        <w:t>Estado.</w:t>
      </w:r>
      <w:r w:rsidRPr="00A1722D">
        <w:rPr>
          <w:rFonts w:ascii="Verdana" w:hAnsi="Verdana" w:cs="Arial"/>
          <w:color w:val="000000"/>
          <w:spacing w:val="12"/>
          <w:sz w:val="12"/>
          <w:szCs w:val="12"/>
        </w:rPr>
        <w:t xml:space="preserve"> </w:t>
      </w:r>
      <w:r w:rsidRPr="00A1722D">
        <w:rPr>
          <w:rFonts w:ascii="Verdana" w:hAnsi="Verdana" w:cs="Arial"/>
          <w:color w:val="000000"/>
          <w:sz w:val="12"/>
          <w:szCs w:val="12"/>
        </w:rPr>
        <w:t>Sección</w:t>
      </w:r>
      <w:r w:rsidRPr="00A1722D">
        <w:rPr>
          <w:rFonts w:ascii="Verdana" w:hAnsi="Verdana" w:cs="Arial"/>
          <w:color w:val="000000"/>
          <w:spacing w:val="12"/>
          <w:sz w:val="12"/>
          <w:szCs w:val="12"/>
        </w:rPr>
        <w:t xml:space="preserve"> </w:t>
      </w:r>
      <w:r w:rsidRPr="00A1722D">
        <w:rPr>
          <w:rFonts w:ascii="Verdana" w:hAnsi="Verdana" w:cs="Arial"/>
          <w:color w:val="000000"/>
          <w:sz w:val="12"/>
          <w:szCs w:val="12"/>
        </w:rPr>
        <w:t>Tercera.</w:t>
      </w:r>
      <w:r w:rsidRPr="00A1722D">
        <w:rPr>
          <w:rFonts w:ascii="Verdana" w:hAnsi="Verdana" w:cs="Arial"/>
          <w:color w:val="000000"/>
          <w:spacing w:val="12"/>
          <w:sz w:val="12"/>
          <w:szCs w:val="12"/>
        </w:rPr>
        <w:t xml:space="preserve"> </w:t>
      </w:r>
      <w:r w:rsidRPr="00A1722D">
        <w:rPr>
          <w:rFonts w:ascii="Verdana" w:hAnsi="Verdana" w:cs="Arial"/>
          <w:color w:val="000000"/>
          <w:sz w:val="12"/>
          <w:szCs w:val="12"/>
        </w:rPr>
        <w:t>Subsección</w:t>
      </w:r>
      <w:r w:rsidRPr="00A1722D">
        <w:rPr>
          <w:rFonts w:ascii="Verdana" w:hAnsi="Verdana" w:cs="Arial"/>
          <w:color w:val="000000"/>
          <w:spacing w:val="13"/>
          <w:sz w:val="12"/>
          <w:szCs w:val="12"/>
        </w:rPr>
        <w:t xml:space="preserve"> </w:t>
      </w:r>
      <w:r w:rsidRPr="00A1722D">
        <w:rPr>
          <w:rFonts w:ascii="Verdana" w:hAnsi="Verdana" w:cs="Arial"/>
          <w:color w:val="000000"/>
          <w:sz w:val="12"/>
          <w:szCs w:val="12"/>
        </w:rPr>
        <w:t>A.</w:t>
      </w:r>
      <w:r w:rsidRPr="00A1722D">
        <w:rPr>
          <w:rFonts w:ascii="Verdana" w:hAnsi="Verdana" w:cs="Arial"/>
          <w:color w:val="000000"/>
          <w:spacing w:val="12"/>
          <w:sz w:val="12"/>
          <w:szCs w:val="12"/>
        </w:rPr>
        <w:t xml:space="preserve"> </w:t>
      </w:r>
      <w:r w:rsidRPr="00A1722D">
        <w:rPr>
          <w:rFonts w:ascii="Verdana" w:hAnsi="Verdana" w:cs="Arial"/>
          <w:color w:val="000000"/>
          <w:sz w:val="12"/>
          <w:szCs w:val="12"/>
        </w:rPr>
        <w:t>Sentencia</w:t>
      </w:r>
      <w:r w:rsidRPr="00A1722D">
        <w:rPr>
          <w:rFonts w:ascii="Verdana" w:hAnsi="Verdana" w:cs="Arial"/>
          <w:color w:val="000000"/>
          <w:spacing w:val="13"/>
          <w:sz w:val="12"/>
          <w:szCs w:val="12"/>
        </w:rPr>
        <w:t xml:space="preserve"> </w:t>
      </w:r>
      <w:r w:rsidRPr="00A1722D">
        <w:rPr>
          <w:rFonts w:ascii="Verdana" w:hAnsi="Verdana" w:cs="Arial"/>
          <w:color w:val="000000"/>
          <w:sz w:val="12"/>
          <w:szCs w:val="12"/>
        </w:rPr>
        <w:t>del</w:t>
      </w:r>
      <w:r w:rsidRPr="00A1722D">
        <w:rPr>
          <w:rFonts w:ascii="Verdana" w:hAnsi="Verdana" w:cs="Arial"/>
          <w:color w:val="000000"/>
          <w:spacing w:val="11"/>
          <w:sz w:val="12"/>
          <w:szCs w:val="12"/>
        </w:rPr>
        <w:t xml:space="preserve"> </w:t>
      </w:r>
      <w:r w:rsidRPr="00A1722D">
        <w:rPr>
          <w:rFonts w:ascii="Verdana" w:hAnsi="Verdana" w:cs="Arial"/>
          <w:color w:val="000000"/>
          <w:sz w:val="12"/>
          <w:szCs w:val="12"/>
        </w:rPr>
        <w:t>24</w:t>
      </w:r>
      <w:r w:rsidRPr="00A1722D">
        <w:rPr>
          <w:rFonts w:ascii="Verdana" w:hAnsi="Verdana" w:cs="Arial"/>
          <w:color w:val="000000"/>
          <w:spacing w:val="11"/>
          <w:sz w:val="12"/>
          <w:szCs w:val="12"/>
        </w:rPr>
        <w:t xml:space="preserve"> </w:t>
      </w:r>
      <w:r w:rsidRPr="00A1722D">
        <w:rPr>
          <w:rFonts w:ascii="Verdana" w:hAnsi="Verdana" w:cs="Arial"/>
          <w:color w:val="000000"/>
          <w:sz w:val="12"/>
          <w:szCs w:val="12"/>
        </w:rPr>
        <w:t>de</w:t>
      </w:r>
      <w:r w:rsidRPr="00A1722D">
        <w:rPr>
          <w:rFonts w:ascii="Verdana" w:hAnsi="Verdana" w:cs="Arial"/>
          <w:color w:val="000000"/>
          <w:spacing w:val="11"/>
          <w:sz w:val="12"/>
          <w:szCs w:val="12"/>
        </w:rPr>
        <w:t xml:space="preserve"> </w:t>
      </w:r>
      <w:r w:rsidRPr="00A1722D">
        <w:rPr>
          <w:rFonts w:ascii="Verdana" w:hAnsi="Verdana" w:cs="Arial"/>
          <w:color w:val="000000"/>
          <w:sz w:val="12"/>
          <w:szCs w:val="12"/>
        </w:rPr>
        <w:t>junio</w:t>
      </w:r>
      <w:r w:rsidRPr="00A1722D">
        <w:rPr>
          <w:rFonts w:ascii="Verdana" w:hAnsi="Verdana" w:cs="Arial"/>
          <w:color w:val="000000"/>
          <w:spacing w:val="11"/>
          <w:sz w:val="12"/>
          <w:szCs w:val="12"/>
        </w:rPr>
        <w:t xml:space="preserve"> </w:t>
      </w:r>
      <w:r w:rsidRPr="00A1722D">
        <w:rPr>
          <w:rFonts w:ascii="Verdana" w:hAnsi="Verdana" w:cs="Arial"/>
          <w:color w:val="000000"/>
          <w:sz w:val="12"/>
          <w:szCs w:val="12"/>
        </w:rPr>
        <w:t>de</w:t>
      </w:r>
      <w:r w:rsidRPr="00A1722D">
        <w:rPr>
          <w:rFonts w:ascii="Verdana" w:hAnsi="Verdana" w:cs="Arial"/>
          <w:color w:val="000000"/>
          <w:spacing w:val="11"/>
          <w:sz w:val="12"/>
          <w:szCs w:val="12"/>
        </w:rPr>
        <w:t xml:space="preserve"> </w:t>
      </w:r>
      <w:r w:rsidRPr="00A1722D">
        <w:rPr>
          <w:rFonts w:ascii="Verdana" w:hAnsi="Verdana" w:cs="Arial"/>
          <w:color w:val="000000"/>
          <w:sz w:val="12"/>
          <w:szCs w:val="12"/>
        </w:rPr>
        <w:t>2015.</w:t>
      </w:r>
      <w:r w:rsidRPr="00A1722D">
        <w:rPr>
          <w:rFonts w:ascii="Verdana" w:hAnsi="Verdana" w:cs="Arial"/>
          <w:color w:val="000000"/>
          <w:spacing w:val="1"/>
          <w:sz w:val="12"/>
          <w:szCs w:val="12"/>
        </w:rPr>
        <w:t xml:space="preserve"> </w:t>
      </w:r>
      <w:r w:rsidRPr="00A1722D">
        <w:rPr>
          <w:rFonts w:ascii="Verdana" w:hAnsi="Verdana" w:cs="Arial"/>
          <w:color w:val="000000"/>
          <w:sz w:val="12"/>
          <w:szCs w:val="12"/>
        </w:rPr>
        <w:t>Exp.</w:t>
      </w:r>
      <w:r w:rsidRPr="00A1722D">
        <w:rPr>
          <w:rFonts w:ascii="Verdana" w:hAnsi="Verdana" w:cs="Arial"/>
          <w:color w:val="000000"/>
          <w:spacing w:val="-2"/>
          <w:sz w:val="12"/>
          <w:szCs w:val="12"/>
        </w:rPr>
        <w:t xml:space="preserve"> </w:t>
      </w:r>
      <w:r w:rsidRPr="00A1722D">
        <w:rPr>
          <w:rFonts w:ascii="Verdana" w:hAnsi="Verdana" w:cs="Arial"/>
          <w:color w:val="000000"/>
          <w:sz w:val="12"/>
          <w:szCs w:val="12"/>
        </w:rPr>
        <w:t>40.635.</w:t>
      </w:r>
      <w:r w:rsidRPr="00A1722D">
        <w:rPr>
          <w:rFonts w:ascii="Verdana" w:hAnsi="Verdana" w:cs="Arial"/>
          <w:color w:val="000000"/>
          <w:spacing w:val="-2"/>
          <w:sz w:val="12"/>
          <w:szCs w:val="12"/>
        </w:rPr>
        <w:t xml:space="preserve"> </w:t>
      </w:r>
      <w:r w:rsidRPr="00A1722D">
        <w:rPr>
          <w:rFonts w:ascii="Verdana" w:hAnsi="Verdana" w:cs="Arial"/>
          <w:color w:val="000000"/>
          <w:sz w:val="12"/>
          <w:szCs w:val="12"/>
        </w:rPr>
        <w:t>Consejero</w:t>
      </w:r>
      <w:r w:rsidRPr="00A1722D">
        <w:rPr>
          <w:rFonts w:ascii="Verdana" w:hAnsi="Verdana" w:cs="Arial"/>
          <w:color w:val="000000"/>
          <w:spacing w:val="-1"/>
          <w:sz w:val="12"/>
          <w:szCs w:val="12"/>
        </w:rPr>
        <w:t xml:space="preserve"> </w:t>
      </w:r>
      <w:r w:rsidRPr="00A1722D">
        <w:rPr>
          <w:rFonts w:ascii="Verdana" w:hAnsi="Verdana" w:cs="Arial"/>
          <w:color w:val="000000"/>
          <w:sz w:val="12"/>
          <w:szCs w:val="12"/>
        </w:rPr>
        <w:t>Ponente:</w:t>
      </w:r>
      <w:r w:rsidRPr="00A1722D">
        <w:rPr>
          <w:rFonts w:ascii="Verdana" w:hAnsi="Verdana" w:cs="Arial"/>
          <w:color w:val="000000"/>
          <w:spacing w:val="-2"/>
          <w:sz w:val="12"/>
          <w:szCs w:val="12"/>
        </w:rPr>
        <w:t xml:space="preserve"> </w:t>
      </w:r>
      <w:r w:rsidRPr="00A1722D">
        <w:rPr>
          <w:rFonts w:ascii="Verdana" w:hAnsi="Verdana" w:cs="Arial"/>
          <w:color w:val="000000"/>
          <w:sz w:val="12"/>
          <w:szCs w:val="12"/>
        </w:rPr>
        <w:t>Hernán</w:t>
      </w:r>
      <w:r w:rsidRPr="00A1722D">
        <w:rPr>
          <w:rFonts w:ascii="Verdana" w:hAnsi="Verdana" w:cs="Arial"/>
          <w:color w:val="000000"/>
          <w:spacing w:val="-1"/>
          <w:sz w:val="12"/>
          <w:szCs w:val="12"/>
        </w:rPr>
        <w:t xml:space="preserve"> </w:t>
      </w:r>
      <w:r w:rsidRPr="00A1722D">
        <w:rPr>
          <w:rFonts w:ascii="Verdana" w:hAnsi="Verdana" w:cs="Arial"/>
          <w:color w:val="000000"/>
          <w:sz w:val="12"/>
          <w:szCs w:val="12"/>
        </w:rPr>
        <w:t>Andrade</w:t>
      </w:r>
      <w:r w:rsidRPr="00A1722D">
        <w:rPr>
          <w:rFonts w:ascii="Verdana" w:hAnsi="Verdana" w:cs="Arial"/>
          <w:color w:val="000000"/>
          <w:spacing w:val="-2"/>
          <w:sz w:val="12"/>
          <w:szCs w:val="12"/>
        </w:rPr>
        <w:t xml:space="preserve"> </w:t>
      </w:r>
      <w:r w:rsidRPr="00A1722D">
        <w:rPr>
          <w:rFonts w:ascii="Verdana" w:hAnsi="Verdana" w:cs="Arial"/>
          <w:color w:val="000000"/>
          <w:sz w:val="12"/>
          <w:szCs w:val="12"/>
        </w:rPr>
        <w:t>Rincón</w:t>
      </w:r>
      <w:r w:rsidRPr="00A1722D">
        <w:rPr>
          <w:rFonts w:ascii="Verdana" w:hAnsi="Verdana" w:cs="Arial"/>
          <w:color w:val="000000"/>
          <w:spacing w:val="-1"/>
          <w:sz w:val="12"/>
          <w:szCs w:val="12"/>
        </w:rPr>
        <w:t xml:space="preserve"> </w:t>
      </w:r>
      <w:r w:rsidRPr="00A1722D">
        <w:rPr>
          <w:rFonts w:ascii="Verdana" w:hAnsi="Verdana" w:cs="Arial"/>
          <w:color w:val="000000"/>
          <w:sz w:val="12"/>
          <w:szCs w:val="12"/>
        </w:rPr>
        <w:t>(E).</w:t>
      </w:r>
    </w:p>
    <w:p w14:paraId="1379F9E6" w14:textId="77777777" w:rsidR="00011028" w:rsidRPr="00A1722D" w:rsidRDefault="00011028" w:rsidP="00011028">
      <w:pPr>
        <w:spacing w:after="0" w:line="240" w:lineRule="auto"/>
        <w:ind w:firstLine="709"/>
        <w:jc w:val="both"/>
        <w:rPr>
          <w:rFonts w:ascii="Verdana" w:hAnsi="Verdana" w:cs="Arial"/>
          <w:color w:val="000000"/>
          <w:sz w:val="12"/>
          <w:szCs w:val="12"/>
        </w:rPr>
      </w:pPr>
    </w:p>
  </w:footnote>
  <w:footnote w:id="12">
    <w:p w14:paraId="4974A892"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Consejo de Estado. Sección Tercera. Subsección C. Sentencia del 22 de mayo de 2013. Exp. 24.057. C.P. Olga Melida Valle De La Hoz.</w:t>
      </w:r>
    </w:p>
    <w:p w14:paraId="1B73D5D6" w14:textId="77777777" w:rsidR="00011028" w:rsidRPr="00A1722D" w:rsidRDefault="00011028" w:rsidP="00011028">
      <w:pPr>
        <w:pStyle w:val="Textonotapie"/>
        <w:ind w:firstLine="709"/>
        <w:jc w:val="both"/>
        <w:rPr>
          <w:rFonts w:ascii="Verdana" w:hAnsi="Verdana" w:cs="Arial"/>
          <w:color w:val="000000"/>
          <w:sz w:val="12"/>
          <w:szCs w:val="12"/>
          <w:lang w:val="es-CO"/>
        </w:rPr>
      </w:pPr>
    </w:p>
  </w:footnote>
  <w:footnote w:id="13">
    <w:p w14:paraId="45DF42B1"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Corte Constitucional, Sentencia C- 373 de 2002, M.P. Jaime Córdoba Triviño; sentencia C-325 de 2009, M.P. Gabriel Eduardo Mendoza Martelo.</w:t>
      </w:r>
    </w:p>
    <w:p w14:paraId="210E52E0" w14:textId="77777777" w:rsidR="00011028" w:rsidRPr="00A1722D" w:rsidRDefault="00011028" w:rsidP="00011028">
      <w:pPr>
        <w:pStyle w:val="Textonotapie"/>
        <w:ind w:firstLine="709"/>
        <w:jc w:val="both"/>
        <w:rPr>
          <w:rFonts w:ascii="Verdana" w:hAnsi="Verdana" w:cs="Arial"/>
          <w:color w:val="000000"/>
          <w:sz w:val="12"/>
          <w:szCs w:val="12"/>
          <w:lang w:val="es-CO"/>
        </w:rPr>
      </w:pPr>
    </w:p>
  </w:footnote>
  <w:footnote w:id="14">
    <w:p w14:paraId="3D8E154C"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Consejo de Estado, Sección Quinta, Sentencia del 13 de junio de 2019, Exp. No. 00111 C.P. Rocío Araújo Oñate.</w:t>
      </w:r>
    </w:p>
  </w:footnote>
  <w:footnote w:id="15">
    <w:p w14:paraId="0ED3C7C0" w14:textId="77777777" w:rsidR="00011028" w:rsidRPr="00A1722D" w:rsidRDefault="00011028" w:rsidP="00011028">
      <w:pPr>
        <w:pStyle w:val="Textonotapie"/>
        <w:ind w:firstLine="709"/>
        <w:jc w:val="both"/>
        <w:rPr>
          <w:rFonts w:ascii="Verdana" w:hAnsi="Verdana" w:cs="Arial"/>
          <w:color w:val="000000"/>
          <w:sz w:val="12"/>
          <w:szCs w:val="12"/>
          <w:lang w:val="es-CO"/>
        </w:rPr>
      </w:pPr>
      <w:r w:rsidRPr="00A1722D">
        <w:rPr>
          <w:rStyle w:val="Refdenotaalpie"/>
          <w:rFonts w:ascii="Verdana" w:hAnsi="Verdana" w:cs="Arial"/>
          <w:color w:val="000000"/>
          <w:sz w:val="12"/>
          <w:szCs w:val="12"/>
          <w:lang w:val="es-CO"/>
        </w:rPr>
        <w:footnoteRef/>
      </w:r>
      <w:r w:rsidRPr="00A1722D">
        <w:rPr>
          <w:rFonts w:ascii="Verdana" w:hAnsi="Verdana" w:cs="Arial"/>
          <w:color w:val="000000"/>
          <w:sz w:val="12"/>
          <w:szCs w:val="12"/>
          <w:lang w:val="es-CO"/>
        </w:rPr>
        <w:t xml:space="preserve"> </w:t>
      </w:r>
      <w:r w:rsidRPr="00A1722D">
        <w:rPr>
          <w:rFonts w:ascii="Verdana" w:hAnsi="Verdana" w:cs="Arial"/>
          <w:i/>
          <w:color w:val="000000"/>
          <w:sz w:val="12"/>
          <w:szCs w:val="12"/>
          <w:lang w:val="es-CO"/>
        </w:rPr>
        <w:t>Ibid</w:t>
      </w:r>
      <w:r w:rsidRPr="00A1722D">
        <w:rPr>
          <w:rFonts w:ascii="Verdana" w:hAnsi="Verdana" w:cs="Arial"/>
          <w:color w:val="000000"/>
          <w:sz w:val="12"/>
          <w:szCs w:val="12"/>
          <w:lang w:val="es-CO"/>
        </w:rPr>
        <w:t xml:space="preserve">. </w:t>
      </w:r>
    </w:p>
    <w:p w14:paraId="6DA2BAA2" w14:textId="77777777" w:rsidR="00011028" w:rsidRPr="00A1722D" w:rsidRDefault="00011028" w:rsidP="00011028">
      <w:pPr>
        <w:pStyle w:val="Textonotapie"/>
        <w:ind w:firstLine="709"/>
        <w:jc w:val="both"/>
        <w:rPr>
          <w:rFonts w:ascii="Verdana" w:hAnsi="Verdana" w:cs="Arial"/>
          <w:color w:val="000000"/>
          <w:sz w:val="12"/>
          <w:szCs w:val="12"/>
          <w:lang w:val="es-CO"/>
        </w:rPr>
      </w:pPr>
    </w:p>
  </w:footnote>
  <w:footnote w:id="16">
    <w:p w14:paraId="16DEC74C" w14:textId="77777777" w:rsidR="00011028" w:rsidRPr="00A1722D" w:rsidRDefault="00011028" w:rsidP="00011028">
      <w:pPr>
        <w:pStyle w:val="Textonotapie"/>
        <w:ind w:firstLine="708"/>
        <w:jc w:val="both"/>
        <w:rPr>
          <w:rFonts w:ascii="Verdana" w:hAnsi="Verdana"/>
          <w:sz w:val="12"/>
          <w:szCs w:val="12"/>
          <w:lang w:val="es-CO"/>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sz w:val="12"/>
          <w:szCs w:val="12"/>
          <w:lang w:val="es-CO"/>
        </w:rPr>
        <w:t>Ley 80 de 1993. Articulo 8o. “De las inhabilidades e incompatibilidades para contratar.</w:t>
      </w:r>
    </w:p>
    <w:p w14:paraId="7B907E8E" w14:textId="77777777" w:rsidR="00011028" w:rsidRPr="00A1722D" w:rsidRDefault="00011028" w:rsidP="00011028">
      <w:pPr>
        <w:pStyle w:val="Textonotapie"/>
        <w:ind w:firstLine="708"/>
        <w:jc w:val="both"/>
        <w:rPr>
          <w:rFonts w:ascii="Verdana" w:hAnsi="Verdana" w:cs="Arial"/>
          <w:color w:val="000000"/>
          <w:sz w:val="12"/>
          <w:szCs w:val="12"/>
        </w:rPr>
      </w:pPr>
      <w:r w:rsidRPr="00A1722D">
        <w:rPr>
          <w:rFonts w:ascii="Verdana" w:hAnsi="Verdana" w:cs="Arial"/>
          <w:color w:val="000000"/>
          <w:sz w:val="12"/>
          <w:szCs w:val="12"/>
        </w:rPr>
        <w:t>1o. Son inhábiles para participar en licitaciones </w:t>
      </w:r>
      <w:r w:rsidRPr="00A1722D">
        <w:rPr>
          <w:rFonts w:ascii="Verdana" w:hAnsi="Verdana" w:cs="Arial"/>
          <w:strike/>
          <w:color w:val="000000"/>
          <w:sz w:val="12"/>
          <w:szCs w:val="12"/>
        </w:rPr>
        <w:t>o concursos</w:t>
      </w:r>
      <w:r w:rsidRPr="00A1722D">
        <w:rPr>
          <w:rFonts w:ascii="Verdana" w:hAnsi="Verdana" w:cs="Arial"/>
          <w:color w:val="000000"/>
          <w:sz w:val="12"/>
          <w:szCs w:val="12"/>
        </w:rPr>
        <w:t xml:space="preserve"> y para celebrar contratos con las entidades estatales: </w:t>
      </w:r>
    </w:p>
    <w:p w14:paraId="71540684" w14:textId="77777777" w:rsidR="00011028" w:rsidRPr="00A1722D" w:rsidRDefault="00011028" w:rsidP="00011028">
      <w:pPr>
        <w:pStyle w:val="Textonotapie"/>
        <w:ind w:firstLine="708"/>
        <w:jc w:val="both"/>
        <w:rPr>
          <w:rFonts w:ascii="Verdana" w:hAnsi="Verdana" w:cs="Arial"/>
          <w:color w:val="000000"/>
          <w:sz w:val="12"/>
          <w:szCs w:val="12"/>
        </w:rPr>
      </w:pPr>
      <w:r w:rsidRPr="00A1722D">
        <w:rPr>
          <w:rFonts w:ascii="Verdana" w:hAnsi="Verdana" w:cs="Arial"/>
          <w:color w:val="000000"/>
          <w:sz w:val="12"/>
          <w:szCs w:val="12"/>
        </w:rPr>
        <w:t>[…]</w:t>
      </w:r>
    </w:p>
    <w:p w14:paraId="3F8AFCC0" w14:textId="77777777" w:rsidR="00011028" w:rsidRPr="00A1722D" w:rsidRDefault="00011028" w:rsidP="00011028">
      <w:pPr>
        <w:pStyle w:val="Textonotapie"/>
        <w:ind w:firstLine="708"/>
        <w:jc w:val="both"/>
        <w:rPr>
          <w:sz w:val="12"/>
          <w:szCs w:val="12"/>
          <w:lang w:val="es-CO"/>
        </w:rPr>
      </w:pPr>
      <w:r w:rsidRPr="00A1722D">
        <w:rPr>
          <w:rFonts w:ascii="Verdana" w:hAnsi="Verdana" w:cs="Arial"/>
          <w:color w:val="000000"/>
          <w:sz w:val="12"/>
          <w:szCs w:val="12"/>
        </w:rPr>
        <w:t>f) Los servidores públicos”.</w:t>
      </w:r>
    </w:p>
  </w:footnote>
  <w:footnote w:id="17">
    <w:p w14:paraId="520F22E6" w14:textId="77777777" w:rsidR="00011028" w:rsidRPr="00A1722D" w:rsidRDefault="00011028" w:rsidP="00011028">
      <w:pPr>
        <w:spacing w:after="0" w:line="240" w:lineRule="auto"/>
        <w:ind w:firstLine="709"/>
        <w:jc w:val="both"/>
        <w:rPr>
          <w:rFonts w:ascii="Verdana" w:hAnsi="Verdana"/>
          <w:color w:val="000000" w:themeColor="text1"/>
          <w:sz w:val="12"/>
          <w:szCs w:val="12"/>
        </w:rPr>
      </w:pPr>
      <w:r w:rsidRPr="00A1722D">
        <w:rPr>
          <w:rStyle w:val="Refdenotaalpie"/>
          <w:rFonts w:ascii="Verdana" w:hAnsi="Verdana"/>
          <w:sz w:val="12"/>
          <w:szCs w:val="12"/>
        </w:rPr>
        <w:footnoteRef/>
      </w:r>
      <w:r w:rsidRPr="00A1722D">
        <w:rPr>
          <w:rFonts w:ascii="Verdana" w:hAnsi="Verdana"/>
          <w:sz w:val="12"/>
          <w:szCs w:val="12"/>
        </w:rPr>
        <w:t xml:space="preserve"> </w:t>
      </w:r>
      <w:r w:rsidRPr="00A1722D">
        <w:rPr>
          <w:rFonts w:ascii="Verdana" w:hAnsi="Verdana"/>
          <w:color w:val="000000" w:themeColor="text1"/>
          <w:sz w:val="12"/>
          <w:szCs w:val="12"/>
        </w:rPr>
        <w:t>Ley 80 de 1993: “Artículo 10. De las excepciones a las inhabilidades e incompatibilidades.  No quedan cobijadas por las inhabilidades e incompatibilidades de que tratan los artículos anteriores, las personas que contraten por obligación legal o lo hagan para usar los bienes o servicios que las entidades a que se refiere el presente estatuto ofrezcan al público en condiciones comunes a quienes los soliciten, ni las personas jurídicas sin ánimo de lucro cuyos representantes legales hagan parte de las juntas o consejos directivos en virtud de su cargo o por mandato legal o estatutario, ni quienes celebren contratos en desarrollo de lo previsto en el artículo 60 de la Constitución</w:t>
      </w:r>
      <w:r w:rsidRPr="00A1722D">
        <w:rPr>
          <w:rFonts w:ascii="Verdana" w:hAnsi="Verdana"/>
          <w:color w:val="000000" w:themeColor="text1"/>
          <w:spacing w:val="-9"/>
          <w:sz w:val="12"/>
          <w:szCs w:val="12"/>
        </w:rPr>
        <w:t xml:space="preserve"> </w:t>
      </w:r>
      <w:r w:rsidRPr="00A1722D">
        <w:rPr>
          <w:rFonts w:ascii="Verdana" w:hAnsi="Verdana"/>
          <w:color w:val="000000" w:themeColor="text1"/>
          <w:sz w:val="12"/>
          <w:szCs w:val="12"/>
        </w:rPr>
        <w:t>Política”.</w:t>
      </w:r>
    </w:p>
    <w:p w14:paraId="29BAA088" w14:textId="77777777" w:rsidR="00011028" w:rsidRPr="00A1722D" w:rsidRDefault="00011028" w:rsidP="00011028">
      <w:pPr>
        <w:pStyle w:val="Textonotapie"/>
        <w:ind w:firstLine="709"/>
        <w:jc w:val="both"/>
        <w:rPr>
          <w:rFonts w:ascii="Verdana" w:hAnsi="Verdana"/>
          <w:sz w:val="12"/>
          <w:szCs w:val="12"/>
          <w:lang w:val="es-CO"/>
        </w:rPr>
      </w:pPr>
    </w:p>
  </w:footnote>
  <w:footnote w:id="18">
    <w:p w14:paraId="77AD461D" w14:textId="77777777" w:rsidR="00011028" w:rsidRPr="00A1722D" w:rsidRDefault="00011028" w:rsidP="00011028">
      <w:pPr>
        <w:spacing w:after="0" w:line="240" w:lineRule="auto"/>
        <w:ind w:firstLine="709"/>
        <w:jc w:val="both"/>
        <w:rPr>
          <w:rFonts w:ascii="Verdana" w:hAnsi="Verdana"/>
          <w:color w:val="000000" w:themeColor="text1"/>
          <w:sz w:val="12"/>
          <w:szCs w:val="12"/>
        </w:rPr>
      </w:pPr>
      <w:r w:rsidRPr="00A1722D">
        <w:rPr>
          <w:rStyle w:val="Refdenotaalpie"/>
          <w:rFonts w:ascii="Verdana" w:hAnsi="Verdana"/>
          <w:color w:val="000000" w:themeColor="text1"/>
          <w:sz w:val="12"/>
          <w:szCs w:val="12"/>
        </w:rPr>
        <w:footnoteRef/>
      </w:r>
      <w:r w:rsidRPr="00A1722D">
        <w:rPr>
          <w:rFonts w:ascii="Verdana" w:hAnsi="Verdana"/>
          <w:color w:val="000000" w:themeColor="text1"/>
          <w:sz w:val="12"/>
          <w:szCs w:val="12"/>
        </w:rPr>
        <w:t xml:space="preserve"> Código Civil, artículos 4 y 1494.</w:t>
      </w:r>
    </w:p>
    <w:p w14:paraId="4D67B607" w14:textId="77777777" w:rsidR="00011028" w:rsidRPr="00A1722D" w:rsidRDefault="00011028" w:rsidP="00011028">
      <w:pPr>
        <w:pStyle w:val="Textonotapie"/>
        <w:ind w:firstLine="709"/>
        <w:jc w:val="both"/>
        <w:rPr>
          <w:rFonts w:ascii="Verdana" w:hAnsi="Verdana"/>
          <w:color w:val="000000" w:themeColor="text1"/>
          <w:sz w:val="12"/>
          <w:szCs w:val="12"/>
          <w:lang w:val="es-CO"/>
        </w:rPr>
      </w:pPr>
    </w:p>
  </w:footnote>
  <w:footnote w:id="19">
    <w:p w14:paraId="1EBF0F2D" w14:textId="77777777" w:rsidR="00011028" w:rsidRPr="00A1722D" w:rsidRDefault="00011028" w:rsidP="00011028">
      <w:pPr>
        <w:spacing w:after="0" w:line="240" w:lineRule="auto"/>
        <w:ind w:firstLine="709"/>
        <w:jc w:val="both"/>
        <w:rPr>
          <w:rFonts w:ascii="Verdana" w:hAnsi="Verdana"/>
          <w:color w:val="000000" w:themeColor="text1"/>
          <w:sz w:val="12"/>
          <w:szCs w:val="12"/>
        </w:rPr>
      </w:pPr>
      <w:r w:rsidRPr="00A1722D">
        <w:rPr>
          <w:rStyle w:val="Refdenotaalpie"/>
          <w:rFonts w:ascii="Verdana" w:hAnsi="Verdana"/>
          <w:color w:val="000000" w:themeColor="text1"/>
          <w:sz w:val="12"/>
          <w:szCs w:val="12"/>
        </w:rPr>
        <w:footnoteRef/>
      </w:r>
      <w:r w:rsidRPr="00A1722D">
        <w:rPr>
          <w:rFonts w:ascii="Verdana" w:hAnsi="Verdana"/>
          <w:color w:val="000000" w:themeColor="text1"/>
          <w:sz w:val="12"/>
          <w:szCs w:val="12"/>
        </w:rPr>
        <w:t xml:space="preserve"> Consejo de Estado, Sala de Consulta y Servicio Civil, concepto No. 11001-03-06-000-2012-00060- 00(2.113) del 25 de octubre de 2012. Consejero Ponente: William Zambrano Cetina: “Ahora, en el caso de los bienes y servicios ofrecidos por el Estado en condiciones comunes a quienes los soliciten, la aplicación de la excepción exige que se reúnan al menos dos elementos:</w:t>
      </w:r>
    </w:p>
    <w:p w14:paraId="22B5E2A7" w14:textId="77777777" w:rsidR="00011028" w:rsidRPr="00A1722D" w:rsidRDefault="00011028" w:rsidP="00011028">
      <w:pPr>
        <w:spacing w:after="0" w:line="240" w:lineRule="auto"/>
        <w:ind w:firstLine="709"/>
        <w:jc w:val="both"/>
        <w:rPr>
          <w:rFonts w:ascii="Verdana" w:hAnsi="Verdana"/>
          <w:color w:val="000000" w:themeColor="text1"/>
          <w:sz w:val="12"/>
          <w:szCs w:val="12"/>
        </w:rPr>
      </w:pPr>
      <w:r w:rsidRPr="00A1722D">
        <w:rPr>
          <w:rFonts w:ascii="Verdana" w:hAnsi="Verdana"/>
          <w:color w:val="000000" w:themeColor="text1"/>
          <w:sz w:val="12"/>
          <w:szCs w:val="12"/>
        </w:rPr>
        <w:t>“La uniformidad en las condiciones contractuales, esto es que el contrato no sea objeto de negociación, en tanto que es igual y estandarizado para el público en general;</w:t>
      </w:r>
      <w:r w:rsidRPr="00A1722D">
        <w:rPr>
          <w:rFonts w:ascii="Verdana" w:hAnsi="Verdana"/>
          <w:color w:val="000000" w:themeColor="text1"/>
          <w:spacing w:val="-12"/>
          <w:sz w:val="12"/>
          <w:szCs w:val="12"/>
        </w:rPr>
        <w:t xml:space="preserve"> </w:t>
      </w:r>
      <w:r w:rsidRPr="00A1722D">
        <w:rPr>
          <w:rFonts w:ascii="Verdana" w:hAnsi="Verdana"/>
          <w:color w:val="000000" w:themeColor="text1"/>
          <w:sz w:val="12"/>
          <w:szCs w:val="12"/>
        </w:rPr>
        <w:t>y</w:t>
      </w:r>
    </w:p>
    <w:p w14:paraId="36C4E813" w14:textId="77777777" w:rsidR="00011028" w:rsidRPr="00A1722D" w:rsidRDefault="00011028" w:rsidP="00011028">
      <w:pPr>
        <w:spacing w:after="0" w:line="240" w:lineRule="auto"/>
        <w:ind w:firstLine="709"/>
        <w:jc w:val="both"/>
        <w:rPr>
          <w:rFonts w:ascii="Verdana" w:hAnsi="Verdana"/>
          <w:color w:val="000000" w:themeColor="text1"/>
          <w:sz w:val="12"/>
          <w:szCs w:val="12"/>
        </w:rPr>
      </w:pPr>
      <w:r w:rsidRPr="00A1722D">
        <w:rPr>
          <w:rFonts w:ascii="Verdana" w:hAnsi="Verdana"/>
          <w:color w:val="000000" w:themeColor="text1"/>
          <w:sz w:val="12"/>
          <w:szCs w:val="12"/>
        </w:rPr>
        <w:t>“La posibilidad de acceso al contrato a todo el que lo solicite, lo que supone que no hay escogencia por parte de la entidad estatal entre posibles oferentes o interesados, que una vez escogidos excluyen a los demás; la excepción en cuestión tiene como supuesto que el goce de los bienes y servicios es una facultad de todos “quienes los soliciten”, de manera que el parentesco y otras causas de inhabilidad se vuelven inaplicables; ello, claro está, sin perjuicio del cumplimiento por parte del interesado de los requisitos y condiciones generales establecidas previamente para solicitar dichos bienes y</w:t>
      </w:r>
      <w:r w:rsidRPr="00A1722D">
        <w:rPr>
          <w:rFonts w:ascii="Verdana" w:hAnsi="Verdana"/>
          <w:color w:val="000000" w:themeColor="text1"/>
          <w:spacing w:val="-9"/>
          <w:sz w:val="12"/>
          <w:szCs w:val="12"/>
        </w:rPr>
        <w:t xml:space="preserve"> </w:t>
      </w:r>
      <w:r w:rsidRPr="00A1722D">
        <w:rPr>
          <w:rFonts w:ascii="Verdana" w:hAnsi="Verdana"/>
          <w:color w:val="000000" w:themeColor="text1"/>
          <w:sz w:val="12"/>
          <w:szCs w:val="12"/>
        </w:rPr>
        <w:t>servicios”.</w:t>
      </w:r>
    </w:p>
    <w:p w14:paraId="3B07FEB7" w14:textId="77777777" w:rsidR="00011028" w:rsidRPr="00A1722D" w:rsidRDefault="00011028" w:rsidP="00011028">
      <w:pPr>
        <w:pStyle w:val="Textonotapie"/>
        <w:ind w:firstLine="709"/>
        <w:jc w:val="both"/>
        <w:rPr>
          <w:rFonts w:ascii="Verdana" w:hAnsi="Verdana"/>
          <w:color w:val="000000" w:themeColor="text1"/>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75D7" w14:textId="77777777" w:rsidR="00B9099B" w:rsidRDefault="00B9099B">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27671BC" wp14:editId="14F5E489">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84D07D5" wp14:editId="7E32395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18C9E43" w14:textId="77777777" w:rsidR="00B9099B" w:rsidRDefault="00B9099B">
    <w:pPr>
      <w:pStyle w:val="Encabezado"/>
    </w:pPr>
  </w:p>
  <w:p w14:paraId="7AA02C0E" w14:textId="77777777" w:rsidR="00B9099B" w:rsidRDefault="00B9099B" w:rsidP="004A305D">
    <w:pPr>
      <w:spacing w:after="0"/>
      <w:rPr>
        <w:rFonts w:ascii="Verdana" w:hAnsi="Verdana"/>
        <w:b/>
        <w:bCs/>
      </w:rPr>
    </w:pPr>
  </w:p>
  <w:p w14:paraId="6DC70C5F" w14:textId="77777777" w:rsidR="00B9099B" w:rsidRPr="004A305D" w:rsidRDefault="00B9099B" w:rsidP="00B01B1A">
    <w:pPr>
      <w:spacing w:after="0" w:line="120" w:lineRule="auto"/>
      <w:rPr>
        <w:rFonts w:ascii="Century Gothic" w:eastAsia="Geo" w:hAnsi="Century Gothic" w:cs="Geo"/>
        <w:sz w:val="16"/>
        <w:szCs w:val="16"/>
        <w:lang w:eastAsia="es-CO"/>
      </w:rPr>
    </w:pPr>
  </w:p>
  <w:p w14:paraId="083278F3" w14:textId="77777777" w:rsidR="00B9099B" w:rsidRDefault="00B9099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28"/>
    <w:rsid w:val="00011028"/>
    <w:rsid w:val="001E48A9"/>
    <w:rsid w:val="00274079"/>
    <w:rsid w:val="008C452B"/>
    <w:rsid w:val="00A7487B"/>
    <w:rsid w:val="00AB51AB"/>
    <w:rsid w:val="00B642FC"/>
    <w:rsid w:val="00B9099B"/>
    <w:rsid w:val="00E24F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537B"/>
  <w15:chartTrackingRefBased/>
  <w15:docId w15:val="{B7B3CEB4-8491-43ED-8B12-5D26B00F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28"/>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110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11028"/>
    <w:rPr>
      <w:kern w:val="0"/>
      <w14:ligatures w14:val="none"/>
    </w:rPr>
  </w:style>
  <w:style w:type="paragraph" w:styleId="Piedepgina">
    <w:name w:val="footer"/>
    <w:basedOn w:val="Normal"/>
    <w:link w:val="PiedepginaCar"/>
    <w:uiPriority w:val="99"/>
    <w:unhideWhenUsed/>
    <w:rsid w:val="000110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1102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1102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1102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1102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11028"/>
    <w:rPr>
      <w:vertAlign w:val="superscript"/>
    </w:rPr>
  </w:style>
  <w:style w:type="character" w:customStyle="1" w:styleId="normaltextrun">
    <w:name w:val="normaltextrun"/>
    <w:basedOn w:val="Fuentedeprrafopredeter"/>
    <w:rsid w:val="00011028"/>
  </w:style>
  <w:style w:type="table" w:styleId="Tablaconcuadrcula">
    <w:name w:val="Table Grid"/>
    <w:basedOn w:val="Tablanormal"/>
    <w:uiPriority w:val="39"/>
    <w:qFormat/>
    <w:rsid w:val="0001102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11028"/>
    <w:pPr>
      <w:ind w:left="720"/>
      <w:contextualSpacing/>
    </w:pPr>
    <w:rPr>
      <w:rFonts w:ascii="Geomanist Light" w:hAnsi="Geomanist Light"/>
      <w:lang w:val="es-ES"/>
    </w:rPr>
  </w:style>
  <w:style w:type="character" w:styleId="Hipervnculo">
    <w:name w:val="Hyperlink"/>
    <w:basedOn w:val="Fuentedeprrafopredeter"/>
    <w:uiPriority w:val="99"/>
    <w:unhideWhenUsed/>
    <w:rsid w:val="00011028"/>
    <w:rPr>
      <w:color w:val="0000FF"/>
      <w:u w:val="single"/>
    </w:rPr>
  </w:style>
  <w:style w:type="paragraph" w:customStyle="1" w:styleId="Appelnotedebasde">
    <w:name w:val="Appel note de bas de..."/>
    <w:basedOn w:val="Normal"/>
    <w:link w:val="Refdenotaalpie"/>
    <w:uiPriority w:val="99"/>
    <w:rsid w:val="00011028"/>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11028"/>
    <w:rPr>
      <w:rFonts w:ascii="Geomanist Light" w:hAnsi="Geomanist Light"/>
      <w:kern w:val="0"/>
      <w:lang w:val="es-ES"/>
      <w14:ligatures w14:val="none"/>
    </w:rPr>
  </w:style>
  <w:style w:type="table" w:customStyle="1" w:styleId="Tablaconcuadrcula1">
    <w:name w:val="Tabla con cuadrícula1"/>
    <w:basedOn w:val="Tablanormal"/>
    <w:next w:val="Tablaconcuadrcula"/>
    <w:uiPriority w:val="59"/>
    <w:rsid w:val="00011028"/>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0110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jandro.bedoya.es@gmail.com" TargetMode="External"/><Relationship Id="rId13" Type="http://schemas.openxmlformats.org/officeDocument/2006/relationships/hyperlink" Target="https://nam02.safelinks.protection.outlook.com/?url=https%3A%2F%2Fwww.colombiacompra.gov.co%2Fcontent%2Fconvocatorias&amp;data=05%7C02%7Csergio.caballero%40colombiacompra.gov.co%7C5aad36a736844ec87b2108dcc1fa4639%7C7b09041e245149d08cb179d5e3d8c1be%7C0%7C0%7C638598527918253802%7CUnknown%7CTWFpbGZsb3d8eyJWIjoiMC4wLjAwMDAiLCJQIjoiV2luMzIiLCJBTiI6Ik1haWwiLCJXVCI6Mn0%3D%7C0%7C%7C%7C&amp;sdata=GwrjQB3Ux3BnWR1wNwy6IF5e3PKmQS0T5Gmy2ZXJYws%3D&amp;reserved=0"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sucop.gov.co/entidades/colombiacompra/Normativa?IDNorma=17363"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uncionpublica.gov.co/eva/gestornormativo/norma.php?i=125080" TargetMode="External"/><Relationship Id="rId14" Type="http://schemas.openxmlformats.org/officeDocument/2006/relationships/hyperlink" Target="https://www.colombiacompra.gov.co/sala-de-prensa/boletin-digital" TargetMode="Externa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12508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022781-C770-443D-83F3-5E9A4903E634}"/>
</file>

<file path=customXml/itemProps2.xml><?xml version="1.0" encoding="utf-8"?>
<ds:datastoreItem xmlns:ds="http://schemas.openxmlformats.org/officeDocument/2006/customXml" ds:itemID="{D03D8737-0FB9-4965-A3DD-9BC57568C039}"/>
</file>

<file path=customXml/itemProps3.xml><?xml version="1.0" encoding="utf-8"?>
<ds:datastoreItem xmlns:ds="http://schemas.openxmlformats.org/officeDocument/2006/customXml" ds:itemID="{3CDF7C66-A9B8-4F49-8071-DD8FE7701025}"/>
</file>

<file path=docProps/app.xml><?xml version="1.0" encoding="utf-8"?>
<Properties xmlns="http://schemas.openxmlformats.org/officeDocument/2006/extended-properties" xmlns:vt="http://schemas.openxmlformats.org/officeDocument/2006/docPropsVTypes">
  <Template>Normal</Template>
  <TotalTime>3</TotalTime>
  <Pages>15</Pages>
  <Words>4955</Words>
  <Characters>27254</Characters>
  <Application>Microsoft Office Word</Application>
  <DocSecurity>0</DocSecurity>
  <Lines>227</Lines>
  <Paragraphs>64</Paragraphs>
  <ScaleCrop>false</ScaleCrop>
  <Company/>
  <LinksUpToDate>false</LinksUpToDate>
  <CharactersWithSpaces>32145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8</cp:revision>
  <dcterms:created xsi:type="dcterms:W3CDTF">2025-02-24T05:52:00Z</dcterms:created>
  <dcterms:modified xsi:type="dcterms:W3CDTF">2025-02-26T16:24:00Z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