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EE816" w14:textId="77777777" w:rsidR="00FD6164" w:rsidRPr="00C7507B" w:rsidRDefault="00FD6164" w:rsidP="00FD6164">
      <w:pPr>
        <w:spacing w:after="0" w:line="240" w:lineRule="auto"/>
        <w:jc w:val="both"/>
        <w:rPr>
          <w:rFonts w:ascii="Verdana" w:eastAsia="Calibri" w:hAnsi="Verdana" w:cs="Arial"/>
          <w:b/>
          <w:bCs/>
          <w:lang w:val="es-ES_tradnl" w:eastAsia="es-ES"/>
        </w:rPr>
      </w:pPr>
      <w:bookmarkStart w:id="0" w:name="_Hlk172124853"/>
      <w:bookmarkStart w:id="1" w:name="_Hlk143780582"/>
      <w:r w:rsidRPr="00C7507B">
        <w:rPr>
          <w:rFonts w:ascii="Verdana" w:eastAsia="Calibri" w:hAnsi="Verdana" w:cs="Arial"/>
          <w:b/>
          <w:bCs/>
          <w:lang w:val="es-ES_tradnl" w:eastAsia="es-ES"/>
        </w:rPr>
        <w:t>CONTRATO DE PRESTACIÓN DE SERVICIOS – Características</w:t>
      </w:r>
    </w:p>
    <w:p w14:paraId="65BA6237" w14:textId="77777777" w:rsidR="00FD6164" w:rsidRPr="00C7507B" w:rsidRDefault="00FD6164" w:rsidP="00FD6164">
      <w:pPr>
        <w:spacing w:after="0" w:line="240" w:lineRule="auto"/>
        <w:jc w:val="both"/>
        <w:rPr>
          <w:rFonts w:ascii="Verdana" w:eastAsia="Calibri" w:hAnsi="Verdana" w:cs="Arial"/>
          <w:b/>
          <w:bCs/>
          <w:lang w:val="es-ES_tradnl" w:eastAsia="es-ES"/>
        </w:rPr>
      </w:pPr>
    </w:p>
    <w:p w14:paraId="3A56CA19" w14:textId="77777777" w:rsidR="00FD6164" w:rsidRPr="00C7507B" w:rsidRDefault="00FD6164" w:rsidP="00FD6164">
      <w:pPr>
        <w:spacing w:after="0" w:line="240" w:lineRule="auto"/>
        <w:jc w:val="both"/>
        <w:rPr>
          <w:rFonts w:ascii="Verdana" w:eastAsia="Calibri" w:hAnsi="Verdana" w:cs="Arial"/>
          <w:sz w:val="20"/>
          <w:szCs w:val="20"/>
          <w:lang w:val="es-ES_tradnl" w:eastAsia="es-ES"/>
        </w:rPr>
      </w:pPr>
      <w:r w:rsidRPr="00C7507B">
        <w:rPr>
          <w:rFonts w:ascii="Verdana" w:eastAsia="Century Gothic" w:hAnsi="Verdana" w:cs="Century Gothic"/>
          <w:sz w:val="20"/>
          <w:szCs w:val="20"/>
          <w:lang w:val="es-ES"/>
        </w:rPr>
        <w:t xml:space="preserve">“[…] </w:t>
      </w:r>
      <w:r w:rsidRPr="00C7507B">
        <w:rPr>
          <w:rFonts w:ascii="Verdana" w:eastAsia="Calibri" w:hAnsi="Verdana" w:cs="Arial"/>
          <w:sz w:val="20"/>
          <w:szCs w:val="20"/>
          <w:lang w:val="es-MX" w:eastAsia="es-ES"/>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C7507B">
        <w:rPr>
          <w:rFonts w:ascii="Verdana" w:eastAsia="Calibri" w:hAnsi="Verdana" w:cs="Arial"/>
          <w:sz w:val="20"/>
          <w:szCs w:val="20"/>
          <w:lang w:val="es-ES_tradnl" w:eastAsia="es-ES"/>
        </w:rPr>
        <w:t xml:space="preserve"> La celebración de dicho contrato debe efectuarse a través de la modalidad de contratación directa. </w:t>
      </w:r>
    </w:p>
    <w:p w14:paraId="2E93ED10" w14:textId="77777777" w:rsidR="00FD6164" w:rsidRPr="00C7507B" w:rsidRDefault="00FD6164" w:rsidP="00FD6164">
      <w:pPr>
        <w:spacing w:after="0" w:line="240" w:lineRule="auto"/>
        <w:jc w:val="both"/>
        <w:rPr>
          <w:rFonts w:ascii="Verdana" w:eastAsia="Calibri" w:hAnsi="Verdana" w:cs="Arial"/>
          <w:sz w:val="20"/>
          <w:szCs w:val="20"/>
          <w:lang w:val="es-ES_tradnl" w:eastAsia="es-ES"/>
        </w:rPr>
      </w:pPr>
    </w:p>
    <w:p w14:paraId="7BFA3954" w14:textId="77777777" w:rsidR="00FD6164" w:rsidRPr="00C7507B" w:rsidRDefault="00FD6164" w:rsidP="00FD6164">
      <w:pPr>
        <w:spacing w:after="0" w:line="240" w:lineRule="auto"/>
        <w:jc w:val="both"/>
        <w:rPr>
          <w:rFonts w:ascii="Verdana" w:eastAsia="Calibri" w:hAnsi="Verdana" w:cs="Arial"/>
          <w:sz w:val="20"/>
          <w:szCs w:val="20"/>
          <w:lang w:val="es-ES_tradnl" w:eastAsia="es-ES"/>
        </w:rPr>
      </w:pPr>
      <w:r w:rsidRPr="00C7507B">
        <w:rPr>
          <w:rFonts w:ascii="Verdana" w:eastAsia="Calibri" w:hAnsi="Verdana" w:cs="Arial"/>
          <w:sz w:val="20"/>
          <w:szCs w:val="20"/>
          <w:lang w:val="es-ES_tradnl" w:eastAsia="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C7507B">
        <w:rPr>
          <w:rFonts w:ascii="Verdana" w:eastAsia="Calibri" w:hAnsi="Verdana" w:cs="Arial"/>
          <w:i/>
          <w:sz w:val="20"/>
          <w:szCs w:val="20"/>
          <w:lang w:val="es-ES_tradnl" w:eastAsia="es-ES"/>
        </w:rPr>
        <w:t xml:space="preserve">subordinación </w:t>
      </w:r>
      <w:r w:rsidRPr="00C7507B">
        <w:rPr>
          <w:rFonts w:ascii="Verdana" w:eastAsia="Calibri" w:hAnsi="Verdana" w:cs="Arial"/>
          <w:iCs/>
          <w:sz w:val="20"/>
          <w:szCs w:val="20"/>
          <w:lang w:val="es-ES_tradnl" w:eastAsia="es-ES"/>
        </w:rPr>
        <w:t>ni</w:t>
      </w:r>
      <w:r w:rsidRPr="00C7507B">
        <w:rPr>
          <w:rFonts w:ascii="Verdana" w:eastAsia="Calibri" w:hAnsi="Verdana" w:cs="Arial"/>
          <w:i/>
          <w:sz w:val="20"/>
          <w:szCs w:val="20"/>
          <w:lang w:val="es-ES_tradnl" w:eastAsia="es-ES"/>
        </w:rPr>
        <w:t xml:space="preserve"> dependencia</w:t>
      </w:r>
      <w:r w:rsidRPr="00C7507B">
        <w:rPr>
          <w:rFonts w:ascii="Verdana" w:eastAsia="Calibri" w:hAnsi="Verdana" w:cs="Arial"/>
          <w:iCs/>
          <w:sz w:val="20"/>
          <w:szCs w:val="20"/>
          <w:lang w:val="es-ES_tradnl" w:eastAsia="es-ES"/>
        </w:rPr>
        <w:t>,</w:t>
      </w:r>
      <w:r w:rsidRPr="00C7507B">
        <w:rPr>
          <w:rFonts w:ascii="Verdana" w:eastAsia="Calibri" w:hAnsi="Verdana" w:cs="Arial"/>
          <w:sz w:val="20"/>
          <w:szCs w:val="20"/>
          <w:lang w:val="es-ES_tradnl" w:eastAsia="es-ES"/>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C7507B">
        <w:rPr>
          <w:rFonts w:ascii="Verdana" w:eastAsia="Calibri" w:hAnsi="Verdana" w:cs="Arial"/>
          <w:i/>
          <w:sz w:val="20"/>
          <w:szCs w:val="20"/>
          <w:lang w:val="es-ES_tradnl" w:eastAsia="es-ES"/>
        </w:rPr>
        <w:t>no pueden</w:t>
      </w:r>
      <w:r w:rsidRPr="00C7507B">
        <w:rPr>
          <w:rFonts w:ascii="Verdana" w:eastAsia="Calibri" w:hAnsi="Verdana" w:cs="Arial"/>
          <w:sz w:val="20"/>
          <w:szCs w:val="20"/>
          <w:lang w:val="es-ES_tradnl" w:eastAsia="es-ES"/>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 </w:t>
      </w:r>
      <w:r w:rsidRPr="00C7507B">
        <w:rPr>
          <w:rFonts w:ascii="Verdana" w:eastAsia="Century Gothic" w:hAnsi="Verdana" w:cs="Century Gothic"/>
          <w:sz w:val="20"/>
          <w:szCs w:val="20"/>
          <w:lang w:val="es-ES"/>
        </w:rPr>
        <w:t>[…]”</w:t>
      </w:r>
    </w:p>
    <w:p w14:paraId="49764666" w14:textId="77777777" w:rsidR="00FD6164" w:rsidRPr="00C7507B" w:rsidRDefault="00FD6164" w:rsidP="00FD6164">
      <w:pPr>
        <w:spacing w:after="0" w:line="240" w:lineRule="auto"/>
        <w:jc w:val="both"/>
        <w:rPr>
          <w:rFonts w:ascii="Verdana" w:eastAsia="Calibri" w:hAnsi="Verdana" w:cs="Arial"/>
          <w:b/>
          <w:bCs/>
          <w:sz w:val="20"/>
          <w:szCs w:val="20"/>
          <w:lang w:val="es-ES_tradnl" w:eastAsia="es-ES"/>
        </w:rPr>
      </w:pPr>
    </w:p>
    <w:p w14:paraId="59778CB2" w14:textId="77777777" w:rsidR="00FD6164" w:rsidRPr="00C7507B" w:rsidRDefault="00FD6164" w:rsidP="00FD6164">
      <w:pPr>
        <w:spacing w:line="276" w:lineRule="auto"/>
        <w:jc w:val="both"/>
        <w:rPr>
          <w:rFonts w:ascii="Verdana" w:eastAsia="Century Gothic" w:hAnsi="Verdana" w:cs="Century Gothic"/>
          <w:b/>
          <w:bCs/>
          <w:lang w:val="es-MX"/>
        </w:rPr>
      </w:pPr>
      <w:r w:rsidRPr="00C7507B">
        <w:rPr>
          <w:rFonts w:ascii="Verdana" w:eastAsia="Century Gothic" w:hAnsi="Verdana" w:cs="Century Gothic"/>
          <w:b/>
          <w:bCs/>
          <w:lang w:val="es-MX"/>
        </w:rPr>
        <w:t>ESTABILIDAD OCUPACIONAL REFORZADA – Corte Constitucional – Condiciones – Alcance</w:t>
      </w:r>
    </w:p>
    <w:p w14:paraId="5A5D7A1B" w14:textId="77777777" w:rsidR="00FD6164" w:rsidRPr="00C7507B" w:rsidRDefault="00FD6164" w:rsidP="00FD6164">
      <w:pPr>
        <w:spacing w:line="240" w:lineRule="auto"/>
        <w:jc w:val="both"/>
        <w:rPr>
          <w:rFonts w:ascii="Verdana" w:eastAsia="Century Gothic" w:hAnsi="Verdana" w:cs="Century Gothic"/>
          <w:sz w:val="20"/>
          <w:szCs w:val="20"/>
          <w:lang w:val="es-ES"/>
        </w:rPr>
      </w:pPr>
      <w:r w:rsidRPr="00C7507B">
        <w:rPr>
          <w:rFonts w:ascii="Verdana" w:eastAsia="Century Gothic" w:hAnsi="Verdana" w:cs="Century Gothic"/>
          <w:sz w:val="20"/>
          <w:szCs w:val="20"/>
          <w:lang w:val="es-ES"/>
        </w:rPr>
        <w:t>“[…] Su aplicación en contratos prestación de servicios tiene origen jurisprudencial, a través de sentencias de la Corte Constitucional como la sentencia de Tutela 1210 del 5 de diciembre de 2008, Magistrada ponente Clara Inés Vargas Hernández, que previó la posibilidad que se prediquen ciertas garantías de la relación laboral a los contratos de prestación de servicios tales como, el principio de estabilidad laboral.</w:t>
      </w:r>
    </w:p>
    <w:p w14:paraId="4F2237CC" w14:textId="77777777" w:rsidR="00FD6164" w:rsidRPr="00C7507B" w:rsidRDefault="00FD6164" w:rsidP="00FD6164">
      <w:pPr>
        <w:spacing w:line="240" w:lineRule="auto"/>
        <w:jc w:val="both"/>
        <w:rPr>
          <w:rFonts w:ascii="Verdana" w:eastAsia="Century Gothic" w:hAnsi="Verdana" w:cs="Century Gothic"/>
          <w:sz w:val="20"/>
          <w:szCs w:val="20"/>
          <w:lang w:val="es-ES"/>
        </w:rPr>
      </w:pPr>
      <w:r w:rsidRPr="00C7507B">
        <w:rPr>
          <w:rFonts w:ascii="Verdana" w:eastAsia="Century Gothic" w:hAnsi="Verdana" w:cs="Century Gothic"/>
          <w:sz w:val="20"/>
          <w:szCs w:val="20"/>
          <w:lang w:val="es-ES"/>
        </w:rPr>
        <w:t>Posteriormente, en la sentencia T-040 de 2016, Magistrado ponente Alejandro Linares Cantillo, protegió el derecho a la estabilidad laboral reforzada a una persona que se le terminó el contrato de prestación de servicios, mientras estaba afectado su estado de salud por encontrarse en una situación de debilidad manifiesta. Esta situación se ha reiterado en las sentencias T-490 de 2010 y T-988 de 2012, por medio del cual se declara que en los contratos de prestación de servicios no desaparecen los derechos a la estabilidad ocupacional reforzada a quienes se encuentren en una condición de debilidad manifiesta. […]”</w:t>
      </w:r>
    </w:p>
    <w:p w14:paraId="6EC36CB7" w14:textId="77777777" w:rsidR="00FD6164" w:rsidRPr="00C7507B" w:rsidRDefault="00FD6164" w:rsidP="00FD6164">
      <w:pPr>
        <w:spacing w:after="0" w:line="240" w:lineRule="auto"/>
        <w:jc w:val="both"/>
        <w:rPr>
          <w:rFonts w:ascii="Verdana" w:eastAsia="Times New Roman" w:hAnsi="Verdana" w:cs="Arial"/>
          <w:color w:val="000000"/>
        </w:rPr>
      </w:pPr>
    </w:p>
    <w:p w14:paraId="5A2E9FFD" w14:textId="77777777" w:rsidR="00FD6164" w:rsidRDefault="00FD6164" w:rsidP="00FD6164">
      <w:pPr>
        <w:spacing w:after="0"/>
        <w:rPr>
          <w:rFonts w:ascii="Verdana" w:hAnsi="Verdana"/>
        </w:rPr>
      </w:pPr>
    </w:p>
    <w:p w14:paraId="70E8034A" w14:textId="77777777" w:rsidR="00CC5F3D" w:rsidRPr="00C7507B" w:rsidRDefault="00CC5F3D" w:rsidP="00FD6164">
      <w:pPr>
        <w:spacing w:after="0"/>
        <w:rPr>
          <w:rFonts w:ascii="Verdana" w:hAnsi="Verdana"/>
        </w:rPr>
      </w:pPr>
    </w:p>
    <w:p w14:paraId="49BCA253" w14:textId="1C3B4B7D" w:rsidR="00FD6164" w:rsidRDefault="00FD6164" w:rsidP="00FD6164">
      <w:pPr>
        <w:spacing w:after="0"/>
        <w:rPr>
          <w:rFonts w:ascii="Verdana" w:hAnsi="Verdana"/>
        </w:rPr>
      </w:pPr>
      <w:r w:rsidRPr="0044528D">
        <w:rPr>
          <w:rFonts w:ascii="Verdana" w:hAnsi="Verdana"/>
        </w:rPr>
        <w:lastRenderedPageBreak/>
        <w:t xml:space="preserve">Bogotá D.C., </w:t>
      </w:r>
      <w:r w:rsidR="00CC5F3D">
        <w:rPr>
          <w:rFonts w:ascii="Verdana" w:hAnsi="Verdana"/>
        </w:rPr>
        <w:t>5 de febrero de 2025</w:t>
      </w:r>
    </w:p>
    <w:p w14:paraId="64AC15D4" w14:textId="77777777" w:rsidR="00FD6164" w:rsidRPr="00C7507B" w:rsidRDefault="00FD6164" w:rsidP="00FD6164">
      <w:pPr>
        <w:spacing w:after="0" w:line="276" w:lineRule="auto"/>
        <w:jc w:val="both"/>
        <w:rPr>
          <w:rFonts w:ascii="Verdana" w:hAnsi="Verdana"/>
        </w:rPr>
      </w:pPr>
    </w:p>
    <w:p w14:paraId="38CE5163" w14:textId="77777777" w:rsidR="00FD6164" w:rsidRPr="00C7507B" w:rsidRDefault="00FD6164" w:rsidP="00FD6164">
      <w:pPr>
        <w:spacing w:after="0" w:line="276" w:lineRule="auto"/>
        <w:jc w:val="both"/>
        <w:rPr>
          <w:rFonts w:ascii="Verdana" w:eastAsia="Calibri" w:hAnsi="Verdana" w:cs="Arial"/>
          <w:lang w:val="es-ES" w:eastAsia="es-ES"/>
        </w:rPr>
      </w:pPr>
      <w:r w:rsidRPr="00C7507B">
        <w:rPr>
          <w:rFonts w:ascii="Verdana" w:eastAsia="Calibri" w:hAnsi="Verdana" w:cs="Arial"/>
          <w:lang w:val="es-ES" w:eastAsia="es-ES"/>
        </w:rPr>
        <w:t>Señor</w:t>
      </w:r>
    </w:p>
    <w:p w14:paraId="5E1527F7" w14:textId="77777777" w:rsidR="00FD6164" w:rsidRPr="00C7507B" w:rsidRDefault="00FD6164" w:rsidP="00FD6164">
      <w:pPr>
        <w:spacing w:after="0" w:line="276" w:lineRule="auto"/>
        <w:rPr>
          <w:rFonts w:ascii="Verdana" w:hAnsi="Verdana"/>
          <w:b/>
          <w:bCs/>
        </w:rPr>
      </w:pPr>
      <w:r w:rsidRPr="00C7507B">
        <w:rPr>
          <w:rFonts w:ascii="Verdana" w:hAnsi="Verdana"/>
          <w:b/>
          <w:bCs/>
        </w:rPr>
        <w:t>JAMES SEBASTIÁN LOPEZ VERGEL</w:t>
      </w:r>
    </w:p>
    <w:p w14:paraId="6CAB293C" w14:textId="77777777" w:rsidR="00FD6164" w:rsidRDefault="00FD6164" w:rsidP="00FD6164">
      <w:pPr>
        <w:spacing w:after="0" w:line="276" w:lineRule="auto"/>
        <w:rPr>
          <w:rFonts w:ascii="Verdana" w:eastAsia="Calibri" w:hAnsi="Verdana" w:cs="Arial"/>
          <w:lang w:eastAsia="es-ES_tradnl"/>
        </w:rPr>
      </w:pPr>
      <w:hyperlink r:id="rId11" w:history="1">
        <w:r w:rsidRPr="003B2A74">
          <w:rPr>
            <w:rStyle w:val="Hipervnculo"/>
            <w:rFonts w:ascii="Verdana" w:eastAsia="Calibri" w:hAnsi="Verdana" w:cs="Arial"/>
            <w:lang w:eastAsia="es-ES_tradnl"/>
          </w:rPr>
          <w:t>Jalop9204@gmail.com</w:t>
        </w:r>
      </w:hyperlink>
    </w:p>
    <w:p w14:paraId="7D59E252" w14:textId="77777777" w:rsidR="00FD6164" w:rsidRDefault="00FD6164" w:rsidP="00FD6164">
      <w:pPr>
        <w:spacing w:after="0" w:line="276" w:lineRule="auto"/>
        <w:rPr>
          <w:rFonts w:ascii="Verdana" w:eastAsia="Calibri" w:hAnsi="Verdana" w:cs="Arial"/>
          <w:lang w:eastAsia="es-ES_tradnl"/>
        </w:rPr>
      </w:pPr>
      <w:r>
        <w:rPr>
          <w:rFonts w:ascii="Verdana" w:eastAsia="Calibri" w:hAnsi="Verdana" w:cs="Arial"/>
          <w:lang w:eastAsia="es-ES_tradnl"/>
        </w:rPr>
        <w:t>La ciudad</w:t>
      </w:r>
    </w:p>
    <w:p w14:paraId="0844B356" w14:textId="373BA327" w:rsidR="00CC5F3D" w:rsidRPr="00C7507B" w:rsidRDefault="00CC5F3D" w:rsidP="00CC5F3D">
      <w:pPr>
        <w:spacing w:after="0" w:line="276" w:lineRule="auto"/>
        <w:jc w:val="right"/>
        <w:rPr>
          <w:rFonts w:ascii="Verdana" w:eastAsia="Calibri" w:hAnsi="Verdana" w:cs="Arial"/>
          <w:lang w:eastAsia="es-ES_tradnl"/>
        </w:rPr>
      </w:pPr>
      <w:r w:rsidRPr="00CC5F3D">
        <w:rPr>
          <w:rFonts w:ascii="Verdana" w:eastAsia="Calibri" w:hAnsi="Verdana" w:cs="Arial"/>
          <w:lang w:eastAsia="es-ES_tradnl"/>
        </w:rPr>
        <w:drawing>
          <wp:inline distT="0" distB="0" distL="0" distR="0" wp14:anchorId="05EEED0F" wp14:editId="05C84F8B">
            <wp:extent cx="3343742" cy="1066949"/>
            <wp:effectExtent l="0" t="0" r="9525" b="0"/>
            <wp:docPr id="136198990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89900" name="Imagen 1" descr="Texto&#10;&#10;El contenido generado por IA puede ser incorrecto."/>
                    <pic:cNvPicPr/>
                  </pic:nvPicPr>
                  <pic:blipFill>
                    <a:blip r:embed="rId12"/>
                    <a:stretch>
                      <a:fillRect/>
                    </a:stretch>
                  </pic:blipFill>
                  <pic:spPr>
                    <a:xfrm>
                      <a:off x="0" y="0"/>
                      <a:ext cx="3343742" cy="1066949"/>
                    </a:xfrm>
                    <a:prstGeom prst="rect">
                      <a:avLst/>
                    </a:prstGeom>
                  </pic:spPr>
                </pic:pic>
              </a:graphicData>
            </a:graphic>
          </wp:inline>
        </w:drawing>
      </w:r>
    </w:p>
    <w:p w14:paraId="7C4C69FB" w14:textId="77777777" w:rsidR="00FD6164" w:rsidRPr="00C7507B" w:rsidRDefault="00FD6164" w:rsidP="00FD6164">
      <w:pPr>
        <w:spacing w:after="0" w:line="276" w:lineRule="auto"/>
        <w:jc w:val="right"/>
        <w:rPr>
          <w:rFonts w:ascii="Verdana" w:eastAsia="Calibri" w:hAnsi="Verdana" w:cs="Arial"/>
          <w:b/>
          <w:bCs/>
          <w:lang w:eastAsia="es-ES_tradnl"/>
        </w:rPr>
      </w:pPr>
    </w:p>
    <w:p w14:paraId="1A8ACEAD" w14:textId="77777777" w:rsidR="00FD6164" w:rsidRPr="00C7507B" w:rsidRDefault="00FD6164" w:rsidP="00FD6164">
      <w:pPr>
        <w:spacing w:after="0" w:line="276" w:lineRule="auto"/>
        <w:jc w:val="right"/>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D6164" w:rsidRPr="00C7507B" w14:paraId="29832AAE" w14:textId="77777777" w:rsidTr="00EA3A7E">
        <w:trPr>
          <w:trHeight w:val="884"/>
        </w:trPr>
        <w:tc>
          <w:tcPr>
            <w:tcW w:w="2689" w:type="dxa"/>
          </w:tcPr>
          <w:p w14:paraId="5A278C80" w14:textId="77777777" w:rsidR="00FD6164" w:rsidRPr="00C7507B" w:rsidRDefault="00FD6164" w:rsidP="00EA3A7E">
            <w:pPr>
              <w:spacing w:line="276" w:lineRule="auto"/>
              <w:jc w:val="both"/>
              <w:rPr>
                <w:rFonts w:ascii="Verdana" w:eastAsia="Calibri" w:hAnsi="Verdana" w:cs="Arial"/>
                <w:b/>
                <w:bCs/>
                <w:lang w:eastAsia="es-ES_tradnl"/>
              </w:rPr>
            </w:pPr>
          </w:p>
        </w:tc>
        <w:tc>
          <w:tcPr>
            <w:tcW w:w="6100" w:type="dxa"/>
          </w:tcPr>
          <w:p w14:paraId="3A45F98B" w14:textId="77777777" w:rsidR="00FD6164" w:rsidRPr="00C7507B" w:rsidRDefault="00FD6164" w:rsidP="00EA3A7E">
            <w:pPr>
              <w:spacing w:line="276" w:lineRule="auto"/>
              <w:jc w:val="both"/>
              <w:rPr>
                <w:rFonts w:ascii="Verdana" w:eastAsia="Calibri" w:hAnsi="Verdana" w:cs="Arial"/>
                <w:b/>
                <w:bCs/>
                <w:lang w:val="es-ES" w:eastAsia="es-ES"/>
              </w:rPr>
            </w:pPr>
            <w:r w:rsidRPr="00C7507B">
              <w:rPr>
                <w:rFonts w:ascii="Verdana" w:eastAsia="Calibri" w:hAnsi="Verdana" w:cs="Arial"/>
                <w:b/>
                <w:bCs/>
                <w:lang w:val="es-ES" w:eastAsia="es-ES"/>
              </w:rPr>
              <w:t>Concepto C- 028 de 2025</w:t>
            </w:r>
          </w:p>
        </w:tc>
      </w:tr>
      <w:tr w:rsidR="00FD6164" w:rsidRPr="00C7507B" w14:paraId="76EE3412" w14:textId="77777777" w:rsidTr="00EA3A7E">
        <w:trPr>
          <w:trHeight w:val="884"/>
        </w:trPr>
        <w:tc>
          <w:tcPr>
            <w:tcW w:w="2689" w:type="dxa"/>
          </w:tcPr>
          <w:p w14:paraId="28091F3E" w14:textId="77777777" w:rsidR="00FD6164" w:rsidRPr="00C7507B" w:rsidRDefault="00FD6164" w:rsidP="00EA3A7E">
            <w:pPr>
              <w:spacing w:line="276" w:lineRule="auto"/>
              <w:jc w:val="both"/>
              <w:rPr>
                <w:rFonts w:ascii="Verdana" w:eastAsia="Calibri" w:hAnsi="Verdana" w:cs="Arial"/>
                <w:lang w:val="es-ES_tradnl" w:eastAsia="es-ES_tradnl"/>
              </w:rPr>
            </w:pPr>
            <w:r w:rsidRPr="00C7507B">
              <w:rPr>
                <w:rFonts w:ascii="Verdana" w:eastAsia="Calibri" w:hAnsi="Verdana" w:cs="Arial"/>
                <w:b/>
                <w:lang w:val="es-ES_tradnl" w:eastAsia="es-ES_tradnl"/>
              </w:rPr>
              <w:t>Temas:</w:t>
            </w:r>
            <w:r w:rsidRPr="00C7507B">
              <w:rPr>
                <w:rFonts w:ascii="Verdana" w:eastAsia="Calibri" w:hAnsi="Verdana" w:cs="Arial"/>
                <w:lang w:val="es-ES_tradnl" w:eastAsia="es-ES_tradnl"/>
              </w:rPr>
              <w:t xml:space="preserve">                   </w:t>
            </w:r>
          </w:p>
        </w:tc>
        <w:tc>
          <w:tcPr>
            <w:tcW w:w="6100" w:type="dxa"/>
          </w:tcPr>
          <w:p w14:paraId="010052B0" w14:textId="77777777" w:rsidR="00FD6164" w:rsidRPr="00C7507B" w:rsidRDefault="00FD6164" w:rsidP="00EA3A7E">
            <w:pPr>
              <w:jc w:val="both"/>
              <w:rPr>
                <w:rFonts w:ascii="Arial" w:hAnsi="Arial" w:cs="Arial"/>
                <w:b/>
                <w:bCs/>
                <w:color w:val="000000" w:themeColor="text1"/>
              </w:rPr>
            </w:pPr>
            <w:r w:rsidRPr="00C7507B">
              <w:rPr>
                <w:rFonts w:ascii="Arial" w:hAnsi="Arial" w:cs="Arial"/>
                <w:b/>
                <w:bCs/>
                <w:color w:val="000000" w:themeColor="text1"/>
                <w:lang w:val="es-ES"/>
              </w:rPr>
              <w:t>CONTRATO DE PRESTACIÓN DE SERVICIOS – Características / ESTABILIDAD OCUPACIONAL REFORZADA – Corte Constitucional – Condiciones - Alcance</w:t>
            </w:r>
          </w:p>
          <w:p w14:paraId="0470D028" w14:textId="77777777" w:rsidR="00FD6164" w:rsidRPr="00C7507B" w:rsidRDefault="00FD6164" w:rsidP="00EA3A7E">
            <w:pPr>
              <w:jc w:val="both"/>
              <w:rPr>
                <w:rFonts w:ascii="Arial" w:hAnsi="Arial" w:cs="Arial"/>
                <w:b/>
                <w:bCs/>
                <w:color w:val="000000" w:themeColor="text1"/>
              </w:rPr>
            </w:pPr>
          </w:p>
        </w:tc>
      </w:tr>
      <w:tr w:rsidR="00FD6164" w:rsidRPr="00C7507B" w14:paraId="7EEECD7B" w14:textId="77777777" w:rsidTr="00EA3A7E">
        <w:tc>
          <w:tcPr>
            <w:tcW w:w="2689" w:type="dxa"/>
          </w:tcPr>
          <w:p w14:paraId="2B507BF4" w14:textId="77777777" w:rsidR="00FD6164" w:rsidRPr="00C7507B" w:rsidRDefault="00FD6164" w:rsidP="00EA3A7E">
            <w:pPr>
              <w:spacing w:line="276" w:lineRule="auto"/>
              <w:jc w:val="both"/>
              <w:rPr>
                <w:rFonts w:ascii="Verdana" w:eastAsia="Calibri" w:hAnsi="Verdana" w:cs="Arial"/>
                <w:b/>
                <w:lang w:val="es-ES_tradnl" w:eastAsia="es-ES_tradnl"/>
              </w:rPr>
            </w:pPr>
            <w:r w:rsidRPr="00C7507B">
              <w:rPr>
                <w:rFonts w:ascii="Verdana" w:eastAsia="Calibri" w:hAnsi="Verdana" w:cs="Arial"/>
                <w:b/>
                <w:lang w:val="es-ES_tradnl" w:eastAsia="es-ES_tradnl"/>
              </w:rPr>
              <w:t>Radicación:</w:t>
            </w:r>
            <w:r w:rsidRPr="00C7507B">
              <w:rPr>
                <w:rFonts w:ascii="Verdana" w:eastAsia="Calibri" w:hAnsi="Verdana" w:cs="Arial"/>
                <w:lang w:val="es-ES_tradnl" w:eastAsia="es-ES_tradnl"/>
              </w:rPr>
              <w:t xml:space="preserve">               </w:t>
            </w:r>
          </w:p>
        </w:tc>
        <w:tc>
          <w:tcPr>
            <w:tcW w:w="6100" w:type="dxa"/>
          </w:tcPr>
          <w:p w14:paraId="49AFF8F6" w14:textId="77777777" w:rsidR="00FD6164" w:rsidRPr="00C7507B" w:rsidRDefault="00FD6164" w:rsidP="00EA3A7E">
            <w:pPr>
              <w:spacing w:line="276" w:lineRule="auto"/>
              <w:jc w:val="both"/>
              <w:rPr>
                <w:rFonts w:ascii="Verdana" w:hAnsi="Verdana" w:cs="Arial"/>
              </w:rPr>
            </w:pPr>
            <w:r w:rsidRPr="00C7507B">
              <w:rPr>
                <w:rFonts w:ascii="Verdana" w:hAnsi="Verdana" w:cs="Arial"/>
              </w:rPr>
              <w:t>Respuesta a consulta con radicado No.  P20250113000246</w:t>
            </w:r>
          </w:p>
        </w:tc>
      </w:tr>
    </w:tbl>
    <w:p w14:paraId="2A4DD8E7" w14:textId="77777777" w:rsidR="00FD6164" w:rsidRPr="00C7507B" w:rsidRDefault="00FD6164" w:rsidP="00FD6164">
      <w:pPr>
        <w:spacing w:after="0" w:line="276" w:lineRule="auto"/>
        <w:jc w:val="both"/>
        <w:rPr>
          <w:rFonts w:ascii="Verdana" w:eastAsia="Calibri" w:hAnsi="Verdana" w:cs="Arial"/>
          <w:lang w:val="es-ES_tradnl" w:eastAsia="es-ES_tradnl"/>
        </w:rPr>
      </w:pPr>
    </w:p>
    <w:p w14:paraId="0786DB15" w14:textId="77777777" w:rsidR="00FD6164" w:rsidRPr="00C7507B" w:rsidRDefault="00FD6164" w:rsidP="00FD6164">
      <w:pPr>
        <w:spacing w:after="0" w:line="276" w:lineRule="auto"/>
        <w:jc w:val="both"/>
        <w:rPr>
          <w:rFonts w:ascii="Verdana" w:eastAsia="Calibri" w:hAnsi="Verdana" w:cs="Arial"/>
          <w:lang w:val="es-ES_tradnl" w:eastAsia="es-ES_tradnl"/>
        </w:rPr>
      </w:pPr>
    </w:p>
    <w:p w14:paraId="5B8F5AD7" w14:textId="77777777" w:rsidR="00FD6164" w:rsidRPr="00C7507B" w:rsidRDefault="00FD6164" w:rsidP="00FD6164">
      <w:pPr>
        <w:spacing w:after="0" w:line="276" w:lineRule="auto"/>
        <w:jc w:val="both"/>
        <w:rPr>
          <w:rFonts w:ascii="Verdana" w:eastAsia="Calibri" w:hAnsi="Verdana" w:cs="Arial"/>
          <w:lang w:val="es-ES" w:eastAsia="es-ES"/>
        </w:rPr>
      </w:pPr>
      <w:r w:rsidRPr="00C7507B">
        <w:rPr>
          <w:rFonts w:ascii="Verdana" w:eastAsia="Calibri" w:hAnsi="Verdana" w:cs="Arial"/>
          <w:lang w:val="es-ES" w:eastAsia="es-ES"/>
        </w:rPr>
        <w:t xml:space="preserve">Estimado Señor López: </w:t>
      </w:r>
    </w:p>
    <w:p w14:paraId="259CDC60" w14:textId="77777777" w:rsidR="00FD6164" w:rsidRPr="00C7507B" w:rsidRDefault="00FD6164" w:rsidP="00FD6164">
      <w:pPr>
        <w:tabs>
          <w:tab w:val="left" w:pos="3768"/>
        </w:tabs>
        <w:spacing w:after="0" w:line="276" w:lineRule="auto"/>
        <w:jc w:val="both"/>
        <w:rPr>
          <w:rFonts w:ascii="Verdana" w:eastAsia="Calibri" w:hAnsi="Verdana" w:cs="Arial"/>
          <w:lang w:val="es-ES" w:eastAsia="es-ES"/>
        </w:rPr>
      </w:pPr>
      <w:r w:rsidRPr="00C7507B">
        <w:rPr>
          <w:rFonts w:ascii="Verdana" w:eastAsia="Calibri" w:hAnsi="Verdana" w:cs="Arial"/>
          <w:lang w:val="es-ES" w:eastAsia="es-ES"/>
        </w:rPr>
        <w:tab/>
      </w:r>
    </w:p>
    <w:p w14:paraId="0DBF026E" w14:textId="77777777" w:rsidR="00FD6164" w:rsidRPr="00C7507B" w:rsidRDefault="00FD6164" w:rsidP="00FD6164">
      <w:pPr>
        <w:spacing w:after="0" w:line="276" w:lineRule="auto"/>
        <w:jc w:val="both"/>
        <w:rPr>
          <w:rFonts w:ascii="Verdana" w:eastAsia="Calibri" w:hAnsi="Verdana" w:cs="Arial"/>
          <w:lang w:val="es-ES" w:eastAsia="es-ES"/>
        </w:rPr>
      </w:pPr>
      <w:r w:rsidRPr="00C7507B">
        <w:rPr>
          <w:rFonts w:ascii="Verdana" w:eastAsia="Calibri" w:hAnsi="Verdana" w:cs="Arial"/>
          <w:lang w:val="es-ES" w:eastAsia="es-ES"/>
        </w:rPr>
        <w:t>En ejercicio de la competencia otorgada por los artículos 3, numeral 5º, y 11, numeral 8º, del Decreto Ley 4170 de 2011,</w:t>
      </w:r>
      <w:r w:rsidRPr="00C7507B">
        <w:rPr>
          <w:rFonts w:ascii="Verdana" w:eastAsia="Arial MT" w:hAnsi="Verdana" w:cs="Arial MT"/>
          <w:lang w:val="es-ES" w:eastAsia="es-ES"/>
        </w:rPr>
        <w:t xml:space="preserve"> </w:t>
      </w:r>
      <w:r w:rsidRPr="00C7507B">
        <w:rPr>
          <w:rFonts w:ascii="Verdana" w:hAnsi="Verdana" w:cs="Arial"/>
        </w:rPr>
        <w:t xml:space="preserve">así como lo establecido en el artículo 4 de la Resolución 1707 de 2018 expedida por esta Entidad, </w:t>
      </w:r>
      <w:r w:rsidRPr="00C7507B">
        <w:rPr>
          <w:rFonts w:ascii="Verdana" w:eastAsia="Calibri" w:hAnsi="Verdana" w:cs="Arial"/>
          <w:lang w:val="es-ES" w:eastAsia="es-ES"/>
        </w:rPr>
        <w:t xml:space="preserve">la Agencia Nacional de Contratación Pública – Colombia Compra Eficiente– responde su solicitud de consulta de fecha 13 de enero de 2025, en la cual manifiesta lo siguiente: </w:t>
      </w:r>
    </w:p>
    <w:p w14:paraId="73CCE83C" w14:textId="77777777" w:rsidR="00FD6164" w:rsidRPr="00C7507B" w:rsidRDefault="00FD6164" w:rsidP="00FD6164">
      <w:pPr>
        <w:spacing w:after="0" w:line="276" w:lineRule="auto"/>
        <w:jc w:val="both"/>
        <w:rPr>
          <w:rFonts w:ascii="Verdana" w:eastAsia="Calibri" w:hAnsi="Verdana" w:cs="Arial"/>
          <w:lang w:val="es-ES" w:eastAsia="es-ES"/>
        </w:rPr>
      </w:pPr>
    </w:p>
    <w:p w14:paraId="16F6416E" w14:textId="77777777" w:rsidR="00FD6164" w:rsidRPr="00C7507B" w:rsidRDefault="00FD6164" w:rsidP="00FD6164">
      <w:pPr>
        <w:autoSpaceDE w:val="0"/>
        <w:autoSpaceDN w:val="0"/>
        <w:adjustRightInd w:val="0"/>
        <w:spacing w:after="0" w:line="276" w:lineRule="auto"/>
        <w:ind w:left="709" w:right="709"/>
        <w:jc w:val="both"/>
        <w:rPr>
          <w:rFonts w:ascii="Verdana" w:hAnsi="Verdana" w:cs="Arial"/>
          <w:i/>
          <w:iCs/>
          <w:sz w:val="21"/>
          <w:szCs w:val="21"/>
        </w:rPr>
      </w:pPr>
      <w:bookmarkStart w:id="2" w:name="_Hlk95313578"/>
      <w:r w:rsidRPr="00C7507B">
        <w:rPr>
          <w:rFonts w:ascii="Verdana" w:hAnsi="Verdana" w:cs="Arial"/>
          <w:sz w:val="21"/>
          <w:szCs w:val="21"/>
        </w:rPr>
        <w:t>“</w:t>
      </w:r>
      <w:bookmarkEnd w:id="2"/>
      <w:r w:rsidRPr="00C7507B">
        <w:rPr>
          <w:rFonts w:ascii="Verdana" w:hAnsi="Verdana" w:cs="Arial"/>
          <w:sz w:val="21"/>
          <w:szCs w:val="21"/>
        </w:rPr>
        <w:t xml:space="preserve">Teniendo en cuenta la estabilidad laboral por condición especial de trabajadores en Colombia amparada por la corte constitucional en varias sentencias, quisiera preguntar 1. ¿Como contratista de una entidad pública, vinculado mediante contrato de orden de prestación de servicios OPS Me ampara la protección constitucional mencionada? 2. ¿Si se ostenta la calidad víctima del conflicto armado o una condición </w:t>
      </w:r>
      <w:r w:rsidRPr="00C7507B">
        <w:rPr>
          <w:rFonts w:ascii="Verdana" w:hAnsi="Verdana" w:cs="Arial"/>
          <w:sz w:val="21"/>
          <w:szCs w:val="21"/>
        </w:rPr>
        <w:lastRenderedPageBreak/>
        <w:t xml:space="preserve">de vulnerabilidad como madre cabeza de hogar, en el caso puntual del proceso de contratación en una entidad pública, dicha persona tiene prelación sobre cualquier otro candidato al mismo cargo, aun cuando su hoja de vida no sea la mejor?” (Sic).” </w:t>
      </w:r>
    </w:p>
    <w:p w14:paraId="0038E7B7" w14:textId="77777777" w:rsidR="00FD6164" w:rsidRPr="00C7507B" w:rsidRDefault="00FD6164" w:rsidP="00FD6164">
      <w:pPr>
        <w:autoSpaceDE w:val="0"/>
        <w:autoSpaceDN w:val="0"/>
        <w:adjustRightInd w:val="0"/>
        <w:spacing w:after="0" w:line="276" w:lineRule="auto"/>
        <w:ind w:left="709" w:right="709"/>
        <w:jc w:val="both"/>
        <w:rPr>
          <w:rFonts w:ascii="Verdana" w:hAnsi="Verdana" w:cs="Arial"/>
          <w:sz w:val="21"/>
          <w:szCs w:val="21"/>
        </w:rPr>
      </w:pPr>
      <w:r w:rsidRPr="00C7507B">
        <w:rPr>
          <w:rFonts w:ascii="Verdana" w:eastAsia="Calibri" w:hAnsi="Verdana" w:cs="Arial"/>
          <w:sz w:val="21"/>
          <w:szCs w:val="21"/>
          <w:lang w:val="es-ES" w:eastAsia="es-ES"/>
        </w:rPr>
        <w:t xml:space="preserve"> </w:t>
      </w:r>
    </w:p>
    <w:p w14:paraId="221E0749" w14:textId="77777777" w:rsidR="00FD6164" w:rsidRPr="00C7507B" w:rsidRDefault="00FD6164" w:rsidP="00FD6164">
      <w:pPr>
        <w:spacing w:after="120" w:line="276" w:lineRule="auto"/>
        <w:ind w:firstLine="709"/>
        <w:jc w:val="both"/>
        <w:rPr>
          <w:rFonts w:ascii="Verdana" w:eastAsia="Calibri" w:hAnsi="Verdana" w:cs="Arial"/>
          <w:szCs w:val="24"/>
          <w:lang w:val="es-ES_tradnl" w:eastAsia="es-ES_tradnl"/>
        </w:rPr>
      </w:pPr>
      <w:r w:rsidRPr="00C7507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7507B">
        <w:rPr>
          <w:rFonts w:ascii="Verdana" w:eastAsia="Calibri" w:hAnsi="Verdana" w:cs="Arial"/>
          <w:szCs w:val="24"/>
          <w:lang w:val="es-ES_tradnl" w:eastAsia="es-ES_tradnl"/>
        </w:rPr>
        <w:tab/>
      </w:r>
    </w:p>
    <w:p w14:paraId="750A5103" w14:textId="77777777" w:rsidR="00FD6164" w:rsidRPr="00C7507B" w:rsidRDefault="00FD6164" w:rsidP="00FD6164">
      <w:pPr>
        <w:spacing w:after="0" w:line="276" w:lineRule="auto"/>
        <w:ind w:firstLine="709"/>
        <w:jc w:val="both"/>
        <w:rPr>
          <w:rFonts w:ascii="Verdana" w:eastAsia="Calibri" w:hAnsi="Verdana" w:cs="Arial"/>
          <w:lang w:val="es-ES" w:eastAsia="es-ES"/>
        </w:rPr>
      </w:pPr>
      <w:r w:rsidRPr="00C7507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7D2D1FC" w14:textId="77777777" w:rsidR="00FD6164" w:rsidRPr="00C7507B" w:rsidRDefault="00FD6164" w:rsidP="00FD6164">
      <w:pPr>
        <w:spacing w:after="0" w:line="276" w:lineRule="auto"/>
        <w:ind w:firstLine="709"/>
        <w:jc w:val="both"/>
        <w:rPr>
          <w:rFonts w:ascii="Verdana" w:eastAsia="Calibri" w:hAnsi="Verdana" w:cs="Arial"/>
          <w:lang w:val="es-ES" w:eastAsia="es-ES"/>
        </w:rPr>
      </w:pPr>
    </w:p>
    <w:p w14:paraId="5DCE679E" w14:textId="77777777" w:rsidR="00FD6164" w:rsidRPr="00C7507B" w:rsidRDefault="00FD6164" w:rsidP="00FD616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7507B">
        <w:rPr>
          <w:rFonts w:ascii="Verdana" w:eastAsia="Century Gothic" w:hAnsi="Verdana" w:cs="Century Gothic"/>
          <w:b/>
          <w:bCs/>
        </w:rPr>
        <w:t>Problema planteado:</w:t>
      </w:r>
    </w:p>
    <w:p w14:paraId="526A05A5" w14:textId="77777777" w:rsidR="00FD6164" w:rsidRPr="00C7507B" w:rsidRDefault="00FD6164" w:rsidP="00FD6164">
      <w:pPr>
        <w:tabs>
          <w:tab w:val="left" w:pos="426"/>
        </w:tabs>
        <w:spacing w:after="0" w:line="276" w:lineRule="auto"/>
        <w:jc w:val="both"/>
        <w:rPr>
          <w:rFonts w:ascii="Verdana" w:eastAsia="Century Gothic" w:hAnsi="Verdana" w:cs="Century Gothic"/>
          <w:lang w:val="es-ES"/>
        </w:rPr>
      </w:pPr>
    </w:p>
    <w:p w14:paraId="48675E56" w14:textId="77777777" w:rsidR="00FD6164" w:rsidRPr="00C7507B" w:rsidRDefault="00FD6164" w:rsidP="00FD6164">
      <w:pPr>
        <w:spacing w:after="0" w:line="276" w:lineRule="auto"/>
        <w:jc w:val="both"/>
        <w:rPr>
          <w:rFonts w:ascii="Verdana" w:eastAsia="Century Gothic" w:hAnsi="Verdana" w:cs="Century Gothic"/>
        </w:rPr>
      </w:pPr>
      <w:r w:rsidRPr="00C7507B">
        <w:rPr>
          <w:rFonts w:ascii="Verdana" w:eastAsia="Century Gothic" w:hAnsi="Verdana" w:cs="Century Gothic"/>
        </w:rPr>
        <w:t>De acuerdo con el contenido de su solicitud, esta Agencia resolverá el siguiente problema jurídico: ¿Cuándo procede la estabilidad ocupacional reforzada</w:t>
      </w:r>
      <w:r>
        <w:rPr>
          <w:rFonts w:ascii="Verdana" w:eastAsia="Century Gothic" w:hAnsi="Verdana" w:cs="Century Gothic"/>
        </w:rPr>
        <w:t xml:space="preserve"> de los contratistas vinculados a través de prestación de servicios</w:t>
      </w:r>
      <w:r w:rsidRPr="00C7507B">
        <w:rPr>
          <w:rFonts w:ascii="Verdana" w:eastAsia="Century Gothic" w:hAnsi="Verdana" w:cs="Century Gothic"/>
        </w:rPr>
        <w:t>?</w:t>
      </w:r>
    </w:p>
    <w:p w14:paraId="409AE973" w14:textId="77777777" w:rsidR="00FD6164" w:rsidRPr="00C7507B" w:rsidRDefault="00FD6164" w:rsidP="00FD6164">
      <w:pPr>
        <w:spacing w:after="0" w:line="276" w:lineRule="auto"/>
        <w:jc w:val="both"/>
        <w:rPr>
          <w:rFonts w:ascii="Verdana" w:eastAsia="Calibri" w:hAnsi="Verdana" w:cs="Arial"/>
          <w:lang w:val="es-ES"/>
        </w:rPr>
      </w:pPr>
    </w:p>
    <w:p w14:paraId="11FAC350" w14:textId="77777777" w:rsidR="00FD6164" w:rsidRPr="00C7507B" w:rsidRDefault="00FD6164" w:rsidP="00FD61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7507B">
        <w:rPr>
          <w:rFonts w:ascii="Verdana" w:eastAsia="Century Gothic" w:hAnsi="Verdana" w:cs="Century Gothic"/>
          <w:b/>
          <w:bCs/>
        </w:rPr>
        <w:t>Respuesta:</w:t>
      </w:r>
    </w:p>
    <w:p w14:paraId="5C238211" w14:textId="77777777" w:rsidR="00FD6164" w:rsidRPr="00C7507B" w:rsidRDefault="00FD6164" w:rsidP="00FD616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D6164" w:rsidRPr="00C7507B" w14:paraId="3D3BEAF9" w14:textId="77777777" w:rsidTr="00EA3A7E">
        <w:tc>
          <w:tcPr>
            <w:tcW w:w="8828" w:type="dxa"/>
            <w:shd w:val="clear" w:color="auto" w:fill="auto"/>
          </w:tcPr>
          <w:p w14:paraId="5941B43F" w14:textId="77777777" w:rsidR="00FD6164" w:rsidRDefault="00FD6164" w:rsidP="00EA3A7E">
            <w:pPr>
              <w:spacing w:before="120" w:line="276" w:lineRule="auto"/>
              <w:jc w:val="both"/>
              <w:rPr>
                <w:rFonts w:ascii="Verdana" w:eastAsia="Calibri" w:hAnsi="Verdana" w:cs="Arial"/>
                <w:color w:val="000000" w:themeColor="text1"/>
              </w:rPr>
            </w:pPr>
          </w:p>
          <w:p w14:paraId="48ACA835" w14:textId="77777777" w:rsidR="00FD6164" w:rsidRPr="000C5A03" w:rsidRDefault="00FD6164" w:rsidP="00EA3A7E">
            <w:pPr>
              <w:spacing w:before="120" w:line="276" w:lineRule="auto"/>
              <w:jc w:val="both"/>
              <w:rPr>
                <w:rFonts w:ascii="Verdana" w:eastAsia="Calibri" w:hAnsi="Verdana" w:cs="Arial"/>
              </w:rPr>
            </w:pPr>
            <w:r w:rsidRPr="00963609">
              <w:rPr>
                <w:rFonts w:ascii="Verdana" w:eastAsia="Calibri" w:hAnsi="Verdana" w:cs="Arial"/>
              </w:rPr>
              <w:t>En la Constitución Política de 1991, el Estado colombiano reconoció su deber de brindar una protección reforzada a todas las personas que se encuentren en circunstancias de debilidad manifiesta.</w:t>
            </w:r>
            <w:r w:rsidRPr="000C5A03">
              <w:rPr>
                <w:rFonts w:ascii="Verdana" w:eastAsia="Calibri" w:hAnsi="Verdana" w:cs="Arial"/>
              </w:rPr>
              <w:t xml:space="preserve"> No en vano, los artículos 5, 13, 47, 53 y 95 de la Constitución reflejan un compromiso del Estado de otorgar un tratamiento preferencial a quienes se hallen en situación de vulnerabilidad, </w:t>
            </w:r>
            <w:r w:rsidRPr="000C5A03">
              <w:rPr>
                <w:rFonts w:ascii="Verdana" w:eastAsia="Calibri" w:hAnsi="Verdana" w:cs="Arial"/>
              </w:rPr>
              <w:lastRenderedPageBreak/>
              <w:t xml:space="preserve">buscando garantizar la igualdad, no discriminación y el respeto a los derechos fundamentales. </w:t>
            </w:r>
          </w:p>
          <w:p w14:paraId="22BDD27F" w14:textId="77777777" w:rsidR="00FD6164" w:rsidRPr="000C5A03" w:rsidRDefault="00FD6164" w:rsidP="00EA3A7E">
            <w:pPr>
              <w:spacing w:before="120" w:line="276" w:lineRule="auto"/>
              <w:jc w:val="both"/>
              <w:rPr>
                <w:rFonts w:ascii="Verdana" w:eastAsia="Calibri" w:hAnsi="Verdana" w:cs="Arial"/>
              </w:rPr>
            </w:pPr>
            <w:r w:rsidRPr="000C5A03">
              <w:rPr>
                <w:rFonts w:ascii="Verdana" w:eastAsia="Calibri" w:hAnsi="Verdana" w:cs="Arial"/>
              </w:rPr>
              <w:t xml:space="preserve">Sin embargo, en relación con la pregunta planteada, es importante señalar que </w:t>
            </w:r>
            <w:r w:rsidRPr="00963609">
              <w:rPr>
                <w:rFonts w:ascii="Verdana" w:eastAsia="Calibri" w:hAnsi="Verdana" w:cs="Arial"/>
              </w:rPr>
              <w:t>no existe una regla jurisprudencial unificada específicamente para los contratos de prestación de servicios en favor de las víctimas del conflicto armado o personas en condiciones de vulnerabilidad, tales como madres cabeza de hogar</w:t>
            </w:r>
            <w:r w:rsidRPr="000C5A03">
              <w:rPr>
                <w:rFonts w:ascii="Verdana" w:eastAsia="Calibri" w:hAnsi="Verdana" w:cs="Arial"/>
              </w:rPr>
              <w:t xml:space="preserve">. Aunque la Corte Constitucional ha reconocido la existencia de una </w:t>
            </w:r>
            <w:r w:rsidRPr="00963609">
              <w:rPr>
                <w:rFonts w:ascii="Verdana" w:eastAsia="Calibri" w:hAnsi="Verdana" w:cs="Arial"/>
              </w:rPr>
              <w:t>estabilidad ocupacional reforzada</w:t>
            </w:r>
            <w:r w:rsidRPr="000C5A03">
              <w:rPr>
                <w:rFonts w:ascii="Verdana" w:eastAsia="Calibri" w:hAnsi="Verdana" w:cs="Arial"/>
              </w:rPr>
              <w:t xml:space="preserve"> en diversos contextos, especialmente en situaciones de vulnerabilidad, esta protección ha sido principalmente aplicada en el marco de relaciones laborales regidas por contratos de trabajo y no en aquellos contratos de prestación de servicios, que suelen estar regulados por principios diferentes.</w:t>
            </w:r>
          </w:p>
          <w:p w14:paraId="6741126C" w14:textId="77777777" w:rsidR="00FD6164" w:rsidRPr="000C5A03" w:rsidRDefault="00FD6164" w:rsidP="00EA3A7E">
            <w:pPr>
              <w:spacing w:before="120" w:line="276" w:lineRule="auto"/>
              <w:jc w:val="both"/>
              <w:rPr>
                <w:rFonts w:ascii="Verdana" w:eastAsia="Calibri" w:hAnsi="Verdana" w:cs="Arial"/>
              </w:rPr>
            </w:pPr>
            <w:r w:rsidRPr="000C5A03">
              <w:rPr>
                <w:rFonts w:ascii="Verdana" w:eastAsia="Calibri" w:hAnsi="Verdana" w:cs="Arial"/>
              </w:rPr>
              <w:t xml:space="preserve">Es cierto que la jurisprudencia ha desarrollado el concepto de </w:t>
            </w:r>
            <w:r w:rsidRPr="00963609">
              <w:rPr>
                <w:rFonts w:ascii="Verdana" w:eastAsia="Calibri" w:hAnsi="Verdana" w:cs="Arial"/>
              </w:rPr>
              <w:t>estabilidad ocupacional reforzada</w:t>
            </w:r>
            <w:r w:rsidRPr="000C5A03">
              <w:rPr>
                <w:rFonts w:ascii="Verdana" w:eastAsia="Calibri" w:hAnsi="Verdana" w:cs="Arial"/>
              </w:rPr>
              <w:t xml:space="preserve"> especialmente para aquellos trabajadores que enfrentan situaciones de debilidad manifiesta debido a </w:t>
            </w:r>
            <w:r w:rsidRPr="00963609">
              <w:rPr>
                <w:rFonts w:ascii="Verdana" w:eastAsia="Calibri" w:hAnsi="Verdana" w:cs="Arial"/>
              </w:rPr>
              <w:t>razones de salud</w:t>
            </w:r>
            <w:r w:rsidRPr="000C5A03">
              <w:rPr>
                <w:rFonts w:ascii="Verdana" w:eastAsia="Calibri" w:hAnsi="Verdana" w:cs="Arial"/>
              </w:rPr>
              <w:t xml:space="preserve"> o </w:t>
            </w:r>
            <w:r w:rsidRPr="00963609">
              <w:rPr>
                <w:rFonts w:ascii="Verdana" w:eastAsia="Calibri" w:hAnsi="Verdana" w:cs="Arial"/>
              </w:rPr>
              <w:t>discapacidad</w:t>
            </w:r>
            <w:r w:rsidRPr="000C5A03">
              <w:rPr>
                <w:rFonts w:ascii="Verdana" w:eastAsia="Calibri" w:hAnsi="Verdana" w:cs="Arial"/>
              </w:rPr>
              <w:t xml:space="preserve">, así como para </w:t>
            </w:r>
            <w:r w:rsidRPr="00963609">
              <w:rPr>
                <w:rFonts w:ascii="Verdana" w:eastAsia="Calibri" w:hAnsi="Verdana" w:cs="Arial"/>
              </w:rPr>
              <w:t>víctimas de violencia de género</w:t>
            </w:r>
            <w:r w:rsidRPr="000C5A03">
              <w:rPr>
                <w:rFonts w:ascii="Verdana" w:eastAsia="Calibri" w:hAnsi="Verdana" w:cs="Arial"/>
              </w:rPr>
              <w:t xml:space="preserve"> o </w:t>
            </w:r>
            <w:r w:rsidRPr="00963609">
              <w:rPr>
                <w:rFonts w:ascii="Verdana" w:eastAsia="Calibri" w:hAnsi="Verdana" w:cs="Arial"/>
              </w:rPr>
              <w:t>desplazados por el conflicto armado</w:t>
            </w:r>
            <w:r w:rsidRPr="000C5A03">
              <w:rPr>
                <w:rFonts w:ascii="Verdana" w:eastAsia="Calibri" w:hAnsi="Verdana" w:cs="Arial"/>
              </w:rPr>
              <w:t xml:space="preserve">. En estos casos, la Corte ha determinado que las entidades </w:t>
            </w:r>
            <w:r>
              <w:rPr>
                <w:rFonts w:ascii="Verdana" w:eastAsia="Calibri" w:hAnsi="Verdana" w:cs="Arial"/>
              </w:rPr>
              <w:t>estatales</w:t>
            </w:r>
            <w:r w:rsidRPr="000C5A03">
              <w:rPr>
                <w:rFonts w:ascii="Verdana" w:eastAsia="Calibri" w:hAnsi="Verdana" w:cs="Arial"/>
              </w:rPr>
              <w:t xml:space="preserve"> tienen la obligación de garantizar la permanencia en el empleo de los trabajadores en situaciones de vulnerabilidad, protegiéndolos de despidos arbitrarios, y ha ampliado el concepto de estabilidad laboral más allá de los trabajadores con contratos de trabajo permanente, extendiéndolo, en ciertos casos, a </w:t>
            </w:r>
            <w:r w:rsidRPr="00963609">
              <w:rPr>
                <w:rFonts w:ascii="Verdana" w:eastAsia="Calibri" w:hAnsi="Verdana" w:cs="Arial"/>
              </w:rPr>
              <w:t>trabajadores bajo contratos de prestación de servicios</w:t>
            </w:r>
            <w:r w:rsidRPr="000C5A03">
              <w:rPr>
                <w:rFonts w:ascii="Verdana" w:eastAsia="Calibri" w:hAnsi="Verdana" w:cs="Arial"/>
              </w:rPr>
              <w:t>.</w:t>
            </w:r>
          </w:p>
          <w:p w14:paraId="466CB398" w14:textId="77777777" w:rsidR="00FD6164" w:rsidRDefault="00FD6164" w:rsidP="00EA3A7E">
            <w:pPr>
              <w:spacing w:before="120" w:line="276" w:lineRule="auto"/>
              <w:jc w:val="both"/>
              <w:rPr>
                <w:rFonts w:ascii="Verdana" w:eastAsia="Century Gothic" w:hAnsi="Verdana" w:cs="Century Gothic"/>
                <w:color w:val="000000" w:themeColor="text1"/>
              </w:rPr>
            </w:pPr>
            <w:r w:rsidRPr="000C5A03">
              <w:rPr>
                <w:rFonts w:ascii="Verdana" w:eastAsia="Calibri" w:hAnsi="Verdana" w:cs="Arial"/>
              </w:rPr>
              <w:t xml:space="preserve">Así, a pesar de la falta de una regla específica sobre la </w:t>
            </w:r>
            <w:r w:rsidRPr="00963609">
              <w:rPr>
                <w:rFonts w:ascii="Verdana" w:eastAsia="Calibri" w:hAnsi="Verdana" w:cs="Arial"/>
              </w:rPr>
              <w:t>estabilidad ocupacional reforzada</w:t>
            </w:r>
            <w:r w:rsidRPr="000C5A03">
              <w:rPr>
                <w:rFonts w:ascii="Verdana" w:eastAsia="Calibri" w:hAnsi="Verdana" w:cs="Arial"/>
              </w:rPr>
              <w:t xml:space="preserve"> en los contratos de prestación de servicios, las entidades estatales, en virtud de su autonomía, deben cumplir con las directrices establecidas por la Corte Constitucional y respetar los principios de </w:t>
            </w:r>
            <w:r w:rsidRPr="00963609">
              <w:rPr>
                <w:rFonts w:ascii="Verdana" w:eastAsia="Calibri" w:hAnsi="Verdana" w:cs="Arial"/>
              </w:rPr>
              <w:t>igualdad, no discriminación y dignidad humana</w:t>
            </w:r>
            <w:r w:rsidRPr="000C5A03">
              <w:rPr>
                <w:rFonts w:ascii="Verdana" w:eastAsia="Calibri" w:hAnsi="Verdana" w:cs="Arial"/>
              </w:rPr>
              <w:t xml:space="preserve">. En este sentido, corresponde a las </w:t>
            </w:r>
            <w:r w:rsidRPr="00963609">
              <w:rPr>
                <w:rFonts w:ascii="Verdana" w:eastAsia="Calibri" w:hAnsi="Verdana" w:cs="Arial"/>
              </w:rPr>
              <w:t>Entidades Estatales, de acuerdo con los lineamientos de la Corte Constitucional</w:t>
            </w:r>
            <w:r w:rsidRPr="000C5A03">
              <w:rPr>
                <w:rFonts w:ascii="Verdana" w:eastAsia="Calibri" w:hAnsi="Verdana" w:cs="Arial"/>
              </w:rPr>
              <w:t xml:space="preserve">, aplicar los principios legales establecidos en el </w:t>
            </w:r>
            <w:r w:rsidRPr="00963609">
              <w:rPr>
                <w:rFonts w:ascii="Verdana" w:eastAsia="Calibri" w:hAnsi="Verdana" w:cs="Arial"/>
              </w:rPr>
              <w:t>Estatuto General de Contratación para la Administración Pública (EGCAP)</w:t>
            </w:r>
            <w:r w:rsidRPr="000C5A03">
              <w:rPr>
                <w:rFonts w:ascii="Verdana" w:eastAsia="Calibri" w:hAnsi="Verdana" w:cs="Arial"/>
              </w:rPr>
              <w:t xml:space="preserve"> y </w:t>
            </w:r>
            <w:r>
              <w:rPr>
                <w:rFonts w:ascii="Verdana" w:eastAsia="Calibri" w:hAnsi="Verdana" w:cs="Arial"/>
              </w:rPr>
              <w:t xml:space="preserve">las </w:t>
            </w:r>
            <w:r w:rsidRPr="00C7507B">
              <w:rPr>
                <w:rFonts w:ascii="Verdana" w:eastAsia="Century Gothic" w:hAnsi="Verdana" w:cs="Century Gothic"/>
                <w:color w:val="000000" w:themeColor="text1"/>
              </w:rPr>
              <w:t xml:space="preserve">demás normas que regulen la materia, determinar la mejor forma de administrarlos y garantizar la estabilidad </w:t>
            </w:r>
            <w:r>
              <w:rPr>
                <w:rFonts w:ascii="Verdana" w:eastAsia="Century Gothic" w:hAnsi="Verdana" w:cs="Century Gothic"/>
                <w:color w:val="000000" w:themeColor="text1"/>
              </w:rPr>
              <w:t>ocupacional</w:t>
            </w:r>
            <w:r w:rsidRPr="00C7507B">
              <w:rPr>
                <w:rFonts w:ascii="Verdana" w:eastAsia="Century Gothic" w:hAnsi="Verdana" w:cs="Century Gothic"/>
                <w:color w:val="000000" w:themeColor="text1"/>
              </w:rPr>
              <w:t xml:space="preserve"> reforzada de los </w:t>
            </w:r>
            <w:r w:rsidRPr="00C7507B">
              <w:rPr>
                <w:rFonts w:ascii="Verdana" w:eastAsia="Century Gothic" w:hAnsi="Verdana" w:cs="Century Gothic"/>
              </w:rPr>
              <w:t xml:space="preserve">contratistas </w:t>
            </w:r>
            <w:r w:rsidRPr="00C7507B">
              <w:rPr>
                <w:rFonts w:ascii="Verdana" w:eastAsia="Century Gothic" w:hAnsi="Verdana" w:cs="Century Gothic"/>
                <w:color w:val="000000" w:themeColor="text1"/>
              </w:rPr>
              <w:t>vinculados mediante contratos de prestación de servicios.</w:t>
            </w:r>
          </w:p>
          <w:p w14:paraId="53329972" w14:textId="77777777" w:rsidR="00FD6164" w:rsidRPr="000C5A03" w:rsidRDefault="00FD6164" w:rsidP="00EA3A7E">
            <w:pPr>
              <w:spacing w:before="120" w:line="276" w:lineRule="auto"/>
              <w:jc w:val="both"/>
              <w:rPr>
                <w:rFonts w:ascii="Verdana" w:eastAsia="Calibri" w:hAnsi="Verdana" w:cs="Arial"/>
              </w:rPr>
            </w:pPr>
          </w:p>
          <w:p w14:paraId="57359257" w14:textId="77777777" w:rsidR="00FD6164" w:rsidRPr="00C7507B" w:rsidRDefault="00FD6164" w:rsidP="00EA3A7E">
            <w:pPr>
              <w:spacing w:before="120" w:line="276" w:lineRule="auto"/>
              <w:jc w:val="both"/>
              <w:rPr>
                <w:rFonts w:ascii="Verdana" w:eastAsia="Calibri" w:hAnsi="Verdana" w:cs="Arial"/>
              </w:rPr>
            </w:pPr>
          </w:p>
        </w:tc>
      </w:tr>
    </w:tbl>
    <w:p w14:paraId="3EB2245B" w14:textId="77777777" w:rsidR="00FD6164" w:rsidRPr="00C7507B" w:rsidRDefault="00FD6164" w:rsidP="00FD6164">
      <w:pPr>
        <w:tabs>
          <w:tab w:val="left" w:pos="142"/>
          <w:tab w:val="left" w:pos="284"/>
        </w:tabs>
        <w:spacing w:after="0" w:line="276" w:lineRule="auto"/>
        <w:jc w:val="both"/>
        <w:rPr>
          <w:rFonts w:ascii="Verdana" w:eastAsia="Century Gothic" w:hAnsi="Verdana" w:cs="Century Gothic"/>
          <w:b/>
          <w:bCs/>
          <w:lang w:val="es-ES"/>
        </w:rPr>
      </w:pPr>
    </w:p>
    <w:p w14:paraId="53297EFD" w14:textId="77777777" w:rsidR="00FD6164" w:rsidRPr="00C7507B" w:rsidRDefault="00FD6164" w:rsidP="00FD6164">
      <w:pPr>
        <w:spacing w:after="120" w:line="276" w:lineRule="auto"/>
        <w:ind w:firstLine="708"/>
        <w:jc w:val="both"/>
        <w:rPr>
          <w:rFonts w:ascii="Verdana" w:eastAsia="Century Gothic" w:hAnsi="Verdana" w:cs="Century Gothic"/>
          <w:b/>
          <w:bCs/>
        </w:rPr>
      </w:pPr>
    </w:p>
    <w:p w14:paraId="79F99822" w14:textId="77777777" w:rsidR="00FD6164" w:rsidRPr="00C7507B" w:rsidRDefault="00FD6164" w:rsidP="00FD6164">
      <w:pPr>
        <w:spacing w:after="120" w:line="276" w:lineRule="auto"/>
        <w:jc w:val="both"/>
        <w:rPr>
          <w:rFonts w:ascii="Verdana" w:hAnsi="Verdana" w:cs="Arial"/>
          <w:color w:val="000000" w:themeColor="text1"/>
        </w:rPr>
      </w:pPr>
      <w:r w:rsidRPr="00C7507B">
        <w:rPr>
          <w:rFonts w:ascii="Verdana" w:eastAsia="Century Gothic" w:hAnsi="Verdana" w:cs="Century Gothic"/>
          <w:b/>
          <w:bCs/>
        </w:rPr>
        <w:t>Razones de la respuesta:</w:t>
      </w:r>
      <w:r w:rsidRPr="00C7507B">
        <w:rPr>
          <w:rFonts w:ascii="Verdana" w:hAnsi="Verdana" w:cs="Arial"/>
          <w:color w:val="000000" w:themeColor="text1"/>
        </w:rPr>
        <w:t xml:space="preserve"> </w:t>
      </w:r>
    </w:p>
    <w:p w14:paraId="774E4397" w14:textId="77777777" w:rsidR="00FD6164" w:rsidRPr="00C7507B" w:rsidRDefault="00FD6164" w:rsidP="00FD6164">
      <w:pPr>
        <w:spacing w:after="0" w:line="276" w:lineRule="auto"/>
        <w:jc w:val="both"/>
        <w:rPr>
          <w:rFonts w:ascii="Verdana" w:eastAsia="Calibri" w:hAnsi="Verdana" w:cs="Arial"/>
        </w:rPr>
      </w:pPr>
    </w:p>
    <w:p w14:paraId="1083DFC9" w14:textId="77777777" w:rsidR="00FD6164" w:rsidRPr="00C7507B" w:rsidRDefault="00FD6164" w:rsidP="00FD6164">
      <w:pPr>
        <w:spacing w:after="0"/>
        <w:jc w:val="both"/>
        <w:rPr>
          <w:rFonts w:ascii="Verdana" w:eastAsia="Calibri" w:hAnsi="Verdana" w:cs="Arial"/>
          <w:lang w:val="es-ES"/>
        </w:rPr>
      </w:pPr>
      <w:r w:rsidRPr="00C7507B">
        <w:rPr>
          <w:rFonts w:ascii="Verdana" w:eastAsia="Calibri" w:hAnsi="Verdana" w:cs="Arial"/>
          <w:lang w:val="es-ES"/>
        </w:rPr>
        <w:t>Lo anterior se sustenta en las siguientes consideraciones:</w:t>
      </w:r>
    </w:p>
    <w:p w14:paraId="2E2CD319" w14:textId="77777777" w:rsidR="00FD6164" w:rsidRPr="00C7507B" w:rsidRDefault="00FD6164" w:rsidP="00FD6164">
      <w:pPr>
        <w:spacing w:after="0"/>
        <w:jc w:val="both"/>
        <w:rPr>
          <w:rFonts w:ascii="Verdana" w:eastAsia="Calibri" w:hAnsi="Verdana" w:cs="Arial"/>
          <w:lang w:val="es-ES"/>
        </w:rPr>
      </w:pPr>
    </w:p>
    <w:p w14:paraId="08AB3EF3"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color w:val="000000" w:themeColor="text1"/>
          <w:lang w:val="es-MX"/>
        </w:rPr>
        <w:t>En primer lugar, debe precisarse que 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C7507B">
        <w:rPr>
          <w:rFonts w:ascii="Verdana" w:eastAsia="Calibri" w:hAnsi="Verdana" w:cs="Arial"/>
          <w:color w:val="000000" w:themeColor="text1"/>
          <w:lang w:val="es-ES_tradnl"/>
        </w:rPr>
        <w:t xml:space="preserve"> La celebración de dicho contrato debe efectuarse a través de la modalidad de contratación directa conforme lo dispone el artículo 2, numeral 4º, literal h), de la Ley 1150 de 2007.</w:t>
      </w:r>
    </w:p>
    <w:p w14:paraId="2C9AB417" w14:textId="77777777" w:rsidR="00FD6164" w:rsidRPr="00C7507B" w:rsidRDefault="00FD6164" w:rsidP="00FD6164">
      <w:pPr>
        <w:pStyle w:val="Prrafodelista"/>
        <w:spacing w:after="0"/>
        <w:jc w:val="both"/>
        <w:rPr>
          <w:rFonts w:ascii="Verdana" w:eastAsia="Calibri" w:hAnsi="Verdana" w:cs="Arial"/>
        </w:rPr>
      </w:pPr>
    </w:p>
    <w:p w14:paraId="45FB9898"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eastAsia="Calibri" w:hAnsi="Verdana" w:cs="Arial"/>
        </w:rPr>
        <w:t>Sobre el particular, el artículo 2.2.1.2.1.4.9 del Decreto 1082 de 2015 reglamenta la contratación directa para los contratos de servicios profesionales y de apoyo a la gestión, o para la ejecución de trabajos artísticos que solo puedan encomendarse a determinadas personas naturales.</w:t>
      </w:r>
    </w:p>
    <w:p w14:paraId="6019C892" w14:textId="77777777" w:rsidR="00FD6164" w:rsidRPr="00C7507B" w:rsidRDefault="00FD6164" w:rsidP="00FD6164">
      <w:pPr>
        <w:pStyle w:val="Prrafodelista"/>
        <w:rPr>
          <w:rFonts w:ascii="Verdana" w:eastAsia="Calibri" w:hAnsi="Verdana" w:cs="Arial"/>
        </w:rPr>
      </w:pPr>
    </w:p>
    <w:p w14:paraId="58308292"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eastAsia="Calibri" w:hAnsi="Verdana" w:cs="Arial"/>
        </w:rPr>
        <w:t>A partir de las disposiciones citadas, y en virtud de lo analizado en la Sentencia de Unificación Jurisprudencial del 9 de septiembre de 2021, proferida por el Consejo de Estado</w:t>
      </w:r>
      <w:r w:rsidRPr="00C7507B">
        <w:rPr>
          <w:rStyle w:val="Refdenotaalpie"/>
          <w:rFonts w:ascii="Verdana" w:eastAsia="Calibri" w:hAnsi="Verdana" w:cs="Arial"/>
        </w:rPr>
        <w:footnoteReference w:id="1"/>
      </w:r>
      <w:r w:rsidRPr="00C7507B">
        <w:rPr>
          <w:rFonts w:ascii="Verdana" w:eastAsia="Calibri" w:hAnsi="Verdana" w:cs="Arial"/>
        </w:rPr>
        <w:t>, es posible señalar las siguientes características del contrato de prestación de servicios:</w:t>
      </w:r>
    </w:p>
    <w:p w14:paraId="580E0CB4" w14:textId="77777777" w:rsidR="00FD6164" w:rsidRPr="00C7507B" w:rsidRDefault="00FD6164" w:rsidP="00FD6164">
      <w:pPr>
        <w:pStyle w:val="Prrafodelista"/>
        <w:rPr>
          <w:rFonts w:ascii="Verdana" w:eastAsia="Calibri" w:hAnsi="Verdana" w:cs="Arial"/>
        </w:rPr>
      </w:pPr>
    </w:p>
    <w:p w14:paraId="2E0A4449"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eastAsia="Calibri" w:hAnsi="Verdana" w:cs="Arial"/>
        </w:rPr>
        <w:t>i) Solo puede celebrarse para realizar “actividades relacionadas con la administración o funcionamiento de la entidad”, es decir, que hagan parte de su giro ordinario o quehacer cotidiano</w:t>
      </w:r>
      <w:r w:rsidRPr="00C7507B">
        <w:rPr>
          <w:rStyle w:val="Refdenotaalpie"/>
          <w:rFonts w:ascii="Verdana" w:eastAsia="Calibri" w:hAnsi="Verdana" w:cs="Arial"/>
        </w:rPr>
        <w:footnoteReference w:id="2"/>
      </w:r>
      <w:r w:rsidRPr="00C7507B">
        <w:rPr>
          <w:rFonts w:ascii="Verdana" w:eastAsia="Calibri" w:hAnsi="Verdana" w:cs="Arial"/>
        </w:rPr>
        <w:t xml:space="preserve">; </w:t>
      </w:r>
    </w:p>
    <w:p w14:paraId="5AEA77C3" w14:textId="77777777" w:rsidR="00FD6164" w:rsidRPr="00C7507B" w:rsidRDefault="00FD6164" w:rsidP="00FD6164">
      <w:pPr>
        <w:pStyle w:val="Prrafodelista"/>
        <w:rPr>
          <w:rFonts w:ascii="Verdana" w:eastAsia="Calibri" w:hAnsi="Verdana" w:cs="Arial"/>
        </w:rPr>
      </w:pPr>
    </w:p>
    <w:p w14:paraId="70016C79"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eastAsia="Calibri" w:hAnsi="Verdana" w:cs="Arial"/>
        </w:rPr>
        <w:lastRenderedPageBreak/>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01AB48BC" w14:textId="77777777" w:rsidR="00FD6164" w:rsidRPr="00C7507B" w:rsidRDefault="00FD6164" w:rsidP="00FD6164">
      <w:pPr>
        <w:pStyle w:val="Prrafodelista"/>
        <w:rPr>
          <w:rFonts w:ascii="Verdana" w:eastAsia="Calibri" w:hAnsi="Verdana" w:cs="Arial"/>
        </w:rPr>
      </w:pPr>
    </w:p>
    <w:p w14:paraId="231201A1" w14:textId="77777777" w:rsidR="00FD6164" w:rsidRPr="00C7507B" w:rsidRDefault="00FD6164" w:rsidP="00FD6164">
      <w:pPr>
        <w:pStyle w:val="Prrafodelista"/>
        <w:numPr>
          <w:ilvl w:val="0"/>
          <w:numId w:val="30"/>
        </w:numPr>
        <w:spacing w:after="0"/>
        <w:jc w:val="both"/>
        <w:rPr>
          <w:rFonts w:ascii="Verdana" w:eastAsia="Calibri" w:hAnsi="Verdana" w:cs="Arial"/>
        </w:rPr>
      </w:pPr>
      <w:proofErr w:type="spellStart"/>
      <w:r w:rsidRPr="00C7507B">
        <w:rPr>
          <w:rFonts w:ascii="Verdana" w:eastAsia="Calibri" w:hAnsi="Verdana" w:cs="Arial"/>
        </w:rPr>
        <w:t>iii</w:t>
      </w:r>
      <w:proofErr w:type="spellEnd"/>
      <w:r w:rsidRPr="00C7507B">
        <w:rPr>
          <w:rFonts w:ascii="Verdana" w:eastAsia="Calibri" w:hAnsi="Verdana" w:cs="Arial"/>
        </w:rPr>
        <w:t>)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w:t>
      </w:r>
      <w:r w:rsidRPr="00C7507B">
        <w:rPr>
          <w:rStyle w:val="Refdenotaalpie"/>
          <w:rFonts w:ascii="Verdana" w:eastAsia="Calibri" w:hAnsi="Verdana" w:cs="Arial"/>
        </w:rPr>
        <w:footnoteReference w:id="3"/>
      </w:r>
      <w:r w:rsidRPr="00C7507B">
        <w:rPr>
          <w:rFonts w:ascii="Verdana" w:eastAsia="Calibri" w:hAnsi="Verdana" w:cs="Arial"/>
        </w:rPr>
        <w:t>. Por eso, el artículo 32, numeral 3º, de la Ley 80 de 1993 establece que “En ningún caso estos contratos generan relación laboral ni prestaciones sociales”. Este inciso, debe interpretarse en el sentido de que los contratos de prestación de servicios profesionales no pueden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p>
    <w:p w14:paraId="04D55336" w14:textId="77777777" w:rsidR="00FD6164" w:rsidRPr="00C7507B" w:rsidRDefault="00FD6164" w:rsidP="00FD6164">
      <w:pPr>
        <w:pStyle w:val="Prrafodelista"/>
        <w:spacing w:after="0"/>
        <w:jc w:val="both"/>
        <w:rPr>
          <w:rFonts w:ascii="Verdana" w:eastAsia="Calibri" w:hAnsi="Verdana" w:cs="Arial"/>
        </w:rPr>
      </w:pPr>
    </w:p>
    <w:p w14:paraId="06E6014F" w14:textId="77777777" w:rsidR="00FD6164" w:rsidRPr="00C7507B" w:rsidRDefault="00FD6164" w:rsidP="00FD6164">
      <w:pPr>
        <w:pStyle w:val="Prrafodelista"/>
        <w:numPr>
          <w:ilvl w:val="0"/>
          <w:numId w:val="30"/>
        </w:numPr>
        <w:spacing w:after="0"/>
        <w:jc w:val="both"/>
        <w:rPr>
          <w:rFonts w:ascii="Verdana" w:eastAsia="Calibri" w:hAnsi="Verdana" w:cs="Arial"/>
        </w:rPr>
      </w:pPr>
      <w:proofErr w:type="spellStart"/>
      <w:r w:rsidRPr="00C7507B">
        <w:rPr>
          <w:rFonts w:ascii="Verdana" w:eastAsia="Calibri" w:hAnsi="Verdana" w:cs="Arial"/>
        </w:rPr>
        <w:t>iv</w:t>
      </w:r>
      <w:proofErr w:type="spellEnd"/>
      <w:r w:rsidRPr="00C7507B">
        <w:rPr>
          <w:rFonts w:ascii="Verdana" w:eastAsia="Calibri" w:hAnsi="Verdana" w:cs="Arial"/>
        </w:rPr>
        <w:t>) Deben ser temporales. La mencionada Sentencia de Unificación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40CCDA23" w14:textId="77777777" w:rsidR="00FD6164" w:rsidRPr="00C7507B" w:rsidRDefault="00FD6164" w:rsidP="00FD6164">
      <w:pPr>
        <w:pStyle w:val="Prrafodelista"/>
        <w:rPr>
          <w:rFonts w:ascii="Verdana" w:hAnsi="Verdana" w:cs="Arial"/>
          <w:noProof/>
          <w:lang w:val="es-ES_tradnl"/>
        </w:rPr>
      </w:pPr>
    </w:p>
    <w:p w14:paraId="0DD95187"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noProof/>
          <w:lang w:val="es-ES_tradnl"/>
        </w:rPr>
        <w:lastRenderedPageBreak/>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C7507B">
        <w:rPr>
          <w:rFonts w:ascii="Verdana" w:hAnsi="Verdana"/>
          <w:noProof/>
          <w:vertAlign w:val="superscript"/>
        </w:rPr>
        <w:footnoteReference w:id="4"/>
      </w:r>
      <w:r w:rsidRPr="00C7507B">
        <w:rPr>
          <w:rFonts w:ascii="Verdana" w:hAnsi="Verdana" w:cs="Arial"/>
          <w:noProof/>
          <w:lang w:val="es-ES_tradnl"/>
        </w:rPr>
        <w:t>. Esto también se deriva d</w:t>
      </w:r>
      <w:r w:rsidRPr="00C7507B">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65194F3B" w14:textId="77777777" w:rsidR="00FD6164" w:rsidRPr="00C7507B" w:rsidRDefault="00FD6164" w:rsidP="00FD6164">
      <w:pPr>
        <w:pStyle w:val="Prrafodelista"/>
        <w:rPr>
          <w:rFonts w:ascii="Verdana" w:hAnsi="Verdana" w:cs="Arial"/>
          <w:noProof/>
          <w:lang w:val="es-ES_tradnl"/>
        </w:rPr>
      </w:pPr>
    </w:p>
    <w:p w14:paraId="17016433"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noProof/>
          <w:lang w:val="es-ES_tradnl"/>
        </w:rPr>
        <w:t>vi) Para su celebración no se requiere expedir un acto administrativo de justificación de la contratación directa</w:t>
      </w:r>
      <w:r w:rsidRPr="00C7507B">
        <w:rPr>
          <w:rFonts w:ascii="Verdana" w:hAnsi="Verdana"/>
          <w:noProof/>
          <w:vertAlign w:val="superscript"/>
        </w:rPr>
        <w:footnoteReference w:id="5"/>
      </w:r>
      <w:r w:rsidRPr="00C7507B">
        <w:rPr>
          <w:rFonts w:ascii="Verdana" w:hAnsi="Verdana" w:cs="Arial"/>
          <w:noProof/>
          <w:lang w:val="es-ES_tradnl"/>
        </w:rPr>
        <w:t>.</w:t>
      </w:r>
    </w:p>
    <w:p w14:paraId="2B6DC33C" w14:textId="77777777" w:rsidR="00FD6164" w:rsidRPr="00C7507B" w:rsidRDefault="00FD6164" w:rsidP="00FD6164">
      <w:pPr>
        <w:pStyle w:val="Prrafodelista"/>
        <w:rPr>
          <w:rFonts w:ascii="Verdana" w:hAnsi="Verdana" w:cs="Arial"/>
          <w:noProof/>
          <w:lang w:val="es-ES_tradnl"/>
        </w:rPr>
      </w:pPr>
    </w:p>
    <w:p w14:paraId="2CE78BF2"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noProof/>
          <w:lang w:val="es-ES_tradnl"/>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w:t>
      </w:r>
      <w:r w:rsidRPr="00C7507B">
        <w:rPr>
          <w:rFonts w:ascii="Verdana" w:hAnsi="Verdana" w:cs="Arial"/>
          <w:noProof/>
          <w:lang w:val="es-ES_tradnl"/>
        </w:rPr>
        <w:lastRenderedPageBreak/>
        <w:t>de la naturaleza. Así se infiere del artículo 14, numeral 2º, de la Ley 80 de 1993</w:t>
      </w:r>
      <w:r w:rsidRPr="00C7507B">
        <w:rPr>
          <w:rFonts w:ascii="Verdana" w:hAnsi="Verdana"/>
          <w:noProof/>
          <w:vertAlign w:val="superscript"/>
        </w:rPr>
        <w:footnoteReference w:id="6"/>
      </w:r>
      <w:r w:rsidRPr="00C7507B">
        <w:rPr>
          <w:rFonts w:ascii="Verdana" w:hAnsi="Verdana" w:cs="Arial"/>
          <w:noProof/>
          <w:lang w:val="es-ES_tradnl"/>
        </w:rPr>
        <w:t>.</w:t>
      </w:r>
    </w:p>
    <w:p w14:paraId="49F090C4" w14:textId="77777777" w:rsidR="00FD6164" w:rsidRPr="00C7507B" w:rsidRDefault="00FD6164" w:rsidP="00FD6164">
      <w:pPr>
        <w:pStyle w:val="Prrafodelista"/>
        <w:rPr>
          <w:rFonts w:ascii="Verdana" w:hAnsi="Verdana" w:cs="Arial"/>
          <w:noProof/>
          <w:lang w:val="es-ES_tradnl"/>
        </w:rPr>
      </w:pPr>
    </w:p>
    <w:p w14:paraId="2CEE7E7B"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noProof/>
          <w:lang w:val="es-ES_tradnl"/>
        </w:rPr>
        <w:t>viii) No es obligatoria la liquidación de estos contratos, como lo establece el artículo 217 del Decreto 019 de 2012, que modificó el artículo 60 de la Ley 80 de 1993</w:t>
      </w:r>
      <w:r w:rsidRPr="00C7507B">
        <w:rPr>
          <w:rFonts w:ascii="Verdana" w:hAnsi="Verdana"/>
          <w:noProof/>
          <w:vertAlign w:val="superscript"/>
        </w:rPr>
        <w:footnoteReference w:id="7"/>
      </w:r>
      <w:r w:rsidRPr="00C7507B">
        <w:rPr>
          <w:rFonts w:ascii="Verdana" w:hAnsi="Verdana" w:cs="Arial"/>
          <w:noProof/>
          <w:lang w:val="es-ES_tradnl"/>
        </w:rPr>
        <w:t>.</w:t>
      </w:r>
    </w:p>
    <w:p w14:paraId="5476EEE7" w14:textId="77777777" w:rsidR="00FD6164" w:rsidRPr="00C7507B" w:rsidRDefault="00FD6164" w:rsidP="00FD6164">
      <w:pPr>
        <w:pStyle w:val="Prrafodelista"/>
        <w:rPr>
          <w:rFonts w:ascii="Verdana" w:hAnsi="Verdana" w:cs="Arial"/>
          <w:noProof/>
          <w:lang w:val="es-ES_tradnl"/>
        </w:rPr>
      </w:pPr>
    </w:p>
    <w:p w14:paraId="71B7F2ED"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noProof/>
          <w:lang w:val="es-ES_tradnl"/>
        </w:rPr>
        <w:t>ix) Para su celebración el contratista no requiere estar inscrito en el Registro Único de Proponentes –en adelante RUP–, como lo señala el artículo 6 de la Ley 1150 de 2007</w:t>
      </w:r>
      <w:r w:rsidRPr="00C7507B">
        <w:rPr>
          <w:rFonts w:ascii="Verdana" w:hAnsi="Verdana"/>
          <w:noProof/>
          <w:vertAlign w:val="superscript"/>
        </w:rPr>
        <w:footnoteReference w:id="8"/>
      </w:r>
      <w:r w:rsidRPr="00C7507B">
        <w:rPr>
          <w:rFonts w:ascii="Verdana" w:hAnsi="Verdana" w:cs="Arial"/>
          <w:noProof/>
          <w:lang w:val="es-ES_tradnl"/>
        </w:rPr>
        <w:t>.</w:t>
      </w:r>
    </w:p>
    <w:p w14:paraId="38EF543A" w14:textId="77777777" w:rsidR="00FD6164" w:rsidRPr="00C7507B" w:rsidRDefault="00FD6164" w:rsidP="00FD6164">
      <w:pPr>
        <w:pStyle w:val="Prrafodelista"/>
        <w:rPr>
          <w:rFonts w:ascii="Verdana" w:hAnsi="Verdana" w:cs="Arial"/>
          <w:noProof/>
          <w:lang w:val="es-ES_tradnl"/>
        </w:rPr>
      </w:pPr>
    </w:p>
    <w:p w14:paraId="507EFEB9"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noProof/>
          <w:lang w:val="es-ES_tradnl"/>
        </w:rPr>
        <w:t>x) No es obligtoria la exigencia de garantías</w:t>
      </w:r>
      <w:r w:rsidRPr="00C7507B">
        <w:rPr>
          <w:rFonts w:ascii="Verdana" w:hAnsi="Verdana"/>
          <w:noProof/>
          <w:vertAlign w:val="superscript"/>
        </w:rPr>
        <w:footnoteReference w:id="9"/>
      </w:r>
      <w:r w:rsidRPr="00C7507B">
        <w:rPr>
          <w:rFonts w:ascii="Verdana" w:hAnsi="Verdana" w:cs="Arial"/>
          <w:noProof/>
          <w:lang w:val="es-ES_tradnl"/>
        </w:rPr>
        <w:t>.</w:t>
      </w:r>
    </w:p>
    <w:p w14:paraId="32FEEE40" w14:textId="77777777" w:rsidR="00FD6164" w:rsidRPr="00C7507B" w:rsidRDefault="00FD6164" w:rsidP="00FD6164">
      <w:pPr>
        <w:pStyle w:val="Prrafodelista"/>
        <w:rPr>
          <w:rFonts w:ascii="Verdana" w:hAnsi="Verdana" w:cs="Arial"/>
          <w:noProof/>
          <w:lang w:val="es-ES_tradnl"/>
        </w:rPr>
      </w:pPr>
    </w:p>
    <w:p w14:paraId="7906EE6E"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noProof/>
          <w:lang w:val="es-ES_tradnl"/>
        </w:rPr>
        <w:t>xi) Como los demás contratos estatales, se trata de un contrato solemne que debe constar por escrito y debe ser publicado en el SECOP.</w:t>
      </w:r>
    </w:p>
    <w:p w14:paraId="19F5E25B" w14:textId="77777777" w:rsidR="00FD6164" w:rsidRPr="00C7507B" w:rsidRDefault="00FD6164" w:rsidP="00FD6164">
      <w:pPr>
        <w:pStyle w:val="Prrafodelista"/>
        <w:rPr>
          <w:rFonts w:ascii="Verdana" w:hAnsi="Verdana" w:cs="Arial"/>
          <w:color w:val="000000" w:themeColor="text1"/>
        </w:rPr>
      </w:pPr>
    </w:p>
    <w:p w14:paraId="08F98239"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hAnsi="Verdana" w:cs="Arial"/>
          <w:color w:val="000000" w:themeColor="text1"/>
        </w:rPr>
        <w:t xml:space="preserve">Y, </w:t>
      </w:r>
      <w:proofErr w:type="spellStart"/>
      <w:r w:rsidRPr="00C7507B">
        <w:rPr>
          <w:rFonts w:ascii="Verdana" w:hAnsi="Verdana" w:cs="Arial"/>
          <w:color w:val="000000" w:themeColor="text1"/>
        </w:rPr>
        <w:t>xii</w:t>
      </w:r>
      <w:proofErr w:type="spellEnd"/>
      <w:r w:rsidRPr="00C7507B">
        <w:rPr>
          <w:rFonts w:ascii="Verdana" w:hAnsi="Verdana" w:cs="Arial"/>
          <w:color w:val="000000" w:themeColor="text1"/>
        </w:rPr>
        <w:t>) C</w:t>
      </w:r>
      <w:proofErr w:type="spellStart"/>
      <w:r w:rsidRPr="00C7507B">
        <w:rPr>
          <w:rFonts w:ascii="Verdana" w:hAnsi="Verdana" w:cs="Arial"/>
          <w:color w:val="000000" w:themeColor="text1"/>
          <w:lang w:val="es-MX"/>
        </w:rPr>
        <w:t>omo</w:t>
      </w:r>
      <w:proofErr w:type="spellEnd"/>
      <w:r w:rsidRPr="00C7507B">
        <w:rPr>
          <w:rFonts w:ascii="Verdana" w:hAnsi="Verdana" w:cs="Arial"/>
          <w:color w:val="000000" w:themeColor="text1"/>
          <w:lang w:val="es-MX"/>
        </w:rPr>
        <w:t xml:space="preserve"> especies del género </w:t>
      </w:r>
      <w:r w:rsidRPr="00C7507B">
        <w:rPr>
          <w:rFonts w:ascii="Verdana" w:hAnsi="Verdana" w:cs="Arial"/>
          <w:i/>
          <w:color w:val="000000" w:themeColor="text1"/>
          <w:lang w:val="es-MX"/>
        </w:rPr>
        <w:t>prestación de servicios,</w:t>
      </w:r>
      <w:r w:rsidRPr="00C7507B">
        <w:rPr>
          <w:rFonts w:ascii="Verdana" w:hAnsi="Verdana" w:cs="Arial"/>
          <w:color w:val="000000" w:themeColor="text1"/>
          <w:lang w:val="es-MX"/>
        </w:rPr>
        <w:t xml:space="preserve"> se incluyen </w:t>
      </w:r>
      <w:r w:rsidRPr="00C7507B">
        <w:rPr>
          <w:rFonts w:ascii="Verdana" w:hAnsi="Verdana" w:cs="Arial"/>
          <w:color w:val="000000" w:themeColor="text1"/>
          <w:lang w:val="es-ES_tradnl"/>
        </w:rPr>
        <w:t xml:space="preserve">los </w:t>
      </w:r>
      <w:r w:rsidRPr="00C7507B">
        <w:rPr>
          <w:rFonts w:ascii="Verdana" w:hAnsi="Verdana" w:cs="Arial"/>
          <w:i/>
          <w:iCs/>
          <w:color w:val="000000" w:themeColor="text1"/>
          <w:lang w:val="es-ES_tradnl"/>
        </w:rPr>
        <w:t>contratos de prestación de servicios profesionales, los contratos de prestación de servicios de apoyo a la gestión</w:t>
      </w:r>
      <w:r w:rsidRPr="00C7507B">
        <w:rPr>
          <w:rFonts w:ascii="Verdana" w:hAnsi="Verdana" w:cs="Arial"/>
          <w:color w:val="000000" w:themeColor="text1"/>
          <w:lang w:val="es-ES_tradnl"/>
        </w:rPr>
        <w:t xml:space="preserve"> y los </w:t>
      </w:r>
      <w:r w:rsidRPr="00C7507B">
        <w:rPr>
          <w:rFonts w:ascii="Verdana" w:hAnsi="Verdana" w:cs="Arial"/>
          <w:i/>
          <w:iCs/>
          <w:color w:val="000000" w:themeColor="text1"/>
          <w:lang w:val="es-ES_tradnl"/>
        </w:rPr>
        <w:t>contratos de prestación de servicios artísticos que solo pueden encomendarse a determinadas personas naturales</w:t>
      </w:r>
      <w:r w:rsidRPr="00C7507B">
        <w:rPr>
          <w:rFonts w:ascii="Verdana" w:hAnsi="Verdana"/>
          <w:vertAlign w:val="superscript"/>
        </w:rPr>
        <w:footnoteReference w:id="10"/>
      </w:r>
      <w:r w:rsidRPr="00C7507B">
        <w:rPr>
          <w:rFonts w:ascii="Verdana" w:hAnsi="Verdana" w:cs="Arial"/>
          <w:color w:val="000000" w:themeColor="text1"/>
          <w:lang w:val="es-MX"/>
        </w:rPr>
        <w:t xml:space="preserve">. </w:t>
      </w:r>
      <w:r w:rsidRPr="00C7507B">
        <w:rPr>
          <w:rFonts w:ascii="Verdana" w:hAnsi="Verdana" w:cs="Arial"/>
          <w:color w:val="000000" w:themeColor="text1"/>
          <w:lang w:val="es-ES_tradnl"/>
        </w:rPr>
        <w:t xml:space="preserve">La diferencia entre el contrato de prestación de servicios </w:t>
      </w:r>
      <w:r w:rsidRPr="00C7507B">
        <w:rPr>
          <w:rFonts w:ascii="Verdana" w:hAnsi="Verdana" w:cs="Arial"/>
          <w:i/>
          <w:color w:val="000000" w:themeColor="text1"/>
          <w:lang w:val="es-ES_tradnl"/>
        </w:rPr>
        <w:t>profesionales</w:t>
      </w:r>
      <w:r w:rsidRPr="00C7507B">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w:t>
      </w:r>
    </w:p>
    <w:p w14:paraId="67056AEB" w14:textId="77777777" w:rsidR="00FD6164" w:rsidRPr="00C7507B" w:rsidRDefault="00FD6164" w:rsidP="00FD6164">
      <w:pPr>
        <w:pStyle w:val="Prrafodelista"/>
        <w:rPr>
          <w:rFonts w:ascii="Verdana" w:eastAsia="Calibri" w:hAnsi="Verdana" w:cs="Arial"/>
        </w:rPr>
      </w:pPr>
    </w:p>
    <w:p w14:paraId="55E3ABA3" w14:textId="77777777" w:rsidR="00FD6164" w:rsidRPr="00C7507B" w:rsidRDefault="00FD6164" w:rsidP="00FD6164">
      <w:pPr>
        <w:pStyle w:val="Prrafodelista"/>
        <w:numPr>
          <w:ilvl w:val="0"/>
          <w:numId w:val="30"/>
        </w:numPr>
        <w:spacing w:after="0"/>
        <w:jc w:val="both"/>
        <w:rPr>
          <w:rFonts w:ascii="Verdana" w:eastAsia="Calibri" w:hAnsi="Verdana" w:cs="Arial"/>
        </w:rPr>
      </w:pPr>
      <w:r w:rsidRPr="00C7507B">
        <w:rPr>
          <w:rFonts w:ascii="Verdana" w:eastAsia="Calibri" w:hAnsi="Verdana" w:cs="Arial"/>
        </w:rPr>
        <w:t xml:space="preserve">Expuestas las características de los contratos de prestación de servicios y en lo que respecta a la consulta elevada debe complementase el presente concepto señalando que, con la expedición de la Constitución Política de 1991, el Estado colombiano reconoció su deber de brindar una protección reforzada a todas las personas que se hallen en circunstancias de debilidad manifiesta y, en particular, a las personas en situación de debilidad manifiesta por razones de salud. No en vano, las cláusulas abiertas contenidas en los artículos 5, 13, 47, 53 y 95 superiores dan cuenta de un compromiso u obligación, producto del principio de igualdad material y acorde con los fines de un Estado Social de Derecho, consistente en el otorgamiento de un tratamiento preferencial para quienes se encuentren en situación de vulnerabilidad a través de </w:t>
      </w:r>
      <w:r w:rsidRPr="00C7507B">
        <w:rPr>
          <w:rFonts w:ascii="Verdana" w:eastAsia="Calibri" w:hAnsi="Verdana" w:cs="Arial"/>
          <w:i/>
          <w:iCs/>
        </w:rPr>
        <w:t>acciones afirmativas</w:t>
      </w:r>
      <w:r w:rsidRPr="00C7507B">
        <w:rPr>
          <w:rFonts w:ascii="Verdana" w:eastAsia="Calibri" w:hAnsi="Verdana" w:cs="Arial"/>
        </w:rPr>
        <w:t>.</w:t>
      </w:r>
    </w:p>
    <w:p w14:paraId="1A3C6622" w14:textId="77777777" w:rsidR="00FD6164" w:rsidRPr="00C7507B" w:rsidRDefault="00FD6164" w:rsidP="00FD6164">
      <w:pPr>
        <w:pStyle w:val="Prrafodelista"/>
        <w:rPr>
          <w:rFonts w:ascii="Verdana" w:eastAsia="Calibri" w:hAnsi="Verdana" w:cs="Arial"/>
        </w:rPr>
      </w:pPr>
    </w:p>
    <w:p w14:paraId="1A26D8A2" w14:textId="77777777" w:rsidR="00FD6164" w:rsidRPr="00C7507B" w:rsidRDefault="00FD6164" w:rsidP="00FD6164">
      <w:pPr>
        <w:pStyle w:val="Prrafodelista"/>
        <w:numPr>
          <w:ilvl w:val="0"/>
          <w:numId w:val="30"/>
        </w:numPr>
        <w:tabs>
          <w:tab w:val="left" w:pos="426"/>
        </w:tabs>
        <w:spacing w:line="276" w:lineRule="auto"/>
        <w:jc w:val="both"/>
        <w:rPr>
          <w:rFonts w:ascii="Verdana" w:eastAsia="Calibri" w:hAnsi="Verdana" w:cs="Arial"/>
          <w:color w:val="000000"/>
        </w:rPr>
      </w:pPr>
      <w:r w:rsidRPr="00C7507B">
        <w:rPr>
          <w:rFonts w:ascii="Verdana" w:eastAsia="Calibri" w:hAnsi="Verdana" w:cs="Arial"/>
        </w:rPr>
        <w:lastRenderedPageBreak/>
        <w:t xml:space="preserve">Dentro de las mencionadas acciones afirmativas, encontramos a la </w:t>
      </w:r>
      <w:r w:rsidRPr="00C7507B">
        <w:rPr>
          <w:rFonts w:ascii="Verdana" w:eastAsia="Calibri" w:hAnsi="Verdana" w:cs="Arial"/>
          <w:color w:val="000000"/>
        </w:rPr>
        <w:t>estabilidad laboral, vista como un principio mínimo fundamental del derecho al trabajo, que desarrolla el principio de igualdad y el mandato de no discriminación</w:t>
      </w:r>
      <w:r w:rsidRPr="00C7507B">
        <w:rPr>
          <w:rStyle w:val="Refdenotaalpie"/>
          <w:rFonts w:ascii="Verdana" w:eastAsia="Calibri" w:hAnsi="Verdana" w:cs="Arial"/>
          <w:color w:val="000000"/>
        </w:rPr>
        <w:footnoteReference w:id="11"/>
      </w:r>
      <w:r w:rsidRPr="00C7507B">
        <w:rPr>
          <w:rFonts w:ascii="Verdana" w:eastAsia="Calibri" w:hAnsi="Verdana" w:cs="Arial"/>
          <w:color w:val="000000"/>
        </w:rPr>
        <w:t>y el principio de solidaridad social</w:t>
      </w:r>
      <w:r w:rsidRPr="00C7507B">
        <w:rPr>
          <w:rStyle w:val="Refdenotaalpie"/>
          <w:rFonts w:ascii="Verdana" w:eastAsia="Calibri" w:hAnsi="Verdana" w:cs="Arial"/>
          <w:color w:val="000000"/>
        </w:rPr>
        <w:footnoteReference w:id="12"/>
      </w:r>
      <w:r w:rsidRPr="00C7507B">
        <w:rPr>
          <w:rFonts w:ascii="Verdana" w:eastAsia="Calibri" w:hAnsi="Verdana" w:cs="Arial"/>
          <w:color w:val="000000"/>
        </w:rPr>
        <w:t xml:space="preserve">, materializándose a través de distintas garantías, entre las que se cuentan la obligación de dar aviso previo la terminación del vínculo (preavisos) o el pago de indemnizaciones cuando este se produce sin causa justa. Así, el ordenamiento jurídico prevé en cabeza del empleador la obligación de solicitar una autorización a la oficina del trabajo, previa la finalización del vínculo. En caso de obviar o incumplir esta obligación, el despido resulta ineficaz y conduce al reintegro del afectado y al pago de sumas de dinero como indemnización por el daño causado. </w:t>
      </w:r>
    </w:p>
    <w:p w14:paraId="5F516DC1" w14:textId="77777777" w:rsidR="00FD6164" w:rsidRPr="00C7507B" w:rsidRDefault="00FD6164" w:rsidP="00FD6164">
      <w:pPr>
        <w:pStyle w:val="Prrafodelista"/>
        <w:rPr>
          <w:rFonts w:ascii="Verdana" w:eastAsia="Calibri" w:hAnsi="Verdana"/>
          <w:color w:val="000000"/>
        </w:rPr>
      </w:pPr>
    </w:p>
    <w:p w14:paraId="51EC7A13" w14:textId="77777777" w:rsidR="00FD6164" w:rsidRPr="00C7507B" w:rsidRDefault="00FD6164" w:rsidP="00FD6164">
      <w:pPr>
        <w:pStyle w:val="Prrafodelista"/>
        <w:numPr>
          <w:ilvl w:val="0"/>
          <w:numId w:val="30"/>
        </w:numPr>
        <w:tabs>
          <w:tab w:val="left" w:pos="426"/>
        </w:tabs>
        <w:spacing w:line="276" w:lineRule="auto"/>
        <w:jc w:val="both"/>
        <w:rPr>
          <w:rFonts w:ascii="Verdana" w:eastAsia="Calibri" w:hAnsi="Verdana" w:cs="Arial"/>
          <w:color w:val="000000"/>
        </w:rPr>
      </w:pPr>
      <w:r w:rsidRPr="00C7507B">
        <w:rPr>
          <w:rFonts w:ascii="Verdana" w:eastAsia="Calibri" w:hAnsi="Verdana"/>
          <w:color w:val="000000"/>
        </w:rPr>
        <w:t>Ahora bien, en lo que respecta al tema de consulta</w:t>
      </w:r>
      <w:r w:rsidRPr="00C7507B">
        <w:rPr>
          <w:rFonts w:ascii="Verdana" w:hAnsi="Verdana"/>
        </w:rPr>
        <w:t xml:space="preserve"> no hay un desarrollo jurisprudencial sobre las víctimas de la violencia y madres cabezas de hogar, los pronunciamientos han versado respecto la </w:t>
      </w:r>
      <w:r w:rsidRPr="00C7507B">
        <w:rPr>
          <w:rFonts w:ascii="Verdana" w:eastAsia="Calibri" w:hAnsi="Verdana"/>
          <w:i/>
          <w:iCs/>
          <w:color w:val="000000"/>
        </w:rPr>
        <w:t>estabilidad ocupacional reforzada de personas en situación de debilidad manifiesta por razones de salud</w:t>
      </w:r>
      <w:r w:rsidRPr="00C7507B">
        <w:rPr>
          <w:rFonts w:ascii="Verdana" w:eastAsia="Calibri" w:hAnsi="Verdana"/>
          <w:color w:val="000000"/>
        </w:rPr>
        <w:t xml:space="preserve">, que se encuentran sustentadas en la </w:t>
      </w:r>
      <w:bookmarkStart w:id="3" w:name="_Hlk136551465"/>
      <w:r w:rsidRPr="00C7507B">
        <w:rPr>
          <w:rFonts w:ascii="Verdana" w:hAnsi="Verdana"/>
        </w:rPr>
        <w:t>Ley 361 de 1997</w:t>
      </w:r>
      <w:bookmarkEnd w:id="3"/>
      <w:r w:rsidRPr="00C7507B">
        <w:rPr>
          <w:rFonts w:ascii="Verdana" w:hAnsi="Verdana"/>
        </w:rPr>
        <w:t xml:space="preserve">, </w:t>
      </w:r>
      <w:r w:rsidRPr="00C7507B">
        <w:rPr>
          <w:rFonts w:ascii="Verdana" w:hAnsi="Verdana"/>
          <w:i/>
          <w:iCs/>
        </w:rPr>
        <w:t>“Por la cual se establecen mecanismos de integración social de las personas en situación de discapacidad y se dictan otras disposiciones”,</w:t>
      </w:r>
      <w:r w:rsidRPr="00C7507B">
        <w:rPr>
          <w:rFonts w:ascii="Verdana" w:hAnsi="Verdana"/>
        </w:rPr>
        <w:t xml:space="preserve"> especialmente en su  artículo 26 que dispuso que en ningún caso la discapacidad de una persona podrá ser un motivo para terminar su contrato, en los siguientes términos:</w:t>
      </w:r>
    </w:p>
    <w:p w14:paraId="7814197E" w14:textId="77777777" w:rsidR="00FD6164" w:rsidRPr="00C7507B" w:rsidRDefault="00FD6164" w:rsidP="00FD6164">
      <w:pPr>
        <w:pStyle w:val="Prrafodelista"/>
        <w:rPr>
          <w:rFonts w:ascii="Verdana" w:hAnsi="Verdana" w:cs="Arial"/>
          <w:sz w:val="18"/>
          <w:szCs w:val="18"/>
        </w:rPr>
      </w:pPr>
    </w:p>
    <w:p w14:paraId="3622FADF" w14:textId="77777777" w:rsidR="00FD6164" w:rsidRPr="00C7507B" w:rsidRDefault="00FD6164" w:rsidP="00FD6164">
      <w:pPr>
        <w:pStyle w:val="Prrafodelista"/>
        <w:tabs>
          <w:tab w:val="left" w:pos="426"/>
        </w:tabs>
        <w:spacing w:after="0" w:line="240" w:lineRule="auto"/>
        <w:ind w:left="1304" w:right="680"/>
        <w:jc w:val="both"/>
        <w:rPr>
          <w:rFonts w:ascii="Verdana" w:hAnsi="Verdana" w:cs="Arial"/>
          <w:sz w:val="20"/>
          <w:szCs w:val="20"/>
        </w:rPr>
      </w:pPr>
      <w:r w:rsidRPr="00C7507B">
        <w:rPr>
          <w:rFonts w:ascii="Verdana" w:hAnsi="Verdana" w:cs="Arial"/>
          <w:sz w:val="20"/>
          <w:szCs w:val="20"/>
        </w:rPr>
        <w:t xml:space="preserve">“[…] Artículo 26. No discriminación a persona en situación de discapacidad. En ningún caso la discapacidad de una persona podrá ser motivo para obstaculizar una vinculación laboral, a menos que dicha discapacidad sea claramente demostrada como incompatible e insuperable en el cargo que se va a desempeñar. Así mismo, ninguna persona en situación de discapacidad podrá ser despedida o su contrato terminado por razón de su discapacidad, </w:t>
      </w:r>
      <w:r w:rsidRPr="00C7507B">
        <w:rPr>
          <w:rFonts w:ascii="Verdana" w:hAnsi="Verdana" w:cs="Arial"/>
          <w:sz w:val="20"/>
          <w:szCs w:val="20"/>
          <w:u w:val="single" w:color="4D4D4D"/>
        </w:rPr>
        <w:t>salvo que medie autorización de la oficina</w:t>
      </w:r>
      <w:r w:rsidRPr="00C7507B">
        <w:rPr>
          <w:rFonts w:ascii="Verdana" w:hAnsi="Verdana" w:cs="Arial"/>
          <w:sz w:val="20"/>
          <w:szCs w:val="20"/>
        </w:rPr>
        <w:t xml:space="preserve"> </w:t>
      </w:r>
      <w:r w:rsidRPr="00C7507B">
        <w:rPr>
          <w:rFonts w:ascii="Verdana" w:hAnsi="Verdana" w:cs="Arial"/>
          <w:sz w:val="20"/>
          <w:szCs w:val="20"/>
          <w:u w:val="single" w:color="4D4D4D"/>
        </w:rPr>
        <w:t>de Trabajo</w:t>
      </w:r>
      <w:r w:rsidRPr="00C7507B">
        <w:rPr>
          <w:rFonts w:ascii="Verdana" w:hAnsi="Verdana" w:cs="Arial"/>
          <w:sz w:val="20"/>
          <w:szCs w:val="20"/>
        </w:rPr>
        <w:t>.</w:t>
      </w:r>
    </w:p>
    <w:p w14:paraId="76FF1FD7" w14:textId="77777777" w:rsidR="00FD6164" w:rsidRPr="00C7507B" w:rsidRDefault="00FD6164" w:rsidP="00FD6164">
      <w:pPr>
        <w:pStyle w:val="Prrafodelista"/>
        <w:tabs>
          <w:tab w:val="left" w:pos="426"/>
        </w:tabs>
        <w:spacing w:after="0" w:line="240" w:lineRule="auto"/>
        <w:ind w:left="1304" w:right="680"/>
        <w:jc w:val="both"/>
        <w:rPr>
          <w:rFonts w:ascii="Verdana" w:hAnsi="Verdana" w:cs="Arial"/>
          <w:sz w:val="20"/>
          <w:szCs w:val="20"/>
        </w:rPr>
      </w:pPr>
    </w:p>
    <w:p w14:paraId="34756B59" w14:textId="77777777" w:rsidR="00FD6164" w:rsidRPr="00C7507B" w:rsidRDefault="00FD6164" w:rsidP="00FD6164">
      <w:pPr>
        <w:pStyle w:val="Prrafodelista"/>
        <w:tabs>
          <w:tab w:val="left" w:pos="426"/>
        </w:tabs>
        <w:spacing w:after="0" w:line="240" w:lineRule="auto"/>
        <w:ind w:left="1304" w:right="680"/>
        <w:jc w:val="both"/>
        <w:rPr>
          <w:rFonts w:ascii="Verdana" w:hAnsi="Verdana" w:cs="Arial"/>
          <w:sz w:val="20"/>
          <w:szCs w:val="20"/>
        </w:rPr>
      </w:pPr>
      <w:r w:rsidRPr="00C7507B">
        <w:rPr>
          <w:rFonts w:ascii="Verdana" w:hAnsi="Verdana" w:cs="Arial"/>
          <w:sz w:val="20"/>
          <w:szCs w:val="20"/>
        </w:rPr>
        <w:t xml:space="preserve">No obstante, quienes fueren despedidos o su contrato terminado por razón de su discapacidad, sin el cumplimiento del requisito previsto en el inciso anterior, tendrán derecho a una indemnización equivalente a ciento ochenta días del salario, sin perjuicio de las demás prestaciones e indemnizaciones a que hubiere lugar de </w:t>
      </w:r>
      <w:r w:rsidRPr="00C7507B">
        <w:rPr>
          <w:rFonts w:ascii="Verdana" w:hAnsi="Verdana" w:cs="Arial"/>
          <w:sz w:val="20"/>
          <w:szCs w:val="20"/>
        </w:rPr>
        <w:lastRenderedPageBreak/>
        <w:t>acuerdo con el Código Sustantivo del Trabajo y demás normas que lo modifiquen, adicionen, complementen o</w:t>
      </w:r>
      <w:r w:rsidRPr="00C7507B">
        <w:rPr>
          <w:rFonts w:ascii="Verdana" w:hAnsi="Verdana" w:cs="Arial"/>
          <w:spacing w:val="-5"/>
          <w:sz w:val="20"/>
          <w:szCs w:val="20"/>
        </w:rPr>
        <w:t xml:space="preserve"> </w:t>
      </w:r>
      <w:r w:rsidRPr="00C7507B">
        <w:rPr>
          <w:rFonts w:ascii="Verdana" w:hAnsi="Verdana" w:cs="Arial"/>
          <w:sz w:val="20"/>
          <w:szCs w:val="20"/>
        </w:rPr>
        <w:t>aclaren.</w:t>
      </w:r>
      <w:r w:rsidRPr="00C7507B">
        <w:rPr>
          <w:rFonts w:ascii="Verdana" w:hAnsi="Verdana"/>
          <w:sz w:val="20"/>
          <w:szCs w:val="20"/>
        </w:rPr>
        <w:t xml:space="preserve"> </w:t>
      </w:r>
      <w:r w:rsidRPr="00C7507B">
        <w:rPr>
          <w:rFonts w:ascii="Verdana" w:hAnsi="Verdana" w:cs="Arial"/>
          <w:sz w:val="20"/>
          <w:szCs w:val="20"/>
        </w:rPr>
        <w:t>[…]”</w:t>
      </w:r>
    </w:p>
    <w:p w14:paraId="17A41312" w14:textId="77777777" w:rsidR="00FD6164" w:rsidRPr="00C7507B" w:rsidRDefault="00FD6164" w:rsidP="00FD6164">
      <w:pPr>
        <w:pStyle w:val="Prrafodelista"/>
        <w:spacing w:after="0"/>
        <w:jc w:val="both"/>
        <w:rPr>
          <w:rFonts w:ascii="Verdana" w:eastAsia="Calibri" w:hAnsi="Verdana" w:cs="Arial"/>
        </w:rPr>
      </w:pPr>
    </w:p>
    <w:p w14:paraId="0C7C55EF" w14:textId="77777777" w:rsidR="00FD6164" w:rsidRPr="00C7507B" w:rsidRDefault="00FD6164" w:rsidP="00FD6164">
      <w:pPr>
        <w:pStyle w:val="Textoindependiente"/>
        <w:numPr>
          <w:ilvl w:val="0"/>
          <w:numId w:val="31"/>
        </w:numPr>
        <w:spacing w:line="276" w:lineRule="auto"/>
        <w:ind w:right="109"/>
        <w:jc w:val="both"/>
        <w:rPr>
          <w:rFonts w:ascii="Verdana" w:hAnsi="Verdana"/>
        </w:rPr>
      </w:pPr>
      <w:r w:rsidRPr="00C7507B">
        <w:rPr>
          <w:rFonts w:ascii="Verdana" w:hAnsi="Verdana"/>
        </w:rPr>
        <w:t>Tratándose de contratos prestación de servicios la aplicación de lo previamente señalado tiene origen jurisprudencial, a través de sentencias de la Corte Constitucional como la sentencia de Tutela 1210 del 5 de diciembre de 2008, Magistrada ponente Clara Inés Vargas Hernández, que previó la posibilidad que se prediquen ciertas garantías de la relación laboral a los contratos de prestación de servicios tales como, el principio de estabilidad laboral</w:t>
      </w:r>
      <w:r w:rsidRPr="00C7507B">
        <w:rPr>
          <w:rStyle w:val="Refdenotaalpie"/>
          <w:rFonts w:ascii="Verdana" w:hAnsi="Verdana"/>
        </w:rPr>
        <w:footnoteReference w:id="13"/>
      </w:r>
      <w:r w:rsidRPr="00C7507B">
        <w:rPr>
          <w:rFonts w:ascii="Verdana" w:hAnsi="Verdana"/>
        </w:rPr>
        <w:t>.</w:t>
      </w:r>
    </w:p>
    <w:p w14:paraId="18F974BD" w14:textId="77777777" w:rsidR="00FD6164" w:rsidRPr="00C7507B" w:rsidRDefault="00FD6164" w:rsidP="00FD6164">
      <w:pPr>
        <w:pStyle w:val="Textoindependiente"/>
        <w:spacing w:line="276" w:lineRule="auto"/>
        <w:ind w:left="820" w:right="109"/>
        <w:jc w:val="both"/>
        <w:rPr>
          <w:rFonts w:ascii="Verdana" w:hAnsi="Verdana"/>
        </w:rPr>
      </w:pPr>
    </w:p>
    <w:p w14:paraId="35003201" w14:textId="77777777" w:rsidR="00FD6164" w:rsidRPr="00C7507B" w:rsidRDefault="00FD6164" w:rsidP="00FD6164">
      <w:pPr>
        <w:pStyle w:val="Textoindependiente"/>
        <w:numPr>
          <w:ilvl w:val="0"/>
          <w:numId w:val="31"/>
        </w:numPr>
        <w:spacing w:line="276" w:lineRule="auto"/>
        <w:ind w:right="109"/>
        <w:jc w:val="both"/>
        <w:rPr>
          <w:rFonts w:ascii="Verdana" w:hAnsi="Verdana"/>
        </w:rPr>
      </w:pPr>
      <w:r w:rsidRPr="00C7507B">
        <w:rPr>
          <w:rFonts w:ascii="Verdana" w:hAnsi="Verdana"/>
        </w:rPr>
        <w:t>Posteriormente, en la sentencia T-040 de 2016, Magistrado ponente Alejandro Linares Cantillo, protegió el derecho a la estabilidad laboral reforzada a una persona que se le terminó el contrato de prestación de servicios, mientras estaba afectado su estado de salud por encontrarse en una situación de debilidad manifiesta</w:t>
      </w:r>
      <w:r w:rsidRPr="00C7507B">
        <w:rPr>
          <w:rStyle w:val="Refdenotaalpie"/>
          <w:rFonts w:ascii="Verdana" w:hAnsi="Verdana"/>
        </w:rPr>
        <w:footnoteReference w:id="14"/>
      </w:r>
      <w:r w:rsidRPr="00C7507B">
        <w:rPr>
          <w:rFonts w:ascii="Verdana" w:hAnsi="Verdana"/>
        </w:rPr>
        <w:t>. Esta situación se ha reiterado en las sentencias T-490 de 2010 y T-988 de 2012, en las cuales se ha declarado que en los contratos de prestación de servicios no desaparecen los derechos a la estabilidad ocupacional reforzada a quienes se encuentren en una condición de debilidad manifiesta.</w:t>
      </w:r>
    </w:p>
    <w:p w14:paraId="638B24CE" w14:textId="77777777" w:rsidR="00FD6164" w:rsidRPr="00C7507B" w:rsidRDefault="00FD6164" w:rsidP="00FD6164">
      <w:pPr>
        <w:pStyle w:val="Textoindependiente"/>
        <w:spacing w:line="276" w:lineRule="auto"/>
        <w:ind w:right="109"/>
        <w:jc w:val="both"/>
        <w:rPr>
          <w:rFonts w:ascii="Verdana" w:hAnsi="Verdana"/>
        </w:rPr>
      </w:pPr>
    </w:p>
    <w:p w14:paraId="6C0FE7DF" w14:textId="77777777" w:rsidR="00FD6164" w:rsidRPr="00C7507B" w:rsidRDefault="00FD6164" w:rsidP="00FD6164">
      <w:pPr>
        <w:pStyle w:val="Textoindependiente"/>
        <w:numPr>
          <w:ilvl w:val="0"/>
          <w:numId w:val="31"/>
        </w:numPr>
        <w:spacing w:line="276" w:lineRule="auto"/>
        <w:ind w:right="109"/>
        <w:jc w:val="both"/>
        <w:rPr>
          <w:rFonts w:ascii="Verdana" w:hAnsi="Verdana"/>
        </w:rPr>
      </w:pPr>
      <w:r w:rsidRPr="00C7507B">
        <w:rPr>
          <w:rFonts w:ascii="Verdana" w:hAnsi="Verdana"/>
        </w:rPr>
        <w:lastRenderedPageBreak/>
        <w:t xml:space="preserve">Así las cosas, la Corte Constitucional, ha establecido que el derecho a la estabilidad laboral reforzada rige con independencia si la pérdida de calificación laboral es moderada, severa o profunda y además dejo sentada la línea de que dicha figura es aplicable a los contratos de prestación, conociéndose esta como </w:t>
      </w:r>
      <w:r w:rsidRPr="00C7507B">
        <w:rPr>
          <w:rFonts w:ascii="Verdana" w:hAnsi="Verdana"/>
          <w:i/>
          <w:iCs/>
        </w:rPr>
        <w:t>estabilidad ocupacional reforzada</w:t>
      </w:r>
      <w:r w:rsidRPr="00C7507B">
        <w:rPr>
          <w:rFonts w:ascii="Verdana" w:hAnsi="Verdana"/>
        </w:rPr>
        <w:t xml:space="preserve">. Dicho criterio fue reiterado y complementado en la sentencia </w:t>
      </w:r>
      <w:r w:rsidRPr="00C7507B">
        <w:rPr>
          <w:rFonts w:ascii="Verdana" w:eastAsia="Calibri" w:hAnsi="Verdana"/>
          <w:color w:val="000000"/>
        </w:rPr>
        <w:t xml:space="preserve">SU-380 del 3 de noviembre de 2021, donde indicó que </w:t>
      </w:r>
      <w:r w:rsidRPr="00C7507B">
        <w:rPr>
          <w:rFonts w:ascii="Verdana" w:hAnsi="Verdana"/>
        </w:rPr>
        <w:t xml:space="preserve">las personas en situación </w:t>
      </w:r>
      <w:bookmarkStart w:id="4" w:name="_Hlk135925323"/>
      <w:r w:rsidRPr="00C7507B">
        <w:rPr>
          <w:rFonts w:ascii="Verdana" w:hAnsi="Verdana"/>
        </w:rPr>
        <w:t xml:space="preserve">de debilidad manifiesta por razones de salud </w:t>
      </w:r>
      <w:bookmarkEnd w:id="4"/>
      <w:r w:rsidRPr="00C7507B">
        <w:rPr>
          <w:rFonts w:ascii="Verdana" w:hAnsi="Verdana"/>
        </w:rPr>
        <w:t>vinculadas a través de un contrato de prestación de servicios tienen derecho a que se les garantice el derecho fundamental a la estabilidad ocupacional reforzada, y, por lo tanto, se les aplica lo previsto en el artículo 26 de la Ley 361 de 1997.</w:t>
      </w:r>
    </w:p>
    <w:p w14:paraId="393F4B93" w14:textId="77777777" w:rsidR="00FD6164" w:rsidRPr="00C7507B" w:rsidRDefault="00FD6164" w:rsidP="00FD6164">
      <w:pPr>
        <w:pStyle w:val="Prrafodelista"/>
        <w:rPr>
          <w:rFonts w:ascii="Verdana" w:hAnsi="Verdana"/>
        </w:rPr>
      </w:pPr>
    </w:p>
    <w:p w14:paraId="4C432017" w14:textId="77777777" w:rsidR="00FD6164" w:rsidRPr="00C7507B" w:rsidRDefault="00FD6164" w:rsidP="00FD6164">
      <w:pPr>
        <w:pStyle w:val="Textoindependiente"/>
        <w:numPr>
          <w:ilvl w:val="0"/>
          <w:numId w:val="31"/>
        </w:numPr>
        <w:spacing w:line="276" w:lineRule="auto"/>
        <w:ind w:right="109"/>
        <w:jc w:val="both"/>
        <w:rPr>
          <w:rFonts w:ascii="Verdana" w:hAnsi="Verdana"/>
        </w:rPr>
      </w:pPr>
      <w:r w:rsidRPr="00C7507B">
        <w:rPr>
          <w:rFonts w:ascii="Verdana" w:hAnsi="Verdana"/>
        </w:rPr>
        <w:t xml:space="preserve">De esta manera, nuestro ordenamiento jurídico actual contempla que una persona en debilidad manifiesta por razones de salud no se le podrá terminar su contrato de prestación de servicios por razón de su discapacidad o enfermedad, salvo que medie autorización de la oficina de Trabajo, teniendo en cuenta que en dichos casos la presunción de discriminación debe ser desvirtuada por la entidad contratante. Ahora bien, si se le termina el contrato sin el permiso requerido, esta tendrá derecho a una indemnización equivalente a ciento ochenta (180) días del pago de honorarios, como también al </w:t>
      </w:r>
      <w:r w:rsidRPr="00C7507B">
        <w:rPr>
          <w:rFonts w:ascii="Verdana" w:eastAsia="Calibri" w:hAnsi="Verdana"/>
          <w:color w:val="000000"/>
        </w:rPr>
        <w:t>pago de los honorarios dejados de percibir desde la fecha de la terminación del contrato, hasta la renovación de este.</w:t>
      </w:r>
    </w:p>
    <w:p w14:paraId="4632FC74" w14:textId="77777777" w:rsidR="00FD6164" w:rsidRPr="00C7507B" w:rsidRDefault="00FD6164" w:rsidP="00FD6164">
      <w:pPr>
        <w:pStyle w:val="Prrafodelista"/>
        <w:rPr>
          <w:rFonts w:ascii="Verdana" w:hAnsi="Verdana"/>
        </w:rPr>
      </w:pPr>
    </w:p>
    <w:p w14:paraId="2D0BCFC6" w14:textId="77777777" w:rsidR="00FD6164" w:rsidRPr="00C7507B" w:rsidRDefault="00FD6164" w:rsidP="00FD6164">
      <w:pPr>
        <w:pStyle w:val="Textoindependiente"/>
        <w:spacing w:line="276" w:lineRule="auto"/>
        <w:ind w:left="820" w:right="109"/>
        <w:jc w:val="both"/>
        <w:rPr>
          <w:rFonts w:ascii="Verdana" w:hAnsi="Verdana"/>
        </w:rPr>
      </w:pPr>
    </w:p>
    <w:p w14:paraId="392EAC68" w14:textId="77777777" w:rsidR="00FD6164" w:rsidRPr="00C7507B" w:rsidRDefault="00FD6164" w:rsidP="00FD6164">
      <w:pPr>
        <w:numPr>
          <w:ilvl w:val="0"/>
          <w:numId w:val="16"/>
        </w:numPr>
        <w:tabs>
          <w:tab w:val="left" w:pos="142"/>
          <w:tab w:val="left" w:pos="284"/>
        </w:tabs>
        <w:spacing w:after="0" w:line="276" w:lineRule="auto"/>
        <w:ind w:left="0" w:firstLine="0"/>
        <w:jc w:val="both"/>
        <w:rPr>
          <w:rFonts w:ascii="Verdana" w:eastAsia="Times New Roman" w:hAnsi="Verdana" w:cs="Century Gothic"/>
          <w:b/>
          <w:bCs/>
          <w:color w:val="000000"/>
          <w:lang w:val="es-ES"/>
        </w:rPr>
      </w:pPr>
      <w:r w:rsidRPr="00C7507B">
        <w:rPr>
          <w:rFonts w:ascii="Verdana" w:eastAsia="Times New Roman" w:hAnsi="Verdana" w:cs="Century Gothic"/>
          <w:b/>
          <w:bCs/>
          <w:color w:val="000000"/>
          <w:lang w:val="es-ES"/>
        </w:rPr>
        <w:t>Referencias normativas, jurisprudenciales y otras fuentes:</w:t>
      </w:r>
    </w:p>
    <w:p w14:paraId="4E98E494" w14:textId="77777777" w:rsidR="00FD6164" w:rsidRPr="00C7507B" w:rsidRDefault="00FD6164" w:rsidP="00FD6164">
      <w:pPr>
        <w:widowControl w:val="0"/>
        <w:autoSpaceDE w:val="0"/>
        <w:autoSpaceDN w:val="0"/>
        <w:spacing w:after="0" w:line="276" w:lineRule="auto"/>
        <w:jc w:val="both"/>
        <w:rPr>
          <w:rFonts w:ascii="Verdana" w:eastAsia="Times New Roman" w:hAnsi="Verdana" w:cs="Arial"/>
          <w:color w:val="000000"/>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6164" w:rsidRPr="00C7507B" w14:paraId="33F013AE" w14:textId="77777777" w:rsidTr="00EA3A7E">
        <w:trPr>
          <w:trHeight w:val="870"/>
        </w:trPr>
        <w:tc>
          <w:tcPr>
            <w:tcW w:w="8647" w:type="dxa"/>
          </w:tcPr>
          <w:p w14:paraId="5A85D097" w14:textId="77777777" w:rsidR="00FD6164" w:rsidRPr="00C7507B" w:rsidRDefault="00FD6164" w:rsidP="00EA3A7E">
            <w:pPr>
              <w:numPr>
                <w:ilvl w:val="0"/>
                <w:numId w:val="17"/>
              </w:numPr>
              <w:spacing w:line="278" w:lineRule="auto"/>
              <w:contextualSpacing/>
              <w:rPr>
                <w:rFonts w:ascii="Verdana" w:hAnsi="Verdana"/>
                <w:lang w:val="es-ES"/>
              </w:rPr>
            </w:pPr>
            <w:r w:rsidRPr="00C7507B">
              <w:rPr>
                <w:rFonts w:ascii="Verdana" w:hAnsi="Verdana" w:cs="Arial"/>
                <w:color w:val="000000"/>
                <w:lang w:val="es-ES"/>
              </w:rPr>
              <w:t>Artículo 32, de la Ley 80 de 1993</w:t>
            </w:r>
          </w:p>
          <w:p w14:paraId="5AA00DFD" w14:textId="77777777" w:rsidR="00FD6164" w:rsidRPr="00C7507B" w:rsidRDefault="00FD6164" w:rsidP="00EA3A7E">
            <w:pPr>
              <w:numPr>
                <w:ilvl w:val="0"/>
                <w:numId w:val="17"/>
              </w:numPr>
              <w:spacing w:line="278" w:lineRule="auto"/>
              <w:contextualSpacing/>
              <w:rPr>
                <w:rFonts w:ascii="Verdana" w:hAnsi="Verdana"/>
                <w:lang w:val="es-ES"/>
              </w:rPr>
            </w:pPr>
            <w:r w:rsidRPr="00C7507B">
              <w:rPr>
                <w:rFonts w:ascii="Verdana" w:hAnsi="Verdana" w:cs="Arial"/>
                <w:color w:val="000000"/>
                <w:lang w:val="es-ES"/>
              </w:rPr>
              <w:t>Numeral 4 del artículo 2, de la Ley 1150 de 2007</w:t>
            </w:r>
          </w:p>
          <w:p w14:paraId="49459AA5" w14:textId="77777777" w:rsidR="00FD6164" w:rsidRPr="00C7507B" w:rsidRDefault="00FD6164" w:rsidP="00EA3A7E">
            <w:pPr>
              <w:numPr>
                <w:ilvl w:val="0"/>
                <w:numId w:val="17"/>
              </w:numPr>
              <w:spacing w:line="278" w:lineRule="auto"/>
              <w:contextualSpacing/>
              <w:rPr>
                <w:rFonts w:ascii="Verdana" w:hAnsi="Verdana"/>
                <w:lang w:val="es-ES"/>
              </w:rPr>
            </w:pPr>
            <w:r w:rsidRPr="00C7507B">
              <w:rPr>
                <w:rFonts w:ascii="Verdana" w:hAnsi="Verdana" w:cs="Arial"/>
                <w:color w:val="000000"/>
                <w:lang w:val="es-ES"/>
              </w:rPr>
              <w:t xml:space="preserve">Artículo 26 de la </w:t>
            </w:r>
            <w:r w:rsidRPr="00C7507B">
              <w:rPr>
                <w:rFonts w:ascii="Verdana" w:hAnsi="Verdana"/>
                <w:lang w:val="es-ES"/>
              </w:rPr>
              <w:t>Ley 361 de 1997</w:t>
            </w:r>
          </w:p>
          <w:p w14:paraId="0E4A8FD3" w14:textId="77777777" w:rsidR="00FD6164" w:rsidRPr="00C7507B" w:rsidRDefault="00FD6164" w:rsidP="00EA3A7E">
            <w:pPr>
              <w:numPr>
                <w:ilvl w:val="0"/>
                <w:numId w:val="17"/>
              </w:numPr>
              <w:spacing w:line="278" w:lineRule="auto"/>
              <w:contextualSpacing/>
              <w:rPr>
                <w:rFonts w:ascii="Verdana" w:hAnsi="Verdana"/>
                <w:lang w:val="es-ES"/>
              </w:rPr>
            </w:pPr>
            <w:r w:rsidRPr="00C7507B">
              <w:rPr>
                <w:rFonts w:ascii="Verdana" w:hAnsi="Verdana"/>
                <w:lang w:val="es-ES"/>
              </w:rPr>
              <w:t xml:space="preserve">Sentencia de unificación SU-380 del 3 de noviembre de 2021 - Corte Constitucional: </w:t>
            </w:r>
            <w:hyperlink r:id="rId13" w:history="1">
              <w:r w:rsidRPr="00C7507B">
                <w:rPr>
                  <w:rFonts w:ascii="Verdana" w:hAnsi="Verdana"/>
                  <w:color w:val="0000FF"/>
                  <w:u w:val="single"/>
                  <w:lang w:val="es-ES"/>
                </w:rPr>
                <w:t>SU380-21 Corte Constitucional de Colombia</w:t>
              </w:r>
            </w:hyperlink>
            <w:r w:rsidRPr="00C7507B">
              <w:rPr>
                <w:rFonts w:ascii="Verdana" w:hAnsi="Verdana"/>
                <w:lang w:val="es-ES"/>
              </w:rPr>
              <w:t xml:space="preserve"> </w:t>
            </w:r>
          </w:p>
          <w:p w14:paraId="5D7C49FF" w14:textId="77777777" w:rsidR="00FD6164" w:rsidRPr="00C7507B" w:rsidRDefault="00FD6164" w:rsidP="00EA3A7E">
            <w:pPr>
              <w:numPr>
                <w:ilvl w:val="0"/>
                <w:numId w:val="17"/>
              </w:numPr>
              <w:spacing w:line="278" w:lineRule="auto"/>
              <w:contextualSpacing/>
              <w:rPr>
                <w:rFonts w:ascii="Verdana" w:hAnsi="Verdana"/>
                <w:lang w:val="es-ES"/>
              </w:rPr>
            </w:pPr>
            <w:r w:rsidRPr="00C7507B">
              <w:rPr>
                <w:rFonts w:ascii="Verdana" w:hAnsi="Verdana"/>
                <w:lang w:val="es-ES"/>
              </w:rPr>
              <w:t xml:space="preserve">Sentencia T-208 de 6 de junio de 2024: </w:t>
            </w:r>
            <w:hyperlink r:id="rId14" w:history="1">
              <w:r w:rsidRPr="00C7507B">
                <w:rPr>
                  <w:rFonts w:ascii="Verdana" w:hAnsi="Verdana"/>
                  <w:color w:val="0000FF"/>
                  <w:u w:val="single"/>
                  <w:lang w:val="es-ES"/>
                </w:rPr>
                <w:t>T-208-24 Corte Constitucional de Colombia</w:t>
              </w:r>
            </w:hyperlink>
          </w:p>
          <w:p w14:paraId="042FAC42" w14:textId="77777777" w:rsidR="00FD6164" w:rsidRPr="00C7507B" w:rsidRDefault="00FD6164" w:rsidP="00EA3A7E">
            <w:pPr>
              <w:numPr>
                <w:ilvl w:val="0"/>
                <w:numId w:val="17"/>
              </w:numPr>
              <w:spacing w:line="278" w:lineRule="auto"/>
              <w:contextualSpacing/>
              <w:rPr>
                <w:rFonts w:ascii="Verdana" w:hAnsi="Verdana"/>
                <w:lang w:val="es-ES"/>
              </w:rPr>
            </w:pPr>
            <w:r w:rsidRPr="00C7507B">
              <w:rPr>
                <w:rFonts w:ascii="Verdana" w:eastAsia="Yu Gothic UI Semibold" w:hAnsi="Verdana" w:cs="Arial"/>
                <w:iCs/>
                <w:lang w:val="es-ES" w:eastAsia="es-MX"/>
              </w:rPr>
              <w:t xml:space="preserve">Sentencia T-094 de 10 de abril de 2023: </w:t>
            </w:r>
            <w:hyperlink r:id="rId15" w:history="1">
              <w:r w:rsidRPr="00C7507B">
                <w:rPr>
                  <w:rFonts w:ascii="Verdana" w:eastAsia="Yu Gothic UI Semibold" w:hAnsi="Verdana" w:cs="Arial"/>
                  <w:iCs/>
                  <w:color w:val="0000FF"/>
                  <w:u w:val="single"/>
                  <w:lang w:val="es-ES" w:eastAsia="es-MX"/>
                </w:rPr>
                <w:t>T-094-23 Corte Constitucional de Colombia</w:t>
              </w:r>
            </w:hyperlink>
            <w:r w:rsidRPr="00C7507B">
              <w:rPr>
                <w:rFonts w:ascii="Verdana" w:eastAsia="Yu Gothic UI Semibold" w:hAnsi="Verdana" w:cs="Arial"/>
                <w:iCs/>
                <w:lang w:val="es-ES" w:eastAsia="es-MX"/>
              </w:rPr>
              <w:t xml:space="preserve"> </w:t>
            </w:r>
          </w:p>
        </w:tc>
      </w:tr>
    </w:tbl>
    <w:p w14:paraId="1C2FBA6D" w14:textId="77777777" w:rsidR="00FD6164" w:rsidRPr="00C7507B" w:rsidRDefault="00FD6164" w:rsidP="00FD6164">
      <w:pPr>
        <w:widowControl w:val="0"/>
        <w:autoSpaceDE w:val="0"/>
        <w:autoSpaceDN w:val="0"/>
        <w:spacing w:after="0" w:line="276" w:lineRule="auto"/>
        <w:jc w:val="both"/>
        <w:rPr>
          <w:rFonts w:ascii="Verdana" w:hAnsi="Verdana" w:cs="Arial"/>
          <w:lang w:val="es-ES_tradnl"/>
        </w:rPr>
      </w:pPr>
    </w:p>
    <w:p w14:paraId="6E0FB49F" w14:textId="77777777" w:rsidR="00FD6164" w:rsidRPr="00C7507B" w:rsidRDefault="00FD6164" w:rsidP="00FD6164">
      <w:pPr>
        <w:widowControl w:val="0"/>
        <w:autoSpaceDE w:val="0"/>
        <w:autoSpaceDN w:val="0"/>
        <w:spacing w:after="0" w:line="276" w:lineRule="auto"/>
        <w:jc w:val="both"/>
        <w:rPr>
          <w:rFonts w:ascii="Verdana" w:hAnsi="Verdana" w:cs="Arial"/>
        </w:rPr>
      </w:pPr>
    </w:p>
    <w:p w14:paraId="6B912D79" w14:textId="77777777" w:rsidR="00FD6164" w:rsidRPr="00C7507B" w:rsidRDefault="00FD6164" w:rsidP="00FD6164">
      <w:pPr>
        <w:widowControl w:val="0"/>
        <w:autoSpaceDE w:val="0"/>
        <w:autoSpaceDN w:val="0"/>
        <w:spacing w:after="0" w:line="276" w:lineRule="auto"/>
        <w:jc w:val="both"/>
        <w:rPr>
          <w:rFonts w:ascii="Verdana" w:hAnsi="Verdana" w:cs="Arial"/>
        </w:rPr>
      </w:pPr>
    </w:p>
    <w:p w14:paraId="3B8A6295" w14:textId="77777777" w:rsidR="00FD6164" w:rsidRPr="00C7507B" w:rsidRDefault="00FD6164" w:rsidP="00FD61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7507B">
        <w:rPr>
          <w:rFonts w:ascii="Verdana" w:eastAsia="Century Gothic" w:hAnsi="Verdana" w:cs="Century Gothic"/>
          <w:b/>
          <w:bCs/>
        </w:rPr>
        <w:t>Doctrina de la Agencia Nacional de Contratación Pública:</w:t>
      </w:r>
    </w:p>
    <w:p w14:paraId="46F4D00F" w14:textId="77777777" w:rsidR="00FD6164" w:rsidRPr="00C7507B" w:rsidRDefault="00FD6164" w:rsidP="00FD6164">
      <w:pPr>
        <w:widowControl w:val="0"/>
        <w:autoSpaceDE w:val="0"/>
        <w:autoSpaceDN w:val="0"/>
        <w:spacing w:after="0" w:line="276" w:lineRule="auto"/>
        <w:jc w:val="both"/>
        <w:rPr>
          <w:rStyle w:val="normaltextrun"/>
          <w:rFonts w:ascii="Verdana" w:hAnsi="Verdana" w:cs="Arial"/>
          <w:shd w:val="clear" w:color="auto" w:fill="FFFFFF"/>
          <w:lang w:val="es-ES"/>
        </w:rPr>
      </w:pPr>
    </w:p>
    <w:p w14:paraId="38DEB8CD" w14:textId="77777777" w:rsidR="00FD6164" w:rsidRPr="00C7507B" w:rsidRDefault="00FD6164" w:rsidP="00FD6164">
      <w:pPr>
        <w:widowControl w:val="0"/>
        <w:autoSpaceDE w:val="0"/>
        <w:autoSpaceDN w:val="0"/>
        <w:spacing w:after="0" w:line="276" w:lineRule="auto"/>
        <w:jc w:val="both"/>
        <w:rPr>
          <w:rFonts w:ascii="Verdana" w:hAnsi="Verdana" w:cs="Arial"/>
        </w:rPr>
      </w:pPr>
    </w:p>
    <w:p w14:paraId="536452C9" w14:textId="77777777" w:rsidR="00FD6164" w:rsidRPr="00C7507B" w:rsidRDefault="00FD6164" w:rsidP="00FD6164">
      <w:pPr>
        <w:widowControl w:val="0"/>
        <w:autoSpaceDE w:val="0"/>
        <w:autoSpaceDN w:val="0"/>
        <w:spacing w:after="0" w:line="276" w:lineRule="auto"/>
        <w:jc w:val="both"/>
        <w:rPr>
          <w:rFonts w:ascii="Verdana" w:hAnsi="Verdana"/>
          <w:color w:val="000000"/>
          <w:bdr w:val="none" w:sz="0" w:space="0" w:color="auto" w:frame="1"/>
        </w:rPr>
      </w:pPr>
      <w:r w:rsidRPr="00C7507B">
        <w:rPr>
          <w:rFonts w:ascii="Verdana" w:eastAsia="Times New Roman" w:hAnsi="Verdana" w:cs="Arial"/>
          <w:color w:val="000000"/>
          <w:shd w:val="clear" w:color="auto" w:fill="FFFFFF"/>
          <w:lang w:val="es-ES"/>
        </w:rPr>
        <w:t xml:space="preserve">La Agencia Nacional de Contratación Pública – Colombia Compra Eficiente se  ha pronunciado </w:t>
      </w:r>
      <w:r w:rsidRPr="00C7507B">
        <w:rPr>
          <w:rFonts w:ascii="Verdana" w:eastAsia="Times New Roman" w:hAnsi="Verdana" w:cs="Arial"/>
          <w:color w:val="000000"/>
          <w:shd w:val="clear" w:color="auto" w:fill="FFFFFF"/>
        </w:rPr>
        <w:t>en relación</w:t>
      </w:r>
      <w:r w:rsidRPr="00C7507B">
        <w:rPr>
          <w:rFonts w:ascii="Verdana" w:hAnsi="Verdana" w:cs="Arial"/>
          <w:lang w:val="es-ES"/>
        </w:rPr>
        <w:t xml:space="preserve"> con  la estabilidad ocupacional reforzada en los conceptos </w:t>
      </w:r>
      <w:r w:rsidRPr="00C7507B">
        <w:rPr>
          <w:rFonts w:ascii="Verdana" w:hAnsi="Verdana" w:cs="Arial"/>
        </w:rPr>
        <w:t xml:space="preserve">Nos. </w:t>
      </w:r>
      <w:r w:rsidRPr="00C7507B">
        <w:rPr>
          <w:rStyle w:val="normaltextrun"/>
          <w:rFonts w:ascii="Verdana" w:hAnsi="Verdana"/>
          <w:color w:val="000000"/>
          <w:bdr w:val="none" w:sz="0" w:space="0" w:color="auto" w:frame="1"/>
        </w:rPr>
        <w:t xml:space="preserve">C-770 del del 7 de diciembre de 2022, C-712 del 7 de diciembre de 2022, C-789 del 22 de noviembre de 2022, C-031 del 17 de marzo de 2023, C-213 de 26 de junio de 2023, C-439 del 20 de octubre de 2023 y C-463 del 22 de noviembre de 2023, C-076 del 08 de julio del 2024, C-015 del 02 de marzo del 2024, C-300 del 21 de agosto del 2024 y C-556 del 17 de octubre del 2024. </w:t>
      </w:r>
      <w:r w:rsidRPr="00C7507B">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tooltip="Dirección URL original: https://relatoria.colombiacompra.gov.co/. Haga clic o pulse si confía en este vínculo." w:history="1">
        <w:r w:rsidRPr="00C7507B">
          <w:rPr>
            <w:rStyle w:val="Hipervnculo"/>
            <w:rFonts w:ascii="Verdana" w:hAnsi="Verdana" w:cs="Arial"/>
            <w:shd w:val="clear" w:color="auto" w:fill="FFFFFF"/>
          </w:rPr>
          <w:t>https://relatoria.colombiacompra.gov.co/</w:t>
        </w:r>
      </w:hyperlink>
      <w:r w:rsidRPr="00C7507B">
        <w:rPr>
          <w:rFonts w:ascii="Verdana" w:hAnsi="Verdana" w:cs="Arial"/>
          <w:shd w:val="clear" w:color="auto" w:fill="FFFFFF"/>
        </w:rPr>
        <w:t>.</w:t>
      </w:r>
    </w:p>
    <w:p w14:paraId="4AC8B958" w14:textId="77777777" w:rsidR="00FD6164" w:rsidRPr="00C7507B" w:rsidRDefault="00FD6164" w:rsidP="00FD6164">
      <w:pPr>
        <w:widowControl w:val="0"/>
        <w:autoSpaceDE w:val="0"/>
        <w:autoSpaceDN w:val="0"/>
        <w:spacing w:after="0" w:line="276" w:lineRule="auto"/>
        <w:jc w:val="both"/>
        <w:rPr>
          <w:rFonts w:ascii="Verdana" w:eastAsia="Calibri" w:hAnsi="Verdana"/>
        </w:rPr>
      </w:pPr>
      <w:r w:rsidRPr="00C7507B">
        <w:rPr>
          <w:rFonts w:ascii="Verdana" w:eastAsia="Calibri" w:hAnsi="Verdana"/>
        </w:rPr>
        <w:br/>
      </w:r>
      <w:r w:rsidRPr="00C7507B">
        <w:rPr>
          <w:rFonts w:ascii="Verdana" w:eastAsia="Calibri" w:hAnsi="Verdana"/>
        </w:rPr>
        <w:br/>
        <w:t>Por otra parte, 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17B3405" w14:textId="77777777" w:rsidR="00FD6164" w:rsidRPr="00C7507B" w:rsidRDefault="00FD6164" w:rsidP="00FD6164">
      <w:pPr>
        <w:widowControl w:val="0"/>
        <w:autoSpaceDE w:val="0"/>
        <w:autoSpaceDN w:val="0"/>
        <w:spacing w:after="0" w:line="276" w:lineRule="auto"/>
        <w:jc w:val="both"/>
        <w:rPr>
          <w:rFonts w:ascii="Verdana" w:eastAsia="Calibri" w:hAnsi="Verdana"/>
        </w:rPr>
      </w:pPr>
    </w:p>
    <w:p w14:paraId="3E876F7F" w14:textId="77777777" w:rsidR="00FD6164" w:rsidRPr="00C7507B" w:rsidRDefault="00FD6164" w:rsidP="00FD6164">
      <w:pPr>
        <w:widowControl w:val="0"/>
        <w:numPr>
          <w:ilvl w:val="0"/>
          <w:numId w:val="19"/>
        </w:numPr>
        <w:autoSpaceDE w:val="0"/>
        <w:autoSpaceDN w:val="0"/>
        <w:spacing w:after="0" w:line="276" w:lineRule="auto"/>
        <w:jc w:val="both"/>
        <w:rPr>
          <w:rFonts w:ascii="Verdana" w:eastAsia="Calibri" w:hAnsi="Verdana"/>
        </w:rPr>
      </w:pPr>
      <w:r w:rsidRPr="00C7507B">
        <w:rPr>
          <w:rFonts w:ascii="Verdana" w:eastAsia="Calibri" w:hAnsi="Verdana"/>
          <w:b/>
          <w:bCs/>
        </w:rPr>
        <w:t>Documentos tipo para los procesos de selección de interventoría de obra pública de infraestructura de transporte – versión 3: </w:t>
      </w:r>
      <w:hyperlink r:id="rId17" w:tooltip="Dirección URL original: https://www.colombiacompra.gov.co/content/03-documentos-tipo-para-los-procesos-de-seleccion-de-interventoria-de-obra-publica-de. Haga clic o pulse si confía en este vínculo." w:history="1">
        <w:r w:rsidRPr="00C7507B">
          <w:rPr>
            <w:rStyle w:val="Hipervnculo"/>
            <w:rFonts w:ascii="Verdana" w:eastAsia="Calibri" w:hAnsi="Verdana"/>
          </w:rPr>
          <w:t>03. Documentos tipo para los procesos de selección de interventoría de obra pública de infraestructura de transporte – versión 3 | Colombia Compra Eficiente | Agencia Nacional de Contratación Pública</w:t>
        </w:r>
      </w:hyperlink>
    </w:p>
    <w:p w14:paraId="6CCD2025" w14:textId="77777777" w:rsidR="00FD6164" w:rsidRPr="00C7507B" w:rsidRDefault="00FD6164" w:rsidP="00FD6164">
      <w:pPr>
        <w:widowControl w:val="0"/>
        <w:numPr>
          <w:ilvl w:val="0"/>
          <w:numId w:val="19"/>
        </w:numPr>
        <w:autoSpaceDE w:val="0"/>
        <w:autoSpaceDN w:val="0"/>
        <w:spacing w:after="0" w:line="276" w:lineRule="auto"/>
        <w:jc w:val="both"/>
        <w:rPr>
          <w:rFonts w:ascii="Verdana" w:eastAsia="Calibri" w:hAnsi="Verdana"/>
        </w:rPr>
      </w:pPr>
      <w:r w:rsidRPr="00C7507B">
        <w:rPr>
          <w:rFonts w:ascii="Verdana" w:eastAsia="Calibri" w:hAnsi="Verdana"/>
          <w:b/>
          <w:bCs/>
        </w:rPr>
        <w:t>Documentos tipo para los procesos de selección de consultoría de obra pública de infraestructura de transporte – versión 2:</w:t>
      </w:r>
      <w:r w:rsidRPr="00C7507B">
        <w:rPr>
          <w:rFonts w:ascii="Verdana" w:eastAsia="Calibri" w:hAnsi="Verdana"/>
        </w:rPr>
        <w:t> </w:t>
      </w:r>
      <w:hyperlink r:id="rId18" w:tooltip="Dirección URL original: https://www.colombiacompra.gov.co/content/02-documentos-tipo-para-los-procesos-de-seleccion-de-consultoria-de-obra-publica-de. Haga clic o pulse si confía en este vínculo." w:history="1">
        <w:r w:rsidRPr="00C7507B">
          <w:rPr>
            <w:rStyle w:val="Hipervnculo"/>
            <w:rFonts w:ascii="Verdana" w:eastAsia="Calibri" w:hAnsi="Verdana"/>
          </w:rPr>
          <w:t>02. Documentos tipo para los procesos de selección de consultoría de obra pública de infraestructura de transporte – versión 2. | Colombia Compra Eficiente | Agencia Nacional de Contratación Pública</w:t>
        </w:r>
      </w:hyperlink>
      <w:r w:rsidRPr="00C7507B">
        <w:rPr>
          <w:rFonts w:ascii="Verdana" w:eastAsia="Calibri" w:hAnsi="Verdana"/>
        </w:rPr>
        <w:t>.</w:t>
      </w:r>
    </w:p>
    <w:p w14:paraId="14571073" w14:textId="77777777" w:rsidR="00FD6164" w:rsidRPr="00C7507B" w:rsidRDefault="00FD6164" w:rsidP="00FD6164">
      <w:pPr>
        <w:widowControl w:val="0"/>
        <w:autoSpaceDE w:val="0"/>
        <w:autoSpaceDN w:val="0"/>
        <w:spacing w:after="0" w:line="276" w:lineRule="auto"/>
        <w:ind w:left="720"/>
        <w:jc w:val="both"/>
        <w:rPr>
          <w:rFonts w:ascii="Verdana" w:eastAsia="Calibri" w:hAnsi="Verdana"/>
        </w:rPr>
      </w:pPr>
    </w:p>
    <w:p w14:paraId="6B1EB98E" w14:textId="77777777" w:rsidR="00FD6164" w:rsidRPr="00C7507B" w:rsidRDefault="00FD6164" w:rsidP="00FD6164">
      <w:pPr>
        <w:widowControl w:val="0"/>
        <w:autoSpaceDE w:val="0"/>
        <w:autoSpaceDN w:val="0"/>
        <w:spacing w:after="0" w:line="276" w:lineRule="auto"/>
        <w:jc w:val="both"/>
        <w:rPr>
          <w:rFonts w:ascii="Verdana" w:eastAsia="Calibri" w:hAnsi="Verdana"/>
        </w:rPr>
      </w:pPr>
      <w:r w:rsidRPr="00C7507B">
        <w:rPr>
          <w:rFonts w:ascii="Verdana" w:eastAsia="Calibri" w:hAnsi="Verdana"/>
        </w:rPr>
        <w:t>También, te contamos que ya publicamos </w:t>
      </w:r>
      <w:r w:rsidRPr="00C7507B">
        <w:rPr>
          <w:rFonts w:ascii="Verdana" w:eastAsia="Calibri" w:hAnsi="Verdana"/>
          <w:b/>
          <w:bCs/>
        </w:rPr>
        <w:t>la nueva Guía de Contratación Pública Sostenible y Socialmente Responsable</w:t>
      </w:r>
      <w:r w:rsidRPr="00C7507B">
        <w:rPr>
          <w:rFonts w:ascii="Verdana" w:eastAsia="Calibri" w:hAnsi="Verdana"/>
        </w:rPr>
        <w:t xml:space="preserve">. Esta guía es un instrumento clave para integrar buenas prácticas en la contratación estatal, promoviendo los </w:t>
      </w:r>
      <w:r w:rsidRPr="00C7507B">
        <w:rPr>
          <w:rFonts w:ascii="Verdana" w:eastAsia="Calibri" w:hAnsi="Verdana"/>
        </w:rPr>
        <w:lastRenderedPageBreak/>
        <w:t>Objetivos de Desarrollo Sostenible (ODS) a través de criterios y obligaciones ambientales y sociales en todas las etapas del proceso. Puede consultar la guía en el siguiente enlace: </w:t>
      </w:r>
      <w:hyperlink r:id="rId19" w:tooltip="Dirección URL original: https://www.colombiacompra.gov.co/manuales-guias-y-pliegos-tipo/manuales-y-guias/guia-de-contratacion-publica-sostenible-y-socialmente. Haga clic o pulse si confía en este vínculo." w:history="1">
        <w:r w:rsidRPr="00C7507B">
          <w:rPr>
            <w:rStyle w:val="Hipervnculo"/>
            <w:rFonts w:ascii="Verdana" w:eastAsia="Calibri" w:hAnsi="Verdana"/>
          </w:rPr>
          <w:t>Guía de Contratación Pública Sostenible y Socialmente Responsable | Colombia Compra Eficiente | Agencia Nacional de Contratación Pública</w:t>
        </w:r>
      </w:hyperlink>
    </w:p>
    <w:p w14:paraId="14C17C1E" w14:textId="77777777" w:rsidR="00FD6164" w:rsidRPr="00C7507B" w:rsidRDefault="00FD6164" w:rsidP="00FD6164">
      <w:pPr>
        <w:widowControl w:val="0"/>
        <w:autoSpaceDE w:val="0"/>
        <w:autoSpaceDN w:val="0"/>
        <w:spacing w:after="0" w:line="276" w:lineRule="auto"/>
        <w:jc w:val="both"/>
        <w:rPr>
          <w:rFonts w:ascii="Verdana" w:eastAsia="Calibri" w:hAnsi="Verdana" w:cs="Arial"/>
        </w:rPr>
      </w:pPr>
    </w:p>
    <w:p w14:paraId="5DC3445E" w14:textId="77777777" w:rsidR="00FD6164" w:rsidRPr="00C7507B" w:rsidRDefault="00FD6164" w:rsidP="00FD6164">
      <w:pPr>
        <w:spacing w:after="0" w:line="276" w:lineRule="auto"/>
        <w:jc w:val="both"/>
        <w:rPr>
          <w:rFonts w:ascii="Verdana" w:eastAsia="Calibri" w:hAnsi="Verdana" w:cs="Arial"/>
          <w:lang w:val="es-ES_tradnl"/>
        </w:rPr>
      </w:pPr>
      <w:r w:rsidRPr="00C7507B">
        <w:rPr>
          <w:rFonts w:ascii="Verdana" w:eastAsia="Calibri" w:hAnsi="Verdana" w:cs="Arial"/>
          <w:lang w:val="es-ES_tradnl"/>
        </w:rPr>
        <w:t xml:space="preserve">Por último, lo invitamos a seguirnos en las redes sociales en las cuales se difunde información institucional: </w:t>
      </w:r>
    </w:p>
    <w:p w14:paraId="2722B034" w14:textId="77777777" w:rsidR="00FD6164" w:rsidRPr="00C7507B" w:rsidRDefault="00FD6164" w:rsidP="00FD6164">
      <w:pPr>
        <w:spacing w:after="0" w:line="276" w:lineRule="auto"/>
        <w:jc w:val="both"/>
        <w:rPr>
          <w:rFonts w:ascii="Verdana" w:eastAsia="Calibri" w:hAnsi="Verdana" w:cs="Arial"/>
          <w:lang w:val="es-ES_tradnl"/>
        </w:rPr>
      </w:pPr>
    </w:p>
    <w:p w14:paraId="78CE7D80" w14:textId="77777777" w:rsidR="00FD6164" w:rsidRPr="00C7507B" w:rsidRDefault="00FD6164" w:rsidP="00FD6164">
      <w:pPr>
        <w:spacing w:after="0" w:line="276" w:lineRule="auto"/>
        <w:jc w:val="both"/>
        <w:rPr>
          <w:rFonts w:ascii="Verdana" w:eastAsia="Calibri" w:hAnsi="Verdana" w:cs="Arial"/>
          <w:lang w:val="es-ES_tradnl"/>
        </w:rPr>
      </w:pPr>
      <w:r w:rsidRPr="00C7507B">
        <w:rPr>
          <w:rFonts w:ascii="Verdana" w:eastAsia="Calibri" w:hAnsi="Verdana" w:cs="Arial"/>
          <w:lang w:val="es-ES_tradnl"/>
        </w:rPr>
        <w:t xml:space="preserve">Twitter: @colombiacompra </w:t>
      </w:r>
    </w:p>
    <w:p w14:paraId="24B183B3" w14:textId="77777777" w:rsidR="00FD6164" w:rsidRPr="00C7507B" w:rsidRDefault="00FD6164" w:rsidP="00FD6164">
      <w:pPr>
        <w:spacing w:after="0" w:line="276" w:lineRule="auto"/>
        <w:jc w:val="both"/>
        <w:rPr>
          <w:rFonts w:ascii="Verdana" w:eastAsia="Calibri" w:hAnsi="Verdana" w:cs="Arial"/>
          <w:lang w:val="es-ES"/>
        </w:rPr>
      </w:pPr>
      <w:r w:rsidRPr="00C7507B">
        <w:rPr>
          <w:rFonts w:ascii="Verdana" w:eastAsia="Calibri" w:hAnsi="Verdana" w:cs="Arial"/>
          <w:lang w:val="es-ES"/>
        </w:rPr>
        <w:t xml:space="preserve">Facebook: </w:t>
      </w:r>
      <w:proofErr w:type="spellStart"/>
      <w:r w:rsidRPr="00C7507B">
        <w:rPr>
          <w:rFonts w:ascii="Verdana" w:eastAsia="Calibri" w:hAnsi="Verdana" w:cs="Arial"/>
          <w:lang w:val="es-ES"/>
        </w:rPr>
        <w:t>ColombiaCompraEficiente</w:t>
      </w:r>
      <w:proofErr w:type="spellEnd"/>
    </w:p>
    <w:p w14:paraId="49162898" w14:textId="77777777" w:rsidR="00FD6164" w:rsidRPr="00C7507B" w:rsidRDefault="00FD6164" w:rsidP="00FD6164">
      <w:pPr>
        <w:spacing w:after="0" w:line="276" w:lineRule="auto"/>
        <w:jc w:val="both"/>
        <w:rPr>
          <w:rFonts w:ascii="Verdana" w:eastAsia="Calibri" w:hAnsi="Verdana" w:cs="Arial"/>
          <w:lang w:val="es-ES_tradnl"/>
        </w:rPr>
      </w:pPr>
      <w:r w:rsidRPr="00C7507B">
        <w:rPr>
          <w:rFonts w:ascii="Verdana" w:eastAsia="Calibri" w:hAnsi="Verdana" w:cs="Arial"/>
          <w:lang w:val="es-ES_tradnl"/>
        </w:rPr>
        <w:t>LinkedIn: Agencia Nacional de Contratación Pública - Colombia Compra Eficiente Instagram: @colombiacompraeficiente_cce</w:t>
      </w:r>
    </w:p>
    <w:p w14:paraId="72201C64" w14:textId="77777777" w:rsidR="00FD6164" w:rsidRPr="00C7507B" w:rsidRDefault="00FD6164" w:rsidP="00FD6164">
      <w:pPr>
        <w:widowControl w:val="0"/>
        <w:autoSpaceDE w:val="0"/>
        <w:autoSpaceDN w:val="0"/>
        <w:spacing w:after="0" w:line="276" w:lineRule="auto"/>
        <w:jc w:val="both"/>
        <w:rPr>
          <w:rFonts w:ascii="Verdana" w:eastAsia="Calibri" w:hAnsi="Verdana" w:cs="Arial"/>
          <w:lang w:val="es-ES_tradnl"/>
        </w:rPr>
      </w:pPr>
    </w:p>
    <w:p w14:paraId="54EE2BFA" w14:textId="77777777" w:rsidR="00FD6164" w:rsidRPr="00C7507B" w:rsidRDefault="00FD6164" w:rsidP="00FD6164">
      <w:pPr>
        <w:widowControl w:val="0"/>
        <w:autoSpaceDE w:val="0"/>
        <w:autoSpaceDN w:val="0"/>
        <w:spacing w:after="0" w:line="276" w:lineRule="auto"/>
        <w:jc w:val="both"/>
        <w:rPr>
          <w:rFonts w:ascii="Verdana" w:hAnsi="Verdana" w:cs="Arial"/>
          <w:lang w:val="es-ES_tradnl"/>
        </w:rPr>
      </w:pPr>
      <w:r w:rsidRPr="00C7507B">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C7507B">
        <w:rPr>
          <w:rFonts w:ascii="Verdana" w:hAnsi="Verdana" w:cs="Arial"/>
          <w:lang w:val="es-ES_tradnl"/>
        </w:rPr>
        <w:t>2 de 2015.</w:t>
      </w:r>
    </w:p>
    <w:p w14:paraId="5019F534" w14:textId="77777777" w:rsidR="00FD6164" w:rsidRPr="00C7507B" w:rsidRDefault="00FD6164" w:rsidP="00FD6164">
      <w:pPr>
        <w:widowControl w:val="0"/>
        <w:autoSpaceDE w:val="0"/>
        <w:autoSpaceDN w:val="0"/>
        <w:spacing w:after="0" w:line="276" w:lineRule="auto"/>
        <w:jc w:val="both"/>
        <w:rPr>
          <w:rFonts w:ascii="Verdana" w:hAnsi="Verdana" w:cs="Arial"/>
        </w:rPr>
      </w:pPr>
    </w:p>
    <w:p w14:paraId="0EE0AE80" w14:textId="77777777" w:rsidR="00FD6164" w:rsidRPr="00C7507B" w:rsidRDefault="00FD6164" w:rsidP="00FD6164">
      <w:pPr>
        <w:spacing w:after="0" w:line="276" w:lineRule="auto"/>
        <w:rPr>
          <w:rFonts w:ascii="Verdana" w:hAnsi="Verdana" w:cs="Arial"/>
          <w:lang w:eastAsia="es-CO"/>
        </w:rPr>
      </w:pPr>
      <w:r w:rsidRPr="00C7507B">
        <w:rPr>
          <w:rFonts w:ascii="Verdana" w:eastAsia="Times New Roman" w:hAnsi="Verdana" w:cs="Arial"/>
          <w:lang w:eastAsia="es-CO"/>
        </w:rPr>
        <w:t>Atentamente,</w:t>
      </w:r>
      <w:r w:rsidRPr="00C7507B">
        <w:rPr>
          <w:rFonts w:ascii="Verdana" w:hAnsi="Verdana" w:cs="Arial"/>
          <w:lang w:eastAsia="es-CO"/>
        </w:rPr>
        <w:t xml:space="preserve"> </w:t>
      </w:r>
    </w:p>
    <w:p w14:paraId="5C931979" w14:textId="4BA06EFA" w:rsidR="00FD6164" w:rsidRPr="00C7507B" w:rsidRDefault="004174F8" w:rsidP="00FD6164">
      <w:pPr>
        <w:spacing w:line="276" w:lineRule="auto"/>
        <w:jc w:val="center"/>
      </w:pPr>
      <w:r w:rsidRPr="0065791A">
        <w:rPr>
          <w:rFonts w:ascii="Century Gothic" w:hAnsi="Century Gothic"/>
          <w:noProof/>
        </w:rPr>
        <w:drawing>
          <wp:inline distT="0" distB="0" distL="0" distR="0" wp14:anchorId="64CE3AAB" wp14:editId="56ADA7C2">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D6164" w:rsidRPr="00C7507B" w14:paraId="53E14B2E" w14:textId="77777777" w:rsidTr="00EA3A7E">
        <w:trPr>
          <w:trHeight w:val="315"/>
        </w:trPr>
        <w:tc>
          <w:tcPr>
            <w:tcW w:w="893" w:type="dxa"/>
            <w:vAlign w:val="center"/>
            <w:hideMark/>
          </w:tcPr>
          <w:p w14:paraId="124520E9" w14:textId="77777777" w:rsidR="00FD6164" w:rsidRPr="00C7507B" w:rsidRDefault="00FD6164" w:rsidP="00EA3A7E">
            <w:pPr>
              <w:spacing w:line="276" w:lineRule="auto"/>
              <w:contextualSpacing/>
              <w:rPr>
                <w:rFonts w:ascii="Verdana" w:eastAsia="Calibri" w:hAnsi="Verdana" w:cs="Arial"/>
                <w:sz w:val="16"/>
                <w:szCs w:val="16"/>
                <w:lang w:val="es-ES_tradnl"/>
              </w:rPr>
            </w:pPr>
            <w:r w:rsidRPr="00C7507B">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010C37FB" w14:textId="77777777" w:rsidR="00FD6164" w:rsidRPr="00C7507B" w:rsidRDefault="00FD6164" w:rsidP="00EA3A7E">
            <w:pPr>
              <w:spacing w:line="276" w:lineRule="auto"/>
              <w:contextualSpacing/>
              <w:rPr>
                <w:rFonts w:ascii="Verdana" w:eastAsia="Calibri" w:hAnsi="Verdana" w:cs="Arial"/>
                <w:sz w:val="16"/>
                <w:szCs w:val="16"/>
                <w:lang w:val="es-ES_tradnl"/>
              </w:rPr>
            </w:pPr>
            <w:r w:rsidRPr="00C7507B">
              <w:rPr>
                <w:rFonts w:ascii="Verdana" w:eastAsia="Calibri" w:hAnsi="Verdana" w:cs="Arial"/>
                <w:sz w:val="16"/>
                <w:szCs w:val="16"/>
                <w:lang w:val="es-ES_tradnl"/>
              </w:rPr>
              <w:t xml:space="preserve">María Valeska Medellín Mora </w:t>
            </w:r>
          </w:p>
          <w:p w14:paraId="4CCC478A" w14:textId="77777777" w:rsidR="00FD6164" w:rsidRPr="00C7507B" w:rsidRDefault="00FD6164" w:rsidP="00EA3A7E">
            <w:pPr>
              <w:spacing w:line="276" w:lineRule="auto"/>
              <w:contextualSpacing/>
              <w:rPr>
                <w:rFonts w:ascii="Verdana" w:eastAsia="Calibri" w:hAnsi="Verdana" w:cs="Arial"/>
                <w:sz w:val="16"/>
                <w:szCs w:val="16"/>
                <w:lang w:val="es-ES_tradnl"/>
              </w:rPr>
            </w:pPr>
            <w:r w:rsidRPr="00C7507B">
              <w:rPr>
                <w:rFonts w:ascii="Verdana" w:eastAsia="Calibri" w:hAnsi="Verdana" w:cs="Arial"/>
                <w:sz w:val="16"/>
                <w:szCs w:val="16"/>
                <w:lang w:val="es-ES_tradnl"/>
              </w:rPr>
              <w:t>Gestor T1-15</w:t>
            </w:r>
            <w:r w:rsidRPr="00C7507B">
              <w:rPr>
                <w:rFonts w:ascii="Verdana" w:eastAsia="Calibri" w:hAnsi="Verdana"/>
                <w:sz w:val="16"/>
                <w:szCs w:val="16"/>
                <w:lang w:val="es-ES_tradnl"/>
              </w:rPr>
              <w:t xml:space="preserve"> de la Subdirección de Gestión Contractual</w:t>
            </w:r>
          </w:p>
        </w:tc>
      </w:tr>
      <w:tr w:rsidR="00FD6164" w:rsidRPr="00C7507B" w14:paraId="3E8FABA2" w14:textId="77777777" w:rsidTr="00EA3A7E">
        <w:trPr>
          <w:trHeight w:val="330"/>
        </w:trPr>
        <w:tc>
          <w:tcPr>
            <w:tcW w:w="893" w:type="dxa"/>
            <w:vAlign w:val="center"/>
            <w:hideMark/>
          </w:tcPr>
          <w:p w14:paraId="050E050C" w14:textId="77777777" w:rsidR="00FD6164" w:rsidRPr="00C7507B" w:rsidRDefault="00FD6164" w:rsidP="00EA3A7E">
            <w:pPr>
              <w:spacing w:line="276" w:lineRule="auto"/>
              <w:contextualSpacing/>
              <w:rPr>
                <w:rFonts w:ascii="Verdana" w:eastAsia="Calibri" w:hAnsi="Verdana" w:cs="Arial"/>
                <w:sz w:val="16"/>
                <w:szCs w:val="16"/>
                <w:lang w:val="es-ES_tradnl"/>
              </w:rPr>
            </w:pPr>
            <w:r w:rsidRPr="00C7507B">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E44EF7" w14:textId="77777777" w:rsidR="00FD6164" w:rsidRPr="00C7507B" w:rsidRDefault="00FD6164" w:rsidP="00EA3A7E">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C7507B">
              <w:rPr>
                <w:rFonts w:ascii="Verdana" w:eastAsia="Calibri" w:hAnsi="Verdana" w:cs="Arial"/>
                <w:sz w:val="16"/>
                <w:szCs w:val="16"/>
                <w:lang w:val="es-ES_tradnl" w:eastAsia="en-US"/>
              </w:rPr>
              <w:t xml:space="preserve">Martha Alicia Romero Vargas </w:t>
            </w:r>
          </w:p>
          <w:p w14:paraId="22B616A6" w14:textId="77777777" w:rsidR="00FD6164" w:rsidRPr="00C7507B" w:rsidRDefault="00FD6164" w:rsidP="00EA3A7E">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C7507B">
              <w:rPr>
                <w:rFonts w:ascii="Verdana" w:eastAsia="Calibri" w:hAnsi="Verdana" w:cs="Arial"/>
                <w:sz w:val="16"/>
                <w:szCs w:val="16"/>
                <w:lang w:val="es-ES_tradnl"/>
              </w:rPr>
              <w:t>Gestor T1-15</w:t>
            </w:r>
            <w:r w:rsidRPr="00C7507B">
              <w:rPr>
                <w:rFonts w:ascii="Verdana" w:eastAsia="Calibri" w:hAnsi="Verdana"/>
                <w:sz w:val="16"/>
                <w:szCs w:val="16"/>
                <w:lang w:val="es-ES_tradnl"/>
              </w:rPr>
              <w:t xml:space="preserve"> </w:t>
            </w:r>
            <w:r w:rsidRPr="00C7507B">
              <w:rPr>
                <w:rFonts w:ascii="Verdana" w:eastAsia="Calibri" w:hAnsi="Verdana"/>
                <w:sz w:val="16"/>
                <w:szCs w:val="16"/>
                <w:lang w:val="es-ES_tradnl" w:eastAsia="en-US"/>
              </w:rPr>
              <w:t>de la Subdirección de Gestión Contractual </w:t>
            </w:r>
          </w:p>
        </w:tc>
      </w:tr>
      <w:tr w:rsidR="00FD6164" w:rsidRPr="005B3F16" w14:paraId="42F40948" w14:textId="77777777" w:rsidTr="00EA3A7E">
        <w:trPr>
          <w:trHeight w:val="300"/>
        </w:trPr>
        <w:tc>
          <w:tcPr>
            <w:tcW w:w="893" w:type="dxa"/>
            <w:vAlign w:val="center"/>
          </w:tcPr>
          <w:p w14:paraId="28B82AB6" w14:textId="77777777" w:rsidR="00FD6164" w:rsidRPr="00C7507B" w:rsidRDefault="00FD6164" w:rsidP="00EA3A7E">
            <w:pPr>
              <w:spacing w:line="276" w:lineRule="auto"/>
              <w:contextualSpacing/>
              <w:rPr>
                <w:rFonts w:ascii="Verdana" w:eastAsia="Calibri" w:hAnsi="Verdana" w:cs="Arial"/>
                <w:sz w:val="16"/>
                <w:szCs w:val="16"/>
                <w:lang w:val="es-ES_tradnl"/>
              </w:rPr>
            </w:pPr>
            <w:r w:rsidRPr="00C7507B">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4B5F2F" w14:textId="77777777" w:rsidR="00FD6164" w:rsidRPr="00C7507B" w:rsidRDefault="00FD6164" w:rsidP="00EA3A7E">
            <w:pPr>
              <w:spacing w:line="276" w:lineRule="auto"/>
              <w:contextualSpacing/>
              <w:rPr>
                <w:rFonts w:ascii="Verdana" w:eastAsia="Calibri" w:hAnsi="Verdana" w:cs="Arial"/>
                <w:sz w:val="16"/>
                <w:szCs w:val="16"/>
                <w:lang w:val="es-ES"/>
              </w:rPr>
            </w:pPr>
            <w:r w:rsidRPr="00C7507B">
              <w:rPr>
                <w:rFonts w:ascii="Verdana" w:eastAsia="Calibri" w:hAnsi="Verdana" w:cs="Arial"/>
                <w:sz w:val="16"/>
                <w:szCs w:val="16"/>
                <w:lang w:val="es-ES"/>
              </w:rPr>
              <w:t>Carolina Quintero Gacharná</w:t>
            </w:r>
          </w:p>
          <w:p w14:paraId="328F6A76" w14:textId="77777777" w:rsidR="00FD6164" w:rsidRPr="005B3F16" w:rsidRDefault="00FD6164" w:rsidP="00EA3A7E">
            <w:pPr>
              <w:spacing w:line="276" w:lineRule="auto"/>
              <w:contextualSpacing/>
              <w:rPr>
                <w:rFonts w:ascii="Verdana" w:eastAsia="Calibri" w:hAnsi="Verdana" w:cs="Arial"/>
                <w:sz w:val="16"/>
                <w:szCs w:val="16"/>
                <w:lang w:val="es-ES_tradnl"/>
              </w:rPr>
            </w:pPr>
            <w:r w:rsidRPr="00C7507B">
              <w:rPr>
                <w:rFonts w:ascii="Verdana" w:eastAsia="Calibri" w:hAnsi="Verdana" w:cs="Arial"/>
                <w:sz w:val="16"/>
                <w:szCs w:val="16"/>
                <w:lang w:val="es-ES_tradnl"/>
              </w:rPr>
              <w:t>Subdirectora de Gestión Contractual ANCP – CCE</w:t>
            </w:r>
          </w:p>
        </w:tc>
      </w:tr>
    </w:tbl>
    <w:p w14:paraId="2714F5E3" w14:textId="77777777" w:rsidR="00FD6164" w:rsidRPr="005B3F16" w:rsidRDefault="00FD6164" w:rsidP="004174F8">
      <w:pPr>
        <w:spacing w:after="0" w:line="276" w:lineRule="auto"/>
        <w:rPr>
          <w:rFonts w:ascii="Verdana" w:eastAsia="Times New Roman" w:hAnsi="Verdana" w:cs="Arial"/>
          <w:sz w:val="24"/>
          <w:szCs w:val="24"/>
          <w:lang w:eastAsia="es-ES"/>
        </w:rPr>
      </w:pPr>
    </w:p>
    <w:bookmarkEnd w:id="0"/>
    <w:bookmarkEnd w:id="1"/>
    <w:sectPr w:rsidR="00FD6164" w:rsidRPr="005B3F16"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7ABF0" w14:textId="77777777" w:rsidR="002D29ED" w:rsidRDefault="002D29ED" w:rsidP="004A1847">
      <w:pPr>
        <w:spacing w:after="0" w:line="240" w:lineRule="auto"/>
      </w:pPr>
      <w:r>
        <w:separator/>
      </w:r>
    </w:p>
  </w:endnote>
  <w:endnote w:type="continuationSeparator" w:id="0">
    <w:p w14:paraId="46D60A48" w14:textId="77777777" w:rsidR="002D29ED" w:rsidRDefault="002D29E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AE57D" w14:textId="77777777" w:rsidR="002D29ED" w:rsidRDefault="002D29ED" w:rsidP="004A1847">
      <w:pPr>
        <w:spacing w:after="0" w:line="240" w:lineRule="auto"/>
      </w:pPr>
      <w:r>
        <w:separator/>
      </w:r>
    </w:p>
  </w:footnote>
  <w:footnote w:type="continuationSeparator" w:id="0">
    <w:p w14:paraId="7F7E5F23" w14:textId="77777777" w:rsidR="002D29ED" w:rsidRDefault="002D29ED" w:rsidP="004A1847">
      <w:pPr>
        <w:spacing w:after="0" w:line="240" w:lineRule="auto"/>
      </w:pPr>
      <w:r>
        <w:continuationSeparator/>
      </w:r>
    </w:p>
  </w:footnote>
  <w:footnote w:id="1">
    <w:p w14:paraId="0DBF3861" w14:textId="77777777" w:rsidR="00FD6164" w:rsidRPr="00A56FFA" w:rsidRDefault="00FD6164" w:rsidP="00FD6164">
      <w:pPr>
        <w:pStyle w:val="Textonotapie"/>
        <w:ind w:firstLine="708"/>
        <w:jc w:val="both"/>
        <w:rPr>
          <w:rFonts w:ascii="Verdana" w:hAnsi="Verdana" w:cs="Arial"/>
          <w:sz w:val="18"/>
          <w:szCs w:val="18"/>
          <w:lang w:val="es-ES"/>
        </w:rPr>
      </w:pPr>
      <w:r w:rsidRPr="00A56FFA">
        <w:rPr>
          <w:rStyle w:val="Refdenotaalpie"/>
          <w:rFonts w:ascii="Verdana" w:hAnsi="Verdana" w:cs="Arial"/>
          <w:sz w:val="18"/>
          <w:szCs w:val="18"/>
        </w:rPr>
        <w:footnoteRef/>
      </w:r>
      <w:r w:rsidRPr="00A56FFA">
        <w:rPr>
          <w:rFonts w:ascii="Verdana" w:hAnsi="Verdana" w:cs="Arial"/>
          <w:sz w:val="18"/>
          <w:szCs w:val="18"/>
        </w:rPr>
        <w:t>Consejo de Estado. Sección Segunda. Sentencia del 9 de septiembre de 2021. Expediente No. 05001-23-33-000-2013-01143-01(1317-16). M.P. Dra. Sandra Lisset Ibarra Vélez.</w:t>
      </w:r>
    </w:p>
  </w:footnote>
  <w:footnote w:id="2">
    <w:p w14:paraId="7BE29B14" w14:textId="77777777" w:rsidR="00FD6164" w:rsidRPr="00A56FFA" w:rsidRDefault="00FD6164" w:rsidP="00FD6164">
      <w:pPr>
        <w:pStyle w:val="Textonotapie"/>
        <w:jc w:val="both"/>
        <w:rPr>
          <w:rFonts w:ascii="Verdana" w:hAnsi="Verdana" w:cs="Arial"/>
          <w:sz w:val="18"/>
          <w:szCs w:val="18"/>
        </w:rPr>
      </w:pPr>
    </w:p>
    <w:p w14:paraId="3F645729" w14:textId="77777777" w:rsidR="00FD6164" w:rsidRPr="00A56FFA" w:rsidRDefault="00FD6164" w:rsidP="00FD6164">
      <w:pPr>
        <w:pStyle w:val="Textonotapie"/>
        <w:ind w:firstLine="708"/>
        <w:jc w:val="both"/>
        <w:rPr>
          <w:rFonts w:ascii="Verdana" w:hAnsi="Verdana" w:cs="Arial"/>
          <w:sz w:val="18"/>
          <w:szCs w:val="18"/>
          <w:lang w:val="es-ES"/>
        </w:rPr>
      </w:pPr>
      <w:r w:rsidRPr="00A56FFA">
        <w:rPr>
          <w:rStyle w:val="Refdenotaalpie"/>
          <w:rFonts w:ascii="Verdana" w:hAnsi="Verdana" w:cs="Arial"/>
          <w:sz w:val="18"/>
          <w:szCs w:val="18"/>
        </w:rPr>
        <w:footnoteRef/>
      </w:r>
      <w:r w:rsidRPr="00A56FFA">
        <w:rPr>
          <w:rFonts w:ascii="Verdana" w:hAnsi="Verdana"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3">
    <w:p w14:paraId="07709458" w14:textId="77777777" w:rsidR="00FD6164" w:rsidRPr="00A56FFA" w:rsidRDefault="00FD6164" w:rsidP="00FD6164">
      <w:pPr>
        <w:pStyle w:val="Textonotapie"/>
        <w:ind w:firstLine="708"/>
        <w:jc w:val="both"/>
        <w:rPr>
          <w:rFonts w:ascii="Verdana" w:hAnsi="Verdana" w:cs="Arial"/>
          <w:sz w:val="18"/>
          <w:szCs w:val="18"/>
          <w:lang w:val="es-ES"/>
        </w:rPr>
      </w:pPr>
      <w:r w:rsidRPr="00A56FFA">
        <w:rPr>
          <w:rStyle w:val="Refdenotaalpie"/>
          <w:rFonts w:ascii="Verdana" w:hAnsi="Verdana" w:cs="Arial"/>
          <w:sz w:val="18"/>
          <w:szCs w:val="18"/>
        </w:rPr>
        <w:footnoteRef/>
      </w:r>
      <w:r w:rsidRPr="00A56FFA">
        <w:rPr>
          <w:rFonts w:ascii="Verdana" w:hAnsi="Verdana" w:cs="Arial"/>
          <w:sz w:val="18"/>
          <w:szCs w:val="18"/>
        </w:rPr>
        <w:t xml:space="preserve"> </w:t>
      </w:r>
      <w:r w:rsidRPr="00A56FFA">
        <w:rPr>
          <w:rFonts w:ascii="Verdana" w:hAnsi="Verdana"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footnote>
  <w:footnote w:id="4">
    <w:p w14:paraId="04F79C49" w14:textId="77777777" w:rsidR="00FD6164" w:rsidRPr="00A56FFA" w:rsidRDefault="00FD6164" w:rsidP="00FD6164">
      <w:pPr>
        <w:pStyle w:val="Textonotapie"/>
        <w:ind w:firstLine="709"/>
        <w:contextualSpacing/>
        <w:jc w:val="both"/>
        <w:rPr>
          <w:rFonts w:ascii="Verdana" w:hAnsi="Verdana" w:cs="Arial"/>
          <w:sz w:val="18"/>
          <w:szCs w:val="18"/>
        </w:rPr>
      </w:pPr>
      <w:r w:rsidRPr="00A56FFA">
        <w:rPr>
          <w:rStyle w:val="Refdenotaalpie"/>
          <w:rFonts w:ascii="Verdana" w:hAnsi="Verdana" w:cs="Arial"/>
          <w:sz w:val="18"/>
          <w:szCs w:val="18"/>
        </w:rPr>
        <w:footnoteRef/>
      </w:r>
      <w:r w:rsidRPr="00A56FFA">
        <w:rPr>
          <w:rFonts w:ascii="Verdana" w:hAnsi="Verdana" w:cs="Arial"/>
          <w:sz w:val="18"/>
          <w:szCs w:val="18"/>
        </w:rPr>
        <w:t xml:space="preserve"> </w:t>
      </w:r>
      <w:r w:rsidRPr="00A56FFA">
        <w:rPr>
          <w:rFonts w:ascii="Verdana" w:hAnsi="Verdana" w:cs="Arial"/>
          <w:sz w:val="18"/>
          <w:szCs w:val="18"/>
          <w:lang w:val="es-ES"/>
        </w:rPr>
        <w:t>CONSEJO DE ESTADO. Sección Tercera. Subsección C. Sentencia de Unificación del 2 de diciembre de 2013. Exp. 41.719. C.P. Jaime Orlando Santofimio Gamboa.</w:t>
      </w:r>
      <w:r w:rsidRPr="00A56FFA">
        <w:rPr>
          <w:rFonts w:ascii="Verdana" w:hAnsi="Verdana" w:cs="Arial"/>
          <w:sz w:val="18"/>
          <w:szCs w:val="18"/>
        </w:rPr>
        <w:t xml:space="preserve"> </w:t>
      </w:r>
    </w:p>
    <w:p w14:paraId="2A33455B"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BF88DAD"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595FE29D"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p>
    <w:p w14:paraId="4E8586CA" w14:textId="77777777" w:rsidR="00FD6164" w:rsidRPr="00A56FFA" w:rsidRDefault="00FD6164" w:rsidP="00FD6164">
      <w:pPr>
        <w:pStyle w:val="Textonotapie"/>
        <w:ind w:firstLine="709"/>
        <w:contextualSpacing/>
        <w:jc w:val="both"/>
        <w:rPr>
          <w:rFonts w:ascii="Verdana" w:hAnsi="Verdana" w:cs="Arial"/>
          <w:sz w:val="18"/>
          <w:szCs w:val="18"/>
          <w:lang w:val="es-ES"/>
        </w:rPr>
      </w:pPr>
    </w:p>
  </w:footnote>
  <w:footnote w:id="5">
    <w:p w14:paraId="7390C07B"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Style w:val="Refdenotaalpie"/>
          <w:rFonts w:ascii="Verdana" w:hAnsi="Verdana" w:cs="Arial"/>
          <w:sz w:val="18"/>
          <w:szCs w:val="18"/>
        </w:rPr>
        <w:footnoteRef/>
      </w:r>
      <w:r w:rsidRPr="00A56FFA">
        <w:rPr>
          <w:rFonts w:ascii="Verdana" w:hAnsi="Verdana" w:cs="Arial"/>
          <w:sz w:val="18"/>
          <w:szCs w:val="18"/>
        </w:rPr>
        <w:t xml:space="preserve"> </w:t>
      </w:r>
      <w:r w:rsidRPr="00A56FFA">
        <w:rPr>
          <w:rFonts w:ascii="Verdana" w:hAnsi="Verdana"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14:paraId="13352B5E"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1. La causal que invoca para contratar directamente.</w:t>
      </w:r>
    </w:p>
    <w:p w14:paraId="79CD7236"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2. El objeto del contrato.</w:t>
      </w:r>
    </w:p>
    <w:p w14:paraId="59A3833E"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3. El presupuesto para la contratación y las condiciones que exigirá al contratista.</w:t>
      </w:r>
    </w:p>
    <w:p w14:paraId="70EEC4A7"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4. El lugar en el cual los interesados pueden consultar los estudios y documentos previos.</w:t>
      </w:r>
    </w:p>
    <w:p w14:paraId="12FB206C"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6">
    <w:p w14:paraId="47179C7C" w14:textId="77777777" w:rsidR="00FD6164" w:rsidRPr="00A56FFA" w:rsidRDefault="00FD6164" w:rsidP="00FD6164">
      <w:pPr>
        <w:pStyle w:val="Textonotapie"/>
        <w:contextualSpacing/>
        <w:jc w:val="both"/>
        <w:rPr>
          <w:rFonts w:ascii="Verdana" w:hAnsi="Verdana" w:cs="Arial"/>
          <w:sz w:val="18"/>
          <w:szCs w:val="18"/>
        </w:rPr>
      </w:pPr>
    </w:p>
    <w:p w14:paraId="6FDB254C"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Style w:val="Refdenotaalpie"/>
          <w:rFonts w:ascii="Verdana" w:hAnsi="Verdana" w:cs="Arial"/>
          <w:sz w:val="18"/>
          <w:szCs w:val="18"/>
        </w:rPr>
        <w:footnoteRef/>
      </w:r>
      <w:r w:rsidRPr="00A56FFA">
        <w:rPr>
          <w:rFonts w:ascii="Verdana" w:hAnsi="Verdana" w:cs="Arial"/>
          <w:sz w:val="18"/>
          <w:szCs w:val="18"/>
        </w:rPr>
        <w:t xml:space="preserve"> </w:t>
      </w:r>
      <w:r w:rsidRPr="00A56FFA">
        <w:rPr>
          <w:rFonts w:ascii="Verdana" w:hAnsi="Verdana" w:cs="Arial"/>
          <w:sz w:val="18"/>
          <w:szCs w:val="18"/>
          <w:lang w:val="es-ES"/>
        </w:rPr>
        <w:t xml:space="preserve">La norma expresa: “Art. 14. </w:t>
      </w:r>
      <w:r w:rsidRPr="00A56FFA">
        <w:rPr>
          <w:rFonts w:ascii="Verdana" w:hAnsi="Verdana" w:cs="Arial"/>
          <w:sz w:val="18"/>
          <w:szCs w:val="18"/>
        </w:rPr>
        <w:t>P</w:t>
      </w:r>
      <w:r w:rsidRPr="00A56FFA">
        <w:rPr>
          <w:rFonts w:ascii="Verdana" w:hAnsi="Verdana" w:cs="Arial"/>
          <w:sz w:val="18"/>
          <w:szCs w:val="18"/>
          <w:lang w:val="es-ES"/>
        </w:rPr>
        <w:t>ara el cumplimiento de los fines de la contratación, las entidades estatales al celebrar un contrato:</w:t>
      </w:r>
    </w:p>
    <w:p w14:paraId="4532D629"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w:t>
      </w:r>
    </w:p>
    <w:p w14:paraId="4A4EBEFB"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A018617"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Las entidades estatales podrán pactar estas cláusulas en los contratos de suministro y de prestación de servicios.</w:t>
      </w:r>
    </w:p>
    <w:p w14:paraId="3781F134"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w:t>
      </w:r>
    </w:p>
    <w:p w14:paraId="0F0F315C" w14:textId="77777777" w:rsidR="00FD6164" w:rsidRPr="00A56FFA" w:rsidRDefault="00FD6164" w:rsidP="00FD6164">
      <w:pPr>
        <w:pStyle w:val="Textonotapie"/>
        <w:ind w:firstLine="709"/>
        <w:contextualSpacing/>
        <w:jc w:val="both"/>
        <w:rPr>
          <w:rFonts w:ascii="Verdana" w:hAnsi="Verdana" w:cs="Arial"/>
          <w:sz w:val="18"/>
          <w:szCs w:val="18"/>
          <w:lang w:val="es-ES"/>
        </w:rPr>
      </w:pPr>
    </w:p>
  </w:footnote>
  <w:footnote w:id="7">
    <w:p w14:paraId="54E54540"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Style w:val="Refdenotaalpie"/>
          <w:rFonts w:ascii="Verdana" w:hAnsi="Verdana" w:cs="Arial"/>
          <w:sz w:val="18"/>
          <w:szCs w:val="18"/>
        </w:rPr>
        <w:footnoteRef/>
      </w:r>
      <w:r w:rsidRPr="00A56FFA">
        <w:rPr>
          <w:rFonts w:ascii="Verdana" w:hAnsi="Verdana" w:cs="Arial"/>
          <w:sz w:val="18"/>
          <w:szCs w:val="18"/>
        </w:rPr>
        <w:t xml:space="preserve"> </w:t>
      </w:r>
      <w:r w:rsidRPr="00A56FFA">
        <w:rPr>
          <w:rFonts w:ascii="Verdana" w:hAnsi="Verdana" w:cs="Arial"/>
          <w:sz w:val="18"/>
          <w:szCs w:val="18"/>
          <w:lang w:val="es-ES"/>
        </w:rPr>
        <w:t>La norma dispone: “La liquidación a que se refiere el presente artículo no será obligatoria en los contratos de prestación de servicios profesionales y de apoyo a la gestión”.</w:t>
      </w:r>
    </w:p>
    <w:p w14:paraId="7A9E963E" w14:textId="77777777" w:rsidR="00FD6164" w:rsidRPr="00A56FFA" w:rsidRDefault="00FD6164" w:rsidP="00FD6164">
      <w:pPr>
        <w:pStyle w:val="Textonotapie"/>
        <w:ind w:firstLine="709"/>
        <w:contextualSpacing/>
        <w:jc w:val="both"/>
        <w:rPr>
          <w:rFonts w:ascii="Verdana" w:hAnsi="Verdana" w:cs="Arial"/>
          <w:sz w:val="18"/>
          <w:szCs w:val="18"/>
          <w:lang w:val="es-ES"/>
        </w:rPr>
      </w:pPr>
    </w:p>
  </w:footnote>
  <w:footnote w:id="8">
    <w:p w14:paraId="30F6BB3D" w14:textId="77777777" w:rsidR="00FD6164" w:rsidRPr="00A56FFA" w:rsidRDefault="00FD6164" w:rsidP="00FD6164">
      <w:pPr>
        <w:pStyle w:val="Textonotapie"/>
        <w:ind w:firstLine="709"/>
        <w:contextualSpacing/>
        <w:jc w:val="both"/>
        <w:rPr>
          <w:rFonts w:ascii="Verdana" w:hAnsi="Verdana" w:cs="Arial"/>
          <w:sz w:val="18"/>
          <w:szCs w:val="18"/>
        </w:rPr>
      </w:pPr>
      <w:r w:rsidRPr="00A56FFA">
        <w:rPr>
          <w:rStyle w:val="Refdenotaalpie"/>
          <w:rFonts w:ascii="Verdana" w:hAnsi="Verdana" w:cs="Arial"/>
          <w:sz w:val="18"/>
          <w:szCs w:val="18"/>
        </w:rPr>
        <w:footnoteRef/>
      </w:r>
      <w:r w:rsidRPr="00A56FFA">
        <w:rPr>
          <w:rFonts w:ascii="Verdana" w:hAnsi="Verdana"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479F09A" w14:textId="77777777" w:rsidR="00FD6164" w:rsidRPr="00A56FFA" w:rsidRDefault="00FD6164" w:rsidP="00FD6164">
      <w:pPr>
        <w:pStyle w:val="Textonotapie"/>
        <w:ind w:firstLine="709"/>
        <w:contextualSpacing/>
        <w:jc w:val="both"/>
        <w:rPr>
          <w:rFonts w:ascii="Verdana" w:hAnsi="Verdana" w:cs="Arial"/>
          <w:sz w:val="18"/>
          <w:szCs w:val="18"/>
        </w:rPr>
      </w:pPr>
      <w:r w:rsidRPr="00A56FFA">
        <w:rPr>
          <w:rFonts w:ascii="Verdana" w:hAnsi="Verdana"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50FE477" w14:textId="77777777" w:rsidR="00FD6164" w:rsidRPr="00A56FFA" w:rsidRDefault="00FD6164" w:rsidP="00FD6164">
      <w:pPr>
        <w:pStyle w:val="Textonotapie"/>
        <w:ind w:firstLine="709"/>
        <w:contextualSpacing/>
        <w:jc w:val="both"/>
        <w:rPr>
          <w:rFonts w:ascii="Verdana" w:hAnsi="Verdana" w:cs="Arial"/>
          <w:sz w:val="18"/>
          <w:szCs w:val="18"/>
        </w:rPr>
      </w:pPr>
      <w:r w:rsidRPr="00A56FFA">
        <w:rPr>
          <w:rFonts w:ascii="Verdana" w:hAnsi="Verdana" w:cs="Arial"/>
          <w:sz w:val="18"/>
          <w:szCs w:val="18"/>
        </w:rPr>
        <w:t>[…]”.</w:t>
      </w:r>
    </w:p>
    <w:p w14:paraId="5DBC7CA0" w14:textId="77777777" w:rsidR="00FD6164" w:rsidRPr="00A56FFA" w:rsidRDefault="00FD6164" w:rsidP="00FD6164">
      <w:pPr>
        <w:pStyle w:val="Textonotapie"/>
        <w:ind w:firstLine="709"/>
        <w:contextualSpacing/>
        <w:jc w:val="both"/>
        <w:rPr>
          <w:rFonts w:ascii="Verdana" w:hAnsi="Verdana" w:cs="Arial"/>
          <w:sz w:val="18"/>
          <w:szCs w:val="18"/>
          <w:lang w:val="es-ES"/>
        </w:rPr>
      </w:pPr>
    </w:p>
  </w:footnote>
  <w:footnote w:id="9">
    <w:p w14:paraId="2305E656"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Style w:val="Refdenotaalpie"/>
          <w:rFonts w:ascii="Verdana" w:hAnsi="Verdana" w:cs="Arial"/>
          <w:sz w:val="18"/>
          <w:szCs w:val="18"/>
        </w:rPr>
        <w:footnoteRef/>
      </w:r>
      <w:r w:rsidRPr="00A56FFA">
        <w:rPr>
          <w:rFonts w:ascii="Verdana" w:hAnsi="Verdana" w:cs="Arial"/>
          <w:sz w:val="18"/>
          <w:szCs w:val="18"/>
        </w:rPr>
        <w:t xml:space="preserve"> </w:t>
      </w:r>
      <w:r w:rsidRPr="00A56FFA">
        <w:rPr>
          <w:rFonts w:ascii="Verdana" w:hAnsi="Verdana"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34622D69" w14:textId="77777777" w:rsidR="00FD6164" w:rsidRPr="00A56FFA" w:rsidRDefault="00FD6164" w:rsidP="00FD6164">
      <w:pPr>
        <w:pStyle w:val="Textonotapie"/>
        <w:ind w:firstLine="709"/>
        <w:contextualSpacing/>
        <w:jc w:val="both"/>
        <w:rPr>
          <w:rFonts w:ascii="Verdana" w:hAnsi="Verdana" w:cs="Arial"/>
          <w:sz w:val="18"/>
          <w:szCs w:val="18"/>
          <w:lang w:val="es-ES"/>
        </w:rPr>
      </w:pPr>
    </w:p>
  </w:footnote>
  <w:footnote w:id="10">
    <w:p w14:paraId="3574E984"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Style w:val="Refdenotaalpie"/>
          <w:rFonts w:ascii="Verdana" w:hAnsi="Verdana" w:cs="Arial"/>
          <w:sz w:val="18"/>
          <w:szCs w:val="18"/>
        </w:rPr>
        <w:footnoteRef/>
      </w:r>
      <w:r w:rsidRPr="00A56FFA">
        <w:rPr>
          <w:rFonts w:ascii="Verdana" w:hAnsi="Verdana" w:cs="Arial"/>
          <w:sz w:val="18"/>
          <w:szCs w:val="18"/>
        </w:rPr>
        <w:t xml:space="preserve"> </w:t>
      </w:r>
      <w:r w:rsidRPr="00A56FFA">
        <w:rPr>
          <w:rFonts w:ascii="Verdana" w:hAnsi="Verdana" w:cs="Arial"/>
          <w:sz w:val="18"/>
          <w:szCs w:val="18"/>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12F34A8"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B040AB6" w14:textId="77777777" w:rsidR="00FD6164" w:rsidRPr="00A56FFA" w:rsidRDefault="00FD6164" w:rsidP="00FD6164">
      <w:pPr>
        <w:pStyle w:val="Textonotapie"/>
        <w:ind w:firstLine="709"/>
        <w:contextualSpacing/>
        <w:jc w:val="both"/>
        <w:rPr>
          <w:rFonts w:ascii="Verdana" w:hAnsi="Verdana" w:cs="Arial"/>
          <w:sz w:val="18"/>
          <w:szCs w:val="18"/>
          <w:lang w:val="es-ES"/>
        </w:rPr>
      </w:pPr>
      <w:r w:rsidRPr="00A56FFA">
        <w:rPr>
          <w:rFonts w:ascii="Verdana" w:hAnsi="Verdana" w:cs="Arial"/>
          <w:sz w:val="18"/>
          <w:szCs w:val="18"/>
          <w:lang w:val="es-ES"/>
        </w:rPr>
        <w:t>La Entidad Estatal, para la contratación de trabajos artísticos que solamente puedan en</w:t>
      </w:r>
      <w:r w:rsidRPr="00A56FFA">
        <w:rPr>
          <w:rFonts w:ascii="Verdana" w:hAnsi="Verdana" w:cs="Arial"/>
          <w:sz w:val="18"/>
          <w:szCs w:val="18"/>
          <w:lang w:val="es-ES"/>
        </w:rPr>
        <w:softHyphen/>
        <w:t>comendarse a determinadas personas naturales, debe justificar esta situación en los estudios y documentos previos”.</w:t>
      </w:r>
    </w:p>
    <w:p w14:paraId="151BE7B9" w14:textId="77777777" w:rsidR="00FD6164" w:rsidRPr="00A56FFA" w:rsidRDefault="00FD6164" w:rsidP="00FD6164">
      <w:pPr>
        <w:pStyle w:val="Textonotapie"/>
        <w:ind w:firstLine="709"/>
        <w:contextualSpacing/>
        <w:jc w:val="both"/>
        <w:rPr>
          <w:rFonts w:ascii="Verdana" w:hAnsi="Verdana" w:cs="Arial"/>
          <w:sz w:val="18"/>
          <w:szCs w:val="18"/>
          <w:lang w:val="es-ES"/>
        </w:rPr>
      </w:pPr>
    </w:p>
  </w:footnote>
  <w:footnote w:id="11">
    <w:p w14:paraId="6A956491" w14:textId="77777777" w:rsidR="00FD6164" w:rsidRPr="00A56FFA" w:rsidRDefault="00FD6164" w:rsidP="00FD6164">
      <w:pPr>
        <w:pStyle w:val="Textonotapie"/>
        <w:ind w:firstLine="708"/>
        <w:jc w:val="both"/>
        <w:rPr>
          <w:rFonts w:ascii="Verdana" w:hAnsi="Verdana" w:cs="Arial"/>
          <w:sz w:val="18"/>
          <w:szCs w:val="18"/>
        </w:rPr>
      </w:pPr>
      <w:r w:rsidRPr="00A56FFA">
        <w:rPr>
          <w:rStyle w:val="Refdenotaalpie"/>
          <w:rFonts w:ascii="Verdana" w:hAnsi="Verdana" w:cs="Arial"/>
          <w:sz w:val="18"/>
          <w:szCs w:val="18"/>
        </w:rPr>
        <w:footnoteRef/>
      </w:r>
      <w:r w:rsidRPr="00A56FFA">
        <w:rPr>
          <w:rFonts w:ascii="Verdana" w:hAnsi="Verdana" w:cs="Arial"/>
          <w:sz w:val="18"/>
          <w:szCs w:val="18"/>
        </w:rPr>
        <w:t xml:space="preserve"> Artículo 13 de la Constitución Política de 1991.</w:t>
      </w:r>
    </w:p>
    <w:p w14:paraId="00401002" w14:textId="77777777" w:rsidR="00FD6164" w:rsidRPr="00A56FFA" w:rsidRDefault="00FD6164" w:rsidP="00FD6164">
      <w:pPr>
        <w:pStyle w:val="Textonotapie"/>
        <w:ind w:firstLine="708"/>
        <w:jc w:val="both"/>
        <w:rPr>
          <w:rFonts w:ascii="Verdana" w:hAnsi="Verdana" w:cs="Arial"/>
          <w:sz w:val="18"/>
          <w:szCs w:val="18"/>
        </w:rPr>
      </w:pPr>
    </w:p>
  </w:footnote>
  <w:footnote w:id="12">
    <w:p w14:paraId="34B2BD79" w14:textId="77777777" w:rsidR="00FD6164" w:rsidRPr="00A56FFA" w:rsidRDefault="00FD6164" w:rsidP="00FD6164">
      <w:pPr>
        <w:pStyle w:val="Textonotapie"/>
        <w:ind w:firstLine="708"/>
        <w:jc w:val="both"/>
        <w:rPr>
          <w:rFonts w:ascii="Verdana" w:hAnsi="Verdana" w:cs="Arial"/>
          <w:sz w:val="18"/>
          <w:szCs w:val="18"/>
        </w:rPr>
      </w:pPr>
      <w:r w:rsidRPr="00A56FFA">
        <w:rPr>
          <w:rStyle w:val="Refdenotaalpie"/>
          <w:rFonts w:ascii="Verdana" w:hAnsi="Verdana" w:cs="Arial"/>
          <w:sz w:val="18"/>
          <w:szCs w:val="18"/>
        </w:rPr>
        <w:footnoteRef/>
      </w:r>
      <w:r w:rsidRPr="00A56FFA">
        <w:rPr>
          <w:rFonts w:ascii="Verdana" w:hAnsi="Verdana" w:cs="Arial"/>
          <w:sz w:val="18"/>
          <w:szCs w:val="18"/>
        </w:rPr>
        <w:t xml:space="preserve"> Artículo 1 y 95 de la Constitución Política de 1991.</w:t>
      </w:r>
    </w:p>
  </w:footnote>
  <w:footnote w:id="13">
    <w:p w14:paraId="481B8CE5" w14:textId="77777777" w:rsidR="00FD6164" w:rsidRPr="00A56FFA" w:rsidRDefault="00FD6164" w:rsidP="00FD6164">
      <w:pPr>
        <w:pStyle w:val="Textonotapie"/>
        <w:ind w:firstLine="720"/>
        <w:jc w:val="both"/>
        <w:rPr>
          <w:rFonts w:ascii="Verdana" w:hAnsi="Verdana" w:cs="Arial"/>
          <w:sz w:val="18"/>
          <w:szCs w:val="18"/>
        </w:rPr>
      </w:pPr>
      <w:r w:rsidRPr="00A56FFA">
        <w:rPr>
          <w:rStyle w:val="Refdenotaalpie"/>
          <w:rFonts w:ascii="Verdana" w:hAnsi="Verdana" w:cs="Arial"/>
          <w:sz w:val="18"/>
          <w:szCs w:val="18"/>
        </w:rPr>
        <w:footnoteRef/>
      </w:r>
      <w:r w:rsidRPr="00A56FFA">
        <w:rPr>
          <w:rFonts w:ascii="Verdana" w:hAnsi="Verdana" w:cs="Arial"/>
          <w:sz w:val="18"/>
          <w:szCs w:val="18"/>
        </w:rPr>
        <w:t xml:space="preserve"> Corte Constitucional. Sentencia T-1210 del 2008 “Desde este panorama, puede concluirse que, aún en el seno del contrato de prestación de servicios, puede predicarse ciertas garantías de la que gozan las relaciones laborales, al cobrar importancia los principios de estabilidad laboral a ciertos sujetos y de primacía de la realidad sobre las formalidades establecidas por las partes del contrato laboral, y en los eventos en que se pueda advertir la desnaturalización del contrato de prestación de servicios”.</w:t>
      </w:r>
    </w:p>
    <w:p w14:paraId="63F90F6C" w14:textId="77777777" w:rsidR="00FD6164" w:rsidRPr="00A56FFA" w:rsidRDefault="00FD6164" w:rsidP="00FD6164">
      <w:pPr>
        <w:pStyle w:val="Textonotapie"/>
        <w:ind w:firstLine="720"/>
        <w:jc w:val="both"/>
        <w:rPr>
          <w:rFonts w:ascii="Verdana" w:hAnsi="Verdana" w:cs="Arial"/>
          <w:sz w:val="18"/>
          <w:szCs w:val="18"/>
        </w:rPr>
      </w:pPr>
    </w:p>
  </w:footnote>
  <w:footnote w:id="14">
    <w:p w14:paraId="64D18117" w14:textId="77777777" w:rsidR="00FD6164" w:rsidRPr="00A56FFA" w:rsidRDefault="00FD6164" w:rsidP="00FD6164">
      <w:pPr>
        <w:pStyle w:val="Textonotapie"/>
        <w:ind w:firstLine="720"/>
        <w:jc w:val="both"/>
        <w:rPr>
          <w:rFonts w:ascii="Verdana" w:hAnsi="Verdana" w:cs="Arial"/>
          <w:sz w:val="18"/>
          <w:szCs w:val="18"/>
        </w:rPr>
      </w:pPr>
      <w:r w:rsidRPr="00A56FFA">
        <w:rPr>
          <w:rStyle w:val="Refdenotaalpie"/>
          <w:rFonts w:ascii="Verdana" w:hAnsi="Verdana" w:cs="Arial"/>
          <w:sz w:val="18"/>
          <w:szCs w:val="18"/>
        </w:rPr>
        <w:footnoteRef/>
      </w:r>
      <w:r w:rsidRPr="00A56FFA">
        <w:rPr>
          <w:rFonts w:ascii="Verdana" w:hAnsi="Verdana" w:cs="Arial"/>
          <w:sz w:val="18"/>
          <w:szCs w:val="18"/>
        </w:rPr>
        <w:t xml:space="preserve"> “En efecto, la Corte Constitucional definió que, sin importar el tipo de relación laboral y la naturaleza de la discapacidad, todo trabajador en esta situación tiene derecho a que se le garantice la estabilidad laboral reforzada por estar en una condición de debilidad manifiesta. Por tanto, el empleador podrá únicamente mediante autorización del inspector de trabajo y por una justa causa objetiva desvincular al trabajador que presente una disminución física o psíquica en su organismo.</w:t>
      </w:r>
    </w:p>
    <w:p w14:paraId="54524DE9" w14:textId="77777777" w:rsidR="00FD6164" w:rsidRPr="00A56FFA" w:rsidRDefault="00FD6164" w:rsidP="00FD6164">
      <w:pPr>
        <w:pStyle w:val="Textonotapie"/>
        <w:jc w:val="both"/>
        <w:rPr>
          <w:rFonts w:ascii="Verdana" w:hAnsi="Verdana" w:cs="Arial"/>
          <w:sz w:val="18"/>
          <w:szCs w:val="18"/>
        </w:rPr>
      </w:pPr>
      <w:r w:rsidRPr="00A56FFA">
        <w:rPr>
          <w:rFonts w:ascii="Verdana" w:hAnsi="Verdana" w:cs="Arial"/>
          <w:sz w:val="18"/>
          <w:szCs w:val="18"/>
        </w:rPr>
        <w:t>“(…)</w:t>
      </w:r>
    </w:p>
    <w:p w14:paraId="7483B577" w14:textId="77777777" w:rsidR="00FD6164" w:rsidRPr="00A56FFA" w:rsidRDefault="00FD6164" w:rsidP="00FD6164">
      <w:pPr>
        <w:pStyle w:val="Textonotapie"/>
        <w:jc w:val="both"/>
        <w:rPr>
          <w:rFonts w:ascii="Verdana" w:hAnsi="Verdana" w:cs="Arial"/>
          <w:sz w:val="18"/>
          <w:szCs w:val="18"/>
        </w:rPr>
      </w:pPr>
    </w:p>
    <w:p w14:paraId="7BD57D8E" w14:textId="77777777" w:rsidR="00FD6164" w:rsidRPr="00A56FFA" w:rsidRDefault="00FD6164" w:rsidP="00FD6164">
      <w:pPr>
        <w:pStyle w:val="Textonotapie"/>
        <w:jc w:val="both"/>
        <w:rPr>
          <w:rFonts w:ascii="Verdana" w:hAnsi="Verdana" w:cs="Arial"/>
          <w:sz w:val="18"/>
          <w:szCs w:val="18"/>
          <w:lang w:val="es-CO"/>
        </w:rPr>
      </w:pPr>
      <w:r w:rsidRPr="00A56FFA">
        <w:rPr>
          <w:rFonts w:ascii="Verdana" w:hAnsi="Verdana" w:cs="Arial"/>
          <w:sz w:val="18"/>
          <w:szCs w:val="18"/>
        </w:rPr>
        <w:t>“Ahora bien, la relevancia que tiene el determinar o no la existencia de un contrato realidad tiene como consecuencia las órdenes a impartir en el caso concreto, (i) si se declara el contrato realidad y se configura un despido en razón de la discapacidad, se deberá ordenar el reintegro y se condenará al pago de la indemnización de 180 días de salario; y (ii) si no se demuestra la existencia de un contrato laboral, es necesario probar que: (a) la situación de debilidad manifiesta del accionante requiere la actuación urgente del juez de tutela con el fin de evitar la ocurrencia de un perjuicio irremediable y (b) que sea evidente que la no renovación del contrato fue consecuencia del estado de salud del contratista; cumplidos los requisitos, el juez de tutela proferirá las órdenes que considere necesarias para superar la vulneración”.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F6E2672"/>
    <w:multiLevelType w:val="hybridMultilevel"/>
    <w:tmpl w:val="DA581ED4"/>
    <w:lvl w:ilvl="0" w:tplc="3564A2D2">
      <w:start w:val="1"/>
      <w:numFmt w:val="lowerRoman"/>
      <w:lvlText w:val="%1)"/>
      <w:lvlJc w:val="left"/>
      <w:pPr>
        <w:ind w:left="1515" w:hanging="720"/>
      </w:pPr>
      <w:rPr>
        <w:rFonts w:hint="default"/>
        <w:i/>
      </w:rPr>
    </w:lvl>
    <w:lvl w:ilvl="1" w:tplc="240A0019" w:tentative="1">
      <w:start w:val="1"/>
      <w:numFmt w:val="lowerLetter"/>
      <w:lvlText w:val="%2."/>
      <w:lvlJc w:val="left"/>
      <w:pPr>
        <w:ind w:left="1875" w:hanging="360"/>
      </w:pPr>
    </w:lvl>
    <w:lvl w:ilvl="2" w:tplc="240A001B" w:tentative="1">
      <w:start w:val="1"/>
      <w:numFmt w:val="lowerRoman"/>
      <w:lvlText w:val="%3."/>
      <w:lvlJc w:val="right"/>
      <w:pPr>
        <w:ind w:left="2595" w:hanging="180"/>
      </w:pPr>
    </w:lvl>
    <w:lvl w:ilvl="3" w:tplc="240A000F" w:tentative="1">
      <w:start w:val="1"/>
      <w:numFmt w:val="decimal"/>
      <w:lvlText w:val="%4."/>
      <w:lvlJc w:val="left"/>
      <w:pPr>
        <w:ind w:left="3315" w:hanging="360"/>
      </w:pPr>
    </w:lvl>
    <w:lvl w:ilvl="4" w:tplc="240A0019" w:tentative="1">
      <w:start w:val="1"/>
      <w:numFmt w:val="lowerLetter"/>
      <w:lvlText w:val="%5."/>
      <w:lvlJc w:val="left"/>
      <w:pPr>
        <w:ind w:left="4035" w:hanging="360"/>
      </w:pPr>
    </w:lvl>
    <w:lvl w:ilvl="5" w:tplc="240A001B" w:tentative="1">
      <w:start w:val="1"/>
      <w:numFmt w:val="lowerRoman"/>
      <w:lvlText w:val="%6."/>
      <w:lvlJc w:val="right"/>
      <w:pPr>
        <w:ind w:left="4755" w:hanging="180"/>
      </w:pPr>
    </w:lvl>
    <w:lvl w:ilvl="6" w:tplc="240A000F" w:tentative="1">
      <w:start w:val="1"/>
      <w:numFmt w:val="decimal"/>
      <w:lvlText w:val="%7."/>
      <w:lvlJc w:val="left"/>
      <w:pPr>
        <w:ind w:left="5475" w:hanging="360"/>
      </w:pPr>
    </w:lvl>
    <w:lvl w:ilvl="7" w:tplc="240A0019" w:tentative="1">
      <w:start w:val="1"/>
      <w:numFmt w:val="lowerLetter"/>
      <w:lvlText w:val="%8."/>
      <w:lvlJc w:val="left"/>
      <w:pPr>
        <w:ind w:left="6195" w:hanging="360"/>
      </w:pPr>
    </w:lvl>
    <w:lvl w:ilvl="8" w:tplc="240A001B" w:tentative="1">
      <w:start w:val="1"/>
      <w:numFmt w:val="lowerRoman"/>
      <w:lvlText w:val="%9."/>
      <w:lvlJc w:val="right"/>
      <w:pPr>
        <w:ind w:left="6915" w:hanging="180"/>
      </w:pPr>
    </w:lvl>
  </w:abstractNum>
  <w:abstractNum w:abstractNumId="4" w15:restartNumberingAfterBreak="0">
    <w:nsid w:val="1D29639B"/>
    <w:multiLevelType w:val="hybridMultilevel"/>
    <w:tmpl w:val="3BCEA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4515BF"/>
    <w:multiLevelType w:val="hybridMultilevel"/>
    <w:tmpl w:val="08A631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2310C6"/>
    <w:multiLevelType w:val="hybridMultilevel"/>
    <w:tmpl w:val="6610D9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37E2B84"/>
    <w:multiLevelType w:val="hybridMultilevel"/>
    <w:tmpl w:val="CACC6A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253E8B"/>
    <w:multiLevelType w:val="hybridMultilevel"/>
    <w:tmpl w:val="329629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EF169A3"/>
    <w:multiLevelType w:val="hybridMultilevel"/>
    <w:tmpl w:val="410486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5354C3E"/>
    <w:multiLevelType w:val="hybridMultilevel"/>
    <w:tmpl w:val="65FAB46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8" w15:restartNumberingAfterBreak="0">
    <w:nsid w:val="47007CC4"/>
    <w:multiLevelType w:val="hybridMultilevel"/>
    <w:tmpl w:val="7F123B6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9" w15:restartNumberingAfterBreak="0">
    <w:nsid w:val="4D1978A9"/>
    <w:multiLevelType w:val="hybridMultilevel"/>
    <w:tmpl w:val="7D0A4B1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0" w15:restartNumberingAfterBreak="0">
    <w:nsid w:val="5B0F245C"/>
    <w:multiLevelType w:val="multilevel"/>
    <w:tmpl w:val="251A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712B3F"/>
    <w:multiLevelType w:val="hybridMultilevel"/>
    <w:tmpl w:val="A448D1A2"/>
    <w:lvl w:ilvl="0" w:tplc="240A0001">
      <w:start w:val="1"/>
      <w:numFmt w:val="bullet"/>
      <w:lvlText w:val=""/>
      <w:lvlJc w:val="left"/>
      <w:pPr>
        <w:ind w:left="820" w:hanging="360"/>
      </w:pPr>
      <w:rPr>
        <w:rFonts w:ascii="Symbol" w:hAnsi="Symbol" w:hint="default"/>
      </w:rPr>
    </w:lvl>
    <w:lvl w:ilvl="1" w:tplc="240A0003" w:tentative="1">
      <w:start w:val="1"/>
      <w:numFmt w:val="bullet"/>
      <w:lvlText w:val="o"/>
      <w:lvlJc w:val="left"/>
      <w:pPr>
        <w:ind w:left="1540" w:hanging="360"/>
      </w:pPr>
      <w:rPr>
        <w:rFonts w:ascii="Courier New" w:hAnsi="Courier New" w:cs="Courier New" w:hint="default"/>
      </w:rPr>
    </w:lvl>
    <w:lvl w:ilvl="2" w:tplc="240A0005" w:tentative="1">
      <w:start w:val="1"/>
      <w:numFmt w:val="bullet"/>
      <w:lvlText w:val=""/>
      <w:lvlJc w:val="left"/>
      <w:pPr>
        <w:ind w:left="2260" w:hanging="360"/>
      </w:pPr>
      <w:rPr>
        <w:rFonts w:ascii="Wingdings" w:hAnsi="Wingdings" w:hint="default"/>
      </w:rPr>
    </w:lvl>
    <w:lvl w:ilvl="3" w:tplc="240A0001" w:tentative="1">
      <w:start w:val="1"/>
      <w:numFmt w:val="bullet"/>
      <w:lvlText w:val=""/>
      <w:lvlJc w:val="left"/>
      <w:pPr>
        <w:ind w:left="2980" w:hanging="360"/>
      </w:pPr>
      <w:rPr>
        <w:rFonts w:ascii="Symbol" w:hAnsi="Symbol" w:hint="default"/>
      </w:rPr>
    </w:lvl>
    <w:lvl w:ilvl="4" w:tplc="240A0003" w:tentative="1">
      <w:start w:val="1"/>
      <w:numFmt w:val="bullet"/>
      <w:lvlText w:val="o"/>
      <w:lvlJc w:val="left"/>
      <w:pPr>
        <w:ind w:left="3700" w:hanging="360"/>
      </w:pPr>
      <w:rPr>
        <w:rFonts w:ascii="Courier New" w:hAnsi="Courier New" w:cs="Courier New" w:hint="default"/>
      </w:rPr>
    </w:lvl>
    <w:lvl w:ilvl="5" w:tplc="240A0005" w:tentative="1">
      <w:start w:val="1"/>
      <w:numFmt w:val="bullet"/>
      <w:lvlText w:val=""/>
      <w:lvlJc w:val="left"/>
      <w:pPr>
        <w:ind w:left="4420" w:hanging="360"/>
      </w:pPr>
      <w:rPr>
        <w:rFonts w:ascii="Wingdings" w:hAnsi="Wingdings" w:hint="default"/>
      </w:rPr>
    </w:lvl>
    <w:lvl w:ilvl="6" w:tplc="240A0001" w:tentative="1">
      <w:start w:val="1"/>
      <w:numFmt w:val="bullet"/>
      <w:lvlText w:val=""/>
      <w:lvlJc w:val="left"/>
      <w:pPr>
        <w:ind w:left="5140" w:hanging="360"/>
      </w:pPr>
      <w:rPr>
        <w:rFonts w:ascii="Symbol" w:hAnsi="Symbol" w:hint="default"/>
      </w:rPr>
    </w:lvl>
    <w:lvl w:ilvl="7" w:tplc="240A0003" w:tentative="1">
      <w:start w:val="1"/>
      <w:numFmt w:val="bullet"/>
      <w:lvlText w:val="o"/>
      <w:lvlJc w:val="left"/>
      <w:pPr>
        <w:ind w:left="5860" w:hanging="360"/>
      </w:pPr>
      <w:rPr>
        <w:rFonts w:ascii="Courier New" w:hAnsi="Courier New" w:cs="Courier New" w:hint="default"/>
      </w:rPr>
    </w:lvl>
    <w:lvl w:ilvl="8" w:tplc="240A0005" w:tentative="1">
      <w:start w:val="1"/>
      <w:numFmt w:val="bullet"/>
      <w:lvlText w:val=""/>
      <w:lvlJc w:val="left"/>
      <w:pPr>
        <w:ind w:left="6580" w:hanging="360"/>
      </w:pPr>
      <w:rPr>
        <w:rFonts w:ascii="Wingdings" w:hAnsi="Wingdings" w:hint="default"/>
      </w:rPr>
    </w:lvl>
  </w:abstractNum>
  <w:abstractNum w:abstractNumId="2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5C0D9A"/>
    <w:multiLevelType w:val="hybridMultilevel"/>
    <w:tmpl w:val="025608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CA47E24"/>
    <w:multiLevelType w:val="hybridMultilevel"/>
    <w:tmpl w:val="F746DE12"/>
    <w:lvl w:ilvl="0" w:tplc="240A0001">
      <w:start w:val="1"/>
      <w:numFmt w:val="bullet"/>
      <w:lvlText w:val=""/>
      <w:lvlJc w:val="left"/>
      <w:pPr>
        <w:ind w:left="795" w:hanging="360"/>
      </w:pPr>
      <w:rPr>
        <w:rFonts w:ascii="Symbol" w:hAnsi="Symbol" w:hint="default"/>
      </w:rPr>
    </w:lvl>
    <w:lvl w:ilvl="1" w:tplc="240A0003" w:tentative="1">
      <w:start w:val="1"/>
      <w:numFmt w:val="bullet"/>
      <w:lvlText w:val="o"/>
      <w:lvlJc w:val="left"/>
      <w:pPr>
        <w:ind w:left="1515" w:hanging="360"/>
      </w:pPr>
      <w:rPr>
        <w:rFonts w:ascii="Courier New" w:hAnsi="Courier New" w:cs="Courier New" w:hint="default"/>
      </w:rPr>
    </w:lvl>
    <w:lvl w:ilvl="2" w:tplc="240A0005" w:tentative="1">
      <w:start w:val="1"/>
      <w:numFmt w:val="bullet"/>
      <w:lvlText w:val=""/>
      <w:lvlJc w:val="left"/>
      <w:pPr>
        <w:ind w:left="2235" w:hanging="360"/>
      </w:pPr>
      <w:rPr>
        <w:rFonts w:ascii="Wingdings" w:hAnsi="Wingdings" w:hint="default"/>
      </w:rPr>
    </w:lvl>
    <w:lvl w:ilvl="3" w:tplc="240A0001" w:tentative="1">
      <w:start w:val="1"/>
      <w:numFmt w:val="bullet"/>
      <w:lvlText w:val=""/>
      <w:lvlJc w:val="left"/>
      <w:pPr>
        <w:ind w:left="2955" w:hanging="360"/>
      </w:pPr>
      <w:rPr>
        <w:rFonts w:ascii="Symbol" w:hAnsi="Symbol" w:hint="default"/>
      </w:rPr>
    </w:lvl>
    <w:lvl w:ilvl="4" w:tplc="240A0003" w:tentative="1">
      <w:start w:val="1"/>
      <w:numFmt w:val="bullet"/>
      <w:lvlText w:val="o"/>
      <w:lvlJc w:val="left"/>
      <w:pPr>
        <w:ind w:left="3675" w:hanging="360"/>
      </w:pPr>
      <w:rPr>
        <w:rFonts w:ascii="Courier New" w:hAnsi="Courier New" w:cs="Courier New" w:hint="default"/>
      </w:rPr>
    </w:lvl>
    <w:lvl w:ilvl="5" w:tplc="240A0005" w:tentative="1">
      <w:start w:val="1"/>
      <w:numFmt w:val="bullet"/>
      <w:lvlText w:val=""/>
      <w:lvlJc w:val="left"/>
      <w:pPr>
        <w:ind w:left="4395" w:hanging="360"/>
      </w:pPr>
      <w:rPr>
        <w:rFonts w:ascii="Wingdings" w:hAnsi="Wingdings" w:hint="default"/>
      </w:rPr>
    </w:lvl>
    <w:lvl w:ilvl="6" w:tplc="240A0001" w:tentative="1">
      <w:start w:val="1"/>
      <w:numFmt w:val="bullet"/>
      <w:lvlText w:val=""/>
      <w:lvlJc w:val="left"/>
      <w:pPr>
        <w:ind w:left="5115" w:hanging="360"/>
      </w:pPr>
      <w:rPr>
        <w:rFonts w:ascii="Symbol" w:hAnsi="Symbol" w:hint="default"/>
      </w:rPr>
    </w:lvl>
    <w:lvl w:ilvl="7" w:tplc="240A0003" w:tentative="1">
      <w:start w:val="1"/>
      <w:numFmt w:val="bullet"/>
      <w:lvlText w:val="o"/>
      <w:lvlJc w:val="left"/>
      <w:pPr>
        <w:ind w:left="5835" w:hanging="360"/>
      </w:pPr>
      <w:rPr>
        <w:rFonts w:ascii="Courier New" w:hAnsi="Courier New" w:cs="Courier New" w:hint="default"/>
      </w:rPr>
    </w:lvl>
    <w:lvl w:ilvl="8" w:tplc="240A0005" w:tentative="1">
      <w:start w:val="1"/>
      <w:numFmt w:val="bullet"/>
      <w:lvlText w:val=""/>
      <w:lvlJc w:val="left"/>
      <w:pPr>
        <w:ind w:left="6555" w:hanging="360"/>
      </w:pPr>
      <w:rPr>
        <w:rFonts w:ascii="Wingdings" w:hAnsi="Wingdings" w:hint="default"/>
      </w:rPr>
    </w:lvl>
  </w:abstractNum>
  <w:num w:numId="1" w16cid:durableId="948779781">
    <w:abstractNumId w:val="10"/>
  </w:num>
  <w:num w:numId="2" w16cid:durableId="19822139">
    <w:abstractNumId w:val="2"/>
  </w:num>
  <w:num w:numId="3" w16cid:durableId="876742304">
    <w:abstractNumId w:val="7"/>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5"/>
  </w:num>
  <w:num w:numId="7" w16cid:durableId="1946422806">
    <w:abstractNumId w:val="8"/>
  </w:num>
  <w:num w:numId="8" w16cid:durableId="152644682">
    <w:abstractNumId w:val="24"/>
  </w:num>
  <w:num w:numId="9" w16cid:durableId="1317221377">
    <w:abstractNumId w:val="12"/>
  </w:num>
  <w:num w:numId="10" w16cid:durableId="1471245386">
    <w:abstractNumId w:val="23"/>
  </w:num>
  <w:num w:numId="11" w16cid:durableId="289172385">
    <w:abstractNumId w:val="14"/>
  </w:num>
  <w:num w:numId="12" w16cid:durableId="1470781324">
    <w:abstractNumId w:val="1"/>
  </w:num>
  <w:num w:numId="13" w16cid:durableId="1512908409">
    <w:abstractNumId w:val="5"/>
  </w:num>
  <w:num w:numId="14" w16cid:durableId="895897244">
    <w:abstractNumId w:val="26"/>
  </w:num>
  <w:num w:numId="15" w16cid:durableId="390349800">
    <w:abstractNumId w:val="22"/>
  </w:num>
  <w:num w:numId="16" w16cid:durableId="341274352">
    <w:abstractNumId w:val="0"/>
  </w:num>
  <w:num w:numId="17" w16cid:durableId="679089576">
    <w:abstractNumId w:val="15"/>
  </w:num>
  <w:num w:numId="18" w16cid:durableId="17826887">
    <w:abstractNumId w:val="17"/>
  </w:num>
  <w:num w:numId="19" w16cid:durableId="570773337">
    <w:abstractNumId w:val="20"/>
  </w:num>
  <w:num w:numId="20" w16cid:durableId="927537294">
    <w:abstractNumId w:val="16"/>
  </w:num>
  <w:num w:numId="21" w16cid:durableId="1186604065">
    <w:abstractNumId w:val="18"/>
  </w:num>
  <w:num w:numId="22" w16cid:durableId="129979088">
    <w:abstractNumId w:val="9"/>
  </w:num>
  <w:num w:numId="23" w16cid:durableId="1460688499">
    <w:abstractNumId w:val="19"/>
  </w:num>
  <w:num w:numId="24" w16cid:durableId="1822505858">
    <w:abstractNumId w:val="6"/>
  </w:num>
  <w:num w:numId="25" w16cid:durableId="145635792">
    <w:abstractNumId w:val="4"/>
  </w:num>
  <w:num w:numId="26" w16cid:durableId="377046705">
    <w:abstractNumId w:val="11"/>
  </w:num>
  <w:num w:numId="27" w16cid:durableId="509684007">
    <w:abstractNumId w:val="28"/>
  </w:num>
  <w:num w:numId="28" w16cid:durableId="831144968">
    <w:abstractNumId w:val="3"/>
  </w:num>
  <w:num w:numId="29" w16cid:durableId="1784569388">
    <w:abstractNumId w:val="27"/>
  </w:num>
  <w:num w:numId="30" w16cid:durableId="632904117">
    <w:abstractNumId w:val="13"/>
  </w:num>
  <w:num w:numId="31" w16cid:durableId="6036136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0CD"/>
    <w:rsid w:val="00023F3E"/>
    <w:rsid w:val="00025891"/>
    <w:rsid w:val="00035906"/>
    <w:rsid w:val="00036AE4"/>
    <w:rsid w:val="000600F3"/>
    <w:rsid w:val="00061B2A"/>
    <w:rsid w:val="00074F0F"/>
    <w:rsid w:val="00082362"/>
    <w:rsid w:val="00085FAF"/>
    <w:rsid w:val="000A2C08"/>
    <w:rsid w:val="000A683E"/>
    <w:rsid w:val="000B19B9"/>
    <w:rsid w:val="000D0334"/>
    <w:rsid w:val="000F6486"/>
    <w:rsid w:val="00101598"/>
    <w:rsid w:val="00125105"/>
    <w:rsid w:val="00127233"/>
    <w:rsid w:val="001348C8"/>
    <w:rsid w:val="001546E1"/>
    <w:rsid w:val="00181B86"/>
    <w:rsid w:val="00182FCD"/>
    <w:rsid w:val="0018387F"/>
    <w:rsid w:val="00197796"/>
    <w:rsid w:val="001D7188"/>
    <w:rsid w:val="001E4177"/>
    <w:rsid w:val="001E5D54"/>
    <w:rsid w:val="001F597F"/>
    <w:rsid w:val="001F7DC6"/>
    <w:rsid w:val="00216A1E"/>
    <w:rsid w:val="00226A5E"/>
    <w:rsid w:val="002347D9"/>
    <w:rsid w:val="00237D66"/>
    <w:rsid w:val="002421BB"/>
    <w:rsid w:val="00250099"/>
    <w:rsid w:val="0025115F"/>
    <w:rsid w:val="0025796E"/>
    <w:rsid w:val="002707A2"/>
    <w:rsid w:val="002746B3"/>
    <w:rsid w:val="002924DF"/>
    <w:rsid w:val="00294AD9"/>
    <w:rsid w:val="002951A0"/>
    <w:rsid w:val="00295AC9"/>
    <w:rsid w:val="002962BC"/>
    <w:rsid w:val="002A093D"/>
    <w:rsid w:val="002A0DD0"/>
    <w:rsid w:val="002A49AC"/>
    <w:rsid w:val="002A64FD"/>
    <w:rsid w:val="002C7A84"/>
    <w:rsid w:val="002D29ED"/>
    <w:rsid w:val="002E4FD9"/>
    <w:rsid w:val="00306653"/>
    <w:rsid w:val="00322A85"/>
    <w:rsid w:val="00324168"/>
    <w:rsid w:val="0032787C"/>
    <w:rsid w:val="00331302"/>
    <w:rsid w:val="0033468F"/>
    <w:rsid w:val="003448F4"/>
    <w:rsid w:val="00346896"/>
    <w:rsid w:val="00374B3E"/>
    <w:rsid w:val="00374F5E"/>
    <w:rsid w:val="00377E3E"/>
    <w:rsid w:val="00382D27"/>
    <w:rsid w:val="003A26D1"/>
    <w:rsid w:val="003A779E"/>
    <w:rsid w:val="003D0D1F"/>
    <w:rsid w:val="003D0F4D"/>
    <w:rsid w:val="003D5B0D"/>
    <w:rsid w:val="003D7B29"/>
    <w:rsid w:val="003E0499"/>
    <w:rsid w:val="003F3941"/>
    <w:rsid w:val="004020D2"/>
    <w:rsid w:val="00406575"/>
    <w:rsid w:val="00415885"/>
    <w:rsid w:val="004174F8"/>
    <w:rsid w:val="00421AFF"/>
    <w:rsid w:val="00422ECB"/>
    <w:rsid w:val="004263DC"/>
    <w:rsid w:val="00426A99"/>
    <w:rsid w:val="0042722E"/>
    <w:rsid w:val="00430459"/>
    <w:rsid w:val="0044528D"/>
    <w:rsid w:val="004745D5"/>
    <w:rsid w:val="00496FF7"/>
    <w:rsid w:val="004A1847"/>
    <w:rsid w:val="004A305D"/>
    <w:rsid w:val="004B1A1D"/>
    <w:rsid w:val="004C3B5F"/>
    <w:rsid w:val="004C4A97"/>
    <w:rsid w:val="004F21C4"/>
    <w:rsid w:val="004F685F"/>
    <w:rsid w:val="00537752"/>
    <w:rsid w:val="005377D6"/>
    <w:rsid w:val="00542289"/>
    <w:rsid w:val="00545E2B"/>
    <w:rsid w:val="005474AD"/>
    <w:rsid w:val="00551D48"/>
    <w:rsid w:val="005566E8"/>
    <w:rsid w:val="00574867"/>
    <w:rsid w:val="00577111"/>
    <w:rsid w:val="00584B1F"/>
    <w:rsid w:val="00591460"/>
    <w:rsid w:val="00592628"/>
    <w:rsid w:val="005A7F84"/>
    <w:rsid w:val="005C3777"/>
    <w:rsid w:val="005C4850"/>
    <w:rsid w:val="005C5CDC"/>
    <w:rsid w:val="005D476C"/>
    <w:rsid w:val="005E486D"/>
    <w:rsid w:val="00610812"/>
    <w:rsid w:val="006128E4"/>
    <w:rsid w:val="006219F8"/>
    <w:rsid w:val="00622F53"/>
    <w:rsid w:val="0062520C"/>
    <w:rsid w:val="00650FF7"/>
    <w:rsid w:val="006540D4"/>
    <w:rsid w:val="00654146"/>
    <w:rsid w:val="006553AD"/>
    <w:rsid w:val="00665D70"/>
    <w:rsid w:val="00671DAC"/>
    <w:rsid w:val="0067626F"/>
    <w:rsid w:val="00680E68"/>
    <w:rsid w:val="006900D9"/>
    <w:rsid w:val="006A7F17"/>
    <w:rsid w:val="006B2673"/>
    <w:rsid w:val="006C44CA"/>
    <w:rsid w:val="006D12F8"/>
    <w:rsid w:val="00701DE7"/>
    <w:rsid w:val="00706C16"/>
    <w:rsid w:val="00756841"/>
    <w:rsid w:val="007649AB"/>
    <w:rsid w:val="00766C1F"/>
    <w:rsid w:val="007707C1"/>
    <w:rsid w:val="00771D0C"/>
    <w:rsid w:val="007827C2"/>
    <w:rsid w:val="007833AC"/>
    <w:rsid w:val="007A01CA"/>
    <w:rsid w:val="007A409F"/>
    <w:rsid w:val="007A4787"/>
    <w:rsid w:val="007A6707"/>
    <w:rsid w:val="007B268C"/>
    <w:rsid w:val="007B3431"/>
    <w:rsid w:val="007B7171"/>
    <w:rsid w:val="007B7DFE"/>
    <w:rsid w:val="007C0C0F"/>
    <w:rsid w:val="007C3DC2"/>
    <w:rsid w:val="007E5497"/>
    <w:rsid w:val="00801512"/>
    <w:rsid w:val="00801696"/>
    <w:rsid w:val="00806F5F"/>
    <w:rsid w:val="00820278"/>
    <w:rsid w:val="00826D85"/>
    <w:rsid w:val="00827825"/>
    <w:rsid w:val="008300C8"/>
    <w:rsid w:val="00836C24"/>
    <w:rsid w:val="00855235"/>
    <w:rsid w:val="008768BE"/>
    <w:rsid w:val="008843B6"/>
    <w:rsid w:val="00891928"/>
    <w:rsid w:val="00895FCF"/>
    <w:rsid w:val="008A446D"/>
    <w:rsid w:val="008B27B5"/>
    <w:rsid w:val="008B3147"/>
    <w:rsid w:val="008D180B"/>
    <w:rsid w:val="008E301E"/>
    <w:rsid w:val="008E372F"/>
    <w:rsid w:val="008F0EA7"/>
    <w:rsid w:val="00923EEF"/>
    <w:rsid w:val="00930442"/>
    <w:rsid w:val="009419F9"/>
    <w:rsid w:val="0095685E"/>
    <w:rsid w:val="00961B09"/>
    <w:rsid w:val="00965334"/>
    <w:rsid w:val="0097093E"/>
    <w:rsid w:val="0097768E"/>
    <w:rsid w:val="009947A7"/>
    <w:rsid w:val="009A0DFA"/>
    <w:rsid w:val="009B2D26"/>
    <w:rsid w:val="009B5221"/>
    <w:rsid w:val="009C71FA"/>
    <w:rsid w:val="009C72E7"/>
    <w:rsid w:val="009D3058"/>
    <w:rsid w:val="009F3A13"/>
    <w:rsid w:val="00A122D3"/>
    <w:rsid w:val="00A17F13"/>
    <w:rsid w:val="00A20739"/>
    <w:rsid w:val="00A33C78"/>
    <w:rsid w:val="00A40F3F"/>
    <w:rsid w:val="00A45E3C"/>
    <w:rsid w:val="00A60176"/>
    <w:rsid w:val="00AA1104"/>
    <w:rsid w:val="00AB0ADB"/>
    <w:rsid w:val="00AC3AFC"/>
    <w:rsid w:val="00AD1A58"/>
    <w:rsid w:val="00AE314F"/>
    <w:rsid w:val="00AF0BA5"/>
    <w:rsid w:val="00B01B1A"/>
    <w:rsid w:val="00B050D4"/>
    <w:rsid w:val="00B2125F"/>
    <w:rsid w:val="00B26DB4"/>
    <w:rsid w:val="00B330A0"/>
    <w:rsid w:val="00B44A84"/>
    <w:rsid w:val="00B536EC"/>
    <w:rsid w:val="00B64B86"/>
    <w:rsid w:val="00B708CF"/>
    <w:rsid w:val="00B72CD3"/>
    <w:rsid w:val="00B72FFF"/>
    <w:rsid w:val="00B91A58"/>
    <w:rsid w:val="00BC3D36"/>
    <w:rsid w:val="00BD0D01"/>
    <w:rsid w:val="00BD7F72"/>
    <w:rsid w:val="00BF120F"/>
    <w:rsid w:val="00BF6D91"/>
    <w:rsid w:val="00C04FB3"/>
    <w:rsid w:val="00C32678"/>
    <w:rsid w:val="00C330EB"/>
    <w:rsid w:val="00C442AB"/>
    <w:rsid w:val="00C61544"/>
    <w:rsid w:val="00C674B5"/>
    <w:rsid w:val="00C7507B"/>
    <w:rsid w:val="00C754BE"/>
    <w:rsid w:val="00C76B1C"/>
    <w:rsid w:val="00C86494"/>
    <w:rsid w:val="00C97728"/>
    <w:rsid w:val="00CB6357"/>
    <w:rsid w:val="00CC1B26"/>
    <w:rsid w:val="00CC1D9B"/>
    <w:rsid w:val="00CC5F3D"/>
    <w:rsid w:val="00CF75AA"/>
    <w:rsid w:val="00D3447E"/>
    <w:rsid w:val="00D34E84"/>
    <w:rsid w:val="00D423A2"/>
    <w:rsid w:val="00D520D8"/>
    <w:rsid w:val="00D63860"/>
    <w:rsid w:val="00D63AC2"/>
    <w:rsid w:val="00D70D62"/>
    <w:rsid w:val="00D7383B"/>
    <w:rsid w:val="00D802F7"/>
    <w:rsid w:val="00D86EAD"/>
    <w:rsid w:val="00DA231B"/>
    <w:rsid w:val="00DA23A0"/>
    <w:rsid w:val="00DA7C9E"/>
    <w:rsid w:val="00DB7B58"/>
    <w:rsid w:val="00DC39FC"/>
    <w:rsid w:val="00DD53AB"/>
    <w:rsid w:val="00DE3087"/>
    <w:rsid w:val="00DF5254"/>
    <w:rsid w:val="00E04A0C"/>
    <w:rsid w:val="00E10E8D"/>
    <w:rsid w:val="00E16408"/>
    <w:rsid w:val="00E20894"/>
    <w:rsid w:val="00E245AB"/>
    <w:rsid w:val="00E2764C"/>
    <w:rsid w:val="00E27F2E"/>
    <w:rsid w:val="00E32DB1"/>
    <w:rsid w:val="00E413EA"/>
    <w:rsid w:val="00E50AFE"/>
    <w:rsid w:val="00E65F03"/>
    <w:rsid w:val="00E70B07"/>
    <w:rsid w:val="00E71D68"/>
    <w:rsid w:val="00E75C92"/>
    <w:rsid w:val="00E771DC"/>
    <w:rsid w:val="00E7786D"/>
    <w:rsid w:val="00E85F3C"/>
    <w:rsid w:val="00E8772A"/>
    <w:rsid w:val="00E90F6B"/>
    <w:rsid w:val="00E92C27"/>
    <w:rsid w:val="00EA0E3D"/>
    <w:rsid w:val="00EA1B55"/>
    <w:rsid w:val="00EC38A7"/>
    <w:rsid w:val="00EE1AA8"/>
    <w:rsid w:val="00EF40AC"/>
    <w:rsid w:val="00F31EDC"/>
    <w:rsid w:val="00F40648"/>
    <w:rsid w:val="00F462B3"/>
    <w:rsid w:val="00F55D1D"/>
    <w:rsid w:val="00F5664F"/>
    <w:rsid w:val="00F666C4"/>
    <w:rsid w:val="00F76AFC"/>
    <w:rsid w:val="00F806B9"/>
    <w:rsid w:val="00F94CC0"/>
    <w:rsid w:val="00FA47C0"/>
    <w:rsid w:val="00FB3C84"/>
    <w:rsid w:val="00FB5DD1"/>
    <w:rsid w:val="00FB79A7"/>
    <w:rsid w:val="00FC2B5D"/>
    <w:rsid w:val="00FD34FB"/>
    <w:rsid w:val="00FD5806"/>
    <w:rsid w:val="00FD6164"/>
    <w:rsid w:val="00FE3C22"/>
    <w:rsid w:val="00FE3FE5"/>
    <w:rsid w:val="00FE6DB1"/>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A2C08"/>
    <w:rPr>
      <w:rFonts w:ascii="Geomanist Light" w:hAnsi="Geomanist Light"/>
      <w:lang w:val="es-ES"/>
    </w:rPr>
  </w:style>
  <w:style w:type="paragraph" w:customStyle="1" w:styleId="Appelnotedebasde">
    <w:name w:val="Appel note de bas de..."/>
    <w:basedOn w:val="Normal"/>
    <w:link w:val="Refdenotaalpie"/>
    <w:uiPriority w:val="99"/>
    <w:rsid w:val="00AF0BA5"/>
    <w:pPr>
      <w:spacing w:line="240" w:lineRule="exact"/>
    </w:pPr>
    <w:rPr>
      <w:vertAlign w:val="superscript"/>
    </w:rPr>
  </w:style>
  <w:style w:type="paragraph" w:customStyle="1" w:styleId="R1">
    <w:name w:val="R1"/>
    <w:basedOn w:val="Normal"/>
    <w:next w:val="Textonotapie"/>
    <w:uiPriority w:val="99"/>
    <w:unhideWhenUsed/>
    <w:qFormat/>
    <w:rsid w:val="00430459"/>
    <w:pPr>
      <w:spacing w:after="0" w:line="240" w:lineRule="auto"/>
    </w:pPr>
    <w:rPr>
      <w:rFonts w:eastAsia="Times New Roman" w:cs="Times New Roman"/>
      <w:sz w:val="20"/>
      <w:szCs w:val="20"/>
      <w:lang w:val="es-MX"/>
    </w:rPr>
  </w:style>
  <w:style w:type="table" w:customStyle="1" w:styleId="Tablaconcuadrcula1">
    <w:name w:val="Tabla con cuadrícula1"/>
    <w:basedOn w:val="Tablanormal"/>
    <w:next w:val="Tablaconcuadrcula"/>
    <w:uiPriority w:val="39"/>
    <w:qFormat/>
    <w:rsid w:val="0043045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C61544"/>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6154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02115248">
      <w:bodyDiv w:val="1"/>
      <w:marLeft w:val="0"/>
      <w:marRight w:val="0"/>
      <w:marTop w:val="0"/>
      <w:marBottom w:val="0"/>
      <w:divBdr>
        <w:top w:val="none" w:sz="0" w:space="0" w:color="auto"/>
        <w:left w:val="none" w:sz="0" w:space="0" w:color="auto"/>
        <w:bottom w:val="none" w:sz="0" w:space="0" w:color="auto"/>
        <w:right w:val="none" w:sz="0" w:space="0" w:color="auto"/>
      </w:divBdr>
      <w:divsChild>
        <w:div w:id="1526603227">
          <w:marLeft w:val="0"/>
          <w:marRight w:val="0"/>
          <w:marTop w:val="0"/>
          <w:marBottom w:val="160"/>
          <w:divBdr>
            <w:top w:val="none" w:sz="0" w:space="0" w:color="auto"/>
            <w:left w:val="none" w:sz="0" w:space="0" w:color="auto"/>
            <w:bottom w:val="none" w:sz="0" w:space="0" w:color="auto"/>
            <w:right w:val="none" w:sz="0" w:space="0" w:color="auto"/>
          </w:divBdr>
        </w:div>
        <w:div w:id="1526406997">
          <w:marLeft w:val="0"/>
          <w:marRight w:val="0"/>
          <w:marTop w:val="0"/>
          <w:marBottom w:val="0"/>
          <w:divBdr>
            <w:top w:val="none" w:sz="0" w:space="0" w:color="auto"/>
            <w:left w:val="none" w:sz="0" w:space="0" w:color="auto"/>
            <w:bottom w:val="none" w:sz="0" w:space="0" w:color="auto"/>
            <w:right w:val="none" w:sz="0" w:space="0" w:color="auto"/>
          </w:divBdr>
        </w:div>
        <w:div w:id="41489438">
          <w:marLeft w:val="0"/>
          <w:marRight w:val="0"/>
          <w:marTop w:val="0"/>
          <w:marBottom w:val="0"/>
          <w:divBdr>
            <w:top w:val="none" w:sz="0" w:space="0" w:color="auto"/>
            <w:left w:val="none" w:sz="0" w:space="0" w:color="auto"/>
            <w:bottom w:val="none" w:sz="0" w:space="0" w:color="auto"/>
            <w:right w:val="none" w:sz="0" w:space="0" w:color="auto"/>
          </w:divBdr>
        </w:div>
      </w:divsChild>
    </w:div>
    <w:div w:id="1955550730">
      <w:bodyDiv w:val="1"/>
      <w:marLeft w:val="0"/>
      <w:marRight w:val="0"/>
      <w:marTop w:val="0"/>
      <w:marBottom w:val="0"/>
      <w:divBdr>
        <w:top w:val="none" w:sz="0" w:space="0" w:color="auto"/>
        <w:left w:val="none" w:sz="0" w:space="0" w:color="auto"/>
        <w:bottom w:val="none" w:sz="0" w:space="0" w:color="auto"/>
        <w:right w:val="none" w:sz="0" w:space="0" w:color="auto"/>
      </w:divBdr>
      <w:divsChild>
        <w:div w:id="1979651134">
          <w:marLeft w:val="0"/>
          <w:marRight w:val="0"/>
          <w:marTop w:val="0"/>
          <w:marBottom w:val="160"/>
          <w:divBdr>
            <w:top w:val="none" w:sz="0" w:space="0" w:color="auto"/>
            <w:left w:val="none" w:sz="0" w:space="0" w:color="auto"/>
            <w:bottom w:val="none" w:sz="0" w:space="0" w:color="auto"/>
            <w:right w:val="none" w:sz="0" w:space="0" w:color="auto"/>
          </w:divBdr>
        </w:div>
        <w:div w:id="505634720">
          <w:marLeft w:val="0"/>
          <w:marRight w:val="0"/>
          <w:marTop w:val="0"/>
          <w:marBottom w:val="0"/>
          <w:divBdr>
            <w:top w:val="none" w:sz="0" w:space="0" w:color="auto"/>
            <w:left w:val="none" w:sz="0" w:space="0" w:color="auto"/>
            <w:bottom w:val="none" w:sz="0" w:space="0" w:color="auto"/>
            <w:right w:val="none" w:sz="0" w:space="0" w:color="auto"/>
          </w:divBdr>
        </w:div>
        <w:div w:id="597756595">
          <w:marLeft w:val="0"/>
          <w:marRight w:val="0"/>
          <w:marTop w:val="0"/>
          <w:marBottom w:val="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rteconstitucional.gov.co/relatoria/2021/SU380-21.htm" TargetMode="External"/><Relationship Id="rId18" Type="http://schemas.openxmlformats.org/officeDocument/2006/relationships/hyperlink" Target="https://nam02.safelinks.protection.outlook.com/?url=https%3A%2F%2Fwww.colombiacompra.gov.co%2Fcontent%2F02-documentos-tipo-para-los-procesos-de-seleccion-de-consultoria-de-obra-publica-de&amp;data=05%7C02%7Cmaria.medellin%40colombiacompra.gov.co%7Cb18b651bca3a4eb8eab008dd269b400d%7C7b09041e245149d08cb179d5e3d8c1be%7C0%7C0%7C638709170415940472%7CUnknown%7CTWFpbGZsb3d8eyJFbXB0eU1hcGkiOnRydWUsIlYiOiIwLjAuMDAwMCIsIlAiOiJXaW4zMiIsIkFOIjoiTWFpbCIsIldUIjoyfQ%3D%3D%7C0%7C%7C%7C&amp;sdata=SdJRWQfb%2FByj9AkPIvJ56%2BhqT1NfIueiFqHtJSaO6K4%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nam02.safelinks.protection.outlook.com/?url=https%3A%2F%2Fwww.colombiacompra.gov.co%2Fcontent%2F03-documentos-tipo-para-los-procesos-de-seleccion-de-interventoria-de-obra-publica-de&amp;data=05%7C02%7Cmaria.medellin%40colombiacompra.gov.co%7Cb18b651bca3a4eb8eab008dd269b400d%7C7b09041e245149d08cb179d5e3d8c1be%7C0%7C0%7C638709170415920770%7CUnknown%7CTWFpbGZsb3d8eyJFbXB0eU1hcGkiOnRydWUsIlYiOiIwLjAuMDAwMCIsIlAiOiJXaW4zMiIsIkFOIjoiTWFpbCIsIldUIjoyfQ%3D%3D%7C0%7C%7C%7C&amp;sdata=0OlPewMCJQ%2F8SbKmeGzXa8K6ws0JuWizUOY5jDWeyqQ%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lop9204@gmail.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rteconstitucional.gov.co/Relatoria/2023/T-094-23.ht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maria.medellin%40colombiacompra.gov.co%7Cb18b651bca3a4eb8eab008dd269b400d%7C7b09041e245149d08cb179d5e3d8c1be%7C0%7C0%7C638709170415956339%7CUnknown%7CTWFpbGZsb3d8eyJFbXB0eU1hcGkiOnRydWUsIlYiOiIwLjAuMDAwMCIsIlAiOiJXaW4zMiIsIkFOIjoiTWFpbCIsIldUIjoyfQ%3D%3D%7C0%7C%7C%7C&amp;sdata=ndvgi3ofxqjuCm5XyjbFTZR9kQZUM70AKwKPe8o8Zk4%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rteconstitucional.gov.co/Relatoria/2024/T-208-24.ht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261057B-53A6-4635-8031-7F3CEE0216B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04BB70CC-6D4C-4AA4-A4DB-E73FD7E27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14</Pages>
  <Words>4302</Words>
  <Characters>23663</Characters>
  <Application>Microsoft Office Word</Application>
  <DocSecurity>0</DocSecurity>
  <Lines>197</Lines>
  <Paragraphs>55</Paragraphs>
  <ScaleCrop>false</ScaleCrop>
  <Company/>
  <LinksUpToDate>false</LinksUpToDate>
  <CharactersWithSpaces>27910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Valeska Medellín Mora</cp:lastModifiedBy>
  <cp:revision>141</cp:revision>
  <cp:lastPrinted>2023-01-10T21:18:00Z</cp:lastPrinted>
  <dcterms:created xsi:type="dcterms:W3CDTF">2024-11-28T21:44:00Z</dcterms:created>
  <dcterms:modified xsi:type="dcterms:W3CDTF">2025-02-05T21:17:00Z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