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EF927" w14:textId="28CD96B7" w:rsidR="0010470C" w:rsidRPr="00370110" w:rsidRDefault="0010470C" w:rsidP="0010470C">
      <w:pPr>
        <w:jc w:val="both"/>
        <w:rPr>
          <w:rFonts w:ascii="Verdana" w:eastAsia="Calibri" w:hAnsi="Verdana" w:cs="Arial"/>
          <w:b/>
        </w:rPr>
      </w:pPr>
      <w:bookmarkStart w:id="0" w:name="_Hlk186494164"/>
      <w:r w:rsidRPr="00370110">
        <w:rPr>
          <w:rFonts w:ascii="Verdana" w:eastAsia="Calibri" w:hAnsi="Verdana" w:cs="Arial"/>
          <w:b/>
        </w:rPr>
        <w:t xml:space="preserve">SELECCIÓN OBJETIVA ― Noción y factores de escogencia </w:t>
      </w:r>
    </w:p>
    <w:p w14:paraId="2E6C0DF6" w14:textId="6C2ECF4A" w:rsidR="00370110" w:rsidRPr="00370110" w:rsidRDefault="00370110" w:rsidP="00911BD1">
      <w:pPr>
        <w:spacing w:after="0" w:line="240" w:lineRule="auto"/>
        <w:jc w:val="both"/>
        <w:rPr>
          <w:rFonts w:ascii="Verdana" w:eastAsia="Arial" w:hAnsi="Verdana" w:cs="Arial"/>
          <w:color w:val="000000"/>
          <w:sz w:val="20"/>
          <w:szCs w:val="20"/>
        </w:rPr>
      </w:pPr>
      <w:r w:rsidRPr="00370110">
        <w:rPr>
          <w:rFonts w:ascii="Verdana" w:eastAsia="Arial" w:hAnsi="Verdana" w:cs="Arial"/>
          <w:color w:val="000000"/>
          <w:sz w:val="20"/>
          <w:szCs w:val="20"/>
        </w:rPr>
        <w:t xml:space="preserve">Uno de los principios transversales de los procedimientos de selección es el de </w:t>
      </w:r>
      <w:r w:rsidRPr="00370110">
        <w:rPr>
          <w:rFonts w:ascii="Verdana" w:eastAsia="Arial" w:hAnsi="Verdana" w:cs="Arial"/>
          <w:i/>
          <w:color w:val="000000"/>
          <w:sz w:val="20"/>
          <w:szCs w:val="20"/>
        </w:rPr>
        <w:t>selección objetiva</w:t>
      </w:r>
      <w:r w:rsidRPr="00370110">
        <w:rPr>
          <w:rFonts w:ascii="Verdana" w:eastAsia="Arial" w:hAnsi="Verdana" w:cs="Arial"/>
          <w:color w:val="000000"/>
          <w:sz w:val="20"/>
          <w:szCs w:val="2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 en la actualidad la disposición legal que lo prevé de manera más clara y contundente es el artículo 5 de la Ley 1150 de 2007, modificado por el artículo 88 de la Ley 1474 de 2011 y por el artículo 5 de la Ley 1882 de 2018.</w:t>
      </w:r>
    </w:p>
    <w:p w14:paraId="5036AD70" w14:textId="77777777" w:rsidR="00911BD1" w:rsidRDefault="00911BD1" w:rsidP="0010470C">
      <w:pPr>
        <w:jc w:val="both"/>
        <w:rPr>
          <w:rFonts w:ascii="Verdana" w:eastAsia="Calibri" w:hAnsi="Verdana" w:cs="Arial"/>
          <w:b/>
        </w:rPr>
      </w:pPr>
    </w:p>
    <w:p w14:paraId="2B33B2E6" w14:textId="087D7679" w:rsidR="0010470C" w:rsidRPr="00370110" w:rsidRDefault="0010470C" w:rsidP="0010470C">
      <w:pPr>
        <w:jc w:val="both"/>
        <w:rPr>
          <w:rFonts w:ascii="Verdana" w:eastAsia="Arial" w:hAnsi="Verdana" w:cs="Arial"/>
          <w:color w:val="000000"/>
        </w:rPr>
      </w:pPr>
      <w:r w:rsidRPr="00370110">
        <w:rPr>
          <w:rFonts w:ascii="Verdana" w:eastAsia="Calibri" w:hAnsi="Verdana" w:cs="Arial"/>
          <w:b/>
        </w:rPr>
        <w:t xml:space="preserve">REQUISITOS HABILITANTES DE LA LEY 1150 DE 2007 ― Carácter enunciativo  </w:t>
      </w:r>
    </w:p>
    <w:p w14:paraId="429E219C" w14:textId="430F278C" w:rsidR="0010470C" w:rsidRDefault="00370110" w:rsidP="00911BD1">
      <w:pPr>
        <w:tabs>
          <w:tab w:val="left" w:pos="0"/>
        </w:tabs>
        <w:spacing w:after="0" w:line="240" w:lineRule="auto"/>
        <w:jc w:val="both"/>
        <w:rPr>
          <w:rFonts w:ascii="Verdana" w:hAnsi="Verdana"/>
          <w:sz w:val="20"/>
          <w:szCs w:val="20"/>
        </w:rPr>
      </w:pPr>
      <w:r w:rsidRPr="00370110">
        <w:rPr>
          <w:rFonts w:ascii="Verdana" w:eastAsia="Arial" w:hAnsi="Verdana" w:cs="Arial"/>
          <w:color w:val="000000"/>
          <w:sz w:val="20"/>
          <w:szCs w:val="20"/>
        </w:rPr>
        <w:t xml:space="preserve">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 Como lo ha señalado esta Agencia en los diferentes conceptos estos </w:t>
      </w:r>
      <w:r w:rsidRPr="00370110">
        <w:rPr>
          <w:rFonts w:ascii="Verdana" w:hAnsi="Verdana"/>
          <w:sz w:val="20"/>
          <w:szCs w:val="20"/>
        </w:rPr>
        <w:t xml:space="preserve">requisitos habilitantes establecidos son de carácter enunciativos y no taxativos, por lo que las entidades podrían establecer otras condiciones, </w:t>
      </w:r>
      <w:proofErr w:type="gramStart"/>
      <w:r w:rsidRPr="00370110">
        <w:rPr>
          <w:rFonts w:ascii="Verdana" w:hAnsi="Verdana"/>
          <w:sz w:val="20"/>
          <w:szCs w:val="20"/>
        </w:rPr>
        <w:t>de acuerdo a</w:t>
      </w:r>
      <w:proofErr w:type="gramEnd"/>
      <w:r w:rsidRPr="00370110">
        <w:rPr>
          <w:rFonts w:ascii="Verdana" w:hAnsi="Verdana"/>
          <w:sz w:val="20"/>
          <w:szCs w:val="20"/>
        </w:rPr>
        <w:t xml:space="preserve"> la autonomía de la voluntad, y teniendo en cuenta el objeto del contrato, los riesgos detectados en los estudios previos, el presupuesto oficial, entre otros factores.</w:t>
      </w:r>
    </w:p>
    <w:p w14:paraId="428B6480" w14:textId="77777777" w:rsidR="00370110" w:rsidRPr="00370110" w:rsidRDefault="00370110" w:rsidP="00370110">
      <w:pPr>
        <w:tabs>
          <w:tab w:val="left" w:pos="0"/>
        </w:tabs>
        <w:spacing w:after="0" w:line="240" w:lineRule="auto"/>
        <w:jc w:val="both"/>
        <w:rPr>
          <w:rFonts w:ascii="Verdana" w:hAnsi="Verdana"/>
          <w:sz w:val="20"/>
          <w:szCs w:val="20"/>
        </w:rPr>
      </w:pPr>
    </w:p>
    <w:p w14:paraId="7A53F3BE" w14:textId="56FCFDB6" w:rsidR="0010470C" w:rsidRPr="00370110" w:rsidRDefault="0010470C" w:rsidP="0010470C">
      <w:pPr>
        <w:jc w:val="both"/>
        <w:rPr>
          <w:rFonts w:ascii="Verdana" w:eastAsia="Calibri" w:hAnsi="Verdana" w:cs="Arial"/>
          <w:b/>
        </w:rPr>
      </w:pPr>
      <w:r w:rsidRPr="00370110">
        <w:rPr>
          <w:rFonts w:ascii="Verdana" w:eastAsia="Calibri" w:hAnsi="Verdana" w:cs="Arial"/>
          <w:b/>
        </w:rPr>
        <w:t>CERTIFICACIONES DE SISTEMAS DE GESTIÓN DE CALIDAD – No se pueden exigir como requisito habilitante o puntuable – Alcance</w:t>
      </w:r>
    </w:p>
    <w:p w14:paraId="0D346695" w14:textId="77777777" w:rsidR="0010470C" w:rsidRDefault="0010470C" w:rsidP="00370110">
      <w:pPr>
        <w:spacing w:after="0" w:line="240" w:lineRule="auto"/>
        <w:rPr>
          <w:rFonts w:ascii="Verdana" w:eastAsia="Geomanist Light" w:hAnsi="Verdana" w:cs="Arial"/>
          <w:color w:val="000000" w:themeColor="text1"/>
          <w:lang w:val="es-MX"/>
        </w:rPr>
      </w:pPr>
    </w:p>
    <w:p w14:paraId="376CF7AF" w14:textId="77777777" w:rsidR="00370110" w:rsidRDefault="00370110" w:rsidP="00370110">
      <w:pPr>
        <w:spacing w:after="0" w:line="240" w:lineRule="auto"/>
        <w:jc w:val="both"/>
        <w:rPr>
          <w:rFonts w:ascii="Verdana" w:eastAsia="Calibri" w:hAnsi="Verdana" w:cs="Arial"/>
          <w:color w:val="000000"/>
          <w:sz w:val="20"/>
          <w:szCs w:val="20"/>
          <w:lang w:val="es-MX"/>
        </w:rPr>
      </w:pPr>
      <w:r w:rsidRPr="00370110">
        <w:rPr>
          <w:rFonts w:ascii="Verdana" w:eastAsia="Arial" w:hAnsi="Verdana" w:cs="Arial"/>
          <w:color w:val="000000"/>
          <w:sz w:val="20"/>
          <w:szCs w:val="20"/>
        </w:rPr>
        <w:t>Ahora bien,</w:t>
      </w:r>
      <w:r w:rsidRPr="00370110">
        <w:rPr>
          <w:rFonts w:ascii="Verdana" w:eastAsia="Calibri" w:hAnsi="Verdana" w:cs="Arial"/>
          <w:color w:val="000000"/>
          <w:sz w:val="20"/>
          <w:szCs w:val="20"/>
          <w:lang w:val="es-MX"/>
        </w:rPr>
        <w:t xml:space="preserve"> el parágrafo 2 del artículo 5 de la Ley 1150 de 2007 establece una limitación para la determinación de requisitos habilitantes y criterios de calificación en los procesos de selección, según la cual las “certificaciones de sistemas de gestión de calidad no serán objeto de calificación, ni podrán establecerse como documento habilitante para participar en licitaciones o concursos”.</w:t>
      </w:r>
    </w:p>
    <w:p w14:paraId="6CDAEC51" w14:textId="77777777" w:rsidR="00370110" w:rsidRPr="00370110" w:rsidRDefault="00370110" w:rsidP="00370110">
      <w:pPr>
        <w:spacing w:after="0" w:line="240" w:lineRule="auto"/>
        <w:jc w:val="both"/>
        <w:rPr>
          <w:rFonts w:ascii="Verdana" w:eastAsia="Calibri" w:hAnsi="Verdana" w:cs="Arial"/>
          <w:color w:val="000000"/>
          <w:sz w:val="20"/>
          <w:szCs w:val="20"/>
          <w:lang w:val="es-MX"/>
        </w:rPr>
      </w:pPr>
    </w:p>
    <w:p w14:paraId="6A66B589" w14:textId="3143EC6A" w:rsidR="00370110" w:rsidRPr="00370110" w:rsidRDefault="00370110" w:rsidP="00370110">
      <w:pPr>
        <w:spacing w:after="0" w:line="240" w:lineRule="auto"/>
        <w:jc w:val="both"/>
        <w:rPr>
          <w:rFonts w:ascii="Verdana" w:hAnsi="Verdana" w:cs="Arial"/>
          <w:color w:val="000000" w:themeColor="text1"/>
          <w:sz w:val="20"/>
          <w:szCs w:val="20"/>
        </w:rPr>
      </w:pPr>
      <w:r w:rsidRPr="00370110">
        <w:rPr>
          <w:rFonts w:ascii="Verdana" w:eastAsia="Calibri" w:hAnsi="Verdana" w:cs="Arial"/>
          <w:color w:val="000000"/>
          <w:sz w:val="20"/>
          <w:szCs w:val="20"/>
          <w:lang w:val="es-MX"/>
        </w:rPr>
        <w:t xml:space="preserve">Para comprender el alcance de este parágrafo resulta de especial importancia referirse a </w:t>
      </w:r>
      <w:r w:rsidRPr="00370110">
        <w:rPr>
          <w:rFonts w:ascii="Verdana" w:hAnsi="Verdana" w:cs="Arial"/>
          <w:color w:val="000000" w:themeColor="text1"/>
          <w:sz w:val="20"/>
          <w:szCs w:val="20"/>
        </w:rPr>
        <w:t xml:space="preserve">los antecedentes legislativos de la norma </w:t>
      </w:r>
      <w:r w:rsidRPr="00370110">
        <w:rPr>
          <w:rFonts w:ascii="Verdana" w:hAnsi="Verdana" w:cs="Arial"/>
          <w:i/>
          <w:iCs/>
          <w:color w:val="000000" w:themeColor="text1"/>
          <w:sz w:val="20"/>
          <w:szCs w:val="20"/>
        </w:rPr>
        <w:t>sub examine</w:t>
      </w:r>
      <w:r w:rsidRPr="00370110">
        <w:rPr>
          <w:rFonts w:ascii="Verdana" w:hAnsi="Verdana" w:cs="Arial"/>
          <w:color w:val="000000" w:themeColor="text1"/>
          <w:sz w:val="20"/>
          <w:szCs w:val="20"/>
        </w:rPr>
        <w:t xml:space="preserve">. En este sentido, es preciso señalar que fue hasta el cuarto debate parlamentario en donde se incluyó el parágrafo comentando anteriormente bajo el siguiente texto: “Parágrafo 2°. Las certificaciones de sistemas de gestión de calidad no serán objeto de calificación, ni podrán establecerse como documento habilitante para participar en licitaciones o concursos. No </w:t>
      </w:r>
      <w:proofErr w:type="gramStart"/>
      <w:r w:rsidRPr="00370110">
        <w:rPr>
          <w:rFonts w:ascii="Verdana" w:hAnsi="Verdana" w:cs="Arial"/>
          <w:color w:val="000000" w:themeColor="text1"/>
          <w:sz w:val="20"/>
          <w:szCs w:val="20"/>
        </w:rPr>
        <w:t>obstante</w:t>
      </w:r>
      <w:proofErr w:type="gramEnd"/>
      <w:r w:rsidRPr="00370110">
        <w:rPr>
          <w:rFonts w:ascii="Verdana" w:hAnsi="Verdana" w:cs="Arial"/>
          <w:color w:val="000000" w:themeColor="text1"/>
          <w:sz w:val="20"/>
          <w:szCs w:val="20"/>
        </w:rPr>
        <w:t xml:space="preserve"> en los pliegos de condiciones se podrá fijar la implementación de planes de calidad.”.</w:t>
      </w:r>
    </w:p>
    <w:p w14:paraId="014F351F" w14:textId="53715146" w:rsidR="00370110" w:rsidRPr="00370110" w:rsidRDefault="00370110" w:rsidP="00370110">
      <w:pPr>
        <w:spacing w:after="0" w:line="240" w:lineRule="auto"/>
        <w:jc w:val="both"/>
        <w:rPr>
          <w:rFonts w:ascii="Verdana" w:hAnsi="Verdana" w:cs="Arial"/>
          <w:color w:val="000000" w:themeColor="text1"/>
          <w:sz w:val="20"/>
          <w:szCs w:val="20"/>
        </w:rPr>
      </w:pPr>
      <w:r w:rsidRPr="00370110">
        <w:rPr>
          <w:rFonts w:ascii="Verdana" w:hAnsi="Verdana" w:cs="Arial"/>
          <w:color w:val="000000" w:themeColor="text1"/>
          <w:sz w:val="20"/>
          <w:szCs w:val="20"/>
        </w:rPr>
        <w:lastRenderedPageBreak/>
        <w:t>La razón de la inclusión de este parágrafo en el artículo 5 de la Ley 1150 de 2006 se sustentó en que “(…)</w:t>
      </w:r>
      <w:r w:rsidRPr="00370110">
        <w:rPr>
          <w:rFonts w:ascii="Verdana" w:eastAsia="Arial" w:hAnsi="Verdana" w:cs="Arial"/>
          <w:color w:val="000000"/>
          <w:sz w:val="20"/>
          <w:szCs w:val="20"/>
        </w:rPr>
        <w:t xml:space="preserv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w:t>
      </w:r>
    </w:p>
    <w:p w14:paraId="352D36B5" w14:textId="77777777" w:rsidR="00E42E35" w:rsidRDefault="00E42E35" w:rsidP="00505CD6">
      <w:pPr>
        <w:spacing w:after="0" w:line="240" w:lineRule="auto"/>
        <w:rPr>
          <w:rFonts w:ascii="Verdana" w:eastAsia="Geomanist Light" w:hAnsi="Verdana" w:cs="Arial"/>
          <w:color w:val="000000" w:themeColor="text1"/>
          <w:lang w:val="es-MX"/>
        </w:rPr>
      </w:pPr>
    </w:p>
    <w:p w14:paraId="53F96882" w14:textId="77777777" w:rsidR="00E42E35" w:rsidRDefault="00E42E35" w:rsidP="00505CD6">
      <w:pPr>
        <w:spacing w:after="0" w:line="240" w:lineRule="auto"/>
        <w:rPr>
          <w:rFonts w:ascii="Verdana" w:eastAsia="Geomanist Light" w:hAnsi="Verdana" w:cs="Arial"/>
          <w:color w:val="000000" w:themeColor="text1"/>
          <w:lang w:val="es-MX"/>
        </w:rPr>
      </w:pPr>
    </w:p>
    <w:p w14:paraId="6E1A8369" w14:textId="77777777" w:rsidR="00E42E35" w:rsidRDefault="00E42E35" w:rsidP="00505CD6">
      <w:pPr>
        <w:spacing w:after="0" w:line="240" w:lineRule="auto"/>
        <w:rPr>
          <w:rFonts w:ascii="Verdana" w:eastAsia="Geomanist Light" w:hAnsi="Verdana" w:cs="Arial"/>
          <w:color w:val="000000" w:themeColor="text1"/>
          <w:lang w:val="es-MX"/>
        </w:rPr>
      </w:pPr>
    </w:p>
    <w:p w14:paraId="786AEC90" w14:textId="77777777" w:rsidR="00E42E35" w:rsidRDefault="00E42E35" w:rsidP="00505CD6">
      <w:pPr>
        <w:spacing w:after="0" w:line="240" w:lineRule="auto"/>
        <w:rPr>
          <w:rFonts w:ascii="Verdana" w:eastAsia="Geomanist Light" w:hAnsi="Verdana" w:cs="Arial"/>
          <w:color w:val="000000" w:themeColor="text1"/>
          <w:lang w:val="es-MX"/>
        </w:rPr>
      </w:pPr>
    </w:p>
    <w:p w14:paraId="26E66026" w14:textId="77777777" w:rsidR="00E42E35" w:rsidRDefault="00E42E35" w:rsidP="00505CD6">
      <w:pPr>
        <w:spacing w:after="0" w:line="240" w:lineRule="auto"/>
        <w:rPr>
          <w:rFonts w:ascii="Verdana" w:eastAsia="Geomanist Light" w:hAnsi="Verdana" w:cs="Arial"/>
          <w:color w:val="000000" w:themeColor="text1"/>
          <w:lang w:val="es-MX"/>
        </w:rPr>
      </w:pPr>
    </w:p>
    <w:p w14:paraId="70E68EE1" w14:textId="77777777" w:rsidR="00E42E35" w:rsidRDefault="00E42E35" w:rsidP="00505CD6">
      <w:pPr>
        <w:spacing w:after="0" w:line="240" w:lineRule="auto"/>
        <w:rPr>
          <w:rFonts w:ascii="Verdana" w:eastAsia="Geomanist Light" w:hAnsi="Verdana" w:cs="Arial"/>
          <w:color w:val="000000" w:themeColor="text1"/>
          <w:lang w:val="es-MX"/>
        </w:rPr>
      </w:pPr>
    </w:p>
    <w:p w14:paraId="3582C714" w14:textId="77777777" w:rsidR="00E42E35" w:rsidRDefault="00E42E35" w:rsidP="00505CD6">
      <w:pPr>
        <w:spacing w:after="0" w:line="240" w:lineRule="auto"/>
        <w:rPr>
          <w:rFonts w:ascii="Verdana" w:eastAsia="Geomanist Light" w:hAnsi="Verdana" w:cs="Arial"/>
          <w:color w:val="000000" w:themeColor="text1"/>
          <w:lang w:val="es-MX"/>
        </w:rPr>
      </w:pPr>
    </w:p>
    <w:p w14:paraId="521DE2F0" w14:textId="77777777" w:rsidR="00E42E35" w:rsidRDefault="00E42E35" w:rsidP="00505CD6">
      <w:pPr>
        <w:spacing w:after="0" w:line="240" w:lineRule="auto"/>
        <w:rPr>
          <w:rFonts w:ascii="Verdana" w:eastAsia="Geomanist Light" w:hAnsi="Verdana" w:cs="Arial"/>
          <w:color w:val="000000" w:themeColor="text1"/>
          <w:lang w:val="es-MX"/>
        </w:rPr>
      </w:pPr>
    </w:p>
    <w:p w14:paraId="64F49C9F" w14:textId="77777777" w:rsidR="00E42E35" w:rsidRDefault="00E42E35" w:rsidP="00505CD6">
      <w:pPr>
        <w:spacing w:after="0" w:line="240" w:lineRule="auto"/>
        <w:rPr>
          <w:rFonts w:ascii="Verdana" w:eastAsia="Geomanist Light" w:hAnsi="Verdana" w:cs="Arial"/>
          <w:color w:val="000000" w:themeColor="text1"/>
          <w:lang w:val="es-MX"/>
        </w:rPr>
      </w:pPr>
    </w:p>
    <w:p w14:paraId="2DA63DD6" w14:textId="77777777" w:rsidR="00E42E35" w:rsidRDefault="00E42E35" w:rsidP="00505CD6">
      <w:pPr>
        <w:spacing w:after="0" w:line="240" w:lineRule="auto"/>
        <w:rPr>
          <w:rFonts w:ascii="Verdana" w:eastAsia="Geomanist Light" w:hAnsi="Verdana" w:cs="Arial"/>
          <w:color w:val="000000" w:themeColor="text1"/>
          <w:lang w:val="es-MX"/>
        </w:rPr>
      </w:pPr>
    </w:p>
    <w:p w14:paraId="38058AE9" w14:textId="77777777" w:rsidR="00E42E35" w:rsidRDefault="00E42E35" w:rsidP="00505CD6">
      <w:pPr>
        <w:spacing w:after="0" w:line="240" w:lineRule="auto"/>
        <w:rPr>
          <w:rFonts w:ascii="Verdana" w:eastAsia="Geomanist Light" w:hAnsi="Verdana" w:cs="Arial"/>
          <w:color w:val="000000" w:themeColor="text1"/>
          <w:lang w:val="es-MX"/>
        </w:rPr>
      </w:pPr>
    </w:p>
    <w:p w14:paraId="18DBD69B" w14:textId="77777777" w:rsidR="00E42E35" w:rsidRDefault="00E42E35" w:rsidP="00505CD6">
      <w:pPr>
        <w:spacing w:after="0" w:line="240" w:lineRule="auto"/>
        <w:rPr>
          <w:rFonts w:ascii="Verdana" w:eastAsia="Geomanist Light" w:hAnsi="Verdana" w:cs="Arial"/>
          <w:color w:val="000000" w:themeColor="text1"/>
          <w:lang w:val="es-MX"/>
        </w:rPr>
      </w:pPr>
    </w:p>
    <w:p w14:paraId="48C286E6" w14:textId="77777777" w:rsidR="00E42E35" w:rsidRDefault="00E42E35" w:rsidP="00505CD6">
      <w:pPr>
        <w:spacing w:after="0" w:line="240" w:lineRule="auto"/>
        <w:rPr>
          <w:rFonts w:ascii="Verdana" w:eastAsia="Geomanist Light" w:hAnsi="Verdana" w:cs="Arial"/>
          <w:color w:val="000000" w:themeColor="text1"/>
          <w:lang w:val="es-MX"/>
        </w:rPr>
      </w:pPr>
    </w:p>
    <w:p w14:paraId="3729EC51" w14:textId="77777777" w:rsidR="00E42E35" w:rsidRDefault="00E42E35" w:rsidP="00505CD6">
      <w:pPr>
        <w:spacing w:after="0" w:line="240" w:lineRule="auto"/>
        <w:rPr>
          <w:rFonts w:ascii="Verdana" w:eastAsia="Geomanist Light" w:hAnsi="Verdana" w:cs="Arial"/>
          <w:color w:val="000000" w:themeColor="text1"/>
          <w:lang w:val="es-MX"/>
        </w:rPr>
      </w:pPr>
    </w:p>
    <w:p w14:paraId="7C5E5FB9" w14:textId="77777777" w:rsidR="00E42E35" w:rsidRDefault="00E42E35" w:rsidP="00505CD6">
      <w:pPr>
        <w:spacing w:after="0" w:line="240" w:lineRule="auto"/>
        <w:rPr>
          <w:rFonts w:ascii="Verdana" w:eastAsia="Geomanist Light" w:hAnsi="Verdana" w:cs="Arial"/>
          <w:color w:val="000000" w:themeColor="text1"/>
          <w:lang w:val="es-MX"/>
        </w:rPr>
      </w:pPr>
    </w:p>
    <w:p w14:paraId="34BF3ABE" w14:textId="77777777" w:rsidR="00E42E35" w:rsidRDefault="00E42E35" w:rsidP="00505CD6">
      <w:pPr>
        <w:spacing w:after="0" w:line="240" w:lineRule="auto"/>
        <w:rPr>
          <w:rFonts w:ascii="Verdana" w:eastAsia="Geomanist Light" w:hAnsi="Verdana" w:cs="Arial"/>
          <w:color w:val="000000" w:themeColor="text1"/>
          <w:lang w:val="es-MX"/>
        </w:rPr>
      </w:pPr>
    </w:p>
    <w:p w14:paraId="76314809" w14:textId="77777777" w:rsidR="00E42E35" w:rsidRDefault="00E42E35" w:rsidP="00505CD6">
      <w:pPr>
        <w:spacing w:after="0" w:line="240" w:lineRule="auto"/>
        <w:rPr>
          <w:rFonts w:ascii="Verdana" w:eastAsia="Geomanist Light" w:hAnsi="Verdana" w:cs="Arial"/>
          <w:color w:val="000000" w:themeColor="text1"/>
          <w:lang w:val="es-MX"/>
        </w:rPr>
      </w:pPr>
    </w:p>
    <w:p w14:paraId="7728737E" w14:textId="77777777" w:rsidR="00E42E35" w:rsidRDefault="00E42E35" w:rsidP="00505CD6">
      <w:pPr>
        <w:spacing w:after="0" w:line="240" w:lineRule="auto"/>
        <w:rPr>
          <w:rFonts w:ascii="Verdana" w:eastAsia="Geomanist Light" w:hAnsi="Verdana" w:cs="Arial"/>
          <w:color w:val="000000" w:themeColor="text1"/>
          <w:lang w:val="es-MX"/>
        </w:rPr>
      </w:pPr>
    </w:p>
    <w:p w14:paraId="67948AA2" w14:textId="77777777" w:rsidR="00E42E35" w:rsidRDefault="00E42E35" w:rsidP="00505CD6">
      <w:pPr>
        <w:spacing w:after="0" w:line="240" w:lineRule="auto"/>
        <w:rPr>
          <w:rFonts w:ascii="Verdana" w:eastAsia="Geomanist Light" w:hAnsi="Verdana" w:cs="Arial"/>
          <w:color w:val="000000" w:themeColor="text1"/>
          <w:lang w:val="es-MX"/>
        </w:rPr>
      </w:pPr>
    </w:p>
    <w:p w14:paraId="7352B381" w14:textId="77777777" w:rsidR="00E42E35" w:rsidRDefault="00E42E35" w:rsidP="00505CD6">
      <w:pPr>
        <w:spacing w:after="0" w:line="240" w:lineRule="auto"/>
        <w:rPr>
          <w:rFonts w:ascii="Verdana" w:eastAsia="Geomanist Light" w:hAnsi="Verdana" w:cs="Arial"/>
          <w:color w:val="000000" w:themeColor="text1"/>
          <w:lang w:val="es-MX"/>
        </w:rPr>
      </w:pPr>
    </w:p>
    <w:p w14:paraId="6A1A22FE" w14:textId="77777777" w:rsidR="00E42E35" w:rsidRDefault="00E42E35" w:rsidP="00505CD6">
      <w:pPr>
        <w:spacing w:after="0" w:line="240" w:lineRule="auto"/>
        <w:rPr>
          <w:rFonts w:ascii="Verdana" w:eastAsia="Geomanist Light" w:hAnsi="Verdana" w:cs="Arial"/>
          <w:color w:val="000000" w:themeColor="text1"/>
          <w:lang w:val="es-MX"/>
        </w:rPr>
      </w:pPr>
    </w:p>
    <w:p w14:paraId="57451B84" w14:textId="77777777" w:rsidR="00370110" w:rsidRDefault="00370110" w:rsidP="00505CD6">
      <w:pPr>
        <w:spacing w:after="0" w:line="240" w:lineRule="auto"/>
        <w:rPr>
          <w:rFonts w:ascii="Verdana" w:eastAsia="Geomanist Light" w:hAnsi="Verdana" w:cs="Arial"/>
          <w:color w:val="000000" w:themeColor="text1"/>
          <w:lang w:val="es-MX"/>
        </w:rPr>
      </w:pPr>
    </w:p>
    <w:p w14:paraId="7CEC0F9D" w14:textId="77777777" w:rsidR="00370110" w:rsidRDefault="00370110" w:rsidP="00505CD6">
      <w:pPr>
        <w:spacing w:after="0" w:line="240" w:lineRule="auto"/>
        <w:rPr>
          <w:rFonts w:ascii="Verdana" w:eastAsia="Geomanist Light" w:hAnsi="Verdana" w:cs="Arial"/>
          <w:color w:val="000000" w:themeColor="text1"/>
          <w:lang w:val="es-MX"/>
        </w:rPr>
      </w:pPr>
    </w:p>
    <w:p w14:paraId="6FBEB41E" w14:textId="77777777" w:rsidR="00370110" w:rsidRDefault="00370110" w:rsidP="00505CD6">
      <w:pPr>
        <w:spacing w:after="0" w:line="240" w:lineRule="auto"/>
        <w:rPr>
          <w:rFonts w:ascii="Verdana" w:eastAsia="Geomanist Light" w:hAnsi="Verdana" w:cs="Arial"/>
          <w:color w:val="000000" w:themeColor="text1"/>
          <w:lang w:val="es-MX"/>
        </w:rPr>
      </w:pPr>
    </w:p>
    <w:p w14:paraId="584203AD" w14:textId="77777777" w:rsidR="00370110" w:rsidRDefault="00370110" w:rsidP="00505CD6">
      <w:pPr>
        <w:spacing w:after="0" w:line="240" w:lineRule="auto"/>
        <w:rPr>
          <w:rFonts w:ascii="Verdana" w:eastAsia="Geomanist Light" w:hAnsi="Verdana" w:cs="Arial"/>
          <w:color w:val="000000" w:themeColor="text1"/>
          <w:lang w:val="es-MX"/>
        </w:rPr>
      </w:pPr>
    </w:p>
    <w:p w14:paraId="02CB8227" w14:textId="77777777" w:rsidR="00370110" w:rsidRDefault="00370110" w:rsidP="00505CD6">
      <w:pPr>
        <w:spacing w:after="0" w:line="240" w:lineRule="auto"/>
        <w:rPr>
          <w:rFonts w:ascii="Verdana" w:eastAsia="Geomanist Light" w:hAnsi="Verdana" w:cs="Arial"/>
          <w:color w:val="000000" w:themeColor="text1"/>
          <w:lang w:val="es-MX"/>
        </w:rPr>
      </w:pPr>
    </w:p>
    <w:p w14:paraId="222A06E4" w14:textId="77777777" w:rsidR="00370110" w:rsidRDefault="00370110" w:rsidP="00505CD6">
      <w:pPr>
        <w:spacing w:after="0" w:line="240" w:lineRule="auto"/>
        <w:rPr>
          <w:rFonts w:ascii="Verdana" w:eastAsia="Geomanist Light" w:hAnsi="Verdana" w:cs="Arial"/>
          <w:color w:val="000000" w:themeColor="text1"/>
          <w:lang w:val="es-MX"/>
        </w:rPr>
      </w:pPr>
    </w:p>
    <w:p w14:paraId="469C1A2F" w14:textId="77777777" w:rsidR="00370110" w:rsidRDefault="00370110" w:rsidP="00505CD6">
      <w:pPr>
        <w:spacing w:after="0" w:line="240" w:lineRule="auto"/>
        <w:rPr>
          <w:rFonts w:ascii="Verdana" w:eastAsia="Geomanist Light" w:hAnsi="Verdana" w:cs="Arial"/>
          <w:color w:val="000000" w:themeColor="text1"/>
          <w:lang w:val="es-MX"/>
        </w:rPr>
      </w:pPr>
    </w:p>
    <w:p w14:paraId="7C5A3149" w14:textId="77777777" w:rsidR="00370110" w:rsidRDefault="00370110" w:rsidP="00505CD6">
      <w:pPr>
        <w:spacing w:after="0" w:line="240" w:lineRule="auto"/>
        <w:rPr>
          <w:rFonts w:ascii="Verdana" w:eastAsia="Geomanist Light" w:hAnsi="Verdana" w:cs="Arial"/>
          <w:color w:val="000000" w:themeColor="text1"/>
          <w:lang w:val="es-MX"/>
        </w:rPr>
      </w:pPr>
    </w:p>
    <w:p w14:paraId="049CEAAF" w14:textId="77777777" w:rsidR="00E42E35" w:rsidRDefault="00E42E35" w:rsidP="00505CD6">
      <w:pPr>
        <w:spacing w:after="0" w:line="240" w:lineRule="auto"/>
        <w:rPr>
          <w:rFonts w:ascii="Verdana" w:eastAsia="Geomanist Light" w:hAnsi="Verdana" w:cs="Arial"/>
          <w:color w:val="000000" w:themeColor="text1"/>
          <w:lang w:val="es-MX"/>
        </w:rPr>
      </w:pPr>
    </w:p>
    <w:p w14:paraId="4C0086C9" w14:textId="77777777" w:rsidR="00E42E35" w:rsidRDefault="00E42E35" w:rsidP="00505CD6">
      <w:pPr>
        <w:spacing w:after="0" w:line="240" w:lineRule="auto"/>
        <w:rPr>
          <w:rFonts w:ascii="Verdana" w:eastAsia="Geomanist Light" w:hAnsi="Verdana" w:cs="Arial"/>
          <w:color w:val="000000" w:themeColor="text1"/>
          <w:lang w:val="es-MX"/>
        </w:rPr>
      </w:pPr>
    </w:p>
    <w:p w14:paraId="62A0C6B9" w14:textId="77777777" w:rsidR="00E42E35" w:rsidRDefault="00E42E35" w:rsidP="00505CD6">
      <w:pPr>
        <w:spacing w:after="0" w:line="240" w:lineRule="auto"/>
        <w:rPr>
          <w:rFonts w:ascii="Verdana" w:eastAsia="Geomanist Light" w:hAnsi="Verdana" w:cs="Arial"/>
          <w:color w:val="000000" w:themeColor="text1"/>
          <w:lang w:val="es-MX"/>
        </w:rPr>
      </w:pPr>
    </w:p>
    <w:p w14:paraId="5E3AB62C" w14:textId="77777777" w:rsidR="00E42E35" w:rsidRDefault="00E42E35" w:rsidP="00505CD6">
      <w:pPr>
        <w:spacing w:after="0" w:line="240" w:lineRule="auto"/>
        <w:rPr>
          <w:rFonts w:ascii="Verdana" w:eastAsia="Geomanist Light" w:hAnsi="Verdana" w:cs="Arial"/>
          <w:color w:val="000000" w:themeColor="text1"/>
          <w:lang w:val="es-MX"/>
        </w:rPr>
      </w:pPr>
    </w:p>
    <w:p w14:paraId="749E6A9F" w14:textId="77777777" w:rsidR="00E42E35" w:rsidRDefault="00E42E35" w:rsidP="00505CD6">
      <w:pPr>
        <w:spacing w:after="0" w:line="240" w:lineRule="auto"/>
        <w:rPr>
          <w:rFonts w:ascii="Verdana" w:eastAsia="Geomanist Light" w:hAnsi="Verdana" w:cs="Arial"/>
          <w:color w:val="000000" w:themeColor="text1"/>
          <w:lang w:val="es-MX"/>
        </w:rPr>
      </w:pPr>
    </w:p>
    <w:p w14:paraId="067CB974" w14:textId="77777777" w:rsidR="00E42E35" w:rsidRDefault="00E42E35" w:rsidP="00505CD6">
      <w:pPr>
        <w:spacing w:after="0" w:line="240" w:lineRule="auto"/>
        <w:rPr>
          <w:rFonts w:ascii="Verdana" w:eastAsia="Geomanist Light" w:hAnsi="Verdana" w:cs="Arial"/>
          <w:color w:val="000000" w:themeColor="text1"/>
          <w:lang w:val="es-MX"/>
        </w:rPr>
      </w:pPr>
    </w:p>
    <w:p w14:paraId="510650BB" w14:textId="77777777" w:rsidR="0010470C" w:rsidRDefault="0010470C" w:rsidP="00505CD6">
      <w:pPr>
        <w:spacing w:after="0" w:line="240" w:lineRule="auto"/>
        <w:rPr>
          <w:rFonts w:ascii="Verdana" w:eastAsia="Geomanist Light" w:hAnsi="Verdana" w:cs="Arial"/>
          <w:color w:val="000000" w:themeColor="text1"/>
          <w:lang w:val="es-MX"/>
        </w:rPr>
      </w:pPr>
    </w:p>
    <w:p w14:paraId="2EC82EF0" w14:textId="3DDC6B3D" w:rsidR="00505CD6" w:rsidRPr="00505CD6" w:rsidRDefault="00505CD6" w:rsidP="00505CD6">
      <w:pPr>
        <w:spacing w:after="0" w:line="240" w:lineRule="auto"/>
        <w:rPr>
          <w:rFonts w:ascii="Verdana" w:eastAsia="Geomanist Light" w:hAnsi="Verdana" w:cs="Arial"/>
          <w:color w:val="201F1E"/>
          <w:lang w:val="es-MX"/>
        </w:rPr>
      </w:pPr>
      <w:r w:rsidRPr="00505CD6">
        <w:rPr>
          <w:rFonts w:ascii="Verdana" w:eastAsia="Geomanist Light" w:hAnsi="Verdana" w:cs="Arial"/>
          <w:color w:val="000000" w:themeColor="text1"/>
          <w:lang w:val="es-MX"/>
        </w:rPr>
        <w:lastRenderedPageBreak/>
        <w:t>Bogotá D.C., </w:t>
      </w:r>
      <w:r w:rsidR="00E42E35">
        <w:rPr>
          <w:rFonts w:ascii="Verdana" w:eastAsia="Geomanist Light" w:hAnsi="Verdana" w:cs="Arial"/>
          <w:color w:val="201F1E"/>
          <w:lang w:val="es-MX"/>
        </w:rPr>
        <w:t>12 de febrero de 2025</w:t>
      </w:r>
    </w:p>
    <w:p w14:paraId="50BD71AC" w14:textId="77777777" w:rsidR="00505CD6" w:rsidRPr="00505CD6" w:rsidRDefault="00505CD6" w:rsidP="00505CD6">
      <w:pPr>
        <w:spacing w:after="0" w:line="240" w:lineRule="auto"/>
        <w:jc w:val="both"/>
        <w:rPr>
          <w:rFonts w:ascii="Verdana" w:eastAsia="Calibri" w:hAnsi="Verdana" w:cs="Arial"/>
          <w:color w:val="000000"/>
          <w:lang w:val="es-ES"/>
        </w:rPr>
      </w:pPr>
    </w:p>
    <w:p w14:paraId="0EBEAE13" w14:textId="51517C6F" w:rsidR="00505CD6" w:rsidRPr="00505CD6" w:rsidRDefault="00370110" w:rsidP="00370110">
      <w:pPr>
        <w:spacing w:after="0" w:line="240" w:lineRule="auto"/>
        <w:jc w:val="right"/>
        <w:rPr>
          <w:rFonts w:ascii="Verdana" w:eastAsia="Calibri" w:hAnsi="Verdana" w:cs="Arial"/>
          <w:color w:val="000000"/>
          <w:lang w:val="es-ES"/>
        </w:rPr>
      </w:pPr>
      <w:r w:rsidRPr="00370110">
        <w:rPr>
          <w:rFonts w:ascii="Verdana" w:eastAsia="Calibri" w:hAnsi="Verdana" w:cs="Arial"/>
          <w:noProof/>
          <w:color w:val="000000"/>
          <w:lang w:val="es-ES"/>
        </w:rPr>
        <w:drawing>
          <wp:inline distT="0" distB="0" distL="0" distR="0" wp14:anchorId="1E538D4F" wp14:editId="4EFED6BD">
            <wp:extent cx="2849880" cy="1021080"/>
            <wp:effectExtent l="0" t="0" r="7620" b="7620"/>
            <wp:docPr id="19843592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880" cy="1021080"/>
                    </a:xfrm>
                    <a:prstGeom prst="rect">
                      <a:avLst/>
                    </a:prstGeom>
                    <a:noFill/>
                    <a:ln>
                      <a:noFill/>
                    </a:ln>
                  </pic:spPr>
                </pic:pic>
              </a:graphicData>
            </a:graphic>
          </wp:inline>
        </w:drawing>
      </w:r>
    </w:p>
    <w:p w14:paraId="6C1546A0" w14:textId="77777777" w:rsidR="00370110" w:rsidRDefault="00370110" w:rsidP="00505CD6">
      <w:pPr>
        <w:spacing w:after="0" w:line="240" w:lineRule="auto"/>
        <w:jc w:val="both"/>
        <w:rPr>
          <w:rFonts w:ascii="Verdana" w:eastAsia="Calibri" w:hAnsi="Verdana" w:cs="Arial"/>
          <w:lang w:val="es-ES" w:eastAsia="es-ES"/>
        </w:rPr>
      </w:pPr>
    </w:p>
    <w:p w14:paraId="4428D988" w14:textId="2180FA76" w:rsidR="00505CD6" w:rsidRPr="00505CD6" w:rsidRDefault="00505CD6" w:rsidP="00505CD6">
      <w:pPr>
        <w:spacing w:after="0" w:line="240" w:lineRule="auto"/>
        <w:jc w:val="both"/>
        <w:rPr>
          <w:rFonts w:ascii="Verdana" w:eastAsia="Calibri" w:hAnsi="Verdana" w:cs="Arial"/>
          <w:lang w:val="es-ES" w:eastAsia="es-ES"/>
        </w:rPr>
      </w:pPr>
      <w:r w:rsidRPr="00505CD6">
        <w:rPr>
          <w:rFonts w:ascii="Verdana" w:eastAsia="Calibri" w:hAnsi="Verdana" w:cs="Arial"/>
          <w:lang w:val="es-ES" w:eastAsia="es-ES"/>
        </w:rPr>
        <w:t>Señor</w:t>
      </w:r>
    </w:p>
    <w:p w14:paraId="6E2E0CF2" w14:textId="77777777" w:rsidR="00505CD6" w:rsidRPr="00505CD6" w:rsidRDefault="00505CD6" w:rsidP="00505CD6">
      <w:pPr>
        <w:spacing w:after="0" w:line="240" w:lineRule="auto"/>
        <w:jc w:val="both"/>
        <w:rPr>
          <w:rFonts w:ascii="Verdana" w:eastAsia="Calibri" w:hAnsi="Verdana" w:cs="Arial"/>
          <w:b/>
          <w:bCs/>
          <w:lang w:val="es-ES" w:eastAsia="es-ES"/>
        </w:rPr>
      </w:pPr>
      <w:r w:rsidRPr="00505CD6">
        <w:rPr>
          <w:rFonts w:ascii="Verdana" w:eastAsia="Calibri" w:hAnsi="Verdana" w:cs="Arial"/>
          <w:b/>
          <w:bCs/>
          <w:lang w:val="es-ES" w:eastAsia="es-ES"/>
        </w:rPr>
        <w:t>Manuel Alejandro Amaya Herrera</w:t>
      </w:r>
    </w:p>
    <w:p w14:paraId="77B3983F" w14:textId="77777777" w:rsidR="00505CD6" w:rsidRPr="00505CD6" w:rsidRDefault="00505CD6" w:rsidP="00505CD6">
      <w:pPr>
        <w:spacing w:after="0" w:line="240" w:lineRule="auto"/>
        <w:jc w:val="both"/>
        <w:rPr>
          <w:rFonts w:ascii="Verdana" w:eastAsia="Calibri" w:hAnsi="Verdana" w:cs="Arial"/>
          <w:b/>
          <w:bCs/>
          <w:lang w:val="es-ES" w:eastAsia="es-ES"/>
        </w:rPr>
      </w:pPr>
      <w:hyperlink r:id="rId12" w:history="1">
        <w:r w:rsidRPr="00505CD6">
          <w:rPr>
            <w:rFonts w:ascii="Verdana" w:hAnsi="Verdana"/>
            <w:color w:val="0563C1" w:themeColor="hyperlink"/>
            <w:u w:val="single"/>
          </w:rPr>
          <w:t>Amayaherrera.manuel@gmail.com</w:t>
        </w:r>
      </w:hyperlink>
      <w:r w:rsidRPr="00505CD6">
        <w:rPr>
          <w:rFonts w:ascii="Verdana" w:hAnsi="Verdana"/>
        </w:rPr>
        <w:t xml:space="preserve"> </w:t>
      </w:r>
    </w:p>
    <w:p w14:paraId="3FE49E4D" w14:textId="77777777" w:rsidR="00505CD6" w:rsidRPr="00505CD6" w:rsidRDefault="00505CD6" w:rsidP="00505CD6">
      <w:pPr>
        <w:spacing w:after="0" w:line="240" w:lineRule="auto"/>
        <w:rPr>
          <w:rFonts w:ascii="Verdana" w:eastAsia="Calibri" w:hAnsi="Verdana" w:cs="Arial"/>
          <w:lang w:val="es-ES" w:eastAsia="es-ES"/>
        </w:rPr>
      </w:pPr>
      <w:r w:rsidRPr="00505CD6">
        <w:rPr>
          <w:rFonts w:ascii="Verdana" w:eastAsia="Calibri" w:hAnsi="Verdana" w:cs="Arial"/>
          <w:lang w:val="es-ES" w:eastAsia="es-ES"/>
        </w:rPr>
        <w:t xml:space="preserve">Bogotá D.C. </w:t>
      </w:r>
    </w:p>
    <w:p w14:paraId="4099BBBA" w14:textId="77777777" w:rsidR="00505CD6" w:rsidRPr="00505CD6" w:rsidRDefault="00505CD6" w:rsidP="00505CD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05CD6" w:rsidRPr="00505CD6" w14:paraId="693DC68A" w14:textId="77777777" w:rsidTr="006C5D8A">
        <w:trPr>
          <w:trHeight w:val="630"/>
        </w:trPr>
        <w:tc>
          <w:tcPr>
            <w:tcW w:w="2689" w:type="dxa"/>
          </w:tcPr>
          <w:p w14:paraId="64C39A8C" w14:textId="77777777" w:rsidR="00505CD6" w:rsidRPr="00505CD6" w:rsidRDefault="00505CD6" w:rsidP="00505CD6">
            <w:pPr>
              <w:jc w:val="both"/>
              <w:rPr>
                <w:rFonts w:ascii="Verdana" w:eastAsia="Calibri" w:hAnsi="Verdana" w:cs="Arial"/>
                <w:b/>
                <w:bCs/>
                <w:color w:val="7030A0"/>
                <w:lang w:val="es-ES_tradnl" w:eastAsia="es-ES_tradnl"/>
              </w:rPr>
            </w:pPr>
          </w:p>
        </w:tc>
        <w:tc>
          <w:tcPr>
            <w:tcW w:w="6100" w:type="dxa"/>
          </w:tcPr>
          <w:p w14:paraId="3F0CCDBE" w14:textId="77777777" w:rsidR="00505CD6" w:rsidRPr="00505CD6" w:rsidRDefault="00505CD6" w:rsidP="00505CD6">
            <w:pPr>
              <w:jc w:val="both"/>
              <w:rPr>
                <w:rFonts w:ascii="Verdana" w:eastAsia="Calibri" w:hAnsi="Verdana" w:cs="Arial"/>
                <w:b/>
                <w:bCs/>
                <w:lang w:val="es-ES" w:eastAsia="es-ES"/>
              </w:rPr>
            </w:pPr>
            <w:r w:rsidRPr="00505CD6">
              <w:rPr>
                <w:rFonts w:ascii="Verdana" w:eastAsia="Calibri" w:hAnsi="Verdana" w:cs="Arial"/>
                <w:b/>
                <w:bCs/>
                <w:lang w:val="es-ES" w:eastAsia="es-ES"/>
              </w:rPr>
              <w:t>Concepto C – 029 de 2025</w:t>
            </w:r>
          </w:p>
        </w:tc>
      </w:tr>
      <w:tr w:rsidR="00505CD6" w:rsidRPr="00505CD6" w14:paraId="345204EE" w14:textId="77777777" w:rsidTr="006C5D8A">
        <w:trPr>
          <w:trHeight w:val="884"/>
        </w:trPr>
        <w:tc>
          <w:tcPr>
            <w:tcW w:w="2689" w:type="dxa"/>
          </w:tcPr>
          <w:p w14:paraId="01F69825" w14:textId="77777777" w:rsidR="00505CD6" w:rsidRPr="00505CD6" w:rsidRDefault="00505CD6" w:rsidP="00505CD6">
            <w:pPr>
              <w:jc w:val="both"/>
              <w:rPr>
                <w:rFonts w:ascii="Verdana" w:eastAsia="Calibri" w:hAnsi="Verdana" w:cs="Arial"/>
                <w:color w:val="000000"/>
                <w:lang w:val="es-ES_tradnl" w:eastAsia="es-ES_tradnl"/>
              </w:rPr>
            </w:pPr>
            <w:r w:rsidRPr="00505CD6">
              <w:rPr>
                <w:rFonts w:ascii="Verdana" w:eastAsia="Calibri" w:hAnsi="Verdana" w:cs="Arial"/>
                <w:b/>
                <w:color w:val="000000"/>
                <w:lang w:val="es-ES_tradnl" w:eastAsia="es-ES_tradnl"/>
              </w:rPr>
              <w:t>Temas:</w:t>
            </w:r>
            <w:r w:rsidRPr="00505CD6">
              <w:rPr>
                <w:rFonts w:ascii="Verdana" w:eastAsia="Calibri" w:hAnsi="Verdana" w:cs="Arial"/>
                <w:color w:val="000000"/>
                <w:lang w:val="es-ES_tradnl" w:eastAsia="es-ES_tradnl"/>
              </w:rPr>
              <w:t xml:space="preserve">                   </w:t>
            </w:r>
          </w:p>
        </w:tc>
        <w:tc>
          <w:tcPr>
            <w:tcW w:w="6100" w:type="dxa"/>
          </w:tcPr>
          <w:p w14:paraId="6C376827" w14:textId="77777777" w:rsidR="00505CD6" w:rsidRPr="00505CD6" w:rsidRDefault="00505CD6" w:rsidP="00505CD6">
            <w:pPr>
              <w:jc w:val="both"/>
              <w:rPr>
                <w:rFonts w:ascii="Verdana" w:eastAsia="Calibri" w:hAnsi="Verdana" w:cs="Arial"/>
                <w:bCs/>
              </w:rPr>
            </w:pPr>
            <w:r w:rsidRPr="00505CD6">
              <w:rPr>
                <w:rFonts w:ascii="Verdana" w:eastAsia="Calibri" w:hAnsi="Verdana" w:cs="Arial"/>
                <w:bCs/>
              </w:rPr>
              <w:t>SELECCIÓN OBJETIVA ― Noción y factores de escogencia / REQUISITOS HABILITANTES DE LA LEY 1150 DE 2007 ― Carácter enunciativo / CERTIFICACIONES DE SISTEMAS DE GESTIÓN DE CALIDAD – No se pueden exigir como requisito habilitante o puntuable – Alcance</w:t>
            </w:r>
          </w:p>
          <w:p w14:paraId="24A3A086" w14:textId="77777777" w:rsidR="00505CD6" w:rsidRPr="00505CD6" w:rsidRDefault="00505CD6" w:rsidP="00505CD6">
            <w:pPr>
              <w:jc w:val="both"/>
              <w:rPr>
                <w:rFonts w:ascii="Verdana" w:eastAsia="Calibri" w:hAnsi="Verdana" w:cs="Arial"/>
                <w:lang w:val="es-ES" w:eastAsia="es-ES"/>
              </w:rPr>
            </w:pPr>
          </w:p>
        </w:tc>
      </w:tr>
      <w:tr w:rsidR="00505CD6" w:rsidRPr="00505CD6" w14:paraId="0496523F" w14:textId="77777777" w:rsidTr="006C5D8A">
        <w:tc>
          <w:tcPr>
            <w:tcW w:w="2689" w:type="dxa"/>
          </w:tcPr>
          <w:p w14:paraId="4993E68B" w14:textId="77777777" w:rsidR="00505CD6" w:rsidRPr="00505CD6" w:rsidRDefault="00505CD6" w:rsidP="00505CD6">
            <w:pPr>
              <w:jc w:val="both"/>
              <w:rPr>
                <w:rFonts w:ascii="Verdana" w:eastAsia="Calibri" w:hAnsi="Verdana" w:cs="Arial"/>
                <w:b/>
                <w:lang w:val="es-ES_tradnl" w:eastAsia="es-ES_tradnl"/>
              </w:rPr>
            </w:pPr>
            <w:r w:rsidRPr="00505CD6">
              <w:rPr>
                <w:rFonts w:ascii="Verdana" w:eastAsia="Calibri" w:hAnsi="Verdana" w:cs="Arial"/>
                <w:b/>
                <w:lang w:val="es-ES_tradnl" w:eastAsia="es-ES_tradnl"/>
              </w:rPr>
              <w:t>Radicación:</w:t>
            </w:r>
            <w:r w:rsidRPr="00505CD6">
              <w:rPr>
                <w:rFonts w:ascii="Verdana" w:eastAsia="Calibri" w:hAnsi="Verdana" w:cs="Arial"/>
                <w:lang w:val="es-ES_tradnl" w:eastAsia="es-ES_tradnl"/>
              </w:rPr>
              <w:t xml:space="preserve">               </w:t>
            </w:r>
          </w:p>
        </w:tc>
        <w:tc>
          <w:tcPr>
            <w:tcW w:w="6100" w:type="dxa"/>
          </w:tcPr>
          <w:p w14:paraId="4A00324B" w14:textId="77777777" w:rsidR="00505CD6" w:rsidRPr="00505CD6" w:rsidRDefault="00505CD6" w:rsidP="00505CD6">
            <w:pPr>
              <w:jc w:val="both"/>
              <w:rPr>
                <w:rFonts w:ascii="Verdana" w:eastAsia="Calibri" w:hAnsi="Verdana" w:cs="Arial"/>
                <w:lang w:val="es-ES_tradnl" w:eastAsia="es-ES_tradnl"/>
              </w:rPr>
            </w:pPr>
            <w:r w:rsidRPr="00505CD6">
              <w:rPr>
                <w:rFonts w:ascii="Verdana" w:eastAsia="Calibri" w:hAnsi="Verdana" w:cs="Arial"/>
                <w:lang w:val="es-ES_tradnl" w:eastAsia="es-ES_tradnl"/>
              </w:rPr>
              <w:t xml:space="preserve">Respuesta a la consulta con radicado No.   P20250114000268                                 </w:t>
            </w:r>
          </w:p>
        </w:tc>
      </w:tr>
    </w:tbl>
    <w:p w14:paraId="15DDFD0D" w14:textId="77777777" w:rsidR="00505CD6" w:rsidRPr="00505CD6" w:rsidRDefault="00505CD6" w:rsidP="00505CD6">
      <w:pPr>
        <w:spacing w:after="0" w:line="240" w:lineRule="auto"/>
        <w:jc w:val="both"/>
        <w:rPr>
          <w:rFonts w:ascii="Verdana" w:eastAsia="Calibri" w:hAnsi="Verdana" w:cs="Arial"/>
          <w:color w:val="000000"/>
          <w:lang w:val="es-ES_tradnl" w:eastAsia="es-ES_tradnl"/>
        </w:rPr>
      </w:pPr>
    </w:p>
    <w:p w14:paraId="00419E1D" w14:textId="77777777" w:rsidR="00505CD6" w:rsidRPr="00505CD6" w:rsidRDefault="00505CD6" w:rsidP="00505CD6">
      <w:pPr>
        <w:spacing w:after="0" w:line="240" w:lineRule="auto"/>
        <w:jc w:val="both"/>
        <w:rPr>
          <w:rFonts w:ascii="Verdana" w:eastAsia="Calibri" w:hAnsi="Verdana" w:cs="Arial"/>
          <w:color w:val="000000"/>
          <w:lang w:val="es-ES_tradnl" w:eastAsia="es-ES_tradnl"/>
        </w:rPr>
      </w:pPr>
    </w:p>
    <w:p w14:paraId="705B6F76" w14:textId="77777777" w:rsidR="00505CD6" w:rsidRPr="00505CD6" w:rsidRDefault="00505CD6" w:rsidP="00505CD6">
      <w:pPr>
        <w:spacing w:after="0" w:line="276" w:lineRule="auto"/>
        <w:jc w:val="both"/>
        <w:rPr>
          <w:rFonts w:ascii="Verdana" w:eastAsia="Calibri" w:hAnsi="Verdana" w:cs="Arial"/>
          <w:lang w:val="es-ES" w:eastAsia="es-ES"/>
        </w:rPr>
      </w:pPr>
      <w:r w:rsidRPr="00505CD6">
        <w:rPr>
          <w:rFonts w:ascii="Verdana" w:eastAsia="Calibri" w:hAnsi="Verdana" w:cs="Arial"/>
          <w:lang w:val="es-ES" w:eastAsia="es-ES"/>
        </w:rPr>
        <w:t xml:space="preserve">Estimado señor Amaya Herrera: </w:t>
      </w:r>
    </w:p>
    <w:p w14:paraId="7ECFF328" w14:textId="77777777" w:rsidR="00505CD6" w:rsidRPr="00505CD6" w:rsidRDefault="00505CD6" w:rsidP="00505CD6">
      <w:pPr>
        <w:tabs>
          <w:tab w:val="left" w:pos="3768"/>
        </w:tabs>
        <w:spacing w:after="0" w:line="276" w:lineRule="auto"/>
        <w:jc w:val="both"/>
        <w:rPr>
          <w:rFonts w:ascii="Verdana" w:eastAsia="Calibri" w:hAnsi="Verdana" w:cs="Arial"/>
          <w:color w:val="000000" w:themeColor="text1"/>
          <w:lang w:val="es-ES" w:eastAsia="es-ES"/>
        </w:rPr>
      </w:pPr>
      <w:r w:rsidRPr="00505CD6">
        <w:rPr>
          <w:rFonts w:ascii="Verdana" w:eastAsia="Calibri" w:hAnsi="Verdana" w:cs="Arial"/>
          <w:color w:val="000000" w:themeColor="text1"/>
          <w:lang w:val="es-ES" w:eastAsia="es-ES"/>
        </w:rPr>
        <w:tab/>
      </w:r>
    </w:p>
    <w:p w14:paraId="0AB04656" w14:textId="77777777" w:rsidR="00505CD6" w:rsidRPr="00505CD6" w:rsidRDefault="00505CD6" w:rsidP="00505CD6">
      <w:pPr>
        <w:spacing w:after="120" w:line="276" w:lineRule="auto"/>
        <w:jc w:val="both"/>
        <w:rPr>
          <w:rFonts w:ascii="Verdana" w:eastAsia="Century Gothic" w:hAnsi="Verdana" w:cs="Century Gothic"/>
          <w:i/>
          <w:iCs/>
          <w:sz w:val="21"/>
          <w:szCs w:val="21"/>
        </w:rPr>
      </w:pPr>
      <w:r w:rsidRPr="00505CD6">
        <w:rPr>
          <w:rFonts w:ascii="Verdana" w:eastAsia="Calibri" w:hAnsi="Verdana" w:cs="Arial"/>
          <w:color w:val="000000" w:themeColor="text1"/>
          <w:lang w:val="es-ES" w:eastAsia="es-ES"/>
        </w:rPr>
        <w:t>En ejercicio de la competencia otorgada por los artículos 3, numeral 5º, y 11, numeral 8º, del Decreto Ley 4170 de 2011,</w:t>
      </w:r>
      <w:r w:rsidRPr="00505CD6">
        <w:rPr>
          <w:rFonts w:ascii="Verdana" w:eastAsia="Arial MT" w:hAnsi="Verdana"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eastAsia="Calibri" w:hAnsi="Verdana" w:cs="Arial"/>
          <w:color w:val="000000" w:themeColor="text1"/>
          <w:lang w:val="es-ES" w:eastAsia="es-ES"/>
        </w:rPr>
        <w:t>la Agencia Nacional de Contratación Pública – Colombia Compra Eficiente responde su solicitud del 14</w:t>
      </w:r>
      <w:r w:rsidRPr="00505CD6">
        <w:rPr>
          <w:rFonts w:ascii="Verdana" w:eastAsia="Calibri" w:hAnsi="Verdana" w:cs="Arial"/>
          <w:lang w:val="es-ES" w:eastAsia="es-ES"/>
        </w:rPr>
        <w:t xml:space="preserve"> de enero de 2025, en la cual consulta sobre lo siguiente: </w:t>
      </w:r>
      <w:bookmarkStart w:id="1" w:name="_Hlk95313578"/>
      <w:r w:rsidRPr="00505CD6">
        <w:rPr>
          <w:rFonts w:ascii="Verdana" w:eastAsia="Century Gothic" w:hAnsi="Verdana" w:cs="Century Gothic"/>
          <w:i/>
          <w:iCs/>
          <w:lang w:val="es-ES"/>
        </w:rPr>
        <w:t>“</w:t>
      </w:r>
      <w:bookmarkEnd w:id="1"/>
      <w:r w:rsidRPr="00505CD6">
        <w:rPr>
          <w:rFonts w:ascii="Verdana" w:eastAsia="Century Gothic" w:hAnsi="Verdana" w:cs="Century Gothic"/>
          <w:i/>
          <w:iCs/>
          <w:lang w:val="es-ES"/>
        </w:rPr>
        <w:t xml:space="preserve">Solicito amablemente se me informe ¿Qué se entiende y cuáles son las </w:t>
      </w:r>
      <w:r w:rsidRPr="00505CD6">
        <w:rPr>
          <w:rFonts w:ascii="Verdana" w:eastAsia="Century Gothic" w:hAnsi="Verdana" w:cs="Century Gothic"/>
          <w:b/>
          <w:bCs/>
          <w:i/>
          <w:iCs/>
          <w:lang w:val="es-ES"/>
        </w:rPr>
        <w:t xml:space="preserve">“certificaciones de sistemas de gestión de calidad” </w:t>
      </w:r>
      <w:r w:rsidRPr="00505CD6">
        <w:rPr>
          <w:rFonts w:ascii="Verdana" w:eastAsia="Century Gothic" w:hAnsi="Verdana" w:cs="Century Gothic"/>
          <w:i/>
          <w:iCs/>
          <w:lang w:val="es-ES"/>
        </w:rPr>
        <w:t xml:space="preserve">a la que se hace alusión </w:t>
      </w:r>
      <w:bookmarkStart w:id="2" w:name="_Hlk190092052"/>
      <w:r w:rsidRPr="00505CD6">
        <w:rPr>
          <w:rFonts w:ascii="Verdana" w:eastAsia="Century Gothic" w:hAnsi="Verdana" w:cs="Century Gothic"/>
          <w:i/>
          <w:iCs/>
          <w:lang w:val="es-ES"/>
        </w:rPr>
        <w:t>en el parágrafo segundo del artículo 5 de la Ley 1150 de 2007</w:t>
      </w:r>
      <w:bookmarkEnd w:id="2"/>
      <w:r w:rsidRPr="00505CD6">
        <w:rPr>
          <w:rFonts w:ascii="Verdana" w:eastAsia="Century Gothic" w:hAnsi="Verdana" w:cs="Century Gothic"/>
          <w:i/>
          <w:iCs/>
          <w:lang w:val="es-ES"/>
        </w:rPr>
        <w:t xml:space="preserve">? En aras de dilucidar el alcance de esta limitación impuesta por el legislador”. </w:t>
      </w:r>
    </w:p>
    <w:p w14:paraId="27870E03" w14:textId="77777777" w:rsidR="00505CD6" w:rsidRPr="00505CD6" w:rsidRDefault="00505CD6" w:rsidP="00505CD6">
      <w:pPr>
        <w:spacing w:after="12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eastAsia="Calibri" w:hAnsi="Verdana" w:cs="Arial"/>
          <w:color w:val="000000"/>
          <w:szCs w:val="24"/>
          <w:lang w:val="es-ES_tradnl" w:eastAsia="es-ES_tradnl"/>
        </w:rPr>
        <w:tab/>
      </w:r>
    </w:p>
    <w:p w14:paraId="0331487C"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problema</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jurídico</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 xml:space="preserve">de su consulta. </w:t>
      </w:r>
    </w:p>
    <w:p w14:paraId="14B663CA"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p>
    <w:p w14:paraId="341EEC57" w14:textId="77777777" w:rsidR="00505CD6" w:rsidRPr="00505CD6" w:rsidRDefault="00505CD6" w:rsidP="00505CD6">
      <w:pPr>
        <w:numPr>
          <w:ilvl w:val="0"/>
          <w:numId w:val="1"/>
        </w:numPr>
        <w:tabs>
          <w:tab w:val="left" w:pos="142"/>
          <w:tab w:val="left" w:pos="284"/>
        </w:tabs>
        <w:spacing w:after="0" w:line="276" w:lineRule="auto"/>
        <w:contextualSpacing/>
        <w:jc w:val="both"/>
        <w:rPr>
          <w:rFonts w:ascii="Verdana" w:eastAsia="Century Gothic" w:hAnsi="Verdana" w:cs="Century Gothic"/>
          <w:b/>
          <w:bCs/>
          <w:lang w:val="es-ES"/>
        </w:rPr>
      </w:pPr>
      <w:r w:rsidRPr="00505CD6">
        <w:rPr>
          <w:rFonts w:ascii="Verdana" w:eastAsia="Century Gothic" w:hAnsi="Verdana" w:cs="Century Gothic"/>
          <w:b/>
          <w:bCs/>
          <w:lang w:val="es-ES"/>
        </w:rPr>
        <w:t>Problemas planteados:</w:t>
      </w:r>
    </w:p>
    <w:p w14:paraId="215D99AD" w14:textId="77777777" w:rsidR="00505CD6" w:rsidRPr="00505CD6" w:rsidRDefault="00505CD6" w:rsidP="00505CD6">
      <w:pPr>
        <w:tabs>
          <w:tab w:val="left" w:pos="426"/>
        </w:tabs>
        <w:spacing w:after="0" w:line="276" w:lineRule="auto"/>
        <w:jc w:val="both"/>
        <w:rPr>
          <w:rFonts w:ascii="Verdana" w:eastAsia="Century Gothic" w:hAnsi="Verdana" w:cs="Century Gothic"/>
          <w:lang w:val="es-ES"/>
        </w:rPr>
      </w:pPr>
    </w:p>
    <w:p w14:paraId="1EDD540C" w14:textId="77777777" w:rsidR="00505CD6" w:rsidRPr="00505CD6" w:rsidRDefault="00505CD6" w:rsidP="00505CD6">
      <w:pPr>
        <w:spacing w:after="0" w:line="276" w:lineRule="auto"/>
        <w:jc w:val="both"/>
        <w:rPr>
          <w:rFonts w:ascii="Verdana" w:eastAsia="Century Gothic" w:hAnsi="Verdana" w:cs="Arial"/>
        </w:rPr>
      </w:pPr>
      <w:r w:rsidRPr="00505CD6">
        <w:rPr>
          <w:rFonts w:ascii="Verdana" w:eastAsia="Century Gothic" w:hAnsi="Verdana" w:cs="Century Gothic"/>
        </w:rPr>
        <w:t xml:space="preserve">De acuerdo con el contenido de su solicitud, esta Agencia resolverá el siguiente problema jurídico: </w:t>
      </w:r>
      <w:r w:rsidRPr="00505CD6">
        <w:rPr>
          <w:rFonts w:ascii="Verdana" w:eastAsia="Century Gothic" w:hAnsi="Verdana" w:cs="Arial"/>
        </w:rPr>
        <w:t xml:space="preserve">¿Cuál es el alcance </w:t>
      </w:r>
      <w:r w:rsidRPr="00505CD6">
        <w:rPr>
          <w:rFonts w:ascii="Verdana" w:eastAsia="Century Gothic" w:hAnsi="Verdana" w:cs="Century Gothic"/>
          <w:lang w:val="es-ES"/>
        </w:rPr>
        <w:t>el parágrafo segundo del artículo 5 de la Ley 1150 de 2007</w:t>
      </w:r>
      <w:r w:rsidRPr="00505CD6">
        <w:rPr>
          <w:rFonts w:ascii="Verdana" w:eastAsia="Century Gothic" w:hAnsi="Verdana" w:cs="Arial"/>
        </w:rPr>
        <w:t>?</w:t>
      </w:r>
    </w:p>
    <w:p w14:paraId="2BEE0DCD" w14:textId="77777777" w:rsidR="00505CD6" w:rsidRPr="00505CD6" w:rsidRDefault="00505CD6" w:rsidP="00505CD6">
      <w:pPr>
        <w:spacing w:after="0" w:line="276" w:lineRule="auto"/>
        <w:jc w:val="both"/>
        <w:rPr>
          <w:rFonts w:ascii="Verdana" w:eastAsia="Calibri" w:hAnsi="Verdana" w:cs="Arial"/>
          <w:color w:val="7030A0"/>
        </w:rPr>
      </w:pPr>
    </w:p>
    <w:p w14:paraId="66944936" w14:textId="77777777"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Respuestas:</w:t>
      </w:r>
    </w:p>
    <w:p w14:paraId="61C9915B"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5CD6" w:rsidRPr="00505CD6" w14:paraId="17CA5EBC" w14:textId="77777777" w:rsidTr="006C5D8A">
        <w:trPr>
          <w:jc w:val="center"/>
        </w:trPr>
        <w:tc>
          <w:tcPr>
            <w:tcW w:w="8828" w:type="dxa"/>
            <w:shd w:val="clear" w:color="auto" w:fill="auto"/>
          </w:tcPr>
          <w:p w14:paraId="0CDA29C0" w14:textId="77777777" w:rsidR="00505CD6" w:rsidRPr="00505CD6" w:rsidRDefault="00505CD6" w:rsidP="00505CD6">
            <w:pPr>
              <w:spacing w:after="120" w:line="276" w:lineRule="auto"/>
              <w:jc w:val="both"/>
              <w:rPr>
                <w:rFonts w:ascii="Verdana" w:eastAsia="Calibri" w:hAnsi="Verdana" w:cs="Arial"/>
                <w:color w:val="000000"/>
                <w:lang w:val="es-MX"/>
              </w:rPr>
            </w:pPr>
            <w:bookmarkStart w:id="3" w:name="_Hlk171694685"/>
            <w:r w:rsidRPr="00505CD6">
              <w:rPr>
                <w:rFonts w:ascii="Verdana" w:eastAsia="Calibri" w:hAnsi="Verdana" w:cs="Arial"/>
                <w:color w:val="000000"/>
                <w:lang w:val="es-MX"/>
              </w:rPr>
              <w:t>El parágrafo 2 del artículo 5 de la Ley 1150 de 2007 establece una limitación para la determinación de requisitos habilitantes y criterios de calificación en los procesos de selección, según la cual las “certificaciones de sistemas de gestión de calidad no serán objeto de calificación, ni podrán establecerse como documento habilitante para participar en licitaciones o concursos”.</w:t>
            </w:r>
          </w:p>
          <w:p w14:paraId="28806E7D" w14:textId="77777777" w:rsidR="00505CD6" w:rsidRPr="00505CD6" w:rsidRDefault="00505CD6" w:rsidP="00505CD6">
            <w:pPr>
              <w:spacing w:after="120" w:line="276" w:lineRule="auto"/>
              <w:ind w:firstLine="709"/>
              <w:jc w:val="both"/>
              <w:rPr>
                <w:rFonts w:ascii="Verdana" w:hAnsi="Verdana" w:cs="Arial"/>
                <w:i/>
                <w:iCs/>
                <w:color w:val="000000" w:themeColor="text1"/>
              </w:rPr>
            </w:pPr>
            <w:r w:rsidRPr="00505CD6">
              <w:rPr>
                <w:rFonts w:ascii="Verdana" w:eastAsia="Calibri" w:hAnsi="Verdana" w:cs="Arial"/>
                <w:color w:val="000000"/>
                <w:lang w:val="es-MX"/>
              </w:rPr>
              <w:t xml:space="preserve">Para comprender el alcance de este parágrafo resulta de especial importancia referirse a </w:t>
            </w:r>
            <w:r w:rsidRPr="00505CD6">
              <w:rPr>
                <w:rFonts w:ascii="Verdana" w:hAnsi="Verdana" w:cs="Arial"/>
                <w:color w:val="000000" w:themeColor="text1"/>
              </w:rPr>
              <w:t xml:space="preserve">los antecedentes legislativos de la norma </w:t>
            </w:r>
            <w:r w:rsidRPr="00505CD6">
              <w:rPr>
                <w:rFonts w:ascii="Verdana" w:hAnsi="Verdana" w:cs="Arial"/>
                <w:i/>
                <w:iCs/>
                <w:color w:val="000000" w:themeColor="text1"/>
              </w:rPr>
              <w:t xml:space="preserve">sub examine. </w:t>
            </w:r>
            <w:r w:rsidRPr="00505CD6">
              <w:rPr>
                <w:rFonts w:ascii="Verdana" w:eastAsia="Calibri" w:hAnsi="Verdana" w:cs="Arial"/>
                <w:color w:val="000000"/>
                <w:lang w:val="es-MX"/>
              </w:rPr>
              <w:t xml:space="preserve">Conforme se evidencia de dicho trámite, </w:t>
            </w:r>
            <w:r w:rsidRPr="00505CD6">
              <w:rPr>
                <w:rFonts w:ascii="Verdana" w:hAnsi="Verdana" w:cs="Arial"/>
                <w:color w:val="000000" w:themeColor="text1"/>
              </w:rPr>
              <w:t xml:space="preserve">la intención del legislador al incluir </w:t>
            </w:r>
            <w:r w:rsidRPr="00505CD6">
              <w:rPr>
                <w:rFonts w:ascii="Verdana" w:hAnsi="Verdana" w:cs="Arial"/>
                <w:color w:val="000000" w:themeColor="text1"/>
              </w:rPr>
              <w:lastRenderedPageBreak/>
              <w:t>este parágrafo era evitar la restricción de la participación de oferentes, asegurando que no fueran excluidos del proceso de selección por cumplir con ciertos requisitos, como el certificado de gestión de calidad. Esta intención está estrechamente vinculada al principio de selección objetiva, que se cumple cuando se establecen criterios claros y transparentes para la elección de la oferta más favorable a los fines de la contratación, sin que se limite la competencia ni la participación de los oferentes.</w:t>
            </w:r>
          </w:p>
          <w:p w14:paraId="621B6CAD" w14:textId="77777777" w:rsidR="00505CD6" w:rsidRPr="00505CD6" w:rsidRDefault="00505CD6" w:rsidP="00505CD6">
            <w:pPr>
              <w:spacing w:after="120" w:line="276" w:lineRule="auto"/>
              <w:ind w:firstLine="709"/>
              <w:jc w:val="both"/>
              <w:rPr>
                <w:rFonts w:ascii="Verdana" w:eastAsia="Calibri" w:hAnsi="Verdana" w:cs="Arial"/>
                <w:color w:val="000000"/>
              </w:rPr>
            </w:pPr>
            <w:r w:rsidRPr="00505CD6">
              <w:rPr>
                <w:rFonts w:ascii="Verdana" w:eastAsia="Calibri" w:hAnsi="Verdana" w:cs="Arial"/>
                <w:color w:val="000000"/>
                <w:lang w:val="es-MX"/>
              </w:rPr>
              <w:t>En este contexto, la prohibición de solicitar certificaciones del sistema de gestión de calidad tiene como propósito evitar</w:t>
            </w:r>
            <w:r w:rsidRPr="00505CD6">
              <w:rPr>
                <w:rFonts w:ascii="Verdana" w:eastAsia="Calibri" w:hAnsi="Verdana" w:cs="Arial"/>
                <w:color w:val="000000"/>
              </w:rPr>
              <w:t xml:space="preserve"> la exclusión arbitraria de personas o empresas que, de otro modo, podrían participar en el proceso de contratación, </w:t>
            </w:r>
            <w:r w:rsidRPr="00505CD6">
              <w:rPr>
                <w:rFonts w:ascii="Verdana" w:eastAsia="Calibri" w:hAnsi="Verdana" w:cs="Arial"/>
                <w:color w:val="000000"/>
                <w:lang w:val="es-MX"/>
              </w:rPr>
              <w:t xml:space="preserve">en la medida en que este requisito no necesariamente refleja un criterio relevante para la selección, </w:t>
            </w:r>
            <w:r w:rsidRPr="00505CD6">
              <w:rPr>
                <w:rFonts w:ascii="Verdana" w:eastAsia="Calibri" w:hAnsi="Verdana" w:cs="Arial"/>
                <w:color w:val="000000"/>
              </w:rPr>
              <w:t xml:space="preserve">limitando la competencia sin aportar un valor adicional en la evaluación de las ofertas. </w:t>
            </w:r>
          </w:p>
          <w:p w14:paraId="51251CB0" w14:textId="77777777" w:rsidR="00505CD6" w:rsidRPr="00505CD6" w:rsidRDefault="00505CD6" w:rsidP="00505CD6">
            <w:pPr>
              <w:spacing w:after="120" w:line="276" w:lineRule="auto"/>
              <w:ind w:firstLine="709"/>
              <w:jc w:val="both"/>
              <w:rPr>
                <w:rFonts w:ascii="Verdana" w:eastAsia="Calibri" w:hAnsi="Verdana" w:cs="Arial"/>
                <w:color w:val="000000"/>
                <w:lang w:val="es-MX"/>
              </w:rPr>
            </w:pPr>
            <w:r w:rsidRPr="00505CD6">
              <w:rPr>
                <w:rFonts w:ascii="Verdana" w:eastAsia="Calibri" w:hAnsi="Verdana" w:cs="Arial"/>
                <w:color w:val="000000"/>
                <w:lang w:val="es-MX"/>
              </w:rPr>
              <w:t xml:space="preserve">Es del caso precisar que, conforme a la línea que mantiene esta Agencia en sus distintos conceptos,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505CD6">
              <w:rPr>
                <w:rFonts w:ascii="Verdana" w:eastAsia="Calibri" w:hAnsi="Verdana" w:cs="Arial"/>
                <w:i/>
                <w:iCs/>
                <w:color w:val="000000"/>
                <w:lang w:val="es-MX"/>
              </w:rPr>
              <w:t>sub examine</w:t>
            </w:r>
            <w:r w:rsidRPr="00505CD6">
              <w:rPr>
                <w:rFonts w:ascii="Verdana" w:eastAsia="Calibri" w:hAnsi="Verdana" w:cs="Arial"/>
                <w:color w:val="000000"/>
                <w:lang w:val="es-MX"/>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gestión de calidad, lo cual, por un lado, le resta efectos prácticos a la prohibición establecida por el legislador y, por el otro, desconoce la finalidad perseguida por la norma.</w:t>
            </w:r>
          </w:p>
        </w:tc>
      </w:tr>
    </w:tbl>
    <w:p w14:paraId="49A1211F"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bookmarkEnd w:id="3"/>
    <w:p w14:paraId="45807F66" w14:textId="77777777"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Razones de las respuestas:</w:t>
      </w:r>
    </w:p>
    <w:p w14:paraId="6DA43D6D" w14:textId="77777777" w:rsidR="00505CD6" w:rsidRPr="00505CD6" w:rsidRDefault="00505CD6" w:rsidP="00505CD6">
      <w:pPr>
        <w:spacing w:after="0" w:line="276" w:lineRule="auto"/>
        <w:jc w:val="both"/>
        <w:rPr>
          <w:rFonts w:ascii="Verdana" w:eastAsia="Calibri" w:hAnsi="Verdana" w:cs="Arial"/>
          <w:color w:val="7030A0"/>
          <w:lang w:val="es-ES"/>
        </w:rPr>
      </w:pPr>
    </w:p>
    <w:p w14:paraId="50D5627A" w14:textId="77777777" w:rsidR="00505CD6" w:rsidRPr="00505CD6" w:rsidRDefault="00505CD6" w:rsidP="00505CD6">
      <w:pPr>
        <w:spacing w:after="0" w:line="276" w:lineRule="auto"/>
        <w:jc w:val="both"/>
        <w:rPr>
          <w:rFonts w:ascii="Verdana" w:eastAsia="Calibri" w:hAnsi="Verdana" w:cs="Arial"/>
          <w:lang w:val="es-ES"/>
        </w:rPr>
      </w:pPr>
      <w:r w:rsidRPr="00505CD6">
        <w:rPr>
          <w:rFonts w:ascii="Verdana" w:eastAsia="Calibri" w:hAnsi="Verdana" w:cs="Arial"/>
          <w:lang w:val="es-ES"/>
        </w:rPr>
        <w:t>Lo anterior se sustenta en las siguientes consideraciones:</w:t>
      </w:r>
    </w:p>
    <w:p w14:paraId="252FC11B" w14:textId="77777777" w:rsidR="00505CD6" w:rsidRPr="00505CD6" w:rsidRDefault="00505CD6" w:rsidP="00505CD6">
      <w:pPr>
        <w:spacing w:after="0" w:line="276" w:lineRule="auto"/>
        <w:jc w:val="both"/>
        <w:rPr>
          <w:rFonts w:ascii="Verdana" w:eastAsia="Calibri" w:hAnsi="Verdana" w:cs="Arial"/>
          <w:color w:val="000000" w:themeColor="text1"/>
        </w:rPr>
      </w:pPr>
    </w:p>
    <w:p w14:paraId="340FFA08" w14:textId="77777777" w:rsidR="00505CD6" w:rsidRPr="00505CD6" w:rsidRDefault="00505CD6" w:rsidP="00505CD6">
      <w:pPr>
        <w:spacing w:after="120" w:line="276" w:lineRule="auto"/>
        <w:jc w:val="both"/>
        <w:rPr>
          <w:rFonts w:ascii="Verdana" w:eastAsia="Arial" w:hAnsi="Verdana" w:cs="Arial"/>
          <w:color w:val="000000"/>
        </w:rPr>
      </w:pPr>
      <w:r w:rsidRPr="00505CD6">
        <w:rPr>
          <w:rFonts w:ascii="Verdana" w:eastAsia="Arial" w:hAnsi="Verdana" w:cs="Arial"/>
          <w:color w:val="000000"/>
        </w:rPr>
        <w:t xml:space="preserve">Uno de los principios transversales de los procedimientos de selección es el de </w:t>
      </w:r>
      <w:r w:rsidRPr="00505CD6">
        <w:rPr>
          <w:rFonts w:ascii="Verdana" w:eastAsia="Arial" w:hAnsi="Verdana" w:cs="Arial"/>
          <w:i/>
          <w:color w:val="000000"/>
        </w:rPr>
        <w:t>selección objetiva</w:t>
      </w:r>
      <w:r w:rsidRPr="00505CD6">
        <w:rPr>
          <w:rFonts w:ascii="Verdana" w:eastAsia="Arial" w:hAnsi="Verdana" w:cs="Arial"/>
          <w:color w:val="000000"/>
        </w:rPr>
        <w:t xml:space="preserve">. Se trata del postulado que exige que la escogencia de la oferta ganadora deba fundamentarse en factores objetivos, de carácter técnico, </w:t>
      </w:r>
      <w:r w:rsidRPr="00505CD6">
        <w:rPr>
          <w:rFonts w:ascii="Verdana" w:eastAsia="Arial" w:hAnsi="Verdana" w:cs="Arial"/>
          <w:color w:val="000000"/>
        </w:rPr>
        <w:lastRenderedPageBreak/>
        <w:t>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505CD6">
        <w:rPr>
          <w:rFonts w:ascii="Verdana" w:eastAsia="Arial" w:hAnsi="Verdana" w:cs="Arial"/>
          <w:color w:val="000000"/>
          <w:vertAlign w:val="superscript"/>
        </w:rPr>
        <w:footnoteReference w:id="2"/>
      </w:r>
      <w:r w:rsidRPr="00505CD6">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63F7DAD9"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505CD6">
        <w:rPr>
          <w:rFonts w:ascii="Verdana" w:eastAsia="Arial" w:hAnsi="Verdana" w:cs="Arial"/>
          <w:color w:val="000000"/>
          <w:sz w:val="20"/>
          <w:szCs w:val="20"/>
        </w:rPr>
        <w:t>equivalentes,</w:t>
      </w:r>
      <w:proofErr w:type="gramEnd"/>
      <w:r w:rsidRPr="00505CD6">
        <w:rPr>
          <w:rFonts w:ascii="Verdana" w:eastAsia="Arial" w:hAnsi="Verdana" w:cs="Arial"/>
          <w:color w:val="000000"/>
          <w:sz w:val="20"/>
          <w:szCs w:val="20"/>
        </w:rPr>
        <w:t xml:space="preserve"> tendrán en cuenta los siguientes criterios:</w:t>
      </w:r>
    </w:p>
    <w:p w14:paraId="36939DC9"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818F186"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w:t>
      </w:r>
      <w:r w:rsidRPr="00505CD6">
        <w:rPr>
          <w:rFonts w:ascii="Verdana" w:eastAsia="Arial" w:hAnsi="Verdana" w:cs="Arial"/>
          <w:color w:val="000000"/>
          <w:sz w:val="20"/>
          <w:szCs w:val="20"/>
        </w:rPr>
        <w:lastRenderedPageBreak/>
        <w:t>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FF682C9"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En los procesos de selección en los que se tenga en cuenta los factores técnicos y económicos, la oferta más ventajosa será la que resulte de aplicar alguna de las siguientes alternativas:</w:t>
      </w:r>
    </w:p>
    <w:p w14:paraId="3F044272"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a) La ponderación de los elementos de calidad y precio soportados en puntajes o fórmulas señaladas en el pliego de condiciones; o</w:t>
      </w:r>
    </w:p>
    <w:p w14:paraId="2175D8B2"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b) La ponderación de los elementos de calidad y precio que representen la mejor relación de costo-beneficio para la entidad.</w:t>
      </w:r>
    </w:p>
    <w:p w14:paraId="4106F0DE"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42534413"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0F675510"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En ningún caso se podrá incluir el precio, como factor de escogencia para la selección de consultores.</w:t>
      </w:r>
    </w:p>
    <w:p w14:paraId="0A36F738"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505CD6">
        <w:rPr>
          <w:rFonts w:ascii="Verdana" w:eastAsia="Arial" w:hAnsi="Verdana" w:cs="Arial"/>
          <w:color w:val="000000"/>
          <w:sz w:val="20"/>
          <w:szCs w:val="20"/>
        </w:rPr>
        <w:t>puntaje,</w:t>
      </w:r>
      <w:proofErr w:type="gramEnd"/>
      <w:r w:rsidRPr="00505CD6">
        <w:rPr>
          <w:rFonts w:ascii="Verdana" w:eastAsia="Arial" w:hAnsi="Verdana" w:cs="Arial"/>
          <w:color w:val="000000"/>
          <w:sz w:val="20"/>
          <w:szCs w:val="20"/>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9B6DFDB"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lastRenderedPageBreak/>
        <w:t>Durante el término otorgado para subsanar las ofertas, los proponentes no podrán acreditar circunstancias ocurridas con posterioridad al cierre del proceso.</w:t>
      </w:r>
    </w:p>
    <w:p w14:paraId="77B6BD75"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PARÁGRAFO 2o. Las certificaciones de sistemas de gestión de calidad no serán objeto de calificación, ni podrán establecerse como documento habilitante para participar en licitaciones o concursos.</w:t>
      </w:r>
    </w:p>
    <w:p w14:paraId="388F16BC"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505CD6">
        <w:rPr>
          <w:rFonts w:ascii="Verdana" w:eastAsia="Arial" w:hAnsi="Verdana" w:cs="Arial"/>
          <w:color w:val="000000"/>
          <w:sz w:val="20"/>
          <w:szCs w:val="20"/>
        </w:rPr>
        <w:t>la misma</w:t>
      </w:r>
      <w:proofErr w:type="gramEnd"/>
      <w:r w:rsidRPr="00505CD6">
        <w:rPr>
          <w:rFonts w:ascii="Verdana" w:eastAsia="Arial" w:hAnsi="Verdana" w:cs="Arial"/>
          <w:color w:val="000000"/>
          <w:sz w:val="20"/>
          <w:szCs w:val="20"/>
        </w:rPr>
        <w:t>.</w:t>
      </w:r>
    </w:p>
    <w:p w14:paraId="6467ED0E" w14:textId="77777777" w:rsidR="00505CD6" w:rsidRPr="00505CD6" w:rsidRDefault="00505CD6" w:rsidP="00505CD6">
      <w:pPr>
        <w:spacing w:after="12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01FE2C39" w14:textId="77777777" w:rsidR="00505CD6" w:rsidRPr="00505CD6" w:rsidRDefault="00505CD6" w:rsidP="00505CD6">
      <w:pPr>
        <w:spacing w:after="0" w:line="240" w:lineRule="auto"/>
        <w:ind w:left="709" w:right="709"/>
        <w:jc w:val="both"/>
        <w:rPr>
          <w:rFonts w:ascii="Verdana" w:eastAsia="Arial" w:hAnsi="Verdana" w:cs="Arial"/>
          <w:color w:val="000000"/>
          <w:sz w:val="20"/>
          <w:szCs w:val="20"/>
        </w:rPr>
      </w:pPr>
      <w:r w:rsidRPr="00505CD6">
        <w:rPr>
          <w:rFonts w:ascii="Verdana" w:eastAsia="Arial" w:hAnsi="Verdana" w:cs="Arial"/>
          <w:color w:val="000000"/>
          <w:sz w:val="20"/>
          <w:szCs w:val="20"/>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p w14:paraId="0EF33D09" w14:textId="77777777" w:rsidR="00505CD6" w:rsidRPr="00505CD6" w:rsidRDefault="00505CD6" w:rsidP="00505CD6">
      <w:pPr>
        <w:spacing w:after="0" w:line="276" w:lineRule="auto"/>
        <w:jc w:val="both"/>
        <w:rPr>
          <w:rFonts w:ascii="Verdana" w:eastAsia="Arial" w:hAnsi="Verdana" w:cs="Arial"/>
          <w:color w:val="000000"/>
        </w:rPr>
      </w:pPr>
    </w:p>
    <w:p w14:paraId="247929D6" w14:textId="77777777" w:rsidR="00505CD6" w:rsidRPr="00505CD6" w:rsidRDefault="00505CD6" w:rsidP="00505CD6">
      <w:pPr>
        <w:tabs>
          <w:tab w:val="left" w:pos="0"/>
        </w:tabs>
        <w:spacing w:after="120" w:line="276" w:lineRule="auto"/>
        <w:jc w:val="both"/>
        <w:rPr>
          <w:rFonts w:ascii="Verdana" w:eastAsia="Arial" w:hAnsi="Verdana" w:cs="Arial"/>
          <w:color w:val="000000"/>
        </w:rPr>
      </w:pPr>
      <w:r w:rsidRPr="00505CD6">
        <w:rPr>
          <w:rFonts w:ascii="Verdana" w:eastAsia="Arial" w:hAnsi="Verdana" w:cs="Arial"/>
          <w:color w:val="000000"/>
        </w:rPr>
        <w:tab/>
        <w:t xml:space="preserve">De acuerdo con el artículo 5 de la Ley 1150 de 2007,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5746BDA0" w14:textId="77777777" w:rsidR="00505CD6" w:rsidRPr="00505CD6" w:rsidRDefault="00505CD6" w:rsidP="00505CD6">
      <w:pPr>
        <w:tabs>
          <w:tab w:val="left" w:pos="0"/>
        </w:tabs>
        <w:spacing w:after="120" w:line="276" w:lineRule="auto"/>
        <w:jc w:val="both"/>
        <w:rPr>
          <w:rFonts w:ascii="Verdana" w:hAnsi="Verdana"/>
        </w:rPr>
      </w:pPr>
      <w:bookmarkStart w:id="4" w:name="_1fob9te"/>
      <w:bookmarkEnd w:id="4"/>
      <w:r w:rsidRPr="00505CD6">
        <w:rPr>
          <w:rFonts w:ascii="Verdana" w:eastAsia="Arial" w:hAnsi="Verdana" w:cs="Arial"/>
          <w:color w:val="000000"/>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505CD6">
        <w:rPr>
          <w:rFonts w:ascii="Verdana" w:eastAsia="Arial" w:hAnsi="Verdana" w:cs="Arial"/>
          <w:color w:val="000000"/>
          <w:vertAlign w:val="superscript"/>
        </w:rPr>
        <w:footnoteReference w:id="3"/>
      </w:r>
      <w:r w:rsidRPr="00505CD6">
        <w:rPr>
          <w:rFonts w:ascii="Verdana" w:eastAsia="Arial" w:hAnsi="Verdana" w:cs="Arial"/>
          <w:color w:val="000000"/>
        </w:rPr>
        <w:t xml:space="preserve">. Como lo ha señalado esta Agencia en </w:t>
      </w:r>
      <w:r w:rsidRPr="00505CD6">
        <w:rPr>
          <w:rFonts w:ascii="Verdana" w:eastAsia="Arial" w:hAnsi="Verdana" w:cs="Arial"/>
          <w:color w:val="000000"/>
        </w:rPr>
        <w:lastRenderedPageBreak/>
        <w:t xml:space="preserve">los diferentes conceptos estos </w:t>
      </w:r>
      <w:r w:rsidRPr="00505CD6">
        <w:rPr>
          <w:rFonts w:ascii="Verdana" w:hAnsi="Verdana"/>
        </w:rPr>
        <w:t xml:space="preserve">requisitos habilitantes establecidos son de carácter enunciativos y no taxativos, por lo que las entidades podrían establecer otras condiciones, </w:t>
      </w:r>
      <w:proofErr w:type="gramStart"/>
      <w:r w:rsidRPr="00505CD6">
        <w:rPr>
          <w:rFonts w:ascii="Verdana" w:hAnsi="Verdana"/>
        </w:rPr>
        <w:t>de acuerdo a</w:t>
      </w:r>
      <w:proofErr w:type="gramEnd"/>
      <w:r w:rsidRPr="00505CD6">
        <w:rPr>
          <w:rFonts w:ascii="Verdana" w:hAnsi="Verdana"/>
        </w:rPr>
        <w:t xml:space="preserve"> la autonomía de la voluntad, y teniendo en cuenta el objeto del contrato, los riesgos detectados en los estudios previos, el presupuesto oficial, entre otros factores.</w:t>
      </w:r>
    </w:p>
    <w:p w14:paraId="4FE57685" w14:textId="77777777" w:rsidR="00505CD6" w:rsidRPr="00505CD6" w:rsidRDefault="00505CD6" w:rsidP="00505CD6">
      <w:pPr>
        <w:tabs>
          <w:tab w:val="left" w:pos="0"/>
        </w:tabs>
        <w:spacing w:after="120" w:line="276" w:lineRule="auto"/>
        <w:ind w:firstLine="709"/>
        <w:jc w:val="both"/>
        <w:rPr>
          <w:rFonts w:ascii="Verdana" w:hAnsi="Verdana"/>
        </w:rPr>
      </w:pPr>
      <w:r w:rsidRPr="00505CD6">
        <w:rPr>
          <w:rFonts w:ascii="Verdana" w:eastAsia="Arial" w:hAnsi="Verdana" w:cs="Arial"/>
          <w:color w:val="000000"/>
        </w:rPr>
        <w:t xml:space="preserve">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505CD6">
        <w:rPr>
          <w:rFonts w:ascii="Verdana" w:eastAsia="Arial" w:hAnsi="Verdana" w:cs="Arial"/>
          <w:i/>
          <w:color w:val="000000"/>
        </w:rPr>
        <w:t xml:space="preserve">habilitantes </w:t>
      </w:r>
      <w:r w:rsidRPr="00505CD6">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3100AC87" w14:textId="77777777" w:rsidR="00505CD6" w:rsidRPr="00505CD6" w:rsidRDefault="00505CD6" w:rsidP="00505CD6">
      <w:pPr>
        <w:tabs>
          <w:tab w:val="left" w:pos="0"/>
        </w:tabs>
        <w:spacing w:after="120" w:line="276" w:lineRule="auto"/>
        <w:jc w:val="both"/>
        <w:rPr>
          <w:rFonts w:ascii="Verdana" w:eastAsia="Arial" w:hAnsi="Verdana" w:cs="Arial"/>
          <w:color w:val="000000"/>
        </w:rPr>
      </w:pPr>
      <w:r w:rsidRPr="00505CD6">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01E77337" w14:textId="77777777" w:rsidR="00505CD6" w:rsidRPr="00505CD6" w:rsidRDefault="00505CD6" w:rsidP="00505CD6">
      <w:pPr>
        <w:tabs>
          <w:tab w:val="left" w:pos="0"/>
        </w:tabs>
        <w:spacing w:after="120" w:line="276" w:lineRule="auto"/>
        <w:jc w:val="both"/>
        <w:rPr>
          <w:rFonts w:ascii="Verdana" w:eastAsia="Arial" w:hAnsi="Verdana" w:cs="Arial"/>
          <w:color w:val="000000"/>
        </w:rPr>
      </w:pPr>
      <w:r w:rsidRPr="00505CD6">
        <w:rPr>
          <w:rFonts w:ascii="Verdana" w:eastAsia="Arial" w:hAnsi="Verdana" w:cs="Arial"/>
          <w:color w:val="000000"/>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273BB2FD" w14:textId="77777777" w:rsidR="00505CD6" w:rsidRPr="00505CD6" w:rsidRDefault="00505CD6" w:rsidP="00505CD6">
      <w:pPr>
        <w:tabs>
          <w:tab w:val="left" w:pos="0"/>
        </w:tabs>
        <w:spacing w:after="120" w:line="276" w:lineRule="auto"/>
        <w:jc w:val="both"/>
        <w:rPr>
          <w:rFonts w:ascii="Verdana" w:eastAsia="Arial" w:hAnsi="Verdana" w:cs="Arial"/>
          <w:color w:val="000000"/>
        </w:rPr>
      </w:pPr>
      <w:r w:rsidRPr="00505CD6">
        <w:rPr>
          <w:rFonts w:ascii="Verdana" w:eastAsia="Arial" w:hAnsi="Verdana" w:cs="Arial"/>
          <w:color w:val="000000"/>
        </w:rPr>
        <w:lastRenderedPageBreak/>
        <w:tab/>
        <w:t xml:space="preserve">Conforme a lo anterior, el artículo 5 de la Ley 1150 de 2007, alude a diferentes conceptos como factores de escogencia, de calificación, técnicos y económicos, de evaluación y calificación. Además, el artículo se refiere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w:t>
      </w:r>
      <w:proofErr w:type="gramStart"/>
      <w:r w:rsidRPr="00505CD6">
        <w:rPr>
          <w:rFonts w:ascii="Verdana" w:eastAsia="Arial" w:hAnsi="Verdana" w:cs="Arial"/>
          <w:color w:val="000000"/>
        </w:rPr>
        <w:t>que</w:t>
      </w:r>
      <w:proofErr w:type="gramEnd"/>
      <w:r w:rsidRPr="00505CD6">
        <w:rPr>
          <w:rFonts w:ascii="Verdana" w:eastAsia="Arial" w:hAnsi="Verdana" w:cs="Arial"/>
          <w:color w:val="000000"/>
        </w:rPr>
        <w:t xml:space="preserve"> en consecuencia, darán lugar a la escogencia objetiva de la mejor propuesta para la entidad”</w:t>
      </w:r>
      <w:r w:rsidRPr="00505CD6">
        <w:rPr>
          <w:rFonts w:ascii="Verdana" w:eastAsia="Arial" w:hAnsi="Verdana" w:cs="Arial"/>
          <w:color w:val="000000"/>
          <w:vertAlign w:val="superscript"/>
        </w:rPr>
        <w:footnoteReference w:id="4"/>
      </w:r>
      <w:r w:rsidRPr="00505CD6">
        <w:rPr>
          <w:rFonts w:ascii="Verdana" w:eastAsia="Arial" w:hAnsi="Verdana" w:cs="Arial"/>
          <w:color w:val="000000"/>
        </w:rPr>
        <w:t>. Todas estas categorías designan los “(…) factores a los cuales cabe otorgarles puntajes o que pueden ser ponderados, precisamente, pues estos son los factores que en últimas permiten una comparación de ofertas y una diferenciación entre ellas”</w:t>
      </w:r>
      <w:r w:rsidRPr="00505CD6">
        <w:rPr>
          <w:rFonts w:ascii="Verdana" w:eastAsia="Arial" w:hAnsi="Verdana" w:cs="Arial"/>
          <w:color w:val="000000"/>
          <w:vertAlign w:val="superscript"/>
        </w:rPr>
        <w:footnoteReference w:id="5"/>
      </w:r>
      <w:r w:rsidRPr="00505CD6">
        <w:rPr>
          <w:rFonts w:ascii="Verdana" w:eastAsia="Arial" w:hAnsi="Verdana" w:cs="Arial"/>
          <w:color w:val="000000"/>
        </w:rPr>
        <w:t>.</w:t>
      </w:r>
    </w:p>
    <w:p w14:paraId="384E5B9F" w14:textId="77777777" w:rsidR="00505CD6" w:rsidRPr="00505CD6" w:rsidRDefault="00505CD6" w:rsidP="00505CD6">
      <w:pPr>
        <w:tabs>
          <w:tab w:val="left" w:pos="0"/>
        </w:tabs>
        <w:spacing w:after="120" w:line="276" w:lineRule="auto"/>
        <w:ind w:firstLine="709"/>
        <w:jc w:val="both"/>
        <w:rPr>
          <w:rFonts w:ascii="Verdana" w:eastAsia="Arial" w:hAnsi="Verdana" w:cs="Arial"/>
          <w:color w:val="000000"/>
          <w:sz w:val="21"/>
          <w:szCs w:val="21"/>
        </w:rPr>
      </w:pPr>
      <w:r w:rsidRPr="00505CD6">
        <w:rPr>
          <w:rFonts w:ascii="Verdana" w:eastAsia="Arial" w:hAnsi="Verdana" w:cs="Arial"/>
          <w:color w:val="000000"/>
        </w:rPr>
        <w:t xml:space="preserve">De esta forma, </w:t>
      </w:r>
      <w:bookmarkStart w:id="5" w:name="_Hlk169791737"/>
      <w:r w:rsidRPr="00505CD6">
        <w:rPr>
          <w:rFonts w:ascii="Verdana" w:eastAsia="Arial" w:hAnsi="Verdana" w:cs="Arial"/>
          <w:color w:val="000000"/>
        </w:rPr>
        <w:t>el deber de selección objetiva está ligado a la determinación del ofrecimiento más favorable, cuyo contenido debe ser precisado a partir de las diferentes alternativas del artículo 5 de la Ley 1150 de 2007, reglamentado por el artículo 2.2.1.1.2.2.2 del Decreto 1082 de 2015</w:t>
      </w:r>
      <w:bookmarkEnd w:id="5"/>
      <w:r w:rsidRPr="00505CD6">
        <w:rPr>
          <w:rFonts w:ascii="Verdana" w:eastAsia="Arial" w:hAnsi="Verdana" w:cs="Arial"/>
          <w:color w:val="000000"/>
        </w:rPr>
        <w:t>, que en todo caso deben reflejarse en el pliego de condiciones o documento equivalente para el respectivo proceso de selección. Estas disposiciones establecen que en los procesos de selección deben evaluarse, fuera de los requisitos habilitantes, los factores de calificación.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311DA6B9" w14:textId="77777777" w:rsidR="00505CD6" w:rsidRPr="00505CD6" w:rsidRDefault="00505CD6" w:rsidP="00505CD6">
      <w:pPr>
        <w:spacing w:after="120" w:line="276" w:lineRule="auto"/>
        <w:ind w:firstLine="709"/>
        <w:jc w:val="both"/>
        <w:rPr>
          <w:rFonts w:ascii="Verdana" w:eastAsia="Calibri" w:hAnsi="Verdana" w:cs="Arial"/>
          <w:color w:val="000000"/>
          <w:lang w:val="es-MX"/>
        </w:rPr>
      </w:pPr>
      <w:r w:rsidRPr="00505CD6">
        <w:rPr>
          <w:rFonts w:ascii="Verdana" w:eastAsia="Arial" w:hAnsi="Verdana" w:cs="Arial"/>
          <w:color w:val="000000"/>
        </w:rPr>
        <w:t>Ahora bien,</w:t>
      </w:r>
      <w:r w:rsidRPr="00505CD6">
        <w:rPr>
          <w:rFonts w:ascii="Verdana" w:eastAsia="Calibri" w:hAnsi="Verdana" w:cs="Arial"/>
          <w:color w:val="000000"/>
          <w:lang w:val="es-MX"/>
        </w:rPr>
        <w:t xml:space="preserve"> el parágrafo 2 del artículo 5 de la Ley 1150 de 2007 establece una limitación para la determinación de requisitos habilitantes y criterios de calificación en los procesos de selección, según la cual las “certificaciones de sistemas de gestión de calidad no serán objeto de calificación, ni podrán establecerse como documento habilitante para participar en licitaciones o concursos”.</w:t>
      </w:r>
    </w:p>
    <w:p w14:paraId="5991D761" w14:textId="77777777" w:rsidR="00505CD6" w:rsidRPr="00505CD6" w:rsidRDefault="00505CD6" w:rsidP="00505CD6">
      <w:pPr>
        <w:spacing w:after="120" w:line="276" w:lineRule="auto"/>
        <w:ind w:firstLine="709"/>
        <w:jc w:val="both"/>
        <w:rPr>
          <w:rFonts w:ascii="Verdana" w:hAnsi="Verdana" w:cs="Arial"/>
          <w:color w:val="000000" w:themeColor="text1"/>
        </w:rPr>
      </w:pPr>
      <w:r w:rsidRPr="00505CD6">
        <w:rPr>
          <w:rFonts w:ascii="Verdana" w:eastAsia="Calibri" w:hAnsi="Verdana" w:cs="Arial"/>
          <w:color w:val="000000"/>
          <w:lang w:val="es-MX"/>
        </w:rPr>
        <w:lastRenderedPageBreak/>
        <w:t xml:space="preserve">Para comprender el alcance de este parágrafo resulta de especial importancia referirse a </w:t>
      </w:r>
      <w:r w:rsidRPr="00505CD6">
        <w:rPr>
          <w:rFonts w:ascii="Verdana" w:hAnsi="Verdana" w:cs="Arial"/>
          <w:color w:val="000000" w:themeColor="text1"/>
        </w:rPr>
        <w:t xml:space="preserve">los antecedentes legislativos de la norma </w:t>
      </w:r>
      <w:r w:rsidRPr="00505CD6">
        <w:rPr>
          <w:rFonts w:ascii="Verdana" w:hAnsi="Verdana" w:cs="Arial"/>
          <w:i/>
          <w:iCs/>
          <w:color w:val="000000" w:themeColor="text1"/>
        </w:rPr>
        <w:t>sub examine</w:t>
      </w:r>
      <w:r w:rsidRPr="00505CD6">
        <w:rPr>
          <w:rFonts w:ascii="Verdana" w:hAnsi="Verdana" w:cs="Arial"/>
          <w:color w:val="000000" w:themeColor="text1"/>
        </w:rPr>
        <w:t xml:space="preserve">. En este sentido, es preciso señalar que fue hasta el cuarto debate parlamentario en donde se incluyó el parágrafo comentando anteriormente bajo el siguiente texto: “Parágrafo 2°. Las certificaciones de sistemas de gestión de calidad no serán objeto de calificación, ni podrán establecerse como documento habilitante para participar en licitaciones o concursos. No </w:t>
      </w:r>
      <w:proofErr w:type="gramStart"/>
      <w:r w:rsidRPr="00505CD6">
        <w:rPr>
          <w:rFonts w:ascii="Verdana" w:hAnsi="Verdana" w:cs="Arial"/>
          <w:color w:val="000000" w:themeColor="text1"/>
        </w:rPr>
        <w:t>obstante</w:t>
      </w:r>
      <w:proofErr w:type="gramEnd"/>
      <w:r w:rsidRPr="00505CD6">
        <w:rPr>
          <w:rFonts w:ascii="Verdana" w:hAnsi="Verdana" w:cs="Arial"/>
          <w:color w:val="000000" w:themeColor="text1"/>
        </w:rPr>
        <w:t xml:space="preserve"> en los pliegos de condiciones se podrá fijar la implementación de planes de calidad.</w:t>
      </w:r>
      <w:r w:rsidRPr="00505CD6">
        <w:rPr>
          <w:rFonts w:ascii="Verdana" w:hAnsi="Verdana" w:cs="Arial"/>
          <w:color w:val="000000" w:themeColor="text1"/>
          <w:vertAlign w:val="superscript"/>
        </w:rPr>
        <w:footnoteReference w:id="6"/>
      </w:r>
      <w:r w:rsidRPr="00505CD6">
        <w:rPr>
          <w:rFonts w:ascii="Verdana" w:hAnsi="Verdana" w:cs="Arial"/>
          <w:color w:val="000000" w:themeColor="text1"/>
        </w:rPr>
        <w:t>”.</w:t>
      </w:r>
    </w:p>
    <w:p w14:paraId="4B008BB7" w14:textId="77777777" w:rsidR="00505CD6" w:rsidRPr="00505CD6" w:rsidRDefault="00505CD6" w:rsidP="00505CD6">
      <w:pPr>
        <w:spacing w:after="120" w:line="276" w:lineRule="auto"/>
        <w:ind w:firstLine="709"/>
        <w:jc w:val="both"/>
        <w:rPr>
          <w:rFonts w:ascii="Verdana" w:hAnsi="Verdana" w:cs="Arial"/>
          <w:color w:val="000000" w:themeColor="text1"/>
        </w:rPr>
      </w:pPr>
      <w:r w:rsidRPr="00505CD6">
        <w:rPr>
          <w:rFonts w:ascii="Verdana" w:hAnsi="Verdana" w:cs="Arial"/>
          <w:color w:val="000000" w:themeColor="text1"/>
        </w:rPr>
        <w:t>La razón de la inclusión de este parágrafo en el artículo 5 de la Ley 1150 de 2006 se sustentó en que “(…)</w:t>
      </w:r>
      <w:r w:rsidRPr="00505CD6">
        <w:rPr>
          <w:rFonts w:ascii="Verdana" w:eastAsia="Arial" w:hAnsi="Verdana" w:cs="Arial"/>
          <w:color w:val="000000"/>
        </w:rPr>
        <w:t xml:space="preserv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w:t>
      </w:r>
      <w:r w:rsidRPr="00505CD6">
        <w:rPr>
          <w:rFonts w:ascii="Verdana" w:eastAsia="Arial" w:hAnsi="Verdana" w:cs="Arial"/>
          <w:color w:val="000000"/>
          <w:sz w:val="21"/>
          <w:szCs w:val="21"/>
        </w:rPr>
        <w:t xml:space="preserve"> </w:t>
      </w:r>
    </w:p>
    <w:p w14:paraId="6EFCBF66" w14:textId="77777777" w:rsidR="00505CD6" w:rsidRPr="00505CD6" w:rsidRDefault="00505CD6" w:rsidP="00505CD6">
      <w:pPr>
        <w:spacing w:after="120" w:line="276" w:lineRule="auto"/>
        <w:ind w:firstLine="709"/>
        <w:jc w:val="both"/>
        <w:rPr>
          <w:rFonts w:ascii="Verdana" w:hAnsi="Verdana" w:cs="Arial"/>
          <w:color w:val="000000" w:themeColor="text1"/>
        </w:rPr>
      </w:pPr>
      <w:r w:rsidRPr="00505CD6">
        <w:rPr>
          <w:rFonts w:ascii="Verdana" w:hAnsi="Verdana" w:cs="Arial"/>
          <w:color w:val="000000" w:themeColor="text1"/>
        </w:rPr>
        <w:t>El texto finalmente aprobado durante el trámite legislativo eliminó el último párrafo del contenido inicial referente a los planes de calidad. De lo expuesto se evidencia que la intención del legislador al incluir dicho parágrafo era evitar la restricción de la participación de oferentes, asegurando que no fueran excluidos del proceso de selección por cumplir con ciertos requisitos, como el certificado de gestión de calidad. Esta intención está estrechamente vinculada al principio de selección objetiva, que se cumple cuando se establecen criterios claros y transparentes para la elección de la oferta más favorable a los fines de la contratación, sin que se limite la competencia ni la participación de los oferentes.</w:t>
      </w:r>
    </w:p>
    <w:p w14:paraId="714796AD" w14:textId="77777777" w:rsidR="00505CD6" w:rsidRPr="00505CD6" w:rsidRDefault="00505CD6" w:rsidP="00505CD6">
      <w:pPr>
        <w:spacing w:after="120" w:line="276" w:lineRule="auto"/>
        <w:ind w:firstLine="709"/>
        <w:jc w:val="both"/>
        <w:rPr>
          <w:rFonts w:ascii="Verdana" w:hAnsi="Verdana" w:cs="Arial"/>
          <w:color w:val="000000" w:themeColor="text1"/>
        </w:rPr>
      </w:pPr>
      <w:r w:rsidRPr="00505CD6">
        <w:rPr>
          <w:rFonts w:ascii="Verdana" w:hAnsi="Verdana" w:cs="Arial"/>
          <w:color w:val="000000" w:themeColor="text1"/>
        </w:rPr>
        <w:t xml:space="preserve">Al respecto, la Corte Constitucional al revisar la demanda de constitucionalidad contra el parágrafo del artículo 5 de la Ley 1150 de 2007 resaltó la conexión directa entre el parágrafo acusado y el artículo señalado: </w:t>
      </w:r>
    </w:p>
    <w:p w14:paraId="626C56F8" w14:textId="77777777" w:rsidR="00505CD6" w:rsidRPr="00911BD1" w:rsidRDefault="00505CD6" w:rsidP="00505CD6">
      <w:pPr>
        <w:spacing w:after="0" w:line="240" w:lineRule="auto"/>
        <w:ind w:left="709" w:right="709"/>
        <w:jc w:val="both"/>
        <w:rPr>
          <w:rFonts w:ascii="Verdana" w:eastAsia="Arial" w:hAnsi="Verdana" w:cs="Arial"/>
          <w:color w:val="000000"/>
          <w:sz w:val="20"/>
          <w:szCs w:val="20"/>
        </w:rPr>
      </w:pPr>
      <w:r w:rsidRPr="00911BD1">
        <w:rPr>
          <w:rFonts w:ascii="Verdana" w:eastAsia="Arial" w:hAnsi="Verdana" w:cs="Arial"/>
          <w:color w:val="000000"/>
          <w:sz w:val="20"/>
          <w:szCs w:val="20"/>
        </w:rPr>
        <w:t xml:space="preserve">“El artículo 5 regula los criterios de selección objetiva que deben ser tenidos en cuenta por las entidades contratantes al definir los sistemas de selección o calificación. A su turno, el parágrafo acusado excluye de los criterios de calificación o selección la posibilidad de exigir o admitir un documento específico: las certificaciones de sistemas de gestión de calidad. Ello, según se desprende de la historia de la ley, debido a que </w:t>
      </w:r>
      <w:r w:rsidRPr="00911BD1">
        <w:rPr>
          <w:rFonts w:ascii="Verdana" w:eastAsia="Arial" w:hAnsi="Verdana" w:cs="Arial"/>
          <w:color w:val="000000"/>
          <w:sz w:val="20"/>
          <w:szCs w:val="20"/>
        </w:rPr>
        <w:lastRenderedPageBreak/>
        <w:t>tales certificaciones no necesariamente reflejan un criterio relevante de selección y pueden llegar a excluir arbitrariamente a empresas o personas que de otra forma estarían habilitadas para participar en el proceso de contratación</w:t>
      </w:r>
      <w:r w:rsidRPr="00911BD1">
        <w:rPr>
          <w:rFonts w:ascii="Verdana" w:eastAsia="Arial" w:hAnsi="Verdana" w:cs="Arial"/>
          <w:color w:val="000000"/>
          <w:sz w:val="20"/>
          <w:szCs w:val="20"/>
          <w:vertAlign w:val="superscript"/>
        </w:rPr>
        <w:footnoteReference w:id="7"/>
      </w:r>
      <w:r w:rsidRPr="00911BD1">
        <w:rPr>
          <w:rFonts w:ascii="Verdana" w:eastAsia="Arial" w:hAnsi="Verdana" w:cs="Arial"/>
          <w:color w:val="000000"/>
          <w:sz w:val="20"/>
          <w:szCs w:val="20"/>
        </w:rPr>
        <w:t>”.</w:t>
      </w:r>
    </w:p>
    <w:p w14:paraId="71514620" w14:textId="77777777" w:rsidR="00505CD6" w:rsidRPr="00505CD6" w:rsidRDefault="00505CD6" w:rsidP="00505CD6">
      <w:pPr>
        <w:spacing w:after="0" w:line="240" w:lineRule="auto"/>
        <w:ind w:left="709" w:right="709"/>
        <w:jc w:val="both"/>
        <w:rPr>
          <w:rFonts w:ascii="Verdana" w:eastAsia="Arial" w:hAnsi="Verdana" w:cs="Arial"/>
          <w:color w:val="000000"/>
          <w:sz w:val="21"/>
          <w:szCs w:val="21"/>
        </w:rPr>
      </w:pPr>
    </w:p>
    <w:p w14:paraId="55FC3841" w14:textId="77777777" w:rsidR="00505CD6" w:rsidRPr="00505CD6" w:rsidRDefault="00505CD6" w:rsidP="00505CD6">
      <w:pPr>
        <w:spacing w:after="120" w:line="276" w:lineRule="auto"/>
        <w:ind w:firstLine="709"/>
        <w:jc w:val="both"/>
        <w:rPr>
          <w:rFonts w:ascii="Verdana" w:eastAsia="Calibri" w:hAnsi="Verdana" w:cs="Arial"/>
          <w:color w:val="000000"/>
        </w:rPr>
      </w:pPr>
      <w:r w:rsidRPr="00505CD6">
        <w:rPr>
          <w:rFonts w:ascii="Verdana" w:eastAsia="Calibri" w:hAnsi="Verdana" w:cs="Arial"/>
          <w:color w:val="000000"/>
          <w:lang w:val="es-MX"/>
        </w:rPr>
        <w:t>En este contexto, la prohibición de solicitar certificaciones del sistema de gestión de calidad tiene como propósito evitar</w:t>
      </w:r>
      <w:r w:rsidRPr="00505CD6">
        <w:rPr>
          <w:rFonts w:ascii="Verdana" w:eastAsia="Calibri" w:hAnsi="Verdana" w:cs="Arial"/>
          <w:color w:val="000000"/>
        </w:rPr>
        <w:t xml:space="preserve"> la exclusión arbitraria de personas o empresas que, de otro modo, podrían participar en el proceso de contratación, </w:t>
      </w:r>
      <w:r w:rsidRPr="00505CD6">
        <w:rPr>
          <w:rFonts w:ascii="Verdana" w:eastAsia="Calibri" w:hAnsi="Verdana" w:cs="Arial"/>
          <w:color w:val="000000"/>
          <w:lang w:val="es-MX"/>
        </w:rPr>
        <w:t xml:space="preserve">en la medida en que este requisito no necesariamente refleja un criterio relevante para la selección, </w:t>
      </w:r>
      <w:r w:rsidRPr="00505CD6">
        <w:rPr>
          <w:rFonts w:ascii="Verdana" w:eastAsia="Calibri" w:hAnsi="Verdana" w:cs="Arial"/>
          <w:color w:val="000000"/>
        </w:rPr>
        <w:t xml:space="preserve">limitando la competencia sin aportar un valor adicional en la evaluación de las ofertas. </w:t>
      </w:r>
    </w:p>
    <w:p w14:paraId="4806EE8E" w14:textId="77777777" w:rsidR="00505CD6" w:rsidRPr="00505CD6" w:rsidRDefault="00505CD6" w:rsidP="00505CD6">
      <w:pPr>
        <w:spacing w:after="120" w:line="276" w:lineRule="auto"/>
        <w:ind w:firstLine="709"/>
        <w:jc w:val="both"/>
        <w:rPr>
          <w:rFonts w:ascii="Verdana" w:eastAsia="Arial" w:hAnsi="Verdana" w:cs="Arial"/>
          <w:color w:val="000000"/>
        </w:rPr>
      </w:pPr>
      <w:r w:rsidRPr="00505CD6">
        <w:rPr>
          <w:rFonts w:ascii="Verdana" w:eastAsia="Calibri" w:hAnsi="Verdana" w:cs="Arial"/>
          <w:color w:val="000000"/>
        </w:rPr>
        <w:t xml:space="preserve">Al respecto, es importante señalar que el legislador no estableció un listado específico de las certificaciones de gestión de calidad que se enmarquen en esta prohibición. En este sentido, debido a que la norma hace referencia de manera general a las certificaciones de sistemas de gestión de calidad, cada entidad estatal, al momento de definir los requisitos habilitantes o ponderables, debe evaluar cuidadosamente los documentos solicitados de cara a los principios de selección objetiva y de libre competencia.  </w:t>
      </w:r>
    </w:p>
    <w:p w14:paraId="4CFA885D" w14:textId="77777777" w:rsidR="00505CD6" w:rsidRPr="00505CD6" w:rsidRDefault="00505CD6" w:rsidP="00505CD6">
      <w:pPr>
        <w:spacing w:after="120" w:line="276" w:lineRule="auto"/>
        <w:ind w:firstLine="709"/>
        <w:jc w:val="both"/>
        <w:rPr>
          <w:rFonts w:ascii="Verdana" w:eastAsia="Arial" w:hAnsi="Verdana" w:cs="Arial"/>
          <w:color w:val="000000"/>
        </w:rPr>
      </w:pPr>
      <w:r w:rsidRPr="00505CD6">
        <w:rPr>
          <w:rFonts w:ascii="Verdana" w:eastAsia="Arial" w:hAnsi="Verdana" w:cs="Arial"/>
          <w:color w:val="000000"/>
        </w:rPr>
        <w:t>Como una aproximación a este concepto, se puede referenciar la Certificación ISO 9001, sobre Sistema de Gestión de Calidad. Conforme lo señala el ICONTEC</w:t>
      </w:r>
      <w:r w:rsidRPr="00505CD6">
        <w:rPr>
          <w:rFonts w:ascii="Verdana" w:eastAsia="Arial" w:hAnsi="Verdana" w:cs="Arial"/>
          <w:color w:val="000000"/>
          <w:vertAlign w:val="superscript"/>
        </w:rPr>
        <w:footnoteReference w:id="8"/>
      </w:r>
      <w:r w:rsidRPr="00505CD6">
        <w:rPr>
          <w:rFonts w:ascii="Verdana" w:eastAsia="Arial" w:hAnsi="Verdana" w:cs="Arial"/>
          <w:color w:val="000000"/>
        </w:rPr>
        <w:t>, con esta certificación “se demuestra la capacidad de la organización para mejorar la satisfacción del cliente y su eficacia organizacional” y “proporciona una base excelente para un sistema de gestión adecuado en cuanto a la satisfacción de los requisitos del sector y el logro de la excelencia en el desempeño, compatible con otros requisitos y normas como el Sistema de Gestión</w:t>
      </w:r>
      <w:r w:rsidRPr="00505CD6">
        <w:rPr>
          <w:rFonts w:ascii="Verdana" w:eastAsia="Arial" w:hAnsi="Verdana" w:cs="Arial"/>
          <w:color w:val="000000"/>
          <w:vertAlign w:val="superscript"/>
        </w:rPr>
        <w:footnoteReference w:id="9"/>
      </w:r>
      <w:r w:rsidRPr="00505CD6">
        <w:rPr>
          <w:rFonts w:ascii="Verdana" w:eastAsia="Arial" w:hAnsi="Verdana" w:cs="Arial"/>
          <w:color w:val="000000"/>
        </w:rPr>
        <w:t xml:space="preserve">”. Según se desprende de lo anterior, esta certificación asegura que la empresa cumple con los requisitos de gestión de calidad especificados en la norma para mejorar su desempeño organizacional y la satisfacción al cliente. </w:t>
      </w:r>
    </w:p>
    <w:p w14:paraId="424E3C44" w14:textId="77777777" w:rsidR="00505CD6" w:rsidRPr="00505CD6" w:rsidRDefault="00505CD6" w:rsidP="00505CD6">
      <w:pPr>
        <w:spacing w:after="120" w:line="276" w:lineRule="auto"/>
        <w:ind w:firstLine="709"/>
        <w:jc w:val="both"/>
        <w:rPr>
          <w:rFonts w:ascii="Verdana" w:eastAsia="Calibri" w:hAnsi="Verdana" w:cs="Arial"/>
          <w:color w:val="000000"/>
          <w:lang w:val="es-MX"/>
        </w:rPr>
      </w:pPr>
      <w:r w:rsidRPr="00505CD6">
        <w:rPr>
          <w:rFonts w:ascii="Verdana" w:eastAsia="Calibri" w:hAnsi="Verdana" w:cs="Arial"/>
          <w:color w:val="000000"/>
          <w:lang w:val="es-MX"/>
        </w:rPr>
        <w:t xml:space="preserve">Es del caso precisar que, conforme a la línea que mantiene esta Agencia en sus distintos conceptos,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w:t>
      </w:r>
      <w:r w:rsidRPr="00505CD6">
        <w:rPr>
          <w:rFonts w:ascii="Verdana" w:eastAsia="Calibri" w:hAnsi="Verdana" w:cs="Arial"/>
          <w:color w:val="000000"/>
          <w:lang w:val="es-MX"/>
        </w:rPr>
        <w:lastRenderedPageBreak/>
        <w:t xml:space="preserve">a título de requisito habilitante o calificable, la implementación de un sistema de gestión de calidad. Ese es el efecto útil de la norma </w:t>
      </w:r>
      <w:r w:rsidRPr="00505CD6">
        <w:rPr>
          <w:rFonts w:ascii="Verdana" w:eastAsia="Calibri" w:hAnsi="Verdana" w:cs="Arial"/>
          <w:i/>
          <w:iCs/>
          <w:color w:val="000000"/>
          <w:lang w:val="es-MX"/>
        </w:rPr>
        <w:t>sub examine</w:t>
      </w:r>
      <w:r w:rsidRPr="00505CD6">
        <w:rPr>
          <w:rFonts w:ascii="Verdana" w:eastAsia="Calibri" w:hAnsi="Verdana" w:cs="Arial"/>
          <w:color w:val="000000"/>
          <w:lang w:val="es-MX"/>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gestión de calidad, lo cual, por un lado, le resta efectos prácticos a la prohibición establecida por el legislador y, por el otro, desconoce la finalidad perseguida por la norma.</w:t>
      </w:r>
    </w:p>
    <w:p w14:paraId="4E6AC66F" w14:textId="77777777" w:rsidR="00505CD6" w:rsidRPr="00505CD6" w:rsidRDefault="00505CD6" w:rsidP="00505CD6">
      <w:pPr>
        <w:spacing w:after="120" w:line="276" w:lineRule="auto"/>
        <w:ind w:firstLine="709"/>
        <w:jc w:val="both"/>
        <w:rPr>
          <w:rFonts w:ascii="Verdana" w:eastAsia="Calibri" w:hAnsi="Verdana" w:cs="Arial"/>
          <w:color w:val="000000"/>
          <w:lang w:val="es-MX"/>
        </w:rPr>
      </w:pPr>
      <w:r w:rsidRPr="00505CD6">
        <w:rPr>
          <w:rFonts w:ascii="Verdana" w:eastAsia="Calibri" w:hAnsi="Verdana" w:cs="Arial"/>
          <w:color w:val="000000"/>
          <w:lang w:val="es-MX"/>
        </w:rPr>
        <w:t>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Gestión Ambiental y el Sistema de Gestión de la Seguridad y Salud en el Trabajo “SG-SST”, reglamentados por medio de las Resoluciones 2140 de 7 de noviembre de 2017 y 0312 del 13 de febrero de 2019, expedidas por el Ministerio de Ambiente y el Ministerio del Trabajo, respectivamente.</w:t>
      </w:r>
    </w:p>
    <w:p w14:paraId="714B5FF8" w14:textId="77777777" w:rsidR="00505CD6" w:rsidRPr="00505CD6" w:rsidRDefault="00505CD6" w:rsidP="00505CD6">
      <w:pPr>
        <w:spacing w:after="0" w:line="276" w:lineRule="auto"/>
        <w:ind w:firstLine="709"/>
        <w:jc w:val="both"/>
        <w:rPr>
          <w:rFonts w:ascii="Verdana" w:eastAsia="Calibri" w:hAnsi="Verdana" w:cs="Arial"/>
          <w:color w:val="000000"/>
          <w:lang w:val="es-MX"/>
        </w:rPr>
      </w:pPr>
    </w:p>
    <w:p w14:paraId="73ADB084" w14:textId="77777777"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Referencias normativas y jurisprudenciales:</w:t>
      </w:r>
    </w:p>
    <w:p w14:paraId="6959A8DE" w14:textId="77777777" w:rsidR="00505CD6" w:rsidRPr="00505CD6" w:rsidRDefault="00505CD6" w:rsidP="00505CD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5CD6" w:rsidRPr="00505CD6" w14:paraId="1BDBA78D" w14:textId="77777777" w:rsidTr="006C5D8A">
        <w:trPr>
          <w:trHeight w:val="870"/>
          <w:jc w:val="center"/>
        </w:trPr>
        <w:tc>
          <w:tcPr>
            <w:tcW w:w="8647" w:type="dxa"/>
          </w:tcPr>
          <w:p w14:paraId="2FB042A9" w14:textId="65EC19AA" w:rsidR="00505CD6" w:rsidRPr="00505CD6" w:rsidRDefault="00505CD6" w:rsidP="00505CD6">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 xml:space="preserve">Ley 1150 de 2007: artículo </w:t>
            </w:r>
            <w:r>
              <w:rPr>
                <w:rFonts w:ascii="Verdana" w:hAnsi="Verdana" w:cs="Arial"/>
                <w:lang w:val="es-ES_tradnl"/>
              </w:rPr>
              <w:t>5</w:t>
            </w:r>
          </w:p>
          <w:p w14:paraId="17FA2A75" w14:textId="77777777" w:rsidR="00505CD6" w:rsidRPr="00505CD6" w:rsidRDefault="00505CD6" w:rsidP="00505CD6">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Corte Constitucional. Sentencia C-942 del 1 de octubre de 2008. M.P: Manuel José Cepeda</w:t>
            </w:r>
          </w:p>
          <w:p w14:paraId="733B94E8" w14:textId="77777777" w:rsidR="00505CD6" w:rsidRPr="00505CD6" w:rsidRDefault="00505CD6" w:rsidP="00505CD6">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DÁVILA VINUEZA, Luis Guillermo. Régimen jurídico de la contratación estatal. Tercera edición, Bogotá: Legis, 2016. p. 355.</w:t>
            </w:r>
          </w:p>
          <w:p w14:paraId="4FCC7048" w14:textId="77777777" w:rsidR="00505CD6" w:rsidRPr="00505CD6" w:rsidRDefault="00505CD6" w:rsidP="00505CD6">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RODRÍGUEZ TAMAYO, Mauricio F. Evaluación y rechazo de ofertas en la Ley 80 de 1993. Primera edición. Medellín: Librería Jurídica Sánchez, 2016. pp. 110-111.</w:t>
            </w:r>
          </w:p>
          <w:p w14:paraId="70FC587D" w14:textId="77777777" w:rsidR="00505CD6" w:rsidRPr="00505CD6" w:rsidRDefault="00505CD6" w:rsidP="00505CD6">
            <w:pPr>
              <w:widowControl w:val="0"/>
              <w:numPr>
                <w:ilvl w:val="0"/>
                <w:numId w:val="3"/>
              </w:numPr>
              <w:autoSpaceDE w:val="0"/>
              <w:autoSpaceDN w:val="0"/>
              <w:spacing w:line="276" w:lineRule="auto"/>
              <w:contextualSpacing/>
              <w:jc w:val="both"/>
              <w:rPr>
                <w:rFonts w:ascii="Verdana" w:hAnsi="Verdana" w:cs="Arial"/>
                <w:lang w:val="es-ES_tradnl"/>
              </w:rPr>
            </w:pPr>
            <w:r w:rsidRPr="00505CD6">
              <w:rPr>
                <w:rFonts w:ascii="Verdana" w:hAnsi="Verdana" w:cs="Arial"/>
                <w:lang w:val="es-ES_tradnl"/>
              </w:rPr>
              <w:t xml:space="preserve"> EXPÓSITO VELEZ, Juan C., El deber de selección objetiva, en: Del contrato estatal a los sistemas de compras públicas, por COVILLA MARTINEZ Juan C. y LOZANO VILLEGAS Germán (Eds.). Universidad Externado de Colombia, Bogotá, 2019. págs. 118-184.</w:t>
            </w:r>
          </w:p>
        </w:tc>
      </w:tr>
    </w:tbl>
    <w:p w14:paraId="54B794AD" w14:textId="77777777" w:rsidR="00505CD6" w:rsidRPr="00505CD6" w:rsidRDefault="00505CD6" w:rsidP="00505CD6">
      <w:pPr>
        <w:widowControl w:val="0"/>
        <w:autoSpaceDE w:val="0"/>
        <w:autoSpaceDN w:val="0"/>
        <w:spacing w:after="0" w:line="276" w:lineRule="auto"/>
        <w:jc w:val="both"/>
        <w:rPr>
          <w:rFonts w:ascii="Verdana" w:hAnsi="Verdana" w:cs="Arial"/>
        </w:rPr>
      </w:pPr>
    </w:p>
    <w:p w14:paraId="21CFA37D" w14:textId="77777777"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Doctrina de la Agencia Nacional de Contratación Pública:</w:t>
      </w:r>
    </w:p>
    <w:p w14:paraId="35BFC8CE" w14:textId="77777777" w:rsidR="00505CD6" w:rsidRPr="00505CD6" w:rsidRDefault="00505CD6" w:rsidP="00505CD6">
      <w:pPr>
        <w:widowControl w:val="0"/>
        <w:autoSpaceDE w:val="0"/>
        <w:autoSpaceDN w:val="0"/>
        <w:spacing w:after="0" w:line="276" w:lineRule="auto"/>
        <w:jc w:val="both"/>
        <w:rPr>
          <w:rFonts w:ascii="Verdana" w:hAnsi="Verdana" w:cs="Arial"/>
        </w:rPr>
      </w:pPr>
    </w:p>
    <w:p w14:paraId="19874AE0" w14:textId="77777777" w:rsidR="00505CD6" w:rsidRPr="00505CD6" w:rsidRDefault="00505CD6" w:rsidP="00505CD6">
      <w:pPr>
        <w:widowControl w:val="0"/>
        <w:autoSpaceDE w:val="0"/>
        <w:autoSpaceDN w:val="0"/>
        <w:spacing w:after="0" w:line="276" w:lineRule="auto"/>
        <w:jc w:val="both"/>
        <w:rPr>
          <w:rFonts w:ascii="Verdana" w:eastAsia="Arial" w:hAnsi="Verdana" w:cs="Arial"/>
          <w:lang w:val="es-MX" w:eastAsia="es-ES_tradnl"/>
        </w:rPr>
      </w:pPr>
      <w:r w:rsidRPr="00505CD6">
        <w:rPr>
          <w:rFonts w:ascii="Verdana" w:eastAsia="Calibri" w:hAnsi="Verdana" w:cs="Arial"/>
          <w:color w:val="000000" w:themeColor="text1"/>
          <w:lang w:eastAsia="es-ES_tradnl"/>
        </w:rPr>
        <w:lastRenderedPageBreak/>
        <w:t xml:space="preserve">La Agencia Nacional de Contratación Pública – Colombia Compra Eficiente </w:t>
      </w:r>
      <w:r w:rsidRPr="00505CD6">
        <w:rPr>
          <w:rFonts w:ascii="Verdana" w:eastAsia="Arial" w:hAnsi="Verdana" w:cs="Arial"/>
          <w:lang w:val="es-MX" w:eastAsia="es-ES_tradnl"/>
        </w:rPr>
        <w:t xml:space="preserve">ha analizado </w:t>
      </w:r>
      <w:r w:rsidRPr="00505CD6">
        <w:rPr>
          <w:rFonts w:ascii="Verdana" w:hAnsi="Verdana" w:cs="Arial"/>
          <w:shd w:val="clear" w:color="auto" w:fill="FFFFFF"/>
          <w:lang w:val="es-ES"/>
        </w:rPr>
        <w:t>el alcance del artículo 5, parágrafo 2, de la Ley 1150 de 2007 en los conceptos C-166 del 13 de abril del 2020, C-589 del 31 de agosto del 2020, C-587 del 31 de agosto de 2020, C-308 del 14 de agosto de 2023, C-291 del 20 de agosto de 2024, C-755 del 27 de noviembre de 2024, entre otros. Es</w:t>
      </w:r>
      <w:r w:rsidRPr="00505CD6">
        <w:rPr>
          <w:rFonts w:ascii="Verdana" w:hAnsi="Verdana"/>
        </w:rPr>
        <w:t>tos y otros conceptos se encuentran disponibles para consulta en el Sistema de relatoría de la Agencia, al cual se puede acceder a través del siguiente enlace:</w:t>
      </w:r>
      <w:r w:rsidRPr="00505CD6">
        <w:rPr>
          <w:rFonts w:ascii="Verdana" w:hAnsi="Verdana" w:cs="Arial"/>
          <w:shd w:val="clear" w:color="auto" w:fill="FFFFFF"/>
          <w:lang w:val="es-ES"/>
        </w:rPr>
        <w:t xml:space="preserve"> </w:t>
      </w:r>
      <w:hyperlink r:id="rId13" w:history="1">
        <w:r w:rsidRPr="00505CD6">
          <w:rPr>
            <w:rFonts w:ascii="Verdana" w:hAnsi="Verdana" w:cs="Arial"/>
            <w:color w:val="0563C1" w:themeColor="hyperlink"/>
            <w:u w:val="single"/>
            <w:shd w:val="clear" w:color="auto" w:fill="FFFFFF"/>
            <w:lang w:val="es-ES"/>
          </w:rPr>
          <w:t>https://relatoria.colombiacompra.gov.co/busqueda/conceptos</w:t>
        </w:r>
      </w:hyperlink>
      <w:r w:rsidRPr="00505CD6">
        <w:rPr>
          <w:rFonts w:ascii="Verdana" w:hAnsi="Verdana" w:cs="Arial"/>
          <w:shd w:val="clear" w:color="auto" w:fill="FFFFFF"/>
          <w:lang w:val="es-ES"/>
        </w:rPr>
        <w:t>.</w:t>
      </w:r>
      <w:r w:rsidRPr="00505CD6">
        <w:rPr>
          <w:rFonts w:ascii="Verdana" w:hAnsi="Verdana" w:cs="Arial"/>
          <w:color w:val="FF0000"/>
          <w:shd w:val="clear" w:color="auto" w:fill="FFFFFF"/>
          <w:lang w:val="es-ES"/>
        </w:rPr>
        <w:t xml:space="preserve"> </w:t>
      </w:r>
      <w:r w:rsidRPr="00505CD6">
        <w:rPr>
          <w:rFonts w:ascii="Verdana" w:hAnsi="Verdana" w:cs="Arial"/>
          <w:color w:val="000000" w:themeColor="text1"/>
          <w:shd w:val="clear" w:color="auto" w:fill="FFFFFF"/>
        </w:rPr>
        <w:t>  </w:t>
      </w:r>
    </w:p>
    <w:p w14:paraId="76502426"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7B87CF85"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4311C20"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B10C661"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D97270C"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4AC1A67D"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21CECEB"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AB9AF3E" w14:textId="77777777" w:rsidR="00505CD6" w:rsidRPr="00505CD6" w:rsidRDefault="00505CD6" w:rsidP="00505CD6">
      <w:pPr>
        <w:widowControl w:val="0"/>
        <w:autoSpaceDE w:val="0"/>
        <w:autoSpaceDN w:val="0"/>
        <w:spacing w:after="0" w:line="276" w:lineRule="auto"/>
        <w:jc w:val="both"/>
        <w:rPr>
          <w:rFonts w:ascii="Verdana" w:eastAsia="Calibri" w:hAnsi="Verdana" w:cs="Arial"/>
          <w:color w:val="000000" w:themeColor="text1"/>
        </w:rPr>
      </w:pPr>
    </w:p>
    <w:p w14:paraId="30849606" w14:textId="77777777" w:rsidR="00505CD6" w:rsidRPr="00505CD6" w:rsidRDefault="00505CD6" w:rsidP="00505CD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 xml:space="preserve">y las </w:t>
      </w:r>
      <w:r w:rsidRPr="00505CD6">
        <w:rPr>
          <w:rFonts w:ascii="Verdana" w:hAnsi="Verdana" w:cs="Arial"/>
          <w:lang w:val="es-ES_tradnl"/>
        </w:rPr>
        <w:lastRenderedPageBreak/>
        <w:t>expresiones aquí utilizadas con mayúscula inicial deben ser entendidas con el significado que les otorga el artículo 2.2.1.1.1.3.1. del Decreto 1082 de 2015.</w:t>
      </w:r>
    </w:p>
    <w:p w14:paraId="697C2D02" w14:textId="77777777" w:rsidR="00505CD6" w:rsidRPr="00505CD6" w:rsidRDefault="00505CD6" w:rsidP="00505CD6">
      <w:pPr>
        <w:widowControl w:val="0"/>
        <w:autoSpaceDE w:val="0"/>
        <w:autoSpaceDN w:val="0"/>
        <w:spacing w:after="0" w:line="276" w:lineRule="auto"/>
        <w:jc w:val="both"/>
        <w:rPr>
          <w:rFonts w:ascii="Verdana" w:hAnsi="Verdana" w:cs="Arial"/>
        </w:rPr>
      </w:pPr>
    </w:p>
    <w:p w14:paraId="5BD794D8" w14:textId="77777777" w:rsidR="00505CD6" w:rsidRPr="00505CD6" w:rsidRDefault="00505CD6" w:rsidP="00505CD6">
      <w:pPr>
        <w:spacing w:after="0" w:line="240" w:lineRule="auto"/>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8760A9E" w14:textId="5603ACF4" w:rsidR="00505CD6" w:rsidRPr="00505CD6" w:rsidRDefault="00911BD1" w:rsidP="00505CD6">
      <w:pPr>
        <w:spacing w:line="276" w:lineRule="auto"/>
        <w:jc w:val="center"/>
        <w:rPr>
          <w:rFonts w:ascii="Verdana" w:hAnsi="Verdana" w:cs="Arial"/>
          <w:color w:val="000000"/>
          <w:lang w:val="es-ES_tradnl" w:eastAsia="es-CO"/>
        </w:rPr>
      </w:pPr>
      <w:r>
        <w:rPr>
          <w:noProof/>
        </w:rPr>
        <w:drawing>
          <wp:inline distT="0" distB="0" distL="0" distR="0" wp14:anchorId="660EF636" wp14:editId="67087332">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5CD6" w:rsidRPr="00505CD6" w14:paraId="6AD22D8F" w14:textId="77777777" w:rsidTr="006C5D8A">
        <w:trPr>
          <w:trHeight w:val="315"/>
        </w:trPr>
        <w:tc>
          <w:tcPr>
            <w:tcW w:w="893" w:type="dxa"/>
            <w:vAlign w:val="center"/>
            <w:hideMark/>
          </w:tcPr>
          <w:p w14:paraId="63823BAB"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37FB18" w14:textId="77777777" w:rsidR="00505CD6" w:rsidRPr="00505CD6" w:rsidRDefault="00505CD6" w:rsidP="00505CD6">
            <w:pPr>
              <w:contextualSpacing/>
              <w:rPr>
                <w:rFonts w:ascii="Verdana" w:hAnsi="Verdana"/>
                <w:sz w:val="16"/>
                <w:szCs w:val="16"/>
              </w:rPr>
            </w:pPr>
            <w:r w:rsidRPr="00505CD6">
              <w:rPr>
                <w:rFonts w:ascii="Verdana" w:hAnsi="Verdana"/>
                <w:sz w:val="16"/>
                <w:szCs w:val="16"/>
              </w:rPr>
              <w:t>Tatiana Baquero Iguarán</w:t>
            </w:r>
          </w:p>
          <w:p w14:paraId="7CA897BD" w14:textId="77777777" w:rsidR="00505CD6" w:rsidRPr="00505CD6" w:rsidRDefault="00505CD6" w:rsidP="00505CD6">
            <w:pPr>
              <w:contextualSpacing/>
              <w:rPr>
                <w:rFonts w:ascii="Verdana" w:eastAsia="Arial" w:hAnsi="Verdana" w:cs="Arial"/>
                <w:sz w:val="16"/>
                <w:szCs w:val="16"/>
              </w:rPr>
            </w:pPr>
            <w:r w:rsidRPr="00505CD6">
              <w:rPr>
                <w:rFonts w:ascii="Verdana" w:hAnsi="Verdana"/>
                <w:sz w:val="16"/>
                <w:szCs w:val="16"/>
              </w:rPr>
              <w:t>Contratista de la Subdirección de Gestión Contractual</w:t>
            </w:r>
          </w:p>
        </w:tc>
      </w:tr>
      <w:tr w:rsidR="00505CD6" w:rsidRPr="00505CD6" w14:paraId="1F8F07BE" w14:textId="77777777" w:rsidTr="006C5D8A">
        <w:trPr>
          <w:trHeight w:val="330"/>
        </w:trPr>
        <w:tc>
          <w:tcPr>
            <w:tcW w:w="893" w:type="dxa"/>
            <w:vAlign w:val="center"/>
            <w:hideMark/>
          </w:tcPr>
          <w:p w14:paraId="1C2AC98D"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082F0C7" w14:textId="77777777" w:rsidR="00505CD6" w:rsidRPr="00505CD6" w:rsidRDefault="00505CD6" w:rsidP="00505CD6">
            <w:pPr>
              <w:spacing w:before="100" w:beforeAutospacing="1" w:afterAutospacing="1"/>
              <w:contextualSpacing/>
              <w:textAlignment w:val="baseline"/>
              <w:rPr>
                <w:rFonts w:ascii="Verdana" w:eastAsia="Times New Roman" w:hAnsi="Verdana" w:cs="Arial"/>
                <w:sz w:val="16"/>
                <w:szCs w:val="16"/>
                <w:lang w:val="es-ES" w:eastAsia="es-ES_tradnl"/>
              </w:rPr>
            </w:pPr>
            <w:r w:rsidRPr="00505CD6">
              <w:rPr>
                <w:rFonts w:ascii="Verdana" w:eastAsia="Times New Roman" w:hAnsi="Verdana" w:cs="Arial"/>
                <w:sz w:val="16"/>
                <w:szCs w:val="16"/>
                <w:lang w:val="es-ES" w:eastAsia="es-ES_tradnl"/>
              </w:rPr>
              <w:t>Alejandro Sarmiento Cantillo</w:t>
            </w:r>
          </w:p>
          <w:p w14:paraId="2A5BD1DE" w14:textId="77777777" w:rsidR="00505CD6" w:rsidRPr="00505CD6" w:rsidRDefault="00505CD6" w:rsidP="00505CD6">
            <w:pPr>
              <w:contextualSpacing/>
              <w:textAlignment w:val="baseline"/>
              <w:rPr>
                <w:rFonts w:ascii="Verdana" w:eastAsia="Times New Roman" w:hAnsi="Verdana" w:cs="Segoe UI"/>
                <w:sz w:val="16"/>
                <w:szCs w:val="16"/>
                <w:lang w:eastAsia="es-ES_tradnl"/>
              </w:rPr>
            </w:pPr>
            <w:r w:rsidRPr="00505CD6">
              <w:rPr>
                <w:rFonts w:ascii="Verdana" w:eastAsia="Times New Roman" w:hAnsi="Verdana" w:cs="Arial"/>
                <w:sz w:val="16"/>
                <w:szCs w:val="16"/>
                <w:lang w:val="es-ES" w:eastAsia="es-ES_tradnl"/>
              </w:rPr>
              <w:t>Gestor T1 ‒ 15 de la Subdirección de Gestión Contractual</w:t>
            </w:r>
            <w:r w:rsidRPr="00505CD6">
              <w:rPr>
                <w:rFonts w:ascii="Verdana" w:eastAsia="Times New Roman" w:hAnsi="Verdana" w:cs="Arial"/>
                <w:sz w:val="16"/>
                <w:szCs w:val="16"/>
                <w:lang w:eastAsia="es-ES_tradnl"/>
              </w:rPr>
              <w:t> </w:t>
            </w:r>
          </w:p>
        </w:tc>
      </w:tr>
      <w:tr w:rsidR="00505CD6" w:rsidRPr="00505CD6" w14:paraId="0C71EA4D" w14:textId="77777777" w:rsidTr="006C5D8A">
        <w:trPr>
          <w:trHeight w:val="300"/>
        </w:trPr>
        <w:tc>
          <w:tcPr>
            <w:tcW w:w="893" w:type="dxa"/>
            <w:vAlign w:val="center"/>
          </w:tcPr>
          <w:p w14:paraId="4D28D28C"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222C7D" w14:textId="77777777"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val="pt-BR" w:eastAsia="es-ES"/>
              </w:rPr>
              <w:t xml:space="preserve">Carolina Quintero </w:t>
            </w:r>
            <w:proofErr w:type="spellStart"/>
            <w:r w:rsidRPr="00505CD6">
              <w:rPr>
                <w:rFonts w:ascii="Verdana" w:eastAsia="Calibri" w:hAnsi="Verdana" w:cs="Arial"/>
                <w:sz w:val="16"/>
                <w:szCs w:val="16"/>
                <w:lang w:val="pt-BR" w:eastAsia="es-ES"/>
              </w:rPr>
              <w:t>Gacharná</w:t>
            </w:r>
            <w:proofErr w:type="spellEnd"/>
          </w:p>
          <w:p w14:paraId="641172E7" w14:textId="77777777"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eastAsia="es-ES"/>
              </w:rPr>
              <w:t>Subdirectora</w:t>
            </w:r>
            <w:r w:rsidRPr="00505CD6">
              <w:rPr>
                <w:rFonts w:ascii="Verdana" w:eastAsia="Calibri" w:hAnsi="Verdana" w:cs="Arial"/>
                <w:sz w:val="16"/>
                <w:szCs w:val="16"/>
                <w:lang w:val="pt-BR" w:eastAsia="es-ES"/>
              </w:rPr>
              <w:t xml:space="preserve"> de Gestión </w:t>
            </w:r>
            <w:proofErr w:type="spellStart"/>
            <w:r w:rsidRPr="00505CD6">
              <w:rPr>
                <w:rFonts w:ascii="Verdana" w:eastAsia="Calibri" w:hAnsi="Verdana" w:cs="Arial"/>
                <w:sz w:val="16"/>
                <w:szCs w:val="16"/>
                <w:lang w:val="pt-BR" w:eastAsia="es-ES"/>
              </w:rPr>
              <w:t>Contractual</w:t>
            </w:r>
            <w:proofErr w:type="spellEnd"/>
            <w:r w:rsidRPr="00505CD6">
              <w:rPr>
                <w:rFonts w:ascii="Verdana" w:eastAsia="Calibri" w:hAnsi="Verdana" w:cs="Arial"/>
                <w:sz w:val="16"/>
                <w:szCs w:val="16"/>
                <w:lang w:val="pt-BR" w:eastAsia="es-ES"/>
              </w:rPr>
              <w:t xml:space="preserve"> ANCP – CCE</w:t>
            </w:r>
          </w:p>
        </w:tc>
      </w:tr>
    </w:tbl>
    <w:p w14:paraId="09365269" w14:textId="77777777" w:rsidR="00505CD6" w:rsidRPr="00505CD6" w:rsidRDefault="00505CD6" w:rsidP="00505CD6">
      <w:pPr>
        <w:spacing w:after="0" w:line="240" w:lineRule="auto"/>
        <w:rPr>
          <w:rFonts w:ascii="Verdana" w:eastAsia="Times New Roman" w:hAnsi="Verdana" w:cs="Arial"/>
          <w:sz w:val="24"/>
          <w:szCs w:val="24"/>
          <w:lang w:eastAsia="es-ES"/>
        </w:rPr>
      </w:pPr>
    </w:p>
    <w:p w14:paraId="04042FBC" w14:textId="77777777" w:rsidR="00505CD6" w:rsidRPr="00505CD6" w:rsidRDefault="00505CD6" w:rsidP="00505CD6"/>
    <w:p w14:paraId="2FA7EB82" w14:textId="77777777" w:rsidR="00505CD6" w:rsidRPr="00505CD6" w:rsidRDefault="00505CD6" w:rsidP="00505CD6">
      <w:pPr>
        <w:spacing w:after="0" w:line="240" w:lineRule="auto"/>
        <w:rPr>
          <w:rFonts w:ascii="Verdana" w:hAnsi="Verdana" w:cs="Arial"/>
          <w:b/>
          <w:color w:val="000000" w:themeColor="text1"/>
          <w:sz w:val="20"/>
          <w:szCs w:val="20"/>
        </w:rPr>
      </w:pPr>
    </w:p>
    <w:bookmarkEnd w:id="0"/>
    <w:p w14:paraId="58029425" w14:textId="77777777" w:rsidR="00505CD6" w:rsidRPr="00505CD6" w:rsidRDefault="00505CD6" w:rsidP="00505CD6">
      <w:pPr>
        <w:spacing w:after="0" w:line="240" w:lineRule="auto"/>
        <w:rPr>
          <w:rFonts w:ascii="Verdana" w:hAnsi="Verdana" w:cs="Arial"/>
          <w:b/>
          <w:color w:val="000000" w:themeColor="text1"/>
          <w:sz w:val="20"/>
          <w:szCs w:val="20"/>
        </w:rPr>
      </w:pPr>
    </w:p>
    <w:p w14:paraId="75FA38F0" w14:textId="77777777" w:rsidR="00505CD6" w:rsidRPr="00505CD6" w:rsidRDefault="00505CD6" w:rsidP="00505CD6"/>
    <w:p w14:paraId="3F05C762" w14:textId="77777777" w:rsidR="007875D7" w:rsidRPr="00505CD6" w:rsidRDefault="007875D7" w:rsidP="00505CD6"/>
    <w:sectPr w:rsidR="007875D7" w:rsidRPr="00505CD6"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F0ED3" w14:textId="77777777" w:rsidR="003F7554" w:rsidRDefault="003F7554" w:rsidP="00B30448">
      <w:pPr>
        <w:spacing w:after="0" w:line="240" w:lineRule="auto"/>
      </w:pPr>
      <w:r>
        <w:separator/>
      </w:r>
    </w:p>
  </w:endnote>
  <w:endnote w:type="continuationSeparator" w:id="0">
    <w:p w14:paraId="49921EEA" w14:textId="77777777" w:rsidR="003F7554" w:rsidRDefault="003F7554" w:rsidP="00B30448">
      <w:pPr>
        <w:spacing w:after="0" w:line="240" w:lineRule="auto"/>
      </w:pPr>
      <w:r>
        <w:continuationSeparator/>
      </w:r>
    </w:p>
  </w:endnote>
  <w:endnote w:type="continuationNotice" w:id="1">
    <w:p w14:paraId="1D287268" w14:textId="77777777" w:rsidR="003F7554" w:rsidRDefault="003F75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D5B2" w14:textId="77777777" w:rsidR="003F7554" w:rsidRDefault="003F7554" w:rsidP="00B30448">
      <w:pPr>
        <w:spacing w:after="0" w:line="240" w:lineRule="auto"/>
      </w:pPr>
      <w:r>
        <w:separator/>
      </w:r>
    </w:p>
  </w:footnote>
  <w:footnote w:type="continuationSeparator" w:id="0">
    <w:p w14:paraId="1B2285A4" w14:textId="77777777" w:rsidR="003F7554" w:rsidRDefault="003F7554" w:rsidP="00B30448">
      <w:pPr>
        <w:spacing w:after="0" w:line="240" w:lineRule="auto"/>
      </w:pPr>
      <w:r>
        <w:continuationSeparator/>
      </w:r>
    </w:p>
  </w:footnote>
  <w:footnote w:type="continuationNotice" w:id="1">
    <w:p w14:paraId="060A5BC7" w14:textId="77777777" w:rsidR="003F7554" w:rsidRDefault="003F7554">
      <w:pPr>
        <w:spacing w:after="0" w:line="240" w:lineRule="auto"/>
      </w:pPr>
    </w:p>
  </w:footnote>
  <w:footnote w:id="2">
    <w:p w14:paraId="2BF8A442" w14:textId="77777777" w:rsidR="00505CD6" w:rsidRPr="007F45DF" w:rsidRDefault="00505CD6" w:rsidP="00505CD6">
      <w:pPr>
        <w:spacing w:after="0" w:line="240" w:lineRule="auto"/>
        <w:ind w:firstLine="709"/>
        <w:jc w:val="both"/>
        <w:rPr>
          <w:rFonts w:ascii="Verdana" w:eastAsia="Arial" w:hAnsi="Verdana" w:cs="Arial"/>
          <w:color w:val="000000"/>
          <w:sz w:val="16"/>
          <w:szCs w:val="16"/>
        </w:rPr>
      </w:pPr>
      <w:r w:rsidRPr="007F45DF">
        <w:rPr>
          <w:rFonts w:ascii="Verdana" w:hAnsi="Verdana" w:cs="Arial"/>
          <w:sz w:val="16"/>
          <w:szCs w:val="16"/>
          <w:vertAlign w:val="superscript"/>
        </w:rPr>
        <w:footnoteRef/>
      </w:r>
      <w:r w:rsidRPr="007F45DF">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7CC2387D" w14:textId="77777777" w:rsidR="00505CD6" w:rsidRDefault="00505CD6" w:rsidP="00505CD6">
      <w:pPr>
        <w:spacing w:after="0" w:line="240" w:lineRule="auto"/>
        <w:ind w:firstLine="709"/>
        <w:jc w:val="both"/>
        <w:rPr>
          <w:rFonts w:ascii="Verdana" w:eastAsia="Arial" w:hAnsi="Verdana" w:cs="Arial"/>
          <w:color w:val="000000"/>
          <w:sz w:val="16"/>
          <w:szCs w:val="16"/>
        </w:rPr>
      </w:pPr>
      <w:r w:rsidRPr="007F45DF">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41FDFC4F" w14:textId="77777777" w:rsidR="00505CD6" w:rsidRPr="007F45DF" w:rsidRDefault="00505CD6" w:rsidP="00505CD6">
      <w:pPr>
        <w:spacing w:after="0" w:line="240" w:lineRule="auto"/>
        <w:ind w:firstLine="709"/>
        <w:jc w:val="both"/>
        <w:rPr>
          <w:rFonts w:ascii="Verdana" w:eastAsia="Arial" w:hAnsi="Verdana" w:cs="Arial"/>
          <w:color w:val="000000"/>
          <w:sz w:val="16"/>
          <w:szCs w:val="16"/>
        </w:rPr>
      </w:pPr>
      <w:r w:rsidRPr="007F45DF">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47C547ED" w14:textId="77777777" w:rsidR="00505CD6" w:rsidRPr="007F45DF" w:rsidRDefault="00505CD6" w:rsidP="00505CD6">
      <w:pPr>
        <w:spacing w:after="0" w:line="240" w:lineRule="auto"/>
        <w:ind w:firstLine="709"/>
        <w:jc w:val="both"/>
        <w:rPr>
          <w:rFonts w:ascii="Verdana" w:eastAsia="Arial" w:hAnsi="Verdana" w:cs="Arial"/>
          <w:color w:val="000000"/>
          <w:sz w:val="16"/>
          <w:szCs w:val="16"/>
        </w:rPr>
      </w:pPr>
      <w:r w:rsidRPr="007F45DF">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6653825" w14:textId="77777777" w:rsidR="00505CD6" w:rsidRPr="007F45DF" w:rsidRDefault="00505CD6" w:rsidP="00505CD6">
      <w:pPr>
        <w:spacing w:after="0" w:line="240" w:lineRule="auto"/>
        <w:ind w:firstLine="709"/>
        <w:jc w:val="both"/>
        <w:rPr>
          <w:rFonts w:ascii="Verdana" w:eastAsia="Arial" w:hAnsi="Verdana" w:cs="Arial"/>
          <w:color w:val="000000"/>
          <w:sz w:val="16"/>
          <w:szCs w:val="16"/>
        </w:rPr>
      </w:pPr>
      <w:r w:rsidRPr="007F45DF">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3">
    <w:p w14:paraId="2427D69C" w14:textId="77777777" w:rsidR="00505CD6" w:rsidRPr="007F45DF" w:rsidRDefault="00505CD6" w:rsidP="00505CD6">
      <w:pPr>
        <w:spacing w:after="0" w:line="240" w:lineRule="auto"/>
        <w:ind w:firstLine="708"/>
        <w:jc w:val="both"/>
        <w:rPr>
          <w:rFonts w:ascii="Verdana" w:eastAsia="Arial" w:hAnsi="Verdana" w:cs="Arial"/>
          <w:color w:val="000000"/>
          <w:sz w:val="16"/>
          <w:szCs w:val="16"/>
        </w:rPr>
      </w:pPr>
      <w:r w:rsidRPr="007F45DF">
        <w:rPr>
          <w:rFonts w:ascii="Verdana" w:hAnsi="Verdana" w:cs="Arial"/>
          <w:sz w:val="16"/>
          <w:szCs w:val="16"/>
          <w:vertAlign w:val="superscript"/>
        </w:rPr>
        <w:footnoteRef/>
      </w:r>
      <w:r w:rsidRPr="007F45DF">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4">
    <w:p w14:paraId="2760D931" w14:textId="77777777" w:rsidR="00505CD6" w:rsidRPr="007F45DF" w:rsidRDefault="00505CD6" w:rsidP="00505CD6">
      <w:pPr>
        <w:spacing w:after="0" w:line="240" w:lineRule="auto"/>
        <w:ind w:firstLine="708"/>
        <w:jc w:val="both"/>
        <w:rPr>
          <w:rFonts w:ascii="Verdana" w:eastAsia="Arial" w:hAnsi="Verdana" w:cs="Arial"/>
          <w:color w:val="000000"/>
          <w:sz w:val="16"/>
          <w:szCs w:val="16"/>
        </w:rPr>
      </w:pPr>
      <w:r w:rsidRPr="007F45DF">
        <w:rPr>
          <w:rFonts w:ascii="Verdana" w:hAnsi="Verdana" w:cs="Arial"/>
          <w:sz w:val="16"/>
          <w:szCs w:val="16"/>
          <w:vertAlign w:val="superscript"/>
        </w:rPr>
        <w:footnoteRef/>
      </w:r>
      <w:r w:rsidRPr="007F45DF">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p w14:paraId="49790152" w14:textId="77777777" w:rsidR="00505CD6" w:rsidRPr="007F45DF" w:rsidRDefault="00505CD6" w:rsidP="00505CD6">
      <w:pPr>
        <w:spacing w:after="0" w:line="240" w:lineRule="auto"/>
        <w:ind w:firstLine="708"/>
        <w:jc w:val="both"/>
        <w:rPr>
          <w:rFonts w:ascii="Verdana" w:eastAsia="Arial" w:hAnsi="Verdana" w:cs="Arial"/>
          <w:color w:val="000000"/>
          <w:sz w:val="16"/>
          <w:szCs w:val="16"/>
        </w:rPr>
      </w:pPr>
    </w:p>
  </w:footnote>
  <w:footnote w:id="5">
    <w:p w14:paraId="42347C6F" w14:textId="77777777" w:rsidR="00505CD6" w:rsidRPr="007F45DF" w:rsidRDefault="00505CD6" w:rsidP="00505CD6">
      <w:pPr>
        <w:spacing w:after="0" w:line="240" w:lineRule="auto"/>
        <w:ind w:firstLine="708"/>
        <w:jc w:val="both"/>
        <w:rPr>
          <w:rFonts w:ascii="Verdana" w:eastAsia="Arial" w:hAnsi="Verdana" w:cs="Arial"/>
          <w:color w:val="000000"/>
          <w:sz w:val="16"/>
          <w:szCs w:val="16"/>
        </w:rPr>
      </w:pPr>
      <w:r w:rsidRPr="007F45DF">
        <w:rPr>
          <w:rFonts w:ascii="Verdana" w:hAnsi="Verdana" w:cs="Arial"/>
          <w:sz w:val="16"/>
          <w:szCs w:val="16"/>
          <w:vertAlign w:val="superscript"/>
        </w:rPr>
        <w:footnoteRef/>
      </w:r>
      <w:r w:rsidRPr="007F45DF">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6">
    <w:p w14:paraId="72967966" w14:textId="77777777" w:rsidR="00505CD6" w:rsidRPr="007F45DF" w:rsidRDefault="00505CD6" w:rsidP="00505CD6">
      <w:pPr>
        <w:pStyle w:val="Textonotapie"/>
        <w:ind w:firstLine="709"/>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w:t>
      </w:r>
      <w:r w:rsidRPr="007F45DF">
        <w:rPr>
          <w:rFonts w:ascii="Verdana" w:hAnsi="Verdana" w:cs="Arial"/>
          <w:sz w:val="16"/>
          <w:szCs w:val="16"/>
        </w:rPr>
        <w:t>Gaceta 096 de 2007. Disponible en</w:t>
      </w:r>
      <w:r>
        <w:rPr>
          <w:rFonts w:ascii="Verdana" w:hAnsi="Verdana" w:cs="Arial"/>
          <w:sz w:val="16"/>
          <w:szCs w:val="16"/>
        </w:rPr>
        <w:t>:</w:t>
      </w:r>
      <w:r w:rsidRPr="005B3AC8">
        <w:t xml:space="preserve"> </w:t>
      </w:r>
      <w:hyperlink r:id="rId1" w:history="1">
        <w:r w:rsidRPr="00646601">
          <w:rPr>
            <w:rStyle w:val="Hipervnculo"/>
            <w:rFonts w:ascii="Verdana" w:hAnsi="Verdana" w:cs="Arial"/>
            <w:sz w:val="16"/>
            <w:szCs w:val="16"/>
          </w:rPr>
          <w:t>https://svrpubindc.imprenta.gov.co/senado/</w:t>
        </w:r>
      </w:hyperlink>
      <w:r>
        <w:rPr>
          <w:rFonts w:ascii="Verdana" w:hAnsi="Verdana" w:cs="Arial"/>
          <w:sz w:val="16"/>
          <w:szCs w:val="16"/>
        </w:rPr>
        <w:t xml:space="preserve"> </w:t>
      </w:r>
    </w:p>
  </w:footnote>
  <w:footnote w:id="7">
    <w:p w14:paraId="11BC3E69" w14:textId="77777777" w:rsidR="00505CD6" w:rsidRPr="007F45DF" w:rsidRDefault="00505CD6" w:rsidP="00505CD6">
      <w:pPr>
        <w:pStyle w:val="Textonotapie"/>
        <w:ind w:firstLine="709"/>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w:t>
      </w:r>
      <w:r w:rsidRPr="007F45DF">
        <w:rPr>
          <w:rFonts w:ascii="Verdana" w:hAnsi="Verdana"/>
          <w:sz w:val="16"/>
          <w:szCs w:val="16"/>
          <w:lang w:val="es-CO"/>
        </w:rPr>
        <w:t>Corte Constitucional. Sentencia C-942 del 1 de octubre de 2008. M.P: Manuel José Cepeda</w:t>
      </w:r>
    </w:p>
  </w:footnote>
  <w:footnote w:id="8">
    <w:p w14:paraId="7DB2FB76" w14:textId="77777777" w:rsidR="00505CD6" w:rsidRPr="007F45DF" w:rsidRDefault="00505CD6" w:rsidP="00505CD6">
      <w:pPr>
        <w:pStyle w:val="Textonotapie"/>
        <w:ind w:firstLine="709"/>
        <w:jc w:val="both"/>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El Instituto Colombiano de Normas Técnicas y Certificación, ICONTEC, es el organismo nacional de normalización, según el Decreto 2269 de 1993.</w:t>
      </w:r>
    </w:p>
  </w:footnote>
  <w:footnote w:id="9">
    <w:p w14:paraId="5665DC58" w14:textId="77777777" w:rsidR="00505CD6" w:rsidRPr="007F45DF" w:rsidRDefault="00505CD6" w:rsidP="00505CD6">
      <w:pPr>
        <w:pStyle w:val="Textonotapie"/>
        <w:ind w:firstLine="709"/>
        <w:rPr>
          <w:rFonts w:ascii="Verdana" w:hAnsi="Verdana"/>
          <w:sz w:val="16"/>
          <w:szCs w:val="16"/>
          <w:lang w:val="es-CO"/>
        </w:rPr>
      </w:pPr>
      <w:r w:rsidRPr="007F45DF">
        <w:rPr>
          <w:rStyle w:val="Refdenotaalpie"/>
          <w:rFonts w:ascii="Verdana" w:hAnsi="Verdana"/>
          <w:sz w:val="16"/>
          <w:szCs w:val="16"/>
        </w:rPr>
        <w:footnoteRef/>
      </w:r>
      <w:r w:rsidRPr="007F45DF">
        <w:rPr>
          <w:rFonts w:ascii="Verdana" w:hAnsi="Verdana"/>
          <w:sz w:val="16"/>
          <w:szCs w:val="16"/>
        </w:rPr>
        <w:t xml:space="preserve"> </w:t>
      </w:r>
      <w:hyperlink r:id="rId2" w:history="1">
        <w:r w:rsidRPr="007F45DF">
          <w:rPr>
            <w:rStyle w:val="Hipervnculo"/>
            <w:rFonts w:ascii="Verdana" w:hAnsi="Verdana"/>
            <w:sz w:val="16"/>
            <w:szCs w:val="16"/>
          </w:rPr>
          <w:t>https://www.icontec.org/eval_conformidad/certificacion-iso-9001-sistema-de-gestion-de-calidad/</w:t>
        </w:r>
      </w:hyperlink>
      <w:r w:rsidRPr="007F45DF">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2"/>
  </w:num>
  <w:num w:numId="3" w16cid:durableId="679089576">
    <w:abstractNumId w:val="3"/>
  </w:num>
  <w:num w:numId="4" w16cid:durableId="893472101">
    <w:abstractNumId w:val="1"/>
  </w:num>
  <w:num w:numId="5" w16cid:durableId="1982299905">
    <w:abstractNumId w:val="6"/>
  </w:num>
  <w:num w:numId="6" w16cid:durableId="130758360">
    <w:abstractNumId w:val="4"/>
  </w:num>
  <w:num w:numId="7" w16cid:durableId="262541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62C0"/>
    <w:rsid w:val="00076C2B"/>
    <w:rsid w:val="00076F81"/>
    <w:rsid w:val="00084BFD"/>
    <w:rsid w:val="00087073"/>
    <w:rsid w:val="000878E7"/>
    <w:rsid w:val="00087C01"/>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413A"/>
    <w:rsid w:val="000A66A1"/>
    <w:rsid w:val="000A69FB"/>
    <w:rsid w:val="000B1087"/>
    <w:rsid w:val="000B199A"/>
    <w:rsid w:val="000B1FF7"/>
    <w:rsid w:val="000B2529"/>
    <w:rsid w:val="000B2B7C"/>
    <w:rsid w:val="000B381D"/>
    <w:rsid w:val="000B4024"/>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F50"/>
    <w:rsid w:val="00184BD9"/>
    <w:rsid w:val="00184ED6"/>
    <w:rsid w:val="00184F13"/>
    <w:rsid w:val="00184FD9"/>
    <w:rsid w:val="00186037"/>
    <w:rsid w:val="00186D14"/>
    <w:rsid w:val="001876D8"/>
    <w:rsid w:val="00190325"/>
    <w:rsid w:val="00190391"/>
    <w:rsid w:val="00191593"/>
    <w:rsid w:val="001918F1"/>
    <w:rsid w:val="0019196E"/>
    <w:rsid w:val="00191FF5"/>
    <w:rsid w:val="001926D7"/>
    <w:rsid w:val="00192CCE"/>
    <w:rsid w:val="0019385B"/>
    <w:rsid w:val="00193F1C"/>
    <w:rsid w:val="001948F5"/>
    <w:rsid w:val="00194958"/>
    <w:rsid w:val="00197205"/>
    <w:rsid w:val="00197A9D"/>
    <w:rsid w:val="001A1FDD"/>
    <w:rsid w:val="001A2D8F"/>
    <w:rsid w:val="001A3D89"/>
    <w:rsid w:val="001A545B"/>
    <w:rsid w:val="001A54DA"/>
    <w:rsid w:val="001A6861"/>
    <w:rsid w:val="001B143B"/>
    <w:rsid w:val="001B1777"/>
    <w:rsid w:val="001B19C5"/>
    <w:rsid w:val="001B1B6D"/>
    <w:rsid w:val="001B1C93"/>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649"/>
    <w:rsid w:val="001F3496"/>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897"/>
    <w:rsid w:val="0021386A"/>
    <w:rsid w:val="00213C44"/>
    <w:rsid w:val="002147EE"/>
    <w:rsid w:val="00215516"/>
    <w:rsid w:val="002159D5"/>
    <w:rsid w:val="00216DF5"/>
    <w:rsid w:val="00216EFA"/>
    <w:rsid w:val="0021798E"/>
    <w:rsid w:val="00217CA1"/>
    <w:rsid w:val="00217DEE"/>
    <w:rsid w:val="002203BF"/>
    <w:rsid w:val="00220C4C"/>
    <w:rsid w:val="002217FE"/>
    <w:rsid w:val="0022180C"/>
    <w:rsid w:val="00221C72"/>
    <w:rsid w:val="002225AB"/>
    <w:rsid w:val="002250D1"/>
    <w:rsid w:val="002267D2"/>
    <w:rsid w:val="00230839"/>
    <w:rsid w:val="00231ADB"/>
    <w:rsid w:val="00232178"/>
    <w:rsid w:val="00232248"/>
    <w:rsid w:val="00232D12"/>
    <w:rsid w:val="002353E3"/>
    <w:rsid w:val="00235F30"/>
    <w:rsid w:val="00236287"/>
    <w:rsid w:val="002363FF"/>
    <w:rsid w:val="00236D10"/>
    <w:rsid w:val="002407CE"/>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2787"/>
    <w:rsid w:val="00272826"/>
    <w:rsid w:val="00272A7B"/>
    <w:rsid w:val="00272C44"/>
    <w:rsid w:val="00273527"/>
    <w:rsid w:val="00273F6B"/>
    <w:rsid w:val="002747EF"/>
    <w:rsid w:val="00274B06"/>
    <w:rsid w:val="002754D3"/>
    <w:rsid w:val="00276944"/>
    <w:rsid w:val="002769AE"/>
    <w:rsid w:val="002817A6"/>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A0444"/>
    <w:rsid w:val="002A0F8D"/>
    <w:rsid w:val="002A1377"/>
    <w:rsid w:val="002A264B"/>
    <w:rsid w:val="002A4A82"/>
    <w:rsid w:val="002A4B33"/>
    <w:rsid w:val="002A5311"/>
    <w:rsid w:val="002B05D1"/>
    <w:rsid w:val="002B1933"/>
    <w:rsid w:val="002B20BD"/>
    <w:rsid w:val="002B3A46"/>
    <w:rsid w:val="002B3F1C"/>
    <w:rsid w:val="002B4ED9"/>
    <w:rsid w:val="002B4EF4"/>
    <w:rsid w:val="002B58C5"/>
    <w:rsid w:val="002B6CA2"/>
    <w:rsid w:val="002B6E44"/>
    <w:rsid w:val="002B6E8A"/>
    <w:rsid w:val="002B726F"/>
    <w:rsid w:val="002B744E"/>
    <w:rsid w:val="002C000B"/>
    <w:rsid w:val="002C09A8"/>
    <w:rsid w:val="002C103C"/>
    <w:rsid w:val="002C12C7"/>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717C"/>
    <w:rsid w:val="002E7533"/>
    <w:rsid w:val="002E7A61"/>
    <w:rsid w:val="002F00B8"/>
    <w:rsid w:val="002F0106"/>
    <w:rsid w:val="002F03C8"/>
    <w:rsid w:val="002F188D"/>
    <w:rsid w:val="002F18A5"/>
    <w:rsid w:val="002F317F"/>
    <w:rsid w:val="002F5E95"/>
    <w:rsid w:val="002F63CA"/>
    <w:rsid w:val="002F67B4"/>
    <w:rsid w:val="002F6F73"/>
    <w:rsid w:val="002F7AA9"/>
    <w:rsid w:val="003004E3"/>
    <w:rsid w:val="00301C0D"/>
    <w:rsid w:val="00301D7B"/>
    <w:rsid w:val="00301E19"/>
    <w:rsid w:val="00304676"/>
    <w:rsid w:val="00306BE7"/>
    <w:rsid w:val="00311B66"/>
    <w:rsid w:val="00314036"/>
    <w:rsid w:val="00314347"/>
    <w:rsid w:val="00314C4F"/>
    <w:rsid w:val="00314FAF"/>
    <w:rsid w:val="003162A5"/>
    <w:rsid w:val="00316591"/>
    <w:rsid w:val="00320C6D"/>
    <w:rsid w:val="003213A8"/>
    <w:rsid w:val="00321FA8"/>
    <w:rsid w:val="00321FFD"/>
    <w:rsid w:val="00322E18"/>
    <w:rsid w:val="00323C3D"/>
    <w:rsid w:val="00323D1D"/>
    <w:rsid w:val="00323F8A"/>
    <w:rsid w:val="00324D73"/>
    <w:rsid w:val="00326011"/>
    <w:rsid w:val="00327069"/>
    <w:rsid w:val="00327812"/>
    <w:rsid w:val="00327AFB"/>
    <w:rsid w:val="00327BAF"/>
    <w:rsid w:val="00327D10"/>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4405"/>
    <w:rsid w:val="00355A76"/>
    <w:rsid w:val="0035635F"/>
    <w:rsid w:val="003607EE"/>
    <w:rsid w:val="00360BC8"/>
    <w:rsid w:val="003617AE"/>
    <w:rsid w:val="0036215C"/>
    <w:rsid w:val="003630F7"/>
    <w:rsid w:val="00363589"/>
    <w:rsid w:val="00363636"/>
    <w:rsid w:val="003651AC"/>
    <w:rsid w:val="00366120"/>
    <w:rsid w:val="003661FF"/>
    <w:rsid w:val="00366A0C"/>
    <w:rsid w:val="00367462"/>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AA1"/>
    <w:rsid w:val="0039082A"/>
    <w:rsid w:val="0039101F"/>
    <w:rsid w:val="00392EDB"/>
    <w:rsid w:val="003931AA"/>
    <w:rsid w:val="00393EEE"/>
    <w:rsid w:val="00395132"/>
    <w:rsid w:val="00395D99"/>
    <w:rsid w:val="003968DF"/>
    <w:rsid w:val="00397A64"/>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503A"/>
    <w:rsid w:val="003D71A6"/>
    <w:rsid w:val="003D7709"/>
    <w:rsid w:val="003E0BAF"/>
    <w:rsid w:val="003E0E25"/>
    <w:rsid w:val="003E1409"/>
    <w:rsid w:val="003E16F2"/>
    <w:rsid w:val="003E78A9"/>
    <w:rsid w:val="003E7912"/>
    <w:rsid w:val="003F04E6"/>
    <w:rsid w:val="003F2CDD"/>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567A"/>
    <w:rsid w:val="00415BCF"/>
    <w:rsid w:val="00416297"/>
    <w:rsid w:val="00417083"/>
    <w:rsid w:val="0042057C"/>
    <w:rsid w:val="00421608"/>
    <w:rsid w:val="00421C23"/>
    <w:rsid w:val="0042261E"/>
    <w:rsid w:val="00422749"/>
    <w:rsid w:val="004233DC"/>
    <w:rsid w:val="00425763"/>
    <w:rsid w:val="004306AB"/>
    <w:rsid w:val="0043159D"/>
    <w:rsid w:val="0043171D"/>
    <w:rsid w:val="00432F78"/>
    <w:rsid w:val="004334A2"/>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BC1"/>
    <w:rsid w:val="00477459"/>
    <w:rsid w:val="00477CC9"/>
    <w:rsid w:val="0048026E"/>
    <w:rsid w:val="00480303"/>
    <w:rsid w:val="004807A9"/>
    <w:rsid w:val="00481318"/>
    <w:rsid w:val="004813EE"/>
    <w:rsid w:val="00482CDC"/>
    <w:rsid w:val="00483B03"/>
    <w:rsid w:val="0048444C"/>
    <w:rsid w:val="00485702"/>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7BDE"/>
    <w:rsid w:val="004D0090"/>
    <w:rsid w:val="004D020F"/>
    <w:rsid w:val="004D03D1"/>
    <w:rsid w:val="004D11AF"/>
    <w:rsid w:val="004D41A2"/>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590E"/>
    <w:rsid w:val="004F5966"/>
    <w:rsid w:val="004F60F4"/>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63A"/>
    <w:rsid w:val="005526EE"/>
    <w:rsid w:val="00552B57"/>
    <w:rsid w:val="00552E53"/>
    <w:rsid w:val="00553E34"/>
    <w:rsid w:val="005547B7"/>
    <w:rsid w:val="005551E9"/>
    <w:rsid w:val="0055680D"/>
    <w:rsid w:val="00560094"/>
    <w:rsid w:val="00560C62"/>
    <w:rsid w:val="00562A61"/>
    <w:rsid w:val="005652D5"/>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2570"/>
    <w:rsid w:val="00612871"/>
    <w:rsid w:val="00612A44"/>
    <w:rsid w:val="00612A8E"/>
    <w:rsid w:val="006134D9"/>
    <w:rsid w:val="006135DA"/>
    <w:rsid w:val="00613BDC"/>
    <w:rsid w:val="00615564"/>
    <w:rsid w:val="006155E2"/>
    <w:rsid w:val="00615F26"/>
    <w:rsid w:val="00617A81"/>
    <w:rsid w:val="00620579"/>
    <w:rsid w:val="006208AA"/>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A8A"/>
    <w:rsid w:val="00673F50"/>
    <w:rsid w:val="00674EEA"/>
    <w:rsid w:val="006759B0"/>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EB8"/>
    <w:rsid w:val="006915E5"/>
    <w:rsid w:val="00692401"/>
    <w:rsid w:val="006941CC"/>
    <w:rsid w:val="00695F56"/>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DC0"/>
    <w:rsid w:val="006D4162"/>
    <w:rsid w:val="006D5E84"/>
    <w:rsid w:val="006D7C99"/>
    <w:rsid w:val="006E0443"/>
    <w:rsid w:val="006E0C50"/>
    <w:rsid w:val="006E0DCF"/>
    <w:rsid w:val="006E1647"/>
    <w:rsid w:val="006E2298"/>
    <w:rsid w:val="006E2F3A"/>
    <w:rsid w:val="006E310A"/>
    <w:rsid w:val="006E3C3E"/>
    <w:rsid w:val="006E429F"/>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658A"/>
    <w:rsid w:val="00706B65"/>
    <w:rsid w:val="00707C1A"/>
    <w:rsid w:val="00710023"/>
    <w:rsid w:val="00710207"/>
    <w:rsid w:val="0071023D"/>
    <w:rsid w:val="00710530"/>
    <w:rsid w:val="007107BD"/>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4AF9"/>
    <w:rsid w:val="007650AD"/>
    <w:rsid w:val="00765D18"/>
    <w:rsid w:val="0076640B"/>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35E"/>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6497"/>
    <w:rsid w:val="007F6836"/>
    <w:rsid w:val="007F7DF2"/>
    <w:rsid w:val="00800A35"/>
    <w:rsid w:val="00800D91"/>
    <w:rsid w:val="00801A0E"/>
    <w:rsid w:val="00804E4C"/>
    <w:rsid w:val="0080662C"/>
    <w:rsid w:val="008070B2"/>
    <w:rsid w:val="00807D79"/>
    <w:rsid w:val="00810102"/>
    <w:rsid w:val="008116F3"/>
    <w:rsid w:val="008117C4"/>
    <w:rsid w:val="00812461"/>
    <w:rsid w:val="008127E0"/>
    <w:rsid w:val="00812810"/>
    <w:rsid w:val="0081398E"/>
    <w:rsid w:val="008149D8"/>
    <w:rsid w:val="00815714"/>
    <w:rsid w:val="00817927"/>
    <w:rsid w:val="00817CFC"/>
    <w:rsid w:val="00821D81"/>
    <w:rsid w:val="00822A52"/>
    <w:rsid w:val="00823654"/>
    <w:rsid w:val="00823A90"/>
    <w:rsid w:val="00825C68"/>
    <w:rsid w:val="0082757E"/>
    <w:rsid w:val="00827B6C"/>
    <w:rsid w:val="00827D77"/>
    <w:rsid w:val="00830561"/>
    <w:rsid w:val="00831115"/>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59FC"/>
    <w:rsid w:val="00896668"/>
    <w:rsid w:val="008A1D0E"/>
    <w:rsid w:val="008A25EA"/>
    <w:rsid w:val="008A31C7"/>
    <w:rsid w:val="008A3215"/>
    <w:rsid w:val="008A3E8B"/>
    <w:rsid w:val="008A47BE"/>
    <w:rsid w:val="008A4AEC"/>
    <w:rsid w:val="008A5609"/>
    <w:rsid w:val="008A6DD5"/>
    <w:rsid w:val="008A6DF0"/>
    <w:rsid w:val="008A6FA0"/>
    <w:rsid w:val="008B15CE"/>
    <w:rsid w:val="008B1C8F"/>
    <w:rsid w:val="008B2B19"/>
    <w:rsid w:val="008B2F40"/>
    <w:rsid w:val="008B2FCD"/>
    <w:rsid w:val="008B3627"/>
    <w:rsid w:val="008B56A0"/>
    <w:rsid w:val="008B5AA1"/>
    <w:rsid w:val="008B5E61"/>
    <w:rsid w:val="008B64CE"/>
    <w:rsid w:val="008B7914"/>
    <w:rsid w:val="008C127A"/>
    <w:rsid w:val="008C1932"/>
    <w:rsid w:val="008C2C7F"/>
    <w:rsid w:val="008C2F0D"/>
    <w:rsid w:val="008C500C"/>
    <w:rsid w:val="008C5D2A"/>
    <w:rsid w:val="008C6754"/>
    <w:rsid w:val="008C6C16"/>
    <w:rsid w:val="008C74FB"/>
    <w:rsid w:val="008C7AF4"/>
    <w:rsid w:val="008C7DA4"/>
    <w:rsid w:val="008D0210"/>
    <w:rsid w:val="008D0851"/>
    <w:rsid w:val="008D0DEF"/>
    <w:rsid w:val="008D0FCD"/>
    <w:rsid w:val="008D1074"/>
    <w:rsid w:val="008D1079"/>
    <w:rsid w:val="008D280F"/>
    <w:rsid w:val="008D318B"/>
    <w:rsid w:val="008D3994"/>
    <w:rsid w:val="008D3C3D"/>
    <w:rsid w:val="008D478E"/>
    <w:rsid w:val="008D534E"/>
    <w:rsid w:val="008D6E81"/>
    <w:rsid w:val="008D7739"/>
    <w:rsid w:val="008D7A64"/>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DEF"/>
    <w:rsid w:val="008F7C0A"/>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7D4E"/>
    <w:rsid w:val="00930AC2"/>
    <w:rsid w:val="00930D2A"/>
    <w:rsid w:val="009312BF"/>
    <w:rsid w:val="00931B84"/>
    <w:rsid w:val="009322B2"/>
    <w:rsid w:val="00932E7E"/>
    <w:rsid w:val="0093442D"/>
    <w:rsid w:val="00934CD2"/>
    <w:rsid w:val="009375E5"/>
    <w:rsid w:val="00937D30"/>
    <w:rsid w:val="00941848"/>
    <w:rsid w:val="009437F2"/>
    <w:rsid w:val="009442E8"/>
    <w:rsid w:val="00944BA7"/>
    <w:rsid w:val="0094636D"/>
    <w:rsid w:val="0094759C"/>
    <w:rsid w:val="009503FE"/>
    <w:rsid w:val="00950E37"/>
    <w:rsid w:val="00951666"/>
    <w:rsid w:val="0095182F"/>
    <w:rsid w:val="00952524"/>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25B2"/>
    <w:rsid w:val="009747AA"/>
    <w:rsid w:val="00974B99"/>
    <w:rsid w:val="00974BCB"/>
    <w:rsid w:val="009758CD"/>
    <w:rsid w:val="009763E4"/>
    <w:rsid w:val="0097654D"/>
    <w:rsid w:val="009766B7"/>
    <w:rsid w:val="00980A22"/>
    <w:rsid w:val="00980D85"/>
    <w:rsid w:val="00983094"/>
    <w:rsid w:val="00983599"/>
    <w:rsid w:val="0098544F"/>
    <w:rsid w:val="00985B04"/>
    <w:rsid w:val="00986A6D"/>
    <w:rsid w:val="00986BEF"/>
    <w:rsid w:val="00987298"/>
    <w:rsid w:val="00991DF8"/>
    <w:rsid w:val="00992499"/>
    <w:rsid w:val="00992986"/>
    <w:rsid w:val="00994B55"/>
    <w:rsid w:val="00995D86"/>
    <w:rsid w:val="00995FB2"/>
    <w:rsid w:val="00997A68"/>
    <w:rsid w:val="009A00EA"/>
    <w:rsid w:val="009A1F6B"/>
    <w:rsid w:val="009A2C4C"/>
    <w:rsid w:val="009A2DD8"/>
    <w:rsid w:val="009A30DE"/>
    <w:rsid w:val="009A3D29"/>
    <w:rsid w:val="009A5453"/>
    <w:rsid w:val="009A7532"/>
    <w:rsid w:val="009A7883"/>
    <w:rsid w:val="009B237F"/>
    <w:rsid w:val="009B2760"/>
    <w:rsid w:val="009B308D"/>
    <w:rsid w:val="009B38D5"/>
    <w:rsid w:val="009B3B62"/>
    <w:rsid w:val="009B3C8D"/>
    <w:rsid w:val="009B4FFB"/>
    <w:rsid w:val="009B53C7"/>
    <w:rsid w:val="009B7489"/>
    <w:rsid w:val="009B7B0A"/>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5843"/>
    <w:rsid w:val="009D638D"/>
    <w:rsid w:val="009E1CC8"/>
    <w:rsid w:val="009E30D2"/>
    <w:rsid w:val="009E4885"/>
    <w:rsid w:val="009E508B"/>
    <w:rsid w:val="009F03AB"/>
    <w:rsid w:val="009F0619"/>
    <w:rsid w:val="009F068A"/>
    <w:rsid w:val="009F0A85"/>
    <w:rsid w:val="009F1260"/>
    <w:rsid w:val="009F1B71"/>
    <w:rsid w:val="009F220A"/>
    <w:rsid w:val="009F36D6"/>
    <w:rsid w:val="00A0002A"/>
    <w:rsid w:val="00A0236D"/>
    <w:rsid w:val="00A02985"/>
    <w:rsid w:val="00A02B2B"/>
    <w:rsid w:val="00A02FA8"/>
    <w:rsid w:val="00A03F74"/>
    <w:rsid w:val="00A046BF"/>
    <w:rsid w:val="00A05B25"/>
    <w:rsid w:val="00A05C04"/>
    <w:rsid w:val="00A06254"/>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54B"/>
    <w:rsid w:val="00A52BC1"/>
    <w:rsid w:val="00A534A0"/>
    <w:rsid w:val="00A537EA"/>
    <w:rsid w:val="00A539AD"/>
    <w:rsid w:val="00A540B2"/>
    <w:rsid w:val="00A56819"/>
    <w:rsid w:val="00A568AC"/>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5186"/>
    <w:rsid w:val="00A961BD"/>
    <w:rsid w:val="00AA027E"/>
    <w:rsid w:val="00AA1224"/>
    <w:rsid w:val="00AA14F2"/>
    <w:rsid w:val="00AA180B"/>
    <w:rsid w:val="00AA1D43"/>
    <w:rsid w:val="00AA2CD7"/>
    <w:rsid w:val="00AA3301"/>
    <w:rsid w:val="00AA3360"/>
    <w:rsid w:val="00AA6B93"/>
    <w:rsid w:val="00AA7A06"/>
    <w:rsid w:val="00AA7A7F"/>
    <w:rsid w:val="00AB1984"/>
    <w:rsid w:val="00AB1CBB"/>
    <w:rsid w:val="00AB215B"/>
    <w:rsid w:val="00AB333E"/>
    <w:rsid w:val="00AB37DB"/>
    <w:rsid w:val="00AB3ECC"/>
    <w:rsid w:val="00AB5F48"/>
    <w:rsid w:val="00AB716D"/>
    <w:rsid w:val="00AB72BB"/>
    <w:rsid w:val="00AB7BF3"/>
    <w:rsid w:val="00AC09D5"/>
    <w:rsid w:val="00AC0D8E"/>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719F"/>
    <w:rsid w:val="00AD7447"/>
    <w:rsid w:val="00AD7D36"/>
    <w:rsid w:val="00AE0DED"/>
    <w:rsid w:val="00AE307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402E"/>
    <w:rsid w:val="00B540E8"/>
    <w:rsid w:val="00B560A9"/>
    <w:rsid w:val="00B56866"/>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90351"/>
    <w:rsid w:val="00B906F2"/>
    <w:rsid w:val="00B90D9B"/>
    <w:rsid w:val="00B91259"/>
    <w:rsid w:val="00B91B81"/>
    <w:rsid w:val="00B91FF0"/>
    <w:rsid w:val="00B92FFF"/>
    <w:rsid w:val="00B9492E"/>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7589"/>
    <w:rsid w:val="00BC077E"/>
    <w:rsid w:val="00BC1F5F"/>
    <w:rsid w:val="00BC21BE"/>
    <w:rsid w:val="00BC2465"/>
    <w:rsid w:val="00BC3E36"/>
    <w:rsid w:val="00BC4CE8"/>
    <w:rsid w:val="00BC4D54"/>
    <w:rsid w:val="00BC7632"/>
    <w:rsid w:val="00BC7C9E"/>
    <w:rsid w:val="00BD1E79"/>
    <w:rsid w:val="00BD23A5"/>
    <w:rsid w:val="00BD2937"/>
    <w:rsid w:val="00BD2AFC"/>
    <w:rsid w:val="00BD2CD4"/>
    <w:rsid w:val="00BD330C"/>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90A"/>
    <w:rsid w:val="00BF2001"/>
    <w:rsid w:val="00BF2575"/>
    <w:rsid w:val="00BF31A0"/>
    <w:rsid w:val="00BF3F0A"/>
    <w:rsid w:val="00BF4E35"/>
    <w:rsid w:val="00BF7B9B"/>
    <w:rsid w:val="00C0083F"/>
    <w:rsid w:val="00C00976"/>
    <w:rsid w:val="00C020CD"/>
    <w:rsid w:val="00C02DDE"/>
    <w:rsid w:val="00C0367B"/>
    <w:rsid w:val="00C04E51"/>
    <w:rsid w:val="00C05AF9"/>
    <w:rsid w:val="00C060A3"/>
    <w:rsid w:val="00C060B0"/>
    <w:rsid w:val="00C072F0"/>
    <w:rsid w:val="00C07344"/>
    <w:rsid w:val="00C079A3"/>
    <w:rsid w:val="00C07C1F"/>
    <w:rsid w:val="00C11A79"/>
    <w:rsid w:val="00C13607"/>
    <w:rsid w:val="00C137B1"/>
    <w:rsid w:val="00C13B43"/>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FDA"/>
    <w:rsid w:val="00CA77CF"/>
    <w:rsid w:val="00CA7B58"/>
    <w:rsid w:val="00CB2518"/>
    <w:rsid w:val="00CB3920"/>
    <w:rsid w:val="00CB6413"/>
    <w:rsid w:val="00CB696F"/>
    <w:rsid w:val="00CC0F1C"/>
    <w:rsid w:val="00CC299A"/>
    <w:rsid w:val="00CC32B7"/>
    <w:rsid w:val="00CC36DE"/>
    <w:rsid w:val="00CC4F99"/>
    <w:rsid w:val="00CC5FC3"/>
    <w:rsid w:val="00CC6369"/>
    <w:rsid w:val="00CC65D6"/>
    <w:rsid w:val="00CC73F3"/>
    <w:rsid w:val="00CD081C"/>
    <w:rsid w:val="00CD1B5A"/>
    <w:rsid w:val="00CD1E9C"/>
    <w:rsid w:val="00CD27DB"/>
    <w:rsid w:val="00CD2E70"/>
    <w:rsid w:val="00CD386B"/>
    <w:rsid w:val="00CD3D06"/>
    <w:rsid w:val="00CD4A09"/>
    <w:rsid w:val="00CD4C7B"/>
    <w:rsid w:val="00CD5397"/>
    <w:rsid w:val="00CD5E93"/>
    <w:rsid w:val="00CE15AE"/>
    <w:rsid w:val="00CE235A"/>
    <w:rsid w:val="00CE37A3"/>
    <w:rsid w:val="00CE3814"/>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DBE"/>
    <w:rsid w:val="00D03EED"/>
    <w:rsid w:val="00D0597D"/>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D55"/>
    <w:rsid w:val="00D8789C"/>
    <w:rsid w:val="00D87B3F"/>
    <w:rsid w:val="00D9003D"/>
    <w:rsid w:val="00D90558"/>
    <w:rsid w:val="00D914EB"/>
    <w:rsid w:val="00D94085"/>
    <w:rsid w:val="00D96D4F"/>
    <w:rsid w:val="00DA1806"/>
    <w:rsid w:val="00DA212B"/>
    <w:rsid w:val="00DA3A76"/>
    <w:rsid w:val="00DA73C1"/>
    <w:rsid w:val="00DA770D"/>
    <w:rsid w:val="00DA7851"/>
    <w:rsid w:val="00DA7DC1"/>
    <w:rsid w:val="00DB00EE"/>
    <w:rsid w:val="00DB0132"/>
    <w:rsid w:val="00DB3687"/>
    <w:rsid w:val="00DB38D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649"/>
    <w:rsid w:val="00E27F0A"/>
    <w:rsid w:val="00E309B0"/>
    <w:rsid w:val="00E326E9"/>
    <w:rsid w:val="00E352C3"/>
    <w:rsid w:val="00E35476"/>
    <w:rsid w:val="00E359A5"/>
    <w:rsid w:val="00E372F7"/>
    <w:rsid w:val="00E37DC0"/>
    <w:rsid w:val="00E37EC6"/>
    <w:rsid w:val="00E40432"/>
    <w:rsid w:val="00E40850"/>
    <w:rsid w:val="00E40D52"/>
    <w:rsid w:val="00E41585"/>
    <w:rsid w:val="00E4220D"/>
    <w:rsid w:val="00E4231E"/>
    <w:rsid w:val="00E4279A"/>
    <w:rsid w:val="00E42E35"/>
    <w:rsid w:val="00E44AC7"/>
    <w:rsid w:val="00E45B2D"/>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2C96"/>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7352"/>
    <w:rsid w:val="00EB769A"/>
    <w:rsid w:val="00EC11E4"/>
    <w:rsid w:val="00EC14E1"/>
    <w:rsid w:val="00EC2A3F"/>
    <w:rsid w:val="00EC2E64"/>
    <w:rsid w:val="00EC3A35"/>
    <w:rsid w:val="00EC3E69"/>
    <w:rsid w:val="00EC5554"/>
    <w:rsid w:val="00EC5B8E"/>
    <w:rsid w:val="00EC7356"/>
    <w:rsid w:val="00EC75F6"/>
    <w:rsid w:val="00ED0065"/>
    <w:rsid w:val="00ED353D"/>
    <w:rsid w:val="00ED588C"/>
    <w:rsid w:val="00ED6EA1"/>
    <w:rsid w:val="00EE07AC"/>
    <w:rsid w:val="00EE0891"/>
    <w:rsid w:val="00EE1062"/>
    <w:rsid w:val="00EE17F2"/>
    <w:rsid w:val="00EE188A"/>
    <w:rsid w:val="00EE1B01"/>
    <w:rsid w:val="00EE2746"/>
    <w:rsid w:val="00EE4C20"/>
    <w:rsid w:val="00EE4F2D"/>
    <w:rsid w:val="00EE6755"/>
    <w:rsid w:val="00EF03DC"/>
    <w:rsid w:val="00EF0437"/>
    <w:rsid w:val="00EF0BFE"/>
    <w:rsid w:val="00EF2AC7"/>
    <w:rsid w:val="00EF3397"/>
    <w:rsid w:val="00EF40BF"/>
    <w:rsid w:val="00EF4557"/>
    <w:rsid w:val="00EF493F"/>
    <w:rsid w:val="00EF6C2B"/>
    <w:rsid w:val="00F021A9"/>
    <w:rsid w:val="00F02C54"/>
    <w:rsid w:val="00F0448C"/>
    <w:rsid w:val="00F071BA"/>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82E2E"/>
    <w:rsid w:val="00F83601"/>
    <w:rsid w:val="00F837E6"/>
    <w:rsid w:val="00F8389A"/>
    <w:rsid w:val="00F83AE9"/>
    <w:rsid w:val="00F843D4"/>
    <w:rsid w:val="00F84A40"/>
    <w:rsid w:val="00F84DBD"/>
    <w:rsid w:val="00F8516E"/>
    <w:rsid w:val="00F85C0D"/>
    <w:rsid w:val="00F86741"/>
    <w:rsid w:val="00F86796"/>
    <w:rsid w:val="00F87C5B"/>
    <w:rsid w:val="00F87FEA"/>
    <w:rsid w:val="00F90613"/>
    <w:rsid w:val="00F906F4"/>
    <w:rsid w:val="00F915F3"/>
    <w:rsid w:val="00F91800"/>
    <w:rsid w:val="00F91853"/>
    <w:rsid w:val="00F91987"/>
    <w:rsid w:val="00F9208E"/>
    <w:rsid w:val="00F92571"/>
    <w:rsid w:val="00F93CAE"/>
    <w:rsid w:val="00F95CCE"/>
    <w:rsid w:val="00F9692D"/>
    <w:rsid w:val="00F978BE"/>
    <w:rsid w:val="00F97D7B"/>
    <w:rsid w:val="00FA0F71"/>
    <w:rsid w:val="00FA3A97"/>
    <w:rsid w:val="00FA3AEA"/>
    <w:rsid w:val="00FA4219"/>
    <w:rsid w:val="00FA48C7"/>
    <w:rsid w:val="00FA54FF"/>
    <w:rsid w:val="00FA5570"/>
    <w:rsid w:val="00FA5C0B"/>
    <w:rsid w:val="00FA70F5"/>
    <w:rsid w:val="00FA7902"/>
    <w:rsid w:val="00FB005D"/>
    <w:rsid w:val="00FB183E"/>
    <w:rsid w:val="00FB1D54"/>
    <w:rsid w:val="00FB3363"/>
    <w:rsid w:val="00FB4048"/>
    <w:rsid w:val="00FB4629"/>
    <w:rsid w:val="00FB577F"/>
    <w:rsid w:val="00FB5FC4"/>
    <w:rsid w:val="00FB6A07"/>
    <w:rsid w:val="00FB6FB1"/>
    <w:rsid w:val="00FB7460"/>
    <w:rsid w:val="00FB7A10"/>
    <w:rsid w:val="00FC0F81"/>
    <w:rsid w:val="00FC3798"/>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818"/>
    <w:rsid w:val="00FF0CF5"/>
    <w:rsid w:val="00FF0D6F"/>
    <w:rsid w:val="00FF1103"/>
    <w:rsid w:val="00FF1712"/>
    <w:rsid w:val="00FF37DC"/>
    <w:rsid w:val="00FF37F2"/>
    <w:rsid w:val="00FF5B3C"/>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mayaherrera.manuel@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contec.org/eval_conformidad/certificacion-iso-9001-sistema-de-gestion-de-calidad/" TargetMode="External"/><Relationship Id="rId1" Type="http://schemas.openxmlformats.org/officeDocument/2006/relationships/hyperlink" Target="https://svrpubindc.imprenta.gov.co/sen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5070</Words>
  <Characters>27890</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32895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6</cp:revision>
  <dcterms:created xsi:type="dcterms:W3CDTF">2025-02-12T21:50:00Z</dcterms:created>
  <dcterms:modified xsi:type="dcterms:W3CDTF">2025-02-12T21:59:00Z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