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CBAAD" w14:textId="77777777" w:rsidR="00611FA2" w:rsidRPr="00013123" w:rsidRDefault="00611FA2" w:rsidP="00611FA2">
      <w:pPr>
        <w:spacing w:after="0" w:line="240" w:lineRule="auto"/>
        <w:textAlignment w:val="baseline"/>
        <w:rPr>
          <w:rFonts w:ascii="Century Gothic" w:eastAsia="Times New Roman" w:hAnsi="Century Gothic" w:cs="Arial"/>
          <w:sz w:val="20"/>
          <w:szCs w:val="20"/>
          <w:lang w:eastAsia="es-CO"/>
        </w:rPr>
      </w:pPr>
      <w:bookmarkStart w:id="0" w:name="_Hlk94281581"/>
      <w:bookmarkStart w:id="1" w:name="_Hlk102489058"/>
      <w:bookmarkStart w:id="2" w:name="_Hlk34951122"/>
    </w:p>
    <w:p w14:paraId="4E422D87" w14:textId="77777777" w:rsidR="00611FA2" w:rsidRPr="00426E78" w:rsidRDefault="00611FA2" w:rsidP="00611FA2">
      <w:pPr>
        <w:widowControl w:val="0"/>
        <w:autoSpaceDE w:val="0"/>
        <w:autoSpaceDN w:val="0"/>
        <w:spacing w:after="0" w:line="240" w:lineRule="auto"/>
        <w:jc w:val="both"/>
        <w:outlineLvl w:val="0"/>
        <w:rPr>
          <w:rFonts w:ascii="Century Gothic" w:eastAsia="Arial" w:hAnsi="Century Gothic" w:cs="Arial"/>
          <w:b/>
          <w:bCs/>
          <w:lang w:val="es-ES"/>
        </w:rPr>
      </w:pPr>
      <w:r w:rsidRPr="00426E78">
        <w:rPr>
          <w:rFonts w:ascii="Century Gothic" w:eastAsia="Arial" w:hAnsi="Century Gothic" w:cs="Arial"/>
          <w:b/>
          <w:bCs/>
          <w:lang w:val="es-ES"/>
        </w:rPr>
        <w:t>LEY</w:t>
      </w:r>
      <w:r w:rsidRPr="00426E78">
        <w:rPr>
          <w:rFonts w:ascii="Century Gothic" w:eastAsia="Arial" w:hAnsi="Century Gothic" w:cs="Arial"/>
          <w:b/>
          <w:bCs/>
          <w:spacing w:val="-5"/>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4"/>
          <w:lang w:val="es-ES"/>
        </w:rPr>
        <w:t xml:space="preserve"> </w:t>
      </w:r>
      <w:r w:rsidRPr="00426E78">
        <w:rPr>
          <w:rFonts w:ascii="Century Gothic" w:eastAsia="Arial" w:hAnsi="Century Gothic" w:cs="Arial"/>
          <w:b/>
          <w:bCs/>
          <w:lang w:val="es-ES"/>
        </w:rPr>
        <w:t>EMPRENDIMIENTO</w:t>
      </w:r>
      <w:r w:rsidRPr="00426E78">
        <w:rPr>
          <w:rFonts w:ascii="Century Gothic" w:eastAsia="Arial" w:hAnsi="Century Gothic" w:cs="Arial"/>
          <w:b/>
          <w:bCs/>
          <w:spacing w:val="3"/>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4"/>
          <w:lang w:val="es-ES"/>
        </w:rPr>
        <w:t xml:space="preserve"> </w:t>
      </w:r>
      <w:r w:rsidRPr="00426E78">
        <w:rPr>
          <w:rFonts w:ascii="Century Gothic" w:eastAsia="Arial" w:hAnsi="Century Gothic" w:cs="Arial"/>
          <w:b/>
          <w:bCs/>
          <w:lang w:val="es-ES"/>
        </w:rPr>
        <w:t>Ley</w:t>
      </w:r>
      <w:r w:rsidRPr="00426E78">
        <w:rPr>
          <w:rFonts w:ascii="Century Gothic" w:eastAsia="Arial" w:hAnsi="Century Gothic" w:cs="Arial"/>
          <w:b/>
          <w:bCs/>
          <w:spacing w:val="-4"/>
          <w:lang w:val="es-ES"/>
        </w:rPr>
        <w:t xml:space="preserve"> </w:t>
      </w:r>
      <w:r w:rsidRPr="00426E78">
        <w:rPr>
          <w:rFonts w:ascii="Century Gothic" w:eastAsia="Arial" w:hAnsi="Century Gothic" w:cs="Arial"/>
          <w:b/>
          <w:bCs/>
          <w:lang w:val="es-ES"/>
        </w:rPr>
        <w:t>2069</w:t>
      </w:r>
      <w:r w:rsidRPr="00426E78">
        <w:rPr>
          <w:rFonts w:ascii="Century Gothic" w:eastAsia="Arial" w:hAnsi="Century Gothic" w:cs="Arial"/>
          <w:b/>
          <w:bCs/>
          <w:spacing w:val="-5"/>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4"/>
          <w:lang w:val="es-ES"/>
        </w:rPr>
        <w:t xml:space="preserve"> </w:t>
      </w:r>
      <w:r w:rsidRPr="00426E78">
        <w:rPr>
          <w:rFonts w:ascii="Century Gothic" w:eastAsia="Arial" w:hAnsi="Century Gothic" w:cs="Arial"/>
          <w:b/>
          <w:bCs/>
          <w:lang w:val="es-ES"/>
        </w:rPr>
        <w:t>2020 –</w:t>
      </w:r>
      <w:r w:rsidRPr="00426E78">
        <w:rPr>
          <w:rFonts w:ascii="Century Gothic" w:eastAsia="Arial" w:hAnsi="Century Gothic" w:cs="Arial"/>
          <w:b/>
          <w:bCs/>
          <w:spacing w:val="-5"/>
          <w:lang w:val="es-ES"/>
        </w:rPr>
        <w:t xml:space="preserve"> </w:t>
      </w:r>
      <w:r w:rsidRPr="00426E78">
        <w:rPr>
          <w:rFonts w:ascii="Century Gothic" w:eastAsia="Arial" w:hAnsi="Century Gothic" w:cs="Arial"/>
          <w:b/>
          <w:bCs/>
          <w:lang w:val="es-ES"/>
        </w:rPr>
        <w:t>Finalidad</w:t>
      </w:r>
    </w:p>
    <w:p w14:paraId="5BD9741A"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b/>
          <w:sz w:val="20"/>
          <w:szCs w:val="20"/>
          <w:lang w:val="es-ES"/>
        </w:rPr>
      </w:pPr>
    </w:p>
    <w:p w14:paraId="4047DE0A"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pacing w:val="-5"/>
          <w:sz w:val="20"/>
          <w:szCs w:val="20"/>
          <w:lang w:val="es-ES"/>
        </w:rPr>
      </w:pPr>
      <w:r w:rsidRPr="00013123">
        <w:rPr>
          <w:rFonts w:ascii="Century Gothic" w:eastAsia="Arial MT" w:hAnsi="Century Gothic" w:cs="Arial"/>
          <w:spacing w:val="-5"/>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potestad que fue ejercida mediante la expedición del Decreto 1860 de 2021, al cual se hará referencia más adelante.</w:t>
      </w:r>
    </w:p>
    <w:p w14:paraId="201E023F"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pacing w:val="-5"/>
          <w:sz w:val="20"/>
          <w:szCs w:val="20"/>
          <w:lang w:val="es-ES"/>
        </w:rPr>
      </w:pPr>
    </w:p>
    <w:p w14:paraId="3A48F1D8"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_tradnl"/>
        </w:rPr>
      </w:pPr>
      <w:r w:rsidRPr="00013123">
        <w:rPr>
          <w:rFonts w:ascii="Century Gothic" w:eastAsia="Arial MT" w:hAnsi="Century Gothic" w:cs="Arial"/>
          <w:spacing w:val="-5"/>
          <w:sz w:val="20"/>
          <w:szCs w:val="20"/>
          <w:lang w:val="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B72C5D6"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1D1C5878" w14:textId="77777777" w:rsidR="00611FA2" w:rsidRPr="00426E78" w:rsidRDefault="00611FA2" w:rsidP="00611FA2">
      <w:pPr>
        <w:widowControl w:val="0"/>
        <w:autoSpaceDE w:val="0"/>
        <w:autoSpaceDN w:val="0"/>
        <w:spacing w:after="0" w:line="240" w:lineRule="auto"/>
        <w:jc w:val="both"/>
        <w:outlineLvl w:val="0"/>
        <w:rPr>
          <w:rFonts w:ascii="Century Gothic" w:eastAsia="Arial MT" w:hAnsi="Century Gothic" w:cs="Arial"/>
          <w:b/>
          <w:lang w:val="es-ES"/>
        </w:rPr>
      </w:pPr>
      <w:r w:rsidRPr="00426E78">
        <w:rPr>
          <w:rFonts w:ascii="Century Gothic" w:eastAsia="Arial" w:hAnsi="Century Gothic" w:cs="Arial"/>
          <w:b/>
          <w:bCs/>
          <w:lang w:val="es-ES"/>
        </w:rPr>
        <w:t>LEY</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EMPRENDIMIENTO</w:t>
      </w:r>
      <w:r w:rsidRPr="00426E78">
        <w:rPr>
          <w:rFonts w:ascii="Century Gothic" w:eastAsia="Arial" w:hAnsi="Century Gothic" w:cs="Arial"/>
          <w:b/>
          <w:bCs/>
          <w:spacing w:val="26"/>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Ley</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2069</w:t>
      </w:r>
      <w:r w:rsidRPr="00426E78">
        <w:rPr>
          <w:rFonts w:ascii="Century Gothic" w:eastAsia="Arial" w:hAnsi="Century Gothic" w:cs="Arial"/>
          <w:b/>
          <w:bCs/>
          <w:spacing w:val="23"/>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2020</w:t>
      </w:r>
      <w:r w:rsidRPr="00426E78">
        <w:rPr>
          <w:rFonts w:ascii="Century Gothic" w:eastAsia="Arial" w:hAnsi="Century Gothic" w:cs="Arial"/>
          <w:b/>
          <w:bCs/>
          <w:spacing w:val="23"/>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Artículo</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32</w:t>
      </w:r>
      <w:r w:rsidRPr="00426E78">
        <w:rPr>
          <w:rFonts w:ascii="Century Gothic" w:eastAsia="Arial" w:hAnsi="Century Gothic" w:cs="Arial"/>
          <w:b/>
          <w:bCs/>
          <w:spacing w:val="23"/>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Criterios</w:t>
      </w:r>
      <w:r w:rsidRPr="00426E78">
        <w:rPr>
          <w:rFonts w:ascii="Century Gothic" w:eastAsia="Arial" w:hAnsi="Century Gothic" w:cs="Arial"/>
          <w:b/>
          <w:bCs/>
          <w:spacing w:val="22"/>
          <w:lang w:val="es-ES"/>
        </w:rPr>
        <w:t xml:space="preserve"> </w:t>
      </w:r>
      <w:r w:rsidRPr="00426E78">
        <w:rPr>
          <w:rFonts w:ascii="Century Gothic" w:eastAsia="Arial" w:hAnsi="Century Gothic" w:cs="Arial"/>
          <w:b/>
          <w:bCs/>
          <w:lang w:val="es-ES"/>
        </w:rPr>
        <w:t>diferenciales</w:t>
      </w:r>
      <w:r w:rsidRPr="00426E78">
        <w:rPr>
          <w:rFonts w:ascii="Century Gothic" w:eastAsia="Arial" w:hAnsi="Century Gothic" w:cs="Arial"/>
          <w:b/>
          <w:bCs/>
          <w:spacing w:val="25"/>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58"/>
          <w:lang w:val="es-ES"/>
        </w:rPr>
        <w:t xml:space="preserve"> </w:t>
      </w:r>
      <w:r w:rsidRPr="00426E78">
        <w:rPr>
          <w:rFonts w:ascii="Century Gothic" w:eastAsia="Arial" w:hAnsi="Century Gothic" w:cs="Arial"/>
          <w:b/>
          <w:bCs/>
          <w:lang w:val="es-ES"/>
        </w:rPr>
        <w:t>Emprendimientos</w:t>
      </w:r>
      <w:r w:rsidRPr="00426E78">
        <w:rPr>
          <w:rFonts w:ascii="Century Gothic" w:eastAsia="Arial" w:hAnsi="Century Gothic" w:cs="Arial"/>
          <w:b/>
          <w:bCs/>
          <w:spacing w:val="21"/>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20"/>
          <w:lang w:val="es-ES"/>
        </w:rPr>
        <w:t xml:space="preserve"> </w:t>
      </w:r>
      <w:r w:rsidRPr="00426E78">
        <w:rPr>
          <w:rFonts w:ascii="Century Gothic" w:eastAsia="Arial" w:hAnsi="Century Gothic" w:cs="Arial"/>
          <w:b/>
          <w:bCs/>
          <w:lang w:val="es-ES"/>
        </w:rPr>
        <w:t>mujeres</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Empresas</w:t>
      </w:r>
      <w:r w:rsidRPr="00426E78">
        <w:rPr>
          <w:rFonts w:ascii="Century Gothic" w:eastAsia="Arial" w:hAnsi="Century Gothic" w:cs="Arial"/>
          <w:b/>
          <w:bCs/>
          <w:spacing w:val="21"/>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mujeres</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Necesidad</w:t>
      </w:r>
      <w:r w:rsidRPr="00426E78">
        <w:rPr>
          <w:rFonts w:ascii="Century Gothic" w:eastAsia="Arial" w:hAnsi="Century Gothic" w:cs="Arial"/>
          <w:b/>
          <w:bCs/>
          <w:spacing w:val="20"/>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19"/>
          <w:lang w:val="es-ES"/>
        </w:rPr>
        <w:t xml:space="preserve"> </w:t>
      </w:r>
      <w:r w:rsidRPr="00426E78">
        <w:rPr>
          <w:rFonts w:ascii="Century Gothic" w:eastAsia="Arial" w:hAnsi="Century Gothic" w:cs="Arial"/>
          <w:b/>
          <w:bCs/>
          <w:lang w:val="es-ES"/>
        </w:rPr>
        <w:t>reglamentación</w:t>
      </w:r>
      <w:r w:rsidRPr="00426E78">
        <w:rPr>
          <w:rFonts w:ascii="Century Gothic" w:eastAsia="Arial" w:hAnsi="Century Gothic" w:cs="Arial"/>
          <w:b/>
          <w:bCs/>
          <w:spacing w:val="20"/>
          <w:lang w:val="es-ES"/>
        </w:rPr>
        <w:t xml:space="preserve"> </w:t>
      </w:r>
      <w:r w:rsidRPr="00426E78">
        <w:rPr>
          <w:rFonts w:ascii="Century Gothic" w:eastAsia="Arial" w:hAnsi="Century Gothic" w:cs="Arial"/>
          <w:b/>
          <w:bCs/>
          <w:lang w:val="es-ES"/>
        </w:rPr>
        <w:t xml:space="preserve">– </w:t>
      </w:r>
      <w:r w:rsidRPr="00426E78">
        <w:rPr>
          <w:rFonts w:ascii="Century Gothic" w:eastAsia="Arial MT" w:hAnsi="Century Gothic" w:cs="Arial"/>
          <w:b/>
          <w:lang w:val="es-ES"/>
        </w:rPr>
        <w:t>Decreto</w:t>
      </w:r>
      <w:r w:rsidRPr="00426E78">
        <w:rPr>
          <w:rFonts w:ascii="Century Gothic" w:eastAsia="Arial MT" w:hAnsi="Century Gothic" w:cs="Arial"/>
          <w:b/>
          <w:spacing w:val="-5"/>
          <w:lang w:val="es-ES"/>
        </w:rPr>
        <w:t xml:space="preserve"> </w:t>
      </w:r>
      <w:r w:rsidRPr="00426E78">
        <w:rPr>
          <w:rFonts w:ascii="Century Gothic" w:eastAsia="Arial MT" w:hAnsi="Century Gothic" w:cs="Arial"/>
          <w:b/>
          <w:lang w:val="es-ES"/>
        </w:rPr>
        <w:t>1860</w:t>
      </w:r>
      <w:r w:rsidRPr="00426E78">
        <w:rPr>
          <w:rFonts w:ascii="Century Gothic" w:eastAsia="Arial MT" w:hAnsi="Century Gothic" w:cs="Arial"/>
          <w:b/>
          <w:spacing w:val="-4"/>
          <w:lang w:val="es-ES"/>
        </w:rPr>
        <w:t xml:space="preserve"> </w:t>
      </w:r>
      <w:r w:rsidRPr="00426E78">
        <w:rPr>
          <w:rFonts w:ascii="Century Gothic" w:eastAsia="Arial MT" w:hAnsi="Century Gothic" w:cs="Arial"/>
          <w:b/>
          <w:lang w:val="es-ES"/>
        </w:rPr>
        <w:t>de</w:t>
      </w:r>
      <w:r w:rsidRPr="00426E78">
        <w:rPr>
          <w:rFonts w:ascii="Century Gothic" w:eastAsia="Arial MT" w:hAnsi="Century Gothic" w:cs="Arial"/>
          <w:b/>
          <w:spacing w:val="-4"/>
          <w:lang w:val="es-ES"/>
        </w:rPr>
        <w:t xml:space="preserve"> </w:t>
      </w:r>
      <w:r w:rsidRPr="00426E78">
        <w:rPr>
          <w:rFonts w:ascii="Century Gothic" w:eastAsia="Arial MT" w:hAnsi="Century Gothic" w:cs="Arial"/>
          <w:b/>
          <w:lang w:val="es-ES"/>
        </w:rPr>
        <w:t>2021</w:t>
      </w:r>
    </w:p>
    <w:p w14:paraId="637AB022" w14:textId="77777777" w:rsidR="00611FA2" w:rsidRPr="00013123" w:rsidRDefault="00611FA2" w:rsidP="00611FA2">
      <w:pPr>
        <w:widowControl w:val="0"/>
        <w:autoSpaceDE w:val="0"/>
        <w:autoSpaceDN w:val="0"/>
        <w:spacing w:after="0" w:line="240" w:lineRule="auto"/>
        <w:outlineLvl w:val="0"/>
        <w:rPr>
          <w:rFonts w:ascii="Century Gothic" w:eastAsia="Arial" w:hAnsi="Century Gothic" w:cs="Arial"/>
          <w:b/>
          <w:bCs/>
          <w:sz w:val="20"/>
          <w:szCs w:val="20"/>
          <w:lang w:val="es-ES"/>
        </w:rPr>
      </w:pPr>
    </w:p>
    <w:p w14:paraId="74C3FF8F"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 xml:space="preserv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1E3010C7"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350077A3"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w:t>
      </w:r>
    </w:p>
    <w:p w14:paraId="6DFA7DC8"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3DB84C21"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 xml:space="preserve">En lo relativo al artículo 32 de la Ley 2069 de 2020, el artículo 3 del Decreto 1860 de 2021 </w:t>
      </w:r>
      <w:r w:rsidRPr="00013123">
        <w:rPr>
          <w:rFonts w:ascii="Century Gothic" w:eastAsia="Arial MT" w:hAnsi="Century Gothic" w:cs="Arial"/>
          <w:sz w:val="20"/>
          <w:szCs w:val="20"/>
          <w:lang w:val="es-ES"/>
        </w:rPr>
        <w:lastRenderedPageBreak/>
        <w:t>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w:t>
      </w:r>
    </w:p>
    <w:p w14:paraId="624D6C2C" w14:textId="77777777" w:rsidR="00611FA2" w:rsidRPr="00013123" w:rsidRDefault="00611FA2" w:rsidP="00611FA2">
      <w:pPr>
        <w:widowControl w:val="0"/>
        <w:autoSpaceDE w:val="0"/>
        <w:autoSpaceDN w:val="0"/>
        <w:spacing w:after="0" w:line="240" w:lineRule="auto"/>
        <w:rPr>
          <w:rFonts w:ascii="Century Gothic" w:eastAsia="Arial MT" w:hAnsi="Century Gothic" w:cs="Arial"/>
          <w:sz w:val="20"/>
          <w:szCs w:val="20"/>
          <w:lang w:val="es-ES"/>
        </w:rPr>
      </w:pPr>
    </w:p>
    <w:p w14:paraId="4F3BBA30" w14:textId="77777777" w:rsidR="00611FA2" w:rsidRPr="00426E78" w:rsidRDefault="00611FA2" w:rsidP="00611FA2">
      <w:pPr>
        <w:widowControl w:val="0"/>
        <w:autoSpaceDE w:val="0"/>
        <w:autoSpaceDN w:val="0"/>
        <w:spacing w:after="0" w:line="240" w:lineRule="auto"/>
        <w:jc w:val="both"/>
        <w:outlineLvl w:val="0"/>
        <w:rPr>
          <w:rFonts w:ascii="Century Gothic" w:eastAsia="Arial" w:hAnsi="Century Gothic" w:cs="Arial"/>
          <w:b/>
          <w:bCs/>
          <w:lang w:val="es-ES"/>
        </w:rPr>
      </w:pPr>
      <w:r w:rsidRPr="00426E78">
        <w:rPr>
          <w:rFonts w:ascii="Century Gothic" w:eastAsia="Arial" w:hAnsi="Century Gothic" w:cs="Arial"/>
          <w:b/>
          <w:bCs/>
          <w:lang w:val="es-ES"/>
        </w:rPr>
        <w:t>DECRETO</w:t>
      </w:r>
      <w:r w:rsidRPr="00426E78">
        <w:rPr>
          <w:rFonts w:ascii="Century Gothic" w:eastAsia="Arial" w:hAnsi="Century Gothic" w:cs="Arial"/>
          <w:b/>
          <w:bCs/>
          <w:spacing w:val="-15"/>
          <w:lang w:val="es-ES"/>
        </w:rPr>
        <w:t xml:space="preserve"> </w:t>
      </w:r>
      <w:r w:rsidRPr="00426E78">
        <w:rPr>
          <w:rFonts w:ascii="Century Gothic" w:eastAsia="Arial" w:hAnsi="Century Gothic" w:cs="Arial"/>
          <w:b/>
          <w:bCs/>
          <w:lang w:val="es-ES"/>
        </w:rPr>
        <w:t>1860</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2021</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Emprendimientos</w:t>
      </w:r>
      <w:r w:rsidRPr="00426E78">
        <w:rPr>
          <w:rFonts w:ascii="Century Gothic" w:eastAsia="Arial" w:hAnsi="Century Gothic" w:cs="Arial"/>
          <w:b/>
          <w:bCs/>
          <w:spacing w:val="-11"/>
          <w:lang w:val="es-ES"/>
        </w:rPr>
        <w:t xml:space="preserve"> </w:t>
      </w:r>
      <w:r w:rsidRPr="00426E78">
        <w:rPr>
          <w:rFonts w:ascii="Century Gothic" w:eastAsia="Arial" w:hAnsi="Century Gothic" w:cs="Arial"/>
          <w:b/>
          <w:bCs/>
          <w:lang w:val="es-ES"/>
        </w:rPr>
        <w:t>y</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empresas</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de</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mujeres</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Definición</w:t>
      </w:r>
      <w:r w:rsidRPr="00426E78">
        <w:rPr>
          <w:rFonts w:ascii="Century Gothic" w:eastAsia="Arial" w:hAnsi="Century Gothic" w:cs="Arial"/>
          <w:b/>
          <w:bCs/>
          <w:spacing w:val="-13"/>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14"/>
          <w:lang w:val="es-ES"/>
        </w:rPr>
        <w:t xml:space="preserve"> </w:t>
      </w:r>
      <w:r w:rsidRPr="00426E78">
        <w:rPr>
          <w:rFonts w:ascii="Century Gothic" w:eastAsia="Arial" w:hAnsi="Century Gothic" w:cs="Arial"/>
          <w:b/>
          <w:bCs/>
          <w:lang w:val="es-ES"/>
        </w:rPr>
        <w:t>Artículo 2.2.1.2.4.2.14</w:t>
      </w:r>
      <w:r w:rsidRPr="00426E78">
        <w:rPr>
          <w:rFonts w:ascii="Century Gothic" w:eastAsia="Arial" w:hAnsi="Century Gothic" w:cs="Arial"/>
          <w:b/>
          <w:bCs/>
          <w:spacing w:val="-2"/>
          <w:lang w:val="es-ES"/>
        </w:rPr>
        <w:t xml:space="preserve"> </w:t>
      </w:r>
      <w:r w:rsidRPr="00426E78">
        <w:rPr>
          <w:rFonts w:ascii="Century Gothic" w:eastAsia="Arial" w:hAnsi="Century Gothic" w:cs="Arial"/>
          <w:b/>
          <w:bCs/>
          <w:lang w:val="es-ES"/>
        </w:rPr>
        <w:t>–</w:t>
      </w:r>
      <w:r w:rsidRPr="00426E78">
        <w:rPr>
          <w:rFonts w:ascii="Century Gothic" w:eastAsia="Arial" w:hAnsi="Century Gothic" w:cs="Arial"/>
          <w:b/>
          <w:bCs/>
          <w:spacing w:val="-2"/>
          <w:lang w:val="es-ES"/>
        </w:rPr>
        <w:t xml:space="preserve"> </w:t>
      </w:r>
      <w:r w:rsidRPr="00426E78">
        <w:rPr>
          <w:rFonts w:ascii="Century Gothic" w:eastAsia="Arial" w:hAnsi="Century Gothic" w:cs="Arial"/>
          <w:b/>
          <w:bCs/>
          <w:lang w:val="es-ES"/>
        </w:rPr>
        <w:t>Acreditación – Condición – Mujer – Regla general</w:t>
      </w:r>
    </w:p>
    <w:p w14:paraId="416293FC" w14:textId="77777777" w:rsidR="00611FA2" w:rsidRPr="00013123" w:rsidRDefault="00611FA2" w:rsidP="00611FA2">
      <w:pPr>
        <w:widowControl w:val="0"/>
        <w:autoSpaceDE w:val="0"/>
        <w:autoSpaceDN w:val="0"/>
        <w:spacing w:after="0" w:line="240" w:lineRule="auto"/>
        <w:rPr>
          <w:rFonts w:ascii="Century Gothic" w:eastAsia="Arial MT" w:hAnsi="Century Gothic" w:cs="Arial"/>
          <w:b/>
          <w:sz w:val="20"/>
          <w:szCs w:val="20"/>
          <w:lang w:val="es-ES"/>
        </w:rPr>
      </w:pPr>
    </w:p>
    <w:p w14:paraId="7DD40E7F"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w:t>
      </w:r>
      <w:r>
        <w:rPr>
          <w:rFonts w:ascii="Century Gothic" w:eastAsia="Arial MT" w:hAnsi="Century Gothic" w:cs="Arial"/>
          <w:sz w:val="20"/>
          <w:szCs w:val="20"/>
          <w:lang w:val="es-ES"/>
        </w:rPr>
        <w:t>.</w:t>
      </w:r>
    </w:p>
    <w:p w14:paraId="4B3D2A2D"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0487ECEC"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w:t>
      </w:r>
    </w:p>
    <w:p w14:paraId="6D98D4C7"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1B27B53B"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Los documentos a los que se refieren los distintos numerales del artículo 2.2.1.2.4.2.14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 definición establecida en el numeral 2 del artículo 2.2.1.2.4.2.14, les corresponde presentar la mencionada certificación con sus respectivos soportes.</w:t>
      </w:r>
    </w:p>
    <w:p w14:paraId="5D60514D"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531BF201" w14:textId="77777777" w:rsidR="00611FA2" w:rsidRPr="00426E78" w:rsidRDefault="00611FA2" w:rsidP="00611FA2">
      <w:pPr>
        <w:widowControl w:val="0"/>
        <w:autoSpaceDE w:val="0"/>
        <w:autoSpaceDN w:val="0"/>
        <w:spacing w:after="0" w:line="240" w:lineRule="auto"/>
        <w:jc w:val="both"/>
        <w:rPr>
          <w:rFonts w:ascii="Century Gothic" w:eastAsia="Arial MT" w:hAnsi="Century Gothic" w:cs="Arial"/>
          <w:b/>
          <w:bCs/>
          <w:lang w:val="es-ES"/>
        </w:rPr>
      </w:pPr>
      <w:r w:rsidRPr="00426E78">
        <w:rPr>
          <w:rFonts w:ascii="Century Gothic" w:eastAsia="Arial MT" w:hAnsi="Century Gothic" w:cs="Arial"/>
          <w:b/>
          <w:bCs/>
          <w:lang w:val="es-ES"/>
        </w:rPr>
        <w:t>IDENTIDAD DE GÉNERO – Concepto – Alcance – Importancia – Sexo</w:t>
      </w:r>
    </w:p>
    <w:p w14:paraId="721FF3F1"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4EDE4DC0"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 la jurisprudencia constitucional, en congruencia con los lineamientos internacionales sobre la materia, desarrolló la tesis en la que se sitúa la identidad de género como un derecho fundamental, que comporta la facultad del individuo de definirse a sí mismo. En esta determinación autónoma resulta indispensable tener como referente que es el resultado de la voluntad humana y no de su naturaleza. En otras palabras, esta postura comprende el desarraigo de la concepción tradicional en la que el género estaba intrínsicamente asociado al sexo biológico de las personas, es decir, en la actualidad el género no se asigna, sino que se construye […]</w:t>
      </w:r>
      <w:r>
        <w:rPr>
          <w:rFonts w:ascii="Century Gothic" w:eastAsia="Arial MT" w:hAnsi="Century Gothic" w:cs="Arial"/>
          <w:sz w:val="20"/>
          <w:szCs w:val="20"/>
          <w:lang w:val="es-ES"/>
        </w:rPr>
        <w:t>.</w:t>
      </w:r>
    </w:p>
    <w:p w14:paraId="4159997D"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256228FA"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w:t>
      </w:r>
    </w:p>
    <w:p w14:paraId="41CACD1F" w14:textId="77777777" w:rsidR="00611FA2" w:rsidRPr="00013123"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1C2BF0FC"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r w:rsidRPr="00013123">
        <w:rPr>
          <w:rFonts w:ascii="Century Gothic" w:eastAsia="Arial MT" w:hAnsi="Century Gothic" w:cs="Arial"/>
          <w:sz w:val="20"/>
          <w:szCs w:val="20"/>
          <w:lang w:val="es-ES"/>
        </w:rPr>
        <w:t xml:space="preserve">En virtud En virtud de lo anterior, esto es, partiendo de la concepción de la identidad de género como una construcción individual, se precisa entonces que el componente “sexo” que registra en la identificación de las personas, evolucionó en tal medida que la información consignada en este campo o ítem, por decirlo de alguna manera, debe entenderse como una decisión personal y no como una asignación ligada al sexo con el que se nace. Es por ello por lo que las personas tienen la potestad de modificar su marcador de “sexo” para que coincida con su identidad, en caso de que requiera hacer el tránsito </w:t>
      </w:r>
      <w:r w:rsidRPr="00013123">
        <w:rPr>
          <w:rFonts w:ascii="Century Gothic" w:eastAsia="Arial MT" w:hAnsi="Century Gothic" w:cs="Arial"/>
          <w:sz w:val="20"/>
          <w:szCs w:val="20"/>
          <w:lang w:val="es-ES"/>
        </w:rPr>
        <w:lastRenderedPageBreak/>
        <w:t>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p>
    <w:p w14:paraId="5CC8BB67" w14:textId="77777777" w:rsidR="00611FA2" w:rsidRDefault="00611FA2" w:rsidP="00611FA2">
      <w:pPr>
        <w:widowControl w:val="0"/>
        <w:autoSpaceDE w:val="0"/>
        <w:autoSpaceDN w:val="0"/>
        <w:spacing w:after="0" w:line="240" w:lineRule="auto"/>
        <w:jc w:val="both"/>
        <w:rPr>
          <w:rFonts w:ascii="Century Gothic" w:eastAsia="Arial MT" w:hAnsi="Century Gothic" w:cs="Arial"/>
          <w:sz w:val="20"/>
          <w:szCs w:val="20"/>
          <w:lang w:val="es-ES"/>
        </w:rPr>
      </w:pPr>
    </w:p>
    <w:p w14:paraId="1BCA3FAD" w14:textId="77777777" w:rsidR="00611FA2" w:rsidRPr="00426E78" w:rsidRDefault="00611FA2" w:rsidP="00611FA2">
      <w:pPr>
        <w:widowControl w:val="0"/>
        <w:autoSpaceDE w:val="0"/>
        <w:autoSpaceDN w:val="0"/>
        <w:spacing w:after="0" w:line="240" w:lineRule="auto"/>
        <w:jc w:val="both"/>
        <w:rPr>
          <w:rFonts w:ascii="Century Gothic" w:eastAsia="Arial MT" w:hAnsi="Century Gothic" w:cs="Arial"/>
          <w:b/>
          <w:bCs/>
          <w:lang w:val="es-ES"/>
        </w:rPr>
      </w:pPr>
      <w:r w:rsidRPr="00426E78">
        <w:rPr>
          <w:rFonts w:ascii="Century Gothic" w:eastAsia="Arial MT" w:hAnsi="Century Gothic" w:cs="Arial"/>
          <w:b/>
          <w:bCs/>
          <w:lang w:val="es-ES"/>
        </w:rPr>
        <w:t xml:space="preserve">NO BINARIO – Definición / CRITERIOS DIFERENCIALES Y FACTORES DE DESEMPATE – Inaplicación </w:t>
      </w:r>
    </w:p>
    <w:p w14:paraId="38F9A0D9" w14:textId="77777777" w:rsidR="00611FA2" w:rsidRDefault="00611FA2" w:rsidP="00611FA2">
      <w:pPr>
        <w:spacing w:after="0" w:line="240" w:lineRule="auto"/>
        <w:contextualSpacing/>
        <w:jc w:val="both"/>
        <w:rPr>
          <w:rFonts w:ascii="Century Gothic" w:hAnsi="Century Gothic" w:cs="Arial"/>
          <w:bCs/>
          <w:color w:val="000000"/>
          <w:sz w:val="20"/>
          <w:szCs w:val="20"/>
          <w:lang w:val="es-ES_tradnl"/>
        </w:rPr>
      </w:pPr>
    </w:p>
    <w:p w14:paraId="5B9C65DE" w14:textId="77777777" w:rsidR="00611FA2" w:rsidRPr="00324221" w:rsidRDefault="00611FA2" w:rsidP="00611FA2">
      <w:pPr>
        <w:spacing w:after="0" w:line="240" w:lineRule="auto"/>
        <w:contextualSpacing/>
        <w:jc w:val="both"/>
        <w:rPr>
          <w:rFonts w:ascii="Century Gothic" w:hAnsi="Century Gothic" w:cs="Arial"/>
          <w:bCs/>
          <w:color w:val="000000"/>
          <w:sz w:val="20"/>
          <w:szCs w:val="20"/>
          <w:lang w:val="es-ES_tradnl"/>
        </w:rPr>
      </w:pPr>
      <w:r w:rsidRPr="00426E78">
        <w:rPr>
          <w:rFonts w:ascii="Century Gothic" w:hAnsi="Century Gothic" w:cs="Arial"/>
          <w:bCs/>
          <w:color w:val="000000"/>
          <w:sz w:val="20"/>
          <w:szCs w:val="20"/>
          <w:lang w:val="es-ES_tradnl"/>
        </w:rPr>
        <w:t>De acuerdo con la Sentencia T-033 de 2022, con ponencia de la Magistrada Gloria Stella Ortiz Delgado, la Corte Constitucional explica que “La identidad de género no binaria es comprendida como aquella que, al no concebirse en el marco de las categorías dicotómicas, masculino o femenino, se aleja del sistema mayoritario de sexo-género, binario por tradición cultural. Las personas no binarias no se encuentran representadas, en sus vivencias, por ninguna de las categorías de género existentes en ese sistema”. Dado que las personas no binarias no se identifican como hombres ni, mucho menos, como mujeres, quienes posean documentos de identidad con la categoría NB no son destinatarios de los incentivos previstos en el 2.2.1.2.4.2.15 del Decreto 1082 de 2015 para emprendimientos y empresas de mujeres. Por la misma razón, en teniendo en cuenta el género consignado en los documentos de identidad, tampoco son mujeres para los factores de desempate de los numerales 2 y 7 del artículo 2.2.1.2.4.2.17 del Decreto 1082 de 2015, por lo que también son inaplicables a las personas no binarias. Lo anterior al margen de que el procedimiento se rija o no por documentos tipo, dado que la regulación de los incentivos de la Ley de Emprendimiento es transversal al sistema de compras públicas.</w:t>
      </w:r>
    </w:p>
    <w:p w14:paraId="6DD18750" w14:textId="77777777" w:rsidR="00611FA2" w:rsidRDefault="00611FA2" w:rsidP="00275C28">
      <w:pPr>
        <w:spacing w:after="0"/>
        <w:rPr>
          <w:rFonts w:ascii="Century Gothic" w:eastAsia="Geomanist Light" w:hAnsi="Century Gothic" w:cs="Arial"/>
          <w:color w:val="000000" w:themeColor="text1"/>
          <w:lang w:val="es-MX"/>
        </w:rPr>
      </w:pPr>
    </w:p>
    <w:p w14:paraId="3D50FCA7" w14:textId="77777777" w:rsidR="00611FA2" w:rsidRDefault="00611FA2" w:rsidP="00275C28">
      <w:pPr>
        <w:spacing w:after="0"/>
        <w:rPr>
          <w:rFonts w:ascii="Century Gothic" w:eastAsia="Geomanist Light" w:hAnsi="Century Gothic" w:cs="Arial"/>
          <w:color w:val="000000" w:themeColor="text1"/>
          <w:lang w:val="es-MX"/>
        </w:rPr>
      </w:pPr>
    </w:p>
    <w:p w14:paraId="07D33F47" w14:textId="77777777" w:rsidR="00611FA2" w:rsidRDefault="00611FA2" w:rsidP="00275C28">
      <w:pPr>
        <w:spacing w:after="0"/>
        <w:rPr>
          <w:rFonts w:ascii="Century Gothic" w:eastAsia="Geomanist Light" w:hAnsi="Century Gothic" w:cs="Arial"/>
          <w:color w:val="000000" w:themeColor="text1"/>
          <w:lang w:val="es-MX"/>
        </w:rPr>
      </w:pPr>
    </w:p>
    <w:p w14:paraId="0265B711" w14:textId="77777777" w:rsidR="00611FA2" w:rsidRDefault="00611FA2" w:rsidP="00275C28">
      <w:pPr>
        <w:spacing w:after="0"/>
        <w:rPr>
          <w:rFonts w:ascii="Century Gothic" w:eastAsia="Geomanist Light" w:hAnsi="Century Gothic" w:cs="Arial"/>
          <w:color w:val="000000" w:themeColor="text1"/>
          <w:lang w:val="es-MX"/>
        </w:rPr>
      </w:pPr>
    </w:p>
    <w:p w14:paraId="3335AA8C" w14:textId="77777777" w:rsidR="00611FA2" w:rsidRDefault="00611FA2" w:rsidP="00275C28">
      <w:pPr>
        <w:spacing w:after="0"/>
        <w:rPr>
          <w:rFonts w:ascii="Century Gothic" w:eastAsia="Geomanist Light" w:hAnsi="Century Gothic" w:cs="Arial"/>
          <w:color w:val="000000" w:themeColor="text1"/>
          <w:lang w:val="es-MX"/>
        </w:rPr>
      </w:pPr>
    </w:p>
    <w:p w14:paraId="21BCCEAC" w14:textId="77777777" w:rsidR="00611FA2" w:rsidRDefault="00611FA2" w:rsidP="00275C28">
      <w:pPr>
        <w:spacing w:after="0"/>
        <w:rPr>
          <w:rFonts w:ascii="Century Gothic" w:eastAsia="Geomanist Light" w:hAnsi="Century Gothic" w:cs="Arial"/>
          <w:color w:val="000000" w:themeColor="text1"/>
          <w:lang w:val="es-MX"/>
        </w:rPr>
      </w:pPr>
    </w:p>
    <w:p w14:paraId="44668028" w14:textId="77777777" w:rsidR="00611FA2" w:rsidRDefault="00611FA2" w:rsidP="00275C28">
      <w:pPr>
        <w:spacing w:after="0"/>
        <w:rPr>
          <w:rFonts w:ascii="Century Gothic" w:eastAsia="Geomanist Light" w:hAnsi="Century Gothic" w:cs="Arial"/>
          <w:color w:val="000000" w:themeColor="text1"/>
          <w:lang w:val="es-MX"/>
        </w:rPr>
      </w:pPr>
    </w:p>
    <w:p w14:paraId="1D181088" w14:textId="77777777" w:rsidR="00611FA2" w:rsidRDefault="00611FA2" w:rsidP="00275C28">
      <w:pPr>
        <w:spacing w:after="0"/>
        <w:rPr>
          <w:rFonts w:ascii="Century Gothic" w:eastAsia="Geomanist Light" w:hAnsi="Century Gothic" w:cs="Arial"/>
          <w:color w:val="000000" w:themeColor="text1"/>
          <w:lang w:val="es-MX"/>
        </w:rPr>
      </w:pPr>
    </w:p>
    <w:p w14:paraId="6E381D3B" w14:textId="77777777" w:rsidR="00611FA2" w:rsidRDefault="00611FA2" w:rsidP="00275C28">
      <w:pPr>
        <w:spacing w:after="0"/>
        <w:rPr>
          <w:rFonts w:ascii="Century Gothic" w:eastAsia="Geomanist Light" w:hAnsi="Century Gothic" w:cs="Arial"/>
          <w:color w:val="000000" w:themeColor="text1"/>
          <w:lang w:val="es-MX"/>
        </w:rPr>
      </w:pPr>
    </w:p>
    <w:p w14:paraId="4A53A083" w14:textId="77777777" w:rsidR="00611FA2" w:rsidRDefault="00611FA2" w:rsidP="00275C28">
      <w:pPr>
        <w:spacing w:after="0"/>
        <w:rPr>
          <w:rFonts w:ascii="Century Gothic" w:eastAsia="Geomanist Light" w:hAnsi="Century Gothic" w:cs="Arial"/>
          <w:color w:val="000000" w:themeColor="text1"/>
          <w:lang w:val="es-MX"/>
        </w:rPr>
      </w:pPr>
    </w:p>
    <w:p w14:paraId="439AFE1D" w14:textId="77777777" w:rsidR="00611FA2" w:rsidRDefault="00611FA2" w:rsidP="00275C28">
      <w:pPr>
        <w:spacing w:after="0"/>
        <w:rPr>
          <w:rFonts w:ascii="Century Gothic" w:eastAsia="Geomanist Light" w:hAnsi="Century Gothic" w:cs="Arial"/>
          <w:color w:val="000000" w:themeColor="text1"/>
          <w:lang w:val="es-MX"/>
        </w:rPr>
      </w:pPr>
    </w:p>
    <w:p w14:paraId="7FE72499" w14:textId="77777777" w:rsidR="00611FA2" w:rsidRDefault="00611FA2" w:rsidP="00275C28">
      <w:pPr>
        <w:spacing w:after="0"/>
        <w:rPr>
          <w:rFonts w:ascii="Century Gothic" w:eastAsia="Geomanist Light" w:hAnsi="Century Gothic" w:cs="Arial"/>
          <w:color w:val="000000" w:themeColor="text1"/>
          <w:lang w:val="es-MX"/>
        </w:rPr>
      </w:pPr>
    </w:p>
    <w:p w14:paraId="3A474FD6" w14:textId="77777777" w:rsidR="00611FA2" w:rsidRDefault="00611FA2" w:rsidP="00275C28">
      <w:pPr>
        <w:spacing w:after="0"/>
        <w:rPr>
          <w:rFonts w:ascii="Century Gothic" w:eastAsia="Geomanist Light" w:hAnsi="Century Gothic" w:cs="Arial"/>
          <w:color w:val="000000" w:themeColor="text1"/>
          <w:lang w:val="es-MX"/>
        </w:rPr>
      </w:pPr>
    </w:p>
    <w:p w14:paraId="7D02B32B" w14:textId="77777777" w:rsidR="00611FA2" w:rsidRDefault="00611FA2" w:rsidP="00275C28">
      <w:pPr>
        <w:spacing w:after="0"/>
        <w:rPr>
          <w:rFonts w:ascii="Century Gothic" w:eastAsia="Geomanist Light" w:hAnsi="Century Gothic" w:cs="Arial"/>
          <w:color w:val="000000" w:themeColor="text1"/>
          <w:lang w:val="es-MX"/>
        </w:rPr>
      </w:pPr>
    </w:p>
    <w:p w14:paraId="06EBE0F5" w14:textId="77777777" w:rsidR="00611FA2" w:rsidRDefault="00611FA2" w:rsidP="00275C28">
      <w:pPr>
        <w:spacing w:after="0"/>
        <w:rPr>
          <w:rFonts w:ascii="Century Gothic" w:eastAsia="Geomanist Light" w:hAnsi="Century Gothic" w:cs="Arial"/>
          <w:color w:val="000000" w:themeColor="text1"/>
          <w:lang w:val="es-MX"/>
        </w:rPr>
      </w:pPr>
    </w:p>
    <w:p w14:paraId="049E2B27" w14:textId="77777777" w:rsidR="00611FA2" w:rsidRDefault="00611FA2" w:rsidP="00275C28">
      <w:pPr>
        <w:spacing w:after="0"/>
        <w:rPr>
          <w:rFonts w:ascii="Century Gothic" w:eastAsia="Geomanist Light" w:hAnsi="Century Gothic" w:cs="Arial"/>
          <w:color w:val="000000" w:themeColor="text1"/>
          <w:lang w:val="es-MX"/>
        </w:rPr>
      </w:pPr>
    </w:p>
    <w:p w14:paraId="2E21FA37" w14:textId="77777777" w:rsidR="00611FA2" w:rsidRDefault="00611FA2" w:rsidP="00275C28">
      <w:pPr>
        <w:spacing w:after="0"/>
        <w:rPr>
          <w:rFonts w:ascii="Century Gothic" w:eastAsia="Geomanist Light" w:hAnsi="Century Gothic" w:cs="Arial"/>
          <w:color w:val="000000" w:themeColor="text1"/>
          <w:lang w:val="es-MX"/>
        </w:rPr>
      </w:pPr>
    </w:p>
    <w:p w14:paraId="66C6F73C" w14:textId="77777777" w:rsidR="00611FA2" w:rsidRDefault="00611FA2" w:rsidP="00275C28">
      <w:pPr>
        <w:spacing w:after="0"/>
        <w:rPr>
          <w:rFonts w:ascii="Century Gothic" w:eastAsia="Geomanist Light" w:hAnsi="Century Gothic" w:cs="Arial"/>
          <w:color w:val="000000" w:themeColor="text1"/>
          <w:lang w:val="es-MX"/>
        </w:rPr>
      </w:pPr>
    </w:p>
    <w:p w14:paraId="1487CFBA" w14:textId="77777777" w:rsidR="00611FA2" w:rsidRDefault="00611FA2" w:rsidP="00275C28">
      <w:pPr>
        <w:spacing w:after="0"/>
        <w:rPr>
          <w:rFonts w:ascii="Century Gothic" w:eastAsia="Geomanist Light" w:hAnsi="Century Gothic" w:cs="Arial"/>
          <w:color w:val="000000" w:themeColor="text1"/>
          <w:lang w:val="es-MX"/>
        </w:rPr>
      </w:pPr>
    </w:p>
    <w:p w14:paraId="54FDEA68" w14:textId="77777777" w:rsidR="00611FA2" w:rsidRDefault="00611FA2" w:rsidP="00275C28">
      <w:pPr>
        <w:spacing w:after="0"/>
        <w:rPr>
          <w:rFonts w:ascii="Century Gothic" w:eastAsia="Geomanist Light" w:hAnsi="Century Gothic" w:cs="Arial"/>
          <w:color w:val="000000" w:themeColor="text1"/>
          <w:lang w:val="es-MX"/>
        </w:rPr>
      </w:pPr>
    </w:p>
    <w:p w14:paraId="30DA1B4A" w14:textId="492EE58E" w:rsidR="00275C28" w:rsidRPr="004C64AD" w:rsidRDefault="00275C28" w:rsidP="00275C28">
      <w:pPr>
        <w:spacing w:after="0"/>
        <w:rPr>
          <w:rFonts w:ascii="Century Gothic" w:eastAsia="Geomanist Light" w:hAnsi="Century Gothic" w:cs="Arial"/>
          <w:color w:val="201F1E"/>
          <w:lang w:val="es-MX"/>
        </w:rPr>
      </w:pPr>
      <w:r w:rsidRPr="004C64AD">
        <w:rPr>
          <w:rFonts w:ascii="Century Gothic" w:eastAsia="Geomanist Light" w:hAnsi="Century Gothic" w:cs="Arial"/>
          <w:color w:val="000000" w:themeColor="text1"/>
          <w:lang w:val="es-MX"/>
        </w:rPr>
        <w:lastRenderedPageBreak/>
        <w:t>Bogotá D.C., </w:t>
      </w:r>
      <w:r w:rsidR="00B67F65" w:rsidRPr="00B67F65">
        <w:rPr>
          <w:rFonts w:ascii="Century Gothic" w:eastAsia="Geomanist Light" w:hAnsi="Century Gothic" w:cs="Arial"/>
          <w:color w:val="201F1E"/>
          <w:lang w:val="es-MX"/>
        </w:rPr>
        <w:t>26 de Marzo de 2024</w:t>
      </w:r>
    </w:p>
    <w:p w14:paraId="3A55C066" w14:textId="77777777" w:rsidR="00275C28" w:rsidRDefault="00275C28" w:rsidP="00275C28">
      <w:pPr>
        <w:spacing w:after="0"/>
        <w:rPr>
          <w:rFonts w:ascii="Century Gothic" w:eastAsia="Geomanist Light" w:hAnsi="Century Gothic" w:cs="Arial"/>
          <w:color w:val="201F1E"/>
          <w:lang w:val="es-MX"/>
        </w:rPr>
      </w:pPr>
    </w:p>
    <w:p w14:paraId="0A2C2351" w14:textId="2406040D" w:rsidR="003C330B" w:rsidRPr="004C64AD" w:rsidRDefault="003C330B" w:rsidP="003C330B">
      <w:pPr>
        <w:spacing w:after="0"/>
        <w:jc w:val="right"/>
        <w:rPr>
          <w:rFonts w:ascii="Century Gothic" w:eastAsia="Geomanist Light" w:hAnsi="Century Gothic" w:cs="Arial"/>
          <w:color w:val="201F1E"/>
          <w:lang w:val="es-MX"/>
        </w:rPr>
      </w:pPr>
      <w:r>
        <w:rPr>
          <w:noProof/>
        </w:rPr>
        <w:drawing>
          <wp:inline distT="0" distB="0" distL="0" distR="0" wp14:anchorId="15D63434" wp14:editId="559D5B52">
            <wp:extent cx="3253476" cy="904813"/>
            <wp:effectExtent l="0" t="0" r="4445" b="0"/>
            <wp:docPr id="649789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89365" name=""/>
                    <pic:cNvPicPr/>
                  </pic:nvPicPr>
                  <pic:blipFill>
                    <a:blip r:embed="rId10"/>
                    <a:stretch>
                      <a:fillRect/>
                    </a:stretch>
                  </pic:blipFill>
                  <pic:spPr>
                    <a:xfrm>
                      <a:off x="0" y="0"/>
                      <a:ext cx="3253476" cy="904813"/>
                    </a:xfrm>
                    <a:prstGeom prst="rect">
                      <a:avLst/>
                    </a:prstGeom>
                  </pic:spPr>
                </pic:pic>
              </a:graphicData>
            </a:graphic>
          </wp:inline>
        </w:drawing>
      </w:r>
    </w:p>
    <w:p w14:paraId="06C2CCB8" w14:textId="77777777" w:rsidR="00275C28" w:rsidRPr="004C64AD" w:rsidRDefault="00275C28" w:rsidP="00275C28">
      <w:pPr>
        <w:spacing w:after="0"/>
        <w:contextualSpacing/>
        <w:jc w:val="both"/>
        <w:rPr>
          <w:rFonts w:ascii="Century Gothic" w:eastAsia="Calibri" w:hAnsi="Century Gothic" w:cs="Arial"/>
          <w:lang w:val="es-ES_tradnl" w:eastAsia="es-ES_tradnl"/>
        </w:rPr>
      </w:pPr>
    </w:p>
    <w:p w14:paraId="7A346324" w14:textId="77777777" w:rsidR="00275C28" w:rsidRPr="004C64AD" w:rsidRDefault="00275C28" w:rsidP="00275C28">
      <w:pPr>
        <w:spacing w:after="0"/>
        <w:contextualSpacing/>
        <w:jc w:val="both"/>
        <w:rPr>
          <w:rFonts w:ascii="Century Gothic" w:eastAsia="Calibri" w:hAnsi="Century Gothic" w:cs="Arial"/>
          <w:lang w:eastAsia="es-ES_tradnl"/>
        </w:rPr>
      </w:pPr>
      <w:r>
        <w:rPr>
          <w:rFonts w:ascii="Century Gothic" w:eastAsia="Calibri" w:hAnsi="Century Gothic" w:cs="Arial"/>
          <w:lang w:eastAsia="es-ES_tradnl"/>
        </w:rPr>
        <w:t>Señor</w:t>
      </w:r>
    </w:p>
    <w:p w14:paraId="46CC540A" w14:textId="77777777" w:rsidR="00275C28" w:rsidRDefault="00275C28" w:rsidP="00275C28">
      <w:pPr>
        <w:spacing w:after="0"/>
        <w:contextualSpacing/>
        <w:jc w:val="both"/>
        <w:rPr>
          <w:rFonts w:ascii="Century Gothic" w:eastAsia="Calibri" w:hAnsi="Century Gothic" w:cs="Arial"/>
          <w:b/>
          <w:lang w:eastAsia="es-ES_tradnl"/>
        </w:rPr>
      </w:pPr>
      <w:r w:rsidRPr="00FD0CBE">
        <w:rPr>
          <w:rFonts w:ascii="Century Gothic" w:eastAsia="Calibri" w:hAnsi="Century Gothic" w:cs="Arial"/>
          <w:b/>
          <w:lang w:eastAsia="es-ES_tradnl"/>
        </w:rPr>
        <w:t>José Alejandro Martínez Novoa</w:t>
      </w:r>
    </w:p>
    <w:p w14:paraId="27C0D621" w14:textId="77777777" w:rsidR="00275C28" w:rsidRDefault="00275C28" w:rsidP="00275C28">
      <w:pPr>
        <w:spacing w:after="0"/>
        <w:contextualSpacing/>
        <w:jc w:val="both"/>
        <w:rPr>
          <w:rFonts w:ascii="Century Gothic" w:eastAsia="Geomanist Light" w:hAnsi="Century Gothic" w:cs="Arial"/>
          <w:color w:val="000000" w:themeColor="text1"/>
          <w:lang w:val="es-MX"/>
        </w:rPr>
      </w:pPr>
      <w:r w:rsidRPr="004C64AD">
        <w:rPr>
          <w:rFonts w:ascii="Century Gothic" w:eastAsia="Geomanist Light" w:hAnsi="Century Gothic" w:cs="Arial"/>
          <w:color w:val="000000" w:themeColor="text1"/>
          <w:lang w:val="es-MX"/>
        </w:rPr>
        <w:t>Bogotá D.C.</w:t>
      </w:r>
    </w:p>
    <w:p w14:paraId="2BE3894E" w14:textId="77777777" w:rsidR="00275C28" w:rsidRPr="004C64AD" w:rsidRDefault="00275C28" w:rsidP="00275C28">
      <w:pPr>
        <w:spacing w:after="0"/>
        <w:contextualSpacing/>
        <w:jc w:val="both"/>
        <w:rPr>
          <w:rFonts w:ascii="Century Gothic" w:eastAsia="Calibri" w:hAnsi="Century Gothic" w:cs="Arial"/>
          <w:lang w:val="es-ES_tradnl" w:eastAsia="es-ES_tradnl"/>
        </w:rPr>
      </w:pPr>
    </w:p>
    <w:p w14:paraId="53173C98" w14:textId="77777777" w:rsidR="00275C28" w:rsidRPr="004C64AD" w:rsidRDefault="00275C28" w:rsidP="00275C28">
      <w:pPr>
        <w:spacing w:after="0"/>
        <w:contextualSpacing/>
        <w:rPr>
          <w:rFonts w:ascii="Century Gothic" w:eastAsia="Calibri" w:hAnsi="Century Gothic" w:cs="Arial"/>
          <w:b/>
          <w:bCs/>
          <w:lang w:val="es-ES_tradnl" w:eastAsia="es-ES_tradnl"/>
        </w:rPr>
      </w:pPr>
    </w:p>
    <w:p w14:paraId="3D7C6318" w14:textId="77777777" w:rsidR="00275C28" w:rsidRPr="004C64AD" w:rsidRDefault="00275C28" w:rsidP="00275C28">
      <w:pPr>
        <w:spacing w:after="0"/>
        <w:ind w:left="2124" w:firstLine="570"/>
        <w:contextualSpacing/>
        <w:rPr>
          <w:rFonts w:ascii="Century Gothic" w:eastAsia="Calibri" w:hAnsi="Century Gothic" w:cs="Arial"/>
          <w:b/>
          <w:bCs/>
          <w:lang w:val="es-ES_tradnl" w:eastAsia="es-ES_tradnl"/>
        </w:rPr>
      </w:pPr>
      <w:r w:rsidRPr="004C64AD">
        <w:rPr>
          <w:rFonts w:ascii="Century Gothic" w:eastAsia="Calibri" w:hAnsi="Century Gothic" w:cs="Arial"/>
          <w:b/>
          <w:bCs/>
          <w:lang w:val="es-ES_tradnl" w:eastAsia="es-ES_tradnl"/>
        </w:rPr>
        <w:t xml:space="preserve">Concepto C – </w:t>
      </w:r>
      <w:r>
        <w:rPr>
          <w:rFonts w:ascii="Century Gothic" w:eastAsia="Calibri" w:hAnsi="Century Gothic" w:cs="Arial"/>
          <w:b/>
          <w:bCs/>
          <w:lang w:val="es-ES_tradnl" w:eastAsia="es-ES_tradnl"/>
        </w:rPr>
        <w:t>031</w:t>
      </w:r>
      <w:r w:rsidRPr="004C64AD">
        <w:rPr>
          <w:rFonts w:ascii="Century Gothic" w:eastAsia="Calibri" w:hAnsi="Century Gothic" w:cs="Arial"/>
          <w:b/>
          <w:bCs/>
          <w:lang w:val="es-ES_tradnl" w:eastAsia="es-ES_tradnl"/>
        </w:rPr>
        <w:t xml:space="preserve"> de 202</w:t>
      </w:r>
      <w:r>
        <w:rPr>
          <w:rFonts w:ascii="Century Gothic" w:eastAsia="Calibri" w:hAnsi="Century Gothic" w:cs="Arial"/>
          <w:b/>
          <w:bCs/>
          <w:lang w:val="es-ES_tradnl" w:eastAsia="es-ES_tradnl"/>
        </w:rPr>
        <w:t>4</w:t>
      </w:r>
    </w:p>
    <w:p w14:paraId="67F25B52" w14:textId="77777777" w:rsidR="00275C28" w:rsidRPr="004C64AD" w:rsidRDefault="00275C28" w:rsidP="00275C28">
      <w:pPr>
        <w:spacing w:after="0"/>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75C28" w:rsidRPr="004C64AD" w14:paraId="7BB52D55" w14:textId="77777777" w:rsidTr="00DF0798">
        <w:tc>
          <w:tcPr>
            <w:tcW w:w="2689" w:type="dxa"/>
          </w:tcPr>
          <w:p w14:paraId="57A63D31" w14:textId="77777777" w:rsidR="00275C28" w:rsidRPr="004C64AD" w:rsidRDefault="00275C28" w:rsidP="00DF0798">
            <w:pPr>
              <w:contextualSpacing/>
              <w:jc w:val="both"/>
              <w:rPr>
                <w:rFonts w:ascii="Century Gothic" w:eastAsia="Calibri" w:hAnsi="Century Gothic" w:cs="Arial"/>
                <w:lang w:val="es-ES_tradnl" w:eastAsia="es-ES_tradnl"/>
              </w:rPr>
            </w:pPr>
            <w:r w:rsidRPr="004C64AD">
              <w:rPr>
                <w:rFonts w:ascii="Century Gothic" w:eastAsia="Calibri" w:hAnsi="Century Gothic" w:cs="Arial"/>
                <w:b/>
                <w:lang w:val="es-ES_tradnl" w:eastAsia="es-ES_tradnl"/>
              </w:rPr>
              <w:t>Temas:</w:t>
            </w:r>
            <w:r w:rsidRPr="004C64AD">
              <w:rPr>
                <w:rFonts w:ascii="Century Gothic" w:eastAsia="Calibri" w:hAnsi="Century Gothic" w:cs="Arial"/>
                <w:lang w:val="es-ES_tradnl" w:eastAsia="es-ES_tradnl"/>
              </w:rPr>
              <w:t xml:space="preserve">                                      </w:t>
            </w:r>
          </w:p>
        </w:tc>
        <w:tc>
          <w:tcPr>
            <w:tcW w:w="6237" w:type="dxa"/>
          </w:tcPr>
          <w:p w14:paraId="1F8669ED" w14:textId="77777777" w:rsidR="00275C28" w:rsidRPr="004C64AD" w:rsidRDefault="00275C28" w:rsidP="00DF0798">
            <w:pPr>
              <w:contextualSpacing/>
              <w:jc w:val="both"/>
              <w:rPr>
                <w:rFonts w:ascii="Century Gothic" w:eastAsia="Calibri" w:hAnsi="Century Gothic" w:cs="Arial"/>
                <w:bCs/>
                <w:lang w:val="es-MX" w:eastAsia="es-ES_tradnl"/>
              </w:rPr>
            </w:pPr>
            <w:r w:rsidRPr="00426E78">
              <w:rPr>
                <w:rFonts w:ascii="Century Gothic" w:eastAsia="Calibri" w:hAnsi="Century Gothic" w:cs="Arial"/>
                <w:bCs/>
                <w:lang w:val="es-MX" w:eastAsia="es-ES_tradnl"/>
              </w:rPr>
              <w:t>LEY DE EMPRENDIMIENTO – Ley 2069 de 2020 – Finalidad / LEY DE EMPRENDIMIENTO – Ley 2069 de 2020 – Artículo 32 – Criterios diferenciales – Emprendimientos de mujeres – Empresas de mujeres – Necesidad de reglamentación – Decreto 1860 de 2021 / DECRETO 1860 DE 2021 – Emprendimientos y empresas de mujeres – Definición – Artículo 2.2.1.2.4.2.14 – Acreditación – Condición – Mujer – Regla general / IDENTIDAD DE GÉNERO – Concepto – Alcance – Sexo</w:t>
            </w:r>
            <w:r>
              <w:rPr>
                <w:rFonts w:ascii="Century Gothic" w:eastAsia="Calibri" w:hAnsi="Century Gothic" w:cs="Arial"/>
                <w:bCs/>
                <w:lang w:val="es-MX" w:eastAsia="es-ES_tradnl"/>
              </w:rPr>
              <w:t xml:space="preserve"> / </w:t>
            </w:r>
            <w:r w:rsidRPr="00426E78">
              <w:rPr>
                <w:rFonts w:ascii="Century Gothic" w:eastAsia="Calibri" w:hAnsi="Century Gothic" w:cs="Arial"/>
                <w:bCs/>
                <w:lang w:val="es-MX" w:eastAsia="es-ES_tradnl"/>
              </w:rPr>
              <w:t>NO BINARIO – Definición / CRITERIOS DIFERENCIALES Y FACTORES DE DESEMPATE – Inaplicación</w:t>
            </w:r>
          </w:p>
          <w:p w14:paraId="029A7CDF" w14:textId="77777777" w:rsidR="00275C28" w:rsidRPr="004C64AD" w:rsidRDefault="00275C28" w:rsidP="00DF0798">
            <w:pPr>
              <w:contextualSpacing/>
              <w:jc w:val="both"/>
              <w:rPr>
                <w:rFonts w:ascii="Century Gothic" w:eastAsia="Calibri" w:hAnsi="Century Gothic" w:cs="Arial"/>
                <w:bCs/>
                <w:sz w:val="12"/>
                <w:szCs w:val="12"/>
                <w:lang w:val="es-ES_tradnl" w:eastAsia="es-ES_tradnl"/>
              </w:rPr>
            </w:pPr>
          </w:p>
        </w:tc>
      </w:tr>
      <w:tr w:rsidR="00275C28" w:rsidRPr="004C64AD" w14:paraId="2BB8F7FE" w14:textId="77777777" w:rsidTr="00DF0798">
        <w:trPr>
          <w:trHeight w:val="227"/>
        </w:trPr>
        <w:tc>
          <w:tcPr>
            <w:tcW w:w="2689" w:type="dxa"/>
          </w:tcPr>
          <w:p w14:paraId="70990A2B" w14:textId="77777777" w:rsidR="00275C28" w:rsidRPr="004C64AD" w:rsidRDefault="00275C28" w:rsidP="00DF0798">
            <w:pPr>
              <w:contextualSpacing/>
              <w:jc w:val="both"/>
              <w:rPr>
                <w:rFonts w:ascii="Century Gothic" w:eastAsia="Calibri" w:hAnsi="Century Gothic" w:cs="Arial"/>
                <w:b/>
                <w:lang w:val="es-ES_tradnl" w:eastAsia="es-ES_tradnl"/>
              </w:rPr>
            </w:pPr>
            <w:r w:rsidRPr="004C64AD">
              <w:rPr>
                <w:rFonts w:ascii="Century Gothic" w:eastAsia="Calibri" w:hAnsi="Century Gothic" w:cs="Arial"/>
                <w:b/>
                <w:lang w:val="es-ES_tradnl" w:eastAsia="es-ES_tradnl"/>
              </w:rPr>
              <w:t>Radicación:</w:t>
            </w:r>
            <w:r w:rsidRPr="004C64AD">
              <w:rPr>
                <w:rFonts w:ascii="Century Gothic" w:eastAsia="Calibri" w:hAnsi="Century Gothic" w:cs="Arial"/>
                <w:lang w:val="es-ES_tradnl" w:eastAsia="es-ES_tradnl"/>
              </w:rPr>
              <w:t xml:space="preserve">                             </w:t>
            </w:r>
          </w:p>
        </w:tc>
        <w:tc>
          <w:tcPr>
            <w:tcW w:w="6237" w:type="dxa"/>
          </w:tcPr>
          <w:p w14:paraId="3A2800F1" w14:textId="77777777" w:rsidR="00275C28" w:rsidRPr="004C64AD" w:rsidRDefault="00275C28" w:rsidP="00DF0798">
            <w:pPr>
              <w:contextualSpacing/>
              <w:jc w:val="both"/>
              <w:rPr>
                <w:rFonts w:ascii="Century Gothic" w:eastAsia="Calibri" w:hAnsi="Century Gothic" w:cs="Arial"/>
                <w:lang w:val="es-ES_tradnl" w:eastAsia="es-ES_tradnl"/>
              </w:rPr>
            </w:pPr>
            <w:r w:rsidRPr="004C64AD">
              <w:rPr>
                <w:rFonts w:ascii="Century Gothic" w:eastAsia="Calibri" w:hAnsi="Century Gothic" w:cs="Arial"/>
                <w:lang w:val="es-ES_tradnl" w:eastAsia="es-ES_tradnl"/>
              </w:rPr>
              <w:t xml:space="preserve">Respuesta a la consulta </w:t>
            </w:r>
            <w:r w:rsidRPr="00FD0CBE">
              <w:rPr>
                <w:rFonts w:ascii="Century Gothic" w:hAnsi="Century Gothic"/>
              </w:rPr>
              <w:t>P20240226002027</w:t>
            </w:r>
          </w:p>
        </w:tc>
      </w:tr>
    </w:tbl>
    <w:p w14:paraId="720E87F6" w14:textId="77777777" w:rsidR="00275C28" w:rsidRPr="004C64AD" w:rsidRDefault="00275C28" w:rsidP="00275C28">
      <w:pPr>
        <w:spacing w:after="0"/>
        <w:contextualSpacing/>
        <w:jc w:val="both"/>
        <w:rPr>
          <w:rFonts w:ascii="Century Gothic" w:eastAsia="Calibri" w:hAnsi="Century Gothic" w:cs="Arial"/>
          <w:lang w:val="es-ES_tradnl" w:eastAsia="es-ES_tradnl"/>
        </w:rPr>
      </w:pPr>
    </w:p>
    <w:p w14:paraId="3282ED84" w14:textId="77777777" w:rsidR="00275C28" w:rsidRPr="004C64AD" w:rsidRDefault="00275C28" w:rsidP="00275C28">
      <w:pPr>
        <w:spacing w:after="0"/>
        <w:contextualSpacing/>
        <w:jc w:val="both"/>
        <w:rPr>
          <w:rFonts w:ascii="Century Gothic" w:eastAsia="Calibri" w:hAnsi="Century Gothic" w:cs="Arial"/>
          <w:lang w:val="es-ES_tradnl" w:eastAsia="es-ES_tradnl"/>
        </w:rPr>
      </w:pPr>
    </w:p>
    <w:p w14:paraId="63DEB240" w14:textId="77777777" w:rsidR="00275C28" w:rsidRPr="004C64AD" w:rsidRDefault="00275C28" w:rsidP="00275C28">
      <w:pPr>
        <w:spacing w:after="0"/>
        <w:contextualSpacing/>
        <w:jc w:val="both"/>
        <w:rPr>
          <w:rFonts w:ascii="Century Gothic" w:eastAsia="Calibri" w:hAnsi="Century Gothic" w:cs="Arial"/>
          <w:lang w:val="es-ES" w:eastAsia="es-ES"/>
        </w:rPr>
      </w:pPr>
      <w:r w:rsidRPr="004C64AD">
        <w:rPr>
          <w:rFonts w:ascii="Century Gothic" w:eastAsia="Calibri" w:hAnsi="Century Gothic" w:cs="Arial"/>
          <w:lang w:val="es-ES" w:eastAsia="es-ES"/>
        </w:rPr>
        <w:t>Respetad</w:t>
      </w:r>
      <w:r>
        <w:rPr>
          <w:rFonts w:ascii="Century Gothic" w:eastAsia="Calibri" w:hAnsi="Century Gothic" w:cs="Arial"/>
          <w:lang w:val="es-ES" w:eastAsia="es-ES"/>
        </w:rPr>
        <w:t>o</w:t>
      </w:r>
      <w:r w:rsidRPr="004C64AD">
        <w:rPr>
          <w:rFonts w:ascii="Century Gothic" w:eastAsia="Calibri" w:hAnsi="Century Gothic" w:cs="Arial"/>
          <w:lang w:val="es-ES" w:eastAsia="es-ES"/>
        </w:rPr>
        <w:t xml:space="preserve"> </w:t>
      </w:r>
      <w:r>
        <w:rPr>
          <w:rFonts w:ascii="Century Gothic" w:eastAsia="Calibri" w:hAnsi="Century Gothic" w:cs="Arial"/>
          <w:lang w:val="es-ES" w:eastAsia="es-ES"/>
        </w:rPr>
        <w:t>señor</w:t>
      </w:r>
      <w:r w:rsidRPr="004C64AD">
        <w:rPr>
          <w:rFonts w:ascii="Century Gothic" w:eastAsia="Calibri" w:hAnsi="Century Gothic" w:cs="Arial"/>
          <w:lang w:val="es-ES" w:eastAsia="es-ES"/>
        </w:rPr>
        <w:t xml:space="preserve"> </w:t>
      </w:r>
      <w:r w:rsidRPr="00FD0CBE">
        <w:rPr>
          <w:rFonts w:ascii="Century Gothic" w:eastAsia="Calibri" w:hAnsi="Century Gothic" w:cs="Arial"/>
          <w:lang w:val="es-ES" w:eastAsia="es-ES"/>
        </w:rPr>
        <w:t>Martínez Novoa</w:t>
      </w:r>
      <w:r w:rsidRPr="004C64AD">
        <w:rPr>
          <w:rFonts w:ascii="Century Gothic" w:eastAsia="Calibri" w:hAnsi="Century Gothic" w:cs="Arial"/>
          <w:lang w:val="es-ES" w:eastAsia="es-ES"/>
        </w:rPr>
        <w:t xml:space="preserve">: </w:t>
      </w:r>
    </w:p>
    <w:p w14:paraId="71691E29" w14:textId="77777777" w:rsidR="00275C28" w:rsidRPr="004C64AD" w:rsidRDefault="00275C28" w:rsidP="00275C28">
      <w:pPr>
        <w:spacing w:after="0" w:line="276" w:lineRule="auto"/>
        <w:contextualSpacing/>
        <w:jc w:val="both"/>
        <w:rPr>
          <w:rFonts w:ascii="Century Gothic" w:eastAsia="Calibri" w:hAnsi="Century Gothic" w:cs="Arial"/>
          <w:szCs w:val="24"/>
          <w:lang w:val="es-ES_tradnl" w:eastAsia="es-ES_tradnl"/>
        </w:rPr>
      </w:pPr>
    </w:p>
    <w:bookmarkEnd w:id="0"/>
    <w:bookmarkEnd w:id="1"/>
    <w:p w14:paraId="68B6EDB9" w14:textId="77777777" w:rsidR="00275C28" w:rsidRPr="004C64AD" w:rsidRDefault="00275C28" w:rsidP="00275C28">
      <w:pPr>
        <w:spacing w:after="0" w:line="276" w:lineRule="auto"/>
        <w:jc w:val="both"/>
        <w:rPr>
          <w:rFonts w:ascii="Century Gothic" w:eastAsia="Calibri" w:hAnsi="Century Gothic" w:cs="Arial"/>
          <w:color w:val="000000" w:themeColor="text1"/>
          <w:lang w:val="es-ES_tradnl"/>
        </w:rPr>
      </w:pPr>
      <w:r w:rsidRPr="004C64AD">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4C64AD">
        <w:rPr>
          <w:rFonts w:ascii="Century Gothic" w:eastAsia="Arial MT" w:hAnsi="Century Gothic" w:cs="Arial MT"/>
          <w:lang w:val="es-ES"/>
        </w:rPr>
        <w:t xml:space="preserve">, </w:t>
      </w:r>
      <w:bookmarkEnd w:id="3"/>
      <w:r w:rsidRPr="004C64AD">
        <w:rPr>
          <w:rFonts w:ascii="Century Gothic" w:eastAsia="Calibri" w:hAnsi="Century Gothic" w:cs="Arial"/>
          <w:color w:val="000000" w:themeColor="text1"/>
          <w:lang w:val="es-ES_tradnl"/>
        </w:rPr>
        <w:t xml:space="preserve">la Agencia Nacional de Contratación Pública – Colombia Compra Eficiente responde la consulta radicada el </w:t>
      </w:r>
      <w:r>
        <w:rPr>
          <w:rFonts w:ascii="Century Gothic" w:eastAsia="Calibri" w:hAnsi="Century Gothic" w:cs="Arial"/>
          <w:color w:val="000000" w:themeColor="text1"/>
          <w:lang w:val="es-ES_tradnl"/>
        </w:rPr>
        <w:t>26 de febrero de 2024</w:t>
      </w:r>
      <w:r w:rsidRPr="004C64AD">
        <w:rPr>
          <w:rFonts w:ascii="Century Gothic" w:eastAsia="Calibri" w:hAnsi="Century Gothic" w:cs="Arial"/>
          <w:color w:val="000000" w:themeColor="text1"/>
          <w:lang w:val="es-ES_tradnl"/>
        </w:rPr>
        <w:t>.</w:t>
      </w:r>
    </w:p>
    <w:p w14:paraId="4CCAC286" w14:textId="77777777" w:rsidR="00275C28" w:rsidRPr="004C64AD" w:rsidRDefault="00275C28" w:rsidP="00275C28">
      <w:pPr>
        <w:spacing w:after="0" w:line="276" w:lineRule="auto"/>
        <w:jc w:val="both"/>
        <w:rPr>
          <w:rFonts w:ascii="Century Gothic" w:eastAsia="Calibri" w:hAnsi="Century Gothic" w:cs="Arial"/>
          <w:b/>
          <w:color w:val="000000" w:themeColor="text1"/>
          <w:lang w:val="es-ES_tradnl"/>
        </w:rPr>
      </w:pPr>
    </w:p>
    <w:p w14:paraId="1995733C" w14:textId="77777777" w:rsidR="00275C28" w:rsidRPr="004C64AD" w:rsidRDefault="00275C28" w:rsidP="00275C28">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 xml:space="preserve">Problema planteado </w:t>
      </w:r>
    </w:p>
    <w:p w14:paraId="1572957F" w14:textId="77777777" w:rsidR="00275C28" w:rsidRPr="004C64AD" w:rsidRDefault="00275C28" w:rsidP="00275C28">
      <w:pPr>
        <w:tabs>
          <w:tab w:val="left" w:pos="426"/>
        </w:tabs>
        <w:spacing w:after="0" w:line="276" w:lineRule="auto"/>
        <w:jc w:val="both"/>
        <w:rPr>
          <w:rFonts w:ascii="Century Gothic" w:eastAsia="Calibri" w:hAnsi="Century Gothic" w:cs="Arial"/>
          <w:b/>
          <w:color w:val="000000" w:themeColor="text1"/>
          <w:lang w:val="es-ES_tradnl"/>
        </w:rPr>
      </w:pPr>
    </w:p>
    <w:p w14:paraId="67DDF4AA" w14:textId="77777777" w:rsidR="00275C28" w:rsidRPr="001265C4" w:rsidRDefault="00275C28" w:rsidP="00275C28">
      <w:pPr>
        <w:spacing w:after="0" w:line="276" w:lineRule="auto"/>
        <w:jc w:val="both"/>
        <w:rPr>
          <w:rFonts w:ascii="Century Gothic" w:hAnsi="Century Gothic" w:cs="Arial"/>
          <w:color w:val="000000" w:themeColor="text1"/>
          <w:lang w:val="es-ES_tradnl"/>
        </w:rPr>
      </w:pPr>
      <w:bookmarkStart w:id="4" w:name="_Hlk159847336"/>
      <w:bookmarkStart w:id="5" w:name="_Hlk148967884"/>
      <w:r>
        <w:rPr>
          <w:rFonts w:ascii="Century Gothic" w:hAnsi="Century Gothic" w:cs="Arial"/>
          <w:color w:val="000000" w:themeColor="text1"/>
          <w:lang w:val="es-ES_tradnl"/>
        </w:rPr>
        <w:t xml:space="preserve">Para efectos de </w:t>
      </w:r>
      <w:r w:rsidRPr="009449F8">
        <w:rPr>
          <w:rFonts w:ascii="Century Gothic" w:hAnsi="Century Gothic" w:cs="Arial"/>
          <w:color w:val="000000" w:themeColor="text1"/>
          <w:lang w:val="es-ES_tradnl"/>
        </w:rPr>
        <w:t xml:space="preserve">los </w:t>
      </w:r>
      <w:r>
        <w:rPr>
          <w:rFonts w:ascii="Century Gothic" w:hAnsi="Century Gothic" w:cs="Arial"/>
          <w:color w:val="000000" w:themeColor="text1"/>
          <w:lang w:val="es-ES_tradnl"/>
        </w:rPr>
        <w:t>documentos tipo, u</w:t>
      </w:r>
      <w:r w:rsidRPr="00BF3AF4">
        <w:rPr>
          <w:rFonts w:ascii="Century Gothic" w:hAnsi="Century Gothic" w:cs="Arial"/>
          <w:color w:val="000000" w:themeColor="text1"/>
          <w:lang w:val="es-ES_tradnl"/>
        </w:rPr>
        <w:t>sted realiza la siguiente pregunta:</w:t>
      </w:r>
      <w:bookmarkEnd w:id="4"/>
      <w:r>
        <w:rPr>
          <w:rFonts w:ascii="Century Gothic" w:hAnsi="Century Gothic" w:cs="Arial"/>
          <w:color w:val="000000" w:themeColor="text1"/>
          <w:lang w:val="es-ES_tradnl"/>
        </w:rPr>
        <w:t xml:space="preserve"> “</w:t>
      </w:r>
      <w:r w:rsidRPr="00FD0CBE">
        <w:rPr>
          <w:rFonts w:ascii="Century Gothic" w:hAnsi="Century Gothic" w:cs="Arial"/>
          <w:color w:val="000000" w:themeColor="text1"/>
          <w:lang w:val="es-ES_tradnl"/>
        </w:rPr>
        <w:t>¿Las personas que poseen documentos de identidad con la categoría de</w:t>
      </w:r>
      <w:r>
        <w:rPr>
          <w:rFonts w:ascii="Century Gothic" w:hAnsi="Century Gothic" w:cs="Arial"/>
          <w:color w:val="000000" w:themeColor="text1"/>
          <w:lang w:val="es-ES_tradnl"/>
        </w:rPr>
        <w:t xml:space="preserve"> </w:t>
      </w:r>
      <w:r w:rsidRPr="00FD0CBE">
        <w:rPr>
          <w:rFonts w:ascii="Century Gothic" w:hAnsi="Century Gothic" w:cs="Arial"/>
          <w:color w:val="000000" w:themeColor="text1"/>
          <w:lang w:val="es-ES_tradnl"/>
        </w:rPr>
        <w:t xml:space="preserve">sexo no </w:t>
      </w:r>
      <w:r w:rsidRPr="00FD0CBE">
        <w:rPr>
          <w:rFonts w:ascii="Century Gothic" w:hAnsi="Century Gothic" w:cs="Arial"/>
          <w:color w:val="000000" w:themeColor="text1"/>
          <w:lang w:val="es-ES_tradnl"/>
        </w:rPr>
        <w:lastRenderedPageBreak/>
        <w:t>binario, son elegibles para la aplicación de criterios y/o factores de</w:t>
      </w:r>
      <w:r>
        <w:rPr>
          <w:rFonts w:ascii="Century Gothic" w:hAnsi="Century Gothic" w:cs="Arial"/>
          <w:color w:val="000000" w:themeColor="text1"/>
          <w:lang w:val="es-ES_tradnl"/>
        </w:rPr>
        <w:t xml:space="preserve"> </w:t>
      </w:r>
      <w:r w:rsidRPr="00FD0CBE">
        <w:rPr>
          <w:rFonts w:ascii="Century Gothic" w:hAnsi="Century Gothic" w:cs="Arial"/>
          <w:color w:val="000000" w:themeColor="text1"/>
          <w:lang w:val="es-ES_tradnl"/>
        </w:rPr>
        <w:t>desempate, como los destinados a emprendimientos y empresas de mujeres?</w:t>
      </w:r>
      <w:r>
        <w:rPr>
          <w:rFonts w:ascii="Century Gothic" w:hAnsi="Century Gothic" w:cs="Arial"/>
          <w:color w:val="000000" w:themeColor="text1"/>
          <w:lang w:val="es-ES_tradnl"/>
        </w:rPr>
        <w:t>”.</w:t>
      </w:r>
      <w:r w:rsidRPr="001265C4">
        <w:rPr>
          <w:rFonts w:ascii="Century Gothic" w:hAnsi="Century Gothic" w:cs="Arial"/>
          <w:color w:val="000000" w:themeColor="text1"/>
          <w:lang w:val="es-ES_tradnl"/>
        </w:rPr>
        <w:t xml:space="preserve">   </w:t>
      </w:r>
      <w:r>
        <w:rPr>
          <w:rFonts w:ascii="Century Gothic" w:hAnsi="Century Gothic" w:cs="Arial"/>
          <w:color w:val="000000" w:themeColor="text1"/>
          <w:lang w:val="es-ES_tradnl"/>
        </w:rPr>
        <w:t xml:space="preserve"> </w:t>
      </w:r>
    </w:p>
    <w:bookmarkEnd w:id="5"/>
    <w:p w14:paraId="48FFFB31" w14:textId="77777777" w:rsidR="00275C28" w:rsidRPr="004C64AD" w:rsidRDefault="00275C28" w:rsidP="00275C28">
      <w:pPr>
        <w:spacing w:after="0" w:line="276" w:lineRule="auto"/>
        <w:ind w:right="709"/>
        <w:jc w:val="both"/>
        <w:rPr>
          <w:rFonts w:ascii="Century Gothic" w:hAnsi="Century Gothic" w:cs="Arial"/>
          <w:color w:val="000000" w:themeColor="text1"/>
        </w:rPr>
      </w:pPr>
    </w:p>
    <w:p w14:paraId="1F54740C" w14:textId="77777777" w:rsidR="00275C28" w:rsidRPr="004C64AD" w:rsidRDefault="00275C28" w:rsidP="00275C28">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Consideraciones</w:t>
      </w:r>
    </w:p>
    <w:p w14:paraId="05F4C3C2" w14:textId="77777777" w:rsidR="00275C28" w:rsidRPr="004C64AD" w:rsidRDefault="00275C28" w:rsidP="00275C28">
      <w:pPr>
        <w:spacing w:after="0" w:line="276" w:lineRule="auto"/>
        <w:jc w:val="both"/>
        <w:rPr>
          <w:rFonts w:ascii="Century Gothic" w:eastAsia="Calibri" w:hAnsi="Century Gothic" w:cs="Arial"/>
          <w:color w:val="000000" w:themeColor="text1"/>
          <w:lang w:val="es-ES"/>
        </w:rPr>
      </w:pPr>
    </w:p>
    <w:p w14:paraId="1A06A353" w14:textId="77777777" w:rsidR="00275C28" w:rsidRPr="00FC072E" w:rsidRDefault="00275C28" w:rsidP="00275C28">
      <w:pPr>
        <w:spacing w:after="0" w:line="276" w:lineRule="auto"/>
        <w:jc w:val="both"/>
        <w:rPr>
          <w:rFonts w:ascii="Century Gothic" w:hAnsi="Century Gothic" w:cs="Arial"/>
          <w:color w:val="000000" w:themeColor="text1"/>
          <w:lang w:val="es-ES"/>
        </w:rPr>
      </w:pPr>
      <w:r>
        <w:rPr>
          <w:rFonts w:ascii="Century Gothic" w:hAnsi="Century Gothic" w:cs="Arial"/>
        </w:rPr>
        <w:t>Para resolver la inquietud planteada</w:t>
      </w:r>
      <w:r w:rsidRPr="004C64AD">
        <w:rPr>
          <w:rFonts w:ascii="Century Gothic" w:eastAsia="Calibri" w:hAnsi="Century Gothic" w:cs="Arial"/>
          <w:bCs/>
        </w:rPr>
        <w:t xml:space="preserve"> se abordarán </w:t>
      </w:r>
      <w:r w:rsidRPr="004C64AD">
        <w:rPr>
          <w:rFonts w:ascii="Century Gothic" w:eastAsia="Calibri" w:hAnsi="Century Gothic" w:cs="Arial"/>
          <w:bCs/>
          <w:lang w:val="es-ES"/>
        </w:rPr>
        <w:t>los siguientes temas:</w:t>
      </w:r>
      <w:r w:rsidRPr="004C64AD">
        <w:rPr>
          <w:rFonts w:ascii="Century Gothic" w:hAnsi="Century Gothic" w:cs="Arial"/>
          <w:color w:val="000000" w:themeColor="text1"/>
          <w:lang w:val="es-ES"/>
        </w:rPr>
        <w:t xml:space="preserve"> </w:t>
      </w:r>
      <w:r w:rsidRPr="00FD0CBE">
        <w:rPr>
          <w:rFonts w:ascii="Century Gothic" w:hAnsi="Century Gothic" w:cs="Arial"/>
          <w:color w:val="000000" w:themeColor="text1"/>
          <w:lang w:val="es-ES"/>
        </w:rPr>
        <w:t>i) vigencia y reglamentación de los criterios diferenciales de la Ley 2069 de 2020; ii) definición de emprendimientos y empresas de mujeres en el Decreto 1860 de 2021, y iii) la identidad de género como derecho fundamental y su relación con las definiciones de emprendimientos y empresas de mujeres establecidas por el Decreto 1860 de 2021</w:t>
      </w:r>
      <w:r>
        <w:rPr>
          <w:rFonts w:ascii="Century Gothic" w:hAnsi="Century Gothic" w:cs="Arial"/>
          <w:color w:val="000000" w:themeColor="text1"/>
          <w:lang w:val="es-ES"/>
        </w:rPr>
        <w:t>.</w:t>
      </w:r>
      <w:r w:rsidRPr="00835BF6">
        <w:rPr>
          <w:rFonts w:ascii="Century Gothic" w:hAnsi="Century Gothic" w:cs="Arial"/>
          <w:color w:val="000000" w:themeColor="text1"/>
          <w:lang w:val="es-ES"/>
        </w:rPr>
        <w:t xml:space="preserve">   </w:t>
      </w:r>
    </w:p>
    <w:p w14:paraId="0BB46353" w14:textId="77777777" w:rsidR="00275C28" w:rsidRPr="00FC072E" w:rsidRDefault="00275C28" w:rsidP="00275C28">
      <w:pPr>
        <w:spacing w:after="0" w:line="276" w:lineRule="auto"/>
        <w:ind w:firstLine="709"/>
        <w:jc w:val="both"/>
        <w:rPr>
          <w:rFonts w:ascii="Century Gothic" w:eastAsia="Calibri" w:hAnsi="Century Gothic" w:cs="Arial"/>
          <w:color w:val="000000" w:themeColor="text1"/>
          <w:lang w:val="es-ES_tradnl"/>
        </w:rPr>
      </w:pPr>
      <w:r w:rsidRPr="00FD0CBE">
        <w:rPr>
          <w:rFonts w:ascii="Century Gothic" w:eastAsia="Calibri" w:hAnsi="Century Gothic" w:cs="Arial"/>
          <w:color w:val="000000" w:themeColor="text1"/>
          <w:lang w:val="es-ES"/>
        </w:rPr>
        <w:t>La Agencia Nacional de Contratación Pública – Colombia Compra Eficiente se ha pronunciado, en términos generales, sobre el contenido de la Ley de Emprendimiento en diferentes conceptos ,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w:t>
      </w:r>
      <w:r>
        <w:rPr>
          <w:rFonts w:ascii="Century Gothic" w:eastAsia="Calibri" w:hAnsi="Century Gothic" w:cs="Arial"/>
          <w:color w:val="000000" w:themeColor="text1"/>
          <w:lang w:val="es-ES"/>
        </w:rPr>
        <w:t>, C-048 del 12 de abril de 2023</w:t>
      </w:r>
      <w:r w:rsidRPr="00FD0CBE">
        <w:rPr>
          <w:rFonts w:ascii="Century Gothic" w:eastAsia="Calibri" w:hAnsi="Century Gothic" w:cs="Arial"/>
          <w:color w:val="000000" w:themeColor="text1"/>
          <w:lang w:val="es-ES"/>
        </w:rPr>
        <w:t>, entre ot</w:t>
      </w:r>
      <w:r>
        <w:rPr>
          <w:rFonts w:ascii="Century Gothic" w:eastAsia="Calibri" w:hAnsi="Century Gothic" w:cs="Arial"/>
          <w:color w:val="000000" w:themeColor="text1"/>
          <w:lang w:val="es-ES"/>
        </w:rPr>
        <w:t>ros</w:t>
      </w:r>
      <w:r w:rsidRPr="004C64AD">
        <w:rPr>
          <w:rStyle w:val="Refdenotaalpie"/>
          <w:rFonts w:ascii="Century Gothic" w:eastAsia="Calibri" w:hAnsi="Century Gothic" w:cs="Arial"/>
        </w:rPr>
        <w:footnoteReference w:id="2"/>
      </w:r>
      <w:r w:rsidRPr="004C64AD">
        <w:rPr>
          <w:rStyle w:val="normaltextrun"/>
          <w:rFonts w:ascii="Century Gothic" w:hAnsi="Century Gothic" w:cs="Arial"/>
          <w:color w:val="000000"/>
          <w:shd w:val="clear" w:color="auto" w:fill="FFFFFF"/>
        </w:rPr>
        <w:t xml:space="preserve">. </w:t>
      </w:r>
      <w:r w:rsidRPr="004C64AD">
        <w:rPr>
          <w:rFonts w:ascii="Century Gothic" w:eastAsia="Calibri" w:hAnsi="Century Gothic" w:cs="Arial"/>
          <w:color w:val="000000" w:themeColor="text1"/>
          <w:lang w:val="es-ES_tradnl"/>
        </w:rPr>
        <w:t>La tesis propuesta en estos conceptos se reitera a continuación y se complementa en lo pertinente.</w:t>
      </w:r>
    </w:p>
    <w:p w14:paraId="22531529" w14:textId="77777777" w:rsidR="00275C28" w:rsidRPr="00A113FC" w:rsidRDefault="00275C28" w:rsidP="00275C28">
      <w:pPr>
        <w:spacing w:after="0" w:line="276" w:lineRule="auto"/>
        <w:contextualSpacing/>
        <w:jc w:val="both"/>
        <w:rPr>
          <w:rFonts w:ascii="Century Gothic" w:eastAsia="Times New Roman" w:hAnsi="Century Gothic" w:cs="Arial"/>
          <w:b/>
          <w:bCs/>
          <w:szCs w:val="24"/>
          <w:lang w:eastAsia="es-ES_tradnl"/>
        </w:rPr>
      </w:pPr>
    </w:p>
    <w:p w14:paraId="685F8D99" w14:textId="77777777" w:rsidR="00275C28" w:rsidRPr="00A113FC" w:rsidRDefault="00275C28" w:rsidP="00275C28">
      <w:pPr>
        <w:spacing w:after="0" w:line="276" w:lineRule="auto"/>
        <w:contextualSpacing/>
        <w:jc w:val="both"/>
        <w:rPr>
          <w:rFonts w:ascii="Century Gothic" w:eastAsia="Calibri" w:hAnsi="Century Gothic" w:cs="Arial"/>
          <w:b/>
          <w:bCs/>
          <w:lang w:val="es-ES_tradnl" w:eastAsia="es-ES_tradnl"/>
        </w:rPr>
      </w:pPr>
      <w:r w:rsidRPr="00A113FC">
        <w:rPr>
          <w:rFonts w:ascii="Century Gothic" w:eastAsia="Calibri" w:hAnsi="Century Gothic" w:cs="Arial"/>
          <w:b/>
          <w:bCs/>
          <w:lang w:val="es-ES_tradnl" w:eastAsia="es-ES_tradnl"/>
        </w:rPr>
        <w:t xml:space="preserve">2.1. </w:t>
      </w:r>
      <w:bookmarkStart w:id="6" w:name="_Hlk94018153"/>
      <w:r w:rsidRPr="00A113FC">
        <w:rPr>
          <w:rFonts w:ascii="Century Gothic" w:eastAsia="Calibri" w:hAnsi="Century Gothic" w:cs="Arial"/>
          <w:b/>
          <w:bCs/>
          <w:lang w:val="es-ES_tradnl" w:eastAsia="es-ES_tradnl"/>
        </w:rPr>
        <w:t xml:space="preserve">Vigencia y reglamentación de los criterios diferenciales de la Ley 2069 de 2020 </w:t>
      </w:r>
      <w:bookmarkEnd w:id="6"/>
    </w:p>
    <w:p w14:paraId="34C82044" w14:textId="77777777" w:rsidR="00275C28" w:rsidRPr="00A113FC" w:rsidRDefault="00275C28" w:rsidP="00275C28">
      <w:pPr>
        <w:spacing w:after="0" w:line="276" w:lineRule="auto"/>
        <w:contextualSpacing/>
        <w:jc w:val="both"/>
        <w:rPr>
          <w:rFonts w:ascii="Century Gothic" w:eastAsia="Calibri" w:hAnsi="Century Gothic" w:cs="Arial"/>
          <w:lang w:val="es-ES_tradnl" w:eastAsia="es-ES_tradnl"/>
        </w:rPr>
      </w:pPr>
    </w:p>
    <w:p w14:paraId="7C8AA9F0" w14:textId="77777777" w:rsidR="00275C28" w:rsidRPr="00A113FC" w:rsidRDefault="00275C28" w:rsidP="00275C28">
      <w:pPr>
        <w:spacing w:after="120" w:line="276" w:lineRule="auto"/>
        <w:jc w:val="both"/>
        <w:rPr>
          <w:rFonts w:ascii="Century Gothic" w:eastAsia="Calibri" w:hAnsi="Century Gothic" w:cs="Arial"/>
          <w:lang w:val="es-ES_tradnl" w:eastAsia="es-ES_tradnl"/>
        </w:rPr>
      </w:pPr>
      <w:r w:rsidRPr="00A113FC">
        <w:rPr>
          <w:rFonts w:ascii="Century Gothic" w:eastAsia="Calibri" w:hAnsi="Century Gothic" w:cs="Arial"/>
          <w:lang w:val="es-ES_tradnl" w:eastAsia="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w:t>
      </w:r>
      <w:r w:rsidRPr="00A113FC">
        <w:rPr>
          <w:rFonts w:ascii="Century Gothic" w:eastAsia="Calibri" w:hAnsi="Century Gothic" w:cs="Arial"/>
          <w:lang w:val="es-ES_tradnl" w:eastAsia="es-ES_tradnl"/>
        </w:rPr>
        <w:lastRenderedPageBreak/>
        <w:t>Ley</w:t>
      </w:r>
      <w:r w:rsidRPr="00A113FC">
        <w:rPr>
          <w:rFonts w:ascii="Century Gothic" w:eastAsia="Calibri" w:hAnsi="Century Gothic" w:cs="Arial"/>
          <w:color w:val="000000" w:themeColor="text1"/>
          <w:lang w:val="es-ES_tradnl"/>
        </w:rPr>
        <w:t>, potestad que fue ejercida mediante la expedición del Decreto 1860 de 2021, al cual se hará referencia más adelante</w:t>
      </w:r>
      <w:r w:rsidRPr="00A113FC">
        <w:rPr>
          <w:rFonts w:ascii="Century Gothic" w:eastAsia="Calibri" w:hAnsi="Century Gothic" w:cs="Arial"/>
          <w:lang w:val="es-ES_tradnl" w:eastAsia="es-ES_tradnl"/>
        </w:rPr>
        <w:t>.</w:t>
      </w:r>
    </w:p>
    <w:p w14:paraId="6EA66933" w14:textId="77777777" w:rsidR="00275C28" w:rsidRPr="00A113FC" w:rsidRDefault="00275C28" w:rsidP="77D36B6A">
      <w:pPr>
        <w:spacing w:after="120" w:line="276" w:lineRule="auto"/>
        <w:ind w:firstLine="709"/>
        <w:jc w:val="both"/>
        <w:rPr>
          <w:rFonts w:ascii="Century Gothic" w:eastAsia="Calibri" w:hAnsi="Century Gothic" w:cs="Arial"/>
          <w:lang w:val="es-ES" w:eastAsia="es-ES"/>
        </w:rPr>
      </w:pPr>
      <w:r w:rsidRPr="77D36B6A">
        <w:rPr>
          <w:rFonts w:ascii="Century Gothic" w:eastAsia="Calibri" w:hAnsi="Century Gothic" w:cs="Arial"/>
          <w:lang w:val="es-ES" w:eastAsia="es-ES"/>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77D36B6A">
        <w:rPr>
          <w:rFonts w:ascii="Century Gothic" w:eastAsia="Calibri" w:hAnsi="Century Gothic" w:cs="Arial"/>
          <w:sz w:val="24"/>
          <w:szCs w:val="24"/>
          <w:vertAlign w:val="superscript"/>
          <w:lang w:val="es-ES" w:eastAsia="es-ES"/>
        </w:rPr>
        <w:footnoteReference w:id="3"/>
      </w:r>
      <w:r w:rsidRPr="77D36B6A">
        <w:rPr>
          <w:rFonts w:ascii="Century Gothic" w:eastAsia="Calibri" w:hAnsi="Century Gothic" w:cs="Arial"/>
          <w:lang w:val="es-ES" w:eastAsia="es-ES"/>
        </w:rPr>
        <w:t>.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77D36B6A">
        <w:rPr>
          <w:rFonts w:ascii="Century Gothic" w:eastAsia="Calibri" w:hAnsi="Century Gothic" w:cs="Arial"/>
          <w:vertAlign w:val="superscript"/>
          <w:lang w:val="es-ES" w:eastAsia="es-ES"/>
        </w:rPr>
        <w:footnoteReference w:id="4"/>
      </w:r>
      <w:r w:rsidRPr="77D36B6A">
        <w:rPr>
          <w:rFonts w:ascii="Century Gothic" w:eastAsia="Calibri" w:hAnsi="Century Gothic" w:cs="Arial"/>
          <w:lang w:val="es-ES" w:eastAsia="es-ES"/>
        </w:rPr>
        <w:t>, así como incentivos a favor de aquellas dentro del sistema de compras y contratación pública</w:t>
      </w:r>
      <w:r w:rsidRPr="77D36B6A">
        <w:rPr>
          <w:rFonts w:ascii="Century Gothic" w:eastAsia="Calibri" w:hAnsi="Century Gothic" w:cs="Arial"/>
          <w:vertAlign w:val="superscript"/>
          <w:lang w:val="es-ES" w:eastAsia="es-ES"/>
        </w:rPr>
        <w:footnoteReference w:id="5"/>
      </w:r>
      <w:r w:rsidRPr="77D36B6A">
        <w:rPr>
          <w:rFonts w:ascii="Century Gothic" w:eastAsia="Calibri" w:hAnsi="Century Gothic" w:cs="Arial"/>
          <w:lang w:val="es-ES" w:eastAsia="es-ES"/>
        </w:rPr>
        <w:t>. También se consagran mecanismos de acceso al financiamiento</w:t>
      </w:r>
      <w:r w:rsidRPr="77D36B6A">
        <w:rPr>
          <w:rFonts w:ascii="Century Gothic" w:eastAsia="Calibri" w:hAnsi="Century Gothic" w:cs="Arial"/>
          <w:vertAlign w:val="superscript"/>
          <w:lang w:val="es-ES" w:eastAsia="es-ES"/>
        </w:rPr>
        <w:footnoteReference w:id="6"/>
      </w:r>
      <w:r w:rsidRPr="77D36B6A">
        <w:rPr>
          <w:rFonts w:ascii="Century Gothic" w:eastAsia="Calibri" w:hAnsi="Century Gothic" w:cs="Arial"/>
          <w:lang w:val="es-ES" w:eastAsia="es-ES"/>
        </w:rPr>
        <w:t>, se unifican las fuentes de emprendimiento y de desarrollo empresarial, para fortalecer y promover los distintos sectores de la economía</w:t>
      </w:r>
      <w:r w:rsidRPr="77D36B6A">
        <w:rPr>
          <w:rFonts w:ascii="Century Gothic" w:eastAsia="Calibri" w:hAnsi="Century Gothic" w:cs="Arial"/>
          <w:vertAlign w:val="superscript"/>
          <w:lang w:val="es-ES" w:eastAsia="es-ES"/>
        </w:rPr>
        <w:footnoteReference w:id="7"/>
      </w:r>
      <w:r w:rsidRPr="77D36B6A">
        <w:rPr>
          <w:rFonts w:ascii="Century Gothic" w:eastAsia="Calibri" w:hAnsi="Century Gothic" w:cs="Arial"/>
          <w:lang w:val="es-ES" w:eastAsia="es-ES"/>
        </w:rPr>
        <w:t xml:space="preserve"> y se prevén medidas de educación para el emprendimiento y la innovación</w:t>
      </w:r>
      <w:r w:rsidRPr="77D36B6A">
        <w:rPr>
          <w:rFonts w:ascii="Century Gothic" w:eastAsia="Calibri" w:hAnsi="Century Gothic" w:cs="Arial"/>
          <w:vertAlign w:val="superscript"/>
          <w:lang w:val="es-ES" w:eastAsia="es-ES"/>
        </w:rPr>
        <w:footnoteReference w:id="8"/>
      </w:r>
      <w:r w:rsidRPr="77D36B6A">
        <w:rPr>
          <w:rFonts w:ascii="Century Gothic" w:eastAsia="Calibri" w:hAnsi="Century Gothic" w:cs="Arial"/>
          <w:lang w:val="es-ES" w:eastAsia="es-ES"/>
        </w:rPr>
        <w:t>.</w:t>
      </w:r>
    </w:p>
    <w:p w14:paraId="011EC40A" w14:textId="77777777" w:rsidR="00275C28" w:rsidRPr="00A113FC" w:rsidRDefault="00275C28" w:rsidP="00275C28">
      <w:pPr>
        <w:spacing w:after="120" w:line="276" w:lineRule="auto"/>
        <w:ind w:firstLine="709"/>
        <w:jc w:val="both"/>
        <w:rPr>
          <w:rFonts w:ascii="Century Gothic" w:eastAsia="Calibri" w:hAnsi="Century Gothic" w:cs="Arial"/>
          <w:lang w:val="es-ES_tradnl" w:eastAsia="es-ES_tradnl"/>
        </w:rPr>
      </w:pPr>
      <w:r w:rsidRPr="00A113FC">
        <w:rPr>
          <w:rFonts w:ascii="Century Gothic" w:eastAsia="Calibri" w:hAnsi="Century Gothic" w:cs="Arial"/>
          <w:lang w:val="es-ES_tradnl" w:eastAsia="es-ES_tradnl"/>
        </w:rPr>
        <w:t>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 en el procedimiento de mínima cuantía, ii) criterios diferenciales para Mipyme en el sistema de compras públicas, iii) criterios diferenciales para emprendimientos y empresas de mujeres en el sistema de compras públicas, iv) promoción del acceso de las Mipyme al mercado de compras públicas, v) promoción del desarrollo en la contratación pública, vi) un nuevo régimen de factores de desempate y vi) un llamado a las entidades estatales para que promuevan compras públicas en el marco de la tecnología y la innovación.</w:t>
      </w:r>
      <w:r w:rsidRPr="00A113FC">
        <w:rPr>
          <w:rFonts w:ascii="Century Gothic" w:eastAsia="Calibri" w:hAnsi="Century Gothic" w:cs="Arial"/>
          <w:bCs/>
          <w:sz w:val="24"/>
          <w:szCs w:val="24"/>
          <w:vertAlign w:val="superscript"/>
          <w:lang w:val="es-MX" w:eastAsia="es-ES_tradnl"/>
        </w:rPr>
        <w:footnoteReference w:id="9"/>
      </w:r>
    </w:p>
    <w:p w14:paraId="14536683" w14:textId="77777777" w:rsidR="00275C28" w:rsidRPr="00A113FC" w:rsidRDefault="00275C28" w:rsidP="00275C28">
      <w:pPr>
        <w:tabs>
          <w:tab w:val="left" w:pos="709"/>
        </w:tabs>
        <w:spacing w:after="120" w:line="276" w:lineRule="auto"/>
        <w:jc w:val="both"/>
        <w:rPr>
          <w:rFonts w:ascii="Century Gothic" w:eastAsia="Calibri" w:hAnsi="Century Gothic" w:cs="Arial"/>
          <w:bCs/>
          <w:szCs w:val="24"/>
          <w:lang w:eastAsia="es-ES_tradnl"/>
        </w:rPr>
      </w:pPr>
      <w:r w:rsidRPr="00A113FC">
        <w:rPr>
          <w:rFonts w:ascii="Century Gothic" w:eastAsia="Calibri" w:hAnsi="Century Gothic" w:cs="Arial"/>
          <w:bCs/>
          <w:szCs w:val="24"/>
          <w:lang w:eastAsia="es-ES_tradnl"/>
        </w:rPr>
        <w:tab/>
        <w:t xml:space="preserve">Dentro del referido capítulo se encuentran </w:t>
      </w:r>
      <w:bookmarkStart w:id="8" w:name="_Hlk63848566"/>
      <w:r w:rsidRPr="00A113FC">
        <w:rPr>
          <w:rFonts w:ascii="Century Gothic" w:eastAsia="Calibri" w:hAnsi="Century Gothic" w:cs="Arial"/>
          <w:bCs/>
          <w:szCs w:val="24"/>
          <w:lang w:eastAsia="es-ES_tradnl"/>
        </w:rPr>
        <w:t>los artículos 31 y 32 de la Ley 2069 de 2020</w:t>
      </w:r>
      <w:bookmarkEnd w:id="8"/>
      <w:r w:rsidRPr="00A113FC">
        <w:rPr>
          <w:rFonts w:ascii="Century Gothic" w:eastAsia="Calibri" w:hAnsi="Century Gothic" w:cs="Arial"/>
          <w:bCs/>
          <w:szCs w:val="24"/>
          <w:lang w:eastAsia="es-ES_tradnl"/>
        </w:rPr>
        <w:t xml:space="preserve">, a través de los cuales se crean una serie de incentivos para las personas </w:t>
      </w:r>
      <w:r w:rsidRPr="00A113FC">
        <w:rPr>
          <w:rFonts w:ascii="Century Gothic" w:eastAsia="Calibri" w:hAnsi="Century Gothic" w:cs="Arial"/>
          <w:bCs/>
          <w:szCs w:val="24"/>
          <w:lang w:eastAsia="es-ES_tradnl"/>
        </w:rPr>
        <w:lastRenderedPageBreak/>
        <w:t xml:space="preserve">interesadas en celebrar contratos con el Estado. </w:t>
      </w:r>
      <w:r w:rsidRPr="00A113FC">
        <w:rPr>
          <w:rFonts w:ascii="Century Gothic" w:eastAsia="Calibri" w:hAnsi="Century Gothic" w:cs="Arial"/>
          <w:bCs/>
          <w:szCs w:val="24"/>
          <w:lang w:val="es-ES_tradnl" w:eastAsia="es-ES_tradnl"/>
        </w:rPr>
        <w:t xml:space="preserve">Por un lado, el artículo 31 </w:t>
      </w:r>
      <w:r w:rsidRPr="00A113FC">
        <w:rPr>
          <w:rFonts w:ascii="Century Gothic" w:eastAsia="Calibri" w:hAnsi="Century Gothic" w:cs="Arial"/>
          <w:bCs/>
          <w:szCs w:val="24"/>
          <w:lang w:eastAsia="es-ES_tradnl"/>
        </w:rPr>
        <w:t xml:space="preserve">introduce criterios diferenciales para el acceso de las Mipyme al sistema de compras y contratación pública, estableciendo que </w:t>
      </w:r>
      <w:r w:rsidRPr="00A113FC">
        <w:rPr>
          <w:rFonts w:ascii="Century Gothic" w:eastAsia="Calibri" w:hAnsi="Century Gothic" w:cs="Arial"/>
          <w:lang w:val="es-ES_tradnl" w:eastAsia="es-ES_tradnl"/>
        </w:rPr>
        <w:t>“</w:t>
      </w:r>
      <w:r w:rsidRPr="00A113FC">
        <w:rPr>
          <w:rFonts w:ascii="Century Gothic" w:eastAsia="Calibri" w:hAnsi="Century Gothic" w:cs="Arial"/>
          <w:bCs/>
          <w:szCs w:val="24"/>
          <w:lang w:eastAsia="es-ES_tradnl"/>
        </w:rPr>
        <w:t xml:space="preserve">Las Entidades Estatales de acuerdo con el análisis de Sector </w:t>
      </w:r>
      <w:bookmarkStart w:id="9" w:name="_Hlk63767562"/>
      <w:r w:rsidRPr="00A113FC">
        <w:rPr>
          <w:rFonts w:ascii="Century Gothic" w:eastAsia="Calibri" w:hAnsi="Century Gothic" w:cs="Arial"/>
          <w:bCs/>
          <w:szCs w:val="24"/>
          <w:lang w:eastAsia="es-ES_tradnl"/>
        </w:rPr>
        <w:t>podrán incluir, en los Documentos del Proceso, requisitos diferenciales y puntajes adicionales</w:t>
      </w:r>
      <w:bookmarkEnd w:id="9"/>
      <w:r w:rsidRPr="00A113FC">
        <w:rPr>
          <w:rFonts w:ascii="Century Gothic" w:eastAsia="Calibri" w:hAnsi="Century Gothic" w:cs="Arial"/>
          <w:bCs/>
          <w:szCs w:val="24"/>
          <w:lang w:eastAsia="es-ES_tradnl"/>
        </w:rPr>
        <w:t xml:space="preserve">, en función del tamaño empresarial para la promoción del acceso de las MIPYMES al mercado de Compras Públicas”.  </w:t>
      </w:r>
    </w:p>
    <w:p w14:paraId="5E906FE1" w14:textId="77777777" w:rsidR="00275C28" w:rsidRPr="00A113FC" w:rsidRDefault="00275C28" w:rsidP="00275C28">
      <w:pPr>
        <w:tabs>
          <w:tab w:val="left" w:pos="709"/>
        </w:tabs>
        <w:spacing w:after="120" w:line="276" w:lineRule="auto"/>
        <w:jc w:val="both"/>
        <w:rPr>
          <w:rFonts w:ascii="Century Gothic" w:eastAsia="Calibri" w:hAnsi="Century Gothic" w:cs="Arial"/>
          <w:bCs/>
          <w:szCs w:val="24"/>
          <w:lang w:eastAsia="es-ES_tradnl"/>
        </w:rPr>
      </w:pPr>
      <w:r w:rsidRPr="00A113FC">
        <w:rPr>
          <w:rFonts w:ascii="Century Gothic" w:eastAsia="Calibri" w:hAnsi="Century Gothic" w:cs="Arial"/>
          <w:bCs/>
          <w:szCs w:val="24"/>
          <w:lang w:eastAsia="es-ES_tradnl"/>
        </w:rPr>
        <w:tab/>
        <w:t xml:space="preserve">Además, el inciso segundo y el parágrafo del </w:t>
      </w:r>
      <w:r w:rsidRPr="00A113FC">
        <w:rPr>
          <w:rFonts w:ascii="Century Gothic" w:eastAsia="Calibri" w:hAnsi="Century Gothic" w:cs="Arial"/>
          <w:bCs/>
          <w:szCs w:val="24"/>
          <w:lang w:val="es-ES_tradnl" w:eastAsia="es-ES_tradnl"/>
        </w:rPr>
        <w:t xml:space="preserve">artículo 31 </w:t>
      </w:r>
      <w:r w:rsidRPr="00A113FC">
        <w:rPr>
          <w:rFonts w:ascii="Century Gothic" w:eastAsia="Calibri" w:hAnsi="Century Gothic" w:cs="Arial"/>
          <w:bCs/>
          <w:szCs w:val="24"/>
          <w:lang w:eastAsia="es-ES_tradnl"/>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6620EA3B" w14:textId="77777777" w:rsidR="00275C28" w:rsidRPr="00A113FC" w:rsidRDefault="00275C28" w:rsidP="00275C28">
      <w:pPr>
        <w:tabs>
          <w:tab w:val="left" w:pos="709"/>
        </w:tabs>
        <w:spacing w:after="0" w:line="276" w:lineRule="auto"/>
        <w:jc w:val="both"/>
        <w:rPr>
          <w:rFonts w:ascii="Century Gothic" w:eastAsia="Calibri" w:hAnsi="Century Gothic" w:cs="Arial"/>
          <w:bCs/>
          <w:szCs w:val="24"/>
          <w:lang w:eastAsia="es-ES_tradnl"/>
        </w:rPr>
      </w:pPr>
      <w:r w:rsidRPr="00A113FC">
        <w:rPr>
          <w:rFonts w:ascii="Century Gothic" w:eastAsia="Calibri" w:hAnsi="Century Gothic" w:cs="Arial"/>
          <w:bCs/>
          <w:szCs w:val="24"/>
          <w:lang w:eastAsia="es-ES_tradnl"/>
        </w:rPr>
        <w:tab/>
        <w:t xml:space="preserve">Por otra parte, el artículo 32 de la Ley 2069 de 2020 regula criterios diferenciales para los “emprendimientos y empresas de mujeres” en el sistema de compras y contratación pública. En relación con este aspecto, el inciso primero de la norma citada prescribe lo siguiente: </w:t>
      </w:r>
    </w:p>
    <w:p w14:paraId="17C6D9B7" w14:textId="77777777" w:rsidR="00275C28" w:rsidRPr="00A113FC" w:rsidRDefault="00275C28" w:rsidP="00275C28">
      <w:pPr>
        <w:tabs>
          <w:tab w:val="left" w:pos="709"/>
        </w:tabs>
        <w:spacing w:after="0" w:line="276" w:lineRule="auto"/>
        <w:contextualSpacing/>
        <w:jc w:val="both"/>
        <w:rPr>
          <w:rFonts w:ascii="Century Gothic" w:eastAsia="Calibri" w:hAnsi="Century Gothic" w:cs="Arial"/>
          <w:bCs/>
          <w:szCs w:val="24"/>
          <w:lang w:eastAsia="es-ES_tradnl"/>
        </w:rPr>
      </w:pPr>
    </w:p>
    <w:p w14:paraId="429AF3C2" w14:textId="77777777" w:rsidR="00275C28" w:rsidRPr="00A113FC" w:rsidRDefault="00275C28" w:rsidP="00275C28">
      <w:pPr>
        <w:tabs>
          <w:tab w:val="left" w:pos="709"/>
        </w:tabs>
        <w:spacing w:after="0" w:line="240" w:lineRule="auto"/>
        <w:ind w:left="709" w:right="709"/>
        <w:contextualSpacing/>
        <w:jc w:val="both"/>
        <w:rPr>
          <w:rFonts w:ascii="Century Gothic" w:eastAsia="Calibri" w:hAnsi="Century Gothic" w:cs="Arial"/>
          <w:bCs/>
          <w:sz w:val="21"/>
          <w:szCs w:val="21"/>
          <w:lang w:eastAsia="es-ES_tradnl"/>
        </w:rPr>
      </w:pPr>
      <w:r w:rsidRPr="00A113FC">
        <w:rPr>
          <w:rFonts w:ascii="Century Gothic" w:hAnsi="Century Gothic" w:cs="Arial"/>
          <w:sz w:val="21"/>
          <w:szCs w:val="21"/>
        </w:rPr>
        <w:t>“</w:t>
      </w:r>
      <w:r w:rsidRPr="00A113FC">
        <w:rPr>
          <w:rFonts w:ascii="Century Gothic" w:eastAsia="Calibri" w:hAnsi="Century Gothic" w:cs="Arial"/>
          <w:bCs/>
          <w:sz w:val="21"/>
          <w:szCs w:val="21"/>
          <w:lang w:eastAsia="es-ES_tradnl"/>
        </w:rPr>
        <w:t xml:space="preserve">De acuerdo con el resultado del análisis del sector, las entidades estatales incluirán requisitos diferenciales y puntajes adicionales en los procesos de </w:t>
      </w:r>
      <w:bookmarkStart w:id="10" w:name="_Hlk63770487"/>
      <w:r w:rsidRPr="00A113FC">
        <w:rPr>
          <w:rFonts w:ascii="Century Gothic" w:eastAsia="Calibri" w:hAnsi="Century Gothic" w:cs="Arial"/>
          <w:bCs/>
          <w:sz w:val="21"/>
          <w:szCs w:val="21"/>
          <w:lang w:eastAsia="es-ES_tradnl"/>
        </w:rPr>
        <w:t>licitación pública, selección abreviada de menor cuantía y concurso de méritos</w:t>
      </w:r>
      <w:bookmarkEnd w:id="10"/>
      <w:r w:rsidRPr="00A113FC">
        <w:rPr>
          <w:rFonts w:ascii="Century Gothic" w:eastAsia="Calibri" w:hAnsi="Century Gothic" w:cs="Arial"/>
          <w:bCs/>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A113FC">
        <w:rPr>
          <w:rFonts w:ascii="Century Gothic" w:hAnsi="Century Gothic" w:cs="Arial"/>
          <w:sz w:val="21"/>
          <w:szCs w:val="21"/>
        </w:rPr>
        <w:t>”</w:t>
      </w:r>
      <w:r w:rsidRPr="00A113FC">
        <w:rPr>
          <w:rFonts w:ascii="Century Gothic" w:eastAsia="Calibri" w:hAnsi="Century Gothic" w:cs="Arial"/>
          <w:bCs/>
          <w:sz w:val="21"/>
          <w:szCs w:val="21"/>
          <w:lang w:eastAsia="es-ES_tradnl"/>
        </w:rPr>
        <w:t>.</w:t>
      </w:r>
    </w:p>
    <w:p w14:paraId="4D862EBF" w14:textId="77777777" w:rsidR="00275C28" w:rsidRPr="00A113FC" w:rsidRDefault="00275C28" w:rsidP="00275C28">
      <w:pPr>
        <w:tabs>
          <w:tab w:val="left" w:pos="709"/>
        </w:tabs>
        <w:spacing w:after="0" w:line="276" w:lineRule="auto"/>
        <w:ind w:left="709" w:right="709"/>
        <w:contextualSpacing/>
        <w:jc w:val="both"/>
        <w:rPr>
          <w:rFonts w:ascii="Century Gothic" w:eastAsia="Calibri" w:hAnsi="Century Gothic" w:cs="Arial"/>
          <w:bCs/>
          <w:szCs w:val="24"/>
          <w:lang w:eastAsia="es-ES_tradnl"/>
        </w:rPr>
      </w:pPr>
    </w:p>
    <w:p w14:paraId="2FBC23FD" w14:textId="77777777" w:rsidR="00275C28" w:rsidRPr="00A113FC" w:rsidRDefault="00275C28" w:rsidP="00275C28">
      <w:pPr>
        <w:tabs>
          <w:tab w:val="left" w:pos="709"/>
        </w:tabs>
        <w:spacing w:after="120" w:line="276" w:lineRule="auto"/>
        <w:jc w:val="both"/>
        <w:rPr>
          <w:rFonts w:ascii="Century Gothic" w:eastAsia="Calibri" w:hAnsi="Century Gothic" w:cs="Arial"/>
          <w:bCs/>
          <w:szCs w:val="24"/>
          <w:lang w:eastAsia="es-ES_tradnl"/>
        </w:rPr>
      </w:pPr>
      <w:r w:rsidRPr="00A113FC">
        <w:rPr>
          <w:rFonts w:ascii="Century Gothic" w:eastAsia="Calibri" w:hAnsi="Century Gothic" w:cs="Arial"/>
          <w:bCs/>
          <w:szCs w:val="24"/>
          <w:lang w:eastAsia="es-ES_tradnl"/>
        </w:rPr>
        <w:tab/>
        <w:t xml:space="preserve">De esta manera, los “criterios diferenciales” del artículo 32 </w:t>
      </w:r>
      <w:r w:rsidRPr="00A113FC">
        <w:rPr>
          <w:rFonts w:ascii="Century Gothic" w:eastAsia="Calibri" w:hAnsi="Century Gothic" w:cs="Arial"/>
          <w:bCs/>
          <w:i/>
          <w:iCs/>
          <w:szCs w:val="24"/>
          <w:lang w:eastAsia="es-ES_tradnl"/>
        </w:rPr>
        <w:t>ibidem</w:t>
      </w:r>
      <w:r w:rsidRPr="00A113FC">
        <w:rPr>
          <w:rFonts w:ascii="Century Gothic" w:eastAsia="Calibri" w:hAnsi="Century Gothic" w:cs="Arial"/>
          <w:bCs/>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la norma en comento también se extiende a todos los procedimientos que realicen las entidades estatales excluidas de la Ley 80 de 1993.     </w:t>
      </w:r>
    </w:p>
    <w:p w14:paraId="5FBD6924" w14:textId="77777777" w:rsidR="00275C28" w:rsidRPr="00A113FC" w:rsidRDefault="00275C28" w:rsidP="00275C28">
      <w:pPr>
        <w:spacing w:after="120" w:line="276" w:lineRule="auto"/>
        <w:ind w:firstLine="709"/>
        <w:jc w:val="both"/>
        <w:rPr>
          <w:rFonts w:ascii="Century Gothic" w:eastAsia="Calibri" w:hAnsi="Century Gothic" w:cs="Arial"/>
          <w:lang w:val="es-ES_tradnl" w:eastAsia="es-ES_tradnl"/>
        </w:rPr>
      </w:pPr>
      <w:r w:rsidRPr="00A113FC">
        <w:rPr>
          <w:rFonts w:ascii="Century Gothic" w:eastAsia="Calibri" w:hAnsi="Century Gothic" w:cs="Arial"/>
          <w:bCs/>
          <w:szCs w:val="24"/>
          <w:lang w:eastAsia="es-ES_tradnl"/>
        </w:rPr>
        <w:lastRenderedPageBreak/>
        <w:t xml:space="preserve">No obstante, 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007767D1" w14:textId="77777777" w:rsidR="00275C28" w:rsidRPr="00A113FC" w:rsidRDefault="00275C28" w:rsidP="00275C28">
      <w:pPr>
        <w:spacing w:after="120" w:line="276" w:lineRule="auto"/>
        <w:jc w:val="both"/>
        <w:rPr>
          <w:rFonts w:ascii="Century Gothic" w:eastAsia="Calibri" w:hAnsi="Century Gothic" w:cs="Arial"/>
          <w:lang w:val="es-ES_tradnl" w:eastAsia="es-ES_tradnl"/>
        </w:rPr>
      </w:pPr>
      <w:r w:rsidRPr="00A113FC">
        <w:rPr>
          <w:rFonts w:ascii="Century Gothic" w:eastAsia="Calibri" w:hAnsi="Century Gothic" w:cs="Arial"/>
          <w:b/>
          <w:bCs/>
          <w:lang w:val="es-ES_tradnl" w:eastAsia="es-ES_tradnl"/>
        </w:rPr>
        <w:tab/>
      </w:r>
      <w:r w:rsidRPr="00A113FC">
        <w:rPr>
          <w:rFonts w:ascii="Century Gothic" w:eastAsia="Calibri" w:hAnsi="Century Gothic" w:cs="Arial"/>
          <w:lang w:val="es-ES_tradnl" w:eastAsia="es-ES_tradnl"/>
        </w:rPr>
        <w:t>En este contexto, el Gobierno Nacional expidió el Decreto 1860 de 2021,</w:t>
      </w:r>
      <w:r w:rsidRPr="00A113FC">
        <w:rPr>
          <w:rFonts w:ascii="Century Gothic" w:eastAsia="Times New Roman" w:hAnsi="Century Gothic" w:cs="Times New Roman"/>
          <w:sz w:val="24"/>
          <w:szCs w:val="24"/>
          <w:lang w:eastAsia="es-ES_tradnl"/>
        </w:rPr>
        <w:t xml:space="preserve"> </w:t>
      </w:r>
      <w:r w:rsidRPr="00A113FC">
        <w:rPr>
          <w:rFonts w:ascii="Century Gothic" w:eastAsia="Calibri" w:hAnsi="Century Gothic"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A113FC">
        <w:rPr>
          <w:rFonts w:ascii="Century Gothic" w:eastAsia="Calibri" w:hAnsi="Century Gothic" w:cs="Arial"/>
          <w:vertAlign w:val="superscript"/>
          <w:lang w:val="es-ES_tradnl" w:eastAsia="es-ES_tradnl"/>
        </w:rPr>
        <w:footnoteReference w:id="10"/>
      </w:r>
      <w:r w:rsidRPr="00A113FC">
        <w:rPr>
          <w:rFonts w:ascii="Century Gothic" w:eastAsia="Calibri" w:hAnsi="Century Gothic" w:cs="Arial"/>
          <w:lang w:val="es-ES_tradnl" w:eastAsia="es-ES_tradnl"/>
        </w:rPr>
        <w:t xml:space="preserve">.  </w:t>
      </w:r>
    </w:p>
    <w:p w14:paraId="7FD67950" w14:textId="77777777" w:rsidR="00275C28" w:rsidRPr="00A113FC" w:rsidRDefault="00275C28" w:rsidP="00275C28">
      <w:pPr>
        <w:spacing w:after="120" w:line="276" w:lineRule="auto"/>
        <w:jc w:val="both"/>
        <w:rPr>
          <w:rFonts w:ascii="Century Gothic" w:eastAsia="Times New Roman" w:hAnsi="Century Gothic" w:cs="Arial"/>
          <w:lang w:eastAsia="es-CO"/>
        </w:rPr>
      </w:pPr>
      <w:r w:rsidRPr="00A113FC">
        <w:rPr>
          <w:rFonts w:ascii="Century Gothic" w:eastAsia="Calibri" w:hAnsi="Century Gothic" w:cs="Arial"/>
          <w:lang w:val="es-ES_tradnl" w:eastAsia="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61F901B3" w14:textId="77777777" w:rsidR="00275C28" w:rsidRPr="00A113FC" w:rsidRDefault="00275C28" w:rsidP="00275C28">
      <w:pPr>
        <w:widowControl w:val="0"/>
        <w:autoSpaceDE w:val="0"/>
        <w:autoSpaceDN w:val="0"/>
        <w:spacing w:after="0" w:line="276" w:lineRule="auto"/>
        <w:ind w:firstLine="709"/>
        <w:jc w:val="both"/>
        <w:rPr>
          <w:rFonts w:ascii="Century Gothic" w:eastAsia="Arial MT" w:hAnsi="Century Gothic" w:cs="Arial"/>
          <w:lang w:val="es-ES"/>
        </w:rPr>
      </w:pPr>
      <w:r w:rsidRPr="00A113FC">
        <w:rPr>
          <w:rFonts w:ascii="Century Gothic" w:eastAsia="Times New Roman" w:hAnsi="Century Gothic" w:cs="Arial"/>
          <w:lang w:eastAsia="es-CO"/>
        </w:rPr>
        <w:t xml:space="preserve">Debe precisarse que la vigencia del Decreto 1860 de 2021 está regida por lo establecido en su artículo 8, el cual señala que “Las disposiciones contenidas en el presente Decreto se aplicarán a los procedimientos de selección cuya invitación, aviso de convocatoria o documento equivalente se publique a los tres (3) meses contados a partir de su expedición”, </w:t>
      </w:r>
      <w:r w:rsidRPr="00A113FC">
        <w:rPr>
          <w:rFonts w:ascii="Century Gothic" w:eastAsia="Arial MT" w:hAnsi="Century Gothic" w:cs="Arial"/>
          <w:lang w:val="es-ES"/>
        </w:rPr>
        <w:t>es decir, a</w:t>
      </w:r>
      <w:r w:rsidRPr="00A113FC">
        <w:rPr>
          <w:rFonts w:ascii="Century Gothic" w:eastAsia="Arial MT" w:hAnsi="Century Gothic" w:cs="Arial"/>
          <w:spacing w:val="1"/>
          <w:lang w:val="es-ES"/>
        </w:rPr>
        <w:t xml:space="preserve"> </w:t>
      </w:r>
      <w:r w:rsidRPr="00A113FC">
        <w:rPr>
          <w:rFonts w:ascii="Century Gothic" w:eastAsia="Arial MT" w:hAnsi="Century Gothic" w:cs="Arial"/>
          <w:spacing w:val="-1"/>
          <w:lang w:val="es-ES"/>
        </w:rPr>
        <w:t>partir</w:t>
      </w:r>
      <w:r w:rsidRPr="00A113FC">
        <w:rPr>
          <w:rFonts w:ascii="Century Gothic" w:eastAsia="Arial MT" w:hAnsi="Century Gothic" w:cs="Arial"/>
          <w:spacing w:val="-15"/>
          <w:lang w:val="es-ES"/>
        </w:rPr>
        <w:t xml:space="preserve"> </w:t>
      </w:r>
      <w:r w:rsidRPr="00A113FC">
        <w:rPr>
          <w:rFonts w:ascii="Century Gothic" w:eastAsia="Arial MT" w:hAnsi="Century Gothic" w:cs="Arial"/>
          <w:spacing w:val="-1"/>
          <w:lang w:val="es-ES"/>
        </w:rPr>
        <w:t>del</w:t>
      </w:r>
      <w:r w:rsidRPr="00A113FC">
        <w:rPr>
          <w:rFonts w:ascii="Century Gothic" w:eastAsia="Arial MT" w:hAnsi="Century Gothic" w:cs="Arial"/>
          <w:spacing w:val="-14"/>
          <w:lang w:val="es-ES"/>
        </w:rPr>
        <w:t xml:space="preserve"> </w:t>
      </w:r>
      <w:r w:rsidRPr="00A113FC">
        <w:rPr>
          <w:rFonts w:ascii="Century Gothic" w:eastAsia="Arial MT" w:hAnsi="Century Gothic" w:cs="Arial"/>
          <w:spacing w:val="-1"/>
          <w:lang w:val="es-ES"/>
        </w:rPr>
        <w:t>24</w:t>
      </w:r>
      <w:r w:rsidRPr="00A113FC">
        <w:rPr>
          <w:rFonts w:ascii="Century Gothic" w:eastAsia="Arial MT" w:hAnsi="Century Gothic" w:cs="Arial"/>
          <w:spacing w:val="-14"/>
          <w:lang w:val="es-ES"/>
        </w:rPr>
        <w:t xml:space="preserve"> </w:t>
      </w:r>
      <w:r w:rsidRPr="00A113FC">
        <w:rPr>
          <w:rFonts w:ascii="Century Gothic" w:eastAsia="Arial MT" w:hAnsi="Century Gothic" w:cs="Arial"/>
          <w:spacing w:val="-1"/>
          <w:lang w:val="es-ES"/>
        </w:rPr>
        <w:t>de</w:t>
      </w:r>
      <w:r w:rsidRPr="00A113FC">
        <w:rPr>
          <w:rFonts w:ascii="Century Gothic" w:eastAsia="Arial MT" w:hAnsi="Century Gothic" w:cs="Arial"/>
          <w:spacing w:val="-14"/>
          <w:lang w:val="es-ES"/>
        </w:rPr>
        <w:t xml:space="preserve"> </w:t>
      </w:r>
      <w:r w:rsidRPr="00A113FC">
        <w:rPr>
          <w:rFonts w:ascii="Century Gothic" w:eastAsia="Arial MT" w:hAnsi="Century Gothic" w:cs="Arial"/>
          <w:spacing w:val="-1"/>
          <w:lang w:val="es-ES"/>
        </w:rPr>
        <w:t>marzo</w:t>
      </w:r>
      <w:r w:rsidRPr="00A113FC">
        <w:rPr>
          <w:rFonts w:ascii="Century Gothic" w:eastAsia="Arial MT" w:hAnsi="Century Gothic" w:cs="Arial"/>
          <w:spacing w:val="-14"/>
          <w:lang w:val="es-ES"/>
        </w:rPr>
        <w:t xml:space="preserve"> </w:t>
      </w:r>
      <w:r w:rsidRPr="00A113FC">
        <w:rPr>
          <w:rFonts w:ascii="Century Gothic" w:eastAsia="Arial MT" w:hAnsi="Century Gothic" w:cs="Arial"/>
          <w:spacing w:val="-1"/>
          <w:lang w:val="es-ES"/>
        </w:rPr>
        <w:t>de</w:t>
      </w:r>
      <w:r w:rsidRPr="00A113FC">
        <w:rPr>
          <w:rFonts w:ascii="Century Gothic" w:eastAsia="Arial MT" w:hAnsi="Century Gothic" w:cs="Arial"/>
          <w:spacing w:val="-14"/>
          <w:lang w:val="es-ES"/>
        </w:rPr>
        <w:t xml:space="preserve"> </w:t>
      </w:r>
      <w:r w:rsidRPr="00A113FC">
        <w:rPr>
          <w:rFonts w:ascii="Century Gothic" w:eastAsia="Arial MT" w:hAnsi="Century Gothic" w:cs="Arial"/>
          <w:spacing w:val="-1"/>
          <w:lang w:val="es-ES"/>
        </w:rPr>
        <w:t xml:space="preserve">2022, </w:t>
      </w:r>
      <w:r w:rsidRPr="00A113FC">
        <w:rPr>
          <w:rFonts w:ascii="Century Gothic" w:eastAsia="Arial MT" w:hAnsi="Century Gothic" w:cs="Arial MT"/>
          <w:lang w:val="es-ES"/>
        </w:rPr>
        <w:t xml:space="preserve">por </w:t>
      </w:r>
      <w:r w:rsidRPr="00A113FC">
        <w:rPr>
          <w:rFonts w:ascii="Century Gothic" w:eastAsia="Arial MT" w:hAnsi="Century Gothic" w:cs="Arial MT"/>
          <w:lang w:val="es-ES"/>
        </w:rPr>
        <w:lastRenderedPageBreak/>
        <w:t>lo que actualmente esta es la regulación vigente</w:t>
      </w:r>
      <w:r w:rsidRPr="00A113FC">
        <w:rPr>
          <w:rFonts w:ascii="Century Gothic" w:eastAsia="Times New Roman" w:hAnsi="Century Gothic" w:cs="Arial"/>
          <w:vertAlign w:val="superscript"/>
          <w:lang w:eastAsia="es-CO"/>
        </w:rPr>
        <w:footnoteReference w:id="11"/>
      </w:r>
      <w:r w:rsidRPr="00A113FC">
        <w:rPr>
          <w:rFonts w:ascii="Century Gothic" w:eastAsia="Times New Roman" w:hAnsi="Century Gothic" w:cs="Arial"/>
          <w:lang w:eastAsia="es-CO"/>
        </w:rPr>
        <w:t xml:space="preserve">. </w:t>
      </w:r>
    </w:p>
    <w:p w14:paraId="28C31D59" w14:textId="77777777" w:rsidR="00275C28" w:rsidRPr="00A113FC" w:rsidRDefault="00275C28" w:rsidP="00275C28">
      <w:pPr>
        <w:spacing w:after="0" w:line="276" w:lineRule="auto"/>
        <w:jc w:val="both"/>
        <w:rPr>
          <w:rFonts w:ascii="Century Gothic" w:eastAsia="Times New Roman" w:hAnsi="Century Gothic" w:cs="Arial"/>
          <w:lang w:eastAsia="es-CO"/>
        </w:rPr>
      </w:pPr>
    </w:p>
    <w:p w14:paraId="6049B9B2" w14:textId="77777777" w:rsidR="00275C28" w:rsidRPr="00A113FC" w:rsidRDefault="00275C28" w:rsidP="00275C28">
      <w:pPr>
        <w:spacing w:after="0" w:line="276" w:lineRule="auto"/>
        <w:jc w:val="both"/>
        <w:rPr>
          <w:rFonts w:ascii="Century Gothic" w:eastAsia="Calibri" w:hAnsi="Century Gothic" w:cs="Arial"/>
          <w:b/>
          <w:bCs/>
          <w:lang w:val="es-ES_tradnl" w:eastAsia="es-ES_tradnl"/>
        </w:rPr>
      </w:pPr>
      <w:r w:rsidRPr="00A113FC">
        <w:rPr>
          <w:rFonts w:ascii="Century Gothic" w:eastAsia="Calibri" w:hAnsi="Century Gothic" w:cs="Arial"/>
          <w:b/>
          <w:bCs/>
          <w:lang w:val="es-ES_tradnl" w:eastAsia="es-ES_tradnl"/>
        </w:rPr>
        <w:t xml:space="preserve">2.2. Definición de emprendimientos y empresas de mujeres en el Decreto 1860 de 2021 </w:t>
      </w:r>
    </w:p>
    <w:p w14:paraId="0765BDC1" w14:textId="77777777" w:rsidR="00275C28" w:rsidRPr="00A113FC" w:rsidRDefault="00275C28" w:rsidP="00275C28">
      <w:pPr>
        <w:spacing w:after="0" w:line="276" w:lineRule="auto"/>
        <w:jc w:val="both"/>
        <w:rPr>
          <w:rFonts w:ascii="Century Gothic" w:eastAsia="Calibri" w:hAnsi="Century Gothic" w:cs="Arial"/>
          <w:b/>
          <w:bCs/>
          <w:lang w:val="es-ES_tradnl" w:eastAsia="es-ES_tradnl"/>
        </w:rPr>
      </w:pPr>
    </w:p>
    <w:p w14:paraId="652D51A7" w14:textId="77777777" w:rsidR="00275C28" w:rsidRPr="00A113FC" w:rsidRDefault="00275C28" w:rsidP="00275C28">
      <w:pPr>
        <w:spacing w:after="120" w:line="276" w:lineRule="auto"/>
        <w:jc w:val="both"/>
        <w:rPr>
          <w:rFonts w:ascii="Century Gothic" w:eastAsia="Calibri" w:hAnsi="Century Gothic" w:cs="Arial"/>
          <w:lang w:val="es-ES_tradnl" w:eastAsia="es-ES_tradnl"/>
        </w:rPr>
      </w:pPr>
      <w:r>
        <w:rPr>
          <w:rFonts w:ascii="Century Gothic" w:eastAsia="Calibri" w:hAnsi="Century Gothic" w:cs="Arial"/>
          <w:lang w:val="es-ES_tradnl" w:eastAsia="es-ES_tradnl"/>
        </w:rPr>
        <w:t>E</w:t>
      </w:r>
      <w:r w:rsidRPr="00A113FC">
        <w:rPr>
          <w:rFonts w:ascii="Century Gothic" w:eastAsia="Calibri" w:hAnsi="Century Gothic" w:cs="Arial"/>
          <w:lang w:val="es-ES_tradnl" w:eastAsia="es-ES_tradnl"/>
        </w:rPr>
        <w:t xml:space="preserve">l artículo 32 de la Ley 2069 de 2021 introduce el deber de las Entidades Estatales de incluir </w:t>
      </w:r>
      <w:r w:rsidRPr="00A113FC">
        <w:rPr>
          <w:rFonts w:ascii="Century Gothic" w:eastAsia="Times New Roman" w:hAnsi="Century Gothic" w:cs="Arial"/>
          <w:shd w:val="clear" w:color="auto" w:fill="FFFFFF"/>
          <w:lang w:val="es-ES"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r w:rsidRPr="00A113FC">
        <w:rPr>
          <w:rFonts w:ascii="Century Gothic" w:eastAsia="Times New Roman" w:hAnsi="Century Gothic" w:cs="Arial"/>
          <w:shd w:val="clear" w:color="auto" w:fill="FFFFFF"/>
          <w:lang w:eastAsia="es-ES_tradnl"/>
        </w:rPr>
        <w:t> </w:t>
      </w:r>
    </w:p>
    <w:p w14:paraId="16A26AE2" w14:textId="77777777" w:rsidR="00275C28" w:rsidRPr="00A113FC" w:rsidRDefault="00275C28" w:rsidP="00275C28">
      <w:pPr>
        <w:spacing w:after="0" w:line="276" w:lineRule="auto"/>
        <w:jc w:val="both"/>
        <w:rPr>
          <w:rFonts w:ascii="Century Gothic" w:eastAsia="Calibri" w:hAnsi="Century Gothic" w:cs="Arial"/>
          <w:lang w:val="es-ES_tradnl" w:eastAsia="es-ES_tradnl"/>
        </w:rPr>
      </w:pPr>
      <w:r w:rsidRPr="00A113FC">
        <w:rPr>
          <w:rFonts w:ascii="Century Gothic" w:eastAsia="Calibri" w:hAnsi="Century Gothic" w:cs="Arial"/>
          <w:lang w:val="es-ES_tradnl" w:eastAsia="es-ES_tradnl"/>
        </w:rPr>
        <w:tab/>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siendo relevante para la consulta el tercero de dichos numerales, cuyo tenor literal indica:   </w:t>
      </w:r>
    </w:p>
    <w:p w14:paraId="6FEB1333" w14:textId="77777777" w:rsidR="00275C28" w:rsidRPr="00A113FC" w:rsidRDefault="00275C28" w:rsidP="00275C28">
      <w:pPr>
        <w:spacing w:after="0" w:line="276" w:lineRule="auto"/>
        <w:jc w:val="both"/>
        <w:rPr>
          <w:rFonts w:ascii="Century Gothic" w:eastAsia="Calibri" w:hAnsi="Century Gothic" w:cs="Arial"/>
          <w:lang w:val="es-ES_tradnl" w:eastAsia="es-ES_tradnl"/>
        </w:rPr>
      </w:pPr>
    </w:p>
    <w:p w14:paraId="284C8716" w14:textId="77777777" w:rsidR="00275C28" w:rsidRPr="003A6397" w:rsidRDefault="00275C28" w:rsidP="00275C28">
      <w:pPr>
        <w:shd w:val="clear" w:color="auto" w:fill="FFFFFF"/>
        <w:spacing w:after="0" w:line="240" w:lineRule="auto"/>
        <w:ind w:left="709" w:right="709"/>
        <w:jc w:val="both"/>
        <w:textAlignment w:val="baseline"/>
        <w:rPr>
          <w:rFonts w:ascii="Century Gothic" w:eastAsia="Times New Roman" w:hAnsi="Century Gothic" w:cs="Arial"/>
          <w:sz w:val="21"/>
          <w:szCs w:val="21"/>
          <w:lang w:eastAsia="es-CO"/>
        </w:rPr>
      </w:pPr>
      <w:r w:rsidRPr="003A6397">
        <w:rPr>
          <w:rFonts w:ascii="Century Gothic" w:eastAsia="Times New Roman" w:hAnsi="Century Gothic" w:cs="Arial"/>
          <w:sz w:val="21"/>
          <w:szCs w:val="21"/>
          <w:lang w:eastAsia="es-CO"/>
        </w:rPr>
        <w:lastRenderedPageBreak/>
        <w:t>“Artículo 2.2.1.2.4.2.14. Definición de emprendimientos y empresas de mujeres.</w:t>
      </w:r>
      <w:r w:rsidRPr="003A6397">
        <w:rPr>
          <w:rFonts w:ascii="Arial" w:eastAsia="Times New Roman" w:hAnsi="Arial" w:cs="Arial"/>
          <w:sz w:val="21"/>
          <w:szCs w:val="21"/>
          <w:lang w:eastAsia="es-CO"/>
        </w:rPr>
        <w:t> </w:t>
      </w:r>
      <w:r w:rsidRPr="003A6397">
        <w:rPr>
          <w:rFonts w:ascii="Century Gothic" w:eastAsia="Times New Roman" w:hAnsi="Century Gothic" w:cs="Arial"/>
          <w:sz w:val="21"/>
          <w:szCs w:val="21"/>
          <w:lang w:eastAsia="es-CO"/>
        </w:rPr>
        <w:t>Con el prop</w:t>
      </w:r>
      <w:r w:rsidRPr="003A6397">
        <w:rPr>
          <w:rFonts w:ascii="Century Gothic" w:eastAsia="Times New Roman" w:hAnsi="Century Gothic" w:cs="Century Gothic"/>
          <w:sz w:val="21"/>
          <w:szCs w:val="21"/>
          <w:lang w:eastAsia="es-CO"/>
        </w:rPr>
        <w:t>ó</w:t>
      </w:r>
      <w:r w:rsidRPr="003A6397">
        <w:rPr>
          <w:rFonts w:ascii="Century Gothic" w:eastAsia="Times New Roman" w:hAnsi="Century Gothic" w:cs="Arial"/>
          <w:sz w:val="21"/>
          <w:szCs w:val="21"/>
          <w:lang w:eastAsia="es-CO"/>
        </w:rPr>
        <w:t>sito de adoptar medidas afirmativas que incentiven la participaci</w:t>
      </w:r>
      <w:r w:rsidRPr="003A6397">
        <w:rPr>
          <w:rFonts w:ascii="Century Gothic" w:eastAsia="Times New Roman" w:hAnsi="Century Gothic" w:cs="Century Gothic"/>
          <w:sz w:val="21"/>
          <w:szCs w:val="21"/>
          <w:lang w:eastAsia="es-CO"/>
        </w:rPr>
        <w:t>ó</w:t>
      </w:r>
      <w:r w:rsidRPr="003A6397">
        <w:rPr>
          <w:rFonts w:ascii="Century Gothic" w:eastAsia="Times New Roman" w:hAnsi="Century Gothic" w:cs="Arial"/>
          <w:sz w:val="21"/>
          <w:szCs w:val="21"/>
          <w:lang w:eastAsia="es-CO"/>
        </w:rPr>
        <w:t>n de las mujeres en el sistema de compras p</w:t>
      </w:r>
      <w:r w:rsidRPr="003A6397">
        <w:rPr>
          <w:rFonts w:ascii="Century Gothic" w:eastAsia="Times New Roman" w:hAnsi="Century Gothic" w:cs="Century Gothic"/>
          <w:sz w:val="21"/>
          <w:szCs w:val="21"/>
          <w:lang w:eastAsia="es-CO"/>
        </w:rPr>
        <w:t>ú</w:t>
      </w:r>
      <w:r w:rsidRPr="003A6397">
        <w:rPr>
          <w:rFonts w:ascii="Century Gothic" w:eastAsia="Times New Roman" w:hAnsi="Century Gothic" w:cs="Arial"/>
          <w:sz w:val="21"/>
          <w:szCs w:val="21"/>
          <w:lang w:eastAsia="es-CO"/>
        </w:rPr>
        <w:t>blicas, se entender</w:t>
      </w:r>
      <w:r w:rsidRPr="003A6397">
        <w:rPr>
          <w:rFonts w:ascii="Century Gothic" w:eastAsia="Times New Roman" w:hAnsi="Century Gothic" w:cs="Century Gothic"/>
          <w:sz w:val="21"/>
          <w:szCs w:val="21"/>
          <w:lang w:eastAsia="es-CO"/>
        </w:rPr>
        <w:t>á</w:t>
      </w:r>
      <w:r w:rsidRPr="003A6397">
        <w:rPr>
          <w:rFonts w:ascii="Century Gothic" w:eastAsia="Times New Roman" w:hAnsi="Century Gothic" w:cs="Arial"/>
          <w:sz w:val="21"/>
          <w:szCs w:val="21"/>
          <w:lang w:eastAsia="es-CO"/>
        </w:rPr>
        <w:t>n como emprendimientos y empresas de mujeres aquellas que cumplan con alguna de las siguientes condiciones:</w:t>
      </w:r>
      <w:r w:rsidRPr="003A6397">
        <w:rPr>
          <w:rFonts w:ascii="Century Gothic" w:eastAsia="Times New Roman" w:hAnsi="Century Gothic" w:cs="Century Gothic"/>
          <w:sz w:val="21"/>
          <w:szCs w:val="21"/>
          <w:lang w:eastAsia="es-CO"/>
        </w:rPr>
        <w:t> </w:t>
      </w:r>
    </w:p>
    <w:p w14:paraId="1AE71EB3" w14:textId="77777777" w:rsidR="00275C28" w:rsidRPr="003A6397" w:rsidRDefault="00275C28" w:rsidP="00275C28">
      <w:pPr>
        <w:shd w:val="clear" w:color="auto" w:fill="FFFFFF"/>
        <w:spacing w:after="0" w:line="240" w:lineRule="auto"/>
        <w:ind w:left="709" w:right="709"/>
        <w:jc w:val="both"/>
        <w:textAlignment w:val="baseline"/>
        <w:rPr>
          <w:rFonts w:ascii="Century Gothic" w:eastAsia="Times New Roman" w:hAnsi="Century Gothic" w:cs="Arial"/>
          <w:sz w:val="21"/>
          <w:szCs w:val="21"/>
          <w:lang w:eastAsia="es-CO"/>
        </w:rPr>
      </w:pPr>
      <w:r w:rsidRPr="003A6397">
        <w:rPr>
          <w:rFonts w:ascii="Century Gothic" w:eastAsia="Times New Roman" w:hAnsi="Century Gothic" w:cs="Arial"/>
          <w:sz w:val="21"/>
          <w:szCs w:val="21"/>
          <w:lang w:eastAsia="es-CO"/>
        </w:rPr>
        <w:t>[…]</w:t>
      </w:r>
    </w:p>
    <w:p w14:paraId="2F918C59" w14:textId="77777777" w:rsidR="00275C28" w:rsidRPr="003A6397" w:rsidRDefault="00275C28" w:rsidP="00275C28">
      <w:pPr>
        <w:shd w:val="clear" w:color="auto" w:fill="FFFFFF" w:themeFill="background1"/>
        <w:spacing w:after="0" w:line="240" w:lineRule="auto"/>
        <w:ind w:left="709" w:right="709"/>
        <w:jc w:val="both"/>
        <w:textAlignment w:val="baseline"/>
        <w:rPr>
          <w:rFonts w:ascii="Century Gothic" w:eastAsia="Times New Roman" w:hAnsi="Century Gothic" w:cs="Arial"/>
          <w:sz w:val="21"/>
          <w:szCs w:val="21"/>
          <w:lang w:eastAsia="es-CO"/>
        </w:rPr>
      </w:pPr>
      <w:r w:rsidRPr="003A6397">
        <w:rPr>
          <w:rFonts w:ascii="Century Gothic" w:eastAsia="Times New Roman" w:hAnsi="Century Gothic" w:cs="Arial"/>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7DC20B91" w14:textId="77777777" w:rsidR="00275C28" w:rsidRPr="00A113FC" w:rsidRDefault="00275C28" w:rsidP="00275C28">
      <w:pPr>
        <w:shd w:val="clear" w:color="auto" w:fill="FFFFFF" w:themeFill="background1"/>
        <w:spacing w:after="0" w:line="240" w:lineRule="auto"/>
        <w:ind w:left="709" w:right="709"/>
        <w:jc w:val="both"/>
        <w:textAlignment w:val="baseline"/>
        <w:rPr>
          <w:rFonts w:ascii="Century Gothic" w:eastAsia="Times New Roman" w:hAnsi="Century Gothic" w:cs="Arial"/>
          <w:sz w:val="21"/>
          <w:szCs w:val="21"/>
          <w:lang w:eastAsia="es-CO"/>
        </w:rPr>
      </w:pPr>
      <w:r w:rsidRPr="003A6397">
        <w:rPr>
          <w:rFonts w:ascii="Century Gothic" w:eastAsia="Times New Roman" w:hAnsi="Century Gothic" w:cs="Arial"/>
          <w:sz w:val="21"/>
          <w:szCs w:val="21"/>
          <w:lang w:eastAsia="es-CO"/>
        </w:rPr>
        <w:t>[…]”.</w:t>
      </w:r>
    </w:p>
    <w:p w14:paraId="1842C6B2" w14:textId="77777777" w:rsidR="00275C28" w:rsidRPr="00A113FC" w:rsidRDefault="00275C28" w:rsidP="00275C28">
      <w:pPr>
        <w:spacing w:after="0" w:line="276" w:lineRule="auto"/>
        <w:jc w:val="both"/>
        <w:rPr>
          <w:rFonts w:ascii="Century Gothic" w:eastAsia="Calibri" w:hAnsi="Century Gothic" w:cs="Arial"/>
          <w:lang w:val="es-ES_tradnl" w:eastAsia="es-ES_tradnl"/>
        </w:rPr>
      </w:pPr>
    </w:p>
    <w:p w14:paraId="54CD4872" w14:textId="77777777" w:rsidR="00275C28" w:rsidRPr="00A113FC" w:rsidRDefault="00275C28" w:rsidP="77D36B6A">
      <w:pPr>
        <w:spacing w:after="120" w:line="276" w:lineRule="auto"/>
        <w:ind w:firstLine="708"/>
        <w:jc w:val="both"/>
        <w:rPr>
          <w:rFonts w:ascii="Century Gothic" w:eastAsia="Calibri" w:hAnsi="Century Gothic" w:cs="Arial"/>
          <w:lang w:val="es-ES"/>
        </w:rPr>
      </w:pPr>
      <w:bookmarkStart w:id="11" w:name="_Hlk160013305"/>
      <w:r w:rsidRPr="77D36B6A">
        <w:rPr>
          <w:rFonts w:ascii="Century Gothic" w:eastAsia="Calibri" w:hAnsi="Century Gothic" w:cs="Arial"/>
          <w:lang w:val="es-ES"/>
        </w:rPr>
        <w:t>Sin perjuicio de los factores de desempate previstos en los numerales 2 y 7 del artículo 2.2.1.2.4.2.17 del Decreto 1082 de 2015 para mujeres cabeza de familia y/o víctimas de violencia intrafamiliar</w:t>
      </w:r>
      <w:bookmarkEnd w:id="11"/>
      <w:r w:rsidRPr="77D36B6A">
        <w:rPr>
          <w:rFonts w:ascii="Century Gothic" w:eastAsia="Calibri" w:hAnsi="Century Gothic" w:cs="Arial"/>
          <w:lang w:val="es-ES"/>
        </w:rPr>
        <w:t xml:space="preserve">, debe cumplirse con las siguientes condiciones para ser consideradas emprendimientos y empresas de mujeres y, en consecuencia, ser destinatarias de los criterios diferenciales de que trata el artículo 32 de la Ley de Emprendimiento: i) que la persona natural sea una mujer; ii) que haya ejercido actividades comerciales a través de un establecimiento de comercio, iii)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62611694" w14:textId="77777777" w:rsidR="00275C28" w:rsidRPr="00A113FC" w:rsidRDefault="00275C28" w:rsidP="00275C28">
      <w:pPr>
        <w:spacing w:after="120" w:line="276" w:lineRule="auto"/>
        <w:jc w:val="both"/>
        <w:rPr>
          <w:rFonts w:ascii="Century Gothic" w:eastAsia="Calibri" w:hAnsi="Century Gothic" w:cs="Arial"/>
          <w:lang w:val="es-ES_tradnl"/>
        </w:rPr>
      </w:pPr>
      <w:r w:rsidRPr="00A113FC">
        <w:rPr>
          <w:rFonts w:ascii="Century Gothic" w:eastAsia="Calibri" w:hAnsi="Century Gothic" w:cs="Arial"/>
          <w:lang w:val="es-ES_tradnl"/>
        </w:rPr>
        <w:tab/>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del Decreto 1860 de 2021 –artículo</w:t>
      </w:r>
      <w:r w:rsidRPr="00A113FC">
        <w:rPr>
          <w:rFonts w:ascii="Century Gothic" w:eastAsia="Calibri" w:hAnsi="Century Gothic" w:cs="Arial"/>
          <w:b/>
          <w:bCs/>
          <w:lang w:val="es-ES_tradnl"/>
        </w:rPr>
        <w:t xml:space="preserve"> </w:t>
      </w:r>
      <w:r w:rsidRPr="00A113FC">
        <w:rPr>
          <w:rFonts w:ascii="Century Gothic" w:hAnsi="Century Gothic" w:cs="Arial"/>
          <w:shd w:val="clear" w:color="auto" w:fill="FFFFFF"/>
        </w:rPr>
        <w:t>2.2.1.2.4.2.14</w:t>
      </w:r>
      <w:r>
        <w:rPr>
          <w:rFonts w:ascii="Century Gothic" w:hAnsi="Century Gothic" w:cs="Arial"/>
          <w:shd w:val="clear" w:color="auto" w:fill="FFFFFF"/>
        </w:rPr>
        <w:t xml:space="preserve"> </w:t>
      </w:r>
      <w:r w:rsidRPr="00A113FC">
        <w:rPr>
          <w:rFonts w:ascii="Century Gothic" w:hAnsi="Century Gothic" w:cs="Arial"/>
          <w:shd w:val="clear" w:color="auto" w:fill="FFFFFF"/>
        </w:rPr>
        <w:t xml:space="preserve">del Decreto 1082 de 2015 </w:t>
      </w:r>
      <w:r w:rsidRPr="00A113FC">
        <w:rPr>
          <w:rFonts w:ascii="Century Gothic" w:eastAsia="Calibri" w:hAnsi="Century Gothic" w:cs="Arial"/>
          <w:lang w:val="es-ES_tradnl"/>
        </w:rPr>
        <w:t xml:space="preserve">– deja por fuera a aquellas mujeres que no hayan ejercido actividades comerciales a través de un establecimiento de comercio y/o que no cumplan con el requerimiento del tiempo mínimo de un año de ejercicio de las actividades.  </w:t>
      </w:r>
    </w:p>
    <w:p w14:paraId="41AC0B73" w14:textId="77777777" w:rsidR="00275C28" w:rsidRPr="00A113FC" w:rsidRDefault="00275C28" w:rsidP="77D36B6A">
      <w:pPr>
        <w:spacing w:after="120" w:line="276" w:lineRule="auto"/>
        <w:jc w:val="both"/>
        <w:rPr>
          <w:rFonts w:ascii="Century Gothic" w:eastAsia="Calibri" w:hAnsi="Century Gothic" w:cs="Arial"/>
          <w:lang w:val="es-ES"/>
        </w:rPr>
      </w:pPr>
      <w:r w:rsidRPr="00A113FC">
        <w:rPr>
          <w:rFonts w:ascii="Century Gothic" w:eastAsia="Calibri" w:hAnsi="Century Gothic" w:cs="Arial"/>
          <w:bCs/>
          <w:lang w:val="es-ES_tradnl"/>
        </w:rPr>
        <w:tab/>
      </w:r>
      <w:r w:rsidRPr="77D36B6A">
        <w:rPr>
          <w:rFonts w:ascii="Century Gothic" w:eastAsia="Calibri" w:hAnsi="Century Gothic" w:cs="Arial"/>
          <w:lang w:val="es-ES"/>
        </w:rPr>
        <w:t xml:space="preserve">Dado que una de las condiciones para ser considerada emprendimiento y empresa de mujeres está relacionada con que la persona natural haya ejercido </w:t>
      </w:r>
      <w:r w:rsidRPr="77D36B6A">
        <w:rPr>
          <w:rFonts w:ascii="Century Gothic" w:eastAsia="Calibri" w:hAnsi="Century Gothic" w:cs="Arial"/>
          <w:lang w:val="es-ES"/>
        </w:rPr>
        <w:lastRenderedPageBreak/>
        <w:t xml:space="preserve">actividades comerciales a través de establecimiento de comercio, es indispensable referirse a qué se entiende por actividad comercial y el desarrollo de la misma a través de un establecimiento de comercio. </w:t>
      </w:r>
    </w:p>
    <w:p w14:paraId="004012E6" w14:textId="77777777" w:rsidR="00275C28" w:rsidRPr="00A113FC" w:rsidRDefault="00275C28" w:rsidP="00275C28">
      <w:pPr>
        <w:spacing w:after="120" w:line="276" w:lineRule="auto"/>
        <w:ind w:firstLine="708"/>
        <w:jc w:val="both"/>
        <w:rPr>
          <w:rFonts w:ascii="Century Gothic" w:eastAsia="Calibri" w:hAnsi="Century Gothic" w:cs="Arial"/>
          <w:bCs/>
          <w:lang w:val="es-ES_tradnl"/>
        </w:rPr>
      </w:pPr>
      <w:r w:rsidRPr="00A113FC">
        <w:rPr>
          <w:rFonts w:ascii="Century Gothic" w:eastAsia="Calibri" w:hAnsi="Century Gothic" w:cs="Arial"/>
          <w:bCs/>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A113FC">
        <w:rPr>
          <w:rFonts w:ascii="Century Gothic" w:hAnsi="Century Gothic" w:cs="Arial"/>
        </w:rPr>
        <w:t>nuestro sistema jurídico. Así las cosas, no se define estáticamente el acto de comercio, permitiendo mediante la analogía realizar la ampliación dinámica del derecho mercantil facilitando su adaptación a un cambiante mundo de negocios</w:t>
      </w:r>
      <w:r w:rsidRPr="00A113FC">
        <w:rPr>
          <w:rFonts w:ascii="Century Gothic" w:hAnsi="Century Gothic" w:cs="Arial"/>
          <w:vertAlign w:val="superscript"/>
        </w:rPr>
        <w:footnoteReference w:id="12"/>
      </w:r>
      <w:r w:rsidRPr="00A113FC">
        <w:rPr>
          <w:rFonts w:ascii="Century Gothic" w:hAnsi="Century Gothic" w:cs="Arial"/>
        </w:rPr>
        <w:t>. Adicionalmente, la ley provee un criterio auxiliar que permite ampliar la cobertura del derecho comercial con la calificación de mercantiles de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A113FC">
        <w:rPr>
          <w:rFonts w:ascii="Century Gothic" w:hAnsi="Century Gothic" w:cs="Arial"/>
          <w:vertAlign w:val="superscript"/>
        </w:rPr>
        <w:footnoteReference w:id="13"/>
      </w:r>
      <w:r w:rsidRPr="00A113FC">
        <w:rPr>
          <w:rFonts w:ascii="Century Gothic" w:hAnsi="Century Gothic" w:cs="Arial"/>
        </w:rPr>
        <w:t xml:space="preserve">. </w:t>
      </w:r>
    </w:p>
    <w:p w14:paraId="3521A60C" w14:textId="77777777" w:rsidR="00275C28" w:rsidRPr="00A113FC" w:rsidRDefault="00275C28" w:rsidP="00275C28">
      <w:pPr>
        <w:spacing w:after="120" w:line="276" w:lineRule="auto"/>
        <w:ind w:firstLine="708"/>
        <w:jc w:val="both"/>
        <w:rPr>
          <w:rFonts w:ascii="Century Gothic" w:eastAsia="Calibri" w:hAnsi="Century Gothic" w:cs="Arial"/>
          <w:bCs/>
          <w:lang w:val="es-ES_tradnl"/>
        </w:rPr>
      </w:pPr>
      <w:r w:rsidRPr="00A113FC">
        <w:rPr>
          <w:rFonts w:ascii="Century Gothic" w:eastAsia="Calibri" w:hAnsi="Century Gothic" w:cs="Arial"/>
          <w:bCs/>
          <w:lang w:val="es-ES_tradnl"/>
        </w:rPr>
        <w:t xml:space="preserve">Respecto del requisito del establecimiento de comercio, debe señalarse que la actividad comercial se realiza a través de establecimientos de comercio sujetos al registro mercantil. En efecto, de conformidad con el artículo 25 del Código de Comercio, “Se entenderá por empresa toda actividad económica organizada para la producción, transformación, circulación, administración o custodia de bienes, o para la prestación de servicios. </w:t>
      </w:r>
      <w:r w:rsidRPr="00A113FC">
        <w:rPr>
          <w:rFonts w:ascii="Century Gothic" w:eastAsia="Calibri" w:hAnsi="Century Gothic" w:cs="Arial"/>
          <w:bCs/>
          <w:i/>
          <w:iCs/>
          <w:lang w:val="es-ES_tradnl"/>
        </w:rPr>
        <w:t>Dicha actividad se realizará a través de uno o más establecimientos de comercio</w:t>
      </w:r>
      <w:r w:rsidRPr="00A113FC">
        <w:rPr>
          <w:rFonts w:ascii="Century Gothic" w:eastAsia="Calibri" w:hAnsi="Century Gothic" w:cs="Arial"/>
          <w:bCs/>
          <w:lang w:val="es-ES_tradnl"/>
        </w:rPr>
        <w:t xml:space="preserve">” </w:t>
      </w:r>
      <w:r w:rsidRPr="00A113FC">
        <w:rPr>
          <w:rFonts w:ascii="Century Gothic" w:hAnsi="Century Gothic" w:cs="Arial"/>
          <w:lang w:eastAsia="es-CO"/>
        </w:rPr>
        <w:t>(Énfasis fuera de texto)</w:t>
      </w:r>
      <w:r w:rsidRPr="00A113FC">
        <w:rPr>
          <w:rFonts w:ascii="Century Gothic" w:eastAsia="Calibri" w:hAnsi="Century Gothic" w:cs="Arial"/>
          <w:bCs/>
          <w:lang w:val="es-ES_tradnl"/>
        </w:rPr>
        <w:t xml:space="preserve">. </w:t>
      </w:r>
      <w:r w:rsidRPr="00A113FC">
        <w:rPr>
          <w:rFonts w:ascii="Century Gothic" w:hAnsi="Century Gothic" w:cs="Arial"/>
        </w:rPr>
        <w:t xml:space="preserve">El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w:t>
      </w:r>
      <w:r w:rsidRPr="00A113FC">
        <w:rPr>
          <w:rFonts w:ascii="Century Gothic" w:hAnsi="Century Gothic" w:cs="Arial"/>
        </w:rPr>
        <w:lastRenderedPageBreak/>
        <w:t>están destinados todos: la producción o distribución de bienes y servicios en el mercado</w:t>
      </w:r>
      <w:r w:rsidRPr="00A113FC">
        <w:rPr>
          <w:rFonts w:ascii="Century Gothic" w:eastAsia="Calibri" w:hAnsi="Century Gothic" w:cs="Arial"/>
          <w:bCs/>
          <w:vertAlign w:val="superscript"/>
          <w:lang w:val="es-ES_tradnl"/>
        </w:rPr>
        <w:footnoteReference w:id="14"/>
      </w:r>
      <w:r w:rsidRPr="00A113FC">
        <w:rPr>
          <w:rFonts w:ascii="Century Gothic" w:eastAsia="Calibri" w:hAnsi="Century Gothic" w:cs="Arial"/>
          <w:bCs/>
          <w:lang w:val="es-ES_tradnl"/>
        </w:rPr>
        <w:t xml:space="preserve">. </w:t>
      </w:r>
    </w:p>
    <w:p w14:paraId="66EBDF71" w14:textId="77777777" w:rsidR="00275C28" w:rsidRPr="00A113FC" w:rsidRDefault="00275C28" w:rsidP="00275C28">
      <w:pPr>
        <w:spacing w:after="120" w:line="276" w:lineRule="auto"/>
        <w:ind w:firstLine="708"/>
        <w:jc w:val="both"/>
        <w:rPr>
          <w:rFonts w:ascii="Century Gothic" w:eastAsia="Calibri" w:hAnsi="Century Gothic" w:cs="Arial"/>
          <w:bCs/>
          <w:lang w:val="es-ES_tradnl"/>
        </w:rPr>
      </w:pPr>
      <w:r w:rsidRPr="00A113FC">
        <w:rPr>
          <w:rFonts w:ascii="Century Gothic" w:eastAsia="Calibri" w:hAnsi="Century Gothic" w:cs="Arial"/>
          <w:bCs/>
          <w:lang w:val="es-ES_tradnl"/>
        </w:rPr>
        <w:t xml:space="preserve">Ahora bien, frente al requisito del registro mercantil, el artículo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A113FC">
        <w:rPr>
          <w:rFonts w:ascii="Century Gothic" w:eastAsia="Calibri" w:hAnsi="Century Gothic" w:cs="Arial"/>
          <w:bCs/>
          <w:i/>
          <w:iCs/>
          <w:lang w:val="es-ES_tradnl"/>
        </w:rPr>
        <w:t>ibidem</w:t>
      </w:r>
      <w:r w:rsidRPr="00A113FC">
        <w:rPr>
          <w:rFonts w:ascii="Century Gothic" w:eastAsia="Calibri" w:hAnsi="Century Gothic" w:cs="Arial"/>
          <w:bCs/>
          <w:lang w:val="es-ES_tradnl"/>
        </w:rPr>
        <w:t xml:space="preserve"> señalan que cuando </w:t>
      </w:r>
      <w:r w:rsidRPr="00A113FC">
        <w:rPr>
          <w:rFonts w:ascii="Century Gothic" w:hAnsi="Century Gothic" w:cs="Arial"/>
        </w:rPr>
        <w:t xml:space="preserve">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01E7EC6A" w14:textId="77777777" w:rsidR="00275C28" w:rsidRPr="00A113FC" w:rsidRDefault="00275C28" w:rsidP="00275C28">
      <w:pPr>
        <w:spacing w:after="120" w:line="276" w:lineRule="auto"/>
        <w:ind w:firstLine="709"/>
        <w:jc w:val="both"/>
        <w:rPr>
          <w:rFonts w:ascii="Century Gothic" w:hAnsi="Century Gothic" w:cs="Arial"/>
        </w:rPr>
      </w:pPr>
      <w:bookmarkStart w:id="12" w:name="_Hlk112034643"/>
      <w:bookmarkStart w:id="13" w:name="_Hlk112310294"/>
      <w:r w:rsidRPr="00A113FC">
        <w:rPr>
          <w:rFonts w:ascii="Century Gothic" w:hAnsi="Century Gothic" w:cs="Arial"/>
        </w:rPr>
        <w:t xml:space="preserve">De esta manera, se concluye que el numeral tercero del </w:t>
      </w:r>
      <w:r w:rsidRPr="00A113FC">
        <w:rPr>
          <w:rFonts w:ascii="Century Gothic" w:eastAsia="Calibri" w:hAnsi="Century Gothic" w:cs="Arial"/>
          <w:lang w:val="es-ES_tradnl"/>
        </w:rPr>
        <w:t>artículo</w:t>
      </w:r>
      <w:r w:rsidRPr="00A113FC">
        <w:rPr>
          <w:rFonts w:ascii="Century Gothic" w:eastAsia="Calibri" w:hAnsi="Century Gothic" w:cs="Arial"/>
          <w:b/>
          <w:bCs/>
          <w:lang w:val="es-ES_tradnl"/>
        </w:rPr>
        <w:t xml:space="preserve"> </w:t>
      </w:r>
      <w:r w:rsidRPr="00A113FC">
        <w:rPr>
          <w:rFonts w:ascii="Century Gothic" w:hAnsi="Century Gothic" w:cs="Arial"/>
          <w:shd w:val="clear" w:color="auto" w:fill="FFFFFF"/>
        </w:rPr>
        <w:t>2.2.1.2.4.2.14</w:t>
      </w:r>
      <w:r w:rsidRPr="00A113FC">
        <w:rPr>
          <w:rFonts w:ascii="Century Gothic" w:hAnsi="Century Gothic" w:cs="Arial"/>
          <w:b/>
          <w:bCs/>
          <w:shd w:val="clear" w:color="auto" w:fill="FFFFFF"/>
        </w:rPr>
        <w:t xml:space="preserve"> </w:t>
      </w:r>
      <w:r w:rsidRPr="00A113FC">
        <w:rPr>
          <w:rFonts w:ascii="Century Gothic" w:hAnsi="Century Gothic" w:cs="Arial"/>
          <w:shd w:val="clear" w:color="auto" w:fill="FFFFFF"/>
        </w:rPr>
        <w:t xml:space="preserve">del Decreto 1082 de 2015 </w:t>
      </w:r>
      <w:r w:rsidRPr="00A113FC">
        <w:rPr>
          <w:rFonts w:ascii="Century Gothic" w:eastAsia="Calibri" w:hAnsi="Century Gothic" w:cs="Arial"/>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A113FC">
        <w:rPr>
          <w:rFonts w:ascii="Century Gothic" w:hAnsi="Century Gothic" w:cs="Arial"/>
        </w:rPr>
        <w:t xml:space="preserve">Así las cosas, </w:t>
      </w:r>
      <w:r w:rsidRPr="00A113FC">
        <w:rPr>
          <w:rFonts w:ascii="Century Gothic" w:eastAsia="Calibri" w:hAnsi="Century Gothic" w:cs="Arial"/>
          <w:bCs/>
          <w:lang w:val="es-ES_tradnl"/>
        </w:rPr>
        <w:t>es necesario que la persona natural que realiza actividades de comercio a través de un establecimiento acredite dicho registro de acuerdo con lo dispuesto por la ley comercial.</w:t>
      </w:r>
    </w:p>
    <w:p w14:paraId="39654360" w14:textId="77777777" w:rsidR="00275C28" w:rsidRPr="00A113FC" w:rsidRDefault="00275C28" w:rsidP="00275C28">
      <w:pPr>
        <w:spacing w:after="120" w:line="276" w:lineRule="auto"/>
        <w:ind w:firstLine="709"/>
        <w:jc w:val="both"/>
        <w:rPr>
          <w:rFonts w:ascii="Century Gothic" w:eastAsia="Calibri" w:hAnsi="Century Gothic" w:cs="Arial"/>
          <w:bCs/>
        </w:rPr>
      </w:pPr>
      <w:bookmarkStart w:id="14" w:name="_Hlk106013026"/>
      <w:bookmarkEnd w:id="12"/>
      <w:r w:rsidRPr="00A113FC">
        <w:rPr>
          <w:rFonts w:ascii="Century Gothic" w:eastAsia="Calibri" w:hAnsi="Century Gothic" w:cs="Arial"/>
          <w:bCs/>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A113FC">
        <w:rPr>
          <w:rFonts w:ascii="Century Gothic" w:eastAsia="Calibri" w:hAnsi="Century Gothic" w:cs="Arial"/>
          <w:bCs/>
          <w:lang w:val="es-ES_tradnl"/>
        </w:rPr>
        <w:t xml:space="preserve">artículo </w:t>
      </w:r>
      <w:r w:rsidRPr="00A113FC">
        <w:rPr>
          <w:rFonts w:ascii="Century Gothic" w:hAnsi="Century Gothic" w:cs="Arial"/>
          <w:lang w:val="es-ES" w:eastAsia="es-CO"/>
        </w:rPr>
        <w:t xml:space="preserve">2.2.1.2.4.2.14 </w:t>
      </w:r>
      <w:r w:rsidRPr="00A113FC">
        <w:rPr>
          <w:rFonts w:ascii="Century Gothic" w:eastAsia="Calibri" w:hAnsi="Century Gothic" w:cs="Arial"/>
          <w:bCs/>
        </w:rPr>
        <w:t xml:space="preserve">del Decreto 1082 de 2015, la acreditación de la condición de </w:t>
      </w:r>
      <w:r w:rsidRPr="00A113FC">
        <w:rPr>
          <w:rFonts w:ascii="Century Gothic" w:eastAsia="Calibri" w:hAnsi="Century Gothic" w:cs="Arial"/>
          <w:bCs/>
        </w:rPr>
        <w:lastRenderedPageBreak/>
        <w:t xml:space="preserve">mujer y del ejercicio de actividades comerciales a través de establecimiento de comercio de la persona natural, solo será válida mediante la presentación de los documentos establecidos en el numeral 3 de la norma señalada, esto es, </w:t>
      </w:r>
      <w:r w:rsidRPr="00A113FC">
        <w:rPr>
          <w:rFonts w:ascii="Century Gothic" w:eastAsia="Calibri" w:hAnsi="Century Gothic" w:cs="Arial"/>
          <w:lang w:val="es-ES_tradnl"/>
        </w:rPr>
        <w:t>adjuntando copia de la cédula de ciudadanía, cédula de extranjería o pasaporte y copia del registro mercantil</w:t>
      </w:r>
      <w:r w:rsidRPr="00A113FC">
        <w:rPr>
          <w:rFonts w:ascii="Century Gothic" w:hAnsi="Century Gothic" w:cs="Arial"/>
        </w:rPr>
        <w:t xml:space="preserve">. </w:t>
      </w:r>
      <w:bookmarkStart w:id="15" w:name="_Hlk108537388"/>
      <w:bookmarkEnd w:id="13"/>
      <w:bookmarkEnd w:id="14"/>
    </w:p>
    <w:p w14:paraId="7CD67B70" w14:textId="77777777" w:rsidR="00275C28" w:rsidRPr="00A113FC" w:rsidRDefault="00275C28" w:rsidP="00275C28">
      <w:pPr>
        <w:spacing w:after="120" w:line="276" w:lineRule="auto"/>
        <w:ind w:firstLine="709"/>
        <w:jc w:val="both"/>
        <w:rPr>
          <w:rFonts w:ascii="Century Gothic" w:eastAsia="Calibri" w:hAnsi="Century Gothic" w:cs="Arial"/>
          <w:bCs/>
          <w:color w:val="000000"/>
          <w:lang w:val="es-ES_tradnl"/>
        </w:rPr>
      </w:pPr>
      <w:r w:rsidRPr="00A113FC">
        <w:rPr>
          <w:rFonts w:ascii="Century Gothic" w:eastAsia="Calibri" w:hAnsi="Century Gothic" w:cs="Arial"/>
          <w:bCs/>
          <w:color w:val="000000"/>
          <w:lang w:val="es-ES_tradnl"/>
        </w:rPr>
        <w:t xml:space="preserve">Debe agregarse a las consideraciones sobre la regulación de los criterios diferenciales a favor de las empresas y los emprendimientos de mujeres que el cuarto inciso del artículo 2.2.1.2.4.2.15 del Decreto 1082 de 2015, adicionado por el artículo 3 del Decreto 1860 de 2021, establece que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Por tanto, es recomendable considerar las distintas variables en los estudios del sector, para poder determinar los requisitos diferenciales y los puntajes adicionales, sin desconocer que la realización del análisis de oportunidad y conveniencia es una actividad a cargo de las entidades estatales y que la Agencia Nacional de Contratación Pública, como órgano rector del Sistema de Compras y Contratación Pública, solo brinda algunas pautas al respecto. </w:t>
      </w:r>
    </w:p>
    <w:bookmarkEnd w:id="15"/>
    <w:p w14:paraId="4B4A660E" w14:textId="77777777" w:rsidR="00275C28" w:rsidRPr="00A113FC" w:rsidRDefault="00275C28" w:rsidP="00275C28">
      <w:pPr>
        <w:spacing w:after="120" w:line="276" w:lineRule="auto"/>
        <w:ind w:firstLine="708"/>
        <w:jc w:val="both"/>
        <w:rPr>
          <w:rFonts w:ascii="Century Gothic" w:eastAsia="Times New Roman" w:hAnsi="Century Gothic" w:cs="Arial"/>
          <w:lang w:eastAsia="es-CO"/>
        </w:rPr>
      </w:pPr>
      <w:r w:rsidRPr="00A113FC">
        <w:rPr>
          <w:rFonts w:ascii="Century Gothic" w:eastAsia="Times New Roman" w:hAnsi="Century Gothic" w:cs="Arial"/>
          <w:lang w:eastAsia="es-CO"/>
        </w:rPr>
        <w:t>Finalmente, debe agregarse que el artículo 2.2.1.2.4.2.15 del Decreto 1082 de 2015,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alguno de los criterios del artículo 2.2.1.2.4.2.14</w:t>
      </w:r>
      <w:r w:rsidRPr="00A113FC">
        <w:rPr>
          <w:rFonts w:ascii="Century Gothic" w:eastAsia="Times New Roman" w:hAnsi="Century Gothic" w:cs="Arial"/>
          <w:vertAlign w:val="superscript"/>
          <w:lang w:eastAsia="es-CO"/>
        </w:rPr>
        <w:footnoteReference w:id="15"/>
      </w:r>
      <w:r w:rsidRPr="00A113FC">
        <w:rPr>
          <w:rFonts w:ascii="Century Gothic" w:eastAsia="Times New Roman" w:hAnsi="Century Gothic" w:cs="Arial"/>
          <w:lang w:eastAsia="es-CO"/>
        </w:rPr>
        <w:t xml:space="preserve">. Del mismo modo, el artículo 2.2.1.2.4.2.15 </w:t>
      </w:r>
      <w:r w:rsidRPr="00A113FC">
        <w:rPr>
          <w:rFonts w:ascii="Century Gothic" w:eastAsia="Times New Roman" w:hAnsi="Century Gothic" w:cs="Arial"/>
          <w:lang w:eastAsia="es-CO"/>
        </w:rPr>
        <w:lastRenderedPageBreak/>
        <w:t>también regula un puntaje adicional</w:t>
      </w:r>
      <w:r w:rsidRPr="00A113FC">
        <w:rPr>
          <w:rFonts w:ascii="Century Gothic" w:eastAsia="Times New Roman" w:hAnsi="Century Gothic" w:cs="Times New Roman"/>
          <w:lang w:eastAsia="es-ES_tradnl"/>
        </w:rPr>
        <w:t xml:space="preserve"> </w:t>
      </w:r>
      <w:r w:rsidRPr="00A113FC">
        <w:rPr>
          <w:rFonts w:ascii="Century Gothic" w:eastAsia="Times New Roman" w:hAnsi="Century Gothic" w:cs="Arial"/>
          <w:lang w:eastAsia="es-CO"/>
        </w:rPr>
        <w:t>de hasta el 0,25% del valor total de los puntos establecidos en los pliegos de condiciones o documentos equivalentes, para los proponentes que acrediten alguno de los supuestos del artículo 2.2.1.2.4.2.14. En ultimas, frente a las personas naturales es claro que la norma dispuso, en el numeral 3 del artículo 2.2.1.2.4.2.14,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w:t>
      </w:r>
      <w:r w:rsidRPr="00A113FC">
        <w:rPr>
          <w:rFonts w:ascii="Century Gothic" w:eastAsia="Calibri" w:hAnsi="Century Gothic" w:cs="Arial"/>
        </w:rPr>
        <w:t xml:space="preserve">” y acreditando esta circunstancia </w:t>
      </w:r>
      <w:r w:rsidRPr="00A113FC">
        <w:rPr>
          <w:rFonts w:ascii="Century Gothic" w:eastAsia="Times New Roman" w:hAnsi="Century Gothic" w:cs="Arial"/>
          <w:lang w:eastAsia="es-CO"/>
        </w:rPr>
        <w:t xml:space="preserve">“mediante la copia de cédula de ciudadanía, la cédula de extranjería o el pasaporte, así como la copia del registro mercantil”. Los demás numerales del mencionado artículo corresponden a la acreditación de circunstancias que, por sus particularidades jurídicas, deben acreditar exclusivamente las personas jurídicas, sociedades o asociaciones y cooperativas. </w:t>
      </w:r>
    </w:p>
    <w:p w14:paraId="003A165C" w14:textId="77777777" w:rsidR="00275C28" w:rsidRDefault="00275C28" w:rsidP="00275C28">
      <w:pPr>
        <w:spacing w:after="0" w:line="276" w:lineRule="auto"/>
        <w:ind w:firstLine="709"/>
        <w:jc w:val="both"/>
        <w:rPr>
          <w:rFonts w:ascii="Century Gothic" w:eastAsia="Times New Roman" w:hAnsi="Century Gothic" w:cs="Arial"/>
          <w:lang w:eastAsia="es-CO"/>
        </w:rPr>
      </w:pPr>
      <w:r w:rsidRPr="00A113FC">
        <w:rPr>
          <w:rFonts w:ascii="Century Gothic" w:eastAsia="Times New Roman" w:hAnsi="Century Gothic" w:cs="Arial"/>
          <w:lang w:eastAsia="es-CO"/>
        </w:rPr>
        <w:t>Conforme lo expuesto, el artículo citado</w:t>
      </w:r>
      <w:r w:rsidRPr="00A113FC">
        <w:rPr>
          <w:rFonts w:ascii="Century Gothic" w:eastAsia="Calibri" w:hAnsi="Century Gothic" w:cs="Arial"/>
          <w:lang w:val="es-ES_tradnl"/>
        </w:rPr>
        <w:t xml:space="preserve">,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 Nótese que la disposición estudiada señala de forma taxativa los requisitos que se exigen cuando se trata de persona natural y cuando se trata de persona jurídica, pero no se dice que uno de los numerales sea extensivo frente a otros supuestos. </w:t>
      </w:r>
      <w:r w:rsidRPr="00A113FC">
        <w:rPr>
          <w:rFonts w:ascii="Century Gothic" w:eastAsia="Times New Roman" w:hAnsi="Century Gothic" w:cs="Arial"/>
          <w:lang w:eastAsia="es-CO"/>
        </w:rPr>
        <w:t xml:space="preserve">Por lo tanto, la presente interpretación además se impone en virtud de aquella regla según la cual </w:t>
      </w:r>
      <w:r w:rsidRPr="00A113FC">
        <w:rPr>
          <w:rFonts w:ascii="Century Gothic" w:eastAsia="Times New Roman" w:hAnsi="Century Gothic" w:cs="Arial"/>
          <w:i/>
          <w:iCs/>
          <w:lang w:eastAsia="es-CO"/>
        </w:rPr>
        <w:lastRenderedPageBreak/>
        <w:t>“</w:t>
      </w:r>
      <w:r w:rsidRPr="003A6397">
        <w:rPr>
          <w:rFonts w:ascii="Century Gothic" w:eastAsia="Times New Roman" w:hAnsi="Century Gothic" w:cs="Arial"/>
          <w:iCs/>
          <w:lang w:eastAsia="es-CO"/>
        </w:rPr>
        <w:t>cuando el sentido de la ley sea claro, no se desatenderá su tenor literal a pretexto de consultar su espíritu</w:t>
      </w:r>
      <w:r w:rsidRPr="00A113FC">
        <w:rPr>
          <w:rFonts w:ascii="Century Gothic" w:eastAsia="Times New Roman" w:hAnsi="Century Gothic" w:cs="Arial"/>
          <w:i/>
          <w:iCs/>
          <w:lang w:eastAsia="es-CO"/>
        </w:rPr>
        <w:t>”</w:t>
      </w:r>
      <w:r w:rsidRPr="00A113FC">
        <w:rPr>
          <w:rFonts w:ascii="Century Gothic" w:eastAsia="Times New Roman" w:hAnsi="Century Gothic" w:cs="Arial"/>
          <w:vertAlign w:val="superscript"/>
          <w:lang w:eastAsia="es-CO"/>
        </w:rPr>
        <w:footnoteReference w:id="16"/>
      </w:r>
      <w:r w:rsidRPr="00A113FC">
        <w:rPr>
          <w:rFonts w:ascii="Century Gothic" w:eastAsia="Times New Roman" w:hAnsi="Century Gothic" w:cs="Arial"/>
          <w:lang w:eastAsia="es-CO"/>
        </w:rPr>
        <w:t xml:space="preserve">. </w:t>
      </w:r>
    </w:p>
    <w:p w14:paraId="4F7870C8" w14:textId="77777777" w:rsidR="00275C28" w:rsidRPr="00D7715D" w:rsidRDefault="00275C28" w:rsidP="00275C28">
      <w:pPr>
        <w:spacing w:after="0" w:line="276" w:lineRule="auto"/>
        <w:jc w:val="both"/>
        <w:rPr>
          <w:rFonts w:ascii="Century Gothic" w:eastAsia="Times New Roman" w:hAnsi="Century Gothic" w:cs="Arial"/>
          <w:lang w:eastAsia="es-CO"/>
        </w:rPr>
      </w:pPr>
    </w:p>
    <w:p w14:paraId="5A8B8CB0" w14:textId="77777777" w:rsidR="00275C28" w:rsidRPr="00D7715D" w:rsidRDefault="00275C28" w:rsidP="00275C28">
      <w:pPr>
        <w:spacing w:after="0" w:line="276" w:lineRule="auto"/>
        <w:jc w:val="both"/>
        <w:rPr>
          <w:rFonts w:ascii="Century Gothic" w:eastAsia="Times New Roman" w:hAnsi="Century Gothic" w:cs="Arial"/>
          <w:b/>
          <w:bCs/>
          <w:lang w:eastAsia="es-CO"/>
        </w:rPr>
      </w:pPr>
      <w:r w:rsidRPr="00D7715D">
        <w:rPr>
          <w:rFonts w:ascii="Century Gothic" w:eastAsia="Times New Roman" w:hAnsi="Century Gothic" w:cs="Arial"/>
          <w:b/>
          <w:bCs/>
          <w:lang w:eastAsia="es-CO"/>
        </w:rPr>
        <w:t xml:space="preserve">2.3. La identidad de género como derecho fundamental y su relación con las definiciones de emprendimientos y empresas de mujeres establecidas por el Decreto 1860 de 2021 </w:t>
      </w:r>
    </w:p>
    <w:p w14:paraId="36A1109B" w14:textId="77777777" w:rsidR="00275C28" w:rsidRPr="00D7715D" w:rsidRDefault="00275C28" w:rsidP="00275C28">
      <w:pPr>
        <w:spacing w:after="0" w:line="276" w:lineRule="auto"/>
        <w:jc w:val="both"/>
        <w:rPr>
          <w:rFonts w:ascii="Century Gothic" w:eastAsia="Times New Roman" w:hAnsi="Century Gothic" w:cs="Arial"/>
          <w:b/>
          <w:bCs/>
          <w:lang w:eastAsia="es-CO"/>
        </w:rPr>
      </w:pPr>
    </w:p>
    <w:p w14:paraId="5C06EDE3" w14:textId="77777777" w:rsidR="00275C28" w:rsidRPr="00D7715D" w:rsidRDefault="00275C28" w:rsidP="00275C28">
      <w:pPr>
        <w:spacing w:after="120" w:line="276" w:lineRule="auto"/>
        <w:jc w:val="both"/>
        <w:rPr>
          <w:rFonts w:ascii="Century Gothic" w:hAnsi="Century Gothic" w:cs="Arial"/>
          <w:lang w:val="es-ES"/>
        </w:rPr>
      </w:pPr>
      <w:r w:rsidRPr="00D7715D">
        <w:rPr>
          <w:rFonts w:ascii="Century Gothic" w:hAnsi="Century Gothic" w:cs="Arial"/>
          <w:lang w:val="es-ES"/>
        </w:rPr>
        <w:t xml:space="preserve">La </w:t>
      </w:r>
      <w:r w:rsidRPr="00D7715D">
        <w:rPr>
          <w:rFonts w:ascii="Century Gothic" w:hAnsi="Century Gothic" w:cs="Arial"/>
          <w:i/>
          <w:lang w:val="es-ES"/>
        </w:rPr>
        <w:t>identidad de género</w:t>
      </w:r>
      <w:r>
        <w:rPr>
          <w:rFonts w:ascii="Century Gothic" w:hAnsi="Century Gothic" w:cs="Arial"/>
          <w:lang w:val="es-ES"/>
        </w:rPr>
        <w:t>,</w:t>
      </w:r>
      <w:r w:rsidRPr="00D7715D">
        <w:rPr>
          <w:rFonts w:ascii="Century Gothic" w:hAnsi="Century Gothic" w:cs="Arial"/>
          <w:lang w:val="es-ES"/>
        </w:rPr>
        <w:t xml:space="preserve"> si bien no cuenta con </w:t>
      </w:r>
      <w:r>
        <w:rPr>
          <w:rFonts w:ascii="Century Gothic" w:hAnsi="Century Gothic" w:cs="Arial"/>
          <w:lang w:val="es-ES"/>
        </w:rPr>
        <w:t>regulación</w:t>
      </w:r>
      <w:r w:rsidRPr="00D7715D">
        <w:rPr>
          <w:rFonts w:ascii="Century Gothic" w:hAnsi="Century Gothic" w:cs="Arial"/>
          <w:lang w:val="es-ES"/>
        </w:rPr>
        <w:t xml:space="preserve"> expresa dentro de la Constitución Política de 1991, ha si</w:t>
      </w:r>
      <w:r>
        <w:rPr>
          <w:rFonts w:ascii="Century Gothic" w:hAnsi="Century Gothic" w:cs="Arial"/>
          <w:lang w:val="es-ES"/>
        </w:rPr>
        <w:t>do</w:t>
      </w:r>
      <w:r w:rsidRPr="00D7715D">
        <w:rPr>
          <w:rFonts w:ascii="Century Gothic" w:hAnsi="Century Gothic" w:cs="Arial"/>
          <w:lang w:val="es-ES"/>
        </w:rPr>
        <w:t xml:space="preserve"> objeto de un desarrollo jurisprudencial</w:t>
      </w:r>
      <w:r>
        <w:rPr>
          <w:rFonts w:ascii="Century Gothic" w:hAnsi="Century Gothic" w:cs="Arial"/>
          <w:lang w:val="es-ES"/>
        </w:rPr>
        <w:t xml:space="preserve"> </w:t>
      </w:r>
      <w:r w:rsidRPr="00D7715D">
        <w:rPr>
          <w:rFonts w:ascii="Century Gothic" w:hAnsi="Century Gothic" w:cs="Arial"/>
          <w:lang w:val="es-ES"/>
        </w:rPr>
        <w:t>significativo</w:t>
      </w:r>
      <w:r>
        <w:rPr>
          <w:rFonts w:ascii="Century Gothic" w:hAnsi="Century Gothic" w:cs="Arial"/>
          <w:lang w:val="es-ES"/>
        </w:rPr>
        <w:t>, por lo que</w:t>
      </w:r>
      <w:r w:rsidRPr="00D7715D">
        <w:rPr>
          <w:rFonts w:ascii="Century Gothic" w:hAnsi="Century Gothic" w:cs="Arial"/>
          <w:lang w:val="es-ES"/>
        </w:rPr>
        <w:t xml:space="preserve"> hoy es considerada como un derecho fundamental. La evolución de este derecho innominado se aprecia en múltiples pronunciamientos de la Corte Constitucional</w:t>
      </w:r>
      <w:r w:rsidRPr="00D7715D">
        <w:rPr>
          <w:rFonts w:ascii="Century Gothic" w:hAnsi="Century Gothic" w:cs="Arial"/>
          <w:vertAlign w:val="superscript"/>
          <w:lang w:val="es-ES"/>
        </w:rPr>
        <w:footnoteReference w:id="17"/>
      </w:r>
      <w:r w:rsidRPr="00D7715D">
        <w:rPr>
          <w:rFonts w:ascii="Century Gothic" w:hAnsi="Century Gothic" w:cs="Arial"/>
          <w:lang w:val="es-ES"/>
        </w:rPr>
        <w:t>, que no sólo han permitido concretar su marco de protección, sino también conceptualizar su relación con otros derechos y pilares fundantes del Estado, como lo es el de la dignidad humana, cuyo núcleo esencial exige que cada individuo sea tratado acorde a su condición</w:t>
      </w:r>
      <w:r w:rsidRPr="00D7715D">
        <w:rPr>
          <w:rFonts w:ascii="Century Gothic" w:hAnsi="Century Gothic" w:cs="Arial"/>
          <w:vertAlign w:val="superscript"/>
          <w:lang w:val="es-ES"/>
        </w:rPr>
        <w:footnoteReference w:id="18"/>
      </w:r>
      <w:r w:rsidRPr="00D7715D">
        <w:rPr>
          <w:rFonts w:ascii="Century Gothic" w:hAnsi="Century Gothic" w:cs="Arial"/>
          <w:lang w:val="es-ES"/>
        </w:rPr>
        <w:t>. En ese orden de ideas, debe entenderse que la dignidad humana se concibe como la autonomía propia de las personas para diseñar un plan de vida y determinarse según sus características, postulado que guarda una fuerte conexión con el libre desarrollo de la personalidad y la identidad personal, los cuales transcienden del plano individual y cuya manifestación a nivel público son objeto de amparo</w:t>
      </w:r>
      <w:r w:rsidRPr="00D7715D">
        <w:rPr>
          <w:rFonts w:ascii="Century Gothic" w:hAnsi="Century Gothic" w:cs="Arial"/>
          <w:vertAlign w:val="superscript"/>
          <w:lang w:val="es-ES"/>
        </w:rPr>
        <w:footnoteReference w:id="19"/>
      </w:r>
      <w:r w:rsidRPr="00D7715D">
        <w:rPr>
          <w:rFonts w:ascii="Century Gothic" w:hAnsi="Century Gothic" w:cs="Arial"/>
          <w:lang w:val="es-ES"/>
        </w:rPr>
        <w:t xml:space="preserve">. </w:t>
      </w:r>
    </w:p>
    <w:p w14:paraId="10E106AB" w14:textId="77777777" w:rsidR="00275C28" w:rsidRPr="00D7715D" w:rsidRDefault="00275C28" w:rsidP="00275C28">
      <w:pPr>
        <w:spacing w:after="0" w:line="276" w:lineRule="auto"/>
        <w:ind w:firstLine="708"/>
        <w:jc w:val="both"/>
        <w:rPr>
          <w:rFonts w:ascii="Century Gothic" w:hAnsi="Century Gothic" w:cs="Arial"/>
        </w:rPr>
      </w:pPr>
      <w:r w:rsidRPr="00D7715D">
        <w:rPr>
          <w:rFonts w:ascii="Century Gothic" w:hAnsi="Century Gothic" w:cs="Arial"/>
        </w:rPr>
        <w:t xml:space="preserve">En relación con lo expuesto en precedencia, la Corte Constitucional ha sido clara en señalar que la noción de identidad es trascendental en tanto sitúa al sujeto en la sociedad, y la ausencia de este elemento supone la reducción de las posibilidades de la participación en la dinámica social; y es en este sentido en el que el </w:t>
      </w:r>
      <w:r w:rsidRPr="00D7715D">
        <w:rPr>
          <w:rFonts w:ascii="Century Gothic" w:hAnsi="Century Gothic" w:cs="Arial"/>
          <w:i/>
        </w:rPr>
        <w:t>género</w:t>
      </w:r>
      <w:r w:rsidRPr="00D7715D">
        <w:rPr>
          <w:rFonts w:ascii="Century Gothic" w:hAnsi="Century Gothic" w:cs="Arial"/>
        </w:rPr>
        <w:t xml:space="preserve"> se configura como un instrumento de autodeterminación en el que el ser humano se posesiona e interactúa. Esta</w:t>
      </w:r>
      <w:r w:rsidRPr="00D7715D">
        <w:rPr>
          <w:rFonts w:ascii="Century Gothic" w:hAnsi="Century Gothic" w:cs="Arial"/>
          <w:lang w:val="es-ES"/>
        </w:rPr>
        <w:t xml:space="preserve"> línea argumentativa, junto con varios progresos </w:t>
      </w:r>
      <w:r w:rsidRPr="00D7715D">
        <w:rPr>
          <w:rFonts w:ascii="Century Gothic" w:eastAsia="Geomanist Light" w:hAnsi="Century Gothic" w:cs="Arial"/>
          <w:lang w:val="es-ES"/>
        </w:rPr>
        <w:t xml:space="preserve">del </w:t>
      </w:r>
      <w:r w:rsidRPr="00D7715D">
        <w:rPr>
          <w:rFonts w:ascii="Century Gothic" w:eastAsia="Geomanist Light" w:hAnsi="Century Gothic" w:cs="Arial"/>
          <w:i/>
          <w:iCs/>
          <w:lang w:val="es-ES"/>
        </w:rPr>
        <w:t>corpus iuris</w:t>
      </w:r>
      <w:r w:rsidRPr="00D7715D">
        <w:rPr>
          <w:rFonts w:ascii="Century Gothic" w:eastAsia="Geomanist Light" w:hAnsi="Century Gothic" w:cs="Arial"/>
          <w:lang w:val="es-ES"/>
        </w:rPr>
        <w:t xml:space="preserve"> del derecho internacional de los derechos humanos, </w:t>
      </w:r>
      <w:r w:rsidRPr="00D7715D">
        <w:rPr>
          <w:rFonts w:ascii="Century Gothic" w:hAnsi="Century Gothic" w:cs="Arial"/>
          <w:lang w:val="es-ES"/>
        </w:rPr>
        <w:t xml:space="preserve">estructuraron las bases para el reconocimiento de la </w:t>
      </w:r>
      <w:r w:rsidRPr="00D7715D">
        <w:rPr>
          <w:rFonts w:ascii="Century Gothic" w:hAnsi="Century Gothic" w:cs="Arial"/>
          <w:i/>
          <w:lang w:val="es-ES"/>
        </w:rPr>
        <w:t>identidad de género</w:t>
      </w:r>
      <w:r w:rsidRPr="00D7715D">
        <w:rPr>
          <w:rFonts w:ascii="Century Gothic" w:hAnsi="Century Gothic" w:cs="Arial"/>
          <w:lang w:val="es-ES"/>
        </w:rPr>
        <w:t xml:space="preserve"> como </w:t>
      </w:r>
      <w:r w:rsidRPr="00D7715D">
        <w:rPr>
          <w:rFonts w:ascii="Century Gothic" w:hAnsi="Century Gothic" w:cs="Arial"/>
          <w:lang w:val="es-ES"/>
        </w:rPr>
        <w:lastRenderedPageBreak/>
        <w:t xml:space="preserve">un derecho que busca erradicar </w:t>
      </w:r>
      <w:r w:rsidRPr="00D7715D">
        <w:rPr>
          <w:rFonts w:ascii="Century Gothic" w:hAnsi="Century Gothic" w:cs="Arial"/>
          <w:i/>
          <w:lang w:val="es-ES"/>
        </w:rPr>
        <w:t>“nociones de determinismo biológico”</w:t>
      </w:r>
      <w:r w:rsidRPr="00D7715D">
        <w:rPr>
          <w:rFonts w:ascii="Century Gothic" w:hAnsi="Century Gothic" w:cs="Arial"/>
          <w:vertAlign w:val="superscript"/>
          <w:lang w:val="es-ES"/>
        </w:rPr>
        <w:footnoteReference w:id="20"/>
      </w:r>
      <w:r w:rsidRPr="00D7715D">
        <w:rPr>
          <w:rFonts w:ascii="Century Gothic" w:hAnsi="Century Gothic" w:cs="Arial"/>
          <w:lang w:val="es-ES"/>
        </w:rPr>
        <w:t>. Sobre el asunto es procedente hacer alusión a los “</w:t>
      </w:r>
      <w:r w:rsidRPr="00D7715D">
        <w:rPr>
          <w:rFonts w:ascii="Century Gothic" w:hAnsi="Century Gothic" w:cs="Arial"/>
          <w:color w:val="202124"/>
          <w:shd w:val="clear" w:color="auto" w:fill="FFFFFF"/>
        </w:rPr>
        <w:t>Principios de Yogyakarta”, puesto que este documento proporcionó una definición sobre lo que se debe entender por identidad de género:</w:t>
      </w:r>
    </w:p>
    <w:p w14:paraId="23C9827F" w14:textId="77777777" w:rsidR="00275C28" w:rsidRPr="00D7715D" w:rsidRDefault="00275C28" w:rsidP="00275C28">
      <w:pPr>
        <w:spacing w:after="0" w:line="240" w:lineRule="auto"/>
        <w:jc w:val="both"/>
        <w:rPr>
          <w:rFonts w:ascii="Century Gothic" w:hAnsi="Century Gothic" w:cs="Arial"/>
          <w:color w:val="202124"/>
          <w:shd w:val="clear" w:color="auto" w:fill="FFFFFF"/>
        </w:rPr>
      </w:pPr>
    </w:p>
    <w:p w14:paraId="04A01AB5" w14:textId="77777777" w:rsidR="00275C28" w:rsidRPr="00D7715D" w:rsidRDefault="00275C28" w:rsidP="00275C28">
      <w:pPr>
        <w:spacing w:after="0" w:line="240" w:lineRule="auto"/>
        <w:ind w:left="708" w:right="709"/>
        <w:jc w:val="both"/>
        <w:rPr>
          <w:rFonts w:ascii="Century Gothic" w:hAnsi="Century Gothic" w:cs="Arial"/>
          <w:color w:val="202124"/>
          <w:sz w:val="21"/>
          <w:szCs w:val="21"/>
          <w:shd w:val="clear" w:color="auto" w:fill="FFFFFF"/>
        </w:rPr>
      </w:pPr>
      <w:r w:rsidRPr="00D7715D">
        <w:rPr>
          <w:rFonts w:ascii="Century Gothic" w:hAnsi="Century Gothic" w:cs="Arial"/>
          <w:color w:val="202124"/>
          <w:sz w:val="21"/>
          <w:szCs w:val="21"/>
          <w:shd w:val="clear" w:color="auto" w:fill="FFFFFF"/>
        </w:rPr>
        <w:t>“La identidad de género se refiere a la vivencia interna e individual del género tal como cada persona la siente profundamente, la cual podría corresponder o no con el sexto asignado al momento del nacimiento, incluyendo la vivencia personal del cuerpo (que podría involucrar la modificación de la apariencia o la función corporal a través de medios médicos, quirúrgicos o de otra índole, siempre que la misma sea libremente escogida) y otras expresiones de género, incluyendo la vestimenta, el modo de hablar y los modales”</w:t>
      </w:r>
      <w:r w:rsidRPr="00D7715D">
        <w:rPr>
          <w:rFonts w:ascii="Century Gothic" w:hAnsi="Century Gothic" w:cs="Arial"/>
          <w:color w:val="202124"/>
          <w:sz w:val="21"/>
          <w:szCs w:val="21"/>
          <w:shd w:val="clear" w:color="auto" w:fill="FFFFFF"/>
          <w:vertAlign w:val="superscript"/>
        </w:rPr>
        <w:footnoteReference w:id="21"/>
      </w:r>
      <w:r>
        <w:rPr>
          <w:rFonts w:ascii="Century Gothic" w:hAnsi="Century Gothic" w:cs="Arial"/>
          <w:color w:val="202124"/>
          <w:sz w:val="21"/>
          <w:szCs w:val="21"/>
          <w:shd w:val="clear" w:color="auto" w:fill="FFFFFF"/>
        </w:rPr>
        <w:t>.</w:t>
      </w:r>
    </w:p>
    <w:p w14:paraId="0D2D39B2" w14:textId="77777777" w:rsidR="00275C28" w:rsidRPr="00D7715D" w:rsidRDefault="00275C28" w:rsidP="00275C28">
      <w:pPr>
        <w:spacing w:after="0" w:line="240" w:lineRule="auto"/>
        <w:jc w:val="both"/>
        <w:rPr>
          <w:rFonts w:ascii="Century Gothic" w:hAnsi="Century Gothic" w:cs="Arial"/>
        </w:rPr>
      </w:pPr>
    </w:p>
    <w:p w14:paraId="1B0B0E06" w14:textId="77777777" w:rsidR="00275C28" w:rsidRPr="00D7715D" w:rsidRDefault="00275C28" w:rsidP="00275C28">
      <w:pPr>
        <w:spacing w:after="0" w:line="276" w:lineRule="auto"/>
        <w:ind w:firstLine="708"/>
        <w:jc w:val="both"/>
        <w:rPr>
          <w:rFonts w:ascii="Century Gothic" w:hAnsi="Century Gothic" w:cs="Arial"/>
        </w:rPr>
      </w:pPr>
      <w:r w:rsidRPr="00D7715D">
        <w:rPr>
          <w:rFonts w:ascii="Century Gothic" w:hAnsi="Century Gothic" w:cs="Arial"/>
        </w:rPr>
        <w:t xml:space="preserve">Por su parte la jurisprudencia constitucional, en congruencia con los lineamientos internacionales sobre la materia, desarrolló la tesis en la que se sitúa la </w:t>
      </w:r>
      <w:r w:rsidRPr="00D7715D">
        <w:rPr>
          <w:rFonts w:ascii="Century Gothic" w:hAnsi="Century Gothic" w:cs="Arial"/>
          <w:i/>
        </w:rPr>
        <w:t>identidad de género</w:t>
      </w:r>
      <w:r w:rsidRPr="00D7715D">
        <w:rPr>
          <w:rFonts w:ascii="Century Gothic" w:hAnsi="Century Gothic" w:cs="Arial"/>
        </w:rPr>
        <w:t xml:space="preserve"> como un derecho fundamental, que comporta la facultad del individuo de definirse a sí mismo. En esta determinación autónoma resulta indispensable tener como referente que es el resultado de la voluntad humana y no de su naturaleza. En otras palabras, esta postura comprende el desarraigo de la concepción tradicional en la que el género estaba intrínsicamente asociado al sexo biológico de las personas, es decir, en la actualidad el género no se asigna, sino que se construye</w:t>
      </w:r>
      <w:r w:rsidRPr="00D7715D">
        <w:rPr>
          <w:rFonts w:ascii="Century Gothic" w:hAnsi="Century Gothic" w:cs="Arial"/>
          <w:vertAlign w:val="superscript"/>
        </w:rPr>
        <w:footnoteReference w:id="22"/>
      </w:r>
      <w:r w:rsidRPr="00D7715D">
        <w:rPr>
          <w:rFonts w:ascii="Century Gothic" w:hAnsi="Century Gothic" w:cs="Arial"/>
        </w:rPr>
        <w:t>. Sobre el particular se observa que la Corte concretó la discusión del género sobre los siguientes ejes:</w:t>
      </w:r>
    </w:p>
    <w:p w14:paraId="1225C40A" w14:textId="77777777" w:rsidR="00275C28" w:rsidRPr="00D7715D" w:rsidRDefault="00275C28" w:rsidP="00275C28">
      <w:pPr>
        <w:spacing w:after="0" w:line="240" w:lineRule="auto"/>
        <w:jc w:val="both"/>
        <w:rPr>
          <w:rFonts w:ascii="Century Gothic" w:hAnsi="Century Gothic" w:cs="Arial"/>
        </w:rPr>
      </w:pPr>
    </w:p>
    <w:p w14:paraId="4DDE6E87" w14:textId="77777777" w:rsidR="00275C28" w:rsidRPr="00D7715D" w:rsidRDefault="00275C28" w:rsidP="00275C28">
      <w:pPr>
        <w:spacing w:after="0" w:line="240" w:lineRule="auto"/>
        <w:ind w:left="708" w:right="709"/>
        <w:jc w:val="both"/>
        <w:rPr>
          <w:rFonts w:ascii="Century Gothic" w:hAnsi="Century Gothic" w:cs="Arial"/>
          <w:sz w:val="21"/>
          <w:szCs w:val="21"/>
        </w:rPr>
      </w:pPr>
      <w:r w:rsidRPr="00D7715D">
        <w:rPr>
          <w:rFonts w:ascii="Century Gothic" w:hAnsi="Century Gothic" w:cs="Arial"/>
          <w:sz w:val="21"/>
          <w:szCs w:val="21"/>
        </w:rPr>
        <w:t xml:space="preserve">“De ahí que la discusión del género no termina con el sexo asignado, sino que es una compleja interrelación entre tres ejes: i) el </w:t>
      </w:r>
      <w:r w:rsidRPr="00D7715D">
        <w:rPr>
          <w:rFonts w:ascii="Century Gothic" w:hAnsi="Century Gothic" w:cs="Arial"/>
          <w:b/>
          <w:bCs/>
          <w:sz w:val="21"/>
          <w:szCs w:val="21"/>
          <w:u w:val="single"/>
        </w:rPr>
        <w:t>cuerpo</w:t>
      </w:r>
      <w:r w:rsidRPr="00D7715D">
        <w:rPr>
          <w:rFonts w:ascii="Century Gothic" w:hAnsi="Century Gothic" w:cs="Arial"/>
          <w:sz w:val="21"/>
          <w:szCs w:val="21"/>
        </w:rPr>
        <w:t xml:space="preserve"> de cada persona, su experiencia con este, cómo la sociedad le asigna géneros a los cuerpos con base en los órganos reproductivos y cómo esta interactúa entre sí con base en los cuerpos; ii)</w:t>
      </w:r>
      <w:r>
        <w:rPr>
          <w:rFonts w:ascii="Century Gothic" w:hAnsi="Century Gothic" w:cs="Arial"/>
          <w:sz w:val="21"/>
          <w:szCs w:val="21"/>
        </w:rPr>
        <w:t xml:space="preserve"> </w:t>
      </w:r>
      <w:r w:rsidRPr="00D7715D">
        <w:rPr>
          <w:rFonts w:ascii="Century Gothic" w:hAnsi="Century Gothic" w:cs="Arial"/>
          <w:b/>
          <w:bCs/>
          <w:sz w:val="21"/>
          <w:szCs w:val="21"/>
          <w:u w:val="single"/>
        </w:rPr>
        <w:t>[la] identidad</w:t>
      </w:r>
      <w:r w:rsidRPr="00D7715D">
        <w:rPr>
          <w:rFonts w:ascii="Century Gothic" w:hAnsi="Century Gothic" w:cs="Arial"/>
          <w:sz w:val="21"/>
          <w:szCs w:val="21"/>
        </w:rPr>
        <w:t xml:space="preserve">, que comprende la concepción interna y el sentimiento de cada individuo de sentirse como hombre o mujer, en el sentido de una armonía interior entre quienes internamente sienten y saben que es cada uno; y iii) Finalmente, </w:t>
      </w:r>
      <w:r w:rsidRPr="00D7715D">
        <w:rPr>
          <w:rFonts w:ascii="Century Gothic" w:hAnsi="Century Gothic" w:cs="Arial"/>
          <w:b/>
          <w:sz w:val="21"/>
          <w:szCs w:val="21"/>
        </w:rPr>
        <w:t>la manifestación o expresión</w:t>
      </w:r>
      <w:r w:rsidRPr="00D7715D">
        <w:rPr>
          <w:rFonts w:ascii="Century Gothic" w:hAnsi="Century Gothic" w:cs="Arial"/>
          <w:sz w:val="21"/>
          <w:szCs w:val="21"/>
        </w:rPr>
        <w:t xml:space="preserve">, que consiste en la forma en que cada individuo presenta su género al mundo, a la sociedad, culturalmente, en </w:t>
      </w:r>
      <w:r w:rsidRPr="00D7715D">
        <w:rPr>
          <w:rFonts w:ascii="Century Gothic" w:hAnsi="Century Gothic" w:cs="Arial"/>
          <w:sz w:val="21"/>
          <w:szCs w:val="21"/>
        </w:rPr>
        <w:lastRenderedPageBreak/>
        <w:t>su comunidad o en su familia, así como la manera que interactúa con su propio género y lo va moldeando con el paso de los años, en un proceso de constante desarrollo”</w:t>
      </w:r>
      <w:r w:rsidRPr="00D7715D">
        <w:rPr>
          <w:rFonts w:ascii="Century Gothic" w:hAnsi="Century Gothic" w:cs="Arial"/>
          <w:sz w:val="21"/>
          <w:szCs w:val="21"/>
          <w:vertAlign w:val="superscript"/>
        </w:rPr>
        <w:footnoteReference w:id="23"/>
      </w:r>
      <w:r>
        <w:rPr>
          <w:rFonts w:ascii="Century Gothic" w:hAnsi="Century Gothic" w:cs="Arial"/>
          <w:sz w:val="21"/>
          <w:szCs w:val="21"/>
        </w:rPr>
        <w:t>.</w:t>
      </w:r>
    </w:p>
    <w:p w14:paraId="6943020A" w14:textId="77777777" w:rsidR="00275C28" w:rsidRPr="00D7715D" w:rsidRDefault="00275C28" w:rsidP="00275C28">
      <w:pPr>
        <w:spacing w:after="0" w:line="240" w:lineRule="auto"/>
        <w:ind w:right="709"/>
        <w:jc w:val="both"/>
        <w:rPr>
          <w:rFonts w:ascii="Century Gothic" w:hAnsi="Century Gothic" w:cs="Arial"/>
          <w:sz w:val="21"/>
          <w:szCs w:val="21"/>
        </w:rPr>
      </w:pPr>
    </w:p>
    <w:p w14:paraId="4AB22109" w14:textId="77777777" w:rsidR="00275C28" w:rsidRPr="00D7715D"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En virtud de lo anterior, esto es, partiendo de la concepción de la identidad de género como una construcción individual, se precisa entonces que el componente “</w:t>
      </w:r>
      <w:r w:rsidRPr="00D7715D">
        <w:rPr>
          <w:rFonts w:ascii="Century Gothic" w:hAnsi="Century Gothic" w:cs="Arial"/>
          <w:i/>
        </w:rPr>
        <w:t>sexo”</w:t>
      </w:r>
      <w:r w:rsidRPr="00D7715D">
        <w:rPr>
          <w:rFonts w:ascii="Century Gothic" w:hAnsi="Century Gothic" w:cs="Arial"/>
        </w:rPr>
        <w:t xml:space="preserve"> que registra en la identificación de las personas, evolucionó en tal medida que la información consignada en este campo o ítem, por decirlo de alguna manera, debe entenderse como una decisión personal y no como una asignación ligada al sexo con el que se nace. Es por ello por lo que las personas tienen la potestad de modificar su marcador de “sexo” para que coincida con su identidad, en caso de que requiera hacer el tránsito 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r w:rsidRPr="00D7715D">
        <w:rPr>
          <w:rFonts w:ascii="Century Gothic" w:hAnsi="Century Gothic" w:cs="Arial"/>
          <w:vertAlign w:val="superscript"/>
        </w:rPr>
        <w:footnoteReference w:id="24"/>
      </w:r>
      <w:r w:rsidRPr="00D7715D">
        <w:rPr>
          <w:rFonts w:ascii="Century Gothic" w:hAnsi="Century Gothic" w:cs="Arial"/>
        </w:rPr>
        <w:t xml:space="preserve">. </w:t>
      </w:r>
    </w:p>
    <w:p w14:paraId="2EAA2339" w14:textId="77777777" w:rsidR="00275C28" w:rsidRPr="00D7715D"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 xml:space="preserve">Este último aspecto en particular se torna relevante para resolver el tema objeto de consulta en la medida en que, conforme a lo explicado en el numeral 2.2 del presente concepto, el documento de identidad –ya sea cédula de ciudadanía, cédula de extranjería o pasaporte– es uno de los medios requeridos para que un proponente acredite en un Proceso de Contratación que reúne las condiciones para ser considerado emprendimiento o empresa de mujeres, de acuerdo con lo establecido en el artículo 2.2.1.2.4.2.14 del Decreto 1082 de 2015, adicionado por el Decreto 1860 de 2021. Esto obedece a que, en cada uno de estos supuestos, la presentación de los documentos de identidad sirve para que la entidad estatal contratante verifique que las personas que se tienen en cuenta para aplicar alguna de las definiciones establecidas en el artículo 2.2.1.2.4.2.14 del Decreto 1082 de 2015, efectivamente pertenecen al grupo poblacional destinatario de los criterios diferenciales introducidos por el artículo 32 de la Ley 2069 de 2020, es decir, que son mujeres. </w:t>
      </w:r>
    </w:p>
    <w:p w14:paraId="50160A16" w14:textId="77777777" w:rsidR="00275C28" w:rsidRPr="00D7715D"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 xml:space="preserve"> En ese sentido, la norma reglamentaria establece una suerte de tarifa legal constituida por el documento de identidad, el cual debe servir para constatar que las personas naturales tengan la condición de mujeres, lo que se debe establecer que verificando dicho documento en el marcador </w:t>
      </w:r>
      <w:r w:rsidRPr="00D7715D">
        <w:rPr>
          <w:rFonts w:ascii="Century Gothic" w:hAnsi="Century Gothic" w:cs="Arial"/>
          <w:i/>
          <w:iCs/>
        </w:rPr>
        <w:t>“sexo”</w:t>
      </w:r>
      <w:r w:rsidRPr="00D7715D">
        <w:rPr>
          <w:rFonts w:ascii="Century Gothic" w:hAnsi="Century Gothic" w:cs="Arial"/>
        </w:rPr>
        <w:t xml:space="preserve"> haga alusión al género </w:t>
      </w:r>
      <w:r w:rsidRPr="00D7715D">
        <w:rPr>
          <w:rFonts w:ascii="Century Gothic" w:hAnsi="Century Gothic" w:cs="Arial"/>
        </w:rPr>
        <w:lastRenderedPageBreak/>
        <w:t xml:space="preserve">femenino. En ese sentido, la </w:t>
      </w:r>
      <w:r w:rsidRPr="00D7715D">
        <w:rPr>
          <w:rFonts w:ascii="Century Gothic" w:hAnsi="Century Gothic" w:cs="Arial"/>
          <w:i/>
          <w:iCs/>
        </w:rPr>
        <w:t>identidad de género</w:t>
      </w:r>
      <w:r w:rsidRPr="00D7715D">
        <w:rPr>
          <w:rFonts w:ascii="Century Gothic" w:hAnsi="Century Gothic" w:cs="Arial"/>
        </w:rPr>
        <w:t xml:space="preserve"> es un aspecto de importancia de cara a la aplicación de los referidos criterios diferenciales en comento, comoquiera que estos se dirigen a personas que se identifique con el género femenino, lo que necesariamente debe ser acreditado con el documento de identidad el cual debe coincidir en el marcador </w:t>
      </w:r>
      <w:r w:rsidRPr="00D7715D">
        <w:rPr>
          <w:rFonts w:ascii="Century Gothic" w:hAnsi="Century Gothic" w:cs="Arial"/>
          <w:i/>
          <w:iCs/>
        </w:rPr>
        <w:t>“sexo”</w:t>
      </w:r>
      <w:r w:rsidRPr="00D7715D">
        <w:rPr>
          <w:rFonts w:ascii="Century Gothic" w:hAnsi="Century Gothic" w:cs="Arial"/>
        </w:rPr>
        <w:t xml:space="preserve"> con la aludida identidad de género.  </w:t>
      </w:r>
    </w:p>
    <w:p w14:paraId="788DD9A9" w14:textId="77777777" w:rsidR="00275C28" w:rsidRPr="00D7715D"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 xml:space="preserve">Conforme a lo anterior, independientemente de la libertad y autonomía que asiste a las personas para ejercer su derecho a la </w:t>
      </w:r>
      <w:r w:rsidRPr="00D7715D">
        <w:rPr>
          <w:rFonts w:ascii="Century Gothic" w:hAnsi="Century Gothic" w:cs="Arial"/>
          <w:i/>
          <w:iCs/>
        </w:rPr>
        <w:t>identidad de género,</w:t>
      </w:r>
      <w:r w:rsidRPr="00D7715D">
        <w:rPr>
          <w:rFonts w:ascii="Century Gothic" w:hAnsi="Century Gothic" w:cs="Arial"/>
        </w:rPr>
        <w:t xml:space="preserve"> la acreditación de la condición de mujer en el marco de los Procesos de Contratación, para efectos de la aplicación de los mencionados criterios diferenciales, se encuentra asociada a la categoría “femenino” indicado en el marcado</w:t>
      </w:r>
      <w:r>
        <w:rPr>
          <w:rFonts w:ascii="Century Gothic" w:hAnsi="Century Gothic" w:cs="Arial"/>
        </w:rPr>
        <w:t>r</w:t>
      </w:r>
      <w:r w:rsidRPr="00D7715D">
        <w:rPr>
          <w:rFonts w:ascii="Century Gothic" w:hAnsi="Century Gothic" w:cs="Arial"/>
        </w:rPr>
        <w:t xml:space="preserve"> “sexo”,  por lo que necesariamente se exige la presentación de documentos de identidad en los que se indique la identidad de género de esta manera, como presupuesto para acceder al incentivo, lo cual resulta apenas razonable ante la necesidad de que estos incentivos se apliquen a sus reales destinatarios. En ese sentido, sin la presentación de un documento de identidad en estas condiciones, difícilmente podría una entidad dar por acreditada alguna de las definiciones de emprendimientos y empresas de mujeres establecidas en el artículo 2.2.1.2.4.2.14 del Decreto 1082 de 2015. </w:t>
      </w:r>
    </w:p>
    <w:p w14:paraId="74E42945" w14:textId="77777777" w:rsidR="00275C28" w:rsidRDefault="00275C28" w:rsidP="00275C28">
      <w:pPr>
        <w:spacing w:after="120" w:line="276" w:lineRule="auto"/>
        <w:ind w:firstLine="709"/>
        <w:jc w:val="both"/>
        <w:rPr>
          <w:rFonts w:ascii="Century Gothic" w:hAnsi="Century Gothic" w:cs="Arial"/>
        </w:rPr>
      </w:pPr>
      <w:r>
        <w:rPr>
          <w:rFonts w:ascii="Century Gothic" w:hAnsi="Century Gothic" w:cs="Arial"/>
        </w:rPr>
        <w:t>Asi</w:t>
      </w:r>
      <w:r w:rsidRPr="00D7715D">
        <w:rPr>
          <w:rFonts w:ascii="Century Gothic" w:hAnsi="Century Gothic" w:cs="Arial"/>
        </w:rPr>
        <w:t xml:space="preserve">mismo, un documento en el que se declare determinada persona se identifica con el género femenino o como mujer no podría remplazar o sustituir el documento de identidad, conforme se colige de la referida tarifa legal. Es precisamente por esto por lo que, en los procesos adelantados con los documentos tipo expedidos por esta Agencia, se exige que la condición de emprendimiento y empresa de mujeres se acredite presentando el </w:t>
      </w:r>
      <w:r w:rsidRPr="00D7715D">
        <w:rPr>
          <w:rFonts w:ascii="Century Gothic" w:hAnsi="Century Gothic"/>
          <w:i/>
          <w:iCs/>
        </w:rPr>
        <w:t>“</w:t>
      </w:r>
      <w:r w:rsidRPr="00D7715D">
        <w:rPr>
          <w:rFonts w:ascii="Century Gothic" w:hAnsi="Century Gothic" w:cs="Arial"/>
          <w:i/>
          <w:iCs/>
        </w:rPr>
        <w:t>Formato 12 – ACREDITACIÓN DE EMPRENDIMIENTOS Y EMPRESAS DE MUJERES”</w:t>
      </w:r>
      <w:r w:rsidRPr="00D7715D">
        <w:rPr>
          <w:rFonts w:ascii="Century Gothic" w:hAnsi="Century Gothic" w:cs="Arial"/>
        </w:rPr>
        <w:t>, el cual debe ser acompañado del respectivo documento de identidad, conforme se indica de manera expresa en las variantes a, b y c de dicho documento.</w:t>
      </w:r>
    </w:p>
    <w:p w14:paraId="70102616" w14:textId="77777777" w:rsidR="00275C28" w:rsidRDefault="00275C28" w:rsidP="00275C28">
      <w:pPr>
        <w:spacing w:after="0" w:line="276" w:lineRule="auto"/>
        <w:ind w:firstLine="709"/>
        <w:jc w:val="both"/>
        <w:rPr>
          <w:rFonts w:ascii="Century Gothic" w:hAnsi="Century Gothic" w:cs="Arial"/>
        </w:rPr>
      </w:pPr>
      <w:r>
        <w:rPr>
          <w:rFonts w:ascii="Century Gothic" w:hAnsi="Century Gothic" w:cs="Arial"/>
        </w:rPr>
        <w:t xml:space="preserve">De acuerdo con la Sentencia T-033 de 2022, con ponencia de la Magistrada </w:t>
      </w:r>
      <w:r w:rsidRPr="00867654">
        <w:rPr>
          <w:rFonts w:ascii="Century Gothic" w:hAnsi="Century Gothic" w:cs="Arial"/>
        </w:rPr>
        <w:t>Gloria Stella Ortiz Delgado</w:t>
      </w:r>
      <w:r>
        <w:rPr>
          <w:rFonts w:ascii="Century Gothic" w:hAnsi="Century Gothic" w:cs="Arial"/>
        </w:rPr>
        <w:t>, la Corte Constitucional explica que “</w:t>
      </w:r>
      <w:r w:rsidRPr="00867654">
        <w:rPr>
          <w:rFonts w:ascii="Century Gothic" w:hAnsi="Century Gothic" w:cs="Arial"/>
        </w:rPr>
        <w:t>La identidad de género no binaria es comprendida como aquella que, al no concebirse en el marco de las categorías dicotómicas, masculino o femenino, se aleja del sistema mayoritario de sexo-género, binario por tradición cultural. Las personas no binarias no se encuentran representadas, en sus vivencias, por ninguna de las categorías de género existentes en ese sistema</w:t>
      </w:r>
      <w:r>
        <w:rPr>
          <w:rFonts w:ascii="Century Gothic" w:hAnsi="Century Gothic" w:cs="Arial"/>
        </w:rPr>
        <w:t>”. Dado que las personas no binarias no se identifican como hombres ni, mucho menos, como mujeres, quienes posean</w:t>
      </w:r>
      <w:r w:rsidRPr="00867654">
        <w:rPr>
          <w:rFonts w:ascii="Century Gothic" w:hAnsi="Century Gothic" w:cs="Arial"/>
        </w:rPr>
        <w:t xml:space="preserve"> documentos de identidad con la categ</w:t>
      </w:r>
      <w:r>
        <w:rPr>
          <w:rFonts w:ascii="Century Gothic" w:hAnsi="Century Gothic" w:cs="Arial"/>
        </w:rPr>
        <w:t xml:space="preserve">oría NB no son destinatarios de los incentivos </w:t>
      </w:r>
      <w:r>
        <w:rPr>
          <w:rFonts w:ascii="Century Gothic" w:hAnsi="Century Gothic" w:cs="Arial"/>
        </w:rPr>
        <w:lastRenderedPageBreak/>
        <w:t xml:space="preserve">previstos en el </w:t>
      </w:r>
      <w:r w:rsidRPr="00867654">
        <w:rPr>
          <w:rFonts w:ascii="Century Gothic" w:hAnsi="Century Gothic" w:cs="Arial"/>
        </w:rPr>
        <w:t>2.2.1.2.4.2.15</w:t>
      </w:r>
      <w:r>
        <w:rPr>
          <w:rFonts w:ascii="Century Gothic" w:hAnsi="Century Gothic" w:cs="Arial"/>
        </w:rPr>
        <w:t xml:space="preserve"> del Decreto 1082 de 2015 para emprendimientos y empresas de mujeres. Por la misma razón, en teniendo en cuenta el género consignado en los documentos de identidad, tampoco son mujeres para </w:t>
      </w:r>
      <w:r w:rsidRPr="000E61DC">
        <w:rPr>
          <w:rFonts w:ascii="Century Gothic" w:eastAsia="Calibri" w:hAnsi="Century Gothic" w:cs="Arial"/>
          <w:lang w:val="es-ES_tradnl"/>
        </w:rPr>
        <w:t xml:space="preserve">los factores de desempate </w:t>
      </w:r>
      <w:r>
        <w:rPr>
          <w:rFonts w:ascii="Century Gothic" w:eastAsia="Calibri" w:hAnsi="Century Gothic" w:cs="Arial"/>
          <w:lang w:val="es-ES_tradnl"/>
        </w:rPr>
        <w:t>de</w:t>
      </w:r>
      <w:r w:rsidRPr="000E61DC">
        <w:rPr>
          <w:rFonts w:ascii="Century Gothic" w:eastAsia="Calibri" w:hAnsi="Century Gothic" w:cs="Arial"/>
          <w:lang w:val="es-ES_tradnl"/>
        </w:rPr>
        <w:t xml:space="preserve"> los numerales 2 y 7 del artículo 2.2.1.2.4.2.17 del Decreto 1082 de 2015</w:t>
      </w:r>
      <w:r>
        <w:rPr>
          <w:rFonts w:ascii="Century Gothic" w:eastAsia="Calibri" w:hAnsi="Century Gothic" w:cs="Arial"/>
          <w:lang w:val="es-ES_tradnl"/>
        </w:rPr>
        <w:t xml:space="preserve">, por lo que también son inaplicables a las personas no binarias. Lo anterior al margen de que el procedimiento se rija o no por documentos tipo, dado que la regulación de los incentivos de la Ley de Emprendimiento es transversal al sistema de compras públicas. </w:t>
      </w:r>
      <w:r>
        <w:rPr>
          <w:rFonts w:ascii="Century Gothic" w:hAnsi="Century Gothic" w:cs="Arial"/>
        </w:rPr>
        <w:t xml:space="preserve">  </w:t>
      </w:r>
    </w:p>
    <w:p w14:paraId="36921B18" w14:textId="77777777" w:rsidR="00275C28" w:rsidRPr="00047DC8" w:rsidRDefault="00275C28" w:rsidP="00275C28">
      <w:pPr>
        <w:spacing w:after="0" w:line="276" w:lineRule="auto"/>
        <w:jc w:val="both"/>
        <w:rPr>
          <w:rFonts w:ascii="Century Gothic" w:eastAsia="Calibri" w:hAnsi="Century Gothic" w:cs="Arial"/>
          <w:color w:val="000000"/>
          <w:lang w:val="es-ES_tradnl" w:eastAsia="es-ES_tradnl"/>
        </w:rPr>
      </w:pPr>
    </w:p>
    <w:p w14:paraId="1E26405C" w14:textId="77777777" w:rsidR="00275C28" w:rsidRPr="004C64AD" w:rsidRDefault="00275C28" w:rsidP="00275C28">
      <w:pPr>
        <w:tabs>
          <w:tab w:val="left" w:pos="0"/>
        </w:tabs>
        <w:spacing w:after="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3. Respuesta</w:t>
      </w:r>
    </w:p>
    <w:p w14:paraId="3C7FDEB1" w14:textId="77777777" w:rsidR="00275C28" w:rsidRPr="004C64AD" w:rsidRDefault="00275C28" w:rsidP="00275C28">
      <w:pPr>
        <w:spacing w:after="0" w:line="276" w:lineRule="auto"/>
        <w:jc w:val="both"/>
        <w:rPr>
          <w:rFonts w:ascii="Century Gothic" w:hAnsi="Century Gothic" w:cs="Arial"/>
          <w:color w:val="000000" w:themeColor="text1"/>
        </w:rPr>
      </w:pPr>
    </w:p>
    <w:p w14:paraId="108EFAE7" w14:textId="77777777" w:rsidR="00275C28" w:rsidRPr="004C64AD" w:rsidRDefault="00275C28" w:rsidP="00275C28">
      <w:pPr>
        <w:spacing w:after="0" w:line="240" w:lineRule="auto"/>
        <w:ind w:left="709" w:right="709"/>
        <w:jc w:val="both"/>
        <w:rPr>
          <w:rFonts w:ascii="Century Gothic" w:hAnsi="Century Gothic" w:cs="Arial"/>
          <w:color w:val="000000" w:themeColor="text1"/>
          <w:sz w:val="21"/>
          <w:szCs w:val="21"/>
        </w:rPr>
      </w:pPr>
      <w:r w:rsidRPr="00AB3076">
        <w:rPr>
          <w:rFonts w:ascii="Century Gothic" w:hAnsi="Century Gothic" w:cs="Arial"/>
          <w:color w:val="000000" w:themeColor="text1"/>
          <w:sz w:val="21"/>
          <w:szCs w:val="21"/>
          <w:lang w:val="es-ES_tradnl"/>
        </w:rPr>
        <w:t>Para efectos de los documentos tipo,</w:t>
      </w:r>
      <w:r>
        <w:rPr>
          <w:rFonts w:ascii="Century Gothic" w:hAnsi="Century Gothic" w:cs="Arial"/>
          <w:color w:val="000000" w:themeColor="text1"/>
          <w:sz w:val="21"/>
          <w:szCs w:val="21"/>
          <w:lang w:val="es-ES_tradnl"/>
        </w:rPr>
        <w:t xml:space="preserve"> </w:t>
      </w:r>
      <w:r w:rsidRPr="00AB3076">
        <w:rPr>
          <w:rFonts w:ascii="Century Gothic" w:hAnsi="Century Gothic" w:cs="Arial"/>
          <w:color w:val="000000" w:themeColor="text1"/>
          <w:sz w:val="21"/>
          <w:szCs w:val="21"/>
          <w:lang w:val="es-ES_tradnl"/>
        </w:rPr>
        <w:t>“¿Las personas que poseen documentos de identidad con la categoría de sexo no binario, son elegibles para la aplicación de criterios y/o factores de desempate, como los destinados a emprendimientos y empresas de mujeres?”</w:t>
      </w:r>
      <w:r w:rsidRPr="004C64AD">
        <w:rPr>
          <w:rFonts w:ascii="Century Gothic" w:hAnsi="Century Gothic" w:cs="Arial"/>
          <w:color w:val="000000" w:themeColor="text1"/>
          <w:sz w:val="21"/>
          <w:szCs w:val="21"/>
          <w:lang w:val="es-ES_tradnl"/>
        </w:rPr>
        <w:t>.</w:t>
      </w:r>
    </w:p>
    <w:p w14:paraId="583C3826" w14:textId="77777777" w:rsidR="00275C28" w:rsidRPr="004C64AD" w:rsidRDefault="00275C28" w:rsidP="00275C28">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1942E78B" w14:textId="77777777" w:rsidR="00275C28" w:rsidRPr="00447431" w:rsidRDefault="00275C28" w:rsidP="00275C28">
      <w:pPr>
        <w:spacing w:after="120" w:line="276" w:lineRule="auto"/>
        <w:jc w:val="both"/>
        <w:rPr>
          <w:rFonts w:ascii="Century Gothic" w:hAnsi="Century Gothic" w:cs="Arial"/>
        </w:rPr>
      </w:pPr>
      <w:r>
        <w:rPr>
          <w:rStyle w:val="Textoennegrita"/>
          <w:rFonts w:ascii="Century Gothic" w:hAnsi="Century Gothic" w:cs="Arial"/>
          <w:b w:val="0"/>
          <w:bCs w:val="0"/>
          <w:shd w:val="clear" w:color="auto" w:fill="FFFFFF"/>
        </w:rPr>
        <w:t>E</w:t>
      </w:r>
      <w:r w:rsidRPr="00447431">
        <w:rPr>
          <w:rFonts w:ascii="Century Gothic" w:hAnsi="Century Gothic" w:cs="Arial"/>
        </w:rPr>
        <w:t xml:space="preserve">l artículo </w:t>
      </w:r>
      <w:bookmarkStart w:id="17" w:name="_Hlk111037928"/>
      <w:r w:rsidRPr="00447431">
        <w:rPr>
          <w:rFonts w:ascii="Century Gothic" w:hAnsi="Century Gothic" w:cs="Arial"/>
        </w:rPr>
        <w:t>2.2.1.2.4.2.14</w:t>
      </w:r>
      <w:bookmarkEnd w:id="17"/>
      <w:r w:rsidRPr="00447431">
        <w:rPr>
          <w:rFonts w:ascii="Century Gothic" w:hAnsi="Century Gothic" w:cs="Arial"/>
        </w:rPr>
        <w:t xml:space="preserve"> del Decreto 1082 de 2015, adicionado por el Decreto 1860 de 2021, establece diferentes definiciones de emprendimientos y empresas de mujeres, a efectos de la aplicación de los criterios diferenciales a los que se refiere el artículo 32 de la Ley 2069 de 2020. De igual forma, establece los documentos que acreditan cada una de las circunstancias por las cuales se puede demostrar que alguien tiene la calidad de emprendimiento y empresa de mujeres. Los documentos a los que se refiere la norma son, por regla general, certificaciones emitidas bajo la gravedad del juramento, acompañadas de los respectivos documentos de identidad.</w:t>
      </w:r>
    </w:p>
    <w:p w14:paraId="36B97BE4" w14:textId="77777777" w:rsidR="00275C28" w:rsidRDefault="00275C28" w:rsidP="00275C28">
      <w:pPr>
        <w:spacing w:after="120" w:line="276" w:lineRule="auto"/>
        <w:ind w:firstLine="709"/>
        <w:jc w:val="both"/>
        <w:rPr>
          <w:rFonts w:ascii="Century Gothic" w:eastAsia="Calibri" w:hAnsi="Century Gothic" w:cs="Arial"/>
          <w:bCs/>
          <w:color w:val="000000"/>
          <w:lang w:val="es-ES_tradnl"/>
        </w:rPr>
      </w:pPr>
      <w:r w:rsidRPr="00447431">
        <w:rPr>
          <w:rFonts w:ascii="Century Gothic" w:eastAsia="Calibri" w:hAnsi="Century Gothic" w:cs="Arial"/>
          <w:bCs/>
          <w:color w:val="000000"/>
          <w:lang w:val="es-ES_tradnl"/>
        </w:rPr>
        <w:t>Frente a las personas naturales</w:t>
      </w:r>
      <w:r>
        <w:rPr>
          <w:rFonts w:ascii="Century Gothic" w:eastAsia="Calibri" w:hAnsi="Century Gothic" w:cs="Arial"/>
          <w:bCs/>
          <w:color w:val="000000"/>
          <w:lang w:val="es-ES_tradnl"/>
        </w:rPr>
        <w:t>, s</w:t>
      </w:r>
      <w:r w:rsidRPr="00EE1935">
        <w:rPr>
          <w:rFonts w:ascii="Century Gothic" w:eastAsia="Calibri" w:hAnsi="Century Gothic" w:cs="Arial"/>
          <w:bCs/>
          <w:color w:val="000000"/>
          <w:lang w:val="es-ES_tradnl"/>
        </w:rPr>
        <w:t xml:space="preserve">in perjuicio de los factores de desempate </w:t>
      </w:r>
      <w:r>
        <w:rPr>
          <w:rFonts w:ascii="Century Gothic" w:eastAsia="Calibri" w:hAnsi="Century Gothic" w:cs="Arial"/>
          <w:bCs/>
          <w:color w:val="000000"/>
          <w:lang w:val="es-ES_tradnl"/>
        </w:rPr>
        <w:t>de</w:t>
      </w:r>
      <w:r w:rsidRPr="00EE1935">
        <w:rPr>
          <w:rFonts w:ascii="Century Gothic" w:eastAsia="Calibri" w:hAnsi="Century Gothic" w:cs="Arial"/>
          <w:bCs/>
          <w:color w:val="000000"/>
          <w:lang w:val="es-ES_tradnl"/>
        </w:rPr>
        <w:t xml:space="preserve"> los numerales 2 y 7 del artículo 2.2.1.2.4.2.17 del Decreto 1082 de 2015 para mujeres cabeza de familia y/o víctimas de violencia intrafamiliar</w:t>
      </w:r>
      <w:r>
        <w:rPr>
          <w:rFonts w:ascii="Century Gothic" w:eastAsia="Calibri" w:hAnsi="Century Gothic" w:cs="Arial"/>
          <w:bCs/>
          <w:color w:val="000000"/>
          <w:lang w:val="es-ES_tradnl"/>
        </w:rPr>
        <w:t xml:space="preserve">, </w:t>
      </w:r>
      <w:r w:rsidRPr="00447431">
        <w:rPr>
          <w:rFonts w:ascii="Century Gothic" w:eastAsia="Calibri" w:hAnsi="Century Gothic" w:cs="Arial"/>
          <w:bCs/>
          <w:color w:val="000000"/>
          <w:lang w:val="es-ES_tradnl"/>
        </w:rPr>
        <w:t>el numeral 3 del artículo 2.2.1.2.4.2.14</w:t>
      </w:r>
      <w:r>
        <w:rPr>
          <w:rFonts w:ascii="Century Gothic" w:eastAsia="Calibri" w:hAnsi="Century Gothic" w:cs="Arial"/>
          <w:bCs/>
          <w:color w:val="000000"/>
          <w:lang w:val="es-ES_tradnl"/>
        </w:rPr>
        <w:t xml:space="preserve"> </w:t>
      </w:r>
      <w:r w:rsidRPr="00EE1935">
        <w:rPr>
          <w:rFonts w:ascii="Century Gothic" w:eastAsia="Calibri" w:hAnsi="Century Gothic" w:cs="Arial"/>
          <w:bCs/>
          <w:i/>
          <w:iCs/>
          <w:color w:val="000000"/>
          <w:lang w:val="es-ES_tradnl"/>
        </w:rPr>
        <w:t>ibidem</w:t>
      </w:r>
      <w:r>
        <w:rPr>
          <w:rFonts w:ascii="Century Gothic" w:eastAsia="Calibri" w:hAnsi="Century Gothic" w:cs="Arial"/>
          <w:bCs/>
          <w:color w:val="000000"/>
          <w:lang w:val="es-ES_tradnl"/>
        </w:rPr>
        <w:t xml:space="preserve"> dispuso</w:t>
      </w:r>
      <w:r w:rsidRPr="00447431">
        <w:rPr>
          <w:rFonts w:ascii="Century Gothic" w:eastAsia="Calibri" w:hAnsi="Century Gothic" w:cs="Arial"/>
          <w:bCs/>
          <w:color w:val="000000"/>
          <w:lang w:val="es-ES_tradnl"/>
        </w:rPr>
        <w:t xml:space="preserve"> las condiciones para que esta sea catalogada como acreedora de un emprendimiento o empresa de mujeres, bajo el entendido en que “sea una mujer y haya ejercido actividades comerciales a través de un establecimiento de comercio durante al menos el último año anterior a la fecha de cierre del proceso de selección” y acreditando esta circunstancia “mediante la copia de cédula de ciudadanía, la cédula de extranjería o el pasaporte, así como la copia del registro mercantil”. </w:t>
      </w:r>
    </w:p>
    <w:p w14:paraId="04D29CBE" w14:textId="77777777" w:rsidR="00275C28" w:rsidRPr="00D7715D" w:rsidRDefault="00275C28" w:rsidP="00275C28">
      <w:pPr>
        <w:spacing w:after="120" w:line="276" w:lineRule="auto"/>
        <w:ind w:firstLine="709"/>
        <w:jc w:val="both"/>
        <w:rPr>
          <w:rFonts w:ascii="Century Gothic" w:hAnsi="Century Gothic" w:cs="Arial"/>
        </w:rPr>
      </w:pPr>
      <w:r>
        <w:rPr>
          <w:rFonts w:ascii="Century Gothic" w:eastAsia="Calibri" w:hAnsi="Century Gothic" w:cs="Arial"/>
          <w:bCs/>
          <w:color w:val="000000"/>
          <w:lang w:val="es-ES_tradnl"/>
        </w:rPr>
        <w:t xml:space="preserve">Ahora bien, </w:t>
      </w:r>
      <w:r w:rsidRPr="00D7715D">
        <w:rPr>
          <w:rFonts w:ascii="Century Gothic" w:hAnsi="Century Gothic" w:cs="Arial"/>
        </w:rPr>
        <w:t>partiendo de la concepción de la identidad de género como una construcción individual, se precisa entonces que el componente “</w:t>
      </w:r>
      <w:r w:rsidRPr="00D7715D">
        <w:rPr>
          <w:rFonts w:ascii="Century Gothic" w:hAnsi="Century Gothic" w:cs="Arial"/>
          <w:i/>
        </w:rPr>
        <w:t>sexo”</w:t>
      </w:r>
      <w:r w:rsidRPr="00D7715D">
        <w:rPr>
          <w:rFonts w:ascii="Century Gothic" w:hAnsi="Century Gothic" w:cs="Arial"/>
        </w:rPr>
        <w:t xml:space="preserve"> que </w:t>
      </w:r>
      <w:r w:rsidRPr="00D7715D">
        <w:rPr>
          <w:rFonts w:ascii="Century Gothic" w:hAnsi="Century Gothic" w:cs="Arial"/>
        </w:rPr>
        <w:lastRenderedPageBreak/>
        <w:t>registra en la identificación de las personas, evolucionó en tal medida que la información consignada en este campo o ítem, por decirlo de alguna manera, debe entenderse como una decisión personal y no como una asignación ligada al sexo con el que se nace. Es por ello por lo que las personas tienen la potestad de modificar su marcador de “sexo” para que coincida con su identidad, en caso de que requiera hacer el tránsito formal hacia otro género. Sobre el particular se ha indicado de manera reiterada que las personas con orientaciones de género diversas tienen derecho a adecuar sus documentos de identificación para que reflejen la identidad que les singulariza, de modo que sean tratadas socialmente en la forma en que se auto reconocen</w:t>
      </w:r>
      <w:r w:rsidRPr="00D7715D">
        <w:rPr>
          <w:rFonts w:ascii="Century Gothic" w:hAnsi="Century Gothic" w:cs="Arial"/>
          <w:vertAlign w:val="superscript"/>
        </w:rPr>
        <w:footnoteReference w:id="25"/>
      </w:r>
      <w:r w:rsidRPr="00D7715D">
        <w:rPr>
          <w:rFonts w:ascii="Century Gothic" w:hAnsi="Century Gothic" w:cs="Arial"/>
        </w:rPr>
        <w:t xml:space="preserve">. </w:t>
      </w:r>
    </w:p>
    <w:p w14:paraId="1ED3E05E" w14:textId="77777777" w:rsidR="00275C28"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 xml:space="preserve">Conforme a lo anterior, independientemente de la libertad y autonomía que asiste a las personas para ejercer su derecho a la </w:t>
      </w:r>
      <w:r w:rsidRPr="00D7715D">
        <w:rPr>
          <w:rFonts w:ascii="Century Gothic" w:hAnsi="Century Gothic" w:cs="Arial"/>
          <w:i/>
          <w:iCs/>
        </w:rPr>
        <w:t>identidad de género,</w:t>
      </w:r>
      <w:r w:rsidRPr="00D7715D">
        <w:rPr>
          <w:rFonts w:ascii="Century Gothic" w:hAnsi="Century Gothic" w:cs="Arial"/>
        </w:rPr>
        <w:t xml:space="preserve"> la acreditación de la condición de mujer en el marco de los Procesos de Contratación, para efectos de la aplicación de los mencionados criterios diferenciales, se encuentra asociada a la categoría “femenino” indicado en el marcado</w:t>
      </w:r>
      <w:r>
        <w:rPr>
          <w:rFonts w:ascii="Century Gothic" w:hAnsi="Century Gothic" w:cs="Arial"/>
        </w:rPr>
        <w:t>r</w:t>
      </w:r>
      <w:r w:rsidRPr="00D7715D">
        <w:rPr>
          <w:rFonts w:ascii="Century Gothic" w:hAnsi="Century Gothic" w:cs="Arial"/>
        </w:rPr>
        <w:t xml:space="preserve"> “sexo”,</w:t>
      </w:r>
      <w:r>
        <w:rPr>
          <w:rFonts w:ascii="Century Gothic" w:hAnsi="Century Gothic" w:cs="Arial"/>
        </w:rPr>
        <w:t xml:space="preserve"> </w:t>
      </w:r>
      <w:r w:rsidRPr="00D7715D">
        <w:rPr>
          <w:rFonts w:ascii="Century Gothic" w:hAnsi="Century Gothic" w:cs="Arial"/>
        </w:rPr>
        <w:t xml:space="preserve">por lo que necesariamente se exige la presentación de documentos de identidad en los que se indique la identidad de género de esta manera, como presupuesto para acceder al incentivo, lo cual resulta apenas razonable ante la necesidad de que estos incentivos se apliquen a sus reales destinatarios. </w:t>
      </w:r>
    </w:p>
    <w:p w14:paraId="41534A98" w14:textId="77777777" w:rsidR="00275C28" w:rsidRDefault="00275C28" w:rsidP="00275C28">
      <w:pPr>
        <w:spacing w:after="120" w:line="276" w:lineRule="auto"/>
        <w:ind w:firstLine="709"/>
        <w:jc w:val="both"/>
        <w:rPr>
          <w:rFonts w:ascii="Century Gothic" w:hAnsi="Century Gothic" w:cs="Arial"/>
        </w:rPr>
      </w:pPr>
      <w:r w:rsidRPr="00D7715D">
        <w:rPr>
          <w:rFonts w:ascii="Century Gothic" w:hAnsi="Century Gothic" w:cs="Arial"/>
        </w:rPr>
        <w:t xml:space="preserve">En ese sentido, sin la presentación de un documento de identidad en estas condiciones, difícilmente podría una entidad dar por acreditada alguna de las definiciones de emprendimientos y empresas de mujeres establecidas en el artículo 2.2.1.2.4.2.14 del Decreto 1082 de 2015. </w:t>
      </w:r>
      <w:r>
        <w:rPr>
          <w:rFonts w:ascii="Century Gothic" w:hAnsi="Century Gothic" w:cs="Arial"/>
        </w:rPr>
        <w:t>Asi</w:t>
      </w:r>
      <w:r w:rsidRPr="00D7715D">
        <w:rPr>
          <w:rFonts w:ascii="Century Gothic" w:hAnsi="Century Gothic" w:cs="Arial"/>
        </w:rPr>
        <w:t xml:space="preserve">mismo, un documento en el que se declare determinada persona se identifica con el género femenino o como mujer no podría remplazar o sustituir el documento de identidad, conforme se colige de la referida tarifa legal. </w:t>
      </w:r>
    </w:p>
    <w:p w14:paraId="336177E5" w14:textId="4A59B20E" w:rsidR="00275C28" w:rsidRPr="00447431" w:rsidRDefault="00275C28" w:rsidP="00275C28">
      <w:pPr>
        <w:spacing w:after="0" w:line="276" w:lineRule="auto"/>
        <w:ind w:firstLine="709"/>
        <w:jc w:val="both"/>
        <w:rPr>
          <w:rFonts w:ascii="Century Gothic" w:eastAsia="Calibri" w:hAnsi="Century Gothic" w:cs="Arial"/>
          <w:bCs/>
          <w:color w:val="000000"/>
          <w:lang w:val="es-ES_tradnl"/>
        </w:rPr>
      </w:pPr>
      <w:r>
        <w:rPr>
          <w:rFonts w:ascii="Century Gothic" w:hAnsi="Century Gothic" w:cs="Arial"/>
        </w:rPr>
        <w:t xml:space="preserve">De acuerdo con la Sentencia T-033 de 2022, con ponencia de la Magistrada </w:t>
      </w:r>
      <w:r w:rsidRPr="00867654">
        <w:rPr>
          <w:rFonts w:ascii="Century Gothic" w:hAnsi="Century Gothic" w:cs="Arial"/>
        </w:rPr>
        <w:t>Gloria Stella Ortiz Delgado</w:t>
      </w:r>
      <w:r>
        <w:rPr>
          <w:rFonts w:ascii="Century Gothic" w:hAnsi="Century Gothic" w:cs="Arial"/>
        </w:rPr>
        <w:t>, la Corte Constitucional explica que “</w:t>
      </w:r>
      <w:r w:rsidRPr="00867654">
        <w:rPr>
          <w:rFonts w:ascii="Century Gothic" w:hAnsi="Century Gothic" w:cs="Arial"/>
        </w:rPr>
        <w:t>La identidad de género no binaria es comprendida como aquella que, al no concebirse en el marco de las categorías dicotómicas, masculino o femenino, se aleja del sistema mayoritario de sexo-género, binario por tradición cultural. Las personas no binarias no se encuentran representadas, en sus vivencias, por ninguna de las categorías de género existentes en ese sistema</w:t>
      </w:r>
      <w:r>
        <w:rPr>
          <w:rFonts w:ascii="Century Gothic" w:hAnsi="Century Gothic" w:cs="Arial"/>
        </w:rPr>
        <w:t xml:space="preserve">”. Dado que las personas no binarias no se </w:t>
      </w:r>
      <w:r>
        <w:rPr>
          <w:rFonts w:ascii="Century Gothic" w:hAnsi="Century Gothic" w:cs="Arial"/>
        </w:rPr>
        <w:lastRenderedPageBreak/>
        <w:t>identifican como hombres ni, mucho menos, como mujeres, quienes posean</w:t>
      </w:r>
      <w:r w:rsidRPr="00867654">
        <w:rPr>
          <w:rFonts w:ascii="Century Gothic" w:hAnsi="Century Gothic" w:cs="Arial"/>
        </w:rPr>
        <w:t xml:space="preserve"> documentos de identidad con la categ</w:t>
      </w:r>
      <w:r>
        <w:rPr>
          <w:rFonts w:ascii="Century Gothic" w:hAnsi="Century Gothic" w:cs="Arial"/>
        </w:rPr>
        <w:t xml:space="preserve">oría NB no son destinatarios de los incentivos previstos en el </w:t>
      </w:r>
      <w:r w:rsidRPr="00867654">
        <w:rPr>
          <w:rFonts w:ascii="Century Gothic" w:hAnsi="Century Gothic" w:cs="Arial"/>
        </w:rPr>
        <w:t>2.2.1.2.4.2.15</w:t>
      </w:r>
      <w:r>
        <w:rPr>
          <w:rFonts w:ascii="Century Gothic" w:hAnsi="Century Gothic" w:cs="Arial"/>
        </w:rPr>
        <w:t xml:space="preserve"> del Decreto 1082 de 2015 para emprendimientos y empresas de mujeres. Por la misma razón, teniendo en cuenta el género consignado en los documentos de identidad, tampoco son mujeres para </w:t>
      </w:r>
      <w:r w:rsidRPr="000E61DC">
        <w:rPr>
          <w:rFonts w:ascii="Century Gothic" w:eastAsia="Calibri" w:hAnsi="Century Gothic" w:cs="Arial"/>
          <w:lang w:val="es-ES_tradnl"/>
        </w:rPr>
        <w:t xml:space="preserve">los factores de desempate </w:t>
      </w:r>
      <w:r>
        <w:rPr>
          <w:rFonts w:ascii="Century Gothic" w:eastAsia="Calibri" w:hAnsi="Century Gothic" w:cs="Arial"/>
          <w:lang w:val="es-ES_tradnl"/>
        </w:rPr>
        <w:t>de</w:t>
      </w:r>
      <w:r w:rsidRPr="000E61DC">
        <w:rPr>
          <w:rFonts w:ascii="Century Gothic" w:eastAsia="Calibri" w:hAnsi="Century Gothic" w:cs="Arial"/>
          <w:lang w:val="es-ES_tradnl"/>
        </w:rPr>
        <w:t xml:space="preserve"> los numerales 2 y 7 del artículo 2.2.1.2.4.2.17 del Decreto 1082 de 2015</w:t>
      </w:r>
      <w:r>
        <w:rPr>
          <w:rFonts w:ascii="Century Gothic" w:eastAsia="Calibri" w:hAnsi="Century Gothic" w:cs="Arial"/>
          <w:lang w:val="es-ES_tradnl"/>
        </w:rPr>
        <w:t>, por lo que también son inaplicables a las personas no binarias. Lo anterior al margen de que el procedimiento se rija o no por documentos tipo, dado que la regulación de los incentivos de la Ley de Emprendimiento es transversal al sistema de compras públicas.</w:t>
      </w:r>
    </w:p>
    <w:p w14:paraId="3D415B64" w14:textId="77777777" w:rsidR="00275C28" w:rsidRPr="004C64AD" w:rsidRDefault="00275C28" w:rsidP="00275C28">
      <w:pPr>
        <w:spacing w:after="120" w:line="276" w:lineRule="auto"/>
        <w:jc w:val="both"/>
        <w:rPr>
          <w:rFonts w:ascii="Century Gothic" w:eastAsia="Arial" w:hAnsi="Century Gothic" w:cs="Arial"/>
          <w:lang w:val="es-ES" w:eastAsia="es-ES" w:bidi="es-ES"/>
        </w:rPr>
      </w:pPr>
    </w:p>
    <w:p w14:paraId="0F5BE4F2" w14:textId="77777777" w:rsidR="00275C28" w:rsidRPr="004C64AD" w:rsidRDefault="00275C28" w:rsidP="00275C28">
      <w:pPr>
        <w:widowControl w:val="0"/>
        <w:autoSpaceDE w:val="0"/>
        <w:autoSpaceDN w:val="0"/>
        <w:spacing w:after="0" w:line="276" w:lineRule="auto"/>
        <w:jc w:val="both"/>
        <w:rPr>
          <w:rFonts w:ascii="Century Gothic" w:hAnsi="Century Gothic" w:cs="Arial"/>
          <w:color w:val="000000" w:themeColor="text1"/>
          <w:lang w:val="es-ES_tradnl" w:bidi="es-ES"/>
        </w:rPr>
      </w:pPr>
      <w:r w:rsidRPr="004C64AD">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536AD4AE" w14:textId="77777777" w:rsidR="00275C28" w:rsidRPr="004C64AD" w:rsidRDefault="00275C28" w:rsidP="00275C28">
      <w:pPr>
        <w:widowControl w:val="0"/>
        <w:autoSpaceDE w:val="0"/>
        <w:autoSpaceDN w:val="0"/>
        <w:spacing w:after="0" w:line="276" w:lineRule="auto"/>
        <w:jc w:val="both"/>
        <w:rPr>
          <w:rFonts w:ascii="Century Gothic" w:hAnsi="Century Gothic" w:cs="Arial"/>
          <w:color w:val="000000" w:themeColor="text1"/>
          <w:lang w:val="es-ES_tradnl" w:bidi="es-ES"/>
        </w:rPr>
      </w:pPr>
    </w:p>
    <w:p w14:paraId="446DFCF7" w14:textId="77777777" w:rsidR="00275C28" w:rsidRPr="004C64AD" w:rsidRDefault="00275C28" w:rsidP="00275C28">
      <w:pPr>
        <w:tabs>
          <w:tab w:val="left" w:pos="426"/>
        </w:tabs>
        <w:spacing w:after="0" w:line="276" w:lineRule="auto"/>
        <w:jc w:val="both"/>
        <w:rPr>
          <w:rFonts w:ascii="Century Gothic" w:eastAsia="Times New Roman" w:hAnsi="Century Gothic" w:cs="Arial"/>
          <w:color w:val="000000" w:themeColor="text1"/>
        </w:rPr>
      </w:pPr>
      <w:r w:rsidRPr="004C64AD">
        <w:rPr>
          <w:rFonts w:ascii="Century Gothic" w:eastAsia="Times New Roman" w:hAnsi="Century Gothic" w:cs="Arial"/>
          <w:color w:val="000000" w:themeColor="text1"/>
        </w:rPr>
        <w:t>Atentamente,</w:t>
      </w:r>
    </w:p>
    <w:p w14:paraId="4A8E5CD5" w14:textId="4A771FDB" w:rsidR="00275C28" w:rsidRPr="004C64AD" w:rsidRDefault="00CC266A" w:rsidP="00275C28">
      <w:pPr>
        <w:spacing w:after="0"/>
        <w:jc w:val="center"/>
        <w:rPr>
          <w:rFonts w:ascii="Century Gothic" w:eastAsia="Times New Roman" w:hAnsi="Century Gothic" w:cs="Arial"/>
          <w:lang w:eastAsia="es-CO"/>
        </w:rPr>
      </w:pPr>
      <w:r>
        <w:rPr>
          <w:noProof/>
        </w:rPr>
        <w:drawing>
          <wp:inline distT="0" distB="0" distL="0" distR="0" wp14:anchorId="570DF2AB" wp14:editId="4D23695B">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75C28" w:rsidRPr="004C64AD" w14:paraId="0F83382B" w14:textId="77777777" w:rsidTr="00DF0798">
        <w:trPr>
          <w:trHeight w:val="409"/>
        </w:trPr>
        <w:tc>
          <w:tcPr>
            <w:tcW w:w="817" w:type="dxa"/>
            <w:tcBorders>
              <w:top w:val="nil"/>
              <w:left w:val="nil"/>
              <w:bottom w:val="nil"/>
              <w:right w:val="nil"/>
            </w:tcBorders>
            <w:vAlign w:val="center"/>
            <w:hideMark/>
          </w:tcPr>
          <w:p w14:paraId="528C2DB2"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6C1E918"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Juan David Montoya Penagos</w:t>
            </w:r>
          </w:p>
          <w:p w14:paraId="381818FB"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Contratista de la Subdirección de Gestión Contractual</w:t>
            </w:r>
          </w:p>
        </w:tc>
      </w:tr>
      <w:tr w:rsidR="00275C28" w:rsidRPr="004C64AD" w14:paraId="2EBFBF9D" w14:textId="77777777" w:rsidTr="00DF0798">
        <w:trPr>
          <w:trHeight w:val="409"/>
        </w:trPr>
        <w:tc>
          <w:tcPr>
            <w:tcW w:w="817" w:type="dxa"/>
            <w:tcBorders>
              <w:top w:val="nil"/>
              <w:left w:val="nil"/>
              <w:right w:val="nil"/>
            </w:tcBorders>
            <w:vAlign w:val="center"/>
          </w:tcPr>
          <w:p w14:paraId="380E7B13" w14:textId="77777777" w:rsidR="00275C28" w:rsidRPr="004C64AD" w:rsidRDefault="00275C28" w:rsidP="00DF0798">
            <w:pPr>
              <w:spacing w:after="0"/>
              <w:jc w:val="both"/>
              <w:rPr>
                <w:rFonts w:ascii="Century Gothic" w:hAnsi="Century Gothic" w:cs="Arial"/>
                <w:sz w:val="16"/>
                <w:szCs w:val="16"/>
              </w:rPr>
            </w:pPr>
            <w:r w:rsidRPr="004C64A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E945D3F" w14:textId="77777777" w:rsidR="00275C28" w:rsidRPr="00EA4564" w:rsidRDefault="00275C28" w:rsidP="00DF0798">
            <w:pPr>
              <w:spacing w:after="0" w:line="240" w:lineRule="auto"/>
              <w:jc w:val="both"/>
              <w:rPr>
                <w:rFonts w:ascii="Century Gothic" w:hAnsi="Century Gothic" w:cs="Arial"/>
                <w:sz w:val="16"/>
                <w:szCs w:val="16"/>
              </w:rPr>
            </w:pPr>
            <w:r w:rsidRPr="00EA4564">
              <w:rPr>
                <w:rFonts w:ascii="Century Gothic" w:hAnsi="Century Gothic" w:cs="Arial"/>
                <w:sz w:val="16"/>
                <w:szCs w:val="16"/>
              </w:rPr>
              <w:t xml:space="preserve">Juan David Cárdenas Cabeza </w:t>
            </w:r>
          </w:p>
          <w:p w14:paraId="3CCA0F75" w14:textId="77777777" w:rsidR="00275C28" w:rsidRPr="004C64AD" w:rsidRDefault="00275C28" w:rsidP="00DF0798">
            <w:pPr>
              <w:spacing w:after="0" w:line="240" w:lineRule="auto"/>
              <w:jc w:val="both"/>
              <w:rPr>
                <w:rFonts w:ascii="Century Gothic" w:hAnsi="Century Gothic" w:cs="Arial"/>
                <w:sz w:val="16"/>
                <w:szCs w:val="16"/>
              </w:rPr>
            </w:pPr>
            <w:r w:rsidRPr="00EA4564">
              <w:rPr>
                <w:rFonts w:ascii="Century Gothic" w:hAnsi="Century Gothic" w:cs="Arial"/>
                <w:sz w:val="16"/>
                <w:szCs w:val="16"/>
              </w:rPr>
              <w:t>Contratista de la Subdirección de Gestión Contractual</w:t>
            </w:r>
          </w:p>
        </w:tc>
      </w:tr>
      <w:tr w:rsidR="00275C28" w:rsidRPr="004C64AD" w14:paraId="0E93EA89" w14:textId="77777777" w:rsidTr="00DF0798">
        <w:trPr>
          <w:trHeight w:val="389"/>
        </w:trPr>
        <w:tc>
          <w:tcPr>
            <w:tcW w:w="817" w:type="dxa"/>
            <w:tcBorders>
              <w:top w:val="nil"/>
              <w:left w:val="nil"/>
              <w:bottom w:val="nil"/>
              <w:right w:val="nil"/>
            </w:tcBorders>
            <w:vAlign w:val="center"/>
            <w:hideMark/>
          </w:tcPr>
          <w:p w14:paraId="0D26C826"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3D912AD"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Nohelia del Carmen Zawady Palacio</w:t>
            </w:r>
          </w:p>
          <w:p w14:paraId="59AE4B84" w14:textId="77777777" w:rsidR="00275C28" w:rsidRPr="004C64AD" w:rsidRDefault="00275C28" w:rsidP="00DF0798">
            <w:pPr>
              <w:spacing w:after="0" w:line="240" w:lineRule="auto"/>
              <w:jc w:val="both"/>
              <w:rPr>
                <w:rFonts w:ascii="Century Gothic" w:hAnsi="Century Gothic" w:cs="Arial"/>
                <w:sz w:val="16"/>
                <w:szCs w:val="16"/>
              </w:rPr>
            </w:pPr>
            <w:r w:rsidRPr="004C64AD">
              <w:rPr>
                <w:rFonts w:ascii="Century Gothic" w:hAnsi="Century Gothic" w:cs="Arial"/>
                <w:sz w:val="16"/>
                <w:szCs w:val="16"/>
              </w:rPr>
              <w:t xml:space="preserve">Subdirectora de Gestión Contractual ANCP </w:t>
            </w:r>
            <w:r>
              <w:rPr>
                <w:rFonts w:ascii="Century Gothic" w:hAnsi="Century Gothic" w:cs="Arial"/>
                <w:sz w:val="16"/>
                <w:szCs w:val="16"/>
              </w:rPr>
              <w:t>–</w:t>
            </w:r>
            <w:r w:rsidRPr="004C64AD">
              <w:rPr>
                <w:rFonts w:ascii="Century Gothic" w:hAnsi="Century Gothic" w:cs="Arial"/>
                <w:sz w:val="16"/>
                <w:szCs w:val="16"/>
              </w:rPr>
              <w:t xml:space="preserve"> CCE</w:t>
            </w:r>
          </w:p>
        </w:tc>
      </w:tr>
      <w:bookmarkEnd w:id="2"/>
    </w:tbl>
    <w:p w14:paraId="5B994C9B" w14:textId="77777777" w:rsidR="00275C28" w:rsidRPr="004C64AD" w:rsidRDefault="00275C28" w:rsidP="00275C28">
      <w:pPr>
        <w:tabs>
          <w:tab w:val="left" w:pos="0"/>
        </w:tabs>
        <w:spacing w:after="0" w:line="276" w:lineRule="auto"/>
        <w:contextualSpacing/>
        <w:jc w:val="both"/>
        <w:rPr>
          <w:rFonts w:ascii="Century Gothic" w:hAnsi="Century Gothic"/>
          <w:lang w:val="es-MX"/>
        </w:rPr>
      </w:pPr>
    </w:p>
    <w:p w14:paraId="231CB10D" w14:textId="77777777" w:rsidR="00275C28" w:rsidRPr="004C64AD" w:rsidRDefault="00275C28" w:rsidP="00275C28">
      <w:pPr>
        <w:spacing w:after="0"/>
        <w:rPr>
          <w:rFonts w:ascii="Century Gothic" w:hAnsi="Century Gothic"/>
        </w:rPr>
      </w:pPr>
    </w:p>
    <w:p w14:paraId="0F293BF4" w14:textId="4E630EB9" w:rsidR="00127233" w:rsidRPr="00275C28" w:rsidRDefault="00E245AB" w:rsidP="00275C28">
      <w:r w:rsidRPr="00275C28">
        <w:t xml:space="preserve"> </w:t>
      </w:r>
    </w:p>
    <w:sectPr w:rsidR="00127233" w:rsidRPr="00275C28" w:rsidSect="008B716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E205D" w14:textId="77777777" w:rsidR="008B716F" w:rsidRDefault="008B716F" w:rsidP="004A1847">
      <w:pPr>
        <w:spacing w:after="0" w:line="240" w:lineRule="auto"/>
      </w:pPr>
      <w:r>
        <w:separator/>
      </w:r>
    </w:p>
  </w:endnote>
  <w:endnote w:type="continuationSeparator" w:id="0">
    <w:p w14:paraId="273E8B5E" w14:textId="77777777" w:rsidR="008B716F" w:rsidRDefault="008B716F" w:rsidP="004A1847">
      <w:pPr>
        <w:spacing w:after="0" w:line="240" w:lineRule="auto"/>
      </w:pPr>
      <w:r>
        <w:continuationSeparator/>
      </w:r>
    </w:p>
  </w:endnote>
  <w:endnote w:type="continuationNotice" w:id="1">
    <w:p w14:paraId="2549906C" w14:textId="77777777" w:rsidR="008B716F" w:rsidRDefault="008B71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790F4" w14:textId="77777777" w:rsidR="008B716F" w:rsidRDefault="008B716F" w:rsidP="004A1847">
      <w:pPr>
        <w:spacing w:after="0" w:line="240" w:lineRule="auto"/>
      </w:pPr>
      <w:r>
        <w:separator/>
      </w:r>
    </w:p>
  </w:footnote>
  <w:footnote w:type="continuationSeparator" w:id="0">
    <w:p w14:paraId="4B667F5D" w14:textId="77777777" w:rsidR="008B716F" w:rsidRDefault="008B716F" w:rsidP="004A1847">
      <w:pPr>
        <w:spacing w:after="0" w:line="240" w:lineRule="auto"/>
      </w:pPr>
      <w:r>
        <w:continuationSeparator/>
      </w:r>
    </w:p>
  </w:footnote>
  <w:footnote w:type="continuationNotice" w:id="1">
    <w:p w14:paraId="0C7CD89D" w14:textId="77777777" w:rsidR="008B716F" w:rsidRDefault="008B716F">
      <w:pPr>
        <w:spacing w:after="0" w:line="240" w:lineRule="auto"/>
      </w:pPr>
    </w:p>
  </w:footnote>
  <w:footnote w:id="2">
    <w:p w14:paraId="0E401EC7" w14:textId="77777777" w:rsidR="00275C28" w:rsidRPr="00D7715D" w:rsidRDefault="00275C28" w:rsidP="00275C28">
      <w:pPr>
        <w:pStyle w:val="Textonotapie"/>
        <w:ind w:firstLine="708"/>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D7715D">
          <w:rPr>
            <w:rStyle w:val="Hipervnculo"/>
            <w:rFonts w:ascii="Century Gothic" w:hAnsi="Century Gothic" w:cs="Arial"/>
            <w:sz w:val="16"/>
            <w:szCs w:val="16"/>
          </w:rPr>
          <w:t>https://relatoria.colombiacompra.gov.co/busqueda/conceptos</w:t>
        </w:r>
      </w:hyperlink>
      <w:r w:rsidRPr="00D7715D">
        <w:rPr>
          <w:rStyle w:val="Hipervnculo"/>
          <w:rFonts w:ascii="Century Gothic" w:hAnsi="Century Gothic" w:cs="Arial"/>
          <w:sz w:val="16"/>
          <w:szCs w:val="16"/>
        </w:rPr>
        <w:t xml:space="preserve">. </w:t>
      </w:r>
      <w:r w:rsidRPr="00D7715D">
        <w:rPr>
          <w:rFonts w:ascii="Century Gothic" w:hAnsi="Century Gothic" w:cs="Arial"/>
          <w:sz w:val="16"/>
          <w:szCs w:val="16"/>
          <w:shd w:val="clear" w:color="auto" w:fill="E6E6E6"/>
        </w:rPr>
        <w:t xml:space="preserve"> </w:t>
      </w:r>
    </w:p>
  </w:footnote>
  <w:footnote w:id="3">
    <w:p w14:paraId="4CE98026" w14:textId="77777777" w:rsidR="00275C28" w:rsidRPr="00D7715D" w:rsidRDefault="00275C28" w:rsidP="00275C28">
      <w:pPr>
        <w:pStyle w:val="Textonotapie"/>
        <w:ind w:firstLine="708"/>
        <w:jc w:val="both"/>
        <w:rPr>
          <w:rFonts w:ascii="Century Gothic" w:hAnsi="Century Gothic" w:cs="Arial"/>
          <w:color w:val="F2F2F2"/>
          <w:sz w:val="16"/>
          <w:szCs w:val="16"/>
          <w:u w:val="single"/>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Texto del Proyecto de Ley 122 de 2020 Cámara. Exposición de motivos. Consultado el 29 de diciembre de 2021 en la página web: </w:t>
      </w:r>
      <w:hyperlink r:id="rId2" w:history="1">
        <w:r w:rsidRPr="00D7715D">
          <w:rPr>
            <w:rStyle w:val="Hipervnculo1"/>
            <w:rFonts w:ascii="Century Gothic" w:hAnsi="Century Gothic" w:cs="Arial"/>
            <w:color w:val="4472C4" w:themeColor="accent1"/>
            <w:sz w:val="16"/>
            <w:szCs w:val="16"/>
          </w:rPr>
          <w:t>http://leyes.senado.gov.co/proyectos/index.php/textos-radicados-senado/p-ley-2020-2021/1957-proyecto-de-ley-161-de-2020</w:t>
        </w:r>
      </w:hyperlink>
      <w:r w:rsidRPr="00D7715D">
        <w:rPr>
          <w:rStyle w:val="Hipervnculo1"/>
          <w:rFonts w:ascii="Century Gothic" w:hAnsi="Century Gothic" w:cs="Arial"/>
          <w:sz w:val="16"/>
          <w:szCs w:val="16"/>
        </w:rPr>
        <w:t xml:space="preserve">. </w:t>
      </w:r>
      <w:r w:rsidRPr="00D7715D">
        <w:rPr>
          <w:rStyle w:val="Hipervnculo1"/>
          <w:rFonts w:ascii="Century Gothic" w:hAnsi="Century Gothic" w:cs="Arial"/>
          <w:color w:val="auto"/>
          <w:sz w:val="16"/>
          <w:szCs w:val="16"/>
        </w:rPr>
        <w:t xml:space="preserve"> </w:t>
      </w:r>
    </w:p>
  </w:footnote>
  <w:footnote w:id="4">
    <w:p w14:paraId="34E61310" w14:textId="77777777" w:rsidR="00275C28" w:rsidRPr="00D7715D" w:rsidRDefault="00275C28" w:rsidP="00275C28">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2 al 29.</w:t>
      </w:r>
    </w:p>
  </w:footnote>
  <w:footnote w:id="5">
    <w:p w14:paraId="79761DCF" w14:textId="77777777" w:rsidR="00275C28" w:rsidRPr="00D7715D" w:rsidRDefault="00275C28" w:rsidP="00275C28">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30 al 36.</w:t>
      </w:r>
    </w:p>
  </w:footnote>
  <w:footnote w:id="6">
    <w:p w14:paraId="4362759A" w14:textId="77777777" w:rsidR="00275C28" w:rsidRPr="00D7715D" w:rsidRDefault="00275C28" w:rsidP="00275C28">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37 al 45.</w:t>
      </w:r>
    </w:p>
  </w:footnote>
  <w:footnote w:id="7">
    <w:p w14:paraId="334661E6" w14:textId="77777777" w:rsidR="00275C28" w:rsidRPr="00D7715D" w:rsidRDefault="00275C28" w:rsidP="00275C28">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46 al 73.</w:t>
      </w:r>
    </w:p>
  </w:footnote>
  <w:footnote w:id="8">
    <w:p w14:paraId="2E267CF0" w14:textId="77777777" w:rsidR="00275C28" w:rsidRPr="00D7715D" w:rsidRDefault="00275C28" w:rsidP="00275C28">
      <w:pPr>
        <w:pStyle w:val="Textonotapie"/>
        <w:ind w:firstLine="709"/>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Artículos 74 al 83.</w:t>
      </w:r>
    </w:p>
  </w:footnote>
  <w:footnote w:id="9">
    <w:p w14:paraId="1593C880" w14:textId="77777777" w:rsidR="00275C28" w:rsidRPr="00D7715D" w:rsidRDefault="00275C28" w:rsidP="00275C28">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bookmarkStart w:id="7" w:name="_Hlk63862868"/>
      <w:r w:rsidRPr="00D7715D">
        <w:rPr>
          <w:rFonts w:ascii="Century Gothic" w:hAnsi="Century Gothic" w:cs="Arial"/>
          <w:sz w:val="16"/>
          <w:szCs w:val="16"/>
        </w:rPr>
        <w:t xml:space="preserve">CONGRESO DE LA REPÚBLICA. Gaceta No. 670 del 11 de agosto de 2020. Exposición de motivos del Proyecto de Ley No. 122 de 2020 Cámara. p. 13. </w:t>
      </w:r>
      <w:bookmarkEnd w:id="7"/>
    </w:p>
  </w:footnote>
  <w:footnote w:id="10">
    <w:p w14:paraId="617F8AA6" w14:textId="77777777" w:rsidR="00275C28" w:rsidRPr="00D7715D" w:rsidRDefault="00275C28" w:rsidP="00275C28">
      <w:pPr>
        <w:pStyle w:val="Textonotapie"/>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74F6EC53" w14:textId="77777777" w:rsidR="00275C28" w:rsidRPr="00D7715D" w:rsidRDefault="00275C28" w:rsidP="00275C28">
      <w:pPr>
        <w:pStyle w:val="NormalWeb"/>
        <w:shd w:val="clear" w:color="auto" w:fill="FFFFFF"/>
        <w:spacing w:before="0" w:beforeAutospacing="0" w:after="0" w:afterAutospacing="0"/>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r w:rsidRPr="00D7715D">
        <w:rPr>
          <w:rStyle w:val="Hipervnculo1"/>
          <w:rFonts w:ascii="Century Gothic" w:hAnsi="Century Gothic" w:cs="Arial"/>
          <w:color w:val="auto"/>
          <w:sz w:val="16"/>
          <w:szCs w:val="16"/>
          <w:u w:val="none"/>
        </w:rPr>
        <w:t>5</w:t>
      </w:r>
      <w:r w:rsidRPr="00D7715D">
        <w:rPr>
          <w:rStyle w:val="Hipervnculo1"/>
          <w:rFonts w:ascii="Century Gothic" w:hAnsi="Century Gothic" w:cs="Arial"/>
          <w:color w:val="auto"/>
          <w:sz w:val="16"/>
          <w:szCs w:val="16"/>
        </w:rPr>
        <w:t> </w:t>
      </w:r>
      <w:r w:rsidRPr="00D7715D">
        <w:rPr>
          <w:rFonts w:ascii="Century Gothic" w:hAnsi="Century Gothic" w:cs="Arial"/>
          <w:sz w:val="16"/>
          <w:szCs w:val="16"/>
        </w:rPr>
        <w:t>de la Sección 1 del Capítulo 2 del Título 1 de la Parte 2 del Libro 2, así como los artículos </w:t>
      </w:r>
      <w:r w:rsidRPr="00D7715D">
        <w:rPr>
          <w:rStyle w:val="Hipervnculo1"/>
          <w:rFonts w:ascii="Century Gothic" w:hAnsi="Century Gothic" w:cs="Arial"/>
          <w:color w:val="auto"/>
          <w:sz w:val="16"/>
          <w:szCs w:val="16"/>
          <w:u w:val="none"/>
        </w:rPr>
        <w:t>2.2.1.2.4.2.2</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2.2.1.2.4.2.3</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2.2.1.2.4.2.4</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2.2.1.2.1.2.2</w:t>
      </w:r>
      <w:r w:rsidRPr="00D7715D">
        <w:rPr>
          <w:rFonts w:ascii="Century Gothic" w:hAnsi="Century Gothic" w:cs="Arial"/>
          <w:sz w:val="16"/>
          <w:szCs w:val="16"/>
        </w:rPr>
        <w:t xml:space="preserve"> y </w:t>
      </w:r>
      <w:r w:rsidRPr="00D7715D">
        <w:rPr>
          <w:rStyle w:val="Hipervnculo1"/>
          <w:rFonts w:ascii="Century Gothic" w:hAnsi="Century Gothic" w:cs="Arial"/>
          <w:color w:val="auto"/>
          <w:sz w:val="16"/>
          <w:szCs w:val="16"/>
          <w:u w:val="none"/>
        </w:rPr>
        <w:t>2.2.1.2.4.2.8</w:t>
      </w:r>
      <w:r w:rsidRPr="00D7715D">
        <w:rPr>
          <w:rFonts w:ascii="Century Gothic" w:hAnsi="Century Gothic" w:cs="Arial"/>
          <w:sz w:val="16"/>
          <w:szCs w:val="16"/>
        </w:rPr>
        <w:t>.; adiciona los artículos </w:t>
      </w:r>
      <w:r w:rsidRPr="00D7715D">
        <w:rPr>
          <w:rStyle w:val="Hipervnculo1"/>
          <w:rFonts w:ascii="Century Gothic" w:hAnsi="Century Gothic" w:cs="Arial"/>
          <w:color w:val="auto"/>
          <w:sz w:val="16"/>
          <w:szCs w:val="16"/>
          <w:u w:val="none"/>
        </w:rPr>
        <w:t>2.2.1.2.4.2.14</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2.2.1.2.4.2.15</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2.2.1.2.4.2.16</w:t>
      </w:r>
      <w:r w:rsidRPr="00D7715D">
        <w:rPr>
          <w:rFonts w:ascii="Century Gothic" w:hAnsi="Century Gothic" w:cs="Arial"/>
          <w:sz w:val="16"/>
          <w:szCs w:val="16"/>
        </w:rPr>
        <w:t>., </w:t>
      </w:r>
      <w:r w:rsidRPr="00D7715D">
        <w:rPr>
          <w:rStyle w:val="Hipervnculo1"/>
          <w:rFonts w:ascii="Century Gothic" w:hAnsi="Century Gothic" w:cs="Arial"/>
          <w:color w:val="auto"/>
          <w:sz w:val="16"/>
          <w:szCs w:val="16"/>
          <w:u w:val="none"/>
        </w:rPr>
        <w:t>2.2.1.2.4.2.17</w:t>
      </w:r>
      <w:r w:rsidRPr="00D7715D">
        <w:rPr>
          <w:rFonts w:ascii="Century Gothic" w:hAnsi="Century Gothic" w:cs="Arial"/>
          <w:sz w:val="16"/>
          <w:szCs w:val="16"/>
        </w:rPr>
        <w:t>. y </w:t>
      </w:r>
      <w:r w:rsidRPr="00D7715D">
        <w:rPr>
          <w:rStyle w:val="Hipervnculo1"/>
          <w:rFonts w:ascii="Century Gothic" w:hAnsi="Century Gothic" w:cs="Arial"/>
          <w:color w:val="auto"/>
          <w:sz w:val="16"/>
          <w:szCs w:val="16"/>
          <w:u w:val="none"/>
        </w:rPr>
        <w:t>2.2.1.2.4.2.18</w:t>
      </w:r>
      <w:r w:rsidRPr="00D7715D">
        <w:rPr>
          <w:rFonts w:ascii="Century Gothic" w:hAnsi="Century Gothic" w:cs="Arial"/>
          <w:sz w:val="16"/>
          <w:szCs w:val="16"/>
        </w:rPr>
        <w:t>.; adiciona un </w:t>
      </w:r>
      <w:r w:rsidRPr="00D7715D">
        <w:rPr>
          <w:rStyle w:val="Hipervnculo1"/>
          <w:rFonts w:ascii="Century Gothic" w:hAnsi="Century Gothic" w:cs="Arial"/>
          <w:color w:val="auto"/>
          <w:sz w:val="16"/>
          <w:szCs w:val="16"/>
          <w:u w:val="none"/>
        </w:rPr>
        <w:t>parágrafo </w:t>
      </w:r>
      <w:r w:rsidRPr="00D7715D">
        <w:rPr>
          <w:rFonts w:ascii="Century Gothic" w:hAnsi="Century Gothic" w:cs="Arial"/>
          <w:sz w:val="16"/>
          <w:szCs w:val="16"/>
        </w:rPr>
        <w:t>al artículo </w:t>
      </w:r>
      <w:r w:rsidRPr="00D7715D">
        <w:rPr>
          <w:rStyle w:val="Hipervnculo1"/>
          <w:rFonts w:ascii="Century Gothic" w:hAnsi="Century Gothic" w:cs="Arial"/>
          <w:color w:val="auto"/>
          <w:sz w:val="16"/>
          <w:szCs w:val="16"/>
          <w:u w:val="none"/>
        </w:rPr>
        <w:t>2.2.1.2.3.1.9</w:t>
      </w:r>
      <w:r w:rsidRPr="00D7715D">
        <w:rPr>
          <w:rFonts w:ascii="Century Gothic" w:hAnsi="Century Gothic" w:cs="Arial"/>
          <w:sz w:val="16"/>
          <w:szCs w:val="16"/>
        </w:rPr>
        <w:t>; y deroga el artículo </w:t>
      </w:r>
      <w:r w:rsidRPr="00D7715D">
        <w:rPr>
          <w:rStyle w:val="Hipervnculo1"/>
          <w:rFonts w:ascii="Century Gothic" w:hAnsi="Century Gothic" w:cs="Arial"/>
          <w:color w:val="auto"/>
          <w:sz w:val="16"/>
          <w:szCs w:val="16"/>
          <w:u w:val="none"/>
        </w:rPr>
        <w:t>2.2.1.1.2.2.9</w:t>
      </w:r>
      <w:r w:rsidRPr="00D7715D">
        <w:rPr>
          <w:rFonts w:ascii="Century Gothic" w:hAnsi="Century Gothic" w:cs="Arial"/>
          <w:sz w:val="16"/>
          <w:szCs w:val="16"/>
        </w:rPr>
        <w:t>. del Decreto 1082 de 2015, Único Reglamentario del Sector Administrativo de Planeación Nacional.</w:t>
      </w:r>
    </w:p>
    <w:p w14:paraId="3FD52D2E" w14:textId="77777777" w:rsidR="00275C28" w:rsidRPr="00D7715D" w:rsidRDefault="00275C28" w:rsidP="00275C28">
      <w:pPr>
        <w:pStyle w:val="NormalWeb"/>
        <w:shd w:val="clear" w:color="auto" w:fill="FFFFFF"/>
        <w:spacing w:before="0" w:beforeAutospacing="0" w:after="0" w:afterAutospacing="0"/>
        <w:jc w:val="both"/>
        <w:rPr>
          <w:rFonts w:ascii="Century Gothic" w:hAnsi="Century Gothic" w:cs="Arial"/>
          <w:sz w:val="16"/>
          <w:szCs w:val="16"/>
        </w:rPr>
      </w:pPr>
      <w:r w:rsidRPr="00D7715D">
        <w:rPr>
          <w:rFonts w:ascii="Century Gothic" w:hAnsi="Century Gothic" w:cs="Arial"/>
          <w:b/>
          <w:sz w:val="16"/>
          <w:szCs w:val="16"/>
        </w:rPr>
        <w:t> </w:t>
      </w:r>
      <w:r w:rsidRPr="00D7715D">
        <w:rPr>
          <w:rFonts w:ascii="Century Gothic" w:hAnsi="Century Gothic" w:cs="Arial"/>
          <w:b/>
          <w:sz w:val="16"/>
          <w:szCs w:val="16"/>
        </w:rPr>
        <w:tab/>
      </w:r>
      <w:r w:rsidRPr="00D7715D">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0330F75" w14:textId="77777777" w:rsidR="00275C28" w:rsidRPr="00D7715D" w:rsidRDefault="00275C28" w:rsidP="00275C28">
      <w:pPr>
        <w:pStyle w:val="NormalWeb"/>
        <w:shd w:val="clear" w:color="auto" w:fill="FFFFFF"/>
        <w:spacing w:before="0" w:beforeAutospacing="0" w:after="0" w:afterAutospacing="0"/>
        <w:jc w:val="both"/>
        <w:rPr>
          <w:rFonts w:ascii="Century Gothic" w:hAnsi="Century Gothic" w:cs="Arial"/>
          <w:sz w:val="16"/>
          <w:szCs w:val="16"/>
        </w:rPr>
      </w:pPr>
      <w:r w:rsidRPr="00D7715D">
        <w:rPr>
          <w:rFonts w:ascii="Century Gothic" w:hAnsi="Century Gothic" w:cs="Arial"/>
          <w:sz w:val="16"/>
          <w:szCs w:val="16"/>
        </w:rPr>
        <w:t> </w:t>
      </w:r>
      <w:r w:rsidRPr="00D7715D">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71E4DBDC" w14:textId="77777777" w:rsidR="00275C28" w:rsidRPr="00D7715D" w:rsidRDefault="00275C28" w:rsidP="00275C28">
      <w:pPr>
        <w:pStyle w:val="Textonotapie"/>
        <w:ind w:firstLine="708"/>
        <w:contextualSpacing/>
        <w:jc w:val="both"/>
        <w:rPr>
          <w:rFonts w:ascii="Century Gothic" w:hAnsi="Century Gothic" w:cs="Arial"/>
          <w:sz w:val="16"/>
          <w:szCs w:val="16"/>
          <w:lang w:val="es-ES"/>
        </w:rPr>
      </w:pPr>
      <w:r w:rsidRPr="00D7715D">
        <w:rPr>
          <w:rStyle w:val="Refdenotaalpie"/>
          <w:rFonts w:ascii="Century Gothic" w:eastAsiaTheme="majorEastAsia"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_tradnl"/>
        </w:rPr>
        <w:t xml:space="preserve">CASTRO DE CIFUENTES, Marcela. Derecho Comercial. Actos de comercio, empresas comerciantes y empresarios. Universidad de los Andes. 2016. </w:t>
      </w:r>
      <w:r w:rsidRPr="00D7715D">
        <w:rPr>
          <w:rFonts w:ascii="Century Gothic" w:hAnsi="Century Gothic" w:cs="Arial"/>
          <w:sz w:val="16"/>
          <w:szCs w:val="16"/>
          <w:lang w:val="es-ES"/>
        </w:rPr>
        <w:t>Página 18.</w:t>
      </w:r>
    </w:p>
  </w:footnote>
  <w:footnote w:id="13">
    <w:p w14:paraId="73D37789" w14:textId="77777777" w:rsidR="00275C28" w:rsidRPr="00D7715D" w:rsidRDefault="00275C28" w:rsidP="00275C28">
      <w:pPr>
        <w:pStyle w:val="Textonotapie"/>
        <w:ind w:firstLine="708"/>
        <w:contextualSpacing/>
        <w:jc w:val="both"/>
        <w:rPr>
          <w:rFonts w:ascii="Century Gothic" w:hAnsi="Century Gothic" w:cs="Arial"/>
          <w:sz w:val="16"/>
          <w:szCs w:val="16"/>
        </w:rPr>
      </w:pPr>
      <w:r w:rsidRPr="00D7715D">
        <w:rPr>
          <w:rStyle w:val="Refdenotaalpie"/>
          <w:rFonts w:ascii="Century Gothic" w:eastAsiaTheme="majorEastAsia" w:hAnsi="Century Gothic" w:cs="Arial"/>
          <w:sz w:val="16"/>
          <w:szCs w:val="16"/>
        </w:rPr>
        <w:footnoteRef/>
      </w:r>
      <w:r w:rsidRPr="00D7715D">
        <w:rPr>
          <w:rFonts w:ascii="Century Gothic" w:hAnsi="Century Gothic" w:cs="Arial"/>
          <w:sz w:val="16"/>
          <w:szCs w:val="16"/>
        </w:rPr>
        <w:t xml:space="preserve"> Ibidem. Página 45.</w:t>
      </w:r>
    </w:p>
  </w:footnote>
  <w:footnote w:id="14">
    <w:p w14:paraId="129DC346" w14:textId="77777777" w:rsidR="00275C28" w:rsidRPr="00D7715D" w:rsidRDefault="00275C28" w:rsidP="00275C28">
      <w:pPr>
        <w:pStyle w:val="Car1"/>
        <w:ind w:firstLine="709"/>
        <w:contextualSpacing/>
        <w:jc w:val="both"/>
        <w:rPr>
          <w:rFonts w:ascii="Century Gothic" w:hAnsi="Century Gothic" w:cs="Arial"/>
          <w:sz w:val="16"/>
          <w:szCs w:val="16"/>
          <w:lang w:val="es-ES_tradnl"/>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CO"/>
        </w:rPr>
        <w:t xml:space="preserve">Al respecto, la doctrina ha señalado que </w:t>
      </w:r>
      <w:r w:rsidRPr="00D7715D">
        <w:rPr>
          <w:rFonts w:ascii="Century Gothic" w:eastAsia="Calibri" w:hAnsi="Century Gothic" w:cs="Arial"/>
          <w:sz w:val="16"/>
          <w:szCs w:val="16"/>
          <w:lang w:val="es-ES_tradnl"/>
        </w:rPr>
        <w:t xml:space="preserve">“inseparable del elemento objetivo – actividad económica organizada- y del subjetivo – empresario mercantil - </w:t>
      </w:r>
      <w:r w:rsidRPr="00D7715D">
        <w:rPr>
          <w:rFonts w:ascii="Century Gothic" w:hAnsi="Century Gothic" w:cs="Arial"/>
          <w:sz w:val="16"/>
          <w:szCs w:val="16"/>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D7715D">
        <w:rPr>
          <w:rFonts w:ascii="Century Gothic" w:hAnsi="Century Gothic" w:cs="Arial"/>
          <w:sz w:val="16"/>
          <w:szCs w:val="16"/>
          <w:lang w:val="es-ES_tradnl"/>
        </w:rPr>
        <w:t>actividad se realizará a través de uno o más establecimientos de comercio”. (CASTRO DE CIFUENTES, Marcela. Derecho Comercial. Actos de comercio, empresas comerciantes y empresarios. Universidad de los Andes. 2016. Pág. 109).</w:t>
      </w:r>
    </w:p>
    <w:p w14:paraId="49591BB0" w14:textId="77777777" w:rsidR="00275C28" w:rsidRPr="00D7715D" w:rsidRDefault="00275C28" w:rsidP="00275C28">
      <w:pPr>
        <w:pStyle w:val="Textonotapie"/>
        <w:contextualSpacing/>
        <w:jc w:val="both"/>
        <w:rPr>
          <w:rFonts w:ascii="Century Gothic" w:hAnsi="Century Gothic" w:cs="Arial"/>
          <w:sz w:val="16"/>
          <w:szCs w:val="16"/>
          <w:lang w:val="es-ES_tradnl"/>
        </w:rPr>
      </w:pPr>
    </w:p>
  </w:footnote>
  <w:footnote w:id="15">
    <w:p w14:paraId="7A87FECF" w14:textId="77777777" w:rsidR="00275C28" w:rsidRPr="00D7715D" w:rsidRDefault="00275C28" w:rsidP="00275C28">
      <w:pPr>
        <w:pStyle w:val="Textonotapie"/>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Decreto 1082 de 2015, adicionado por el Decreto 1860 de 2021: “Artículo </w:t>
      </w:r>
      <w:bookmarkStart w:id="16" w:name="_Hlk160011935"/>
      <w:r w:rsidRPr="00D7715D">
        <w:rPr>
          <w:rFonts w:ascii="Century Gothic" w:hAnsi="Century Gothic" w:cs="Arial"/>
          <w:sz w:val="16"/>
          <w:szCs w:val="16"/>
        </w:rPr>
        <w:t>2.2.1.2.4.2.15</w:t>
      </w:r>
      <w:bookmarkEnd w:id="16"/>
      <w:r w:rsidRPr="00D7715D">
        <w:rPr>
          <w:rFonts w:ascii="Century Gothic" w:hAnsi="Century Gothic" w:cs="Arial"/>
          <w:sz w:val="16"/>
          <w:szCs w:val="16"/>
        </w:rPr>
        <w:t>. Criterios diferenciales para emprendimientos y empresas de mujeres en el sistema de compras públicas.</w:t>
      </w:r>
      <w:r w:rsidRPr="00D7715D">
        <w:rPr>
          <w:rFonts w:ascii="Arial" w:hAnsi="Arial" w:cs="Arial"/>
          <w:sz w:val="16"/>
          <w:szCs w:val="16"/>
        </w:rPr>
        <w:t> </w:t>
      </w:r>
      <w:r w:rsidRPr="00D7715D">
        <w:rPr>
          <w:rFonts w:ascii="Century Gothic" w:hAnsi="Century Gothic" w:cs="Arial"/>
          <w:sz w:val="16"/>
          <w:szCs w:val="16"/>
        </w:rPr>
        <w:t>En los procesos de licitaci</w:t>
      </w:r>
      <w:r w:rsidRPr="00D7715D">
        <w:rPr>
          <w:rFonts w:ascii="Century Gothic" w:hAnsi="Century Gothic" w:cs="Century Gothic"/>
          <w:sz w:val="16"/>
          <w:szCs w:val="16"/>
        </w:rPr>
        <w:t>ó</w:t>
      </w:r>
      <w:r w:rsidRPr="00D7715D">
        <w:rPr>
          <w:rFonts w:ascii="Century Gothic" w:hAnsi="Century Gothic" w:cs="Arial"/>
          <w:sz w:val="16"/>
          <w:szCs w:val="16"/>
        </w:rPr>
        <w:t>n p</w:t>
      </w:r>
      <w:r w:rsidRPr="00D7715D">
        <w:rPr>
          <w:rFonts w:ascii="Century Gothic" w:hAnsi="Century Gothic" w:cs="Century Gothic"/>
          <w:sz w:val="16"/>
          <w:szCs w:val="16"/>
        </w:rPr>
        <w:t>ú</w:t>
      </w:r>
      <w:r w:rsidRPr="00D7715D">
        <w:rPr>
          <w:rFonts w:ascii="Century Gothic" w:hAnsi="Century Gothic" w:cs="Arial"/>
          <w:sz w:val="16"/>
          <w:szCs w:val="16"/>
        </w:rPr>
        <w:t>blica, selecci</w:t>
      </w:r>
      <w:r w:rsidRPr="00D7715D">
        <w:rPr>
          <w:rFonts w:ascii="Century Gothic" w:hAnsi="Century Gothic" w:cs="Century Gothic"/>
          <w:sz w:val="16"/>
          <w:szCs w:val="16"/>
        </w:rPr>
        <w:t>ó</w:t>
      </w:r>
      <w:r w:rsidRPr="00D7715D">
        <w:rPr>
          <w:rFonts w:ascii="Century Gothic" w:hAnsi="Century Gothic" w:cs="Arial"/>
          <w:sz w:val="16"/>
          <w:szCs w:val="16"/>
        </w:rPr>
        <w:t>n abreviada de menor cuant</w:t>
      </w:r>
      <w:r w:rsidRPr="00D7715D">
        <w:rPr>
          <w:rFonts w:ascii="Century Gothic" w:hAnsi="Century Gothic" w:cs="Century Gothic"/>
          <w:sz w:val="16"/>
          <w:szCs w:val="16"/>
        </w:rPr>
        <w:t>í</w:t>
      </w:r>
      <w:r w:rsidRPr="00D7715D">
        <w:rPr>
          <w:rFonts w:ascii="Century Gothic" w:hAnsi="Century Gothic" w:cs="Arial"/>
          <w:sz w:val="16"/>
          <w:szCs w:val="16"/>
        </w:rPr>
        <w:t>a y concurso de m</w:t>
      </w:r>
      <w:r w:rsidRPr="00D7715D">
        <w:rPr>
          <w:rFonts w:ascii="Century Gothic" w:hAnsi="Century Gothic" w:cs="Century Gothic"/>
          <w:sz w:val="16"/>
          <w:szCs w:val="16"/>
        </w:rPr>
        <w:t>é</w:t>
      </w:r>
      <w:r w:rsidRPr="00D7715D">
        <w:rPr>
          <w:rFonts w:ascii="Century Gothic" w:hAnsi="Century Gothic" w:cs="Arial"/>
          <w:sz w:val="16"/>
          <w:szCs w:val="16"/>
        </w:rPr>
        <w:t>ritos, as</w:t>
      </w:r>
      <w:r w:rsidRPr="00D7715D">
        <w:rPr>
          <w:rFonts w:ascii="Century Gothic" w:hAnsi="Century Gothic" w:cs="Century Gothic"/>
          <w:sz w:val="16"/>
          <w:szCs w:val="16"/>
        </w:rPr>
        <w:t>í</w:t>
      </w:r>
      <w:r w:rsidRPr="00D7715D">
        <w:rPr>
          <w:rFonts w:ascii="Century Gothic" w:hAnsi="Century Gothic" w:cs="Arial"/>
          <w:sz w:val="16"/>
          <w:szCs w:val="16"/>
        </w:rPr>
        <w:t xml:space="preserve"> como en los procesos competitivos que adelanten las Entidades Estatales no sometidas al Estatuto General de Contrataci</w:t>
      </w:r>
      <w:r w:rsidRPr="00D7715D">
        <w:rPr>
          <w:rFonts w:ascii="Century Gothic" w:hAnsi="Century Gothic" w:cs="Century Gothic"/>
          <w:sz w:val="16"/>
          <w:szCs w:val="16"/>
        </w:rPr>
        <w:t>ó</w:t>
      </w:r>
      <w:r w:rsidRPr="00D7715D">
        <w:rPr>
          <w:rFonts w:ascii="Century Gothic" w:hAnsi="Century Gothic" w:cs="Arial"/>
          <w:sz w:val="16"/>
          <w:szCs w:val="16"/>
        </w:rPr>
        <w:t>n de la Administraci</w:t>
      </w:r>
      <w:r w:rsidRPr="00D7715D">
        <w:rPr>
          <w:rFonts w:ascii="Century Gothic" w:hAnsi="Century Gothic" w:cs="Century Gothic"/>
          <w:sz w:val="16"/>
          <w:szCs w:val="16"/>
        </w:rPr>
        <w:t>ó</w:t>
      </w:r>
      <w:r w:rsidRPr="00D7715D">
        <w:rPr>
          <w:rFonts w:ascii="Century Gothic" w:hAnsi="Century Gothic" w:cs="Arial"/>
          <w:sz w:val="16"/>
          <w:szCs w:val="16"/>
        </w:rPr>
        <w:t>n P</w:t>
      </w:r>
      <w:r w:rsidRPr="00D7715D">
        <w:rPr>
          <w:rFonts w:ascii="Century Gothic" w:hAnsi="Century Gothic" w:cs="Century Gothic"/>
          <w:sz w:val="16"/>
          <w:szCs w:val="16"/>
        </w:rPr>
        <w:t>ú</w:t>
      </w:r>
      <w:r w:rsidRPr="00D7715D">
        <w:rPr>
          <w:rFonts w:ascii="Century Gothic" w:hAnsi="Century Gothic" w:cs="Arial"/>
          <w:sz w:val="16"/>
          <w:szCs w:val="16"/>
        </w:rPr>
        <w:t>blica, las Entidades incluir</w:t>
      </w:r>
      <w:r w:rsidRPr="00D7715D">
        <w:rPr>
          <w:rFonts w:ascii="Century Gothic" w:hAnsi="Century Gothic" w:cs="Century Gothic"/>
          <w:sz w:val="16"/>
          <w:szCs w:val="16"/>
        </w:rPr>
        <w:t>á</w:t>
      </w:r>
      <w:r w:rsidRPr="00D7715D">
        <w:rPr>
          <w:rFonts w:ascii="Century Gothic" w:hAnsi="Century Gothic" w:cs="Arial"/>
          <w:sz w:val="16"/>
          <w:szCs w:val="16"/>
        </w:rPr>
        <w:t xml:space="preserve">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4E473D2A"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1. Tiempo de experiencia. </w:t>
      </w:r>
    </w:p>
    <w:p w14:paraId="1E0258BD"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2. Número de contratos para la acreditación de la experiencia. </w:t>
      </w:r>
    </w:p>
    <w:p w14:paraId="5B131463"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3. Índices de capacidad financiera. </w:t>
      </w:r>
    </w:p>
    <w:p w14:paraId="06020FFB"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4. Índices de capacidad organizacional. </w:t>
      </w:r>
    </w:p>
    <w:p w14:paraId="182BC6E2"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5. Valor de la garantía de seriedad de la oferta. </w:t>
      </w:r>
    </w:p>
    <w:p w14:paraId="62799681"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6D8FBADC"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E008E9F"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66C379D"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Parágrafo 1.</w:t>
      </w:r>
      <w:r w:rsidRPr="00D7715D">
        <w:rPr>
          <w:rFonts w:ascii="Arial" w:hAnsi="Arial" w:cs="Arial"/>
          <w:sz w:val="16"/>
          <w:szCs w:val="16"/>
        </w:rPr>
        <w:t> </w:t>
      </w:r>
      <w:r w:rsidRPr="00D7715D">
        <w:rPr>
          <w:rFonts w:ascii="Century Gothic" w:hAnsi="Century Gothic" w:cs="Arial"/>
          <w:sz w:val="16"/>
          <w:szCs w:val="16"/>
        </w:rPr>
        <w:t>Trat</w:t>
      </w:r>
      <w:r w:rsidRPr="00D7715D">
        <w:rPr>
          <w:rFonts w:ascii="Century Gothic" w:hAnsi="Century Gothic" w:cs="Century Gothic"/>
          <w:sz w:val="16"/>
          <w:szCs w:val="16"/>
        </w:rPr>
        <w:t>á</w:t>
      </w:r>
      <w:r w:rsidRPr="00D7715D">
        <w:rPr>
          <w:rFonts w:ascii="Century Gothic" w:hAnsi="Century Gothic" w:cs="Arial"/>
          <w:sz w:val="16"/>
          <w:szCs w:val="16"/>
        </w:rPr>
        <w:t>ndose de proponentes plurales, los criterios diferenciales y los puntajes adicionales solo se aplicar</w:t>
      </w:r>
      <w:r w:rsidRPr="00D7715D">
        <w:rPr>
          <w:rFonts w:ascii="Century Gothic" w:hAnsi="Century Gothic" w:cs="Century Gothic"/>
          <w:sz w:val="16"/>
          <w:szCs w:val="16"/>
        </w:rPr>
        <w:t>á</w:t>
      </w:r>
      <w:r w:rsidRPr="00D7715D">
        <w:rPr>
          <w:rFonts w:ascii="Century Gothic" w:hAnsi="Century Gothic" w:cs="Arial"/>
          <w:sz w:val="16"/>
          <w:szCs w:val="16"/>
        </w:rPr>
        <w:t>n si por lo menos uno de los integrantes acredita que es emprendimiento y empresa de mujeres bajo los criterios dispuestos en el art</w:t>
      </w:r>
      <w:r w:rsidRPr="00D7715D">
        <w:rPr>
          <w:rFonts w:ascii="Century Gothic" w:hAnsi="Century Gothic" w:cs="Century Gothic"/>
          <w:sz w:val="16"/>
          <w:szCs w:val="16"/>
        </w:rPr>
        <w:t>í</w:t>
      </w:r>
      <w:r w:rsidRPr="00D7715D">
        <w:rPr>
          <w:rFonts w:ascii="Century Gothic" w:hAnsi="Century Gothic" w:cs="Arial"/>
          <w:sz w:val="16"/>
          <w:szCs w:val="16"/>
        </w:rPr>
        <w:t>culo precedente y que tiene una participaci</w:t>
      </w:r>
      <w:r w:rsidRPr="00D7715D">
        <w:rPr>
          <w:rFonts w:ascii="Century Gothic" w:hAnsi="Century Gothic" w:cs="Century Gothic"/>
          <w:sz w:val="16"/>
          <w:szCs w:val="16"/>
        </w:rPr>
        <w:t>ó</w:t>
      </w:r>
      <w:r w:rsidRPr="00D7715D">
        <w:rPr>
          <w:rFonts w:ascii="Century Gothic" w:hAnsi="Century Gothic" w:cs="Arial"/>
          <w:sz w:val="16"/>
          <w:szCs w:val="16"/>
        </w:rPr>
        <w:t>n igual o superior al diez por ciento (10%) en el consorcio o la uni</w:t>
      </w:r>
      <w:r w:rsidRPr="00D7715D">
        <w:rPr>
          <w:rFonts w:ascii="Century Gothic" w:hAnsi="Century Gothic" w:cs="Century Gothic"/>
          <w:sz w:val="16"/>
          <w:szCs w:val="16"/>
        </w:rPr>
        <w:t>ó</w:t>
      </w:r>
      <w:r w:rsidRPr="00D7715D">
        <w:rPr>
          <w:rFonts w:ascii="Century Gothic" w:hAnsi="Century Gothic" w:cs="Arial"/>
          <w:sz w:val="16"/>
          <w:szCs w:val="16"/>
        </w:rPr>
        <w:t xml:space="preserve">n temporal. </w:t>
      </w:r>
    </w:p>
    <w:p w14:paraId="709E514F" w14:textId="77777777" w:rsidR="00275C28" w:rsidRPr="00D7715D" w:rsidRDefault="00275C28" w:rsidP="00275C28">
      <w:pPr>
        <w:pStyle w:val="Textonotapie"/>
        <w:ind w:firstLine="709"/>
        <w:jc w:val="both"/>
        <w:rPr>
          <w:rFonts w:ascii="Century Gothic" w:hAnsi="Century Gothic" w:cs="Arial"/>
          <w:sz w:val="16"/>
          <w:szCs w:val="16"/>
        </w:rPr>
      </w:pPr>
      <w:r w:rsidRPr="00D7715D">
        <w:rPr>
          <w:rFonts w:ascii="Century Gothic" w:hAnsi="Century Gothic" w:cs="Arial"/>
          <w:sz w:val="16"/>
          <w:szCs w:val="16"/>
        </w:rPr>
        <w:t>Parágrafo 2.</w:t>
      </w:r>
      <w:r w:rsidRPr="00D7715D">
        <w:rPr>
          <w:rFonts w:ascii="Arial" w:hAnsi="Arial" w:cs="Arial"/>
          <w:sz w:val="16"/>
          <w:szCs w:val="16"/>
        </w:rPr>
        <w:t> </w:t>
      </w:r>
      <w:r w:rsidRPr="00D7715D">
        <w:rPr>
          <w:rFonts w:ascii="Century Gothic" w:hAnsi="Century Gothic" w:cs="Arial"/>
          <w:sz w:val="16"/>
          <w:szCs w:val="16"/>
        </w:rPr>
        <w:t>Los incentivos contractuales para las empresas y emprendimientos de mujeres no excluyen la aplicaci</w:t>
      </w:r>
      <w:r w:rsidRPr="00D7715D">
        <w:rPr>
          <w:rFonts w:ascii="Century Gothic" w:hAnsi="Century Gothic" w:cs="Century Gothic"/>
          <w:sz w:val="16"/>
          <w:szCs w:val="16"/>
        </w:rPr>
        <w:t>ó</w:t>
      </w:r>
      <w:r w:rsidRPr="00D7715D">
        <w:rPr>
          <w:rFonts w:ascii="Century Gothic" w:hAnsi="Century Gothic" w:cs="Arial"/>
          <w:sz w:val="16"/>
          <w:szCs w:val="16"/>
        </w:rPr>
        <w:t>n de los criterios diferenciales para Mipyme en el sistema de compras p</w:t>
      </w:r>
      <w:r w:rsidRPr="00D7715D">
        <w:rPr>
          <w:rFonts w:ascii="Century Gothic" w:hAnsi="Century Gothic" w:cs="Century Gothic"/>
          <w:sz w:val="16"/>
          <w:szCs w:val="16"/>
        </w:rPr>
        <w:t>ú</w:t>
      </w:r>
      <w:r w:rsidRPr="00D7715D">
        <w:rPr>
          <w:rFonts w:ascii="Century Gothic" w:hAnsi="Century Gothic" w:cs="Arial"/>
          <w:sz w:val="16"/>
          <w:szCs w:val="16"/>
        </w:rPr>
        <w:t xml:space="preserve">blicas”.  </w:t>
      </w:r>
    </w:p>
  </w:footnote>
  <w:footnote w:id="16">
    <w:p w14:paraId="04A22449" w14:textId="77777777" w:rsidR="00275C28" w:rsidRPr="00D7715D" w:rsidRDefault="00275C28" w:rsidP="00275C28">
      <w:pPr>
        <w:pStyle w:val="NormalWeb"/>
        <w:spacing w:before="0" w:beforeAutospacing="0" w:after="0" w:afterAutospacing="0"/>
        <w:ind w:firstLine="709"/>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CÓDIGO CIVIL: “Artículo 27. Cuando el sentido de la ley sea claro, no se desatenderá su tenor literal a pretexto de consultar su espíritu. </w:t>
      </w:r>
    </w:p>
    <w:p w14:paraId="5B56BD3D" w14:textId="77777777" w:rsidR="00275C28" w:rsidRPr="00D7715D" w:rsidRDefault="00275C28" w:rsidP="00275C28">
      <w:pPr>
        <w:spacing w:after="0"/>
        <w:jc w:val="both"/>
        <w:rPr>
          <w:rFonts w:ascii="Century Gothic" w:hAnsi="Century Gothic" w:cs="Arial"/>
          <w:sz w:val="16"/>
          <w:szCs w:val="16"/>
          <w:lang w:eastAsia="es-CO"/>
        </w:rPr>
      </w:pPr>
      <w:r w:rsidRPr="00D7715D">
        <w:rPr>
          <w:rFonts w:ascii="Century Gothic" w:hAnsi="Century Gothic" w:cs="Arial"/>
          <w:sz w:val="16"/>
          <w:szCs w:val="16"/>
          <w:lang w:eastAsia="es-CO"/>
        </w:rPr>
        <w:t>  </w:t>
      </w:r>
      <w:r w:rsidRPr="00D7715D">
        <w:rPr>
          <w:rFonts w:ascii="Century Gothic" w:hAnsi="Century Gothic" w:cs="Arial"/>
          <w:sz w:val="16"/>
          <w:szCs w:val="16"/>
          <w:lang w:eastAsia="es-CO"/>
        </w:rPr>
        <w:tab/>
        <w:t>Pero bien se puede, para interpretar una expresión </w:t>
      </w:r>
      <w:r w:rsidRPr="00D7715D">
        <w:rPr>
          <w:rFonts w:ascii="Century Gothic" w:hAnsi="Century Gothic" w:cs="Arial"/>
          <w:i/>
          <w:sz w:val="16"/>
          <w:szCs w:val="16"/>
          <w:lang w:eastAsia="es-CO"/>
        </w:rPr>
        <w:t>oscura</w:t>
      </w:r>
      <w:r w:rsidRPr="00D7715D">
        <w:rPr>
          <w:rFonts w:ascii="Century Gothic" w:hAnsi="Century Gothic" w:cs="Arial"/>
          <w:sz w:val="16"/>
          <w:szCs w:val="16"/>
          <w:lang w:eastAsia="es-CO"/>
        </w:rPr>
        <w:t> de la ley, recurrir a su intención o espíritu, claramente manifestados en ella misma o en la historia fidedigna de su establecimiento”. </w:t>
      </w:r>
    </w:p>
  </w:footnote>
  <w:footnote w:id="17">
    <w:p w14:paraId="29A6BA42" w14:textId="77777777" w:rsidR="00275C28" w:rsidRPr="00D7715D" w:rsidRDefault="00275C28" w:rsidP="00275C28">
      <w:pPr>
        <w:spacing w:after="0" w:line="240" w:lineRule="auto"/>
        <w:ind w:firstLine="708"/>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CORTE CONSTITUCIONAL. Sentencia SU-440 del 19 de diciembre del 2021. M.P. Paola Andrea Meneses Mosquera.</w:t>
      </w:r>
    </w:p>
  </w:footnote>
  <w:footnote w:id="18">
    <w:p w14:paraId="7C443B6F" w14:textId="77777777" w:rsidR="00275C28" w:rsidRPr="00D7715D" w:rsidRDefault="00275C28" w:rsidP="00275C28">
      <w:pPr>
        <w:pStyle w:val="Textonotapie"/>
        <w:ind w:firstLine="708"/>
        <w:jc w:val="both"/>
        <w:rPr>
          <w:rFonts w:ascii="Century Gothic" w:hAnsi="Century Gothic" w:cs="Arial"/>
          <w:sz w:val="16"/>
          <w:szCs w:val="16"/>
          <w:shd w:val="clear" w:color="auto" w:fill="FFFFFF"/>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shd w:val="clear" w:color="auto" w:fill="FFFFFF"/>
        </w:rPr>
        <w:t xml:space="preserve">CORTE CONSTITUCIONAL. Sentencia T-443 del 14 de octubre del 2020. </w:t>
      </w:r>
      <w:r w:rsidRPr="00D7715D">
        <w:rPr>
          <w:rFonts w:ascii="Century Gothic" w:hAnsi="Century Gothic" w:cs="Arial"/>
          <w:sz w:val="16"/>
          <w:szCs w:val="16"/>
        </w:rPr>
        <w:t xml:space="preserve">M.P. </w:t>
      </w:r>
      <w:r w:rsidRPr="00D7715D">
        <w:rPr>
          <w:rFonts w:ascii="Century Gothic" w:hAnsi="Century Gothic" w:cs="Arial"/>
          <w:sz w:val="16"/>
          <w:szCs w:val="16"/>
          <w:shd w:val="clear" w:color="auto" w:fill="FFFFFF"/>
        </w:rPr>
        <w:t>José Fernando Reyes Cuartas.</w:t>
      </w:r>
    </w:p>
  </w:footnote>
  <w:footnote w:id="19">
    <w:p w14:paraId="60A8F9C6" w14:textId="77777777" w:rsidR="00275C28" w:rsidRPr="00D7715D" w:rsidRDefault="00275C28" w:rsidP="00275C28">
      <w:pPr>
        <w:pStyle w:val="Textonotapie"/>
        <w:ind w:firstLine="708"/>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CORTE CONSTITUCIONAL. Sentencia T-099/2015 del 10 de marzo del 2015. M.P. Gloria Stella Ortiz Delgado.</w:t>
      </w:r>
    </w:p>
  </w:footnote>
  <w:footnote w:id="20">
    <w:p w14:paraId="4D8302DC" w14:textId="77777777" w:rsidR="00275C28" w:rsidRPr="00D7715D" w:rsidRDefault="00275C28" w:rsidP="00275C28">
      <w:pPr>
        <w:pStyle w:val="Textonotapie"/>
        <w:ind w:firstLine="708"/>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CASTELLANOS, Lorena. </w:t>
      </w:r>
      <w:r w:rsidRPr="00D7715D">
        <w:rPr>
          <w:rFonts w:ascii="Century Gothic" w:hAnsi="Century Gothic" w:cs="Arial"/>
          <w:i/>
          <w:iCs/>
          <w:sz w:val="16"/>
          <w:szCs w:val="16"/>
        </w:rPr>
        <w:t>Desmontando el determinismo biológico mediante el género</w:t>
      </w:r>
      <w:r w:rsidRPr="00D7715D">
        <w:rPr>
          <w:rFonts w:ascii="Century Gothic" w:hAnsi="Century Gothic" w:cs="Arial"/>
          <w:sz w:val="16"/>
          <w:szCs w:val="16"/>
        </w:rPr>
        <w:t xml:space="preserve"> en Musas: revista de investigación en mujer, salud y sociedad, Vol. 6, num. 1, 2021, pp. 4-19. Consultado a las 19: 30 del 29 de marzo del 2023 en:  </w:t>
      </w:r>
      <w:hyperlink r:id="rId3" w:history="1">
        <w:r w:rsidRPr="00D7715D">
          <w:rPr>
            <w:rStyle w:val="Hipervnculo"/>
            <w:rFonts w:ascii="Century Gothic" w:hAnsi="Century Gothic" w:cs="Arial"/>
            <w:sz w:val="16"/>
            <w:szCs w:val="16"/>
          </w:rPr>
          <w:t>https://revistes.ub.edu/index.php/MUSAS/article/view/vol6.num1.1/33136</w:t>
        </w:r>
      </w:hyperlink>
      <w:r w:rsidRPr="00D7715D">
        <w:rPr>
          <w:rFonts w:ascii="Century Gothic" w:hAnsi="Century Gothic" w:cs="Arial"/>
          <w:sz w:val="16"/>
          <w:szCs w:val="16"/>
        </w:rPr>
        <w:t xml:space="preserve">. </w:t>
      </w:r>
    </w:p>
  </w:footnote>
  <w:footnote w:id="21">
    <w:p w14:paraId="36119B46" w14:textId="77777777" w:rsidR="00275C28" w:rsidRPr="00D7715D" w:rsidRDefault="00275C28" w:rsidP="00275C28">
      <w:pPr>
        <w:spacing w:after="0" w:line="240" w:lineRule="auto"/>
        <w:ind w:firstLine="708"/>
        <w:jc w:val="both"/>
        <w:rPr>
          <w:rFonts w:ascii="Century Gothic" w:hAnsi="Century Gothic" w:cs="Arial"/>
          <w:sz w:val="16"/>
          <w:szCs w:val="16"/>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Principios sobre la aplicación de la legislación internacional de derechos humanos en relación con la orientación sexual y la identidad de género. Consultado a las 20:30 del 29 de marzo del 2023 en: </w:t>
      </w:r>
      <w:hyperlink r:id="rId4" w:history="1">
        <w:r w:rsidRPr="00D7715D">
          <w:rPr>
            <w:rStyle w:val="Hipervnculo"/>
            <w:rFonts w:ascii="Century Gothic" w:hAnsi="Century Gothic" w:cs="Arial"/>
            <w:sz w:val="16"/>
            <w:szCs w:val="16"/>
          </w:rPr>
          <w:t>http://yogyakartaprinciples.org/wp-content/uploads/2016/08/principles_sp.pdf</w:t>
        </w:r>
      </w:hyperlink>
      <w:r w:rsidRPr="00D7715D">
        <w:rPr>
          <w:rStyle w:val="Hipervnculo"/>
          <w:rFonts w:ascii="Century Gothic" w:hAnsi="Century Gothic" w:cs="Arial"/>
          <w:sz w:val="16"/>
          <w:szCs w:val="16"/>
        </w:rPr>
        <w:t xml:space="preserve">. </w:t>
      </w:r>
    </w:p>
  </w:footnote>
  <w:footnote w:id="22">
    <w:p w14:paraId="5C7E8EBD" w14:textId="77777777" w:rsidR="00275C28" w:rsidRPr="00D7715D" w:rsidRDefault="00275C28" w:rsidP="00275C28">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CORTE CONSTITUCIONAL.</w:t>
      </w:r>
      <w:r w:rsidRPr="00D7715D">
        <w:rPr>
          <w:rFonts w:ascii="Century Gothic" w:hAnsi="Century Gothic" w:cs="Arial"/>
          <w:sz w:val="16"/>
          <w:szCs w:val="16"/>
        </w:rPr>
        <w:t xml:space="preserve"> Sentencia </w:t>
      </w:r>
      <w:r w:rsidRPr="00D7715D">
        <w:rPr>
          <w:rFonts w:ascii="Century Gothic" w:hAnsi="Century Gothic" w:cs="Arial"/>
          <w:sz w:val="16"/>
          <w:szCs w:val="16"/>
          <w:lang w:val="es-ES"/>
        </w:rPr>
        <w:t>T-033 del 04 de febrero del 2022. M.P. Gloria Stella Ortiz Delgado.</w:t>
      </w:r>
    </w:p>
  </w:footnote>
  <w:footnote w:id="23">
    <w:p w14:paraId="7E36DF58" w14:textId="77777777" w:rsidR="00275C28" w:rsidRPr="00D7715D" w:rsidRDefault="00275C28" w:rsidP="00275C28">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lang w:val="es-ES"/>
        </w:rPr>
        <w:t xml:space="preserve"> CORTE CONSTITUCIONAL.</w:t>
      </w:r>
      <w:r w:rsidRPr="00D7715D">
        <w:rPr>
          <w:rFonts w:ascii="Century Gothic" w:hAnsi="Century Gothic" w:cs="Arial"/>
          <w:sz w:val="16"/>
          <w:szCs w:val="16"/>
        </w:rPr>
        <w:t xml:space="preserve"> </w:t>
      </w:r>
      <w:r w:rsidRPr="00D7715D">
        <w:rPr>
          <w:rFonts w:ascii="Century Gothic" w:hAnsi="Century Gothic" w:cs="Arial"/>
          <w:sz w:val="16"/>
          <w:szCs w:val="16"/>
          <w:shd w:val="clear" w:color="auto" w:fill="FFFFFF"/>
        </w:rPr>
        <w:t xml:space="preserve">Sentencia T-443 del 14 de octubre del 2020. Corte Constitucional.  </w:t>
      </w:r>
      <w:r w:rsidRPr="00D7715D">
        <w:rPr>
          <w:rFonts w:ascii="Century Gothic" w:hAnsi="Century Gothic" w:cs="Arial"/>
          <w:sz w:val="16"/>
          <w:szCs w:val="16"/>
        </w:rPr>
        <w:t xml:space="preserve">M.P. </w:t>
      </w:r>
      <w:r w:rsidRPr="00D7715D">
        <w:rPr>
          <w:rFonts w:ascii="Century Gothic" w:hAnsi="Century Gothic" w:cs="Arial"/>
          <w:sz w:val="16"/>
          <w:szCs w:val="16"/>
          <w:shd w:val="clear" w:color="auto" w:fill="FFFFFF"/>
        </w:rPr>
        <w:t>José Fernando Reyes Cuartas.</w:t>
      </w:r>
    </w:p>
  </w:footnote>
  <w:footnote w:id="24">
    <w:p w14:paraId="1A232862" w14:textId="77777777" w:rsidR="00275C28" w:rsidRPr="00D7715D" w:rsidRDefault="00275C28" w:rsidP="00275C28">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CORTE CONSTITUCIONAL.</w:t>
      </w:r>
      <w:r w:rsidRPr="00D7715D">
        <w:rPr>
          <w:rFonts w:ascii="Century Gothic" w:hAnsi="Century Gothic" w:cs="Arial"/>
          <w:sz w:val="16"/>
          <w:szCs w:val="16"/>
        </w:rPr>
        <w:t xml:space="preserve"> Sentencia </w:t>
      </w:r>
      <w:r w:rsidRPr="00D7715D">
        <w:rPr>
          <w:rFonts w:ascii="Century Gothic" w:hAnsi="Century Gothic" w:cs="Arial"/>
          <w:sz w:val="16"/>
          <w:szCs w:val="16"/>
          <w:lang w:val="es-ES"/>
        </w:rPr>
        <w:t>T-033 del 04 de febrero del 2022.</w:t>
      </w:r>
      <w:r>
        <w:rPr>
          <w:rFonts w:ascii="Century Gothic" w:hAnsi="Century Gothic" w:cs="Arial"/>
          <w:sz w:val="16"/>
          <w:szCs w:val="16"/>
          <w:lang w:val="es-ES"/>
        </w:rPr>
        <w:t xml:space="preserve"> </w:t>
      </w:r>
      <w:r w:rsidRPr="00D7715D">
        <w:rPr>
          <w:rFonts w:ascii="Century Gothic" w:hAnsi="Century Gothic" w:cs="Arial"/>
          <w:sz w:val="16"/>
          <w:szCs w:val="16"/>
          <w:lang w:val="es-ES"/>
        </w:rPr>
        <w:t>M.P. Gloria Stella Ortiz Delgado.</w:t>
      </w:r>
    </w:p>
  </w:footnote>
  <w:footnote w:id="25">
    <w:p w14:paraId="51D1035A" w14:textId="77777777" w:rsidR="00275C28" w:rsidRPr="00D7715D" w:rsidRDefault="00275C28" w:rsidP="00275C28">
      <w:pPr>
        <w:pStyle w:val="Textonotapie"/>
        <w:ind w:firstLine="708"/>
        <w:jc w:val="both"/>
        <w:rPr>
          <w:rFonts w:ascii="Century Gothic" w:hAnsi="Century Gothic" w:cs="Arial"/>
          <w:sz w:val="16"/>
          <w:szCs w:val="16"/>
          <w:lang w:val="es-ES"/>
        </w:rPr>
      </w:pPr>
      <w:r w:rsidRPr="00D7715D">
        <w:rPr>
          <w:rStyle w:val="Refdenotaalpie"/>
          <w:rFonts w:ascii="Century Gothic" w:hAnsi="Century Gothic" w:cs="Arial"/>
          <w:sz w:val="16"/>
          <w:szCs w:val="16"/>
        </w:rPr>
        <w:footnoteRef/>
      </w:r>
      <w:r w:rsidRPr="00D7715D">
        <w:rPr>
          <w:rFonts w:ascii="Century Gothic" w:hAnsi="Century Gothic" w:cs="Arial"/>
          <w:sz w:val="16"/>
          <w:szCs w:val="16"/>
        </w:rPr>
        <w:t xml:space="preserve"> </w:t>
      </w:r>
      <w:r w:rsidRPr="00D7715D">
        <w:rPr>
          <w:rFonts w:ascii="Century Gothic" w:hAnsi="Century Gothic" w:cs="Arial"/>
          <w:sz w:val="16"/>
          <w:szCs w:val="16"/>
          <w:lang w:val="es-ES"/>
        </w:rPr>
        <w:t>CORTE CONSTITUCIONAL.</w:t>
      </w:r>
      <w:r w:rsidRPr="00D7715D">
        <w:rPr>
          <w:rFonts w:ascii="Century Gothic" w:hAnsi="Century Gothic" w:cs="Arial"/>
          <w:sz w:val="16"/>
          <w:szCs w:val="16"/>
        </w:rPr>
        <w:t xml:space="preserve"> Sentencia </w:t>
      </w:r>
      <w:r w:rsidRPr="00D7715D">
        <w:rPr>
          <w:rFonts w:ascii="Century Gothic" w:hAnsi="Century Gothic" w:cs="Arial"/>
          <w:sz w:val="16"/>
          <w:szCs w:val="16"/>
          <w:lang w:val="es-ES"/>
        </w:rPr>
        <w:t>T-033 del 04 de febrero del 2022.</w:t>
      </w:r>
      <w:r>
        <w:rPr>
          <w:rFonts w:ascii="Century Gothic" w:hAnsi="Century Gothic" w:cs="Arial"/>
          <w:sz w:val="16"/>
          <w:szCs w:val="16"/>
          <w:lang w:val="es-ES"/>
        </w:rPr>
        <w:t xml:space="preserve"> </w:t>
      </w:r>
      <w:r w:rsidRPr="00D7715D">
        <w:rPr>
          <w:rFonts w:ascii="Century Gothic" w:hAnsi="Century Gothic" w:cs="Arial"/>
          <w:sz w:val="16"/>
          <w:szCs w:val="16"/>
          <w:lang w:val="es-ES"/>
        </w:rPr>
        <w:t>M.P. Gloria Stella Ortiz Delgado.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10364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34C06"/>
    <w:rsid w:val="00082CC4"/>
    <w:rsid w:val="000A683E"/>
    <w:rsid w:val="000B19B9"/>
    <w:rsid w:val="000D0334"/>
    <w:rsid w:val="000E4714"/>
    <w:rsid w:val="000F6486"/>
    <w:rsid w:val="00125105"/>
    <w:rsid w:val="00127233"/>
    <w:rsid w:val="001E4177"/>
    <w:rsid w:val="00275C28"/>
    <w:rsid w:val="002951A0"/>
    <w:rsid w:val="002962BC"/>
    <w:rsid w:val="002A093D"/>
    <w:rsid w:val="002A49AC"/>
    <w:rsid w:val="002A64FD"/>
    <w:rsid w:val="002C7A84"/>
    <w:rsid w:val="00303F3A"/>
    <w:rsid w:val="003448F4"/>
    <w:rsid w:val="00375BFA"/>
    <w:rsid w:val="003A779E"/>
    <w:rsid w:val="003C330B"/>
    <w:rsid w:val="003D0F4D"/>
    <w:rsid w:val="003E0499"/>
    <w:rsid w:val="003F3941"/>
    <w:rsid w:val="00400548"/>
    <w:rsid w:val="004368BC"/>
    <w:rsid w:val="004A1847"/>
    <w:rsid w:val="004A305D"/>
    <w:rsid w:val="004F21C4"/>
    <w:rsid w:val="004F685F"/>
    <w:rsid w:val="00533E8F"/>
    <w:rsid w:val="00547201"/>
    <w:rsid w:val="005566E8"/>
    <w:rsid w:val="00574867"/>
    <w:rsid w:val="005B5D8B"/>
    <w:rsid w:val="005C5CDC"/>
    <w:rsid w:val="005D476C"/>
    <w:rsid w:val="00611FA2"/>
    <w:rsid w:val="006219F8"/>
    <w:rsid w:val="00665D70"/>
    <w:rsid w:val="00703ECF"/>
    <w:rsid w:val="00706C16"/>
    <w:rsid w:val="00727370"/>
    <w:rsid w:val="00756841"/>
    <w:rsid w:val="00763C80"/>
    <w:rsid w:val="007649AB"/>
    <w:rsid w:val="007833AC"/>
    <w:rsid w:val="007B7171"/>
    <w:rsid w:val="007C10EE"/>
    <w:rsid w:val="007C3DC2"/>
    <w:rsid w:val="007D2B84"/>
    <w:rsid w:val="007E5497"/>
    <w:rsid w:val="00806F5F"/>
    <w:rsid w:val="00820278"/>
    <w:rsid w:val="008843B6"/>
    <w:rsid w:val="00891928"/>
    <w:rsid w:val="008A446D"/>
    <w:rsid w:val="008B716F"/>
    <w:rsid w:val="008F0EA7"/>
    <w:rsid w:val="00923EEF"/>
    <w:rsid w:val="009419F9"/>
    <w:rsid w:val="00961B09"/>
    <w:rsid w:val="00965334"/>
    <w:rsid w:val="0097093E"/>
    <w:rsid w:val="009C71FA"/>
    <w:rsid w:val="009C72E7"/>
    <w:rsid w:val="00A17F13"/>
    <w:rsid w:val="00A20739"/>
    <w:rsid w:val="00A241DD"/>
    <w:rsid w:val="00A33C78"/>
    <w:rsid w:val="00AB0ADB"/>
    <w:rsid w:val="00AD5E99"/>
    <w:rsid w:val="00B67F65"/>
    <w:rsid w:val="00B72CD3"/>
    <w:rsid w:val="00B72FFF"/>
    <w:rsid w:val="00BA530D"/>
    <w:rsid w:val="00BD15D4"/>
    <w:rsid w:val="00BD2E7A"/>
    <w:rsid w:val="00BD7F72"/>
    <w:rsid w:val="00C04FB3"/>
    <w:rsid w:val="00C330EB"/>
    <w:rsid w:val="00C754BE"/>
    <w:rsid w:val="00CB6357"/>
    <w:rsid w:val="00CC1B26"/>
    <w:rsid w:val="00CC266A"/>
    <w:rsid w:val="00CD6716"/>
    <w:rsid w:val="00D423A2"/>
    <w:rsid w:val="00D63AC2"/>
    <w:rsid w:val="00D7383B"/>
    <w:rsid w:val="00D80CB6"/>
    <w:rsid w:val="00DA231B"/>
    <w:rsid w:val="00E16408"/>
    <w:rsid w:val="00E20894"/>
    <w:rsid w:val="00E245AB"/>
    <w:rsid w:val="00E50AFE"/>
    <w:rsid w:val="00E771DC"/>
    <w:rsid w:val="00E8772A"/>
    <w:rsid w:val="00E90F6B"/>
    <w:rsid w:val="00E92C27"/>
    <w:rsid w:val="00EA0E3D"/>
    <w:rsid w:val="00EC7F5D"/>
    <w:rsid w:val="00EE1AA8"/>
    <w:rsid w:val="00F17039"/>
    <w:rsid w:val="00F204AB"/>
    <w:rsid w:val="00F31EDC"/>
    <w:rsid w:val="00F5664F"/>
    <w:rsid w:val="00F613A2"/>
    <w:rsid w:val="00F76AFC"/>
    <w:rsid w:val="00FB5DD1"/>
    <w:rsid w:val="00FC2B5D"/>
    <w:rsid w:val="00FF1449"/>
    <w:rsid w:val="687B05C8"/>
    <w:rsid w:val="77D36B6A"/>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375BFA"/>
    <w:pPr>
      <w:spacing w:line="240" w:lineRule="exact"/>
    </w:pPr>
    <w:rPr>
      <w:vertAlign w:val="superscript"/>
    </w:rPr>
  </w:style>
  <w:style w:type="paragraph" w:styleId="NormalWeb">
    <w:name w:val="Normal (Web)"/>
    <w:basedOn w:val="Normal"/>
    <w:link w:val="NormalWebCar"/>
    <w:uiPriority w:val="99"/>
    <w:unhideWhenUsed/>
    <w:rsid w:val="00375BF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75BFA"/>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75BFA"/>
    <w:rPr>
      <w:rFonts w:ascii="Geomanist Light" w:hAnsi="Geomanist Light"/>
      <w:lang w:val="es-ES"/>
    </w:rPr>
  </w:style>
  <w:style w:type="character" w:styleId="Textoennegrita">
    <w:name w:val="Strong"/>
    <w:basedOn w:val="Fuentedeprrafopredeter"/>
    <w:uiPriority w:val="22"/>
    <w:qFormat/>
    <w:rsid w:val="00375BFA"/>
    <w:rPr>
      <w:b/>
      <w:bCs/>
    </w:rPr>
  </w:style>
  <w:style w:type="character" w:customStyle="1" w:styleId="Hipervnculo1">
    <w:name w:val="Hipervínculo1"/>
    <w:basedOn w:val="Fuentedeprrafopredeter"/>
    <w:uiPriority w:val="99"/>
    <w:unhideWhenUsed/>
    <w:rsid w:val="00375BFA"/>
    <w:rPr>
      <w:color w:val="F2F2F2"/>
      <w:u w:val="single"/>
    </w:rPr>
  </w:style>
  <w:style w:type="paragraph" w:customStyle="1" w:styleId="Car1">
    <w:name w:val="Car1"/>
    <w:basedOn w:val="Normal"/>
    <w:next w:val="Textonotapie"/>
    <w:uiPriority w:val="99"/>
    <w:unhideWhenUsed/>
    <w:qFormat/>
    <w:rsid w:val="00375BFA"/>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revistes.ub.edu/index.php/MUSAS/article/view/vol6.num1.1/33136" TargetMode="External"/><Relationship Id="rId2" Type="http://schemas.openxmlformats.org/officeDocument/2006/relationships/hyperlink" Target="http://leyes.senado.gov.co/proyectos/index.php/textos-radicados-senado/p-ley-2020-2021/1957-proyecto-de-ley-161-de-2020" TargetMode="External"/><Relationship Id="rId1" Type="http://schemas.openxmlformats.org/officeDocument/2006/relationships/hyperlink" Target="https://relatoria.colombiacompra.gov.co/busqueda/conceptos%20" TargetMode="External"/><Relationship Id="rId4" Type="http://schemas.openxmlformats.org/officeDocument/2006/relationships/hyperlink" Target="http://yogyakartaprinciples.org/wp-content/uploads/2016/08/principles_sp.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Juan David Montoya Penagos</DisplayName>
        <AccountId>697</AccountId>
        <AccountType/>
      </UserInfo>
      <UserInfo>
        <DisplayName>Juan David Cárdenas Cabeza</DisplayName>
        <AccountId>659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A534377-EA61-40D9-8645-ABD8D8D9D29B}"/>
</file>

<file path=docProps/app.xml><?xml version="1.0" encoding="utf-8"?>
<Properties xmlns="http://schemas.openxmlformats.org/officeDocument/2006/extended-properties" xmlns:vt="http://schemas.openxmlformats.org/officeDocument/2006/docPropsVTypes">
  <Template>Normal</Template>
  <TotalTime>6</TotalTime>
  <Pages>21</Pages>
  <Words>7130</Words>
  <Characters>39220</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6</cp:revision>
  <cp:lastPrinted>2023-01-10T21:18:00Z</cp:lastPrinted>
  <dcterms:created xsi:type="dcterms:W3CDTF">2024-03-26T01:25:00Z</dcterms:created>
  <dcterms:modified xsi:type="dcterms:W3CDTF">2024-04-09T17:00:00Z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